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7.xml" ContentType="application/vnd.openxmlformats-officedocument.wordprocessingml.footer+xml"/>
  <Override PartName="/word/header37.xml" ContentType="application/vnd.openxmlformats-officedocument.wordprocessingml.header+xml"/>
  <Override PartName="/word/footer2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42.xml" ContentType="application/vnd.openxmlformats-officedocument.wordprocessingml.header+xml"/>
  <Override PartName="/word/footer33.xml" ContentType="application/vnd.openxmlformats-officedocument.wordprocessingml.footer+xml"/>
  <Override PartName="/word/header43.xml" ContentType="application/vnd.openxmlformats-officedocument.wordprocessingml.header+xml"/>
  <Override PartName="/word/footer3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5.xml" ContentType="application/vnd.openxmlformats-officedocument.wordprocessingml.footer+xml"/>
  <Override PartName="/word/header4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8.xml" ContentType="application/vnd.openxmlformats-officedocument.wordprocessingml.header+xml"/>
  <Override PartName="/word/footer38.xml" ContentType="application/vnd.openxmlformats-officedocument.wordprocessingml.footer+xml"/>
  <Override PartName="/word/header49.xml" ContentType="application/vnd.openxmlformats-officedocument.wordprocessingml.header+xml"/>
  <Override PartName="/word/footer3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4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4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42.xml" ContentType="application/vnd.openxmlformats-officedocument.wordprocessingml.footer+xml"/>
  <Override PartName="/word/header59.xml" ContentType="application/vnd.openxmlformats-officedocument.wordprocessingml.header+xml"/>
  <Override PartName="/word/footer43.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63.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BE96" w14:textId="5C8CEADB" w:rsidR="00601340" w:rsidRPr="0009445C" w:rsidRDefault="00601340" w:rsidP="00601340">
      <w:pPr>
        <w:pStyle w:val="Titelseite-berschrift1"/>
      </w:pPr>
      <w:bookmarkStart w:id="0" w:name="_Ref24531784"/>
      <w:r w:rsidRPr="0009445C">
        <w:t>Draft</w:t>
      </w:r>
    </w:p>
    <w:p w14:paraId="5E35297A" w14:textId="77777777" w:rsidR="00601340" w:rsidRPr="0009445C" w:rsidRDefault="00601340" w:rsidP="00601340">
      <w:pPr>
        <w:pStyle w:val="Titelseite-berschrift1"/>
      </w:pPr>
    </w:p>
    <w:p w14:paraId="6DF31ACA" w14:textId="77777777" w:rsidR="00ED4259" w:rsidRPr="0009445C" w:rsidRDefault="00601340" w:rsidP="00601340">
      <w:pPr>
        <w:pStyle w:val="Titelseite-berschrift1"/>
      </w:pPr>
      <w:r w:rsidRPr="0009445C">
        <w:t xml:space="preserve">Changes to the administrative provision model for </w:t>
      </w:r>
    </w:p>
    <w:p w14:paraId="4F820CD6" w14:textId="251AB63E" w:rsidR="00ED4259" w:rsidRPr="0009445C" w:rsidRDefault="00601340" w:rsidP="00601340">
      <w:pPr>
        <w:pStyle w:val="Titelseite-berschrift1"/>
        <w:rPr>
          <w:lang w:val="de-DE"/>
        </w:rPr>
      </w:pPr>
      <w:r w:rsidRPr="0009445C">
        <w:rPr>
          <w:lang w:val="de-DE"/>
        </w:rPr>
        <w:t>Technical Building Regulations (Muster-Verwaltungsvorschrift Technische Baubestimmungen [MVV TB])</w:t>
      </w:r>
    </w:p>
    <w:p w14:paraId="388514DF" w14:textId="73AFBE6A" w:rsidR="00601340" w:rsidRPr="0009445C" w:rsidRDefault="00601340" w:rsidP="00601340">
      <w:pPr>
        <w:pStyle w:val="Titelseite-berschrift1"/>
      </w:pPr>
      <w:r w:rsidRPr="0009445C">
        <w:t>- Issue 2023/1 (known as MVV TB 2022/1)</w:t>
      </w:r>
      <w:r w:rsidR="00E47197" w:rsidRPr="0009445C">
        <w:rPr>
          <w:rStyle w:val="FootnoteReference"/>
        </w:rPr>
        <w:footnoteReference w:id="1"/>
      </w:r>
    </w:p>
    <w:p w14:paraId="647E89E6" w14:textId="77777777" w:rsidR="00601340" w:rsidRPr="0009445C" w:rsidRDefault="00601340" w:rsidP="00601340">
      <w:pPr>
        <w:pStyle w:val="BRL-Standard"/>
        <w:rPr>
          <w:lang w:val="en-US"/>
        </w:rPr>
      </w:pPr>
    </w:p>
    <w:p w14:paraId="657D230E" w14:textId="77777777" w:rsidR="00601340" w:rsidRPr="0009445C" w:rsidRDefault="00601340" w:rsidP="00601340">
      <w:pPr>
        <w:pStyle w:val="BRL-Standard"/>
      </w:pPr>
    </w:p>
    <w:p w14:paraId="0CB6BC83" w14:textId="77777777" w:rsidR="00601340" w:rsidRPr="0009445C" w:rsidRDefault="00601340" w:rsidP="00601340">
      <w:pPr>
        <w:pStyle w:val="BRL-Standard"/>
      </w:pPr>
    </w:p>
    <w:p w14:paraId="596A9AB2" w14:textId="77777777" w:rsidR="00601340" w:rsidRPr="0009445C" w:rsidRDefault="00601340" w:rsidP="00601340">
      <w:pPr>
        <w:pStyle w:val="BRL-Standard"/>
      </w:pPr>
    </w:p>
    <w:p w14:paraId="57C407B2" w14:textId="77777777" w:rsidR="00601340" w:rsidRPr="0009445C" w:rsidRDefault="00601340" w:rsidP="00601340">
      <w:pPr>
        <w:pStyle w:val="BRL-Standard"/>
      </w:pPr>
    </w:p>
    <w:p w14:paraId="16682237" w14:textId="77777777" w:rsidR="00601340" w:rsidRPr="0009445C" w:rsidRDefault="00601340" w:rsidP="00601340">
      <w:pPr>
        <w:pStyle w:val="BRL-Standard"/>
      </w:pPr>
    </w:p>
    <w:p w14:paraId="33F556B2" w14:textId="77777777" w:rsidR="00601340" w:rsidRPr="0009445C" w:rsidRDefault="00601340" w:rsidP="00601340">
      <w:pPr>
        <w:pStyle w:val="BRL-Standard"/>
      </w:pPr>
    </w:p>
    <w:p w14:paraId="660BC5C6" w14:textId="77777777" w:rsidR="00601340" w:rsidRPr="0009445C" w:rsidRDefault="00601340" w:rsidP="00601340">
      <w:pPr>
        <w:pStyle w:val="BRL-Standard"/>
      </w:pPr>
    </w:p>
    <w:p w14:paraId="6CAF3856" w14:textId="77777777" w:rsidR="00601340" w:rsidRPr="0009445C" w:rsidRDefault="00601340" w:rsidP="00601340">
      <w:pPr>
        <w:pStyle w:val="BRL-Standard"/>
      </w:pPr>
    </w:p>
    <w:p w14:paraId="19111B4E" w14:textId="77777777" w:rsidR="00601340" w:rsidRPr="0009445C" w:rsidRDefault="00601340" w:rsidP="00601340">
      <w:pPr>
        <w:pStyle w:val="BRL-Standard"/>
      </w:pPr>
    </w:p>
    <w:p w14:paraId="40512DB8" w14:textId="77777777" w:rsidR="00601340" w:rsidRPr="0009445C" w:rsidRDefault="00601340" w:rsidP="00601340">
      <w:pPr>
        <w:pStyle w:val="BRL-Standard"/>
      </w:pPr>
      <w:r w:rsidRPr="0009445C">
        <w:t>Content:</w:t>
      </w:r>
    </w:p>
    <w:p w14:paraId="0553B008" w14:textId="77777777" w:rsidR="00601340" w:rsidRPr="0009445C" w:rsidRDefault="00601340" w:rsidP="00601340">
      <w:pPr>
        <w:pStyle w:val="BRL-Standard"/>
      </w:pPr>
      <w:r w:rsidRPr="0009445C">
        <w:t>Amendments to Sections A 1 to A 3 and A 6</w:t>
      </w:r>
    </w:p>
    <w:p w14:paraId="7694E19E" w14:textId="77777777" w:rsidR="00601340" w:rsidRPr="0009445C" w:rsidRDefault="00601340" w:rsidP="00601340">
      <w:pPr>
        <w:pStyle w:val="BRL-Standard"/>
      </w:pPr>
      <w:r w:rsidRPr="0009445C">
        <w:t>Amendments to the Annexes to Sections A 1 and A 6</w:t>
      </w:r>
    </w:p>
    <w:p w14:paraId="48A06BE0" w14:textId="77777777" w:rsidR="00601340" w:rsidRPr="0009445C" w:rsidRDefault="00601340" w:rsidP="00601340">
      <w:pPr>
        <w:pStyle w:val="BRL-Standard"/>
      </w:pPr>
      <w:r w:rsidRPr="0009445C">
        <w:t>Amendment to Section B 2</w:t>
      </w:r>
    </w:p>
    <w:p w14:paraId="4D57456B" w14:textId="77777777" w:rsidR="000E1E2F" w:rsidRPr="0009445C" w:rsidRDefault="000E1E2F" w:rsidP="00601340">
      <w:pPr>
        <w:pStyle w:val="BRL-Standard"/>
        <w:rPr>
          <w:highlight w:val="yellow"/>
        </w:rPr>
      </w:pPr>
      <w:r w:rsidRPr="0009445C">
        <w:t>Amendments to the Annexes to Section B 2</w:t>
      </w:r>
    </w:p>
    <w:p w14:paraId="280EF9EE" w14:textId="77777777" w:rsidR="00601340" w:rsidRPr="0009445C" w:rsidRDefault="00601340" w:rsidP="00601340">
      <w:pPr>
        <w:pStyle w:val="BRL-Standard"/>
      </w:pPr>
      <w:r w:rsidRPr="0009445C">
        <w:t>Amendments to Sections C 1 to C 3</w:t>
      </w:r>
    </w:p>
    <w:p w14:paraId="6196F40E" w14:textId="77777777" w:rsidR="00601340" w:rsidRPr="0009445C" w:rsidRDefault="00601340" w:rsidP="00601340">
      <w:pPr>
        <w:pStyle w:val="BRL-Standard"/>
      </w:pPr>
      <w:r w:rsidRPr="0009445C">
        <w:t>Amendments to the Appendices to Sections C 2 and C 3</w:t>
      </w:r>
    </w:p>
    <w:p w14:paraId="771D99B2" w14:textId="77777777" w:rsidR="00601340" w:rsidRPr="0009445C" w:rsidRDefault="00601340" w:rsidP="00601340">
      <w:pPr>
        <w:pStyle w:val="BRL-Standard"/>
      </w:pPr>
      <w:r w:rsidRPr="0009445C">
        <w:t>Amendments to Section D 2</w:t>
      </w:r>
    </w:p>
    <w:p w14:paraId="459E2EFC" w14:textId="5AB39299" w:rsidR="00601340" w:rsidRPr="0009445C" w:rsidRDefault="00601340" w:rsidP="00601340">
      <w:pPr>
        <w:pStyle w:val="BRL-Standard"/>
      </w:pPr>
      <w:r w:rsidRPr="0009445C">
        <w:t>Amendments to Annexes 2, 4, 6, 8, 10, 12, 13, 14 and 18</w:t>
      </w:r>
    </w:p>
    <w:p w14:paraId="3C1488C8" w14:textId="5324FD30" w:rsidR="00DF5034" w:rsidRPr="0009445C" w:rsidRDefault="00DF5034" w:rsidP="00601340">
      <w:pPr>
        <w:pStyle w:val="BRL-Standard"/>
      </w:pPr>
      <w:r w:rsidRPr="0009445C">
        <w:t>Change of source of supply certification</w:t>
      </w:r>
    </w:p>
    <w:p w14:paraId="607D53FC" w14:textId="77777777" w:rsidR="00601340" w:rsidRPr="0009445C" w:rsidRDefault="00601340" w:rsidP="00601340">
      <w:pPr>
        <w:rPr>
          <w:b/>
          <w:kern w:val="28"/>
          <w:szCs w:val="18"/>
        </w:rPr>
      </w:pPr>
    </w:p>
    <w:p w14:paraId="430BCD9A" w14:textId="77777777" w:rsidR="00601340" w:rsidRPr="0009445C" w:rsidRDefault="00601340" w:rsidP="00601340">
      <w:pPr>
        <w:rPr>
          <w:b/>
          <w:kern w:val="28"/>
          <w:szCs w:val="18"/>
        </w:rPr>
      </w:pPr>
    </w:p>
    <w:p w14:paraId="36DB6BBB" w14:textId="77777777" w:rsidR="00601340" w:rsidRPr="0009445C" w:rsidRDefault="00601340" w:rsidP="00601340">
      <w:pPr>
        <w:widowControl w:val="0"/>
        <w:spacing w:after="240" w:line="240" w:lineRule="auto"/>
        <w:ind w:left="709" w:hanging="709"/>
        <w:outlineLvl w:val="0"/>
        <w:rPr>
          <w:b/>
          <w:kern w:val="28"/>
          <w:szCs w:val="18"/>
        </w:rPr>
        <w:sectPr w:rsidR="00601340" w:rsidRPr="0009445C" w:rsidSect="00EA78D6">
          <w:footerReference w:type="default" r:id="rId8"/>
          <w:footnotePr>
            <w:numFmt w:val="chicago"/>
          </w:footnotePr>
          <w:pgSz w:w="11906" w:h="16838" w:code="9"/>
          <w:pgMar w:top="1134" w:right="1134" w:bottom="1134" w:left="1418" w:header="851" w:footer="425" w:gutter="0"/>
          <w:cols w:space="720"/>
          <w:titlePg/>
        </w:sectPr>
      </w:pPr>
    </w:p>
    <w:p w14:paraId="1AC0B629" w14:textId="77777777" w:rsidR="004E4F4E" w:rsidRPr="0009445C" w:rsidRDefault="004E4F4E" w:rsidP="004E4F4E">
      <w:pPr>
        <w:keepNext/>
        <w:spacing w:after="240" w:line="240" w:lineRule="auto"/>
        <w:ind w:left="709" w:hanging="709"/>
        <w:outlineLvl w:val="0"/>
        <w:rPr>
          <w:b/>
          <w:kern w:val="28"/>
          <w:szCs w:val="18"/>
        </w:rPr>
      </w:pPr>
      <w:r w:rsidRPr="0009445C">
        <w:rPr>
          <w:b/>
        </w:rPr>
        <w:lastRenderedPageBreak/>
        <w:t>A 1</w:t>
      </w:r>
      <w:r w:rsidRPr="0009445C">
        <w:rPr>
          <w:b/>
        </w:rPr>
        <w:tab/>
        <w:t>Mechanical strength and stability</w:t>
      </w:r>
      <w:bookmarkEnd w:id="0"/>
      <w:r w:rsidRPr="0009445C">
        <w:rPr>
          <w:b/>
        </w:rPr>
        <w:t xml:space="preserve"> </w:t>
      </w:r>
    </w:p>
    <w:p w14:paraId="6E18F279" w14:textId="77777777" w:rsidR="004E4F4E" w:rsidRPr="0009445C" w:rsidRDefault="004E4F4E" w:rsidP="004E4F4E">
      <w:pPr>
        <w:keepNext/>
        <w:spacing w:after="240" w:line="240" w:lineRule="auto"/>
        <w:ind w:left="709" w:hanging="709"/>
        <w:rPr>
          <w:b/>
          <w:bCs/>
          <w:szCs w:val="16"/>
        </w:rPr>
      </w:pPr>
      <w:r w:rsidRPr="0009445C">
        <w:rPr>
          <w:b/>
        </w:rPr>
        <w:t>A 1.1</w:t>
      </w:r>
      <w:r w:rsidRPr="0009445C">
        <w:rPr>
          <w:b/>
        </w:rPr>
        <w:tab/>
        <w:t>General information</w:t>
      </w:r>
    </w:p>
    <w:p w14:paraId="4E1AF2E8" w14:textId="77777777" w:rsidR="004E4F4E" w:rsidRPr="0009445C" w:rsidRDefault="004E4F4E" w:rsidP="004E4F4E">
      <w:pPr>
        <w:spacing w:line="276" w:lineRule="auto"/>
        <w:jc w:val="both"/>
        <w:rPr>
          <w:szCs w:val="18"/>
        </w:rPr>
      </w:pPr>
      <w:r w:rsidRPr="0009445C">
        <w:t>Under § 3 and § 12(1) of the MBO</w:t>
      </w:r>
      <w:r w:rsidRPr="0009445C">
        <w:rPr>
          <w:vertAlign w:val="superscript"/>
        </w:rPr>
        <w:t>1</w:t>
      </w:r>
      <w:r w:rsidRPr="0009445C">
        <w:t xml:space="preserve"> each building structure must be stable as a whole, in its individual parts and on its own. The stability of other structural works and the bearing capacity of the building site of neighbouring plots may not be jeopardised. Furthermore, any effects arising during erection and use must not cause damage to any parts of the structure or facilities and equipment due to excessive deformations of the load-bearing construction.</w:t>
      </w:r>
    </w:p>
    <w:p w14:paraId="7AE59E4C" w14:textId="77777777" w:rsidR="004E4F4E" w:rsidRPr="0009445C" w:rsidRDefault="004E4F4E" w:rsidP="004E4F4E">
      <w:pPr>
        <w:spacing w:line="276" w:lineRule="auto"/>
        <w:jc w:val="both"/>
        <w:rPr>
          <w:szCs w:val="18"/>
        </w:rPr>
      </w:pPr>
    </w:p>
    <w:p w14:paraId="55F6B8A7" w14:textId="77777777" w:rsidR="004E4F4E" w:rsidRPr="0009445C" w:rsidRDefault="004E4F4E" w:rsidP="004E4F4E">
      <w:pPr>
        <w:spacing w:line="276" w:lineRule="auto"/>
        <w:jc w:val="both"/>
        <w:rPr>
          <w:szCs w:val="18"/>
        </w:rPr>
      </w:pPr>
      <w:r w:rsidRPr="0009445C">
        <w:t xml:space="preserve">To meet these requirements for building works, the Technical Rules under Section A 1.2 must be observed. </w:t>
      </w:r>
    </w:p>
    <w:p w14:paraId="7516BFFF" w14:textId="77777777" w:rsidR="004E4F4E" w:rsidRPr="0009445C" w:rsidRDefault="004E4F4E" w:rsidP="004E4F4E">
      <w:pPr>
        <w:spacing w:line="240" w:lineRule="exact"/>
        <w:ind w:firstLine="1"/>
        <w:jc w:val="both"/>
        <w:rPr>
          <w:szCs w:val="18"/>
        </w:rPr>
      </w:pPr>
    </w:p>
    <w:p w14:paraId="04D097F8" w14:textId="77777777" w:rsidR="004E4F4E" w:rsidRPr="0009445C" w:rsidRDefault="004E4F4E" w:rsidP="004E4F4E">
      <w:pPr>
        <w:keepNext/>
        <w:spacing w:after="240" w:line="240" w:lineRule="auto"/>
        <w:ind w:left="709" w:hanging="709"/>
        <w:rPr>
          <w:b/>
          <w:bCs/>
          <w:szCs w:val="16"/>
        </w:rPr>
      </w:pPr>
      <w:r w:rsidRPr="0009445C">
        <w:rPr>
          <w:b/>
        </w:rPr>
        <w:t>A 1.2</w:t>
      </w:r>
      <w:r w:rsidRPr="0009445C">
        <w:rPr>
          <w:b/>
        </w:rPr>
        <w:tab/>
        <w:t>Technical requirements in respect of the planning, designing and execution of structural works and parts thereof pursuant to § 85a(2) MBO</w:t>
      </w:r>
      <w:r w:rsidRPr="0009445C">
        <w:rPr>
          <w:b/>
          <w:vertAlign w:val="superscript"/>
        </w:rPr>
        <w:t>1</w:t>
      </w:r>
    </w:p>
    <w:p w14:paraId="5162C229" w14:textId="77777777" w:rsidR="004E4F4E" w:rsidRPr="0009445C" w:rsidRDefault="004E4F4E" w:rsidP="004E4F4E">
      <w:pPr>
        <w:tabs>
          <w:tab w:val="left" w:pos="567"/>
        </w:tabs>
        <w:spacing w:line="276" w:lineRule="auto"/>
        <w:ind w:left="567" w:hanging="567"/>
        <w:jc w:val="both"/>
        <w:rPr>
          <w:bCs/>
          <w:szCs w:val="18"/>
        </w:rPr>
      </w:pPr>
    </w:p>
    <w:p w14:paraId="54BF7A28" w14:textId="77777777" w:rsidR="004E4F4E" w:rsidRPr="0009445C" w:rsidRDefault="004E4F4E" w:rsidP="004E4F4E">
      <w:pPr>
        <w:tabs>
          <w:tab w:val="left" w:pos="567"/>
        </w:tabs>
        <w:spacing w:line="276" w:lineRule="auto"/>
        <w:ind w:left="567" w:hanging="567"/>
        <w:jc w:val="both"/>
        <w:rPr>
          <w:bCs/>
          <w:szCs w:val="18"/>
        </w:rPr>
      </w:pPr>
    </w:p>
    <w:p w14:paraId="50BE3383" w14:textId="77777777" w:rsidR="004E4F4E" w:rsidRPr="0009445C" w:rsidRDefault="004E4F4E" w:rsidP="004E4F4E">
      <w:pPr>
        <w:spacing w:line="276" w:lineRule="auto"/>
        <w:jc w:val="both"/>
        <w:rPr>
          <w:szCs w:val="18"/>
        </w:rPr>
        <w:sectPr w:rsidR="004E4F4E" w:rsidRPr="0009445C" w:rsidSect="00EA78D6">
          <w:headerReference w:type="first" r:id="rId9"/>
          <w:footerReference w:type="first" r:id="rId10"/>
          <w:pgSz w:w="11906" w:h="16838" w:code="9"/>
          <w:pgMar w:top="1134" w:right="1134" w:bottom="1134" w:left="1418" w:header="851" w:footer="425" w:gutter="0"/>
          <w:cols w:space="720"/>
          <w:titlePg/>
        </w:sect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5E0" w:firstRow="1" w:lastRow="1" w:firstColumn="1" w:lastColumn="1" w:noHBand="0" w:noVBand="1"/>
      </w:tblPr>
      <w:tblGrid>
        <w:gridCol w:w="1133"/>
        <w:gridCol w:w="3402"/>
        <w:gridCol w:w="2835"/>
        <w:gridCol w:w="1700"/>
      </w:tblGrid>
      <w:tr w:rsidR="004E4F4E" w:rsidRPr="0009445C" w14:paraId="25DB6B20" w14:textId="77777777" w:rsidTr="00EA78D6">
        <w:trPr>
          <w:trHeight w:val="227"/>
        </w:trPr>
        <w:tc>
          <w:tcPr>
            <w:tcW w:w="9070" w:type="dxa"/>
            <w:gridSpan w:val="4"/>
            <w:shd w:val="clear" w:color="auto" w:fill="auto"/>
          </w:tcPr>
          <w:p w14:paraId="2BCB0068" w14:textId="77777777" w:rsidR="004E4F4E" w:rsidRPr="0009445C" w:rsidRDefault="004E4F4E" w:rsidP="004E4F4E">
            <w:pPr>
              <w:tabs>
                <w:tab w:val="left" w:pos="1134"/>
              </w:tabs>
              <w:spacing w:line="240" w:lineRule="auto"/>
              <w:ind w:left="1134" w:hanging="1134"/>
              <w:rPr>
                <w:b/>
                <w:szCs w:val="18"/>
              </w:rPr>
            </w:pPr>
            <w:r w:rsidRPr="0009445C">
              <w:rPr>
                <w:b/>
              </w:rPr>
              <w:lastRenderedPageBreak/>
              <w:t>A 1.2.2</w:t>
            </w:r>
            <w:r w:rsidRPr="0009445C">
              <w:rPr>
                <w:b/>
              </w:rPr>
              <w:tab/>
              <w:t>Structural works in earthworks and foundations</w:t>
            </w:r>
          </w:p>
        </w:tc>
      </w:tr>
      <w:tr w:rsidR="004E4F4E" w:rsidRPr="0009445C" w14:paraId="1AA7C247" w14:textId="77777777" w:rsidTr="00EA78D6">
        <w:trPr>
          <w:trHeight w:val="227"/>
        </w:trPr>
        <w:tc>
          <w:tcPr>
            <w:tcW w:w="9070" w:type="dxa"/>
            <w:gridSpan w:val="4"/>
            <w:shd w:val="clear" w:color="auto" w:fill="auto"/>
          </w:tcPr>
          <w:p w14:paraId="6DA98031" w14:textId="77777777" w:rsidR="004E4F4E" w:rsidRPr="0009445C" w:rsidRDefault="004E4F4E" w:rsidP="004E4F4E">
            <w:pPr>
              <w:tabs>
                <w:tab w:val="left" w:pos="1134"/>
              </w:tabs>
              <w:spacing w:line="240" w:lineRule="auto"/>
              <w:ind w:left="1134" w:hanging="1134"/>
              <w:rPr>
                <w:szCs w:val="18"/>
              </w:rPr>
            </w:pPr>
            <w:r w:rsidRPr="0009445C">
              <w:t>A 1.2.2.1</w:t>
            </w:r>
            <w:r w:rsidRPr="0009445C">
              <w:tab/>
              <w:t>Geotechnical planning, calculation and design</w:t>
            </w:r>
          </w:p>
        </w:tc>
      </w:tr>
      <w:tr w:rsidR="004E4F4E" w:rsidRPr="0009445C" w14:paraId="757C6124" w14:textId="77777777" w:rsidTr="00EA78D6">
        <w:trPr>
          <w:trHeight w:val="227"/>
        </w:trPr>
        <w:tc>
          <w:tcPr>
            <w:tcW w:w="1133" w:type="dxa"/>
            <w:vMerge w:val="restart"/>
            <w:shd w:val="clear" w:color="auto" w:fill="auto"/>
          </w:tcPr>
          <w:p w14:paraId="30D4D59E" w14:textId="77777777" w:rsidR="004E4F4E" w:rsidRPr="0009445C" w:rsidRDefault="004E4F4E" w:rsidP="004E4F4E">
            <w:pPr>
              <w:widowControl w:val="0"/>
              <w:spacing w:line="240" w:lineRule="auto"/>
              <w:rPr>
                <w:szCs w:val="22"/>
              </w:rPr>
            </w:pPr>
          </w:p>
          <w:p w14:paraId="7013CE3C" w14:textId="77777777" w:rsidR="004E4F4E" w:rsidRPr="0009445C" w:rsidRDefault="004E4F4E" w:rsidP="004E4F4E">
            <w:pPr>
              <w:widowControl w:val="0"/>
              <w:spacing w:line="240" w:lineRule="auto"/>
              <w:rPr>
                <w:szCs w:val="22"/>
              </w:rPr>
            </w:pPr>
          </w:p>
        </w:tc>
        <w:tc>
          <w:tcPr>
            <w:tcW w:w="3402" w:type="dxa"/>
            <w:shd w:val="clear" w:color="auto" w:fill="auto"/>
          </w:tcPr>
          <w:p w14:paraId="42DBCAB5" w14:textId="77777777" w:rsidR="004E4F4E" w:rsidRPr="0009445C" w:rsidRDefault="004E4F4E" w:rsidP="004E4F4E">
            <w:pPr>
              <w:widowControl w:val="0"/>
              <w:spacing w:line="240" w:lineRule="auto"/>
              <w:rPr>
                <w:szCs w:val="22"/>
              </w:rPr>
            </w:pPr>
            <w:r w:rsidRPr="0009445C">
              <w:t>General rules</w:t>
            </w:r>
          </w:p>
        </w:tc>
        <w:tc>
          <w:tcPr>
            <w:tcW w:w="2835" w:type="dxa"/>
            <w:shd w:val="clear" w:color="auto" w:fill="auto"/>
          </w:tcPr>
          <w:p w14:paraId="04FC65C9" w14:textId="77777777" w:rsidR="004E4F4E" w:rsidRPr="0009445C" w:rsidRDefault="004E4F4E" w:rsidP="004E4F4E">
            <w:pPr>
              <w:widowControl w:val="0"/>
              <w:spacing w:line="240" w:lineRule="auto"/>
              <w:rPr>
                <w:szCs w:val="22"/>
                <w:lang w:val="de-DE"/>
              </w:rPr>
            </w:pPr>
            <w:r w:rsidRPr="0009445C">
              <w:rPr>
                <w:lang w:val="de-DE"/>
              </w:rPr>
              <w:t>DIN EN 1997-1:2009-09</w:t>
            </w:r>
          </w:p>
          <w:p w14:paraId="61D9964D" w14:textId="77777777" w:rsidR="004E4F4E" w:rsidRPr="0009445C" w:rsidRDefault="004E4F4E" w:rsidP="004E4F4E">
            <w:pPr>
              <w:widowControl w:val="0"/>
              <w:spacing w:line="240" w:lineRule="auto"/>
              <w:rPr>
                <w:szCs w:val="22"/>
                <w:lang w:val="de-DE"/>
              </w:rPr>
            </w:pPr>
            <w:r w:rsidRPr="0009445C">
              <w:rPr>
                <w:lang w:val="de-DE"/>
              </w:rPr>
              <w:t>DIN EN 1997-1/NA:2010-12</w:t>
            </w:r>
          </w:p>
        </w:tc>
        <w:tc>
          <w:tcPr>
            <w:tcW w:w="1700" w:type="dxa"/>
            <w:shd w:val="clear" w:color="auto" w:fill="auto"/>
          </w:tcPr>
          <w:p w14:paraId="7367F058" w14:textId="77777777" w:rsidR="004E4F4E" w:rsidRPr="0009445C" w:rsidRDefault="004E4F4E" w:rsidP="004E4F4E">
            <w:pPr>
              <w:widowControl w:val="0"/>
              <w:spacing w:line="240" w:lineRule="auto"/>
              <w:rPr>
                <w:szCs w:val="22"/>
              </w:rPr>
            </w:pPr>
            <w:r w:rsidRPr="0009445C">
              <w:t>Annex A 1.2.2/1</w:t>
            </w:r>
          </w:p>
        </w:tc>
      </w:tr>
      <w:tr w:rsidR="004E4F4E" w:rsidRPr="0009445C" w14:paraId="1903AFED" w14:textId="77777777" w:rsidTr="00EA78D6">
        <w:trPr>
          <w:trHeight w:val="227"/>
        </w:trPr>
        <w:tc>
          <w:tcPr>
            <w:tcW w:w="1133" w:type="dxa"/>
            <w:vMerge/>
            <w:shd w:val="clear" w:color="auto" w:fill="auto"/>
          </w:tcPr>
          <w:p w14:paraId="3FA7A7FA" w14:textId="77777777" w:rsidR="004E4F4E" w:rsidRPr="0009445C" w:rsidRDefault="004E4F4E" w:rsidP="004E4F4E">
            <w:pPr>
              <w:widowControl w:val="0"/>
              <w:spacing w:line="240" w:lineRule="auto"/>
              <w:rPr>
                <w:szCs w:val="22"/>
              </w:rPr>
            </w:pPr>
          </w:p>
        </w:tc>
        <w:tc>
          <w:tcPr>
            <w:tcW w:w="3402" w:type="dxa"/>
            <w:shd w:val="clear" w:color="auto" w:fill="auto"/>
          </w:tcPr>
          <w:p w14:paraId="1DE3EC14" w14:textId="77777777" w:rsidR="004E4F4E" w:rsidRPr="0009445C" w:rsidRDefault="004E4F4E" w:rsidP="004E4F4E">
            <w:pPr>
              <w:widowControl w:val="0"/>
              <w:spacing w:line="240" w:lineRule="auto"/>
              <w:rPr>
                <w:szCs w:val="22"/>
              </w:rPr>
            </w:pPr>
            <w:r w:rsidRPr="0009445C">
              <w:t>Subsoil - Verification of the safety of earthworks and foundations</w:t>
            </w:r>
          </w:p>
        </w:tc>
        <w:tc>
          <w:tcPr>
            <w:tcW w:w="2835" w:type="dxa"/>
            <w:shd w:val="clear" w:color="auto" w:fill="auto"/>
          </w:tcPr>
          <w:p w14:paraId="4BE46EF7" w14:textId="32C90638" w:rsidR="004E4F4E" w:rsidRPr="0009445C" w:rsidRDefault="004E4F4E" w:rsidP="004E4F4E">
            <w:pPr>
              <w:widowControl w:val="0"/>
              <w:spacing w:line="240" w:lineRule="auto"/>
              <w:rPr>
                <w:szCs w:val="22"/>
              </w:rPr>
            </w:pPr>
            <w:r w:rsidRPr="0009445C">
              <w:t>DIN 1054:2021-04</w:t>
            </w:r>
          </w:p>
          <w:p w14:paraId="328703BA" w14:textId="5B6B8272" w:rsidR="004E4F4E" w:rsidRPr="0009445C" w:rsidRDefault="004E4F4E" w:rsidP="004E4F4E">
            <w:pPr>
              <w:widowControl w:val="0"/>
              <w:spacing w:line="240" w:lineRule="auto"/>
              <w:rPr>
                <w:szCs w:val="22"/>
                <w:lang w:val="en-US"/>
              </w:rPr>
            </w:pPr>
          </w:p>
        </w:tc>
        <w:tc>
          <w:tcPr>
            <w:tcW w:w="1700" w:type="dxa"/>
            <w:shd w:val="clear" w:color="auto" w:fill="auto"/>
          </w:tcPr>
          <w:p w14:paraId="00A6C5EC" w14:textId="77777777" w:rsidR="004E4F4E" w:rsidRPr="0009445C" w:rsidRDefault="004E4F4E" w:rsidP="004E4F4E">
            <w:pPr>
              <w:widowControl w:val="0"/>
              <w:spacing w:line="240" w:lineRule="auto"/>
              <w:rPr>
                <w:szCs w:val="22"/>
              </w:rPr>
            </w:pPr>
            <w:r w:rsidRPr="0009445C">
              <w:t>Annex A 1.2.2/1</w:t>
            </w:r>
          </w:p>
        </w:tc>
      </w:tr>
      <w:tr w:rsidR="004E4F4E" w:rsidRPr="0009445C" w14:paraId="12A816D4" w14:textId="77777777" w:rsidTr="00EA78D6">
        <w:trPr>
          <w:trHeight w:val="227"/>
        </w:trPr>
        <w:tc>
          <w:tcPr>
            <w:tcW w:w="1133" w:type="dxa"/>
            <w:shd w:val="clear" w:color="auto" w:fill="auto"/>
          </w:tcPr>
          <w:p w14:paraId="3D80CBA0" w14:textId="77777777" w:rsidR="004E4F4E" w:rsidRPr="0009445C" w:rsidRDefault="004E4F4E" w:rsidP="004E4F4E">
            <w:pPr>
              <w:widowControl w:val="0"/>
              <w:spacing w:line="240" w:lineRule="auto"/>
              <w:rPr>
                <w:szCs w:val="22"/>
              </w:rPr>
            </w:pPr>
            <w:r w:rsidRPr="0009445C">
              <w:t>A 1.2.2.5</w:t>
            </w:r>
          </w:p>
        </w:tc>
        <w:tc>
          <w:tcPr>
            <w:tcW w:w="3402" w:type="dxa"/>
            <w:shd w:val="clear" w:color="auto" w:fill="auto"/>
          </w:tcPr>
          <w:p w14:paraId="111084C5" w14:textId="77777777" w:rsidR="004E4F4E" w:rsidRPr="0009445C" w:rsidRDefault="004E4F4E" w:rsidP="004E4F4E">
            <w:pPr>
              <w:widowControl w:val="0"/>
              <w:spacing w:line="240" w:lineRule="auto"/>
              <w:rPr>
                <w:szCs w:val="22"/>
              </w:rPr>
            </w:pPr>
            <w:r w:rsidRPr="0009445C">
              <w:t>Execution of ground anchors</w:t>
            </w:r>
          </w:p>
        </w:tc>
        <w:tc>
          <w:tcPr>
            <w:tcW w:w="2835" w:type="dxa"/>
            <w:shd w:val="clear" w:color="auto" w:fill="auto"/>
          </w:tcPr>
          <w:p w14:paraId="41C227DF" w14:textId="77777777" w:rsidR="004E4F4E" w:rsidRPr="0009445C" w:rsidRDefault="004E4F4E" w:rsidP="004E4F4E">
            <w:pPr>
              <w:widowControl w:val="0"/>
              <w:spacing w:line="240" w:lineRule="auto"/>
              <w:rPr>
                <w:szCs w:val="22"/>
              </w:rPr>
            </w:pPr>
            <w:r w:rsidRPr="0009445C">
              <w:t>DIN EN 1537:2014-07</w:t>
            </w:r>
          </w:p>
          <w:p w14:paraId="50807997" w14:textId="0B159150" w:rsidR="004E4F4E" w:rsidRPr="0009445C" w:rsidRDefault="004E4F4E" w:rsidP="004E4F4E">
            <w:pPr>
              <w:widowControl w:val="0"/>
              <w:spacing w:line="240" w:lineRule="auto"/>
              <w:rPr>
                <w:szCs w:val="22"/>
              </w:rPr>
            </w:pPr>
            <w:r w:rsidRPr="0009445C">
              <w:t>DIN/TS 18537:2021-05</w:t>
            </w:r>
          </w:p>
        </w:tc>
        <w:tc>
          <w:tcPr>
            <w:tcW w:w="1700" w:type="dxa"/>
            <w:shd w:val="clear" w:color="auto" w:fill="auto"/>
          </w:tcPr>
          <w:p w14:paraId="6BC57F0D" w14:textId="77777777" w:rsidR="004E4F4E" w:rsidRPr="0009445C" w:rsidRDefault="004E4F4E" w:rsidP="004E4F4E">
            <w:pPr>
              <w:widowControl w:val="0"/>
              <w:spacing w:line="240" w:lineRule="auto"/>
              <w:rPr>
                <w:szCs w:val="22"/>
              </w:rPr>
            </w:pPr>
            <w:r w:rsidRPr="0009445C">
              <w:t>Annex A 1.2.2/3</w:t>
            </w:r>
          </w:p>
        </w:tc>
      </w:tr>
      <w:tr w:rsidR="004E4F4E" w:rsidRPr="0009445C" w14:paraId="3C209384" w14:textId="77777777" w:rsidTr="00EA78D6">
        <w:trPr>
          <w:trHeight w:val="227"/>
        </w:trPr>
        <w:tc>
          <w:tcPr>
            <w:tcW w:w="9070" w:type="dxa"/>
            <w:gridSpan w:val="4"/>
            <w:shd w:val="clear" w:color="auto" w:fill="auto"/>
          </w:tcPr>
          <w:p w14:paraId="5580754B" w14:textId="77777777" w:rsidR="004E4F4E" w:rsidRPr="0009445C" w:rsidRDefault="004E4F4E" w:rsidP="004E4F4E">
            <w:pPr>
              <w:tabs>
                <w:tab w:val="left" w:pos="1134"/>
              </w:tabs>
              <w:spacing w:line="240" w:lineRule="auto"/>
              <w:ind w:left="1134" w:hanging="1134"/>
              <w:rPr>
                <w:b/>
                <w:szCs w:val="18"/>
              </w:rPr>
            </w:pPr>
            <w:r w:rsidRPr="0009445C">
              <w:rPr>
                <w:b/>
              </w:rPr>
              <w:t>A 1.2.3</w:t>
            </w:r>
            <w:r w:rsidRPr="0009445C">
              <w:rPr>
                <w:b/>
              </w:rPr>
              <w:tab/>
              <w:t>Structural works in concrete, reinforced concrete and prestressed concrete construction</w:t>
            </w:r>
          </w:p>
        </w:tc>
      </w:tr>
      <w:tr w:rsidR="004E4F4E" w:rsidRPr="0009445C" w14:paraId="3B56F8D1" w14:textId="77777777" w:rsidTr="00EA78D6">
        <w:trPr>
          <w:trHeight w:val="227"/>
        </w:trPr>
        <w:tc>
          <w:tcPr>
            <w:tcW w:w="9070" w:type="dxa"/>
            <w:gridSpan w:val="4"/>
            <w:shd w:val="clear" w:color="auto" w:fill="auto"/>
          </w:tcPr>
          <w:p w14:paraId="48C7FD8D" w14:textId="77777777" w:rsidR="004E4F4E" w:rsidRPr="0009445C" w:rsidRDefault="004E4F4E" w:rsidP="004E4F4E">
            <w:pPr>
              <w:tabs>
                <w:tab w:val="left" w:pos="1134"/>
              </w:tabs>
              <w:spacing w:line="240" w:lineRule="auto"/>
              <w:ind w:left="1134" w:hanging="1134"/>
              <w:rPr>
                <w:szCs w:val="18"/>
              </w:rPr>
            </w:pPr>
            <w:r w:rsidRPr="0009445C">
              <w:t>A 1.2.3.1</w:t>
            </w:r>
            <w:r w:rsidRPr="0009445C">
              <w:tab/>
              <w:t>Design and construction of reinforced concrete and prestressed concrete supporting structures</w:t>
            </w:r>
          </w:p>
        </w:tc>
      </w:tr>
      <w:tr w:rsidR="004E4F4E" w:rsidRPr="0009445C" w14:paraId="747C500B" w14:textId="77777777" w:rsidTr="00EA78D6">
        <w:trPr>
          <w:trHeight w:val="227"/>
        </w:trPr>
        <w:tc>
          <w:tcPr>
            <w:tcW w:w="1133" w:type="dxa"/>
            <w:vMerge w:val="restart"/>
            <w:shd w:val="clear" w:color="auto" w:fill="auto"/>
          </w:tcPr>
          <w:p w14:paraId="129447AA" w14:textId="77777777" w:rsidR="004E4F4E" w:rsidRPr="0009445C" w:rsidRDefault="004E4F4E" w:rsidP="004E4F4E">
            <w:pPr>
              <w:widowControl w:val="0"/>
              <w:spacing w:line="240" w:lineRule="auto"/>
              <w:rPr>
                <w:szCs w:val="22"/>
              </w:rPr>
            </w:pPr>
          </w:p>
        </w:tc>
        <w:tc>
          <w:tcPr>
            <w:tcW w:w="3402" w:type="dxa"/>
            <w:shd w:val="clear" w:color="auto" w:fill="auto"/>
          </w:tcPr>
          <w:p w14:paraId="5D8E0126" w14:textId="77777777" w:rsidR="004E4F4E" w:rsidRPr="0009445C" w:rsidRDefault="004E4F4E" w:rsidP="004E4F4E">
            <w:pPr>
              <w:widowControl w:val="0"/>
              <w:spacing w:line="240" w:lineRule="auto"/>
              <w:rPr>
                <w:szCs w:val="22"/>
              </w:rPr>
            </w:pPr>
            <w:r w:rsidRPr="0009445C">
              <w:t>General rules - Rules for buildings, bridges and civil engineering structures</w:t>
            </w:r>
          </w:p>
        </w:tc>
        <w:tc>
          <w:tcPr>
            <w:tcW w:w="2835" w:type="dxa"/>
            <w:shd w:val="clear" w:color="auto" w:fill="auto"/>
          </w:tcPr>
          <w:p w14:paraId="2BCEF815" w14:textId="77777777" w:rsidR="004E4F4E" w:rsidRPr="0009445C" w:rsidRDefault="004E4F4E" w:rsidP="004E4F4E">
            <w:pPr>
              <w:widowControl w:val="0"/>
              <w:spacing w:line="240" w:lineRule="auto"/>
              <w:rPr>
                <w:szCs w:val="22"/>
                <w:lang w:val="de-DE"/>
              </w:rPr>
            </w:pPr>
            <w:r w:rsidRPr="0009445C">
              <w:rPr>
                <w:lang w:val="de-DE"/>
              </w:rPr>
              <w:t>DIN EN 1992-1-1:2011-01</w:t>
            </w:r>
          </w:p>
          <w:p w14:paraId="3E0FF8F9" w14:textId="77777777" w:rsidR="004E4F4E" w:rsidRPr="0009445C" w:rsidRDefault="004E4F4E" w:rsidP="004E4F4E">
            <w:pPr>
              <w:widowControl w:val="0"/>
              <w:spacing w:line="240" w:lineRule="auto"/>
              <w:rPr>
                <w:szCs w:val="22"/>
                <w:lang w:val="de-DE"/>
              </w:rPr>
            </w:pPr>
            <w:r w:rsidRPr="0009445C">
              <w:rPr>
                <w:lang w:val="de-DE"/>
              </w:rPr>
              <w:t>DIN EN 1992-1-1/A1:2015-03</w:t>
            </w:r>
          </w:p>
          <w:p w14:paraId="05CF3CE8" w14:textId="77777777" w:rsidR="004E4F4E" w:rsidRPr="0009445C" w:rsidRDefault="004E4F4E" w:rsidP="004E4F4E">
            <w:pPr>
              <w:widowControl w:val="0"/>
              <w:spacing w:line="240" w:lineRule="auto"/>
              <w:rPr>
                <w:szCs w:val="22"/>
                <w:lang w:val="de-DE"/>
              </w:rPr>
            </w:pPr>
            <w:r w:rsidRPr="0009445C">
              <w:rPr>
                <w:lang w:val="de-DE"/>
              </w:rPr>
              <w:t>DIN EN 1992-1-1/NA:2013-04</w:t>
            </w:r>
          </w:p>
          <w:p w14:paraId="7A603897" w14:textId="77777777" w:rsidR="004E4F4E" w:rsidRPr="0009445C" w:rsidRDefault="004E4F4E" w:rsidP="004E4F4E">
            <w:pPr>
              <w:widowControl w:val="0"/>
              <w:spacing w:line="240" w:lineRule="auto"/>
              <w:rPr>
                <w:szCs w:val="22"/>
                <w:lang w:val="de-DE"/>
              </w:rPr>
            </w:pPr>
            <w:r w:rsidRPr="0009445C">
              <w:rPr>
                <w:lang w:val="de-DE"/>
              </w:rPr>
              <w:t>DIN EN 1992-1-1/NA/A1:2015-12</w:t>
            </w:r>
          </w:p>
        </w:tc>
        <w:tc>
          <w:tcPr>
            <w:tcW w:w="1700" w:type="dxa"/>
            <w:shd w:val="clear" w:color="auto" w:fill="auto"/>
          </w:tcPr>
          <w:p w14:paraId="26325890" w14:textId="404B888C" w:rsidR="004E4F4E" w:rsidRPr="0009445C" w:rsidRDefault="004E4F4E" w:rsidP="00003A00">
            <w:pPr>
              <w:widowControl w:val="0"/>
              <w:spacing w:line="240" w:lineRule="auto"/>
              <w:rPr>
                <w:szCs w:val="22"/>
              </w:rPr>
            </w:pPr>
            <w:r w:rsidRPr="0009445C">
              <w:t>Annexes A 1.2.3/1 and A 1.2.3/2</w:t>
            </w:r>
          </w:p>
        </w:tc>
      </w:tr>
      <w:tr w:rsidR="004E4F4E" w:rsidRPr="0009445C" w14:paraId="0280B429" w14:textId="77777777" w:rsidTr="00EA78D6">
        <w:trPr>
          <w:trHeight w:val="227"/>
        </w:trPr>
        <w:tc>
          <w:tcPr>
            <w:tcW w:w="1133" w:type="dxa"/>
            <w:vMerge/>
            <w:shd w:val="clear" w:color="auto" w:fill="auto"/>
          </w:tcPr>
          <w:p w14:paraId="6017BDFD" w14:textId="77777777" w:rsidR="004E4F4E" w:rsidRPr="0009445C" w:rsidRDefault="004E4F4E" w:rsidP="004E4F4E">
            <w:pPr>
              <w:widowControl w:val="0"/>
              <w:spacing w:line="240" w:lineRule="auto"/>
              <w:rPr>
                <w:szCs w:val="22"/>
              </w:rPr>
            </w:pPr>
          </w:p>
        </w:tc>
        <w:tc>
          <w:tcPr>
            <w:tcW w:w="3402" w:type="dxa"/>
            <w:shd w:val="clear" w:color="auto" w:fill="auto"/>
          </w:tcPr>
          <w:p w14:paraId="09E086D4" w14:textId="77777777" w:rsidR="004E4F4E" w:rsidRPr="0009445C" w:rsidRDefault="004E4F4E" w:rsidP="004E4F4E">
            <w:pPr>
              <w:widowControl w:val="0"/>
              <w:spacing w:line="240" w:lineRule="auto"/>
              <w:rPr>
                <w:szCs w:val="22"/>
              </w:rPr>
            </w:pPr>
            <w:r w:rsidRPr="0009445C">
              <w:t>Concrete, reinforced and prestressed concrete structures</w:t>
            </w:r>
          </w:p>
        </w:tc>
        <w:tc>
          <w:tcPr>
            <w:tcW w:w="2835" w:type="dxa"/>
            <w:shd w:val="clear" w:color="auto" w:fill="auto"/>
          </w:tcPr>
          <w:p w14:paraId="05A1266C" w14:textId="77777777" w:rsidR="004E4F4E" w:rsidRPr="0009445C" w:rsidRDefault="004E4F4E" w:rsidP="004E4F4E">
            <w:pPr>
              <w:widowControl w:val="0"/>
              <w:spacing w:line="240" w:lineRule="auto"/>
              <w:rPr>
                <w:szCs w:val="22"/>
                <w:lang w:val="de-DE"/>
              </w:rPr>
            </w:pPr>
            <w:r w:rsidRPr="0009445C">
              <w:rPr>
                <w:lang w:val="de-DE"/>
              </w:rPr>
              <w:t>DIN 1045-2:2008-08</w:t>
            </w:r>
          </w:p>
          <w:p w14:paraId="124BA194" w14:textId="77777777" w:rsidR="004E4F4E" w:rsidRPr="0009445C" w:rsidRDefault="004E4F4E" w:rsidP="004E4F4E">
            <w:pPr>
              <w:widowControl w:val="0"/>
              <w:spacing w:line="240" w:lineRule="auto"/>
              <w:rPr>
                <w:szCs w:val="22"/>
                <w:lang w:val="de-DE"/>
              </w:rPr>
            </w:pPr>
            <w:r w:rsidRPr="0009445C">
              <w:rPr>
                <w:lang w:val="de-DE"/>
              </w:rPr>
              <w:t>DIN EN 206-1:2001-07</w:t>
            </w:r>
          </w:p>
          <w:p w14:paraId="7A8261E9" w14:textId="77777777" w:rsidR="004E4F4E" w:rsidRPr="0009445C" w:rsidRDefault="004E4F4E" w:rsidP="004E4F4E">
            <w:pPr>
              <w:widowControl w:val="0"/>
              <w:spacing w:line="240" w:lineRule="auto"/>
              <w:rPr>
                <w:szCs w:val="22"/>
                <w:lang w:val="de-DE"/>
              </w:rPr>
            </w:pPr>
            <w:r w:rsidRPr="0009445C">
              <w:rPr>
                <w:lang w:val="de-DE"/>
              </w:rPr>
              <w:t>DIN EN 206-1/A1:2004-10</w:t>
            </w:r>
          </w:p>
          <w:p w14:paraId="76F31BDB" w14:textId="77777777" w:rsidR="004E4F4E" w:rsidRPr="0009445C" w:rsidRDefault="004E4F4E" w:rsidP="004E4F4E">
            <w:pPr>
              <w:widowControl w:val="0"/>
              <w:spacing w:line="240" w:lineRule="auto"/>
              <w:rPr>
                <w:szCs w:val="22"/>
                <w:lang w:val="de-DE"/>
              </w:rPr>
            </w:pPr>
            <w:r w:rsidRPr="0009445C">
              <w:rPr>
                <w:lang w:val="de-DE"/>
              </w:rPr>
              <w:t>DIN EN 206-1/A2:2005-09</w:t>
            </w:r>
          </w:p>
          <w:p w14:paraId="67809645" w14:textId="77777777" w:rsidR="004E4F4E" w:rsidRPr="0009445C" w:rsidRDefault="004E4F4E" w:rsidP="004E4F4E">
            <w:pPr>
              <w:widowControl w:val="0"/>
              <w:spacing w:line="240" w:lineRule="auto"/>
              <w:rPr>
                <w:szCs w:val="22"/>
                <w:lang w:val="de-DE"/>
              </w:rPr>
            </w:pPr>
            <w:r w:rsidRPr="0009445C">
              <w:rPr>
                <w:lang w:val="de-DE"/>
              </w:rPr>
              <w:t>DIN EN 206-9:2010-09</w:t>
            </w:r>
          </w:p>
        </w:tc>
        <w:tc>
          <w:tcPr>
            <w:tcW w:w="1700" w:type="dxa"/>
            <w:shd w:val="clear" w:color="auto" w:fill="auto"/>
          </w:tcPr>
          <w:p w14:paraId="4B11BCB1" w14:textId="77777777" w:rsidR="004E4F4E" w:rsidRPr="0009445C" w:rsidRDefault="004E4F4E" w:rsidP="004E4F4E">
            <w:pPr>
              <w:widowControl w:val="0"/>
              <w:spacing w:line="240" w:lineRule="auto"/>
              <w:rPr>
                <w:szCs w:val="22"/>
              </w:rPr>
            </w:pPr>
            <w:r w:rsidRPr="0009445C">
              <w:t>Annex A 1.2.3/4</w:t>
            </w:r>
          </w:p>
        </w:tc>
      </w:tr>
      <w:tr w:rsidR="004E4F4E" w:rsidRPr="0009445C" w14:paraId="6C0CF569" w14:textId="77777777" w:rsidTr="00EA78D6">
        <w:trPr>
          <w:trHeight w:val="227"/>
        </w:trPr>
        <w:tc>
          <w:tcPr>
            <w:tcW w:w="1133" w:type="dxa"/>
            <w:vMerge/>
            <w:shd w:val="clear" w:color="auto" w:fill="auto"/>
          </w:tcPr>
          <w:p w14:paraId="1E8C44EA" w14:textId="77777777" w:rsidR="004E4F4E" w:rsidRPr="0009445C" w:rsidRDefault="004E4F4E" w:rsidP="004E4F4E">
            <w:pPr>
              <w:widowControl w:val="0"/>
              <w:spacing w:line="240" w:lineRule="auto"/>
              <w:rPr>
                <w:szCs w:val="22"/>
              </w:rPr>
            </w:pPr>
          </w:p>
        </w:tc>
        <w:tc>
          <w:tcPr>
            <w:tcW w:w="3402" w:type="dxa"/>
            <w:shd w:val="clear" w:color="auto" w:fill="auto"/>
          </w:tcPr>
          <w:p w14:paraId="063C8B72" w14:textId="77777777" w:rsidR="004E4F4E" w:rsidRPr="0009445C" w:rsidRDefault="004E4F4E" w:rsidP="004E4F4E">
            <w:pPr>
              <w:widowControl w:val="0"/>
              <w:spacing w:line="240" w:lineRule="auto"/>
              <w:rPr>
                <w:szCs w:val="22"/>
              </w:rPr>
            </w:pPr>
            <w:r w:rsidRPr="0009445C">
              <w:t>Execution of concrete structures</w:t>
            </w:r>
          </w:p>
        </w:tc>
        <w:tc>
          <w:tcPr>
            <w:tcW w:w="2835" w:type="dxa"/>
            <w:shd w:val="clear" w:color="auto" w:fill="auto"/>
          </w:tcPr>
          <w:p w14:paraId="5BBE5500" w14:textId="77777777" w:rsidR="004E4F4E" w:rsidRPr="0009445C" w:rsidRDefault="004E4F4E" w:rsidP="004E4F4E">
            <w:pPr>
              <w:widowControl w:val="0"/>
              <w:spacing w:line="240" w:lineRule="auto"/>
              <w:rPr>
                <w:szCs w:val="22"/>
                <w:lang w:val="de-DE"/>
              </w:rPr>
            </w:pPr>
            <w:r w:rsidRPr="0009445C">
              <w:rPr>
                <w:lang w:val="de-DE"/>
              </w:rPr>
              <w:t>DIN 1045-3:2012-03</w:t>
            </w:r>
          </w:p>
          <w:p w14:paraId="2FCFD0DF" w14:textId="77777777" w:rsidR="004E4F4E" w:rsidRPr="0009445C" w:rsidRDefault="004E4F4E" w:rsidP="004E4F4E">
            <w:pPr>
              <w:widowControl w:val="0"/>
              <w:spacing w:line="240" w:lineRule="auto"/>
              <w:rPr>
                <w:szCs w:val="22"/>
                <w:lang w:val="de-DE"/>
              </w:rPr>
            </w:pPr>
            <w:r w:rsidRPr="0009445C">
              <w:rPr>
                <w:lang w:val="de-DE"/>
              </w:rPr>
              <w:t>DIN 1045-3 Cor. 1:2013-07</w:t>
            </w:r>
          </w:p>
          <w:p w14:paraId="528CB5C1" w14:textId="77777777" w:rsidR="004E4F4E" w:rsidRPr="0009445C" w:rsidRDefault="004E4F4E" w:rsidP="004E4F4E">
            <w:pPr>
              <w:widowControl w:val="0"/>
              <w:spacing w:line="240" w:lineRule="auto"/>
              <w:rPr>
                <w:szCs w:val="22"/>
                <w:lang w:val="de-DE"/>
              </w:rPr>
            </w:pPr>
            <w:r w:rsidRPr="0009445C">
              <w:rPr>
                <w:lang w:val="de-DE"/>
              </w:rPr>
              <w:t>DIN EN 13670:2011-03</w:t>
            </w:r>
          </w:p>
        </w:tc>
        <w:tc>
          <w:tcPr>
            <w:tcW w:w="1700" w:type="dxa"/>
            <w:shd w:val="clear" w:color="auto" w:fill="auto"/>
          </w:tcPr>
          <w:p w14:paraId="7B259689" w14:textId="77777777" w:rsidR="004E4F4E" w:rsidRPr="0009445C" w:rsidRDefault="004E4F4E" w:rsidP="004E4F4E">
            <w:pPr>
              <w:widowControl w:val="0"/>
              <w:spacing w:line="240" w:lineRule="auto"/>
              <w:rPr>
                <w:szCs w:val="22"/>
              </w:rPr>
            </w:pPr>
            <w:r w:rsidRPr="0009445C">
              <w:t>Annex A 1.2.3/4</w:t>
            </w:r>
          </w:p>
        </w:tc>
      </w:tr>
      <w:tr w:rsidR="004E4F4E" w:rsidRPr="0009445C" w14:paraId="60830AB6" w14:textId="77777777" w:rsidTr="00EA78D6">
        <w:trPr>
          <w:trHeight w:val="227"/>
        </w:trPr>
        <w:tc>
          <w:tcPr>
            <w:tcW w:w="1133" w:type="dxa"/>
            <w:shd w:val="clear" w:color="auto" w:fill="auto"/>
          </w:tcPr>
          <w:p w14:paraId="482FAFDC" w14:textId="77777777" w:rsidR="004E4F4E" w:rsidRPr="0009445C" w:rsidRDefault="004E4F4E" w:rsidP="004E4F4E">
            <w:pPr>
              <w:keepNext/>
              <w:widowControl w:val="0"/>
              <w:spacing w:line="240" w:lineRule="auto"/>
              <w:rPr>
                <w:szCs w:val="22"/>
              </w:rPr>
            </w:pPr>
            <w:r w:rsidRPr="0009445C">
              <w:t>A 1.2.3.8</w:t>
            </w:r>
          </w:p>
        </w:tc>
        <w:tc>
          <w:tcPr>
            <w:tcW w:w="3402" w:type="dxa"/>
            <w:shd w:val="clear" w:color="auto" w:fill="auto"/>
          </w:tcPr>
          <w:p w14:paraId="687A685B" w14:textId="77777777" w:rsidR="004E4F4E" w:rsidRPr="0009445C" w:rsidRDefault="004E4F4E" w:rsidP="004E4F4E">
            <w:pPr>
              <w:keepNext/>
              <w:widowControl w:val="0"/>
              <w:spacing w:line="240" w:lineRule="auto"/>
              <w:rPr>
                <w:szCs w:val="22"/>
              </w:rPr>
            </w:pPr>
            <w:r w:rsidRPr="0009445C">
              <w:t>Anchors in concrete with embedded or subsequently fitted fasteners</w:t>
            </w:r>
          </w:p>
        </w:tc>
        <w:tc>
          <w:tcPr>
            <w:tcW w:w="2835" w:type="dxa"/>
            <w:shd w:val="clear" w:color="auto" w:fill="auto"/>
          </w:tcPr>
          <w:p w14:paraId="3B02584E" w14:textId="77777777" w:rsidR="004E4F4E" w:rsidRPr="0009445C" w:rsidRDefault="004E4F4E" w:rsidP="004E4F4E">
            <w:pPr>
              <w:keepNext/>
              <w:widowControl w:val="0"/>
              <w:spacing w:line="240" w:lineRule="auto"/>
              <w:rPr>
                <w:szCs w:val="22"/>
                <w:lang w:val="de-DE"/>
              </w:rPr>
            </w:pPr>
            <w:r w:rsidRPr="0009445C">
              <w:rPr>
                <w:lang w:val="de-DE"/>
              </w:rPr>
              <w:t>DIN EN 1992-4:2019-04</w:t>
            </w:r>
          </w:p>
          <w:p w14:paraId="64027BBB" w14:textId="77777777" w:rsidR="004E4F4E" w:rsidRPr="0009445C" w:rsidRDefault="004E4F4E" w:rsidP="004E4F4E">
            <w:pPr>
              <w:keepNext/>
              <w:widowControl w:val="0"/>
              <w:spacing w:line="240" w:lineRule="auto"/>
              <w:rPr>
                <w:szCs w:val="22"/>
                <w:lang w:val="de-DE"/>
              </w:rPr>
            </w:pPr>
            <w:r w:rsidRPr="0009445C">
              <w:rPr>
                <w:lang w:val="de-DE"/>
              </w:rPr>
              <w:t>DIN EN 1992-4/NA:2019-04</w:t>
            </w:r>
          </w:p>
          <w:p w14:paraId="4E519524" w14:textId="77777777" w:rsidR="004E4F4E" w:rsidRPr="0009445C" w:rsidRDefault="004E4F4E" w:rsidP="004E4F4E">
            <w:pPr>
              <w:keepNext/>
              <w:widowControl w:val="0"/>
              <w:spacing w:line="240" w:lineRule="auto"/>
              <w:rPr>
                <w:szCs w:val="22"/>
              </w:rPr>
            </w:pPr>
            <w:r w:rsidRPr="0009445C">
              <w:t>and</w:t>
            </w:r>
          </w:p>
          <w:p w14:paraId="2AD3689C" w14:textId="55747165" w:rsidR="004E4F4E" w:rsidRPr="0009445C" w:rsidRDefault="004E4F4E" w:rsidP="004E4F4E">
            <w:pPr>
              <w:keepNext/>
              <w:widowControl w:val="0"/>
              <w:spacing w:line="240" w:lineRule="auto"/>
              <w:rPr>
                <w:szCs w:val="22"/>
              </w:rPr>
            </w:pPr>
            <w:r w:rsidRPr="0009445C">
              <w:t>planning, designing and executing requirements anchors in concrete with cemented or subsequently fitted fasteners:2021-10</w:t>
            </w:r>
          </w:p>
          <w:p w14:paraId="0B60FD0B" w14:textId="77777777" w:rsidR="004E4F4E" w:rsidRPr="0009445C" w:rsidRDefault="004E4F4E" w:rsidP="004E4F4E">
            <w:pPr>
              <w:keepNext/>
              <w:widowControl w:val="0"/>
              <w:spacing w:line="240" w:lineRule="auto"/>
              <w:rPr>
                <w:szCs w:val="22"/>
              </w:rPr>
            </w:pPr>
            <w:r w:rsidRPr="0009445C">
              <w:t>(See Annex 2)</w:t>
            </w:r>
          </w:p>
        </w:tc>
        <w:tc>
          <w:tcPr>
            <w:tcW w:w="1700" w:type="dxa"/>
            <w:shd w:val="clear" w:color="auto" w:fill="auto"/>
          </w:tcPr>
          <w:p w14:paraId="22D856B4" w14:textId="77777777" w:rsidR="004E4F4E" w:rsidRPr="0009445C" w:rsidRDefault="004E4F4E" w:rsidP="004E4F4E">
            <w:pPr>
              <w:keepNext/>
              <w:widowControl w:val="0"/>
              <w:spacing w:line="240" w:lineRule="auto"/>
              <w:rPr>
                <w:szCs w:val="22"/>
              </w:rPr>
            </w:pPr>
          </w:p>
        </w:tc>
      </w:tr>
      <w:tr w:rsidR="004E4F4E" w:rsidRPr="0009445C" w14:paraId="688CA6B5" w14:textId="77777777" w:rsidTr="00EA78D6">
        <w:trPr>
          <w:trHeight w:val="227"/>
        </w:trPr>
        <w:tc>
          <w:tcPr>
            <w:tcW w:w="9070" w:type="dxa"/>
            <w:gridSpan w:val="4"/>
            <w:shd w:val="clear" w:color="auto" w:fill="auto"/>
          </w:tcPr>
          <w:p w14:paraId="1E3EC15C" w14:textId="77777777" w:rsidR="004E4F4E" w:rsidRPr="0009445C" w:rsidRDefault="004E4F4E" w:rsidP="004E4F4E">
            <w:pPr>
              <w:tabs>
                <w:tab w:val="left" w:pos="1134"/>
              </w:tabs>
              <w:spacing w:line="240" w:lineRule="auto"/>
              <w:ind w:left="1134" w:hanging="1134"/>
              <w:rPr>
                <w:b/>
                <w:szCs w:val="18"/>
              </w:rPr>
            </w:pPr>
            <w:r w:rsidRPr="0009445C">
              <w:rPr>
                <w:b/>
              </w:rPr>
              <w:t>A 1.2.4</w:t>
            </w:r>
            <w:r w:rsidRPr="0009445C">
              <w:rPr>
                <w:b/>
              </w:rPr>
              <w:tab/>
              <w:t>Structural works in metal and composite construction</w:t>
            </w:r>
          </w:p>
        </w:tc>
      </w:tr>
      <w:tr w:rsidR="004E4F4E" w:rsidRPr="0009445C" w14:paraId="337AEBC4" w14:textId="77777777" w:rsidTr="00EA78D6">
        <w:trPr>
          <w:trHeight w:val="227"/>
        </w:trPr>
        <w:tc>
          <w:tcPr>
            <w:tcW w:w="9070" w:type="dxa"/>
            <w:gridSpan w:val="4"/>
            <w:shd w:val="clear" w:color="auto" w:fill="auto"/>
          </w:tcPr>
          <w:p w14:paraId="76E4681C" w14:textId="77777777" w:rsidR="004E4F4E" w:rsidRPr="0009445C" w:rsidRDefault="004E4F4E" w:rsidP="004E4F4E">
            <w:pPr>
              <w:tabs>
                <w:tab w:val="left" w:pos="1134"/>
              </w:tabs>
              <w:spacing w:line="240" w:lineRule="auto"/>
              <w:ind w:left="1134" w:hanging="1134"/>
              <w:rPr>
                <w:szCs w:val="18"/>
              </w:rPr>
            </w:pPr>
            <w:r w:rsidRPr="0009445C">
              <w:t>A 1.2.4.1</w:t>
            </w:r>
            <w:r w:rsidRPr="0009445C">
              <w:tab/>
              <w:t>Design of steel structures</w:t>
            </w:r>
          </w:p>
        </w:tc>
      </w:tr>
      <w:tr w:rsidR="004E4F4E" w:rsidRPr="0009445C" w14:paraId="71551D80" w14:textId="77777777" w:rsidTr="00EA78D6">
        <w:trPr>
          <w:trHeight w:val="227"/>
        </w:trPr>
        <w:tc>
          <w:tcPr>
            <w:tcW w:w="1133" w:type="dxa"/>
            <w:vMerge w:val="restart"/>
            <w:shd w:val="clear" w:color="auto" w:fill="auto"/>
          </w:tcPr>
          <w:p w14:paraId="0DB37FC5" w14:textId="77777777" w:rsidR="004E4F4E" w:rsidRPr="0009445C" w:rsidRDefault="004E4F4E" w:rsidP="004E4F4E">
            <w:pPr>
              <w:widowControl w:val="0"/>
              <w:spacing w:line="240" w:lineRule="auto"/>
              <w:rPr>
                <w:szCs w:val="22"/>
              </w:rPr>
            </w:pPr>
          </w:p>
        </w:tc>
        <w:tc>
          <w:tcPr>
            <w:tcW w:w="3402" w:type="dxa"/>
            <w:shd w:val="clear" w:color="auto" w:fill="auto"/>
          </w:tcPr>
          <w:p w14:paraId="3A395992" w14:textId="77777777" w:rsidR="004E4F4E" w:rsidRPr="0009445C" w:rsidRDefault="004E4F4E" w:rsidP="004E4F4E">
            <w:pPr>
              <w:widowControl w:val="0"/>
              <w:spacing w:line="240" w:lineRule="auto"/>
              <w:rPr>
                <w:szCs w:val="22"/>
              </w:rPr>
            </w:pPr>
            <w:r w:rsidRPr="0009445C">
              <w:t>Structural fire design</w:t>
            </w:r>
          </w:p>
        </w:tc>
        <w:tc>
          <w:tcPr>
            <w:tcW w:w="2835" w:type="dxa"/>
            <w:shd w:val="clear" w:color="auto" w:fill="auto"/>
          </w:tcPr>
          <w:p w14:paraId="452E07F0" w14:textId="77777777" w:rsidR="004E4F4E" w:rsidRPr="0009445C" w:rsidRDefault="004E4F4E" w:rsidP="004E4F4E">
            <w:pPr>
              <w:widowControl w:val="0"/>
              <w:spacing w:line="240" w:lineRule="auto"/>
              <w:rPr>
                <w:szCs w:val="22"/>
                <w:lang w:val="de-DE"/>
              </w:rPr>
            </w:pPr>
            <w:r w:rsidRPr="0009445C">
              <w:rPr>
                <w:lang w:val="de-DE"/>
              </w:rPr>
              <w:t>DIN EN 1993-1-2:2010-12</w:t>
            </w:r>
          </w:p>
          <w:p w14:paraId="11F34A1F" w14:textId="77777777" w:rsidR="004E4F4E" w:rsidRPr="0009445C" w:rsidRDefault="004E4F4E" w:rsidP="004E4F4E">
            <w:pPr>
              <w:widowControl w:val="0"/>
              <w:spacing w:line="240" w:lineRule="auto"/>
              <w:rPr>
                <w:szCs w:val="22"/>
                <w:lang w:val="de-DE"/>
              </w:rPr>
            </w:pPr>
            <w:r w:rsidRPr="0009445C">
              <w:rPr>
                <w:lang w:val="de-DE"/>
              </w:rPr>
              <w:t>DIN EN 1993-1-2/NA:2010-12</w:t>
            </w:r>
          </w:p>
        </w:tc>
        <w:tc>
          <w:tcPr>
            <w:tcW w:w="1700" w:type="dxa"/>
            <w:shd w:val="clear" w:color="auto" w:fill="auto"/>
          </w:tcPr>
          <w:p w14:paraId="3D6F4920" w14:textId="300BF187" w:rsidR="004E4F4E" w:rsidRPr="0009445C" w:rsidRDefault="004E4F4E" w:rsidP="004E4F4E">
            <w:pPr>
              <w:widowControl w:val="0"/>
              <w:spacing w:line="240" w:lineRule="auto"/>
              <w:rPr>
                <w:szCs w:val="22"/>
              </w:rPr>
            </w:pPr>
            <w:r w:rsidRPr="0009445C">
              <w:t>Annexes A 1.2.3/3 and A 1.2.4/9</w:t>
            </w:r>
          </w:p>
        </w:tc>
      </w:tr>
      <w:tr w:rsidR="004E4F4E" w:rsidRPr="0009445C" w14:paraId="359C336B" w14:textId="77777777" w:rsidTr="00EA78D6">
        <w:trPr>
          <w:trHeight w:val="227"/>
        </w:trPr>
        <w:tc>
          <w:tcPr>
            <w:tcW w:w="1133" w:type="dxa"/>
            <w:vMerge/>
            <w:shd w:val="clear" w:color="auto" w:fill="auto"/>
          </w:tcPr>
          <w:p w14:paraId="69599F46" w14:textId="77777777" w:rsidR="004E4F4E" w:rsidRPr="0009445C" w:rsidRDefault="004E4F4E" w:rsidP="004E4F4E">
            <w:pPr>
              <w:widowControl w:val="0"/>
              <w:spacing w:line="240" w:lineRule="auto"/>
              <w:rPr>
                <w:szCs w:val="22"/>
              </w:rPr>
            </w:pPr>
          </w:p>
        </w:tc>
        <w:tc>
          <w:tcPr>
            <w:tcW w:w="3402" w:type="dxa"/>
            <w:shd w:val="clear" w:color="auto" w:fill="auto"/>
          </w:tcPr>
          <w:p w14:paraId="2E40304D" w14:textId="77777777" w:rsidR="004E4F4E" w:rsidRPr="0009445C" w:rsidRDefault="004E4F4E" w:rsidP="004E4F4E">
            <w:pPr>
              <w:widowControl w:val="0"/>
              <w:spacing w:line="240" w:lineRule="auto"/>
              <w:rPr>
                <w:szCs w:val="22"/>
              </w:rPr>
            </w:pPr>
            <w:r w:rsidRPr="0009445C">
              <w:t>Supplementary rules for stainless steels</w:t>
            </w:r>
          </w:p>
        </w:tc>
        <w:tc>
          <w:tcPr>
            <w:tcW w:w="2835" w:type="dxa"/>
            <w:shd w:val="clear" w:color="auto" w:fill="auto"/>
          </w:tcPr>
          <w:p w14:paraId="6F89B4B7" w14:textId="77777777" w:rsidR="004E4F4E" w:rsidRPr="0009445C" w:rsidRDefault="004E4F4E" w:rsidP="004E4F4E">
            <w:pPr>
              <w:widowControl w:val="0"/>
              <w:spacing w:line="240" w:lineRule="auto"/>
              <w:rPr>
                <w:szCs w:val="22"/>
                <w:lang w:val="de-DE"/>
              </w:rPr>
            </w:pPr>
            <w:r w:rsidRPr="0009445C">
              <w:rPr>
                <w:lang w:val="de-DE"/>
              </w:rPr>
              <w:t>DIN EN 1993-1-4:2015-10</w:t>
            </w:r>
          </w:p>
          <w:p w14:paraId="10E6B9E8" w14:textId="77777777" w:rsidR="00566476" w:rsidRPr="0009445C" w:rsidRDefault="00566476" w:rsidP="004E4F4E">
            <w:pPr>
              <w:widowControl w:val="0"/>
              <w:spacing w:line="240" w:lineRule="auto"/>
              <w:rPr>
                <w:szCs w:val="22"/>
                <w:lang w:val="de-DE"/>
              </w:rPr>
            </w:pPr>
            <w:r w:rsidRPr="0009445C">
              <w:rPr>
                <w:lang w:val="de-DE"/>
              </w:rPr>
              <w:t>DIN EN 1993-1-4/A2:2021-02</w:t>
            </w:r>
          </w:p>
          <w:p w14:paraId="7E76C2A2" w14:textId="6F2F0688" w:rsidR="004E4F4E" w:rsidRPr="0009445C" w:rsidRDefault="004E4F4E" w:rsidP="004E4F4E">
            <w:pPr>
              <w:widowControl w:val="0"/>
              <w:spacing w:line="240" w:lineRule="auto"/>
              <w:rPr>
                <w:szCs w:val="22"/>
              </w:rPr>
            </w:pPr>
            <w:r w:rsidRPr="0009445C">
              <w:t>DIN EN 1993-1-4/NA:2020-11</w:t>
            </w:r>
          </w:p>
        </w:tc>
        <w:tc>
          <w:tcPr>
            <w:tcW w:w="1700" w:type="dxa"/>
            <w:shd w:val="clear" w:color="auto" w:fill="auto"/>
          </w:tcPr>
          <w:p w14:paraId="2D15BA63" w14:textId="77777777" w:rsidR="004E4F4E" w:rsidRPr="0009445C" w:rsidRDefault="004E4F4E" w:rsidP="004E4F4E">
            <w:pPr>
              <w:widowControl w:val="0"/>
              <w:spacing w:line="240" w:lineRule="auto"/>
              <w:rPr>
                <w:szCs w:val="22"/>
              </w:rPr>
            </w:pPr>
          </w:p>
        </w:tc>
      </w:tr>
      <w:tr w:rsidR="004E4F4E" w:rsidRPr="0009445C" w14:paraId="114E7426" w14:textId="77777777" w:rsidTr="00EA78D6">
        <w:trPr>
          <w:trHeight w:val="227"/>
        </w:trPr>
        <w:tc>
          <w:tcPr>
            <w:tcW w:w="1133" w:type="dxa"/>
            <w:vMerge/>
            <w:shd w:val="clear" w:color="auto" w:fill="auto"/>
          </w:tcPr>
          <w:p w14:paraId="446D6657" w14:textId="77777777" w:rsidR="004E4F4E" w:rsidRPr="0009445C" w:rsidRDefault="004E4F4E" w:rsidP="004E4F4E">
            <w:pPr>
              <w:widowControl w:val="0"/>
              <w:spacing w:line="240" w:lineRule="auto"/>
              <w:rPr>
                <w:szCs w:val="22"/>
              </w:rPr>
            </w:pPr>
          </w:p>
        </w:tc>
        <w:tc>
          <w:tcPr>
            <w:tcW w:w="3402" w:type="dxa"/>
            <w:shd w:val="clear" w:color="auto" w:fill="auto"/>
          </w:tcPr>
          <w:p w14:paraId="33FBE29C" w14:textId="77777777" w:rsidR="004E4F4E" w:rsidRPr="0009445C" w:rsidRDefault="004E4F4E" w:rsidP="004E4F4E">
            <w:pPr>
              <w:widowControl w:val="0"/>
              <w:spacing w:line="240" w:lineRule="auto"/>
              <w:rPr>
                <w:szCs w:val="22"/>
              </w:rPr>
            </w:pPr>
            <w:r w:rsidRPr="0009445C">
              <w:t>Plated structural elements</w:t>
            </w:r>
          </w:p>
        </w:tc>
        <w:tc>
          <w:tcPr>
            <w:tcW w:w="2835" w:type="dxa"/>
            <w:shd w:val="clear" w:color="auto" w:fill="auto"/>
          </w:tcPr>
          <w:p w14:paraId="61314DB1" w14:textId="7A1A7D3F" w:rsidR="004E4F4E" w:rsidRPr="0009445C" w:rsidRDefault="004E4F4E" w:rsidP="004E4F4E">
            <w:pPr>
              <w:widowControl w:val="0"/>
              <w:spacing w:line="240" w:lineRule="auto"/>
              <w:rPr>
                <w:szCs w:val="22"/>
                <w:lang w:val="de-DE"/>
              </w:rPr>
            </w:pPr>
            <w:r w:rsidRPr="0009445C">
              <w:rPr>
                <w:lang w:val="de-DE"/>
              </w:rPr>
              <w:t>DIN EN 1993-1-5:2019-10</w:t>
            </w:r>
          </w:p>
          <w:p w14:paraId="3B7E6308" w14:textId="77777777" w:rsidR="00566476" w:rsidRPr="0009445C" w:rsidRDefault="00566476" w:rsidP="004E4F4E">
            <w:pPr>
              <w:widowControl w:val="0"/>
              <w:spacing w:line="240" w:lineRule="auto"/>
              <w:rPr>
                <w:szCs w:val="22"/>
                <w:lang w:val="de-DE"/>
              </w:rPr>
            </w:pPr>
            <w:r w:rsidRPr="0009445C">
              <w:rPr>
                <w:lang w:val="de-DE"/>
              </w:rPr>
              <w:t>DIN EN 1993-1-5 Corrigendum 1:2020-07</w:t>
            </w:r>
          </w:p>
          <w:p w14:paraId="7AA9FAAD" w14:textId="77777777" w:rsidR="004E4F4E" w:rsidRPr="0009445C" w:rsidRDefault="004E4F4E" w:rsidP="004E4F4E">
            <w:pPr>
              <w:widowControl w:val="0"/>
              <w:spacing w:line="240" w:lineRule="auto"/>
              <w:rPr>
                <w:szCs w:val="22"/>
              </w:rPr>
            </w:pPr>
            <w:r w:rsidRPr="0009445C">
              <w:t>DIN EN 1993-1-5/NA:2018-11</w:t>
            </w:r>
          </w:p>
        </w:tc>
        <w:tc>
          <w:tcPr>
            <w:tcW w:w="1700" w:type="dxa"/>
            <w:shd w:val="clear" w:color="auto" w:fill="auto"/>
          </w:tcPr>
          <w:p w14:paraId="6602B7B4" w14:textId="67CC0AA8" w:rsidR="004E4F4E" w:rsidRPr="0009445C" w:rsidRDefault="00566476" w:rsidP="004E4F4E">
            <w:pPr>
              <w:widowControl w:val="0"/>
              <w:spacing w:line="240" w:lineRule="auto"/>
              <w:rPr>
                <w:szCs w:val="22"/>
              </w:rPr>
            </w:pPr>
            <w:r w:rsidRPr="0009445C">
              <w:t>Annex A 1.2.4/10</w:t>
            </w:r>
          </w:p>
        </w:tc>
      </w:tr>
      <w:tr w:rsidR="004E4F4E" w:rsidRPr="0009445C" w14:paraId="6BB36A29" w14:textId="77777777" w:rsidTr="00EA78D6">
        <w:trPr>
          <w:trHeight w:val="227"/>
        </w:trPr>
        <w:tc>
          <w:tcPr>
            <w:tcW w:w="1133" w:type="dxa"/>
            <w:vMerge/>
            <w:shd w:val="clear" w:color="auto" w:fill="auto"/>
          </w:tcPr>
          <w:p w14:paraId="09CA7DAC" w14:textId="77777777" w:rsidR="004E4F4E" w:rsidRPr="0009445C" w:rsidRDefault="004E4F4E" w:rsidP="004E4F4E">
            <w:pPr>
              <w:widowControl w:val="0"/>
              <w:spacing w:line="240" w:lineRule="auto"/>
              <w:rPr>
                <w:szCs w:val="22"/>
              </w:rPr>
            </w:pPr>
          </w:p>
        </w:tc>
        <w:tc>
          <w:tcPr>
            <w:tcW w:w="3402" w:type="dxa"/>
            <w:shd w:val="clear" w:color="auto" w:fill="auto"/>
          </w:tcPr>
          <w:p w14:paraId="3843D4E0" w14:textId="77777777" w:rsidR="004E4F4E" w:rsidRPr="0009445C" w:rsidRDefault="004E4F4E" w:rsidP="004E4F4E">
            <w:pPr>
              <w:widowControl w:val="0"/>
              <w:spacing w:line="240" w:lineRule="auto"/>
              <w:rPr>
                <w:szCs w:val="22"/>
              </w:rPr>
            </w:pPr>
            <w:r w:rsidRPr="0009445C">
              <w:t>Design of joints</w:t>
            </w:r>
          </w:p>
        </w:tc>
        <w:tc>
          <w:tcPr>
            <w:tcW w:w="2835" w:type="dxa"/>
            <w:shd w:val="clear" w:color="auto" w:fill="auto"/>
          </w:tcPr>
          <w:p w14:paraId="1D4A615B" w14:textId="77777777" w:rsidR="004E4F4E" w:rsidRPr="0009445C" w:rsidRDefault="004E4F4E" w:rsidP="004E4F4E">
            <w:pPr>
              <w:widowControl w:val="0"/>
              <w:spacing w:line="240" w:lineRule="auto"/>
              <w:rPr>
                <w:szCs w:val="22"/>
                <w:lang w:val="de-DE"/>
              </w:rPr>
            </w:pPr>
            <w:r w:rsidRPr="0009445C">
              <w:rPr>
                <w:lang w:val="de-DE"/>
              </w:rPr>
              <w:t>DIN EN 1993-1-8:2010-12</w:t>
            </w:r>
          </w:p>
          <w:p w14:paraId="49859A94" w14:textId="6543E52D" w:rsidR="004E4F4E" w:rsidRPr="0009445C" w:rsidRDefault="004E4F4E" w:rsidP="004E4F4E">
            <w:pPr>
              <w:widowControl w:val="0"/>
              <w:spacing w:line="240" w:lineRule="auto"/>
              <w:rPr>
                <w:szCs w:val="22"/>
                <w:lang w:val="de-DE"/>
              </w:rPr>
            </w:pPr>
            <w:r w:rsidRPr="0009445C">
              <w:rPr>
                <w:lang w:val="de-DE"/>
              </w:rPr>
              <w:t>DIN EN 1993-1-8/NA:2020-11</w:t>
            </w:r>
          </w:p>
        </w:tc>
        <w:tc>
          <w:tcPr>
            <w:tcW w:w="1700" w:type="dxa"/>
            <w:shd w:val="clear" w:color="auto" w:fill="auto"/>
          </w:tcPr>
          <w:p w14:paraId="2587F449" w14:textId="3860C330" w:rsidR="004E4F4E" w:rsidRPr="0009445C" w:rsidRDefault="00566476" w:rsidP="004E4F4E">
            <w:pPr>
              <w:widowControl w:val="0"/>
              <w:spacing w:line="240" w:lineRule="auto"/>
              <w:rPr>
                <w:szCs w:val="22"/>
              </w:rPr>
            </w:pPr>
            <w:r w:rsidRPr="0009445C">
              <w:t>Annex A 1.2.4/11</w:t>
            </w:r>
          </w:p>
        </w:tc>
      </w:tr>
      <w:tr w:rsidR="004E4F4E" w:rsidRPr="0009445C" w14:paraId="40873552" w14:textId="77777777" w:rsidTr="00EA78D6">
        <w:trPr>
          <w:trHeight w:val="227"/>
        </w:trPr>
        <w:tc>
          <w:tcPr>
            <w:tcW w:w="1133" w:type="dxa"/>
            <w:vMerge/>
            <w:shd w:val="clear" w:color="auto" w:fill="auto"/>
          </w:tcPr>
          <w:p w14:paraId="5CFC9856" w14:textId="77777777" w:rsidR="004E4F4E" w:rsidRPr="0009445C" w:rsidRDefault="004E4F4E" w:rsidP="004E4F4E">
            <w:pPr>
              <w:widowControl w:val="0"/>
              <w:spacing w:line="240" w:lineRule="auto"/>
              <w:rPr>
                <w:szCs w:val="22"/>
              </w:rPr>
            </w:pPr>
          </w:p>
        </w:tc>
        <w:tc>
          <w:tcPr>
            <w:tcW w:w="3402" w:type="dxa"/>
            <w:shd w:val="clear" w:color="auto" w:fill="auto"/>
          </w:tcPr>
          <w:p w14:paraId="616CF561" w14:textId="77777777" w:rsidR="004E4F4E" w:rsidRPr="0009445C" w:rsidRDefault="004E4F4E" w:rsidP="00236D5E">
            <w:pPr>
              <w:widowControl w:val="0"/>
              <w:spacing w:line="240" w:lineRule="auto"/>
              <w:rPr>
                <w:szCs w:val="22"/>
              </w:rPr>
            </w:pPr>
            <w:r w:rsidRPr="0009445C">
              <w:t>Crane supporting structures</w:t>
            </w:r>
          </w:p>
        </w:tc>
        <w:tc>
          <w:tcPr>
            <w:tcW w:w="2835" w:type="dxa"/>
            <w:shd w:val="clear" w:color="auto" w:fill="auto"/>
          </w:tcPr>
          <w:p w14:paraId="2C0E77C9" w14:textId="77777777" w:rsidR="004E4F4E" w:rsidRPr="0009445C" w:rsidRDefault="004E4F4E" w:rsidP="004E4F4E">
            <w:pPr>
              <w:widowControl w:val="0"/>
              <w:spacing w:line="240" w:lineRule="auto"/>
              <w:rPr>
                <w:szCs w:val="22"/>
                <w:lang w:val="de-DE"/>
              </w:rPr>
            </w:pPr>
            <w:r w:rsidRPr="0009445C">
              <w:rPr>
                <w:lang w:val="de-DE"/>
              </w:rPr>
              <w:t>DIN EN 1993-6:2010-12</w:t>
            </w:r>
          </w:p>
          <w:p w14:paraId="421622ED" w14:textId="78BBE2F5" w:rsidR="004E4F4E" w:rsidRPr="0009445C" w:rsidRDefault="004E4F4E" w:rsidP="004E4F4E">
            <w:pPr>
              <w:widowControl w:val="0"/>
              <w:spacing w:line="240" w:lineRule="auto"/>
              <w:rPr>
                <w:szCs w:val="22"/>
                <w:lang w:val="de-DE"/>
              </w:rPr>
            </w:pPr>
            <w:r w:rsidRPr="0009445C">
              <w:rPr>
                <w:lang w:val="de-DE"/>
              </w:rPr>
              <w:t>DIN EN 1993-6/NA:2017-11</w:t>
            </w:r>
          </w:p>
        </w:tc>
        <w:tc>
          <w:tcPr>
            <w:tcW w:w="1700" w:type="dxa"/>
            <w:shd w:val="clear" w:color="auto" w:fill="auto"/>
          </w:tcPr>
          <w:p w14:paraId="6646ADD2" w14:textId="77777777" w:rsidR="004E4F4E" w:rsidRPr="0009445C" w:rsidRDefault="004E4F4E" w:rsidP="004E4F4E">
            <w:pPr>
              <w:widowControl w:val="0"/>
              <w:spacing w:line="240" w:lineRule="auto"/>
              <w:rPr>
                <w:szCs w:val="22"/>
                <w:lang w:val="de-DE"/>
              </w:rPr>
            </w:pPr>
          </w:p>
        </w:tc>
      </w:tr>
      <w:tr w:rsidR="004E4F4E" w:rsidRPr="0009445C" w14:paraId="32D407EA" w14:textId="77777777" w:rsidTr="00EA78D6">
        <w:trPr>
          <w:trHeight w:val="227"/>
        </w:trPr>
        <w:tc>
          <w:tcPr>
            <w:tcW w:w="9070" w:type="dxa"/>
            <w:gridSpan w:val="4"/>
            <w:shd w:val="clear" w:color="auto" w:fill="auto"/>
          </w:tcPr>
          <w:p w14:paraId="1E155113" w14:textId="77777777" w:rsidR="004E4F4E" w:rsidRPr="0009445C" w:rsidRDefault="004E4F4E" w:rsidP="004E4F4E">
            <w:pPr>
              <w:tabs>
                <w:tab w:val="left" w:pos="1134"/>
              </w:tabs>
              <w:spacing w:line="240" w:lineRule="auto"/>
              <w:ind w:left="1134" w:hanging="1134"/>
              <w:rPr>
                <w:szCs w:val="18"/>
              </w:rPr>
            </w:pPr>
            <w:r w:rsidRPr="0009445C">
              <w:t>A 1.2.4.2</w:t>
            </w:r>
            <w:r w:rsidRPr="0009445C">
              <w:tab/>
              <w:t>Design of composite steel and concrete structures</w:t>
            </w:r>
          </w:p>
        </w:tc>
      </w:tr>
      <w:tr w:rsidR="004E4F4E" w:rsidRPr="0009445C" w14:paraId="0AA99C73" w14:textId="77777777" w:rsidTr="00EA78D6">
        <w:trPr>
          <w:trHeight w:val="227"/>
        </w:trPr>
        <w:tc>
          <w:tcPr>
            <w:tcW w:w="1133" w:type="dxa"/>
            <w:shd w:val="clear" w:color="auto" w:fill="auto"/>
          </w:tcPr>
          <w:p w14:paraId="0B4076D3" w14:textId="77777777" w:rsidR="004E4F4E" w:rsidRPr="0009445C" w:rsidRDefault="004E4F4E" w:rsidP="004E4F4E">
            <w:pPr>
              <w:widowControl w:val="0"/>
              <w:spacing w:line="240" w:lineRule="auto"/>
              <w:rPr>
                <w:szCs w:val="22"/>
              </w:rPr>
            </w:pPr>
          </w:p>
        </w:tc>
        <w:tc>
          <w:tcPr>
            <w:tcW w:w="3402" w:type="dxa"/>
            <w:shd w:val="clear" w:color="auto" w:fill="auto"/>
          </w:tcPr>
          <w:p w14:paraId="431B35D3" w14:textId="77777777" w:rsidR="004E4F4E" w:rsidRPr="0009445C" w:rsidRDefault="004E4F4E" w:rsidP="004E4F4E">
            <w:pPr>
              <w:widowControl w:val="0"/>
              <w:spacing w:line="240" w:lineRule="auto"/>
              <w:rPr>
                <w:szCs w:val="22"/>
              </w:rPr>
            </w:pPr>
            <w:r w:rsidRPr="0009445C">
              <w:t>Structural fire design</w:t>
            </w:r>
          </w:p>
        </w:tc>
        <w:tc>
          <w:tcPr>
            <w:tcW w:w="2835" w:type="dxa"/>
            <w:shd w:val="clear" w:color="auto" w:fill="auto"/>
          </w:tcPr>
          <w:p w14:paraId="05ECA9D6" w14:textId="77777777" w:rsidR="004E4F4E" w:rsidRPr="0009445C" w:rsidRDefault="004E4F4E" w:rsidP="004E4F4E">
            <w:pPr>
              <w:widowControl w:val="0"/>
              <w:spacing w:line="240" w:lineRule="auto"/>
              <w:rPr>
                <w:szCs w:val="22"/>
                <w:lang w:val="de-DE"/>
              </w:rPr>
            </w:pPr>
            <w:r w:rsidRPr="0009445C">
              <w:rPr>
                <w:lang w:val="de-DE"/>
              </w:rPr>
              <w:t>DIN EN 1994-1-2:2010-12</w:t>
            </w:r>
          </w:p>
          <w:p w14:paraId="633C2379" w14:textId="77777777" w:rsidR="004E4F4E" w:rsidRPr="0009445C" w:rsidRDefault="004E4F4E" w:rsidP="004E4F4E">
            <w:pPr>
              <w:widowControl w:val="0"/>
              <w:spacing w:line="240" w:lineRule="auto"/>
              <w:rPr>
                <w:szCs w:val="22"/>
                <w:lang w:val="de-DE"/>
              </w:rPr>
            </w:pPr>
            <w:r w:rsidRPr="0009445C">
              <w:rPr>
                <w:lang w:val="de-DE"/>
              </w:rPr>
              <w:t>DIN EN 1994-1-2/A1:2014-06</w:t>
            </w:r>
          </w:p>
          <w:p w14:paraId="1529C3A8" w14:textId="77777777" w:rsidR="004E4F4E" w:rsidRPr="0009445C" w:rsidRDefault="004E4F4E" w:rsidP="004E4F4E">
            <w:pPr>
              <w:widowControl w:val="0"/>
              <w:spacing w:line="240" w:lineRule="auto"/>
              <w:rPr>
                <w:szCs w:val="22"/>
              </w:rPr>
            </w:pPr>
            <w:r w:rsidRPr="0009445C">
              <w:t>DIN EN 1994-1-2/NA:2010-12</w:t>
            </w:r>
          </w:p>
        </w:tc>
        <w:tc>
          <w:tcPr>
            <w:tcW w:w="1700" w:type="dxa"/>
            <w:shd w:val="clear" w:color="auto" w:fill="auto"/>
          </w:tcPr>
          <w:p w14:paraId="7E43D0AE" w14:textId="1CE5E479" w:rsidR="004E4F4E" w:rsidRPr="0009445C" w:rsidRDefault="004E4F4E" w:rsidP="004E4F4E">
            <w:pPr>
              <w:widowControl w:val="0"/>
              <w:spacing w:line="240" w:lineRule="auto"/>
              <w:rPr>
                <w:szCs w:val="22"/>
              </w:rPr>
            </w:pPr>
            <w:r w:rsidRPr="0009445C">
              <w:t>Annexes A 1.2.3/3 and A 1.2.4/9</w:t>
            </w:r>
          </w:p>
        </w:tc>
      </w:tr>
      <w:tr w:rsidR="004E4F4E" w:rsidRPr="0009445C" w14:paraId="61326502" w14:textId="77777777" w:rsidTr="00EA78D6">
        <w:trPr>
          <w:trHeight w:val="227"/>
        </w:trPr>
        <w:tc>
          <w:tcPr>
            <w:tcW w:w="9070" w:type="dxa"/>
            <w:gridSpan w:val="4"/>
            <w:shd w:val="clear" w:color="auto" w:fill="auto"/>
          </w:tcPr>
          <w:p w14:paraId="27E3975C" w14:textId="77777777" w:rsidR="004E4F4E" w:rsidRPr="0009445C" w:rsidRDefault="004E4F4E" w:rsidP="004E4F4E">
            <w:pPr>
              <w:tabs>
                <w:tab w:val="left" w:pos="1134"/>
              </w:tabs>
              <w:spacing w:line="240" w:lineRule="auto"/>
              <w:ind w:left="1134" w:hanging="1134"/>
              <w:rPr>
                <w:szCs w:val="18"/>
              </w:rPr>
            </w:pPr>
            <w:r w:rsidRPr="0009445C">
              <w:t>A 1.2.4.3</w:t>
            </w:r>
            <w:r w:rsidRPr="0009445C">
              <w:tab/>
              <w:t>Design of aluminium structures</w:t>
            </w:r>
          </w:p>
        </w:tc>
      </w:tr>
      <w:tr w:rsidR="004E4F4E" w:rsidRPr="0009445C" w14:paraId="3CB8640C" w14:textId="77777777" w:rsidTr="00EA78D6">
        <w:trPr>
          <w:trHeight w:val="227"/>
        </w:trPr>
        <w:tc>
          <w:tcPr>
            <w:tcW w:w="1133" w:type="dxa"/>
            <w:shd w:val="clear" w:color="auto" w:fill="auto"/>
          </w:tcPr>
          <w:p w14:paraId="6559ED98" w14:textId="77777777" w:rsidR="004E4F4E" w:rsidRPr="0009445C" w:rsidRDefault="004E4F4E" w:rsidP="004E4F4E">
            <w:pPr>
              <w:widowControl w:val="0"/>
              <w:spacing w:line="240" w:lineRule="auto"/>
              <w:rPr>
                <w:szCs w:val="22"/>
              </w:rPr>
            </w:pPr>
          </w:p>
          <w:p w14:paraId="45FCC153" w14:textId="77777777" w:rsidR="004E4F4E" w:rsidRPr="0009445C" w:rsidRDefault="004E4F4E" w:rsidP="004E4F4E">
            <w:pPr>
              <w:widowControl w:val="0"/>
              <w:spacing w:line="240" w:lineRule="auto"/>
              <w:rPr>
                <w:szCs w:val="22"/>
              </w:rPr>
            </w:pPr>
          </w:p>
          <w:p w14:paraId="0C917694" w14:textId="77777777" w:rsidR="004E4F4E" w:rsidRPr="0009445C" w:rsidRDefault="004E4F4E" w:rsidP="004E4F4E">
            <w:pPr>
              <w:widowControl w:val="0"/>
              <w:spacing w:line="240" w:lineRule="auto"/>
              <w:rPr>
                <w:szCs w:val="22"/>
              </w:rPr>
            </w:pPr>
          </w:p>
          <w:p w14:paraId="437ED50C" w14:textId="77777777" w:rsidR="004E4F4E" w:rsidRPr="0009445C" w:rsidRDefault="004E4F4E" w:rsidP="004E4F4E">
            <w:pPr>
              <w:widowControl w:val="0"/>
              <w:spacing w:line="240" w:lineRule="auto"/>
              <w:rPr>
                <w:szCs w:val="22"/>
              </w:rPr>
            </w:pPr>
          </w:p>
          <w:p w14:paraId="73BFF98F" w14:textId="77777777" w:rsidR="004E4F4E" w:rsidRPr="0009445C" w:rsidRDefault="004E4F4E" w:rsidP="004E4F4E">
            <w:pPr>
              <w:widowControl w:val="0"/>
              <w:spacing w:line="240" w:lineRule="auto"/>
              <w:rPr>
                <w:szCs w:val="22"/>
              </w:rPr>
            </w:pPr>
          </w:p>
          <w:p w14:paraId="26D5D8BD" w14:textId="77777777" w:rsidR="004E4F4E" w:rsidRPr="0009445C" w:rsidRDefault="004E4F4E" w:rsidP="004E4F4E">
            <w:pPr>
              <w:widowControl w:val="0"/>
              <w:spacing w:line="240" w:lineRule="auto"/>
              <w:rPr>
                <w:szCs w:val="22"/>
              </w:rPr>
            </w:pPr>
          </w:p>
        </w:tc>
        <w:tc>
          <w:tcPr>
            <w:tcW w:w="3402" w:type="dxa"/>
            <w:shd w:val="clear" w:color="auto" w:fill="auto"/>
          </w:tcPr>
          <w:p w14:paraId="74E892D0" w14:textId="77777777" w:rsidR="004E4F4E" w:rsidRPr="0009445C" w:rsidRDefault="004E4F4E" w:rsidP="004E4F4E">
            <w:pPr>
              <w:widowControl w:val="0"/>
              <w:spacing w:line="240" w:lineRule="auto"/>
              <w:rPr>
                <w:szCs w:val="22"/>
              </w:rPr>
            </w:pPr>
            <w:r w:rsidRPr="0009445C">
              <w:t>General structural rules</w:t>
            </w:r>
          </w:p>
        </w:tc>
        <w:tc>
          <w:tcPr>
            <w:tcW w:w="2835" w:type="dxa"/>
            <w:shd w:val="clear" w:color="auto" w:fill="auto"/>
          </w:tcPr>
          <w:p w14:paraId="195532B2" w14:textId="77777777" w:rsidR="004E4F4E" w:rsidRPr="0009445C" w:rsidRDefault="004E4F4E" w:rsidP="004E4F4E">
            <w:pPr>
              <w:widowControl w:val="0"/>
              <w:spacing w:line="240" w:lineRule="auto"/>
              <w:rPr>
                <w:szCs w:val="22"/>
                <w:lang w:val="de-DE"/>
              </w:rPr>
            </w:pPr>
            <w:r w:rsidRPr="0009445C">
              <w:rPr>
                <w:lang w:val="de-DE"/>
              </w:rPr>
              <w:t>DIN EN 1999-1-1:2014-03</w:t>
            </w:r>
          </w:p>
          <w:p w14:paraId="74869753" w14:textId="5AFEDB9F" w:rsidR="004E4F4E" w:rsidRPr="0009445C" w:rsidRDefault="004E4F4E" w:rsidP="004E4F4E">
            <w:pPr>
              <w:widowControl w:val="0"/>
              <w:spacing w:line="240" w:lineRule="auto"/>
              <w:rPr>
                <w:szCs w:val="22"/>
                <w:lang w:val="de-DE"/>
              </w:rPr>
            </w:pPr>
            <w:r w:rsidRPr="0009445C">
              <w:rPr>
                <w:lang w:val="de-DE"/>
              </w:rPr>
              <w:t>DIN EN 1999-1-1/NA:2021-03</w:t>
            </w:r>
          </w:p>
        </w:tc>
        <w:tc>
          <w:tcPr>
            <w:tcW w:w="1700" w:type="dxa"/>
            <w:shd w:val="clear" w:color="auto" w:fill="auto"/>
          </w:tcPr>
          <w:p w14:paraId="6A6841FD" w14:textId="77777777" w:rsidR="004E4F4E" w:rsidRPr="0009445C" w:rsidRDefault="004E4F4E" w:rsidP="004E4F4E">
            <w:pPr>
              <w:widowControl w:val="0"/>
              <w:spacing w:line="240" w:lineRule="auto"/>
              <w:rPr>
                <w:szCs w:val="22"/>
              </w:rPr>
            </w:pPr>
            <w:r w:rsidRPr="0009445C">
              <w:t>Annex A 1.2.4/1</w:t>
            </w:r>
          </w:p>
        </w:tc>
      </w:tr>
      <w:tr w:rsidR="004E4F4E" w:rsidRPr="0009445C" w14:paraId="056076D1" w14:textId="77777777" w:rsidTr="00EA78D6">
        <w:trPr>
          <w:trHeight w:val="227"/>
        </w:trPr>
        <w:tc>
          <w:tcPr>
            <w:tcW w:w="9070" w:type="dxa"/>
            <w:gridSpan w:val="4"/>
            <w:shd w:val="clear" w:color="auto" w:fill="auto"/>
          </w:tcPr>
          <w:p w14:paraId="08E2F1BC" w14:textId="77777777" w:rsidR="004E4F4E" w:rsidRPr="0009445C" w:rsidRDefault="004E4F4E" w:rsidP="004E4F4E">
            <w:pPr>
              <w:tabs>
                <w:tab w:val="left" w:pos="1134"/>
              </w:tabs>
              <w:spacing w:line="240" w:lineRule="auto"/>
              <w:ind w:left="1134" w:hanging="1134"/>
              <w:rPr>
                <w:b/>
                <w:szCs w:val="18"/>
              </w:rPr>
            </w:pPr>
            <w:r w:rsidRPr="0009445C">
              <w:rPr>
                <w:b/>
              </w:rPr>
              <w:t>A 1.2.5</w:t>
            </w:r>
            <w:r w:rsidRPr="0009445C">
              <w:rPr>
                <w:b/>
              </w:rPr>
              <w:tab/>
              <w:t>Structural works in timber construction</w:t>
            </w:r>
          </w:p>
        </w:tc>
      </w:tr>
      <w:tr w:rsidR="004E4F4E" w:rsidRPr="0009445C" w14:paraId="7D6D8FAE" w14:textId="77777777" w:rsidTr="00EA78D6">
        <w:trPr>
          <w:trHeight w:val="227"/>
        </w:trPr>
        <w:tc>
          <w:tcPr>
            <w:tcW w:w="9070" w:type="dxa"/>
            <w:gridSpan w:val="4"/>
            <w:shd w:val="clear" w:color="auto" w:fill="auto"/>
          </w:tcPr>
          <w:p w14:paraId="60BAE845" w14:textId="77777777" w:rsidR="004E4F4E" w:rsidRPr="0009445C" w:rsidRDefault="004E4F4E" w:rsidP="004E4F4E">
            <w:pPr>
              <w:tabs>
                <w:tab w:val="left" w:pos="1134"/>
              </w:tabs>
              <w:spacing w:line="240" w:lineRule="auto"/>
              <w:ind w:left="1134" w:hanging="1134"/>
              <w:rPr>
                <w:szCs w:val="18"/>
              </w:rPr>
            </w:pPr>
            <w:r w:rsidRPr="0009445C">
              <w:t>A 1.2.5.1</w:t>
            </w:r>
            <w:r w:rsidRPr="0009445C">
              <w:tab/>
              <w:t>Design of timber structures</w:t>
            </w:r>
          </w:p>
        </w:tc>
      </w:tr>
      <w:tr w:rsidR="004E4F4E" w:rsidRPr="0009445C" w14:paraId="62D14474" w14:textId="77777777" w:rsidTr="00EA78D6">
        <w:trPr>
          <w:trHeight w:val="227"/>
        </w:trPr>
        <w:tc>
          <w:tcPr>
            <w:tcW w:w="1133" w:type="dxa"/>
            <w:vMerge w:val="restart"/>
            <w:shd w:val="clear" w:color="auto" w:fill="auto"/>
          </w:tcPr>
          <w:p w14:paraId="6F2E06A3" w14:textId="77777777" w:rsidR="004E4F4E" w:rsidRPr="0009445C" w:rsidRDefault="004E4F4E" w:rsidP="004E4F4E">
            <w:pPr>
              <w:widowControl w:val="0"/>
              <w:spacing w:line="240" w:lineRule="auto"/>
              <w:rPr>
                <w:szCs w:val="22"/>
              </w:rPr>
            </w:pPr>
          </w:p>
          <w:p w14:paraId="53C181F1" w14:textId="77777777" w:rsidR="004E4F4E" w:rsidRPr="0009445C" w:rsidRDefault="004E4F4E" w:rsidP="004E4F4E">
            <w:pPr>
              <w:widowControl w:val="0"/>
              <w:spacing w:line="240" w:lineRule="auto"/>
              <w:rPr>
                <w:szCs w:val="22"/>
              </w:rPr>
            </w:pPr>
          </w:p>
          <w:p w14:paraId="41A2D597" w14:textId="77777777" w:rsidR="004E4F4E" w:rsidRPr="0009445C" w:rsidRDefault="004E4F4E" w:rsidP="004E4F4E">
            <w:pPr>
              <w:widowControl w:val="0"/>
              <w:spacing w:line="240" w:lineRule="auto"/>
              <w:rPr>
                <w:szCs w:val="22"/>
              </w:rPr>
            </w:pPr>
          </w:p>
          <w:p w14:paraId="1EE8CFEF" w14:textId="77777777" w:rsidR="004E4F4E" w:rsidRPr="0009445C" w:rsidRDefault="004E4F4E" w:rsidP="004E4F4E">
            <w:pPr>
              <w:widowControl w:val="0"/>
              <w:spacing w:line="240" w:lineRule="auto"/>
              <w:rPr>
                <w:szCs w:val="22"/>
              </w:rPr>
            </w:pPr>
          </w:p>
        </w:tc>
        <w:tc>
          <w:tcPr>
            <w:tcW w:w="3402" w:type="dxa"/>
            <w:shd w:val="clear" w:color="auto" w:fill="auto"/>
          </w:tcPr>
          <w:p w14:paraId="647DC1A3" w14:textId="77777777" w:rsidR="004E4F4E" w:rsidRPr="0009445C" w:rsidRDefault="004E4F4E" w:rsidP="004E4F4E">
            <w:pPr>
              <w:widowControl w:val="0"/>
              <w:spacing w:line="240" w:lineRule="auto"/>
              <w:rPr>
                <w:szCs w:val="22"/>
              </w:rPr>
            </w:pPr>
            <w:r w:rsidRPr="0009445C">
              <w:t>Design of timber structures</w:t>
            </w:r>
          </w:p>
        </w:tc>
        <w:tc>
          <w:tcPr>
            <w:tcW w:w="2835" w:type="dxa"/>
            <w:shd w:val="clear" w:color="auto" w:fill="auto"/>
          </w:tcPr>
          <w:p w14:paraId="477A84CC" w14:textId="77777777" w:rsidR="004E4F4E" w:rsidRPr="0009445C" w:rsidRDefault="004E4F4E" w:rsidP="004E4F4E">
            <w:pPr>
              <w:widowControl w:val="0"/>
              <w:spacing w:line="240" w:lineRule="auto"/>
              <w:rPr>
                <w:szCs w:val="22"/>
                <w:lang w:val="de-DE"/>
              </w:rPr>
            </w:pPr>
            <w:r w:rsidRPr="0009445C">
              <w:rPr>
                <w:lang w:val="de-DE"/>
              </w:rPr>
              <w:t>DIN EN 1995-1-1:2010-12</w:t>
            </w:r>
          </w:p>
          <w:p w14:paraId="4245663E" w14:textId="77777777" w:rsidR="004E4F4E" w:rsidRPr="0009445C" w:rsidRDefault="004E4F4E" w:rsidP="004E4F4E">
            <w:pPr>
              <w:widowControl w:val="0"/>
              <w:spacing w:line="240" w:lineRule="auto"/>
              <w:rPr>
                <w:szCs w:val="22"/>
                <w:lang w:val="de-DE"/>
              </w:rPr>
            </w:pPr>
            <w:r w:rsidRPr="0009445C">
              <w:rPr>
                <w:lang w:val="de-DE"/>
              </w:rPr>
              <w:t>DIN EN 1995-1-1/A2:2014-07</w:t>
            </w:r>
          </w:p>
          <w:p w14:paraId="7B703415" w14:textId="77777777" w:rsidR="004E4F4E" w:rsidRPr="0009445C" w:rsidRDefault="004E4F4E" w:rsidP="004E4F4E">
            <w:pPr>
              <w:widowControl w:val="0"/>
              <w:spacing w:line="240" w:lineRule="auto"/>
              <w:rPr>
                <w:szCs w:val="22"/>
              </w:rPr>
            </w:pPr>
            <w:r w:rsidRPr="0009445C">
              <w:t>DIN EN 1995-1-1/NA:2013-08</w:t>
            </w:r>
          </w:p>
        </w:tc>
        <w:tc>
          <w:tcPr>
            <w:tcW w:w="1700" w:type="dxa"/>
            <w:shd w:val="clear" w:color="auto" w:fill="auto"/>
          </w:tcPr>
          <w:p w14:paraId="1A8B087C" w14:textId="77777777" w:rsidR="004E4F4E" w:rsidRPr="0009445C" w:rsidRDefault="004E4F4E" w:rsidP="004E4F4E">
            <w:pPr>
              <w:widowControl w:val="0"/>
              <w:spacing w:line="240" w:lineRule="auto"/>
              <w:rPr>
                <w:szCs w:val="22"/>
              </w:rPr>
            </w:pPr>
            <w:r w:rsidRPr="0009445C">
              <w:t>Annex A 1.2.5/1</w:t>
            </w:r>
          </w:p>
        </w:tc>
      </w:tr>
      <w:tr w:rsidR="004E4F4E" w:rsidRPr="0009445C" w14:paraId="2ADB4E6B" w14:textId="77777777" w:rsidTr="00EA78D6">
        <w:trPr>
          <w:trHeight w:val="227"/>
        </w:trPr>
        <w:tc>
          <w:tcPr>
            <w:tcW w:w="1133" w:type="dxa"/>
            <w:vMerge/>
            <w:shd w:val="clear" w:color="auto" w:fill="auto"/>
          </w:tcPr>
          <w:p w14:paraId="113BF3F4" w14:textId="77777777" w:rsidR="004E4F4E" w:rsidRPr="0009445C" w:rsidRDefault="004E4F4E" w:rsidP="004E4F4E">
            <w:pPr>
              <w:widowControl w:val="0"/>
              <w:spacing w:line="240" w:lineRule="auto"/>
              <w:rPr>
                <w:szCs w:val="22"/>
              </w:rPr>
            </w:pPr>
          </w:p>
        </w:tc>
        <w:tc>
          <w:tcPr>
            <w:tcW w:w="3402" w:type="dxa"/>
            <w:shd w:val="clear" w:color="auto" w:fill="auto"/>
          </w:tcPr>
          <w:p w14:paraId="440A9B00" w14:textId="77777777" w:rsidR="004E4F4E" w:rsidRPr="0009445C" w:rsidRDefault="004E4F4E" w:rsidP="004E4F4E">
            <w:pPr>
              <w:widowControl w:val="0"/>
              <w:spacing w:line="240" w:lineRule="auto"/>
              <w:rPr>
                <w:szCs w:val="22"/>
              </w:rPr>
            </w:pPr>
            <w:r w:rsidRPr="0009445C">
              <w:t>Bridges</w:t>
            </w:r>
          </w:p>
        </w:tc>
        <w:tc>
          <w:tcPr>
            <w:tcW w:w="2835" w:type="dxa"/>
            <w:shd w:val="clear" w:color="auto" w:fill="auto"/>
          </w:tcPr>
          <w:p w14:paraId="65E93427" w14:textId="77777777" w:rsidR="004E4F4E" w:rsidRPr="0009445C" w:rsidRDefault="004E4F4E" w:rsidP="004E4F4E">
            <w:pPr>
              <w:widowControl w:val="0"/>
              <w:spacing w:line="240" w:lineRule="auto"/>
              <w:rPr>
                <w:szCs w:val="22"/>
                <w:lang w:val="de-DE"/>
              </w:rPr>
            </w:pPr>
            <w:r w:rsidRPr="0009445C">
              <w:rPr>
                <w:lang w:val="de-DE"/>
              </w:rPr>
              <w:t>DIN EN 1995-2:2010-12</w:t>
            </w:r>
          </w:p>
          <w:p w14:paraId="3E829E40" w14:textId="77777777" w:rsidR="004E4F4E" w:rsidRPr="0009445C" w:rsidRDefault="004E4F4E" w:rsidP="004E4F4E">
            <w:pPr>
              <w:widowControl w:val="0"/>
              <w:spacing w:line="240" w:lineRule="auto"/>
              <w:rPr>
                <w:szCs w:val="22"/>
                <w:lang w:val="de-DE"/>
              </w:rPr>
            </w:pPr>
            <w:r w:rsidRPr="0009445C">
              <w:rPr>
                <w:lang w:val="de-DE"/>
              </w:rPr>
              <w:t>DIN EN 1995-2/NA:2011-08</w:t>
            </w:r>
          </w:p>
        </w:tc>
        <w:tc>
          <w:tcPr>
            <w:tcW w:w="1700" w:type="dxa"/>
            <w:shd w:val="clear" w:color="auto" w:fill="auto"/>
          </w:tcPr>
          <w:p w14:paraId="33FDCE2C" w14:textId="77777777" w:rsidR="004E4F4E" w:rsidRPr="0009445C" w:rsidRDefault="004E4F4E" w:rsidP="004E4F4E">
            <w:pPr>
              <w:widowControl w:val="0"/>
              <w:spacing w:line="240" w:lineRule="auto"/>
              <w:rPr>
                <w:szCs w:val="22"/>
              </w:rPr>
            </w:pPr>
            <w:r w:rsidRPr="0009445C">
              <w:t>Annex A 1.2.5/1</w:t>
            </w:r>
          </w:p>
        </w:tc>
      </w:tr>
      <w:tr w:rsidR="004E4F4E" w:rsidRPr="0009445C" w14:paraId="7DA81EEB" w14:textId="77777777" w:rsidTr="00EA78D6">
        <w:trPr>
          <w:trHeight w:val="227"/>
        </w:trPr>
        <w:tc>
          <w:tcPr>
            <w:tcW w:w="9070" w:type="dxa"/>
            <w:gridSpan w:val="4"/>
            <w:shd w:val="clear" w:color="auto" w:fill="auto"/>
          </w:tcPr>
          <w:p w14:paraId="3A5C2FF2" w14:textId="77777777" w:rsidR="004E4F4E" w:rsidRPr="0009445C" w:rsidRDefault="004E4F4E" w:rsidP="004E4F4E">
            <w:pPr>
              <w:tabs>
                <w:tab w:val="left" w:pos="1134"/>
              </w:tabs>
              <w:spacing w:line="240" w:lineRule="auto"/>
              <w:ind w:left="1134" w:hanging="1134"/>
              <w:rPr>
                <w:b/>
                <w:szCs w:val="18"/>
              </w:rPr>
            </w:pPr>
            <w:r w:rsidRPr="0009445C">
              <w:rPr>
                <w:b/>
              </w:rPr>
              <w:t>A 1.2.6</w:t>
            </w:r>
            <w:r w:rsidRPr="0009445C">
              <w:rPr>
                <w:b/>
              </w:rPr>
              <w:tab/>
              <w:t>Structural works in masonry structures</w:t>
            </w:r>
          </w:p>
        </w:tc>
      </w:tr>
      <w:tr w:rsidR="004E4F4E" w:rsidRPr="0009445C" w14:paraId="4A69DF6E" w14:textId="77777777" w:rsidTr="00EA78D6">
        <w:trPr>
          <w:trHeight w:val="227"/>
        </w:trPr>
        <w:tc>
          <w:tcPr>
            <w:tcW w:w="9070" w:type="dxa"/>
            <w:gridSpan w:val="4"/>
            <w:shd w:val="clear" w:color="auto" w:fill="auto"/>
          </w:tcPr>
          <w:p w14:paraId="35B70C91" w14:textId="77777777" w:rsidR="004E4F4E" w:rsidRPr="0009445C" w:rsidRDefault="004E4F4E" w:rsidP="004E4F4E">
            <w:pPr>
              <w:tabs>
                <w:tab w:val="left" w:pos="1134"/>
              </w:tabs>
              <w:spacing w:line="240" w:lineRule="auto"/>
              <w:ind w:left="1134" w:hanging="1134"/>
              <w:rPr>
                <w:szCs w:val="18"/>
              </w:rPr>
            </w:pPr>
            <w:r w:rsidRPr="0009445C">
              <w:t>A 1.2.6.1</w:t>
            </w:r>
            <w:r w:rsidRPr="0009445C">
              <w:tab/>
              <w:t>Design of masonry structures</w:t>
            </w:r>
          </w:p>
        </w:tc>
      </w:tr>
      <w:tr w:rsidR="004E4F4E" w:rsidRPr="0009445C" w14:paraId="31E3A1C5" w14:textId="77777777" w:rsidTr="00EA78D6">
        <w:trPr>
          <w:trHeight w:val="568"/>
        </w:trPr>
        <w:tc>
          <w:tcPr>
            <w:tcW w:w="1133" w:type="dxa"/>
            <w:shd w:val="clear" w:color="auto" w:fill="auto"/>
          </w:tcPr>
          <w:p w14:paraId="5AAD671C" w14:textId="77777777" w:rsidR="004E4F4E" w:rsidRPr="0009445C" w:rsidRDefault="004E4F4E" w:rsidP="004E4F4E">
            <w:pPr>
              <w:keepNext/>
              <w:widowControl w:val="0"/>
              <w:spacing w:line="240" w:lineRule="auto"/>
              <w:rPr>
                <w:szCs w:val="22"/>
              </w:rPr>
            </w:pPr>
          </w:p>
        </w:tc>
        <w:tc>
          <w:tcPr>
            <w:tcW w:w="3402" w:type="dxa"/>
            <w:shd w:val="clear" w:color="auto" w:fill="auto"/>
          </w:tcPr>
          <w:p w14:paraId="49598971" w14:textId="77777777" w:rsidR="004E4F4E" w:rsidRPr="0009445C" w:rsidRDefault="004E4F4E" w:rsidP="004E4F4E">
            <w:pPr>
              <w:widowControl w:val="0"/>
              <w:spacing w:line="240" w:lineRule="auto"/>
              <w:rPr>
                <w:szCs w:val="22"/>
              </w:rPr>
            </w:pPr>
            <w:r w:rsidRPr="0009445C">
              <w:t>Design considerations, selection of materials and execution of masonry</w:t>
            </w:r>
          </w:p>
        </w:tc>
        <w:tc>
          <w:tcPr>
            <w:tcW w:w="2835" w:type="dxa"/>
            <w:shd w:val="clear" w:color="auto" w:fill="auto"/>
          </w:tcPr>
          <w:p w14:paraId="0AFA9FF3" w14:textId="77777777" w:rsidR="004E4F4E" w:rsidRPr="0009445C" w:rsidRDefault="004E4F4E" w:rsidP="004E4F4E">
            <w:pPr>
              <w:widowControl w:val="0"/>
              <w:spacing w:line="240" w:lineRule="auto"/>
              <w:rPr>
                <w:szCs w:val="22"/>
                <w:lang w:val="de-DE"/>
              </w:rPr>
            </w:pPr>
            <w:r w:rsidRPr="0009445C">
              <w:rPr>
                <w:lang w:val="de-DE"/>
              </w:rPr>
              <w:t xml:space="preserve">DIN EN 1996-2:2010-12 </w:t>
            </w:r>
          </w:p>
          <w:p w14:paraId="4BD6F655" w14:textId="77777777" w:rsidR="004E4F4E" w:rsidRPr="0009445C" w:rsidRDefault="004E4F4E" w:rsidP="004E4F4E">
            <w:pPr>
              <w:widowControl w:val="0"/>
              <w:spacing w:line="240" w:lineRule="auto"/>
              <w:rPr>
                <w:szCs w:val="22"/>
                <w:lang w:val="de-DE"/>
              </w:rPr>
            </w:pPr>
            <w:r w:rsidRPr="0009445C">
              <w:rPr>
                <w:lang w:val="de-DE"/>
              </w:rPr>
              <w:t>DIN EN 1996-2/NA:2012-01</w:t>
            </w:r>
          </w:p>
          <w:p w14:paraId="10B4F88B" w14:textId="77777777" w:rsidR="00236D5E" w:rsidRPr="0009445C" w:rsidRDefault="00236D5E" w:rsidP="004E4F4E">
            <w:pPr>
              <w:widowControl w:val="0"/>
              <w:spacing w:line="240" w:lineRule="auto"/>
              <w:rPr>
                <w:szCs w:val="22"/>
              </w:rPr>
            </w:pPr>
            <w:r w:rsidRPr="0009445C">
              <w:t>DIN EN 1996-2/NA/A1:2021-06</w:t>
            </w:r>
          </w:p>
        </w:tc>
        <w:tc>
          <w:tcPr>
            <w:tcW w:w="1700" w:type="dxa"/>
            <w:shd w:val="clear" w:color="auto" w:fill="auto"/>
          </w:tcPr>
          <w:p w14:paraId="09AFA1EC" w14:textId="77777777" w:rsidR="004E4F4E" w:rsidRPr="0009445C" w:rsidRDefault="004E4F4E" w:rsidP="004E4F4E">
            <w:pPr>
              <w:widowControl w:val="0"/>
              <w:spacing w:line="240" w:lineRule="auto"/>
              <w:rPr>
                <w:szCs w:val="22"/>
              </w:rPr>
            </w:pPr>
          </w:p>
        </w:tc>
      </w:tr>
      <w:tr w:rsidR="004E4F4E" w:rsidRPr="0009445C" w14:paraId="179108BD" w14:textId="77777777" w:rsidTr="00EA78D6">
        <w:trPr>
          <w:trHeight w:val="227"/>
        </w:trPr>
        <w:tc>
          <w:tcPr>
            <w:tcW w:w="9070" w:type="dxa"/>
            <w:gridSpan w:val="4"/>
            <w:shd w:val="clear" w:color="auto" w:fill="auto"/>
          </w:tcPr>
          <w:p w14:paraId="04C1BD8A" w14:textId="77777777" w:rsidR="004E4F4E" w:rsidRPr="0009445C" w:rsidRDefault="004E4F4E" w:rsidP="004E4F4E">
            <w:pPr>
              <w:tabs>
                <w:tab w:val="left" w:pos="1134"/>
              </w:tabs>
              <w:spacing w:line="240" w:lineRule="auto"/>
              <w:ind w:left="1134" w:hanging="1134"/>
              <w:rPr>
                <w:b/>
                <w:szCs w:val="18"/>
              </w:rPr>
            </w:pPr>
            <w:r w:rsidRPr="0009445C">
              <w:rPr>
                <w:b/>
              </w:rPr>
              <w:t>A 1.2.9</w:t>
            </w:r>
            <w:r w:rsidRPr="0009445C">
              <w:rPr>
                <w:b/>
              </w:rPr>
              <w:tab/>
              <w:t>Structural works in seismic zones</w:t>
            </w:r>
          </w:p>
        </w:tc>
      </w:tr>
      <w:tr w:rsidR="004E4F4E" w:rsidRPr="0009445C" w14:paraId="7278CEC3" w14:textId="77777777" w:rsidTr="00EA78D6">
        <w:trPr>
          <w:trHeight w:val="448"/>
        </w:trPr>
        <w:tc>
          <w:tcPr>
            <w:tcW w:w="1133" w:type="dxa"/>
            <w:shd w:val="clear" w:color="auto" w:fill="auto"/>
          </w:tcPr>
          <w:p w14:paraId="3208F794" w14:textId="77777777" w:rsidR="004E4F4E" w:rsidRPr="0009445C" w:rsidRDefault="004E4F4E" w:rsidP="004E4F4E">
            <w:pPr>
              <w:widowControl w:val="0"/>
              <w:spacing w:line="240" w:lineRule="auto"/>
              <w:rPr>
                <w:szCs w:val="22"/>
              </w:rPr>
            </w:pPr>
            <w:r w:rsidRPr="0009445C">
              <w:t>A 1.2.9.1</w:t>
            </w:r>
          </w:p>
        </w:tc>
        <w:tc>
          <w:tcPr>
            <w:tcW w:w="3402" w:type="dxa"/>
            <w:shd w:val="clear" w:color="auto" w:fill="auto"/>
          </w:tcPr>
          <w:p w14:paraId="1D0EB618" w14:textId="77777777" w:rsidR="004E4F4E" w:rsidRPr="0009445C" w:rsidRDefault="004E4F4E" w:rsidP="004E4F4E">
            <w:pPr>
              <w:widowControl w:val="0"/>
              <w:spacing w:line="240" w:lineRule="auto"/>
              <w:rPr>
                <w:szCs w:val="22"/>
              </w:rPr>
            </w:pPr>
            <w:r w:rsidRPr="0009445C">
              <w:t>Buildings in German earthquake areas</w:t>
            </w:r>
          </w:p>
        </w:tc>
        <w:tc>
          <w:tcPr>
            <w:tcW w:w="2835" w:type="dxa"/>
            <w:shd w:val="clear" w:color="auto" w:fill="auto"/>
          </w:tcPr>
          <w:p w14:paraId="586C7B94" w14:textId="77777777" w:rsidR="004E4F4E" w:rsidRPr="0009445C" w:rsidRDefault="004E4F4E" w:rsidP="004E4F4E">
            <w:pPr>
              <w:widowControl w:val="0"/>
              <w:spacing w:line="240" w:lineRule="auto"/>
              <w:rPr>
                <w:szCs w:val="22"/>
              </w:rPr>
            </w:pPr>
            <w:r w:rsidRPr="0009445C">
              <w:t>DIN 4149:2005-04</w:t>
            </w:r>
          </w:p>
        </w:tc>
        <w:tc>
          <w:tcPr>
            <w:tcW w:w="1700" w:type="dxa"/>
            <w:shd w:val="clear" w:color="auto" w:fill="auto"/>
          </w:tcPr>
          <w:p w14:paraId="54CDB3D5" w14:textId="77777777" w:rsidR="004E4F4E" w:rsidRPr="0009445C" w:rsidRDefault="004E4F4E" w:rsidP="004E4F4E">
            <w:pPr>
              <w:widowControl w:val="0"/>
              <w:spacing w:line="240" w:lineRule="auto"/>
              <w:rPr>
                <w:szCs w:val="22"/>
              </w:rPr>
            </w:pPr>
            <w:r w:rsidRPr="0009445C">
              <w:t>Annex A 1.2.9/1</w:t>
            </w:r>
          </w:p>
        </w:tc>
      </w:tr>
    </w:tbl>
    <w:p w14:paraId="1FA10D9F" w14:textId="77777777" w:rsidR="004E4F4E" w:rsidRPr="0009445C" w:rsidRDefault="004E4F4E" w:rsidP="004E4F4E">
      <w:pPr>
        <w:spacing w:line="276" w:lineRule="auto"/>
        <w:jc w:val="both"/>
        <w:rPr>
          <w:szCs w:val="18"/>
        </w:rPr>
        <w:sectPr w:rsidR="004E4F4E" w:rsidRPr="0009445C" w:rsidSect="00EA78D6">
          <w:headerReference w:type="default" r:id="rId11"/>
          <w:headerReference w:type="first" r:id="rId12"/>
          <w:pgSz w:w="11906" w:h="16838"/>
          <w:pgMar w:top="1134" w:right="1418" w:bottom="1134" w:left="1418" w:header="851" w:footer="425" w:gutter="0"/>
          <w:cols w:space="720"/>
          <w:titlePg/>
        </w:sectPr>
      </w:pPr>
    </w:p>
    <w:p w14:paraId="00944D21" w14:textId="77777777" w:rsidR="00383B09" w:rsidRPr="0009445C" w:rsidRDefault="00383B09" w:rsidP="00383B09">
      <w:pPr>
        <w:pStyle w:val="BRL-Anlage"/>
        <w:rPr>
          <w:rFonts w:cs="Arial"/>
        </w:rPr>
      </w:pPr>
      <w:r w:rsidRPr="0009445C">
        <w:lastRenderedPageBreak/>
        <w:t>Annex A 1.2.3/1</w:t>
      </w:r>
    </w:p>
    <w:p w14:paraId="545F9F96" w14:textId="77777777" w:rsidR="00383B09" w:rsidRPr="0009445C" w:rsidRDefault="00383B09" w:rsidP="00383B09">
      <w:pPr>
        <w:pStyle w:val="BRL-Anlage"/>
      </w:pPr>
    </w:p>
    <w:p w14:paraId="737A2AF6" w14:textId="77777777" w:rsidR="00383B09" w:rsidRPr="0009445C" w:rsidRDefault="00383B09" w:rsidP="00383B09">
      <w:pPr>
        <w:pStyle w:val="BRL-AnlageNummerierung"/>
      </w:pPr>
      <w:r w:rsidRPr="0009445C">
        <w:t>1</w:t>
      </w:r>
      <w:r w:rsidRPr="0009445C">
        <w:tab/>
        <w:t xml:space="preserve">Section C 2.1 of this MVV TB regulates the requirements for construction products used in concrete, reinforced concrete, and prestressed concrete construction. </w:t>
      </w:r>
    </w:p>
    <w:p w14:paraId="30CF1322" w14:textId="77777777" w:rsidR="00383B09" w:rsidRPr="0009445C" w:rsidRDefault="00383B09" w:rsidP="00383B09">
      <w:pPr>
        <w:pStyle w:val="BRL-AnlageNummerierung"/>
      </w:pPr>
    </w:p>
    <w:p w14:paraId="131DCB42" w14:textId="77777777" w:rsidR="00383B09" w:rsidRPr="0009445C" w:rsidRDefault="00383B09" w:rsidP="00383B09">
      <w:pPr>
        <w:pStyle w:val="BRL-AnlageNummerierung"/>
      </w:pPr>
      <w:r w:rsidRPr="0009445C">
        <w:t>2</w:t>
      </w:r>
      <w:r w:rsidRPr="0009445C">
        <w:tab/>
        <w:t>Prefabricated parts</w:t>
      </w:r>
    </w:p>
    <w:p w14:paraId="790B5686" w14:textId="77777777" w:rsidR="00383B09" w:rsidRPr="0009445C" w:rsidRDefault="00383B09" w:rsidP="00383B09">
      <w:pPr>
        <w:pStyle w:val="BRL-AnlageNummerierung"/>
      </w:pPr>
      <w:r w:rsidRPr="0009445C">
        <w:t>2.1</w:t>
      </w:r>
      <w:r w:rsidRPr="0009445C">
        <w:tab/>
        <w:t>For support structures made of prefabricated parts according to harmonised standards, DIN V 20000</w:t>
      </w:r>
      <w:r w:rsidRPr="0009445C">
        <w:noBreakHyphen/>
        <w:t xml:space="preserve"> 120:2006</w:t>
      </w:r>
      <w:r w:rsidRPr="0009445C">
        <w:noBreakHyphen/>
        <w:t xml:space="preserve">04 — Application of construction products in structures - Part 120: Application rules for DIN EN 13369:2004-09 – must be observed. </w:t>
      </w:r>
    </w:p>
    <w:p w14:paraId="430351AF" w14:textId="77777777" w:rsidR="00383B09" w:rsidRPr="0009445C" w:rsidRDefault="00383B09" w:rsidP="00383B09">
      <w:pPr>
        <w:pStyle w:val="BRL-AnlageNummerierung"/>
      </w:pPr>
    </w:p>
    <w:p w14:paraId="71617BEA" w14:textId="77777777" w:rsidR="00383B09" w:rsidRPr="0009445C" w:rsidRDefault="00383B09" w:rsidP="00383B09">
      <w:pPr>
        <w:pStyle w:val="BRL-AnlageNummerierung"/>
      </w:pPr>
      <w:r w:rsidRPr="0009445C">
        <w:t>2.2</w:t>
      </w:r>
      <w:r w:rsidRPr="0009445C">
        <w:tab/>
        <w:t>When using non-harmonised source materials, the Technical Rules under Section C 2.1 apply. The used concrete, reinforced steel and/or prestressed steel, and their technical specifications must be indicated.</w:t>
      </w:r>
    </w:p>
    <w:p w14:paraId="43DBBBF0" w14:textId="77777777" w:rsidR="00383B09" w:rsidRPr="0009445C" w:rsidRDefault="00383B09" w:rsidP="00383B09">
      <w:pPr>
        <w:pStyle w:val="BRL-AnlageNummerierung"/>
      </w:pPr>
    </w:p>
    <w:p w14:paraId="5FC5D0CF" w14:textId="77777777" w:rsidR="00383B09" w:rsidRPr="0009445C" w:rsidRDefault="00383B09" w:rsidP="00383B09">
      <w:pPr>
        <w:pStyle w:val="BRL-AnlageNummerierung"/>
      </w:pPr>
      <w:r w:rsidRPr="0009445C">
        <w:t>2.3</w:t>
      </w:r>
      <w:r w:rsidRPr="0009445C">
        <w:tab/>
        <w:t xml:space="preserve">Where load-bearing features of building structural elements or kits are specified in the form of calculated load-bearing values, mechanical strength or complete static calculations in the declaration of performance, these count as structural engineering verifications. </w:t>
      </w:r>
    </w:p>
    <w:p w14:paraId="42E8813F" w14:textId="77777777" w:rsidR="00383B09" w:rsidRPr="0009445C" w:rsidRDefault="00383B09" w:rsidP="00383B09">
      <w:pPr>
        <w:pStyle w:val="BRL-AnlageNummerierung"/>
      </w:pPr>
    </w:p>
    <w:p w14:paraId="6CB324E0" w14:textId="77777777" w:rsidR="00383B09" w:rsidRPr="0009445C" w:rsidRDefault="00383B09" w:rsidP="00383B09">
      <w:pPr>
        <w:pStyle w:val="BRL-AnlageNummerierung"/>
      </w:pPr>
      <w:r w:rsidRPr="0009445C">
        <w:t>2.4</w:t>
      </w:r>
      <w:r w:rsidRPr="0009445C">
        <w:tab/>
        <w:t xml:space="preserve">The design and structural construction of prefabricated concrete structural elements in structural works must be carried out in accordance with A 1.2.3.1. </w:t>
      </w:r>
    </w:p>
    <w:p w14:paraId="2F9AA128" w14:textId="77777777" w:rsidR="00383B09" w:rsidRPr="0009445C" w:rsidRDefault="00383B09" w:rsidP="00383B09">
      <w:pPr>
        <w:pStyle w:val="BRL-AnlageNummerierung"/>
      </w:pPr>
    </w:p>
    <w:p w14:paraId="5A255811" w14:textId="77777777" w:rsidR="00383B09" w:rsidRPr="0009445C" w:rsidRDefault="00383B09" w:rsidP="00383B09">
      <w:pPr>
        <w:pStyle w:val="BRL-AnlageNummerierung"/>
      </w:pPr>
      <w:r w:rsidRPr="0009445C">
        <w:t>2.5</w:t>
      </w:r>
      <w:r w:rsidRPr="0009445C">
        <w:tab/>
        <w:t>For individual garages pursuant to EN 13978-1:2005</w:t>
      </w:r>
      <w:r w:rsidRPr="0009445C">
        <w:rPr>
          <w:vertAlign w:val="superscript"/>
        </w:rPr>
        <w:t>1</w:t>
      </w:r>
      <w:r w:rsidRPr="0009445C">
        <w:t>, the standard DIN V 20000-125:2006-12 may also be used for the planning, design and execution. In this case, the rules of A 1.2.3.1 apply instead of DIN 1045-1:2001-07.</w:t>
      </w:r>
    </w:p>
    <w:p w14:paraId="65B06A87" w14:textId="77777777" w:rsidR="00383B09" w:rsidRPr="0009445C" w:rsidRDefault="00383B09" w:rsidP="00383B09">
      <w:pPr>
        <w:spacing w:line="240" w:lineRule="auto"/>
        <w:rPr>
          <w:rFonts w:cs="Arial"/>
        </w:rPr>
      </w:pPr>
    </w:p>
    <w:p w14:paraId="3BF39B87" w14:textId="77777777" w:rsidR="00383B09" w:rsidRPr="0009445C" w:rsidRDefault="00383B09" w:rsidP="00383B09">
      <w:pPr>
        <w:pStyle w:val="BRL-AnlageNummerierung"/>
      </w:pPr>
      <w:r w:rsidRPr="0009445C">
        <w:t>2.6</w:t>
      </w:r>
      <w:r w:rsidRPr="0009445C">
        <w:tab/>
        <w:t>When using bricks according to EN 15037-3:2009+A1:2011</w:t>
      </w:r>
      <w:r w:rsidRPr="0009445C">
        <w:rPr>
          <w:vertAlign w:val="superscript"/>
        </w:rPr>
        <w:t>2</w:t>
      </w:r>
      <w:r w:rsidRPr="0009445C">
        <w:t xml:space="preserve"> in ceiling systems, DIN 20000</w:t>
      </w:r>
      <w:r w:rsidRPr="0009445C">
        <w:noBreakHyphen/>
        <w:t>129:2014</w:t>
      </w:r>
      <w:r w:rsidRPr="0009445C">
        <w:noBreakHyphen/>
        <w:t>10 — Application of construction products in structures – Part 129: Rules for the application of ceramic intermediate structural elements according to DIN EN 15037-3:2011-07 – must be observed.</w:t>
      </w:r>
    </w:p>
    <w:p w14:paraId="0BA265C2" w14:textId="77777777" w:rsidR="00383B09" w:rsidRPr="0009445C" w:rsidRDefault="00383B09" w:rsidP="00383B09">
      <w:pPr>
        <w:pStyle w:val="BRL-AnlageNummerierung"/>
      </w:pPr>
    </w:p>
    <w:p w14:paraId="7026838A" w14:textId="77777777" w:rsidR="00383B09" w:rsidRPr="0009445C" w:rsidRDefault="00383B09" w:rsidP="00383B09">
      <w:pPr>
        <w:pStyle w:val="BRL-AnlageNummerierung"/>
      </w:pPr>
      <w:r w:rsidRPr="0009445C">
        <w:t>3</w:t>
      </w:r>
      <w:r w:rsidRPr="0009445C">
        <w:tab/>
        <w:t xml:space="preserve">In the absence of a technical best practice for the planning, the designing and execution of structural works using prestressing methods, with the exception of the prestressing bed method for prestressing with immediate bonding according to DIN EN 1992 </w:t>
      </w:r>
      <w:r w:rsidRPr="0009445C">
        <w:noBreakHyphen/>
        <w:t>1</w:t>
      </w:r>
      <w:r w:rsidRPr="0009445C">
        <w:noBreakHyphen/>
        <w:t>1:2011</w:t>
      </w:r>
      <w:r w:rsidRPr="0009445C">
        <w:noBreakHyphen/>
        <w:t xml:space="preserve"> 01, Section 5.10, proof according to § 16a MBO</w:t>
      </w:r>
      <w:r w:rsidRPr="0009445C">
        <w:rPr>
          <w:vertAlign w:val="superscript"/>
        </w:rPr>
        <w:t>3</w:t>
      </w:r>
      <w:r w:rsidRPr="0009445C">
        <w:t xml:space="preserve"> is required.</w:t>
      </w:r>
    </w:p>
    <w:p w14:paraId="10912A97" w14:textId="77777777" w:rsidR="00383B09" w:rsidRPr="0009445C" w:rsidRDefault="00383B09" w:rsidP="00383B09">
      <w:pPr>
        <w:pStyle w:val="BRL-AnlageNummerierung"/>
      </w:pPr>
    </w:p>
    <w:p w14:paraId="2C1B943C" w14:textId="77777777" w:rsidR="00383B09" w:rsidRPr="0009445C" w:rsidRDefault="00383B09" w:rsidP="00383B09">
      <w:pPr>
        <w:pStyle w:val="BRL-AnlageNummerierung"/>
      </w:pPr>
      <w:r w:rsidRPr="0009445C">
        <w:t>4</w:t>
      </w:r>
      <w:r w:rsidRPr="0009445C">
        <w:tab/>
        <w:t>Re. DIN EN 1992-1-1:2011-01, Section 2.5:</w:t>
      </w:r>
    </w:p>
    <w:p w14:paraId="3912902C" w14:textId="77777777" w:rsidR="00383B09" w:rsidRPr="0009445C" w:rsidRDefault="00383B09" w:rsidP="00383B09">
      <w:pPr>
        <w:pStyle w:val="BRL-AnlageNummerierung"/>
      </w:pPr>
      <w:r w:rsidRPr="0009445C">
        <w:t>The design of load-bearing structures on the basis of tests shall not apply.</w:t>
      </w:r>
    </w:p>
    <w:p w14:paraId="1831C1AD" w14:textId="77777777" w:rsidR="00383B09" w:rsidRPr="0009445C" w:rsidRDefault="00383B09" w:rsidP="00383B09">
      <w:pPr>
        <w:pStyle w:val="BRL-AnlageNummerierung"/>
      </w:pPr>
    </w:p>
    <w:p w14:paraId="47DFCD95" w14:textId="77777777" w:rsidR="00383B09" w:rsidRPr="0009445C" w:rsidRDefault="00383B09" w:rsidP="00383B09">
      <w:pPr>
        <w:pStyle w:val="BRL-AnlageNummerierung"/>
      </w:pPr>
      <w:r w:rsidRPr="0009445C">
        <w:t>5</w:t>
      </w:r>
      <w:r w:rsidRPr="0009445C">
        <w:tab/>
        <w:t>The following design and construction rules must be observed for flat slabs, individual foundations and ground slabs made of reinforced concrete with double-headed anchors or lattice girders as punching shear reinforcement:</w:t>
      </w:r>
    </w:p>
    <w:p w14:paraId="6FDEAEC2" w14:textId="77777777" w:rsidR="00383B09" w:rsidRPr="0009445C" w:rsidRDefault="00383B09" w:rsidP="00383B09">
      <w:pPr>
        <w:pStyle w:val="BRLAufzhlungAnstrich"/>
        <w:numPr>
          <w:ilvl w:val="0"/>
          <w:numId w:val="1"/>
        </w:numPr>
      </w:pPr>
      <w:r w:rsidRPr="0009445C">
        <w:t>Technical Rule (</w:t>
      </w:r>
      <w:proofErr w:type="spellStart"/>
      <w:r w:rsidRPr="0009445C">
        <w:t>DIBt</w:t>
      </w:r>
      <w:proofErr w:type="spellEnd"/>
      <w:r w:rsidRPr="0009445C">
        <w:t xml:space="preserve"> [</w:t>
      </w:r>
      <w:proofErr w:type="spellStart"/>
      <w:r w:rsidRPr="0009445C">
        <w:t>Deutsches</w:t>
      </w:r>
      <w:proofErr w:type="spellEnd"/>
      <w:r w:rsidRPr="0009445C">
        <w:t xml:space="preserve"> </w:t>
      </w:r>
      <w:proofErr w:type="spellStart"/>
      <w:r w:rsidRPr="0009445C">
        <w:t>Institut</w:t>
      </w:r>
      <w:proofErr w:type="spellEnd"/>
      <w:r w:rsidRPr="0009445C">
        <w:t xml:space="preserve"> für </w:t>
      </w:r>
      <w:proofErr w:type="spellStart"/>
      <w:r w:rsidRPr="0009445C">
        <w:t>Bautechnik</w:t>
      </w:r>
      <w:proofErr w:type="spellEnd"/>
      <w:r w:rsidRPr="0009445C">
        <w:t>]) Design of flat slabs, individual foundations and ground slabs made of reinforced concrete with double-headed anchors as punching shear reinforcement (application document for EOTA TR 060); Version: August 2019</w:t>
      </w:r>
    </w:p>
    <w:p w14:paraId="4CE33C51" w14:textId="77777777" w:rsidR="00383B09" w:rsidRPr="0009445C" w:rsidRDefault="00383B09" w:rsidP="00383B09">
      <w:pPr>
        <w:pStyle w:val="BRLAufzhlungAnstrich"/>
      </w:pPr>
      <w:r w:rsidRPr="0009445C">
        <w:t>Technical Rule (</w:t>
      </w:r>
      <w:proofErr w:type="spellStart"/>
      <w:r w:rsidRPr="0009445C">
        <w:t>DIBt</w:t>
      </w:r>
      <w:proofErr w:type="spellEnd"/>
      <w:r w:rsidRPr="0009445C">
        <w:t>) Design of flat slabs, individual foundations and ground slabs made of reinforced concrete with lattice girders as punching shear reinforcement (application document for EOTA TR 058); Version: August 2019.</w:t>
      </w:r>
    </w:p>
    <w:p w14:paraId="448DC25F" w14:textId="77777777" w:rsidR="00383B09" w:rsidRPr="0009445C" w:rsidRDefault="00383B09" w:rsidP="00383B09">
      <w:pPr>
        <w:pStyle w:val="BRLAufzhlungAnstrich"/>
        <w:numPr>
          <w:ilvl w:val="0"/>
          <w:numId w:val="0"/>
        </w:numPr>
      </w:pPr>
    </w:p>
    <w:p w14:paraId="0D669347" w14:textId="77777777" w:rsidR="00383B09" w:rsidRPr="0009445C" w:rsidRDefault="00383B09" w:rsidP="00383B09">
      <w:pPr>
        <w:pStyle w:val="BRL-AnlageStandard"/>
      </w:pPr>
      <w:r w:rsidRPr="0009445C">
        <w:t>6</w:t>
      </w:r>
      <w:r w:rsidRPr="0009445C">
        <w:tab/>
        <w:t>In the planning and design of structural elements made of reinforced concrete, the '</w:t>
      </w:r>
      <w:proofErr w:type="spellStart"/>
      <w:r w:rsidRPr="0009445C">
        <w:t>DAfStb</w:t>
      </w:r>
      <w:proofErr w:type="spellEnd"/>
      <w:r w:rsidRPr="0009445C">
        <w:t xml:space="preserve"> Guideline for Steel Fibre Reinforced Concrete' (</w:t>
      </w:r>
      <w:proofErr w:type="spellStart"/>
      <w:r w:rsidRPr="0009445C">
        <w:t>DAfStb</w:t>
      </w:r>
      <w:proofErr w:type="spellEnd"/>
      <w:r w:rsidRPr="0009445C">
        <w:t xml:space="preserve"> [</w:t>
      </w:r>
      <w:proofErr w:type="spellStart"/>
      <w:r w:rsidRPr="0009445C">
        <w:t>Deutscher</w:t>
      </w:r>
      <w:proofErr w:type="spellEnd"/>
      <w:r w:rsidRPr="0009445C">
        <w:t xml:space="preserve"> </w:t>
      </w:r>
      <w:proofErr w:type="spellStart"/>
      <w:r w:rsidRPr="0009445C">
        <w:t>Ausschuss</w:t>
      </w:r>
      <w:proofErr w:type="spellEnd"/>
      <w:r w:rsidRPr="0009445C">
        <w:t xml:space="preserve"> für </w:t>
      </w:r>
      <w:proofErr w:type="spellStart"/>
      <w:r w:rsidRPr="0009445C">
        <w:t>Stahlbeton</w:t>
      </w:r>
      <w:proofErr w:type="spellEnd"/>
      <w:r w:rsidRPr="0009445C">
        <w:t xml:space="preserve">] </w:t>
      </w:r>
      <w:proofErr w:type="spellStart"/>
      <w:r w:rsidRPr="0009445C">
        <w:t>Richtlinie</w:t>
      </w:r>
      <w:proofErr w:type="spellEnd"/>
      <w:r w:rsidRPr="0009445C">
        <w:t xml:space="preserve"> </w:t>
      </w:r>
      <w:proofErr w:type="spellStart"/>
      <w:r w:rsidRPr="0009445C">
        <w:t>Stahlfaserbeton</w:t>
      </w:r>
      <w:proofErr w:type="spellEnd"/>
      <w:r w:rsidRPr="0009445C">
        <w:t>) (2021-06), Part 1, must also be observed.</w:t>
      </w:r>
    </w:p>
    <w:p w14:paraId="332CB953" w14:textId="77777777" w:rsidR="00383B09" w:rsidRPr="0009445C" w:rsidRDefault="00383B09" w:rsidP="00383B09">
      <w:r w:rsidRPr="0009445C">
        <w:t>___________</w:t>
      </w:r>
    </w:p>
    <w:p w14:paraId="55CE7746" w14:textId="77777777" w:rsidR="00383B09" w:rsidRPr="0009445C" w:rsidRDefault="00383B09" w:rsidP="00383B09">
      <w:pPr>
        <w:pStyle w:val="BRL-Funote"/>
      </w:pPr>
      <w:r w:rsidRPr="0009445C">
        <w:t>1</w:t>
      </w:r>
      <w:r w:rsidRPr="0009445C">
        <w:tab/>
        <w:t>Implemented in Germany by DIN EN 13978-1:2005-07.</w:t>
      </w:r>
    </w:p>
    <w:p w14:paraId="6CC29543" w14:textId="77777777" w:rsidR="00383B09" w:rsidRPr="0009445C" w:rsidRDefault="00383B09" w:rsidP="00383B09">
      <w:pPr>
        <w:pStyle w:val="BRL-Funote"/>
      </w:pPr>
      <w:r w:rsidRPr="0009445C">
        <w:t>2</w:t>
      </w:r>
      <w:r w:rsidRPr="0009445C">
        <w:tab/>
        <w:t>Implemented in Germany by DIN EN 15037-3:2011-07.</w:t>
      </w:r>
    </w:p>
    <w:p w14:paraId="7FE52D90" w14:textId="77777777" w:rsidR="00383B09" w:rsidRPr="0009445C" w:rsidRDefault="00383B09" w:rsidP="00383B09">
      <w:pPr>
        <w:pStyle w:val="BRL-Funote"/>
      </w:pPr>
      <w:r w:rsidRPr="0009445C">
        <w:t>3</w:t>
      </w:r>
      <w:r w:rsidRPr="0009445C">
        <w:tab/>
        <w:t>According to national law</w:t>
      </w:r>
    </w:p>
    <w:p w14:paraId="1611E1D4" w14:textId="77777777" w:rsidR="00383B09" w:rsidRPr="0009445C" w:rsidRDefault="00383B09" w:rsidP="00383B09">
      <w:pPr>
        <w:widowControl w:val="0"/>
        <w:spacing w:line="276" w:lineRule="auto"/>
        <w:rPr>
          <w:szCs w:val="18"/>
        </w:rPr>
      </w:pPr>
    </w:p>
    <w:p w14:paraId="471146E0" w14:textId="77777777" w:rsidR="00383B09" w:rsidRPr="0009445C" w:rsidRDefault="00383B09" w:rsidP="00383B09">
      <w:pPr>
        <w:widowControl w:val="0"/>
        <w:spacing w:line="276" w:lineRule="auto"/>
        <w:rPr>
          <w:szCs w:val="18"/>
        </w:rPr>
      </w:pPr>
    </w:p>
    <w:p w14:paraId="7CD8D670" w14:textId="77777777" w:rsidR="00383B09" w:rsidRPr="0009445C" w:rsidRDefault="00383B09" w:rsidP="00383B09">
      <w:pPr>
        <w:widowControl w:val="0"/>
        <w:spacing w:line="276" w:lineRule="auto"/>
        <w:rPr>
          <w:b/>
          <w:szCs w:val="18"/>
        </w:rPr>
      </w:pPr>
      <w:r w:rsidRPr="0009445C">
        <w:rPr>
          <w:b/>
        </w:rPr>
        <w:t>Annex A 1.2.3/4</w:t>
      </w:r>
    </w:p>
    <w:p w14:paraId="25A78970" w14:textId="77777777" w:rsidR="00383B09" w:rsidRPr="0009445C" w:rsidRDefault="00383B09" w:rsidP="00383B09">
      <w:pPr>
        <w:widowControl w:val="0"/>
        <w:spacing w:line="276" w:lineRule="auto"/>
        <w:rPr>
          <w:b/>
          <w:szCs w:val="18"/>
        </w:rPr>
      </w:pPr>
    </w:p>
    <w:p w14:paraId="2750662E" w14:textId="77777777" w:rsidR="00383B09" w:rsidRPr="0009445C" w:rsidRDefault="00383B09" w:rsidP="00383B09">
      <w:pPr>
        <w:widowControl w:val="0"/>
        <w:tabs>
          <w:tab w:val="left" w:pos="567"/>
        </w:tabs>
        <w:spacing w:line="276" w:lineRule="auto"/>
        <w:jc w:val="both"/>
        <w:rPr>
          <w:rFonts w:cs="Arial"/>
          <w:szCs w:val="18"/>
        </w:rPr>
      </w:pPr>
      <w:r w:rsidRPr="0009445C">
        <w:t>1</w:t>
      </w:r>
      <w:r w:rsidRPr="0009445C">
        <w:tab/>
        <w:t>The specifications of C 2.1.4.3 apply.</w:t>
      </w:r>
    </w:p>
    <w:p w14:paraId="526CBA0B" w14:textId="77777777" w:rsidR="00383B09" w:rsidRPr="0009445C" w:rsidRDefault="00383B09" w:rsidP="00383B09">
      <w:pPr>
        <w:widowControl w:val="0"/>
        <w:tabs>
          <w:tab w:val="left" w:pos="567"/>
        </w:tabs>
        <w:spacing w:line="276" w:lineRule="auto"/>
        <w:jc w:val="both"/>
        <w:rPr>
          <w:rFonts w:cs="Arial"/>
          <w:szCs w:val="18"/>
        </w:rPr>
      </w:pPr>
    </w:p>
    <w:p w14:paraId="302A0ED7" w14:textId="77777777" w:rsidR="00383B09" w:rsidRPr="0009445C" w:rsidRDefault="00383B09" w:rsidP="00383B09">
      <w:pPr>
        <w:widowControl w:val="0"/>
        <w:tabs>
          <w:tab w:val="left" w:pos="567"/>
        </w:tabs>
        <w:spacing w:line="276" w:lineRule="auto"/>
        <w:jc w:val="both"/>
        <w:rPr>
          <w:rFonts w:cs="Arial"/>
          <w:szCs w:val="18"/>
        </w:rPr>
      </w:pPr>
      <w:r w:rsidRPr="0009445C">
        <w:t>2</w:t>
      </w:r>
      <w:r w:rsidRPr="0009445C">
        <w:tab/>
        <w:t xml:space="preserve">For determining the compressive strength of concrete in existing buildings, DIN EN 13791:2008 </w:t>
      </w:r>
      <w:r w:rsidRPr="0009445C">
        <w:noBreakHyphen/>
        <w:t xml:space="preserve">05 (including national annex as amended A20:2017-02) can be used. </w:t>
      </w:r>
    </w:p>
    <w:p w14:paraId="58881596" w14:textId="77777777" w:rsidR="00383B09" w:rsidRPr="0009445C" w:rsidRDefault="00383B09" w:rsidP="00383B09">
      <w:pPr>
        <w:widowControl w:val="0"/>
        <w:tabs>
          <w:tab w:val="left" w:pos="567"/>
        </w:tabs>
        <w:spacing w:line="276" w:lineRule="auto"/>
        <w:jc w:val="both"/>
        <w:rPr>
          <w:rFonts w:cs="Arial"/>
          <w:szCs w:val="18"/>
        </w:rPr>
      </w:pPr>
    </w:p>
    <w:p w14:paraId="77B10045" w14:textId="77777777" w:rsidR="00383B09" w:rsidRPr="0009445C" w:rsidRDefault="00383B09" w:rsidP="00383B09">
      <w:pPr>
        <w:widowControl w:val="0"/>
        <w:tabs>
          <w:tab w:val="left" w:pos="567"/>
        </w:tabs>
        <w:spacing w:line="276" w:lineRule="auto"/>
        <w:jc w:val="both"/>
        <w:rPr>
          <w:rFonts w:cs="Arial"/>
          <w:szCs w:val="18"/>
        </w:rPr>
      </w:pPr>
      <w:r w:rsidRPr="0009445C">
        <w:t>3</w:t>
      </w:r>
      <w:r w:rsidRPr="0009445C">
        <w:tab/>
        <w:t>For the use of self-compacting concrete, the ‘</w:t>
      </w:r>
      <w:proofErr w:type="spellStart"/>
      <w:r w:rsidRPr="0009445C">
        <w:t>DAfStb</w:t>
      </w:r>
      <w:proofErr w:type="spellEnd"/>
      <w:r w:rsidRPr="0009445C">
        <w:t xml:space="preserve"> guideline on self-compacting concrete (</w:t>
      </w:r>
      <w:proofErr w:type="spellStart"/>
      <w:r w:rsidRPr="0009445C">
        <w:t>DAfStb-Richtlinie</w:t>
      </w:r>
      <w:proofErr w:type="spellEnd"/>
      <w:r w:rsidRPr="0009445C">
        <w:t xml:space="preserve"> </w:t>
      </w:r>
      <w:proofErr w:type="spellStart"/>
      <w:r w:rsidRPr="0009445C">
        <w:t>Selbstverdichtender</w:t>
      </w:r>
      <w:proofErr w:type="spellEnd"/>
      <w:r w:rsidRPr="0009445C">
        <w:t xml:space="preserve"> </w:t>
      </w:r>
      <w:proofErr w:type="spellStart"/>
      <w:r w:rsidRPr="0009445C">
        <w:t>Beton</w:t>
      </w:r>
      <w:proofErr w:type="spellEnd"/>
      <w:r w:rsidRPr="0009445C">
        <w:t>, SVB-</w:t>
      </w:r>
      <w:proofErr w:type="spellStart"/>
      <w:r w:rsidRPr="0009445C">
        <w:t>Richtlinie</w:t>
      </w:r>
      <w:proofErr w:type="spellEnd"/>
      <w:r w:rsidRPr="0009445C">
        <w:t>)’ (09-2012) shall apply.</w:t>
      </w:r>
    </w:p>
    <w:p w14:paraId="5C643CAB" w14:textId="77777777" w:rsidR="00383B09" w:rsidRPr="0009445C" w:rsidRDefault="00383B09" w:rsidP="00383B09">
      <w:pPr>
        <w:widowControl w:val="0"/>
        <w:tabs>
          <w:tab w:val="left" w:pos="567"/>
        </w:tabs>
        <w:spacing w:line="276" w:lineRule="auto"/>
        <w:jc w:val="both"/>
        <w:rPr>
          <w:rFonts w:cs="Arial"/>
          <w:szCs w:val="18"/>
        </w:rPr>
      </w:pPr>
    </w:p>
    <w:p w14:paraId="0C7851A7" w14:textId="77777777" w:rsidR="00383B09" w:rsidRPr="0009445C" w:rsidRDefault="00383B09" w:rsidP="00383B09">
      <w:pPr>
        <w:widowControl w:val="0"/>
        <w:tabs>
          <w:tab w:val="left" w:pos="567"/>
        </w:tabs>
        <w:spacing w:line="276" w:lineRule="auto"/>
        <w:jc w:val="both"/>
        <w:rPr>
          <w:rFonts w:cs="Arial"/>
          <w:szCs w:val="18"/>
        </w:rPr>
      </w:pPr>
      <w:r w:rsidRPr="0009445C">
        <w:t>4</w:t>
      </w:r>
      <w:r w:rsidRPr="0009445C">
        <w:tab/>
        <w:t>The ‘</w:t>
      </w:r>
      <w:proofErr w:type="spellStart"/>
      <w:r w:rsidRPr="0009445C">
        <w:t>DAfStb</w:t>
      </w:r>
      <w:proofErr w:type="spellEnd"/>
      <w:r w:rsidRPr="0009445C">
        <w:t xml:space="preserve"> guideline on bulky concrete structural elements’ (</w:t>
      </w:r>
      <w:proofErr w:type="spellStart"/>
      <w:r w:rsidRPr="0009445C">
        <w:t>DAfStb-Richtlinie</w:t>
      </w:r>
      <w:proofErr w:type="spellEnd"/>
      <w:r w:rsidRPr="0009445C">
        <w:t xml:space="preserve"> </w:t>
      </w:r>
      <w:proofErr w:type="spellStart"/>
      <w:r w:rsidRPr="0009445C">
        <w:t>Massige</w:t>
      </w:r>
      <w:proofErr w:type="spellEnd"/>
      <w:r w:rsidRPr="0009445C">
        <w:t xml:space="preserve"> </w:t>
      </w:r>
      <w:proofErr w:type="spellStart"/>
      <w:r w:rsidRPr="0009445C">
        <w:t>Bauteile</w:t>
      </w:r>
      <w:proofErr w:type="spellEnd"/>
      <w:r w:rsidRPr="0009445C">
        <w:t xml:space="preserve"> </w:t>
      </w:r>
      <w:proofErr w:type="spellStart"/>
      <w:r w:rsidRPr="0009445C">
        <w:t>aus</w:t>
      </w:r>
      <w:proofErr w:type="spellEnd"/>
      <w:r w:rsidRPr="0009445C">
        <w:t xml:space="preserve"> </w:t>
      </w:r>
      <w:proofErr w:type="spellStart"/>
      <w:r w:rsidRPr="0009445C">
        <w:t>Beton</w:t>
      </w:r>
      <w:proofErr w:type="spellEnd"/>
      <w:r w:rsidRPr="0009445C">
        <w:t xml:space="preserve">) (2010-04) shall apply to bulky concrete structural elements. </w:t>
      </w:r>
    </w:p>
    <w:p w14:paraId="7EE12BDC" w14:textId="77777777" w:rsidR="00383B09" w:rsidRPr="0009445C" w:rsidRDefault="00383B09" w:rsidP="00383B09">
      <w:pPr>
        <w:widowControl w:val="0"/>
        <w:tabs>
          <w:tab w:val="left" w:pos="567"/>
        </w:tabs>
        <w:spacing w:line="276" w:lineRule="auto"/>
        <w:jc w:val="both"/>
        <w:rPr>
          <w:rFonts w:cs="Arial"/>
          <w:szCs w:val="18"/>
        </w:rPr>
      </w:pPr>
    </w:p>
    <w:p w14:paraId="1F5C9FF8" w14:textId="77777777" w:rsidR="00383B09" w:rsidRPr="0009445C" w:rsidRDefault="00383B09" w:rsidP="00383B09">
      <w:pPr>
        <w:widowControl w:val="0"/>
        <w:tabs>
          <w:tab w:val="left" w:pos="567"/>
        </w:tabs>
        <w:spacing w:line="276" w:lineRule="auto"/>
        <w:jc w:val="both"/>
        <w:rPr>
          <w:rFonts w:cs="Arial"/>
          <w:szCs w:val="18"/>
        </w:rPr>
      </w:pPr>
      <w:r w:rsidRPr="0009445C">
        <w:t>5</w:t>
      </w:r>
      <w:r w:rsidRPr="0009445C">
        <w:tab/>
        <w:t>In principle, the compressive strength for classification into the required strength class according to DIN EN 206</w:t>
      </w:r>
      <w:r w:rsidRPr="0009445C">
        <w:noBreakHyphen/>
        <w:t>1:2001-07, Section 4.3.1 for determining the characteristic strength according to DIN EN 206</w:t>
      </w:r>
      <w:r w:rsidRPr="0009445C">
        <w:noBreakHyphen/>
        <w:t>1:2001-07, Section 5.5.1.2 must be determined on samples aged 28 days. Conformity must be verified on samples aged 28 days within the scope of the conformity control for compressive strength in accordance with DIN EN 206-1:2001-07, Section 8.2.1. Deviation from this principle is only permitted if either</w:t>
      </w:r>
      <w:r w:rsidRPr="0009445C">
        <w:tab/>
      </w:r>
      <w:r w:rsidRPr="0009445C">
        <w:br/>
        <w:t>I)</w:t>
      </w:r>
      <w:r w:rsidRPr="0009445C">
        <w:tab/>
        <w:t xml:space="preserve"> the </w:t>
      </w:r>
      <w:proofErr w:type="spellStart"/>
      <w:r w:rsidRPr="0009445C">
        <w:t>DAfStb</w:t>
      </w:r>
      <w:proofErr w:type="spellEnd"/>
      <w:r w:rsidRPr="0009445C">
        <w:t xml:space="preserve"> Guideline 'Solid concrete structural elements' (2010-04) can be applied and is applied or</w:t>
      </w:r>
    </w:p>
    <w:p w14:paraId="3F71A91D" w14:textId="77777777" w:rsidR="00383B09" w:rsidRPr="0009445C" w:rsidRDefault="00383B09" w:rsidP="00383B09">
      <w:pPr>
        <w:spacing w:line="240" w:lineRule="auto"/>
        <w:rPr>
          <w:rFonts w:cs="Arial"/>
          <w:szCs w:val="18"/>
        </w:rPr>
      </w:pPr>
    </w:p>
    <w:p w14:paraId="067183F9" w14:textId="77777777" w:rsidR="00383B09" w:rsidRPr="0009445C" w:rsidRDefault="00383B09" w:rsidP="00383B09">
      <w:pPr>
        <w:widowControl w:val="0"/>
        <w:tabs>
          <w:tab w:val="left" w:pos="567"/>
        </w:tabs>
        <w:spacing w:after="120" w:line="276" w:lineRule="auto"/>
        <w:jc w:val="both"/>
        <w:rPr>
          <w:rFonts w:cs="Arial"/>
          <w:szCs w:val="18"/>
        </w:rPr>
      </w:pPr>
      <w:r w:rsidRPr="0009445C">
        <w:t>II)</w:t>
      </w:r>
      <w:r w:rsidRPr="0009445C">
        <w:tab/>
        <w:t>the following conditions are met:</w:t>
      </w:r>
    </w:p>
    <w:p w14:paraId="4BE0910B" w14:textId="77777777" w:rsidR="00383B09" w:rsidRPr="0009445C" w:rsidRDefault="00383B09" w:rsidP="005D0C20">
      <w:pPr>
        <w:pStyle w:val="BRLAufzhlungBuchstabe"/>
      </w:pPr>
      <w:r w:rsidRPr="0009445C">
        <w:t>There is a technical requirement to demonstrate compressive strength at a higher testing age. This is the case for example with some high-strength concretes, for low-joint/joint-free constructions and for structural elements with high requirements for crack width limitation.</w:t>
      </w:r>
    </w:p>
    <w:p w14:paraId="01292592" w14:textId="77777777" w:rsidR="00383B09" w:rsidRPr="0009445C" w:rsidRDefault="00383B09" w:rsidP="005D0C20">
      <w:pPr>
        <w:pStyle w:val="BRLAufzhlungBuchstabe"/>
      </w:pPr>
      <w:r w:rsidRPr="0009445C">
        <w:t>The use of concrete is at least subject to the rules for monitoring class 2 in accordance with DIN 1045-3:2012-03, unless higher requirements apply to the compressive strength class. If a higher test age is required, this must be confirmed by the monitoring body within the framework of monitoring the installation of concrete in accordance with DIN 1045-3:2012-03, Annex C.</w:t>
      </w:r>
    </w:p>
    <w:p w14:paraId="22930BF6" w14:textId="77777777" w:rsidR="00383B09" w:rsidRPr="0009445C" w:rsidRDefault="00383B09" w:rsidP="005D0C20">
      <w:pPr>
        <w:pStyle w:val="BRLAufzhlungBuchstabe"/>
      </w:pPr>
      <w:r w:rsidRPr="0009445C">
        <w:t>The construction company draws up a quality assurance plan which sets out, in relation to the project, how the changed test age is taken into account in terms of stripping periods, curing duration and construction process. This quality assurance plan must be submitted to the monitoring body for approval within the framework of monitoring in accordance with DIN 1045-3:2012-03, Annex C, prior to construction.</w:t>
      </w:r>
    </w:p>
    <w:p w14:paraId="7E3E9F80" w14:textId="77777777" w:rsidR="00383B09" w:rsidRPr="0009445C" w:rsidRDefault="00383B09" w:rsidP="005D0C20">
      <w:pPr>
        <w:pStyle w:val="BRLAufzhlungBuchstabe"/>
      </w:pPr>
      <w:r w:rsidRPr="0009445C">
        <w:t>The compressive strength of the concrete after more than 28 days must also be separately indicated on the delivery list and on the delivery note. Regardless of this rule, the manufacturer remains responsible for the agreement with the buyer as required by the standard. The effects on the construction process, in particular with regard to the curing period, durability and stripping periods, should be noted on a case-by-case basis.</w:t>
      </w:r>
    </w:p>
    <w:p w14:paraId="4379F39D" w14:textId="77777777" w:rsidR="00383B09" w:rsidRPr="0009445C" w:rsidRDefault="00383B09" w:rsidP="005D0C20">
      <w:pPr>
        <w:pStyle w:val="BRLAufzhlungBuchstabe"/>
        <w:numPr>
          <w:ilvl w:val="0"/>
          <w:numId w:val="0"/>
        </w:numPr>
        <w:ind w:left="1080"/>
      </w:pPr>
    </w:p>
    <w:p w14:paraId="3883A4E1" w14:textId="7E3C3E19" w:rsidR="00383B09" w:rsidRPr="0009445C" w:rsidRDefault="00383B09" w:rsidP="00383B09">
      <w:pPr>
        <w:widowControl w:val="0"/>
        <w:tabs>
          <w:tab w:val="left" w:pos="567"/>
        </w:tabs>
        <w:spacing w:line="276" w:lineRule="auto"/>
        <w:jc w:val="both"/>
        <w:rPr>
          <w:rFonts w:cs="Arial"/>
          <w:szCs w:val="18"/>
        </w:rPr>
      </w:pPr>
      <w:r w:rsidRPr="0009445C">
        <w:t>6</w:t>
      </w:r>
      <w:r w:rsidRPr="0009445C">
        <w:tab/>
        <w:t>When using reinforced concrete, the '</w:t>
      </w:r>
      <w:proofErr w:type="spellStart"/>
      <w:r w:rsidRPr="0009445C">
        <w:t>DAfStb</w:t>
      </w:r>
      <w:proofErr w:type="spellEnd"/>
      <w:r w:rsidRPr="0009445C">
        <w:t xml:space="preserve"> Guideline for Steel Fibre Reinforced Concrete' (</w:t>
      </w:r>
      <w:proofErr w:type="spellStart"/>
      <w:r w:rsidRPr="0009445C">
        <w:t>DAfStb-Richtlinie</w:t>
      </w:r>
      <w:proofErr w:type="spellEnd"/>
      <w:r w:rsidRPr="0009445C">
        <w:t xml:space="preserve"> </w:t>
      </w:r>
      <w:proofErr w:type="spellStart"/>
      <w:r w:rsidRPr="0009445C">
        <w:t>Stahlfaserbeton</w:t>
      </w:r>
      <w:proofErr w:type="spellEnd"/>
      <w:r w:rsidRPr="0009445C">
        <w:t>) (2021-06), Part 2 and Part 3 shall be observed.</w:t>
      </w:r>
    </w:p>
    <w:p w14:paraId="2D591339" w14:textId="77777777" w:rsidR="00044502" w:rsidRPr="0009445C" w:rsidRDefault="00044502" w:rsidP="00383B09">
      <w:pPr>
        <w:spacing w:line="276" w:lineRule="auto"/>
        <w:jc w:val="both"/>
        <w:rPr>
          <w:szCs w:val="18"/>
        </w:rPr>
      </w:pPr>
    </w:p>
    <w:p w14:paraId="4D43301F" w14:textId="77777777" w:rsidR="00044502" w:rsidRPr="0009445C" w:rsidRDefault="00044502" w:rsidP="00383B09">
      <w:pPr>
        <w:spacing w:line="276" w:lineRule="auto"/>
        <w:jc w:val="both"/>
        <w:rPr>
          <w:szCs w:val="18"/>
        </w:rPr>
      </w:pPr>
    </w:p>
    <w:p w14:paraId="2599FADE" w14:textId="77777777" w:rsidR="00044502" w:rsidRPr="0009445C" w:rsidRDefault="00044502" w:rsidP="00044502">
      <w:pPr>
        <w:pStyle w:val="BRL-Anlage"/>
      </w:pPr>
      <w:r w:rsidRPr="0009445C">
        <w:t>Annex A 1.2.4/1</w:t>
      </w:r>
    </w:p>
    <w:p w14:paraId="1F39D5D1" w14:textId="77777777" w:rsidR="00044502" w:rsidRPr="0009445C" w:rsidRDefault="00044502" w:rsidP="00044502">
      <w:pPr>
        <w:pStyle w:val="BRL-Anlage"/>
      </w:pPr>
    </w:p>
    <w:p w14:paraId="08CC6B20" w14:textId="0BE35719" w:rsidR="00044502" w:rsidRPr="0009445C" w:rsidRDefault="00044502" w:rsidP="00044502">
      <w:pPr>
        <w:pStyle w:val="BRL-AnlageStandard"/>
        <w:jc w:val="left"/>
      </w:pPr>
      <w:r w:rsidRPr="0009445C">
        <w:t>For the execution of steel structural elements or kits according to DIN EN 1993-1-1:2010-12 and DIN EN 1993</w:t>
      </w:r>
      <w:r w:rsidRPr="0009445C">
        <w:noBreakHyphen/>
        <w:t xml:space="preserve"> 1</w:t>
      </w:r>
      <w:r w:rsidRPr="0009445C">
        <w:noBreakHyphen/>
        <w:t xml:space="preserve"> 1/A1:2014-07 in connection with DIN EN 1993-1-1/NA:2018-12, made of aluminium</w:t>
      </w:r>
      <w:r w:rsidRPr="0009445C">
        <w:br/>
        <w:t xml:space="preserve"> according to DIN EN 1999-1-1:2014-03 in connection with DIN EN 1999-1-1/NA:2021-03 or of composite structures or structural elements according to DIN EN 1994-1-1:2010-12 in connection with DIN EN 1994</w:t>
      </w:r>
      <w:r w:rsidRPr="0009445C">
        <w:noBreakHyphen/>
        <w:t xml:space="preserve"> 1</w:t>
      </w:r>
      <w:r w:rsidRPr="0009445C">
        <w:noBreakHyphen/>
        <w:t xml:space="preserve"> 1/NA:2010-12, the following applies:</w:t>
      </w:r>
    </w:p>
    <w:p w14:paraId="253666F2" w14:textId="77777777" w:rsidR="00044502" w:rsidRPr="0009445C" w:rsidRDefault="00044502" w:rsidP="00044502">
      <w:pPr>
        <w:pStyle w:val="BRL-AnlageStandard"/>
      </w:pPr>
    </w:p>
    <w:p w14:paraId="33180DDC" w14:textId="77777777" w:rsidR="00044502" w:rsidRPr="0009445C" w:rsidRDefault="00044502" w:rsidP="00044502">
      <w:pPr>
        <w:pStyle w:val="BRL-AnlageNummerierung"/>
      </w:pPr>
      <w:r w:rsidRPr="0009445C">
        <w:t>1</w:t>
      </w:r>
      <w:r w:rsidRPr="0009445C">
        <w:tab/>
        <w:t>Where load-bearing features of building structural elements or kits are specified in the form of calculated load-bearing values, mechanical strength or complete static calculations in the declaration of performance, these count as structural engineering verifications.</w:t>
      </w:r>
    </w:p>
    <w:p w14:paraId="3CD87063" w14:textId="77777777" w:rsidR="00044502" w:rsidRPr="0009445C" w:rsidRDefault="00044502" w:rsidP="00044502">
      <w:pPr>
        <w:pStyle w:val="BRL-AnlageNummerierung"/>
      </w:pPr>
    </w:p>
    <w:p w14:paraId="565C5A09" w14:textId="77777777" w:rsidR="00044502" w:rsidRPr="0009445C" w:rsidRDefault="00044502" w:rsidP="00044502">
      <w:pPr>
        <w:pStyle w:val="BRL-AnlageNummerierung"/>
        <w:rPr>
          <w:strike/>
        </w:rPr>
      </w:pPr>
      <w:r w:rsidRPr="0009445C">
        <w:t>2</w:t>
      </w:r>
      <w:r w:rsidRPr="0009445C">
        <w:tab/>
        <w:t>The design of load-bearing structures on the basis of tests shall not apply. Exceptions to this are trapezoidal profiles and corrugated profiles made of steel and aluminium, whose load-bearing capacity is also determined on the basis of tests in accordance with Annex A to DIN EN 1993</w:t>
      </w:r>
      <w:r w:rsidRPr="0009445C">
        <w:noBreakHyphen/>
        <w:t>1</w:t>
      </w:r>
      <w:r w:rsidRPr="0009445C">
        <w:noBreakHyphen/>
        <w:t>3:2010</w:t>
      </w:r>
      <w:r w:rsidRPr="0009445C">
        <w:noBreakHyphen/>
        <w:t>12 or Annex A to DIN EN 1999</w:t>
      </w:r>
      <w:r w:rsidRPr="0009445C">
        <w:noBreakHyphen/>
        <w:t>1</w:t>
      </w:r>
      <w:r w:rsidRPr="0009445C">
        <w:noBreakHyphen/>
        <w:t>4:2010</w:t>
      </w:r>
      <w:r w:rsidRPr="0009445C">
        <w:noBreakHyphen/>
        <w:t>05 The test reports and their evaluation in accordance with Annex A to DIN EN 1993</w:t>
      </w:r>
      <w:r w:rsidRPr="0009445C">
        <w:noBreakHyphen/>
        <w:t>1</w:t>
      </w:r>
      <w:r w:rsidRPr="0009445C">
        <w:noBreakHyphen/>
        <w:t>3:2010-12 or Annex A to DIN EN 1999</w:t>
      </w:r>
      <w:r w:rsidRPr="0009445C">
        <w:noBreakHyphen/>
        <w:t>1</w:t>
      </w:r>
      <w:r w:rsidRPr="0009445C">
        <w:noBreakHyphen/>
        <w:t>4:2010</w:t>
      </w:r>
      <w:r w:rsidRPr="0009445C">
        <w:noBreakHyphen/>
        <w:t>05 are part of the structural verifications.</w:t>
      </w:r>
    </w:p>
    <w:p w14:paraId="2FF6DD78" w14:textId="77777777" w:rsidR="00044502" w:rsidRPr="0009445C" w:rsidRDefault="00044502" w:rsidP="00044502">
      <w:pPr>
        <w:pStyle w:val="BRL-AnlageNummerierung"/>
      </w:pPr>
    </w:p>
    <w:p w14:paraId="2C9B0209" w14:textId="77777777" w:rsidR="00383B09" w:rsidRPr="0009445C" w:rsidRDefault="00383B09" w:rsidP="00383B09">
      <w:pPr>
        <w:widowControl w:val="0"/>
        <w:spacing w:line="276" w:lineRule="auto"/>
        <w:rPr>
          <w:szCs w:val="18"/>
        </w:rPr>
      </w:pPr>
    </w:p>
    <w:p w14:paraId="51A9EB03" w14:textId="13B3A019" w:rsidR="00383B09" w:rsidRPr="0009445C" w:rsidRDefault="00383B09" w:rsidP="00044502">
      <w:pPr>
        <w:keepNext/>
        <w:spacing w:line="276" w:lineRule="auto"/>
        <w:rPr>
          <w:b/>
          <w:szCs w:val="18"/>
        </w:rPr>
      </w:pPr>
      <w:r w:rsidRPr="0009445C">
        <w:rPr>
          <w:b/>
        </w:rPr>
        <w:lastRenderedPageBreak/>
        <w:t>Annex A 1.2.4/9</w:t>
      </w:r>
    </w:p>
    <w:p w14:paraId="7EA9A076" w14:textId="77777777" w:rsidR="00383B09" w:rsidRPr="0009445C" w:rsidRDefault="00383B09" w:rsidP="00044502">
      <w:pPr>
        <w:keepNext/>
        <w:spacing w:line="276" w:lineRule="auto"/>
        <w:rPr>
          <w:szCs w:val="18"/>
        </w:rPr>
      </w:pPr>
    </w:p>
    <w:p w14:paraId="4C7DCEEB" w14:textId="77777777" w:rsidR="00383B09" w:rsidRPr="0009445C" w:rsidRDefault="00383B09" w:rsidP="00044502">
      <w:pPr>
        <w:keepNext/>
        <w:rPr>
          <w:b/>
          <w:u w:val="single"/>
        </w:rPr>
      </w:pPr>
      <w:r w:rsidRPr="0009445C">
        <w:t xml:space="preserve">In addition to DIN EN 1993-1-2 and DIN EN 1994-1-2, the emissivity of hot-dip galvanised structural elements may be determined in compliance with the </w:t>
      </w:r>
      <w:proofErr w:type="spellStart"/>
      <w:r w:rsidRPr="0009445C">
        <w:t>DASt</w:t>
      </w:r>
      <w:proofErr w:type="spellEnd"/>
      <w:r w:rsidRPr="0009445C">
        <w:t xml:space="preserve"> Directive 027:2020-11. In this case, it is necessary to ensure that no additional coatings are applied during its entire period of use and no surface-influencing changes are made. Section 6(2) of </w:t>
      </w:r>
      <w:proofErr w:type="spellStart"/>
      <w:r w:rsidRPr="0009445C">
        <w:t>DASt</w:t>
      </w:r>
      <w:proofErr w:type="spellEnd"/>
      <w:r w:rsidRPr="0009445C">
        <w:t xml:space="preserve"> Directive 027:2020-11 shall not apply.</w:t>
      </w:r>
    </w:p>
    <w:p w14:paraId="1177F78C" w14:textId="77777777" w:rsidR="00383B09" w:rsidRPr="0009445C" w:rsidRDefault="00383B09" w:rsidP="00383B09">
      <w:pPr>
        <w:widowControl w:val="0"/>
        <w:spacing w:line="276" w:lineRule="auto"/>
        <w:rPr>
          <w:szCs w:val="18"/>
        </w:rPr>
      </w:pPr>
    </w:p>
    <w:p w14:paraId="42607819" w14:textId="77777777" w:rsidR="00383B09" w:rsidRPr="0009445C" w:rsidRDefault="00383B09" w:rsidP="00383B09">
      <w:pPr>
        <w:widowControl w:val="0"/>
        <w:spacing w:line="276" w:lineRule="auto"/>
        <w:rPr>
          <w:szCs w:val="18"/>
        </w:rPr>
      </w:pPr>
    </w:p>
    <w:p w14:paraId="09EC2071" w14:textId="6A7675AD" w:rsidR="00383B09" w:rsidRPr="0009445C" w:rsidRDefault="00383B09" w:rsidP="00383B09">
      <w:pPr>
        <w:widowControl w:val="0"/>
        <w:spacing w:line="276" w:lineRule="auto"/>
        <w:rPr>
          <w:b/>
          <w:szCs w:val="18"/>
        </w:rPr>
      </w:pPr>
      <w:r w:rsidRPr="0009445C">
        <w:rPr>
          <w:b/>
        </w:rPr>
        <w:t>Annex A 1.2.4/10</w:t>
      </w:r>
    </w:p>
    <w:p w14:paraId="42A53BDC" w14:textId="77777777" w:rsidR="00383B09" w:rsidRPr="0009445C" w:rsidRDefault="00383B09" w:rsidP="00383B09">
      <w:pPr>
        <w:widowControl w:val="0"/>
        <w:spacing w:line="276" w:lineRule="auto"/>
        <w:rPr>
          <w:szCs w:val="18"/>
        </w:rPr>
      </w:pPr>
    </w:p>
    <w:p w14:paraId="57F63239" w14:textId="77777777" w:rsidR="00383B09" w:rsidRPr="0009445C" w:rsidRDefault="00383B09" w:rsidP="00383B09">
      <w:pPr>
        <w:rPr>
          <w:rFonts w:cs="Arial"/>
          <w:szCs w:val="18"/>
        </w:rPr>
      </w:pPr>
      <w:r w:rsidRPr="0009445C">
        <w:t>To DIN EN 1993-1-5/NA:2018-11</w:t>
      </w:r>
    </w:p>
    <w:p w14:paraId="1AF1A39A" w14:textId="77777777" w:rsidR="00383B09" w:rsidRPr="0009445C" w:rsidRDefault="00383B09" w:rsidP="00383B09">
      <w:pPr>
        <w:rPr>
          <w:rFonts w:cs="Arial"/>
          <w:szCs w:val="18"/>
        </w:rPr>
      </w:pPr>
    </w:p>
    <w:p w14:paraId="431E1E31" w14:textId="77777777" w:rsidR="00383B09" w:rsidRPr="0009445C" w:rsidRDefault="00383B09" w:rsidP="00383B09">
      <w:pPr>
        <w:rPr>
          <w:rFonts w:cs="Arial"/>
          <w:szCs w:val="18"/>
        </w:rPr>
      </w:pPr>
      <w:r w:rsidRPr="0009445C">
        <w:t>In DIN EN 1993-1-5/NA:2018-11, ‘DIN EN 1993-1-5:2017-07’ shall be replaced by ‘DIN EN 1993-1-5:2019-10 and DIN EN 1993-1-5 Corrigendum 1:2020-07’.</w:t>
      </w:r>
    </w:p>
    <w:p w14:paraId="75791012" w14:textId="77777777" w:rsidR="00383B09" w:rsidRPr="0009445C" w:rsidRDefault="00383B09" w:rsidP="00383B09">
      <w:pPr>
        <w:widowControl w:val="0"/>
        <w:spacing w:line="276" w:lineRule="auto"/>
        <w:rPr>
          <w:szCs w:val="18"/>
        </w:rPr>
      </w:pPr>
    </w:p>
    <w:p w14:paraId="406A6D50" w14:textId="77777777" w:rsidR="00383B09" w:rsidRPr="0009445C" w:rsidRDefault="00383B09" w:rsidP="00383B09">
      <w:pPr>
        <w:widowControl w:val="0"/>
        <w:spacing w:line="276" w:lineRule="auto"/>
        <w:rPr>
          <w:szCs w:val="18"/>
        </w:rPr>
      </w:pPr>
    </w:p>
    <w:p w14:paraId="4DF069C2" w14:textId="11CD080D" w:rsidR="00383B09" w:rsidRPr="0009445C" w:rsidRDefault="00383B09" w:rsidP="00383B09">
      <w:pPr>
        <w:widowControl w:val="0"/>
        <w:spacing w:line="276" w:lineRule="auto"/>
        <w:rPr>
          <w:b/>
          <w:szCs w:val="18"/>
        </w:rPr>
      </w:pPr>
      <w:r w:rsidRPr="0009445C">
        <w:rPr>
          <w:b/>
        </w:rPr>
        <w:t>Annex A 1.2.4/11</w:t>
      </w:r>
    </w:p>
    <w:p w14:paraId="1B160D32" w14:textId="77777777" w:rsidR="00383B09" w:rsidRPr="0009445C" w:rsidRDefault="00383B09" w:rsidP="00383B09">
      <w:pPr>
        <w:widowControl w:val="0"/>
        <w:spacing w:line="276" w:lineRule="auto"/>
        <w:rPr>
          <w:szCs w:val="18"/>
        </w:rPr>
      </w:pPr>
    </w:p>
    <w:p w14:paraId="38050936" w14:textId="77777777" w:rsidR="00383B09" w:rsidRPr="0009445C" w:rsidRDefault="00383B09" w:rsidP="00383B09">
      <w:pPr>
        <w:spacing w:line="260" w:lineRule="exact"/>
        <w:rPr>
          <w:rFonts w:cs="Arial"/>
          <w:szCs w:val="18"/>
        </w:rPr>
      </w:pPr>
      <w:r w:rsidRPr="0009445C">
        <w:t>To DIN EN 1993-1-8:2010-12</w:t>
      </w:r>
    </w:p>
    <w:p w14:paraId="343F327C" w14:textId="77777777" w:rsidR="00383B09" w:rsidRPr="0009445C" w:rsidRDefault="00383B09" w:rsidP="00383B09">
      <w:pPr>
        <w:spacing w:line="260" w:lineRule="exact"/>
        <w:rPr>
          <w:rFonts w:cs="Arial"/>
          <w:szCs w:val="18"/>
        </w:rPr>
      </w:pPr>
    </w:p>
    <w:p w14:paraId="77809F07" w14:textId="77777777" w:rsidR="00383B09" w:rsidRPr="0009445C" w:rsidRDefault="00383B09" w:rsidP="00383B09">
      <w:pPr>
        <w:spacing w:line="260" w:lineRule="exact"/>
        <w:rPr>
          <w:rFonts w:cs="Arial"/>
          <w:szCs w:val="18"/>
        </w:rPr>
      </w:pPr>
      <w:r w:rsidRPr="0009445C">
        <w:t>In the absence of a technical best practice for the planning, designing and execution of connections using injection screws, proof according to § 16a MBO</w:t>
      </w:r>
      <w:r w:rsidRPr="0009445C">
        <w:rPr>
          <w:vertAlign w:val="superscript"/>
        </w:rPr>
        <w:t xml:space="preserve"> 1</w:t>
      </w:r>
      <w:r w:rsidRPr="0009445C">
        <w:t xml:space="preserve"> is required.</w:t>
      </w:r>
    </w:p>
    <w:p w14:paraId="1C61C389" w14:textId="77777777" w:rsidR="00383B09" w:rsidRPr="0009445C" w:rsidRDefault="00383B09" w:rsidP="00383B09">
      <w:pPr>
        <w:spacing w:line="260" w:lineRule="exact"/>
        <w:rPr>
          <w:rFonts w:cs="Arial"/>
          <w:szCs w:val="18"/>
        </w:rPr>
      </w:pPr>
    </w:p>
    <w:p w14:paraId="6D971923" w14:textId="77777777" w:rsidR="00383B09" w:rsidRPr="0009445C" w:rsidRDefault="00383B09" w:rsidP="00383B09">
      <w:pPr>
        <w:spacing w:line="260" w:lineRule="exact"/>
        <w:rPr>
          <w:rFonts w:cs="Arial"/>
          <w:szCs w:val="18"/>
        </w:rPr>
      </w:pPr>
      <w:r w:rsidRPr="0009445C">
        <w:t>To DIN EN 1993-1-8/NA:2020-11, Annex NA.A</w:t>
      </w:r>
    </w:p>
    <w:p w14:paraId="58AC40A9" w14:textId="77777777" w:rsidR="00383B09" w:rsidRPr="0009445C" w:rsidRDefault="00383B09" w:rsidP="00383B09">
      <w:pPr>
        <w:spacing w:line="260" w:lineRule="exact"/>
        <w:rPr>
          <w:rFonts w:cs="Arial"/>
          <w:szCs w:val="18"/>
        </w:rPr>
      </w:pPr>
    </w:p>
    <w:p w14:paraId="6339716D" w14:textId="77777777" w:rsidR="00383B09" w:rsidRPr="0009445C" w:rsidRDefault="00383B09" w:rsidP="00383B09">
      <w:pPr>
        <w:widowControl w:val="0"/>
        <w:spacing w:line="276" w:lineRule="auto"/>
        <w:rPr>
          <w:rFonts w:cs="Arial"/>
          <w:szCs w:val="18"/>
        </w:rPr>
      </w:pPr>
      <w:r w:rsidRPr="0009445C">
        <w:t xml:space="preserve">The definition of tightening procedures and/or tightening parameters through procedure tests (see Sections 5 and 9 of the </w:t>
      </w:r>
      <w:proofErr w:type="spellStart"/>
      <w:r w:rsidRPr="0009445C">
        <w:t>DASt</w:t>
      </w:r>
      <w:proofErr w:type="spellEnd"/>
      <w:r w:rsidRPr="0009445C">
        <w:t xml:space="preserve"> Directive 024:2018) is not applicable.</w:t>
      </w:r>
    </w:p>
    <w:p w14:paraId="2DC1613A" w14:textId="77777777" w:rsidR="0087663A" w:rsidRPr="0009445C" w:rsidRDefault="0087663A" w:rsidP="00383B09">
      <w:pPr>
        <w:widowControl w:val="0"/>
        <w:spacing w:line="276" w:lineRule="auto"/>
        <w:rPr>
          <w:szCs w:val="18"/>
        </w:rPr>
      </w:pPr>
    </w:p>
    <w:p w14:paraId="6EBBC6DC" w14:textId="77777777" w:rsidR="0087663A" w:rsidRPr="0009445C" w:rsidRDefault="0087663A" w:rsidP="00383B09">
      <w:pPr>
        <w:widowControl w:val="0"/>
        <w:spacing w:line="276" w:lineRule="auto"/>
        <w:rPr>
          <w:szCs w:val="18"/>
        </w:rPr>
      </w:pPr>
    </w:p>
    <w:p w14:paraId="34C8C921" w14:textId="77777777" w:rsidR="0087663A" w:rsidRPr="0009445C" w:rsidRDefault="0087663A" w:rsidP="0087663A">
      <w:pPr>
        <w:pStyle w:val="BRL-Anlage"/>
      </w:pPr>
      <w:r w:rsidRPr="0009445C">
        <w:t>Annex A 1.2.5/1</w:t>
      </w:r>
    </w:p>
    <w:p w14:paraId="15D8BD59" w14:textId="77777777" w:rsidR="0087663A" w:rsidRPr="0009445C" w:rsidRDefault="0087663A" w:rsidP="0087663A">
      <w:pPr>
        <w:pStyle w:val="BRL-Anlage"/>
      </w:pPr>
    </w:p>
    <w:p w14:paraId="36E4C850" w14:textId="77777777" w:rsidR="0087663A" w:rsidRPr="0009445C" w:rsidRDefault="0087663A" w:rsidP="0087663A">
      <w:pPr>
        <w:pStyle w:val="BRL-AnlageNummerierung"/>
      </w:pPr>
      <w:r w:rsidRPr="0009445C">
        <w:t>1</w:t>
      </w:r>
      <w:r w:rsidRPr="0009445C">
        <w:tab/>
        <w:t>In addition to DIN EN 1995-1-1:2010-12, DIN EN 1995-1-1/A2:2014-07 and DIN EN 1995-1-1/NA:2013-08, the following application standards must also be observed in the planning, designing and execution:</w:t>
      </w:r>
    </w:p>
    <w:p w14:paraId="01E57BC2" w14:textId="77777777" w:rsidR="0087663A" w:rsidRPr="0009445C" w:rsidRDefault="0087663A" w:rsidP="0087663A">
      <w:pPr>
        <w:pStyle w:val="BRL-AnlageNummerierung"/>
      </w:pPr>
    </w:p>
    <w:p w14:paraId="5BC97B05" w14:textId="77777777" w:rsidR="0087663A" w:rsidRPr="0009445C" w:rsidRDefault="0087663A" w:rsidP="0087663A">
      <w:pPr>
        <w:pStyle w:val="BRL-AnlageStandard"/>
        <w:ind w:left="2127" w:hanging="2127"/>
      </w:pPr>
      <w:r w:rsidRPr="0009445C">
        <w:t xml:space="preserve">DIN 20000-1:2017-06 </w:t>
      </w:r>
      <w:r w:rsidRPr="0009445C">
        <w:tab/>
        <w:t>Application of construction products in structures – Part 1: Wood based panels</w:t>
      </w:r>
    </w:p>
    <w:p w14:paraId="5B815BD7" w14:textId="77777777" w:rsidR="0087663A" w:rsidRPr="0009445C" w:rsidRDefault="0087663A" w:rsidP="0087663A">
      <w:pPr>
        <w:pStyle w:val="BRL-AnlageStandard"/>
        <w:ind w:left="2127" w:hanging="2127"/>
      </w:pPr>
      <w:r w:rsidRPr="0009445C">
        <w:t xml:space="preserve">DIN 20000-3:2015-02 </w:t>
      </w:r>
      <w:r w:rsidRPr="0009445C">
        <w:tab/>
        <w:t>Application of construction products in structures – Part 3: Glued laminated timber and glued solid timber according to DIN EN 14080</w:t>
      </w:r>
    </w:p>
    <w:p w14:paraId="0CAD1C9A" w14:textId="77777777" w:rsidR="0087663A" w:rsidRPr="0009445C" w:rsidRDefault="0087663A" w:rsidP="0087663A">
      <w:pPr>
        <w:pStyle w:val="BRL-AnlageStandard"/>
        <w:ind w:left="2127" w:hanging="2127"/>
      </w:pPr>
      <w:r w:rsidRPr="0009445C">
        <w:t>DIN 20000-4:2013-08</w:t>
      </w:r>
      <w:r w:rsidRPr="0009445C">
        <w:tab/>
        <w:t>Application of construction products in structures – Part 4: Prefabricated structural members assembled with punched metal plate fasteners according to DIN EN 14250:2010-05</w:t>
      </w:r>
    </w:p>
    <w:p w14:paraId="682EFD16" w14:textId="2B910F5C" w:rsidR="00573746" w:rsidRPr="0009445C" w:rsidRDefault="0087663A" w:rsidP="0087663A">
      <w:pPr>
        <w:pStyle w:val="BRL-AnlageStandard"/>
        <w:ind w:left="2127" w:hanging="2127"/>
      </w:pPr>
      <w:r w:rsidRPr="0009445C">
        <w:t>DIN 20000-5:2016-06</w:t>
      </w:r>
    </w:p>
    <w:p w14:paraId="6DB01739" w14:textId="77777777" w:rsidR="00573746" w:rsidRPr="0009445C" w:rsidRDefault="00573746" w:rsidP="0087663A">
      <w:pPr>
        <w:pStyle w:val="BRL-AnlageStandard"/>
        <w:ind w:left="2127" w:hanging="2127"/>
      </w:pPr>
      <w:r w:rsidRPr="0009445C">
        <w:t>and</w:t>
      </w:r>
    </w:p>
    <w:p w14:paraId="1777C492" w14:textId="77777777" w:rsidR="0087663A" w:rsidRPr="0009445C" w:rsidRDefault="00573746" w:rsidP="0087663A">
      <w:pPr>
        <w:pStyle w:val="BRL-AnlageStandard"/>
        <w:ind w:left="2127" w:hanging="2127"/>
      </w:pPr>
      <w:r w:rsidRPr="0009445C">
        <w:t>DIN 20000-5/A1:2021-06</w:t>
      </w:r>
      <w:r w:rsidRPr="0009445C">
        <w:tab/>
        <w:t>Application of construction products in structures – Part 5: Strength graded structural timber with rectangular cross section</w:t>
      </w:r>
    </w:p>
    <w:p w14:paraId="68BCC704" w14:textId="77777777" w:rsidR="0087663A" w:rsidRPr="0009445C" w:rsidRDefault="0087663A" w:rsidP="0087663A">
      <w:pPr>
        <w:pStyle w:val="BRL-AnlageStandard"/>
        <w:ind w:left="2127" w:hanging="2127"/>
      </w:pPr>
      <w:r w:rsidRPr="0009445C">
        <w:t>DIN 20000-6:2015-02</w:t>
      </w:r>
      <w:r w:rsidRPr="0009445C">
        <w:tab/>
        <w:t>Application of construction products in structures – Part 6: Dowel-type fasteners and connectors according to DIN EN 14592 and DIN EN 14545</w:t>
      </w:r>
    </w:p>
    <w:p w14:paraId="2D2BC437" w14:textId="77777777" w:rsidR="0087663A" w:rsidRPr="0009445C" w:rsidRDefault="0087663A" w:rsidP="0087663A">
      <w:pPr>
        <w:pStyle w:val="BRL-AnlageStandard"/>
        <w:ind w:left="2127" w:hanging="2127"/>
      </w:pPr>
      <w:r w:rsidRPr="0009445C">
        <w:t xml:space="preserve">DIN 20000-7:2015-08 </w:t>
      </w:r>
      <w:r w:rsidRPr="0009445C">
        <w:tab/>
        <w:t>Application of construction products in structures – Part 7: Structural finger jointed solid timber according to DIN EN 15497</w:t>
      </w:r>
    </w:p>
    <w:p w14:paraId="03132AB5" w14:textId="77777777" w:rsidR="0087663A" w:rsidRPr="0009445C" w:rsidRDefault="0087663A" w:rsidP="0087663A">
      <w:pPr>
        <w:pStyle w:val="BRL-AnlageStandard"/>
      </w:pPr>
    </w:p>
    <w:p w14:paraId="115A0220" w14:textId="77777777" w:rsidR="0087663A" w:rsidRPr="0009445C" w:rsidRDefault="0087663A" w:rsidP="0087663A">
      <w:pPr>
        <w:pStyle w:val="BRL-AnlageNummerierung"/>
      </w:pPr>
      <w:r w:rsidRPr="0009445C">
        <w:t>1a</w:t>
      </w:r>
      <w:r w:rsidRPr="0009445C">
        <w:tab/>
        <w:t>In the absence of a technical best practice for the planning, designing and execution, proof according to § 16a MBO</w:t>
      </w:r>
      <w:r w:rsidRPr="0009445C">
        <w:rPr>
          <w:vertAlign w:val="superscript"/>
        </w:rPr>
        <w:t>1</w:t>
      </w:r>
      <w:r w:rsidRPr="0009445C">
        <w:t xml:space="preserve"> is required when using structural elements with laminated veneer lumber according to DIN EN 1995 </w:t>
      </w:r>
      <w:r w:rsidRPr="0009445C">
        <w:noBreakHyphen/>
        <w:t>1</w:t>
      </w:r>
      <w:r w:rsidRPr="0009445C">
        <w:noBreakHyphen/>
        <w:t>1:2010-12 and DIN EN 1995-1-1/A2:2014-07 with DIN EN 1995-1-1/NA:2013-08, especially for connections.</w:t>
      </w:r>
    </w:p>
    <w:p w14:paraId="45104B16" w14:textId="77777777" w:rsidR="0087663A" w:rsidRPr="0009445C" w:rsidRDefault="0087663A" w:rsidP="0087663A">
      <w:pPr>
        <w:pStyle w:val="BRL-AnlageNummerierung"/>
      </w:pPr>
    </w:p>
    <w:p w14:paraId="1D1D6416" w14:textId="77777777" w:rsidR="0087663A" w:rsidRPr="0009445C" w:rsidRDefault="0087663A" w:rsidP="0087663A">
      <w:pPr>
        <w:pStyle w:val="BRL-AnlageNummerierung"/>
      </w:pPr>
      <w:r w:rsidRPr="0009445C">
        <w:t>2</w:t>
      </w:r>
      <w:r w:rsidRPr="0009445C">
        <w:tab/>
        <w:t>Re. DIN EN 1995-1-1/NA:2013-08, Section 3.6 ‘Adhesives’:</w:t>
      </w:r>
    </w:p>
    <w:p w14:paraId="0B955259" w14:textId="77777777" w:rsidR="0087663A" w:rsidRPr="0009445C" w:rsidRDefault="0087663A" w:rsidP="0087663A">
      <w:pPr>
        <w:pStyle w:val="BRL-AnlageNummerierung"/>
      </w:pPr>
      <w:r w:rsidRPr="0009445C">
        <w:t>Wood structural elements with glued load-bearing joints may only be used if these joints have been manufactured with adhesives that are classified as type I according to DIN EN 301:2013-12 or DIN EN 15425:2008-06 in conjunction with EN 14080:2013</w:t>
      </w:r>
      <w:r w:rsidRPr="0009445C">
        <w:rPr>
          <w:vertAlign w:val="superscript"/>
        </w:rPr>
        <w:t>2</w:t>
      </w:r>
      <w:r w:rsidRPr="0009445C">
        <w:t>, Annex B.2 or classified according to DIN EN 16254:2014</w:t>
      </w:r>
      <w:r w:rsidRPr="0009445C">
        <w:noBreakHyphen/>
        <w:t>02. This does not apply to joints of elements in wood-based materials.</w:t>
      </w:r>
    </w:p>
    <w:p w14:paraId="7A84D634" w14:textId="77777777" w:rsidR="0087663A" w:rsidRPr="0009445C" w:rsidRDefault="0087663A" w:rsidP="0087663A">
      <w:pPr>
        <w:pStyle w:val="BRL-AnlageNummerierung"/>
      </w:pPr>
      <w:r w:rsidRPr="0009445C">
        <w:lastRenderedPageBreak/>
        <w:t>Sentence 1 applies correspondingly to the manufacture of glued, load-bearing joints of timber materials on site.</w:t>
      </w:r>
    </w:p>
    <w:p w14:paraId="551A79BB" w14:textId="77777777" w:rsidR="0087663A" w:rsidRPr="0009445C" w:rsidRDefault="0087663A" w:rsidP="0087663A">
      <w:pPr>
        <w:pStyle w:val="BRL-AnlageNummerierung"/>
      </w:pPr>
      <w:r w:rsidRPr="0009445C">
        <w:t>In the absence of a technical best practice for the planning, designing and execution, proof according to § 16a MBO</w:t>
      </w:r>
      <w:r w:rsidRPr="0009445C">
        <w:rPr>
          <w:vertAlign w:val="superscript"/>
        </w:rPr>
        <w:t>1</w:t>
      </w:r>
      <w:r w:rsidRPr="0009445C">
        <w:t xml:space="preserve"> is required when using timber construction products and bonded joints on timber structural elements that have been manufactured using adhesives for general usage in structural adhesive bonds according to EN 15274:2015</w:t>
      </w:r>
      <w:r w:rsidRPr="0009445C">
        <w:rPr>
          <w:vertAlign w:val="superscript"/>
        </w:rPr>
        <w:t>3</w:t>
      </w:r>
      <w:r w:rsidRPr="0009445C">
        <w:t xml:space="preserve"> or repaired with these adhesives.</w:t>
      </w:r>
    </w:p>
    <w:p w14:paraId="73BCEA0D" w14:textId="77777777" w:rsidR="0087663A" w:rsidRPr="0009445C" w:rsidRDefault="0087663A" w:rsidP="0087663A">
      <w:pPr>
        <w:pStyle w:val="BRL-AnlageNummerierung"/>
      </w:pPr>
    </w:p>
    <w:p w14:paraId="316BDCE0" w14:textId="77777777" w:rsidR="0087663A" w:rsidRPr="0009445C" w:rsidRDefault="0087663A" w:rsidP="0087663A">
      <w:pPr>
        <w:pStyle w:val="BRL-AnlageNummerierung"/>
      </w:pPr>
      <w:r w:rsidRPr="0009445C">
        <w:t>3</w:t>
      </w:r>
      <w:r w:rsidRPr="0009445C">
        <w:tab/>
        <w:t>Regarding ETAs for ‘Beams made of one to four finger-jointed timbers that are tested for tensile strength’:</w:t>
      </w:r>
    </w:p>
    <w:p w14:paraId="12054370" w14:textId="77777777" w:rsidR="0087663A" w:rsidRPr="0009445C" w:rsidRDefault="0087663A" w:rsidP="0087663A">
      <w:pPr>
        <w:pStyle w:val="BRL-AnlageNummerierung"/>
      </w:pPr>
      <w:r w:rsidRPr="0009445C">
        <w:t xml:space="preserve">When designing beams, the test load coefficient must be set to a value of </w:t>
      </w:r>
      <w:proofErr w:type="spellStart"/>
      <w:r w:rsidRPr="0009445C">
        <w:t>k</w:t>
      </w:r>
      <w:r w:rsidRPr="0009445C">
        <w:rPr>
          <w:vertAlign w:val="subscript"/>
        </w:rPr>
        <w:t>pl</w:t>
      </w:r>
      <w:proofErr w:type="spellEnd"/>
      <w:r w:rsidRPr="0009445C">
        <w:t xml:space="preserve"> = 1.0.</w:t>
      </w:r>
    </w:p>
    <w:p w14:paraId="6EF8CCCB" w14:textId="77777777" w:rsidR="0087663A" w:rsidRPr="0009445C" w:rsidRDefault="0087663A" w:rsidP="0087663A">
      <w:pPr>
        <w:pStyle w:val="BRL-AnlageNummerierung"/>
      </w:pPr>
    </w:p>
    <w:p w14:paraId="59D56EEC" w14:textId="77777777" w:rsidR="0087663A" w:rsidRPr="0009445C" w:rsidRDefault="0087663A" w:rsidP="0087663A">
      <w:pPr>
        <w:pStyle w:val="BRL-AnlageNummerierung"/>
      </w:pPr>
      <w:r w:rsidRPr="0009445C">
        <w:t>4</w:t>
      </w:r>
      <w:r w:rsidRPr="0009445C">
        <w:tab/>
        <w:t>In the absence of a technical best practice for the planning, designing and execution when using kits for wood-concrete composite systems according to ETA, proof pursuant to § 16a MBO</w:t>
      </w:r>
      <w:r w:rsidRPr="0009445C">
        <w:rPr>
          <w:vertAlign w:val="superscript"/>
        </w:rPr>
        <w:t>1</w:t>
      </w:r>
      <w:r w:rsidRPr="0009445C">
        <w:t xml:space="preserve"> is required.</w:t>
      </w:r>
    </w:p>
    <w:p w14:paraId="6C0D3237" w14:textId="77777777" w:rsidR="0087663A" w:rsidRPr="0009445C" w:rsidRDefault="0087663A" w:rsidP="0087663A">
      <w:pPr>
        <w:pStyle w:val="BRL-AnlageNummerierung"/>
      </w:pPr>
    </w:p>
    <w:p w14:paraId="514C6A0E" w14:textId="77777777" w:rsidR="0087663A" w:rsidRPr="0009445C" w:rsidRDefault="0087663A" w:rsidP="0087663A">
      <w:pPr>
        <w:pStyle w:val="BRL-AnlageNummerierung"/>
      </w:pPr>
      <w:r w:rsidRPr="0009445C">
        <w:t>5</w:t>
      </w:r>
      <w:r w:rsidRPr="0009445C">
        <w:tab/>
        <w:t>Re. EAD 130022-00-03.04:</w:t>
      </w:r>
    </w:p>
    <w:p w14:paraId="7B8D8182" w14:textId="77777777" w:rsidR="0087663A" w:rsidRPr="0009445C" w:rsidRDefault="0087663A" w:rsidP="0087663A">
      <w:pPr>
        <w:pStyle w:val="BRL-AnlageNummerierung"/>
      </w:pPr>
      <w:r w:rsidRPr="0009445C">
        <w:t>Solid wood and glued laminated timber with finger joints may be used in service class 1 and 2. Only ‘beam log’ type beams may be used.</w:t>
      </w:r>
    </w:p>
    <w:p w14:paraId="7EAE640A" w14:textId="77777777" w:rsidR="0087663A" w:rsidRPr="0009445C" w:rsidRDefault="0087663A" w:rsidP="0087663A">
      <w:pPr>
        <w:pStyle w:val="BRL-AnlageNummerierung"/>
      </w:pPr>
    </w:p>
    <w:p w14:paraId="0340D1BE" w14:textId="77777777" w:rsidR="0087663A" w:rsidRPr="0009445C" w:rsidRDefault="0087663A" w:rsidP="0087663A">
      <w:pPr>
        <w:pStyle w:val="BRL-AnlageNummerierung"/>
      </w:pPr>
      <w:r w:rsidRPr="0009445C">
        <w:t>6</w:t>
      </w:r>
      <w:r w:rsidRPr="0009445C">
        <w:tab/>
        <w:t>Where load-bearing features of building structural elements or kits are specified in the form of calculated load-bearing values, mechanical strength or complete static calculations in the declaration of performance, these count as structural engineering verifications.</w:t>
      </w:r>
    </w:p>
    <w:p w14:paraId="68BB0E1C" w14:textId="77777777" w:rsidR="0087663A" w:rsidRPr="0009445C" w:rsidRDefault="0087663A" w:rsidP="0087663A">
      <w:pPr>
        <w:keepNext/>
        <w:spacing w:line="240" w:lineRule="exact"/>
      </w:pPr>
      <w:r w:rsidRPr="0009445C">
        <w:t>__________</w:t>
      </w:r>
    </w:p>
    <w:p w14:paraId="6B1928D4" w14:textId="77777777" w:rsidR="0087663A" w:rsidRPr="0009445C" w:rsidRDefault="0087663A" w:rsidP="0087663A">
      <w:pPr>
        <w:pStyle w:val="BRL-Funote"/>
      </w:pPr>
      <w:r w:rsidRPr="0009445C">
        <w:t>1</w:t>
      </w:r>
      <w:r w:rsidRPr="0009445C">
        <w:tab/>
        <w:t>According to national law</w:t>
      </w:r>
    </w:p>
    <w:p w14:paraId="3F4049FF" w14:textId="77777777" w:rsidR="0087663A" w:rsidRPr="0009445C" w:rsidRDefault="0087663A" w:rsidP="0087663A">
      <w:pPr>
        <w:pStyle w:val="BRL-Funote"/>
      </w:pPr>
      <w:r w:rsidRPr="0009445C">
        <w:t>2</w:t>
      </w:r>
      <w:r w:rsidRPr="0009445C">
        <w:tab/>
        <w:t>Implemented in Germany by DIN EN 14080:2013-09.</w:t>
      </w:r>
    </w:p>
    <w:p w14:paraId="20639494" w14:textId="77777777" w:rsidR="0087663A" w:rsidRPr="0009445C" w:rsidRDefault="0087663A" w:rsidP="0087663A">
      <w:pPr>
        <w:pStyle w:val="BRL-Funote"/>
      </w:pPr>
      <w:r w:rsidRPr="0009445C">
        <w:t>3</w:t>
      </w:r>
      <w:r w:rsidRPr="0009445C">
        <w:tab/>
        <w:t>Implemented in Germany by DIN EN 15274:2015-06.</w:t>
      </w:r>
    </w:p>
    <w:p w14:paraId="2747BC8C" w14:textId="77777777" w:rsidR="0087663A" w:rsidRPr="0009445C" w:rsidRDefault="0087663A" w:rsidP="0087663A">
      <w:pPr>
        <w:pStyle w:val="BRL-Standard"/>
      </w:pPr>
    </w:p>
    <w:p w14:paraId="061904FB" w14:textId="77777777" w:rsidR="0087663A" w:rsidRPr="0009445C" w:rsidRDefault="0087663A" w:rsidP="0087663A">
      <w:pPr>
        <w:pStyle w:val="BRL-Standard"/>
      </w:pPr>
    </w:p>
    <w:p w14:paraId="08E0B48E" w14:textId="77777777" w:rsidR="00573746" w:rsidRPr="0009445C" w:rsidRDefault="00573746" w:rsidP="00573746">
      <w:pPr>
        <w:pStyle w:val="BRL-Anlage"/>
      </w:pPr>
      <w:r w:rsidRPr="0009445C">
        <w:t>Annex A 1.2.9/1</w:t>
      </w:r>
    </w:p>
    <w:p w14:paraId="2F7B54DF" w14:textId="77777777" w:rsidR="00573746" w:rsidRPr="0009445C" w:rsidRDefault="00573746" w:rsidP="00573746">
      <w:pPr>
        <w:pStyle w:val="BRL-Anlage"/>
      </w:pPr>
    </w:p>
    <w:p w14:paraId="2973CC13" w14:textId="77777777" w:rsidR="00573746" w:rsidRPr="0009445C" w:rsidRDefault="00573746" w:rsidP="00573746">
      <w:pPr>
        <w:pStyle w:val="BRL-Anlage"/>
      </w:pPr>
      <w:r w:rsidRPr="0009445C">
        <w:t>Re DIN 4149</w:t>
      </w:r>
    </w:p>
    <w:p w14:paraId="5A68BF4E" w14:textId="77777777" w:rsidR="00573746" w:rsidRPr="0009445C" w:rsidRDefault="00573746" w:rsidP="00573746">
      <w:pPr>
        <w:pStyle w:val="BRL-Anlage"/>
      </w:pPr>
    </w:p>
    <w:p w14:paraId="7F7FFB55" w14:textId="77777777" w:rsidR="00573746" w:rsidRPr="0009445C" w:rsidRDefault="00573746" w:rsidP="00573746">
      <w:pPr>
        <w:pStyle w:val="BRL-AnlageStandard"/>
      </w:pPr>
      <w:r w:rsidRPr="0009445C">
        <w:t>The following must be observed when applying the Technical Rule:</w:t>
      </w:r>
    </w:p>
    <w:p w14:paraId="6BD9F093" w14:textId="77777777" w:rsidR="00573746" w:rsidRPr="0009445C" w:rsidRDefault="00573746" w:rsidP="00573746">
      <w:pPr>
        <w:pStyle w:val="BRL-AnlageStandard"/>
      </w:pPr>
    </w:p>
    <w:p w14:paraId="22EF2B9E" w14:textId="77777777" w:rsidR="00573746" w:rsidRPr="0009445C" w:rsidRDefault="00573746" w:rsidP="00573746">
      <w:pPr>
        <w:pStyle w:val="BRL-AnlageNummerierung"/>
      </w:pPr>
      <w:r w:rsidRPr="0009445C">
        <w:t>1</w:t>
      </w:r>
      <w:r w:rsidRPr="0009445C">
        <w:tab/>
        <w:t>In earthquake zone 3, roofing on roofs with more than 35° inclination, and in earthquake zones 2 and 3 the free-standing parts of the chimneys over the roofs, must be secured against the effects of earthquakes using appropriate measures to ensure that no parts can fall on adjacent public thoroughfares or on entrances to the structural works.</w:t>
      </w:r>
    </w:p>
    <w:p w14:paraId="4C691BBF" w14:textId="77777777" w:rsidR="00573746" w:rsidRPr="0009445C" w:rsidRDefault="00573746" w:rsidP="00573746">
      <w:pPr>
        <w:pStyle w:val="BRL-AnlageNummerierung"/>
      </w:pPr>
    </w:p>
    <w:p w14:paraId="775A55EF" w14:textId="77777777" w:rsidR="00573746" w:rsidRPr="0009445C" w:rsidRDefault="00573746" w:rsidP="00573746">
      <w:pPr>
        <w:pStyle w:val="BRL-AnlageNummerierung"/>
      </w:pPr>
      <w:r w:rsidRPr="0009445C">
        <w:t>2</w:t>
      </w:r>
      <w:r w:rsidRPr="0009445C">
        <w:tab/>
        <w:t>In terms of the allocation of earthquake zones and geological underground classes, refer to the map of earthquake zones and geological underground classes for xxx</w:t>
      </w:r>
      <w:r w:rsidRPr="0009445C">
        <w:rPr>
          <w:vertAlign w:val="superscript"/>
        </w:rPr>
        <w:t>1)</w:t>
      </w:r>
      <w:r w:rsidRPr="0009445C">
        <w:t>, published by xxx</w:t>
      </w:r>
      <w:r w:rsidRPr="0009445C">
        <w:rPr>
          <w:vertAlign w:val="superscript"/>
        </w:rPr>
        <w:t>1)</w:t>
      </w:r>
      <w:r w:rsidRPr="0009445C">
        <w:t xml:space="preserve"> or </w:t>
      </w:r>
      <w:proofErr w:type="spellStart"/>
      <w:r w:rsidRPr="0009445C">
        <w:t>DigitalService</w:t>
      </w:r>
      <w:proofErr w:type="spellEnd"/>
      <w:r w:rsidRPr="0009445C">
        <w:t xml:space="preserve"> CD-PRINT, </w:t>
      </w:r>
      <w:proofErr w:type="spellStart"/>
      <w:r w:rsidRPr="0009445C">
        <w:t>Isener</w:t>
      </w:r>
      <w:proofErr w:type="spellEnd"/>
      <w:r w:rsidRPr="0009445C">
        <w:t xml:space="preserve"> Str. 7, 84405 </w:t>
      </w:r>
      <w:proofErr w:type="spellStart"/>
      <w:r w:rsidRPr="0009445C">
        <w:t>Dorfen</w:t>
      </w:r>
      <w:proofErr w:type="spellEnd"/>
      <w:r w:rsidRPr="0009445C">
        <w:t>. The table ‘Classification of earthquake zones according to administrative limits’ is available at https://www.dibt.de/de/wir-bieten/technische-baubestimmungen.</w:t>
      </w:r>
    </w:p>
    <w:p w14:paraId="5F9FB313" w14:textId="77777777" w:rsidR="00573746" w:rsidRPr="0009445C" w:rsidRDefault="00573746" w:rsidP="00573746">
      <w:pPr>
        <w:pStyle w:val="BRL-AnlageNummerierung"/>
      </w:pPr>
    </w:p>
    <w:p w14:paraId="0CA5C67C" w14:textId="77777777" w:rsidR="00573746" w:rsidRPr="0009445C" w:rsidRDefault="00573746" w:rsidP="00573746">
      <w:pPr>
        <w:pStyle w:val="BRL-AnlageNummerierung"/>
      </w:pPr>
      <w:r w:rsidRPr="0009445C">
        <w:t>2a</w:t>
      </w:r>
      <w:r w:rsidRPr="0009445C">
        <w:tab/>
        <w:t>The references to DIN 1045-1:2001-07 and DIN 1052:2004-08 are replaced as follows throughout the standard text:</w:t>
      </w:r>
    </w:p>
    <w:p w14:paraId="4EBC29B6" w14:textId="77777777" w:rsidR="00573746" w:rsidRPr="0009445C" w:rsidRDefault="00573746" w:rsidP="00573746">
      <w:pPr>
        <w:pStyle w:val="BRL-AnlageNummerierung"/>
      </w:pPr>
      <w:r w:rsidRPr="0009445C">
        <w:t>DIN 1045-1:2001-07 replaced by reference to DIN EN 1992-1-1:2011-01 and DIN EN 1992-1-1/A1:2015-03 in conjunction with DIN EN 1992-1-1/NA:2013-04 and DIN EN 1992-1-1/NA/A1:2015-12,</w:t>
      </w:r>
    </w:p>
    <w:p w14:paraId="2398FA78" w14:textId="77777777" w:rsidR="00573746" w:rsidRPr="0009445C" w:rsidRDefault="00573746" w:rsidP="00573746">
      <w:pPr>
        <w:pStyle w:val="BRL-AnlageNummerierung"/>
      </w:pPr>
      <w:r w:rsidRPr="0009445C">
        <w:t>DIN 1052:2004-08 replaced by reference to DIN EN 1995-1-1:2010-12 and DIN EN 1995-1-1/A2:2014-07 in conjunction with DIN EN 1995-1-1/NA:2013-08.</w:t>
      </w:r>
    </w:p>
    <w:p w14:paraId="3ECD8EC8" w14:textId="77777777" w:rsidR="00573746" w:rsidRPr="0009445C" w:rsidRDefault="00573746" w:rsidP="00573746">
      <w:pPr>
        <w:pStyle w:val="BRL-AnlageNummerierung"/>
      </w:pPr>
    </w:p>
    <w:p w14:paraId="6EEB698B" w14:textId="77777777" w:rsidR="00573746" w:rsidRPr="0009445C" w:rsidRDefault="00573746" w:rsidP="00573746">
      <w:pPr>
        <w:pStyle w:val="BRL-AnlageNummerierung"/>
      </w:pPr>
      <w:r w:rsidRPr="0009445C">
        <w:t>3</w:t>
      </w:r>
      <w:r w:rsidRPr="0009445C">
        <w:tab/>
        <w:t>Re. Section 5.5:</w:t>
      </w:r>
    </w:p>
    <w:p w14:paraId="583CDFFF" w14:textId="77777777" w:rsidR="00573746" w:rsidRPr="0009445C" w:rsidRDefault="00573746" w:rsidP="00573746">
      <w:pPr>
        <w:pStyle w:val="BRL-AnlageNummerierung"/>
      </w:pPr>
      <w:r w:rsidRPr="0009445C">
        <w:t>When determining the effective masses to calculate earthquake load, snow loads shall be multiplied in Equation (12) with the combination coefficient Ψ</w:t>
      </w:r>
      <w:r w:rsidRPr="0009445C">
        <w:rPr>
          <w:vertAlign w:val="subscript"/>
        </w:rPr>
        <w:t>2</w:t>
      </w:r>
      <w:r w:rsidRPr="0009445C">
        <w:t> = 0.5. These reduced snow loads must also be taken into account in the proof of stability.</w:t>
      </w:r>
    </w:p>
    <w:p w14:paraId="326A260F" w14:textId="77777777" w:rsidR="00573746" w:rsidRPr="0009445C" w:rsidRDefault="00573746" w:rsidP="00573746">
      <w:pPr>
        <w:pStyle w:val="BRL-AnlageNummerierung"/>
      </w:pPr>
    </w:p>
    <w:p w14:paraId="2D42E0EC" w14:textId="77777777" w:rsidR="00573746" w:rsidRPr="0009445C" w:rsidRDefault="00573746" w:rsidP="00573746">
      <w:pPr>
        <w:pStyle w:val="BRL-AnlageNummerierung"/>
      </w:pPr>
      <w:r w:rsidRPr="0009445C">
        <w:t>4</w:t>
      </w:r>
      <w:r w:rsidRPr="0009445C">
        <w:tab/>
        <w:t>Re. Section 6:</w:t>
      </w:r>
    </w:p>
    <w:p w14:paraId="79BB7E8B" w14:textId="77777777" w:rsidR="00573746" w:rsidRPr="0009445C" w:rsidRDefault="00573746" w:rsidP="00573746">
      <w:pPr>
        <w:pStyle w:val="BRLAufzhlungAnstrich"/>
        <w:numPr>
          <w:ilvl w:val="0"/>
          <w:numId w:val="1"/>
        </w:numPr>
      </w:pPr>
      <w:r w:rsidRPr="0009445C">
        <w:t xml:space="preserve">In 6.2.2.4.2 (8), the reference to ‘Section (7)’ shall be replaced by the reference to ‘Section (6)’. </w:t>
      </w:r>
    </w:p>
    <w:p w14:paraId="28F29F45" w14:textId="77777777" w:rsidR="00573746" w:rsidRPr="0009445C" w:rsidRDefault="00573746" w:rsidP="00573746">
      <w:pPr>
        <w:pStyle w:val="BRLAufzhlungAnstrich"/>
        <w:numPr>
          <w:ilvl w:val="0"/>
          <w:numId w:val="1"/>
        </w:numPr>
      </w:pPr>
      <w:r w:rsidRPr="0009445C">
        <w:t>The condition ‘or’ is replaced by ‘and’ in the first sentence of 6.2.4.1(5).</w:t>
      </w:r>
    </w:p>
    <w:p w14:paraId="7ED4EECF" w14:textId="77777777" w:rsidR="00573746" w:rsidRPr="0009445C" w:rsidRDefault="00573746" w:rsidP="00573746">
      <w:pPr>
        <w:pStyle w:val="BRL-AnlageNummerierung"/>
      </w:pPr>
    </w:p>
    <w:p w14:paraId="49DA65BF" w14:textId="77777777" w:rsidR="00573746" w:rsidRPr="0009445C" w:rsidRDefault="00573746" w:rsidP="00BA10E9">
      <w:pPr>
        <w:pStyle w:val="BRL-AnlageNummerierung"/>
        <w:pageBreakBefore/>
      </w:pPr>
      <w:r w:rsidRPr="0009445C">
        <w:lastRenderedPageBreak/>
        <w:t>5</w:t>
      </w:r>
      <w:r w:rsidRPr="0009445C">
        <w:tab/>
        <w:t>Re. Section 8:</w:t>
      </w:r>
    </w:p>
    <w:p w14:paraId="5A7E359D" w14:textId="77777777" w:rsidR="00573746" w:rsidRPr="0009445C" w:rsidRDefault="00573746" w:rsidP="00573746">
      <w:pPr>
        <w:pStyle w:val="BRL-AnlageNummerierung"/>
      </w:pPr>
      <w:r w:rsidRPr="0009445C">
        <w:t xml:space="preserve">In earthquake checks of steel and prestressed concrete constructions under this standard, DIN EN 1992-1-1:2011-01 shall apply in conjunction with DIN EN 1992-1-1/NA:2013-04. </w:t>
      </w:r>
    </w:p>
    <w:p w14:paraId="36DBB116" w14:textId="77777777" w:rsidR="00573746" w:rsidRPr="0009445C" w:rsidRDefault="00573746" w:rsidP="00573746">
      <w:pPr>
        <w:pStyle w:val="BRL-AnlageNummerierung"/>
      </w:pPr>
    </w:p>
    <w:p w14:paraId="252565CC" w14:textId="77777777" w:rsidR="00573746" w:rsidRPr="0009445C" w:rsidRDefault="00573746" w:rsidP="00573746">
      <w:pPr>
        <w:pStyle w:val="BRLAufzhlungAnstrich"/>
        <w:numPr>
          <w:ilvl w:val="0"/>
          <w:numId w:val="1"/>
        </w:numPr>
      </w:pPr>
      <w:r w:rsidRPr="0009445C">
        <w:t xml:space="preserve">Paragraph 8.2(3) shall be worded as follows: </w:t>
      </w:r>
    </w:p>
    <w:p w14:paraId="26BEFD8E" w14:textId="77777777" w:rsidR="00573746" w:rsidRPr="0009445C" w:rsidRDefault="00573746" w:rsidP="00573746">
      <w:pPr>
        <w:pStyle w:val="BRLAufzhlungAnstrich"/>
        <w:numPr>
          <w:ilvl w:val="0"/>
          <w:numId w:val="0"/>
        </w:numPr>
        <w:ind w:left="284"/>
      </w:pPr>
      <w:r w:rsidRPr="0009445C">
        <w:t>‘The design and structural design provisions specified in DIN EN 1992-1-1:2011-01 shall apply. Accordingly, the procedures specified for determining force variables in 5.5 and 5.6 of DIN EN 1992</w:t>
      </w:r>
      <w:r w:rsidRPr="0009445C">
        <w:noBreakHyphen/>
        <w:t>1</w:t>
      </w:r>
      <w:r w:rsidRPr="0009445C">
        <w:noBreakHyphen/>
        <w:t>1:2011</w:t>
      </w:r>
      <w:r w:rsidRPr="0009445C">
        <w:noBreakHyphen/>
        <w:t>01 shall not apply unless dual utilisation of plastic reserves (due to q &gt; 1 and non-linear calculation assumptions) is excluded in the process.’</w:t>
      </w:r>
    </w:p>
    <w:p w14:paraId="0811FE24" w14:textId="77777777" w:rsidR="00573746" w:rsidRPr="0009445C" w:rsidRDefault="00573746" w:rsidP="00573746">
      <w:pPr>
        <w:pStyle w:val="BRLAufzhlungAnstrich"/>
        <w:numPr>
          <w:ilvl w:val="0"/>
          <w:numId w:val="1"/>
        </w:numPr>
      </w:pPr>
      <w:r w:rsidRPr="0009445C">
        <w:t xml:space="preserve">Paragraph 8.2(5)(a) and Paragraph 8.3.2(2) shall be worded as follows: </w:t>
      </w:r>
    </w:p>
    <w:p w14:paraId="354F5E7B" w14:textId="77777777" w:rsidR="00573746" w:rsidRPr="0009445C" w:rsidRDefault="00573746" w:rsidP="00573746">
      <w:pPr>
        <w:pStyle w:val="BRLAufzhlungAnstrich"/>
        <w:numPr>
          <w:ilvl w:val="0"/>
          <w:numId w:val="0"/>
        </w:numPr>
        <w:ind w:left="284"/>
      </w:pPr>
      <w:r w:rsidRPr="0009445C">
        <w:t>‘In building structural elements used to mitigate the effects of earthquakes, type B500B steel with increased ductility shall be used. This may be foregone if it is ensured that the affected areas do not plasticise in the event of an earthquake, without taking into account a behaviour coefficient that reduces the calculated earthquake action (i.e. q = 1.0).’</w:t>
      </w:r>
    </w:p>
    <w:p w14:paraId="40E85F63" w14:textId="77777777" w:rsidR="00573746" w:rsidRPr="0009445C" w:rsidRDefault="00573746" w:rsidP="00573746">
      <w:pPr>
        <w:pStyle w:val="BRLAufzhlungAnstrich"/>
        <w:numPr>
          <w:ilvl w:val="0"/>
          <w:numId w:val="1"/>
        </w:numPr>
      </w:pPr>
      <w:r w:rsidRPr="0009445C">
        <w:t xml:space="preserve">Paragraph 8.3.5.3(4), sentence 1 shall be worded as follows: </w:t>
      </w:r>
    </w:p>
    <w:p w14:paraId="2DA0367A" w14:textId="77777777" w:rsidR="00573746" w:rsidRPr="0009445C" w:rsidRDefault="00573746" w:rsidP="00573746">
      <w:pPr>
        <w:pStyle w:val="BRLAufzhlungAnstrich"/>
        <w:numPr>
          <w:ilvl w:val="0"/>
          <w:numId w:val="0"/>
        </w:numPr>
        <w:ind w:left="284"/>
      </w:pPr>
      <w:r w:rsidRPr="0009445C">
        <w:t>‘The transverse reinforcement to be provided for in case of seizure breaches shall be measured in accordance with DIN EN 1992-1-1:2011-01, Section 8.7.4.’</w:t>
      </w:r>
    </w:p>
    <w:p w14:paraId="7656B42B" w14:textId="77777777" w:rsidR="00573746" w:rsidRPr="0009445C" w:rsidRDefault="00573746" w:rsidP="00573746">
      <w:pPr>
        <w:pStyle w:val="BRLAufzhlungAnstrich"/>
        <w:numPr>
          <w:ilvl w:val="0"/>
          <w:numId w:val="1"/>
        </w:numPr>
      </w:pPr>
      <w:r w:rsidRPr="0009445C">
        <w:t xml:space="preserve">Paragraph 8.4(2), sentence 2 shall be worded as follows: </w:t>
      </w:r>
    </w:p>
    <w:p w14:paraId="774ACB41" w14:textId="77777777" w:rsidR="00573746" w:rsidRPr="0009445C" w:rsidRDefault="00573746" w:rsidP="00573746">
      <w:pPr>
        <w:pStyle w:val="BRLAufzhlungAnstrich"/>
        <w:numPr>
          <w:ilvl w:val="0"/>
          <w:numId w:val="0"/>
        </w:numPr>
        <w:ind w:left="284"/>
      </w:pPr>
      <w:r w:rsidRPr="0009445C">
        <w:t>'The regulations in accordance with DIN EN 1992-1-1:2011-01, Section 9.4.1 (3) shall be taken into account here.'</w:t>
      </w:r>
    </w:p>
    <w:p w14:paraId="0B6483B6" w14:textId="77777777" w:rsidR="00573746" w:rsidRPr="0009445C" w:rsidRDefault="00573746" w:rsidP="00573746">
      <w:pPr>
        <w:pStyle w:val="BRLAufzhlungAnstrich"/>
        <w:numPr>
          <w:ilvl w:val="0"/>
          <w:numId w:val="1"/>
        </w:numPr>
      </w:pPr>
      <w:r w:rsidRPr="0009445C">
        <w:t xml:space="preserve">Paragraph 8.4(3), sentence 2 shall be worded as follows: </w:t>
      </w:r>
    </w:p>
    <w:p w14:paraId="2A1DA3C7" w14:textId="77777777" w:rsidR="00573746" w:rsidRPr="0009445C" w:rsidRDefault="00573746" w:rsidP="00573746">
      <w:pPr>
        <w:pStyle w:val="BRLAufzhlungAnstrich"/>
        <w:numPr>
          <w:ilvl w:val="0"/>
          <w:numId w:val="0"/>
        </w:numPr>
        <w:ind w:left="284"/>
      </w:pPr>
      <w:r w:rsidRPr="0009445C">
        <w:t>‘The minimum reinforcement grade for shear reinforcement shall be determined pursuant to DIN EN 1992-1-1:2011-01, Section 9.2.2(5) including DIN EN 1992</w:t>
      </w:r>
      <w:r w:rsidRPr="0009445C">
        <w:noBreakHyphen/>
        <w:t>1</w:t>
      </w:r>
      <w:r w:rsidRPr="0009445C">
        <w:noBreakHyphen/>
        <w:t>1/NA:2013-04, NDP re 9.2.2(5).’</w:t>
      </w:r>
    </w:p>
    <w:p w14:paraId="4E20C7C8" w14:textId="77777777" w:rsidR="00573746" w:rsidRPr="0009445C" w:rsidRDefault="00573746" w:rsidP="00573746">
      <w:pPr>
        <w:shd w:val="clear" w:color="auto" w:fill="FFFFFF"/>
        <w:spacing w:line="240" w:lineRule="exact"/>
        <w:ind w:left="567" w:hanging="567"/>
        <w:rPr>
          <w:rFonts w:cs="Arial"/>
        </w:rPr>
      </w:pPr>
    </w:p>
    <w:p w14:paraId="5A9D303A" w14:textId="77777777" w:rsidR="00573746" w:rsidRPr="0009445C" w:rsidRDefault="00573746" w:rsidP="00573746">
      <w:pPr>
        <w:pStyle w:val="BRL-AnlageStandard"/>
      </w:pPr>
      <w:r w:rsidRPr="0009445C">
        <w:t>6</w:t>
      </w:r>
      <w:r w:rsidRPr="0009445C">
        <w:tab/>
        <w:t>Re. Section 9:</w:t>
      </w:r>
    </w:p>
    <w:p w14:paraId="5B50027A" w14:textId="7706F584" w:rsidR="00573746" w:rsidRPr="0009445C" w:rsidRDefault="00573746" w:rsidP="00573746">
      <w:pPr>
        <w:pStyle w:val="BRLAufzhlungAnstrich"/>
        <w:numPr>
          <w:ilvl w:val="0"/>
          <w:numId w:val="1"/>
        </w:numPr>
      </w:pPr>
      <w:r w:rsidRPr="0009445C">
        <w:t xml:space="preserve">For earthquake checks of steel structures, the references to DIN 18800-1 to 18800-4 and DIN V ENV 1993-1-1 with </w:t>
      </w:r>
      <w:proofErr w:type="spellStart"/>
      <w:r w:rsidRPr="0009445C">
        <w:t>DASt</w:t>
      </w:r>
      <w:proofErr w:type="spellEnd"/>
      <w:r w:rsidRPr="0009445C">
        <w:t> (</w:t>
      </w:r>
      <w:proofErr w:type="spellStart"/>
      <w:r w:rsidRPr="0009445C">
        <w:t>Deutscher</w:t>
      </w:r>
      <w:proofErr w:type="spellEnd"/>
      <w:r w:rsidRPr="0009445C">
        <w:t xml:space="preserve"> </w:t>
      </w:r>
      <w:proofErr w:type="spellStart"/>
      <w:r w:rsidRPr="0009445C">
        <w:t>Ausschuss</w:t>
      </w:r>
      <w:proofErr w:type="spellEnd"/>
      <w:r w:rsidRPr="0009445C">
        <w:t xml:space="preserve"> für </w:t>
      </w:r>
      <w:proofErr w:type="spellStart"/>
      <w:r w:rsidRPr="0009445C">
        <w:t>Stahlbau</w:t>
      </w:r>
      <w:proofErr w:type="spellEnd"/>
      <w:r w:rsidRPr="0009445C">
        <w:t xml:space="preserve"> [German commission on steel construction]) Guideline 103 shall be replaced by DIN EN 1993-1-1:2010-12 and DIN EN 1993</w:t>
      </w:r>
      <w:r w:rsidRPr="0009445C">
        <w:noBreakHyphen/>
        <w:t>1</w:t>
      </w:r>
      <w:r w:rsidRPr="0009445C">
        <w:noBreakHyphen/>
        <w:t>1/A1:2014</w:t>
      </w:r>
      <w:r w:rsidRPr="0009445C">
        <w:noBreakHyphen/>
        <w:t>07 in conjunction with DIN EN 1993</w:t>
      </w:r>
      <w:r w:rsidRPr="0009445C">
        <w:noBreakHyphen/>
        <w:t>1</w:t>
      </w:r>
      <w:r w:rsidRPr="0009445C">
        <w:noBreakHyphen/>
        <w:t>1/NA:2018-12 and DIN EN 1993-1-8:2010-12 in conjunction with DIN EN 1993-1-8/NA:2020-11.</w:t>
      </w:r>
    </w:p>
    <w:p w14:paraId="277BE142" w14:textId="77777777" w:rsidR="00573746" w:rsidRPr="0009445C" w:rsidRDefault="00573746" w:rsidP="00573746">
      <w:pPr>
        <w:pStyle w:val="BRLAufzhlungAnstrich"/>
        <w:numPr>
          <w:ilvl w:val="0"/>
          <w:numId w:val="1"/>
        </w:numPr>
      </w:pPr>
      <w:r w:rsidRPr="0009445C">
        <w:t>In Paragraph 9.3.4(1), the reference to DIN 18800-7 is replaced by the reference to DIN EN 1090-2:2018-09.</w:t>
      </w:r>
    </w:p>
    <w:p w14:paraId="567D59C5" w14:textId="77777777" w:rsidR="00573746" w:rsidRPr="0009445C" w:rsidRDefault="00573746" w:rsidP="00573746">
      <w:pPr>
        <w:pStyle w:val="BRLAufzhlungAnstrich"/>
        <w:numPr>
          <w:ilvl w:val="0"/>
          <w:numId w:val="1"/>
        </w:numPr>
      </w:pPr>
      <w:r w:rsidRPr="0009445C">
        <w:t xml:space="preserve">Ductility classes 2 and 3 may only be used if the maximum value of the tensile yield point </w:t>
      </w:r>
      <w:proofErr w:type="spellStart"/>
      <w:r w:rsidRPr="0009445C">
        <w:t>f</w:t>
      </w:r>
      <w:r w:rsidRPr="0009445C">
        <w:rPr>
          <w:vertAlign w:val="subscript"/>
        </w:rPr>
        <w:t>y</w:t>
      </w:r>
      <w:proofErr w:type="spellEnd"/>
      <w:r w:rsidRPr="0009445C">
        <w:rPr>
          <w:vertAlign w:val="subscript"/>
        </w:rPr>
        <w:t>, max</w:t>
      </w:r>
      <w:r w:rsidRPr="0009445C">
        <w:t xml:space="preserve"> (see DIN 4149:2005-04, Section 9.3.1.1) and the minimum notch impact strength for the steel to be used stated in Paragraph 9.3.1.1(2) are documented in the building documents. </w:t>
      </w:r>
    </w:p>
    <w:p w14:paraId="21E9CEA2" w14:textId="77777777" w:rsidR="00573746" w:rsidRPr="0009445C" w:rsidRDefault="00573746" w:rsidP="00573746">
      <w:pPr>
        <w:pStyle w:val="BRLAufzhlungAnstrich"/>
        <w:numPr>
          <w:ilvl w:val="0"/>
          <w:numId w:val="1"/>
        </w:numPr>
      </w:pPr>
      <w:r w:rsidRPr="0009445C">
        <w:t xml:space="preserve">Section 9.3.5.1(2)(c) shall be worded as follows: </w:t>
      </w:r>
    </w:p>
    <w:p w14:paraId="21A8DE31" w14:textId="77777777" w:rsidR="00573746" w:rsidRPr="0009445C" w:rsidRDefault="00573746" w:rsidP="00573746">
      <w:pPr>
        <w:pStyle w:val="BRLAufzhlungAnstrich"/>
        <w:numPr>
          <w:ilvl w:val="0"/>
          <w:numId w:val="0"/>
        </w:numPr>
        <w:ind w:left="284"/>
      </w:pPr>
      <w:r w:rsidRPr="0009445C">
        <w:t>'c)</w:t>
      </w:r>
      <w:r w:rsidRPr="0009445C">
        <w:tab/>
        <w:t>the condition of DIN EN 1993</w:t>
      </w:r>
      <w:r w:rsidRPr="0009445C">
        <w:noBreakHyphen/>
        <w:t>1</w:t>
      </w:r>
      <w:r w:rsidRPr="0009445C">
        <w:noBreakHyphen/>
        <w:t>1:2010</w:t>
      </w:r>
      <w:r w:rsidRPr="0009445C">
        <w:noBreakHyphen/>
        <w:t>12, 6.2.3 (3) shall be met in the case of traction-loaded structural elements at points of hole weakening (</w:t>
      </w:r>
      <w:proofErr w:type="spellStart"/>
      <w:r w:rsidRPr="0009445C">
        <w:t>N</w:t>
      </w:r>
      <w:r w:rsidRPr="0009445C">
        <w:rPr>
          <w:vertAlign w:val="subscript"/>
        </w:rPr>
        <w:t>u,R,d</w:t>
      </w:r>
      <w:proofErr w:type="spellEnd"/>
      <w:r w:rsidRPr="0009445C">
        <w:t xml:space="preserve"> &gt; </w:t>
      </w:r>
      <w:proofErr w:type="spellStart"/>
      <w:r w:rsidRPr="0009445C">
        <w:t>N</w:t>
      </w:r>
      <w:r w:rsidRPr="0009445C">
        <w:rPr>
          <w:vertAlign w:val="subscript"/>
        </w:rPr>
        <w:t>pl,R,d</w:t>
      </w:r>
      <w:proofErr w:type="spellEnd"/>
      <w:r w:rsidRPr="0009445C">
        <w:t>)”.</w:t>
      </w:r>
    </w:p>
    <w:p w14:paraId="6660C043" w14:textId="77777777" w:rsidR="00573746" w:rsidRPr="0009445C" w:rsidRDefault="00573746" w:rsidP="00573746">
      <w:pPr>
        <w:pStyle w:val="BRLAufzhlungAnstrich"/>
        <w:numPr>
          <w:ilvl w:val="0"/>
          <w:numId w:val="1"/>
        </w:numPr>
      </w:pPr>
      <w:r w:rsidRPr="0009445C">
        <w:t>In Paragraph 9.3.5.4 (7), the reference to Paragraph ‘9.3.3.3 (10’ is replaced by ‘9.3.5.3 (10)’;</w:t>
      </w:r>
    </w:p>
    <w:p w14:paraId="28BCA89A" w14:textId="77777777" w:rsidR="00573746" w:rsidRPr="0009445C" w:rsidRDefault="00573746" w:rsidP="00573746">
      <w:pPr>
        <w:pStyle w:val="BRLAufzhlungAnstrich"/>
        <w:numPr>
          <w:ilvl w:val="0"/>
          <w:numId w:val="1"/>
        </w:numPr>
      </w:pPr>
      <w:r w:rsidRPr="0009445C">
        <w:t>In Paragraph 9.3.5.5 (5), formula (87) is replaced by the following:</w:t>
      </w:r>
    </w:p>
    <w:p w14:paraId="689CE2C0" w14:textId="77777777" w:rsidR="00573746" w:rsidRPr="0009445C" w:rsidRDefault="00573746" w:rsidP="00573746">
      <w:pPr>
        <w:pStyle w:val="BRLAufzhlungAnstrich"/>
        <w:numPr>
          <w:ilvl w:val="0"/>
          <w:numId w:val="0"/>
        </w:numPr>
        <w:ind w:left="284"/>
      </w:pPr>
      <w:r w:rsidRPr="0009445C">
        <w:object w:dxaOrig="1100" w:dyaOrig="560" w14:anchorId="41CF2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9.25pt" o:ole="">
            <v:imagedata r:id="rId13" o:title=""/>
          </v:shape>
          <o:OLEObject Type="Embed" ProgID="Equation.3" ShapeID="_x0000_i1025" DrawAspect="Content" ObjectID="_1735120035" r:id="rId14"/>
        </w:object>
      </w:r>
    </w:p>
    <w:p w14:paraId="65B3D28A" w14:textId="77777777" w:rsidR="00573746" w:rsidRPr="0009445C" w:rsidRDefault="00573746" w:rsidP="00573746">
      <w:pPr>
        <w:pStyle w:val="BRLAufzhlungAnstrich"/>
        <w:numPr>
          <w:ilvl w:val="0"/>
          <w:numId w:val="1"/>
        </w:numPr>
      </w:pPr>
      <w:r w:rsidRPr="0009445C">
        <w:t>In Paragraph 9.3.5.8 (1), the reference to Sections ‘8 and 11’ is replaced by ‘8 and 9’.</w:t>
      </w:r>
    </w:p>
    <w:p w14:paraId="3EA0DC76" w14:textId="77777777" w:rsidR="00573746" w:rsidRPr="0009445C" w:rsidRDefault="00573746" w:rsidP="00573746">
      <w:pPr>
        <w:spacing w:line="240" w:lineRule="auto"/>
        <w:rPr>
          <w:rFonts w:cs="Arial"/>
        </w:rPr>
      </w:pPr>
    </w:p>
    <w:p w14:paraId="3C367D06" w14:textId="77777777" w:rsidR="00573746" w:rsidRPr="0009445C" w:rsidRDefault="00573746" w:rsidP="00573746">
      <w:pPr>
        <w:pStyle w:val="BRL-AnlageNummerierung"/>
      </w:pPr>
      <w:r w:rsidRPr="0009445C">
        <w:t>7</w:t>
      </w:r>
      <w:r w:rsidRPr="0009445C">
        <w:tab/>
        <w:t>Re. Section 10:</w:t>
      </w:r>
    </w:p>
    <w:p w14:paraId="11672713" w14:textId="77777777" w:rsidR="00573746" w:rsidRPr="0009445C" w:rsidRDefault="00573746" w:rsidP="00573746">
      <w:pPr>
        <w:pStyle w:val="BRLAufzhlungAnstrich"/>
        <w:numPr>
          <w:ilvl w:val="0"/>
          <w:numId w:val="1"/>
        </w:numPr>
      </w:pPr>
      <w:r w:rsidRPr="0009445C">
        <w:t>For the seismic qualification of timber structures under this standard, DIN EN 1995-1-1:2010-12 shall apply in conjunction with DIN EN 1995</w:t>
      </w:r>
      <w:r w:rsidRPr="0009445C">
        <w:noBreakHyphen/>
        <w:t>1</w:t>
      </w:r>
      <w:r w:rsidRPr="0009445C">
        <w:noBreakHyphen/>
        <w:t xml:space="preserve">1/NA:2013-08. </w:t>
      </w:r>
    </w:p>
    <w:p w14:paraId="3D52B9DA" w14:textId="77777777" w:rsidR="00573746" w:rsidRPr="0009445C" w:rsidRDefault="00573746" w:rsidP="00573746">
      <w:pPr>
        <w:pStyle w:val="BRLAufzhlungAnstrich"/>
        <w:numPr>
          <w:ilvl w:val="0"/>
          <w:numId w:val="1"/>
        </w:numPr>
      </w:pPr>
      <w:r w:rsidRPr="0009445C">
        <w:t xml:space="preserve">Paragraph 10.1 (5) shall be worded as follows: </w:t>
      </w:r>
    </w:p>
    <w:p w14:paraId="29B0B1A5" w14:textId="77777777" w:rsidR="00573746" w:rsidRPr="0009445C" w:rsidRDefault="00573746" w:rsidP="00573746">
      <w:pPr>
        <w:pStyle w:val="BRLAufzhlungAnstrich"/>
        <w:numPr>
          <w:ilvl w:val="0"/>
          <w:numId w:val="0"/>
        </w:numPr>
        <w:ind w:left="284"/>
      </w:pPr>
      <w:r w:rsidRPr="0009445C">
        <w:t>‘(5) In seismic zones 2 and 3, a combination of structural models of ductility classes 1 and 3 for the two main directions of the structure must not be used in the calculation.’</w:t>
      </w:r>
    </w:p>
    <w:p w14:paraId="7A9BCB6C" w14:textId="77777777" w:rsidR="00573746" w:rsidRPr="0009445C" w:rsidRDefault="00573746" w:rsidP="00573746">
      <w:pPr>
        <w:pStyle w:val="BRLAufzhlungAnstrich"/>
        <w:numPr>
          <w:ilvl w:val="0"/>
          <w:numId w:val="1"/>
        </w:numPr>
      </w:pPr>
      <w:r w:rsidRPr="0009445C">
        <w:t>Paragraph 10.3 (1) shall be worded as follows:</w:t>
      </w:r>
      <w:r w:rsidRPr="0009445C">
        <w:tab/>
        <w:t xml:space="preserve"> </w:t>
      </w:r>
      <w:r w:rsidRPr="0009445C">
        <w:br/>
        <w:t>‘(1) The conditions of DIN EN 1995-1-1:2010-12, Section 3 in conjunction with DIN EN 1995</w:t>
      </w:r>
      <w:r w:rsidRPr="0009445C">
        <w:noBreakHyphen/>
        <w:t>1</w:t>
      </w:r>
      <w:r w:rsidRPr="0009445C">
        <w:noBreakHyphen/>
        <w:t>1/NA:2013-08 must be adhered to.’</w:t>
      </w:r>
    </w:p>
    <w:p w14:paraId="45D7EF30" w14:textId="77777777" w:rsidR="00573746" w:rsidRPr="0009445C" w:rsidRDefault="00573746" w:rsidP="00573746">
      <w:pPr>
        <w:pStyle w:val="BRLAufzhlungAnstrich"/>
        <w:numPr>
          <w:ilvl w:val="0"/>
          <w:numId w:val="1"/>
        </w:numPr>
      </w:pPr>
      <w:r w:rsidRPr="0009445C">
        <w:t xml:space="preserve">In Paragraph 10.3 (2), the paragraph marked with the 4th indent is replaced by the following: </w:t>
      </w:r>
      <w:r w:rsidRPr="0009445C">
        <w:br/>
        <w:t>'– the usability of multi-layer solid wood panels and their connectors must be demonstrated;’</w:t>
      </w:r>
    </w:p>
    <w:p w14:paraId="07FFCF25" w14:textId="77777777" w:rsidR="00573746" w:rsidRPr="0009445C" w:rsidRDefault="00573746" w:rsidP="00573746">
      <w:pPr>
        <w:pStyle w:val="BRLAufzhlungAnstrich"/>
        <w:numPr>
          <w:ilvl w:val="0"/>
          <w:numId w:val="1"/>
        </w:numPr>
      </w:pPr>
      <w:r w:rsidRPr="0009445C">
        <w:t>In Paragraph 10.3 (3), the paragraph marked with the 2nd indent is replaced by the following:</w:t>
      </w:r>
      <w:r w:rsidRPr="0009445C">
        <w:br/>
        <w:t>‘- increasing the nail distance with the same load capacity in accordance with DIN EN 1995</w:t>
      </w:r>
      <w:r w:rsidRPr="0009445C">
        <w:noBreakHyphen/>
        <w:t>1</w:t>
      </w:r>
      <w:r w:rsidRPr="0009445C">
        <w:noBreakHyphen/>
        <w:t>1:2010</w:t>
      </w:r>
      <w:r w:rsidRPr="0009445C">
        <w:noBreakHyphen/>
        <w:t>12, Section 9.2.3.2 (4) is not taken into consideration in seismic zones 2 and 3;'</w:t>
      </w:r>
    </w:p>
    <w:p w14:paraId="7BBA7596" w14:textId="77777777" w:rsidR="00573746" w:rsidRPr="0009445C" w:rsidRDefault="00573746" w:rsidP="00573746">
      <w:pPr>
        <w:pStyle w:val="BRLAufzhlungAnstrich"/>
        <w:numPr>
          <w:ilvl w:val="0"/>
          <w:numId w:val="1"/>
        </w:numPr>
      </w:pPr>
      <w:r w:rsidRPr="0009445C">
        <w:t>In Paragraph 10.3 (3), the paragraph marked with the 3rd indent is replaced by the following:</w:t>
      </w:r>
    </w:p>
    <w:p w14:paraId="3B3DEFB5" w14:textId="77777777" w:rsidR="00573746" w:rsidRPr="0009445C" w:rsidRDefault="00573746" w:rsidP="00573746">
      <w:pPr>
        <w:pStyle w:val="BRLAufzhlungAnstrich"/>
        <w:numPr>
          <w:ilvl w:val="0"/>
          <w:numId w:val="0"/>
        </w:numPr>
        <w:ind w:left="284"/>
      </w:pPr>
      <w:r w:rsidRPr="0009445C">
        <w:lastRenderedPageBreak/>
        <w:t>'– the application of glued panels leads to classification in ductility class 1, including in the case of simultaneous use of mechanical connectors.'</w:t>
      </w:r>
    </w:p>
    <w:p w14:paraId="5221C21A" w14:textId="77777777" w:rsidR="00573746" w:rsidRPr="0009445C" w:rsidRDefault="00573746" w:rsidP="00573746">
      <w:pPr>
        <w:pStyle w:val="BRLAufzhlungAnstrich"/>
        <w:numPr>
          <w:ilvl w:val="0"/>
          <w:numId w:val="1"/>
        </w:numPr>
      </w:pPr>
      <w:r w:rsidRPr="0009445C">
        <w:t>Paragraph 10.3 (6) shall be worded as follows:</w:t>
      </w:r>
      <w:r w:rsidRPr="0009445C">
        <w:tab/>
      </w:r>
      <w:r w:rsidRPr="0009445C">
        <w:br/>
        <w:t>‘(6) When using the equations to determine load-bearing capacity of dowel-type connectors and for shearing pursuant to DIN EN 1995-1-1/NA:2013-08, Section NCI on 8.2 to NCI at 8.7, the minimum thickness in timber materials, as permitted in DIN EN 1995</w:t>
      </w:r>
      <w:r w:rsidRPr="0009445C">
        <w:noBreakHyphen/>
        <w:t>1</w:t>
      </w:r>
      <w:r w:rsidRPr="0009445C">
        <w:noBreakHyphen/>
        <w:t>1/NA:2013</w:t>
      </w:r>
      <w:r w:rsidRPr="0009445C">
        <w:noBreakHyphen/>
        <w:t>08 NCI NA.8.2.4 (NA.2) and NCI NA.8.2.5 (NA.4), must be adhered to in seismic zones 2 and 3.’</w:t>
      </w:r>
    </w:p>
    <w:p w14:paraId="742046FE" w14:textId="77777777" w:rsidR="00573746" w:rsidRPr="0009445C" w:rsidRDefault="00573746" w:rsidP="00573746">
      <w:pPr>
        <w:pStyle w:val="BRLAufzhlungAnstrich"/>
        <w:numPr>
          <w:ilvl w:val="0"/>
          <w:numId w:val="1"/>
        </w:numPr>
      </w:pPr>
      <w:r w:rsidRPr="0009445C">
        <w:t>Paragraph 10.3 (7) shall be added as follows:</w:t>
      </w:r>
      <w:r w:rsidRPr="0009445C">
        <w:tab/>
      </w:r>
      <w:r w:rsidRPr="0009445C">
        <w:br/>
        <w:t>‘(7) The load-bearing capacity of the connectors pursuant to DIN EN 1995-1-1:2010-12, Section 9.2.4.2(5) may not be increased.'</w:t>
      </w:r>
    </w:p>
    <w:p w14:paraId="15507F87" w14:textId="77777777" w:rsidR="00573746" w:rsidRPr="0009445C" w:rsidRDefault="00573746" w:rsidP="00573746">
      <w:pPr>
        <w:pStyle w:val="BRLAufzhlungAnstrich"/>
        <w:numPr>
          <w:ilvl w:val="0"/>
          <w:numId w:val="0"/>
        </w:numPr>
        <w:ind w:left="284"/>
      </w:pPr>
    </w:p>
    <w:p w14:paraId="4C391E42" w14:textId="77777777" w:rsidR="00573746" w:rsidRPr="0009445C" w:rsidRDefault="00573746" w:rsidP="00573746">
      <w:pPr>
        <w:pStyle w:val="BRL-AnlageNummerierung"/>
        <w:rPr>
          <w:strike/>
        </w:rPr>
      </w:pPr>
      <w:r w:rsidRPr="0009445C">
        <w:t>8</w:t>
      </w:r>
      <w:r w:rsidRPr="0009445C">
        <w:tab/>
        <w:t>Re. Section 11:</w:t>
      </w:r>
    </w:p>
    <w:p w14:paraId="464A9701" w14:textId="77777777" w:rsidR="00573746" w:rsidRPr="0009445C" w:rsidRDefault="00573746" w:rsidP="00573746">
      <w:pPr>
        <w:pStyle w:val="BRL-AnlageStandard"/>
      </w:pPr>
      <w:r w:rsidRPr="0009445C">
        <w:t>Paragraphs 11.7.3 (1), 11.7.3 (2) and 11.7.3 (3) are replaced by the following (Tab. 16 is to be deleted):</w:t>
      </w:r>
    </w:p>
    <w:p w14:paraId="368FD0B7" w14:textId="77777777" w:rsidR="00573746" w:rsidRPr="0009445C" w:rsidRDefault="00573746" w:rsidP="00573746">
      <w:pPr>
        <w:pStyle w:val="BRL-AnlageStandard"/>
      </w:pPr>
      <w:r w:rsidRPr="0009445C">
        <w:t>‘(1) The rated value E</w:t>
      </w:r>
      <w:r w:rsidRPr="0009445C">
        <w:rPr>
          <w:vertAlign w:val="subscript"/>
        </w:rPr>
        <w:t>d</w:t>
      </w:r>
      <w:r w:rsidRPr="0009445C">
        <w:t xml:space="preserve"> of the decisive force variables in the earthquake measurement situation shall be determined using Equation (37). Depending on the existing boundary conditions, either the simplified or the more precise calculation methods under DIN 1053-1:1996-11 may be applied.'</w:t>
      </w:r>
    </w:p>
    <w:p w14:paraId="4646BDAB" w14:textId="77777777" w:rsidR="00573746" w:rsidRPr="0009445C" w:rsidRDefault="00573746" w:rsidP="00573746">
      <w:pPr>
        <w:pStyle w:val="BRL-AnlageStandard"/>
      </w:pPr>
      <w:r w:rsidRPr="0009445C">
        <w:t>‘(2) When applying the simplified calculation procedure according to DIN 1053-1:1996-11, the rated load capacity R</w:t>
      </w:r>
      <w:r w:rsidRPr="0009445C">
        <w:rPr>
          <w:vertAlign w:val="subscript"/>
        </w:rPr>
        <w:t>d</w:t>
      </w:r>
      <w:r w:rsidRPr="0009445C">
        <w:t xml:space="preserve"> may be determined from the permissible stresses increased by 50 %. Explicit mathematical proof of sufficient spatial stiffness may not be dispensed with.’</w:t>
      </w:r>
    </w:p>
    <w:p w14:paraId="22E72403" w14:textId="77777777" w:rsidR="00573746" w:rsidRPr="0009445C" w:rsidRDefault="00573746" w:rsidP="00573746">
      <w:pPr>
        <w:pStyle w:val="BRL-AnlageStandard"/>
      </w:pPr>
      <w:r w:rsidRPr="0009445C">
        <w:t>‘(3) When applying the more precise calculation method, the rated value E</w:t>
      </w:r>
      <w:r w:rsidRPr="0009445C">
        <w:rPr>
          <w:vertAlign w:val="subscript"/>
        </w:rPr>
        <w:t>d</w:t>
      </w:r>
      <w:r w:rsidRPr="0009445C">
        <w:t xml:space="preserve"> of the decisive force variables must be determined using </w:t>
      </w:r>
      <w:r w:rsidRPr="0009445C">
        <w:sym w:font="Symbol" w:char="F067"/>
      </w:r>
      <w:r w:rsidRPr="0009445C">
        <w:t xml:space="preserve">times the effects pursuant to DIN 1053-1:1996-11. The decisive safety factor </w:t>
      </w:r>
      <w:r w:rsidRPr="0009445C">
        <w:sym w:font="Symbol" w:char="F067"/>
      </w:r>
      <w:r w:rsidRPr="0009445C">
        <w:t xml:space="preserve"> may be reduced to 2/3 of the values set out in Section 7 of DIN 1053-1:1996-11. </w:t>
      </w:r>
    </w:p>
    <w:p w14:paraId="185D473B" w14:textId="77777777" w:rsidR="00573746" w:rsidRPr="0009445C" w:rsidRDefault="00573746" w:rsidP="00573746">
      <w:pPr>
        <w:pStyle w:val="BRL-AnlageStandard"/>
      </w:pPr>
      <w:r w:rsidRPr="0009445C">
        <w:t>The calculated strength values specified in DIN 1053-1:1996-11 are to be used as the design load-bearing capacity R</w:t>
      </w:r>
      <w:r w:rsidRPr="0009445C">
        <w:rPr>
          <w:vertAlign w:val="subscript"/>
        </w:rPr>
        <w:t>d</w:t>
      </w:r>
      <w:r w:rsidRPr="0009445C">
        <w:t>.’</w:t>
      </w:r>
    </w:p>
    <w:p w14:paraId="4D82687E" w14:textId="77777777" w:rsidR="00573746" w:rsidRPr="0009445C" w:rsidRDefault="00573746" w:rsidP="00573746">
      <w:pPr>
        <w:shd w:val="clear" w:color="auto" w:fill="FFFFFF"/>
        <w:spacing w:line="240" w:lineRule="exact"/>
        <w:ind w:left="567" w:hanging="567"/>
        <w:rPr>
          <w:rFonts w:cs="Arial"/>
        </w:rPr>
      </w:pPr>
    </w:p>
    <w:p w14:paraId="1EEF7D3F" w14:textId="77777777" w:rsidR="00573746" w:rsidRPr="0009445C" w:rsidRDefault="00573746" w:rsidP="00573746">
      <w:pPr>
        <w:pStyle w:val="BRL-AnlageNummerierung"/>
      </w:pPr>
      <w:r w:rsidRPr="0009445C">
        <w:t>9</w:t>
      </w:r>
      <w:r w:rsidRPr="0009445C">
        <w:tab/>
        <w:t>Re. Section 12:</w:t>
      </w:r>
    </w:p>
    <w:p w14:paraId="64A49AB3" w14:textId="77777777" w:rsidR="00573746" w:rsidRPr="0009445C" w:rsidRDefault="00573746" w:rsidP="00573746">
      <w:pPr>
        <w:pStyle w:val="BRLAufzhlungAnstrich"/>
        <w:numPr>
          <w:ilvl w:val="0"/>
          <w:numId w:val="1"/>
        </w:numPr>
      </w:pPr>
      <w:r w:rsidRPr="0009445C">
        <w:t>For the seismic qualification of foundations and support structures according to this standard, DIN 1054:2005</w:t>
      </w:r>
      <w:r w:rsidRPr="0009445C">
        <w:noBreakHyphen/>
        <w:t>01 including DIN 1054 Correction 1:2005</w:t>
      </w:r>
      <w:r w:rsidRPr="0009445C">
        <w:noBreakHyphen/>
        <w:t>04, DIN 1054 Correction 2:2007</w:t>
      </w:r>
      <w:r w:rsidRPr="0009445C">
        <w:noBreakHyphen/>
        <w:t>04, DIN 1054 Correction 3:2008-01 and DIN 1054 Correction 4:2008-10 and DIN 1054/A1:2009</w:t>
      </w:r>
      <w:r w:rsidRPr="0009445C">
        <w:noBreakHyphen/>
        <w:t xml:space="preserve">07. </w:t>
      </w:r>
    </w:p>
    <w:p w14:paraId="1BD5BE3D" w14:textId="77777777" w:rsidR="00307805" w:rsidRPr="0009445C" w:rsidRDefault="00573746" w:rsidP="00573746">
      <w:pPr>
        <w:pStyle w:val="BRLAufzhlungAnstrich"/>
        <w:numPr>
          <w:ilvl w:val="0"/>
          <w:numId w:val="1"/>
        </w:numPr>
      </w:pPr>
      <w:r w:rsidRPr="0009445C">
        <w:t xml:space="preserve">Paragraphs 12.1.1(1) and 12.1.1 (2) are worded as follows: </w:t>
      </w:r>
    </w:p>
    <w:p w14:paraId="778D95F2" w14:textId="71EFF144" w:rsidR="00307805" w:rsidRPr="0009445C" w:rsidRDefault="00573746" w:rsidP="00307805">
      <w:pPr>
        <w:pStyle w:val="BRLAufzhlungAnstrich"/>
        <w:numPr>
          <w:ilvl w:val="0"/>
          <w:numId w:val="0"/>
        </w:numPr>
        <w:ind w:left="284"/>
      </w:pPr>
      <w:r w:rsidRPr="0009445C">
        <w:t>‘(1) Where the proof is conducted based on capacity measurement, Section 7.2.5 must be observed.’</w:t>
      </w:r>
    </w:p>
    <w:p w14:paraId="49784835" w14:textId="77777777" w:rsidR="00307805" w:rsidRPr="0009445C" w:rsidRDefault="00573746" w:rsidP="00307805">
      <w:pPr>
        <w:pStyle w:val="BRLAufzhlungAnstrich"/>
        <w:numPr>
          <w:ilvl w:val="0"/>
          <w:numId w:val="0"/>
        </w:numPr>
        <w:ind w:left="284"/>
      </w:pPr>
      <w:r w:rsidRPr="0009445C">
        <w:t>‘(2) The detection under combinations of action referred to in Section 7.2.2 shall include:</w:t>
      </w:r>
    </w:p>
    <w:p w14:paraId="1FA25266" w14:textId="77777777" w:rsidR="00307805" w:rsidRPr="0009445C" w:rsidRDefault="00573746" w:rsidP="00307805">
      <w:pPr>
        <w:pStyle w:val="BRLAufzhlungAnstrich"/>
        <w:numPr>
          <w:ilvl w:val="0"/>
          <w:numId w:val="0"/>
        </w:numPr>
        <w:ind w:left="284"/>
      </w:pPr>
      <w:r w:rsidRPr="0009445C">
        <w:t>(a) proof of sufficient load-bearing capacity for the foundation elements under the building material rules of this standard and the relevant technical standards;</w:t>
      </w:r>
    </w:p>
    <w:p w14:paraId="19CFA371" w14:textId="4B358176" w:rsidR="00573746" w:rsidRPr="0009445C" w:rsidRDefault="00573746" w:rsidP="00307805">
      <w:pPr>
        <w:pStyle w:val="BRLAufzhlungAnstrich"/>
        <w:numPr>
          <w:ilvl w:val="0"/>
          <w:numId w:val="0"/>
        </w:numPr>
        <w:ind w:left="284"/>
      </w:pPr>
      <w:r w:rsidRPr="0009445C">
        <w:t>(b) The relevant proof regarding the foundations under DIN 1054:2010-12, DIN 1054/A1:2012-08 and DIN 1054/A2:2015-11. Restrictions concerning the general applicability of verification procedures for the earthquake load case in DIN 1054 or in its accompanying calculation standards need not be observed if there are no unfavourable sold conditions (debris, loose sediment, artificial recharge, etc.).’</w:t>
      </w:r>
    </w:p>
    <w:p w14:paraId="4DBDD46E" w14:textId="77777777" w:rsidR="00573746" w:rsidRPr="0009445C" w:rsidRDefault="00573746" w:rsidP="00573746">
      <w:pPr>
        <w:pStyle w:val="BRLAufzhlungAnstrich"/>
        <w:numPr>
          <w:ilvl w:val="0"/>
          <w:numId w:val="1"/>
        </w:numPr>
      </w:pPr>
      <w:r w:rsidRPr="0009445C">
        <w:t>Paragraph 12.1.1 (4) shall be worded as follows:</w:t>
      </w:r>
    </w:p>
    <w:p w14:paraId="068B6A83" w14:textId="77777777" w:rsidR="00573746" w:rsidRPr="0009445C" w:rsidRDefault="00573746" w:rsidP="00573746">
      <w:pPr>
        <w:pStyle w:val="BRLAufzhlungAnstrich"/>
        <w:numPr>
          <w:ilvl w:val="0"/>
          <w:numId w:val="0"/>
        </w:numPr>
        <w:ind w:left="284"/>
      </w:pPr>
      <w:r w:rsidRPr="0009445C">
        <w:t>‘(4) When demonstrating slide stability, the characteristic value of earth resistance (passive earth pressure) may only be used with 30 % maximum of its nominal value.’</w:t>
      </w:r>
    </w:p>
    <w:p w14:paraId="2D81E24E" w14:textId="77777777" w:rsidR="00573746" w:rsidRPr="0009445C" w:rsidRDefault="00573746" w:rsidP="00573746">
      <w:pPr>
        <w:pStyle w:val="BRLAufzhlungAnstrich"/>
        <w:numPr>
          <w:ilvl w:val="0"/>
          <w:numId w:val="1"/>
        </w:numPr>
      </w:pPr>
      <w:r w:rsidRPr="0009445C">
        <w:t>Paragraph 12.2.1 (2) shall be worded as follows:</w:t>
      </w:r>
    </w:p>
    <w:p w14:paraId="6AD3A572" w14:textId="77777777" w:rsidR="00573746" w:rsidRPr="0009445C" w:rsidRDefault="00573746" w:rsidP="00573746">
      <w:pPr>
        <w:pStyle w:val="BRLAufzhlungAnstrich"/>
        <w:numPr>
          <w:ilvl w:val="0"/>
          <w:numId w:val="0"/>
        </w:numPr>
        <w:ind w:left="284"/>
      </w:pPr>
      <w:r w:rsidRPr="0009445C">
        <w:t>‘Earth pressure effects during earthquakes can be determined in simplified fashion by replacing the earth pressure value </w:t>
      </w:r>
      <w:r w:rsidRPr="0009445C">
        <w:object w:dxaOrig="200" w:dyaOrig="279" w14:anchorId="4370AE1D">
          <v:shape id="_x0000_i1026" type="#_x0000_t75" style="width:14.25pt;height:14.25pt" o:ole="">
            <v:imagedata r:id="rId15" o:title=""/>
          </v:shape>
          <o:OLEObject Type="Embed" ProgID="Equation.3" ShapeID="_x0000_i1026" DrawAspect="Content" ObjectID="_1735120036" r:id="rId16"/>
        </w:object>
      </w:r>
      <w:r w:rsidRPr="0009445C">
        <w:t xml:space="preserve"> with</w:t>
      </w:r>
      <w:r w:rsidRPr="0009445C">
        <w:object w:dxaOrig="1960" w:dyaOrig="660" w14:anchorId="54D47663">
          <v:shape id="_x0000_i1027" type="#_x0000_t75" style="width:101.25pt;height:29.25pt" o:ole="">
            <v:imagedata r:id="rId17" o:title=""/>
          </v:shape>
          <o:OLEObject Type="Embed" ProgID="Equation.3" ShapeID="_x0000_i1027" DrawAspect="Content" ObjectID="_1735120037" r:id="rId18"/>
        </w:object>
      </w:r>
      <w:r w:rsidRPr="0009445C">
        <w:t>.’</w:t>
      </w:r>
    </w:p>
    <w:p w14:paraId="547F01D2" w14:textId="77777777" w:rsidR="00573746" w:rsidRPr="0009445C" w:rsidRDefault="00573746" w:rsidP="00573746">
      <w:r w:rsidRPr="0009445C">
        <w:t>___________</w:t>
      </w:r>
    </w:p>
    <w:p w14:paraId="2775B56D" w14:textId="77777777" w:rsidR="0087663A" w:rsidRPr="0009445C" w:rsidRDefault="00573746" w:rsidP="00573746">
      <w:pPr>
        <w:widowControl w:val="0"/>
        <w:spacing w:line="276" w:lineRule="auto"/>
        <w:rPr>
          <w:sz w:val="16"/>
          <w:szCs w:val="16"/>
        </w:rPr>
      </w:pPr>
      <w:r w:rsidRPr="0009445C">
        <w:rPr>
          <w:sz w:val="16"/>
        </w:rPr>
        <w:t>1</w:t>
      </w:r>
      <w:r w:rsidRPr="0009445C">
        <w:rPr>
          <w:sz w:val="16"/>
        </w:rPr>
        <w:tab/>
        <w:t>According to national law</w:t>
      </w:r>
    </w:p>
    <w:p w14:paraId="69BDCBCB" w14:textId="77777777" w:rsidR="00573746" w:rsidRPr="0009445C" w:rsidRDefault="00573746" w:rsidP="00573746">
      <w:pPr>
        <w:widowControl w:val="0"/>
        <w:spacing w:line="276" w:lineRule="auto"/>
        <w:rPr>
          <w:szCs w:val="18"/>
        </w:rPr>
      </w:pPr>
    </w:p>
    <w:p w14:paraId="3140299A" w14:textId="77777777" w:rsidR="00573746" w:rsidRPr="0009445C" w:rsidRDefault="00573746" w:rsidP="00573746">
      <w:pPr>
        <w:widowControl w:val="0"/>
        <w:spacing w:line="276" w:lineRule="auto"/>
        <w:rPr>
          <w:szCs w:val="18"/>
        </w:rPr>
      </w:pPr>
    </w:p>
    <w:p w14:paraId="0588C048" w14:textId="77777777" w:rsidR="007D3F4C" w:rsidRPr="0009445C" w:rsidRDefault="007D3F4C" w:rsidP="00573746">
      <w:pPr>
        <w:widowControl w:val="0"/>
        <w:spacing w:line="276" w:lineRule="auto"/>
        <w:rPr>
          <w:szCs w:val="18"/>
        </w:rPr>
        <w:sectPr w:rsidR="007D3F4C" w:rsidRPr="0009445C">
          <w:headerReference w:type="default" r:id="rId19"/>
          <w:footerReference w:type="default" r:id="rId20"/>
          <w:pgSz w:w="11906" w:h="16838"/>
          <w:pgMar w:top="1417" w:right="1417" w:bottom="1134" w:left="1417" w:header="708" w:footer="708" w:gutter="0"/>
          <w:cols w:space="708"/>
          <w:docGrid w:linePitch="360"/>
        </w:sectPr>
      </w:pPr>
    </w:p>
    <w:p w14:paraId="6A453AA2" w14:textId="77777777" w:rsidR="007D3F4C" w:rsidRPr="0009445C" w:rsidRDefault="007D3F4C" w:rsidP="007D3F4C">
      <w:pPr>
        <w:pStyle w:val="Heading1"/>
        <w:tabs>
          <w:tab w:val="left" w:pos="1418"/>
        </w:tabs>
        <w:ind w:left="1418" w:hanging="1418"/>
      </w:pPr>
      <w:bookmarkStart w:id="1" w:name="_Ref24531791"/>
      <w:r w:rsidRPr="0009445C">
        <w:lastRenderedPageBreak/>
        <w:t>A 2</w:t>
      </w:r>
      <w:r w:rsidRPr="0009445C">
        <w:tab/>
        <w:t>Fire protection</w:t>
      </w:r>
      <w:bookmarkEnd w:id="1"/>
    </w:p>
    <w:p w14:paraId="7CE746B1" w14:textId="77777777" w:rsidR="007D3F4C" w:rsidRPr="0009445C" w:rsidRDefault="007D3F4C" w:rsidP="00600F53">
      <w:pPr>
        <w:pStyle w:val="BRL-berschrift"/>
      </w:pPr>
      <w:r w:rsidRPr="0009445C">
        <w:t>A 2.1</w:t>
      </w:r>
      <w:r w:rsidRPr="0009445C">
        <w:tab/>
      </w:r>
      <w:r w:rsidRPr="0009445C">
        <w:tab/>
        <w:t>General health protection requirements for structural works for reasons of fire protection</w:t>
      </w:r>
    </w:p>
    <w:p w14:paraId="4F8FFF71" w14:textId="77777777" w:rsidR="007D3F4C" w:rsidRPr="0009445C" w:rsidRDefault="007D3F4C" w:rsidP="007D3F4C">
      <w:pPr>
        <w:pStyle w:val="BRL-Standard"/>
      </w:pPr>
      <w:r w:rsidRPr="0009445C">
        <w:t>Under § 3 MBO</w:t>
      </w:r>
      <w:r w:rsidRPr="0009445C">
        <w:rPr>
          <w:vertAlign w:val="superscript"/>
        </w:rPr>
        <w:t>1</w:t>
      </w:r>
      <w:r w:rsidRPr="0009445C">
        <w:t xml:space="preserve"> in conjunction with § 14 MBO</w:t>
      </w:r>
      <w:r w:rsidRPr="0009445C">
        <w:rPr>
          <w:vertAlign w:val="superscript"/>
        </w:rPr>
        <w:t>1</w:t>
      </w:r>
      <w:r w:rsidRPr="0009445C">
        <w:t xml:space="preserve">, buildings must be positioned, erected, converted and maintained in such manner that </w:t>
      </w:r>
    </w:p>
    <w:p w14:paraId="624777BA" w14:textId="77777777" w:rsidR="007D3F4C" w:rsidRPr="0009445C" w:rsidRDefault="007D3F4C" w:rsidP="007D3F4C">
      <w:pPr>
        <w:pStyle w:val="BRL-Standard"/>
      </w:pPr>
    </w:p>
    <w:p w14:paraId="6AC90710" w14:textId="77777777" w:rsidR="007D3F4C" w:rsidRPr="0009445C" w:rsidRDefault="007D3F4C" w:rsidP="007D3F4C">
      <w:pPr>
        <w:pStyle w:val="BRLAufzhlungAnstrich"/>
        <w:numPr>
          <w:ilvl w:val="0"/>
          <w:numId w:val="1"/>
        </w:numPr>
      </w:pPr>
      <w:r w:rsidRPr="0009445C">
        <w:t>fire emergence is prevented,</w:t>
      </w:r>
    </w:p>
    <w:p w14:paraId="3D20F19D" w14:textId="77777777" w:rsidR="007D3F4C" w:rsidRPr="0009445C" w:rsidRDefault="007D3F4C" w:rsidP="007D3F4C">
      <w:pPr>
        <w:pStyle w:val="BRLAufzhlungAnstrich"/>
        <w:numPr>
          <w:ilvl w:val="0"/>
          <w:numId w:val="1"/>
        </w:numPr>
      </w:pPr>
      <w:r w:rsidRPr="0009445C">
        <w:t>the spread of fire and smoke (fire expansion) is prevented,</w:t>
      </w:r>
    </w:p>
    <w:p w14:paraId="33E1F72B" w14:textId="77777777" w:rsidR="007D3F4C" w:rsidRPr="0009445C" w:rsidRDefault="007D3F4C" w:rsidP="007D3F4C">
      <w:pPr>
        <w:pStyle w:val="BRLAufzhlungAnstrich"/>
        <w:numPr>
          <w:ilvl w:val="0"/>
          <w:numId w:val="1"/>
        </w:numPr>
      </w:pPr>
      <w:r w:rsidRPr="0009445C">
        <w:t>during a fire it is possible to rescue people and animals and</w:t>
      </w:r>
    </w:p>
    <w:p w14:paraId="7ED3EC02" w14:textId="77777777" w:rsidR="007D3F4C" w:rsidRPr="0009445C" w:rsidRDefault="007D3F4C" w:rsidP="007D3F4C">
      <w:pPr>
        <w:pStyle w:val="BRLAufzhlungAnstrich"/>
        <w:numPr>
          <w:ilvl w:val="0"/>
          <w:numId w:val="1"/>
        </w:numPr>
      </w:pPr>
      <w:r w:rsidRPr="0009445C">
        <w:t xml:space="preserve">effective firefighting is possible. </w:t>
      </w:r>
    </w:p>
    <w:p w14:paraId="2311FC31" w14:textId="77777777" w:rsidR="007D3F4C" w:rsidRPr="0009445C" w:rsidRDefault="007D3F4C" w:rsidP="007D3F4C">
      <w:pPr>
        <w:pStyle w:val="BRLAufzhlungAnstrich"/>
        <w:numPr>
          <w:ilvl w:val="0"/>
          <w:numId w:val="0"/>
        </w:numPr>
        <w:ind w:left="360"/>
      </w:pPr>
    </w:p>
    <w:p w14:paraId="0404BA32" w14:textId="77777777" w:rsidR="007D3F4C" w:rsidRPr="0009445C" w:rsidRDefault="007D3F4C" w:rsidP="007D3F4C">
      <w:pPr>
        <w:pStyle w:val="BRL-Standard"/>
      </w:pPr>
      <w:r w:rsidRPr="0009445C">
        <w:t>The provisions of § 5, 26 to 36, 39 to 42, 46 and 47 MBO</w:t>
      </w:r>
      <w:r w:rsidRPr="0009445C">
        <w:rPr>
          <w:vertAlign w:val="superscript"/>
        </w:rPr>
        <w:t>1</w:t>
      </w:r>
      <w:r w:rsidRPr="0009445C">
        <w:t xml:space="preserve"> and the requirements in the following Sections elaborate the fire protection requirements in terms of the relevant protection objectives for structural works. </w:t>
      </w:r>
    </w:p>
    <w:p w14:paraId="4467D433" w14:textId="77777777" w:rsidR="007D3F4C" w:rsidRPr="0009445C" w:rsidRDefault="007D3F4C" w:rsidP="007D3F4C">
      <w:pPr>
        <w:pStyle w:val="BRL-Standard"/>
      </w:pPr>
    </w:p>
    <w:p w14:paraId="5E447FAB" w14:textId="77777777" w:rsidR="007D3F4C" w:rsidRPr="0009445C" w:rsidRDefault="007D3F4C" w:rsidP="007D3F4C">
      <w:pPr>
        <w:pStyle w:val="BRL-Standard"/>
      </w:pPr>
      <w:r w:rsidRPr="0009445C">
        <w:t>For construction products under current harmonised European specifications whose use has an impact on structural works in terms of compliance with fire protection requirements (A 2.1.1 et seq.), classifications of performance data and related usability and execution conditions are included in the Technical Rule included in ser. No A 2.2.1.2.</w:t>
      </w:r>
    </w:p>
    <w:p w14:paraId="04E2A67B" w14:textId="77777777" w:rsidR="007D3F4C" w:rsidRPr="0009445C" w:rsidRDefault="007D3F4C" w:rsidP="007D3F4C">
      <w:pPr>
        <w:tabs>
          <w:tab w:val="left" w:pos="1134"/>
        </w:tabs>
        <w:spacing w:after="120" w:line="240" w:lineRule="auto"/>
      </w:pPr>
    </w:p>
    <w:p w14:paraId="06196A9E" w14:textId="77777777" w:rsidR="007D3F4C" w:rsidRPr="0009445C" w:rsidRDefault="007D3F4C" w:rsidP="00600F53">
      <w:pPr>
        <w:pStyle w:val="BRL-berschrift"/>
      </w:pPr>
      <w:r w:rsidRPr="0009445C">
        <w:t>A 2.1.1</w:t>
      </w:r>
      <w:r w:rsidRPr="0009445C">
        <w:tab/>
      </w:r>
      <w:r w:rsidRPr="0009445C">
        <w:tab/>
        <w:t>Requirements on the accessibility of buildings</w:t>
      </w:r>
    </w:p>
    <w:p w14:paraId="181BF024" w14:textId="77777777" w:rsidR="007D3F4C" w:rsidRPr="0009445C" w:rsidRDefault="007D3F4C" w:rsidP="007D3F4C">
      <w:pPr>
        <w:pStyle w:val="BRL-Standard"/>
      </w:pPr>
      <w:r w:rsidRPr="0009445C">
        <w:t>In order to carry out extinguishing and rescue operations, provision must be made for foot and vehicle access for the fire brigade, as well as installation and movement areas on the land, in accordance with § 5 MBO</w:t>
      </w:r>
      <w:r w:rsidRPr="0009445C">
        <w:rPr>
          <w:vertAlign w:val="superscript"/>
        </w:rPr>
        <w:t>1</w:t>
      </w:r>
      <w:r w:rsidRPr="0009445C">
        <w:t>; the specificities of the Technical Rule referred to in number A 2.2.1.1 shall be observed.</w:t>
      </w:r>
    </w:p>
    <w:p w14:paraId="02D84629" w14:textId="77777777" w:rsidR="007D3F4C" w:rsidRPr="0009445C" w:rsidRDefault="007D3F4C" w:rsidP="007D3F4C">
      <w:pPr>
        <w:pStyle w:val="BRL-Standard"/>
      </w:pPr>
    </w:p>
    <w:p w14:paraId="3E084566" w14:textId="77777777" w:rsidR="007D3F4C" w:rsidRPr="0009445C" w:rsidRDefault="007D3F4C" w:rsidP="007D3F4C">
      <w:pPr>
        <w:pStyle w:val="BRL-Standard"/>
      </w:pPr>
      <w:r w:rsidRPr="0009445C">
        <w:t xml:space="preserve">In open carriageways and passageways through which the only escape route to public thoroughfares leads or the accessibility for the fire service is ensured, only non-combustible insulating layers are permitted on supports, walls and ceilings. </w:t>
      </w:r>
    </w:p>
    <w:p w14:paraId="5E5B1DDE" w14:textId="77777777" w:rsidR="007D3F4C" w:rsidRPr="0009445C" w:rsidRDefault="007D3F4C" w:rsidP="007D3F4C">
      <w:pPr>
        <w:pStyle w:val="BRL-Standard"/>
      </w:pPr>
    </w:p>
    <w:p w14:paraId="6895A6E3" w14:textId="6105B287" w:rsidR="007D3F4C" w:rsidRPr="0009445C" w:rsidRDefault="007D3F4C" w:rsidP="00600F53">
      <w:pPr>
        <w:pStyle w:val="BRL-berschrift"/>
      </w:pPr>
      <w:r w:rsidRPr="0009445C">
        <w:t>A 2.1.2</w:t>
      </w:r>
      <w:r w:rsidRPr="0009445C">
        <w:tab/>
      </w:r>
      <w:r w:rsidRPr="0009445C">
        <w:tab/>
        <w:t>Requirements for the fire behaviour of building materials and building components</w:t>
      </w:r>
    </w:p>
    <w:p w14:paraId="5030391E" w14:textId="77777777" w:rsidR="007D3F4C" w:rsidRPr="0009445C" w:rsidRDefault="007D3F4C" w:rsidP="00600F53">
      <w:pPr>
        <w:pStyle w:val="BRL-berschrift"/>
      </w:pPr>
      <w:r w:rsidRPr="0009445C">
        <w:t>A 2.1.2.1</w:t>
      </w:r>
      <w:r w:rsidRPr="0009445C">
        <w:tab/>
        <w:t>General information</w:t>
      </w:r>
    </w:p>
    <w:p w14:paraId="20E3F0E9" w14:textId="36A8221E" w:rsidR="007D3F4C" w:rsidRPr="0009445C" w:rsidRDefault="007D3F4C" w:rsidP="007D3F4C">
      <w:pPr>
        <w:pStyle w:val="BRL-Standard"/>
      </w:pPr>
      <w:r w:rsidRPr="0009445C">
        <w:t>In order to meet the basic requirements, general requirements for fire behaviour are formulated in § 26(1) MBO</w:t>
      </w:r>
      <w:r w:rsidRPr="0009445C">
        <w:rPr>
          <w:vertAlign w:val="superscript"/>
        </w:rPr>
        <w:t xml:space="preserve"> 1</w:t>
      </w:r>
      <w:r w:rsidRPr="0009445C">
        <w:t>.</w:t>
      </w:r>
    </w:p>
    <w:p w14:paraId="639DDC0E" w14:textId="77777777" w:rsidR="007D3F4C" w:rsidRPr="0009445C" w:rsidRDefault="007D3F4C" w:rsidP="007D3F4C">
      <w:pPr>
        <w:pStyle w:val="BRL-Standard"/>
      </w:pPr>
      <w:r w:rsidRPr="0009445C">
        <w:t>The Technical Rule included in ser. No A 2.2.1.2 must be observed to meet the following requirements. This also applies to the assembly of building materials.</w:t>
      </w:r>
    </w:p>
    <w:p w14:paraId="3A0FF4E1" w14:textId="77777777" w:rsidR="007D3F4C" w:rsidRPr="0009445C" w:rsidRDefault="007D3F4C" w:rsidP="007D3F4C">
      <w:pPr>
        <w:pStyle w:val="BRL-Standard"/>
      </w:pPr>
    </w:p>
    <w:p w14:paraId="113235E1" w14:textId="77777777" w:rsidR="007D3F4C" w:rsidRPr="0009445C" w:rsidRDefault="007D3F4C" w:rsidP="007D3F4C">
      <w:pPr>
        <w:pStyle w:val="BRL-Standard"/>
        <w:sectPr w:rsidR="007D3F4C" w:rsidRPr="0009445C" w:rsidSect="007D3F4C">
          <w:headerReference w:type="default" r:id="rId21"/>
          <w:footerReference w:type="default" r:id="rId22"/>
          <w:headerReference w:type="first" r:id="rId23"/>
          <w:footerReference w:type="first" r:id="rId24"/>
          <w:pgSz w:w="11906" w:h="16838"/>
          <w:pgMar w:top="1134" w:right="1418" w:bottom="1134" w:left="1418" w:header="851" w:footer="425" w:gutter="0"/>
          <w:cols w:space="720"/>
          <w:titlePg/>
        </w:sectPr>
      </w:pPr>
    </w:p>
    <w:p w14:paraId="4E49BFEB" w14:textId="77777777" w:rsidR="007D3F4C" w:rsidRPr="0009445C" w:rsidRDefault="007D3F4C" w:rsidP="00600F53">
      <w:pPr>
        <w:pStyle w:val="BRL-berschrift"/>
      </w:pPr>
      <w:r w:rsidRPr="0009445C">
        <w:lastRenderedPageBreak/>
        <w:t>A 2.1.2.2</w:t>
      </w:r>
      <w:r w:rsidRPr="0009445C">
        <w:tab/>
        <w:t xml:space="preserve">Non-combustible </w:t>
      </w:r>
    </w:p>
    <w:p w14:paraId="7E5489A3" w14:textId="77777777" w:rsidR="007D3F4C" w:rsidRPr="0009445C" w:rsidRDefault="007D3F4C" w:rsidP="007D3F4C">
      <w:pPr>
        <w:pStyle w:val="BRL-Standard"/>
      </w:pPr>
      <w:r w:rsidRPr="0009445C">
        <w:t xml:space="preserve">When used in structural works, it must be ensured that the parts of structural works do not contribute to the fire, specifically a developing or fully developed fire. Depending on the use, there shall be no or limited ignition, the least possible smoke development, no progressive glowing and/or smouldering and no burning particles or debris; the type of structural elements, dimensional stability and melting point/melting temperature and raw density shall be taken into account. </w:t>
      </w:r>
    </w:p>
    <w:p w14:paraId="0C31284E" w14:textId="77777777" w:rsidR="007D3F4C" w:rsidRPr="0009445C" w:rsidRDefault="007D3F4C" w:rsidP="007D3F4C">
      <w:pPr>
        <w:pStyle w:val="BRL-Standard"/>
      </w:pPr>
    </w:p>
    <w:p w14:paraId="54E3F600" w14:textId="77777777" w:rsidR="007D3F4C" w:rsidRPr="0009445C" w:rsidRDefault="007D3F4C" w:rsidP="007D3F4C">
      <w:pPr>
        <w:pStyle w:val="BRL-Standard"/>
      </w:pPr>
      <w:r w:rsidRPr="0009445C">
        <w:t>Building materials are not combustible if they permanently comply with the criteria specified in DIN 4102-1:1998-05, Section 5.1 or 5.2 during a fire, if required, with the melting point information of at least 1 000°C pursuant to DIN 4102-17: 2017-12.</w:t>
      </w:r>
    </w:p>
    <w:p w14:paraId="48614AA5" w14:textId="77777777" w:rsidR="007D3F4C" w:rsidRPr="0009445C" w:rsidRDefault="007D3F4C" w:rsidP="007D3F4C">
      <w:pPr>
        <w:pStyle w:val="BRL-Standard"/>
      </w:pPr>
    </w:p>
    <w:p w14:paraId="57798451" w14:textId="77777777" w:rsidR="007D3F4C" w:rsidRPr="0009445C" w:rsidRDefault="007D3F4C" w:rsidP="00600F53">
      <w:pPr>
        <w:pStyle w:val="BRL-berschrift"/>
      </w:pPr>
      <w:r w:rsidRPr="0009445C">
        <w:t>A 2.1.2.3</w:t>
      </w:r>
      <w:r w:rsidRPr="0009445C">
        <w:tab/>
        <w:t xml:space="preserve">Flame-resistant </w:t>
      </w:r>
    </w:p>
    <w:p w14:paraId="6BD5F23D" w14:textId="77777777" w:rsidR="007D3F4C" w:rsidRPr="0009445C" w:rsidRDefault="007D3F4C" w:rsidP="007D3F4C">
      <w:pPr>
        <w:pStyle w:val="BRL-Standard"/>
      </w:pPr>
      <w:r w:rsidRPr="0009445C">
        <w:t xml:space="preserve">When used in structural works, it must be ensured that the parts of the structural works make only a limited contribution to the fire and that there is only a limited propagation during and when the fire effect is eliminated. </w:t>
      </w:r>
    </w:p>
    <w:p w14:paraId="09BAEDB3" w14:textId="77777777" w:rsidR="007D3F4C" w:rsidRPr="0009445C" w:rsidRDefault="007D3F4C" w:rsidP="007D3F4C">
      <w:pPr>
        <w:pStyle w:val="BRL-Standard"/>
      </w:pPr>
    </w:p>
    <w:p w14:paraId="633D8FEB" w14:textId="77777777" w:rsidR="007D3F4C" w:rsidRPr="0009445C" w:rsidRDefault="007D3F4C" w:rsidP="007D3F4C">
      <w:pPr>
        <w:pStyle w:val="BRL-Standard"/>
      </w:pPr>
      <w:r w:rsidRPr="0009445C">
        <w:t>Depending on the use of the component, ignition shall occur only after flames have been present for a specific time, only when smoke reaches a specific temperature, only where there is a limited release of energy, a defined amount of smoke development, no self-sustained continuation of the fire, no progressive glowing and/or smouldering, and – where applicable – no burning particles or debris.</w:t>
      </w:r>
    </w:p>
    <w:p w14:paraId="4BC7046F" w14:textId="77777777" w:rsidR="007D3F4C" w:rsidRPr="0009445C" w:rsidRDefault="007D3F4C" w:rsidP="007D3F4C">
      <w:pPr>
        <w:pStyle w:val="BRL-Standard"/>
      </w:pPr>
    </w:p>
    <w:p w14:paraId="2D01FCE7" w14:textId="77777777" w:rsidR="007D3F4C" w:rsidRPr="0009445C" w:rsidRDefault="007D3F4C" w:rsidP="007D3F4C">
      <w:pPr>
        <w:pStyle w:val="BRL-Standard"/>
      </w:pPr>
      <w:r w:rsidRPr="0009445C">
        <w:t xml:space="preserve">With the exception of external wall cladding and floor coverings, the fire effect referred to in Section 6.1.1 a of DIN 4102-1:1998-05 shall be assumed to be the fire of an object in a room; in the case of external wall cladding, the fire effect referred to in Section 6.1.1(b) of DIN 4102-1:1998-05 from a wall opening (see also A 2.1.5), in the case of floor coverings, the fire effect referred to in Section 6.1.1(c) of DIN 4102-1:1998-05 is to be assumed from a fire situation in which flames reach a neighbouring room from the door opening and where horizontal flame propagation and smoke development are safe. </w:t>
      </w:r>
    </w:p>
    <w:p w14:paraId="404FF6F2" w14:textId="77777777" w:rsidR="007D3F4C" w:rsidRPr="0009445C" w:rsidRDefault="007D3F4C" w:rsidP="007D3F4C">
      <w:pPr>
        <w:pStyle w:val="BRL-Standard"/>
      </w:pPr>
    </w:p>
    <w:p w14:paraId="56C17143" w14:textId="77777777" w:rsidR="007D3F4C" w:rsidRPr="0009445C" w:rsidRDefault="007D3F4C" w:rsidP="007D3F4C">
      <w:pPr>
        <w:pStyle w:val="BRL-Standard"/>
      </w:pPr>
      <w:r w:rsidRPr="0009445C">
        <w:t>Building materials are deemed flame-resistant if they permanently meet the criteria specified according to DIN 4102</w:t>
      </w:r>
      <w:r w:rsidRPr="0009445C">
        <w:noBreakHyphen/>
        <w:t xml:space="preserve">1:1998-05, Section 6.1 under the effects of a fire. </w:t>
      </w:r>
    </w:p>
    <w:p w14:paraId="5622FEE4" w14:textId="77777777" w:rsidR="007D3F4C" w:rsidRPr="0009445C" w:rsidRDefault="007D3F4C" w:rsidP="007D3F4C">
      <w:pPr>
        <w:pStyle w:val="BRL-Standard"/>
      </w:pPr>
    </w:p>
    <w:p w14:paraId="17994BB8" w14:textId="4953CAB0" w:rsidR="007D3F4C" w:rsidRPr="0009445C" w:rsidRDefault="007D3F4C" w:rsidP="007D3F4C">
      <w:pPr>
        <w:pStyle w:val="BRL-Standard"/>
      </w:pPr>
      <w:r w:rsidRPr="0009445C">
        <w:t>Parts of buildings that should not produce any falling burning particles or debris must also fulfil the criteria pursuant to DIN 4102</w:t>
      </w:r>
      <w:r w:rsidRPr="0009445C">
        <w:noBreakHyphen/>
        <w:t>16:2021-01, Section 10.3.</w:t>
      </w:r>
    </w:p>
    <w:p w14:paraId="6EFA91FB" w14:textId="77777777" w:rsidR="007D3F4C" w:rsidRPr="0009445C" w:rsidRDefault="007D3F4C" w:rsidP="007D3F4C">
      <w:pPr>
        <w:pStyle w:val="BRL-Standard"/>
      </w:pPr>
    </w:p>
    <w:p w14:paraId="1DBF369B" w14:textId="77777777" w:rsidR="007D3F4C" w:rsidRPr="0009445C" w:rsidRDefault="007D3F4C" w:rsidP="00600F53">
      <w:pPr>
        <w:pStyle w:val="BRL-berschrift"/>
      </w:pPr>
      <w:r w:rsidRPr="0009445C">
        <w:t>A 2.1.2.4</w:t>
      </w:r>
      <w:r w:rsidRPr="0009445C">
        <w:tab/>
        <w:t xml:space="preserve">Normal flammability </w:t>
      </w:r>
    </w:p>
    <w:p w14:paraId="4B9EABDA" w14:textId="77777777" w:rsidR="007D3F4C" w:rsidRPr="0009445C" w:rsidRDefault="007D3F4C" w:rsidP="007D3F4C">
      <w:pPr>
        <w:pStyle w:val="BRL-Standard"/>
      </w:pPr>
      <w:r w:rsidRPr="0009445C">
        <w:t>For use in buildings in case of exposure to an incipient fire it must be ensured that parts of buildings can only</w:t>
      </w:r>
      <w:r w:rsidRPr="0009445C">
        <w:rPr>
          <w:b/>
        </w:rPr>
        <w:t xml:space="preserve"> </w:t>
      </w:r>
      <w:r w:rsidRPr="0009445C">
        <w:t xml:space="preserve">contribute to the fire to a limited extent; where applicable, no falling burning debris or particles should be produced. The fire effect shall be assumed as a fire effect in accordance with Section 6.2.1 of DIN 4102-01:1998-05. </w:t>
      </w:r>
    </w:p>
    <w:p w14:paraId="2133B858" w14:textId="77777777" w:rsidR="007D3F4C" w:rsidRPr="0009445C" w:rsidRDefault="007D3F4C" w:rsidP="007D3F4C">
      <w:pPr>
        <w:pStyle w:val="BRL-Standard"/>
      </w:pPr>
    </w:p>
    <w:p w14:paraId="5833BBE5" w14:textId="77777777" w:rsidR="007D3F4C" w:rsidRPr="0009445C" w:rsidRDefault="007D3F4C" w:rsidP="007D3F4C">
      <w:pPr>
        <w:pStyle w:val="BRL-Standard"/>
      </w:pPr>
      <w:r w:rsidRPr="0009445C">
        <w:t>Building materials are deemed normal flammability if they permanently meet the criteria specified according to DIN 4102</w:t>
      </w:r>
      <w:r w:rsidRPr="0009445C">
        <w:noBreakHyphen/>
        <w:t xml:space="preserve">1:1998-05, Section 6.2 under the effects of a fire. </w:t>
      </w:r>
    </w:p>
    <w:p w14:paraId="53BC154F" w14:textId="77777777" w:rsidR="007D3F4C" w:rsidRPr="0009445C" w:rsidRDefault="007D3F4C" w:rsidP="007D3F4C">
      <w:pPr>
        <w:pStyle w:val="BRL-Standard"/>
      </w:pPr>
    </w:p>
    <w:p w14:paraId="718A5EB9" w14:textId="77777777" w:rsidR="007D3F4C" w:rsidRPr="0009445C" w:rsidRDefault="007D3F4C" w:rsidP="007D3F4C">
      <w:pPr>
        <w:pStyle w:val="BRL-Standard"/>
      </w:pPr>
      <w:r w:rsidRPr="0009445C">
        <w:t>Parts of buildings that should not produce any falling burning debris or particles must also fulfil the criteria pursuant to DIN 4102-1:1998-05, Section 6.2.6</w:t>
      </w:r>
    </w:p>
    <w:p w14:paraId="6460D60B" w14:textId="77777777" w:rsidR="007D3F4C" w:rsidRPr="0009445C" w:rsidRDefault="007D3F4C" w:rsidP="007D3F4C">
      <w:pPr>
        <w:pStyle w:val="BRL-Standard"/>
      </w:pPr>
    </w:p>
    <w:p w14:paraId="0ECF86BA" w14:textId="77777777" w:rsidR="007D3F4C" w:rsidRPr="0009445C" w:rsidRDefault="007D3F4C" w:rsidP="007D3F4C">
      <w:pPr>
        <w:pStyle w:val="BRL-Standard"/>
      </w:pPr>
    </w:p>
    <w:p w14:paraId="4A704B3C" w14:textId="77777777" w:rsidR="007D3F4C" w:rsidRPr="0009445C" w:rsidRDefault="007D3F4C" w:rsidP="007D3F4C">
      <w:pPr>
        <w:pStyle w:val="BRL-Standard"/>
      </w:pPr>
      <w:r w:rsidRPr="0009445C">
        <w:t>If a component is to be used for the structural installation that does not meet at least the requirement ‘normal flammability’ (lightly flammable), § 26(1) sentence 2 MBO</w:t>
      </w:r>
      <w:r w:rsidRPr="0009445C">
        <w:rPr>
          <w:vertAlign w:val="superscript"/>
        </w:rPr>
        <w:t>1</w:t>
      </w:r>
      <w:r w:rsidRPr="0009445C">
        <w:t xml:space="preserve"> must be complied with.</w:t>
      </w:r>
    </w:p>
    <w:p w14:paraId="51032971" w14:textId="77777777" w:rsidR="007D3F4C" w:rsidRPr="0009445C" w:rsidRDefault="007D3F4C" w:rsidP="00600F53">
      <w:pPr>
        <w:pStyle w:val="BRL-berschrift"/>
      </w:pPr>
      <w:r w:rsidRPr="0009445C">
        <w:br w:type="page"/>
      </w:r>
      <w:r w:rsidRPr="0009445C">
        <w:lastRenderedPageBreak/>
        <w:t xml:space="preserve">A 2.1.3 </w:t>
      </w:r>
      <w:r w:rsidRPr="0009445C">
        <w:tab/>
      </w:r>
      <w:r w:rsidRPr="0009445C">
        <w:tab/>
        <w:t>Requirements on the fire resistance of parts of buildings</w:t>
      </w:r>
    </w:p>
    <w:p w14:paraId="0159BC6E" w14:textId="77777777" w:rsidR="007D3F4C" w:rsidRPr="0009445C" w:rsidRDefault="007D3F4C" w:rsidP="00600F53">
      <w:pPr>
        <w:pStyle w:val="BRL-berschrift"/>
      </w:pPr>
      <w:r w:rsidRPr="0009445C">
        <w:t>A 2.1.3.1</w:t>
      </w:r>
      <w:r w:rsidRPr="0009445C">
        <w:tab/>
        <w:t>General information</w:t>
      </w:r>
    </w:p>
    <w:p w14:paraId="4D83636E" w14:textId="063CA8C3" w:rsidR="007D3F4C" w:rsidRPr="0009445C" w:rsidRDefault="007D3F4C" w:rsidP="007D3F4C">
      <w:pPr>
        <w:pStyle w:val="BRL-Standard"/>
      </w:pPr>
      <w:r w:rsidRPr="0009445C">
        <w:t>For the fulfilment of the basic requirements in accordance with § 3 in conjunction with § 14 MBO</w:t>
      </w:r>
      <w:r w:rsidRPr="0009445C">
        <w:rPr>
          <w:vertAlign w:val="superscript"/>
        </w:rPr>
        <w:t>1</w:t>
      </w:r>
      <w:r w:rsidRPr="0009445C">
        <w:t>, general requirements for the fire resistance of parts of buildings are set out in § 26(2) MBO</w:t>
      </w:r>
      <w:r w:rsidRPr="0009445C">
        <w:rPr>
          <w:vertAlign w:val="superscript"/>
        </w:rPr>
        <w:t>1</w:t>
      </w:r>
      <w:r w:rsidRPr="0009445C">
        <w:t xml:space="preserve"> and a distinction is made between:</w:t>
      </w:r>
    </w:p>
    <w:p w14:paraId="448A42C2" w14:textId="6022F669" w:rsidR="007D3F4C" w:rsidRPr="0009445C" w:rsidRDefault="007D3F4C" w:rsidP="007D3F4C">
      <w:pPr>
        <w:pStyle w:val="BRL-Standard"/>
      </w:pPr>
      <w:r w:rsidRPr="0009445C">
        <w:t>The fire resistance of structural elements is essentially based on the applicable system of building inspection requirements (building classes, height of storeys, type of building). The classifications in fire resistance classes are determined on the basis of fire tests according to the standard temperature-time curve (</w:t>
      </w:r>
      <w:proofErr w:type="spellStart"/>
      <w:r w:rsidRPr="0009445C">
        <w:t>Einheitstemperaturzeitkurve</w:t>
      </w:r>
      <w:proofErr w:type="spellEnd"/>
      <w:r w:rsidRPr="0009445C">
        <w:t xml:space="preserve"> [ETK]). Fire-resistance classes follow from the Technical Rule described under Paragraph A 2.2.1.2.</w:t>
      </w:r>
    </w:p>
    <w:p w14:paraId="072FF77A" w14:textId="77777777" w:rsidR="007D3F4C" w:rsidRPr="0009445C" w:rsidRDefault="007D3F4C" w:rsidP="007D3F4C">
      <w:pPr>
        <w:pStyle w:val="BRL-Standard"/>
      </w:pPr>
    </w:p>
    <w:p w14:paraId="5635C57B" w14:textId="3161EA29" w:rsidR="007D3F4C" w:rsidRPr="0009445C" w:rsidRDefault="007D3F4C" w:rsidP="007D3F4C">
      <w:pPr>
        <w:pStyle w:val="BRL-Standard"/>
      </w:pPr>
      <w:r w:rsidRPr="0009445C">
        <w:t>In the case of load-bearing and reinforcing structural elements of structural systems, the fire resistance refers to their stability in the event of fire. In the case of room-closing structural elements, such as walls and ceilings, the fire resistance also refers to their resistance to fire propagation (room-enclosing fire resistance — hereinafter: closing off the room).</w:t>
      </w:r>
    </w:p>
    <w:p w14:paraId="67E5E86E" w14:textId="77777777" w:rsidR="007D3F4C" w:rsidRPr="0009445C" w:rsidRDefault="007D3F4C" w:rsidP="007D3F4C">
      <w:pPr>
        <w:pStyle w:val="BRL-Standard"/>
      </w:pPr>
    </w:p>
    <w:p w14:paraId="7A12C19D" w14:textId="77777777" w:rsidR="007D3F4C" w:rsidRPr="0009445C" w:rsidRDefault="007D3F4C" w:rsidP="007D3F4C">
      <w:pPr>
        <w:pStyle w:val="BRL-Standard"/>
      </w:pPr>
      <w:r w:rsidRPr="0009445C">
        <w:t>In terms of their fire characteristics, fire-resistant structural elements must not contribute more to the fire than specified in § 26(2) MBO</w:t>
      </w:r>
      <w:r w:rsidRPr="0009445C">
        <w:rPr>
          <w:vertAlign w:val="superscript"/>
        </w:rPr>
        <w:t>1</w:t>
      </w:r>
      <w:r w:rsidRPr="0009445C">
        <w:t xml:space="preserve">. </w:t>
      </w:r>
    </w:p>
    <w:p w14:paraId="3C9A9554" w14:textId="77777777" w:rsidR="007D3F4C" w:rsidRPr="0009445C" w:rsidRDefault="007D3F4C" w:rsidP="007D3F4C">
      <w:pPr>
        <w:pStyle w:val="BRL-Standard"/>
      </w:pPr>
    </w:p>
    <w:p w14:paraId="115F8392" w14:textId="77777777" w:rsidR="007D3F4C" w:rsidRPr="0009445C" w:rsidRDefault="007D3F4C" w:rsidP="007D3F4C">
      <w:r w:rsidRPr="0009445C">
        <w:t>Where specific fire protection requirements and fire protection values of the building material class apply, coatings applied subsequently to structural elements up to a thickness of 0.5 mm remain disregarded, where the coatings are fully applied without hollow spaces on a non-combustible substrate.</w:t>
      </w:r>
    </w:p>
    <w:p w14:paraId="18473987" w14:textId="77777777" w:rsidR="007D3F4C" w:rsidRPr="0009445C" w:rsidRDefault="007D3F4C" w:rsidP="007D3F4C"/>
    <w:p w14:paraId="7F76C070" w14:textId="77777777" w:rsidR="007D3F4C" w:rsidRPr="0009445C" w:rsidRDefault="007D3F4C" w:rsidP="007D3F4C">
      <w:pPr>
        <w:pStyle w:val="BRL-Standard"/>
      </w:pPr>
      <w:r w:rsidRPr="0009445C">
        <w:t>Fire-resistant structural elements are divided into:</w:t>
      </w:r>
    </w:p>
    <w:p w14:paraId="09C18512" w14:textId="77777777" w:rsidR="007D3F4C" w:rsidRPr="0009445C" w:rsidRDefault="007D3F4C" w:rsidP="007D3F4C">
      <w:pPr>
        <w:pStyle w:val="BRL-Standard"/>
      </w:pPr>
    </w:p>
    <w:p w14:paraId="601ACB18" w14:textId="77777777" w:rsidR="007D3F4C" w:rsidRPr="0009445C" w:rsidRDefault="007D3F4C" w:rsidP="00476E72">
      <w:pPr>
        <w:numPr>
          <w:ilvl w:val="0"/>
          <w:numId w:val="41"/>
        </w:numPr>
        <w:spacing w:line="276" w:lineRule="auto"/>
        <w:ind w:left="284" w:hanging="284"/>
        <w:jc w:val="both"/>
        <w:rPr>
          <w:rFonts w:cs="Arial"/>
        </w:rPr>
      </w:pPr>
      <w:r w:rsidRPr="0009445C">
        <w:t xml:space="preserve">fire-resistant structural elements: </w:t>
      </w:r>
    </w:p>
    <w:p w14:paraId="7EEE4376" w14:textId="77777777" w:rsidR="007D3F4C" w:rsidRPr="0009445C" w:rsidRDefault="007D3F4C" w:rsidP="007D3F4C">
      <w:pPr>
        <w:ind w:left="284"/>
        <w:rPr>
          <w:rFonts w:cs="Arial"/>
        </w:rPr>
      </w:pPr>
    </w:p>
    <w:p w14:paraId="159F0DB7" w14:textId="77777777" w:rsidR="007D3F4C" w:rsidRPr="0009445C" w:rsidRDefault="007D3F4C" w:rsidP="007D3F4C">
      <w:pPr>
        <w:ind w:left="284" w:hanging="284"/>
        <w:rPr>
          <w:rFonts w:cs="Arial"/>
        </w:rPr>
      </w:pPr>
      <w:r w:rsidRPr="0009445C">
        <w:tab/>
        <w:t>Load-bearing and reinforced parts must consist of non-combustible building materials. Space-enclosing structural elements must additionally have a layer of non-combustible building materials that is continuous in the component plane.</w:t>
      </w:r>
    </w:p>
    <w:p w14:paraId="11DDE519" w14:textId="77777777" w:rsidR="007D3F4C" w:rsidRPr="0009445C" w:rsidRDefault="007D3F4C" w:rsidP="007D3F4C">
      <w:pPr>
        <w:ind w:left="284" w:hanging="284"/>
        <w:rPr>
          <w:rFonts w:cs="Arial"/>
        </w:rPr>
      </w:pPr>
    </w:p>
    <w:p w14:paraId="08AAABBB" w14:textId="77777777" w:rsidR="007D3F4C" w:rsidRPr="0009445C" w:rsidRDefault="007D3F4C" w:rsidP="00476E72">
      <w:pPr>
        <w:numPr>
          <w:ilvl w:val="0"/>
          <w:numId w:val="41"/>
        </w:numPr>
        <w:spacing w:line="276" w:lineRule="auto"/>
        <w:ind w:left="284" w:hanging="284"/>
        <w:jc w:val="both"/>
        <w:rPr>
          <w:rFonts w:cs="Arial"/>
        </w:rPr>
      </w:pPr>
      <w:r w:rsidRPr="0009445C">
        <w:t xml:space="preserve">Highly fire-retardant structural elements: </w:t>
      </w:r>
    </w:p>
    <w:p w14:paraId="168AC887" w14:textId="77777777" w:rsidR="007D3F4C" w:rsidRPr="0009445C" w:rsidRDefault="007D3F4C" w:rsidP="007D3F4C">
      <w:pPr>
        <w:ind w:left="284"/>
        <w:rPr>
          <w:rFonts w:cs="Arial"/>
        </w:rPr>
      </w:pPr>
    </w:p>
    <w:p w14:paraId="653BA13B" w14:textId="77777777" w:rsidR="007D3F4C" w:rsidRPr="0009445C" w:rsidRDefault="007D3F4C" w:rsidP="007D3F4C">
      <w:pPr>
        <w:ind w:left="284" w:hanging="284"/>
        <w:rPr>
          <w:rFonts w:cs="Arial"/>
        </w:rPr>
      </w:pPr>
      <w:r w:rsidRPr="0009445C">
        <w:tab/>
        <w:t>Where structural and reinforced parts consist of combustible building materials, they must have fire-protective cladding made from non-combustible building materials (fire protective cladding) and, where available, non-combustible insulation materials. The fire-protective cladding must prevent</w:t>
      </w:r>
    </w:p>
    <w:p w14:paraId="3BA54B7F" w14:textId="77777777" w:rsidR="007D3F4C" w:rsidRPr="0009445C" w:rsidRDefault="007D3F4C" w:rsidP="007D3F4C">
      <w:pPr>
        <w:ind w:left="284" w:hanging="284"/>
        <w:rPr>
          <w:rFonts w:cs="Arial"/>
        </w:rPr>
      </w:pPr>
    </w:p>
    <w:p w14:paraId="4F4E12AA" w14:textId="77777777" w:rsidR="007D3F4C" w:rsidRPr="0009445C" w:rsidRDefault="007D3F4C" w:rsidP="007D3F4C">
      <w:pPr>
        <w:pStyle w:val="BRLAufzhlungAnstrich"/>
        <w:numPr>
          <w:ilvl w:val="0"/>
          <w:numId w:val="1"/>
        </w:numPr>
        <w:tabs>
          <w:tab w:val="clear" w:pos="284"/>
        </w:tabs>
        <w:ind w:left="567"/>
      </w:pPr>
      <w:r w:rsidRPr="0009445C">
        <w:t>burning of the supporting and reinforced parts,</w:t>
      </w:r>
    </w:p>
    <w:p w14:paraId="012EE133" w14:textId="77777777" w:rsidR="007D3F4C" w:rsidRPr="0009445C" w:rsidRDefault="007D3F4C" w:rsidP="007D3F4C">
      <w:pPr>
        <w:pStyle w:val="BRLAufzhlungAnstrich"/>
        <w:numPr>
          <w:ilvl w:val="0"/>
          <w:numId w:val="1"/>
        </w:numPr>
        <w:tabs>
          <w:tab w:val="clear" w:pos="284"/>
        </w:tabs>
        <w:ind w:left="567"/>
      </w:pPr>
      <w:r w:rsidRPr="0009445C">
        <w:t>the introduction of fire and smoke into wall and ceiling structural elements through joints, installations or fittings and the spread of fire within these structural elements,</w:t>
      </w:r>
    </w:p>
    <w:p w14:paraId="7E82020B" w14:textId="77777777" w:rsidR="007D3F4C" w:rsidRPr="0009445C" w:rsidRDefault="007D3F4C" w:rsidP="007D3F4C">
      <w:pPr>
        <w:pStyle w:val="BRLAufzhlungAnstrich"/>
        <w:numPr>
          <w:ilvl w:val="0"/>
          <w:numId w:val="1"/>
        </w:numPr>
        <w:tabs>
          <w:tab w:val="clear" w:pos="284"/>
        </w:tabs>
        <w:ind w:left="567"/>
      </w:pPr>
      <w:r w:rsidRPr="0009445C">
        <w:t>the transmission of fire via connecting joints of space-enclosing structural elements into adjacent units or rooms and</w:t>
      </w:r>
    </w:p>
    <w:p w14:paraId="5C9559C1" w14:textId="77777777" w:rsidR="007D3F4C" w:rsidRPr="0009445C" w:rsidRDefault="007D3F4C" w:rsidP="007D3F4C">
      <w:pPr>
        <w:pStyle w:val="BRLAufzhlungAnstrich"/>
        <w:numPr>
          <w:ilvl w:val="0"/>
          <w:numId w:val="1"/>
        </w:numPr>
        <w:tabs>
          <w:tab w:val="clear" w:pos="284"/>
        </w:tabs>
        <w:ind w:left="567"/>
      </w:pPr>
      <w:r w:rsidRPr="0009445C">
        <w:t>any significant spread of smoke through connecting joints (see A 2.1.3.3.3)</w:t>
      </w:r>
    </w:p>
    <w:p w14:paraId="68A12CEF" w14:textId="77777777" w:rsidR="007D3F4C" w:rsidRPr="0009445C" w:rsidRDefault="007D3F4C" w:rsidP="007D3F4C">
      <w:pPr>
        <w:pStyle w:val="BRL-Anlage-AufzhlungKasten"/>
        <w:numPr>
          <w:ilvl w:val="0"/>
          <w:numId w:val="0"/>
        </w:numPr>
        <w:ind w:left="928"/>
      </w:pPr>
    </w:p>
    <w:p w14:paraId="0A45B547" w14:textId="77777777" w:rsidR="007D3F4C" w:rsidRPr="0009445C" w:rsidRDefault="007D3F4C" w:rsidP="007D3F4C">
      <w:pPr>
        <w:pStyle w:val="Aufzhlung"/>
        <w:tabs>
          <w:tab w:val="clear" w:pos="1418"/>
        </w:tabs>
        <w:suppressAutoHyphens w:val="0"/>
        <w:spacing w:before="0" w:after="0" w:line="276" w:lineRule="auto"/>
        <w:ind w:left="567" w:hanging="283"/>
        <w:contextualSpacing/>
        <w:rPr>
          <w:sz w:val="18"/>
        </w:rPr>
      </w:pPr>
      <w:r w:rsidRPr="0009445C">
        <w:rPr>
          <w:sz w:val="18"/>
        </w:rPr>
        <w:t>.</w:t>
      </w:r>
    </w:p>
    <w:p w14:paraId="2F482036" w14:textId="77777777" w:rsidR="007D3F4C" w:rsidRPr="0009445C" w:rsidRDefault="007D3F4C" w:rsidP="007D3F4C">
      <w:pPr>
        <w:ind w:left="284" w:hanging="284"/>
        <w:rPr>
          <w:rFonts w:cs="Arial"/>
        </w:rPr>
      </w:pPr>
    </w:p>
    <w:p w14:paraId="7D089307" w14:textId="77777777" w:rsidR="007D3F4C" w:rsidRPr="0009445C" w:rsidRDefault="007D3F4C" w:rsidP="007D3F4C">
      <w:pPr>
        <w:ind w:left="284"/>
        <w:rPr>
          <w:rFonts w:cs="Arial"/>
        </w:rPr>
      </w:pPr>
      <w:r w:rsidRPr="0009445C">
        <w:t>Where space-enclosing high fire-retardant structural elements in their load-bearing and reinforced parts are made of non-combustible building materials and a continuous layer of non-combustible building materials is arranged at the component level, no covering designed to protect against fire is required; they can also consist of non-combustible building materials as a whole.</w:t>
      </w:r>
    </w:p>
    <w:p w14:paraId="4CFD6476" w14:textId="77777777" w:rsidR="007D3F4C" w:rsidRPr="0009445C" w:rsidRDefault="007D3F4C" w:rsidP="007D3F4C">
      <w:pPr>
        <w:ind w:left="284"/>
        <w:rPr>
          <w:rFonts w:cs="Arial"/>
        </w:rPr>
      </w:pPr>
    </w:p>
    <w:p w14:paraId="3003D284" w14:textId="77777777" w:rsidR="007D3F4C" w:rsidRPr="0009445C" w:rsidRDefault="007D3F4C" w:rsidP="007D3F4C">
      <w:pPr>
        <w:spacing w:line="240" w:lineRule="auto"/>
        <w:rPr>
          <w:rFonts w:cs="Arial"/>
        </w:rPr>
      </w:pPr>
      <w:r w:rsidRPr="0009445C">
        <w:br w:type="page"/>
      </w:r>
    </w:p>
    <w:p w14:paraId="1DAFEF04" w14:textId="77777777" w:rsidR="007D3F4C" w:rsidRPr="0009445C" w:rsidRDefault="007D3F4C" w:rsidP="00476E72">
      <w:pPr>
        <w:numPr>
          <w:ilvl w:val="0"/>
          <w:numId w:val="41"/>
        </w:numPr>
        <w:spacing w:line="276" w:lineRule="auto"/>
        <w:ind w:left="284" w:hanging="284"/>
        <w:jc w:val="both"/>
        <w:rPr>
          <w:rFonts w:cs="Arial"/>
        </w:rPr>
      </w:pPr>
      <w:r w:rsidRPr="0009445C">
        <w:lastRenderedPageBreak/>
        <w:t>fire-retardant structural elements:</w:t>
      </w:r>
    </w:p>
    <w:p w14:paraId="017136DC" w14:textId="77777777" w:rsidR="007D3F4C" w:rsidRPr="0009445C" w:rsidRDefault="007D3F4C" w:rsidP="007D3F4C">
      <w:pPr>
        <w:pStyle w:val="BRL-Standard"/>
        <w:ind w:left="284"/>
      </w:pPr>
    </w:p>
    <w:p w14:paraId="6F52578E" w14:textId="77777777" w:rsidR="007D3F4C" w:rsidRPr="0009445C" w:rsidRDefault="007D3F4C" w:rsidP="007D3F4C">
      <w:pPr>
        <w:pStyle w:val="BRL-Standard"/>
        <w:ind w:left="284"/>
      </w:pPr>
      <w:r w:rsidRPr="0009445C">
        <w:t>Load-bearing and reinforcing structural elements can be made of combustible building materials. This also applies to space-enclosing structural elements.</w:t>
      </w:r>
    </w:p>
    <w:p w14:paraId="44F5E749" w14:textId="77777777" w:rsidR="007D3F4C" w:rsidRPr="0009445C" w:rsidRDefault="007D3F4C" w:rsidP="007D3F4C">
      <w:pPr>
        <w:pStyle w:val="BRL-Standard"/>
        <w:ind w:left="284"/>
      </w:pPr>
    </w:p>
    <w:p w14:paraId="28B6B4E9" w14:textId="77777777" w:rsidR="007D3F4C" w:rsidRPr="0009445C" w:rsidRDefault="007D3F4C" w:rsidP="00476E72">
      <w:pPr>
        <w:pStyle w:val="ListParagraph"/>
        <w:numPr>
          <w:ilvl w:val="0"/>
          <w:numId w:val="41"/>
        </w:numPr>
        <w:ind w:left="284" w:hanging="284"/>
      </w:pPr>
      <w:r w:rsidRPr="0009445C">
        <w:t>Structural elements according to § 26(2) sentence 4 MBO</w:t>
      </w:r>
      <w:r w:rsidRPr="0009445C">
        <w:rPr>
          <w:vertAlign w:val="superscript"/>
        </w:rPr>
        <w:t>1</w:t>
      </w:r>
      <w:r w:rsidRPr="0009445C">
        <w:t>, which may consist of combustible building materials and do not have cavities or filled cavities or insulating materials inside. Load-bearing and reinforcing structural elements can be made of combustible building materials. This also applies to space-enclosing structural elements.</w:t>
      </w:r>
    </w:p>
    <w:p w14:paraId="04471CE0" w14:textId="77777777" w:rsidR="00632D5D" w:rsidRPr="0009445C" w:rsidRDefault="00632D5D" w:rsidP="00632D5D">
      <w:pPr>
        <w:pStyle w:val="ListParagraph"/>
        <w:ind w:left="284"/>
      </w:pPr>
    </w:p>
    <w:p w14:paraId="372B62C4" w14:textId="77777777" w:rsidR="00632D5D" w:rsidRPr="0009445C" w:rsidRDefault="00632D5D" w:rsidP="00632D5D">
      <w:pPr>
        <w:pStyle w:val="ListParagraph"/>
        <w:numPr>
          <w:ilvl w:val="0"/>
          <w:numId w:val="41"/>
        </w:numPr>
        <w:ind w:left="357" w:hanging="357"/>
      </w:pPr>
      <w:r w:rsidRPr="0009445C">
        <w:t>Fire-resistant structural elements for 120 minutes of stability in the event of fire and room closure;</w:t>
      </w:r>
      <w:r w:rsidRPr="0009445C">
        <w:br/>
        <w:t>load-bearing and reinforcing structural elements must be made of non-combustible building materials. This also applies to space-enclosing structural elements.</w:t>
      </w:r>
    </w:p>
    <w:p w14:paraId="1678C52F" w14:textId="77777777" w:rsidR="007D3F4C" w:rsidRPr="0009445C" w:rsidRDefault="007D3F4C" w:rsidP="007D3F4C">
      <w:pPr>
        <w:pStyle w:val="BRL-Standard"/>
      </w:pPr>
    </w:p>
    <w:p w14:paraId="32315698" w14:textId="77777777" w:rsidR="007D3F4C" w:rsidRPr="0009445C" w:rsidRDefault="007D3F4C" w:rsidP="00600F53">
      <w:pPr>
        <w:pStyle w:val="BRL-berschrift"/>
      </w:pPr>
      <w:r w:rsidRPr="0009445C">
        <w:t>A 2.1.3.2</w:t>
      </w:r>
      <w:r w:rsidRPr="0009445C">
        <w:tab/>
        <w:t xml:space="preserve">Requirements for stability in the event of fire </w:t>
      </w:r>
    </w:p>
    <w:p w14:paraId="29D3D9BD" w14:textId="77777777" w:rsidR="007D3F4C" w:rsidRPr="0009445C" w:rsidRDefault="007D3F4C" w:rsidP="00600F53">
      <w:pPr>
        <w:pStyle w:val="BRL-berschrift"/>
      </w:pPr>
      <w:r w:rsidRPr="0009445C">
        <w:t>A 2.1.3.2.1</w:t>
      </w:r>
      <w:r w:rsidRPr="0009445C">
        <w:tab/>
        <w:t>General information</w:t>
      </w:r>
    </w:p>
    <w:p w14:paraId="3F54FD4E" w14:textId="5D6A20E5" w:rsidR="007D3F4C" w:rsidRPr="0009445C" w:rsidRDefault="007D3F4C" w:rsidP="007D3F4C">
      <w:pPr>
        <w:pStyle w:val="BRL-Standard"/>
      </w:pPr>
      <w:r w:rsidRPr="0009445C">
        <w:t>To meet the requirements of § 12 MBO</w:t>
      </w:r>
      <w:r w:rsidRPr="0009445C">
        <w:rPr>
          <w:vertAlign w:val="superscript"/>
        </w:rPr>
        <w:t>1</w:t>
      </w:r>
      <w:r w:rsidRPr="0009445C">
        <w:t>, load-bearing parts of buildings must remain stable even if a fire develops over a specific period of time.</w:t>
      </w:r>
    </w:p>
    <w:p w14:paraId="3A86646A" w14:textId="77777777" w:rsidR="007D3F4C" w:rsidRPr="0009445C" w:rsidRDefault="007D3F4C" w:rsidP="007D3F4C">
      <w:pPr>
        <w:pStyle w:val="BRL-Standard"/>
      </w:pPr>
    </w:p>
    <w:p w14:paraId="50C7107F" w14:textId="77777777" w:rsidR="007D3F4C" w:rsidRPr="0009445C" w:rsidRDefault="007D3F4C" w:rsidP="007D3F4C">
      <w:pPr>
        <w:pStyle w:val="BRL-Standard"/>
      </w:pPr>
      <w:r w:rsidRPr="0009445C">
        <w:t xml:space="preserve">Cross-Section modifications and penetrations – including those performed subsequently – and deformations due to fire exposure must be taken into account insofar as they could have an impact on stability. </w:t>
      </w:r>
    </w:p>
    <w:p w14:paraId="7FD0B7BE" w14:textId="77777777" w:rsidR="007D3F4C" w:rsidRPr="0009445C" w:rsidRDefault="007D3F4C" w:rsidP="007D3F4C">
      <w:pPr>
        <w:pStyle w:val="BRL-Standard"/>
      </w:pPr>
    </w:p>
    <w:p w14:paraId="0525EB8A" w14:textId="77777777" w:rsidR="007D3F4C" w:rsidRPr="0009445C" w:rsidRDefault="007D3F4C" w:rsidP="00600F53">
      <w:pPr>
        <w:pStyle w:val="BRL-berschrift"/>
      </w:pPr>
      <w:r w:rsidRPr="0009445C">
        <w:t>A 2.1.3.2.2</w:t>
      </w:r>
      <w:r w:rsidRPr="0009445C">
        <w:tab/>
        <w:t>Fire-resistant</w:t>
      </w:r>
    </w:p>
    <w:p w14:paraId="1AC9B5D2" w14:textId="77777777" w:rsidR="007D3F4C" w:rsidRPr="0009445C" w:rsidRDefault="007D3F4C" w:rsidP="007D3F4C">
      <w:pPr>
        <w:pStyle w:val="BRL-Standard"/>
      </w:pPr>
      <w:r w:rsidRPr="0009445C">
        <w:t>The stability must be ensured for at least 90 minutes in case of fire exposure according to the ETK in accordance with DIN 4102</w:t>
      </w:r>
      <w:r w:rsidRPr="0009445C">
        <w:noBreakHyphen/>
        <w:t>2:1977-09, Section 6.2.4.</w:t>
      </w:r>
    </w:p>
    <w:p w14:paraId="475104F7" w14:textId="77777777" w:rsidR="007D3F4C" w:rsidRPr="0009445C" w:rsidRDefault="007D3F4C" w:rsidP="007D3F4C">
      <w:pPr>
        <w:pStyle w:val="BRL-Standard"/>
      </w:pPr>
    </w:p>
    <w:p w14:paraId="0A38631B" w14:textId="77777777" w:rsidR="007D3F4C" w:rsidRPr="0009445C" w:rsidRDefault="007D3F4C" w:rsidP="00600F53">
      <w:pPr>
        <w:pStyle w:val="BRL-berschrift"/>
      </w:pPr>
      <w:r w:rsidRPr="0009445C">
        <w:t>A 2.1.3.2.3</w:t>
      </w:r>
      <w:r w:rsidRPr="0009445C">
        <w:tab/>
        <w:t>Highly fire-retardant</w:t>
      </w:r>
    </w:p>
    <w:p w14:paraId="303EC173" w14:textId="77777777" w:rsidR="007D3F4C" w:rsidRPr="0009445C" w:rsidRDefault="007D3F4C" w:rsidP="007D3F4C">
      <w:pPr>
        <w:pStyle w:val="BRL-Standard"/>
      </w:pPr>
      <w:r w:rsidRPr="0009445C">
        <w:t>The stability must be ensured for at least 60 minutes in case of fire exposure according to the ETK in accordance with DIN 4102</w:t>
      </w:r>
      <w:r w:rsidRPr="0009445C">
        <w:noBreakHyphen/>
        <w:t>2:1977-09, Section 6.2.4.</w:t>
      </w:r>
    </w:p>
    <w:p w14:paraId="72902CEB" w14:textId="77777777" w:rsidR="007D3F4C" w:rsidRPr="0009445C" w:rsidRDefault="007D3F4C" w:rsidP="007D3F4C">
      <w:pPr>
        <w:pStyle w:val="BRL-Standard"/>
      </w:pPr>
    </w:p>
    <w:p w14:paraId="201832E7" w14:textId="77777777" w:rsidR="007D3F4C" w:rsidRPr="0009445C" w:rsidRDefault="007D3F4C" w:rsidP="00600F53">
      <w:pPr>
        <w:pStyle w:val="BRL-berschrift"/>
      </w:pPr>
      <w:r w:rsidRPr="0009445C">
        <w:t>A 2.1.3.2.4</w:t>
      </w:r>
      <w:r w:rsidRPr="0009445C">
        <w:tab/>
        <w:t>Fire-retardant</w:t>
      </w:r>
    </w:p>
    <w:p w14:paraId="5B658163" w14:textId="77777777" w:rsidR="007D3F4C" w:rsidRPr="0009445C" w:rsidRDefault="007D3F4C" w:rsidP="007D3F4C">
      <w:pPr>
        <w:pStyle w:val="BRL-Standard"/>
      </w:pPr>
      <w:r w:rsidRPr="0009445C">
        <w:t>The stability must be ensured for at least 30 minutes in case of fire exposure according to the ETK in accordance with DIN 4102</w:t>
      </w:r>
      <w:r w:rsidRPr="0009445C">
        <w:noBreakHyphen/>
        <w:t>2:1977-09, Section 6.2.4.</w:t>
      </w:r>
    </w:p>
    <w:p w14:paraId="60219904" w14:textId="77777777" w:rsidR="007D3F4C" w:rsidRPr="0009445C" w:rsidRDefault="007D3F4C" w:rsidP="007D3F4C">
      <w:pPr>
        <w:pStyle w:val="BRL-Standard"/>
      </w:pPr>
    </w:p>
    <w:p w14:paraId="03F8176F" w14:textId="77777777" w:rsidR="007D3F4C" w:rsidRPr="0009445C" w:rsidRDefault="007D3F4C" w:rsidP="00600F53">
      <w:pPr>
        <w:pStyle w:val="BRL-berschrift"/>
      </w:pPr>
      <w:r w:rsidRPr="0009445C">
        <w:t>A 2.1.3.2.5</w:t>
      </w:r>
      <w:r w:rsidRPr="0009445C">
        <w:tab/>
        <w:t>Fire resistance of 120 minutes after A 2.1.3.1 letter (e)</w:t>
      </w:r>
    </w:p>
    <w:p w14:paraId="5FA79CCB" w14:textId="77777777" w:rsidR="007D3F4C" w:rsidRPr="0009445C" w:rsidRDefault="007D3F4C" w:rsidP="007D3F4C">
      <w:pPr>
        <w:pStyle w:val="BRL-Standard"/>
      </w:pPr>
      <w:r w:rsidRPr="0009445C">
        <w:t>The stability must be ensured for at least 120 minutes in case of fire exposure according to the ETK in accordance with DIN 4102</w:t>
      </w:r>
      <w:r w:rsidRPr="0009445C">
        <w:noBreakHyphen/>
        <w:t xml:space="preserve">2:1977-09, Section 6.2.4. </w:t>
      </w:r>
    </w:p>
    <w:p w14:paraId="3C36FCAD" w14:textId="77777777" w:rsidR="007D3F4C" w:rsidRPr="0009445C" w:rsidRDefault="007D3F4C" w:rsidP="007D3F4C">
      <w:pPr>
        <w:pStyle w:val="BRL-Standard"/>
      </w:pPr>
    </w:p>
    <w:p w14:paraId="24884607" w14:textId="77777777" w:rsidR="007D3F4C" w:rsidRPr="0009445C" w:rsidRDefault="007D3F4C" w:rsidP="00600F53">
      <w:pPr>
        <w:pStyle w:val="BRL-berschrift"/>
      </w:pPr>
      <w:r w:rsidRPr="0009445C">
        <w:t>A 2.1.3.2.6</w:t>
      </w:r>
      <w:r w:rsidRPr="0009445C">
        <w:tab/>
        <w:t>Fire resistance of 90 minutes for structural elements according to A 2.1.3.1 letter (d)</w:t>
      </w:r>
    </w:p>
    <w:p w14:paraId="1AF33178" w14:textId="77777777" w:rsidR="007D3F4C" w:rsidRPr="0009445C" w:rsidRDefault="007D3F4C" w:rsidP="007D3F4C">
      <w:r w:rsidRPr="0009445C">
        <w:t>The stability must be ensured for at least 90 minutes in case of fire exposure according to the ETK in accordance with DIN 4102</w:t>
      </w:r>
      <w:r w:rsidRPr="0009445C">
        <w:noBreakHyphen/>
        <w:t>2:1977-09, Section 6.2.4.</w:t>
      </w:r>
    </w:p>
    <w:p w14:paraId="7EBD8189" w14:textId="77777777" w:rsidR="007D3F4C" w:rsidRPr="0009445C" w:rsidRDefault="007D3F4C" w:rsidP="007D3F4C"/>
    <w:p w14:paraId="471F66C5" w14:textId="77777777" w:rsidR="007D3F4C" w:rsidRPr="0009445C" w:rsidRDefault="007D3F4C" w:rsidP="00600F53">
      <w:pPr>
        <w:pStyle w:val="BRL-berschrift"/>
      </w:pPr>
      <w:bookmarkStart w:id="2" w:name="_Hlk30517823"/>
      <w:r w:rsidRPr="0009445C">
        <w:t>A 2.1.3.2.7</w:t>
      </w:r>
      <w:bookmarkEnd w:id="2"/>
      <w:r w:rsidRPr="0009445C">
        <w:tab/>
        <w:t>Fire resistance of 60 minutes for structural elements according to A 2.1.3.1 letter (d)</w:t>
      </w:r>
    </w:p>
    <w:p w14:paraId="1AB6731A" w14:textId="77777777" w:rsidR="007D3F4C" w:rsidRPr="0009445C" w:rsidRDefault="007D3F4C" w:rsidP="007D3F4C">
      <w:r w:rsidRPr="0009445C">
        <w:t>The stability must be ensured for at least 60 minutes in case of fire exposure according to the ETK in accordance with DIN 4102</w:t>
      </w:r>
      <w:r w:rsidRPr="0009445C">
        <w:noBreakHyphen/>
        <w:t>2:1977-09, Section 6.2.4.</w:t>
      </w:r>
    </w:p>
    <w:p w14:paraId="646A769F" w14:textId="77777777" w:rsidR="007D3F4C" w:rsidRPr="0009445C" w:rsidRDefault="007D3F4C" w:rsidP="007D3F4C">
      <w:pPr>
        <w:pStyle w:val="BRL-Standard"/>
      </w:pPr>
    </w:p>
    <w:p w14:paraId="6355AB38" w14:textId="77777777" w:rsidR="007D3F4C" w:rsidRPr="0009445C" w:rsidRDefault="007D3F4C" w:rsidP="00600F53">
      <w:pPr>
        <w:pStyle w:val="BRL-berschrift"/>
      </w:pPr>
      <w:r w:rsidRPr="0009445C">
        <w:t>A 2.1.3.3</w:t>
      </w:r>
      <w:r w:rsidRPr="0009445C">
        <w:tab/>
        <w:t>Space barrier requirements in the event of fire</w:t>
      </w:r>
    </w:p>
    <w:p w14:paraId="68966E0A" w14:textId="77777777" w:rsidR="007D3F4C" w:rsidRPr="0009445C" w:rsidRDefault="007D3F4C" w:rsidP="00600F53">
      <w:pPr>
        <w:pStyle w:val="BRL-berschrift"/>
      </w:pPr>
      <w:r w:rsidRPr="0009445C">
        <w:t>A 2.1.3.3.1</w:t>
      </w:r>
      <w:r w:rsidRPr="0009445C">
        <w:tab/>
        <w:t>General information</w:t>
      </w:r>
    </w:p>
    <w:p w14:paraId="6E0868A5" w14:textId="1185158B" w:rsidR="007D3F4C" w:rsidRPr="0009445C" w:rsidRDefault="007D3F4C" w:rsidP="007D3F4C">
      <w:pPr>
        <w:pStyle w:val="BRL-Standard"/>
      </w:pPr>
      <w:r w:rsidRPr="0009445C">
        <w:t xml:space="preserve">Parts of structural works are space-enclosing fire-resistant if they permanently prevent fire propagation for at least a specified period of time, if the space enclosure is not impaired even in the area of connections to adjacent parts </w:t>
      </w:r>
      <w:r w:rsidRPr="0009445C">
        <w:lastRenderedPageBreak/>
        <w:t>of structural works and if there is no significant smoke development and if the side not exposed to fire does not show any significant smoke development or droplets of particles from structural elements. Substantial falling or dripping of structural elements on the side away from the fire is not deemed to be present if the size of such structural elements does not exceed 10 cm in length or width. Explosive spalling of these structural elements must not occur.</w:t>
      </w:r>
    </w:p>
    <w:p w14:paraId="53A37B2D" w14:textId="4A3E05BC" w:rsidR="007D3F4C" w:rsidRPr="0009445C" w:rsidRDefault="007D3F4C" w:rsidP="007D3F4C">
      <w:pPr>
        <w:pStyle w:val="BRL-Standard"/>
      </w:pPr>
      <w:r w:rsidRPr="0009445C">
        <w:t xml:space="preserve">The same applies to closures and other closures of openings. </w:t>
      </w:r>
    </w:p>
    <w:p w14:paraId="486EE752" w14:textId="77777777" w:rsidR="00BA10E9" w:rsidRPr="0009445C" w:rsidRDefault="00BA10E9" w:rsidP="007D3F4C">
      <w:pPr>
        <w:pStyle w:val="BRL-Standard"/>
      </w:pPr>
    </w:p>
    <w:p w14:paraId="41B9434A" w14:textId="77777777" w:rsidR="007D3F4C" w:rsidRPr="0009445C" w:rsidRDefault="007D3F4C" w:rsidP="007D3F4C">
      <w:pPr>
        <w:pStyle w:val="BRL-Standard"/>
      </w:pPr>
      <w:r w:rsidRPr="0009445C">
        <w:t>Unless otherwise specified, fire resistance refers to any possible direction of fire exposure (e.g. inward, outward, downward or upward).</w:t>
      </w:r>
    </w:p>
    <w:p w14:paraId="7B5754D5" w14:textId="77777777" w:rsidR="007D3F4C" w:rsidRPr="0009445C" w:rsidRDefault="007D3F4C" w:rsidP="007D3F4C">
      <w:pPr>
        <w:pStyle w:val="BRL-Standard"/>
      </w:pPr>
    </w:p>
    <w:p w14:paraId="605E5F3F" w14:textId="5391C797" w:rsidR="007D3F4C" w:rsidRPr="0009445C" w:rsidRDefault="007D3F4C" w:rsidP="007D3F4C">
      <w:pPr>
        <w:pStyle w:val="BRL-Standard"/>
      </w:pPr>
      <w:r w:rsidRPr="0009445C">
        <w:t>Space-enclosing parts of the structure must each be adjacent to other parts of the structure that ensure room enclosure for at least the same amount of time.</w:t>
      </w:r>
    </w:p>
    <w:p w14:paraId="1F78D512" w14:textId="77777777" w:rsidR="007D3F4C" w:rsidRPr="0009445C" w:rsidRDefault="007D3F4C" w:rsidP="007D3F4C">
      <w:pPr>
        <w:pStyle w:val="BRL-Standard"/>
      </w:pPr>
    </w:p>
    <w:p w14:paraId="7992DD91" w14:textId="77777777" w:rsidR="00630880" w:rsidRPr="0009445C" w:rsidRDefault="00630880" w:rsidP="007D3F4C">
      <w:pPr>
        <w:pStyle w:val="BRL-Standard"/>
      </w:pPr>
      <w:r w:rsidRPr="0009445C">
        <w:t>If structural element boundaries that must be space-enclosing structural elements without fire resistance (e.g. exterior wall or roof), these space-enclosing structural elements must remain stable over the time required in the event of fire exposure. Cross-sectional changes and penetrations — including retrospective nature — as well as deformations during fire exposure shall be taken into account, insofar as they may have an influence on the closure of the room.</w:t>
      </w:r>
    </w:p>
    <w:p w14:paraId="124AEF33" w14:textId="77777777" w:rsidR="00630880" w:rsidRPr="0009445C" w:rsidRDefault="00630880" w:rsidP="007D3F4C">
      <w:pPr>
        <w:pStyle w:val="BRL-Standard"/>
      </w:pPr>
    </w:p>
    <w:p w14:paraId="5FC7442D" w14:textId="77777777" w:rsidR="007D3F4C" w:rsidRPr="0009445C" w:rsidRDefault="007D3F4C" w:rsidP="007D3F4C">
      <w:pPr>
        <w:pStyle w:val="BRL-Standard"/>
      </w:pPr>
      <w:r w:rsidRPr="0009445C">
        <w:t>Openings in space-enclosing parts are not permitted, unless otherwise specified in § 28 to § 32, § 35, § 36, § 39 and § 45 MBO</w:t>
      </w:r>
      <w:r w:rsidRPr="0009445C">
        <w:rPr>
          <w:vertAlign w:val="superscript"/>
        </w:rPr>
        <w:t>1</w:t>
      </w:r>
      <w:r w:rsidRPr="0009445C">
        <w:t xml:space="preserve">. </w:t>
      </w:r>
    </w:p>
    <w:p w14:paraId="7A8F6B94" w14:textId="77777777" w:rsidR="007D3F4C" w:rsidRPr="0009445C" w:rsidRDefault="007D3F4C" w:rsidP="007D3F4C">
      <w:pPr>
        <w:pStyle w:val="BRL-Standard"/>
      </w:pPr>
    </w:p>
    <w:p w14:paraId="6B1F08EB" w14:textId="1AA2D61B" w:rsidR="007D3F4C" w:rsidRPr="0009445C" w:rsidRDefault="007D3F4C" w:rsidP="007D3F4C">
      <w:pPr>
        <w:pStyle w:val="BRL-Standard"/>
      </w:pPr>
      <w:r w:rsidRPr="0009445C">
        <w:t>Where light-permeable surfaces may be used as fire protection glazing in space-enclosing walls that do not prevent thermal radiation from passing through, they must prevent the spread of fire and smoke in accordance with the fire resistance period of space-enclosing walls for the minimum required period of time according to DIN 4102</w:t>
      </w:r>
      <w:r w:rsidRPr="0009445C">
        <w:noBreakHyphen/>
        <w:t>13:1990-05, Section 6.1, and comply with the criteria in accordance with DIN 4102</w:t>
      </w:r>
      <w:r w:rsidRPr="0009445C">
        <w:noBreakHyphen/>
        <w:t>13:1990</w:t>
      </w:r>
      <w:r w:rsidRPr="0009445C">
        <w:noBreakHyphen/>
        <w:t xml:space="preserve">05. They may be created only in places where there are no concerns in terms of rescuing persons or effective firefighting. To prevent the spread of fire, openings in these fire protection </w:t>
      </w:r>
      <w:proofErr w:type="spellStart"/>
      <w:r w:rsidRPr="0009445C">
        <w:t>glazings</w:t>
      </w:r>
      <w:proofErr w:type="spellEnd"/>
      <w:r w:rsidRPr="0009445C">
        <w:t xml:space="preserve"> are not permitted. The Technical Rule included in ser. No A 2.2.1.2 must be observed in order to meet these requirements. For the planning, designing and execution of fire protection glazing, there are no technical best practices with regard to the building inspection requirements, and proof pursuant to § 16a MBO</w:t>
      </w:r>
      <w:r w:rsidRPr="0009445C">
        <w:rPr>
          <w:vertAlign w:val="superscript"/>
        </w:rPr>
        <w:t>1</w:t>
      </w:r>
      <w:r w:rsidRPr="0009445C">
        <w:t xml:space="preserve"> is required.</w:t>
      </w:r>
    </w:p>
    <w:p w14:paraId="20A61ED4" w14:textId="77777777" w:rsidR="007D3F4C" w:rsidRPr="0009445C" w:rsidRDefault="007D3F4C" w:rsidP="007D3F4C">
      <w:pPr>
        <w:pStyle w:val="BRL-Standard"/>
      </w:pPr>
    </w:p>
    <w:p w14:paraId="1FF95D72" w14:textId="77777777" w:rsidR="007D3F4C" w:rsidRPr="0009445C" w:rsidRDefault="007D3F4C" w:rsidP="007D3F4C">
      <w:pPr>
        <w:pStyle w:val="BRL-Standard"/>
      </w:pPr>
      <w:r w:rsidRPr="0009445C">
        <w:t>If overflow openings are made in space-enclosing walls, the closures of such openings must be fitted with a smoke-triggered device and prevent the passage of fire and smoke according to the fire resistance of the space-enclosing walls, at least based on a standard fire as defined in DIN 4102</w:t>
      </w:r>
      <w:r w:rsidRPr="0009445C">
        <w:noBreakHyphen/>
        <w:t>2:1977-09. The Technical Rule included in ser. No A 2.2.1.2 must be observed in order to meet these requirements. In the absence of a technical best practice for the planning, designing and execution using these closures, proof in accordance with § 16a MBO</w:t>
      </w:r>
      <w:r w:rsidRPr="0009445C">
        <w:rPr>
          <w:vertAlign w:val="superscript"/>
        </w:rPr>
        <w:t>1</w:t>
      </w:r>
      <w:r w:rsidRPr="0009445C">
        <w:t xml:space="preserve"> is required.</w:t>
      </w:r>
    </w:p>
    <w:p w14:paraId="3C829B42" w14:textId="77777777" w:rsidR="007D3F4C" w:rsidRPr="0009445C" w:rsidRDefault="007D3F4C" w:rsidP="007D3F4C">
      <w:pPr>
        <w:pStyle w:val="BRL-Standard"/>
      </w:pPr>
    </w:p>
    <w:p w14:paraId="798AF955" w14:textId="686F06CF" w:rsidR="007D3F4C" w:rsidRPr="0009445C" w:rsidRDefault="007D3F4C" w:rsidP="007D3F4C">
      <w:pPr>
        <w:pStyle w:val="BRL-Standard"/>
      </w:pPr>
      <w:r w:rsidRPr="0009445C">
        <w:t>Joints of the structural elements must remain closed to ensure closure of the room during the fire. This requirement can be met with non-combustible mineral building materials (such as mortar, concrete) or mineral insulating materials with a melting point of at least 1 000°C according to DIN 4102-17:2017-12 as well as with products that securely seal the residual cross-section in case of fire exposure.</w:t>
      </w:r>
    </w:p>
    <w:p w14:paraId="638C2138" w14:textId="77777777" w:rsidR="007D3F4C" w:rsidRPr="0009445C" w:rsidRDefault="007D3F4C" w:rsidP="007D3F4C">
      <w:pPr>
        <w:pStyle w:val="BRL-Standard"/>
      </w:pPr>
    </w:p>
    <w:p w14:paraId="11E35E8D" w14:textId="77777777" w:rsidR="007D3F4C" w:rsidRPr="0009445C" w:rsidRDefault="007D3F4C" w:rsidP="00600F53">
      <w:pPr>
        <w:pStyle w:val="BRL-berschrift"/>
      </w:pPr>
      <w:r w:rsidRPr="0009445C">
        <w:t>A 2.1.3.3.2</w:t>
      </w:r>
      <w:r w:rsidRPr="0009445C">
        <w:tab/>
        <w:t>Fire-resistant</w:t>
      </w:r>
    </w:p>
    <w:p w14:paraId="5AAF0EB4" w14:textId="77777777" w:rsidR="007D3F4C" w:rsidRPr="0009445C" w:rsidRDefault="007D3F4C" w:rsidP="007D3F4C">
      <w:pPr>
        <w:pStyle w:val="BRL-Standard"/>
      </w:pPr>
      <w:r w:rsidRPr="0009445C">
        <w:t>The room closure must be ensured for at least 90 minutes in case of fire according to the ETK in accordance with DIN 4102</w:t>
      </w:r>
      <w:r w:rsidRPr="0009445C">
        <w:noBreakHyphen/>
        <w:t>2:1977-09, Section 6.2.4. The stability of non-load-bearing structural elements under their own weight in case of fire must be demonstrated. In the observations on smoke development according to DIN 4102</w:t>
      </w:r>
      <w:r w:rsidRPr="0009445C">
        <w:noBreakHyphen/>
        <w:t>2:1977</w:t>
      </w:r>
      <w:r w:rsidRPr="0009445C">
        <w:noBreakHyphen/>
        <w:t>09, Section 8.6, it must be established that at most low smoke development has been observed (no surface smoke emission from the component surface, only single wisps of smoke, including from joints).</w:t>
      </w:r>
    </w:p>
    <w:p w14:paraId="08D3F42C" w14:textId="77777777" w:rsidR="007D3F4C" w:rsidRPr="0009445C" w:rsidRDefault="007D3F4C" w:rsidP="007D3F4C">
      <w:pPr>
        <w:pStyle w:val="BRL-Standard"/>
      </w:pPr>
    </w:p>
    <w:p w14:paraId="464AFB39" w14:textId="77777777" w:rsidR="007D3F4C" w:rsidRPr="0009445C" w:rsidRDefault="007D3F4C" w:rsidP="007D3F4C">
      <w:pPr>
        <w:pStyle w:val="BRL-Standard"/>
      </w:pPr>
      <w:r w:rsidRPr="0009445C">
        <w:t>There is deemed to be a continuous layer in the component plane if it is placed perpendicular to the direction of fire impact over the entirety of the space-enclosing part and does not itself contribute to the fire (i.e. is non-combustible).</w:t>
      </w:r>
    </w:p>
    <w:p w14:paraId="45949F3C" w14:textId="77777777" w:rsidR="007D3F4C" w:rsidRPr="0009445C" w:rsidRDefault="007D3F4C" w:rsidP="007D3F4C">
      <w:pPr>
        <w:pStyle w:val="BRL-Standard"/>
      </w:pPr>
    </w:p>
    <w:p w14:paraId="71AD9F5B" w14:textId="77777777" w:rsidR="007D3F4C" w:rsidRPr="0009445C" w:rsidRDefault="007D3F4C" w:rsidP="007D3F4C">
      <w:pPr>
        <w:pStyle w:val="BRL-Standard"/>
      </w:pPr>
      <w:r w:rsidRPr="0009445C">
        <w:t>Structural elements of space-enclosing structural elements which are not load-bearing and reinforced parts and not to the continuous layer of the component shall be at least normal flammability.</w:t>
      </w:r>
    </w:p>
    <w:p w14:paraId="2CC748BE" w14:textId="77777777" w:rsidR="007D3F4C" w:rsidRPr="0009445C" w:rsidRDefault="007D3F4C" w:rsidP="007D3F4C">
      <w:pPr>
        <w:pStyle w:val="BRL-Standard"/>
      </w:pPr>
    </w:p>
    <w:p w14:paraId="743E5D0A" w14:textId="77777777" w:rsidR="007D3F4C" w:rsidRPr="0009445C" w:rsidRDefault="007D3F4C" w:rsidP="00600F53">
      <w:pPr>
        <w:pStyle w:val="BRL-berschrift"/>
      </w:pPr>
      <w:r w:rsidRPr="0009445C">
        <w:lastRenderedPageBreak/>
        <w:t>A 2.1.3.3.3</w:t>
      </w:r>
      <w:r w:rsidRPr="0009445C">
        <w:tab/>
        <w:t>Highly fire-retardant</w:t>
      </w:r>
    </w:p>
    <w:p w14:paraId="1784356E" w14:textId="77777777" w:rsidR="007D3F4C" w:rsidRPr="0009445C" w:rsidRDefault="007D3F4C" w:rsidP="007D3F4C">
      <w:pPr>
        <w:pStyle w:val="BRL-Standard"/>
      </w:pPr>
      <w:r w:rsidRPr="0009445C">
        <w:t>The room closure must be ensured for at least 60 minutes in case of fire according to the ETK in accordance with DIN 4102</w:t>
      </w:r>
      <w:r w:rsidRPr="0009445C">
        <w:noBreakHyphen/>
        <w:t xml:space="preserve">2:1977-09, Section 6.2.4. The stability of non-load-bearing structural elements under their own weight in case of fire must be demonstrated. </w:t>
      </w:r>
    </w:p>
    <w:p w14:paraId="46028CE9" w14:textId="77777777" w:rsidR="007D3F4C" w:rsidRPr="0009445C" w:rsidRDefault="007D3F4C" w:rsidP="007D3F4C">
      <w:pPr>
        <w:pStyle w:val="BRL-Standard"/>
      </w:pPr>
    </w:p>
    <w:p w14:paraId="6AE49937" w14:textId="77777777" w:rsidR="007D3F4C" w:rsidRPr="0009445C" w:rsidRDefault="007D3F4C" w:rsidP="007D3F4C">
      <w:pPr>
        <w:pStyle w:val="BRL-Standard"/>
      </w:pPr>
      <w:r w:rsidRPr="0009445C">
        <w:t>In the observations on smoke development according to DIN 4102</w:t>
      </w:r>
      <w:r w:rsidRPr="0009445C">
        <w:noBreakHyphen/>
        <w:t>2:1977</w:t>
      </w:r>
      <w:r w:rsidRPr="0009445C">
        <w:noBreakHyphen/>
        <w:t xml:space="preserve">09, Section 8.6, it must be established that at most low smoke development has been observed (no surface smoke emission from the component surface, only single wisps of smoke, including from joints). </w:t>
      </w:r>
    </w:p>
    <w:p w14:paraId="5ED6B343" w14:textId="77777777" w:rsidR="007D3F4C" w:rsidRPr="0009445C" w:rsidRDefault="007D3F4C" w:rsidP="007D3F4C">
      <w:pPr>
        <w:pStyle w:val="BRL-Standard"/>
      </w:pPr>
    </w:p>
    <w:p w14:paraId="6DA7FAE9" w14:textId="77777777" w:rsidR="007D3F4C" w:rsidRPr="0009445C" w:rsidRDefault="007D3F4C" w:rsidP="007D3F4C">
      <w:pPr>
        <w:pStyle w:val="BRL-Standard"/>
        <w:rPr>
          <w:i/>
        </w:rPr>
      </w:pPr>
      <w:r w:rsidRPr="0009445C">
        <w:t>For highly fire-retardant space-enclosing structural elements with combustible load-bearing and reinforced parts made of wood, the detailed specifications of the Technical Rule included in ser. No A 2.2.1.4 must be observed.</w:t>
      </w:r>
    </w:p>
    <w:p w14:paraId="6051BA39" w14:textId="77777777" w:rsidR="007D3F4C" w:rsidRPr="0009445C" w:rsidRDefault="007D3F4C" w:rsidP="007D3F4C">
      <w:pPr>
        <w:pStyle w:val="BRL-Standard"/>
      </w:pPr>
    </w:p>
    <w:p w14:paraId="3A620708" w14:textId="77777777" w:rsidR="007D3F4C" w:rsidRPr="0009445C" w:rsidRDefault="007D3F4C" w:rsidP="00600F53">
      <w:pPr>
        <w:pStyle w:val="BRL-berschrift"/>
      </w:pPr>
      <w:r w:rsidRPr="0009445C">
        <w:t>A 2.1.3.3.4</w:t>
      </w:r>
      <w:r w:rsidRPr="0009445C">
        <w:tab/>
        <w:t>Fire-retardant</w:t>
      </w:r>
    </w:p>
    <w:p w14:paraId="5DB48E14" w14:textId="77777777" w:rsidR="007D3F4C" w:rsidRPr="0009445C" w:rsidRDefault="007D3F4C" w:rsidP="007D3F4C">
      <w:pPr>
        <w:pStyle w:val="BRL-Standard"/>
      </w:pPr>
      <w:r w:rsidRPr="0009445C">
        <w:t>The room closure must be ensured in case of fire according to the ETK in accordance with DIN 4102</w:t>
      </w:r>
      <w:r w:rsidRPr="0009445C">
        <w:noBreakHyphen/>
        <w:t xml:space="preserve"> 2:1977</w:t>
      </w:r>
      <w:r w:rsidRPr="0009445C">
        <w:noBreakHyphen/>
        <w:t xml:space="preserve"> 09, Section 6.2.4., for at least 30 minutes. The stability of non-load-bearing structural elements under their own weight in case of fire must be demonstrated. In the observations on smoke development according to DIN 4102</w:t>
      </w:r>
      <w:r w:rsidRPr="0009445C">
        <w:noBreakHyphen/>
        <w:t>2:1977</w:t>
      </w:r>
      <w:r w:rsidRPr="0009445C">
        <w:noBreakHyphen/>
        <w:t>09, Section 8.6, it must be established that at most low smoke development has been observed (no surface smoke emission from the component surface, only single wisps of smoke, including from joints).</w:t>
      </w:r>
    </w:p>
    <w:p w14:paraId="1E3A002D" w14:textId="77777777" w:rsidR="007D3F4C" w:rsidRPr="0009445C" w:rsidRDefault="007D3F4C" w:rsidP="007D3F4C">
      <w:pPr>
        <w:pStyle w:val="BRL-Standard"/>
      </w:pPr>
    </w:p>
    <w:p w14:paraId="32258408" w14:textId="77777777" w:rsidR="007D3F4C" w:rsidRPr="0009445C" w:rsidRDefault="007D3F4C" w:rsidP="00600F53">
      <w:pPr>
        <w:pStyle w:val="BRL-berschrift"/>
      </w:pPr>
      <w:r w:rsidRPr="0009445C">
        <w:t>A 2.1.3.3.5</w:t>
      </w:r>
      <w:r w:rsidRPr="0009445C">
        <w:tab/>
        <w:t>Fire resistance of 120 minutes after A 2.1.3.1 letter (e)</w:t>
      </w:r>
    </w:p>
    <w:p w14:paraId="6446FDE5" w14:textId="77777777" w:rsidR="007D3F4C" w:rsidRPr="0009445C" w:rsidRDefault="007D3F4C" w:rsidP="007D3F4C">
      <w:pPr>
        <w:pStyle w:val="BRL-Standard"/>
      </w:pPr>
      <w:r w:rsidRPr="0009445C">
        <w:t>The room closure must be ensured in case of fire according to the ETK in accordance with DIN 4102</w:t>
      </w:r>
      <w:r w:rsidRPr="0009445C">
        <w:noBreakHyphen/>
        <w:t xml:space="preserve"> 2:1977</w:t>
      </w:r>
      <w:r w:rsidRPr="0009445C">
        <w:noBreakHyphen/>
        <w:t xml:space="preserve"> 09, Section 6.2.4, for at least 120 minutes. The stability of non-load-bearing structural elements under their own weight in case of fire must be demonstrated. In the observations on smoke development according to DIN 4102</w:t>
      </w:r>
      <w:r w:rsidRPr="0009445C">
        <w:noBreakHyphen/>
        <w:t>2:1977</w:t>
      </w:r>
      <w:r w:rsidRPr="0009445C">
        <w:noBreakHyphen/>
        <w:t>09, Section 8.6, it must be established that at most low smoke development has been observed (no surface smoke emission from the component surface, only single wisps of smoke, including from joints).</w:t>
      </w:r>
    </w:p>
    <w:p w14:paraId="583E8FA0" w14:textId="77777777" w:rsidR="007D3F4C" w:rsidRPr="0009445C" w:rsidRDefault="007D3F4C" w:rsidP="007D3F4C">
      <w:pPr>
        <w:pStyle w:val="BRL-Standard"/>
      </w:pPr>
    </w:p>
    <w:p w14:paraId="7318CB9B" w14:textId="77777777" w:rsidR="007D3F4C" w:rsidRPr="0009445C" w:rsidRDefault="007D3F4C" w:rsidP="00600F53">
      <w:pPr>
        <w:pStyle w:val="BRL-berschrift"/>
      </w:pPr>
      <w:r w:rsidRPr="0009445C">
        <w:t>A 2.1.3.3.6</w:t>
      </w:r>
      <w:r w:rsidRPr="0009445C">
        <w:tab/>
        <w:t>Fire resistance of 90 minutes for structural elements according to A 2.1.3.1 letter (d)</w:t>
      </w:r>
    </w:p>
    <w:p w14:paraId="1947FB63" w14:textId="77777777" w:rsidR="007D3F4C" w:rsidRPr="0009445C" w:rsidRDefault="007D3F4C" w:rsidP="007D3F4C">
      <w:r w:rsidRPr="0009445C">
        <w:t>The room closure must be ensured for at least 90 minutes in case of fire according to the ETK in accordance with DIN 4102</w:t>
      </w:r>
      <w:r w:rsidRPr="0009445C">
        <w:noBreakHyphen/>
        <w:t>2:1977-09, Section 6.2.4. The stability of non-load-bearing structural elements under their own weight in case of fire must be demonstrated. In the observations on smoke development according to DIN 4102</w:t>
      </w:r>
      <w:r w:rsidRPr="0009445C">
        <w:noBreakHyphen/>
        <w:t>2:1977</w:t>
      </w:r>
      <w:r w:rsidRPr="0009445C">
        <w:noBreakHyphen/>
        <w:t>09, Section 8.6, it must be established that at most low smoke development has been observed (no surface smoke emission from the component surface, only single wisps of smoke, including from joints).</w:t>
      </w:r>
    </w:p>
    <w:p w14:paraId="7983C506" w14:textId="77777777" w:rsidR="007D3F4C" w:rsidRPr="0009445C" w:rsidRDefault="007D3F4C" w:rsidP="007D3F4C"/>
    <w:p w14:paraId="4F2A82FF" w14:textId="77777777" w:rsidR="007D3F4C" w:rsidRPr="0009445C" w:rsidRDefault="007D3F4C" w:rsidP="00600F53">
      <w:pPr>
        <w:pStyle w:val="BRL-berschrift"/>
      </w:pPr>
      <w:r w:rsidRPr="0009445C">
        <w:t>A 2.1.3.3.7</w:t>
      </w:r>
      <w:r w:rsidRPr="0009445C">
        <w:tab/>
        <w:t>Fire resistance of 60 minutes for structural elements according to A 2.1.3.1 letter (d)</w:t>
      </w:r>
    </w:p>
    <w:p w14:paraId="2CF04861" w14:textId="77777777" w:rsidR="007D3F4C" w:rsidRPr="0009445C" w:rsidRDefault="007D3F4C" w:rsidP="007D3F4C">
      <w:r w:rsidRPr="0009445C">
        <w:t>The room closure must be ensured for at least 60 minutes in case of fire according to the ETK in accordance with DIN 4102</w:t>
      </w:r>
      <w:r w:rsidRPr="0009445C">
        <w:noBreakHyphen/>
        <w:t>2:1977-09, Section 6.2.4. The stability of non-load-bearing structural elements under their own weight in case of fire must be demonstrated. In the observations on smoke development according to DIN 4102</w:t>
      </w:r>
      <w:r w:rsidRPr="0009445C">
        <w:noBreakHyphen/>
        <w:t>2:1977</w:t>
      </w:r>
      <w:r w:rsidRPr="0009445C">
        <w:noBreakHyphen/>
        <w:t>09, Section 8.6, it must be established that at most low smoke development has been observed (no surface smoke emission from the component surface, only single wisps of smoke, including from joints).</w:t>
      </w:r>
    </w:p>
    <w:p w14:paraId="19157F9E" w14:textId="77777777" w:rsidR="007D3F4C" w:rsidRPr="0009445C" w:rsidRDefault="007D3F4C" w:rsidP="007D3F4C">
      <w:pPr>
        <w:pStyle w:val="BRL-Standard"/>
      </w:pPr>
    </w:p>
    <w:p w14:paraId="68CD83B9" w14:textId="77777777" w:rsidR="007D3F4C" w:rsidRPr="0009445C" w:rsidRDefault="007D3F4C" w:rsidP="00600F53">
      <w:pPr>
        <w:pStyle w:val="BRL-berschrift"/>
      </w:pPr>
      <w:r w:rsidRPr="0009445C">
        <w:t>A 2.1.4</w:t>
      </w:r>
      <w:r w:rsidRPr="0009445C">
        <w:tab/>
      </w:r>
      <w:r w:rsidRPr="0009445C">
        <w:tab/>
        <w:t>Load-bearing and reinforcing structural elements</w:t>
      </w:r>
    </w:p>
    <w:p w14:paraId="2F433A4F" w14:textId="77777777" w:rsidR="007665FB" w:rsidRPr="0009445C" w:rsidRDefault="00C475F9" w:rsidP="007D3F4C">
      <w:pPr>
        <w:pStyle w:val="BRL-Standard"/>
      </w:pPr>
      <w:r w:rsidRPr="0009445C">
        <w:t>Depending on the building class, the relevant requirements arise from § 27 MBO</w:t>
      </w:r>
      <w:r w:rsidRPr="0009445C">
        <w:rPr>
          <w:vertAlign w:val="superscript"/>
        </w:rPr>
        <w:t xml:space="preserve"> 1</w:t>
      </w:r>
      <w:r w:rsidRPr="0009445C">
        <w:t>.</w:t>
      </w:r>
    </w:p>
    <w:p w14:paraId="4120A3F8" w14:textId="77777777" w:rsidR="007D3F4C" w:rsidRPr="0009445C" w:rsidRDefault="007D3F4C" w:rsidP="007D3F4C">
      <w:pPr>
        <w:pStyle w:val="BRL-Standard"/>
      </w:pPr>
      <w:r w:rsidRPr="0009445C">
        <w:t xml:space="preserve">Parts of buildings that bear (support) loads or stiffen parts of buildings must remain stable under this load over a specific period in case of fire as per Section 2.1.3.2. </w:t>
      </w:r>
    </w:p>
    <w:p w14:paraId="1C3F2E92" w14:textId="77777777" w:rsidR="007D3F4C" w:rsidRPr="0009445C" w:rsidRDefault="007D3F4C" w:rsidP="007D3F4C">
      <w:pPr>
        <w:pStyle w:val="BRL-Standard"/>
      </w:pPr>
    </w:p>
    <w:p w14:paraId="3EEA69D6" w14:textId="77777777" w:rsidR="007D3F4C" w:rsidRPr="0009445C" w:rsidRDefault="007D3F4C" w:rsidP="007D3F4C">
      <w:pPr>
        <w:pStyle w:val="BRL-Standard"/>
      </w:pPr>
      <w:r w:rsidRPr="0009445C">
        <w:t>If supporting parts of the structural installation are made of concrete, steel, aluminium, wood or masonry, the Technical Rules for the design of the structure for the event of fire in A 1.2.3, A 1.2.4, A 1.2.5 and A 1.2.6 shall be observed. If stability in case of fire is demonstrated mathematically, the following applies to:</w:t>
      </w:r>
    </w:p>
    <w:p w14:paraId="41EB0591" w14:textId="77777777" w:rsidR="007D3F4C" w:rsidRPr="0009445C" w:rsidRDefault="007D3F4C" w:rsidP="007D3F4C">
      <w:pPr>
        <w:pStyle w:val="BRL-Standard"/>
      </w:pPr>
    </w:p>
    <w:p w14:paraId="704168CF" w14:textId="77777777" w:rsidR="007D3F4C" w:rsidRPr="0009445C" w:rsidRDefault="007D3F4C" w:rsidP="007D3F4C">
      <w:pPr>
        <w:pStyle w:val="BRLAufzhlungAnstrich"/>
        <w:numPr>
          <w:ilvl w:val="0"/>
          <w:numId w:val="1"/>
        </w:numPr>
      </w:pPr>
      <w:r w:rsidRPr="0009445C">
        <w:t>load-bearing structural elements that must be fire-resistant, load-bearing capacity must be mathematically demonstrated for at least 90 minutes under fire exposure using the standard temperature-time curve,</w:t>
      </w:r>
    </w:p>
    <w:p w14:paraId="185EC4F0" w14:textId="77777777" w:rsidR="007D3F4C" w:rsidRPr="0009445C" w:rsidRDefault="007D3F4C" w:rsidP="007D3F4C">
      <w:pPr>
        <w:pStyle w:val="BRLAufzhlungAnstrich"/>
        <w:numPr>
          <w:ilvl w:val="0"/>
          <w:numId w:val="1"/>
        </w:numPr>
      </w:pPr>
      <w:r w:rsidRPr="0009445C">
        <w:t>load-bearing structural elements that must be highly fire-retardant, load-bearing capacity must be mathematically demonstrated for at least 60 minutes under fire exposure using the standard temperature-time curve,</w:t>
      </w:r>
    </w:p>
    <w:p w14:paraId="06B5E8DB" w14:textId="77777777" w:rsidR="007D3F4C" w:rsidRPr="0009445C" w:rsidRDefault="007D3F4C" w:rsidP="007D3F4C">
      <w:pPr>
        <w:pStyle w:val="BRLAufzhlungAnstrich"/>
        <w:numPr>
          <w:ilvl w:val="0"/>
          <w:numId w:val="1"/>
        </w:numPr>
      </w:pPr>
      <w:r w:rsidRPr="0009445C">
        <w:lastRenderedPageBreak/>
        <w:t>load-bearing structural elements that must be fire-retardant, load-bearing capacity must be mathematically demonstrated for at least 30 minutes under fire exposure using the standard temperature-time curve, and</w:t>
      </w:r>
    </w:p>
    <w:p w14:paraId="0BB2DFD8" w14:textId="77777777" w:rsidR="007D3F4C" w:rsidRPr="0009445C" w:rsidRDefault="007D3F4C" w:rsidP="007D3F4C">
      <w:pPr>
        <w:pStyle w:val="BRLAufzhlungAnstrich"/>
        <w:numPr>
          <w:ilvl w:val="0"/>
          <w:numId w:val="1"/>
        </w:numPr>
      </w:pPr>
      <w:r w:rsidRPr="0009445C">
        <w:t>load-bearing structural elements that must have fire resistance of 120 minutes, load-bearing capacity must be mathematically demonstrated for at least 120 minutes under fire exposure using the standard temperature-time curve</w:t>
      </w:r>
    </w:p>
    <w:p w14:paraId="6842237A" w14:textId="77777777" w:rsidR="007D3F4C" w:rsidRPr="0009445C" w:rsidRDefault="007D3F4C" w:rsidP="007D3F4C">
      <w:pPr>
        <w:pStyle w:val="BRLAufzhlungAnstrich"/>
        <w:numPr>
          <w:ilvl w:val="0"/>
          <w:numId w:val="1"/>
        </w:numPr>
      </w:pPr>
      <w:r w:rsidRPr="0009445C">
        <w:t>load-bearing structural elements referred to in A 2.1.3.1 letter (d) which must have a fire resistance of 90 minutes, the load-bearing capacity shall be calculated for at least 90 minutes under fire exposure using the standard temperature-time curve and</w:t>
      </w:r>
    </w:p>
    <w:p w14:paraId="4C58007F" w14:textId="77777777" w:rsidR="007D3F4C" w:rsidRPr="0009445C" w:rsidRDefault="007D3F4C" w:rsidP="007D3F4C">
      <w:pPr>
        <w:pStyle w:val="BRLAufzhlungAnstrich"/>
        <w:numPr>
          <w:ilvl w:val="0"/>
          <w:numId w:val="1"/>
        </w:numPr>
      </w:pPr>
      <w:r w:rsidRPr="0009445C">
        <w:t>load-bearing structural elements referred to in A 2.1.3.1 letter (d) which must have a fire resistance of 60 minutes, the load-bearing capacity shall be calculated for at least 60 minutes under fire exposure using the standard temperature-time curve.</w:t>
      </w:r>
    </w:p>
    <w:p w14:paraId="6717E7AB" w14:textId="77777777" w:rsidR="007D3F4C" w:rsidRPr="0009445C" w:rsidRDefault="007D3F4C" w:rsidP="007D3F4C">
      <w:pPr>
        <w:pStyle w:val="BRLAufzhlungAnstrich"/>
        <w:numPr>
          <w:ilvl w:val="0"/>
          <w:numId w:val="0"/>
        </w:numPr>
      </w:pPr>
    </w:p>
    <w:p w14:paraId="1B1F7BAA" w14:textId="77777777" w:rsidR="007D3F4C" w:rsidRPr="0009445C" w:rsidRDefault="007D3F4C" w:rsidP="007D3F4C">
      <w:pPr>
        <w:pStyle w:val="BRL-Standard"/>
      </w:pPr>
      <w:r w:rsidRPr="0009445C">
        <w:t>If load-bearing and reinforced parts of structural works are designed using natural fire models, Appendix A 1.2.1/3 must be observed. Natural fire models shall not be used for load-bearing structural elements which have a fire resistance of 90 minutes or 60 minutes in accordance with Section 5 of the Technical Rule referred to in ser. No A.2.2.1.4.</w:t>
      </w:r>
    </w:p>
    <w:p w14:paraId="21D7FBDB" w14:textId="77777777" w:rsidR="007D3F4C" w:rsidRPr="0009445C" w:rsidRDefault="007D3F4C" w:rsidP="007D3F4C">
      <w:pPr>
        <w:pStyle w:val="BRL-Standard"/>
      </w:pPr>
    </w:p>
    <w:p w14:paraId="75E5C4E4" w14:textId="77777777" w:rsidR="007D3F4C" w:rsidRPr="0009445C" w:rsidRDefault="007D3F4C" w:rsidP="007D3F4C">
      <w:pPr>
        <w:pStyle w:val="BRL-Standard"/>
      </w:pPr>
      <w:r w:rsidRPr="0009445C">
        <w:t xml:space="preserve">For highly fire-retardant load-bearing and reinforcing structural elements with combustible wood parts and fire-resistant structural elements made of combustible building materials according to </w:t>
      </w:r>
      <w:bookmarkStart w:id="3" w:name="_Hlk44498440"/>
      <w:r w:rsidRPr="0009445C">
        <w:t>A 2.1.3.1 letter (d)</w:t>
      </w:r>
      <w:bookmarkEnd w:id="3"/>
      <w:r w:rsidRPr="0009445C">
        <w:t>, the specifications of the Technical Rule referred under ser. No A 2.2.1.4 shall be observed.</w:t>
      </w:r>
    </w:p>
    <w:p w14:paraId="0ABF51D9" w14:textId="77777777" w:rsidR="007D3F4C" w:rsidRPr="0009445C" w:rsidRDefault="007D3F4C" w:rsidP="007D3F4C">
      <w:pPr>
        <w:pStyle w:val="BRL-Standard"/>
      </w:pPr>
    </w:p>
    <w:p w14:paraId="68B39E6A" w14:textId="77777777" w:rsidR="007D3F4C" w:rsidRPr="0009445C" w:rsidRDefault="007D3F4C" w:rsidP="007D3F4C">
      <w:pPr>
        <w:pStyle w:val="BRL-Standard"/>
      </w:pPr>
      <w:r w:rsidRPr="0009445C">
        <w:t xml:space="preserve">A component that is only used for reinforcing may also display other fire characteristics than the fire-resistant component it is reinforcing if the entire system has sufficient fire resistance. </w:t>
      </w:r>
    </w:p>
    <w:p w14:paraId="4DD12545" w14:textId="77777777" w:rsidR="007D3F4C" w:rsidRPr="0009445C" w:rsidRDefault="007D3F4C" w:rsidP="007D3F4C">
      <w:pPr>
        <w:pStyle w:val="BRL-Standard"/>
      </w:pPr>
    </w:p>
    <w:p w14:paraId="6B8F9CF5" w14:textId="77777777" w:rsidR="007D3F4C" w:rsidRPr="0009445C" w:rsidRDefault="007D3F4C" w:rsidP="00600F53">
      <w:pPr>
        <w:pStyle w:val="BRL-berschrift"/>
      </w:pPr>
      <w:r w:rsidRPr="0009445C">
        <w:t>A 2.1.5</w:t>
      </w:r>
      <w:r w:rsidRPr="0009445C">
        <w:tab/>
      </w:r>
      <w:r w:rsidRPr="0009445C">
        <w:tab/>
        <w:t>Outer walls</w:t>
      </w:r>
    </w:p>
    <w:p w14:paraId="7F855B7C" w14:textId="77777777" w:rsidR="005620A9" w:rsidRPr="0009445C" w:rsidRDefault="005620A9" w:rsidP="007D3F4C">
      <w:pPr>
        <w:pStyle w:val="BRL-Standard"/>
      </w:pPr>
      <w:r w:rsidRPr="0009445C">
        <w:t>Depending on the building class, the relevant requirements arise from § 28 MBO</w:t>
      </w:r>
      <w:r w:rsidRPr="0009445C">
        <w:rPr>
          <w:vertAlign w:val="superscript"/>
        </w:rPr>
        <w:t xml:space="preserve"> 1</w:t>
      </w:r>
      <w:r w:rsidRPr="0009445C">
        <w:t>.</w:t>
      </w:r>
    </w:p>
    <w:p w14:paraId="3A13A73F" w14:textId="77777777" w:rsidR="005620A9" w:rsidRPr="0009445C" w:rsidRDefault="005620A9" w:rsidP="007D3F4C">
      <w:pPr>
        <w:pStyle w:val="BRL-Standard"/>
      </w:pPr>
    </w:p>
    <w:p w14:paraId="1F03F7D3" w14:textId="7D39593A" w:rsidR="007D3F4C" w:rsidRPr="0009445C" w:rsidRDefault="007D3F4C" w:rsidP="007D3F4C">
      <w:pPr>
        <w:pStyle w:val="BRL-Standard"/>
        <w:rPr>
          <w:vertAlign w:val="subscript"/>
        </w:rPr>
      </w:pPr>
      <w:r w:rsidRPr="0009445C">
        <w:t>Non-supporting outer walls are structural elements that do not remove vertical loads, other than their own weight, and are only designed for the absorption of the net weight and wind loads.</w:t>
      </w:r>
    </w:p>
    <w:p w14:paraId="76472E9E" w14:textId="77777777" w:rsidR="007D3F4C" w:rsidRPr="0009445C" w:rsidRDefault="007D3F4C" w:rsidP="007D3F4C">
      <w:pPr>
        <w:pStyle w:val="BRL-Standard"/>
      </w:pPr>
    </w:p>
    <w:p w14:paraId="23D462DA" w14:textId="77777777" w:rsidR="007D3F4C" w:rsidRPr="0009445C" w:rsidRDefault="007D3F4C" w:rsidP="007D3F4C">
      <w:pPr>
        <w:pStyle w:val="BRL-Standard"/>
      </w:pPr>
      <w:r w:rsidRPr="0009445C">
        <w:t>Openings in external walls of usage units to open corridors according to § 36(5) MBO</w:t>
      </w:r>
      <w:r w:rsidRPr="0009445C">
        <w:rPr>
          <w:vertAlign w:val="superscript"/>
        </w:rPr>
        <w:t>1</w:t>
      </w:r>
      <w:r w:rsidRPr="0009445C">
        <w:t xml:space="preserve"> must have sealing doors. Openings of necessary stairwells or necessary landings adjacent to the open corridor must have smoke-tight and self-closing closures. Openings of exterior emergency stairwells on high-rise buildings towards open corridors must have smoke-tight and self-closing closures, openings in exterior walls of open corridors in high-rise buildings to utility units must have fire-retardant, smoke-tight and self-closing closures. In addition to the requirements of A 2.1.6, the requirements for the outdoor climate apply. The Technical Rule included in ser. No A 2.2.1.2 must be observed in order to meet these requirements.</w:t>
      </w:r>
    </w:p>
    <w:p w14:paraId="25E11DFD" w14:textId="77777777" w:rsidR="007D3F4C" w:rsidRPr="0009445C" w:rsidRDefault="007D3F4C" w:rsidP="007D3F4C">
      <w:pPr>
        <w:pStyle w:val="BRL-Standard"/>
      </w:pPr>
    </w:p>
    <w:p w14:paraId="46107BF0" w14:textId="77777777" w:rsidR="007D3F4C" w:rsidRPr="0009445C" w:rsidRDefault="007D3F4C" w:rsidP="007D3F4C">
      <w:pPr>
        <w:pStyle w:val="BRL-Standard"/>
      </w:pPr>
      <w:r w:rsidRPr="0009445C">
        <w:t>By way of deviation from the specifications of Section A 2.1.3.3.4 (re. § 26 MBO</w:t>
      </w:r>
      <w:r w:rsidRPr="0009445C">
        <w:rPr>
          <w:vertAlign w:val="superscript"/>
        </w:rPr>
        <w:t>1</w:t>
      </w:r>
      <w:r w:rsidRPr="0009445C">
        <w:t>), for fire impact from the outside to the inside, failure may not occur earlier than 30 minutes in accordance with DIN 4102</w:t>
      </w:r>
      <w:r w:rsidRPr="0009445C">
        <w:noBreakHyphen/>
        <w:t xml:space="preserve"> 3:1977</w:t>
      </w:r>
      <w:r w:rsidRPr="0009445C">
        <w:noBreakHyphen/>
        <w:t xml:space="preserve">09, Section 5.3.2 (decreased standard time-temperature curve). </w:t>
      </w:r>
    </w:p>
    <w:p w14:paraId="016F7CE2" w14:textId="77777777" w:rsidR="007D3F4C" w:rsidRPr="0009445C" w:rsidRDefault="007D3F4C" w:rsidP="007D3F4C">
      <w:pPr>
        <w:pStyle w:val="BRL-Standard"/>
      </w:pPr>
    </w:p>
    <w:p w14:paraId="2D16A3A6" w14:textId="77777777" w:rsidR="007D3F4C" w:rsidRPr="0009445C" w:rsidRDefault="007D3F4C" w:rsidP="007D3F4C">
      <w:pPr>
        <w:pStyle w:val="BRL-Standard"/>
      </w:pPr>
      <w:r w:rsidRPr="0009445C">
        <w:t>If surfaces of exterior walls and exterior wall cladding, except for substructures in accordance with § 28(3) sentence 1 Clause 2, MBO</w:t>
      </w:r>
      <w:r w:rsidRPr="0009445C">
        <w:rPr>
          <w:vertAlign w:val="superscript"/>
        </w:rPr>
        <w:t>1</w:t>
      </w:r>
      <w:r w:rsidRPr="0009445C">
        <w:t>, must be flame-resistant overall, then the same applies to the individual structural elements thereof.</w:t>
      </w:r>
    </w:p>
    <w:p w14:paraId="5890DDF6" w14:textId="77777777" w:rsidR="007D3F4C" w:rsidRPr="0009445C" w:rsidRDefault="007D3F4C" w:rsidP="007D3F4C">
      <w:pPr>
        <w:pStyle w:val="BRL-Standard"/>
      </w:pPr>
    </w:p>
    <w:p w14:paraId="48A016B9" w14:textId="77777777" w:rsidR="007D3F4C" w:rsidRPr="0009445C" w:rsidRDefault="007D3F4C" w:rsidP="007D3F4C">
      <w:pPr>
        <w:pStyle w:val="BRL-Standard"/>
      </w:pPr>
      <w:r w:rsidRPr="0009445C">
        <w:t>For flame-resistant external wall cladding, the criteria for fire exposure according to DIN 4102</w:t>
      </w:r>
      <w:r w:rsidRPr="0009445C">
        <w:noBreakHyphen/>
        <w:t>20:2017</w:t>
      </w:r>
      <w:r w:rsidRPr="0009445C">
        <w:noBreakHyphen/>
        <w:t xml:space="preserve">10, Section 4.2 must be met. </w:t>
      </w:r>
    </w:p>
    <w:p w14:paraId="5116949F" w14:textId="77777777" w:rsidR="007D3F4C" w:rsidRPr="0009445C" w:rsidRDefault="005620A9" w:rsidP="007D3F4C">
      <w:pPr>
        <w:pStyle w:val="BRL-Standard"/>
      </w:pPr>
      <w:r w:rsidRPr="0009445C">
        <w:t>Exterior wall cladding in the form of an external thermal insulation composite system (ETICS) with EPS insulation materials meets the flame-retardant requirements if stable and dimensionally stable, non-combustible constructions are arranged at existing openings in the exterior wall in the area of​the lintels above the opening, even in the event of a fire. This can be dispensed with if horizontally arranged, stable and dimensionally stable, non-combustible constructions are arranged even in the event of fire exposure.</w:t>
      </w:r>
    </w:p>
    <w:p w14:paraId="6A50733F" w14:textId="77777777" w:rsidR="005620A9" w:rsidRPr="0009445C" w:rsidRDefault="005620A9" w:rsidP="007D3F4C">
      <w:pPr>
        <w:pStyle w:val="BRL-Standard"/>
      </w:pPr>
    </w:p>
    <w:p w14:paraId="2B622FC6" w14:textId="6DD0668A" w:rsidR="007D3F4C" w:rsidRPr="0009445C" w:rsidRDefault="007D3F4C" w:rsidP="007D3F4C">
      <w:pPr>
        <w:pStyle w:val="BRL-Standard"/>
      </w:pPr>
      <w:r w:rsidRPr="0009445C">
        <w:t>For exterior wall cladding designed as a thermal insulation composite system with EPS insulating materials, fire exposure from outdoors directly affecting the lower area of the façade must also be taken into account. For this purpose, suitable non-combustible constructive measures must be put in place so that the protection objective according to § 26(1) sentence 1 MBO</w:t>
      </w:r>
      <w:r w:rsidRPr="0009445C">
        <w:rPr>
          <w:vertAlign w:val="superscript"/>
        </w:rPr>
        <w:t>1</w:t>
      </w:r>
      <w:r w:rsidRPr="0009445C">
        <w:t xml:space="preserve"> is fulfilled; otherwise, the Technical Rule included in ser. No A 2.2.1.5 must be observed. </w:t>
      </w:r>
    </w:p>
    <w:p w14:paraId="70CF8A61" w14:textId="77777777" w:rsidR="007D3F4C" w:rsidRPr="0009445C" w:rsidRDefault="007D3F4C" w:rsidP="007D3F4C">
      <w:pPr>
        <w:pStyle w:val="BRL-Standard"/>
      </w:pPr>
    </w:p>
    <w:p w14:paraId="64FCA811" w14:textId="5E1FEAE2" w:rsidR="007D3F4C" w:rsidRPr="0009445C" w:rsidRDefault="005620A9" w:rsidP="007D3F4C">
      <w:pPr>
        <w:pStyle w:val="BRL-Standard"/>
      </w:pPr>
      <w:r w:rsidRPr="0009445C">
        <w:t>If cladding with normal flammability building materials is permitted for exterior building walls, light-flammable building materials may only be used if they are permanently connected in conjunction with other building materials pursuant to § 26(1) MBO</w:t>
      </w:r>
      <w:r w:rsidRPr="0009445C">
        <w:rPr>
          <w:vertAlign w:val="superscript"/>
        </w:rPr>
        <w:t>1</w:t>
      </w:r>
      <w:r w:rsidRPr="0009445C">
        <w:t>. § 26 Para. 1 sentence 2 Clause 2, MBO</w:t>
      </w:r>
      <w:r w:rsidRPr="0009445C">
        <w:rPr>
          <w:vertAlign w:val="superscript"/>
        </w:rPr>
        <w:t>1</w:t>
      </w:r>
      <w:r w:rsidRPr="0009445C">
        <w:t xml:space="preserve"> is not applicable to exterior wall cladding if accessibility is ensured or there is risk of damage.</w:t>
      </w:r>
    </w:p>
    <w:p w14:paraId="4BC885B1" w14:textId="77777777" w:rsidR="007D3F4C" w:rsidRPr="0009445C" w:rsidRDefault="007D3F4C" w:rsidP="007D3F4C">
      <w:pPr>
        <w:pStyle w:val="BRL-Standard"/>
      </w:pPr>
    </w:p>
    <w:p w14:paraId="66BDB842" w14:textId="77777777" w:rsidR="007D3F4C" w:rsidRPr="0009445C" w:rsidRDefault="007D3F4C" w:rsidP="007D3F4C">
      <w:pPr>
        <w:pStyle w:val="BRL-Standard"/>
      </w:pPr>
      <w:r w:rsidRPr="0009445C">
        <w:t>In the case of exterior walls with rear-ventilated cladding which have cross-storey cavities or which are carried over fire walls, other than those referred to in Section 6 of the Technical Rule referred to in ser. No A 2.2.1.4, supplementary precautions shall be taken to limit the spread of fire even if they consist of non-combustible building materials and the Technical Rule referred to in ser. No A 2.2.1.6 shall be complied with.</w:t>
      </w:r>
    </w:p>
    <w:p w14:paraId="17529778" w14:textId="77777777" w:rsidR="007D3F4C" w:rsidRPr="0009445C" w:rsidRDefault="007D3F4C" w:rsidP="007D3F4C">
      <w:pPr>
        <w:pStyle w:val="BRL-Standard"/>
      </w:pPr>
    </w:p>
    <w:p w14:paraId="568981C0" w14:textId="77777777" w:rsidR="007D3F4C" w:rsidRPr="0009445C" w:rsidRDefault="007D3F4C" w:rsidP="007D3F4C">
      <w:pPr>
        <w:pStyle w:val="BRL-Standard"/>
      </w:pPr>
      <w:r w:rsidRPr="0009445C">
        <w:t xml:space="preserve">For external wall cladding of wood or wood-based materials for buildings of building classes 4 or 5, Section 6 of the Technical Rule referred to in ser. No A 2.2.1.4 shall be observed. </w:t>
      </w:r>
    </w:p>
    <w:p w14:paraId="74439490" w14:textId="77777777" w:rsidR="007D3F4C" w:rsidRPr="0009445C" w:rsidRDefault="007D3F4C" w:rsidP="007D3F4C">
      <w:pPr>
        <w:pStyle w:val="BRL-Standard"/>
      </w:pPr>
    </w:p>
    <w:p w14:paraId="5FA75524" w14:textId="77777777" w:rsidR="007D3F4C" w:rsidRPr="0009445C" w:rsidRDefault="007D3F4C" w:rsidP="00600F53">
      <w:pPr>
        <w:pStyle w:val="BRL-berschrift"/>
      </w:pPr>
      <w:r w:rsidRPr="0009445C">
        <w:t>A 2.1.6</w:t>
      </w:r>
      <w:r w:rsidRPr="0009445C">
        <w:tab/>
      </w:r>
      <w:r w:rsidRPr="0009445C">
        <w:tab/>
        <w:t>Partition walls</w:t>
      </w:r>
    </w:p>
    <w:p w14:paraId="317A3798" w14:textId="77777777" w:rsidR="005620A9" w:rsidRPr="0009445C" w:rsidRDefault="005620A9" w:rsidP="007D3F4C">
      <w:pPr>
        <w:pStyle w:val="BRL-Standard"/>
      </w:pPr>
      <w:r w:rsidRPr="0009445C">
        <w:t>Depending on the building class, the relevant requirements arise from § 29 and 45 MBO</w:t>
      </w:r>
      <w:r w:rsidRPr="0009445C">
        <w:rPr>
          <w:vertAlign w:val="superscript"/>
        </w:rPr>
        <w:t xml:space="preserve"> 1</w:t>
      </w:r>
      <w:r w:rsidRPr="0009445C">
        <w:t>.</w:t>
      </w:r>
    </w:p>
    <w:p w14:paraId="38B3A32D" w14:textId="77777777" w:rsidR="007D3F4C" w:rsidRPr="0009445C" w:rsidRDefault="007D3F4C" w:rsidP="007D3F4C">
      <w:pPr>
        <w:pStyle w:val="BRL-Standard"/>
      </w:pPr>
      <w:r w:rsidRPr="0009445C">
        <w:t>Depending on how they are used in the building structure, in case of fire, partition walls must ensure a space barrier as per Section A 2.1.3.3 for a sufficient period of time and be stable as loadbearing partitions as per Section A 2.1.3.2. pursuant to § 29 MBO</w:t>
      </w:r>
      <w:r w:rsidRPr="0009445C">
        <w:rPr>
          <w:vertAlign w:val="superscript"/>
        </w:rPr>
        <w:t>1</w:t>
      </w:r>
      <w:r w:rsidRPr="0009445C">
        <w:t xml:space="preserve">. </w:t>
      </w:r>
    </w:p>
    <w:p w14:paraId="5E87D0D5" w14:textId="77777777" w:rsidR="007D3F4C" w:rsidRPr="0009445C" w:rsidRDefault="007D3F4C" w:rsidP="007D3F4C">
      <w:pPr>
        <w:pStyle w:val="BRL-Standard"/>
      </w:pPr>
    </w:p>
    <w:p w14:paraId="1B637344" w14:textId="77777777" w:rsidR="007D3F4C" w:rsidRPr="0009445C" w:rsidRDefault="007D3F4C" w:rsidP="007D3F4C">
      <w:pPr>
        <w:pStyle w:val="BRL-Standard"/>
      </w:pPr>
      <w:r w:rsidRPr="0009445C">
        <w:t>Connections including those of joints, pipe penetrations and cross-section reductions for the installation of sockets, switch boxes, line splitters etc. must not adversely affect the space barrier and, for loadbearing partitions, stability.</w:t>
      </w:r>
    </w:p>
    <w:p w14:paraId="5149C328" w14:textId="77777777" w:rsidR="007D3F4C" w:rsidRPr="0009445C" w:rsidRDefault="007D3F4C" w:rsidP="007D3F4C">
      <w:pPr>
        <w:pStyle w:val="BRL-Standard"/>
      </w:pPr>
    </w:p>
    <w:p w14:paraId="15D0AC00" w14:textId="4DFD50BC" w:rsidR="007D3F4C" w:rsidRPr="0009445C" w:rsidRDefault="005620A9" w:rsidP="007D3F4C">
      <w:pPr>
        <w:pStyle w:val="BRL-Standard"/>
      </w:pPr>
      <w:r w:rsidRPr="0009445C">
        <w:t>Doors for openings in partition walls pursuant to § 29 Section 5 Clause 2 and 45 No. 2 MBO</w:t>
      </w:r>
      <w:r w:rsidRPr="0009445C">
        <w:rPr>
          <w:vertAlign w:val="superscript"/>
        </w:rPr>
        <w:t>1</w:t>
      </w:r>
      <w:r w:rsidRPr="0009445C">
        <w:t xml:space="preserve"> must be fire resistant (continuous fire-retardant, sealing and self-closing closures). The barriers are self-closing if they have suitable closing devices that automatically close the barrier by means of mechanically stored energy. These barriers are considered doors if they are not wider and not higher than 2.50 m (see DIN 4102-18:1991-03, Section 2.3), including existing side panels and skylights. Larger closures are gates. Regarding usage in rescue routes, reference is made to the Technical Rule referred to in ser. No A 2.2.1.2, Section 5.1.6, No. 2.</w:t>
      </w:r>
    </w:p>
    <w:p w14:paraId="01634702" w14:textId="77777777" w:rsidR="007D3F4C" w:rsidRPr="0009445C" w:rsidRDefault="007D3F4C" w:rsidP="007D3F4C">
      <w:pPr>
        <w:pStyle w:val="BRL-Standard"/>
      </w:pPr>
    </w:p>
    <w:p w14:paraId="58A7C462" w14:textId="3169D220" w:rsidR="007D3F4C" w:rsidRPr="0009445C" w:rsidRDefault="007D3F4C" w:rsidP="007D3F4C">
      <w:pPr>
        <w:pStyle w:val="BRL-Standard"/>
      </w:pPr>
      <w:r w:rsidRPr="0009445C">
        <w:t>The barriers must ensure the room closure and the tightness against fire from each side according to DIN 4102</w:t>
      </w:r>
      <w:r w:rsidRPr="0009445C">
        <w:noBreakHyphen/>
        <w:t>2:1977</w:t>
      </w:r>
      <w:r w:rsidRPr="0009445C">
        <w:noBreakHyphen/>
        <w:t>09, Section 6.2.4, for at least 30 minutes, they must meet the criteria according to DIN 4102-5:1977-09, Sections 5.2.2 to 5.2.8, and they must comply with the criteria of the continuous function according to DIN 4102-18:1991-03. In the case of doors, the self-closing property of at least 200 000 closing operations (test cycles) is assumed; this also applies to doors in gates (sliding doors). In the case of barriers other than doors, self-closing property is assumed to be at least 10,000 closing operations. The observation of smoke development according to DIN 4102-5:1977-09 must have led to the finding that at most a small amount of smoke was observed (no surface smoke emission from the component surface, only single wisps of smoke, including from joints).</w:t>
      </w:r>
    </w:p>
    <w:p w14:paraId="3725C755" w14:textId="77777777" w:rsidR="007D3F4C" w:rsidRPr="0009445C" w:rsidRDefault="007D3F4C" w:rsidP="007D3F4C">
      <w:pPr>
        <w:pStyle w:val="BRL-Standard"/>
      </w:pPr>
    </w:p>
    <w:p w14:paraId="3F5CE41E" w14:textId="77777777" w:rsidR="007D3F4C" w:rsidRPr="0009445C" w:rsidRDefault="007D3F4C" w:rsidP="007D3F4C">
      <w:pPr>
        <w:pStyle w:val="BRL-Standard"/>
      </w:pPr>
      <w:r w:rsidRPr="0009445C">
        <w:t xml:space="preserve">These doors and gates as fire-retardant closures may consist of at least normal flammability building materials; they also include all accessories and necessary fasteners. Fire protection barriers must have adequate locks with an adequate latch bolt in case of fire to prevent opening and spread of fire if pressure changes due to fire. </w:t>
      </w:r>
    </w:p>
    <w:p w14:paraId="69A81D60" w14:textId="77777777" w:rsidR="007D3F4C" w:rsidRPr="0009445C" w:rsidRDefault="007D3F4C" w:rsidP="007D3F4C">
      <w:pPr>
        <w:pStyle w:val="BRL-Standard"/>
      </w:pPr>
    </w:p>
    <w:p w14:paraId="717BDAD7" w14:textId="77777777" w:rsidR="007D3F4C" w:rsidRPr="0009445C" w:rsidRDefault="007D3F4C" w:rsidP="007D3F4C">
      <w:pPr>
        <w:pStyle w:val="BRL-Standard"/>
      </w:pPr>
      <w:r w:rsidRPr="0009445C">
        <w:t>The Technical Rule included in ser. No A 2.2.1.2 must be observed in order to meet these requirements.</w:t>
      </w:r>
    </w:p>
    <w:p w14:paraId="37876AAF" w14:textId="77777777" w:rsidR="007D3F4C" w:rsidRPr="0009445C" w:rsidRDefault="007D3F4C" w:rsidP="007D3F4C">
      <w:pPr>
        <w:pStyle w:val="BRL-Standard"/>
      </w:pPr>
    </w:p>
    <w:p w14:paraId="611489B9" w14:textId="77777777" w:rsidR="007D3F4C" w:rsidRPr="0009445C" w:rsidRDefault="007D3F4C" w:rsidP="007D3F4C">
      <w:pPr>
        <w:pStyle w:val="BRL-Standard"/>
      </w:pPr>
      <w:r w:rsidRPr="0009445C">
        <w:t xml:space="preserve">In order for people to save themselves by means of rescue routes and for firefighters to reach the site or to rescue people, a fire protection barrier must be able to be opened manually in the form of a door in the course of these rescue routes until it is impinged by fire. These requirements also apply to fire protection locks in the form of a sliding, lifting or rolling door for example, which have relatively long opening and closing times, using auxiliary power where necessary, meaning that an additional door must be provided for these fire protection closures for rescue purposes. </w:t>
      </w:r>
    </w:p>
    <w:p w14:paraId="6BF4695A" w14:textId="77777777" w:rsidR="007D3F4C" w:rsidRPr="0009445C" w:rsidRDefault="007D3F4C" w:rsidP="007D3F4C">
      <w:pPr>
        <w:pStyle w:val="BRL-Standard"/>
      </w:pPr>
    </w:p>
    <w:p w14:paraId="1A7A9829" w14:textId="77777777" w:rsidR="007D3F4C" w:rsidRPr="0009445C" w:rsidRDefault="007D3F4C" w:rsidP="007D3F4C">
      <w:pPr>
        <w:pStyle w:val="BRL-Standard"/>
      </w:pPr>
      <w:r w:rsidRPr="0009445C">
        <w:t xml:space="preserve">These fire protection closures should be kept closed as intended. A fire-protection closure may be kept open if it is provided with a device that ensures the immediate and safe closing of the fire protection closure already in the event of smoke exposure and where necessary in the event of heat exposure, in order to ensure the closure of the partition wall. </w:t>
      </w:r>
    </w:p>
    <w:p w14:paraId="6C2C171D" w14:textId="77777777" w:rsidR="007D3F4C" w:rsidRPr="0009445C" w:rsidRDefault="007D3F4C" w:rsidP="007D3F4C">
      <w:pPr>
        <w:pStyle w:val="BRL-Standard"/>
      </w:pPr>
    </w:p>
    <w:p w14:paraId="727F928B" w14:textId="77777777" w:rsidR="007D3F4C" w:rsidRPr="0009445C" w:rsidRDefault="007D3F4C" w:rsidP="007D3F4C">
      <w:pPr>
        <w:pStyle w:val="BRL-Standard"/>
        <w:spacing w:after="120"/>
      </w:pPr>
      <w:r w:rsidRPr="0009445C">
        <w:t xml:space="preserve">A locking mechanism is a system consisting of devices and/or combinations thereof that can be used to disable the operation of closing devices. When the activation mechanism is triggered in case of fire, due to a malfunction or </w:t>
      </w:r>
      <w:r w:rsidRPr="0009445C">
        <w:lastRenderedPageBreak/>
        <w:t>through manual operation, any locks that were kept open shall be immediately cleared for closing. A locking mechanism shall consist of at least:</w:t>
      </w:r>
    </w:p>
    <w:p w14:paraId="2325C4A0" w14:textId="77777777" w:rsidR="007D3F4C" w:rsidRPr="0009445C" w:rsidRDefault="007D3F4C" w:rsidP="007D3F4C">
      <w:pPr>
        <w:pStyle w:val="BRLAufzhlungAnstrich"/>
        <w:numPr>
          <w:ilvl w:val="0"/>
          <w:numId w:val="1"/>
        </w:numPr>
      </w:pPr>
      <w:r w:rsidRPr="0009445C">
        <w:t>a fire alarm, in the form of a smoke and, where necessary, heat alarm,</w:t>
      </w:r>
    </w:p>
    <w:p w14:paraId="7AF4F7C7" w14:textId="77777777" w:rsidR="007D3F4C" w:rsidRPr="0009445C" w:rsidRDefault="007D3F4C" w:rsidP="007D3F4C">
      <w:pPr>
        <w:pStyle w:val="BRLAufzhlungAnstrich"/>
        <w:numPr>
          <w:ilvl w:val="0"/>
          <w:numId w:val="1"/>
        </w:numPr>
      </w:pPr>
      <w:r w:rsidRPr="0009445C">
        <w:t>a signal-processing activation device,</w:t>
      </w:r>
    </w:p>
    <w:p w14:paraId="22D27C57" w14:textId="77777777" w:rsidR="007D3F4C" w:rsidRPr="0009445C" w:rsidRDefault="007D3F4C" w:rsidP="007D3F4C">
      <w:pPr>
        <w:pStyle w:val="BRLAufzhlungAnstrich"/>
        <w:numPr>
          <w:ilvl w:val="0"/>
          <w:numId w:val="1"/>
        </w:numPr>
      </w:pPr>
      <w:r w:rsidRPr="0009445C">
        <w:t>an energy supply connected to a power grid,</w:t>
      </w:r>
    </w:p>
    <w:p w14:paraId="7FF8D092" w14:textId="77777777" w:rsidR="007D3F4C" w:rsidRPr="0009445C" w:rsidRDefault="007D3F4C" w:rsidP="007D3F4C">
      <w:pPr>
        <w:pStyle w:val="BRLAufzhlungAnstrich"/>
        <w:numPr>
          <w:ilvl w:val="0"/>
          <w:numId w:val="1"/>
        </w:numPr>
      </w:pPr>
      <w:r w:rsidRPr="0009445C">
        <w:t>a locking device connected to the power supply and</w:t>
      </w:r>
    </w:p>
    <w:p w14:paraId="07666F5F" w14:textId="77777777" w:rsidR="007D3F4C" w:rsidRPr="0009445C" w:rsidRDefault="007D3F4C" w:rsidP="007D3F4C">
      <w:pPr>
        <w:pStyle w:val="BRLAufzhlungAnstrich"/>
        <w:numPr>
          <w:ilvl w:val="0"/>
          <w:numId w:val="1"/>
        </w:numPr>
      </w:pPr>
      <w:r w:rsidRPr="0009445C">
        <w:t xml:space="preserve">a manual activation button. </w:t>
      </w:r>
    </w:p>
    <w:p w14:paraId="7FCB4C93" w14:textId="77777777" w:rsidR="005620A9" w:rsidRPr="0009445C" w:rsidRDefault="005620A9" w:rsidP="007D3F4C">
      <w:pPr>
        <w:pStyle w:val="BRL-Standard"/>
      </w:pPr>
      <w:r w:rsidRPr="0009445C">
        <w:t xml:space="preserve">In the case of locking systems on swing-wing doors, the detection of which can be removed by pulling with low force may be waived, provided that the proof of applicability permits this. </w:t>
      </w:r>
    </w:p>
    <w:p w14:paraId="3545A507" w14:textId="77777777" w:rsidR="005620A9" w:rsidRPr="0009445C" w:rsidRDefault="005620A9" w:rsidP="007D3F4C">
      <w:pPr>
        <w:pStyle w:val="BRL-Standard"/>
      </w:pPr>
    </w:p>
    <w:p w14:paraId="4BD8E0AC" w14:textId="77777777" w:rsidR="007D3F4C" w:rsidRPr="0009445C" w:rsidRDefault="007D3F4C" w:rsidP="007D3F4C">
      <w:pPr>
        <w:pStyle w:val="BRL-Standard"/>
      </w:pPr>
      <w:r w:rsidRPr="0009445C">
        <w:t>In the absence of a technical best practice for the planning, designing and execution when using locking mechanisms, a proof pursuant to § 16a MBO</w:t>
      </w:r>
      <w:r w:rsidRPr="0009445C">
        <w:rPr>
          <w:vertAlign w:val="superscript"/>
        </w:rPr>
        <w:t>1</w:t>
      </w:r>
      <w:r w:rsidRPr="0009445C">
        <w:t xml:space="preserve"> is required.</w:t>
      </w:r>
    </w:p>
    <w:p w14:paraId="5A300C3C" w14:textId="77777777" w:rsidR="007D3F4C" w:rsidRPr="0009445C" w:rsidRDefault="007D3F4C" w:rsidP="007D3F4C">
      <w:pPr>
        <w:pStyle w:val="BRL-Standard"/>
      </w:pPr>
    </w:p>
    <w:p w14:paraId="00524D44" w14:textId="77777777" w:rsidR="007D3F4C" w:rsidRPr="0009445C" w:rsidRDefault="007D3F4C" w:rsidP="007D3F4C">
      <w:pPr>
        <w:pStyle w:val="BRL-Standard"/>
      </w:pPr>
      <w:r w:rsidRPr="0009445C">
        <w:t>Self-closing barriers may be opened and closed by an electric motor only if the drive systems meet the following requirements.</w:t>
      </w:r>
    </w:p>
    <w:p w14:paraId="706AD9A8" w14:textId="77777777" w:rsidR="007D3F4C" w:rsidRPr="0009445C" w:rsidRDefault="007D3F4C" w:rsidP="007D3F4C">
      <w:pPr>
        <w:pStyle w:val="BRL-Standard"/>
      </w:pPr>
    </w:p>
    <w:p w14:paraId="4E2CE576" w14:textId="77777777" w:rsidR="007D3F4C" w:rsidRPr="0009445C" w:rsidRDefault="007D3F4C" w:rsidP="007D3F4C">
      <w:pPr>
        <w:pStyle w:val="BRL-Standard"/>
        <w:spacing w:after="120"/>
      </w:pPr>
      <w:r w:rsidRPr="0009445C">
        <w:t>The drive system required for the electromotive opening and closing of locks shall be a system consisting of at least:</w:t>
      </w:r>
    </w:p>
    <w:p w14:paraId="2B6BC998" w14:textId="77777777" w:rsidR="007D3F4C" w:rsidRPr="0009445C" w:rsidRDefault="007D3F4C" w:rsidP="007D3F4C">
      <w:pPr>
        <w:pStyle w:val="BRLAufzhlungAnstrich"/>
        <w:numPr>
          <w:ilvl w:val="0"/>
          <w:numId w:val="1"/>
        </w:numPr>
      </w:pPr>
      <w:r w:rsidRPr="0009445C">
        <w:t>a drive with signal-processing drive control,</w:t>
      </w:r>
    </w:p>
    <w:p w14:paraId="61218B02" w14:textId="43AEEAD2" w:rsidR="007D3F4C" w:rsidRPr="0009445C" w:rsidRDefault="007D3F4C" w:rsidP="007D3F4C">
      <w:pPr>
        <w:pStyle w:val="BRLAufzhlungAnstrich"/>
        <w:numPr>
          <w:ilvl w:val="0"/>
          <w:numId w:val="1"/>
        </w:numPr>
      </w:pPr>
      <w:r w:rsidRPr="0009445C">
        <w:t>an energy supply in addition to the general power supply,</w:t>
      </w:r>
    </w:p>
    <w:p w14:paraId="5EDEADCE" w14:textId="28734D6C" w:rsidR="007D3F4C" w:rsidRPr="0009445C" w:rsidRDefault="007D3F4C" w:rsidP="007D3F4C">
      <w:pPr>
        <w:pStyle w:val="BRLAufzhlungAnstrich"/>
        <w:numPr>
          <w:ilvl w:val="0"/>
          <w:numId w:val="1"/>
        </w:numPr>
      </w:pPr>
      <w:r w:rsidRPr="0009445C">
        <w:t>a fire detector as a smoke detector or, where necessary, as a heat detector; and</w:t>
      </w:r>
    </w:p>
    <w:p w14:paraId="1FBEAF20" w14:textId="6A6E0332" w:rsidR="007D3F4C" w:rsidRPr="0009445C" w:rsidRDefault="007D3F4C" w:rsidP="007D3F4C">
      <w:pPr>
        <w:pStyle w:val="BRLAufzhlungAnstrich"/>
        <w:numPr>
          <w:ilvl w:val="0"/>
          <w:numId w:val="1"/>
        </w:numPr>
      </w:pPr>
      <w:r w:rsidRPr="0009445C">
        <w:t>a manual activation button.</w:t>
      </w:r>
    </w:p>
    <w:p w14:paraId="715118B1" w14:textId="77777777" w:rsidR="007D3F4C" w:rsidRPr="0009445C" w:rsidRDefault="007D3F4C" w:rsidP="007D3F4C">
      <w:pPr>
        <w:pStyle w:val="Aufzhlung"/>
        <w:tabs>
          <w:tab w:val="clear" w:pos="1418"/>
        </w:tabs>
        <w:suppressAutoHyphens w:val="0"/>
        <w:spacing w:before="0" w:after="0" w:line="276" w:lineRule="auto"/>
        <w:ind w:left="567" w:hanging="283"/>
        <w:contextualSpacing/>
      </w:pPr>
    </w:p>
    <w:p w14:paraId="4F2D35BC" w14:textId="7F096926" w:rsidR="007D3F4C" w:rsidRPr="0009445C" w:rsidRDefault="005620A9" w:rsidP="007D3F4C">
      <w:pPr>
        <w:pStyle w:val="BRL-Standard"/>
      </w:pPr>
      <w:r w:rsidRPr="0009445C">
        <w:t>The propulsion system shall also be capable of opening the closure if necessary and to close it immediately without delay and safely in the event of a fire, fault or manual release. After closing, only manual opening shall be permitted. For the planning, design and execution of drive systems for the electromotive (powered) opening and closing of barriers, except for construction products pursuant to C 2.6.10 and C 2.6.13, there is no technical best practice with respect to building inspection requirements, so proof pursuant to § 16a MBO</w:t>
      </w:r>
      <w:r w:rsidRPr="0009445C">
        <w:rPr>
          <w:vertAlign w:val="superscript"/>
        </w:rPr>
        <w:t>1</w:t>
      </w:r>
      <w:r w:rsidRPr="0009445C">
        <w:t xml:space="preserve"> is required.</w:t>
      </w:r>
    </w:p>
    <w:p w14:paraId="14735BD2" w14:textId="77777777" w:rsidR="007D3F4C" w:rsidRPr="0009445C" w:rsidRDefault="007D3F4C" w:rsidP="007D3F4C">
      <w:pPr>
        <w:pStyle w:val="BRL-Standard"/>
      </w:pPr>
    </w:p>
    <w:p w14:paraId="289637B2" w14:textId="77777777" w:rsidR="007D3F4C" w:rsidRPr="0009445C" w:rsidRDefault="007D3F4C" w:rsidP="007D3F4C">
      <w:pPr>
        <w:pStyle w:val="BRL-Standard"/>
        <w:rPr>
          <w:rFonts w:eastAsia="Calibri"/>
        </w:rPr>
      </w:pPr>
      <w:r w:rsidRPr="0009445C">
        <w:t xml:space="preserve">Partition walls made of fire-resistant </w:t>
      </w:r>
      <w:proofErr w:type="spellStart"/>
      <w:r w:rsidRPr="0009445C">
        <w:t>glazings</w:t>
      </w:r>
      <w:proofErr w:type="spellEnd"/>
      <w:r w:rsidRPr="0009445C">
        <w:t xml:space="preserve"> must satisfy the requirements for room-enclosing structural elements in case of exposure as defined in DIN 4102-13:1990-05, Section 6.1 with respect to the minimum time and further criteria pursuant to DIN 4102-13:1990-05, Sections 6.2 and 6.3.1. In the observations on smoke development according to DIN 4102</w:t>
      </w:r>
      <w:r w:rsidRPr="0009445C">
        <w:noBreakHyphen/>
        <w:t>13:1990</w:t>
      </w:r>
      <w:r w:rsidRPr="0009445C">
        <w:noBreakHyphen/>
        <w:t>05, Section 8.1, it must be established that at most low smoke development has been observed (no surface smoke emission from the component surface, only single wisps of smoke, including from joints).</w:t>
      </w:r>
    </w:p>
    <w:p w14:paraId="25E3682E" w14:textId="77777777" w:rsidR="007D3F4C" w:rsidRPr="0009445C" w:rsidRDefault="007D3F4C" w:rsidP="007D3F4C">
      <w:pPr>
        <w:pStyle w:val="BRL-Standard"/>
      </w:pPr>
    </w:p>
    <w:p w14:paraId="20206F40" w14:textId="77777777" w:rsidR="007D3F4C" w:rsidRPr="0009445C" w:rsidRDefault="007D3F4C" w:rsidP="007D3F4C">
      <w:pPr>
        <w:pStyle w:val="BRL-Standard"/>
      </w:pPr>
      <w:r w:rsidRPr="0009445C">
        <w:t xml:space="preserve">The Technical Rule included in ser. No A 2.2.1.2 must be observed in order to meet these requirements. To ensure that the partition wall is sealed off, the closures of necessary openings in a partition wall designed as fire protection glazing must correspond to the fire resistance period of the fire protection glazing; in addition, the aforementioned requirements for fire protection closures apply. </w:t>
      </w:r>
    </w:p>
    <w:p w14:paraId="1758A91E" w14:textId="77777777" w:rsidR="007D3F4C" w:rsidRPr="0009445C" w:rsidRDefault="007D3F4C" w:rsidP="007D3F4C">
      <w:pPr>
        <w:pStyle w:val="BRL-Standard"/>
      </w:pPr>
    </w:p>
    <w:p w14:paraId="3F5CA696" w14:textId="77777777" w:rsidR="005620A9" w:rsidRPr="0009445C" w:rsidRDefault="005620A9" w:rsidP="007D3F4C">
      <w:pPr>
        <w:pStyle w:val="BRL-Standard"/>
      </w:pPr>
      <w:r w:rsidRPr="0009445C">
        <w:t>The requirements placed on doors and gates as fire-protection closures shall also apply, unless otherwise specified, to closures required by model regulations based on the MBO</w:t>
      </w:r>
      <w:r w:rsidRPr="0009445C">
        <w:rPr>
          <w:vertAlign w:val="superscript"/>
        </w:rPr>
        <w:t>1</w:t>
      </w:r>
      <w:r w:rsidRPr="0009445C">
        <w:t xml:space="preserve"> or other technical construction regulations of the MVV TB. With regard to the fire resistance duration and the smoke tightness, the above-mentioned model regulations are also decisive due to the MBO</w:t>
      </w:r>
      <w:r w:rsidRPr="0009445C">
        <w:rPr>
          <w:vertAlign w:val="superscript"/>
        </w:rPr>
        <w:t>1</w:t>
      </w:r>
      <w:r w:rsidRPr="0009445C">
        <w:t xml:space="preserve"> and the technical construction regulations of the MVV TB.</w:t>
      </w:r>
    </w:p>
    <w:p w14:paraId="606F954B" w14:textId="77777777" w:rsidR="005620A9" w:rsidRPr="0009445C" w:rsidRDefault="005620A9" w:rsidP="007D3F4C">
      <w:pPr>
        <w:pStyle w:val="BRL-Standard"/>
      </w:pPr>
    </w:p>
    <w:p w14:paraId="33BF3F0E" w14:textId="77777777" w:rsidR="007D3F4C" w:rsidRPr="0009445C" w:rsidRDefault="007D3F4C" w:rsidP="00600F53">
      <w:pPr>
        <w:pStyle w:val="BRL-berschrift"/>
      </w:pPr>
      <w:r w:rsidRPr="0009445C">
        <w:t>A 2.1.7</w:t>
      </w:r>
      <w:r w:rsidRPr="0009445C">
        <w:tab/>
      </w:r>
      <w:r w:rsidRPr="0009445C">
        <w:tab/>
        <w:t>Firewalls and walls permissible in place of firewalls</w:t>
      </w:r>
    </w:p>
    <w:p w14:paraId="4AE2C9A3" w14:textId="77777777" w:rsidR="00747C7C" w:rsidRPr="0009445C" w:rsidRDefault="00747C7C" w:rsidP="007D3F4C">
      <w:pPr>
        <w:pStyle w:val="BRL-Standard"/>
      </w:pPr>
      <w:r w:rsidRPr="0009445C">
        <w:t>Depending on the building class, the relevant requirements arise from § 30 MBO</w:t>
      </w:r>
      <w:r w:rsidRPr="0009445C">
        <w:rPr>
          <w:vertAlign w:val="superscript"/>
        </w:rPr>
        <w:t xml:space="preserve"> 1</w:t>
      </w:r>
      <w:r w:rsidRPr="0009445C">
        <w:t>.</w:t>
      </w:r>
    </w:p>
    <w:p w14:paraId="795E4BFA" w14:textId="77777777" w:rsidR="007D3F4C" w:rsidRPr="0009445C" w:rsidRDefault="007D3F4C" w:rsidP="007D3F4C">
      <w:pPr>
        <w:pStyle w:val="BRL-Standard"/>
      </w:pPr>
      <w:r w:rsidRPr="0009445C">
        <w:t>Firewalls of structural works may not contribute to the fire in accordance with § 30(3) sentence 1 MBO</w:t>
      </w:r>
      <w:r w:rsidRPr="0009445C">
        <w:rPr>
          <w:vertAlign w:val="superscript"/>
        </w:rPr>
        <w:t>1</w:t>
      </w:r>
      <w:r w:rsidRPr="0009445C">
        <w:t xml:space="preserve"> to ensure the protection objectives. They must be made of non-combustible building materials. By way of deviation from § 28(3) MBO</w:t>
      </w:r>
      <w:r w:rsidRPr="0009445C">
        <w:rPr>
          <w:vertAlign w:val="superscript"/>
        </w:rPr>
        <w:t>1</w:t>
      </w:r>
      <w:r w:rsidRPr="0009445C">
        <w:t>, exterior wall cladding including insulation materials and substructures according to § 30(7) sentence 3 MBO</w:t>
      </w:r>
      <w:r w:rsidRPr="0009445C">
        <w:rPr>
          <w:vertAlign w:val="superscript"/>
        </w:rPr>
        <w:t>1</w:t>
      </w:r>
      <w:r w:rsidRPr="0009445C">
        <w:t xml:space="preserve"> must be non-combustible on building walls. </w:t>
      </w:r>
    </w:p>
    <w:p w14:paraId="3195A6E3" w14:textId="77777777" w:rsidR="007D3F4C" w:rsidRPr="0009445C" w:rsidRDefault="007D3F4C" w:rsidP="007D3F4C">
      <w:pPr>
        <w:pStyle w:val="BRL-Standard"/>
      </w:pPr>
    </w:p>
    <w:p w14:paraId="5530300D" w14:textId="77777777" w:rsidR="007D3F4C" w:rsidRPr="0009445C" w:rsidRDefault="007D3F4C" w:rsidP="007D3F4C">
      <w:pPr>
        <w:pStyle w:val="BRL-Standard"/>
      </w:pPr>
      <w:r w:rsidRPr="0009445C">
        <w:t>Firewalls must also be stable and room-enclosing in the event that additional mechanical loads from parts of the building structure failing in the event of fire have an effect on these walls (impact). This also applies to walls used instead of firewalls, unless otherwise specified.</w:t>
      </w:r>
    </w:p>
    <w:p w14:paraId="34B0378B" w14:textId="77777777" w:rsidR="007D3F4C" w:rsidRPr="0009445C" w:rsidRDefault="007D3F4C" w:rsidP="007D3F4C">
      <w:pPr>
        <w:pStyle w:val="BRL-Standard"/>
      </w:pPr>
    </w:p>
    <w:p w14:paraId="674F9AA6" w14:textId="77777777" w:rsidR="007D3F4C" w:rsidRPr="0009445C" w:rsidRDefault="007D3F4C" w:rsidP="007D3F4C">
      <w:pPr>
        <w:pStyle w:val="BRL-Standard"/>
      </w:pPr>
      <w:r w:rsidRPr="0009445C">
        <w:lastRenderedPageBreak/>
        <w:t>Firewalls are only deemed stable and space-enclosing in case of fire if they meet the requirements of Sections A 2.1.3.2 and A 2.1.3.3 without additional measures as well as the criteria of DIN 4102</w:t>
      </w:r>
      <w:r w:rsidRPr="0009445C">
        <w:noBreakHyphen/>
        <w:t>3:1977-09, Sections 4.2.1 to 4.2.4. The observation of smoke development according to DIN 4102-3:1977</w:t>
      </w:r>
      <w:r w:rsidRPr="0009445C">
        <w:noBreakHyphen/>
        <w:t>09, Section 5.4, must have led to the finding that at most a small amount of smoke was observed (no surface smoke emission from the component surface, only single wisps of smoke, including from joints).</w:t>
      </w:r>
    </w:p>
    <w:p w14:paraId="73ECB342" w14:textId="77777777" w:rsidR="007D3F4C" w:rsidRPr="0009445C" w:rsidRDefault="007D3F4C" w:rsidP="007D3F4C">
      <w:pPr>
        <w:pStyle w:val="BRL-Standard"/>
      </w:pPr>
    </w:p>
    <w:p w14:paraId="5AA5ECD3" w14:textId="77777777" w:rsidR="007D3F4C" w:rsidRPr="0009445C" w:rsidRDefault="007D3F4C" w:rsidP="007D3F4C">
      <w:pPr>
        <w:pStyle w:val="BRL-Standard"/>
        <w:rPr>
          <w:vertAlign w:val="superscript"/>
        </w:rPr>
      </w:pPr>
      <w:r w:rsidRPr="0009445C">
        <w:t>Walls instead of firewalls according to § 30(3) sentence 2 No. 1 MBO</w:t>
      </w:r>
      <w:r w:rsidRPr="0009445C">
        <w:rPr>
          <w:rStyle w:val="FootnoteReference"/>
        </w:rPr>
        <w:t>1</w:t>
      </w:r>
      <w:r w:rsidRPr="0009445C">
        <w:rPr>
          <w:vertAlign w:val="superscript"/>
        </w:rPr>
        <w:t xml:space="preserve"> </w:t>
      </w:r>
    </w:p>
    <w:p w14:paraId="2A7B529D" w14:textId="77777777" w:rsidR="007D3F4C" w:rsidRPr="0009445C" w:rsidRDefault="007D3F4C" w:rsidP="007D3F4C">
      <w:pPr>
        <w:pStyle w:val="BRLAufzhlungAnstrich"/>
        <w:numPr>
          <w:ilvl w:val="1"/>
          <w:numId w:val="1"/>
        </w:numPr>
      </w:pPr>
      <w:r w:rsidRPr="0009445C">
        <w:t>Highly fire-retardant walls as defined in Section A 2.1.3.3.3; or</w:t>
      </w:r>
    </w:p>
    <w:p w14:paraId="581D2375" w14:textId="77777777" w:rsidR="007D3F4C" w:rsidRPr="0009445C" w:rsidRDefault="007D3F4C" w:rsidP="007D3F4C">
      <w:pPr>
        <w:pStyle w:val="BRLAufzhlungAnstrich"/>
        <w:numPr>
          <w:ilvl w:val="1"/>
          <w:numId w:val="1"/>
        </w:numPr>
      </w:pPr>
      <w:r w:rsidRPr="0009445C">
        <w:t>Walls with a fire resistance of 60 minutes according to Section A</w:t>
      </w:r>
      <w:r w:rsidRPr="0009445C">
        <w:rPr>
          <w:b/>
        </w:rPr>
        <w:t xml:space="preserve"> </w:t>
      </w:r>
      <w:r w:rsidRPr="0009445C">
        <w:t>2.1.3.3.7,</w:t>
      </w:r>
    </w:p>
    <w:p w14:paraId="70E611D9" w14:textId="77777777" w:rsidR="007D3F4C" w:rsidRPr="0009445C" w:rsidRDefault="007D3F4C" w:rsidP="007D3F4C">
      <w:pPr>
        <w:pStyle w:val="BRL-Standard"/>
      </w:pPr>
      <w:r w:rsidRPr="0009445C">
        <w:t>in the event of fire, they are only stable and room-enclosing if they meet the requirements of Sections A 2.1.3.2 and A 2.1.3.3 without additional measures and comply with the criteria of DIN 4102</w:t>
      </w:r>
      <w:r w:rsidRPr="0009445C">
        <w:noBreakHyphen/>
        <w:t>3:1977-09, Sections 4.2.2 to 4.2.4, but only for a period of 60 minutes. For highly fire-retardant walls, the requirements of Section A 2.1.3.1. sentence 6 letter (b) apply in addition. For walls referred to in Section A 2.1.3.3.7, the requirements of Section 5.2 of the Technical Rule published under Ser. number A 2.2.1.4 apply in addition. The observation of smoke development according to DIN 4102-3:1977-09, Section 5.4, must have led to the finding that at most a small amount of smoke was observed (no surface smoke emission from the component surface, only single wisps of smoke, including from joints).</w:t>
      </w:r>
    </w:p>
    <w:p w14:paraId="4547A393" w14:textId="77777777" w:rsidR="007D3F4C" w:rsidRPr="0009445C" w:rsidRDefault="007D3F4C" w:rsidP="007D3F4C">
      <w:pPr>
        <w:pStyle w:val="BRL-Standard"/>
      </w:pPr>
    </w:p>
    <w:p w14:paraId="685B0E0D" w14:textId="77777777" w:rsidR="007D3F4C" w:rsidRPr="0009445C" w:rsidRDefault="007D3F4C" w:rsidP="007D3F4C">
      <w:pPr>
        <w:pStyle w:val="BRL-Standard"/>
      </w:pPr>
      <w:r w:rsidRPr="0009445C">
        <w:t>For other walls instead of firewalls according to § 30(3) sentence 2 Numbers 2 and 3 MBO</w:t>
      </w:r>
      <w:r w:rsidRPr="0009445C">
        <w:rPr>
          <w:vertAlign w:val="superscript"/>
        </w:rPr>
        <w:t>1</w:t>
      </w:r>
      <w:r w:rsidRPr="0009445C">
        <w:t>, the requirements according to Section A 2.1.6 shall be observed.</w:t>
      </w:r>
    </w:p>
    <w:p w14:paraId="0836E5CA" w14:textId="77777777" w:rsidR="007D3F4C" w:rsidRPr="0009445C" w:rsidRDefault="007D3F4C" w:rsidP="007D3F4C">
      <w:pPr>
        <w:pStyle w:val="BRL-Standard"/>
      </w:pPr>
    </w:p>
    <w:p w14:paraId="3D1A1A6D" w14:textId="77777777" w:rsidR="007D3F4C" w:rsidRPr="0009445C" w:rsidRDefault="007D3F4C" w:rsidP="007D3F4C">
      <w:pPr>
        <w:pStyle w:val="BRL-Standard"/>
      </w:pPr>
      <w:r w:rsidRPr="0009445C">
        <w:t xml:space="preserve">Connections in other structural elements in firewalls and walls used instead of firewalls, including joints, pipe penetrations and cross-section reductions for the installation of sockets, switch boxes, line splitters, etc. must not adversely affect the space barrier or stability. </w:t>
      </w:r>
    </w:p>
    <w:p w14:paraId="2D74893C" w14:textId="77777777" w:rsidR="007D3F4C" w:rsidRPr="0009445C" w:rsidRDefault="007D3F4C" w:rsidP="007D3F4C">
      <w:pPr>
        <w:pStyle w:val="BRL-Standard"/>
      </w:pPr>
    </w:p>
    <w:p w14:paraId="6AC1A121" w14:textId="77777777" w:rsidR="007D3F4C" w:rsidRPr="0009445C" w:rsidRDefault="007D3F4C" w:rsidP="007D3F4C">
      <w:pPr>
        <w:pStyle w:val="BRL-Standard"/>
      </w:pPr>
      <w:r w:rsidRPr="0009445C">
        <w:t>In internal firewalls and internal walls used instead of firewalls, openings are only allowed for doors, gates and closures for pipe passages and conveyor systems pursuant to § 30(8) MBO</w:t>
      </w:r>
      <w:r w:rsidRPr="0009445C">
        <w:rPr>
          <w:vertAlign w:val="superscript"/>
        </w:rPr>
        <w:t>1</w:t>
      </w:r>
      <w:r w:rsidRPr="0009445C">
        <w:t xml:space="preserve">; they shall be permanently sealed and self-closing in the fire resistance period corresponding to the wall and shall be limited to the number and size required for use, in order to ensure the room closure of these walls. The requirements under Section A 2.1.6 also apply. </w:t>
      </w:r>
    </w:p>
    <w:p w14:paraId="214F6321" w14:textId="77777777" w:rsidR="007D3F4C" w:rsidRPr="0009445C" w:rsidRDefault="007D3F4C" w:rsidP="007D3F4C">
      <w:pPr>
        <w:pStyle w:val="BRL-Standard"/>
      </w:pPr>
    </w:p>
    <w:p w14:paraId="7D9AB14A" w14:textId="77777777" w:rsidR="007D3F4C" w:rsidRPr="0009445C" w:rsidRDefault="007D3F4C" w:rsidP="007D3F4C">
      <w:pPr>
        <w:pStyle w:val="BRL-Standard"/>
      </w:pPr>
      <w:r w:rsidRPr="0009445C">
        <w:t>For glazing pursuant to § 30(9) MBO</w:t>
      </w:r>
      <w:r w:rsidRPr="0009445C">
        <w:rPr>
          <w:vertAlign w:val="superscript"/>
        </w:rPr>
        <w:t>1</w:t>
      </w:r>
      <w:r w:rsidRPr="0009445C">
        <w:t>, these requirements are fulfilled with fire-resistant glazing if during a fire pursuant to DIN 4102-13:1990-05, Section 6.1, the spread of fire and smoke and the passage of heat radiation is prevented for the minimum required time and the criteria pursuant to DIN 4102</w:t>
      </w:r>
      <w:r w:rsidRPr="0009445C">
        <w:noBreakHyphen/>
        <w:t>13:1990-05 are satisfied. In the observations on smoke development according to DIN 4102</w:t>
      </w:r>
      <w:r w:rsidRPr="0009445C">
        <w:noBreakHyphen/>
        <w:t>13:1990</w:t>
      </w:r>
      <w:r w:rsidRPr="0009445C">
        <w:noBreakHyphen/>
        <w:t>05, Section 8.1, it must be established that at most low smoke development has been observed (no surface smoke emission from the component surface, only single wisps of smoke, including from joints).</w:t>
      </w:r>
    </w:p>
    <w:p w14:paraId="32906EF3" w14:textId="77777777" w:rsidR="007D3F4C" w:rsidRPr="0009445C" w:rsidRDefault="007D3F4C" w:rsidP="007D3F4C">
      <w:pPr>
        <w:pStyle w:val="BRL-Standard"/>
      </w:pPr>
    </w:p>
    <w:p w14:paraId="69FD3EE9" w14:textId="77777777" w:rsidR="007D3F4C" w:rsidRPr="0009445C" w:rsidRDefault="007D3F4C" w:rsidP="007D3F4C">
      <w:pPr>
        <w:pStyle w:val="BRL-Standard"/>
      </w:pPr>
      <w:r w:rsidRPr="0009445C">
        <w:t>The Technical Rule included in ser. No A 2.2.1.2 must be observed in order to meet these requirements.</w:t>
      </w:r>
    </w:p>
    <w:p w14:paraId="33635A4B" w14:textId="2B4DD323" w:rsidR="007D3F4C" w:rsidRPr="0009445C" w:rsidRDefault="007D3F4C" w:rsidP="007D3F4C">
      <w:pPr>
        <w:pStyle w:val="BRL-Standard"/>
      </w:pPr>
    </w:p>
    <w:p w14:paraId="63A9BAC2" w14:textId="016E848A" w:rsidR="00BA10E9" w:rsidRPr="0009445C" w:rsidRDefault="00BA10E9" w:rsidP="007D3F4C">
      <w:pPr>
        <w:pStyle w:val="BRL-Standard"/>
      </w:pPr>
    </w:p>
    <w:p w14:paraId="07DF505E" w14:textId="77777777" w:rsidR="00BA10E9" w:rsidRPr="0009445C" w:rsidRDefault="00BA10E9" w:rsidP="007D3F4C">
      <w:pPr>
        <w:pStyle w:val="BRL-Standard"/>
      </w:pPr>
    </w:p>
    <w:p w14:paraId="058BCD6F" w14:textId="77777777" w:rsidR="007D3F4C" w:rsidRPr="0009445C" w:rsidRDefault="007D3F4C" w:rsidP="00600F53">
      <w:pPr>
        <w:pStyle w:val="BRL-berschrift"/>
      </w:pPr>
      <w:r w:rsidRPr="0009445C">
        <w:t>A 2.1.8</w:t>
      </w:r>
      <w:r w:rsidRPr="0009445C">
        <w:tab/>
      </w:r>
      <w:r w:rsidRPr="0009445C">
        <w:tab/>
        <w:t>Ceilings</w:t>
      </w:r>
    </w:p>
    <w:p w14:paraId="5F54DB29" w14:textId="77777777" w:rsidR="00747C7C" w:rsidRPr="0009445C" w:rsidRDefault="00747C7C" w:rsidP="007D3F4C">
      <w:pPr>
        <w:pStyle w:val="BRL-Standard"/>
        <w:rPr>
          <w:rFonts w:cs="Arial"/>
        </w:rPr>
      </w:pPr>
      <w:r w:rsidRPr="0009445C">
        <w:t>Depending on the building class, the relevant requirements arise from § 31 MBO</w:t>
      </w:r>
      <w:r w:rsidRPr="0009445C">
        <w:rPr>
          <w:vertAlign w:val="superscript"/>
        </w:rPr>
        <w:t xml:space="preserve"> 1</w:t>
      </w:r>
      <w:r w:rsidRPr="0009445C">
        <w:t>.</w:t>
      </w:r>
    </w:p>
    <w:p w14:paraId="5568AACE" w14:textId="77777777" w:rsidR="007D3F4C" w:rsidRPr="0009445C" w:rsidRDefault="007D3F4C" w:rsidP="007D3F4C">
      <w:pPr>
        <w:pStyle w:val="BRL-Standard"/>
      </w:pPr>
      <w:r w:rsidRPr="0009445C">
        <w:t>Ceilings between storeys must remain stable and space-enclosing for a sufficient amount of time in buildings pursuant to § 31 MBO</w:t>
      </w:r>
      <w:r w:rsidRPr="0009445C">
        <w:rPr>
          <w:vertAlign w:val="superscript"/>
        </w:rPr>
        <w:t>1</w:t>
      </w:r>
      <w:r w:rsidRPr="0009445C">
        <w:t xml:space="preserve"> and must meet the requirements of Sections A 2.1.3.2 and A 2.1.3.3. </w:t>
      </w:r>
    </w:p>
    <w:p w14:paraId="2B6D84CB" w14:textId="77777777" w:rsidR="007D3F4C" w:rsidRPr="0009445C" w:rsidRDefault="007D3F4C" w:rsidP="007D3F4C">
      <w:pPr>
        <w:pStyle w:val="BRL-Standard"/>
      </w:pPr>
    </w:p>
    <w:p w14:paraId="238C1F10" w14:textId="77777777" w:rsidR="007D3F4C" w:rsidRPr="0009445C" w:rsidRDefault="007D3F4C" w:rsidP="007D3F4C">
      <w:pPr>
        <w:pStyle w:val="BRL-Standard"/>
      </w:pPr>
      <w:r w:rsidRPr="0009445C">
        <w:t xml:space="preserve">Connections, including joints, to other structural elements, including external walls, shall be designed in such a way as to ensure stability and room enclosure in order to prevent the spread of fire. </w:t>
      </w:r>
    </w:p>
    <w:p w14:paraId="51906EF2" w14:textId="77777777" w:rsidR="007D3F4C" w:rsidRPr="0009445C" w:rsidRDefault="007D3F4C" w:rsidP="007D3F4C">
      <w:pPr>
        <w:pStyle w:val="BRL-Standard"/>
      </w:pPr>
    </w:p>
    <w:p w14:paraId="2CFD145B" w14:textId="1D1ADC66" w:rsidR="007D3F4C" w:rsidRPr="0009445C" w:rsidRDefault="007D3F4C" w:rsidP="007D3F4C">
      <w:pPr>
        <w:pStyle w:val="BRL-Standard"/>
      </w:pPr>
      <w:r w:rsidRPr="0009445C">
        <w:t>If openings in ceilings according to § 31 Section 4 Number 3 MBO</w:t>
      </w:r>
      <w:r w:rsidRPr="0009445C">
        <w:rPr>
          <w:vertAlign w:val="superscript"/>
        </w:rPr>
        <w:t>1</w:t>
      </w:r>
      <w:r w:rsidRPr="0009445C">
        <w:t xml:space="preserve"> must have permanently sealing and self-closing closures (flaps, sliding panes, etc.) to ensure the fire resistance of the ceiling, then the enclosing function of the ceiling must be ensured. The requirements under Section A 2.1.6 also apply, including those concerning keeping this fire protection closure open; concerning the continuous function, 10 000 closing operations are sufficient. The Technical Rule included in ser. No A 2.2.1.2 must be observed in order to meet these requirements.</w:t>
      </w:r>
    </w:p>
    <w:p w14:paraId="2A860784" w14:textId="77777777" w:rsidR="00BA10E9" w:rsidRPr="0009445C" w:rsidRDefault="00BA10E9" w:rsidP="007D3F4C">
      <w:pPr>
        <w:pStyle w:val="BRL-Standard"/>
      </w:pPr>
    </w:p>
    <w:p w14:paraId="7450DB88" w14:textId="77777777" w:rsidR="007D3F4C" w:rsidRPr="0009445C" w:rsidRDefault="007D3F4C" w:rsidP="00600F53">
      <w:pPr>
        <w:pStyle w:val="BRL-berschrift"/>
      </w:pPr>
      <w:r w:rsidRPr="0009445C">
        <w:lastRenderedPageBreak/>
        <w:t>A 2.1.9</w:t>
      </w:r>
      <w:r w:rsidRPr="0009445C">
        <w:tab/>
      </w:r>
      <w:r w:rsidRPr="0009445C">
        <w:tab/>
        <w:t>Roofs</w:t>
      </w:r>
    </w:p>
    <w:p w14:paraId="5D02E7FE" w14:textId="77777777" w:rsidR="00747C7C" w:rsidRPr="0009445C" w:rsidRDefault="00747C7C" w:rsidP="0009445C">
      <w:pPr>
        <w:keepNext/>
        <w:keepLines/>
        <w:rPr>
          <w:rFonts w:cs="Arial"/>
          <w:szCs w:val="18"/>
        </w:rPr>
      </w:pPr>
      <w:r w:rsidRPr="0009445C">
        <w:t>Depending on the building class, the relevant requirements arise from § 32 MBO</w:t>
      </w:r>
      <w:r w:rsidRPr="0009445C">
        <w:rPr>
          <w:vertAlign w:val="superscript"/>
        </w:rPr>
        <w:t>1</w:t>
      </w:r>
      <w:r w:rsidRPr="0009445C">
        <w:t>.</w:t>
      </w:r>
    </w:p>
    <w:p w14:paraId="538AD137" w14:textId="77777777" w:rsidR="007D3F4C" w:rsidRPr="0009445C" w:rsidRDefault="007D3F4C" w:rsidP="007D3F4C">
      <w:pPr>
        <w:pStyle w:val="BRL-Standard"/>
      </w:pPr>
      <w:r w:rsidRPr="0009445C">
        <w:t xml:space="preserve">The roof covering as part of the building structure consists of the rainwater-draining layer (roof membrane), including parts used for thermal insulation and to protect against the penetration of moisture, parts needed to transfer load to the parts bearing the roof covering load (insulating materials, moisture barriers, underlays, battens). The roofing also includes translucent surfaces and closures of openings and their connections to the roof. </w:t>
      </w:r>
    </w:p>
    <w:p w14:paraId="0F8911EF" w14:textId="77777777" w:rsidR="007D3F4C" w:rsidRPr="0009445C" w:rsidRDefault="007D3F4C" w:rsidP="007D3F4C">
      <w:pPr>
        <w:pStyle w:val="BRL-Standard"/>
      </w:pPr>
    </w:p>
    <w:p w14:paraId="1881C755" w14:textId="77777777" w:rsidR="007D3F4C" w:rsidRPr="0009445C" w:rsidRDefault="007D3F4C" w:rsidP="007D3F4C">
      <w:pPr>
        <w:pStyle w:val="BRL-Standard"/>
      </w:pPr>
      <w:r w:rsidRPr="0009445C">
        <w:t>Unless otherwise permitted in § 32(3) MBO</w:t>
      </w:r>
      <w:r w:rsidRPr="0009445C">
        <w:rPr>
          <w:vertAlign w:val="superscript"/>
        </w:rPr>
        <w:t>1</w:t>
      </w:r>
      <w:r w:rsidRPr="0009445C">
        <w:t>, roofing must withstand fire exposure for a sufficient length of time in the event of fire from the outside into the physical structure through heat radiation or burning parts from other physical structures and the spread of fire to the physical structure (hard roofing pursuant to § 32(1) MBO</w:t>
      </w:r>
      <w:r w:rsidRPr="0009445C">
        <w:rPr>
          <w:vertAlign w:val="superscript"/>
        </w:rPr>
        <w:t>1</w:t>
      </w:r>
      <w:r w:rsidRPr="0009445C">
        <w:t>). The roofing may be damaged only to a limited extent both vertically and horizontally and may contribute only to a limited extent to the fire process itself. The roof inclinations must be taken into account because the fire characteristics of roofs can vary according to roof inclination.</w:t>
      </w:r>
    </w:p>
    <w:p w14:paraId="45C8C29F" w14:textId="77777777" w:rsidR="007D3F4C" w:rsidRPr="0009445C" w:rsidRDefault="007D3F4C" w:rsidP="007D3F4C">
      <w:pPr>
        <w:pStyle w:val="BRL-Standard"/>
      </w:pPr>
    </w:p>
    <w:p w14:paraId="41DF3730" w14:textId="77777777" w:rsidR="007D3F4C" w:rsidRPr="0009445C" w:rsidRDefault="007D3F4C" w:rsidP="007D3F4C">
      <w:pPr>
        <w:pStyle w:val="BRL-Standard"/>
      </w:pPr>
      <w:r w:rsidRPr="0009445C">
        <w:t>This requirement is met when non-green roofs are used that at a minimum meet the criteria set forth in DIN 4102-7:2018-11, Section 4 letters (a) to (e) during a fire as set out in DIN 4102-7:2018-11, Section 6.1 to 6.5 in consideration of Section 7.</w:t>
      </w:r>
    </w:p>
    <w:p w14:paraId="2B54F5B8" w14:textId="77777777" w:rsidR="007D3F4C" w:rsidRPr="0009445C" w:rsidRDefault="007D3F4C" w:rsidP="007D3F4C">
      <w:pPr>
        <w:pStyle w:val="BRL-Standard"/>
      </w:pPr>
      <w:r w:rsidRPr="0009445C">
        <w:t>Green roofs are considered to be hard roofs if they meet the requirements of the Technical Rule under ser. No A 2.2.1.3.</w:t>
      </w:r>
    </w:p>
    <w:p w14:paraId="7563600B" w14:textId="77777777" w:rsidR="007D3F4C" w:rsidRPr="0009445C" w:rsidRDefault="007D3F4C" w:rsidP="007D3F4C">
      <w:pPr>
        <w:pStyle w:val="BRL-Standard"/>
      </w:pPr>
    </w:p>
    <w:p w14:paraId="00687BCA" w14:textId="77777777" w:rsidR="007D3F4C" w:rsidRPr="0009445C" w:rsidRDefault="007D3F4C" w:rsidP="007D3F4C">
      <w:pPr>
        <w:pStyle w:val="BRL-Standard"/>
        <w:spacing w:after="120"/>
      </w:pPr>
      <w:r w:rsidRPr="0009445C">
        <w:t xml:space="preserve">For specific combustible translucent surfaces or barriers of openings for which there is no proof of hard roofing, use as roofing is permitted without this leading to the expectation that the prevention of fire formation or spread of fire in or on the roof is impaired if: </w:t>
      </w:r>
    </w:p>
    <w:p w14:paraId="4361962D" w14:textId="77777777" w:rsidR="007D3F4C" w:rsidRPr="0009445C" w:rsidRDefault="007D3F4C" w:rsidP="007D3F4C">
      <w:pPr>
        <w:pStyle w:val="BRLAufzhlungAnstrich"/>
        <w:numPr>
          <w:ilvl w:val="0"/>
          <w:numId w:val="1"/>
        </w:numPr>
      </w:pPr>
      <w:r w:rsidRPr="0009445C">
        <w:t xml:space="preserve">the sum of the </w:t>
      </w:r>
      <w:proofErr w:type="spellStart"/>
      <w:r w:rsidRPr="0009445C">
        <w:t>subsurfaces</w:t>
      </w:r>
      <w:proofErr w:type="spellEnd"/>
      <w:r w:rsidRPr="0009445C">
        <w:t xml:space="preserve"> does not exceed 30% of the roof area,</w:t>
      </w:r>
    </w:p>
    <w:p w14:paraId="11CB131F" w14:textId="77777777" w:rsidR="007D3F4C" w:rsidRPr="0009445C" w:rsidRDefault="007D3F4C" w:rsidP="007D3F4C">
      <w:pPr>
        <w:pStyle w:val="BRLAufzhlungAnstrich"/>
        <w:numPr>
          <w:ilvl w:val="0"/>
          <w:numId w:val="1"/>
        </w:numPr>
      </w:pPr>
      <w:r w:rsidRPr="0009445C">
        <w:t xml:space="preserve">the </w:t>
      </w:r>
      <w:proofErr w:type="spellStart"/>
      <w:r w:rsidRPr="0009445C">
        <w:t>subsurfaces</w:t>
      </w:r>
      <w:proofErr w:type="spellEnd"/>
      <w:r w:rsidRPr="0009445C">
        <w:t xml:space="preserve"> are at a distance of at least 5 m from firewalls or directly adjacent higher buildings or parts of buildings </w:t>
      </w:r>
    </w:p>
    <w:p w14:paraId="36A934CC" w14:textId="77777777" w:rsidR="007D3F4C" w:rsidRPr="0009445C" w:rsidRDefault="007D3F4C" w:rsidP="007D3F4C">
      <w:pPr>
        <w:pStyle w:val="BRLAufzhlungAnstrich"/>
        <w:numPr>
          <w:ilvl w:val="0"/>
          <w:numId w:val="0"/>
        </w:numPr>
        <w:ind w:left="284" w:hanging="284"/>
      </w:pPr>
      <w:r w:rsidRPr="0009445C">
        <w:t xml:space="preserve">and the </w:t>
      </w:r>
      <w:proofErr w:type="spellStart"/>
      <w:r w:rsidRPr="0009445C">
        <w:t>subsurfaces</w:t>
      </w:r>
      <w:proofErr w:type="spellEnd"/>
      <w:r w:rsidRPr="0009445C">
        <w:t xml:space="preserve">, </w:t>
      </w:r>
    </w:p>
    <w:p w14:paraId="145B5A37" w14:textId="77777777" w:rsidR="007D3F4C" w:rsidRPr="0009445C" w:rsidRDefault="007D3F4C" w:rsidP="007D3F4C">
      <w:pPr>
        <w:pStyle w:val="BRLAufzhlungAnstrich"/>
        <w:numPr>
          <w:ilvl w:val="0"/>
          <w:numId w:val="1"/>
        </w:numPr>
      </w:pPr>
      <w:r w:rsidRPr="0009445C">
        <w:t xml:space="preserve">the lighting strips are maximum 2 m wide and 20 m long, are at least 2 m from each other and from the roof edges or </w:t>
      </w:r>
    </w:p>
    <w:p w14:paraId="0FA0BD3C" w14:textId="77777777" w:rsidR="007D3F4C" w:rsidRPr="0009445C" w:rsidRDefault="007D3F4C" w:rsidP="007D3F4C">
      <w:pPr>
        <w:pStyle w:val="BRLAufzhlungAnstrich"/>
        <w:numPr>
          <w:ilvl w:val="0"/>
          <w:numId w:val="1"/>
        </w:numPr>
      </w:pPr>
      <w:r w:rsidRPr="0009445C">
        <w:t>the dome lights have an area of not more than 6 m² each, are at least 1 m from each other and from the roof edges and are at least 2 m from lighting strips made of combustible building materials.</w:t>
      </w:r>
    </w:p>
    <w:p w14:paraId="248864B1" w14:textId="77777777" w:rsidR="007D3F4C" w:rsidRPr="0009445C" w:rsidRDefault="007D3F4C" w:rsidP="007D3F4C">
      <w:pPr>
        <w:pStyle w:val="BRL-Standard"/>
      </w:pPr>
    </w:p>
    <w:p w14:paraId="42FD43CE" w14:textId="77777777" w:rsidR="007D3F4C" w:rsidRPr="0009445C" w:rsidRDefault="007D3F4C" w:rsidP="007D3F4C">
      <w:pPr>
        <w:pStyle w:val="BRL-Standard"/>
      </w:pPr>
      <w:r w:rsidRPr="0009445C">
        <w:t>To prevent fire spreading to parts of the building structure via roof installations or superstructures such as heat extraction surfaces or smoke and heat extraction devices, these roof installations or super structures must be at a sufficient distance from combustible parts, or these parts must be non-combustible pursuant to § 32(5) MBO</w:t>
      </w:r>
      <w:r w:rsidRPr="0009445C">
        <w:rPr>
          <w:vertAlign w:val="superscript"/>
        </w:rPr>
        <w:t>1</w:t>
      </w:r>
      <w:r w:rsidRPr="0009445C">
        <w:t>. Heat extraction surfaces or smoke and heat extraction devices are considered roof superstructures in accordance with § 32(5) sentence 1 MBO</w:t>
      </w:r>
      <w:r w:rsidRPr="0009445C">
        <w:rPr>
          <w:vertAlign w:val="superscript"/>
        </w:rPr>
        <w:t>1</w:t>
      </w:r>
      <w:r w:rsidRPr="0009445C">
        <w:t>.</w:t>
      </w:r>
    </w:p>
    <w:p w14:paraId="091F0E8E" w14:textId="72DB1599" w:rsidR="007D3F4C" w:rsidRPr="0009445C" w:rsidRDefault="007D3F4C" w:rsidP="007D3F4C">
      <w:pPr>
        <w:pStyle w:val="BRL-Standard"/>
      </w:pPr>
    </w:p>
    <w:p w14:paraId="59D89171" w14:textId="64509236" w:rsidR="00BA10E9" w:rsidRPr="0009445C" w:rsidRDefault="00BA10E9" w:rsidP="007D3F4C">
      <w:pPr>
        <w:pStyle w:val="BRL-Standard"/>
      </w:pPr>
    </w:p>
    <w:p w14:paraId="02060C9E" w14:textId="77777777" w:rsidR="00BA10E9" w:rsidRPr="0009445C" w:rsidRDefault="00BA10E9" w:rsidP="007D3F4C">
      <w:pPr>
        <w:pStyle w:val="BRL-Standard"/>
      </w:pPr>
    </w:p>
    <w:p w14:paraId="077E1377" w14:textId="77777777" w:rsidR="007D3F4C" w:rsidRPr="0009445C" w:rsidRDefault="007D3F4C" w:rsidP="00600F53">
      <w:pPr>
        <w:pStyle w:val="BRL-berschrift"/>
      </w:pPr>
      <w:r w:rsidRPr="0009445C">
        <w:t>A 2.1.10</w:t>
      </w:r>
      <w:r w:rsidRPr="0009445C">
        <w:tab/>
      </w:r>
      <w:r w:rsidRPr="0009445C">
        <w:tab/>
        <w:t>Stairs</w:t>
      </w:r>
    </w:p>
    <w:p w14:paraId="0ABD6059" w14:textId="77777777" w:rsidR="00747C7C" w:rsidRPr="0009445C" w:rsidRDefault="00747C7C" w:rsidP="00747C7C">
      <w:pPr>
        <w:rPr>
          <w:rFonts w:cs="Arial"/>
          <w:szCs w:val="18"/>
        </w:rPr>
      </w:pPr>
      <w:r w:rsidRPr="0009445C">
        <w:t>Depending on the building class, the relevant requirements arise from § 34 MBO</w:t>
      </w:r>
      <w:r w:rsidRPr="0009445C">
        <w:rPr>
          <w:vertAlign w:val="superscript"/>
        </w:rPr>
        <w:t xml:space="preserve"> 1</w:t>
      </w:r>
      <w:r w:rsidRPr="0009445C">
        <w:t>.</w:t>
      </w:r>
    </w:p>
    <w:p w14:paraId="1E25FEF1" w14:textId="77777777" w:rsidR="007D3F4C" w:rsidRPr="0009445C" w:rsidRDefault="007D3F4C" w:rsidP="007D3F4C">
      <w:pPr>
        <w:pStyle w:val="BRL-Standard"/>
      </w:pPr>
      <w:r w:rsidRPr="0009445C">
        <w:t>The load-bearing parts of necessary stairs in buildings in accordance with § 34(4) sentence 1 MBO</w:t>
      </w:r>
      <w:r w:rsidRPr="0009445C">
        <w:rPr>
          <w:vertAlign w:val="superscript"/>
        </w:rPr>
        <w:t>1</w:t>
      </w:r>
      <w:r w:rsidRPr="0009445C">
        <w:t xml:space="preserve"> must be able to withstand the effects as referred to in A 2.1.3.2 to enable effective firefighting operations. </w:t>
      </w:r>
    </w:p>
    <w:p w14:paraId="32B21767" w14:textId="77777777" w:rsidR="007D3F4C" w:rsidRPr="0009445C" w:rsidRDefault="007D3F4C" w:rsidP="007D3F4C">
      <w:pPr>
        <w:pStyle w:val="BRL-Standard"/>
      </w:pPr>
    </w:p>
    <w:p w14:paraId="75389891" w14:textId="77777777" w:rsidR="007D3F4C" w:rsidRPr="0009445C" w:rsidRDefault="007D3F4C" w:rsidP="00600F53">
      <w:pPr>
        <w:pStyle w:val="BRL-berschrift"/>
      </w:pPr>
      <w:r w:rsidRPr="0009445C">
        <w:t>A 2.1.11</w:t>
      </w:r>
      <w:r w:rsidRPr="0009445C">
        <w:tab/>
      </w:r>
      <w:r w:rsidRPr="0009445C">
        <w:tab/>
        <w:t>Necessary stairwells</w:t>
      </w:r>
    </w:p>
    <w:p w14:paraId="1741DDD3" w14:textId="77777777" w:rsidR="00747C7C" w:rsidRPr="0009445C" w:rsidRDefault="00747C7C" w:rsidP="00747C7C">
      <w:pPr>
        <w:rPr>
          <w:szCs w:val="18"/>
        </w:rPr>
      </w:pPr>
      <w:r w:rsidRPr="0009445C">
        <w:t>Depending on the building class, the relevant requirements arise from § 35 MBO</w:t>
      </w:r>
      <w:r w:rsidRPr="0009445C">
        <w:rPr>
          <w:vertAlign w:val="superscript"/>
        </w:rPr>
        <w:t xml:space="preserve"> 1</w:t>
      </w:r>
      <w:r w:rsidRPr="0009445C">
        <w:t>.</w:t>
      </w:r>
    </w:p>
    <w:p w14:paraId="54E7B7E6" w14:textId="77777777" w:rsidR="007D3F4C" w:rsidRPr="0009445C" w:rsidRDefault="007D3F4C" w:rsidP="007D3F4C">
      <w:pPr>
        <w:pStyle w:val="BRL-Standard"/>
      </w:pPr>
      <w:r w:rsidRPr="0009445C">
        <w:t>Sufficiently long use in case of fire according to § 35(1) sentence 2 MBO</w:t>
      </w:r>
      <w:r w:rsidRPr="0009445C">
        <w:rPr>
          <w:vertAlign w:val="superscript"/>
        </w:rPr>
        <w:t>1</w:t>
      </w:r>
      <w:r w:rsidRPr="0009445C">
        <w:t xml:space="preserve"> means that persons present in the building continue to be able to escape until smoke has entered the necessary stairwell. If necessary, stairwells are required, they must have walls and ceilings which are sufficiently long, room-enclosing and stable, because they are also access paths for the fire brigade according to § 35 Section 4 MBO</w:t>
      </w:r>
      <w:r w:rsidRPr="0009445C">
        <w:rPr>
          <w:vertAlign w:val="superscript"/>
        </w:rPr>
        <w:t>1</w:t>
      </w:r>
      <w:r w:rsidRPr="0009445C">
        <w:t xml:space="preserve">. This also applies to required vestibules of emergency stairwells. Necessary stairwells shall, depending on building class, ensure stability and enclosing function in accordance with the requirements of Sections A 2.1.3.2 and A 2.1.3.3. The walls must – where necessary – satisfy the requirements of Section A 2.1.7 for interior firewalls. </w:t>
      </w:r>
    </w:p>
    <w:p w14:paraId="5886E0FF" w14:textId="77777777" w:rsidR="007D3F4C" w:rsidRPr="0009445C" w:rsidRDefault="007D3F4C" w:rsidP="007D3F4C">
      <w:pPr>
        <w:pStyle w:val="BRL-Standard"/>
      </w:pPr>
    </w:p>
    <w:p w14:paraId="49728CCC" w14:textId="00F4A1C4" w:rsidR="007D3F4C" w:rsidRPr="0009445C" w:rsidRDefault="00747C7C" w:rsidP="007D3F4C">
      <w:pPr>
        <w:pStyle w:val="BRL-Standard"/>
      </w:pPr>
      <w:r w:rsidRPr="0009445C">
        <w:t>Conclusion according to § 35(6) sentence 1 No. 1 MBO</w:t>
      </w:r>
      <w:r w:rsidRPr="0009445C">
        <w:rPr>
          <w:vertAlign w:val="superscript"/>
        </w:rPr>
        <w:t xml:space="preserve"> 1</w:t>
      </w:r>
      <w:r w:rsidRPr="0009445C">
        <w:t xml:space="preserve"> of door openings in the walls of necessary stair rooms must be permanently fire-retardant, smoke-proof and self-closing, so that the prevention of fire propagation is not </w:t>
      </w:r>
      <w:r w:rsidRPr="0009445C">
        <w:lastRenderedPageBreak/>
        <w:t>endangered and the passage of smoke in accordance with DIN 18095</w:t>
      </w:r>
      <w:r w:rsidRPr="0009445C">
        <w:noBreakHyphen/>
        <w:t xml:space="preserve"> 2:1991</w:t>
      </w:r>
      <w:r w:rsidRPr="0009445C">
        <w:noBreakHyphen/>
        <w:t xml:space="preserve"> 03 in the stair room is prevented during the period of exposure specified there; the room enclosure must be secured and the criteria of continuous function in accordance with DIN 4102</w:t>
      </w:r>
      <w:r w:rsidRPr="0009445C">
        <w:noBreakHyphen/>
        <w:t>18:1991-03 must be fulfilled. These fire protection closures should be kept closed as intended. The requirements under Section A 2.1.6 also apply. The Technical Rule included in ser. No A 2.2.1.2 must be observed in order to meet these requirements.</w:t>
      </w:r>
    </w:p>
    <w:p w14:paraId="4A90591B" w14:textId="77777777" w:rsidR="007D3F4C" w:rsidRPr="0009445C" w:rsidRDefault="007D3F4C" w:rsidP="007D3F4C">
      <w:pPr>
        <w:pStyle w:val="BRL-Standard"/>
      </w:pPr>
    </w:p>
    <w:p w14:paraId="1EB74956" w14:textId="4CFF0A1F" w:rsidR="007D3F4C" w:rsidRPr="0009445C" w:rsidRDefault="007D3F4C" w:rsidP="007D3F4C">
      <w:pPr>
        <w:pStyle w:val="BRL-Standard"/>
      </w:pPr>
      <w:r w:rsidRPr="0009445C">
        <w:t>Openings in the walls of necessary stairways to necessary corridors shall have permanently smoke-tight and self-closing closures (smoke protection closures) in order to prevent the passage of smoke in accordance with DIN 18095</w:t>
      </w:r>
      <w:r w:rsidRPr="0009445C">
        <w:noBreakHyphen/>
        <w:t xml:space="preserve"> 2:1991</w:t>
      </w:r>
      <w:r w:rsidRPr="0009445C">
        <w:noBreakHyphen/>
        <w:t xml:space="preserve"> 03 into the stair room during the period of exposure specified therein; the room must be securely closed. The smoke barriers must meet the criteria of DIN 18095</w:t>
      </w:r>
      <w:r w:rsidRPr="0009445C">
        <w:noBreakHyphen/>
        <w:t>1:1988</w:t>
      </w:r>
      <w:r w:rsidRPr="0009445C">
        <w:noBreakHyphen/>
        <w:t>12 and the criteria of the permanent function according to DIN 4102</w:t>
      </w:r>
      <w:r w:rsidRPr="0009445C">
        <w:noBreakHyphen/>
        <w:t>18:1991-03. These smoke barriers should be kept closed as intended. They may be kept open if they are fitted with devices which, in the event of exposure to smoke, permanently ensure immediate and safe closing (locking mechanism); in addition, the requirements of A 2.1.6. apply. In order to fulfil the requirements for the barriers, the Technical Rule included in ser. No A 2.2.1.2 must be observed.</w:t>
      </w:r>
    </w:p>
    <w:p w14:paraId="78852AA0" w14:textId="77777777" w:rsidR="007D3F4C" w:rsidRPr="0009445C" w:rsidRDefault="007D3F4C" w:rsidP="007D3F4C">
      <w:pPr>
        <w:pStyle w:val="BRL-Standard"/>
      </w:pPr>
    </w:p>
    <w:p w14:paraId="27C139C8" w14:textId="6F34126A" w:rsidR="007D3F4C" w:rsidRPr="0009445C" w:rsidRDefault="007D3F4C" w:rsidP="007D3F4C">
      <w:pPr>
        <w:pStyle w:val="BRL-Standard"/>
      </w:pPr>
      <w:r w:rsidRPr="0009445C">
        <w:t>Door openings according to § 35(6) sentence 1 No. 3 MBO</w:t>
      </w:r>
      <w:r w:rsidRPr="0009445C">
        <w:rPr>
          <w:vertAlign w:val="superscript"/>
        </w:rPr>
        <w:t xml:space="preserve"> 1</w:t>
      </w:r>
      <w:r w:rsidRPr="0009445C">
        <w:t xml:space="preserve"> must have permanently sealed and self-closing accounts. This requirement is met with structural elements (doors) that ensure sealing when smoke is present in the stairwell, provided there are no pressure differences between the stairwell and the area to be closed off beyond those due to normal climate thermal lift and the smoke has not dropped to the bottom of the door. A door is sealed if it meets the requirements of the Technical Rule referred to in Section 5.4 of ser. No A 2.2.1.2. The doors are permanently self-closing if the permanent function criteria of DIN 4102</w:t>
      </w:r>
      <w:r w:rsidRPr="0009445C">
        <w:noBreakHyphen/>
        <w:t>18:1991</w:t>
      </w:r>
      <w:r w:rsidRPr="0009445C">
        <w:noBreakHyphen/>
        <w:t xml:space="preserve">03 is met. </w:t>
      </w:r>
    </w:p>
    <w:p w14:paraId="3AD278A9" w14:textId="77777777" w:rsidR="007D3F4C" w:rsidRPr="0009445C" w:rsidRDefault="007D3F4C" w:rsidP="007D3F4C">
      <w:pPr>
        <w:pStyle w:val="BRL-Standard"/>
      </w:pPr>
    </w:p>
    <w:p w14:paraId="376BBE6A" w14:textId="77777777" w:rsidR="007D3F4C" w:rsidRPr="0009445C" w:rsidRDefault="007D3F4C" w:rsidP="007D3F4C">
      <w:pPr>
        <w:pStyle w:val="BRL-Standard"/>
      </w:pPr>
      <w:r w:rsidRPr="0009445C">
        <w:t>The space barriers of walls of necessary stairwells or walls of rooms between a necessary stairwell and the exit to the outside is ensured for openings to necessary corridors only if they have smoke-tight and self-closing barriers.</w:t>
      </w:r>
    </w:p>
    <w:p w14:paraId="3B74CC3D" w14:textId="77777777" w:rsidR="007D3F4C" w:rsidRPr="0009445C" w:rsidRDefault="007D3F4C" w:rsidP="007D3F4C">
      <w:pPr>
        <w:pStyle w:val="BRL-Standard"/>
      </w:pPr>
    </w:p>
    <w:p w14:paraId="0ACC10F0" w14:textId="77777777" w:rsidR="007D3F4C" w:rsidRPr="0009445C" w:rsidRDefault="007D3F4C" w:rsidP="00600F53">
      <w:pPr>
        <w:pStyle w:val="BRL-berschrift"/>
      </w:pPr>
      <w:r w:rsidRPr="0009445C">
        <w:t>A 2.1.12</w:t>
      </w:r>
      <w:r w:rsidRPr="0009445C">
        <w:tab/>
      </w:r>
      <w:r w:rsidRPr="0009445C">
        <w:tab/>
        <w:t>Required corridors and open corridors</w:t>
      </w:r>
    </w:p>
    <w:p w14:paraId="51B27352" w14:textId="77777777" w:rsidR="00747C7C" w:rsidRPr="0009445C" w:rsidRDefault="00747C7C" w:rsidP="00747C7C">
      <w:pPr>
        <w:rPr>
          <w:rFonts w:cs="Arial"/>
          <w:szCs w:val="18"/>
        </w:rPr>
      </w:pPr>
      <w:r w:rsidRPr="0009445C">
        <w:t>Depending on the building class, the relevant requirements arise from § 36 MBO</w:t>
      </w:r>
      <w:r w:rsidRPr="0009445C">
        <w:rPr>
          <w:vertAlign w:val="superscript"/>
        </w:rPr>
        <w:t xml:space="preserve"> 1</w:t>
      </w:r>
      <w:r w:rsidRPr="0009445C">
        <w:t>.</w:t>
      </w:r>
    </w:p>
    <w:p w14:paraId="2D65BD0D" w14:textId="77777777" w:rsidR="007D3F4C" w:rsidRPr="0009445C" w:rsidRDefault="007D3F4C" w:rsidP="007D3F4C">
      <w:pPr>
        <w:pStyle w:val="BRL-Standard"/>
      </w:pPr>
      <w:r w:rsidRPr="0009445C">
        <w:t>Taking into account the protection objective according to § 36(1) MBO</w:t>
      </w:r>
      <w:r w:rsidRPr="0009445C">
        <w:rPr>
          <w:vertAlign w:val="superscript"/>
        </w:rPr>
        <w:t>1</w:t>
      </w:r>
      <w:r w:rsidRPr="0009445C">
        <w:t>, the walls of required corridors should have only such door openings as are necessary for their use. The doors must close tightly as per § 36(4) sentence 4 MBO</w:t>
      </w:r>
      <w:r w:rsidRPr="0009445C">
        <w:rPr>
          <w:vertAlign w:val="superscript"/>
        </w:rPr>
        <w:t>1</w:t>
      </w:r>
      <w:r w:rsidRPr="0009445C">
        <w:t xml:space="preserve"> through constructive measures on the doors to hinder the entry of smoke over a specific period of time in case of fire in a unit or an adjoining unit. This requirement is considered sufficient, because it is assumed that such non-self-closing doors will be kept closed. Doors are deemed to close tightly if the requirements for the construction of the door leaf and the seal according to Section 2.1.11 are met. </w:t>
      </w:r>
    </w:p>
    <w:p w14:paraId="33126754" w14:textId="77777777" w:rsidR="007D3F4C" w:rsidRPr="0009445C" w:rsidRDefault="007D3F4C" w:rsidP="007D3F4C">
      <w:pPr>
        <w:pStyle w:val="BRL-Standard"/>
      </w:pPr>
    </w:p>
    <w:p w14:paraId="6412BF8E" w14:textId="77777777" w:rsidR="007D3F4C" w:rsidRPr="0009445C" w:rsidRDefault="007D3F4C" w:rsidP="007D3F4C">
      <w:pPr>
        <w:pStyle w:val="BRL-Standard"/>
      </w:pPr>
      <w:r w:rsidRPr="0009445C">
        <w:t xml:space="preserve">For open doors or doors closed after burn-through, the spread of fire must be inhibited on the ceiling and wall surfaces of the necessary corridor so as not to hamper rescue and firefighting measures. In the event that the ceilings and walls are made of combustible building materials, cladding made of non-combustible building materials of sufficient thickness is required, e.g. in the form of a 12.5 mm thick plasterboard. </w:t>
      </w:r>
    </w:p>
    <w:p w14:paraId="3E4B93B6" w14:textId="77777777" w:rsidR="007D3F4C" w:rsidRPr="0009445C" w:rsidRDefault="007D3F4C" w:rsidP="007D3F4C">
      <w:pPr>
        <w:pStyle w:val="BRL-Standard"/>
      </w:pPr>
    </w:p>
    <w:p w14:paraId="746E80E2" w14:textId="707E1F85" w:rsidR="007D3F4C" w:rsidRPr="0009445C" w:rsidRDefault="007D3F4C" w:rsidP="007D3F4C">
      <w:pPr>
        <w:pStyle w:val="BRL-Standard"/>
      </w:pPr>
      <w:r w:rsidRPr="0009445C">
        <w:t>If walls of necessary corridors are to be designed as fire-resistant glazing, the requirements for fire-resistant glazing are met if a during a fire pursuant to DIN 4102</w:t>
      </w:r>
      <w:r w:rsidRPr="0009445C">
        <w:noBreakHyphen/>
        <w:t>13:1990</w:t>
      </w:r>
      <w:r w:rsidRPr="0009445C">
        <w:noBreakHyphen/>
        <w:t>05, Section 6.1, the spread of fire and smoke and the passage of heat radiation is prevented over the minimum period of time and the criteria pursuant to DIN 4102-13:1990-05 are satisfied. Notwithstanding § 36(4) sentence 4 MBO</w:t>
      </w:r>
      <w:r w:rsidRPr="0009445C">
        <w:rPr>
          <w:vertAlign w:val="superscript"/>
        </w:rPr>
        <w:t>1</w:t>
      </w:r>
      <w:r w:rsidRPr="0009445C">
        <w:t>, in order to ensure the space barrier of fire-resistant glazing, the doors of the fire-resistant glazing must be smoke-tight and self-closing and correspond to the fire resistance of the fire-resistant glazing.</w:t>
      </w:r>
    </w:p>
    <w:p w14:paraId="4E536127" w14:textId="77777777" w:rsidR="007D3F4C" w:rsidRPr="0009445C" w:rsidRDefault="007D3F4C" w:rsidP="007D3F4C">
      <w:pPr>
        <w:pStyle w:val="BRL-Standard"/>
      </w:pPr>
    </w:p>
    <w:p w14:paraId="6FC2E32A" w14:textId="3652B12A" w:rsidR="007D3F4C" w:rsidRPr="0009445C" w:rsidRDefault="007D3F4C" w:rsidP="007D3F4C">
      <w:pPr>
        <w:pStyle w:val="BRL-Standard"/>
      </w:pPr>
      <w:r w:rsidRPr="0009445C">
        <w:t>Smoke protection closures within necessary hallways according to § 36(3) MBO</w:t>
      </w:r>
      <w:r w:rsidRPr="0009445C">
        <w:rPr>
          <w:vertAlign w:val="superscript"/>
        </w:rPr>
        <w:t xml:space="preserve"> 1</w:t>
      </w:r>
      <w:r w:rsidRPr="0009445C">
        <w:t xml:space="preserve"> may be executed high and in corridor width and have fixed side panels and skylights.</w:t>
      </w:r>
    </w:p>
    <w:p w14:paraId="2291C5D6" w14:textId="77777777" w:rsidR="007D3F4C" w:rsidRPr="0009445C" w:rsidRDefault="007D3F4C" w:rsidP="007D3F4C">
      <w:pPr>
        <w:pStyle w:val="BRL-Standard"/>
      </w:pPr>
    </w:p>
    <w:p w14:paraId="4D5F54B8" w14:textId="77777777" w:rsidR="00A12B60" w:rsidRPr="0009445C" w:rsidRDefault="00A12B60" w:rsidP="00A12B60">
      <w:r w:rsidRPr="0009445C">
        <w:t>In addition, the requirements of Section A 2.1.6 and A 2.1.11 apply in the case of fire and smoke protection seals, also with regard to the keeping of these smoke protection seals.</w:t>
      </w:r>
    </w:p>
    <w:p w14:paraId="5D41F69A" w14:textId="77777777" w:rsidR="00A12B60" w:rsidRPr="0009445C" w:rsidRDefault="00A12B60" w:rsidP="00A12B60">
      <w:pPr>
        <w:pStyle w:val="BRL-Standard"/>
      </w:pPr>
      <w:r w:rsidRPr="0009445C">
        <w:t>The Technical Rule included in ser. No A 2.2.1.2 must be observed in order to meet these requirements.</w:t>
      </w:r>
    </w:p>
    <w:p w14:paraId="469E5107" w14:textId="77777777" w:rsidR="00A12B60" w:rsidRPr="0009445C" w:rsidRDefault="00A12B60" w:rsidP="007D3F4C">
      <w:pPr>
        <w:pStyle w:val="BRL-Standard"/>
      </w:pPr>
    </w:p>
    <w:p w14:paraId="429766A4" w14:textId="77777777" w:rsidR="007D3F4C" w:rsidRPr="0009445C" w:rsidRDefault="007D3F4C" w:rsidP="00600F53">
      <w:pPr>
        <w:pStyle w:val="BRL-berschrift"/>
      </w:pPr>
      <w:r w:rsidRPr="0009445C">
        <w:t>A 2.1.13</w:t>
      </w:r>
      <w:r w:rsidRPr="0009445C">
        <w:tab/>
      </w:r>
      <w:r w:rsidRPr="0009445C">
        <w:tab/>
        <w:t>Shaft walls and landing doors for lifts</w:t>
      </w:r>
    </w:p>
    <w:p w14:paraId="45496709" w14:textId="77777777" w:rsidR="00A12B60" w:rsidRPr="0009445C" w:rsidRDefault="00A12B60" w:rsidP="00A12B60">
      <w:pPr>
        <w:rPr>
          <w:rFonts w:cs="Arial"/>
          <w:szCs w:val="18"/>
        </w:rPr>
      </w:pPr>
      <w:r w:rsidRPr="0009445C">
        <w:t>Depending on the building class, the relevant requirements arise from § 39 MBO</w:t>
      </w:r>
      <w:r w:rsidRPr="0009445C">
        <w:rPr>
          <w:vertAlign w:val="superscript"/>
        </w:rPr>
        <w:t xml:space="preserve"> 1</w:t>
      </w:r>
      <w:r w:rsidRPr="0009445C">
        <w:t>.</w:t>
      </w:r>
    </w:p>
    <w:p w14:paraId="2C02ACB9" w14:textId="5E4B3A6F" w:rsidR="007D3F4C" w:rsidRPr="0009445C" w:rsidRDefault="007D3F4C" w:rsidP="007D3F4C">
      <w:pPr>
        <w:pStyle w:val="BRL-Standard"/>
      </w:pPr>
      <w:r w:rsidRPr="0009445C">
        <w:t xml:space="preserve">To achieve the protection objectives, in the event of fire the lift shaft walls must ensure the space barrier for a sufficient period of time, remain stable where necessary and meet the requirements of Sections A 2.1.3.2 and A 2.1.3.3. Shaft walls made of combustible building materials shall have cladding made of non-combustible building </w:t>
      </w:r>
      <w:r w:rsidRPr="0009445C">
        <w:lastRenderedPageBreak/>
        <w:t>materials of sufficient thickness (e.g. in the form of a 12.5 mm thick plasterboard) on the shaft side so that fire does not propagate in case of open landing doors or after closed doors on the surfaces of the shaft walls have been burned through.</w:t>
      </w:r>
    </w:p>
    <w:p w14:paraId="7DA8F09F" w14:textId="77777777" w:rsidR="007D3F4C" w:rsidRPr="0009445C" w:rsidRDefault="007D3F4C" w:rsidP="007D3F4C">
      <w:pPr>
        <w:pStyle w:val="BRL-Standard"/>
      </w:pPr>
    </w:p>
    <w:p w14:paraId="55240589" w14:textId="77777777" w:rsidR="007D3F4C" w:rsidRPr="0009445C" w:rsidRDefault="007D3F4C" w:rsidP="007D3F4C">
      <w:pPr>
        <w:pStyle w:val="BRL-Standard"/>
      </w:pPr>
      <w:r w:rsidRPr="0009445C">
        <w:t>Lift doors must essentially consist of non-combustible building materials to fulfil the protection objective according to § 39(1) MBO</w:t>
      </w:r>
      <w:r w:rsidRPr="0009445C">
        <w:rPr>
          <w:vertAlign w:val="superscript"/>
        </w:rPr>
        <w:t>1</w:t>
      </w:r>
      <w:r w:rsidRPr="0009445C">
        <w:t xml:space="preserve"> and the requirements of § 39(2) sentence 2 MBO</w:t>
      </w:r>
      <w:r w:rsidRPr="0009445C">
        <w:rPr>
          <w:vertAlign w:val="superscript"/>
        </w:rPr>
        <w:t>1</w:t>
      </w:r>
      <w:r w:rsidRPr="0009445C">
        <w:t xml:space="preserve">. </w:t>
      </w:r>
    </w:p>
    <w:p w14:paraId="61F549AF" w14:textId="77777777" w:rsidR="007D3F4C" w:rsidRPr="0009445C" w:rsidRDefault="007D3F4C" w:rsidP="007D3F4C">
      <w:pPr>
        <w:spacing w:line="240" w:lineRule="auto"/>
      </w:pPr>
    </w:p>
    <w:p w14:paraId="1A18B484" w14:textId="77777777" w:rsidR="007D3F4C" w:rsidRPr="0009445C" w:rsidRDefault="007D3F4C" w:rsidP="007D3F4C">
      <w:pPr>
        <w:pStyle w:val="BRL-Standard"/>
      </w:pPr>
      <w:r w:rsidRPr="0009445C">
        <w:t>The Technical Rule included in ser. No A 2.2.1.2 must be observed in order to meet these requirements.</w:t>
      </w:r>
    </w:p>
    <w:p w14:paraId="40D1DBAF" w14:textId="77777777" w:rsidR="007D3F4C" w:rsidRPr="0009445C" w:rsidRDefault="007D3F4C" w:rsidP="007D3F4C">
      <w:pPr>
        <w:pStyle w:val="BRL-Standard"/>
      </w:pPr>
    </w:p>
    <w:p w14:paraId="4DE59719" w14:textId="77777777" w:rsidR="007D3F4C" w:rsidRPr="0009445C" w:rsidRDefault="007D3F4C" w:rsidP="00600F53">
      <w:pPr>
        <w:pStyle w:val="BRL-berschrift"/>
      </w:pPr>
      <w:r w:rsidRPr="0009445C">
        <w:t>A 2.1.14</w:t>
      </w:r>
      <w:r w:rsidRPr="0009445C">
        <w:tab/>
      </w:r>
      <w:r w:rsidRPr="0009445C">
        <w:tab/>
        <w:t>Service shafts and ducts, system floors and electrical service areas</w:t>
      </w:r>
    </w:p>
    <w:p w14:paraId="7BE281B4" w14:textId="77777777" w:rsidR="007D3F4C" w:rsidRPr="0009445C" w:rsidRDefault="007D3F4C" w:rsidP="007D3F4C">
      <w:pPr>
        <w:pStyle w:val="BRL-Standard"/>
      </w:pPr>
      <w:r w:rsidRPr="0009445C">
        <w:t>In buildings, service shafts and ducts as per § 40 MBO</w:t>
      </w:r>
      <w:r w:rsidRPr="0009445C">
        <w:rPr>
          <w:vertAlign w:val="superscript"/>
        </w:rPr>
        <w:t>1</w:t>
      </w:r>
      <w:r w:rsidRPr="0009445C">
        <w:t xml:space="preserve"> may only pass through space-enclosing structural elements with a specified fire resistance requirement if there is no risk of the spread of fire for a sufficient period of time or if appropriate precautions have been taken to counteract it, and there are no more or larger openings than necessary. The Technical Rule included in ser. No A 2.2.1.2 must be observed in order to meet these requirements.</w:t>
      </w:r>
    </w:p>
    <w:p w14:paraId="3B96DE9C" w14:textId="77777777" w:rsidR="007D3F4C" w:rsidRPr="0009445C" w:rsidRDefault="007D3F4C" w:rsidP="007D3F4C">
      <w:pPr>
        <w:pStyle w:val="BRL-Standard"/>
      </w:pPr>
    </w:p>
    <w:p w14:paraId="25E6E934" w14:textId="070DA9D1" w:rsidR="007D3F4C" w:rsidRPr="0009445C" w:rsidRDefault="007D3F4C" w:rsidP="007D3F4C">
      <w:pPr>
        <w:pStyle w:val="BRL-Standard"/>
      </w:pPr>
      <w:r w:rsidRPr="0009445C">
        <w:t xml:space="preserve">Where installations pass through cavities of system floors in buildings, the Technical Rule under ser. No A 2.2.1.9 must be observed; regardless of actual traffic loads, a traffic load of at least 1.5 </w:t>
      </w:r>
      <w:proofErr w:type="spellStart"/>
      <w:r w:rsidRPr="0009445C">
        <w:t>kN</w:t>
      </w:r>
      <w:proofErr w:type="spellEnd"/>
      <w:r w:rsidRPr="0009445C">
        <w:t xml:space="preserve">/m </w:t>
      </w:r>
      <w:r w:rsidRPr="0009445C">
        <w:rPr>
          <w:vertAlign w:val="superscript"/>
        </w:rPr>
        <w:t>2</w:t>
      </w:r>
      <w:r w:rsidRPr="0009445C">
        <w:t xml:space="preserve"> shall be taken into account in the design of the fire resistance period in the case of raised floors. For fire tests, a traffic load of 1.5 </w:t>
      </w:r>
      <w:proofErr w:type="spellStart"/>
      <w:r w:rsidRPr="0009445C">
        <w:t>kN</w:t>
      </w:r>
      <w:proofErr w:type="spellEnd"/>
      <w:r w:rsidRPr="0009445C">
        <w:t>/m² must also be taken into account. The Technical Rule included in ser. No A 2.2.1.2 must be observed in order to meet these requirements.</w:t>
      </w:r>
    </w:p>
    <w:p w14:paraId="268D4443" w14:textId="77777777" w:rsidR="007D3F4C" w:rsidRPr="0009445C" w:rsidRDefault="007D3F4C" w:rsidP="007D3F4C">
      <w:pPr>
        <w:pStyle w:val="BRL-Standard"/>
      </w:pPr>
    </w:p>
    <w:p w14:paraId="1480860D" w14:textId="761F6D3D" w:rsidR="007D3F4C" w:rsidRPr="0009445C" w:rsidRDefault="007D3F4C" w:rsidP="007D3F4C">
      <w:pPr>
        <w:pStyle w:val="BRL-Standard"/>
      </w:pPr>
      <w:r w:rsidRPr="0009445C">
        <w:t>To protect other areas from fire from electrical service areas for transformers or switchgears, the Technical Rule under ser. No A 2.2.1.10 must be observed.</w:t>
      </w:r>
    </w:p>
    <w:p w14:paraId="21A34DAF" w14:textId="77777777" w:rsidR="007D3F4C" w:rsidRPr="0009445C" w:rsidRDefault="007D3F4C" w:rsidP="00600F53">
      <w:pPr>
        <w:pStyle w:val="BRL-berschrift"/>
      </w:pPr>
    </w:p>
    <w:p w14:paraId="10E7E574" w14:textId="77777777" w:rsidR="007D3F4C" w:rsidRPr="0009445C" w:rsidRDefault="007D3F4C" w:rsidP="00600F53">
      <w:pPr>
        <w:pStyle w:val="BRL-berschrift"/>
      </w:pPr>
      <w:r w:rsidRPr="0009445C">
        <w:t>A 2.1.15</w:t>
      </w:r>
      <w:r w:rsidRPr="0009445C">
        <w:tab/>
      </w:r>
      <w:r w:rsidRPr="0009445C">
        <w:tab/>
        <w:t>Installations and construction products of technical building equipment</w:t>
      </w:r>
    </w:p>
    <w:p w14:paraId="2B5A536E" w14:textId="77777777" w:rsidR="007D3F4C" w:rsidRPr="0009445C" w:rsidRDefault="007D3F4C" w:rsidP="00600F53">
      <w:pPr>
        <w:pStyle w:val="BRL-berschrift"/>
      </w:pPr>
      <w:r w:rsidRPr="0009445C">
        <w:t>A 2.1.15.1</w:t>
      </w:r>
      <w:r w:rsidRPr="0009445C">
        <w:tab/>
        <w:t>General information</w:t>
      </w:r>
    </w:p>
    <w:p w14:paraId="433F76F5" w14:textId="5D44801D" w:rsidR="007D3F4C" w:rsidRPr="0009445C" w:rsidRDefault="007D3F4C" w:rsidP="007D3F4C">
      <w:pPr>
        <w:autoSpaceDE w:val="0"/>
        <w:autoSpaceDN w:val="0"/>
        <w:adjustRightInd w:val="0"/>
      </w:pPr>
      <w:r w:rsidRPr="0009445C">
        <w:t>The building approval requirements of the MBO</w:t>
      </w:r>
      <w:r w:rsidRPr="0009445C">
        <w:rPr>
          <w:vertAlign w:val="superscript"/>
        </w:rPr>
        <w:t>1</w:t>
      </w:r>
      <w:r w:rsidRPr="0009445C">
        <w:t>, the M-</w:t>
      </w:r>
      <w:proofErr w:type="spellStart"/>
      <w:r w:rsidRPr="0009445C">
        <w:t>GarVO</w:t>
      </w:r>
      <w:proofErr w:type="spellEnd"/>
      <w:r w:rsidRPr="0009445C">
        <w:t xml:space="preserve"> and special construction regulations</w:t>
      </w:r>
      <w:r w:rsidRPr="0009445C">
        <w:rPr>
          <w:vertAlign w:val="superscript"/>
        </w:rPr>
        <w:t xml:space="preserve"> 1</w:t>
      </w:r>
      <w:r w:rsidRPr="0009445C">
        <w:t xml:space="preserve"> due to the MBO</w:t>
      </w:r>
      <w:r w:rsidRPr="0009445C">
        <w:rPr>
          <w:vertAlign w:val="superscript"/>
        </w:rPr>
        <w:t xml:space="preserve"> 1</w:t>
      </w:r>
      <w:r w:rsidRPr="0009445C">
        <w:t xml:space="preserve"> to the installations and construction products of the technical building equipment are specified by the technical rules referred to in serial numbers A 2.2.1.8, A 2.2.1.9, A 2.2.1.10, A 2.2.1.11, A 2.2.1.12 and A 2.2.1.16. In order to fulfil the requirements, the Technical Rule under ser. No A 2.2.1.2 must also be observed.</w:t>
      </w:r>
    </w:p>
    <w:p w14:paraId="74C3603B" w14:textId="77777777" w:rsidR="007D3F4C" w:rsidRPr="0009445C" w:rsidRDefault="007D3F4C" w:rsidP="007D3F4C">
      <w:pPr>
        <w:pStyle w:val="BRL-Standard"/>
      </w:pPr>
      <w:bookmarkStart w:id="4" w:name="_Hlk87518409"/>
      <w:r w:rsidRPr="0009445C">
        <w:t>Otherwise, the requirements of the following numbers A 2.1.15.2 to 2.1.15.6 must also be observed.</w:t>
      </w:r>
    </w:p>
    <w:bookmarkEnd w:id="4"/>
    <w:p w14:paraId="064F9F5D" w14:textId="77777777" w:rsidR="007D3F4C" w:rsidRPr="0009445C" w:rsidRDefault="007D3F4C" w:rsidP="007D3F4C">
      <w:pPr>
        <w:pStyle w:val="BRL-Standard"/>
      </w:pPr>
    </w:p>
    <w:p w14:paraId="37A163DD" w14:textId="77777777" w:rsidR="007D3F4C" w:rsidRPr="0009445C" w:rsidRDefault="007D3F4C" w:rsidP="00600F53">
      <w:pPr>
        <w:pStyle w:val="BRL-berschrift"/>
      </w:pPr>
      <w:r w:rsidRPr="0009445C">
        <w:t xml:space="preserve">A 2.1.15.2 </w:t>
      </w:r>
      <w:r w:rsidRPr="0009445C">
        <w:tab/>
        <w:t>Lightning protection systems</w:t>
      </w:r>
    </w:p>
    <w:p w14:paraId="4580EE26" w14:textId="77777777" w:rsidR="007D3F4C" w:rsidRPr="0009445C" w:rsidRDefault="007D3F4C" w:rsidP="007D3F4C">
      <w:pPr>
        <w:pStyle w:val="BRL-Standard"/>
      </w:pPr>
      <w:r w:rsidRPr="0009445C">
        <w:t>Lightning protection systems pursuant to § 46 MBO</w:t>
      </w:r>
      <w:r w:rsidRPr="0009445C">
        <w:rPr>
          <w:vertAlign w:val="superscript"/>
        </w:rPr>
        <w:t>1</w:t>
      </w:r>
      <w:r w:rsidRPr="0009445C">
        <w:t xml:space="preserve"> should prevent the emergence of fire in and on the building structure and prevent the endangerment of people through lightning strikes (exterior lightning protection).</w:t>
      </w:r>
    </w:p>
    <w:p w14:paraId="7E3D11F9" w14:textId="77777777" w:rsidR="007D3F4C" w:rsidRPr="0009445C" w:rsidRDefault="007D3F4C" w:rsidP="007D3F4C">
      <w:pPr>
        <w:pStyle w:val="BRL-Standard"/>
      </w:pPr>
    </w:p>
    <w:p w14:paraId="07E78C6D" w14:textId="77777777" w:rsidR="007D3F4C" w:rsidRPr="0009445C" w:rsidRDefault="007D3F4C" w:rsidP="007D3F4C">
      <w:pPr>
        <w:pStyle w:val="BRL-Standard"/>
      </w:pPr>
      <w:r w:rsidRPr="0009445C">
        <w:t xml:space="preserve">Where technical safety devices and systems are present, they must protect against the effects of lightning currents and voltages on installations and on electrical and electronic parts of the other devices and systems in the building structure in case of a direct or indirect lightning strike (additional interior lightning protection). </w:t>
      </w:r>
    </w:p>
    <w:p w14:paraId="5902D497" w14:textId="77777777" w:rsidR="007D3F4C" w:rsidRPr="0009445C" w:rsidRDefault="007D3F4C" w:rsidP="007D3F4C">
      <w:pPr>
        <w:pStyle w:val="BRL-Standard"/>
      </w:pPr>
    </w:p>
    <w:p w14:paraId="5CA27806" w14:textId="77777777" w:rsidR="007D3F4C" w:rsidRPr="0009445C" w:rsidRDefault="007D3F4C" w:rsidP="007D3F4C">
      <w:pPr>
        <w:pStyle w:val="BRL-Standard"/>
      </w:pPr>
      <w:r w:rsidRPr="0009445C">
        <w:t>To this end, measures must be taken against overvoltage and dangerous spark formation.</w:t>
      </w:r>
    </w:p>
    <w:p w14:paraId="5FE36FD8" w14:textId="77777777" w:rsidR="007D3F4C" w:rsidRPr="0009445C" w:rsidRDefault="007D3F4C" w:rsidP="007D3F4C">
      <w:pPr>
        <w:pStyle w:val="BRL-Standard"/>
      </w:pPr>
    </w:p>
    <w:p w14:paraId="3346A05D" w14:textId="77777777" w:rsidR="007D3F4C" w:rsidRPr="0009445C" w:rsidRDefault="007D3F4C" w:rsidP="00600F53">
      <w:pPr>
        <w:pStyle w:val="BRL-berschrift"/>
      </w:pPr>
      <w:r w:rsidRPr="0009445C">
        <w:t>A 2.1.15.3</w:t>
      </w:r>
      <w:r w:rsidRPr="0009445C">
        <w:tab/>
        <w:t>Fire control system for lifts</w:t>
      </w:r>
    </w:p>
    <w:p w14:paraId="3782E308" w14:textId="77777777" w:rsidR="007D3F4C" w:rsidRPr="0009445C" w:rsidRDefault="007D3F4C" w:rsidP="007D3F4C">
      <w:pPr>
        <w:pStyle w:val="BRL-Standard"/>
      </w:pPr>
      <w:r w:rsidRPr="0009445C">
        <w:t>The fire control system must ensure that lifts immediately go to a storey with exits to the outside, or the next higher or lower storey that is not affected by the fire and shut down there with the doors open.</w:t>
      </w:r>
    </w:p>
    <w:p w14:paraId="334C7C2E" w14:textId="77777777" w:rsidR="007D3F4C" w:rsidRPr="0009445C" w:rsidRDefault="007D3F4C" w:rsidP="007D3F4C">
      <w:pPr>
        <w:pStyle w:val="BRL-Standard"/>
      </w:pPr>
    </w:p>
    <w:p w14:paraId="1844B520" w14:textId="77777777" w:rsidR="007D3F4C" w:rsidRPr="0009445C" w:rsidRDefault="007D3F4C" w:rsidP="007D3F4C">
      <w:pPr>
        <w:pStyle w:val="BRL-Standard"/>
      </w:pPr>
      <w:r w:rsidRPr="0009445C">
        <w:t>Fire control systems shall consist at least of automatic fire detectors for fire detection on each storey, the automatic alarm transmission devices of the fire alarm and the evaluation and control system for the lift. The fire control system may also be automatically activated by an automatic fire alarm system.</w:t>
      </w:r>
    </w:p>
    <w:p w14:paraId="1EE539E2" w14:textId="77777777" w:rsidR="007D3F4C" w:rsidRPr="0009445C" w:rsidRDefault="007D3F4C" w:rsidP="007D3F4C">
      <w:pPr>
        <w:pStyle w:val="BRL-Standard"/>
      </w:pPr>
    </w:p>
    <w:p w14:paraId="5AEA61DA" w14:textId="77777777" w:rsidR="007D3F4C" w:rsidRPr="0009445C" w:rsidRDefault="007D3F4C" w:rsidP="00600F53">
      <w:pPr>
        <w:pStyle w:val="BRL-berschrift"/>
      </w:pPr>
      <w:r w:rsidRPr="0009445C">
        <w:t>A 2.1.15.4</w:t>
      </w:r>
      <w:r w:rsidRPr="0009445C">
        <w:tab/>
        <w:t>Heat extraction devices</w:t>
      </w:r>
    </w:p>
    <w:p w14:paraId="6CB8BE5C" w14:textId="77777777" w:rsidR="007D3F4C" w:rsidRPr="0009445C" w:rsidRDefault="007D3F4C" w:rsidP="007D3F4C">
      <w:pPr>
        <w:pStyle w:val="BRL-Standard"/>
      </w:pPr>
      <w:r w:rsidRPr="0009445C">
        <w:t xml:space="preserve">Where heat extraction devices are required, fire propagation should be counteracted in view of a full fire in certain areas of a structural installation in order to prevent the ignition of combustible parts of the structural installation outside the actual fire area by means of combustion gases. For existing structural elements in the fire area, thermal </w:t>
      </w:r>
      <w:r w:rsidRPr="0009445C">
        <w:lastRenderedPageBreak/>
        <w:t>effects must be reduced so that stability or the space barrier remains intact in case of fire. This can also support effective extinguishing work.</w:t>
      </w:r>
    </w:p>
    <w:p w14:paraId="066BCB48" w14:textId="77777777" w:rsidR="007D3F4C" w:rsidRPr="0009445C" w:rsidRDefault="007D3F4C" w:rsidP="007D3F4C">
      <w:pPr>
        <w:pStyle w:val="BRL-Standard"/>
      </w:pPr>
    </w:p>
    <w:p w14:paraId="7062465F" w14:textId="77777777" w:rsidR="007D3F4C" w:rsidRPr="0009445C" w:rsidRDefault="007D3F4C" w:rsidP="007D3F4C">
      <w:pPr>
        <w:pStyle w:val="BRL-Standard"/>
      </w:pPr>
      <w:r w:rsidRPr="0009445C">
        <w:t>Requisite heat extraction devices must be chosen and used depending on their location in the building structure, the prescribed geometric dimensions, the requisite geometric opening area and the location of the building structure in respect of functionality and the effects, inter alia, wind, snow and of ambient temperatures. Electrically operated heat extraction devices require a safety power supply.</w:t>
      </w:r>
    </w:p>
    <w:p w14:paraId="053293B7" w14:textId="77777777" w:rsidR="007D3F4C" w:rsidRPr="0009445C" w:rsidRDefault="007D3F4C" w:rsidP="007D3F4C">
      <w:pPr>
        <w:pStyle w:val="BRL-Standard"/>
      </w:pPr>
    </w:p>
    <w:p w14:paraId="005987DC" w14:textId="77777777" w:rsidR="007D3F4C" w:rsidRPr="0009445C" w:rsidRDefault="007D3F4C" w:rsidP="007D3F4C">
      <w:pPr>
        <w:pStyle w:val="BRL-Standard"/>
      </w:pPr>
      <w:r w:rsidRPr="0009445C">
        <w:t>This must be shown in the fire protection certificate. Their use is subject to the Technical Rule included in ser. No A 2.2.1.2 with the performance requirements specified therein. All necessary data on the position of the heat extraction devices must be stated in the fire protection certificate.</w:t>
      </w:r>
    </w:p>
    <w:p w14:paraId="05BDB521" w14:textId="77777777" w:rsidR="007D3F4C" w:rsidRPr="0009445C" w:rsidRDefault="007D3F4C" w:rsidP="007D3F4C">
      <w:pPr>
        <w:pStyle w:val="BRL-Standard"/>
      </w:pPr>
    </w:p>
    <w:p w14:paraId="59DA5AED" w14:textId="77777777" w:rsidR="007D3F4C" w:rsidRPr="0009445C" w:rsidRDefault="007D3F4C" w:rsidP="00600F53">
      <w:pPr>
        <w:pStyle w:val="BRL-berschrift"/>
      </w:pPr>
      <w:r w:rsidRPr="0009445C">
        <w:t>A 2.1.15.5</w:t>
      </w:r>
      <w:r w:rsidRPr="0009445C">
        <w:tab/>
        <w:t xml:space="preserve">Firefighter lifts </w:t>
      </w:r>
    </w:p>
    <w:p w14:paraId="28DF1731" w14:textId="77777777" w:rsidR="007D3F4C" w:rsidRPr="0009445C" w:rsidRDefault="007D3F4C" w:rsidP="007D3F4C">
      <w:pPr>
        <w:pStyle w:val="BRL-Standard"/>
      </w:pPr>
      <w:r w:rsidRPr="0009445C">
        <w:t xml:space="preserve">Firefighter lifts are used in particular in exceedingly high buildings to support effective firefighting operations. Firefighter lifts must remain usable by the fire brigade in case of fire. </w:t>
      </w:r>
    </w:p>
    <w:p w14:paraId="11898560" w14:textId="77777777" w:rsidR="007D3F4C" w:rsidRPr="0009445C" w:rsidRDefault="007D3F4C" w:rsidP="007D3F4C">
      <w:pPr>
        <w:pStyle w:val="BRL-Standard"/>
      </w:pPr>
    </w:p>
    <w:p w14:paraId="63CE6DCB" w14:textId="77777777" w:rsidR="007D3F4C" w:rsidRPr="0009445C" w:rsidRDefault="007D3F4C" w:rsidP="007D3F4C">
      <w:pPr>
        <w:pStyle w:val="BRL-Standard"/>
      </w:pPr>
      <w:r w:rsidRPr="0009445C">
        <w:t xml:space="preserve">Therefore, no other lifts may be arranged in the driving shafts of firefighter lifts. Firefighter lift shafts together with landing doors must remain safely operable for a sufficient length of time in case of fire, in accordance with A 2.1.13. Only the necessary technical equipment and systems required to operate the firefighter lift may be located in lift shafts. Firefighter lifts may only be accessible via a vestibule. The walls and ceilings of the vestibule must remain enclosed and non-combustible for a sufficient length of time in case of fire. The barriers to necessary openings in vestibules must remain enclosed and smoke-proof for a sufficient length of time. The vestibules may only be accessible via necessary corridors. To avoid the lift shafts being affected by smoke, the vestibules and lift shafts must be kept free of smoke in case of fire using pressure ventilation systems. Firefighter lifts must have automatic fire detection devices which can be used to shut down lifts outside the fire area in case of fire (fire-mode control system) and can only be started up again by the fire service (fire service circuit). The triggering of the fire-mode control system is also permitted by an automatic fire alarm system. </w:t>
      </w:r>
    </w:p>
    <w:p w14:paraId="0156EE40" w14:textId="77777777" w:rsidR="007D3F4C" w:rsidRPr="0009445C" w:rsidRDefault="007D3F4C" w:rsidP="007D3F4C">
      <w:pPr>
        <w:pStyle w:val="BRL-Standard"/>
      </w:pPr>
    </w:p>
    <w:p w14:paraId="7EFEB722" w14:textId="77777777" w:rsidR="007D3F4C" w:rsidRPr="0009445C" w:rsidRDefault="007D3F4C" w:rsidP="007D3F4C">
      <w:pPr>
        <w:pStyle w:val="BRL-Standard"/>
      </w:pPr>
      <w:r w:rsidRPr="0009445C">
        <w:t>Lifts may only be used to transport people and goods if there is no fire.</w:t>
      </w:r>
    </w:p>
    <w:p w14:paraId="0CC481CD" w14:textId="77777777" w:rsidR="007D3F4C" w:rsidRPr="0009445C" w:rsidRDefault="007D3F4C" w:rsidP="007D3F4C">
      <w:pPr>
        <w:pStyle w:val="BRL-Standard"/>
      </w:pPr>
    </w:p>
    <w:p w14:paraId="69B44A72" w14:textId="77777777" w:rsidR="007D3F4C" w:rsidRPr="0009445C" w:rsidRDefault="007D3F4C" w:rsidP="007D3F4C">
      <w:pPr>
        <w:pStyle w:val="BRL-Standard"/>
      </w:pPr>
      <w:r w:rsidRPr="0009445C">
        <w:t xml:space="preserve">Firefighter lifts must have a power supply and remain operationally reliable for a sufficient length of time if the general power supply fails (emergency power supply). </w:t>
      </w:r>
    </w:p>
    <w:p w14:paraId="4498E15D" w14:textId="77777777" w:rsidR="007D3F4C" w:rsidRPr="0009445C" w:rsidRDefault="007D3F4C" w:rsidP="007D3F4C">
      <w:pPr>
        <w:pStyle w:val="BRL-Standard"/>
      </w:pPr>
    </w:p>
    <w:p w14:paraId="380A807B" w14:textId="77777777" w:rsidR="007D3F4C" w:rsidRPr="0009445C" w:rsidRDefault="007D3F4C" w:rsidP="007D3F4C">
      <w:pPr>
        <w:pStyle w:val="BRL-Standard"/>
      </w:pPr>
      <w:r w:rsidRPr="0009445C">
        <w:t>Electrical circuit systems needed to operate firefighter lifts must be designed or separated by structural elements so that the safety systems remain operational for a sufficient length of time in the event of fire.</w:t>
      </w:r>
    </w:p>
    <w:p w14:paraId="05EFC468" w14:textId="77777777" w:rsidR="007D3F4C" w:rsidRPr="0009445C" w:rsidRDefault="007D3F4C" w:rsidP="007D3F4C">
      <w:pPr>
        <w:pStyle w:val="BRL-Standard"/>
      </w:pPr>
    </w:p>
    <w:p w14:paraId="5A4E7577" w14:textId="77777777" w:rsidR="007D3F4C" w:rsidRPr="0009445C" w:rsidRDefault="007D3F4C" w:rsidP="007D3F4C">
      <w:pPr>
        <w:pStyle w:val="BRL-Standard"/>
      </w:pPr>
      <w:r w:rsidRPr="0009445C">
        <w:t>All necessary data must be stated in the fire protection certificate.</w:t>
      </w:r>
    </w:p>
    <w:p w14:paraId="0EFD2C1A" w14:textId="77777777" w:rsidR="007D3F4C" w:rsidRPr="0009445C" w:rsidRDefault="007D3F4C" w:rsidP="007D3F4C">
      <w:pPr>
        <w:pStyle w:val="BRL-Standard"/>
      </w:pPr>
    </w:p>
    <w:p w14:paraId="21919B11" w14:textId="77777777" w:rsidR="007D3F4C" w:rsidRPr="0009445C" w:rsidRDefault="007D3F4C" w:rsidP="00600F53">
      <w:pPr>
        <w:pStyle w:val="BRL-berschrift"/>
      </w:pPr>
      <w:r w:rsidRPr="0009445C">
        <w:t>A 2.1.15.6</w:t>
      </w:r>
      <w:r w:rsidRPr="0009445C">
        <w:tab/>
        <w:t xml:space="preserve">Indoor radio systems for the fire brigade </w:t>
      </w:r>
    </w:p>
    <w:p w14:paraId="69F6A8CD" w14:textId="77777777" w:rsidR="007D3F4C" w:rsidRPr="0009445C" w:rsidRDefault="007D3F4C" w:rsidP="007D3F4C">
      <w:pPr>
        <w:pStyle w:val="BRL-Standard"/>
      </w:pPr>
      <w:r w:rsidRPr="0009445C">
        <w:t>Indoor radio systems for the fire brigade are used to support effective firefighting operations. The systems support radio communications between fire service crews in the building structure and with fire service crews present immediately outside the building structure during operations, if this is not sufficiently possible due to the spatial configuration, dimensions or because the properties of the building structure inhibit radio communication using fire service radio communication devices. They shall consist at least of transmission, reception and transmission devices.</w:t>
      </w:r>
    </w:p>
    <w:p w14:paraId="36B6A135" w14:textId="77777777" w:rsidR="007D3F4C" w:rsidRPr="0009445C" w:rsidRDefault="007D3F4C" w:rsidP="007D3F4C">
      <w:pPr>
        <w:pStyle w:val="BRL-Standard"/>
      </w:pPr>
    </w:p>
    <w:p w14:paraId="175334D7" w14:textId="77777777" w:rsidR="007D3F4C" w:rsidRPr="0009445C" w:rsidRDefault="007D3F4C" w:rsidP="007D3F4C">
      <w:pPr>
        <w:pStyle w:val="BRL-Standard"/>
      </w:pPr>
      <w:r w:rsidRPr="0009445C">
        <w:t xml:space="preserve">Indoor radio systems must have a power supply and remain operationally reliable for a sufficient length of time if the general power supply fails (emergency power supply). </w:t>
      </w:r>
    </w:p>
    <w:p w14:paraId="6E1ED3A0" w14:textId="77777777" w:rsidR="007D3F4C" w:rsidRPr="0009445C" w:rsidRDefault="007D3F4C" w:rsidP="007D3F4C">
      <w:pPr>
        <w:pStyle w:val="BRL-Standard"/>
      </w:pPr>
    </w:p>
    <w:p w14:paraId="2FA991D2" w14:textId="77777777" w:rsidR="007D3F4C" w:rsidRPr="0009445C" w:rsidRDefault="007D3F4C" w:rsidP="007D3F4C">
      <w:pPr>
        <w:pStyle w:val="BRL-Standard"/>
      </w:pPr>
      <w:r w:rsidRPr="0009445C">
        <w:t>Electrical circuit systems necessary for the operation of indoor radio systems for power supply must be provided or separated by structural elements in such a way that the systems remain operational in the event of fire for a sufficient period of time. The Technical Rule under ser. No A 2.2.1.8 must be observed.</w:t>
      </w:r>
    </w:p>
    <w:p w14:paraId="174BDFF6" w14:textId="77777777" w:rsidR="007D3F4C" w:rsidRPr="0009445C" w:rsidRDefault="007D3F4C" w:rsidP="007D3F4C">
      <w:pPr>
        <w:pStyle w:val="BRL-Standard"/>
      </w:pPr>
    </w:p>
    <w:p w14:paraId="54DB9C75" w14:textId="77777777" w:rsidR="007D3F4C" w:rsidRPr="0009445C" w:rsidRDefault="007D3F4C" w:rsidP="007D3F4C">
      <w:pPr>
        <w:pStyle w:val="BRL-Standard"/>
      </w:pPr>
      <w:r w:rsidRPr="0009445C">
        <w:t>All necessary data must be stated in the fire protection certificate.</w:t>
      </w:r>
    </w:p>
    <w:p w14:paraId="080E2846" w14:textId="77777777" w:rsidR="007D3F4C" w:rsidRPr="0009445C" w:rsidRDefault="007D3F4C" w:rsidP="007D3F4C">
      <w:pPr>
        <w:pStyle w:val="BRL-Standard"/>
      </w:pPr>
    </w:p>
    <w:p w14:paraId="222BAAE5" w14:textId="77777777" w:rsidR="007D3F4C" w:rsidRPr="0009445C" w:rsidRDefault="007D3F4C" w:rsidP="00600F53">
      <w:pPr>
        <w:pStyle w:val="BRL-berschrift"/>
      </w:pPr>
      <w:r w:rsidRPr="0009445C">
        <w:lastRenderedPageBreak/>
        <w:t xml:space="preserve">A 2.1.16 </w:t>
      </w:r>
      <w:r w:rsidRPr="0009445C">
        <w:tab/>
        <w:t>Buildings used to store plastic secondary materials</w:t>
      </w:r>
    </w:p>
    <w:p w14:paraId="0047E624" w14:textId="77777777" w:rsidR="007D3F4C" w:rsidRPr="0009445C" w:rsidRDefault="007D3F4C" w:rsidP="007D3F4C">
      <w:pPr>
        <w:pStyle w:val="BRL-Standard"/>
      </w:pPr>
      <w:r w:rsidRPr="0009445C">
        <w:t>Where structural works are used to store plastic secondary materials, the spread of fire must be prevented and effective firefighting enabled. The Technical Rule under ser. No A 2.2.1.14 must be observed.</w:t>
      </w:r>
    </w:p>
    <w:p w14:paraId="6154A979" w14:textId="77777777" w:rsidR="007D3F4C" w:rsidRPr="0009445C" w:rsidRDefault="007D3F4C" w:rsidP="007D3F4C">
      <w:pPr>
        <w:pStyle w:val="BRL-Standard"/>
      </w:pPr>
    </w:p>
    <w:p w14:paraId="07F68238" w14:textId="77777777" w:rsidR="007D3F4C" w:rsidRPr="0009445C" w:rsidRDefault="007D3F4C" w:rsidP="00600F53">
      <w:pPr>
        <w:pStyle w:val="BRL-berschrift"/>
      </w:pPr>
      <w:r w:rsidRPr="0009445C">
        <w:t>A 2.1.17</w:t>
      </w:r>
      <w:r w:rsidRPr="0009445C">
        <w:tab/>
      </w:r>
      <w:r w:rsidRPr="0009445C">
        <w:tab/>
        <w:t>Garages</w:t>
      </w:r>
    </w:p>
    <w:p w14:paraId="16EE587E" w14:textId="77777777" w:rsidR="007D3F4C" w:rsidRPr="0009445C" w:rsidRDefault="007D3F4C" w:rsidP="007D3F4C">
      <w:pPr>
        <w:pStyle w:val="BRL-Standard"/>
      </w:pPr>
      <w:r w:rsidRPr="0009445C">
        <w:t>To meet the basic requirements for structural works used as garages, specific requirements are defined. The Technical Rule under ser. No A 2.2.2.1 must be observed.</w:t>
      </w:r>
    </w:p>
    <w:p w14:paraId="50C58B73" w14:textId="77777777" w:rsidR="007D3F4C" w:rsidRPr="0009445C" w:rsidRDefault="007D3F4C" w:rsidP="007D3F4C">
      <w:pPr>
        <w:pStyle w:val="BRL-Standard"/>
      </w:pPr>
    </w:p>
    <w:p w14:paraId="4583A507" w14:textId="77777777" w:rsidR="007D3F4C" w:rsidRPr="0009445C" w:rsidRDefault="007D3F4C" w:rsidP="00600F53">
      <w:pPr>
        <w:pStyle w:val="BRL-berschrift"/>
      </w:pPr>
      <w:r w:rsidRPr="0009445C">
        <w:t>A 2.1.18</w:t>
      </w:r>
      <w:r w:rsidRPr="0009445C">
        <w:tab/>
      </w:r>
      <w:r w:rsidRPr="0009445C">
        <w:tab/>
        <w:t>Requirements for special buildings</w:t>
      </w:r>
    </w:p>
    <w:p w14:paraId="665EC6BF" w14:textId="5679951F" w:rsidR="007D3F4C" w:rsidRPr="0009445C" w:rsidRDefault="007D3F4C" w:rsidP="007D3F4C">
      <w:pPr>
        <w:pStyle w:val="BRL-Standard"/>
      </w:pPr>
      <w:r w:rsidRPr="0009445C">
        <w:t>For certain special constructions according to § 2(4) MBO</w:t>
      </w:r>
      <w:r w:rsidRPr="0009445C">
        <w:rPr>
          <w:vertAlign w:val="superscript"/>
        </w:rPr>
        <w:t>1</w:t>
      </w:r>
      <w:r w:rsidRPr="0009445C">
        <w:t>, the design and execution is subject to the detailed requirements of the Technical Rules</w:t>
      </w:r>
      <w:r w:rsidRPr="0009445C">
        <w:rPr>
          <w:vertAlign w:val="superscript"/>
        </w:rPr>
        <w:t xml:space="preserve"> </w:t>
      </w:r>
      <w:r w:rsidRPr="0009445C">
        <w:t xml:space="preserve">under serial numbers A 2.2.2.2 to A 2.2.2.8. </w:t>
      </w:r>
    </w:p>
    <w:p w14:paraId="5CFB78FB" w14:textId="77777777" w:rsidR="007D3F4C" w:rsidRPr="0009445C" w:rsidRDefault="007D3F4C" w:rsidP="007D3F4C">
      <w:pPr>
        <w:pStyle w:val="BRL-Standard"/>
      </w:pPr>
    </w:p>
    <w:p w14:paraId="365D2F18" w14:textId="77777777" w:rsidR="007D3F4C" w:rsidRPr="0009445C" w:rsidRDefault="007D3F4C" w:rsidP="007D3F4C">
      <w:pPr>
        <w:pStyle w:val="BRL-Standard"/>
      </w:pPr>
      <w:r w:rsidRPr="0009445C">
        <w:t xml:space="preserve">Note: </w:t>
      </w:r>
    </w:p>
    <w:p w14:paraId="2FE47380" w14:textId="27F3D13F" w:rsidR="007D3F4C" w:rsidRPr="0009445C" w:rsidRDefault="007D3F4C" w:rsidP="007D3F4C">
      <w:pPr>
        <w:pStyle w:val="BRL-Standard"/>
      </w:pPr>
      <w:r w:rsidRPr="0009445C">
        <w:t>Special fire protection requirements can also be made within the framework of a construction regulations derogating decision pursuant to § 67 MBO</w:t>
      </w:r>
      <w:r w:rsidRPr="0009445C">
        <w:rPr>
          <w:vertAlign w:val="superscript"/>
        </w:rPr>
        <w:t xml:space="preserve"> 1</w:t>
      </w:r>
      <w:r w:rsidRPr="0009445C">
        <w:t xml:space="preserve"> or in the building permit pursuant to § 64 MBO</w:t>
      </w:r>
      <w:r w:rsidRPr="0009445C">
        <w:rPr>
          <w:vertAlign w:val="superscript"/>
        </w:rPr>
        <w:t>1</w:t>
      </w:r>
      <w:r w:rsidRPr="0009445C">
        <w:t xml:space="preserve"> for a special construction. Where the protection objectives pursuant to § 14 MBO</w:t>
      </w:r>
      <w:r w:rsidRPr="0009445C">
        <w:rPr>
          <w:vertAlign w:val="superscript"/>
        </w:rPr>
        <w:t>1</w:t>
      </w:r>
      <w:r w:rsidRPr="0009445C">
        <w:t xml:space="preserve"> cannot be met by following the Technical Rule under ser. No A 2.2.1.2, the necessary technical information shall be included in the building documents.</w:t>
      </w:r>
    </w:p>
    <w:p w14:paraId="6A2FCFC9" w14:textId="77777777" w:rsidR="007D3F4C" w:rsidRPr="0009445C" w:rsidRDefault="007D3F4C" w:rsidP="007D3F4C">
      <w:pPr>
        <w:pStyle w:val="BRL-Standard"/>
        <w:sectPr w:rsidR="007D3F4C" w:rsidRPr="0009445C" w:rsidSect="007D3F4C">
          <w:footerReference w:type="default" r:id="rId25"/>
          <w:headerReference w:type="first" r:id="rId26"/>
          <w:footerReference w:type="first" r:id="rId27"/>
          <w:pgSz w:w="11906" w:h="16838"/>
          <w:pgMar w:top="1134" w:right="1418" w:bottom="1134" w:left="1418" w:header="851" w:footer="425" w:gutter="0"/>
          <w:cols w:space="720"/>
          <w:titlePg/>
        </w:sect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5E0" w:firstRow="1" w:lastRow="1" w:firstColumn="1" w:lastColumn="1" w:noHBand="0" w:noVBand="1"/>
      </w:tblPr>
      <w:tblGrid>
        <w:gridCol w:w="1133"/>
        <w:gridCol w:w="3402"/>
        <w:gridCol w:w="2835"/>
        <w:gridCol w:w="1700"/>
      </w:tblGrid>
      <w:tr w:rsidR="007D3F4C" w:rsidRPr="0009445C" w14:paraId="7C010E86" w14:textId="77777777" w:rsidTr="007D3F4C">
        <w:trPr>
          <w:trHeight w:val="227"/>
        </w:trPr>
        <w:tc>
          <w:tcPr>
            <w:tcW w:w="9070" w:type="dxa"/>
            <w:gridSpan w:val="4"/>
            <w:shd w:val="clear" w:color="auto" w:fill="auto"/>
          </w:tcPr>
          <w:p w14:paraId="47434D80" w14:textId="77777777" w:rsidR="007D3F4C" w:rsidRPr="0009445C" w:rsidRDefault="007D3F4C" w:rsidP="007D3F4C">
            <w:pPr>
              <w:pStyle w:val="BRL-Tabelle-berschrift"/>
            </w:pPr>
            <w:r w:rsidRPr="0009445C">
              <w:lastRenderedPageBreak/>
              <w:t>A 2.2.1</w:t>
            </w:r>
            <w:r w:rsidRPr="0009445C">
              <w:tab/>
              <w:t>Planning, designing and execution</w:t>
            </w:r>
          </w:p>
        </w:tc>
      </w:tr>
      <w:tr w:rsidR="007D3F4C" w:rsidRPr="0009445C" w14:paraId="3454764E" w14:textId="77777777" w:rsidTr="007D3F4C">
        <w:trPr>
          <w:trHeight w:val="227"/>
        </w:trPr>
        <w:tc>
          <w:tcPr>
            <w:tcW w:w="1133" w:type="dxa"/>
            <w:shd w:val="clear" w:color="auto" w:fill="auto"/>
          </w:tcPr>
          <w:p w14:paraId="4F972184" w14:textId="77777777" w:rsidR="007D3F4C" w:rsidRPr="0009445C" w:rsidRDefault="007D3F4C" w:rsidP="007D3F4C">
            <w:pPr>
              <w:pStyle w:val="BRL-Tabelle"/>
            </w:pPr>
            <w:r w:rsidRPr="0009445C">
              <w:t>A 2.2.1.1</w:t>
            </w:r>
          </w:p>
        </w:tc>
        <w:tc>
          <w:tcPr>
            <w:tcW w:w="3402" w:type="dxa"/>
            <w:shd w:val="clear" w:color="auto" w:fill="auto"/>
          </w:tcPr>
          <w:p w14:paraId="73EDA216" w14:textId="4C208141" w:rsidR="007D3F4C" w:rsidRPr="0009445C" w:rsidRDefault="007D3F4C" w:rsidP="007D3F4C">
            <w:pPr>
              <w:pStyle w:val="BRL-Tabelle"/>
            </w:pPr>
            <w:r w:rsidRPr="0009445C">
              <w:t>Fire service areas</w:t>
            </w:r>
            <w:r w:rsidRPr="0009445C">
              <w:rPr>
                <w:rStyle w:val="FootnoteReference"/>
              </w:rPr>
              <w:footnoteReference w:customMarkFollows="1" w:id="2"/>
              <w:t>1</w:t>
            </w:r>
          </w:p>
        </w:tc>
        <w:tc>
          <w:tcPr>
            <w:tcW w:w="2835" w:type="dxa"/>
            <w:shd w:val="clear" w:color="auto" w:fill="auto"/>
          </w:tcPr>
          <w:p w14:paraId="7E701DB9" w14:textId="287DD0FB" w:rsidR="007D3F4C" w:rsidRPr="0009445C" w:rsidRDefault="007D3F4C" w:rsidP="007D3F4C">
            <w:pPr>
              <w:pStyle w:val="BRL-Tabelle"/>
            </w:pPr>
            <w:r w:rsidRPr="0009445C">
              <w:t>Model Guideline on fire service areas: 2009-10</w:t>
            </w:r>
            <w:r w:rsidRPr="0009445C">
              <w:rPr>
                <w:rStyle w:val="FootnoteReference"/>
              </w:rPr>
              <w:footnoteReference w:customMarkFollows="1" w:id="3"/>
              <w:t>2</w:t>
            </w:r>
          </w:p>
        </w:tc>
        <w:tc>
          <w:tcPr>
            <w:tcW w:w="1700" w:type="dxa"/>
            <w:shd w:val="clear" w:color="auto" w:fill="auto"/>
          </w:tcPr>
          <w:p w14:paraId="2E314C9A" w14:textId="77777777" w:rsidR="007D3F4C" w:rsidRPr="0009445C" w:rsidRDefault="007D3F4C" w:rsidP="007D3F4C">
            <w:pPr>
              <w:pStyle w:val="BRL-Tabelle"/>
            </w:pPr>
            <w:r w:rsidRPr="0009445C">
              <w:t>Annex A 2.2.1.1/1</w:t>
            </w:r>
          </w:p>
        </w:tc>
      </w:tr>
      <w:tr w:rsidR="007D3F4C" w:rsidRPr="0009445C" w14:paraId="3861A4B7" w14:textId="77777777" w:rsidTr="007D3F4C">
        <w:trPr>
          <w:trHeight w:val="227"/>
        </w:trPr>
        <w:tc>
          <w:tcPr>
            <w:tcW w:w="1133" w:type="dxa"/>
            <w:shd w:val="clear" w:color="auto" w:fill="auto"/>
          </w:tcPr>
          <w:p w14:paraId="274B5751" w14:textId="77777777" w:rsidR="007D3F4C" w:rsidRPr="0009445C" w:rsidRDefault="007D3F4C" w:rsidP="007D3F4C">
            <w:pPr>
              <w:pStyle w:val="BRL-Tabelle"/>
            </w:pPr>
            <w:r w:rsidRPr="0009445C">
              <w:t>A 2.2.1.2</w:t>
            </w:r>
          </w:p>
        </w:tc>
        <w:tc>
          <w:tcPr>
            <w:tcW w:w="3402" w:type="dxa"/>
            <w:shd w:val="clear" w:color="auto" w:fill="auto"/>
          </w:tcPr>
          <w:p w14:paraId="1061951F" w14:textId="77777777" w:rsidR="007D3F4C" w:rsidRPr="0009445C" w:rsidRDefault="007D3F4C" w:rsidP="007D3F4C">
            <w:pPr>
              <w:pStyle w:val="BRL-Tabelle"/>
            </w:pPr>
            <w:r w:rsidRPr="0009445C">
              <w:t>Construction products and designs</w:t>
            </w:r>
          </w:p>
        </w:tc>
        <w:tc>
          <w:tcPr>
            <w:tcW w:w="2835" w:type="dxa"/>
            <w:shd w:val="clear" w:color="auto" w:fill="auto"/>
          </w:tcPr>
          <w:p w14:paraId="0AA27FCF" w14:textId="77777777" w:rsidR="007D3F4C" w:rsidRPr="0009445C" w:rsidRDefault="007D3F4C" w:rsidP="007D3F4C">
            <w:pPr>
              <w:pStyle w:val="BRL-Tabelle"/>
            </w:pPr>
            <w:r w:rsidRPr="0009445C">
              <w:t xml:space="preserve">Building approval requirements, classification, use of construction products, use of designs: </w:t>
            </w:r>
          </w:p>
          <w:p w14:paraId="170DEEDC" w14:textId="2036C81A" w:rsidR="007D3F4C" w:rsidRPr="0009445C" w:rsidRDefault="00DF5034" w:rsidP="007D3F4C">
            <w:pPr>
              <w:pStyle w:val="BRL-Tabelle"/>
            </w:pPr>
            <w:r w:rsidRPr="0009445C">
              <w:t>2022-11</w:t>
            </w:r>
            <w:r w:rsidRPr="0009445C">
              <w:rPr>
                <w:rStyle w:val="Querverweis"/>
              </w:rPr>
              <w:t>2</w:t>
            </w:r>
            <w:r w:rsidRPr="0009445C">
              <w:t xml:space="preserve"> (See Annex 4)</w:t>
            </w:r>
          </w:p>
        </w:tc>
        <w:tc>
          <w:tcPr>
            <w:tcW w:w="1700" w:type="dxa"/>
            <w:shd w:val="clear" w:color="auto" w:fill="auto"/>
          </w:tcPr>
          <w:p w14:paraId="0C912C6A" w14:textId="77777777" w:rsidR="007D3F4C" w:rsidRPr="0009445C" w:rsidRDefault="007D3F4C" w:rsidP="007D3F4C">
            <w:pPr>
              <w:pStyle w:val="BRL-Tabelle"/>
            </w:pPr>
          </w:p>
        </w:tc>
      </w:tr>
      <w:tr w:rsidR="007D3F4C" w:rsidRPr="0009445C" w14:paraId="200A81EA" w14:textId="77777777" w:rsidTr="007D3F4C">
        <w:trPr>
          <w:trHeight w:val="227"/>
        </w:trPr>
        <w:tc>
          <w:tcPr>
            <w:tcW w:w="1133" w:type="dxa"/>
            <w:shd w:val="clear" w:color="auto" w:fill="auto"/>
          </w:tcPr>
          <w:p w14:paraId="14F8E1E4" w14:textId="77777777" w:rsidR="007D3F4C" w:rsidRPr="0009445C" w:rsidRDefault="007D3F4C" w:rsidP="007D3F4C">
            <w:pPr>
              <w:pStyle w:val="BRL-Tabelle"/>
            </w:pPr>
            <w:r w:rsidRPr="0009445C">
              <w:t>A 2.2.1.3</w:t>
            </w:r>
          </w:p>
        </w:tc>
        <w:tc>
          <w:tcPr>
            <w:tcW w:w="3402" w:type="dxa"/>
            <w:shd w:val="clear" w:color="auto" w:fill="auto"/>
          </w:tcPr>
          <w:p w14:paraId="2AFEA067" w14:textId="77777777" w:rsidR="007D3F4C" w:rsidRPr="0009445C" w:rsidRDefault="007D3F4C" w:rsidP="007D3F4C">
            <w:pPr>
              <w:pStyle w:val="BRL-Tabelle"/>
            </w:pPr>
            <w:r w:rsidRPr="0009445C">
              <w:t>Classified building materials and components, execution rules</w:t>
            </w:r>
          </w:p>
        </w:tc>
        <w:tc>
          <w:tcPr>
            <w:tcW w:w="2835" w:type="dxa"/>
            <w:shd w:val="clear" w:color="auto" w:fill="auto"/>
          </w:tcPr>
          <w:p w14:paraId="055C4838" w14:textId="77777777" w:rsidR="007D3F4C" w:rsidRPr="0009445C" w:rsidRDefault="007D3F4C" w:rsidP="007D3F4C">
            <w:pPr>
              <w:pStyle w:val="BRL-Tabelle"/>
            </w:pPr>
            <w:r w:rsidRPr="0009445C">
              <w:t>DIN 4102-4:2016-05</w:t>
            </w:r>
          </w:p>
        </w:tc>
        <w:tc>
          <w:tcPr>
            <w:tcW w:w="1700" w:type="dxa"/>
            <w:shd w:val="clear" w:color="auto" w:fill="auto"/>
          </w:tcPr>
          <w:p w14:paraId="404B33AE" w14:textId="77777777" w:rsidR="007D3F4C" w:rsidRPr="0009445C" w:rsidRDefault="007D3F4C" w:rsidP="007D3F4C">
            <w:pPr>
              <w:pStyle w:val="BRL-Tabelle"/>
            </w:pPr>
            <w:r w:rsidRPr="0009445C">
              <w:t>Annex A 2.2.1.3/1</w:t>
            </w:r>
          </w:p>
        </w:tc>
      </w:tr>
      <w:tr w:rsidR="007D3F4C" w:rsidRPr="0009445C" w14:paraId="33FF4ABB" w14:textId="77777777" w:rsidTr="007D3F4C">
        <w:trPr>
          <w:trHeight w:val="227"/>
        </w:trPr>
        <w:tc>
          <w:tcPr>
            <w:tcW w:w="1133" w:type="dxa"/>
            <w:shd w:val="clear" w:color="auto" w:fill="auto"/>
          </w:tcPr>
          <w:p w14:paraId="4E26B078" w14:textId="77777777" w:rsidR="007D3F4C" w:rsidRPr="0009445C" w:rsidRDefault="007D3F4C" w:rsidP="007D3F4C">
            <w:pPr>
              <w:pStyle w:val="BRL-Tabelle"/>
            </w:pPr>
            <w:r w:rsidRPr="0009445C">
              <w:t>A 2.2.1.4</w:t>
            </w:r>
          </w:p>
        </w:tc>
        <w:tc>
          <w:tcPr>
            <w:tcW w:w="3402" w:type="dxa"/>
            <w:shd w:val="clear" w:color="auto" w:fill="auto"/>
          </w:tcPr>
          <w:p w14:paraId="3D4CC9DB" w14:textId="77777777" w:rsidR="007D3F4C" w:rsidRPr="0009445C" w:rsidRDefault="007D3F4C" w:rsidP="007D3F4C">
            <w:pPr>
              <w:pStyle w:val="BRL-Tabelle"/>
            </w:pPr>
            <w:r w:rsidRPr="0009445C">
              <w:t>Highly fire-retardant structural elements in wooden construction and fire-resistant structural elements in solid wood construction, external wall cladding made of wood and wooden materials</w:t>
            </w:r>
          </w:p>
        </w:tc>
        <w:tc>
          <w:tcPr>
            <w:tcW w:w="2835" w:type="dxa"/>
            <w:shd w:val="clear" w:color="auto" w:fill="auto"/>
          </w:tcPr>
          <w:p w14:paraId="45E89D5E" w14:textId="77777777" w:rsidR="007D3F4C" w:rsidRPr="0009445C" w:rsidRDefault="007D3F4C" w:rsidP="007D3F4C">
            <w:pPr>
              <w:pStyle w:val="BRL-Tabelle"/>
            </w:pPr>
            <w:r w:rsidRPr="0009445C">
              <w:t>Model Guideline on fire protection requirements for structural elements and external wall cladding in wooden construction – M</w:t>
            </w:r>
            <w:r w:rsidRPr="0009445C">
              <w:noBreakHyphen/>
              <w:t>HolzBauRL:2020-10</w:t>
            </w:r>
            <w:r w:rsidRPr="0009445C">
              <w:rPr>
                <w:rStyle w:val="Querverweis"/>
              </w:rPr>
              <w:t>2</w:t>
            </w:r>
          </w:p>
        </w:tc>
        <w:tc>
          <w:tcPr>
            <w:tcW w:w="1700" w:type="dxa"/>
            <w:shd w:val="clear" w:color="auto" w:fill="auto"/>
          </w:tcPr>
          <w:p w14:paraId="07E9EB94" w14:textId="77777777" w:rsidR="007D3F4C" w:rsidRPr="0009445C" w:rsidRDefault="007D3F4C" w:rsidP="007D3F4C">
            <w:pPr>
              <w:pStyle w:val="BRL-Tabelle"/>
            </w:pPr>
          </w:p>
        </w:tc>
      </w:tr>
      <w:tr w:rsidR="007D3F4C" w:rsidRPr="0009445C" w14:paraId="6A8C8FC4" w14:textId="77777777" w:rsidTr="007D3F4C">
        <w:trPr>
          <w:trHeight w:val="227"/>
        </w:trPr>
        <w:tc>
          <w:tcPr>
            <w:tcW w:w="1133" w:type="dxa"/>
            <w:shd w:val="clear" w:color="auto" w:fill="auto"/>
          </w:tcPr>
          <w:p w14:paraId="63E2CA16" w14:textId="77777777" w:rsidR="007D3F4C" w:rsidRPr="0009445C" w:rsidRDefault="007D3F4C" w:rsidP="007D3F4C">
            <w:pPr>
              <w:pStyle w:val="BRL-Tabelle"/>
            </w:pPr>
            <w:r w:rsidRPr="0009445C">
              <w:t>A 2.2.1.5</w:t>
            </w:r>
          </w:p>
        </w:tc>
        <w:tc>
          <w:tcPr>
            <w:tcW w:w="3402" w:type="dxa"/>
            <w:shd w:val="clear" w:color="auto" w:fill="auto"/>
          </w:tcPr>
          <w:p w14:paraId="0E6FAC40" w14:textId="77777777" w:rsidR="007D3F4C" w:rsidRPr="0009445C" w:rsidRDefault="007D3F4C" w:rsidP="007D3F4C">
            <w:pPr>
              <w:pStyle w:val="BRL-Tabelle"/>
            </w:pPr>
            <w:r w:rsidRPr="0009445C">
              <w:t>Thermal insulation composite systems</w:t>
            </w:r>
          </w:p>
        </w:tc>
        <w:tc>
          <w:tcPr>
            <w:tcW w:w="2835" w:type="dxa"/>
            <w:shd w:val="clear" w:color="auto" w:fill="auto"/>
          </w:tcPr>
          <w:p w14:paraId="5D467AF9" w14:textId="25560E4D" w:rsidR="007D3F4C" w:rsidRPr="0009445C" w:rsidRDefault="007D3F4C" w:rsidP="007D3F4C">
            <w:pPr>
              <w:pStyle w:val="BRL-Tabelle"/>
            </w:pPr>
            <w:r w:rsidRPr="0009445C">
              <w:t xml:space="preserve">WDVS with EPS, socket fire test method: </w:t>
            </w:r>
          </w:p>
          <w:p w14:paraId="73E88D60" w14:textId="77777777" w:rsidR="007D3F4C" w:rsidRPr="0009445C" w:rsidRDefault="007D3F4C" w:rsidP="007D3F4C">
            <w:pPr>
              <w:pStyle w:val="BRL-Tabelle"/>
            </w:pPr>
            <w:r w:rsidRPr="0009445C">
              <w:t>2016-06</w:t>
            </w:r>
            <w:r w:rsidRPr="0009445C">
              <w:rPr>
                <w:rStyle w:val="Querverweis"/>
              </w:rPr>
              <w:t>2</w:t>
            </w:r>
            <w:r w:rsidRPr="0009445C">
              <w:t xml:space="preserve"> (See Annex 5)</w:t>
            </w:r>
          </w:p>
        </w:tc>
        <w:tc>
          <w:tcPr>
            <w:tcW w:w="1700" w:type="dxa"/>
            <w:shd w:val="clear" w:color="auto" w:fill="auto"/>
          </w:tcPr>
          <w:p w14:paraId="3B84A3CC" w14:textId="77777777" w:rsidR="007D3F4C" w:rsidRPr="0009445C" w:rsidRDefault="007D3F4C" w:rsidP="007D3F4C">
            <w:pPr>
              <w:pStyle w:val="BRL-Tabelle"/>
            </w:pPr>
          </w:p>
        </w:tc>
      </w:tr>
      <w:tr w:rsidR="007D3F4C" w:rsidRPr="0009445C" w14:paraId="57205BEB" w14:textId="77777777" w:rsidTr="007D3F4C">
        <w:trPr>
          <w:trHeight w:val="227"/>
        </w:trPr>
        <w:tc>
          <w:tcPr>
            <w:tcW w:w="1133" w:type="dxa"/>
            <w:shd w:val="clear" w:color="auto" w:fill="auto"/>
          </w:tcPr>
          <w:p w14:paraId="2D74370F" w14:textId="77777777" w:rsidR="007D3F4C" w:rsidRPr="0009445C" w:rsidRDefault="007D3F4C" w:rsidP="007D3F4C">
            <w:pPr>
              <w:pStyle w:val="BRL-Tabelle"/>
            </w:pPr>
            <w:r w:rsidRPr="0009445C">
              <w:t>A 2.2.1.6</w:t>
            </w:r>
          </w:p>
        </w:tc>
        <w:tc>
          <w:tcPr>
            <w:tcW w:w="3402" w:type="dxa"/>
            <w:shd w:val="clear" w:color="auto" w:fill="auto"/>
          </w:tcPr>
          <w:p w14:paraId="5E7100A8" w14:textId="77777777" w:rsidR="007D3F4C" w:rsidRPr="0009445C" w:rsidRDefault="007D3F4C" w:rsidP="007D3F4C">
            <w:pPr>
              <w:pStyle w:val="BRL-Tabelle"/>
            </w:pPr>
            <w:r w:rsidRPr="0009445C">
              <w:t>Rear-ventilated, external-wall cladding</w:t>
            </w:r>
          </w:p>
        </w:tc>
        <w:tc>
          <w:tcPr>
            <w:tcW w:w="2835" w:type="dxa"/>
            <w:shd w:val="clear" w:color="auto" w:fill="auto"/>
          </w:tcPr>
          <w:p w14:paraId="30330E70" w14:textId="5F6EE17E" w:rsidR="007D3F4C" w:rsidRPr="0009445C" w:rsidRDefault="007D3F4C" w:rsidP="007D3F4C">
            <w:pPr>
              <w:pStyle w:val="BRL-Tabelle"/>
            </w:pPr>
            <w:r w:rsidRPr="0009445C">
              <w:t>Rear-ventilated external wall cladding: 2021-10 (See Annex 6)</w:t>
            </w:r>
          </w:p>
        </w:tc>
        <w:tc>
          <w:tcPr>
            <w:tcW w:w="1700" w:type="dxa"/>
            <w:shd w:val="clear" w:color="auto" w:fill="auto"/>
          </w:tcPr>
          <w:p w14:paraId="31BDBD9F" w14:textId="77777777" w:rsidR="007D3F4C" w:rsidRPr="0009445C" w:rsidRDefault="007D3F4C" w:rsidP="007D3F4C">
            <w:pPr>
              <w:pStyle w:val="BRL-Tabelle"/>
            </w:pPr>
          </w:p>
        </w:tc>
      </w:tr>
      <w:tr w:rsidR="007D3F4C" w:rsidRPr="0009445C" w14:paraId="508F7B01" w14:textId="77777777" w:rsidTr="007D3F4C">
        <w:trPr>
          <w:trHeight w:val="227"/>
        </w:trPr>
        <w:tc>
          <w:tcPr>
            <w:tcW w:w="1133" w:type="dxa"/>
            <w:shd w:val="clear" w:color="auto" w:fill="auto"/>
          </w:tcPr>
          <w:p w14:paraId="0F733A70" w14:textId="77777777" w:rsidR="007D3F4C" w:rsidRPr="0009445C" w:rsidRDefault="007D3F4C" w:rsidP="007D3F4C">
            <w:pPr>
              <w:pStyle w:val="BRL-Tabelle"/>
            </w:pPr>
            <w:r w:rsidRPr="0009445C">
              <w:t>A 2.2.1.7</w:t>
            </w:r>
          </w:p>
        </w:tc>
        <w:tc>
          <w:tcPr>
            <w:tcW w:w="7937" w:type="dxa"/>
            <w:gridSpan w:val="3"/>
            <w:shd w:val="clear" w:color="auto" w:fill="auto"/>
          </w:tcPr>
          <w:p w14:paraId="52959C06" w14:textId="77777777" w:rsidR="007D3F4C" w:rsidRPr="0009445C" w:rsidRDefault="007D3F4C" w:rsidP="007D3F4C">
            <w:pPr>
              <w:pStyle w:val="BRL-Tabelle"/>
            </w:pPr>
            <w:r w:rsidRPr="0009445C">
              <w:t>‘Locking mechanisms’ deleted from MVV TB 2019/1</w:t>
            </w:r>
          </w:p>
        </w:tc>
      </w:tr>
      <w:tr w:rsidR="007D3F4C" w:rsidRPr="0009445C" w14:paraId="05C0E6ED" w14:textId="77777777" w:rsidTr="007D3F4C">
        <w:trPr>
          <w:trHeight w:val="227"/>
        </w:trPr>
        <w:tc>
          <w:tcPr>
            <w:tcW w:w="1133" w:type="dxa"/>
            <w:shd w:val="clear" w:color="auto" w:fill="auto"/>
          </w:tcPr>
          <w:p w14:paraId="2B6EB3A0" w14:textId="77777777" w:rsidR="007D3F4C" w:rsidRPr="0009445C" w:rsidRDefault="007D3F4C" w:rsidP="007D3F4C">
            <w:pPr>
              <w:pStyle w:val="BRL-Tabelle"/>
            </w:pPr>
            <w:r w:rsidRPr="0009445C">
              <w:t>A 2.2.1.8</w:t>
            </w:r>
          </w:p>
        </w:tc>
        <w:tc>
          <w:tcPr>
            <w:tcW w:w="3402" w:type="dxa"/>
            <w:shd w:val="clear" w:color="auto" w:fill="auto"/>
          </w:tcPr>
          <w:p w14:paraId="50EDC7EE" w14:textId="77777777" w:rsidR="007D3F4C" w:rsidRPr="0009445C" w:rsidRDefault="007D3F4C" w:rsidP="007D3F4C">
            <w:pPr>
              <w:pStyle w:val="BRL-Tabelle"/>
            </w:pPr>
            <w:r w:rsidRPr="0009445C">
              <w:t>Conduits</w:t>
            </w:r>
          </w:p>
        </w:tc>
        <w:tc>
          <w:tcPr>
            <w:tcW w:w="2835" w:type="dxa"/>
            <w:shd w:val="clear" w:color="auto" w:fill="auto"/>
          </w:tcPr>
          <w:p w14:paraId="4D1BE840" w14:textId="77777777" w:rsidR="007D3F4C" w:rsidRPr="0009445C" w:rsidRDefault="007D3F4C" w:rsidP="007D3F4C">
            <w:pPr>
              <w:pStyle w:val="BRL-Tabelle"/>
            </w:pPr>
            <w:r w:rsidRPr="0009445C">
              <w:t>Model Guideline on fire protection requirements for conduits (Model Conduit Guideline – MLAR): Version of 10 February 2015, last amended by decision of the Commission for Construction Supervision of 3.9.2020</w:t>
            </w:r>
            <w:r w:rsidRPr="0009445C">
              <w:rPr>
                <w:vertAlign w:val="superscript"/>
              </w:rPr>
              <w:t>4</w:t>
            </w:r>
          </w:p>
        </w:tc>
        <w:tc>
          <w:tcPr>
            <w:tcW w:w="1700" w:type="dxa"/>
            <w:shd w:val="clear" w:color="auto" w:fill="auto"/>
          </w:tcPr>
          <w:p w14:paraId="42A9C394" w14:textId="77777777" w:rsidR="007D3F4C" w:rsidRPr="0009445C" w:rsidRDefault="007D3F4C" w:rsidP="007D3F4C">
            <w:pPr>
              <w:pStyle w:val="BRL-Tabelle"/>
            </w:pPr>
          </w:p>
        </w:tc>
      </w:tr>
      <w:tr w:rsidR="007D3F4C" w:rsidRPr="0009445C" w14:paraId="6114E11D" w14:textId="77777777" w:rsidTr="007D3F4C">
        <w:trPr>
          <w:trHeight w:val="227"/>
        </w:trPr>
        <w:tc>
          <w:tcPr>
            <w:tcW w:w="1133" w:type="dxa"/>
            <w:shd w:val="clear" w:color="auto" w:fill="auto"/>
          </w:tcPr>
          <w:p w14:paraId="5467C3A0" w14:textId="77777777" w:rsidR="007D3F4C" w:rsidRPr="0009445C" w:rsidRDefault="007D3F4C" w:rsidP="007D3F4C">
            <w:pPr>
              <w:pStyle w:val="BRL-Tabelle"/>
            </w:pPr>
            <w:r w:rsidRPr="0009445C">
              <w:t>A 2.2.1.9</w:t>
            </w:r>
          </w:p>
        </w:tc>
        <w:tc>
          <w:tcPr>
            <w:tcW w:w="3402" w:type="dxa"/>
            <w:shd w:val="clear" w:color="auto" w:fill="auto"/>
          </w:tcPr>
          <w:p w14:paraId="2BC8AD70" w14:textId="77777777" w:rsidR="007D3F4C" w:rsidRPr="0009445C" w:rsidRDefault="007D3F4C" w:rsidP="007D3F4C">
            <w:pPr>
              <w:pStyle w:val="BRL-Tabelle"/>
            </w:pPr>
            <w:r w:rsidRPr="0009445C">
              <w:t>System floors</w:t>
            </w:r>
          </w:p>
        </w:tc>
        <w:tc>
          <w:tcPr>
            <w:tcW w:w="2835" w:type="dxa"/>
            <w:shd w:val="clear" w:color="auto" w:fill="auto"/>
          </w:tcPr>
          <w:p w14:paraId="4CB27322" w14:textId="77777777" w:rsidR="007D3F4C" w:rsidRPr="0009445C" w:rsidRDefault="007D3F4C" w:rsidP="007D3F4C">
            <w:pPr>
              <w:pStyle w:val="BRL-Tabelle"/>
            </w:pPr>
            <w:r w:rsidRPr="0009445C">
              <w:t>Model Guideline on fire protection requirements pertaining to system floors (Muster-</w:t>
            </w:r>
            <w:proofErr w:type="spellStart"/>
            <w:r w:rsidRPr="0009445C">
              <w:t>Richtlinie</w:t>
            </w:r>
            <w:proofErr w:type="spellEnd"/>
            <w:r w:rsidRPr="0009445C">
              <w:t xml:space="preserve"> </w:t>
            </w:r>
            <w:proofErr w:type="spellStart"/>
            <w:r w:rsidRPr="0009445C">
              <w:t>über</w:t>
            </w:r>
            <w:proofErr w:type="spellEnd"/>
            <w:r w:rsidRPr="0009445C">
              <w:t xml:space="preserve"> </w:t>
            </w:r>
            <w:proofErr w:type="spellStart"/>
            <w:r w:rsidRPr="0009445C">
              <w:t>brandschutztechnische</w:t>
            </w:r>
            <w:proofErr w:type="spellEnd"/>
            <w:r w:rsidRPr="0009445C">
              <w:t xml:space="preserve"> </w:t>
            </w:r>
            <w:proofErr w:type="spellStart"/>
            <w:r w:rsidRPr="0009445C">
              <w:t>Anforderungen</w:t>
            </w:r>
            <w:proofErr w:type="spellEnd"/>
            <w:r w:rsidRPr="0009445C">
              <w:t xml:space="preserve"> an </w:t>
            </w:r>
            <w:proofErr w:type="spellStart"/>
            <w:r w:rsidRPr="0009445C">
              <w:t>Systemböden</w:t>
            </w:r>
            <w:proofErr w:type="spellEnd"/>
            <w:r w:rsidRPr="0009445C">
              <w:t xml:space="preserve"> [</w:t>
            </w:r>
            <w:proofErr w:type="spellStart"/>
            <w:r w:rsidRPr="0009445C">
              <w:t>MSysBöR</w:t>
            </w:r>
            <w:proofErr w:type="spellEnd"/>
            <w:r w:rsidRPr="0009445C">
              <w:t>]): 2005</w:t>
            </w:r>
            <w:r w:rsidRPr="0009445C">
              <w:noBreakHyphen/>
              <w:t>09</w:t>
            </w:r>
          </w:p>
        </w:tc>
        <w:tc>
          <w:tcPr>
            <w:tcW w:w="1700" w:type="dxa"/>
            <w:shd w:val="clear" w:color="auto" w:fill="auto"/>
          </w:tcPr>
          <w:p w14:paraId="74F7CA32" w14:textId="77777777" w:rsidR="007D3F4C" w:rsidRPr="0009445C" w:rsidRDefault="007D3F4C" w:rsidP="007D3F4C">
            <w:pPr>
              <w:pStyle w:val="BRL-Tabelle"/>
            </w:pPr>
          </w:p>
        </w:tc>
      </w:tr>
      <w:tr w:rsidR="007D3F4C" w:rsidRPr="0009445C" w14:paraId="4AF8289C" w14:textId="77777777" w:rsidTr="007D3F4C">
        <w:trPr>
          <w:trHeight w:val="227"/>
        </w:trPr>
        <w:tc>
          <w:tcPr>
            <w:tcW w:w="1133" w:type="dxa"/>
            <w:shd w:val="clear" w:color="auto" w:fill="auto"/>
          </w:tcPr>
          <w:p w14:paraId="790D0699" w14:textId="77777777" w:rsidR="007D3F4C" w:rsidRPr="0009445C" w:rsidRDefault="007D3F4C" w:rsidP="007D3F4C">
            <w:pPr>
              <w:pStyle w:val="BRL-Tabelle"/>
            </w:pPr>
            <w:r w:rsidRPr="0009445C">
              <w:t>A 2.2.1.10</w:t>
            </w:r>
          </w:p>
        </w:tc>
        <w:tc>
          <w:tcPr>
            <w:tcW w:w="3402" w:type="dxa"/>
            <w:shd w:val="clear" w:color="auto" w:fill="auto"/>
          </w:tcPr>
          <w:p w14:paraId="03C31F76" w14:textId="77777777" w:rsidR="007D3F4C" w:rsidRPr="0009445C" w:rsidRDefault="007D3F4C" w:rsidP="007D3F4C">
            <w:pPr>
              <w:pStyle w:val="BRL-Tabelle"/>
            </w:pPr>
            <w:r w:rsidRPr="0009445C">
              <w:t>Electrical operation rooms</w:t>
            </w:r>
          </w:p>
        </w:tc>
        <w:tc>
          <w:tcPr>
            <w:tcW w:w="2835" w:type="dxa"/>
            <w:shd w:val="clear" w:color="auto" w:fill="auto"/>
          </w:tcPr>
          <w:p w14:paraId="6F9A995A" w14:textId="77777777" w:rsidR="007D3F4C" w:rsidRPr="0009445C" w:rsidRDefault="007D3F4C" w:rsidP="007D3F4C">
            <w:pPr>
              <w:pStyle w:val="BRL-Tabelle"/>
            </w:pPr>
            <w:r w:rsidRPr="0009445C">
              <w:t>Model of a regulation on the construction of operating rooms for electrical installations (</w:t>
            </w:r>
            <w:proofErr w:type="spellStart"/>
            <w:r w:rsidRPr="0009445C">
              <w:t>EltBauVO</w:t>
            </w:r>
            <w:proofErr w:type="spellEnd"/>
            <w:r w:rsidRPr="0009445C">
              <w:t>): 2009</w:t>
            </w:r>
            <w:r w:rsidRPr="0009445C">
              <w:noBreakHyphen/>
              <w:t>01</w:t>
            </w:r>
            <w:r w:rsidRPr="0009445C">
              <w:rPr>
                <w:rStyle w:val="Querverweis"/>
              </w:rPr>
              <w:t>2</w:t>
            </w:r>
            <w:r w:rsidRPr="0009445C">
              <w:rPr>
                <w:rStyle w:val="Querverweis"/>
                <w:vertAlign w:val="baseline"/>
              </w:rPr>
              <w:t xml:space="preserve"> </w:t>
            </w:r>
            <w:r w:rsidRPr="0009445C">
              <w:rPr>
                <w:rStyle w:val="Querverweis"/>
                <w:b w:val="0"/>
                <w:vertAlign w:val="baseline"/>
              </w:rPr>
              <w:t>last amended by decision of the Commission for Construction Supervision of 22 February 2022</w:t>
            </w:r>
          </w:p>
        </w:tc>
        <w:tc>
          <w:tcPr>
            <w:tcW w:w="1700" w:type="dxa"/>
            <w:shd w:val="clear" w:color="auto" w:fill="auto"/>
          </w:tcPr>
          <w:p w14:paraId="18FA0756" w14:textId="77777777" w:rsidR="007D3F4C" w:rsidRPr="0009445C" w:rsidRDefault="007D3F4C" w:rsidP="007D3F4C">
            <w:pPr>
              <w:pStyle w:val="BRL-Tabelle"/>
            </w:pPr>
          </w:p>
        </w:tc>
      </w:tr>
      <w:tr w:rsidR="007D3F4C" w:rsidRPr="0009445C" w14:paraId="25A657BE" w14:textId="77777777" w:rsidTr="007D3F4C">
        <w:trPr>
          <w:trHeight w:val="25"/>
        </w:trPr>
        <w:tc>
          <w:tcPr>
            <w:tcW w:w="1133" w:type="dxa"/>
            <w:shd w:val="clear" w:color="auto" w:fill="auto"/>
          </w:tcPr>
          <w:p w14:paraId="2D3AD59E" w14:textId="77777777" w:rsidR="007D3F4C" w:rsidRPr="0009445C" w:rsidRDefault="007D3F4C" w:rsidP="00BA10E9">
            <w:pPr>
              <w:pStyle w:val="BRL-Tabelle"/>
              <w:pageBreakBefore/>
              <w:widowControl w:val="0"/>
            </w:pPr>
            <w:r w:rsidRPr="0009445C">
              <w:lastRenderedPageBreak/>
              <w:t>A 2.2.1.11</w:t>
            </w:r>
          </w:p>
        </w:tc>
        <w:tc>
          <w:tcPr>
            <w:tcW w:w="3402" w:type="dxa"/>
            <w:shd w:val="clear" w:color="auto" w:fill="auto"/>
          </w:tcPr>
          <w:p w14:paraId="4521EC49" w14:textId="77777777" w:rsidR="007D3F4C" w:rsidRPr="0009445C" w:rsidRDefault="007D3F4C" w:rsidP="00BA10E9">
            <w:pPr>
              <w:pStyle w:val="BRL-Tabelle"/>
              <w:widowControl w:val="0"/>
            </w:pPr>
            <w:r w:rsidRPr="0009445C">
              <w:t>Ventilation systems</w:t>
            </w:r>
          </w:p>
        </w:tc>
        <w:tc>
          <w:tcPr>
            <w:tcW w:w="2835" w:type="dxa"/>
            <w:shd w:val="clear" w:color="auto" w:fill="auto"/>
          </w:tcPr>
          <w:p w14:paraId="417276D9" w14:textId="63F9D27D" w:rsidR="007D3F4C" w:rsidRPr="0009445C" w:rsidRDefault="007D3F4C" w:rsidP="00BA10E9">
            <w:pPr>
              <w:pStyle w:val="BRL-Tabelle"/>
              <w:widowControl w:val="0"/>
            </w:pPr>
            <w:r w:rsidRPr="0009445C">
              <w:t>Model guideline on fire protection requirements pertaining to ventilation systems (Model Ventilation System Guideline, Muster-</w:t>
            </w:r>
            <w:proofErr w:type="spellStart"/>
            <w:r w:rsidRPr="0009445C">
              <w:t>Lüftungsanlagen</w:t>
            </w:r>
            <w:proofErr w:type="spellEnd"/>
            <w:r w:rsidRPr="0009445C">
              <w:t>-</w:t>
            </w:r>
            <w:proofErr w:type="spellStart"/>
            <w:r w:rsidRPr="0009445C">
              <w:t>Richtlinie</w:t>
            </w:r>
            <w:proofErr w:type="spellEnd"/>
            <w:r w:rsidRPr="0009445C">
              <w:t xml:space="preserve"> [M</w:t>
            </w:r>
            <w:r w:rsidRPr="0009445C">
              <w:noBreakHyphen/>
            </w:r>
            <w:proofErr w:type="spellStart"/>
            <w:r w:rsidRPr="0009445C">
              <w:t>LüAR</w:t>
            </w:r>
            <w:proofErr w:type="spellEnd"/>
            <w:r w:rsidRPr="0009445C">
              <w:t>]): Version of 29 September 2005, last amended by decision of the Commission for Construction Supervision of 3.9.2020</w:t>
            </w:r>
            <w:r w:rsidRPr="0009445C">
              <w:rPr>
                <w:rStyle w:val="FootnoteReference"/>
              </w:rPr>
              <w:footnoteReference w:customMarkFollows="1" w:id="4"/>
              <w:t xml:space="preserve">4 </w:t>
            </w:r>
          </w:p>
        </w:tc>
        <w:tc>
          <w:tcPr>
            <w:tcW w:w="1700" w:type="dxa"/>
            <w:shd w:val="clear" w:color="auto" w:fill="auto"/>
          </w:tcPr>
          <w:p w14:paraId="5F4643DD" w14:textId="77777777" w:rsidR="007D3F4C" w:rsidRPr="0009445C" w:rsidRDefault="007D3F4C" w:rsidP="00BA10E9">
            <w:pPr>
              <w:pStyle w:val="BRL-Tabelle"/>
              <w:widowControl w:val="0"/>
            </w:pPr>
          </w:p>
        </w:tc>
      </w:tr>
    </w:tbl>
    <w:p w14:paraId="7980E16C" w14:textId="77777777" w:rsidR="007D3F4C" w:rsidRPr="0009445C" w:rsidRDefault="007D3F4C" w:rsidP="007D3F4C">
      <w:pPr>
        <w:spacing w:line="20" w:lineRule="exact"/>
      </w:pPr>
      <w:r w:rsidRPr="0009445C">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5E0" w:firstRow="1" w:lastRow="1" w:firstColumn="1" w:lastColumn="1" w:noHBand="0" w:noVBand="1"/>
      </w:tblPr>
      <w:tblGrid>
        <w:gridCol w:w="1133"/>
        <w:gridCol w:w="3402"/>
        <w:gridCol w:w="2835"/>
        <w:gridCol w:w="1700"/>
      </w:tblGrid>
      <w:tr w:rsidR="007D3F4C" w:rsidRPr="0009445C" w14:paraId="2B0A3930" w14:textId="77777777" w:rsidTr="007D3F4C">
        <w:trPr>
          <w:trHeight w:val="227"/>
        </w:trPr>
        <w:tc>
          <w:tcPr>
            <w:tcW w:w="1133" w:type="dxa"/>
            <w:shd w:val="clear" w:color="auto" w:fill="auto"/>
          </w:tcPr>
          <w:p w14:paraId="6054DE6C" w14:textId="77777777" w:rsidR="007D3F4C" w:rsidRPr="0009445C" w:rsidRDefault="007D3F4C" w:rsidP="00BA10E9">
            <w:pPr>
              <w:pStyle w:val="BRL-Tabelle-Blau"/>
              <w:widowControl w:val="0"/>
              <w:rPr>
                <w:color w:val="auto"/>
              </w:rPr>
            </w:pPr>
            <w:r w:rsidRPr="0009445C">
              <w:rPr>
                <w:color w:val="auto"/>
              </w:rPr>
              <w:lastRenderedPageBreak/>
              <w:t>A 2.2.1.12</w:t>
            </w:r>
          </w:p>
        </w:tc>
        <w:tc>
          <w:tcPr>
            <w:tcW w:w="3402" w:type="dxa"/>
            <w:shd w:val="clear" w:color="auto" w:fill="auto"/>
          </w:tcPr>
          <w:p w14:paraId="32E5CE8B" w14:textId="015F0674" w:rsidR="007D3F4C" w:rsidRPr="0009445C" w:rsidRDefault="007D3F4C" w:rsidP="00BA10E9">
            <w:pPr>
              <w:pStyle w:val="BRL-Tabelle-Blau"/>
              <w:widowControl w:val="0"/>
              <w:rPr>
                <w:color w:val="auto"/>
              </w:rPr>
            </w:pPr>
            <w:r w:rsidRPr="0009445C">
              <w:rPr>
                <w:color w:val="auto"/>
              </w:rPr>
              <w:t>Furnaces</w:t>
            </w:r>
            <w:bookmarkStart w:id="5" w:name="_Ref120180476"/>
            <w:r w:rsidRPr="0009445C">
              <w:rPr>
                <w:rStyle w:val="FootnoteReference"/>
                <w:sz w:val="18"/>
                <w:szCs w:val="18"/>
                <w:vertAlign w:val="superscript"/>
              </w:rPr>
              <w:footnoteReference w:customMarkFollows="1" w:id="5"/>
              <w:t>1</w:t>
            </w:r>
            <w:bookmarkEnd w:id="5"/>
            <w:r w:rsidRPr="0009445C">
              <w:rPr>
                <w:color w:val="auto"/>
              </w:rPr>
              <w:t>, other heat generation and fuel supply systems</w:t>
            </w:r>
          </w:p>
        </w:tc>
        <w:tc>
          <w:tcPr>
            <w:tcW w:w="2835" w:type="dxa"/>
            <w:shd w:val="clear" w:color="auto" w:fill="auto"/>
          </w:tcPr>
          <w:p w14:paraId="481EC3DF" w14:textId="358739A7" w:rsidR="007D3F4C" w:rsidRPr="0009445C" w:rsidRDefault="007D3F4C" w:rsidP="00DD2DE1">
            <w:pPr>
              <w:pStyle w:val="BRL-Tabelle-Blau"/>
              <w:widowControl w:val="0"/>
              <w:rPr>
                <w:color w:val="auto"/>
              </w:rPr>
            </w:pPr>
            <w:r w:rsidRPr="0009445C">
              <w:rPr>
                <w:color w:val="auto"/>
              </w:rPr>
              <w:t>Model Combustion Ordinance (Muster-</w:t>
            </w:r>
            <w:proofErr w:type="spellStart"/>
            <w:r w:rsidRPr="0009445C">
              <w:rPr>
                <w:color w:val="auto"/>
              </w:rPr>
              <w:t>Feuerungsverordnung</w:t>
            </w:r>
            <w:proofErr w:type="spellEnd"/>
            <w:r w:rsidRPr="0009445C">
              <w:rPr>
                <w:color w:val="auto"/>
              </w:rPr>
              <w:t xml:space="preserve"> [</w:t>
            </w:r>
            <w:proofErr w:type="spellStart"/>
            <w:r w:rsidRPr="0009445C">
              <w:rPr>
                <w:color w:val="auto"/>
              </w:rPr>
              <w:t>MFeuV</w:t>
            </w:r>
            <w:proofErr w:type="spellEnd"/>
            <w:r w:rsidRPr="0009445C">
              <w:rPr>
                <w:color w:val="auto"/>
              </w:rPr>
              <w:t>]): September</w:t>
            </w:r>
            <w:r w:rsidRPr="0009445C">
              <w:rPr>
                <w:color w:val="auto"/>
              </w:rPr>
              <w:noBreakHyphen/>
              <w:t>2007,</w:t>
            </w:r>
            <w:r w:rsidRPr="0009445C">
              <w:rPr>
                <w:color w:val="auto"/>
              </w:rPr>
              <w:br/>
              <w:t>last amended by decision of the Commission for Construction Supervision of 27.9.2017</w:t>
            </w:r>
            <w:r w:rsidRPr="0009445C">
              <w:rPr>
                <w:rStyle w:val="FootnoteReference"/>
                <w:sz w:val="18"/>
                <w:szCs w:val="18"/>
                <w:vertAlign w:val="superscript"/>
              </w:rPr>
              <w:footnoteReference w:customMarkFollows="1" w:id="6"/>
              <w:t xml:space="preserve">2 </w:t>
            </w:r>
          </w:p>
        </w:tc>
        <w:tc>
          <w:tcPr>
            <w:tcW w:w="1700" w:type="dxa"/>
            <w:shd w:val="clear" w:color="auto" w:fill="auto"/>
          </w:tcPr>
          <w:p w14:paraId="5F4D1422" w14:textId="77777777" w:rsidR="007D3F4C" w:rsidRPr="0009445C" w:rsidRDefault="007D3F4C" w:rsidP="00BA10E9">
            <w:pPr>
              <w:pStyle w:val="BRL-Tabelle-Blau"/>
              <w:widowControl w:val="0"/>
              <w:rPr>
                <w:color w:val="auto"/>
              </w:rPr>
            </w:pPr>
          </w:p>
        </w:tc>
      </w:tr>
      <w:tr w:rsidR="007D3F4C" w:rsidRPr="0009445C" w14:paraId="22061AAC" w14:textId="77777777" w:rsidTr="007D3F4C">
        <w:trPr>
          <w:trHeight w:val="227"/>
        </w:trPr>
        <w:tc>
          <w:tcPr>
            <w:tcW w:w="1133" w:type="dxa"/>
            <w:shd w:val="clear" w:color="auto" w:fill="auto"/>
          </w:tcPr>
          <w:p w14:paraId="4240C24D" w14:textId="77777777" w:rsidR="007D3F4C" w:rsidRPr="0009445C" w:rsidRDefault="007D3F4C" w:rsidP="007D3F4C">
            <w:pPr>
              <w:pStyle w:val="BRL-Tabelle-Rot"/>
              <w:widowControl w:val="0"/>
              <w:rPr>
                <w:color w:val="auto"/>
              </w:rPr>
            </w:pPr>
            <w:r w:rsidRPr="0009445C">
              <w:rPr>
                <w:color w:val="auto"/>
              </w:rPr>
              <w:t>A 2.2.1.13</w:t>
            </w:r>
          </w:p>
        </w:tc>
        <w:tc>
          <w:tcPr>
            <w:tcW w:w="7937" w:type="dxa"/>
            <w:gridSpan w:val="3"/>
            <w:shd w:val="clear" w:color="auto" w:fill="auto"/>
          </w:tcPr>
          <w:p w14:paraId="496AD1F9" w14:textId="77777777" w:rsidR="007D3F4C" w:rsidRPr="0009445C" w:rsidRDefault="007D3F4C" w:rsidP="007D3F4C">
            <w:pPr>
              <w:pStyle w:val="BRL-Tabelle-Rot"/>
              <w:widowControl w:val="0"/>
              <w:rPr>
                <w:color w:val="auto"/>
              </w:rPr>
            </w:pPr>
            <w:r w:rsidRPr="0009445C">
              <w:rPr>
                <w:color w:val="auto"/>
              </w:rPr>
              <w:t>‘Containment systems for extinguishing water’ deleted from MVV TB 2019/1</w:t>
            </w:r>
          </w:p>
        </w:tc>
      </w:tr>
      <w:tr w:rsidR="007D3F4C" w:rsidRPr="0009445C" w14:paraId="31BD1928" w14:textId="77777777" w:rsidTr="007D3F4C">
        <w:trPr>
          <w:trHeight w:val="227"/>
        </w:trPr>
        <w:tc>
          <w:tcPr>
            <w:tcW w:w="1133" w:type="dxa"/>
            <w:shd w:val="clear" w:color="auto" w:fill="auto"/>
          </w:tcPr>
          <w:p w14:paraId="5F39EA76" w14:textId="77777777" w:rsidR="007D3F4C" w:rsidRPr="0009445C" w:rsidRDefault="007D3F4C" w:rsidP="007D3F4C">
            <w:pPr>
              <w:pStyle w:val="BRL-Tabelle-Blau"/>
              <w:widowControl w:val="0"/>
              <w:rPr>
                <w:color w:val="auto"/>
              </w:rPr>
            </w:pPr>
            <w:r w:rsidRPr="0009445C">
              <w:rPr>
                <w:color w:val="auto"/>
              </w:rPr>
              <w:t>A 2.2.1.14</w:t>
            </w:r>
          </w:p>
        </w:tc>
        <w:tc>
          <w:tcPr>
            <w:tcW w:w="3402" w:type="dxa"/>
            <w:shd w:val="clear" w:color="auto" w:fill="auto"/>
          </w:tcPr>
          <w:p w14:paraId="4BE490A0" w14:textId="77777777" w:rsidR="007D3F4C" w:rsidRPr="0009445C" w:rsidRDefault="007D3F4C" w:rsidP="007D3F4C">
            <w:pPr>
              <w:pStyle w:val="BRL-Tabelle-Blau"/>
              <w:widowControl w:val="0"/>
              <w:rPr>
                <w:color w:val="auto"/>
              </w:rPr>
            </w:pPr>
            <w:r w:rsidRPr="0009445C">
              <w:rPr>
                <w:color w:val="auto"/>
              </w:rPr>
              <w:t>Storage of plastic secondary materials</w:t>
            </w:r>
          </w:p>
        </w:tc>
        <w:tc>
          <w:tcPr>
            <w:tcW w:w="2835" w:type="dxa"/>
            <w:shd w:val="clear" w:color="auto" w:fill="auto"/>
          </w:tcPr>
          <w:p w14:paraId="1A8D2936" w14:textId="77777777" w:rsidR="007D3F4C" w:rsidRPr="0009445C" w:rsidRDefault="007D3F4C" w:rsidP="007D3F4C">
            <w:pPr>
              <w:pStyle w:val="BRL-Tabelle-Blau"/>
              <w:widowControl w:val="0"/>
              <w:rPr>
                <w:color w:val="auto"/>
              </w:rPr>
            </w:pPr>
            <w:r w:rsidRPr="0009445C">
              <w:rPr>
                <w:color w:val="auto"/>
              </w:rPr>
              <w:t>Model guideline on fire protection during the storage of plastic secondary materials (Muster-</w:t>
            </w:r>
            <w:proofErr w:type="spellStart"/>
            <w:r w:rsidRPr="0009445C">
              <w:rPr>
                <w:color w:val="auto"/>
              </w:rPr>
              <w:t>Kunststofflagerrichtlinie</w:t>
            </w:r>
            <w:proofErr w:type="spellEnd"/>
            <w:r w:rsidRPr="0009445C">
              <w:rPr>
                <w:color w:val="auto"/>
              </w:rPr>
              <w:t xml:space="preserve"> [MKLR]): 1996</w:t>
            </w:r>
            <w:r w:rsidRPr="0009445C">
              <w:rPr>
                <w:color w:val="auto"/>
              </w:rPr>
              <w:noBreakHyphen/>
              <w:t>06</w:t>
            </w:r>
            <w:r w:rsidRPr="0009445C">
              <w:rPr>
                <w:rStyle w:val="Querverweis"/>
              </w:rPr>
              <w:t>2</w:t>
            </w:r>
          </w:p>
        </w:tc>
        <w:tc>
          <w:tcPr>
            <w:tcW w:w="1700" w:type="dxa"/>
            <w:shd w:val="clear" w:color="auto" w:fill="auto"/>
          </w:tcPr>
          <w:p w14:paraId="3472C35A" w14:textId="77777777" w:rsidR="007D3F4C" w:rsidRPr="0009445C" w:rsidRDefault="007D3F4C" w:rsidP="007D3F4C">
            <w:pPr>
              <w:pStyle w:val="BRL-Tabelle-Blau"/>
              <w:widowControl w:val="0"/>
              <w:rPr>
                <w:color w:val="auto"/>
              </w:rPr>
            </w:pPr>
          </w:p>
        </w:tc>
      </w:tr>
      <w:tr w:rsidR="007D3F4C" w:rsidRPr="0009445C" w14:paraId="2666A249" w14:textId="77777777" w:rsidTr="007D3F4C">
        <w:trPr>
          <w:trHeight w:val="227"/>
        </w:trPr>
        <w:tc>
          <w:tcPr>
            <w:tcW w:w="1133" w:type="dxa"/>
            <w:shd w:val="clear" w:color="auto" w:fill="auto"/>
          </w:tcPr>
          <w:p w14:paraId="3E7AD59E" w14:textId="77777777" w:rsidR="007D3F4C" w:rsidRPr="0009445C" w:rsidRDefault="007D3F4C" w:rsidP="007D3F4C">
            <w:pPr>
              <w:pStyle w:val="BRL-Tabelle-Blau"/>
              <w:widowControl w:val="0"/>
              <w:rPr>
                <w:color w:val="auto"/>
              </w:rPr>
            </w:pPr>
            <w:r w:rsidRPr="0009445C">
              <w:rPr>
                <w:color w:val="auto"/>
              </w:rPr>
              <w:t>A 2.2.1.15</w:t>
            </w:r>
          </w:p>
        </w:tc>
        <w:tc>
          <w:tcPr>
            <w:tcW w:w="3402" w:type="dxa"/>
            <w:shd w:val="clear" w:color="auto" w:fill="auto"/>
          </w:tcPr>
          <w:p w14:paraId="0961F02F" w14:textId="77777777" w:rsidR="007D3F4C" w:rsidRPr="0009445C" w:rsidRDefault="007D3F4C" w:rsidP="007D3F4C">
            <w:pPr>
              <w:pStyle w:val="BRL-Tabelle-Blau"/>
              <w:widowControl w:val="0"/>
              <w:rPr>
                <w:color w:val="auto"/>
              </w:rPr>
            </w:pPr>
            <w:r w:rsidRPr="0009445C">
              <w:rPr>
                <w:color w:val="auto"/>
              </w:rPr>
              <w:t>Industrial construction</w:t>
            </w:r>
            <w:r w:rsidRPr="0009445C">
              <w:rPr>
                <w:rStyle w:val="Querverweis"/>
              </w:rPr>
              <w:t>1</w:t>
            </w:r>
          </w:p>
        </w:tc>
        <w:tc>
          <w:tcPr>
            <w:tcW w:w="2835" w:type="dxa"/>
            <w:shd w:val="clear" w:color="auto" w:fill="auto"/>
          </w:tcPr>
          <w:p w14:paraId="0D47F020" w14:textId="77777777" w:rsidR="007D3F4C" w:rsidRPr="0009445C" w:rsidRDefault="007D3F4C" w:rsidP="007D3F4C">
            <w:pPr>
              <w:pStyle w:val="BRL-Tabelle-Blau"/>
              <w:widowControl w:val="0"/>
              <w:rPr>
                <w:color w:val="auto"/>
              </w:rPr>
            </w:pPr>
            <w:r w:rsidRPr="0009445C">
              <w:rPr>
                <w:color w:val="auto"/>
              </w:rPr>
              <w:t>Model guideline on structural fire protection in industrial buildings (Muster-</w:t>
            </w:r>
            <w:proofErr w:type="spellStart"/>
            <w:r w:rsidRPr="0009445C">
              <w:rPr>
                <w:color w:val="auto"/>
              </w:rPr>
              <w:t>Industriebaurichtlinie</w:t>
            </w:r>
            <w:proofErr w:type="spellEnd"/>
            <w:r w:rsidRPr="0009445C">
              <w:rPr>
                <w:color w:val="auto"/>
              </w:rPr>
              <w:t xml:space="preserve"> [</w:t>
            </w:r>
            <w:proofErr w:type="spellStart"/>
            <w:r w:rsidRPr="0009445C">
              <w:rPr>
                <w:color w:val="auto"/>
              </w:rPr>
              <w:t>MIndBauRL</w:t>
            </w:r>
            <w:proofErr w:type="spellEnd"/>
            <w:r w:rsidRPr="0009445C">
              <w:rPr>
                <w:color w:val="auto"/>
              </w:rPr>
              <w:t>]): 2019-05</w:t>
            </w:r>
            <w:r w:rsidRPr="0009445C">
              <w:rPr>
                <w:rStyle w:val="Querverweis"/>
              </w:rPr>
              <w:t>2</w:t>
            </w:r>
          </w:p>
        </w:tc>
        <w:tc>
          <w:tcPr>
            <w:tcW w:w="1700" w:type="dxa"/>
            <w:shd w:val="clear" w:color="auto" w:fill="auto"/>
          </w:tcPr>
          <w:p w14:paraId="1BD3C62E" w14:textId="77777777" w:rsidR="007D3F4C" w:rsidRPr="0009445C" w:rsidRDefault="007D3F4C" w:rsidP="007D3F4C">
            <w:pPr>
              <w:pStyle w:val="BRL-Tabelle-Blau"/>
              <w:widowControl w:val="0"/>
              <w:rPr>
                <w:color w:val="auto"/>
              </w:rPr>
            </w:pPr>
          </w:p>
        </w:tc>
      </w:tr>
      <w:tr w:rsidR="007D3F4C" w:rsidRPr="0009445C" w14:paraId="273D715C" w14:textId="77777777" w:rsidTr="007D3F4C">
        <w:trPr>
          <w:trHeight w:val="227"/>
        </w:trPr>
        <w:tc>
          <w:tcPr>
            <w:tcW w:w="1133" w:type="dxa"/>
            <w:shd w:val="clear" w:color="auto" w:fill="auto"/>
          </w:tcPr>
          <w:p w14:paraId="4A6CA09D" w14:textId="77777777" w:rsidR="007D3F4C" w:rsidRPr="0009445C" w:rsidRDefault="007D3F4C" w:rsidP="007D3F4C">
            <w:pPr>
              <w:pStyle w:val="BRL-Tabelle-Blau"/>
              <w:widowControl w:val="0"/>
              <w:rPr>
                <w:color w:val="auto"/>
              </w:rPr>
            </w:pPr>
            <w:r w:rsidRPr="0009445C">
              <w:rPr>
                <w:color w:val="auto"/>
              </w:rPr>
              <w:t>A 2.2.1.16</w:t>
            </w:r>
          </w:p>
        </w:tc>
        <w:tc>
          <w:tcPr>
            <w:tcW w:w="3402" w:type="dxa"/>
            <w:shd w:val="clear" w:color="auto" w:fill="auto"/>
          </w:tcPr>
          <w:p w14:paraId="445A758F" w14:textId="77777777" w:rsidR="007D3F4C" w:rsidRPr="0009445C" w:rsidRDefault="007D3F4C" w:rsidP="007D3F4C">
            <w:pPr>
              <w:pStyle w:val="BRL-Tabelle-Blau"/>
              <w:widowControl w:val="0"/>
              <w:rPr>
                <w:color w:val="auto"/>
              </w:rPr>
            </w:pPr>
            <w:r w:rsidRPr="0009445C">
              <w:rPr>
                <w:color w:val="auto"/>
              </w:rPr>
              <w:t>Technical fittings for buildings</w:t>
            </w:r>
          </w:p>
        </w:tc>
        <w:tc>
          <w:tcPr>
            <w:tcW w:w="2835" w:type="dxa"/>
            <w:shd w:val="clear" w:color="auto" w:fill="auto"/>
          </w:tcPr>
          <w:p w14:paraId="5D5CD693" w14:textId="1FBB8746" w:rsidR="007D3F4C" w:rsidRPr="0009445C" w:rsidRDefault="007D3F4C" w:rsidP="007D3F4C">
            <w:pPr>
              <w:pStyle w:val="BRL-Tabelle-Blau"/>
              <w:widowControl w:val="0"/>
              <w:rPr>
                <w:color w:val="auto"/>
              </w:rPr>
            </w:pPr>
            <w:r w:rsidRPr="0009445C">
              <w:rPr>
                <w:color w:val="auto"/>
              </w:rPr>
              <w:t>Technical Rule on Technical Building Equipment (</w:t>
            </w:r>
            <w:proofErr w:type="spellStart"/>
            <w:r w:rsidRPr="0009445C">
              <w:rPr>
                <w:color w:val="auto"/>
              </w:rPr>
              <w:t>Technische</w:t>
            </w:r>
            <w:proofErr w:type="spellEnd"/>
            <w:r w:rsidRPr="0009445C">
              <w:rPr>
                <w:color w:val="auto"/>
              </w:rPr>
              <w:t xml:space="preserve"> Regel </w:t>
            </w:r>
            <w:proofErr w:type="spellStart"/>
            <w:r w:rsidRPr="0009445C">
              <w:rPr>
                <w:color w:val="auto"/>
              </w:rPr>
              <w:t>Technische</w:t>
            </w:r>
            <w:proofErr w:type="spellEnd"/>
            <w:r w:rsidRPr="0009445C">
              <w:rPr>
                <w:color w:val="auto"/>
              </w:rPr>
              <w:t xml:space="preserve"> </w:t>
            </w:r>
            <w:proofErr w:type="spellStart"/>
            <w:r w:rsidRPr="0009445C">
              <w:rPr>
                <w:color w:val="auto"/>
              </w:rPr>
              <w:t>Gebäudeausrüstung</w:t>
            </w:r>
            <w:proofErr w:type="spellEnd"/>
            <w:r w:rsidRPr="0009445C">
              <w:rPr>
                <w:color w:val="auto"/>
              </w:rPr>
              <w:t xml:space="preserve"> [TR TGA]): 2022-04</w:t>
            </w:r>
            <w:r w:rsidRPr="0009445C">
              <w:rPr>
                <w:rStyle w:val="FootnoteReference"/>
                <w:sz w:val="18"/>
                <w:szCs w:val="18"/>
                <w:vertAlign w:val="superscript"/>
              </w:rPr>
              <w:footnoteReference w:customMarkFollows="1" w:id="7"/>
              <w:t>4.</w:t>
            </w:r>
            <w:r w:rsidRPr="0009445C">
              <w:rPr>
                <w:color w:val="auto"/>
              </w:rPr>
              <w:t xml:space="preserve"> (See Annex 14)</w:t>
            </w:r>
          </w:p>
        </w:tc>
        <w:tc>
          <w:tcPr>
            <w:tcW w:w="1700" w:type="dxa"/>
            <w:shd w:val="clear" w:color="auto" w:fill="auto"/>
          </w:tcPr>
          <w:p w14:paraId="4DA0A742" w14:textId="77777777" w:rsidR="007D3F4C" w:rsidRPr="0009445C" w:rsidRDefault="007D3F4C" w:rsidP="007D3F4C">
            <w:pPr>
              <w:pStyle w:val="BRL-Tabelle-Blau"/>
              <w:widowControl w:val="0"/>
              <w:rPr>
                <w:color w:val="auto"/>
              </w:rPr>
            </w:pPr>
          </w:p>
        </w:tc>
      </w:tr>
      <w:tr w:rsidR="0057446E" w:rsidRPr="0009445C" w14:paraId="450DAFB8" w14:textId="77777777" w:rsidTr="007D3F4C">
        <w:trPr>
          <w:trHeight w:val="227"/>
        </w:trPr>
        <w:tc>
          <w:tcPr>
            <w:tcW w:w="1133" w:type="dxa"/>
            <w:shd w:val="clear" w:color="auto" w:fill="auto"/>
          </w:tcPr>
          <w:p w14:paraId="7B329CDA" w14:textId="77777777" w:rsidR="0057446E" w:rsidRPr="0009445C" w:rsidRDefault="0057446E" w:rsidP="007D3F4C">
            <w:pPr>
              <w:pStyle w:val="BRL-Tabelle-Blau"/>
              <w:widowControl w:val="0"/>
              <w:rPr>
                <w:color w:val="auto"/>
              </w:rPr>
            </w:pPr>
            <w:r w:rsidRPr="0009445C">
              <w:rPr>
                <w:color w:val="auto"/>
              </w:rPr>
              <w:t>A 2.2.1.17</w:t>
            </w:r>
          </w:p>
        </w:tc>
        <w:tc>
          <w:tcPr>
            <w:tcW w:w="3402" w:type="dxa"/>
            <w:shd w:val="clear" w:color="auto" w:fill="auto"/>
          </w:tcPr>
          <w:p w14:paraId="5FB84D81" w14:textId="77777777" w:rsidR="0057446E" w:rsidRPr="0009445C" w:rsidRDefault="0057446E" w:rsidP="007D3F4C">
            <w:pPr>
              <w:pStyle w:val="BRL-Tabelle-Blau"/>
              <w:widowControl w:val="0"/>
              <w:rPr>
                <w:color w:val="auto"/>
              </w:rPr>
            </w:pPr>
            <w:r w:rsidRPr="0009445C">
              <w:rPr>
                <w:color w:val="auto"/>
              </w:rPr>
              <w:t>Normal flammability glazing</w:t>
            </w:r>
          </w:p>
        </w:tc>
        <w:tc>
          <w:tcPr>
            <w:tcW w:w="2835" w:type="dxa"/>
            <w:shd w:val="clear" w:color="auto" w:fill="auto"/>
          </w:tcPr>
          <w:p w14:paraId="3C8246DF" w14:textId="77777777" w:rsidR="0057446E" w:rsidRPr="0009445C" w:rsidRDefault="0057446E" w:rsidP="007D3F4C">
            <w:pPr>
              <w:pStyle w:val="BRL-Tabelle-Blau"/>
              <w:widowControl w:val="0"/>
              <w:rPr>
                <w:color w:val="auto"/>
              </w:rPr>
            </w:pPr>
            <w:r w:rsidRPr="0009445C">
              <w:rPr>
                <w:color w:val="auto"/>
              </w:rPr>
              <w:t>Use of normal flammability glazing in external walls, excluding exterior wall structures with inter-storey cavities or airspaces and façades: 2022-07</w:t>
            </w:r>
            <w:r w:rsidRPr="0009445C">
              <w:rPr>
                <w:color w:val="auto"/>
                <w:vertAlign w:val="superscript"/>
              </w:rPr>
              <w:t>2</w:t>
            </w:r>
            <w:r w:rsidRPr="0009445C">
              <w:rPr>
                <w:color w:val="auto"/>
              </w:rPr>
              <w:t xml:space="preserve"> (See Annex 18)</w:t>
            </w:r>
          </w:p>
        </w:tc>
        <w:tc>
          <w:tcPr>
            <w:tcW w:w="1700" w:type="dxa"/>
            <w:shd w:val="clear" w:color="auto" w:fill="auto"/>
          </w:tcPr>
          <w:p w14:paraId="6CE5C043" w14:textId="77777777" w:rsidR="0057446E" w:rsidRPr="0009445C" w:rsidRDefault="0057446E" w:rsidP="007D3F4C">
            <w:pPr>
              <w:pStyle w:val="BRL-Tabelle-Blau"/>
              <w:widowControl w:val="0"/>
              <w:rPr>
                <w:color w:val="auto"/>
                <w:highlight w:val="yellow"/>
              </w:rPr>
            </w:pPr>
          </w:p>
        </w:tc>
      </w:tr>
      <w:tr w:rsidR="007D3F4C" w:rsidRPr="0009445C" w14:paraId="3BCE099E" w14:textId="77777777" w:rsidTr="007D3F4C">
        <w:trPr>
          <w:trHeight w:val="227"/>
        </w:trPr>
        <w:tc>
          <w:tcPr>
            <w:tcW w:w="9070" w:type="dxa"/>
            <w:gridSpan w:val="4"/>
            <w:shd w:val="clear" w:color="auto" w:fill="auto"/>
          </w:tcPr>
          <w:p w14:paraId="391AF68B" w14:textId="77777777" w:rsidR="007D3F4C" w:rsidRPr="0009445C" w:rsidRDefault="007D3F4C" w:rsidP="007D3F4C">
            <w:pPr>
              <w:pStyle w:val="BRL-Tabelle-berschrift"/>
              <w:spacing w:after="60"/>
              <w:rPr>
                <w:b w:val="0"/>
              </w:rPr>
            </w:pPr>
            <w:r w:rsidRPr="0009445C">
              <w:rPr>
                <w:b w:val="0"/>
              </w:rPr>
              <w:t>A 2.2.2</w:t>
            </w:r>
            <w:r w:rsidRPr="0009445C">
              <w:rPr>
                <w:b w:val="0"/>
              </w:rPr>
              <w:tab/>
              <w:t>Garages and special buildings</w:t>
            </w:r>
          </w:p>
          <w:p w14:paraId="5A70FE06" w14:textId="77777777" w:rsidR="007D3F4C" w:rsidRPr="0009445C" w:rsidRDefault="007D3F4C" w:rsidP="007D3F4C">
            <w:pPr>
              <w:pStyle w:val="BRL-Tabelle-berschrift"/>
              <w:spacing w:after="60"/>
            </w:pPr>
            <w:r w:rsidRPr="0009445C">
              <w:rPr>
                <w:b w:val="0"/>
              </w:rPr>
              <w:t>§ 85a(1) sentence 3 MBO</w:t>
            </w:r>
            <w:r w:rsidRPr="0009445C">
              <w:rPr>
                <w:b w:val="0"/>
                <w:vertAlign w:val="superscript"/>
              </w:rPr>
              <w:t>1</w:t>
            </w:r>
            <w:r w:rsidRPr="0009445C">
              <w:rPr>
                <w:b w:val="0"/>
              </w:rPr>
              <w:t xml:space="preserve"> does not apply to Technical Building Regulations according to Section A 2.2.2</w:t>
            </w:r>
          </w:p>
        </w:tc>
      </w:tr>
      <w:tr w:rsidR="007D3F4C" w:rsidRPr="0009445C" w14:paraId="7715BF24" w14:textId="77777777" w:rsidTr="007D3F4C">
        <w:trPr>
          <w:trHeight w:val="227"/>
        </w:trPr>
        <w:tc>
          <w:tcPr>
            <w:tcW w:w="1133" w:type="dxa"/>
            <w:shd w:val="clear" w:color="auto" w:fill="auto"/>
          </w:tcPr>
          <w:p w14:paraId="6A53B947" w14:textId="77777777" w:rsidR="007D3F4C" w:rsidRPr="0009445C" w:rsidRDefault="007D3F4C" w:rsidP="007D3F4C">
            <w:pPr>
              <w:pStyle w:val="BRL-Tabelle"/>
              <w:widowControl w:val="0"/>
            </w:pPr>
            <w:r w:rsidRPr="0009445C">
              <w:t>A 2.2.2.1</w:t>
            </w:r>
          </w:p>
        </w:tc>
        <w:tc>
          <w:tcPr>
            <w:tcW w:w="3402" w:type="dxa"/>
            <w:shd w:val="clear" w:color="auto" w:fill="auto"/>
          </w:tcPr>
          <w:p w14:paraId="28F7D28E" w14:textId="77777777" w:rsidR="007D3F4C" w:rsidRPr="0009445C" w:rsidRDefault="007D3F4C" w:rsidP="007D3F4C">
            <w:pPr>
              <w:pStyle w:val="BRL-Tabelle"/>
              <w:widowControl w:val="0"/>
            </w:pPr>
            <w:r w:rsidRPr="0009445C">
              <w:t>Garages</w:t>
            </w:r>
            <w:r w:rsidRPr="0009445C">
              <w:rPr>
                <w:rStyle w:val="Querverweis"/>
              </w:rPr>
              <w:t>1, 4</w:t>
            </w:r>
          </w:p>
        </w:tc>
        <w:tc>
          <w:tcPr>
            <w:tcW w:w="2835" w:type="dxa"/>
            <w:shd w:val="clear" w:color="auto" w:fill="auto"/>
          </w:tcPr>
          <w:p w14:paraId="46554B6E" w14:textId="77777777" w:rsidR="007D3F4C" w:rsidRPr="0009445C" w:rsidRDefault="007D3F4C" w:rsidP="007D3F4C">
            <w:pPr>
              <w:pStyle w:val="BRL-Tabelle"/>
              <w:widowControl w:val="0"/>
            </w:pPr>
            <w:r w:rsidRPr="0009445C">
              <w:t>Model of a regulation on construction and operation of garages: 2008-05</w:t>
            </w:r>
            <w:r w:rsidRPr="0009445C">
              <w:rPr>
                <w:rStyle w:val="Querverweis"/>
              </w:rPr>
              <w:t>2</w:t>
            </w:r>
          </w:p>
        </w:tc>
        <w:tc>
          <w:tcPr>
            <w:tcW w:w="1700" w:type="dxa"/>
            <w:shd w:val="clear" w:color="auto" w:fill="auto"/>
          </w:tcPr>
          <w:p w14:paraId="513B9D7E" w14:textId="77777777" w:rsidR="007D3F4C" w:rsidRPr="0009445C" w:rsidRDefault="007D3F4C" w:rsidP="007D3F4C">
            <w:pPr>
              <w:pStyle w:val="BRL-Tabelle"/>
              <w:widowControl w:val="0"/>
            </w:pPr>
          </w:p>
        </w:tc>
      </w:tr>
      <w:tr w:rsidR="007D3F4C" w:rsidRPr="0009445C" w14:paraId="76BF8262" w14:textId="77777777" w:rsidTr="007D3F4C">
        <w:trPr>
          <w:trHeight w:val="227"/>
        </w:trPr>
        <w:tc>
          <w:tcPr>
            <w:tcW w:w="1133" w:type="dxa"/>
            <w:shd w:val="clear" w:color="auto" w:fill="auto"/>
          </w:tcPr>
          <w:p w14:paraId="1852B627" w14:textId="77777777" w:rsidR="007D3F4C" w:rsidRPr="0009445C" w:rsidRDefault="007D3F4C" w:rsidP="007D3F4C">
            <w:pPr>
              <w:pStyle w:val="BRL-Tabelle"/>
              <w:widowControl w:val="0"/>
            </w:pPr>
            <w:r w:rsidRPr="0009445C">
              <w:t>A 2.2.2.2</w:t>
            </w:r>
          </w:p>
        </w:tc>
        <w:tc>
          <w:tcPr>
            <w:tcW w:w="3402" w:type="dxa"/>
            <w:shd w:val="clear" w:color="auto" w:fill="auto"/>
          </w:tcPr>
          <w:p w14:paraId="3822A333" w14:textId="77777777" w:rsidR="007D3F4C" w:rsidRPr="0009445C" w:rsidRDefault="007D3F4C" w:rsidP="007D3F4C">
            <w:pPr>
              <w:pStyle w:val="BRL-Tabelle"/>
              <w:widowControl w:val="0"/>
            </w:pPr>
            <w:r w:rsidRPr="0009445C">
              <w:t>Accommodation facilities</w:t>
            </w:r>
            <w:r w:rsidRPr="0009445C">
              <w:rPr>
                <w:rStyle w:val="Querverweis"/>
              </w:rPr>
              <w:t>1, 4</w:t>
            </w:r>
          </w:p>
        </w:tc>
        <w:tc>
          <w:tcPr>
            <w:tcW w:w="2835" w:type="dxa"/>
            <w:shd w:val="clear" w:color="auto" w:fill="auto"/>
          </w:tcPr>
          <w:p w14:paraId="23DBBBBD" w14:textId="77777777" w:rsidR="007D3F4C" w:rsidRPr="0009445C" w:rsidRDefault="007D3F4C" w:rsidP="007D3F4C">
            <w:pPr>
              <w:pStyle w:val="BRL-Tabelle"/>
              <w:widowControl w:val="0"/>
            </w:pPr>
            <w:r w:rsidRPr="0009445C">
              <w:t>Model regulation on the building and operation of accommodation facilities: 2014-05</w:t>
            </w:r>
            <w:r w:rsidRPr="0009445C">
              <w:rPr>
                <w:rStyle w:val="Querverweis"/>
              </w:rPr>
              <w:t>2</w:t>
            </w:r>
          </w:p>
        </w:tc>
        <w:tc>
          <w:tcPr>
            <w:tcW w:w="1700" w:type="dxa"/>
            <w:shd w:val="clear" w:color="auto" w:fill="auto"/>
          </w:tcPr>
          <w:p w14:paraId="3FBDFDD4" w14:textId="77777777" w:rsidR="007D3F4C" w:rsidRPr="0009445C" w:rsidRDefault="007D3F4C" w:rsidP="007D3F4C">
            <w:pPr>
              <w:pStyle w:val="BRL-Tabelle"/>
              <w:widowControl w:val="0"/>
            </w:pPr>
          </w:p>
        </w:tc>
      </w:tr>
      <w:tr w:rsidR="007D3F4C" w:rsidRPr="0009445C" w14:paraId="446ECAC9" w14:textId="77777777" w:rsidTr="007D3F4C">
        <w:trPr>
          <w:trHeight w:val="227"/>
        </w:trPr>
        <w:tc>
          <w:tcPr>
            <w:tcW w:w="1133" w:type="dxa"/>
            <w:shd w:val="clear" w:color="auto" w:fill="auto"/>
          </w:tcPr>
          <w:p w14:paraId="2BF9D7AC" w14:textId="77777777" w:rsidR="007D3F4C" w:rsidRPr="0009445C" w:rsidRDefault="007D3F4C" w:rsidP="007D3F4C">
            <w:pPr>
              <w:pStyle w:val="BRL-Tabelle"/>
              <w:widowControl w:val="0"/>
            </w:pPr>
            <w:r w:rsidRPr="0009445C">
              <w:t>A 2.2.2.3</w:t>
            </w:r>
          </w:p>
        </w:tc>
        <w:tc>
          <w:tcPr>
            <w:tcW w:w="3402" w:type="dxa"/>
            <w:shd w:val="clear" w:color="auto" w:fill="auto"/>
          </w:tcPr>
          <w:p w14:paraId="2AD3B4E2" w14:textId="77777777" w:rsidR="007D3F4C" w:rsidRPr="0009445C" w:rsidRDefault="007D3F4C" w:rsidP="007D3F4C">
            <w:pPr>
              <w:pStyle w:val="BRL-Tabelle"/>
              <w:widowControl w:val="0"/>
            </w:pPr>
            <w:r w:rsidRPr="0009445C">
              <w:t>Retail outlets</w:t>
            </w:r>
            <w:r w:rsidRPr="0009445C">
              <w:rPr>
                <w:rStyle w:val="Querverweis"/>
              </w:rPr>
              <w:t>1, 4</w:t>
            </w:r>
          </w:p>
        </w:tc>
        <w:tc>
          <w:tcPr>
            <w:tcW w:w="2835" w:type="dxa"/>
            <w:shd w:val="clear" w:color="auto" w:fill="auto"/>
          </w:tcPr>
          <w:p w14:paraId="16CEFBF3" w14:textId="77777777" w:rsidR="007D3F4C" w:rsidRPr="0009445C" w:rsidRDefault="007D3F4C" w:rsidP="007D3F4C">
            <w:pPr>
              <w:pStyle w:val="BRL-Tabelle"/>
              <w:widowControl w:val="0"/>
            </w:pPr>
            <w:r w:rsidRPr="0009445C">
              <w:t>Model regulation on the construction and operation of retail outlets: 2014</w:t>
            </w:r>
            <w:r w:rsidRPr="0009445C">
              <w:noBreakHyphen/>
              <w:t>07</w:t>
            </w:r>
            <w:r w:rsidRPr="0009445C">
              <w:rPr>
                <w:rStyle w:val="Querverweis"/>
              </w:rPr>
              <w:t>2</w:t>
            </w:r>
          </w:p>
        </w:tc>
        <w:tc>
          <w:tcPr>
            <w:tcW w:w="1700" w:type="dxa"/>
            <w:shd w:val="clear" w:color="auto" w:fill="auto"/>
          </w:tcPr>
          <w:p w14:paraId="1DA45572" w14:textId="77777777" w:rsidR="007D3F4C" w:rsidRPr="0009445C" w:rsidRDefault="007D3F4C" w:rsidP="007D3F4C">
            <w:pPr>
              <w:pStyle w:val="BRL-Tabelle"/>
              <w:widowControl w:val="0"/>
            </w:pPr>
          </w:p>
        </w:tc>
      </w:tr>
      <w:tr w:rsidR="007D3F4C" w:rsidRPr="0009445C" w14:paraId="00E7692A" w14:textId="77777777" w:rsidTr="007D3F4C">
        <w:trPr>
          <w:trHeight w:val="227"/>
        </w:trPr>
        <w:tc>
          <w:tcPr>
            <w:tcW w:w="1133" w:type="dxa"/>
            <w:shd w:val="clear" w:color="auto" w:fill="auto"/>
          </w:tcPr>
          <w:p w14:paraId="696648B9" w14:textId="77777777" w:rsidR="007D3F4C" w:rsidRPr="0009445C" w:rsidRDefault="007D3F4C" w:rsidP="007D3F4C">
            <w:pPr>
              <w:pStyle w:val="BRL-Tabelle"/>
              <w:widowControl w:val="0"/>
            </w:pPr>
            <w:r w:rsidRPr="0009445C">
              <w:t>A 2.2.2.4</w:t>
            </w:r>
          </w:p>
        </w:tc>
        <w:tc>
          <w:tcPr>
            <w:tcW w:w="3402" w:type="dxa"/>
            <w:shd w:val="clear" w:color="auto" w:fill="auto"/>
          </w:tcPr>
          <w:p w14:paraId="1400DAE5" w14:textId="77777777" w:rsidR="007D3F4C" w:rsidRPr="0009445C" w:rsidRDefault="007D3F4C" w:rsidP="007D3F4C">
            <w:pPr>
              <w:pStyle w:val="BRL-Tabelle"/>
              <w:widowControl w:val="0"/>
            </w:pPr>
            <w:r w:rsidRPr="0009445C">
              <w:t>Meeting places</w:t>
            </w:r>
            <w:r w:rsidRPr="0009445C">
              <w:rPr>
                <w:rStyle w:val="Querverweis"/>
              </w:rPr>
              <w:t>1, 4</w:t>
            </w:r>
          </w:p>
        </w:tc>
        <w:tc>
          <w:tcPr>
            <w:tcW w:w="2835" w:type="dxa"/>
            <w:shd w:val="clear" w:color="auto" w:fill="auto"/>
          </w:tcPr>
          <w:p w14:paraId="7FDA3610" w14:textId="77777777" w:rsidR="007D3F4C" w:rsidRPr="0009445C" w:rsidRDefault="007D3F4C" w:rsidP="007D3F4C">
            <w:pPr>
              <w:pStyle w:val="BRL-Tabelle"/>
              <w:widowControl w:val="0"/>
            </w:pPr>
            <w:r w:rsidRPr="0009445C">
              <w:t>Model regulation on the construction and operation of meeting places: 2014</w:t>
            </w:r>
            <w:r w:rsidRPr="0009445C">
              <w:noBreakHyphen/>
              <w:t>07</w:t>
            </w:r>
            <w:r w:rsidRPr="0009445C">
              <w:rPr>
                <w:rStyle w:val="Querverweis"/>
              </w:rPr>
              <w:t>2</w:t>
            </w:r>
          </w:p>
        </w:tc>
        <w:tc>
          <w:tcPr>
            <w:tcW w:w="1700" w:type="dxa"/>
            <w:shd w:val="clear" w:color="auto" w:fill="auto"/>
          </w:tcPr>
          <w:p w14:paraId="715910D3" w14:textId="77777777" w:rsidR="007D3F4C" w:rsidRPr="0009445C" w:rsidRDefault="007D3F4C" w:rsidP="007D3F4C">
            <w:pPr>
              <w:pStyle w:val="BRL-Tabelle"/>
              <w:widowControl w:val="0"/>
            </w:pPr>
          </w:p>
        </w:tc>
      </w:tr>
      <w:tr w:rsidR="007D3F4C" w:rsidRPr="0009445C" w14:paraId="0D3AAD81" w14:textId="77777777" w:rsidTr="007D3F4C">
        <w:trPr>
          <w:trHeight w:val="227"/>
        </w:trPr>
        <w:tc>
          <w:tcPr>
            <w:tcW w:w="1133" w:type="dxa"/>
            <w:shd w:val="clear" w:color="auto" w:fill="auto"/>
          </w:tcPr>
          <w:p w14:paraId="48BA2322" w14:textId="77777777" w:rsidR="007D3F4C" w:rsidRPr="0009445C" w:rsidRDefault="007D3F4C" w:rsidP="007D3F4C">
            <w:pPr>
              <w:pStyle w:val="BRL-Tabelle"/>
              <w:widowControl w:val="0"/>
            </w:pPr>
            <w:r w:rsidRPr="0009445C">
              <w:t>A 2.2.2.5</w:t>
            </w:r>
          </w:p>
        </w:tc>
        <w:tc>
          <w:tcPr>
            <w:tcW w:w="3402" w:type="dxa"/>
            <w:shd w:val="clear" w:color="auto" w:fill="auto"/>
          </w:tcPr>
          <w:p w14:paraId="27E2B602" w14:textId="77777777" w:rsidR="007D3F4C" w:rsidRPr="0009445C" w:rsidRDefault="007D3F4C" w:rsidP="007D3F4C">
            <w:pPr>
              <w:pStyle w:val="BRL-Tabelle"/>
              <w:widowControl w:val="0"/>
            </w:pPr>
            <w:r w:rsidRPr="0009445C">
              <w:t>Schools</w:t>
            </w:r>
            <w:r w:rsidRPr="0009445C">
              <w:rPr>
                <w:rStyle w:val="Querverweis"/>
              </w:rPr>
              <w:t>1, 4</w:t>
            </w:r>
          </w:p>
        </w:tc>
        <w:tc>
          <w:tcPr>
            <w:tcW w:w="2835" w:type="dxa"/>
            <w:shd w:val="clear" w:color="auto" w:fill="auto"/>
          </w:tcPr>
          <w:p w14:paraId="3F6D23D3" w14:textId="77777777" w:rsidR="007D3F4C" w:rsidRPr="0009445C" w:rsidRDefault="007D3F4C" w:rsidP="007D3F4C">
            <w:pPr>
              <w:pStyle w:val="BRL-Tabelle"/>
              <w:widowControl w:val="0"/>
            </w:pPr>
            <w:r w:rsidRPr="0009445C">
              <w:t>Model guideline on Building approval requirements pertaining to schools: 2009</w:t>
            </w:r>
            <w:r w:rsidRPr="0009445C">
              <w:noBreakHyphen/>
              <w:t>04</w:t>
            </w:r>
            <w:r w:rsidRPr="0009445C">
              <w:rPr>
                <w:rStyle w:val="Querverweis"/>
              </w:rPr>
              <w:t>2</w:t>
            </w:r>
          </w:p>
        </w:tc>
        <w:tc>
          <w:tcPr>
            <w:tcW w:w="1700" w:type="dxa"/>
            <w:shd w:val="clear" w:color="auto" w:fill="auto"/>
          </w:tcPr>
          <w:p w14:paraId="590418DD" w14:textId="77777777" w:rsidR="007D3F4C" w:rsidRPr="0009445C" w:rsidRDefault="007D3F4C" w:rsidP="007D3F4C">
            <w:pPr>
              <w:pStyle w:val="BRL-Tabelle"/>
              <w:widowControl w:val="0"/>
            </w:pPr>
          </w:p>
        </w:tc>
      </w:tr>
      <w:tr w:rsidR="007D3F4C" w:rsidRPr="0009445C" w14:paraId="25CD6868" w14:textId="77777777" w:rsidTr="007D3F4C">
        <w:trPr>
          <w:trHeight w:val="227"/>
        </w:trPr>
        <w:tc>
          <w:tcPr>
            <w:tcW w:w="1133" w:type="dxa"/>
            <w:shd w:val="clear" w:color="auto" w:fill="auto"/>
          </w:tcPr>
          <w:p w14:paraId="1F1EF1D3" w14:textId="77777777" w:rsidR="007D3F4C" w:rsidRPr="0009445C" w:rsidRDefault="007D3F4C" w:rsidP="007D3F4C">
            <w:pPr>
              <w:pStyle w:val="BRL-Tabelle"/>
              <w:widowControl w:val="0"/>
            </w:pPr>
            <w:r w:rsidRPr="0009445C">
              <w:t>A 2.2.2.6</w:t>
            </w:r>
          </w:p>
        </w:tc>
        <w:tc>
          <w:tcPr>
            <w:tcW w:w="3402" w:type="dxa"/>
            <w:shd w:val="clear" w:color="auto" w:fill="auto"/>
          </w:tcPr>
          <w:p w14:paraId="012FFBD4" w14:textId="77777777" w:rsidR="007D3F4C" w:rsidRPr="0009445C" w:rsidRDefault="007D3F4C" w:rsidP="007D3F4C">
            <w:pPr>
              <w:pStyle w:val="BRL-Tabelle"/>
              <w:widowControl w:val="0"/>
            </w:pPr>
            <w:r w:rsidRPr="0009445C">
              <w:t>Residential accommodation for people in need of care or with disabilities</w:t>
            </w:r>
            <w:r w:rsidRPr="0009445C">
              <w:rPr>
                <w:rStyle w:val="Querverweis"/>
              </w:rPr>
              <w:t>1, 4</w:t>
            </w:r>
          </w:p>
        </w:tc>
        <w:tc>
          <w:tcPr>
            <w:tcW w:w="2835" w:type="dxa"/>
            <w:shd w:val="clear" w:color="auto" w:fill="auto"/>
          </w:tcPr>
          <w:p w14:paraId="28DCB521" w14:textId="77777777" w:rsidR="007D3F4C" w:rsidRPr="0009445C" w:rsidRDefault="007D3F4C" w:rsidP="007D3F4C">
            <w:pPr>
              <w:pStyle w:val="BRL-Tabelle"/>
              <w:widowControl w:val="0"/>
            </w:pPr>
            <w:r w:rsidRPr="0009445C">
              <w:t>Model guideline on Building approval requirements for residential accommodation for people in need of care or with disabilities: 2012</w:t>
            </w:r>
            <w:r w:rsidRPr="0009445C">
              <w:noBreakHyphen/>
              <w:t>05</w:t>
            </w:r>
            <w:r w:rsidRPr="0009445C">
              <w:rPr>
                <w:rStyle w:val="Querverweis"/>
              </w:rPr>
              <w:t>2</w:t>
            </w:r>
          </w:p>
        </w:tc>
        <w:tc>
          <w:tcPr>
            <w:tcW w:w="1700" w:type="dxa"/>
            <w:shd w:val="clear" w:color="auto" w:fill="auto"/>
          </w:tcPr>
          <w:p w14:paraId="361D86E9" w14:textId="77777777" w:rsidR="007D3F4C" w:rsidRPr="0009445C" w:rsidRDefault="007D3F4C" w:rsidP="007D3F4C">
            <w:pPr>
              <w:pStyle w:val="BRL-Tabelle"/>
              <w:widowControl w:val="0"/>
            </w:pPr>
          </w:p>
        </w:tc>
      </w:tr>
      <w:tr w:rsidR="007D3F4C" w:rsidRPr="0009445C" w14:paraId="028046A6" w14:textId="77777777" w:rsidTr="007D3F4C">
        <w:trPr>
          <w:trHeight w:val="227"/>
        </w:trPr>
        <w:tc>
          <w:tcPr>
            <w:tcW w:w="1133" w:type="dxa"/>
            <w:shd w:val="clear" w:color="auto" w:fill="auto"/>
          </w:tcPr>
          <w:p w14:paraId="542B3226" w14:textId="77777777" w:rsidR="007D3F4C" w:rsidRPr="0009445C" w:rsidRDefault="007D3F4C" w:rsidP="00BA10E9">
            <w:pPr>
              <w:pStyle w:val="BRL-Tabelle"/>
              <w:pageBreakBefore/>
              <w:widowControl w:val="0"/>
            </w:pPr>
            <w:r w:rsidRPr="0009445C">
              <w:lastRenderedPageBreak/>
              <w:t>A 2.2.2.7</w:t>
            </w:r>
          </w:p>
        </w:tc>
        <w:tc>
          <w:tcPr>
            <w:tcW w:w="3402" w:type="dxa"/>
            <w:shd w:val="clear" w:color="auto" w:fill="auto"/>
          </w:tcPr>
          <w:p w14:paraId="182FC9E1" w14:textId="77777777" w:rsidR="007D3F4C" w:rsidRPr="0009445C" w:rsidRDefault="007D3F4C" w:rsidP="007D3F4C">
            <w:pPr>
              <w:pStyle w:val="BRL-Tabelle"/>
              <w:widowControl w:val="0"/>
            </w:pPr>
            <w:r w:rsidRPr="0009445C">
              <w:t>High-rise buildings</w:t>
            </w:r>
            <w:r w:rsidRPr="0009445C">
              <w:rPr>
                <w:rStyle w:val="Querverweis"/>
              </w:rPr>
              <w:t>1, 4</w:t>
            </w:r>
          </w:p>
        </w:tc>
        <w:tc>
          <w:tcPr>
            <w:tcW w:w="2835" w:type="dxa"/>
            <w:shd w:val="clear" w:color="auto" w:fill="auto"/>
          </w:tcPr>
          <w:p w14:paraId="7C6069B1" w14:textId="77777777" w:rsidR="007D3F4C" w:rsidRPr="0009445C" w:rsidRDefault="007D3F4C" w:rsidP="007D3F4C">
            <w:pPr>
              <w:pStyle w:val="BRL-Tabelle"/>
              <w:widowControl w:val="0"/>
            </w:pPr>
            <w:r w:rsidRPr="0009445C">
              <w:t xml:space="preserve">Model guideline on the building and operation of high-rise buildings: 2008-04, last modified </w:t>
            </w:r>
            <w:proofErr w:type="gramStart"/>
            <w:r w:rsidRPr="0009445C">
              <w:t>on</w:t>
            </w:r>
            <w:proofErr w:type="gramEnd"/>
            <w:r w:rsidRPr="0009445C">
              <w:t xml:space="preserve"> 2012</w:t>
            </w:r>
            <w:r w:rsidRPr="0009445C">
              <w:noBreakHyphen/>
              <w:t>02</w:t>
            </w:r>
            <w:r w:rsidRPr="0009445C">
              <w:rPr>
                <w:rStyle w:val="Querverweis"/>
              </w:rPr>
              <w:t>2</w:t>
            </w:r>
          </w:p>
        </w:tc>
        <w:tc>
          <w:tcPr>
            <w:tcW w:w="1700" w:type="dxa"/>
            <w:shd w:val="clear" w:color="auto" w:fill="auto"/>
          </w:tcPr>
          <w:p w14:paraId="19C3AAE8" w14:textId="77777777" w:rsidR="007D3F4C" w:rsidRPr="0009445C" w:rsidRDefault="007D3F4C" w:rsidP="007D3F4C">
            <w:pPr>
              <w:pStyle w:val="BRL-Tabelle"/>
              <w:widowControl w:val="0"/>
            </w:pPr>
          </w:p>
        </w:tc>
      </w:tr>
      <w:tr w:rsidR="007D3F4C" w:rsidRPr="0009445C" w14:paraId="3F80B5E5" w14:textId="77777777" w:rsidTr="007D3F4C">
        <w:trPr>
          <w:trHeight w:val="1037"/>
        </w:trPr>
        <w:tc>
          <w:tcPr>
            <w:tcW w:w="1133" w:type="dxa"/>
            <w:shd w:val="clear" w:color="auto" w:fill="auto"/>
          </w:tcPr>
          <w:p w14:paraId="0E2302E8" w14:textId="77777777" w:rsidR="007D3F4C" w:rsidRPr="0009445C" w:rsidRDefault="007D3F4C" w:rsidP="007D3F4C">
            <w:pPr>
              <w:pStyle w:val="BRL-Tabelle"/>
              <w:widowControl w:val="0"/>
            </w:pPr>
            <w:r w:rsidRPr="0009445C">
              <w:t>A 2.2.2.8</w:t>
            </w:r>
          </w:p>
        </w:tc>
        <w:tc>
          <w:tcPr>
            <w:tcW w:w="3402" w:type="dxa"/>
            <w:shd w:val="clear" w:color="auto" w:fill="auto"/>
          </w:tcPr>
          <w:p w14:paraId="70334563" w14:textId="77777777" w:rsidR="007D3F4C" w:rsidRPr="0009445C" w:rsidRDefault="007D3F4C" w:rsidP="007D3F4C">
            <w:pPr>
              <w:pStyle w:val="BRL-Tabelle"/>
              <w:widowControl w:val="0"/>
            </w:pPr>
            <w:r w:rsidRPr="0009445C">
              <w:t>Industrial buildings</w:t>
            </w:r>
            <w:r w:rsidRPr="0009445C">
              <w:rPr>
                <w:rStyle w:val="Querverweis"/>
              </w:rPr>
              <w:t>1, 4</w:t>
            </w:r>
          </w:p>
        </w:tc>
        <w:tc>
          <w:tcPr>
            <w:tcW w:w="2835" w:type="dxa"/>
            <w:shd w:val="clear" w:color="auto" w:fill="auto"/>
          </w:tcPr>
          <w:p w14:paraId="79F9E644" w14:textId="77777777" w:rsidR="007D3F4C" w:rsidRPr="0009445C" w:rsidRDefault="007D3F4C" w:rsidP="007D3F4C">
            <w:pPr>
              <w:pStyle w:val="BRL-Tabelle"/>
              <w:widowControl w:val="0"/>
            </w:pPr>
            <w:r w:rsidRPr="0009445C">
              <w:t>Model guideline on structural fire protection in industrial buildings (Muster-</w:t>
            </w:r>
            <w:proofErr w:type="spellStart"/>
            <w:r w:rsidRPr="0009445C">
              <w:t>Industriebaurichtlinie</w:t>
            </w:r>
            <w:proofErr w:type="spellEnd"/>
            <w:r w:rsidRPr="0009445C">
              <w:t xml:space="preserve"> [</w:t>
            </w:r>
            <w:proofErr w:type="spellStart"/>
            <w:r w:rsidRPr="0009445C">
              <w:t>MIndBauRL</w:t>
            </w:r>
            <w:proofErr w:type="spellEnd"/>
            <w:r w:rsidRPr="0009445C">
              <w:t>]): 2019</w:t>
            </w:r>
            <w:r w:rsidRPr="0009445C">
              <w:noBreakHyphen/>
              <w:t>05</w:t>
            </w:r>
            <w:r w:rsidRPr="0009445C">
              <w:rPr>
                <w:rStyle w:val="Querverweis"/>
              </w:rPr>
              <w:t>2</w:t>
            </w:r>
          </w:p>
        </w:tc>
        <w:tc>
          <w:tcPr>
            <w:tcW w:w="1700" w:type="dxa"/>
            <w:shd w:val="clear" w:color="auto" w:fill="auto"/>
          </w:tcPr>
          <w:p w14:paraId="0303AFEC" w14:textId="77777777" w:rsidR="007D3F4C" w:rsidRPr="0009445C" w:rsidRDefault="007D3F4C" w:rsidP="007D3F4C">
            <w:pPr>
              <w:pStyle w:val="BRL-Tabelle"/>
              <w:widowControl w:val="0"/>
            </w:pPr>
          </w:p>
        </w:tc>
      </w:tr>
    </w:tbl>
    <w:p w14:paraId="47CEDEC5" w14:textId="77777777" w:rsidR="007D3F4C" w:rsidRPr="0009445C" w:rsidRDefault="007D3F4C" w:rsidP="007D3F4C">
      <w:pPr>
        <w:spacing w:line="20" w:lineRule="exact"/>
      </w:pPr>
    </w:p>
    <w:p w14:paraId="4DA8E474" w14:textId="77777777" w:rsidR="007D3F4C" w:rsidRPr="0009445C" w:rsidRDefault="007D3F4C" w:rsidP="007D3F4C"/>
    <w:p w14:paraId="66450E78" w14:textId="53E9DBFA" w:rsidR="0010739B" w:rsidRPr="0009445C" w:rsidRDefault="0010739B" w:rsidP="007D3F4C">
      <w:pPr>
        <w:sectPr w:rsidR="0010739B" w:rsidRPr="0009445C" w:rsidSect="007D3F4C">
          <w:headerReference w:type="default" r:id="rId28"/>
          <w:footerReference w:type="default" r:id="rId29"/>
          <w:headerReference w:type="first" r:id="rId30"/>
          <w:footerReference w:type="first" r:id="rId31"/>
          <w:pgSz w:w="11906" w:h="16838"/>
          <w:pgMar w:top="1134" w:right="1418" w:bottom="1134" w:left="1418" w:header="851" w:footer="425" w:gutter="0"/>
          <w:cols w:space="720"/>
          <w:titlePg/>
        </w:sectPr>
      </w:pPr>
    </w:p>
    <w:p w14:paraId="024908CF" w14:textId="77777777" w:rsidR="007D3F4C" w:rsidRPr="0009445C" w:rsidRDefault="007D3F4C" w:rsidP="007D3F4C">
      <w:pPr>
        <w:pStyle w:val="BRL-Anlage"/>
      </w:pPr>
      <w:r w:rsidRPr="0009445C">
        <w:lastRenderedPageBreak/>
        <w:t>Annex A 2.2.1.1/1</w:t>
      </w:r>
    </w:p>
    <w:p w14:paraId="46E3A04D" w14:textId="77777777" w:rsidR="007D3F4C" w:rsidRPr="0009445C" w:rsidRDefault="007D3F4C" w:rsidP="007D3F4C">
      <w:pPr>
        <w:pStyle w:val="BRL-Anlage"/>
      </w:pPr>
    </w:p>
    <w:p w14:paraId="25897F2C" w14:textId="77777777" w:rsidR="007D3F4C" w:rsidRPr="0009445C" w:rsidRDefault="007D3F4C" w:rsidP="007D3F4C">
      <w:pPr>
        <w:pStyle w:val="BRL-Anlage"/>
      </w:pPr>
      <w:r w:rsidRPr="0009445C">
        <w:t>On the guideline on fire service areas</w:t>
      </w:r>
    </w:p>
    <w:p w14:paraId="26E07342" w14:textId="77777777" w:rsidR="007D3F4C" w:rsidRPr="0009445C" w:rsidRDefault="007D3F4C" w:rsidP="007D3F4C">
      <w:pPr>
        <w:pStyle w:val="BRL-Anlage"/>
      </w:pPr>
    </w:p>
    <w:p w14:paraId="0BB26E44" w14:textId="77777777" w:rsidR="007D3F4C" w:rsidRPr="0009445C" w:rsidRDefault="007D3F4C" w:rsidP="007D3F4C">
      <w:pPr>
        <w:pStyle w:val="BRL-AnlageStandard"/>
      </w:pPr>
      <w:r w:rsidRPr="0009445C">
        <w:t>The following must be observed when applying the Technical Rule:</w:t>
      </w:r>
    </w:p>
    <w:p w14:paraId="573CDE86" w14:textId="77777777" w:rsidR="007D3F4C" w:rsidRPr="0009445C" w:rsidRDefault="007D3F4C" w:rsidP="007D3F4C">
      <w:pPr>
        <w:pStyle w:val="BRL-AnlageStandard"/>
      </w:pPr>
    </w:p>
    <w:p w14:paraId="5531A0E2" w14:textId="77777777" w:rsidR="007D3F4C" w:rsidRPr="0009445C" w:rsidRDefault="007D3F4C" w:rsidP="007D3F4C">
      <w:pPr>
        <w:pStyle w:val="BRL-AnlageStandard"/>
      </w:pPr>
      <w:r w:rsidRPr="0009445C">
        <w:t>1</w:t>
      </w:r>
      <w:r w:rsidRPr="0009445C">
        <w:tab/>
        <w:t>Re. Section 1</w:t>
      </w:r>
    </w:p>
    <w:p w14:paraId="2460CF03" w14:textId="77777777" w:rsidR="00DD2DE1" w:rsidRPr="0009445C" w:rsidRDefault="007D3F4C" w:rsidP="007D3F4C">
      <w:pPr>
        <w:pStyle w:val="BRL-AnlageStandard"/>
      </w:pPr>
      <w:r w:rsidRPr="0009445C">
        <w:t>Access routes, installation areas and movement areas must be fortified at least in line with road building class VI (</w:t>
      </w:r>
      <w:proofErr w:type="spellStart"/>
      <w:r w:rsidRPr="0009445C">
        <w:t>Richtlinie</w:t>
      </w:r>
      <w:proofErr w:type="spellEnd"/>
      <w:r w:rsidRPr="0009445C">
        <w:t xml:space="preserve"> für </w:t>
      </w:r>
      <w:proofErr w:type="spellStart"/>
      <w:r w:rsidRPr="0009445C">
        <w:t>Standardisierung</w:t>
      </w:r>
      <w:proofErr w:type="spellEnd"/>
      <w:r w:rsidRPr="0009445C">
        <w:t xml:space="preserve"> des </w:t>
      </w:r>
      <w:proofErr w:type="spellStart"/>
      <w:r w:rsidRPr="0009445C">
        <w:t>Oberbaues</w:t>
      </w:r>
      <w:proofErr w:type="spellEnd"/>
      <w:r w:rsidRPr="0009445C">
        <w:t xml:space="preserve"> von </w:t>
      </w:r>
      <w:proofErr w:type="spellStart"/>
      <w:r w:rsidRPr="0009445C">
        <w:t>Verkehrsflächen</w:t>
      </w:r>
      <w:proofErr w:type="spellEnd"/>
      <w:r w:rsidRPr="0009445C">
        <w:t xml:space="preserve"> [Guideline on the standardisation of superstructures for road surfaces (</w:t>
      </w:r>
      <w:proofErr w:type="spellStart"/>
      <w:r w:rsidRPr="0009445C">
        <w:t>RStO</w:t>
      </w:r>
      <w:proofErr w:type="spellEnd"/>
      <w:r w:rsidRPr="0009445C">
        <w:t xml:space="preserve"> 01)]).</w:t>
      </w:r>
    </w:p>
    <w:p w14:paraId="6BF5CEA6" w14:textId="5E9927DE" w:rsidR="007D3F4C" w:rsidRPr="0009445C" w:rsidRDefault="007D3F4C" w:rsidP="007D3F4C">
      <w:pPr>
        <w:pStyle w:val="BRL-AnlageStandard"/>
      </w:pPr>
      <w:r w:rsidRPr="0009445C">
        <w:t>Instead of DIN 1055-3:2006-03, DIN EN 1991-1-1:2010-12 in conjunction with DIN EN 1991-1-1/NA:2010</w:t>
      </w:r>
      <w:r w:rsidRPr="0009445C">
        <w:noBreakHyphen/>
        <w:t>12 shall apply.</w:t>
      </w:r>
    </w:p>
    <w:p w14:paraId="50059A42" w14:textId="77777777" w:rsidR="007D3F4C" w:rsidRPr="0009445C" w:rsidRDefault="007D3F4C" w:rsidP="007D3F4C">
      <w:pPr>
        <w:pStyle w:val="BRL-AnlageStandard"/>
      </w:pPr>
    </w:p>
    <w:p w14:paraId="01FBBBCF" w14:textId="77777777" w:rsidR="007D3F4C" w:rsidRPr="0009445C" w:rsidRDefault="007D3F4C" w:rsidP="007D3F4C">
      <w:pPr>
        <w:pStyle w:val="BRL-AnlageStandard"/>
      </w:pPr>
      <w:r w:rsidRPr="0009445C">
        <w:t>2</w:t>
      </w:r>
      <w:r w:rsidRPr="0009445C">
        <w:tab/>
        <w:t>Signs</w:t>
      </w:r>
    </w:p>
    <w:p w14:paraId="491EFB60" w14:textId="77777777" w:rsidR="00DD2DE1" w:rsidRPr="0009445C" w:rsidRDefault="007D3F4C" w:rsidP="007D3F4C">
      <w:pPr>
        <w:pStyle w:val="BRL-AnlageStandard"/>
      </w:pPr>
      <w:r w:rsidRPr="0009445C">
        <w:t>2.1</w:t>
      </w:r>
      <w:r w:rsidRPr="0009445C">
        <w:tab/>
        <w:t>Signs for access routes and thoroughfares are marked ‘Fire Brigade Access’, signs for installation areas or movement areas are marked ‘Fire Service Area’.</w:t>
      </w:r>
    </w:p>
    <w:p w14:paraId="3160A1E8" w14:textId="0FBED8D1" w:rsidR="007D3F4C" w:rsidRPr="0009445C" w:rsidRDefault="007D3F4C" w:rsidP="007D3F4C">
      <w:pPr>
        <w:pStyle w:val="BRL-AnlageStandard"/>
      </w:pPr>
      <w:r w:rsidRPr="0009445C">
        <w:t>The signs for fire service areas must comply with DIN 4066:1997-07; the ‘Fire Brigade Access’ sign must have a size of at least W/H = 594/210 mm and be recognisable from the public traffic area. Fire service areas must have a clearly visible boundary at all times.</w:t>
      </w:r>
    </w:p>
    <w:p w14:paraId="6330137A" w14:textId="77777777" w:rsidR="007D3F4C" w:rsidRPr="0009445C" w:rsidRDefault="007D3F4C" w:rsidP="007D3F4C">
      <w:pPr>
        <w:pStyle w:val="BRL-AnlageStandard"/>
      </w:pPr>
    </w:p>
    <w:p w14:paraId="46682A21" w14:textId="77777777" w:rsidR="007D3F4C" w:rsidRPr="0009445C" w:rsidRDefault="007D3F4C" w:rsidP="007D3F4C">
      <w:pPr>
        <w:pStyle w:val="BRL-AnlageStandard"/>
      </w:pPr>
      <w:r w:rsidRPr="0009445C">
        <w:t>2.2</w:t>
      </w:r>
      <w:r w:rsidRPr="0009445C">
        <w:tab/>
        <w:t>Under § 12 Section 1 Number 5 of the Highway Code (</w:t>
      </w:r>
      <w:proofErr w:type="spellStart"/>
      <w:r w:rsidRPr="0009445C">
        <w:t>Strassenverkehrs-Ordnung</w:t>
      </w:r>
      <w:proofErr w:type="spellEnd"/>
      <w:r w:rsidRPr="0009445C">
        <w:t xml:space="preserve"> [</w:t>
      </w:r>
      <w:proofErr w:type="spellStart"/>
      <w:r w:rsidRPr="0009445C">
        <w:t>StVO</w:t>
      </w:r>
      <w:proofErr w:type="spellEnd"/>
      <w:r w:rsidRPr="0009445C">
        <w:t>]), stopping in front of or in fire service access routes is not permitted if these access routes are officially marked.</w:t>
      </w:r>
    </w:p>
    <w:p w14:paraId="252502AA" w14:textId="77777777" w:rsidR="007D3F4C" w:rsidRPr="0009445C" w:rsidRDefault="007D3F4C" w:rsidP="007D3F4C">
      <w:pPr>
        <w:pStyle w:val="BRL-AnlageStandard"/>
      </w:pPr>
      <w:r w:rsidRPr="0009445C">
        <w:t xml:space="preserve">If stopping must be prohibited under </w:t>
      </w:r>
      <w:proofErr w:type="spellStart"/>
      <w:r w:rsidRPr="0009445C">
        <w:t>StVO</w:t>
      </w:r>
      <w:proofErr w:type="spellEnd"/>
      <w:r w:rsidRPr="0009445C">
        <w:t xml:space="preserve"> in the public thoroughfare in the fire service access area, the sign must be marked ‘Fire Brigade Access’ by the competent authority (official sign).</w:t>
      </w:r>
    </w:p>
    <w:p w14:paraId="17E402F6" w14:textId="77777777" w:rsidR="007D3F4C" w:rsidRPr="0009445C" w:rsidRDefault="007D3F4C" w:rsidP="007D3F4C">
      <w:pPr>
        <w:pStyle w:val="BRL-AnlageStandard"/>
        <w:rPr>
          <w:b/>
        </w:rPr>
      </w:pPr>
      <w:r w:rsidRPr="0009445C">
        <w:t xml:space="preserve">Instead of the official ‘Fire Brigade Access’ sign, the competent authority may order the installation of traffic sign 283 (stopping prohibited) under the </w:t>
      </w:r>
      <w:proofErr w:type="spellStart"/>
      <w:r w:rsidRPr="0009445C">
        <w:t>StVO</w:t>
      </w:r>
      <w:proofErr w:type="spellEnd"/>
      <w:r w:rsidRPr="0009445C">
        <w:t xml:space="preserve"> with an additional ‘Fire Brigade Access’ sign (protection area as defined in § 45(1) sentence 2 No. 5 </w:t>
      </w:r>
      <w:proofErr w:type="spellStart"/>
      <w:r w:rsidRPr="0009445C">
        <w:t>StVO</w:t>
      </w:r>
      <w:proofErr w:type="spellEnd"/>
      <w:r w:rsidRPr="0009445C">
        <w:t>).</w:t>
      </w:r>
    </w:p>
    <w:p w14:paraId="21524A9F" w14:textId="77777777" w:rsidR="007D3F4C" w:rsidRPr="0009445C" w:rsidRDefault="007D3F4C" w:rsidP="007D3F4C">
      <w:pPr>
        <w:rPr>
          <w:b/>
        </w:rPr>
      </w:pPr>
    </w:p>
    <w:p w14:paraId="6D057287" w14:textId="77777777" w:rsidR="007D3F4C" w:rsidRPr="0009445C" w:rsidRDefault="007D3F4C" w:rsidP="007D3F4C">
      <w:pPr>
        <w:pStyle w:val="BRL-AnlageStandard"/>
      </w:pPr>
      <w:r w:rsidRPr="0009445C">
        <w:t>2.3</w:t>
      </w:r>
      <w:r w:rsidRPr="0009445C">
        <w:tab/>
        <w:t>For the positioning of exterior wall cladding made of wood or wood-based materials for buildings of building classes 4 and 5, the requirements set out in Section 6.3 of the Technical Rule published under ser. No A 2.2.1.4 shall be observed.</w:t>
      </w:r>
    </w:p>
    <w:p w14:paraId="05078ACD" w14:textId="77777777" w:rsidR="007D3F4C" w:rsidRPr="0009445C" w:rsidRDefault="007D3F4C" w:rsidP="007D3F4C">
      <w:pPr>
        <w:pStyle w:val="BRL-Standard"/>
      </w:pPr>
    </w:p>
    <w:p w14:paraId="0D64815D" w14:textId="77777777" w:rsidR="007D3F4C" w:rsidRPr="0009445C" w:rsidRDefault="007D3F4C" w:rsidP="007D3F4C">
      <w:pPr>
        <w:pStyle w:val="BRL-Anlage"/>
      </w:pPr>
      <w:r w:rsidRPr="0009445C">
        <w:t xml:space="preserve">Annex A 2.2.1.3/1 </w:t>
      </w:r>
    </w:p>
    <w:p w14:paraId="63C38AAD" w14:textId="77777777" w:rsidR="007D3F4C" w:rsidRPr="0009445C" w:rsidRDefault="007D3F4C" w:rsidP="007D3F4C">
      <w:pPr>
        <w:pStyle w:val="BRL-AnlageStandard"/>
      </w:pPr>
    </w:p>
    <w:p w14:paraId="5FABEA09" w14:textId="77777777" w:rsidR="007D3F4C" w:rsidRPr="0009445C" w:rsidRDefault="007D3F4C" w:rsidP="007D3F4C">
      <w:pPr>
        <w:pStyle w:val="BRL-AnlageStandard"/>
      </w:pPr>
      <w:r w:rsidRPr="0009445C">
        <w:t>The subject of the Technical Building Regulations are only the classified building materials and types of structural elements that are required to meet the requirements according to Technical Building Regulation A 2.2.1.2.</w:t>
      </w:r>
    </w:p>
    <w:p w14:paraId="613E3748" w14:textId="77777777" w:rsidR="007D3F4C" w:rsidRPr="0009445C" w:rsidRDefault="007D3F4C" w:rsidP="007D3F4C">
      <w:pPr>
        <w:pStyle w:val="BRL-AnlageStandard"/>
      </w:pPr>
    </w:p>
    <w:p w14:paraId="2ADBA118" w14:textId="77777777" w:rsidR="007D3F4C" w:rsidRPr="0009445C" w:rsidRDefault="007D3F4C" w:rsidP="007D3F4C">
      <w:pPr>
        <w:pStyle w:val="BRL-AnlageStandard"/>
      </w:pPr>
      <w:r w:rsidRPr="0009445C">
        <w:t>The following must be observed when applying the Technical Rule:</w:t>
      </w:r>
    </w:p>
    <w:p w14:paraId="46BFEAB0" w14:textId="77777777" w:rsidR="007D3F4C" w:rsidRPr="0009445C" w:rsidRDefault="007D3F4C" w:rsidP="007D3F4C">
      <w:pPr>
        <w:pStyle w:val="BRL-AnlageStandard"/>
      </w:pPr>
    </w:p>
    <w:p w14:paraId="4B9B3B07" w14:textId="77777777" w:rsidR="007D3F4C" w:rsidRPr="0009445C" w:rsidRDefault="007D3F4C" w:rsidP="007D3F4C">
      <w:pPr>
        <w:pStyle w:val="BRL-AnlageStandard"/>
      </w:pPr>
      <w:r w:rsidRPr="0009445C">
        <w:t>Re. Section 4.2</w:t>
      </w:r>
    </w:p>
    <w:p w14:paraId="1D345443" w14:textId="77777777" w:rsidR="007D3F4C" w:rsidRPr="0009445C" w:rsidRDefault="007D3F4C" w:rsidP="007D3F4C">
      <w:pPr>
        <w:pStyle w:val="BRL-AnlageStandard"/>
      </w:pPr>
      <w:r w:rsidRPr="0009445C">
        <w:t>In the case of fire protection requirements and fire protection evaluations of the building material class, subsequently applied coatings up to a thickness of 0.5 mm on structural elements are not taken into account if the coatings are applied completely to a non-combustible substrate without cavities.</w:t>
      </w:r>
    </w:p>
    <w:p w14:paraId="7B914436" w14:textId="77777777" w:rsidR="007D3F4C" w:rsidRPr="0009445C" w:rsidRDefault="007D3F4C" w:rsidP="007D3F4C">
      <w:pPr>
        <w:pStyle w:val="BRL-AnlageStandard"/>
      </w:pPr>
    </w:p>
    <w:p w14:paraId="0EF2BC76" w14:textId="77777777" w:rsidR="007D3F4C" w:rsidRPr="0009445C" w:rsidRDefault="007D3F4C" w:rsidP="007D3F4C">
      <w:pPr>
        <w:pStyle w:val="BRL-AnlageStandard"/>
      </w:pPr>
    </w:p>
    <w:p w14:paraId="1134C3A0" w14:textId="77777777" w:rsidR="007D3F4C" w:rsidRPr="0009445C" w:rsidRDefault="007D3F4C" w:rsidP="007D3F4C">
      <w:pPr>
        <w:pStyle w:val="BRL-AnlageStandard"/>
      </w:pPr>
      <w:r w:rsidRPr="0009445C">
        <w:t>Re. Section 10.5.6</w:t>
      </w:r>
    </w:p>
    <w:p w14:paraId="304192EA" w14:textId="77777777" w:rsidR="007D3F4C" w:rsidRPr="0009445C" w:rsidRDefault="007D3F4C" w:rsidP="007D3F4C">
      <w:pPr>
        <w:pStyle w:val="BRL-AnlageStandard"/>
      </w:pPr>
      <w:r w:rsidRPr="0009445C">
        <w:t>Paragraph 3 shall not apply to buildings in class 4 and 5.</w:t>
      </w:r>
    </w:p>
    <w:p w14:paraId="5EADE0EA" w14:textId="77777777" w:rsidR="00895B40" w:rsidRPr="0009445C" w:rsidRDefault="00895B40" w:rsidP="00573746">
      <w:pPr>
        <w:widowControl w:val="0"/>
        <w:spacing w:line="276" w:lineRule="auto"/>
        <w:rPr>
          <w:szCs w:val="18"/>
        </w:rPr>
        <w:sectPr w:rsidR="00895B40" w:rsidRPr="0009445C">
          <w:headerReference w:type="default" r:id="rId32"/>
          <w:footerReference w:type="default" r:id="rId33"/>
          <w:pgSz w:w="11906" w:h="16838"/>
          <w:pgMar w:top="1417" w:right="1417" w:bottom="1134" w:left="1417" w:header="708" w:footer="708" w:gutter="0"/>
          <w:cols w:space="708"/>
          <w:docGrid w:linePitch="360"/>
        </w:sectPr>
      </w:pPr>
    </w:p>
    <w:p w14:paraId="4F9A5CE7" w14:textId="77777777" w:rsidR="00895B40" w:rsidRPr="0009445C" w:rsidRDefault="00895B40" w:rsidP="00895B40">
      <w:pPr>
        <w:pStyle w:val="Heading1"/>
      </w:pPr>
      <w:bookmarkStart w:id="6" w:name="_Ref24531797"/>
      <w:r w:rsidRPr="0009445C">
        <w:lastRenderedPageBreak/>
        <w:t>A 3</w:t>
      </w:r>
      <w:r w:rsidRPr="0009445C">
        <w:tab/>
        <w:t>Hygiene, health and preservation of the environment</w:t>
      </w:r>
      <w:bookmarkEnd w:id="6"/>
      <w:r w:rsidRPr="0009445C">
        <w:t xml:space="preserve"> </w:t>
      </w:r>
    </w:p>
    <w:p w14:paraId="6FEAF955" w14:textId="77777777" w:rsidR="00895B40" w:rsidRPr="0009445C" w:rsidRDefault="00895B40" w:rsidP="00895B40">
      <w:pPr>
        <w:pStyle w:val="BRL-berschrift-Kopf"/>
      </w:pPr>
      <w:r w:rsidRPr="0009445C">
        <w:t>A 3.1</w:t>
      </w:r>
      <w:r w:rsidRPr="0009445C">
        <w:tab/>
        <w:t>General information</w:t>
      </w:r>
    </w:p>
    <w:p w14:paraId="246C35E8" w14:textId="77777777" w:rsidR="00895B40" w:rsidRPr="0009445C" w:rsidRDefault="00895B40" w:rsidP="00895B40">
      <w:pPr>
        <w:pStyle w:val="BRL-Standard"/>
        <w:spacing w:after="120"/>
      </w:pPr>
      <w:r w:rsidRPr="0009445C">
        <w:t>Under § 3 and § 13 MBO</w:t>
      </w:r>
      <w:r w:rsidRPr="0009445C">
        <w:rPr>
          <w:vertAlign w:val="superscript"/>
        </w:rPr>
        <w:t>1</w:t>
      </w:r>
      <w:r w:rsidRPr="0009445C">
        <w:t xml:space="preserve"> structural works must be positioned, erected, modified and maintained so that public health and safety – particularly life, health and natural resources – are not endangered and so that no dangers or unreasonable nuisances arise due to plant and animal pests and other chemical, physical or biological effects. </w:t>
      </w:r>
    </w:p>
    <w:p w14:paraId="665CBADA" w14:textId="77777777" w:rsidR="00895B40" w:rsidRPr="0009445C" w:rsidRDefault="00895B40" w:rsidP="00895B40">
      <w:pPr>
        <w:pStyle w:val="BRL-Standard"/>
      </w:pPr>
      <w:r w:rsidRPr="0009445C">
        <w:t>To demonstrate compliance with these requirements, structural works must be designed and executed as a whole and in their separate parts so that the requirements pertaining to health protection and the protection of soil and water under Section A 3.2 are met.</w:t>
      </w:r>
    </w:p>
    <w:p w14:paraId="0E793888" w14:textId="77777777" w:rsidR="00895B40" w:rsidRPr="0009445C" w:rsidRDefault="00895B40" w:rsidP="00895B40">
      <w:pPr>
        <w:pStyle w:val="BRL-Standard"/>
      </w:pPr>
    </w:p>
    <w:p w14:paraId="5B7A6C22" w14:textId="77777777" w:rsidR="00895B40" w:rsidRPr="0009445C" w:rsidRDefault="00895B40" w:rsidP="00895B40">
      <w:pPr>
        <w:pStyle w:val="BRL-berschrift-Kopf"/>
      </w:pPr>
      <w:r w:rsidRPr="0009445C">
        <w:t>A 3.2</w:t>
      </w:r>
      <w:r w:rsidRPr="0009445C">
        <w:tab/>
        <w:t>Technical requirements in respect of the planning, designing and execution of structural works and parts thereof pursuant to § 85a(2) MBO</w:t>
      </w:r>
      <w:r w:rsidRPr="0009445C">
        <w:rPr>
          <w:vertAlign w:val="superscript"/>
        </w:rPr>
        <w:t>1</w:t>
      </w:r>
    </w:p>
    <w:p w14:paraId="02932D12" w14:textId="77777777" w:rsidR="00895B40" w:rsidRPr="0009445C" w:rsidRDefault="00895B40" w:rsidP="00895B40">
      <w:pPr>
        <w:pStyle w:val="BRL-Standard"/>
        <w:spacing w:after="120"/>
      </w:pPr>
      <w:r w:rsidRPr="0009445C">
        <w:t>The building requirements on reducing harmful emissions in accommodation areas pursuant to ser. No A 3.2.1 and A 3.2.2 and on ensuring external building structural elements are environmentally friendly pursuant to ser. No A 3.2.3 are set out in the regulations. They must be observed. If constructive measures (e.g. surface layers, casings) are planned for the affected areas instead, their protective effect must be demonstrated.</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2835"/>
        <w:gridCol w:w="3402"/>
        <w:gridCol w:w="1701"/>
      </w:tblGrid>
      <w:tr w:rsidR="00895B40" w:rsidRPr="0009445C" w14:paraId="4B7C46F6" w14:textId="77777777" w:rsidTr="00EA78D6">
        <w:trPr>
          <w:trHeight w:val="726"/>
        </w:trPr>
        <w:tc>
          <w:tcPr>
            <w:tcW w:w="1134" w:type="dxa"/>
          </w:tcPr>
          <w:p w14:paraId="6334C169" w14:textId="77777777" w:rsidR="00895B40" w:rsidRPr="0009445C" w:rsidRDefault="00895B40" w:rsidP="00EA78D6">
            <w:pPr>
              <w:pStyle w:val="BRL-Tabellenkopf"/>
              <w:jc w:val="center"/>
            </w:pPr>
            <w:r w:rsidRPr="0009445C">
              <w:t>Ser. No</w:t>
            </w:r>
          </w:p>
        </w:tc>
        <w:tc>
          <w:tcPr>
            <w:tcW w:w="2835" w:type="dxa"/>
          </w:tcPr>
          <w:p w14:paraId="0C0DCE86" w14:textId="56ED1E2A" w:rsidR="00895B40" w:rsidRPr="0009445C" w:rsidRDefault="00895B40" w:rsidP="00DD2DE1">
            <w:pPr>
              <w:pStyle w:val="BRL-Tabellenkopf"/>
              <w:jc w:val="center"/>
            </w:pPr>
            <w:r w:rsidRPr="0009445C">
              <w:t>Planning,</w:t>
            </w:r>
            <w:r w:rsidRPr="0009445C">
              <w:br/>
              <w:t>designing and execution</w:t>
            </w:r>
            <w:r w:rsidRPr="0009445C">
              <w:br/>
              <w:t>pursuant to § 85a(2) MBO</w:t>
            </w:r>
            <w:r w:rsidRPr="0009445C">
              <w:rPr>
                <w:vertAlign w:val="superscript"/>
              </w:rPr>
              <w:t>1</w:t>
            </w:r>
          </w:p>
        </w:tc>
        <w:tc>
          <w:tcPr>
            <w:tcW w:w="3402" w:type="dxa"/>
          </w:tcPr>
          <w:p w14:paraId="08B89578" w14:textId="77777777" w:rsidR="00895B40" w:rsidRPr="0009445C" w:rsidRDefault="00895B40" w:rsidP="00EA78D6">
            <w:pPr>
              <w:pStyle w:val="BRL-Tabellenkopf"/>
              <w:jc w:val="center"/>
            </w:pPr>
            <w:r w:rsidRPr="0009445C">
              <w:t>Technical rules/version</w:t>
            </w:r>
          </w:p>
        </w:tc>
        <w:tc>
          <w:tcPr>
            <w:tcW w:w="1701" w:type="dxa"/>
          </w:tcPr>
          <w:p w14:paraId="2C4AC535" w14:textId="77777777" w:rsidR="00895B40" w:rsidRPr="0009445C" w:rsidRDefault="00895B40" w:rsidP="00EA78D6">
            <w:pPr>
              <w:pStyle w:val="BRL-Tabellenkopf"/>
              <w:jc w:val="center"/>
            </w:pPr>
            <w:r w:rsidRPr="0009445C">
              <w:t>Further measures pursuant to § 85a(2) MBO</w:t>
            </w:r>
            <w:r w:rsidRPr="0009445C">
              <w:rPr>
                <w:vertAlign w:val="superscript"/>
              </w:rPr>
              <w:t>1</w:t>
            </w:r>
          </w:p>
        </w:tc>
      </w:tr>
      <w:tr w:rsidR="00895B40" w:rsidRPr="0009445C" w14:paraId="710F8D7F" w14:textId="77777777" w:rsidTr="00EA78D6">
        <w:tc>
          <w:tcPr>
            <w:tcW w:w="1134" w:type="dxa"/>
          </w:tcPr>
          <w:p w14:paraId="79BB3ADB" w14:textId="77777777" w:rsidR="00895B40" w:rsidRPr="0009445C" w:rsidRDefault="00895B40" w:rsidP="00EA78D6">
            <w:pPr>
              <w:pStyle w:val="BRL-Tabelle"/>
              <w:jc w:val="center"/>
            </w:pPr>
            <w:r w:rsidRPr="0009445C">
              <w:t>1</w:t>
            </w:r>
          </w:p>
        </w:tc>
        <w:tc>
          <w:tcPr>
            <w:tcW w:w="2835" w:type="dxa"/>
          </w:tcPr>
          <w:p w14:paraId="1ECDEE8E" w14:textId="77777777" w:rsidR="00895B40" w:rsidRPr="0009445C" w:rsidRDefault="00895B40" w:rsidP="00EA78D6">
            <w:pPr>
              <w:pStyle w:val="BRL-Tabelle"/>
              <w:jc w:val="center"/>
            </w:pPr>
            <w:r w:rsidRPr="0009445C">
              <w:t>2</w:t>
            </w:r>
          </w:p>
        </w:tc>
        <w:tc>
          <w:tcPr>
            <w:tcW w:w="3402" w:type="dxa"/>
          </w:tcPr>
          <w:p w14:paraId="5D456EF6" w14:textId="77777777" w:rsidR="00895B40" w:rsidRPr="0009445C" w:rsidRDefault="00895B40" w:rsidP="00EA78D6">
            <w:pPr>
              <w:pStyle w:val="BRL-Tabelle"/>
              <w:jc w:val="center"/>
            </w:pPr>
            <w:r w:rsidRPr="0009445C">
              <w:t>3</w:t>
            </w:r>
          </w:p>
        </w:tc>
        <w:tc>
          <w:tcPr>
            <w:tcW w:w="1701" w:type="dxa"/>
          </w:tcPr>
          <w:p w14:paraId="4BBEC81B" w14:textId="77777777" w:rsidR="00895B40" w:rsidRPr="0009445C" w:rsidRDefault="00895B40" w:rsidP="00EA78D6">
            <w:pPr>
              <w:pStyle w:val="BRL-Tabelle"/>
              <w:jc w:val="center"/>
            </w:pPr>
            <w:r w:rsidRPr="0009445C">
              <w:t>4</w:t>
            </w:r>
          </w:p>
        </w:tc>
      </w:tr>
      <w:tr w:rsidR="0010739B" w:rsidRPr="0009445C" w14:paraId="79C9C2FE" w14:textId="77777777" w:rsidTr="00895B40">
        <w:tblPrEx>
          <w:tblBorders>
            <w:bottom w:val="single" w:sz="4" w:space="0" w:color="auto"/>
          </w:tblBorders>
          <w:tblCellMar>
            <w:top w:w="57" w:type="dxa"/>
            <w:bottom w:w="57" w:type="dxa"/>
          </w:tblCellMar>
          <w:tblLook w:val="05E0" w:firstRow="1" w:lastRow="1" w:firstColumn="1" w:lastColumn="1" w:noHBand="0" w:noVBand="1"/>
        </w:tblPrEx>
        <w:trPr>
          <w:trHeight w:val="227"/>
        </w:trPr>
        <w:tc>
          <w:tcPr>
            <w:tcW w:w="1134" w:type="dxa"/>
            <w:shd w:val="clear" w:color="auto" w:fill="auto"/>
          </w:tcPr>
          <w:p w14:paraId="20BE0BEA" w14:textId="15E93971" w:rsidR="0010739B" w:rsidRPr="0009445C" w:rsidRDefault="0010739B" w:rsidP="0010739B">
            <w:pPr>
              <w:pStyle w:val="BRL-Tabelle"/>
              <w:widowControl w:val="0"/>
            </w:pPr>
            <w:r w:rsidRPr="0009445C">
              <w:t>A 3.2.1</w:t>
            </w:r>
          </w:p>
        </w:tc>
        <w:tc>
          <w:tcPr>
            <w:tcW w:w="2835" w:type="dxa"/>
            <w:shd w:val="clear" w:color="auto" w:fill="auto"/>
          </w:tcPr>
          <w:p w14:paraId="35DBE341" w14:textId="2F4D743A" w:rsidR="0010739B" w:rsidRPr="0009445C" w:rsidRDefault="0010739B" w:rsidP="0010739B">
            <w:pPr>
              <w:pStyle w:val="BRL-Tabelle"/>
              <w:widowControl w:val="0"/>
            </w:pPr>
            <w:r w:rsidRPr="0009445C">
              <w:t>Health protection requirements for structural works</w:t>
            </w:r>
          </w:p>
        </w:tc>
        <w:tc>
          <w:tcPr>
            <w:tcW w:w="3402" w:type="dxa"/>
            <w:shd w:val="clear" w:color="auto" w:fill="auto"/>
          </w:tcPr>
          <w:p w14:paraId="4FAA06E2" w14:textId="0FEB6D7F" w:rsidR="0010739B" w:rsidRPr="0009445C" w:rsidRDefault="0010739B" w:rsidP="0010739B">
            <w:pPr>
              <w:pStyle w:val="BRL-Tabelle"/>
              <w:widowControl w:val="0"/>
            </w:pPr>
            <w:r w:rsidRPr="0009445C">
              <w:t>ABG - Health protection requirements for structural works 2022-04 (See Annex 8)</w:t>
            </w:r>
          </w:p>
        </w:tc>
        <w:tc>
          <w:tcPr>
            <w:tcW w:w="1701" w:type="dxa"/>
            <w:shd w:val="clear" w:color="auto" w:fill="auto"/>
          </w:tcPr>
          <w:p w14:paraId="48D6F6E0" w14:textId="77777777" w:rsidR="0010739B" w:rsidRPr="0009445C" w:rsidRDefault="0010739B" w:rsidP="0010739B">
            <w:pPr>
              <w:pStyle w:val="BRL-Tabelle"/>
              <w:widowControl w:val="0"/>
              <w:jc w:val="center"/>
            </w:pPr>
          </w:p>
        </w:tc>
      </w:tr>
      <w:tr w:rsidR="0010739B" w:rsidRPr="0009445C" w14:paraId="45CF8D5A" w14:textId="77777777" w:rsidTr="00895B40">
        <w:tblPrEx>
          <w:tblBorders>
            <w:bottom w:val="single" w:sz="4" w:space="0" w:color="auto"/>
          </w:tblBorders>
          <w:tblCellMar>
            <w:top w:w="57" w:type="dxa"/>
            <w:bottom w:w="57" w:type="dxa"/>
          </w:tblCellMar>
          <w:tblLook w:val="05E0" w:firstRow="1" w:lastRow="1" w:firstColumn="1" w:lastColumn="1" w:noHBand="0" w:noVBand="1"/>
        </w:tblPrEx>
        <w:trPr>
          <w:trHeight w:val="227"/>
        </w:trPr>
        <w:tc>
          <w:tcPr>
            <w:tcW w:w="1134" w:type="dxa"/>
            <w:shd w:val="clear" w:color="auto" w:fill="auto"/>
          </w:tcPr>
          <w:p w14:paraId="7CB42B3B" w14:textId="77777777" w:rsidR="0010739B" w:rsidRPr="0009445C" w:rsidRDefault="0010739B" w:rsidP="0010739B">
            <w:pPr>
              <w:pStyle w:val="BRL-Tabelle"/>
              <w:widowControl w:val="0"/>
            </w:pPr>
            <w:r w:rsidRPr="0009445C">
              <w:t>A 3.2.3</w:t>
            </w:r>
          </w:p>
        </w:tc>
        <w:tc>
          <w:tcPr>
            <w:tcW w:w="2835" w:type="dxa"/>
            <w:shd w:val="clear" w:color="auto" w:fill="auto"/>
          </w:tcPr>
          <w:p w14:paraId="26EB7E6E" w14:textId="77777777" w:rsidR="0010739B" w:rsidRPr="0009445C" w:rsidRDefault="0010739B" w:rsidP="0010739B">
            <w:pPr>
              <w:pStyle w:val="BRL-Tabelle"/>
              <w:widowControl w:val="0"/>
            </w:pPr>
            <w:r w:rsidRPr="0009445C">
              <w:t>Requirement for structural works regarding effects on soil and water</w:t>
            </w:r>
          </w:p>
        </w:tc>
        <w:tc>
          <w:tcPr>
            <w:tcW w:w="3402" w:type="dxa"/>
            <w:shd w:val="clear" w:color="auto" w:fill="auto"/>
          </w:tcPr>
          <w:p w14:paraId="335E0F83" w14:textId="55D46372" w:rsidR="0010739B" w:rsidRPr="0009445C" w:rsidRDefault="0010739B" w:rsidP="0010739B">
            <w:pPr>
              <w:pStyle w:val="BRL-Tabelle"/>
              <w:widowControl w:val="0"/>
            </w:pPr>
            <w:proofErr w:type="spellStart"/>
            <w:r w:rsidRPr="0009445C">
              <w:t>ABuG</w:t>
            </w:r>
            <w:proofErr w:type="spellEnd"/>
            <w:r w:rsidRPr="0009445C">
              <w:t xml:space="preserve"> - Requirements for structural works with regard to the impact on soil and water: 2022-04</w:t>
            </w:r>
          </w:p>
          <w:p w14:paraId="3A85EE5B" w14:textId="77777777" w:rsidR="0010739B" w:rsidRPr="0009445C" w:rsidRDefault="0010739B" w:rsidP="0010739B">
            <w:pPr>
              <w:pStyle w:val="BRL-Tabelle"/>
              <w:widowControl w:val="0"/>
            </w:pPr>
            <w:r w:rsidRPr="0009445C">
              <w:t>(See Annex 10)</w:t>
            </w:r>
          </w:p>
        </w:tc>
        <w:tc>
          <w:tcPr>
            <w:tcW w:w="1701" w:type="dxa"/>
            <w:shd w:val="clear" w:color="auto" w:fill="auto"/>
          </w:tcPr>
          <w:p w14:paraId="3F15E3C3" w14:textId="77777777" w:rsidR="0010739B" w:rsidRPr="0009445C" w:rsidRDefault="0010739B" w:rsidP="0010739B">
            <w:pPr>
              <w:pStyle w:val="BRL-Tabelle"/>
              <w:widowControl w:val="0"/>
              <w:jc w:val="center"/>
            </w:pPr>
            <w:r w:rsidRPr="0009445C">
              <w:t>Annex A 3.2/4</w:t>
            </w:r>
          </w:p>
        </w:tc>
      </w:tr>
    </w:tbl>
    <w:p w14:paraId="466E838C" w14:textId="77777777" w:rsidR="00573746" w:rsidRPr="0009445C" w:rsidRDefault="00573746" w:rsidP="00573746">
      <w:pPr>
        <w:widowControl w:val="0"/>
        <w:spacing w:line="276" w:lineRule="auto"/>
        <w:rPr>
          <w:szCs w:val="18"/>
        </w:rPr>
      </w:pPr>
    </w:p>
    <w:p w14:paraId="18B96123" w14:textId="77777777" w:rsidR="004A2105" w:rsidRPr="0009445C" w:rsidRDefault="004A2105" w:rsidP="00573746">
      <w:pPr>
        <w:widowControl w:val="0"/>
        <w:spacing w:line="276" w:lineRule="auto"/>
        <w:rPr>
          <w:szCs w:val="18"/>
        </w:rPr>
        <w:sectPr w:rsidR="004A2105" w:rsidRPr="0009445C" w:rsidSect="00895B40">
          <w:headerReference w:type="default" r:id="rId34"/>
          <w:footerReference w:type="default" r:id="rId35"/>
          <w:pgSz w:w="11906" w:h="16838"/>
          <w:pgMar w:top="1134" w:right="1418" w:bottom="1134" w:left="1418" w:header="709" w:footer="709" w:gutter="0"/>
          <w:cols w:space="708"/>
          <w:docGrid w:linePitch="360"/>
        </w:sectPr>
      </w:pPr>
    </w:p>
    <w:p w14:paraId="1AD035F0" w14:textId="77777777" w:rsidR="004A2105" w:rsidRPr="0009445C" w:rsidRDefault="004A2105" w:rsidP="004A2105">
      <w:pPr>
        <w:pStyle w:val="Heading1"/>
      </w:pPr>
      <w:bookmarkStart w:id="7" w:name="_Ref24531817"/>
      <w:r w:rsidRPr="0009445C">
        <w:lastRenderedPageBreak/>
        <w:t>A 6</w:t>
      </w:r>
      <w:r w:rsidRPr="0009445C">
        <w:tab/>
        <w:t>Thermal insulation</w:t>
      </w:r>
      <w:bookmarkEnd w:id="7"/>
    </w:p>
    <w:p w14:paraId="40B1F0D5" w14:textId="77777777" w:rsidR="004A2105" w:rsidRPr="0009445C" w:rsidRDefault="004A2105" w:rsidP="004A2105">
      <w:pPr>
        <w:pStyle w:val="BRL-berschrift-Kopf"/>
      </w:pPr>
      <w:r w:rsidRPr="0009445C">
        <w:t>A 6.1</w:t>
      </w:r>
      <w:r w:rsidRPr="0009445C">
        <w:tab/>
        <w:t>General information</w:t>
      </w:r>
    </w:p>
    <w:p w14:paraId="05710183" w14:textId="77777777" w:rsidR="004A2105" w:rsidRPr="0009445C" w:rsidRDefault="004A2105" w:rsidP="004A2105">
      <w:pPr>
        <w:pStyle w:val="BRL-Standard"/>
      </w:pPr>
      <w:r w:rsidRPr="0009445C">
        <w:t>Under § 3 and § 15(1) MBO</w:t>
      </w:r>
      <w:r w:rsidRPr="0009445C">
        <w:rPr>
          <w:vertAlign w:val="superscript"/>
        </w:rPr>
        <w:t>1</w:t>
      </w:r>
      <w:r w:rsidRPr="0009445C">
        <w:t xml:space="preserve"> structural works must be positioned, erected, modified and maintained to have thermal insulation in accordance with their use and with climatic conditions. </w:t>
      </w:r>
    </w:p>
    <w:p w14:paraId="5B53A1CE" w14:textId="77777777" w:rsidR="004A2105" w:rsidRPr="0009445C" w:rsidRDefault="004A2105" w:rsidP="004A2105">
      <w:pPr>
        <w:pStyle w:val="BRL-Standard"/>
      </w:pPr>
    </w:p>
    <w:p w14:paraId="327343EA" w14:textId="77777777" w:rsidR="004A2105" w:rsidRPr="0009445C" w:rsidRDefault="004A2105" w:rsidP="004A2105">
      <w:pPr>
        <w:pStyle w:val="BRL-Standard"/>
      </w:pPr>
      <w:r w:rsidRPr="0009445C">
        <w:t>To meet this requirement for structural works as a whole and in their separate parts, the Technical Rules on thermal insulation under Section A 6.2 must be observed.</w:t>
      </w:r>
    </w:p>
    <w:p w14:paraId="0B0126F3" w14:textId="77777777" w:rsidR="004A2105" w:rsidRPr="0009445C" w:rsidRDefault="004A2105" w:rsidP="004A2105">
      <w:pPr>
        <w:pStyle w:val="BRL-Standard"/>
      </w:pPr>
    </w:p>
    <w:p w14:paraId="464001EF" w14:textId="77777777" w:rsidR="004A2105" w:rsidRPr="0009445C" w:rsidRDefault="004A2105" w:rsidP="004A2105">
      <w:pPr>
        <w:pStyle w:val="BRL-berschrift-Kopf"/>
      </w:pPr>
      <w:r w:rsidRPr="0009445C">
        <w:t>A 6.2</w:t>
      </w:r>
      <w:r w:rsidRPr="0009445C">
        <w:tab/>
        <w:t>Technical requirements in respect of the planning, designing and execution of structural works and parts thereof pursuant to § 85a(2) MBO</w:t>
      </w:r>
      <w:r w:rsidRPr="0009445C">
        <w:rPr>
          <w:vertAlign w:val="superscript"/>
        </w:rPr>
        <w:t>1</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2835"/>
        <w:gridCol w:w="3402"/>
        <w:gridCol w:w="1701"/>
      </w:tblGrid>
      <w:tr w:rsidR="004A2105" w:rsidRPr="0009445C" w14:paraId="4C164EFD" w14:textId="77777777" w:rsidTr="00EA78D6">
        <w:tc>
          <w:tcPr>
            <w:tcW w:w="1134" w:type="dxa"/>
          </w:tcPr>
          <w:p w14:paraId="2096F682" w14:textId="77777777" w:rsidR="004A2105" w:rsidRPr="0009445C" w:rsidRDefault="004A2105" w:rsidP="00EA78D6">
            <w:pPr>
              <w:pStyle w:val="BRL-Tabellenkopf"/>
              <w:jc w:val="center"/>
            </w:pPr>
            <w:r w:rsidRPr="0009445C">
              <w:t>Ser. No</w:t>
            </w:r>
          </w:p>
        </w:tc>
        <w:tc>
          <w:tcPr>
            <w:tcW w:w="2835" w:type="dxa"/>
          </w:tcPr>
          <w:p w14:paraId="5A7B940B" w14:textId="77777777" w:rsidR="004A2105" w:rsidRPr="0009445C" w:rsidRDefault="004A2105" w:rsidP="00EA78D6">
            <w:pPr>
              <w:pStyle w:val="BRL-Tabellenkopf"/>
              <w:jc w:val="center"/>
            </w:pPr>
            <w:r w:rsidRPr="0009445C">
              <w:t>Planning,</w:t>
            </w:r>
            <w:r w:rsidRPr="0009445C">
              <w:br/>
              <w:t>designing and execution requirements</w:t>
            </w:r>
            <w:r w:rsidRPr="0009445C">
              <w:br/>
              <w:t>pursuant to § 85a(2) MBO</w:t>
            </w:r>
            <w:r w:rsidRPr="0009445C">
              <w:rPr>
                <w:vertAlign w:val="superscript"/>
              </w:rPr>
              <w:t>1</w:t>
            </w:r>
          </w:p>
        </w:tc>
        <w:tc>
          <w:tcPr>
            <w:tcW w:w="3402" w:type="dxa"/>
          </w:tcPr>
          <w:p w14:paraId="51EB5A63" w14:textId="77777777" w:rsidR="004A2105" w:rsidRPr="0009445C" w:rsidRDefault="004A2105" w:rsidP="00EA78D6">
            <w:pPr>
              <w:pStyle w:val="BRL-Tabellenkopf"/>
              <w:jc w:val="center"/>
            </w:pPr>
            <w:r w:rsidRPr="0009445C">
              <w:t>Technical rules/version</w:t>
            </w:r>
          </w:p>
        </w:tc>
        <w:tc>
          <w:tcPr>
            <w:tcW w:w="1701" w:type="dxa"/>
          </w:tcPr>
          <w:p w14:paraId="4CF7737D" w14:textId="77777777" w:rsidR="004A2105" w:rsidRPr="0009445C" w:rsidRDefault="004A2105" w:rsidP="00EA78D6">
            <w:pPr>
              <w:pStyle w:val="BRL-Tabellenkopf"/>
              <w:jc w:val="center"/>
            </w:pPr>
            <w:r w:rsidRPr="0009445C">
              <w:t>Further measures pursuant to § 85a(2) MBO</w:t>
            </w:r>
            <w:r w:rsidRPr="0009445C">
              <w:rPr>
                <w:vertAlign w:val="superscript"/>
              </w:rPr>
              <w:t>1</w:t>
            </w:r>
          </w:p>
        </w:tc>
      </w:tr>
      <w:tr w:rsidR="004A2105" w:rsidRPr="0009445C" w14:paraId="1E9A19D1" w14:textId="77777777" w:rsidTr="00EA78D6">
        <w:tc>
          <w:tcPr>
            <w:tcW w:w="1134" w:type="dxa"/>
          </w:tcPr>
          <w:p w14:paraId="0EE10BD1" w14:textId="77777777" w:rsidR="004A2105" w:rsidRPr="0009445C" w:rsidRDefault="004A2105" w:rsidP="00EA78D6">
            <w:pPr>
              <w:pStyle w:val="BRL-Tabelle"/>
              <w:jc w:val="center"/>
            </w:pPr>
            <w:r w:rsidRPr="0009445C">
              <w:t>1</w:t>
            </w:r>
          </w:p>
        </w:tc>
        <w:tc>
          <w:tcPr>
            <w:tcW w:w="2835" w:type="dxa"/>
          </w:tcPr>
          <w:p w14:paraId="6A8F0479" w14:textId="77777777" w:rsidR="004A2105" w:rsidRPr="0009445C" w:rsidRDefault="004A2105" w:rsidP="00EA78D6">
            <w:pPr>
              <w:pStyle w:val="BRL-Tabelle"/>
              <w:jc w:val="center"/>
            </w:pPr>
            <w:r w:rsidRPr="0009445C">
              <w:t>2</w:t>
            </w:r>
          </w:p>
        </w:tc>
        <w:tc>
          <w:tcPr>
            <w:tcW w:w="3402" w:type="dxa"/>
          </w:tcPr>
          <w:p w14:paraId="0BAB94F7" w14:textId="77777777" w:rsidR="004A2105" w:rsidRPr="0009445C" w:rsidRDefault="004A2105" w:rsidP="00EA78D6">
            <w:pPr>
              <w:pStyle w:val="BRL-Tabelle"/>
              <w:jc w:val="center"/>
            </w:pPr>
            <w:r w:rsidRPr="0009445C">
              <w:t>3</w:t>
            </w:r>
          </w:p>
        </w:tc>
        <w:tc>
          <w:tcPr>
            <w:tcW w:w="1701" w:type="dxa"/>
          </w:tcPr>
          <w:p w14:paraId="507E76A3" w14:textId="77777777" w:rsidR="004A2105" w:rsidRPr="0009445C" w:rsidRDefault="004A2105" w:rsidP="00EA78D6">
            <w:pPr>
              <w:pStyle w:val="BRL-Tabelle"/>
              <w:jc w:val="center"/>
            </w:pPr>
            <w:r w:rsidRPr="0009445C">
              <w:t>4</w:t>
            </w:r>
          </w:p>
        </w:tc>
      </w:tr>
    </w:tbl>
    <w:p w14:paraId="18DD2F29" w14:textId="77777777" w:rsidR="004A2105" w:rsidRPr="0009445C" w:rsidRDefault="004A2105" w:rsidP="004A2105">
      <w:pPr>
        <w:pStyle w:val="Header"/>
        <w:spacing w:line="20" w:lineRule="exact"/>
        <w:rPr>
          <w:color w:val="FFFFFF"/>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5E0" w:firstRow="1" w:lastRow="1" w:firstColumn="1" w:lastColumn="1" w:noHBand="0" w:noVBand="1"/>
      </w:tblPr>
      <w:tblGrid>
        <w:gridCol w:w="1133"/>
        <w:gridCol w:w="2835"/>
        <w:gridCol w:w="3402"/>
        <w:gridCol w:w="1700"/>
      </w:tblGrid>
      <w:tr w:rsidR="004A2105" w:rsidRPr="0009445C" w14:paraId="1FF5E676" w14:textId="77777777" w:rsidTr="00EA78D6">
        <w:trPr>
          <w:trHeight w:val="227"/>
        </w:trPr>
        <w:tc>
          <w:tcPr>
            <w:tcW w:w="9070" w:type="dxa"/>
            <w:gridSpan w:val="4"/>
            <w:shd w:val="clear" w:color="auto" w:fill="auto"/>
          </w:tcPr>
          <w:p w14:paraId="7866EF43" w14:textId="77777777" w:rsidR="004A2105" w:rsidRPr="0009445C" w:rsidRDefault="004A2105" w:rsidP="00EA78D6">
            <w:pPr>
              <w:pStyle w:val="BRL-Tabelle-berschrift"/>
              <w:rPr>
                <w:b w:val="0"/>
              </w:rPr>
            </w:pPr>
            <w:r w:rsidRPr="0009445C">
              <w:rPr>
                <w:b w:val="0"/>
              </w:rPr>
              <w:t>A 6.2.1</w:t>
            </w:r>
            <w:r w:rsidRPr="0009445C">
              <w:rPr>
                <w:b w:val="0"/>
              </w:rPr>
              <w:tab/>
              <w:t>Thermal insulation in buildings</w:t>
            </w:r>
          </w:p>
        </w:tc>
      </w:tr>
      <w:tr w:rsidR="004A2105" w:rsidRPr="0009445C" w14:paraId="337F7304" w14:textId="77777777" w:rsidTr="00EA78D6">
        <w:trPr>
          <w:trHeight w:val="227"/>
        </w:trPr>
        <w:tc>
          <w:tcPr>
            <w:tcW w:w="1133" w:type="dxa"/>
            <w:vMerge w:val="restart"/>
            <w:shd w:val="clear" w:color="auto" w:fill="auto"/>
          </w:tcPr>
          <w:p w14:paraId="3796FFEE" w14:textId="77777777" w:rsidR="004A2105" w:rsidRPr="0009445C" w:rsidRDefault="004A2105" w:rsidP="00EA78D6">
            <w:pPr>
              <w:pStyle w:val="BRL-Tabelle"/>
              <w:widowControl w:val="0"/>
            </w:pPr>
          </w:p>
        </w:tc>
        <w:tc>
          <w:tcPr>
            <w:tcW w:w="2835" w:type="dxa"/>
            <w:shd w:val="clear" w:color="auto" w:fill="auto"/>
          </w:tcPr>
          <w:p w14:paraId="36E516BE" w14:textId="77777777" w:rsidR="004A2105" w:rsidRPr="0009445C" w:rsidRDefault="004A2105" w:rsidP="00EA78D6">
            <w:pPr>
              <w:pStyle w:val="BRL-Tabelle"/>
              <w:widowControl w:val="0"/>
            </w:pPr>
            <w:r w:rsidRPr="0009445C">
              <w:t>Hygrothermal design values</w:t>
            </w:r>
          </w:p>
        </w:tc>
        <w:tc>
          <w:tcPr>
            <w:tcW w:w="3402" w:type="dxa"/>
            <w:shd w:val="clear" w:color="auto" w:fill="auto"/>
          </w:tcPr>
          <w:p w14:paraId="0DA6433B" w14:textId="4FF8031A" w:rsidR="004A2105" w:rsidRPr="0009445C" w:rsidRDefault="004A2105" w:rsidP="00EA78D6">
            <w:pPr>
              <w:pStyle w:val="BRL-Tabelle"/>
              <w:widowControl w:val="0"/>
            </w:pPr>
            <w:r w:rsidRPr="0009445C">
              <w:t>DIN 4108-4:2020-11</w:t>
            </w:r>
          </w:p>
        </w:tc>
        <w:tc>
          <w:tcPr>
            <w:tcW w:w="1700" w:type="dxa"/>
            <w:shd w:val="clear" w:color="auto" w:fill="auto"/>
          </w:tcPr>
          <w:p w14:paraId="3E6DD77F" w14:textId="789BCB7E" w:rsidR="004A2105" w:rsidRPr="0009445C" w:rsidRDefault="004A2105" w:rsidP="00EA78D6">
            <w:pPr>
              <w:pStyle w:val="BRL-Tabelle"/>
              <w:widowControl w:val="0"/>
            </w:pPr>
            <w:r w:rsidRPr="0009445C">
              <w:t>Annex A 6.2/3</w:t>
            </w:r>
          </w:p>
          <w:p w14:paraId="16F0EB4C" w14:textId="0BDA92D1" w:rsidR="004A2105" w:rsidRPr="0009445C" w:rsidRDefault="004A2105" w:rsidP="00EA78D6">
            <w:pPr>
              <w:pStyle w:val="BRL-Tabelle"/>
              <w:widowControl w:val="0"/>
            </w:pPr>
          </w:p>
        </w:tc>
      </w:tr>
      <w:tr w:rsidR="004A2105" w:rsidRPr="0009445C" w14:paraId="65A7B835" w14:textId="77777777" w:rsidTr="00EA78D6">
        <w:trPr>
          <w:trHeight w:val="712"/>
        </w:trPr>
        <w:tc>
          <w:tcPr>
            <w:tcW w:w="1133" w:type="dxa"/>
            <w:vMerge/>
            <w:shd w:val="clear" w:color="auto" w:fill="auto"/>
          </w:tcPr>
          <w:p w14:paraId="3B6C20F8" w14:textId="77777777" w:rsidR="004A2105" w:rsidRPr="0009445C" w:rsidRDefault="004A2105" w:rsidP="00EA78D6">
            <w:pPr>
              <w:pStyle w:val="BRL-Tabelle"/>
              <w:widowControl w:val="0"/>
            </w:pPr>
          </w:p>
        </w:tc>
        <w:tc>
          <w:tcPr>
            <w:tcW w:w="2835" w:type="dxa"/>
            <w:shd w:val="clear" w:color="auto" w:fill="auto"/>
          </w:tcPr>
          <w:p w14:paraId="3E398CA1" w14:textId="77777777" w:rsidR="004A2105" w:rsidRPr="0009445C" w:rsidRDefault="004A2105" w:rsidP="00EA78D6">
            <w:pPr>
              <w:pStyle w:val="BRL-Tabelle"/>
              <w:widowControl w:val="0"/>
            </w:pPr>
            <w:r w:rsidRPr="0009445C">
              <w:t>Application-related requirements for thermal insulation materials</w:t>
            </w:r>
          </w:p>
        </w:tc>
        <w:tc>
          <w:tcPr>
            <w:tcW w:w="3402" w:type="dxa"/>
            <w:shd w:val="clear" w:color="auto" w:fill="auto"/>
          </w:tcPr>
          <w:p w14:paraId="40D4E1B7" w14:textId="5B3F2115" w:rsidR="004A2105" w:rsidRPr="0009445C" w:rsidRDefault="004A2105" w:rsidP="00EA78D6">
            <w:pPr>
              <w:pStyle w:val="BRL-Tabelle"/>
              <w:widowControl w:val="0"/>
            </w:pPr>
            <w:r w:rsidRPr="0009445C">
              <w:t>DIN 4108-10:2021-11</w:t>
            </w:r>
          </w:p>
        </w:tc>
        <w:tc>
          <w:tcPr>
            <w:tcW w:w="1700" w:type="dxa"/>
            <w:shd w:val="clear" w:color="auto" w:fill="auto"/>
          </w:tcPr>
          <w:p w14:paraId="41E41288" w14:textId="77777777" w:rsidR="004A2105" w:rsidRPr="0009445C" w:rsidRDefault="004A2105" w:rsidP="00EA78D6">
            <w:pPr>
              <w:pStyle w:val="BRL-Tabelle"/>
              <w:widowControl w:val="0"/>
            </w:pPr>
            <w:r w:rsidRPr="0009445C">
              <w:t>Annex A 6.2/5</w:t>
            </w:r>
          </w:p>
        </w:tc>
      </w:tr>
    </w:tbl>
    <w:p w14:paraId="6E52AA0F" w14:textId="77777777" w:rsidR="00C06241" w:rsidRPr="0009445C" w:rsidRDefault="00C06241" w:rsidP="00573746">
      <w:pPr>
        <w:widowControl w:val="0"/>
        <w:spacing w:line="276" w:lineRule="auto"/>
        <w:rPr>
          <w:szCs w:val="18"/>
        </w:rPr>
        <w:sectPr w:rsidR="00C06241" w:rsidRPr="0009445C" w:rsidSect="00895B40">
          <w:pgSz w:w="11906" w:h="16838"/>
          <w:pgMar w:top="1134" w:right="1418" w:bottom="1134" w:left="1418" w:header="709" w:footer="709" w:gutter="0"/>
          <w:cols w:space="708"/>
          <w:docGrid w:linePitch="360"/>
        </w:sectPr>
      </w:pPr>
    </w:p>
    <w:p w14:paraId="7452F55C" w14:textId="77777777" w:rsidR="00C06241" w:rsidRPr="0009445C" w:rsidRDefault="00C06241" w:rsidP="00C06241">
      <w:pPr>
        <w:pStyle w:val="BRL-Anlage"/>
      </w:pPr>
      <w:r w:rsidRPr="0009445C">
        <w:lastRenderedPageBreak/>
        <w:t>Annex A 6.2/3</w:t>
      </w:r>
    </w:p>
    <w:p w14:paraId="2D9BCAA0" w14:textId="77777777" w:rsidR="00C06241" w:rsidRPr="0009445C" w:rsidRDefault="00C06241" w:rsidP="00C06241">
      <w:pPr>
        <w:pStyle w:val="BRL-Anlage"/>
      </w:pPr>
    </w:p>
    <w:p w14:paraId="4CB92DDF" w14:textId="77777777" w:rsidR="00C06241" w:rsidRPr="0009445C" w:rsidRDefault="00C06241" w:rsidP="00C06241">
      <w:pPr>
        <w:pStyle w:val="BRL-Anlage"/>
      </w:pPr>
      <w:r w:rsidRPr="0009445C">
        <w:t>Re DIN 4108-4</w:t>
      </w:r>
    </w:p>
    <w:p w14:paraId="7721A45E" w14:textId="77777777" w:rsidR="00C06241" w:rsidRPr="0009445C" w:rsidRDefault="00C06241" w:rsidP="00C06241">
      <w:pPr>
        <w:pStyle w:val="BRL-Anlage"/>
      </w:pPr>
    </w:p>
    <w:p w14:paraId="60AB9A9D" w14:textId="77777777" w:rsidR="00C06241" w:rsidRPr="0009445C" w:rsidRDefault="00C06241" w:rsidP="00C06241">
      <w:pPr>
        <w:pStyle w:val="BRL-AnlageNummerierung"/>
        <w:rPr>
          <w:bCs/>
        </w:rPr>
      </w:pPr>
      <w:r w:rsidRPr="0009445C">
        <w:t>For insulating materials and insulating plaster with ETA</w:t>
      </w:r>
      <w:r w:rsidRPr="0009445C">
        <w:rPr>
          <w:vertAlign w:val="superscript"/>
        </w:rPr>
        <w:t>1</w:t>
      </w:r>
      <w:r w:rsidRPr="0009445C">
        <w:t>, the rated thermal conductivity value must be determined as follows:</w:t>
      </w:r>
    </w:p>
    <w:p w14:paraId="32576B9A" w14:textId="77777777" w:rsidR="00C06241" w:rsidRPr="0009445C" w:rsidRDefault="00C06241" w:rsidP="00C06241">
      <w:pPr>
        <w:pStyle w:val="BRL-AnlageNummerierung"/>
        <w:rPr>
          <w:bCs/>
        </w:rPr>
      </w:pPr>
      <w:r w:rsidRPr="0009445C">
        <w:t xml:space="preserve">On the basis of the nominal value given in the ETA, which represents 90% of production with a confidence factor of 90%, the nominal thermal conductivity value results from conversion to a moisture content at 23°C and 80% relative humidity and multiplication by the safety factor </w:t>
      </w:r>
      <w:r w:rsidRPr="0009445C">
        <w:sym w:font="Symbol" w:char="F067"/>
      </w:r>
      <w:r w:rsidRPr="0009445C">
        <w:t> = 1.03. The conversion factors specified in the ETA are to be used to convert the humidity.</w:t>
      </w:r>
    </w:p>
    <w:p w14:paraId="5EC7C25E" w14:textId="77777777" w:rsidR="00C06241" w:rsidRPr="0009445C" w:rsidRDefault="00C06241" w:rsidP="00C06241">
      <w:pPr>
        <w:pStyle w:val="BRL-Funote"/>
        <w:widowControl w:val="0"/>
      </w:pPr>
      <w:r w:rsidRPr="0009445C">
        <w:t>____________</w:t>
      </w:r>
    </w:p>
    <w:p w14:paraId="30787EAB" w14:textId="77777777" w:rsidR="00C06241" w:rsidRPr="0009445C" w:rsidRDefault="00C06241" w:rsidP="00C06241">
      <w:pPr>
        <w:pStyle w:val="BRL-Funote"/>
        <w:widowControl w:val="0"/>
      </w:pPr>
      <w:r w:rsidRPr="0009445C">
        <w:t>1</w:t>
      </w:r>
      <w:r w:rsidRPr="0009445C">
        <w:tab/>
        <w:t>Under EAD/ETAG/CUAP</w:t>
      </w:r>
    </w:p>
    <w:p w14:paraId="19A03CE4" w14:textId="77777777" w:rsidR="00C06241" w:rsidRPr="0009445C" w:rsidRDefault="00C06241" w:rsidP="00C06241">
      <w:pPr>
        <w:pStyle w:val="BRL-AnlageStandard"/>
        <w:widowControl w:val="0"/>
      </w:pPr>
    </w:p>
    <w:p w14:paraId="334CB758" w14:textId="77777777" w:rsidR="00C06241" w:rsidRPr="0009445C" w:rsidRDefault="00C06241" w:rsidP="00C06241">
      <w:pPr>
        <w:pStyle w:val="BRL-Standard"/>
        <w:widowControl w:val="0"/>
      </w:pPr>
    </w:p>
    <w:p w14:paraId="21226D82" w14:textId="77777777" w:rsidR="00C06241" w:rsidRPr="0009445C" w:rsidRDefault="00C06241" w:rsidP="00C06241">
      <w:pPr>
        <w:pStyle w:val="BRL-Anlage"/>
      </w:pPr>
      <w:r w:rsidRPr="0009445C">
        <w:t>Annex A 6.2/4</w:t>
      </w:r>
    </w:p>
    <w:p w14:paraId="40CFD317" w14:textId="77777777" w:rsidR="00C06241" w:rsidRPr="0009445C" w:rsidRDefault="00C06241" w:rsidP="00C06241">
      <w:pPr>
        <w:pStyle w:val="BRL-Standard"/>
      </w:pPr>
    </w:p>
    <w:p w14:paraId="7FE20267" w14:textId="77777777" w:rsidR="00C06241" w:rsidRPr="0009445C" w:rsidRDefault="00C06241" w:rsidP="00C06241">
      <w:pPr>
        <w:pStyle w:val="BRL-Standard"/>
      </w:pPr>
      <w:r w:rsidRPr="0009445C">
        <w:t>- deleted from MVV TB 2022/1 -</w:t>
      </w:r>
    </w:p>
    <w:p w14:paraId="27B64792" w14:textId="77777777" w:rsidR="00C06241" w:rsidRPr="0009445C" w:rsidRDefault="00C06241" w:rsidP="00C06241">
      <w:pPr>
        <w:pStyle w:val="BRL-Standard"/>
        <w:widowControl w:val="0"/>
      </w:pPr>
    </w:p>
    <w:p w14:paraId="16E46211" w14:textId="77777777" w:rsidR="00C06241" w:rsidRPr="0009445C" w:rsidRDefault="00C06241" w:rsidP="00C06241">
      <w:pPr>
        <w:pStyle w:val="BRL-Standard"/>
        <w:widowControl w:val="0"/>
      </w:pPr>
    </w:p>
    <w:p w14:paraId="5292D83A" w14:textId="77777777" w:rsidR="00C06241" w:rsidRPr="0009445C" w:rsidRDefault="00C06241" w:rsidP="00C06241">
      <w:pPr>
        <w:pStyle w:val="BRL-Anlage"/>
      </w:pPr>
      <w:r w:rsidRPr="0009445C">
        <w:t>Annex A 6.2/5</w:t>
      </w:r>
    </w:p>
    <w:p w14:paraId="667E0FCC" w14:textId="77777777" w:rsidR="00C06241" w:rsidRPr="0009445C" w:rsidRDefault="00C06241" w:rsidP="00C06241">
      <w:pPr>
        <w:pStyle w:val="BRL-AnlageStandard"/>
        <w:widowControl w:val="0"/>
      </w:pPr>
    </w:p>
    <w:p w14:paraId="0D30E013" w14:textId="77777777" w:rsidR="00C06241" w:rsidRPr="0009445C" w:rsidRDefault="00EF2CC8" w:rsidP="00C06241">
      <w:pPr>
        <w:pStyle w:val="BRL-AnlageNummerierung"/>
      </w:pPr>
      <w:r w:rsidRPr="0009445C">
        <w:t>1</w:t>
      </w:r>
      <w:r w:rsidRPr="0009445C">
        <w:tab/>
        <w:t>In the absence of a technical best practice for technology for the planning, designing and execution of structural works using thermal insulation materials not listed in DIN 4108-10:2021-11, proof according to § 16a MBO</w:t>
      </w:r>
      <w:r w:rsidRPr="0009445C">
        <w:rPr>
          <w:vertAlign w:val="superscript"/>
        </w:rPr>
        <w:t xml:space="preserve"> 1</w:t>
      </w:r>
      <w:r w:rsidRPr="0009445C">
        <w:t xml:space="preserve"> is required. This excludes the design of structural elements with insulation products in accordance with points 1.1 to 1.4 in case of compliance with the corresponding requirements:</w:t>
      </w:r>
    </w:p>
    <w:p w14:paraId="27110003" w14:textId="77777777" w:rsidR="00EF2CC8" w:rsidRPr="0009445C" w:rsidRDefault="00EF2CC8" w:rsidP="00C06241">
      <w:pPr>
        <w:pStyle w:val="BRL-AnlageNummerierung"/>
      </w:pPr>
    </w:p>
    <w:p w14:paraId="523A3507" w14:textId="0ECD784F" w:rsidR="00C06241" w:rsidRPr="0009445C" w:rsidRDefault="00EA78D6" w:rsidP="00C06241">
      <w:pPr>
        <w:pStyle w:val="BRL-AnlageNummerierung"/>
        <w:spacing w:after="120"/>
      </w:pPr>
      <w:r w:rsidRPr="0009445C">
        <w:t>1.1</w:t>
      </w:r>
      <w:r w:rsidRPr="0009445C">
        <w:tab/>
        <w:t>Thermal insulation panels made of mineral material with an ETA based on EAD 040012-00-1201 and EEAS 040012-01-1201:</w:t>
      </w:r>
    </w:p>
    <w:p w14:paraId="1E112164" w14:textId="77777777" w:rsidR="00EA78D6" w:rsidRPr="0009445C" w:rsidRDefault="00EA78D6" w:rsidP="00C06241">
      <w:pPr>
        <w:pStyle w:val="BRL-AnlageNummerierung"/>
        <w:spacing w:after="120"/>
        <w:rPr>
          <w:bCs/>
        </w:rPr>
      </w:pPr>
    </w:p>
    <w:tbl>
      <w:tblPr>
        <w:tblStyle w:val="TableGrid"/>
        <w:tblW w:w="10888" w:type="dxa"/>
        <w:tblInd w:w="-714" w:type="dxa"/>
        <w:tblLayout w:type="fixed"/>
        <w:tblLook w:val="04A0" w:firstRow="1" w:lastRow="0" w:firstColumn="1" w:lastColumn="0" w:noHBand="0" w:noVBand="1"/>
      </w:tblPr>
      <w:tblGrid>
        <w:gridCol w:w="1418"/>
        <w:gridCol w:w="1134"/>
        <w:gridCol w:w="850"/>
        <w:gridCol w:w="851"/>
        <w:gridCol w:w="1277"/>
        <w:gridCol w:w="851"/>
        <w:gridCol w:w="1134"/>
        <w:gridCol w:w="1276"/>
        <w:gridCol w:w="1134"/>
        <w:gridCol w:w="963"/>
      </w:tblGrid>
      <w:tr w:rsidR="00EA78D6" w:rsidRPr="0009445C" w14:paraId="28C394CA" w14:textId="77777777" w:rsidTr="0009445C">
        <w:tc>
          <w:tcPr>
            <w:tcW w:w="1418" w:type="dxa"/>
            <w:vMerge w:val="restart"/>
          </w:tcPr>
          <w:p w14:paraId="4E2A962F" w14:textId="0131241F" w:rsidR="00EA78D6" w:rsidRPr="0009445C" w:rsidRDefault="00EA78D6" w:rsidP="00DD2DE1">
            <w:pPr>
              <w:widowControl w:val="0"/>
              <w:spacing w:line="240" w:lineRule="auto"/>
              <w:rPr>
                <w:rFonts w:cs="Arial"/>
                <w:sz w:val="16"/>
                <w:szCs w:val="16"/>
              </w:rPr>
            </w:pPr>
            <w:r w:rsidRPr="0009445C">
              <w:rPr>
                <w:sz w:val="16"/>
              </w:rPr>
              <w:t>Application area according to DIN</w:t>
            </w:r>
            <w:r w:rsidR="0009445C">
              <w:rPr>
                <w:sz w:val="16"/>
              </w:rPr>
              <w:t> </w:t>
            </w:r>
            <w:r w:rsidRPr="0009445C">
              <w:rPr>
                <w:sz w:val="16"/>
              </w:rPr>
              <w:t>4108-10, Table 1 (short sign)</w:t>
            </w:r>
          </w:p>
        </w:tc>
        <w:tc>
          <w:tcPr>
            <w:tcW w:w="1134" w:type="dxa"/>
            <w:vMerge w:val="restart"/>
          </w:tcPr>
          <w:p w14:paraId="52D07A37" w14:textId="77777777" w:rsidR="00EA78D6" w:rsidRPr="0009445C" w:rsidRDefault="00EA78D6" w:rsidP="00EA78D6">
            <w:pPr>
              <w:spacing w:line="240" w:lineRule="auto"/>
              <w:rPr>
                <w:rFonts w:cs="Arial"/>
                <w:sz w:val="16"/>
                <w:szCs w:val="16"/>
              </w:rPr>
            </w:pPr>
            <w:r w:rsidRPr="0009445C">
              <w:rPr>
                <w:sz w:val="16"/>
              </w:rPr>
              <w:t>Boundary dimensions for length, width and thickness</w:t>
            </w:r>
          </w:p>
        </w:tc>
        <w:tc>
          <w:tcPr>
            <w:tcW w:w="850" w:type="dxa"/>
            <w:vMerge w:val="restart"/>
          </w:tcPr>
          <w:p w14:paraId="22ED7476" w14:textId="77777777" w:rsidR="00EA78D6" w:rsidRPr="0009445C" w:rsidRDefault="00EA78D6" w:rsidP="00EA78D6">
            <w:pPr>
              <w:spacing w:line="240" w:lineRule="auto"/>
              <w:rPr>
                <w:rFonts w:cs="Arial"/>
                <w:sz w:val="16"/>
                <w:szCs w:val="16"/>
              </w:rPr>
            </w:pPr>
            <w:r w:rsidRPr="0009445C">
              <w:rPr>
                <w:sz w:val="16"/>
              </w:rPr>
              <w:t>Right-angled</w:t>
            </w:r>
          </w:p>
        </w:tc>
        <w:tc>
          <w:tcPr>
            <w:tcW w:w="851" w:type="dxa"/>
            <w:vMerge w:val="restart"/>
          </w:tcPr>
          <w:p w14:paraId="0A999C9A" w14:textId="77777777" w:rsidR="00EA78D6" w:rsidRPr="0009445C" w:rsidRDefault="00EA78D6" w:rsidP="00EA78D6">
            <w:pPr>
              <w:spacing w:line="240" w:lineRule="auto"/>
              <w:rPr>
                <w:rFonts w:cs="Arial"/>
                <w:sz w:val="16"/>
                <w:szCs w:val="16"/>
              </w:rPr>
            </w:pPr>
            <w:r w:rsidRPr="0009445C">
              <w:rPr>
                <w:sz w:val="16"/>
              </w:rPr>
              <w:t>Flatness</w:t>
            </w:r>
          </w:p>
        </w:tc>
        <w:tc>
          <w:tcPr>
            <w:tcW w:w="1277" w:type="dxa"/>
            <w:vMerge w:val="restart"/>
          </w:tcPr>
          <w:p w14:paraId="4219693B" w14:textId="77777777" w:rsidR="00EA78D6" w:rsidRPr="0009445C" w:rsidRDefault="00EA78D6" w:rsidP="00EA78D6">
            <w:pPr>
              <w:spacing w:line="240" w:lineRule="auto"/>
              <w:rPr>
                <w:rFonts w:cs="Arial"/>
                <w:sz w:val="16"/>
                <w:szCs w:val="16"/>
              </w:rPr>
            </w:pPr>
            <w:r w:rsidRPr="0009445C">
              <w:rPr>
                <w:sz w:val="16"/>
              </w:rPr>
              <w:t>Tensile strength perpendicular</w:t>
            </w:r>
          </w:p>
        </w:tc>
        <w:tc>
          <w:tcPr>
            <w:tcW w:w="851" w:type="dxa"/>
            <w:vMerge w:val="restart"/>
          </w:tcPr>
          <w:p w14:paraId="63E6D97E" w14:textId="77777777" w:rsidR="00EA78D6" w:rsidRPr="0009445C" w:rsidRDefault="00EA78D6" w:rsidP="00EA78D6">
            <w:pPr>
              <w:spacing w:line="240" w:lineRule="auto"/>
              <w:rPr>
                <w:rFonts w:cs="Arial"/>
                <w:sz w:val="16"/>
                <w:szCs w:val="16"/>
              </w:rPr>
            </w:pPr>
            <w:r w:rsidRPr="0009445C">
              <w:rPr>
                <w:sz w:val="16"/>
              </w:rPr>
              <w:t>Compressive strength</w:t>
            </w:r>
          </w:p>
          <w:p w14:paraId="2A32A78B" w14:textId="77777777" w:rsidR="00EA78D6" w:rsidRPr="0009445C" w:rsidRDefault="00EA78D6" w:rsidP="00EA78D6">
            <w:pPr>
              <w:spacing w:line="240" w:lineRule="auto"/>
              <w:rPr>
                <w:rFonts w:cs="Arial"/>
                <w:sz w:val="16"/>
                <w:szCs w:val="16"/>
              </w:rPr>
            </w:pPr>
          </w:p>
        </w:tc>
        <w:tc>
          <w:tcPr>
            <w:tcW w:w="2410" w:type="dxa"/>
            <w:gridSpan w:val="2"/>
          </w:tcPr>
          <w:p w14:paraId="74524121" w14:textId="77777777" w:rsidR="00EA78D6" w:rsidRPr="0009445C" w:rsidRDefault="00EA78D6" w:rsidP="00EA78D6">
            <w:pPr>
              <w:spacing w:line="240" w:lineRule="auto"/>
              <w:rPr>
                <w:rFonts w:cs="Arial"/>
                <w:sz w:val="16"/>
                <w:szCs w:val="16"/>
              </w:rPr>
            </w:pPr>
            <w:r w:rsidRPr="0009445C">
              <w:rPr>
                <w:sz w:val="16"/>
              </w:rPr>
              <w:t>Dimensional stability</w:t>
            </w:r>
          </w:p>
        </w:tc>
        <w:tc>
          <w:tcPr>
            <w:tcW w:w="2097" w:type="dxa"/>
            <w:gridSpan w:val="2"/>
          </w:tcPr>
          <w:p w14:paraId="129993B0" w14:textId="77777777" w:rsidR="00EA78D6" w:rsidRPr="0009445C" w:rsidRDefault="00EA78D6" w:rsidP="00EA78D6">
            <w:pPr>
              <w:spacing w:line="240" w:lineRule="auto"/>
              <w:rPr>
                <w:rFonts w:cs="Arial"/>
                <w:sz w:val="16"/>
                <w:szCs w:val="16"/>
              </w:rPr>
            </w:pPr>
            <w:r w:rsidRPr="0009445C">
              <w:rPr>
                <w:sz w:val="16"/>
              </w:rPr>
              <w:t xml:space="preserve">Water absorption with partial immersion </w:t>
            </w:r>
          </w:p>
        </w:tc>
      </w:tr>
      <w:tr w:rsidR="00EA78D6" w:rsidRPr="0009445C" w14:paraId="50E37826" w14:textId="77777777" w:rsidTr="0009445C">
        <w:tc>
          <w:tcPr>
            <w:tcW w:w="1418" w:type="dxa"/>
            <w:vMerge/>
          </w:tcPr>
          <w:p w14:paraId="722FD8A7" w14:textId="77777777" w:rsidR="00EA78D6" w:rsidRPr="0009445C" w:rsidRDefault="00EA78D6" w:rsidP="00EA78D6">
            <w:pPr>
              <w:spacing w:line="240" w:lineRule="auto"/>
              <w:rPr>
                <w:rFonts w:cs="Arial"/>
                <w:sz w:val="16"/>
                <w:szCs w:val="16"/>
              </w:rPr>
            </w:pPr>
          </w:p>
        </w:tc>
        <w:tc>
          <w:tcPr>
            <w:tcW w:w="1134" w:type="dxa"/>
            <w:vMerge/>
            <w:tcBorders>
              <w:bottom w:val="nil"/>
            </w:tcBorders>
          </w:tcPr>
          <w:p w14:paraId="3097859D" w14:textId="77777777" w:rsidR="00EA78D6" w:rsidRPr="0009445C" w:rsidRDefault="00EA78D6" w:rsidP="00EA78D6">
            <w:pPr>
              <w:spacing w:line="240" w:lineRule="auto"/>
              <w:rPr>
                <w:rFonts w:cs="Arial"/>
                <w:sz w:val="16"/>
                <w:szCs w:val="16"/>
              </w:rPr>
            </w:pPr>
          </w:p>
        </w:tc>
        <w:tc>
          <w:tcPr>
            <w:tcW w:w="850" w:type="dxa"/>
            <w:vMerge/>
            <w:tcBorders>
              <w:bottom w:val="nil"/>
            </w:tcBorders>
          </w:tcPr>
          <w:p w14:paraId="3FEDB71F" w14:textId="77777777" w:rsidR="00EA78D6" w:rsidRPr="0009445C" w:rsidRDefault="00EA78D6" w:rsidP="00EA78D6">
            <w:pPr>
              <w:spacing w:line="240" w:lineRule="auto"/>
              <w:rPr>
                <w:rFonts w:cs="Arial"/>
                <w:sz w:val="16"/>
                <w:szCs w:val="16"/>
              </w:rPr>
            </w:pPr>
          </w:p>
        </w:tc>
        <w:tc>
          <w:tcPr>
            <w:tcW w:w="851" w:type="dxa"/>
            <w:vMerge/>
            <w:tcBorders>
              <w:bottom w:val="nil"/>
            </w:tcBorders>
          </w:tcPr>
          <w:p w14:paraId="1D96E6FF" w14:textId="77777777" w:rsidR="00EA78D6" w:rsidRPr="0009445C" w:rsidRDefault="00EA78D6" w:rsidP="00EA78D6">
            <w:pPr>
              <w:spacing w:line="240" w:lineRule="auto"/>
              <w:rPr>
                <w:rFonts w:cs="Arial"/>
                <w:sz w:val="16"/>
                <w:szCs w:val="16"/>
              </w:rPr>
            </w:pPr>
          </w:p>
        </w:tc>
        <w:tc>
          <w:tcPr>
            <w:tcW w:w="1277" w:type="dxa"/>
            <w:vMerge/>
            <w:tcBorders>
              <w:bottom w:val="nil"/>
            </w:tcBorders>
          </w:tcPr>
          <w:p w14:paraId="41288A18" w14:textId="77777777" w:rsidR="00EA78D6" w:rsidRPr="0009445C" w:rsidRDefault="00EA78D6" w:rsidP="00EA78D6">
            <w:pPr>
              <w:spacing w:line="240" w:lineRule="auto"/>
              <w:rPr>
                <w:rFonts w:cs="Arial"/>
                <w:sz w:val="16"/>
                <w:szCs w:val="16"/>
              </w:rPr>
            </w:pPr>
          </w:p>
        </w:tc>
        <w:tc>
          <w:tcPr>
            <w:tcW w:w="851" w:type="dxa"/>
            <w:vMerge/>
            <w:tcBorders>
              <w:bottom w:val="nil"/>
            </w:tcBorders>
          </w:tcPr>
          <w:p w14:paraId="4B46A32B" w14:textId="77777777" w:rsidR="00EA78D6" w:rsidRPr="0009445C" w:rsidRDefault="00EA78D6" w:rsidP="00EA78D6">
            <w:pPr>
              <w:spacing w:line="240" w:lineRule="auto"/>
              <w:rPr>
                <w:rFonts w:cs="Arial"/>
                <w:sz w:val="16"/>
                <w:szCs w:val="16"/>
              </w:rPr>
            </w:pPr>
          </w:p>
        </w:tc>
        <w:tc>
          <w:tcPr>
            <w:tcW w:w="1134" w:type="dxa"/>
            <w:tcBorders>
              <w:bottom w:val="nil"/>
            </w:tcBorders>
          </w:tcPr>
          <w:p w14:paraId="6FEE8A66" w14:textId="77777777" w:rsidR="00EA78D6" w:rsidRPr="0009445C" w:rsidRDefault="00EA78D6" w:rsidP="00EA78D6">
            <w:pPr>
              <w:spacing w:line="240" w:lineRule="auto"/>
              <w:rPr>
                <w:rFonts w:cs="Arial"/>
                <w:sz w:val="16"/>
                <w:szCs w:val="16"/>
              </w:rPr>
            </w:pPr>
            <w:r w:rsidRPr="0009445C">
              <w:rPr>
                <w:sz w:val="16"/>
              </w:rPr>
              <w:t>at a defined temperature</w:t>
            </w:r>
          </w:p>
        </w:tc>
        <w:tc>
          <w:tcPr>
            <w:tcW w:w="1276" w:type="dxa"/>
            <w:tcBorders>
              <w:bottom w:val="nil"/>
            </w:tcBorders>
          </w:tcPr>
          <w:p w14:paraId="2D406CD5" w14:textId="77777777" w:rsidR="00EA78D6" w:rsidRPr="0009445C" w:rsidRDefault="00EA78D6" w:rsidP="00EA78D6">
            <w:pPr>
              <w:spacing w:line="240" w:lineRule="auto"/>
              <w:rPr>
                <w:rFonts w:cs="Arial"/>
                <w:sz w:val="16"/>
                <w:szCs w:val="16"/>
              </w:rPr>
            </w:pPr>
            <w:r w:rsidRPr="0009445C">
              <w:rPr>
                <w:sz w:val="16"/>
              </w:rPr>
              <w:t>at a defined temperature and humidity conditions</w:t>
            </w:r>
          </w:p>
        </w:tc>
        <w:tc>
          <w:tcPr>
            <w:tcW w:w="1134" w:type="dxa"/>
            <w:tcBorders>
              <w:bottom w:val="nil"/>
            </w:tcBorders>
          </w:tcPr>
          <w:p w14:paraId="1B9BF1EF" w14:textId="77777777" w:rsidR="00EA78D6" w:rsidRPr="0009445C" w:rsidRDefault="00EA78D6" w:rsidP="00EA78D6">
            <w:pPr>
              <w:spacing w:line="240" w:lineRule="auto"/>
              <w:rPr>
                <w:rFonts w:cs="Arial"/>
                <w:sz w:val="16"/>
                <w:szCs w:val="16"/>
              </w:rPr>
            </w:pPr>
            <w:r w:rsidRPr="0009445C">
              <w:rPr>
                <w:sz w:val="16"/>
              </w:rPr>
              <w:t>brief</w:t>
            </w:r>
          </w:p>
        </w:tc>
        <w:tc>
          <w:tcPr>
            <w:tcW w:w="963" w:type="dxa"/>
            <w:tcBorders>
              <w:bottom w:val="nil"/>
            </w:tcBorders>
          </w:tcPr>
          <w:p w14:paraId="489D2D66" w14:textId="77777777" w:rsidR="00EA78D6" w:rsidRPr="0009445C" w:rsidRDefault="00EA78D6" w:rsidP="00EA78D6">
            <w:pPr>
              <w:spacing w:line="240" w:lineRule="auto"/>
              <w:rPr>
                <w:rFonts w:cs="Arial"/>
                <w:sz w:val="16"/>
                <w:szCs w:val="16"/>
              </w:rPr>
            </w:pPr>
            <w:r w:rsidRPr="0009445C">
              <w:rPr>
                <w:sz w:val="16"/>
              </w:rPr>
              <w:t>long term</w:t>
            </w:r>
          </w:p>
        </w:tc>
      </w:tr>
      <w:tr w:rsidR="00EA78D6" w:rsidRPr="0009445C" w14:paraId="1AC308AA" w14:textId="77777777" w:rsidTr="0009445C">
        <w:tc>
          <w:tcPr>
            <w:tcW w:w="1418" w:type="dxa"/>
            <w:vMerge/>
          </w:tcPr>
          <w:p w14:paraId="41851854" w14:textId="77777777" w:rsidR="00EA78D6" w:rsidRPr="0009445C" w:rsidRDefault="00EA78D6" w:rsidP="00EA78D6">
            <w:pPr>
              <w:spacing w:line="240" w:lineRule="auto"/>
              <w:rPr>
                <w:rFonts w:cs="Arial"/>
                <w:sz w:val="16"/>
                <w:szCs w:val="16"/>
              </w:rPr>
            </w:pPr>
          </w:p>
        </w:tc>
        <w:tc>
          <w:tcPr>
            <w:tcW w:w="1134" w:type="dxa"/>
            <w:tcBorders>
              <w:top w:val="nil"/>
            </w:tcBorders>
          </w:tcPr>
          <w:p w14:paraId="2A033625" w14:textId="77777777" w:rsidR="00EA78D6" w:rsidRPr="0009445C" w:rsidRDefault="00EA78D6" w:rsidP="00EA78D6">
            <w:pPr>
              <w:spacing w:line="240" w:lineRule="auto"/>
              <w:rPr>
                <w:rFonts w:cs="Arial"/>
                <w:sz w:val="16"/>
                <w:szCs w:val="16"/>
              </w:rPr>
            </w:pPr>
            <w:r w:rsidRPr="0009445C">
              <w:rPr>
                <w:sz w:val="16"/>
              </w:rPr>
              <w:t>mm</w:t>
            </w:r>
          </w:p>
        </w:tc>
        <w:tc>
          <w:tcPr>
            <w:tcW w:w="850" w:type="dxa"/>
            <w:tcBorders>
              <w:top w:val="nil"/>
            </w:tcBorders>
          </w:tcPr>
          <w:p w14:paraId="5840E4EF" w14:textId="77777777" w:rsidR="00EA78D6" w:rsidRPr="0009445C" w:rsidRDefault="00EA78D6" w:rsidP="00EA78D6">
            <w:pPr>
              <w:spacing w:line="240" w:lineRule="auto"/>
              <w:rPr>
                <w:rFonts w:cs="Arial"/>
                <w:sz w:val="16"/>
                <w:szCs w:val="16"/>
              </w:rPr>
            </w:pPr>
            <w:r w:rsidRPr="0009445C">
              <w:rPr>
                <w:sz w:val="16"/>
              </w:rPr>
              <w:t>mm/m</w:t>
            </w:r>
          </w:p>
        </w:tc>
        <w:tc>
          <w:tcPr>
            <w:tcW w:w="851" w:type="dxa"/>
            <w:tcBorders>
              <w:top w:val="nil"/>
            </w:tcBorders>
          </w:tcPr>
          <w:p w14:paraId="4C9B8734" w14:textId="77777777" w:rsidR="00EA78D6" w:rsidRPr="0009445C" w:rsidRDefault="00EA78D6" w:rsidP="00EA78D6">
            <w:pPr>
              <w:spacing w:line="240" w:lineRule="auto"/>
              <w:rPr>
                <w:rFonts w:cs="Arial"/>
                <w:sz w:val="16"/>
                <w:szCs w:val="16"/>
              </w:rPr>
            </w:pPr>
            <w:r w:rsidRPr="0009445C">
              <w:rPr>
                <w:sz w:val="16"/>
              </w:rPr>
              <w:t>mm</w:t>
            </w:r>
          </w:p>
        </w:tc>
        <w:tc>
          <w:tcPr>
            <w:tcW w:w="1277" w:type="dxa"/>
            <w:tcBorders>
              <w:top w:val="nil"/>
            </w:tcBorders>
          </w:tcPr>
          <w:p w14:paraId="059EC2B1" w14:textId="77777777" w:rsidR="00EA78D6" w:rsidRPr="0009445C" w:rsidRDefault="00EA78D6" w:rsidP="00EA78D6">
            <w:pPr>
              <w:spacing w:line="240" w:lineRule="auto"/>
              <w:rPr>
                <w:rFonts w:cs="Arial"/>
                <w:sz w:val="16"/>
                <w:szCs w:val="16"/>
              </w:rPr>
            </w:pPr>
            <w:r w:rsidRPr="0009445C">
              <w:rPr>
                <w:sz w:val="16"/>
              </w:rPr>
              <w:t>kPa</w:t>
            </w:r>
          </w:p>
        </w:tc>
        <w:tc>
          <w:tcPr>
            <w:tcW w:w="851" w:type="dxa"/>
            <w:tcBorders>
              <w:top w:val="nil"/>
            </w:tcBorders>
          </w:tcPr>
          <w:p w14:paraId="369FA9E3" w14:textId="77777777" w:rsidR="00EA78D6" w:rsidRPr="0009445C" w:rsidRDefault="00EA78D6" w:rsidP="00EA78D6">
            <w:pPr>
              <w:spacing w:line="240" w:lineRule="auto"/>
              <w:rPr>
                <w:rFonts w:cs="Arial"/>
                <w:sz w:val="16"/>
                <w:szCs w:val="16"/>
              </w:rPr>
            </w:pPr>
            <w:r w:rsidRPr="0009445C">
              <w:rPr>
                <w:sz w:val="16"/>
              </w:rPr>
              <w:t>kPa</w:t>
            </w:r>
          </w:p>
        </w:tc>
        <w:tc>
          <w:tcPr>
            <w:tcW w:w="1134" w:type="dxa"/>
            <w:tcBorders>
              <w:top w:val="nil"/>
            </w:tcBorders>
          </w:tcPr>
          <w:p w14:paraId="26453C0A" w14:textId="77777777" w:rsidR="00EA78D6" w:rsidRPr="0009445C" w:rsidRDefault="00EA78D6" w:rsidP="00EA78D6">
            <w:pPr>
              <w:spacing w:line="240" w:lineRule="auto"/>
              <w:rPr>
                <w:rFonts w:cs="Arial"/>
                <w:sz w:val="16"/>
                <w:szCs w:val="16"/>
              </w:rPr>
            </w:pPr>
            <w:r w:rsidRPr="0009445C">
              <w:rPr>
                <w:sz w:val="16"/>
              </w:rPr>
              <w:t>%</w:t>
            </w:r>
          </w:p>
        </w:tc>
        <w:tc>
          <w:tcPr>
            <w:tcW w:w="1276" w:type="dxa"/>
            <w:tcBorders>
              <w:top w:val="nil"/>
            </w:tcBorders>
          </w:tcPr>
          <w:p w14:paraId="491D058D" w14:textId="77777777" w:rsidR="00EA78D6" w:rsidRPr="0009445C" w:rsidRDefault="00EA78D6" w:rsidP="00EA78D6">
            <w:pPr>
              <w:spacing w:line="240" w:lineRule="auto"/>
              <w:rPr>
                <w:rFonts w:cs="Arial"/>
                <w:sz w:val="16"/>
                <w:szCs w:val="16"/>
              </w:rPr>
            </w:pPr>
            <w:r w:rsidRPr="0009445C">
              <w:rPr>
                <w:sz w:val="16"/>
              </w:rPr>
              <w:t>%</w:t>
            </w:r>
          </w:p>
        </w:tc>
        <w:tc>
          <w:tcPr>
            <w:tcW w:w="1134" w:type="dxa"/>
            <w:tcBorders>
              <w:top w:val="nil"/>
            </w:tcBorders>
          </w:tcPr>
          <w:p w14:paraId="796ADBB8" w14:textId="77777777" w:rsidR="00EA78D6" w:rsidRPr="0009445C" w:rsidRDefault="00EA78D6" w:rsidP="00EA78D6">
            <w:pPr>
              <w:spacing w:line="240" w:lineRule="auto"/>
              <w:rPr>
                <w:rFonts w:cs="Arial"/>
                <w:sz w:val="16"/>
                <w:szCs w:val="16"/>
              </w:rPr>
            </w:pPr>
            <w:r w:rsidRPr="0009445C">
              <w:rPr>
                <w:sz w:val="16"/>
              </w:rPr>
              <w:t>[kg/m²]</w:t>
            </w:r>
          </w:p>
        </w:tc>
        <w:tc>
          <w:tcPr>
            <w:tcW w:w="963" w:type="dxa"/>
            <w:tcBorders>
              <w:top w:val="nil"/>
            </w:tcBorders>
          </w:tcPr>
          <w:p w14:paraId="137C1875" w14:textId="77777777" w:rsidR="00EA78D6" w:rsidRPr="0009445C" w:rsidRDefault="00EA78D6" w:rsidP="00EA78D6">
            <w:pPr>
              <w:spacing w:line="240" w:lineRule="auto"/>
              <w:rPr>
                <w:rFonts w:cs="Arial"/>
                <w:sz w:val="16"/>
                <w:szCs w:val="16"/>
              </w:rPr>
            </w:pPr>
            <w:r w:rsidRPr="0009445C">
              <w:rPr>
                <w:sz w:val="16"/>
              </w:rPr>
              <w:t>[kg/m²]</w:t>
            </w:r>
          </w:p>
        </w:tc>
      </w:tr>
      <w:tr w:rsidR="00EA78D6" w:rsidRPr="0009445C" w14:paraId="728B8AB6" w14:textId="77777777" w:rsidTr="0009445C">
        <w:tc>
          <w:tcPr>
            <w:tcW w:w="1418" w:type="dxa"/>
          </w:tcPr>
          <w:p w14:paraId="47301229" w14:textId="77777777" w:rsidR="00EA78D6" w:rsidRPr="0009445C" w:rsidRDefault="00EA78D6" w:rsidP="00EA78D6">
            <w:pPr>
              <w:spacing w:line="240" w:lineRule="auto"/>
              <w:rPr>
                <w:rFonts w:cs="Arial"/>
                <w:sz w:val="16"/>
                <w:szCs w:val="16"/>
              </w:rPr>
            </w:pPr>
            <w:r w:rsidRPr="0009445C">
              <w:rPr>
                <w:sz w:val="16"/>
              </w:rPr>
              <w:t>DAD</w:t>
            </w:r>
          </w:p>
        </w:tc>
        <w:tc>
          <w:tcPr>
            <w:tcW w:w="1134" w:type="dxa"/>
          </w:tcPr>
          <w:p w14:paraId="1A3595C6"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14BF8F78"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13EFAD76"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6CDE4A8D"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26DEF664" w14:textId="77777777" w:rsidR="00EA78D6" w:rsidRPr="0009445C" w:rsidRDefault="00EA78D6" w:rsidP="00EA78D6">
            <w:pPr>
              <w:spacing w:line="240" w:lineRule="auto"/>
              <w:rPr>
                <w:rFonts w:cs="Arial"/>
                <w:sz w:val="16"/>
                <w:szCs w:val="16"/>
              </w:rPr>
            </w:pPr>
            <w:r w:rsidRPr="0009445C">
              <w:rPr>
                <w:sz w:val="16"/>
              </w:rPr>
              <w:t>≥ 200</w:t>
            </w:r>
          </w:p>
        </w:tc>
        <w:tc>
          <w:tcPr>
            <w:tcW w:w="1134" w:type="dxa"/>
          </w:tcPr>
          <w:p w14:paraId="529F14D9"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3BEF9D5A"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72745B56" w14:textId="77777777" w:rsidR="00EA78D6" w:rsidRPr="0009445C" w:rsidRDefault="00EA78D6" w:rsidP="00EA78D6">
            <w:pPr>
              <w:spacing w:line="240" w:lineRule="auto"/>
              <w:rPr>
                <w:rFonts w:cs="Arial"/>
                <w:sz w:val="16"/>
                <w:szCs w:val="16"/>
              </w:rPr>
            </w:pPr>
            <w:r w:rsidRPr="0009445C">
              <w:rPr>
                <w:sz w:val="16"/>
              </w:rPr>
              <w:t>≤ 2.0</w:t>
            </w:r>
          </w:p>
        </w:tc>
        <w:tc>
          <w:tcPr>
            <w:tcW w:w="963" w:type="dxa"/>
          </w:tcPr>
          <w:p w14:paraId="74E0E3AE" w14:textId="77777777" w:rsidR="00EA78D6" w:rsidRPr="0009445C" w:rsidRDefault="00EA78D6" w:rsidP="00EA78D6">
            <w:pPr>
              <w:spacing w:line="240" w:lineRule="auto"/>
              <w:rPr>
                <w:rFonts w:cs="Arial"/>
                <w:sz w:val="16"/>
                <w:szCs w:val="16"/>
              </w:rPr>
            </w:pPr>
            <w:r w:rsidRPr="0009445C">
              <w:rPr>
                <w:sz w:val="16"/>
              </w:rPr>
              <w:t>≤ 3.0</w:t>
            </w:r>
          </w:p>
        </w:tc>
      </w:tr>
      <w:tr w:rsidR="00EA78D6" w:rsidRPr="0009445C" w14:paraId="5D683700" w14:textId="77777777" w:rsidTr="0009445C">
        <w:tc>
          <w:tcPr>
            <w:tcW w:w="1418" w:type="dxa"/>
          </w:tcPr>
          <w:p w14:paraId="6E5555BC" w14:textId="77777777" w:rsidR="00EA78D6" w:rsidRPr="0009445C" w:rsidRDefault="00EA78D6" w:rsidP="00EA78D6">
            <w:pPr>
              <w:spacing w:line="240" w:lineRule="auto"/>
              <w:rPr>
                <w:rFonts w:cs="Arial"/>
                <w:sz w:val="16"/>
                <w:szCs w:val="16"/>
              </w:rPr>
            </w:pPr>
            <w:r w:rsidRPr="0009445C">
              <w:rPr>
                <w:sz w:val="16"/>
              </w:rPr>
              <w:t>DAA</w:t>
            </w:r>
          </w:p>
        </w:tc>
        <w:tc>
          <w:tcPr>
            <w:tcW w:w="1134" w:type="dxa"/>
          </w:tcPr>
          <w:p w14:paraId="5AC7039B"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1FE24A52"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4749ECAD"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7A098E39" w14:textId="77777777" w:rsidR="00EA78D6" w:rsidRPr="0009445C" w:rsidRDefault="00EA78D6" w:rsidP="00EA78D6">
            <w:pPr>
              <w:spacing w:line="240" w:lineRule="auto"/>
              <w:rPr>
                <w:rFonts w:cs="Arial"/>
                <w:sz w:val="16"/>
                <w:szCs w:val="16"/>
              </w:rPr>
            </w:pPr>
            <w:r w:rsidRPr="0009445C">
              <w:rPr>
                <w:sz w:val="16"/>
              </w:rPr>
              <w:t>≥ 80</w:t>
            </w:r>
          </w:p>
        </w:tc>
        <w:tc>
          <w:tcPr>
            <w:tcW w:w="851" w:type="dxa"/>
          </w:tcPr>
          <w:p w14:paraId="5BA217B1" w14:textId="77777777" w:rsidR="00EA78D6" w:rsidRPr="0009445C" w:rsidRDefault="00EA78D6" w:rsidP="00EA78D6">
            <w:pPr>
              <w:spacing w:line="240" w:lineRule="auto"/>
              <w:rPr>
                <w:rFonts w:cs="Arial"/>
                <w:sz w:val="16"/>
                <w:szCs w:val="16"/>
              </w:rPr>
            </w:pPr>
            <w:r w:rsidRPr="0009445C">
              <w:rPr>
                <w:sz w:val="16"/>
              </w:rPr>
              <w:t>≥ 200</w:t>
            </w:r>
          </w:p>
        </w:tc>
        <w:tc>
          <w:tcPr>
            <w:tcW w:w="1134" w:type="dxa"/>
          </w:tcPr>
          <w:p w14:paraId="7473CC38"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196E8844"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406E5F5C" w14:textId="77777777" w:rsidR="00EA78D6" w:rsidRPr="0009445C" w:rsidRDefault="00EA78D6" w:rsidP="00EA78D6">
            <w:pPr>
              <w:spacing w:line="240" w:lineRule="auto"/>
              <w:rPr>
                <w:rFonts w:cs="Arial"/>
                <w:sz w:val="16"/>
                <w:szCs w:val="16"/>
              </w:rPr>
            </w:pPr>
            <w:r w:rsidRPr="0009445C">
              <w:rPr>
                <w:sz w:val="16"/>
              </w:rPr>
              <w:t>≤ 2.0</w:t>
            </w:r>
          </w:p>
        </w:tc>
        <w:tc>
          <w:tcPr>
            <w:tcW w:w="963" w:type="dxa"/>
          </w:tcPr>
          <w:p w14:paraId="654D3146" w14:textId="77777777" w:rsidR="00EA78D6" w:rsidRPr="0009445C" w:rsidRDefault="00EA78D6" w:rsidP="00EA78D6">
            <w:pPr>
              <w:spacing w:line="240" w:lineRule="auto"/>
              <w:rPr>
                <w:rFonts w:cs="Arial"/>
                <w:sz w:val="16"/>
                <w:szCs w:val="16"/>
              </w:rPr>
            </w:pPr>
            <w:r w:rsidRPr="0009445C">
              <w:rPr>
                <w:sz w:val="16"/>
              </w:rPr>
              <w:t>≤ 3.0</w:t>
            </w:r>
          </w:p>
        </w:tc>
      </w:tr>
      <w:tr w:rsidR="00EA78D6" w:rsidRPr="0009445C" w14:paraId="221B2909" w14:textId="77777777" w:rsidTr="0009445C">
        <w:tc>
          <w:tcPr>
            <w:tcW w:w="1418" w:type="dxa"/>
          </w:tcPr>
          <w:p w14:paraId="0212DC69" w14:textId="77777777" w:rsidR="00EA78D6" w:rsidRPr="0009445C" w:rsidRDefault="00EA78D6" w:rsidP="00EA78D6">
            <w:pPr>
              <w:spacing w:line="240" w:lineRule="auto"/>
              <w:rPr>
                <w:rFonts w:cs="Arial"/>
                <w:sz w:val="16"/>
                <w:szCs w:val="16"/>
              </w:rPr>
            </w:pPr>
            <w:r w:rsidRPr="0009445C">
              <w:rPr>
                <w:sz w:val="16"/>
              </w:rPr>
              <w:t>DZ</w:t>
            </w:r>
          </w:p>
        </w:tc>
        <w:tc>
          <w:tcPr>
            <w:tcW w:w="1134" w:type="dxa"/>
          </w:tcPr>
          <w:p w14:paraId="289E60B8"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5EF12BA4"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65241748"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349E03CB"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2D044608" w14:textId="77777777" w:rsidR="00EA78D6" w:rsidRPr="0009445C" w:rsidRDefault="00EA78D6" w:rsidP="00EA78D6">
            <w:pPr>
              <w:spacing w:line="240" w:lineRule="auto"/>
              <w:rPr>
                <w:rFonts w:cs="Arial"/>
                <w:sz w:val="16"/>
                <w:szCs w:val="16"/>
              </w:rPr>
            </w:pPr>
            <w:r w:rsidRPr="0009445C">
              <w:rPr>
                <w:sz w:val="16"/>
              </w:rPr>
              <w:t>-</w:t>
            </w:r>
          </w:p>
        </w:tc>
        <w:tc>
          <w:tcPr>
            <w:tcW w:w="1134" w:type="dxa"/>
          </w:tcPr>
          <w:p w14:paraId="17FF7F18"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3FBB7B8F"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167FED80" w14:textId="77777777" w:rsidR="00EA78D6" w:rsidRPr="0009445C" w:rsidRDefault="00EA78D6" w:rsidP="00EA78D6">
            <w:pPr>
              <w:spacing w:line="240" w:lineRule="auto"/>
              <w:rPr>
                <w:rFonts w:cs="Arial"/>
                <w:sz w:val="16"/>
                <w:szCs w:val="16"/>
              </w:rPr>
            </w:pPr>
            <w:r w:rsidRPr="0009445C">
              <w:rPr>
                <w:sz w:val="16"/>
              </w:rPr>
              <w:t>-</w:t>
            </w:r>
          </w:p>
        </w:tc>
        <w:tc>
          <w:tcPr>
            <w:tcW w:w="963" w:type="dxa"/>
          </w:tcPr>
          <w:p w14:paraId="44C70517" w14:textId="77777777" w:rsidR="00EA78D6" w:rsidRPr="0009445C" w:rsidRDefault="00EA78D6" w:rsidP="00EA78D6">
            <w:pPr>
              <w:spacing w:line="240" w:lineRule="auto"/>
              <w:rPr>
                <w:rFonts w:cs="Arial"/>
                <w:sz w:val="16"/>
                <w:szCs w:val="16"/>
              </w:rPr>
            </w:pPr>
            <w:r w:rsidRPr="0009445C">
              <w:rPr>
                <w:sz w:val="16"/>
              </w:rPr>
              <w:t>-</w:t>
            </w:r>
          </w:p>
        </w:tc>
      </w:tr>
      <w:tr w:rsidR="00EA78D6" w:rsidRPr="0009445C" w14:paraId="4CA71571" w14:textId="77777777" w:rsidTr="0009445C">
        <w:tc>
          <w:tcPr>
            <w:tcW w:w="1418" w:type="dxa"/>
          </w:tcPr>
          <w:p w14:paraId="07020468" w14:textId="77777777" w:rsidR="00EA78D6" w:rsidRPr="0009445C" w:rsidRDefault="00EA78D6" w:rsidP="00EA78D6">
            <w:pPr>
              <w:spacing w:line="240" w:lineRule="auto"/>
              <w:rPr>
                <w:rFonts w:cs="Arial"/>
                <w:sz w:val="16"/>
                <w:szCs w:val="16"/>
              </w:rPr>
            </w:pPr>
            <w:r w:rsidRPr="0009445C">
              <w:rPr>
                <w:sz w:val="16"/>
              </w:rPr>
              <w:t>DI</w:t>
            </w:r>
          </w:p>
        </w:tc>
        <w:tc>
          <w:tcPr>
            <w:tcW w:w="1134" w:type="dxa"/>
          </w:tcPr>
          <w:p w14:paraId="736FBDDB"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20D35D9E"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67BB2EF8"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1305BF41"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5E86EE50" w14:textId="77777777" w:rsidR="00EA78D6" w:rsidRPr="0009445C" w:rsidRDefault="00EA78D6" w:rsidP="00EA78D6">
            <w:pPr>
              <w:spacing w:line="240" w:lineRule="auto"/>
              <w:rPr>
                <w:rFonts w:cs="Arial"/>
                <w:sz w:val="16"/>
                <w:szCs w:val="16"/>
              </w:rPr>
            </w:pPr>
            <w:r w:rsidRPr="0009445C">
              <w:rPr>
                <w:sz w:val="16"/>
              </w:rPr>
              <w:t>≥ 150</w:t>
            </w:r>
          </w:p>
        </w:tc>
        <w:tc>
          <w:tcPr>
            <w:tcW w:w="1134" w:type="dxa"/>
          </w:tcPr>
          <w:p w14:paraId="79715AC3"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0CB3D3AB"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69CBFF17" w14:textId="77777777" w:rsidR="00EA78D6" w:rsidRPr="0009445C" w:rsidRDefault="00EA78D6" w:rsidP="00EA78D6">
            <w:pPr>
              <w:spacing w:line="240" w:lineRule="auto"/>
              <w:rPr>
                <w:rFonts w:cs="Arial"/>
                <w:sz w:val="16"/>
                <w:szCs w:val="16"/>
              </w:rPr>
            </w:pPr>
            <w:r w:rsidRPr="0009445C">
              <w:rPr>
                <w:sz w:val="16"/>
              </w:rPr>
              <w:t>-</w:t>
            </w:r>
          </w:p>
        </w:tc>
        <w:tc>
          <w:tcPr>
            <w:tcW w:w="963" w:type="dxa"/>
          </w:tcPr>
          <w:p w14:paraId="5206097E" w14:textId="77777777" w:rsidR="00EA78D6" w:rsidRPr="0009445C" w:rsidRDefault="00EA78D6" w:rsidP="00EA78D6">
            <w:pPr>
              <w:spacing w:line="240" w:lineRule="auto"/>
              <w:rPr>
                <w:rFonts w:cs="Arial"/>
                <w:sz w:val="16"/>
                <w:szCs w:val="16"/>
              </w:rPr>
            </w:pPr>
            <w:r w:rsidRPr="0009445C">
              <w:rPr>
                <w:sz w:val="16"/>
              </w:rPr>
              <w:t>-</w:t>
            </w:r>
          </w:p>
        </w:tc>
      </w:tr>
      <w:tr w:rsidR="00EA78D6" w:rsidRPr="0009445C" w14:paraId="62FE2FA5" w14:textId="77777777" w:rsidTr="0009445C">
        <w:tc>
          <w:tcPr>
            <w:tcW w:w="1418" w:type="dxa"/>
          </w:tcPr>
          <w:p w14:paraId="40EE74C1" w14:textId="77777777" w:rsidR="00EA78D6" w:rsidRPr="0009445C" w:rsidRDefault="00EA78D6" w:rsidP="00EA78D6">
            <w:pPr>
              <w:spacing w:line="240" w:lineRule="auto"/>
              <w:rPr>
                <w:rFonts w:cs="Arial"/>
                <w:sz w:val="16"/>
                <w:szCs w:val="16"/>
              </w:rPr>
            </w:pPr>
            <w:r w:rsidRPr="0009445C">
              <w:rPr>
                <w:sz w:val="16"/>
              </w:rPr>
              <w:t>DEO</w:t>
            </w:r>
          </w:p>
        </w:tc>
        <w:tc>
          <w:tcPr>
            <w:tcW w:w="1134" w:type="dxa"/>
          </w:tcPr>
          <w:p w14:paraId="1701EEC0"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4030FF09"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32B4DA75"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5F2D7A57"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6EBB5284" w14:textId="77777777" w:rsidR="00EA78D6" w:rsidRPr="0009445C" w:rsidRDefault="00EA78D6" w:rsidP="00EA78D6">
            <w:pPr>
              <w:spacing w:line="240" w:lineRule="auto"/>
              <w:rPr>
                <w:rFonts w:cs="Arial"/>
                <w:sz w:val="16"/>
                <w:szCs w:val="16"/>
              </w:rPr>
            </w:pPr>
            <w:r w:rsidRPr="0009445C">
              <w:rPr>
                <w:sz w:val="16"/>
              </w:rPr>
              <w:t>≥ 150</w:t>
            </w:r>
          </w:p>
        </w:tc>
        <w:tc>
          <w:tcPr>
            <w:tcW w:w="1134" w:type="dxa"/>
          </w:tcPr>
          <w:p w14:paraId="235975E9"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3A0D2B1C"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263BA53E" w14:textId="77777777" w:rsidR="00EA78D6" w:rsidRPr="0009445C" w:rsidRDefault="00EA78D6" w:rsidP="00EA78D6">
            <w:pPr>
              <w:spacing w:line="240" w:lineRule="auto"/>
              <w:rPr>
                <w:rFonts w:cs="Arial"/>
                <w:sz w:val="16"/>
                <w:szCs w:val="16"/>
              </w:rPr>
            </w:pPr>
            <w:r w:rsidRPr="0009445C">
              <w:rPr>
                <w:sz w:val="16"/>
              </w:rPr>
              <w:t>-</w:t>
            </w:r>
          </w:p>
        </w:tc>
        <w:tc>
          <w:tcPr>
            <w:tcW w:w="963" w:type="dxa"/>
          </w:tcPr>
          <w:p w14:paraId="593F0DB8" w14:textId="77777777" w:rsidR="00EA78D6" w:rsidRPr="0009445C" w:rsidRDefault="00EA78D6" w:rsidP="00EA78D6">
            <w:pPr>
              <w:spacing w:line="240" w:lineRule="auto"/>
              <w:rPr>
                <w:rFonts w:cs="Arial"/>
                <w:sz w:val="16"/>
                <w:szCs w:val="16"/>
              </w:rPr>
            </w:pPr>
            <w:r w:rsidRPr="0009445C">
              <w:rPr>
                <w:sz w:val="16"/>
              </w:rPr>
              <w:t>-</w:t>
            </w:r>
          </w:p>
        </w:tc>
      </w:tr>
      <w:tr w:rsidR="00EA78D6" w:rsidRPr="0009445C" w14:paraId="7571D1D6" w14:textId="77777777" w:rsidTr="0009445C">
        <w:tc>
          <w:tcPr>
            <w:tcW w:w="1418" w:type="dxa"/>
          </w:tcPr>
          <w:p w14:paraId="4C76CB0C" w14:textId="77777777" w:rsidR="00EA78D6" w:rsidRPr="0009445C" w:rsidRDefault="00EA78D6" w:rsidP="00EA78D6">
            <w:pPr>
              <w:spacing w:line="240" w:lineRule="auto"/>
              <w:rPr>
                <w:rFonts w:cs="Arial"/>
                <w:sz w:val="16"/>
                <w:szCs w:val="16"/>
              </w:rPr>
            </w:pPr>
            <w:r w:rsidRPr="0009445C">
              <w:rPr>
                <w:sz w:val="16"/>
              </w:rPr>
              <w:t>WI</w:t>
            </w:r>
          </w:p>
        </w:tc>
        <w:tc>
          <w:tcPr>
            <w:tcW w:w="1134" w:type="dxa"/>
          </w:tcPr>
          <w:p w14:paraId="045859BD"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4C775AFC"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19EA5FA6"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4F641E93"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4EF5BAE1" w14:textId="77777777" w:rsidR="00EA78D6" w:rsidRPr="0009445C" w:rsidRDefault="00EA78D6" w:rsidP="00EA78D6">
            <w:pPr>
              <w:spacing w:line="240" w:lineRule="auto"/>
              <w:rPr>
                <w:rFonts w:cs="Arial"/>
                <w:sz w:val="16"/>
                <w:szCs w:val="16"/>
              </w:rPr>
            </w:pPr>
            <w:r w:rsidRPr="0009445C">
              <w:rPr>
                <w:sz w:val="16"/>
              </w:rPr>
              <w:t>≥ 150</w:t>
            </w:r>
          </w:p>
        </w:tc>
        <w:tc>
          <w:tcPr>
            <w:tcW w:w="1134" w:type="dxa"/>
          </w:tcPr>
          <w:p w14:paraId="440F1C89"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12C68299"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648CDE5A" w14:textId="77777777" w:rsidR="00EA78D6" w:rsidRPr="0009445C" w:rsidRDefault="00EA78D6" w:rsidP="00EA78D6">
            <w:pPr>
              <w:spacing w:line="240" w:lineRule="auto"/>
              <w:rPr>
                <w:rFonts w:cs="Arial"/>
                <w:sz w:val="16"/>
                <w:szCs w:val="16"/>
              </w:rPr>
            </w:pPr>
            <w:r w:rsidRPr="0009445C">
              <w:rPr>
                <w:sz w:val="16"/>
              </w:rPr>
              <w:t>-</w:t>
            </w:r>
          </w:p>
        </w:tc>
        <w:tc>
          <w:tcPr>
            <w:tcW w:w="963" w:type="dxa"/>
          </w:tcPr>
          <w:p w14:paraId="0B3B1A6F" w14:textId="77777777" w:rsidR="00EA78D6" w:rsidRPr="0009445C" w:rsidRDefault="00EA78D6" w:rsidP="00EA78D6">
            <w:pPr>
              <w:spacing w:line="240" w:lineRule="auto"/>
              <w:rPr>
                <w:rFonts w:cs="Arial"/>
                <w:sz w:val="16"/>
                <w:szCs w:val="16"/>
              </w:rPr>
            </w:pPr>
            <w:r w:rsidRPr="0009445C">
              <w:rPr>
                <w:sz w:val="16"/>
              </w:rPr>
              <w:t>-</w:t>
            </w:r>
          </w:p>
        </w:tc>
      </w:tr>
      <w:tr w:rsidR="00EA78D6" w:rsidRPr="0009445C" w14:paraId="04C82B93" w14:textId="77777777" w:rsidTr="0009445C">
        <w:tc>
          <w:tcPr>
            <w:tcW w:w="1418" w:type="dxa"/>
          </w:tcPr>
          <w:p w14:paraId="2A8C03D1" w14:textId="77777777" w:rsidR="00EA78D6" w:rsidRPr="0009445C" w:rsidRDefault="00EA78D6" w:rsidP="00EA78D6">
            <w:pPr>
              <w:spacing w:line="240" w:lineRule="auto"/>
              <w:rPr>
                <w:rFonts w:cs="Arial"/>
                <w:sz w:val="16"/>
                <w:szCs w:val="16"/>
              </w:rPr>
            </w:pPr>
            <w:r w:rsidRPr="0009445C">
              <w:rPr>
                <w:sz w:val="16"/>
              </w:rPr>
              <w:t>WZ</w:t>
            </w:r>
          </w:p>
        </w:tc>
        <w:tc>
          <w:tcPr>
            <w:tcW w:w="1134" w:type="dxa"/>
          </w:tcPr>
          <w:p w14:paraId="587B332E"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096745C7"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59ECA381"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66497F40"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2CA3AFF7" w14:textId="77777777" w:rsidR="00EA78D6" w:rsidRPr="0009445C" w:rsidRDefault="00EA78D6" w:rsidP="00EA78D6">
            <w:pPr>
              <w:spacing w:line="240" w:lineRule="auto"/>
              <w:rPr>
                <w:rFonts w:cs="Arial"/>
                <w:sz w:val="16"/>
                <w:szCs w:val="16"/>
              </w:rPr>
            </w:pPr>
            <w:r w:rsidRPr="0009445C">
              <w:rPr>
                <w:sz w:val="16"/>
              </w:rPr>
              <w:t>-</w:t>
            </w:r>
          </w:p>
        </w:tc>
        <w:tc>
          <w:tcPr>
            <w:tcW w:w="1134" w:type="dxa"/>
          </w:tcPr>
          <w:p w14:paraId="1EA257EC"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5513AD42"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6EEAA37A" w14:textId="77777777" w:rsidR="00EA78D6" w:rsidRPr="0009445C" w:rsidRDefault="00EA78D6" w:rsidP="00EA78D6">
            <w:pPr>
              <w:spacing w:line="240" w:lineRule="auto"/>
              <w:rPr>
                <w:rFonts w:cs="Arial"/>
                <w:sz w:val="16"/>
                <w:szCs w:val="16"/>
              </w:rPr>
            </w:pPr>
            <w:r w:rsidRPr="0009445C">
              <w:rPr>
                <w:sz w:val="16"/>
              </w:rPr>
              <w:t>≤ 2.0</w:t>
            </w:r>
          </w:p>
        </w:tc>
        <w:tc>
          <w:tcPr>
            <w:tcW w:w="963" w:type="dxa"/>
          </w:tcPr>
          <w:p w14:paraId="3A8E6BBE" w14:textId="77777777" w:rsidR="00EA78D6" w:rsidRPr="0009445C" w:rsidRDefault="00EA78D6" w:rsidP="00EA78D6">
            <w:pPr>
              <w:spacing w:line="240" w:lineRule="auto"/>
              <w:rPr>
                <w:rFonts w:cs="Arial"/>
                <w:sz w:val="16"/>
                <w:szCs w:val="16"/>
              </w:rPr>
            </w:pPr>
            <w:r w:rsidRPr="0009445C">
              <w:rPr>
                <w:sz w:val="16"/>
              </w:rPr>
              <w:t>≤ 3.0</w:t>
            </w:r>
          </w:p>
        </w:tc>
      </w:tr>
      <w:tr w:rsidR="00EA78D6" w:rsidRPr="0009445C" w14:paraId="49FBB062" w14:textId="77777777" w:rsidTr="0009445C">
        <w:tc>
          <w:tcPr>
            <w:tcW w:w="1418" w:type="dxa"/>
          </w:tcPr>
          <w:p w14:paraId="0E3C47D3" w14:textId="77777777" w:rsidR="00EA78D6" w:rsidRPr="0009445C" w:rsidRDefault="00EA78D6" w:rsidP="00EA78D6">
            <w:pPr>
              <w:spacing w:line="240" w:lineRule="auto"/>
              <w:rPr>
                <w:rFonts w:cs="Arial"/>
                <w:sz w:val="16"/>
                <w:szCs w:val="16"/>
              </w:rPr>
            </w:pPr>
            <w:r w:rsidRPr="0009445C">
              <w:rPr>
                <w:sz w:val="16"/>
              </w:rPr>
              <w:t>WAB</w:t>
            </w:r>
          </w:p>
        </w:tc>
        <w:tc>
          <w:tcPr>
            <w:tcW w:w="1134" w:type="dxa"/>
          </w:tcPr>
          <w:p w14:paraId="399C1D94"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35278BE3"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492E4421"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0EF87677" w14:textId="77777777" w:rsidR="00EA78D6" w:rsidRPr="0009445C" w:rsidRDefault="00EA78D6" w:rsidP="00EA78D6">
            <w:pPr>
              <w:spacing w:line="240" w:lineRule="auto"/>
              <w:rPr>
                <w:rFonts w:cs="Arial"/>
                <w:sz w:val="16"/>
                <w:szCs w:val="16"/>
              </w:rPr>
            </w:pPr>
            <w:r w:rsidRPr="0009445C">
              <w:rPr>
                <w:sz w:val="16"/>
              </w:rPr>
              <w:t>≥ 80</w:t>
            </w:r>
          </w:p>
        </w:tc>
        <w:tc>
          <w:tcPr>
            <w:tcW w:w="851" w:type="dxa"/>
          </w:tcPr>
          <w:p w14:paraId="6CE569DA" w14:textId="77777777" w:rsidR="00EA78D6" w:rsidRPr="0009445C" w:rsidRDefault="00EA78D6" w:rsidP="00EA78D6">
            <w:pPr>
              <w:spacing w:line="240" w:lineRule="auto"/>
              <w:rPr>
                <w:rFonts w:cs="Arial"/>
                <w:sz w:val="16"/>
                <w:szCs w:val="16"/>
              </w:rPr>
            </w:pPr>
            <w:r w:rsidRPr="0009445C">
              <w:rPr>
                <w:sz w:val="16"/>
              </w:rPr>
              <w:t>≥ 200</w:t>
            </w:r>
          </w:p>
        </w:tc>
        <w:tc>
          <w:tcPr>
            <w:tcW w:w="1134" w:type="dxa"/>
          </w:tcPr>
          <w:p w14:paraId="381AB9FF" w14:textId="77777777" w:rsidR="00EA78D6" w:rsidRPr="0009445C" w:rsidRDefault="00EA78D6" w:rsidP="00EA78D6">
            <w:pPr>
              <w:spacing w:line="240" w:lineRule="auto"/>
              <w:rPr>
                <w:rFonts w:cs="Arial"/>
                <w:sz w:val="16"/>
                <w:szCs w:val="16"/>
              </w:rPr>
            </w:pPr>
            <w:r w:rsidRPr="0009445C">
              <w:rPr>
                <w:sz w:val="16"/>
              </w:rPr>
              <w:t>≤ 1.0</w:t>
            </w:r>
          </w:p>
        </w:tc>
        <w:tc>
          <w:tcPr>
            <w:tcW w:w="1276" w:type="dxa"/>
          </w:tcPr>
          <w:p w14:paraId="745E3164" w14:textId="77777777" w:rsidR="00EA78D6" w:rsidRPr="0009445C" w:rsidRDefault="00EA78D6" w:rsidP="00EA78D6">
            <w:pPr>
              <w:spacing w:line="240" w:lineRule="auto"/>
              <w:rPr>
                <w:rFonts w:cs="Arial"/>
                <w:sz w:val="16"/>
                <w:szCs w:val="16"/>
              </w:rPr>
            </w:pPr>
            <w:r w:rsidRPr="0009445C">
              <w:rPr>
                <w:sz w:val="16"/>
              </w:rPr>
              <w:t>≤ 1.0</w:t>
            </w:r>
          </w:p>
        </w:tc>
        <w:tc>
          <w:tcPr>
            <w:tcW w:w="1134" w:type="dxa"/>
          </w:tcPr>
          <w:p w14:paraId="5C99CDA6" w14:textId="77777777" w:rsidR="00EA78D6" w:rsidRPr="0009445C" w:rsidRDefault="00EA78D6" w:rsidP="00EA78D6">
            <w:pPr>
              <w:spacing w:line="240" w:lineRule="auto"/>
              <w:rPr>
                <w:rFonts w:cs="Arial"/>
                <w:sz w:val="16"/>
                <w:szCs w:val="16"/>
              </w:rPr>
            </w:pPr>
            <w:r w:rsidRPr="0009445C">
              <w:rPr>
                <w:sz w:val="16"/>
              </w:rPr>
              <w:t>≤ 2.0</w:t>
            </w:r>
          </w:p>
        </w:tc>
        <w:tc>
          <w:tcPr>
            <w:tcW w:w="963" w:type="dxa"/>
          </w:tcPr>
          <w:p w14:paraId="1373511E" w14:textId="77777777" w:rsidR="00EA78D6" w:rsidRPr="0009445C" w:rsidRDefault="00EA78D6" w:rsidP="00EA78D6">
            <w:pPr>
              <w:spacing w:line="240" w:lineRule="auto"/>
              <w:rPr>
                <w:rFonts w:cs="Arial"/>
                <w:sz w:val="16"/>
                <w:szCs w:val="16"/>
              </w:rPr>
            </w:pPr>
            <w:r w:rsidRPr="0009445C">
              <w:rPr>
                <w:sz w:val="16"/>
              </w:rPr>
              <w:t>≤ 3.0</w:t>
            </w:r>
          </w:p>
        </w:tc>
      </w:tr>
      <w:tr w:rsidR="00EA78D6" w:rsidRPr="0009445C" w14:paraId="0CEED740" w14:textId="77777777" w:rsidTr="0009445C">
        <w:tc>
          <w:tcPr>
            <w:tcW w:w="1418" w:type="dxa"/>
          </w:tcPr>
          <w:p w14:paraId="57AA7A30" w14:textId="77777777" w:rsidR="00EA78D6" w:rsidRPr="0009445C" w:rsidRDefault="00EA78D6" w:rsidP="00EA78D6">
            <w:pPr>
              <w:spacing w:line="240" w:lineRule="auto"/>
              <w:rPr>
                <w:rFonts w:cs="Arial"/>
                <w:sz w:val="16"/>
                <w:szCs w:val="16"/>
              </w:rPr>
            </w:pPr>
            <w:r w:rsidRPr="0009445C">
              <w:rPr>
                <w:sz w:val="16"/>
              </w:rPr>
              <w:t>WAP</w:t>
            </w:r>
          </w:p>
        </w:tc>
        <w:tc>
          <w:tcPr>
            <w:tcW w:w="1134" w:type="dxa"/>
          </w:tcPr>
          <w:p w14:paraId="421E746E"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25657681"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408004D6"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0A4654A5" w14:textId="77777777" w:rsidR="00EA78D6" w:rsidRPr="0009445C" w:rsidRDefault="00EA78D6" w:rsidP="00EA78D6">
            <w:pPr>
              <w:spacing w:line="240" w:lineRule="auto"/>
              <w:rPr>
                <w:rFonts w:cs="Arial"/>
                <w:sz w:val="16"/>
                <w:szCs w:val="16"/>
              </w:rPr>
            </w:pPr>
            <w:r w:rsidRPr="0009445C">
              <w:rPr>
                <w:sz w:val="16"/>
              </w:rPr>
              <w:t>≥ 80</w:t>
            </w:r>
          </w:p>
        </w:tc>
        <w:tc>
          <w:tcPr>
            <w:tcW w:w="851" w:type="dxa"/>
          </w:tcPr>
          <w:p w14:paraId="4729FBAF" w14:textId="77777777" w:rsidR="00EA78D6" w:rsidRPr="0009445C" w:rsidRDefault="00EA78D6" w:rsidP="00EA78D6">
            <w:pPr>
              <w:spacing w:line="240" w:lineRule="auto"/>
              <w:rPr>
                <w:rFonts w:cs="Arial"/>
                <w:sz w:val="16"/>
                <w:szCs w:val="16"/>
              </w:rPr>
            </w:pPr>
            <w:r w:rsidRPr="0009445C">
              <w:rPr>
                <w:sz w:val="16"/>
              </w:rPr>
              <w:t>≥ 200</w:t>
            </w:r>
          </w:p>
        </w:tc>
        <w:tc>
          <w:tcPr>
            <w:tcW w:w="1134" w:type="dxa"/>
          </w:tcPr>
          <w:p w14:paraId="30A935D4" w14:textId="77777777" w:rsidR="00EA78D6" w:rsidRPr="0009445C" w:rsidRDefault="00EA78D6" w:rsidP="00EA78D6">
            <w:pPr>
              <w:spacing w:line="240" w:lineRule="auto"/>
              <w:rPr>
                <w:rFonts w:cs="Arial"/>
                <w:sz w:val="16"/>
                <w:szCs w:val="16"/>
              </w:rPr>
            </w:pPr>
          </w:p>
        </w:tc>
        <w:tc>
          <w:tcPr>
            <w:tcW w:w="1276" w:type="dxa"/>
          </w:tcPr>
          <w:p w14:paraId="6682C3E8" w14:textId="77777777" w:rsidR="00EA78D6" w:rsidRPr="0009445C" w:rsidRDefault="00EA78D6" w:rsidP="00EA78D6">
            <w:pPr>
              <w:spacing w:line="240" w:lineRule="auto"/>
              <w:rPr>
                <w:rFonts w:cs="Arial"/>
                <w:sz w:val="16"/>
                <w:szCs w:val="16"/>
              </w:rPr>
            </w:pPr>
          </w:p>
        </w:tc>
        <w:tc>
          <w:tcPr>
            <w:tcW w:w="1134" w:type="dxa"/>
          </w:tcPr>
          <w:p w14:paraId="41A27678" w14:textId="77777777" w:rsidR="00EA78D6" w:rsidRPr="0009445C" w:rsidRDefault="00EA78D6" w:rsidP="00EA78D6">
            <w:pPr>
              <w:spacing w:line="240" w:lineRule="auto"/>
              <w:rPr>
                <w:rFonts w:cs="Arial"/>
                <w:sz w:val="16"/>
                <w:szCs w:val="16"/>
              </w:rPr>
            </w:pPr>
            <w:r w:rsidRPr="0009445C">
              <w:rPr>
                <w:sz w:val="16"/>
              </w:rPr>
              <w:t>≤ 2.0</w:t>
            </w:r>
          </w:p>
        </w:tc>
        <w:tc>
          <w:tcPr>
            <w:tcW w:w="963" w:type="dxa"/>
          </w:tcPr>
          <w:p w14:paraId="10A7B59C" w14:textId="77777777" w:rsidR="00EA78D6" w:rsidRPr="0009445C" w:rsidRDefault="00EA78D6" w:rsidP="00EA78D6">
            <w:pPr>
              <w:spacing w:line="240" w:lineRule="auto"/>
              <w:rPr>
                <w:rFonts w:cs="Arial"/>
                <w:sz w:val="16"/>
                <w:szCs w:val="16"/>
              </w:rPr>
            </w:pPr>
            <w:r w:rsidRPr="0009445C">
              <w:rPr>
                <w:sz w:val="16"/>
              </w:rPr>
              <w:t>≤ 3.0</w:t>
            </w:r>
          </w:p>
        </w:tc>
      </w:tr>
      <w:tr w:rsidR="00EA78D6" w:rsidRPr="0009445C" w14:paraId="18B993FF" w14:textId="77777777" w:rsidTr="0009445C">
        <w:tc>
          <w:tcPr>
            <w:tcW w:w="1418" w:type="dxa"/>
          </w:tcPr>
          <w:p w14:paraId="41C460DB" w14:textId="77777777" w:rsidR="00EA78D6" w:rsidRPr="0009445C" w:rsidRDefault="00EA78D6" w:rsidP="00EA78D6">
            <w:pPr>
              <w:spacing w:line="240" w:lineRule="auto"/>
              <w:rPr>
                <w:rFonts w:cs="Arial"/>
                <w:sz w:val="16"/>
                <w:szCs w:val="16"/>
              </w:rPr>
            </w:pPr>
            <w:r w:rsidRPr="0009445C">
              <w:rPr>
                <w:sz w:val="16"/>
              </w:rPr>
              <w:t>WH</w:t>
            </w:r>
          </w:p>
        </w:tc>
        <w:tc>
          <w:tcPr>
            <w:tcW w:w="1134" w:type="dxa"/>
          </w:tcPr>
          <w:p w14:paraId="25C48AA6"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0007DB06"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486A2B0E"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2C028291"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7757CAEA" w14:textId="77777777" w:rsidR="00EA78D6" w:rsidRPr="0009445C" w:rsidRDefault="00EA78D6" w:rsidP="00EA78D6">
            <w:pPr>
              <w:spacing w:line="240" w:lineRule="auto"/>
              <w:rPr>
                <w:rFonts w:cs="Arial"/>
                <w:sz w:val="16"/>
                <w:szCs w:val="16"/>
              </w:rPr>
            </w:pPr>
            <w:r w:rsidRPr="0009445C">
              <w:rPr>
                <w:sz w:val="16"/>
              </w:rPr>
              <w:t>-</w:t>
            </w:r>
          </w:p>
        </w:tc>
        <w:tc>
          <w:tcPr>
            <w:tcW w:w="1134" w:type="dxa"/>
          </w:tcPr>
          <w:p w14:paraId="7E1075D4" w14:textId="77777777" w:rsidR="00EA78D6" w:rsidRPr="0009445C" w:rsidRDefault="00EA78D6" w:rsidP="00EA78D6">
            <w:pPr>
              <w:spacing w:line="240" w:lineRule="auto"/>
              <w:rPr>
                <w:rFonts w:cs="Arial"/>
                <w:sz w:val="16"/>
                <w:szCs w:val="16"/>
              </w:rPr>
            </w:pPr>
          </w:p>
        </w:tc>
        <w:tc>
          <w:tcPr>
            <w:tcW w:w="1276" w:type="dxa"/>
          </w:tcPr>
          <w:p w14:paraId="58854BE9" w14:textId="77777777" w:rsidR="00EA78D6" w:rsidRPr="0009445C" w:rsidRDefault="00EA78D6" w:rsidP="00EA78D6">
            <w:pPr>
              <w:spacing w:line="240" w:lineRule="auto"/>
              <w:rPr>
                <w:rFonts w:cs="Arial"/>
                <w:sz w:val="16"/>
                <w:szCs w:val="16"/>
              </w:rPr>
            </w:pPr>
          </w:p>
        </w:tc>
        <w:tc>
          <w:tcPr>
            <w:tcW w:w="1134" w:type="dxa"/>
          </w:tcPr>
          <w:p w14:paraId="0CBE1A44" w14:textId="77777777" w:rsidR="00EA78D6" w:rsidRPr="0009445C" w:rsidRDefault="00EA78D6" w:rsidP="00EA78D6">
            <w:pPr>
              <w:spacing w:line="240" w:lineRule="auto"/>
              <w:rPr>
                <w:rFonts w:cs="Arial"/>
                <w:sz w:val="16"/>
                <w:szCs w:val="16"/>
              </w:rPr>
            </w:pPr>
            <w:r w:rsidRPr="0009445C">
              <w:rPr>
                <w:sz w:val="16"/>
              </w:rPr>
              <w:t>-</w:t>
            </w:r>
          </w:p>
        </w:tc>
        <w:tc>
          <w:tcPr>
            <w:tcW w:w="963" w:type="dxa"/>
          </w:tcPr>
          <w:p w14:paraId="74025667" w14:textId="77777777" w:rsidR="00EA78D6" w:rsidRPr="0009445C" w:rsidRDefault="00EA78D6" w:rsidP="00EA78D6">
            <w:pPr>
              <w:spacing w:line="240" w:lineRule="auto"/>
              <w:rPr>
                <w:rFonts w:cs="Arial"/>
                <w:sz w:val="16"/>
                <w:szCs w:val="16"/>
              </w:rPr>
            </w:pPr>
            <w:r w:rsidRPr="0009445C">
              <w:rPr>
                <w:sz w:val="16"/>
              </w:rPr>
              <w:t>-</w:t>
            </w:r>
          </w:p>
        </w:tc>
      </w:tr>
      <w:tr w:rsidR="00EA78D6" w:rsidRPr="0009445C" w14:paraId="5610D83D" w14:textId="77777777" w:rsidTr="0009445C">
        <w:tc>
          <w:tcPr>
            <w:tcW w:w="1418" w:type="dxa"/>
          </w:tcPr>
          <w:p w14:paraId="226F6ABD" w14:textId="77777777" w:rsidR="00EA78D6" w:rsidRPr="0009445C" w:rsidRDefault="00EA78D6" w:rsidP="00EA78D6">
            <w:pPr>
              <w:spacing w:line="240" w:lineRule="auto"/>
              <w:rPr>
                <w:rFonts w:cs="Arial"/>
                <w:sz w:val="16"/>
                <w:szCs w:val="16"/>
              </w:rPr>
            </w:pPr>
            <w:r w:rsidRPr="0009445C">
              <w:rPr>
                <w:sz w:val="16"/>
              </w:rPr>
              <w:t>WTR</w:t>
            </w:r>
          </w:p>
        </w:tc>
        <w:tc>
          <w:tcPr>
            <w:tcW w:w="1134" w:type="dxa"/>
          </w:tcPr>
          <w:p w14:paraId="275EAAFB" w14:textId="77777777" w:rsidR="00EA78D6" w:rsidRPr="0009445C" w:rsidRDefault="00EA78D6" w:rsidP="00EA78D6">
            <w:pPr>
              <w:spacing w:line="240" w:lineRule="auto"/>
              <w:rPr>
                <w:rFonts w:cs="Arial"/>
                <w:sz w:val="16"/>
                <w:szCs w:val="16"/>
              </w:rPr>
            </w:pPr>
            <w:r w:rsidRPr="0009445C">
              <w:rPr>
                <w:sz w:val="16"/>
              </w:rPr>
              <w:t>± 2</w:t>
            </w:r>
          </w:p>
        </w:tc>
        <w:tc>
          <w:tcPr>
            <w:tcW w:w="850" w:type="dxa"/>
          </w:tcPr>
          <w:p w14:paraId="75D21C3F" w14:textId="77777777" w:rsidR="00EA78D6" w:rsidRPr="0009445C" w:rsidRDefault="00EA78D6" w:rsidP="00EA78D6">
            <w:pPr>
              <w:spacing w:line="240" w:lineRule="auto"/>
              <w:rPr>
                <w:rFonts w:cs="Arial"/>
                <w:sz w:val="16"/>
                <w:szCs w:val="16"/>
              </w:rPr>
            </w:pPr>
            <w:r w:rsidRPr="0009445C">
              <w:rPr>
                <w:sz w:val="16"/>
              </w:rPr>
              <w:t>≤ 5</w:t>
            </w:r>
          </w:p>
        </w:tc>
        <w:tc>
          <w:tcPr>
            <w:tcW w:w="851" w:type="dxa"/>
          </w:tcPr>
          <w:p w14:paraId="18929E84" w14:textId="77777777" w:rsidR="00EA78D6" w:rsidRPr="0009445C" w:rsidRDefault="00EA78D6" w:rsidP="00EA78D6">
            <w:pPr>
              <w:spacing w:line="240" w:lineRule="auto"/>
              <w:rPr>
                <w:rFonts w:cs="Arial"/>
                <w:sz w:val="16"/>
                <w:szCs w:val="16"/>
              </w:rPr>
            </w:pPr>
            <w:r w:rsidRPr="0009445C">
              <w:rPr>
                <w:sz w:val="16"/>
              </w:rPr>
              <w:t>≤ 2</w:t>
            </w:r>
          </w:p>
        </w:tc>
        <w:tc>
          <w:tcPr>
            <w:tcW w:w="1277" w:type="dxa"/>
          </w:tcPr>
          <w:p w14:paraId="4BD7EAB8" w14:textId="77777777" w:rsidR="00EA78D6" w:rsidRPr="0009445C" w:rsidRDefault="00EA78D6" w:rsidP="00EA78D6">
            <w:pPr>
              <w:spacing w:line="240" w:lineRule="auto"/>
              <w:rPr>
                <w:rFonts w:cs="Arial"/>
                <w:sz w:val="16"/>
                <w:szCs w:val="16"/>
              </w:rPr>
            </w:pPr>
            <w:r w:rsidRPr="0009445C">
              <w:rPr>
                <w:sz w:val="16"/>
              </w:rPr>
              <w:t>-</w:t>
            </w:r>
          </w:p>
        </w:tc>
        <w:tc>
          <w:tcPr>
            <w:tcW w:w="851" w:type="dxa"/>
          </w:tcPr>
          <w:p w14:paraId="35547A99" w14:textId="77777777" w:rsidR="00EA78D6" w:rsidRPr="0009445C" w:rsidRDefault="00EA78D6" w:rsidP="00EA78D6">
            <w:pPr>
              <w:spacing w:line="240" w:lineRule="auto"/>
              <w:rPr>
                <w:rFonts w:cs="Arial"/>
                <w:sz w:val="16"/>
                <w:szCs w:val="16"/>
              </w:rPr>
            </w:pPr>
            <w:r w:rsidRPr="0009445C">
              <w:rPr>
                <w:sz w:val="16"/>
              </w:rPr>
              <w:t>-</w:t>
            </w:r>
          </w:p>
        </w:tc>
        <w:tc>
          <w:tcPr>
            <w:tcW w:w="2410" w:type="dxa"/>
            <w:gridSpan w:val="2"/>
          </w:tcPr>
          <w:p w14:paraId="04F00CB0" w14:textId="77777777" w:rsidR="00EA78D6" w:rsidRPr="0009445C" w:rsidRDefault="00EA78D6" w:rsidP="00EA78D6">
            <w:pPr>
              <w:spacing w:line="240" w:lineRule="auto"/>
              <w:rPr>
                <w:rFonts w:cs="Arial"/>
                <w:sz w:val="16"/>
                <w:szCs w:val="16"/>
              </w:rPr>
            </w:pPr>
          </w:p>
        </w:tc>
        <w:tc>
          <w:tcPr>
            <w:tcW w:w="1134" w:type="dxa"/>
          </w:tcPr>
          <w:p w14:paraId="08236BE5" w14:textId="77777777" w:rsidR="00EA78D6" w:rsidRPr="0009445C" w:rsidRDefault="00EA78D6" w:rsidP="00EA78D6">
            <w:pPr>
              <w:spacing w:line="240" w:lineRule="auto"/>
              <w:rPr>
                <w:rFonts w:cs="Arial"/>
                <w:sz w:val="16"/>
                <w:szCs w:val="16"/>
              </w:rPr>
            </w:pPr>
            <w:r w:rsidRPr="0009445C">
              <w:rPr>
                <w:sz w:val="16"/>
              </w:rPr>
              <w:t>-</w:t>
            </w:r>
          </w:p>
        </w:tc>
        <w:tc>
          <w:tcPr>
            <w:tcW w:w="963" w:type="dxa"/>
          </w:tcPr>
          <w:p w14:paraId="51EEED42" w14:textId="77777777" w:rsidR="00EA78D6" w:rsidRPr="0009445C" w:rsidRDefault="00EA78D6" w:rsidP="00EA78D6">
            <w:pPr>
              <w:spacing w:line="240" w:lineRule="auto"/>
              <w:rPr>
                <w:rFonts w:cs="Arial"/>
                <w:sz w:val="16"/>
                <w:szCs w:val="16"/>
              </w:rPr>
            </w:pPr>
            <w:r w:rsidRPr="0009445C">
              <w:rPr>
                <w:sz w:val="16"/>
              </w:rPr>
              <w:t>-</w:t>
            </w:r>
          </w:p>
        </w:tc>
      </w:tr>
    </w:tbl>
    <w:p w14:paraId="5F447F24" w14:textId="77777777" w:rsidR="00EA78D6" w:rsidRPr="0009445C" w:rsidRDefault="00EA78D6" w:rsidP="00C06241">
      <w:pPr>
        <w:pStyle w:val="BRL-AnlageNummerierung"/>
        <w:spacing w:after="120"/>
        <w:rPr>
          <w:bCs/>
        </w:rPr>
      </w:pPr>
    </w:p>
    <w:p w14:paraId="13E2BC53" w14:textId="793C3E1D" w:rsidR="00C06241" w:rsidRPr="0009445C" w:rsidRDefault="00867BAE" w:rsidP="00C06241">
      <w:pPr>
        <w:pStyle w:val="BRL-AnlageNummerierung"/>
        <w:spacing w:after="120"/>
        <w:rPr>
          <w:bCs/>
        </w:rPr>
      </w:pPr>
      <w:r w:rsidRPr="0009445C">
        <w:t>1.2</w:t>
      </w:r>
      <w:r w:rsidRPr="0009445C">
        <w:tab/>
        <w:t>Expanded perlite insulation products (EPB) with an ETA based on EAD 040010-00-1201:</w:t>
      </w:r>
    </w:p>
    <w:p w14:paraId="7C5F7A31" w14:textId="1727D0CE" w:rsidR="00C06241" w:rsidRPr="0009445C" w:rsidRDefault="00C06241" w:rsidP="00C06241">
      <w:pPr>
        <w:pStyle w:val="BRL-AnlageNummerierung"/>
        <w:rPr>
          <w:bCs/>
        </w:rPr>
      </w:pPr>
      <w:r w:rsidRPr="0009445C">
        <w:t>DIN 4108-10:2021-11, Table 11, applies to use, with the exception of the requirement relating to bending strength.</w:t>
      </w:r>
    </w:p>
    <w:p w14:paraId="75DF92EC" w14:textId="77777777" w:rsidR="00C06241" w:rsidRPr="0009445C" w:rsidRDefault="00C06241" w:rsidP="00C06241">
      <w:pPr>
        <w:pStyle w:val="BRL-AnlageNummerierung"/>
      </w:pPr>
    </w:p>
    <w:p w14:paraId="1D1461F2" w14:textId="6D822276" w:rsidR="00C06241" w:rsidRPr="0009445C" w:rsidRDefault="00867BAE" w:rsidP="00C06241">
      <w:pPr>
        <w:pStyle w:val="BRL-AnlageNummerierung"/>
        <w:spacing w:after="120"/>
        <w:rPr>
          <w:bCs/>
        </w:rPr>
      </w:pPr>
      <w:r w:rsidRPr="0009445C">
        <w:t>1.3</w:t>
      </w:r>
      <w:r w:rsidRPr="0009445C">
        <w:tab/>
        <w:t>Granulated polystyrene and binder mixtures with an ETA based on EAD 040635-00-1201:</w:t>
      </w:r>
    </w:p>
    <w:p w14:paraId="31FE3E48" w14:textId="3470E87A" w:rsidR="00C06241" w:rsidRPr="0009445C" w:rsidRDefault="00C06241" w:rsidP="00C06241">
      <w:pPr>
        <w:pStyle w:val="BRL-AnlageNummerierung"/>
        <w:rPr>
          <w:bCs/>
        </w:rPr>
      </w:pPr>
      <w:r w:rsidRPr="0009445C">
        <w:t>The product may be used as thermal insulation in line with areas of application DEO, DAD and DAA (dm) under DIN 4108</w:t>
      </w:r>
      <w:r w:rsidRPr="0009445C">
        <w:noBreakHyphen/>
        <w:t>10:2021-11 if the declared compression stress value at 10 % compression is at least 100 kPa and the maximum relative compression difference is 5 % at deformation under pressure and temperature load.</w:t>
      </w:r>
    </w:p>
    <w:p w14:paraId="01A820EF" w14:textId="77777777" w:rsidR="00C06241" w:rsidRPr="0009445C" w:rsidRDefault="00C06241" w:rsidP="00C06241">
      <w:pPr>
        <w:pStyle w:val="BRL-AnlageNummerierung"/>
      </w:pPr>
    </w:p>
    <w:p w14:paraId="2A041CF5" w14:textId="330F0792" w:rsidR="00C06241" w:rsidRPr="0009445C" w:rsidRDefault="00867BAE" w:rsidP="00C06241">
      <w:pPr>
        <w:pStyle w:val="BRL-AnlageNummerierung"/>
        <w:rPr>
          <w:bCs/>
        </w:rPr>
      </w:pPr>
      <w:r w:rsidRPr="0009445C">
        <w:t>1.4</w:t>
      </w:r>
      <w:r w:rsidRPr="0009445C">
        <w:tab/>
        <w:t xml:space="preserve">Products with reflective layers for thermal insulation of the building envelope with an ETA based on EAD 04007-00-1201: </w:t>
      </w:r>
    </w:p>
    <w:p w14:paraId="7AD7BC51" w14:textId="77777777" w:rsidR="00C06241" w:rsidRPr="0009445C" w:rsidRDefault="00C06241" w:rsidP="00C06241">
      <w:pPr>
        <w:pStyle w:val="BRL-AnlageNummerierung"/>
      </w:pPr>
    </w:p>
    <w:p w14:paraId="4160688C" w14:textId="62A230BF" w:rsidR="00C06241" w:rsidRPr="0009445C" w:rsidRDefault="00867BAE" w:rsidP="00C06241">
      <w:pPr>
        <w:pStyle w:val="BRL-AnlageNummerierung"/>
        <w:rPr>
          <w:bCs/>
        </w:rPr>
      </w:pPr>
      <w:r w:rsidRPr="0009445C">
        <w:t>1.4.1</w:t>
      </w:r>
      <w:r w:rsidRPr="0009445C">
        <w:tab/>
        <w:t>Application</w:t>
      </w:r>
    </w:p>
    <w:p w14:paraId="2A97A17F" w14:textId="0334FEE2" w:rsidR="00C06241" w:rsidRPr="0009445C" w:rsidRDefault="00C06241" w:rsidP="00C06241">
      <w:pPr>
        <w:pStyle w:val="BRL-AnlageNummerierung"/>
        <w:rPr>
          <w:bCs/>
        </w:rPr>
      </w:pPr>
      <w:r w:rsidRPr="0009445C">
        <w:t xml:space="preserve">The products may be used as non-pressurised, additional thermal insulation on the inside of heat-transferring construction structural elements corresponding to the area of application DI and WI in accordance with the </w:t>
      </w:r>
      <w:r w:rsidRPr="0009445C">
        <w:lastRenderedPageBreak/>
        <w:t>DIN 4108</w:t>
      </w:r>
      <w:r w:rsidRPr="0009445C">
        <w:noBreakHyphen/>
        <w:t>10:2021-11 standard.</w:t>
      </w:r>
    </w:p>
    <w:p w14:paraId="161B486D" w14:textId="77777777" w:rsidR="00C06241" w:rsidRPr="0009445C" w:rsidRDefault="00C06241" w:rsidP="00C06241">
      <w:pPr>
        <w:pStyle w:val="BRL-AnlageNummerierung"/>
        <w:rPr>
          <w:bCs/>
        </w:rPr>
      </w:pPr>
      <w:r w:rsidRPr="0009445C">
        <w:t>They may only be incorporated in constructions in which they are protected against rainfall, weathering and moisture penetration.</w:t>
      </w:r>
    </w:p>
    <w:p w14:paraId="2FB6356C" w14:textId="77777777" w:rsidR="00C06241" w:rsidRPr="0009445C" w:rsidRDefault="00C06241" w:rsidP="00C06241">
      <w:pPr>
        <w:pStyle w:val="BRL-AnlageNummerierung"/>
      </w:pPr>
    </w:p>
    <w:p w14:paraId="7C2C3012" w14:textId="2322E25E" w:rsidR="00C06241" w:rsidRPr="0009445C" w:rsidRDefault="00867BAE" w:rsidP="00C06241">
      <w:pPr>
        <w:pStyle w:val="BRL-AnlageNummerierung"/>
        <w:rPr>
          <w:bCs/>
        </w:rPr>
      </w:pPr>
      <w:r w:rsidRPr="0009445C">
        <w:t>1.4.2</w:t>
      </w:r>
      <w:r w:rsidRPr="0009445C">
        <w:tab/>
        <w:t>Rated value of the thermal resistance</w:t>
      </w:r>
    </w:p>
    <w:p w14:paraId="463D1973" w14:textId="77777777" w:rsidR="00C06241" w:rsidRPr="0009445C" w:rsidRDefault="00C06241" w:rsidP="00C06241">
      <w:pPr>
        <w:pStyle w:val="BRL-AnlageNummerierung"/>
        <w:rPr>
          <w:bCs/>
        </w:rPr>
      </w:pPr>
      <w:r w:rsidRPr="0009445C">
        <w:t xml:space="preserve">The calculation of the thermal insulation shall be carried out with the rated value of the thermal resistance. The rated value of the thermal resistance shall be determined as follows: </w:t>
      </w:r>
    </w:p>
    <w:p w14:paraId="310634CF" w14:textId="77777777" w:rsidR="00C06241" w:rsidRPr="0009445C" w:rsidRDefault="00C06241" w:rsidP="00C06241">
      <w:pPr>
        <w:pStyle w:val="BRL-AnlageNummerierung"/>
      </w:pPr>
    </w:p>
    <w:p w14:paraId="5624AF7B" w14:textId="77777777" w:rsidR="00C06241" w:rsidRPr="0009445C" w:rsidRDefault="00C06241" w:rsidP="00C06241">
      <w:pPr>
        <w:pStyle w:val="BRL-AnlageNummerierung"/>
        <w:rPr>
          <w:bCs/>
        </w:rPr>
      </w:pPr>
      <w:r w:rsidRPr="0009445C">
        <w:t xml:space="preserve">The rated value of the thermal resistance is derived on the basis of the nominal value given in the ETA (‘Core thermal resistance’ without neighbouring airspaces) divided by the safety factor γ = 1.03. For products based on natural fibre insulation, an additional conversion to a moisture content at 23 °C and 80 % relative humidity shall be carried out using the conversion factors indicated in the ETA. </w:t>
      </w:r>
    </w:p>
    <w:p w14:paraId="586CEA0F" w14:textId="77777777" w:rsidR="00C06241" w:rsidRPr="0009445C" w:rsidRDefault="00C06241" w:rsidP="00C06241">
      <w:pPr>
        <w:pStyle w:val="BRL-AnlageNummerierung"/>
      </w:pPr>
    </w:p>
    <w:p w14:paraId="655C1C43" w14:textId="77777777" w:rsidR="00C06241" w:rsidRPr="0009445C" w:rsidRDefault="00C06241" w:rsidP="00C06241">
      <w:pPr>
        <w:pStyle w:val="BRL-AnlageNummerierung"/>
        <w:rPr>
          <w:bCs/>
        </w:rPr>
      </w:pPr>
      <w:r w:rsidRPr="0009445C">
        <w:t>In areas where the products will be pressed together (e.g. fastening areas on the supporting structure), the thermal resistance of the products should not be given for the certificate.</w:t>
      </w:r>
    </w:p>
    <w:p w14:paraId="19B515E0" w14:textId="77777777" w:rsidR="00C06241" w:rsidRPr="0009445C" w:rsidRDefault="00C06241" w:rsidP="00C06241">
      <w:pPr>
        <w:pStyle w:val="BRL-AnlageNummerierung"/>
      </w:pPr>
    </w:p>
    <w:p w14:paraId="5314FC8E" w14:textId="0C5307D2" w:rsidR="00C06241" w:rsidRPr="0009445C" w:rsidRDefault="00867BAE" w:rsidP="00C06241">
      <w:pPr>
        <w:pStyle w:val="BRL-AnlageNummerierung"/>
        <w:rPr>
          <w:bCs/>
          <w:noProof/>
        </w:rPr>
      </w:pPr>
      <w:r w:rsidRPr="0009445C">
        <w:t>1.4.3</w:t>
      </w:r>
      <w:r w:rsidRPr="0009445C">
        <w:tab/>
        <w:t>Thermal resistance of adjacent unventilated airspaces</w:t>
      </w:r>
    </w:p>
    <w:p w14:paraId="6729A6AE" w14:textId="77777777" w:rsidR="00C06241" w:rsidRPr="0009445C" w:rsidRDefault="00C06241" w:rsidP="00C06241">
      <w:pPr>
        <w:pStyle w:val="BRL-AnlageNummerierung"/>
        <w:rPr>
          <w:bCs/>
        </w:rPr>
      </w:pPr>
      <w:r w:rsidRPr="0009445C">
        <w:t>For the calculation of the thermal resistance of unventilated airspaces limited by the products with a length and width of more than 10</w:t>
      </w:r>
      <w:r w:rsidRPr="0009445C">
        <w:noBreakHyphen/>
        <w:t>times the thickness according to DIN EN ISO 6946:2018-03, Annex D, the following values shall be taken into account:</w:t>
      </w:r>
    </w:p>
    <w:p w14:paraId="43EC4BE9" w14:textId="77777777" w:rsidR="00C06241" w:rsidRPr="0009445C" w:rsidRDefault="00C06241" w:rsidP="00C06241">
      <w:pPr>
        <w:pStyle w:val="BRL-AnlageNummerierung"/>
      </w:pPr>
    </w:p>
    <w:p w14:paraId="5B28F64B" w14:textId="77777777" w:rsidR="00C06241" w:rsidRPr="0009445C" w:rsidRDefault="00C06241" w:rsidP="00C06241">
      <w:pPr>
        <w:pStyle w:val="BRLAufzhlungAnstrich"/>
        <w:numPr>
          <w:ilvl w:val="0"/>
          <w:numId w:val="1"/>
        </w:numPr>
      </w:pPr>
      <w:r w:rsidRPr="0009445C">
        <w:t>Emissions grade ε for the surface of the products in accordance with ETA</w:t>
      </w:r>
    </w:p>
    <w:p w14:paraId="4D7D947B" w14:textId="77777777" w:rsidR="00C06241" w:rsidRPr="0009445C" w:rsidRDefault="00C06241" w:rsidP="00C06241">
      <w:pPr>
        <w:pStyle w:val="BRLAufzhlungAnstrich"/>
        <w:numPr>
          <w:ilvl w:val="0"/>
          <w:numId w:val="1"/>
        </w:numPr>
      </w:pPr>
      <w:r w:rsidRPr="0009445C">
        <w:rPr>
          <w:i/>
        </w:rPr>
        <w:t>h</w:t>
      </w:r>
      <w:r w:rsidRPr="0009445C">
        <w:rPr>
          <w:vertAlign w:val="subscript"/>
        </w:rPr>
        <w:t>a</w:t>
      </w:r>
      <w:r w:rsidRPr="0009445C">
        <w:t> in accordance with DIN EN ISO 6946:2018-03, Table D.2, where ΔT = 10 K</w:t>
      </w:r>
    </w:p>
    <w:p w14:paraId="65B60879" w14:textId="77777777" w:rsidR="00C06241" w:rsidRPr="0009445C" w:rsidRDefault="00C06241" w:rsidP="00C06241">
      <w:pPr>
        <w:pStyle w:val="BRLAufzhlungAnstrich"/>
        <w:numPr>
          <w:ilvl w:val="0"/>
          <w:numId w:val="1"/>
        </w:numPr>
      </w:pPr>
      <w:proofErr w:type="spellStart"/>
      <w:r w:rsidRPr="0009445C">
        <w:rPr>
          <w:i/>
        </w:rPr>
        <w:t>h</w:t>
      </w:r>
      <w:r w:rsidRPr="0009445C">
        <w:rPr>
          <w:vertAlign w:val="subscript"/>
        </w:rPr>
        <w:t>ro</w:t>
      </w:r>
      <w:proofErr w:type="spellEnd"/>
      <w:r w:rsidRPr="0009445C">
        <w:t> = 5.7 W/(m²·K)</w:t>
      </w:r>
    </w:p>
    <w:p w14:paraId="13700957" w14:textId="77777777" w:rsidR="00C06241" w:rsidRPr="0009445C" w:rsidRDefault="00C06241" w:rsidP="00C06241">
      <w:pPr>
        <w:pStyle w:val="BRL-AnlageNummerierung"/>
      </w:pPr>
    </w:p>
    <w:p w14:paraId="4C22F9FD" w14:textId="77777777" w:rsidR="00C06241" w:rsidRPr="0009445C" w:rsidRDefault="00C06241" w:rsidP="00C06241">
      <w:pPr>
        <w:pStyle w:val="BRL-AnlageNummerierung"/>
      </w:pPr>
      <w:r w:rsidRPr="0009445C">
        <w:t>Only airtight construction structures may be taken into account in which the products are installed on the inside of the structure protected from contamination and weather.</w:t>
      </w:r>
    </w:p>
    <w:p w14:paraId="74DD3F44" w14:textId="77777777" w:rsidR="00C06241" w:rsidRPr="0009445C" w:rsidRDefault="00C06241" w:rsidP="00C06241">
      <w:pPr>
        <w:pStyle w:val="BRL-AnlageNummerierung"/>
      </w:pPr>
    </w:p>
    <w:p w14:paraId="66D1042B" w14:textId="685FBB55" w:rsidR="00C06241" w:rsidRPr="0009445C" w:rsidRDefault="00867BAE" w:rsidP="00C06241">
      <w:pPr>
        <w:pStyle w:val="BRL-AnlageNummerierung"/>
        <w:rPr>
          <w:noProof/>
        </w:rPr>
      </w:pPr>
      <w:r w:rsidRPr="0009445C">
        <w:t>1.4.4</w:t>
      </w:r>
      <w:r w:rsidRPr="0009445C">
        <w:tab/>
        <w:t>Climatic moisture protection</w:t>
      </w:r>
    </w:p>
    <w:p w14:paraId="7B99D82F" w14:textId="3BA2A6FD" w:rsidR="00C06241" w:rsidRPr="0009445C" w:rsidRDefault="00C06241" w:rsidP="00C06241">
      <w:pPr>
        <w:pStyle w:val="BRL-AnlageNummerierung"/>
      </w:pPr>
      <w:r w:rsidRPr="0009445C">
        <w:t>The values given in the ETA for the products must be used for the calculation report of the climatic moisture protection in accordance with DIN 4108-3:2018-10.</w:t>
      </w:r>
    </w:p>
    <w:p w14:paraId="580778DC" w14:textId="77777777" w:rsidR="00C06241" w:rsidRPr="0009445C" w:rsidRDefault="00C06241" w:rsidP="00C06241">
      <w:pPr>
        <w:pStyle w:val="BRL-AnlageNummerierung"/>
      </w:pPr>
    </w:p>
    <w:p w14:paraId="29F7B7CE" w14:textId="162AAB62" w:rsidR="003D6C71" w:rsidRPr="0009445C" w:rsidRDefault="003D6C71" w:rsidP="003D6C71">
      <w:pPr>
        <w:pStyle w:val="BRL-AnlageStandard"/>
        <w:widowControl w:val="0"/>
      </w:pPr>
      <w:r w:rsidRPr="0009445C">
        <w:t>2</w:t>
      </w:r>
      <w:r w:rsidRPr="0009445C">
        <w:tab/>
        <w:t>For the execution of structural elements with insulating products made of vegetable or animal fibres in accordance with DIN 4108-10:2021-11, Tables 15 and 20:</w:t>
      </w:r>
    </w:p>
    <w:p w14:paraId="411D9E9A" w14:textId="77777777" w:rsidR="003D6C71" w:rsidRPr="0009445C" w:rsidRDefault="003D6C71" w:rsidP="003D6C71">
      <w:pPr>
        <w:pStyle w:val="BRL-AnlageNummerierung"/>
      </w:pPr>
    </w:p>
    <w:p w14:paraId="285A4720" w14:textId="77777777" w:rsidR="003D6C71" w:rsidRPr="0009445C" w:rsidRDefault="003D6C71" w:rsidP="003D6C71">
      <w:pPr>
        <w:pStyle w:val="BRL-AnlageNummerierung"/>
        <w:rPr>
          <w:bCs/>
        </w:rPr>
      </w:pPr>
      <w:r w:rsidRPr="0009445C">
        <w:t>The insulation products must be classified in class 0 in respect of resistance to mould. Alternatively, it should be demonstrated by hygrothermal simulation that there is no risk of mould infestation.</w:t>
      </w:r>
    </w:p>
    <w:p w14:paraId="2A674D8D" w14:textId="77777777" w:rsidR="003D6C71" w:rsidRPr="0009445C" w:rsidRDefault="003D6C71" w:rsidP="003D6C71">
      <w:pPr>
        <w:pStyle w:val="BRL-AnlageNummerierung"/>
      </w:pPr>
    </w:p>
    <w:p w14:paraId="33BF80E4" w14:textId="77777777" w:rsidR="003D6C71" w:rsidRPr="0009445C" w:rsidRDefault="003D6C71" w:rsidP="003D6C71">
      <w:pPr>
        <w:pStyle w:val="BRL-AnlageNummerierung"/>
      </w:pPr>
    </w:p>
    <w:p w14:paraId="54C0760E" w14:textId="77777777" w:rsidR="003D6C71" w:rsidRPr="0009445C" w:rsidRDefault="003D6C71" w:rsidP="003D6C71">
      <w:pPr>
        <w:pStyle w:val="BRL-AnlageStandard"/>
        <w:widowControl w:val="0"/>
        <w:spacing w:after="120"/>
      </w:pPr>
      <w:r w:rsidRPr="0009445C">
        <w:t>If the insulating products are processed dry, they may also be used for exterior structural elements GK 0 (use class 0 according to DIN 68800</w:t>
      </w:r>
      <w:r w:rsidRPr="0009445C">
        <w:noBreakHyphen/>
        <w:t>2:2012</w:t>
      </w:r>
      <w:r w:rsidRPr="0009445C">
        <w:noBreakHyphen/>
        <w:t>02) with the exception of Figure A.8, layer No. 7 in cases where according to DIN 68800</w:t>
      </w:r>
      <w:r w:rsidRPr="0009445C">
        <w:noBreakHyphen/>
        <w:t xml:space="preserve"> 2:2012</w:t>
      </w:r>
      <w:r w:rsidRPr="0009445C">
        <w:noBreakHyphen/>
        <w:t>02 insulation materials with proof of fitness for purpose for certain applications are required if the following performance is indicated:</w:t>
      </w:r>
    </w:p>
    <w:p w14:paraId="767DDF02" w14:textId="77777777" w:rsidR="003D6C71" w:rsidRPr="0009445C" w:rsidRDefault="003D6C71" w:rsidP="003D6C71">
      <w:pPr>
        <w:pStyle w:val="BRLAufzhlungAnstrich"/>
        <w:numPr>
          <w:ilvl w:val="0"/>
          <w:numId w:val="1"/>
        </w:numPr>
      </w:pPr>
      <w:r w:rsidRPr="0009445C">
        <w:t>thickness when installed 25 kg/m³ to 155 kg/m³</w:t>
      </w:r>
    </w:p>
    <w:p w14:paraId="55E14D75" w14:textId="77777777" w:rsidR="003D6C71" w:rsidRPr="0009445C" w:rsidRDefault="003D6C71" w:rsidP="003D6C71">
      <w:pPr>
        <w:pStyle w:val="BRLAufzhlungAnstrich"/>
        <w:numPr>
          <w:ilvl w:val="0"/>
          <w:numId w:val="1"/>
        </w:numPr>
      </w:pPr>
      <w:r w:rsidRPr="0009445C">
        <w:t>water vapour diffusion resistance value µ ≤ 3</w:t>
      </w:r>
    </w:p>
    <w:p w14:paraId="3F65538D" w14:textId="77777777" w:rsidR="003D6C71" w:rsidRPr="0009445C" w:rsidRDefault="003D6C71" w:rsidP="003D6C71">
      <w:pPr>
        <w:pStyle w:val="BRLAufzhlungAnstrich"/>
        <w:numPr>
          <w:ilvl w:val="0"/>
          <w:numId w:val="1"/>
        </w:numPr>
      </w:pPr>
      <w:r w:rsidRPr="0009445C">
        <w:t>mass moisture content according to DIN EN ISO 12571:2013-12 at 23°C/80% relative humidity ≤ 0.19 kg/kg.</w:t>
      </w:r>
    </w:p>
    <w:p w14:paraId="2D431E18" w14:textId="77777777" w:rsidR="003D6C71" w:rsidRPr="0009445C" w:rsidRDefault="003D6C71" w:rsidP="00C06241">
      <w:pPr>
        <w:pStyle w:val="BRL-AnlageNummerierung"/>
      </w:pPr>
    </w:p>
    <w:p w14:paraId="4A3A5582" w14:textId="77777777" w:rsidR="00C06241" w:rsidRPr="0009445C" w:rsidRDefault="00C06241" w:rsidP="003D6C71">
      <w:pPr>
        <w:pStyle w:val="BRL-Funote"/>
        <w:widowControl w:val="0"/>
      </w:pPr>
      <w:r w:rsidRPr="0009445C">
        <w:t>____________</w:t>
      </w:r>
    </w:p>
    <w:p w14:paraId="3AEF2FB3" w14:textId="70635B42" w:rsidR="00C06241" w:rsidRPr="0009445C" w:rsidRDefault="00C06241" w:rsidP="00EF2CC8">
      <w:pPr>
        <w:pStyle w:val="BRL-Funote"/>
        <w:widowControl w:val="0"/>
      </w:pPr>
      <w:r w:rsidRPr="0009445C">
        <w:t>1</w:t>
      </w:r>
      <w:r w:rsidRPr="0009445C">
        <w:tab/>
        <w:t>According to national law</w:t>
      </w:r>
    </w:p>
    <w:p w14:paraId="0505A6D8" w14:textId="3CDF0073" w:rsidR="00C06241" w:rsidRPr="0009445C" w:rsidRDefault="00C06241" w:rsidP="003D6C71">
      <w:pPr>
        <w:pStyle w:val="BRL-Funote"/>
        <w:widowControl w:val="0"/>
      </w:pPr>
    </w:p>
    <w:p w14:paraId="44DE6484" w14:textId="77777777" w:rsidR="00742443" w:rsidRPr="0009445C" w:rsidRDefault="00742443" w:rsidP="00742443">
      <w:pPr>
        <w:pStyle w:val="BRL-Funote"/>
        <w:widowControl w:val="0"/>
      </w:pPr>
    </w:p>
    <w:p w14:paraId="22C2F0B3" w14:textId="77777777" w:rsidR="00742443" w:rsidRPr="0009445C" w:rsidRDefault="00742443" w:rsidP="00742443">
      <w:pPr>
        <w:pStyle w:val="BRL-Funote"/>
        <w:widowControl w:val="0"/>
        <w:sectPr w:rsidR="00742443" w:rsidRPr="0009445C" w:rsidSect="00895B40">
          <w:headerReference w:type="default" r:id="rId36"/>
          <w:footerReference w:type="default" r:id="rId37"/>
          <w:pgSz w:w="11906" w:h="16838"/>
          <w:pgMar w:top="1134" w:right="1418" w:bottom="1134" w:left="1418" w:header="709" w:footer="709" w:gutter="0"/>
          <w:cols w:space="708"/>
          <w:docGrid w:linePitch="360"/>
        </w:sectPr>
      </w:pPr>
    </w:p>
    <w:p w14:paraId="2B98C737" w14:textId="77777777" w:rsidR="00744176" w:rsidRPr="0009445C" w:rsidRDefault="00744176" w:rsidP="00744176">
      <w:pPr>
        <w:pStyle w:val="Heading1"/>
      </w:pPr>
      <w:bookmarkStart w:id="8" w:name="_Ref24532617"/>
      <w:r w:rsidRPr="0009445C">
        <w:lastRenderedPageBreak/>
        <w:t>B 1</w:t>
      </w:r>
      <w:r w:rsidRPr="0009445C">
        <w:tab/>
        <w:t>General information</w:t>
      </w:r>
      <w:bookmarkEnd w:id="8"/>
    </w:p>
    <w:p w14:paraId="1F1F47B3" w14:textId="77777777" w:rsidR="00744176" w:rsidRPr="0009445C" w:rsidRDefault="00744176" w:rsidP="00744176">
      <w:pPr>
        <w:pStyle w:val="BRL-Standard"/>
      </w:pPr>
      <w:r w:rsidRPr="0009445C">
        <w:t>This section contains the Technical Building Regulations to be observed for structural elements and special constructions. To facilitate application, the Technical Building Regulations are presented for each special construction / component, as they serve to clarify several basic requirements.</w:t>
      </w:r>
    </w:p>
    <w:p w14:paraId="0E0E52C8" w14:textId="77777777" w:rsidR="00744176" w:rsidRPr="0009445C" w:rsidRDefault="00744176" w:rsidP="00744176">
      <w:pPr>
        <w:pStyle w:val="BRL-Standard"/>
      </w:pPr>
    </w:p>
    <w:p w14:paraId="568A7156" w14:textId="77777777" w:rsidR="00744176" w:rsidRPr="0009445C" w:rsidRDefault="00744176" w:rsidP="00744176">
      <w:pPr>
        <w:pStyle w:val="BRL-Standard"/>
      </w:pPr>
      <w:r w:rsidRPr="0009445C">
        <w:t>Buildings must be stable on their own over their entire period of use as a whole and in their separate parts. They must be arranged, procured and fit for use in such a way that there is no danger or unreasonable harassment.</w:t>
      </w:r>
    </w:p>
    <w:p w14:paraId="182AD04E" w14:textId="77777777" w:rsidR="00744176" w:rsidRPr="0009445C" w:rsidRDefault="00744176" w:rsidP="00744176"/>
    <w:p w14:paraId="3D85EE91" w14:textId="77777777" w:rsidR="00744176" w:rsidRPr="0009445C" w:rsidRDefault="00744176" w:rsidP="00744176">
      <w:pPr>
        <w:pStyle w:val="Heading1"/>
      </w:pPr>
      <w:bookmarkStart w:id="9" w:name="_B_2_Technische"/>
      <w:bookmarkStart w:id="10" w:name="_Ref24532622"/>
      <w:bookmarkEnd w:id="9"/>
      <w:r w:rsidRPr="0009445C">
        <w:t>B 2</w:t>
      </w:r>
      <w:r w:rsidRPr="0009445C">
        <w:tab/>
        <w:t>Technical regulations for special constructions and structural elements according to § 85a(2) MBO</w:t>
      </w:r>
      <w:r w:rsidRPr="0009445C">
        <w:rPr>
          <w:vertAlign w:val="superscript"/>
        </w:rPr>
        <w:t>1</w:t>
      </w:r>
      <w:bookmarkEnd w:id="1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4536"/>
        <w:gridCol w:w="3402"/>
      </w:tblGrid>
      <w:tr w:rsidR="00744176" w:rsidRPr="0009445C" w14:paraId="59F096D7" w14:textId="77777777" w:rsidTr="00084304">
        <w:trPr>
          <w:trHeight w:hRule="exact" w:val="57"/>
        </w:trPr>
        <w:tc>
          <w:tcPr>
            <w:tcW w:w="9072" w:type="dxa"/>
            <w:gridSpan w:val="3"/>
            <w:tcBorders>
              <w:top w:val="nil"/>
              <w:left w:val="nil"/>
              <w:bottom w:val="nil"/>
              <w:right w:val="nil"/>
            </w:tcBorders>
            <w:shd w:val="clear" w:color="auto" w:fill="auto"/>
          </w:tcPr>
          <w:p w14:paraId="561E0D49" w14:textId="77777777" w:rsidR="00744176" w:rsidRPr="0009445C" w:rsidRDefault="00744176" w:rsidP="00084304">
            <w:pPr>
              <w:pStyle w:val="BRL-berschrift2"/>
            </w:pPr>
          </w:p>
        </w:tc>
      </w:tr>
      <w:tr w:rsidR="00744176" w:rsidRPr="0009445C" w14:paraId="5C277EBE" w14:textId="77777777" w:rsidTr="00084304">
        <w:trPr>
          <w:trHeight w:val="451"/>
        </w:trPr>
        <w:tc>
          <w:tcPr>
            <w:tcW w:w="1134" w:type="dxa"/>
            <w:tcBorders>
              <w:bottom w:val="single" w:sz="4" w:space="0" w:color="auto"/>
            </w:tcBorders>
            <w:shd w:val="clear" w:color="auto" w:fill="auto"/>
          </w:tcPr>
          <w:p w14:paraId="7DD79077" w14:textId="77777777" w:rsidR="00744176" w:rsidRPr="0009445C" w:rsidRDefault="00744176" w:rsidP="00084304">
            <w:pPr>
              <w:pStyle w:val="BRL-Tabellenkopf"/>
              <w:jc w:val="center"/>
            </w:pPr>
            <w:r w:rsidRPr="0009445C">
              <w:t>Ser. No</w:t>
            </w:r>
          </w:p>
        </w:tc>
        <w:tc>
          <w:tcPr>
            <w:tcW w:w="4536" w:type="dxa"/>
            <w:tcBorders>
              <w:bottom w:val="single" w:sz="4" w:space="0" w:color="auto"/>
            </w:tcBorders>
            <w:shd w:val="clear" w:color="auto" w:fill="auto"/>
          </w:tcPr>
          <w:p w14:paraId="6CD52130" w14:textId="79C77D0D" w:rsidR="00744176" w:rsidRPr="0009445C" w:rsidRDefault="00744176" w:rsidP="00DD2DE1">
            <w:pPr>
              <w:pStyle w:val="BRL-Tabellenkopf"/>
              <w:jc w:val="center"/>
            </w:pPr>
            <w:r w:rsidRPr="0009445C">
              <w:t>Planning, designing and</w:t>
            </w:r>
            <w:r w:rsidRPr="0009445C">
              <w:br/>
              <w:t>execution requirements pursuant to § 85a(2) MBO</w:t>
            </w:r>
            <w:r w:rsidRPr="0009445C">
              <w:rPr>
                <w:vertAlign w:val="superscript"/>
              </w:rPr>
              <w:t>1</w:t>
            </w:r>
          </w:p>
        </w:tc>
        <w:tc>
          <w:tcPr>
            <w:tcW w:w="3402" w:type="dxa"/>
            <w:tcBorders>
              <w:bottom w:val="single" w:sz="4" w:space="0" w:color="auto"/>
            </w:tcBorders>
            <w:shd w:val="clear" w:color="auto" w:fill="auto"/>
          </w:tcPr>
          <w:p w14:paraId="47672C9E" w14:textId="77777777" w:rsidR="00744176" w:rsidRPr="0009445C" w:rsidRDefault="00744176" w:rsidP="00084304">
            <w:pPr>
              <w:pStyle w:val="BRL-Tabellenkopf"/>
              <w:jc w:val="center"/>
            </w:pPr>
            <w:r w:rsidRPr="0009445C">
              <w:t>Measures/specifications pursuant to § 85a(2) MBO</w:t>
            </w:r>
            <w:r w:rsidRPr="0009445C">
              <w:rPr>
                <w:vertAlign w:val="superscript"/>
              </w:rPr>
              <w:t>1</w:t>
            </w:r>
          </w:p>
        </w:tc>
      </w:tr>
      <w:tr w:rsidR="00744176" w:rsidRPr="0009445C" w14:paraId="72D4643A" w14:textId="77777777" w:rsidTr="00084304">
        <w:tc>
          <w:tcPr>
            <w:tcW w:w="1134" w:type="dxa"/>
            <w:tcBorders>
              <w:bottom w:val="nil"/>
            </w:tcBorders>
            <w:shd w:val="clear" w:color="auto" w:fill="auto"/>
          </w:tcPr>
          <w:p w14:paraId="72361497" w14:textId="77777777" w:rsidR="00744176" w:rsidRPr="0009445C" w:rsidRDefault="00744176" w:rsidP="00084304">
            <w:pPr>
              <w:pStyle w:val="BRL-Tabelle"/>
              <w:jc w:val="center"/>
            </w:pPr>
            <w:r w:rsidRPr="0009445C">
              <w:t>1</w:t>
            </w:r>
          </w:p>
        </w:tc>
        <w:tc>
          <w:tcPr>
            <w:tcW w:w="4536" w:type="dxa"/>
            <w:tcBorders>
              <w:bottom w:val="nil"/>
            </w:tcBorders>
            <w:shd w:val="clear" w:color="auto" w:fill="auto"/>
          </w:tcPr>
          <w:p w14:paraId="1FC0CF55" w14:textId="77777777" w:rsidR="00744176" w:rsidRPr="0009445C" w:rsidRDefault="00744176" w:rsidP="00084304">
            <w:pPr>
              <w:pStyle w:val="BRL-Tabelle"/>
              <w:jc w:val="center"/>
            </w:pPr>
            <w:r w:rsidRPr="0009445C">
              <w:t>2</w:t>
            </w:r>
          </w:p>
        </w:tc>
        <w:tc>
          <w:tcPr>
            <w:tcW w:w="3402" w:type="dxa"/>
            <w:tcBorders>
              <w:bottom w:val="nil"/>
            </w:tcBorders>
            <w:shd w:val="clear" w:color="auto" w:fill="auto"/>
          </w:tcPr>
          <w:p w14:paraId="42DEA7B3" w14:textId="77777777" w:rsidR="00744176" w:rsidRPr="0009445C" w:rsidRDefault="00744176" w:rsidP="00084304">
            <w:pPr>
              <w:pStyle w:val="BRL-Tabelle"/>
              <w:jc w:val="center"/>
            </w:pPr>
            <w:r w:rsidRPr="0009445C">
              <w:t>3</w:t>
            </w:r>
          </w:p>
        </w:tc>
      </w:tr>
      <w:tr w:rsidR="00744176" w:rsidRPr="0009445C" w14:paraId="3B70B037" w14:textId="77777777" w:rsidTr="00084304">
        <w:tblPrEx>
          <w:tblCellMar>
            <w:top w:w="57" w:type="dxa"/>
            <w:bottom w:w="57" w:type="dxa"/>
          </w:tblCellMar>
          <w:tblLook w:val="05E0" w:firstRow="1" w:lastRow="1" w:firstColumn="1" w:lastColumn="1" w:noHBand="0" w:noVBand="1"/>
        </w:tblPrEx>
        <w:trPr>
          <w:trHeight w:val="227"/>
        </w:trPr>
        <w:tc>
          <w:tcPr>
            <w:tcW w:w="9072" w:type="dxa"/>
            <w:gridSpan w:val="3"/>
            <w:shd w:val="clear" w:color="auto" w:fill="auto"/>
          </w:tcPr>
          <w:p w14:paraId="5915FBFB" w14:textId="77777777" w:rsidR="00744176" w:rsidRPr="0009445C" w:rsidRDefault="00744176" w:rsidP="00084304">
            <w:pPr>
              <w:pStyle w:val="BRL-Tabelle-berschrift"/>
            </w:pPr>
            <w:r w:rsidRPr="0009445C">
              <w:t>B 2.2</w:t>
            </w:r>
            <w:r w:rsidRPr="0009445C">
              <w:tab/>
              <w:t>Structural elements</w:t>
            </w:r>
          </w:p>
        </w:tc>
      </w:tr>
      <w:tr w:rsidR="00744176" w:rsidRPr="0009445C" w14:paraId="3DBB96B7" w14:textId="77777777" w:rsidTr="00084304">
        <w:tblPrEx>
          <w:tblCellMar>
            <w:top w:w="57" w:type="dxa"/>
            <w:bottom w:w="57" w:type="dxa"/>
          </w:tblCellMar>
          <w:tblLook w:val="05E0" w:firstRow="1" w:lastRow="1" w:firstColumn="1" w:lastColumn="1" w:noHBand="0" w:noVBand="1"/>
        </w:tblPrEx>
        <w:trPr>
          <w:trHeight w:val="227"/>
        </w:trPr>
        <w:tc>
          <w:tcPr>
            <w:tcW w:w="9072" w:type="dxa"/>
            <w:gridSpan w:val="3"/>
            <w:shd w:val="clear" w:color="auto" w:fill="auto"/>
          </w:tcPr>
          <w:p w14:paraId="6D24F443" w14:textId="77777777" w:rsidR="00744176" w:rsidRPr="0009445C" w:rsidRDefault="00744176" w:rsidP="00084304">
            <w:pPr>
              <w:pStyle w:val="BRL-Tabelle-berschrift"/>
            </w:pPr>
            <w:r w:rsidRPr="0009445C">
              <w:t>B 2.2.1</w:t>
            </w:r>
            <w:r w:rsidRPr="0009445C">
              <w:tab/>
              <w:t>Structural elements for walls, roofs, ceilings and façade constructions</w:t>
            </w:r>
          </w:p>
        </w:tc>
      </w:tr>
      <w:tr w:rsidR="00744176" w:rsidRPr="0009445C" w14:paraId="4D87E6BD" w14:textId="77777777" w:rsidTr="00084304">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6091C55E" w14:textId="77777777" w:rsidR="00744176" w:rsidRPr="0009445C" w:rsidRDefault="00744176" w:rsidP="00084304">
            <w:pPr>
              <w:pStyle w:val="BRL-Tabelle"/>
              <w:widowControl w:val="0"/>
            </w:pPr>
            <w:r w:rsidRPr="0009445C">
              <w:t>B 2.2.1.1</w:t>
            </w:r>
          </w:p>
        </w:tc>
        <w:tc>
          <w:tcPr>
            <w:tcW w:w="4536" w:type="dxa"/>
            <w:shd w:val="clear" w:color="auto" w:fill="auto"/>
          </w:tcPr>
          <w:p w14:paraId="534D8DA6" w14:textId="77777777" w:rsidR="00744176" w:rsidRPr="0009445C" w:rsidRDefault="00744176" w:rsidP="00084304">
            <w:pPr>
              <w:pStyle w:val="BRL-Tabelle"/>
              <w:widowControl w:val="0"/>
            </w:pPr>
            <w:r w:rsidRPr="0009445C">
              <w:t>Cladding for external walls, ventilated at rear</w:t>
            </w:r>
          </w:p>
        </w:tc>
        <w:tc>
          <w:tcPr>
            <w:tcW w:w="3402" w:type="dxa"/>
            <w:shd w:val="clear" w:color="auto" w:fill="auto"/>
          </w:tcPr>
          <w:p w14:paraId="614005B9" w14:textId="77777777" w:rsidR="00744176" w:rsidRPr="0009445C" w:rsidRDefault="00744176" w:rsidP="00084304">
            <w:pPr>
              <w:pStyle w:val="BRL-Tabelle"/>
              <w:widowControl w:val="0"/>
              <w:rPr>
                <w:lang w:val="de-DE"/>
              </w:rPr>
            </w:pPr>
            <w:r w:rsidRPr="0009445C">
              <w:rPr>
                <w:lang w:val="de-DE"/>
              </w:rPr>
              <w:t>DIN 18516-1:2010-06</w:t>
            </w:r>
          </w:p>
          <w:p w14:paraId="7028840A" w14:textId="77777777" w:rsidR="00744176" w:rsidRPr="0009445C" w:rsidRDefault="00744176" w:rsidP="00084304">
            <w:pPr>
              <w:pStyle w:val="BRL-Tabelle"/>
              <w:widowControl w:val="0"/>
              <w:rPr>
                <w:lang w:val="de-DE"/>
              </w:rPr>
            </w:pPr>
            <w:r w:rsidRPr="0009445C">
              <w:rPr>
                <w:lang w:val="de-DE"/>
              </w:rPr>
              <w:t>Annex B 2.2.1/1</w:t>
            </w:r>
          </w:p>
          <w:p w14:paraId="5D5E5ACF" w14:textId="522112EB" w:rsidR="00744176" w:rsidRPr="0009445C" w:rsidRDefault="00744176" w:rsidP="00084304">
            <w:pPr>
              <w:pStyle w:val="BRL-Tabelle"/>
              <w:widowControl w:val="0"/>
              <w:rPr>
                <w:lang w:val="de-DE"/>
              </w:rPr>
            </w:pPr>
            <w:r w:rsidRPr="0009445C">
              <w:rPr>
                <w:lang w:val="de-DE"/>
              </w:rPr>
              <w:t>DIN 18516-3:2021-05</w:t>
            </w:r>
          </w:p>
          <w:p w14:paraId="07CE95B0" w14:textId="59DFA4BA" w:rsidR="00744176" w:rsidRPr="0009445C" w:rsidRDefault="00744176" w:rsidP="00084304">
            <w:pPr>
              <w:pStyle w:val="BRL-Tabelle"/>
              <w:widowControl w:val="0"/>
              <w:rPr>
                <w:lang w:val="de-DE"/>
              </w:rPr>
            </w:pPr>
            <w:r w:rsidRPr="0009445C">
              <w:rPr>
                <w:lang w:val="de-DE"/>
              </w:rPr>
              <w:t>DIN 18516-5:2021-05</w:t>
            </w:r>
          </w:p>
          <w:p w14:paraId="1B51364A" w14:textId="77777777" w:rsidR="00744176" w:rsidRPr="0009445C" w:rsidRDefault="00744176" w:rsidP="00084304">
            <w:pPr>
              <w:pStyle w:val="BRL-Tabelle"/>
              <w:widowControl w:val="0"/>
            </w:pPr>
            <w:r w:rsidRPr="0009445C">
              <w:t>Annex B 2.2.1/2</w:t>
            </w:r>
          </w:p>
          <w:p w14:paraId="159C74F3" w14:textId="77777777" w:rsidR="00744176" w:rsidRPr="0009445C" w:rsidRDefault="00744176" w:rsidP="00084304">
            <w:pPr>
              <w:pStyle w:val="BRL-Tabelle"/>
              <w:widowControl w:val="0"/>
            </w:pPr>
            <w:r w:rsidRPr="0009445C">
              <w:t>Also applicable:</w:t>
            </w:r>
          </w:p>
          <w:p w14:paraId="2E3F4D5E" w14:textId="77777777" w:rsidR="00744176" w:rsidRPr="0009445C" w:rsidRDefault="00744176" w:rsidP="00084304">
            <w:pPr>
              <w:pStyle w:val="BRL-Tabelle"/>
              <w:widowControl w:val="0"/>
            </w:pPr>
            <w:r w:rsidRPr="0009445C">
              <w:t>A 2.2.1.6</w:t>
            </w:r>
          </w:p>
        </w:tc>
      </w:tr>
      <w:tr w:rsidR="00744176" w:rsidRPr="0009445C" w14:paraId="2A50F30D" w14:textId="77777777" w:rsidTr="00084304">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71ABC776" w14:textId="77777777" w:rsidR="00744176" w:rsidRPr="0009445C" w:rsidRDefault="00744176" w:rsidP="00084304">
            <w:pPr>
              <w:pStyle w:val="BRL-Tabelle"/>
              <w:widowControl w:val="0"/>
            </w:pPr>
            <w:r w:rsidRPr="0009445C">
              <w:t>B 2.2.1.2</w:t>
            </w:r>
          </w:p>
        </w:tc>
        <w:tc>
          <w:tcPr>
            <w:tcW w:w="4536" w:type="dxa"/>
            <w:shd w:val="clear" w:color="auto" w:fill="auto"/>
          </w:tcPr>
          <w:p w14:paraId="660FDBCC" w14:textId="77777777" w:rsidR="00744176" w:rsidRPr="0009445C" w:rsidRDefault="00744176" w:rsidP="00084304">
            <w:pPr>
              <w:pStyle w:val="BRL-Tabelle"/>
              <w:widowControl w:val="0"/>
            </w:pPr>
            <w:r w:rsidRPr="0009445C">
              <w:t>Load-bearing external walls made from construction kits</w:t>
            </w:r>
          </w:p>
        </w:tc>
        <w:tc>
          <w:tcPr>
            <w:tcW w:w="3402" w:type="dxa"/>
            <w:shd w:val="clear" w:color="auto" w:fill="auto"/>
          </w:tcPr>
          <w:p w14:paraId="09700A8A" w14:textId="77777777" w:rsidR="00744176" w:rsidRPr="0009445C" w:rsidRDefault="00744176" w:rsidP="00084304">
            <w:pPr>
              <w:pStyle w:val="BRL-Tabelle"/>
              <w:widowControl w:val="0"/>
            </w:pPr>
            <w:r w:rsidRPr="0009445C">
              <w:t>Annex B 2.2.1/3</w:t>
            </w:r>
          </w:p>
        </w:tc>
      </w:tr>
      <w:tr w:rsidR="00744176" w:rsidRPr="0009445C" w14:paraId="18C31A1B" w14:textId="77777777" w:rsidTr="00084304">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7E8905EC" w14:textId="77777777" w:rsidR="00744176" w:rsidRPr="0009445C" w:rsidRDefault="00744176" w:rsidP="00084304">
            <w:pPr>
              <w:pStyle w:val="BRL-Tabelle"/>
              <w:widowControl w:val="0"/>
            </w:pPr>
            <w:r w:rsidRPr="0009445C">
              <w:t>B 2.2.1.6</w:t>
            </w:r>
          </w:p>
        </w:tc>
        <w:tc>
          <w:tcPr>
            <w:tcW w:w="4536" w:type="dxa"/>
            <w:shd w:val="clear" w:color="auto" w:fill="auto"/>
          </w:tcPr>
          <w:p w14:paraId="69B52485" w14:textId="77777777" w:rsidR="00744176" w:rsidRPr="0009445C" w:rsidRDefault="00744176" w:rsidP="00084304">
            <w:pPr>
              <w:pStyle w:val="BRL-Tabelle"/>
              <w:widowControl w:val="0"/>
            </w:pPr>
            <w:r w:rsidRPr="0009445C">
              <w:t>In-situ concrete walls made of formwork components</w:t>
            </w:r>
          </w:p>
        </w:tc>
        <w:tc>
          <w:tcPr>
            <w:tcW w:w="3402" w:type="dxa"/>
            <w:shd w:val="clear" w:color="auto" w:fill="auto"/>
          </w:tcPr>
          <w:p w14:paraId="6546F0D5" w14:textId="73BF47DD" w:rsidR="00744176" w:rsidRPr="0009445C" w:rsidRDefault="00744176" w:rsidP="00084304">
            <w:pPr>
              <w:pStyle w:val="BRL-Tabelle"/>
              <w:widowControl w:val="0"/>
            </w:pPr>
            <w:r w:rsidRPr="0009445C">
              <w:t>Application rules for non-load-bearing permanent formwork kits/</w:t>
            </w:r>
            <w:r w:rsidRPr="0009445C">
              <w:noBreakHyphen/>
              <w:t>systems and formwork components for the construction of in-situ concrete walls: 2021-10</w:t>
            </w:r>
          </w:p>
          <w:p w14:paraId="6D921882" w14:textId="77777777" w:rsidR="00744176" w:rsidRPr="0009445C" w:rsidRDefault="00744176" w:rsidP="00084304">
            <w:pPr>
              <w:pStyle w:val="BRL-Tabelle"/>
              <w:widowControl w:val="0"/>
            </w:pPr>
            <w:r w:rsidRPr="0009445C">
              <w:t>(See Annex 12)</w:t>
            </w:r>
          </w:p>
        </w:tc>
      </w:tr>
      <w:tr w:rsidR="00744176" w:rsidRPr="0009445C" w14:paraId="191282FD" w14:textId="77777777" w:rsidTr="00084304">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0FCD406C" w14:textId="77777777" w:rsidR="00744176" w:rsidRPr="0009445C" w:rsidRDefault="00744176" w:rsidP="007817BA">
            <w:pPr>
              <w:pStyle w:val="BRL-Tabelle"/>
              <w:widowControl w:val="0"/>
            </w:pPr>
            <w:r w:rsidRPr="0009445C">
              <w:t>B 2.2.1.8</w:t>
            </w:r>
          </w:p>
        </w:tc>
        <w:tc>
          <w:tcPr>
            <w:tcW w:w="4536" w:type="dxa"/>
            <w:shd w:val="clear" w:color="auto" w:fill="auto"/>
          </w:tcPr>
          <w:p w14:paraId="502D3511" w14:textId="77777777" w:rsidR="00744176" w:rsidRPr="0009445C" w:rsidRDefault="00744176" w:rsidP="00084304">
            <w:pPr>
              <w:pStyle w:val="BRL-Tabelle"/>
              <w:widowControl w:val="0"/>
            </w:pPr>
            <w:r w:rsidRPr="0009445C">
              <w:t>Construction kits for timber, metal and reinforced concrete buildings</w:t>
            </w:r>
            <w:r w:rsidRPr="0009445C">
              <w:rPr>
                <w:rStyle w:val="Querverweis"/>
              </w:rPr>
              <w:t>3</w:t>
            </w:r>
          </w:p>
        </w:tc>
        <w:tc>
          <w:tcPr>
            <w:tcW w:w="3402" w:type="dxa"/>
            <w:shd w:val="clear" w:color="auto" w:fill="auto"/>
          </w:tcPr>
          <w:p w14:paraId="7159B21A" w14:textId="77777777" w:rsidR="00744176" w:rsidRPr="0009445C" w:rsidRDefault="00744176" w:rsidP="00084304">
            <w:pPr>
              <w:pStyle w:val="BRL-Tabelle"/>
              <w:widowControl w:val="0"/>
            </w:pPr>
            <w:r w:rsidRPr="0009445C">
              <w:t>Annex B 2.2.1/3</w:t>
            </w:r>
          </w:p>
        </w:tc>
      </w:tr>
      <w:tr w:rsidR="00744176" w:rsidRPr="0009445C" w14:paraId="0E779203" w14:textId="77777777" w:rsidTr="00084304">
        <w:tblPrEx>
          <w:tblCellMar>
            <w:top w:w="57" w:type="dxa"/>
            <w:bottom w:w="57" w:type="dxa"/>
          </w:tblCellMar>
          <w:tblLook w:val="05E0" w:firstRow="1" w:lastRow="1" w:firstColumn="1" w:lastColumn="1" w:noHBand="0" w:noVBand="1"/>
        </w:tblPrEx>
        <w:trPr>
          <w:trHeight w:val="297"/>
        </w:trPr>
        <w:tc>
          <w:tcPr>
            <w:tcW w:w="1134" w:type="dxa"/>
            <w:shd w:val="clear" w:color="auto" w:fill="auto"/>
          </w:tcPr>
          <w:p w14:paraId="7637DAFB" w14:textId="77777777" w:rsidR="00744176" w:rsidRPr="0009445C" w:rsidRDefault="00744176" w:rsidP="00084304">
            <w:pPr>
              <w:pStyle w:val="BRL-Tabelle"/>
              <w:widowControl w:val="0"/>
            </w:pPr>
            <w:r w:rsidRPr="0009445C">
              <w:t>B 2.2.1.9</w:t>
            </w:r>
          </w:p>
        </w:tc>
        <w:tc>
          <w:tcPr>
            <w:tcW w:w="4536" w:type="dxa"/>
            <w:shd w:val="clear" w:color="auto" w:fill="auto"/>
          </w:tcPr>
          <w:p w14:paraId="57D8BC6E" w14:textId="77777777" w:rsidR="00744176" w:rsidRPr="0009445C" w:rsidRDefault="00744176" w:rsidP="00084304">
            <w:pPr>
              <w:pStyle w:val="BRL-Tabelle"/>
              <w:widowControl w:val="0"/>
            </w:pPr>
            <w:r w:rsidRPr="0009445C">
              <w:t>Prefabricated room units for buildings</w:t>
            </w:r>
            <w:r w:rsidRPr="0009445C">
              <w:rPr>
                <w:rStyle w:val="Querverweis"/>
              </w:rPr>
              <w:t>3</w:t>
            </w:r>
          </w:p>
        </w:tc>
        <w:tc>
          <w:tcPr>
            <w:tcW w:w="3402" w:type="dxa"/>
            <w:shd w:val="clear" w:color="auto" w:fill="auto"/>
          </w:tcPr>
          <w:p w14:paraId="30C19B82" w14:textId="77777777" w:rsidR="00744176" w:rsidRPr="0009445C" w:rsidRDefault="00744176" w:rsidP="00084304">
            <w:pPr>
              <w:pStyle w:val="BRL-Tabelle"/>
              <w:widowControl w:val="0"/>
            </w:pPr>
            <w:r w:rsidRPr="0009445C">
              <w:t>Annex B 2.2.1/3</w:t>
            </w:r>
          </w:p>
        </w:tc>
      </w:tr>
      <w:tr w:rsidR="007817BA" w:rsidRPr="0009445C" w14:paraId="01DC3712" w14:textId="77777777" w:rsidTr="00084304">
        <w:tblPrEx>
          <w:tblCellMar>
            <w:top w:w="57" w:type="dxa"/>
            <w:bottom w:w="57" w:type="dxa"/>
          </w:tblCellMar>
          <w:tblLook w:val="05E0" w:firstRow="1" w:lastRow="1" w:firstColumn="1" w:lastColumn="1" w:noHBand="0" w:noVBand="1"/>
        </w:tblPrEx>
        <w:trPr>
          <w:trHeight w:val="297"/>
        </w:trPr>
        <w:tc>
          <w:tcPr>
            <w:tcW w:w="9072" w:type="dxa"/>
            <w:gridSpan w:val="3"/>
            <w:shd w:val="clear" w:color="auto" w:fill="auto"/>
          </w:tcPr>
          <w:p w14:paraId="1C293105" w14:textId="77777777" w:rsidR="007817BA" w:rsidRPr="0009445C" w:rsidRDefault="007817BA" w:rsidP="007817BA">
            <w:pPr>
              <w:pStyle w:val="BRL-Tabelle-berschrift"/>
              <w:pageBreakBefore/>
              <w:widowControl w:val="0"/>
            </w:pPr>
            <w:r w:rsidRPr="0009445C">
              <w:lastRenderedPageBreak/>
              <w:t>B 2.2.5</w:t>
            </w:r>
            <w:r w:rsidRPr="0009445C">
              <w:tab/>
              <w:t>Structural elements for sealing structural works</w:t>
            </w:r>
          </w:p>
          <w:p w14:paraId="734A3B92" w14:textId="4B050C32" w:rsidR="007817BA" w:rsidRPr="0009445C" w:rsidRDefault="007817BA" w:rsidP="007817BA">
            <w:pPr>
              <w:pStyle w:val="BRL-Standard"/>
              <w:spacing w:line="240" w:lineRule="auto"/>
            </w:pPr>
            <w:r w:rsidRPr="0009445C">
              <w:t>Under § 13 MBO</w:t>
            </w:r>
            <w:r w:rsidRPr="0009445C">
              <w:rPr>
                <w:vertAlign w:val="superscript"/>
              </w:rPr>
              <w:t>1</w:t>
            </w:r>
            <w:r w:rsidRPr="0009445C">
              <w:t>, physical structures must be positioned, designed and fit for purpose so that no dangers or unreasonable inconveniences arise due to water or moisture.</w:t>
            </w:r>
          </w:p>
        </w:tc>
      </w:tr>
      <w:tr w:rsidR="007817BA" w:rsidRPr="0009445C" w14:paraId="56843388" w14:textId="77777777" w:rsidTr="00084304">
        <w:tblPrEx>
          <w:tblCellMar>
            <w:top w:w="57" w:type="dxa"/>
            <w:bottom w:w="57" w:type="dxa"/>
          </w:tblCellMar>
          <w:tblLook w:val="05E0" w:firstRow="1" w:lastRow="1" w:firstColumn="1" w:lastColumn="1" w:noHBand="0" w:noVBand="1"/>
        </w:tblPrEx>
        <w:trPr>
          <w:trHeight w:val="297"/>
        </w:trPr>
        <w:tc>
          <w:tcPr>
            <w:tcW w:w="1134" w:type="dxa"/>
            <w:shd w:val="clear" w:color="auto" w:fill="auto"/>
          </w:tcPr>
          <w:p w14:paraId="783957B8" w14:textId="77777777" w:rsidR="007817BA" w:rsidRPr="0009445C" w:rsidRDefault="007817BA" w:rsidP="007817BA">
            <w:pPr>
              <w:pStyle w:val="BRL-Tabelle"/>
              <w:widowControl w:val="0"/>
            </w:pPr>
            <w:r w:rsidRPr="0009445C">
              <w:t>B 2.2.5.3</w:t>
            </w:r>
          </w:p>
        </w:tc>
        <w:tc>
          <w:tcPr>
            <w:tcW w:w="4536" w:type="dxa"/>
            <w:shd w:val="clear" w:color="auto" w:fill="auto"/>
          </w:tcPr>
          <w:p w14:paraId="4AE7382A" w14:textId="77777777" w:rsidR="007817BA" w:rsidRPr="0009445C" w:rsidRDefault="007817BA" w:rsidP="007817BA">
            <w:pPr>
              <w:pStyle w:val="BRL-Tabelle"/>
              <w:widowControl w:val="0"/>
            </w:pPr>
            <w:r w:rsidRPr="0009445C">
              <w:t>Building waterproofing made of plastic and elastomer damp-proof courses</w:t>
            </w:r>
          </w:p>
        </w:tc>
        <w:tc>
          <w:tcPr>
            <w:tcW w:w="3402" w:type="dxa"/>
            <w:shd w:val="clear" w:color="auto" w:fill="auto"/>
          </w:tcPr>
          <w:p w14:paraId="236279A7" w14:textId="612B3D68" w:rsidR="007817BA" w:rsidRPr="0009445C" w:rsidRDefault="007817BA" w:rsidP="007817BA">
            <w:pPr>
              <w:pStyle w:val="BRL-Tabelle"/>
              <w:widowControl w:val="0"/>
            </w:pPr>
            <w:r w:rsidRPr="0009445C">
              <w:t>DIN/TS 20000-202:2020-11</w:t>
            </w:r>
          </w:p>
          <w:p w14:paraId="13E1BFB5" w14:textId="77777777" w:rsidR="007817BA" w:rsidRPr="0009445C" w:rsidRDefault="007817BA" w:rsidP="007817BA">
            <w:pPr>
              <w:pStyle w:val="BRL-Tabelle"/>
              <w:widowControl w:val="0"/>
            </w:pPr>
            <w:r w:rsidRPr="0009445C">
              <w:t>Section 5.3</w:t>
            </w:r>
          </w:p>
        </w:tc>
      </w:tr>
      <w:tr w:rsidR="007817BA" w:rsidRPr="0009445C" w14:paraId="364E14FF" w14:textId="77777777" w:rsidTr="00084304">
        <w:tblPrEx>
          <w:tblCellMar>
            <w:top w:w="57" w:type="dxa"/>
            <w:bottom w:w="57" w:type="dxa"/>
          </w:tblCellMar>
          <w:tblLook w:val="05E0" w:firstRow="1" w:lastRow="1" w:firstColumn="1" w:lastColumn="1" w:noHBand="0" w:noVBand="1"/>
        </w:tblPrEx>
        <w:trPr>
          <w:trHeight w:val="297"/>
        </w:trPr>
        <w:tc>
          <w:tcPr>
            <w:tcW w:w="1134" w:type="dxa"/>
            <w:shd w:val="clear" w:color="auto" w:fill="auto"/>
          </w:tcPr>
          <w:p w14:paraId="28B9CBC3" w14:textId="77777777" w:rsidR="007817BA" w:rsidRPr="0009445C" w:rsidRDefault="007817BA" w:rsidP="007817BA">
            <w:pPr>
              <w:pStyle w:val="BRL-Tabelle"/>
              <w:widowControl w:val="0"/>
            </w:pPr>
            <w:r w:rsidRPr="0009445C">
              <w:t>B 2.2.5.4</w:t>
            </w:r>
          </w:p>
        </w:tc>
        <w:tc>
          <w:tcPr>
            <w:tcW w:w="4536" w:type="dxa"/>
            <w:shd w:val="clear" w:color="auto" w:fill="auto"/>
          </w:tcPr>
          <w:p w14:paraId="7ACACC22" w14:textId="77777777" w:rsidR="007817BA" w:rsidRPr="0009445C" w:rsidRDefault="007817BA" w:rsidP="007817BA">
            <w:pPr>
              <w:pStyle w:val="BRL-Tabelle"/>
              <w:widowControl w:val="0"/>
            </w:pPr>
            <w:r w:rsidRPr="0009445C">
              <w:t>Building waterproofing made of bitumen and damp-proof courses</w:t>
            </w:r>
          </w:p>
        </w:tc>
        <w:tc>
          <w:tcPr>
            <w:tcW w:w="3402" w:type="dxa"/>
            <w:shd w:val="clear" w:color="auto" w:fill="auto"/>
          </w:tcPr>
          <w:p w14:paraId="51061B74" w14:textId="66C97F1D" w:rsidR="007817BA" w:rsidRPr="0009445C" w:rsidRDefault="007817BA" w:rsidP="007817BA">
            <w:pPr>
              <w:pStyle w:val="BRL-Tabelle"/>
              <w:widowControl w:val="0"/>
            </w:pPr>
            <w:r w:rsidRPr="0009445C">
              <w:t>DIN/TS 20000-202:2020-11</w:t>
            </w:r>
          </w:p>
          <w:p w14:paraId="72580894" w14:textId="77777777" w:rsidR="007817BA" w:rsidRPr="0009445C" w:rsidRDefault="007817BA" w:rsidP="007817BA">
            <w:pPr>
              <w:pStyle w:val="BRL-Tabelle"/>
              <w:widowControl w:val="0"/>
            </w:pPr>
            <w:r w:rsidRPr="0009445C">
              <w:t>Section 5.2</w:t>
            </w:r>
          </w:p>
        </w:tc>
      </w:tr>
      <w:tr w:rsidR="007817BA" w:rsidRPr="0009445C" w14:paraId="1EF58856" w14:textId="77777777" w:rsidTr="00084304">
        <w:tblPrEx>
          <w:tblCellMar>
            <w:top w:w="57" w:type="dxa"/>
            <w:bottom w:w="57" w:type="dxa"/>
          </w:tblCellMar>
          <w:tblLook w:val="05E0" w:firstRow="1" w:lastRow="1" w:firstColumn="1" w:lastColumn="1" w:noHBand="0" w:noVBand="1"/>
        </w:tblPrEx>
        <w:trPr>
          <w:trHeight w:val="297"/>
        </w:trPr>
        <w:tc>
          <w:tcPr>
            <w:tcW w:w="1134" w:type="dxa"/>
            <w:shd w:val="clear" w:color="auto" w:fill="auto"/>
          </w:tcPr>
          <w:p w14:paraId="6C883E98" w14:textId="77777777" w:rsidR="007817BA" w:rsidRPr="0009445C" w:rsidRDefault="007817BA" w:rsidP="007817BA">
            <w:pPr>
              <w:pStyle w:val="BRL-Tabelle"/>
              <w:widowControl w:val="0"/>
            </w:pPr>
            <w:r w:rsidRPr="0009445C">
              <w:t>B 2.2.5.5</w:t>
            </w:r>
          </w:p>
        </w:tc>
        <w:tc>
          <w:tcPr>
            <w:tcW w:w="4536" w:type="dxa"/>
            <w:shd w:val="clear" w:color="auto" w:fill="auto"/>
          </w:tcPr>
          <w:p w14:paraId="41D643C1" w14:textId="77777777" w:rsidR="007817BA" w:rsidRPr="0009445C" w:rsidRDefault="007817BA" w:rsidP="007817BA">
            <w:pPr>
              <w:pStyle w:val="BRL-Tabelle"/>
              <w:widowControl w:val="0"/>
            </w:pPr>
            <w:r w:rsidRPr="0009445C">
              <w:t>Building waterproofing against ground moisture and water made of plastic and elastomer sheets</w:t>
            </w:r>
          </w:p>
        </w:tc>
        <w:tc>
          <w:tcPr>
            <w:tcW w:w="3402" w:type="dxa"/>
            <w:shd w:val="clear" w:color="auto" w:fill="auto"/>
          </w:tcPr>
          <w:p w14:paraId="53F22ABD" w14:textId="37F45C12" w:rsidR="007817BA" w:rsidRPr="0009445C" w:rsidRDefault="007817BA" w:rsidP="007817BA">
            <w:pPr>
              <w:pStyle w:val="BRL-Tabelle"/>
              <w:widowControl w:val="0"/>
            </w:pPr>
            <w:r w:rsidRPr="0009445C">
              <w:t>DIN/TS 20000-202:2020-11</w:t>
            </w:r>
          </w:p>
          <w:p w14:paraId="0C5E7685" w14:textId="77777777" w:rsidR="007817BA" w:rsidRPr="0009445C" w:rsidRDefault="007817BA" w:rsidP="007817BA">
            <w:pPr>
              <w:pStyle w:val="BRL-Tabelle"/>
              <w:widowControl w:val="0"/>
            </w:pPr>
            <w:r w:rsidRPr="0009445C">
              <w:t>Section 5.3</w:t>
            </w:r>
          </w:p>
        </w:tc>
      </w:tr>
      <w:tr w:rsidR="007817BA" w:rsidRPr="0009445C" w14:paraId="75002345" w14:textId="77777777" w:rsidTr="00084304">
        <w:tblPrEx>
          <w:tblCellMar>
            <w:top w:w="57" w:type="dxa"/>
            <w:bottom w:w="57" w:type="dxa"/>
          </w:tblCellMar>
          <w:tblLook w:val="05E0" w:firstRow="1" w:lastRow="1" w:firstColumn="1" w:lastColumn="1" w:noHBand="0" w:noVBand="1"/>
        </w:tblPrEx>
        <w:trPr>
          <w:trHeight w:val="297"/>
        </w:trPr>
        <w:tc>
          <w:tcPr>
            <w:tcW w:w="1134" w:type="dxa"/>
            <w:shd w:val="clear" w:color="auto" w:fill="auto"/>
          </w:tcPr>
          <w:p w14:paraId="4C7C11AD" w14:textId="77777777" w:rsidR="007817BA" w:rsidRPr="0009445C" w:rsidRDefault="007817BA" w:rsidP="007817BA">
            <w:pPr>
              <w:pStyle w:val="BRL-Tabelle"/>
              <w:widowControl w:val="0"/>
            </w:pPr>
            <w:r w:rsidRPr="0009445C">
              <w:t>B 2.2.5.6</w:t>
            </w:r>
          </w:p>
        </w:tc>
        <w:tc>
          <w:tcPr>
            <w:tcW w:w="4536" w:type="dxa"/>
            <w:shd w:val="clear" w:color="auto" w:fill="auto"/>
          </w:tcPr>
          <w:p w14:paraId="4EBEE9CC" w14:textId="77777777" w:rsidR="007817BA" w:rsidRPr="0009445C" w:rsidRDefault="007817BA" w:rsidP="007817BA">
            <w:pPr>
              <w:pStyle w:val="BRL-Tabelle"/>
              <w:widowControl w:val="0"/>
            </w:pPr>
            <w:r w:rsidRPr="0009445C">
              <w:t>Building waterproofing against ground moisture and water made of bitumen sheets</w:t>
            </w:r>
          </w:p>
        </w:tc>
        <w:tc>
          <w:tcPr>
            <w:tcW w:w="3402" w:type="dxa"/>
            <w:shd w:val="clear" w:color="auto" w:fill="auto"/>
          </w:tcPr>
          <w:p w14:paraId="0D1C09AF" w14:textId="38519E6C" w:rsidR="007817BA" w:rsidRPr="0009445C" w:rsidRDefault="007817BA" w:rsidP="007817BA">
            <w:pPr>
              <w:pStyle w:val="BRL-Tabelle"/>
              <w:widowControl w:val="0"/>
            </w:pPr>
            <w:r w:rsidRPr="0009445C">
              <w:t>DIN/TS 20000-202:2020-11</w:t>
            </w:r>
          </w:p>
          <w:p w14:paraId="07AC387F" w14:textId="77777777" w:rsidR="007817BA" w:rsidRPr="0009445C" w:rsidRDefault="007817BA" w:rsidP="007817BA">
            <w:pPr>
              <w:pStyle w:val="BRL-Tabelle"/>
              <w:widowControl w:val="0"/>
            </w:pPr>
            <w:r w:rsidRPr="0009445C">
              <w:t>Section 5.2</w:t>
            </w:r>
          </w:p>
        </w:tc>
      </w:tr>
      <w:tr w:rsidR="007817BA" w:rsidRPr="0009445C" w14:paraId="0D5A18BF" w14:textId="77777777" w:rsidTr="00084304">
        <w:tblPrEx>
          <w:tblCellMar>
            <w:top w:w="57" w:type="dxa"/>
            <w:bottom w:w="57" w:type="dxa"/>
          </w:tblCellMar>
          <w:tblLook w:val="05E0" w:firstRow="1" w:lastRow="1" w:firstColumn="1" w:lastColumn="1" w:noHBand="0" w:noVBand="1"/>
        </w:tblPrEx>
        <w:trPr>
          <w:trHeight w:val="297"/>
        </w:trPr>
        <w:tc>
          <w:tcPr>
            <w:tcW w:w="1134" w:type="dxa"/>
            <w:shd w:val="clear" w:color="auto" w:fill="auto"/>
          </w:tcPr>
          <w:p w14:paraId="215604AE" w14:textId="77777777" w:rsidR="007817BA" w:rsidRPr="0009445C" w:rsidRDefault="007817BA" w:rsidP="007817BA">
            <w:pPr>
              <w:pStyle w:val="BRL-Tabelle"/>
              <w:widowControl w:val="0"/>
            </w:pPr>
            <w:r w:rsidRPr="0009445C">
              <w:t>B 2.2.5.7</w:t>
            </w:r>
          </w:p>
        </w:tc>
        <w:tc>
          <w:tcPr>
            <w:tcW w:w="4536" w:type="dxa"/>
            <w:shd w:val="clear" w:color="auto" w:fill="auto"/>
          </w:tcPr>
          <w:p w14:paraId="7BFE4F5D" w14:textId="77777777" w:rsidR="007817BA" w:rsidRPr="0009445C" w:rsidRDefault="007817BA" w:rsidP="007817BA">
            <w:pPr>
              <w:pStyle w:val="BRL-Tabelle"/>
              <w:widowControl w:val="0"/>
            </w:pPr>
            <w:r w:rsidRPr="0009445C">
              <w:t>Reinforced bitumen sheets for waterproofing of concrete bridges and other traffic areas</w:t>
            </w:r>
          </w:p>
        </w:tc>
        <w:tc>
          <w:tcPr>
            <w:tcW w:w="3402" w:type="dxa"/>
            <w:shd w:val="clear" w:color="auto" w:fill="auto"/>
          </w:tcPr>
          <w:p w14:paraId="66379FEA" w14:textId="1D14FB73" w:rsidR="007817BA" w:rsidRPr="0009445C" w:rsidRDefault="007817BA" w:rsidP="007817BA">
            <w:pPr>
              <w:pStyle w:val="BRL-Tabelle"/>
              <w:widowControl w:val="0"/>
            </w:pPr>
            <w:r w:rsidRPr="0009445C">
              <w:t>DIN/TS 20000-203:2021-03</w:t>
            </w:r>
          </w:p>
          <w:p w14:paraId="7EFEBB08" w14:textId="77777777" w:rsidR="007817BA" w:rsidRPr="0009445C" w:rsidRDefault="007817BA" w:rsidP="007817BA">
            <w:pPr>
              <w:pStyle w:val="BRL-Tabelle"/>
              <w:widowControl w:val="0"/>
            </w:pPr>
            <w:r w:rsidRPr="0009445C">
              <w:t>Section 5</w:t>
            </w:r>
          </w:p>
        </w:tc>
      </w:tr>
    </w:tbl>
    <w:p w14:paraId="54740E29" w14:textId="77777777" w:rsidR="00742443" w:rsidRPr="0009445C" w:rsidRDefault="00742443" w:rsidP="00742443">
      <w:pPr>
        <w:pStyle w:val="BRL-Funote"/>
        <w:widowControl w:val="0"/>
      </w:pPr>
    </w:p>
    <w:p w14:paraId="03500C45" w14:textId="77777777" w:rsidR="007817BA" w:rsidRPr="0009445C" w:rsidRDefault="007817BA" w:rsidP="00742443">
      <w:pPr>
        <w:pStyle w:val="BRL-Funote"/>
        <w:widowControl w:val="0"/>
        <w:sectPr w:rsidR="007817BA" w:rsidRPr="0009445C" w:rsidSect="00744176">
          <w:headerReference w:type="default" r:id="rId38"/>
          <w:footerReference w:type="default" r:id="rId39"/>
          <w:headerReference w:type="first" r:id="rId40"/>
          <w:footerReference w:type="first" r:id="rId41"/>
          <w:pgSz w:w="11906" w:h="16838"/>
          <w:pgMar w:top="1134" w:right="1418" w:bottom="1134" w:left="1418" w:header="709" w:footer="709" w:gutter="0"/>
          <w:cols w:space="708"/>
          <w:titlePg/>
          <w:docGrid w:linePitch="360"/>
        </w:sectPr>
      </w:pPr>
    </w:p>
    <w:p w14:paraId="30F37095" w14:textId="77777777" w:rsidR="007817BA" w:rsidRPr="0009445C" w:rsidRDefault="007817BA" w:rsidP="007817BA">
      <w:pPr>
        <w:pStyle w:val="BRL-Anlage"/>
      </w:pPr>
      <w:r w:rsidRPr="0009445C">
        <w:lastRenderedPageBreak/>
        <w:t>Annex B 2.2.1/3</w:t>
      </w:r>
    </w:p>
    <w:p w14:paraId="0632E2D8" w14:textId="77777777" w:rsidR="007817BA" w:rsidRPr="0009445C" w:rsidRDefault="007817BA" w:rsidP="007817BA">
      <w:pPr>
        <w:pStyle w:val="BRL-Anlage"/>
      </w:pPr>
    </w:p>
    <w:p w14:paraId="6935335C" w14:textId="77777777" w:rsidR="007817BA" w:rsidRPr="0009445C" w:rsidRDefault="007817BA" w:rsidP="007817BA">
      <w:pPr>
        <w:pStyle w:val="BRL-AnlageStandard"/>
        <w:keepNext/>
        <w:rPr>
          <w:b/>
        </w:rPr>
      </w:pPr>
      <w:r w:rsidRPr="0009445C">
        <w:t>1</w:t>
      </w:r>
      <w:r w:rsidRPr="0009445C">
        <w:tab/>
        <w:t>Stability</w:t>
      </w:r>
    </w:p>
    <w:p w14:paraId="390047C9" w14:textId="77777777" w:rsidR="007817BA" w:rsidRPr="0009445C" w:rsidRDefault="007817BA" w:rsidP="007817BA">
      <w:pPr>
        <w:pStyle w:val="BRL-AnlageStandard"/>
        <w:keepNext/>
      </w:pPr>
      <w:r w:rsidRPr="0009445C">
        <w:t>For load-bearing features of building structural elements or kits in the form of calculated load-bearing values as per ETA</w:t>
      </w:r>
      <w:r w:rsidRPr="0009445C">
        <w:rPr>
          <w:vertAlign w:val="superscript"/>
        </w:rPr>
        <w:t>1</w:t>
      </w:r>
      <w:r w:rsidRPr="0009445C">
        <w:t>, mechanical strength or complete static calculations are stated in the declaration of performance, these count as building documents.</w:t>
      </w:r>
    </w:p>
    <w:p w14:paraId="5ACEAB0E" w14:textId="77777777" w:rsidR="007817BA" w:rsidRPr="0009445C" w:rsidRDefault="007817BA" w:rsidP="007817BA">
      <w:pPr>
        <w:pStyle w:val="BRL-AnlageStandard"/>
      </w:pPr>
    </w:p>
    <w:p w14:paraId="45852B67" w14:textId="77777777" w:rsidR="007817BA" w:rsidRPr="0009445C" w:rsidRDefault="007817BA" w:rsidP="007817BA">
      <w:pPr>
        <w:pStyle w:val="BRL-AnlageStandard"/>
        <w:rPr>
          <w:b/>
        </w:rPr>
      </w:pPr>
      <w:r w:rsidRPr="0009445C">
        <w:t>2</w:t>
      </w:r>
      <w:r w:rsidRPr="0009445C">
        <w:tab/>
        <w:t>Thermal insulation</w:t>
      </w:r>
    </w:p>
    <w:p w14:paraId="20DED6CD" w14:textId="02D5E023" w:rsidR="007817BA" w:rsidRPr="0009445C" w:rsidRDefault="007817BA" w:rsidP="007817BA">
      <w:pPr>
        <w:pStyle w:val="BRL-AnlageStandard"/>
      </w:pPr>
      <w:r w:rsidRPr="0009445C">
        <w:t>The design values as per DIN 4108-4:2020-11 are to be used for the thermal insulation certificate. The insulating materials used in the construction kit must meet the requirements under DIN 4108-10:2021-11 in line with the relevant area of application.</w:t>
      </w:r>
    </w:p>
    <w:p w14:paraId="1FE33BC9" w14:textId="77777777" w:rsidR="007817BA" w:rsidRPr="0009445C" w:rsidRDefault="007817BA" w:rsidP="007817BA">
      <w:pPr>
        <w:pStyle w:val="BRL-Funote"/>
      </w:pPr>
      <w:r w:rsidRPr="0009445C">
        <w:t>________</w:t>
      </w:r>
    </w:p>
    <w:p w14:paraId="6B79422B" w14:textId="77777777" w:rsidR="007817BA" w:rsidRPr="0009445C" w:rsidRDefault="007817BA" w:rsidP="007817BA">
      <w:pPr>
        <w:pStyle w:val="BRL-Funote"/>
        <w:rPr>
          <w:sz w:val="18"/>
        </w:rPr>
      </w:pPr>
      <w:r w:rsidRPr="0009445C">
        <w:t>1</w:t>
      </w:r>
      <w:r w:rsidRPr="0009445C">
        <w:tab/>
        <w:t>Under EAD/ETAG/CUAP</w:t>
      </w:r>
    </w:p>
    <w:p w14:paraId="25EC55A6" w14:textId="77777777" w:rsidR="00787B77" w:rsidRPr="0009445C" w:rsidRDefault="00787B77" w:rsidP="00742443">
      <w:pPr>
        <w:pStyle w:val="BRL-Funote"/>
        <w:widowControl w:val="0"/>
        <w:sectPr w:rsidR="00787B77" w:rsidRPr="0009445C" w:rsidSect="00744176">
          <w:headerReference w:type="first" r:id="rId42"/>
          <w:footerReference w:type="first" r:id="rId43"/>
          <w:pgSz w:w="11906" w:h="16838"/>
          <w:pgMar w:top="1134" w:right="1418" w:bottom="1134" w:left="1418" w:header="709" w:footer="709" w:gutter="0"/>
          <w:cols w:space="708"/>
          <w:titlePg/>
          <w:docGrid w:linePitch="360"/>
        </w:sectPr>
      </w:pPr>
    </w:p>
    <w:p w14:paraId="769E75AD" w14:textId="77777777" w:rsidR="00787B77" w:rsidRPr="0009445C" w:rsidRDefault="00787B77" w:rsidP="00787B77">
      <w:pPr>
        <w:pStyle w:val="BRL-Standard"/>
      </w:pPr>
      <w:r w:rsidRPr="0009445C">
        <w:lastRenderedPageBreak/>
        <w:t>Prerequisites for issuing a declaration of conformity for construction products and details on designs and construction products that require only a general building inspection test certificate</w:t>
      </w:r>
    </w:p>
    <w:p w14:paraId="38156CC7" w14:textId="77777777" w:rsidR="00787B77" w:rsidRPr="0009445C" w:rsidRDefault="00787B77" w:rsidP="00787B77">
      <w:pPr>
        <w:pStyle w:val="BRL-Standard"/>
      </w:pPr>
    </w:p>
    <w:p w14:paraId="28FADCBF" w14:textId="77777777" w:rsidR="00787B77" w:rsidRPr="0009445C" w:rsidRDefault="00787B77" w:rsidP="00787B77">
      <w:pPr>
        <w:pStyle w:val="Heading1"/>
      </w:pPr>
      <w:bookmarkStart w:id="11" w:name="_C_1_Allgemeines"/>
      <w:bookmarkStart w:id="12" w:name="_Ref24538502"/>
      <w:bookmarkEnd w:id="11"/>
      <w:r w:rsidRPr="0009445C">
        <w:t>C 1</w:t>
      </w:r>
      <w:r w:rsidRPr="0009445C">
        <w:tab/>
        <w:t>General information</w:t>
      </w:r>
      <w:bookmarkEnd w:id="12"/>
    </w:p>
    <w:p w14:paraId="3AF345AE" w14:textId="77777777" w:rsidR="00787B77" w:rsidRPr="0009445C" w:rsidRDefault="00787B77" w:rsidP="00787B77">
      <w:pPr>
        <w:pStyle w:val="BRL-Standard"/>
      </w:pPr>
      <w:r w:rsidRPr="0009445C">
        <w:t xml:space="preserve">Construction products may only be used if during use the building structure meets building inspection requirements. </w:t>
      </w:r>
    </w:p>
    <w:p w14:paraId="21C50A31" w14:textId="77777777" w:rsidR="00787B77" w:rsidRPr="0009445C" w:rsidRDefault="00787B77" w:rsidP="00787B77">
      <w:pPr>
        <w:pStyle w:val="BRL-Standard"/>
      </w:pPr>
    </w:p>
    <w:p w14:paraId="1F24B572" w14:textId="77777777" w:rsidR="00787B77" w:rsidRPr="0009445C" w:rsidRDefault="00787B77" w:rsidP="00787B77">
      <w:pPr>
        <w:pStyle w:val="BRL-Standard"/>
        <w:spacing w:after="120"/>
      </w:pPr>
      <w:r w:rsidRPr="0009445C">
        <w:t>To clarify the building inspection requirements with Technical Building Regulations, compulsory technical rules have been agreed with the highest federal state building inspection authorities (see § 85a MBO</w:t>
      </w:r>
      <w:r w:rsidRPr="0009445C">
        <w:rPr>
          <w:vertAlign w:val="superscript"/>
        </w:rPr>
        <w:t>1</w:t>
      </w:r>
      <w:r w:rsidRPr="0009445C">
        <w:t>). These technical rules for construction products that do not bear the CE mark under the Construction Products Regulation (Regulation [EU] No. 305/2011) are set out in Chapter C 2, column 3. The manufacturer shall confirm compliance with these Technical Rules by submitting a declaration of conformity by marking the construction products with the conformity mark (‘ÜZ’</w:t>
      </w:r>
      <w:r w:rsidRPr="0009445C">
        <w:noBreakHyphen/>
        <w:t xml:space="preserve"> in German). Pursuant to § 85a(2) Number 5 MBO</w:t>
      </w:r>
      <w:r w:rsidRPr="0009445C">
        <w:rPr>
          <w:vertAlign w:val="superscript"/>
        </w:rPr>
        <w:t>1</w:t>
      </w:r>
      <w:r w:rsidRPr="0009445C">
        <w:t>, Chapter C 2, column 4 sets out the requirements for issuing a manufacturer’s declaration of conformity (§ 22 MBO</w:t>
      </w:r>
      <w:r w:rsidRPr="0009445C">
        <w:rPr>
          <w:vertAlign w:val="superscript"/>
        </w:rPr>
        <w:t>1</w:t>
      </w:r>
      <w:r w:rsidRPr="0009445C">
        <w:t>):</w:t>
      </w:r>
    </w:p>
    <w:p w14:paraId="5E51A05E" w14:textId="77777777" w:rsidR="00787B77" w:rsidRPr="0009445C" w:rsidRDefault="00787B77" w:rsidP="00787B77">
      <w:pPr>
        <w:pStyle w:val="BRLAufzhlungAnstrich"/>
        <w:numPr>
          <w:ilvl w:val="0"/>
          <w:numId w:val="1"/>
        </w:numPr>
        <w:rPr>
          <w:lang w:val="de-DE"/>
        </w:rPr>
      </w:pPr>
      <w:r w:rsidRPr="0009445C">
        <w:rPr>
          <w:lang w:val="de-DE"/>
        </w:rPr>
        <w:t>Manufacturer’s declaration of conformity (Übereinstimmungserklärung des Herstellers [ÜH]),</w:t>
      </w:r>
    </w:p>
    <w:p w14:paraId="7C821AB3" w14:textId="77777777" w:rsidR="00787B77" w:rsidRPr="0009445C" w:rsidRDefault="00787B77" w:rsidP="00787B77">
      <w:pPr>
        <w:pStyle w:val="BRLAufzhlungAnstrich"/>
        <w:numPr>
          <w:ilvl w:val="0"/>
          <w:numId w:val="1"/>
        </w:numPr>
        <w:rPr>
          <w:lang w:val="de-DE"/>
        </w:rPr>
      </w:pPr>
      <w:r w:rsidRPr="0009445C">
        <w:rPr>
          <w:lang w:val="de-DE"/>
        </w:rPr>
        <w:t>Declaration of conformity of the manufacturer after prior examination of the construction product by a recognised testing body (Übereinstimmungserklärung des Herstellers nach vorheriger Prüfung des Bauprodukts durch eine anerkannte Prüfstelle [ÜHP (MDT)]), or</w:t>
      </w:r>
    </w:p>
    <w:p w14:paraId="26473C17" w14:textId="77777777" w:rsidR="00787B77" w:rsidRPr="0009445C" w:rsidRDefault="00787B77" w:rsidP="00787B77">
      <w:pPr>
        <w:pStyle w:val="BRLAufzhlungAnstrich"/>
        <w:numPr>
          <w:ilvl w:val="0"/>
          <w:numId w:val="1"/>
        </w:numPr>
      </w:pPr>
      <w:r w:rsidRPr="0009445C">
        <w:t>Conformity Mark Certificate by a recognised certification body (ÜZ).</w:t>
      </w:r>
    </w:p>
    <w:p w14:paraId="15D909F6" w14:textId="77777777" w:rsidR="00787B77" w:rsidRPr="0009445C" w:rsidRDefault="00787B77" w:rsidP="00787B77">
      <w:pPr>
        <w:pStyle w:val="BRL-Standard"/>
      </w:pPr>
    </w:p>
    <w:p w14:paraId="425FE068" w14:textId="77777777" w:rsidR="00787B77" w:rsidRPr="0009445C" w:rsidRDefault="00787B77" w:rsidP="00787B77">
      <w:pPr>
        <w:pStyle w:val="BRL-Standard"/>
      </w:pPr>
      <w:r w:rsidRPr="0009445C">
        <w:t>The regulations previously laid down in the Building Rules List A Part 1 are continued in Chapter C 2.</w:t>
      </w:r>
    </w:p>
    <w:p w14:paraId="7330DEE7" w14:textId="77777777" w:rsidR="00787B77" w:rsidRPr="0009445C" w:rsidRDefault="00787B77" w:rsidP="00787B77">
      <w:pPr>
        <w:pStyle w:val="BRL-Standard"/>
      </w:pPr>
    </w:p>
    <w:p w14:paraId="34E43E0D" w14:textId="77777777" w:rsidR="00787B77" w:rsidRPr="0009445C" w:rsidRDefault="00787B77" w:rsidP="00787B77">
      <w:pPr>
        <w:pStyle w:val="BRL-Standard"/>
      </w:pPr>
      <w:r w:rsidRPr="0009445C">
        <w:t>Where construction products that do not bear the CE mark under the Construction Products Regulation do not have technical approval and there are no generally accepted technical standards, or where the construction product deviates significantly from a Technical Building Regulation, general building inspection approval (§ 18 MBO</w:t>
      </w:r>
      <w:r w:rsidRPr="0009445C">
        <w:rPr>
          <w:vertAlign w:val="superscript"/>
        </w:rPr>
        <w:t>1</w:t>
      </w:r>
      <w:r w:rsidRPr="0009445C">
        <w:t>) or approval in individual cases (§ 20 MBO</w:t>
      </w:r>
      <w:r w:rsidRPr="0009445C">
        <w:rPr>
          <w:vertAlign w:val="superscript"/>
        </w:rPr>
        <w:t>1</w:t>
      </w:r>
      <w:r w:rsidRPr="0009445C">
        <w:t xml:space="preserve">) is required. </w:t>
      </w:r>
    </w:p>
    <w:p w14:paraId="332D558F" w14:textId="77777777" w:rsidR="00787B77" w:rsidRPr="0009445C" w:rsidRDefault="00787B77" w:rsidP="00787B77">
      <w:pPr>
        <w:pStyle w:val="BRL-Standard"/>
      </w:pPr>
    </w:p>
    <w:p w14:paraId="6D382ACF" w14:textId="77777777" w:rsidR="00787B77" w:rsidRPr="0009445C" w:rsidRDefault="00787B77" w:rsidP="00787B77">
      <w:pPr>
        <w:pStyle w:val="BRL-Standard"/>
      </w:pPr>
      <w:r w:rsidRPr="0009445C">
        <w:t>This does not include construction products listed in Chapter C 3 for which there are recognised test procedures in column 2 and those which require only a general building inspection test certificate instead of general building inspection approval (§ 19 MBO</w:t>
      </w:r>
      <w:r w:rsidRPr="0009445C">
        <w:rPr>
          <w:vertAlign w:val="superscript"/>
        </w:rPr>
        <w:t>1</w:t>
      </w:r>
      <w:r w:rsidRPr="0009445C">
        <w:t>). Pursuant to § 85a(2) No. 5 MBO</w:t>
      </w:r>
      <w:r w:rsidRPr="0009445C">
        <w:rPr>
          <w:vertAlign w:val="superscript"/>
        </w:rPr>
        <w:t>1</w:t>
      </w:r>
      <w:r w:rsidRPr="0009445C">
        <w:t xml:space="preserve">, column 4 sets out the requirements for issuing a manufacturer’s declaration of conformity in respect of the general building inspection test certificate. </w:t>
      </w:r>
    </w:p>
    <w:p w14:paraId="1ECF3B91" w14:textId="77777777" w:rsidR="00787B77" w:rsidRPr="0009445C" w:rsidRDefault="00787B77" w:rsidP="00787B77">
      <w:pPr>
        <w:pStyle w:val="BRL-Standard"/>
      </w:pPr>
    </w:p>
    <w:p w14:paraId="0F2CE09A" w14:textId="77777777" w:rsidR="00787B77" w:rsidRPr="0009445C" w:rsidRDefault="00787B77" w:rsidP="00787B77">
      <w:pPr>
        <w:pStyle w:val="BRL-Standard"/>
      </w:pPr>
      <w:r w:rsidRPr="0009445C">
        <w:t>The regulations previously laid down in the Building Rules List A Part 2 are continued in Chapter C 3.</w:t>
      </w:r>
    </w:p>
    <w:p w14:paraId="47B12CE4" w14:textId="77777777" w:rsidR="00787B77" w:rsidRPr="0009445C" w:rsidRDefault="00787B77" w:rsidP="00787B77">
      <w:pPr>
        <w:pStyle w:val="BRL-Standard"/>
      </w:pPr>
    </w:p>
    <w:p w14:paraId="73140276" w14:textId="77777777" w:rsidR="00787B77" w:rsidRPr="0009445C" w:rsidRDefault="00787B77" w:rsidP="00787B77">
      <w:pPr>
        <w:pStyle w:val="BRL-Standard"/>
      </w:pPr>
      <w:r w:rsidRPr="0009445C">
        <w:t>The required type of conformity for construction products is specified in Chapters C 2 and C 3.</w:t>
      </w:r>
    </w:p>
    <w:p w14:paraId="61AF6EB0" w14:textId="77777777" w:rsidR="00787B77" w:rsidRPr="0009445C" w:rsidRDefault="00787B77" w:rsidP="00787B77">
      <w:pPr>
        <w:pStyle w:val="BRL-Standard"/>
      </w:pPr>
    </w:p>
    <w:p w14:paraId="22363FAA" w14:textId="77777777" w:rsidR="00787B77" w:rsidRPr="0009445C" w:rsidRDefault="00787B77" w:rsidP="00787B77">
      <w:pPr>
        <w:pStyle w:val="BRL-Standard"/>
      </w:pPr>
      <w:r w:rsidRPr="0009445C">
        <w:t>The type of proof required under public law is decisive, even if the Technical Rule may stipulate otherwise. External monitoring provided for in a Technical Rule therefore need not be observed under public law if column 4 does not stipulate a certificate of conformity.</w:t>
      </w:r>
    </w:p>
    <w:p w14:paraId="16351B8D" w14:textId="77777777" w:rsidR="00787B77" w:rsidRPr="0009445C" w:rsidRDefault="00787B77" w:rsidP="00787B77">
      <w:pPr>
        <w:pStyle w:val="BRL-Standard"/>
      </w:pPr>
    </w:p>
    <w:p w14:paraId="0E6EABF2" w14:textId="77777777" w:rsidR="00787B77" w:rsidRPr="0009445C" w:rsidRDefault="00787B77" w:rsidP="00787B77">
      <w:pPr>
        <w:pStyle w:val="BRL-Standard"/>
      </w:pPr>
      <w:r w:rsidRPr="0009445C">
        <w:t xml:space="preserve">If tests on construction products, in particular suitability tests, initial tests or tests for obtaining test certificates or factory certificates, are provided for in the Technical Rules in accordance with Chapters C 2 and C 3, these tests must be carried out within the framework of the stipulated proof of conformity. </w:t>
      </w:r>
    </w:p>
    <w:p w14:paraId="46C70D79" w14:textId="77777777" w:rsidR="00787B77" w:rsidRPr="0009445C" w:rsidRDefault="00787B77" w:rsidP="00787B77">
      <w:pPr>
        <w:pStyle w:val="BRL-Standard"/>
        <w:sectPr w:rsidR="00787B77" w:rsidRPr="0009445C" w:rsidSect="004C2C77">
          <w:headerReference w:type="default" r:id="rId44"/>
          <w:footerReference w:type="default" r:id="rId45"/>
          <w:footnotePr>
            <w:numStart w:val="2"/>
          </w:footnotePr>
          <w:pgSz w:w="11906" w:h="16838" w:code="9"/>
          <w:pgMar w:top="1701" w:right="1418" w:bottom="737" w:left="1418" w:header="907" w:footer="454" w:gutter="0"/>
          <w:cols w:space="720"/>
          <w:docGrid w:linePitch="299"/>
        </w:sectPr>
      </w:pPr>
    </w:p>
    <w:p w14:paraId="5D5CBB63" w14:textId="59E35E35" w:rsidR="00787B77" w:rsidRPr="0009445C" w:rsidRDefault="00787B77" w:rsidP="00787B77">
      <w:pPr>
        <w:pStyle w:val="BRL-Standard"/>
      </w:pPr>
      <w:r w:rsidRPr="0009445C">
        <w:lastRenderedPageBreak/>
        <w:t>In-house quality control is the manufacturer’s continuous monitoring of production to ensure that the construction products it manufactures satisfy the provisions of the relevant Technical Rules. The quality control is carried out under DIN 18200:2021-04, Section 4.2. Moreover, the provisions contained in the technical rules governing the in-house quality control are decisive. Self-monitoring provisions apply as provisions for in-house quality control.</w:t>
      </w:r>
    </w:p>
    <w:p w14:paraId="498DBC66" w14:textId="77777777" w:rsidR="00787B77" w:rsidRPr="0009445C" w:rsidRDefault="00787B77" w:rsidP="00787B77">
      <w:pPr>
        <w:pStyle w:val="BRL-Standard"/>
      </w:pPr>
    </w:p>
    <w:p w14:paraId="5D81836C" w14:textId="1C909607" w:rsidR="00787B77" w:rsidRPr="0009445C" w:rsidRDefault="00787B77" w:rsidP="00787B77">
      <w:pPr>
        <w:pStyle w:val="BRL-Standard"/>
      </w:pPr>
      <w:r w:rsidRPr="0009445C">
        <w:t>If construction products are not manufactured in series by companies whose operators are listed in the Register of Craftsmen, the requirements for in-house quality control under DIN 18200:2021</w:t>
      </w:r>
      <w:r w:rsidRPr="0009445C">
        <w:noBreakHyphen/>
        <w:t>04, Section 4.2, are considered to be met if the handicraft regulations are observed.</w:t>
      </w:r>
    </w:p>
    <w:p w14:paraId="4C9BB56D" w14:textId="77777777" w:rsidR="00787B77" w:rsidRPr="0009445C" w:rsidRDefault="00787B77" w:rsidP="00787B77">
      <w:pPr>
        <w:pStyle w:val="BRL-Standard"/>
      </w:pPr>
    </w:p>
    <w:p w14:paraId="0C8C05B8" w14:textId="0F1650DE" w:rsidR="00787B77" w:rsidRPr="0009445C" w:rsidRDefault="00787B77" w:rsidP="00787B77">
      <w:pPr>
        <w:pStyle w:val="BRL-Standard"/>
      </w:pPr>
      <w:r w:rsidRPr="0009445C">
        <w:t>External monitoring is carried out in accordance with DIN 18200:2021-04, Sections 4.3 and 4.4 for system A. Otherwise, the provisions of the Technical Rules are decisive for external monitoring.</w:t>
      </w:r>
    </w:p>
    <w:p w14:paraId="72C425A1" w14:textId="77777777" w:rsidR="00787B77" w:rsidRPr="0009445C" w:rsidRDefault="00787B77" w:rsidP="00787B77">
      <w:pPr>
        <w:pStyle w:val="BRL-Standard"/>
      </w:pPr>
    </w:p>
    <w:p w14:paraId="69E47DC2" w14:textId="77777777" w:rsidR="00787B77" w:rsidRPr="0009445C" w:rsidRDefault="00787B77" w:rsidP="00787B77">
      <w:pPr>
        <w:pStyle w:val="BRL-Standard"/>
      </w:pPr>
      <w:r w:rsidRPr="0009445C">
        <w:t xml:space="preserve">Designs that deviate significantly from the Technical Building Regulations or for which there are no generally accepted technical standards in respect of planning, design and execution may only be used if there is general design approval or project-related design approval. </w:t>
      </w:r>
    </w:p>
    <w:p w14:paraId="7DB96772" w14:textId="77777777" w:rsidR="00787B77" w:rsidRPr="0009445C" w:rsidRDefault="00787B77" w:rsidP="00787B77">
      <w:pPr>
        <w:pStyle w:val="BRL-Standard"/>
      </w:pPr>
    </w:p>
    <w:p w14:paraId="4CC276CD" w14:textId="77777777" w:rsidR="00787B77" w:rsidRPr="0009445C" w:rsidRDefault="00787B77" w:rsidP="00787B77">
      <w:pPr>
        <w:pStyle w:val="BRL-Standard"/>
      </w:pPr>
      <w:r w:rsidRPr="0009445C">
        <w:t xml:space="preserve">This excludes the designs listed in Chapter C 4 for which approved test procedures (column 2) are available and which require only a general certificate of inspection instead of a general design approval. Users must confirm compliance of the design with the general building inspection test certificate in a declaration of conformity. </w:t>
      </w:r>
    </w:p>
    <w:p w14:paraId="5B547003" w14:textId="77777777" w:rsidR="00787B77" w:rsidRPr="0009445C" w:rsidRDefault="00787B77" w:rsidP="00787B77">
      <w:pPr>
        <w:pStyle w:val="BRL-Standard"/>
      </w:pPr>
    </w:p>
    <w:p w14:paraId="5159FF40" w14:textId="77777777" w:rsidR="00787B77" w:rsidRPr="0009445C" w:rsidRDefault="00787B77" w:rsidP="00787B77">
      <w:pPr>
        <w:pStyle w:val="BRL-Standard"/>
      </w:pPr>
      <w:r w:rsidRPr="0009445C">
        <w:t xml:space="preserve">The regulations previously laid down in the Building Rules List A Part 3 are continued in Chapter C 4. </w:t>
      </w:r>
    </w:p>
    <w:p w14:paraId="04A22421" w14:textId="77777777" w:rsidR="00787B77" w:rsidRPr="0009445C" w:rsidRDefault="00787B77" w:rsidP="00787B77">
      <w:pPr>
        <w:pStyle w:val="BRL-Standard"/>
      </w:pPr>
    </w:p>
    <w:p w14:paraId="5B50AC5A" w14:textId="77777777" w:rsidR="00787B77" w:rsidRPr="0009445C" w:rsidRDefault="00787B77" w:rsidP="00787B77">
      <w:pPr>
        <w:pStyle w:val="BRL-Standard"/>
      </w:pPr>
      <w:r w:rsidRPr="0009445C">
        <w:t>Under the principle of mutual recognition, a construction product that is not the subject matter of EU-wide harmonisation and has lawfully been placed on the market in another member state of the European Union, of the European Economic Area, in Turkey or Switzerland under their national technical provisions qualifies as equivalent to a construction product under and on the basis of the requirements set out in Building Code</w:t>
      </w:r>
      <w:r w:rsidRPr="0009445C">
        <w:rPr>
          <w:vertAlign w:val="superscript"/>
        </w:rPr>
        <w:t>1</w:t>
      </w:r>
      <w:r w:rsidRPr="0009445C">
        <w:t>, provided it is used as intended according to the other national technical provisions and meets the requirements applicable in Germany under and on the basis of the Building Code</w:t>
      </w:r>
      <w:r w:rsidRPr="0009445C">
        <w:rPr>
          <w:vertAlign w:val="superscript"/>
        </w:rPr>
        <w:t>1</w:t>
      </w:r>
      <w:r w:rsidRPr="0009445C">
        <w:t xml:space="preserve">. This includes requirements pertaining to the conformity assessment procedure and the conformity assessment bodies. </w:t>
      </w:r>
    </w:p>
    <w:p w14:paraId="40F0D289" w14:textId="77777777" w:rsidR="00787B77" w:rsidRPr="0009445C" w:rsidRDefault="00787B77" w:rsidP="00787B77">
      <w:pPr>
        <w:pStyle w:val="BRL-Standard"/>
      </w:pPr>
    </w:p>
    <w:p w14:paraId="71C9A370" w14:textId="77777777" w:rsidR="00787B77" w:rsidRPr="0009445C" w:rsidRDefault="00787B77" w:rsidP="00787B77">
      <w:pPr>
        <w:pStyle w:val="BRL-Standard"/>
        <w:sectPr w:rsidR="00787B77" w:rsidRPr="0009445C" w:rsidSect="004C2C77">
          <w:headerReference w:type="even" r:id="rId46"/>
          <w:headerReference w:type="default" r:id="rId47"/>
          <w:footerReference w:type="even" r:id="rId48"/>
          <w:footerReference w:type="default" r:id="rId49"/>
          <w:headerReference w:type="first" r:id="rId50"/>
          <w:footerReference w:type="first" r:id="rId51"/>
          <w:pgSz w:w="11906" w:h="16838" w:code="9"/>
          <w:pgMar w:top="1134" w:right="1418" w:bottom="1134" w:left="1418" w:header="709" w:footer="652" w:gutter="0"/>
          <w:cols w:space="720"/>
          <w:titlePg/>
        </w:sectPr>
      </w:pPr>
    </w:p>
    <w:p w14:paraId="5F8FFF70" w14:textId="77777777" w:rsidR="00787B77" w:rsidRPr="0009445C" w:rsidRDefault="00787B77" w:rsidP="00787B77">
      <w:pPr>
        <w:pStyle w:val="Heading1"/>
        <w:rPr>
          <w:vertAlign w:val="superscript"/>
        </w:rPr>
      </w:pPr>
      <w:bookmarkStart w:id="15" w:name="_C_2_Voraussetzungen"/>
      <w:bookmarkStart w:id="16" w:name="_Ref24538506"/>
      <w:bookmarkEnd w:id="15"/>
      <w:r w:rsidRPr="0009445C">
        <w:lastRenderedPageBreak/>
        <w:t>C 2</w:t>
      </w:r>
      <w:r w:rsidRPr="0009445C">
        <w:tab/>
        <w:t>Requirements for submitting a declaration of conformity for construction products pursuant to § 22 MBO</w:t>
      </w:r>
      <w:r w:rsidRPr="0009445C">
        <w:rPr>
          <w:vertAlign w:val="superscript"/>
        </w:rPr>
        <w:t>1</w:t>
      </w:r>
      <w:bookmarkEnd w:id="16"/>
    </w:p>
    <w:p w14:paraId="3247605A" w14:textId="77777777" w:rsidR="00787B77" w:rsidRPr="0009445C" w:rsidRDefault="00787B77" w:rsidP="00787B77">
      <w:pPr>
        <w:pStyle w:val="BRL-Standard"/>
      </w:pPr>
      <w:r w:rsidRPr="0009445C">
        <w:t>The following is stipulated in accordance with § 85a(2) No. 5 MBO</w:t>
      </w:r>
      <w:r w:rsidRPr="0009445C">
        <w:rPr>
          <w:vertAlign w:val="superscript"/>
        </w:rPr>
        <w:t>1</w:t>
      </w:r>
      <w:r w:rsidRPr="0009445C">
        <w:t>:</w:t>
      </w:r>
    </w:p>
    <w:p w14:paraId="77482F6A" w14:textId="77777777" w:rsidR="00787B77" w:rsidRPr="0009445C" w:rsidRDefault="00787B77" w:rsidP="00787B77">
      <w:pPr>
        <w:pStyle w:val="BRL-Standard"/>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3402"/>
        <w:gridCol w:w="3539"/>
        <w:gridCol w:w="1414"/>
      </w:tblGrid>
      <w:tr w:rsidR="00787B77" w:rsidRPr="0009445C" w14:paraId="52BA89ED" w14:textId="77777777" w:rsidTr="0009445C">
        <w:tc>
          <w:tcPr>
            <w:tcW w:w="1134" w:type="dxa"/>
            <w:tcBorders>
              <w:top w:val="single" w:sz="4" w:space="0" w:color="auto"/>
              <w:bottom w:val="single" w:sz="4" w:space="0" w:color="auto"/>
            </w:tcBorders>
            <w:shd w:val="clear" w:color="auto" w:fill="auto"/>
          </w:tcPr>
          <w:p w14:paraId="274FE3BB" w14:textId="77777777" w:rsidR="00787B77" w:rsidRPr="0009445C" w:rsidRDefault="00787B77" w:rsidP="004C2C77">
            <w:pPr>
              <w:pStyle w:val="BRL-Tabelle"/>
              <w:jc w:val="center"/>
            </w:pPr>
            <w:r w:rsidRPr="0009445C">
              <w:t>Ser. No</w:t>
            </w:r>
          </w:p>
        </w:tc>
        <w:tc>
          <w:tcPr>
            <w:tcW w:w="3402" w:type="dxa"/>
            <w:tcBorders>
              <w:top w:val="single" w:sz="4" w:space="0" w:color="auto"/>
              <w:bottom w:val="single" w:sz="4" w:space="0" w:color="auto"/>
            </w:tcBorders>
            <w:shd w:val="clear" w:color="auto" w:fill="auto"/>
          </w:tcPr>
          <w:p w14:paraId="3EE037E7" w14:textId="77777777" w:rsidR="00787B77" w:rsidRPr="0009445C" w:rsidRDefault="00787B77" w:rsidP="004C2C77">
            <w:pPr>
              <w:pStyle w:val="BRL-Tabelle"/>
              <w:jc w:val="center"/>
            </w:pPr>
            <w:r w:rsidRPr="0009445C">
              <w:t>Construction product</w:t>
            </w:r>
          </w:p>
        </w:tc>
        <w:tc>
          <w:tcPr>
            <w:tcW w:w="3539" w:type="dxa"/>
            <w:tcBorders>
              <w:top w:val="single" w:sz="4" w:space="0" w:color="auto"/>
              <w:bottom w:val="single" w:sz="4" w:space="0" w:color="auto"/>
            </w:tcBorders>
            <w:shd w:val="clear" w:color="auto" w:fill="auto"/>
          </w:tcPr>
          <w:p w14:paraId="3ACD70E2" w14:textId="77777777" w:rsidR="00787B77" w:rsidRPr="0009445C" w:rsidRDefault="00787B77" w:rsidP="004C2C77">
            <w:pPr>
              <w:pStyle w:val="BRL-Tabelle"/>
              <w:jc w:val="center"/>
            </w:pPr>
            <w:r w:rsidRPr="0009445C">
              <w:t>Technical rules/version</w:t>
            </w:r>
          </w:p>
        </w:tc>
        <w:tc>
          <w:tcPr>
            <w:tcW w:w="1413" w:type="dxa"/>
            <w:tcBorders>
              <w:top w:val="single" w:sz="4" w:space="0" w:color="auto"/>
              <w:bottom w:val="single" w:sz="4" w:space="0" w:color="auto"/>
            </w:tcBorders>
            <w:shd w:val="clear" w:color="auto" w:fill="auto"/>
          </w:tcPr>
          <w:p w14:paraId="76707161" w14:textId="77777777" w:rsidR="00787B77" w:rsidRPr="0009445C" w:rsidRDefault="00787B77" w:rsidP="004C2C77">
            <w:pPr>
              <w:pStyle w:val="BRL-Tabelle"/>
              <w:jc w:val="center"/>
            </w:pPr>
            <w:r w:rsidRPr="0009445C">
              <w:t>Declaration of conformity</w:t>
            </w:r>
          </w:p>
        </w:tc>
      </w:tr>
      <w:tr w:rsidR="00787B77" w:rsidRPr="0009445C" w14:paraId="31AC923E" w14:textId="77777777" w:rsidTr="0009445C">
        <w:tc>
          <w:tcPr>
            <w:tcW w:w="1134" w:type="dxa"/>
            <w:tcBorders>
              <w:bottom w:val="nil"/>
            </w:tcBorders>
            <w:shd w:val="clear" w:color="auto" w:fill="auto"/>
          </w:tcPr>
          <w:p w14:paraId="594A3452" w14:textId="77777777" w:rsidR="00787B77" w:rsidRPr="0009445C" w:rsidRDefault="00787B77" w:rsidP="004C2C77">
            <w:pPr>
              <w:pStyle w:val="BRL-Tabelle"/>
              <w:jc w:val="center"/>
            </w:pPr>
            <w:r w:rsidRPr="0009445C">
              <w:t>1</w:t>
            </w:r>
          </w:p>
        </w:tc>
        <w:tc>
          <w:tcPr>
            <w:tcW w:w="3402" w:type="dxa"/>
            <w:tcBorders>
              <w:bottom w:val="nil"/>
            </w:tcBorders>
            <w:shd w:val="clear" w:color="auto" w:fill="auto"/>
          </w:tcPr>
          <w:p w14:paraId="0EC604DC" w14:textId="77777777" w:rsidR="00787B77" w:rsidRPr="0009445C" w:rsidRDefault="00787B77" w:rsidP="004C2C77">
            <w:pPr>
              <w:pStyle w:val="BRL-Tabelle"/>
              <w:jc w:val="center"/>
            </w:pPr>
            <w:r w:rsidRPr="0009445C">
              <w:t>2</w:t>
            </w:r>
          </w:p>
        </w:tc>
        <w:tc>
          <w:tcPr>
            <w:tcW w:w="3539" w:type="dxa"/>
            <w:tcBorders>
              <w:bottom w:val="nil"/>
            </w:tcBorders>
            <w:shd w:val="clear" w:color="auto" w:fill="auto"/>
          </w:tcPr>
          <w:p w14:paraId="5DB521F2" w14:textId="77777777" w:rsidR="00787B77" w:rsidRPr="0009445C" w:rsidRDefault="00787B77" w:rsidP="004C2C77">
            <w:pPr>
              <w:pStyle w:val="BRL-Tabelle"/>
              <w:jc w:val="center"/>
            </w:pPr>
            <w:r w:rsidRPr="0009445C">
              <w:t>3</w:t>
            </w:r>
          </w:p>
        </w:tc>
        <w:tc>
          <w:tcPr>
            <w:tcW w:w="1413" w:type="dxa"/>
            <w:tcBorders>
              <w:bottom w:val="nil"/>
            </w:tcBorders>
            <w:shd w:val="clear" w:color="auto" w:fill="auto"/>
          </w:tcPr>
          <w:p w14:paraId="08E41955" w14:textId="77777777" w:rsidR="00787B77" w:rsidRPr="0009445C" w:rsidRDefault="00787B77" w:rsidP="004C2C77">
            <w:pPr>
              <w:pStyle w:val="BRL-Tabelle"/>
              <w:jc w:val="center"/>
            </w:pPr>
            <w:r w:rsidRPr="0009445C">
              <w:t>4</w:t>
            </w:r>
          </w:p>
        </w:tc>
      </w:tr>
      <w:tr w:rsidR="00787B77" w:rsidRPr="0009445C" w14:paraId="11F19585"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44732F7D" w14:textId="77777777" w:rsidR="00787B77" w:rsidRPr="0009445C" w:rsidRDefault="00787B77" w:rsidP="004C2C77">
            <w:pPr>
              <w:pStyle w:val="BRL-Tabelle-berschrift"/>
            </w:pPr>
            <w:r w:rsidRPr="0009445C">
              <w:t>C 2.1</w:t>
            </w:r>
            <w:r w:rsidRPr="0009445C">
              <w:tab/>
              <w:t>Construction products for concrete, reinforced concrete and prestressed concrete construction</w:t>
            </w:r>
          </w:p>
        </w:tc>
      </w:tr>
      <w:tr w:rsidR="00787B77" w:rsidRPr="0009445C" w14:paraId="6CC57E75"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7C01D140" w14:textId="77777777" w:rsidR="00787B77" w:rsidRPr="0009445C" w:rsidRDefault="00787B77" w:rsidP="004C2C77">
            <w:pPr>
              <w:pStyle w:val="BRL-Tabelle-berschrift"/>
            </w:pPr>
            <w:r w:rsidRPr="0009445C">
              <w:t>C 2.1.1</w:t>
            </w:r>
            <w:r w:rsidRPr="0009445C">
              <w:tab/>
              <w:t>Binders</w:t>
            </w:r>
          </w:p>
        </w:tc>
      </w:tr>
      <w:tr w:rsidR="00787B77" w:rsidRPr="0009445C" w14:paraId="5D3C8772"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6F91323B" w14:textId="77777777" w:rsidR="00787B77" w:rsidRPr="0009445C" w:rsidRDefault="00787B77" w:rsidP="004C2C77">
            <w:pPr>
              <w:pStyle w:val="BRL-Tabelle"/>
              <w:widowControl w:val="0"/>
            </w:pPr>
            <w:r w:rsidRPr="0009445C">
              <w:t>C 2.1.1.3</w:t>
            </w:r>
          </w:p>
        </w:tc>
        <w:tc>
          <w:tcPr>
            <w:tcW w:w="3402" w:type="dxa"/>
            <w:shd w:val="clear" w:color="auto" w:fill="auto"/>
          </w:tcPr>
          <w:p w14:paraId="3040F8A5" w14:textId="77777777" w:rsidR="00787B77" w:rsidRPr="0009445C" w:rsidRDefault="00787B77" w:rsidP="004C2C77">
            <w:pPr>
              <w:pStyle w:val="BRL-Tabelle"/>
              <w:widowControl w:val="0"/>
            </w:pPr>
            <w:r w:rsidRPr="0009445C">
              <w:t>Portland-composite cement CEM II/C-M and Composite cement CEM VI</w:t>
            </w:r>
          </w:p>
        </w:tc>
        <w:tc>
          <w:tcPr>
            <w:tcW w:w="3539" w:type="dxa"/>
            <w:shd w:val="clear" w:color="auto" w:fill="auto"/>
          </w:tcPr>
          <w:p w14:paraId="478FAB7B" w14:textId="77777777" w:rsidR="00787B77" w:rsidRPr="0009445C" w:rsidRDefault="00787B77" w:rsidP="004C2C77">
            <w:pPr>
              <w:pStyle w:val="BRL-Tabelle"/>
              <w:widowControl w:val="0"/>
            </w:pPr>
            <w:r w:rsidRPr="0009445C">
              <w:t>DIN EN 197-5:2021-07</w:t>
            </w:r>
          </w:p>
          <w:p w14:paraId="6DB269D8" w14:textId="77777777" w:rsidR="00787B77" w:rsidRPr="0009445C" w:rsidRDefault="00787B77" w:rsidP="004C2C77">
            <w:pPr>
              <w:pStyle w:val="BRL-Tabelle"/>
              <w:widowControl w:val="0"/>
            </w:pPr>
            <w:r w:rsidRPr="0009445C">
              <w:t>Also applicable:</w:t>
            </w:r>
          </w:p>
          <w:p w14:paraId="70936D57" w14:textId="77777777" w:rsidR="00787B77" w:rsidRPr="0009445C" w:rsidRDefault="00787B77" w:rsidP="004C2C77">
            <w:pPr>
              <w:pStyle w:val="BRL-Tabelle"/>
              <w:widowControl w:val="0"/>
            </w:pPr>
            <w:r w:rsidRPr="0009445C">
              <w:t>Annex C 2.1.8</w:t>
            </w:r>
          </w:p>
        </w:tc>
        <w:tc>
          <w:tcPr>
            <w:tcW w:w="1413" w:type="dxa"/>
            <w:shd w:val="clear" w:color="auto" w:fill="auto"/>
          </w:tcPr>
          <w:p w14:paraId="62D695C5" w14:textId="77777777" w:rsidR="00787B77" w:rsidRPr="0009445C" w:rsidRDefault="00787B77" w:rsidP="004C2C77">
            <w:pPr>
              <w:pStyle w:val="BRL-Tabelle"/>
              <w:widowControl w:val="0"/>
              <w:jc w:val="center"/>
            </w:pPr>
            <w:r w:rsidRPr="0009445C">
              <w:t>Mark of conformity [ÜZ]</w:t>
            </w:r>
          </w:p>
        </w:tc>
      </w:tr>
      <w:tr w:rsidR="00787B77" w:rsidRPr="0009445C" w14:paraId="08950842"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76251B4B" w14:textId="77777777" w:rsidR="00787B77" w:rsidRPr="0009445C" w:rsidRDefault="00787B77" w:rsidP="00C80C23">
            <w:pPr>
              <w:pStyle w:val="BRL-Tabelle-berschrift"/>
              <w:widowControl w:val="0"/>
            </w:pPr>
            <w:r w:rsidRPr="0009445C">
              <w:t>C 2.1.4</w:t>
            </w:r>
            <w:r w:rsidRPr="0009445C">
              <w:tab/>
              <w:t>Concrete</w:t>
            </w:r>
          </w:p>
        </w:tc>
      </w:tr>
      <w:tr w:rsidR="00C80C23" w:rsidRPr="0009445C" w14:paraId="24BAA1AB"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586A70C4" w14:textId="77777777" w:rsidR="00C80C23" w:rsidRPr="0009445C" w:rsidRDefault="00C80C23" w:rsidP="00C80C23">
            <w:pPr>
              <w:pStyle w:val="BRL-Tabelle"/>
              <w:keepNext/>
              <w:widowControl w:val="0"/>
            </w:pPr>
            <w:r w:rsidRPr="0009445C">
              <w:t>C 2.1.4.3</w:t>
            </w:r>
          </w:p>
        </w:tc>
        <w:tc>
          <w:tcPr>
            <w:tcW w:w="3402" w:type="dxa"/>
            <w:shd w:val="clear" w:color="auto" w:fill="auto"/>
          </w:tcPr>
          <w:p w14:paraId="0674F02A" w14:textId="77777777" w:rsidR="00C80C23" w:rsidRPr="0009445C" w:rsidRDefault="00C80C23" w:rsidP="00C80C23">
            <w:pPr>
              <w:pStyle w:val="BRL-Tabelle"/>
              <w:keepNext/>
              <w:widowControl w:val="0"/>
            </w:pPr>
            <w:r w:rsidRPr="0009445C">
              <w:t>Concrete by properties, concrete by composition</w:t>
            </w:r>
          </w:p>
        </w:tc>
        <w:tc>
          <w:tcPr>
            <w:tcW w:w="3539" w:type="dxa"/>
            <w:shd w:val="clear" w:color="auto" w:fill="auto"/>
          </w:tcPr>
          <w:p w14:paraId="4F2E3062" w14:textId="77777777" w:rsidR="00C80C23" w:rsidRPr="0009445C" w:rsidRDefault="00C80C23" w:rsidP="00C80C23">
            <w:pPr>
              <w:pStyle w:val="BRL-Tabelle"/>
              <w:keepNext/>
              <w:widowControl w:val="0"/>
              <w:rPr>
                <w:lang w:val="de-DE"/>
              </w:rPr>
            </w:pPr>
            <w:r w:rsidRPr="0009445C">
              <w:rPr>
                <w:lang w:val="de-DE"/>
              </w:rPr>
              <w:t>DIN EN 206-1:2001-07,</w:t>
            </w:r>
          </w:p>
          <w:p w14:paraId="3A02F120" w14:textId="77777777" w:rsidR="00C80C23" w:rsidRPr="0009445C" w:rsidRDefault="00C80C23" w:rsidP="00C80C23">
            <w:pPr>
              <w:pStyle w:val="BRL-Tabelle"/>
              <w:keepNext/>
              <w:widowControl w:val="0"/>
              <w:rPr>
                <w:lang w:val="de-DE"/>
              </w:rPr>
            </w:pPr>
            <w:r w:rsidRPr="0009445C">
              <w:rPr>
                <w:lang w:val="de-DE"/>
              </w:rPr>
              <w:t>DIN EN 206-1/A1:2004-10,</w:t>
            </w:r>
          </w:p>
          <w:p w14:paraId="1DE92415" w14:textId="77777777" w:rsidR="00C80C23" w:rsidRPr="0009445C" w:rsidRDefault="00C80C23" w:rsidP="00C80C23">
            <w:pPr>
              <w:pStyle w:val="BRL-Tabelle"/>
              <w:keepNext/>
              <w:widowControl w:val="0"/>
              <w:rPr>
                <w:lang w:val="de-DE"/>
              </w:rPr>
            </w:pPr>
            <w:r w:rsidRPr="0009445C">
              <w:rPr>
                <w:lang w:val="de-DE"/>
              </w:rPr>
              <w:t>DIN EN 206-1/A2:2005-09,</w:t>
            </w:r>
          </w:p>
          <w:p w14:paraId="1419E9BC" w14:textId="77777777" w:rsidR="00C80C23" w:rsidRPr="0009445C" w:rsidRDefault="00C80C23" w:rsidP="00C80C23">
            <w:pPr>
              <w:pStyle w:val="BRL-Tabelle"/>
              <w:keepNext/>
              <w:widowControl w:val="0"/>
              <w:rPr>
                <w:lang w:val="de-DE"/>
              </w:rPr>
            </w:pPr>
            <w:r w:rsidRPr="0009445C">
              <w:rPr>
                <w:lang w:val="de-DE"/>
              </w:rPr>
              <w:t>DIN EN 206-9:2010-09 and</w:t>
            </w:r>
          </w:p>
          <w:p w14:paraId="41289C4D" w14:textId="77777777" w:rsidR="00C80C23" w:rsidRPr="0009445C" w:rsidRDefault="00C80C23" w:rsidP="00C80C23">
            <w:pPr>
              <w:pStyle w:val="BRL-Tabelle"/>
              <w:keepNext/>
              <w:widowControl w:val="0"/>
            </w:pPr>
            <w:r w:rsidRPr="0009445C">
              <w:t>DIN 1045-2:2008-08</w:t>
            </w:r>
          </w:p>
          <w:p w14:paraId="4E0108FE" w14:textId="77777777" w:rsidR="00C80C23" w:rsidRPr="0009445C" w:rsidRDefault="00C80C23" w:rsidP="00C80C23">
            <w:pPr>
              <w:pStyle w:val="BRL-Tabelle"/>
              <w:keepNext/>
              <w:widowControl w:val="0"/>
            </w:pPr>
            <w:r w:rsidRPr="0009445C">
              <w:t xml:space="preserve">Also applicable: </w:t>
            </w:r>
          </w:p>
          <w:p w14:paraId="18C2DC01" w14:textId="77777777" w:rsidR="00C80C23" w:rsidRPr="0009445C" w:rsidRDefault="00C80C23" w:rsidP="00C80C23">
            <w:pPr>
              <w:pStyle w:val="BRL-Tabelle"/>
              <w:keepNext/>
              <w:widowControl w:val="0"/>
            </w:pPr>
            <w:r w:rsidRPr="0009445C">
              <w:t>DIN 1045-3:2012-03,</w:t>
            </w:r>
          </w:p>
          <w:p w14:paraId="067EE324" w14:textId="77777777" w:rsidR="00C80C23" w:rsidRPr="0009445C" w:rsidRDefault="00C80C23" w:rsidP="00C80C23">
            <w:pPr>
              <w:pStyle w:val="BRL-Tabelle"/>
              <w:keepNext/>
              <w:widowControl w:val="0"/>
            </w:pPr>
            <w:r w:rsidRPr="0009445C">
              <w:t>DIN EN 1008:2002-10 and</w:t>
            </w:r>
          </w:p>
          <w:p w14:paraId="4CDC8836" w14:textId="77777777" w:rsidR="00C80C23" w:rsidRPr="0009445C" w:rsidRDefault="00C80C23" w:rsidP="00C80C23">
            <w:pPr>
              <w:pStyle w:val="BRL-Tabelle"/>
              <w:keepNext/>
              <w:widowControl w:val="0"/>
            </w:pPr>
            <w:proofErr w:type="spellStart"/>
            <w:r w:rsidRPr="0009445C">
              <w:t>DAfStb</w:t>
            </w:r>
            <w:proofErr w:type="spellEnd"/>
            <w:r w:rsidRPr="0009445C">
              <w:t xml:space="preserve"> Guideline – Requirements for source materials for the production of concrete as per DIN EN 206-1 in conjunction with DIN 1045-2 (08-2019)</w:t>
            </w:r>
          </w:p>
          <w:p w14:paraId="436258EF" w14:textId="77777777" w:rsidR="00C80C23" w:rsidRPr="0009445C" w:rsidRDefault="00C80C23" w:rsidP="00C80C23">
            <w:pPr>
              <w:pStyle w:val="BRL-Tabelle"/>
              <w:keepNext/>
              <w:widowControl w:val="0"/>
            </w:pPr>
            <w:r w:rsidRPr="0009445C">
              <w:t xml:space="preserve">Annexes C 2.1.2 and C 2.1.3 </w:t>
            </w:r>
          </w:p>
          <w:p w14:paraId="2EFA9015" w14:textId="77777777" w:rsidR="00C80C23" w:rsidRPr="0009445C" w:rsidRDefault="00C80C23" w:rsidP="00C80C23">
            <w:pPr>
              <w:pStyle w:val="BRL-Tabelle"/>
              <w:keepNext/>
              <w:widowControl w:val="0"/>
            </w:pPr>
            <w:r w:rsidRPr="0009445C">
              <w:t>Also applicable, depending on construction product:</w:t>
            </w:r>
          </w:p>
          <w:p w14:paraId="5D764580" w14:textId="77777777" w:rsidR="00C80C23" w:rsidRPr="0009445C" w:rsidRDefault="00C80C23" w:rsidP="00C80C23">
            <w:pPr>
              <w:pStyle w:val="BRL-Tabelle"/>
              <w:keepNext/>
              <w:widowControl w:val="0"/>
            </w:pPr>
            <w:proofErr w:type="spellStart"/>
            <w:r w:rsidRPr="0009445C">
              <w:t>DAfStb</w:t>
            </w:r>
            <w:proofErr w:type="spellEnd"/>
            <w:r w:rsidRPr="0009445C">
              <w:t xml:space="preserve"> Guideline for concrete with extended processing time (slow-setting concrete) (2006</w:t>
            </w:r>
            <w:r w:rsidRPr="0009445C">
              <w:noBreakHyphen/>
              <w:t>11),</w:t>
            </w:r>
          </w:p>
          <w:p w14:paraId="1D553178" w14:textId="77777777" w:rsidR="00C80C23" w:rsidRPr="0009445C" w:rsidRDefault="00C80C23" w:rsidP="00C80C23">
            <w:pPr>
              <w:pStyle w:val="BRL-Tabelle"/>
              <w:keepNext/>
              <w:widowControl w:val="0"/>
            </w:pPr>
            <w:proofErr w:type="spellStart"/>
            <w:r w:rsidRPr="0009445C">
              <w:t>DafStb</w:t>
            </w:r>
            <w:proofErr w:type="spellEnd"/>
            <w:r w:rsidRPr="0009445C">
              <w:t> Guideline on precautions against harmful alkali reactions in concrete (Alkali-</w:t>
            </w:r>
            <w:proofErr w:type="spellStart"/>
            <w:r w:rsidRPr="0009445C">
              <w:t>Richtlinie</w:t>
            </w:r>
            <w:proofErr w:type="spellEnd"/>
            <w:r w:rsidRPr="0009445C">
              <w:t xml:space="preserve"> [Alkali Guideline]) – </w:t>
            </w:r>
            <w:proofErr w:type="spellStart"/>
            <w:r w:rsidRPr="0009445C">
              <w:t>AlkR</w:t>
            </w:r>
            <w:proofErr w:type="spellEnd"/>
            <w:r w:rsidRPr="0009445C">
              <w:t>- (2013-10),</w:t>
            </w:r>
          </w:p>
          <w:p w14:paraId="685786A2" w14:textId="77777777" w:rsidR="00C80C23" w:rsidRPr="0009445C" w:rsidRDefault="00C80C23" w:rsidP="00C80C23">
            <w:pPr>
              <w:pStyle w:val="BRL-Tabelle"/>
              <w:keepNext/>
              <w:widowControl w:val="0"/>
            </w:pPr>
            <w:proofErr w:type="spellStart"/>
            <w:r w:rsidRPr="0009445C">
              <w:t>DAfStb</w:t>
            </w:r>
            <w:proofErr w:type="spellEnd"/>
            <w:r w:rsidRPr="0009445C">
              <w:t xml:space="preserve"> Guideline on concrete in accordance with DIN EN 206-1 and DIN 1045-2 with recycled aggregates in accordance with DIN EN 12620; Part 1 – </w:t>
            </w:r>
            <w:proofErr w:type="spellStart"/>
            <w:r w:rsidRPr="0009445C">
              <w:t>RBrezG</w:t>
            </w:r>
            <w:proofErr w:type="spellEnd"/>
            <w:r w:rsidRPr="0009445C">
              <w:t>/1 – (2010</w:t>
            </w:r>
            <w:r w:rsidRPr="0009445C">
              <w:noBreakHyphen/>
              <w:t>09) incl. correction 1 (2019</w:t>
            </w:r>
            <w:r w:rsidRPr="0009445C">
              <w:noBreakHyphen/>
              <w:t>09),</w:t>
            </w:r>
          </w:p>
          <w:p w14:paraId="00D4DDFB" w14:textId="77777777" w:rsidR="00C80C23" w:rsidRPr="0009445C" w:rsidRDefault="00C80C23" w:rsidP="00C80C23">
            <w:pPr>
              <w:pStyle w:val="BRL-Tabelle"/>
              <w:keepNext/>
              <w:widowControl w:val="0"/>
            </w:pPr>
            <w:proofErr w:type="spellStart"/>
            <w:r w:rsidRPr="0009445C">
              <w:t>DAfStb</w:t>
            </w:r>
            <w:proofErr w:type="spellEnd"/>
            <w:r w:rsidRPr="0009445C">
              <w:t xml:space="preserve"> Guideline on the manufacture and use of dry concrete and dry mortar (Dry Concrete Guideline) – </w:t>
            </w:r>
            <w:proofErr w:type="spellStart"/>
            <w:r w:rsidRPr="0009445C">
              <w:t>TrBMR</w:t>
            </w:r>
            <w:proofErr w:type="spellEnd"/>
            <w:r w:rsidRPr="0009445C">
              <w:t xml:space="preserve"> – (2005</w:t>
            </w:r>
            <w:r w:rsidRPr="0009445C">
              <w:noBreakHyphen/>
              <w:t>06),</w:t>
            </w:r>
          </w:p>
          <w:p w14:paraId="01549398" w14:textId="77777777" w:rsidR="00C80C23" w:rsidRPr="0009445C" w:rsidRDefault="00C80C23" w:rsidP="00C80C23">
            <w:pPr>
              <w:pStyle w:val="BRL-Tabelle"/>
              <w:keepNext/>
              <w:widowControl w:val="0"/>
            </w:pPr>
            <w:proofErr w:type="spellStart"/>
            <w:r w:rsidRPr="0009445C">
              <w:t>DAfStb</w:t>
            </w:r>
            <w:proofErr w:type="spellEnd"/>
            <w:r w:rsidRPr="0009445C">
              <w:t xml:space="preserve"> Guideline on self-compacting concrete – SVBR – (2012</w:t>
            </w:r>
            <w:r w:rsidRPr="0009445C">
              <w:noBreakHyphen/>
              <w:t xml:space="preserve">09), </w:t>
            </w:r>
          </w:p>
          <w:p w14:paraId="24AEE48C" w14:textId="77777777" w:rsidR="00C80C23" w:rsidRPr="0009445C" w:rsidRDefault="00C80C23" w:rsidP="00C80C23">
            <w:pPr>
              <w:pStyle w:val="BRL-Tabelle"/>
              <w:keepNext/>
              <w:widowControl w:val="0"/>
            </w:pPr>
            <w:proofErr w:type="spellStart"/>
            <w:r w:rsidRPr="0009445C">
              <w:t>DAfStb</w:t>
            </w:r>
            <w:proofErr w:type="spellEnd"/>
            <w:r w:rsidRPr="0009445C">
              <w:t xml:space="preserve"> Guideline on solid concrete structural elements (2010</w:t>
            </w:r>
            <w:r w:rsidRPr="0009445C">
              <w:noBreakHyphen/>
              <w:t xml:space="preserve">04) and </w:t>
            </w:r>
          </w:p>
          <w:p w14:paraId="648281EB" w14:textId="66291263" w:rsidR="00C80C23" w:rsidRPr="0009445C" w:rsidRDefault="00C80C23" w:rsidP="00C80C23">
            <w:pPr>
              <w:pStyle w:val="BRL-Tabelle"/>
              <w:keepNext/>
              <w:widowControl w:val="0"/>
            </w:pPr>
            <w:proofErr w:type="spellStart"/>
            <w:r w:rsidRPr="0009445C">
              <w:t>DAfStb</w:t>
            </w:r>
            <w:proofErr w:type="spellEnd"/>
            <w:r w:rsidRPr="0009445C">
              <w:t xml:space="preserve"> Guideline for Steel Fibre Reinforced Concrete (</w:t>
            </w:r>
            <w:proofErr w:type="spellStart"/>
            <w:r w:rsidRPr="0009445C">
              <w:t>DAfStb-Richtlinie</w:t>
            </w:r>
            <w:proofErr w:type="spellEnd"/>
            <w:r w:rsidRPr="0009445C">
              <w:t xml:space="preserve"> </w:t>
            </w:r>
            <w:proofErr w:type="spellStart"/>
            <w:r w:rsidRPr="0009445C">
              <w:t>Stahlfaserbeton</w:t>
            </w:r>
            <w:proofErr w:type="spellEnd"/>
            <w:r w:rsidRPr="0009445C">
              <w:t>) (2021-06), Part 2</w:t>
            </w:r>
          </w:p>
        </w:tc>
        <w:tc>
          <w:tcPr>
            <w:tcW w:w="1413" w:type="dxa"/>
            <w:shd w:val="clear" w:color="auto" w:fill="auto"/>
          </w:tcPr>
          <w:p w14:paraId="7DBF089E" w14:textId="77777777" w:rsidR="00C80C23" w:rsidRPr="0009445C" w:rsidRDefault="00C80C23" w:rsidP="00C80C23">
            <w:pPr>
              <w:pStyle w:val="BRL-Tabelle"/>
              <w:keepNext/>
              <w:widowControl w:val="0"/>
              <w:jc w:val="center"/>
            </w:pPr>
            <w:r w:rsidRPr="0009445C">
              <w:t>Mark of conformity [ÜZ]</w:t>
            </w:r>
          </w:p>
        </w:tc>
      </w:tr>
      <w:tr w:rsidR="00C80C23" w:rsidRPr="0009445C" w14:paraId="66F54D2F"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26D8D1CC" w14:textId="77777777" w:rsidR="00C80C23" w:rsidRPr="0009445C" w:rsidRDefault="00C80C23" w:rsidP="004C2C77">
            <w:pPr>
              <w:pStyle w:val="BRL-Tabelle-berschrift"/>
            </w:pPr>
            <w:r w:rsidRPr="0009445C">
              <w:t>C 2.1.5</w:t>
            </w:r>
            <w:r w:rsidRPr="0009445C">
              <w:tab/>
              <w:t>Prefabricated structural elements made of concrete and reinforced concrete, structural glass and bricks</w:t>
            </w:r>
          </w:p>
        </w:tc>
      </w:tr>
      <w:tr w:rsidR="00C80C23" w:rsidRPr="0009445C" w14:paraId="63C4436E"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6B9EE840" w14:textId="77777777" w:rsidR="00C80C23" w:rsidRPr="0009445C" w:rsidRDefault="00C80C23" w:rsidP="00C80C23">
            <w:pPr>
              <w:pStyle w:val="BRL-Tabelle"/>
              <w:widowControl w:val="0"/>
            </w:pPr>
            <w:r w:rsidRPr="0009445C">
              <w:t>C 2.1.5.6</w:t>
            </w:r>
          </w:p>
        </w:tc>
        <w:tc>
          <w:tcPr>
            <w:tcW w:w="3402" w:type="dxa"/>
            <w:shd w:val="clear" w:color="auto" w:fill="auto"/>
          </w:tcPr>
          <w:p w14:paraId="4A40D9D5" w14:textId="77777777" w:rsidR="00C80C23" w:rsidRPr="0009445C" w:rsidRDefault="00C80C23" w:rsidP="00C80C23">
            <w:pPr>
              <w:pStyle w:val="BRL-Tabelle"/>
              <w:widowControl w:val="0"/>
            </w:pPr>
            <w:r w:rsidRPr="0009445C">
              <w:t>Steel-fibre reinforced concrete load-bearing prefabricated construction units</w:t>
            </w:r>
          </w:p>
        </w:tc>
        <w:tc>
          <w:tcPr>
            <w:tcW w:w="3539" w:type="dxa"/>
            <w:shd w:val="clear" w:color="auto" w:fill="auto"/>
          </w:tcPr>
          <w:p w14:paraId="34F1A083" w14:textId="50B35394" w:rsidR="00C80C23" w:rsidRPr="0009445C" w:rsidRDefault="00C80C23" w:rsidP="00C80C23">
            <w:pPr>
              <w:pStyle w:val="BRL-Tabelle"/>
              <w:widowControl w:val="0"/>
            </w:pPr>
            <w:proofErr w:type="spellStart"/>
            <w:r w:rsidRPr="0009445C">
              <w:t>DAfStb</w:t>
            </w:r>
            <w:proofErr w:type="spellEnd"/>
            <w:r w:rsidRPr="0009445C">
              <w:t xml:space="preserve"> Guideline for Steel Fibre Reinforced Concrete (</w:t>
            </w:r>
            <w:proofErr w:type="spellStart"/>
            <w:r w:rsidRPr="0009445C">
              <w:t>DAfStb-Richtlinie</w:t>
            </w:r>
            <w:proofErr w:type="spellEnd"/>
            <w:r w:rsidRPr="0009445C">
              <w:t xml:space="preserve"> </w:t>
            </w:r>
            <w:proofErr w:type="spellStart"/>
            <w:r w:rsidRPr="0009445C">
              <w:t>Stahlfaserbeton</w:t>
            </w:r>
            <w:proofErr w:type="spellEnd"/>
            <w:r w:rsidRPr="0009445C">
              <w:t>) (2021-06),</w:t>
            </w:r>
          </w:p>
          <w:p w14:paraId="34A79D27" w14:textId="77777777" w:rsidR="00C80C23" w:rsidRPr="0009445C" w:rsidRDefault="00C80C23" w:rsidP="00C80C23">
            <w:pPr>
              <w:pStyle w:val="BRL-Tabelle"/>
              <w:widowControl w:val="0"/>
            </w:pPr>
            <w:r w:rsidRPr="0009445C">
              <w:t>DIN 1045-4:2012-02</w:t>
            </w:r>
          </w:p>
          <w:p w14:paraId="1D44B9A9" w14:textId="77777777" w:rsidR="00C80C23" w:rsidRPr="0009445C" w:rsidRDefault="00C80C23" w:rsidP="00C80C23">
            <w:pPr>
              <w:pStyle w:val="BRL-Tabelle"/>
              <w:widowControl w:val="0"/>
            </w:pPr>
            <w:r w:rsidRPr="0009445C">
              <w:t>Also applicable:</w:t>
            </w:r>
          </w:p>
          <w:p w14:paraId="70934FB9" w14:textId="77777777" w:rsidR="00C80C23" w:rsidRPr="0009445C" w:rsidRDefault="00C80C23" w:rsidP="00C80C23">
            <w:pPr>
              <w:pStyle w:val="BRL-Tabelle"/>
              <w:widowControl w:val="0"/>
            </w:pPr>
            <w:r w:rsidRPr="0009445C">
              <w:t>Annex C 2.1.7</w:t>
            </w:r>
          </w:p>
        </w:tc>
        <w:tc>
          <w:tcPr>
            <w:tcW w:w="1413" w:type="dxa"/>
            <w:shd w:val="clear" w:color="auto" w:fill="auto"/>
          </w:tcPr>
          <w:p w14:paraId="5E666969" w14:textId="77777777" w:rsidR="00C80C23" w:rsidRPr="0009445C" w:rsidRDefault="00C80C23" w:rsidP="00C80C23">
            <w:pPr>
              <w:pStyle w:val="BRL-Tabelle"/>
              <w:widowControl w:val="0"/>
              <w:jc w:val="center"/>
            </w:pPr>
            <w:r w:rsidRPr="0009445C">
              <w:t>Mark of conformity [ÜZ]</w:t>
            </w:r>
          </w:p>
          <w:p w14:paraId="19E6CF11" w14:textId="77777777" w:rsidR="00C80C23" w:rsidRPr="0009445C" w:rsidRDefault="00C80C23" w:rsidP="00C80C23">
            <w:pPr>
              <w:pStyle w:val="BRL-Tabelle"/>
              <w:widowControl w:val="0"/>
              <w:jc w:val="center"/>
            </w:pPr>
            <w:r w:rsidRPr="0009445C">
              <w:t>also applies to non-series</w:t>
            </w:r>
          </w:p>
          <w:p w14:paraId="46A2848F" w14:textId="77777777" w:rsidR="00C80C23" w:rsidRPr="0009445C" w:rsidRDefault="00C80C23" w:rsidP="00C80C23">
            <w:pPr>
              <w:pStyle w:val="BRL-Tabelle"/>
              <w:widowControl w:val="0"/>
              <w:jc w:val="center"/>
            </w:pPr>
            <w:r w:rsidRPr="0009445C">
              <w:t>production</w:t>
            </w:r>
          </w:p>
        </w:tc>
      </w:tr>
      <w:tr w:rsidR="00C80C23" w:rsidRPr="0009445C" w14:paraId="08CFD154"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7B5BB8DC" w14:textId="77777777" w:rsidR="00C80C23" w:rsidRPr="0009445C" w:rsidRDefault="00C80C23" w:rsidP="0038653D">
            <w:pPr>
              <w:pStyle w:val="BRL-Tabelle-berschrift"/>
              <w:pageBreakBefore/>
              <w:widowControl w:val="0"/>
            </w:pPr>
            <w:r w:rsidRPr="0009445C">
              <w:lastRenderedPageBreak/>
              <w:t>C 2.2</w:t>
            </w:r>
            <w:r w:rsidRPr="0009445C">
              <w:tab/>
              <w:t>Construction products for masonry construction</w:t>
            </w:r>
          </w:p>
        </w:tc>
      </w:tr>
      <w:tr w:rsidR="00C80C23" w:rsidRPr="0009445C" w14:paraId="69D10AA3"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279E2B4E" w14:textId="77777777" w:rsidR="00C80C23" w:rsidRPr="0009445C" w:rsidRDefault="00C80C23" w:rsidP="00C80C23">
            <w:pPr>
              <w:pStyle w:val="BRL-Tabelle"/>
              <w:widowControl w:val="0"/>
            </w:pPr>
            <w:r w:rsidRPr="0009445C">
              <w:t>C 2.2.3</w:t>
            </w:r>
          </w:p>
        </w:tc>
        <w:tc>
          <w:tcPr>
            <w:tcW w:w="3402" w:type="dxa"/>
            <w:shd w:val="clear" w:color="auto" w:fill="auto"/>
          </w:tcPr>
          <w:p w14:paraId="79F0141E" w14:textId="77777777" w:rsidR="00C80C23" w:rsidRPr="0009445C" w:rsidRDefault="00C80C23" w:rsidP="00C80C23">
            <w:pPr>
              <w:pStyle w:val="BRL-Tabelle"/>
              <w:widowControl w:val="0"/>
            </w:pPr>
            <w:r w:rsidRPr="0009445C">
              <w:t>Ceramic bricks</w:t>
            </w:r>
          </w:p>
        </w:tc>
        <w:tc>
          <w:tcPr>
            <w:tcW w:w="3539" w:type="dxa"/>
            <w:shd w:val="clear" w:color="auto" w:fill="auto"/>
          </w:tcPr>
          <w:p w14:paraId="0A40B95D" w14:textId="77777777" w:rsidR="00C80C23" w:rsidRPr="0009445C" w:rsidRDefault="00C80C23" w:rsidP="00C80C23">
            <w:pPr>
              <w:pStyle w:val="BRL-Tabelle-Blau"/>
              <w:widowControl w:val="0"/>
              <w:rPr>
                <w:color w:val="auto"/>
              </w:rPr>
            </w:pPr>
            <w:r w:rsidRPr="0009445C">
              <w:rPr>
                <w:color w:val="auto"/>
              </w:rPr>
              <w:t>DIN 105-4:2019-01</w:t>
            </w:r>
            <w:r w:rsidRPr="0009445C">
              <w:rPr>
                <w:color w:val="auto"/>
              </w:rPr>
              <w:br/>
              <w:t>DIN 105-4/A1:2021-04</w:t>
            </w:r>
          </w:p>
          <w:p w14:paraId="7013DF00" w14:textId="77777777" w:rsidR="00C80C23" w:rsidRPr="0009445C" w:rsidRDefault="00C80C23" w:rsidP="00C80C23">
            <w:pPr>
              <w:pStyle w:val="BRL-Tabelle"/>
              <w:widowControl w:val="0"/>
            </w:pPr>
            <w:r w:rsidRPr="0009445C">
              <w:t>in conjunction with DIN 105-41:2019-01</w:t>
            </w:r>
          </w:p>
        </w:tc>
        <w:tc>
          <w:tcPr>
            <w:tcW w:w="1413" w:type="dxa"/>
            <w:shd w:val="clear" w:color="auto" w:fill="auto"/>
          </w:tcPr>
          <w:p w14:paraId="455F085F" w14:textId="77777777" w:rsidR="00C80C23" w:rsidRPr="0009445C" w:rsidRDefault="00C80C23" w:rsidP="00C80C23">
            <w:pPr>
              <w:pStyle w:val="BRL-Tabelle"/>
              <w:widowControl w:val="0"/>
              <w:jc w:val="center"/>
            </w:pPr>
            <w:r w:rsidRPr="0009445C">
              <w:t>Mark of conformity [ÜZ]</w:t>
            </w:r>
          </w:p>
        </w:tc>
      </w:tr>
      <w:tr w:rsidR="0038653D" w:rsidRPr="0009445C" w14:paraId="62F6899B"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1391FF29" w14:textId="77777777" w:rsidR="0038653D" w:rsidRPr="0009445C" w:rsidRDefault="0038653D" w:rsidP="0038653D">
            <w:pPr>
              <w:pStyle w:val="BRL-Tabelle-berschrift"/>
            </w:pPr>
            <w:r w:rsidRPr="0009445C">
              <w:t>C 2.6</w:t>
            </w:r>
            <w:r w:rsidRPr="0009445C">
              <w:tab/>
              <w:t>Doors and gates</w:t>
            </w:r>
          </w:p>
        </w:tc>
      </w:tr>
      <w:tr w:rsidR="0038653D" w:rsidRPr="0009445C" w14:paraId="339D9841"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2709E49D" w14:textId="77777777" w:rsidR="0038653D" w:rsidRPr="0009445C" w:rsidRDefault="0038653D" w:rsidP="0038653D">
            <w:pPr>
              <w:pStyle w:val="BRL-Tabelle"/>
              <w:widowControl w:val="0"/>
            </w:pPr>
            <w:r w:rsidRPr="0009445C">
              <w:t>C 2.6.12</w:t>
            </w:r>
          </w:p>
        </w:tc>
        <w:tc>
          <w:tcPr>
            <w:tcW w:w="3402" w:type="dxa"/>
            <w:shd w:val="clear" w:color="auto" w:fill="auto"/>
          </w:tcPr>
          <w:p w14:paraId="419424B1" w14:textId="77777777" w:rsidR="0038653D" w:rsidRPr="0009445C" w:rsidRDefault="0038653D" w:rsidP="0038653D">
            <w:pPr>
              <w:pStyle w:val="BRL-Tabelle"/>
              <w:widowControl w:val="0"/>
            </w:pPr>
            <w:r w:rsidRPr="0009445C">
              <w:t>Interior doors are made to meet the requirements in terms of sound insulation, with the exception of fire and smoke protection barriers</w:t>
            </w:r>
          </w:p>
        </w:tc>
        <w:tc>
          <w:tcPr>
            <w:tcW w:w="3539" w:type="dxa"/>
            <w:shd w:val="clear" w:color="auto" w:fill="auto"/>
          </w:tcPr>
          <w:p w14:paraId="6B5062FB" w14:textId="77777777" w:rsidR="0038653D" w:rsidRPr="0009445C" w:rsidRDefault="0038653D" w:rsidP="0038653D">
            <w:pPr>
              <w:pStyle w:val="BRL-Tabelle"/>
              <w:widowControl w:val="0"/>
            </w:pPr>
            <w:r w:rsidRPr="0009445C">
              <w:t>Annex C 2.6.3</w:t>
            </w:r>
          </w:p>
        </w:tc>
        <w:tc>
          <w:tcPr>
            <w:tcW w:w="1413" w:type="dxa"/>
            <w:shd w:val="clear" w:color="auto" w:fill="auto"/>
          </w:tcPr>
          <w:p w14:paraId="05F2185F" w14:textId="77777777" w:rsidR="0038653D" w:rsidRPr="0009445C" w:rsidRDefault="0038653D" w:rsidP="0038653D">
            <w:pPr>
              <w:pStyle w:val="BRL-Tabelle"/>
              <w:widowControl w:val="0"/>
              <w:jc w:val="center"/>
            </w:pPr>
            <w:r w:rsidRPr="0009445C">
              <w:t>MDT</w:t>
            </w:r>
          </w:p>
        </w:tc>
      </w:tr>
      <w:tr w:rsidR="0038653D" w:rsidRPr="0009445C" w14:paraId="12A35E7B"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3FE6C1BE" w14:textId="77777777" w:rsidR="0038653D" w:rsidRPr="0009445C" w:rsidRDefault="0038653D" w:rsidP="0038653D">
            <w:pPr>
              <w:pStyle w:val="BRL-Tabelle-berschrift"/>
            </w:pPr>
            <w:r w:rsidRPr="0009445C">
              <w:t>C 2.8</w:t>
            </w:r>
            <w:r w:rsidRPr="0009445C">
              <w:tab/>
              <w:t>Special constructions</w:t>
            </w:r>
          </w:p>
        </w:tc>
      </w:tr>
      <w:tr w:rsidR="0038653D" w:rsidRPr="0009445C" w14:paraId="77B240DC"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206C60F6" w14:textId="77777777" w:rsidR="0038653D" w:rsidRPr="0009445C" w:rsidRDefault="0038653D" w:rsidP="0038653D">
            <w:pPr>
              <w:pStyle w:val="BRL-Tabelle"/>
              <w:widowControl w:val="0"/>
            </w:pPr>
            <w:r w:rsidRPr="0009445C">
              <w:t>C 2.8.1</w:t>
            </w:r>
          </w:p>
        </w:tc>
        <w:tc>
          <w:tcPr>
            <w:tcW w:w="3402" w:type="dxa"/>
            <w:shd w:val="clear" w:color="auto" w:fill="auto"/>
          </w:tcPr>
          <w:p w14:paraId="78D093C2" w14:textId="77777777" w:rsidR="0038653D" w:rsidRPr="0009445C" w:rsidRDefault="0038653D" w:rsidP="0038653D">
            <w:pPr>
              <w:pStyle w:val="BRL-Tabelle"/>
              <w:widowControl w:val="0"/>
            </w:pPr>
            <w:r w:rsidRPr="0009445C">
              <w:t>Roller shutter boxes with thermal and sound insulation requirements</w:t>
            </w:r>
          </w:p>
        </w:tc>
        <w:tc>
          <w:tcPr>
            <w:tcW w:w="3539" w:type="dxa"/>
            <w:shd w:val="clear" w:color="auto" w:fill="auto"/>
          </w:tcPr>
          <w:p w14:paraId="74C163DF" w14:textId="77777777" w:rsidR="0038653D" w:rsidRPr="0009445C" w:rsidRDefault="0038653D" w:rsidP="0038653D">
            <w:pPr>
              <w:pStyle w:val="BRL-Tabelle"/>
              <w:widowControl w:val="0"/>
            </w:pPr>
            <w:r w:rsidRPr="0009445C">
              <w:t>Guidelines on roller shutter boxes</w:t>
            </w:r>
          </w:p>
          <w:p w14:paraId="3A215F84" w14:textId="0A9A3906" w:rsidR="0038653D" w:rsidRPr="0009445C" w:rsidRDefault="0038653D" w:rsidP="0038653D">
            <w:pPr>
              <w:pStyle w:val="BRL-Tabelle"/>
              <w:widowControl w:val="0"/>
            </w:pPr>
            <w:r w:rsidRPr="0009445C">
              <w:t>(</w:t>
            </w:r>
            <w:proofErr w:type="spellStart"/>
            <w:r w:rsidRPr="0009445C">
              <w:t>RokR</w:t>
            </w:r>
            <w:proofErr w:type="spellEnd"/>
            <w:r w:rsidRPr="0009445C">
              <w:t>):(2021-09) (See annex 13)</w:t>
            </w:r>
          </w:p>
        </w:tc>
        <w:tc>
          <w:tcPr>
            <w:tcW w:w="1413" w:type="dxa"/>
            <w:shd w:val="clear" w:color="auto" w:fill="auto"/>
          </w:tcPr>
          <w:p w14:paraId="2D5A2E62" w14:textId="77777777" w:rsidR="0038653D" w:rsidRPr="0009445C" w:rsidRDefault="0038653D" w:rsidP="0038653D">
            <w:pPr>
              <w:pStyle w:val="BRL-Tabelle"/>
              <w:widowControl w:val="0"/>
              <w:jc w:val="center"/>
            </w:pPr>
            <w:r w:rsidRPr="0009445C">
              <w:t>MDT</w:t>
            </w:r>
          </w:p>
        </w:tc>
      </w:tr>
      <w:tr w:rsidR="0038653D" w:rsidRPr="0009445C" w14:paraId="2327A599"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0C6F4145" w14:textId="77777777" w:rsidR="0038653D" w:rsidRPr="0009445C" w:rsidRDefault="0038653D" w:rsidP="0038653D">
            <w:pPr>
              <w:pStyle w:val="BRL-Tabelle-berschrift"/>
            </w:pPr>
            <w:r w:rsidRPr="0009445C">
              <w:t>C 2.10</w:t>
            </w:r>
            <w:r w:rsidRPr="0009445C">
              <w:tab/>
              <w:t>Construction products for building waterproofing and roof sealing</w:t>
            </w:r>
          </w:p>
        </w:tc>
      </w:tr>
      <w:tr w:rsidR="0038653D" w:rsidRPr="0009445C" w14:paraId="4840E9B0"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43089488" w14:textId="77777777" w:rsidR="0038653D" w:rsidRPr="0009445C" w:rsidRDefault="0038653D" w:rsidP="0038653D">
            <w:pPr>
              <w:pStyle w:val="BRL-Tabelle"/>
              <w:widowControl w:val="0"/>
            </w:pPr>
            <w:r w:rsidRPr="0009445C">
              <w:t>C 2.10.3</w:t>
            </w:r>
          </w:p>
        </w:tc>
        <w:tc>
          <w:tcPr>
            <w:tcW w:w="3402" w:type="dxa"/>
            <w:shd w:val="clear" w:color="auto" w:fill="auto"/>
          </w:tcPr>
          <w:p w14:paraId="3B36F6DB" w14:textId="77777777" w:rsidR="0038653D" w:rsidRPr="0009445C" w:rsidRDefault="0038653D" w:rsidP="0038653D">
            <w:pPr>
              <w:pStyle w:val="BRL-Tabelle"/>
              <w:widowControl w:val="0"/>
            </w:pPr>
            <w:r w:rsidRPr="0009445C">
              <w:t>Normal flammability joint tape made of thermoplastic materials for sealing joints in in-situ concrete</w:t>
            </w:r>
          </w:p>
        </w:tc>
        <w:tc>
          <w:tcPr>
            <w:tcW w:w="3539" w:type="dxa"/>
            <w:shd w:val="clear" w:color="auto" w:fill="auto"/>
          </w:tcPr>
          <w:p w14:paraId="46A8F40B" w14:textId="598A5001" w:rsidR="0038653D" w:rsidRPr="0009445C" w:rsidRDefault="0038653D" w:rsidP="0038653D">
            <w:pPr>
              <w:pStyle w:val="BRL-Tabelle"/>
              <w:widowControl w:val="0"/>
            </w:pPr>
            <w:r w:rsidRPr="0009445C">
              <w:t>DIN 18541-1, -2:2021-01 and DIN 18541-3:2021-07</w:t>
            </w:r>
          </w:p>
          <w:p w14:paraId="5933591F" w14:textId="77777777" w:rsidR="0038653D" w:rsidRPr="0009445C" w:rsidRDefault="0038653D" w:rsidP="0038653D">
            <w:pPr>
              <w:pStyle w:val="BRL-Tabelle"/>
              <w:widowControl w:val="0"/>
            </w:pPr>
            <w:r w:rsidRPr="0009445C">
              <w:t>Also applicable:</w:t>
            </w:r>
          </w:p>
          <w:p w14:paraId="21EED0CE" w14:textId="77777777" w:rsidR="0038653D" w:rsidRPr="0009445C" w:rsidRDefault="0038653D" w:rsidP="0038653D">
            <w:pPr>
              <w:pStyle w:val="BRL-Tabelle"/>
              <w:widowControl w:val="0"/>
            </w:pPr>
            <w:r w:rsidRPr="0009445C">
              <w:t xml:space="preserve">DIN 4102-1:1998-05 </w:t>
            </w:r>
          </w:p>
          <w:p w14:paraId="61CD40CE" w14:textId="77777777" w:rsidR="0038653D" w:rsidRPr="0009445C" w:rsidRDefault="0038653D" w:rsidP="0038653D">
            <w:pPr>
              <w:pStyle w:val="BRL-Tabelle"/>
              <w:widowControl w:val="0"/>
            </w:pPr>
            <w:r w:rsidRPr="0009445C">
              <w:t>DIN EN ISO 11925-2:2011-02</w:t>
            </w:r>
          </w:p>
          <w:p w14:paraId="1A3C141A" w14:textId="77777777" w:rsidR="0038653D" w:rsidRPr="0009445C" w:rsidRDefault="0038653D" w:rsidP="0038653D">
            <w:pPr>
              <w:pStyle w:val="BRL-Tabelle"/>
              <w:widowControl w:val="0"/>
            </w:pPr>
            <w:r w:rsidRPr="0009445C">
              <w:t>in conjunction with Annex C 3.7</w:t>
            </w:r>
          </w:p>
        </w:tc>
        <w:tc>
          <w:tcPr>
            <w:tcW w:w="1413" w:type="dxa"/>
            <w:shd w:val="clear" w:color="auto" w:fill="auto"/>
          </w:tcPr>
          <w:p w14:paraId="0DDBE731" w14:textId="77777777" w:rsidR="0038653D" w:rsidRPr="0009445C" w:rsidRDefault="0038653D" w:rsidP="0038653D">
            <w:pPr>
              <w:pStyle w:val="BRL-Tabelle"/>
              <w:widowControl w:val="0"/>
              <w:jc w:val="center"/>
            </w:pPr>
            <w:r w:rsidRPr="0009445C">
              <w:t>MDC</w:t>
            </w:r>
          </w:p>
        </w:tc>
      </w:tr>
      <w:tr w:rsidR="001B5AA9" w:rsidRPr="0009445C" w14:paraId="4A6BD7FD"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7D51E930" w14:textId="77777777" w:rsidR="001B5AA9" w:rsidRPr="0009445C" w:rsidRDefault="009B23C2" w:rsidP="009B23C2">
            <w:pPr>
              <w:pStyle w:val="BRL-Tabelle-berschrift"/>
            </w:pPr>
            <w:r w:rsidRPr="0009445C">
              <w:t>C 2.14</w:t>
            </w:r>
            <w:r w:rsidRPr="0009445C">
              <w:tab/>
              <w:t>Furnaces</w:t>
            </w:r>
          </w:p>
        </w:tc>
      </w:tr>
      <w:tr w:rsidR="009B23C2" w:rsidRPr="0009445C" w14:paraId="7B49798A"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2649E100" w14:textId="77777777" w:rsidR="009B23C2" w:rsidRPr="0009445C" w:rsidRDefault="009B23C2" w:rsidP="009B23C2">
            <w:pPr>
              <w:pStyle w:val="BRL-Tabelle-berschrift"/>
            </w:pPr>
            <w:r w:rsidRPr="0009445C">
              <w:t>C 2.14.1</w:t>
            </w:r>
            <w:r w:rsidRPr="0009445C">
              <w:tab/>
              <w:t>Furnaces and combustion appliances</w:t>
            </w:r>
          </w:p>
        </w:tc>
      </w:tr>
      <w:tr w:rsidR="009B23C2" w:rsidRPr="0009445C" w14:paraId="3C33CE38"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4CC89A58" w14:textId="77777777" w:rsidR="009B23C2" w:rsidRPr="0009445C" w:rsidRDefault="009B23C2" w:rsidP="009B23C2">
            <w:pPr>
              <w:pStyle w:val="BRL-Tabelle"/>
              <w:widowControl w:val="0"/>
            </w:pPr>
            <w:r w:rsidRPr="0009445C">
              <w:t>C 2.14.1.5</w:t>
            </w:r>
          </w:p>
        </w:tc>
        <w:tc>
          <w:tcPr>
            <w:tcW w:w="3402" w:type="dxa"/>
            <w:shd w:val="clear" w:color="auto" w:fill="auto"/>
          </w:tcPr>
          <w:p w14:paraId="1A1E8664" w14:textId="6A414235" w:rsidR="009B23C2" w:rsidRPr="0009445C" w:rsidRDefault="009B23C2" w:rsidP="009B23C2">
            <w:pPr>
              <w:pStyle w:val="BRL-Tabelle"/>
              <w:widowControl w:val="0"/>
            </w:pPr>
            <w:r w:rsidRPr="0009445C">
              <w:t>Fireplaces fired by solid fuel - Independent supply through the room air</w:t>
            </w:r>
          </w:p>
        </w:tc>
        <w:tc>
          <w:tcPr>
            <w:tcW w:w="3539" w:type="dxa"/>
            <w:shd w:val="clear" w:color="auto" w:fill="auto"/>
          </w:tcPr>
          <w:p w14:paraId="20166DD7" w14:textId="62D36313" w:rsidR="009B23C2" w:rsidRPr="0009445C" w:rsidRDefault="009B23C2" w:rsidP="009B23C2">
            <w:pPr>
              <w:pStyle w:val="BRL-Tabelle"/>
              <w:widowControl w:val="0"/>
            </w:pPr>
            <w:r w:rsidRPr="0009445C">
              <w:t>DIN EN 16510-1:2018-11</w:t>
            </w:r>
            <w:r w:rsidRPr="0009445C">
              <w:br/>
              <w:t>Appendix C 14.5</w:t>
            </w:r>
          </w:p>
        </w:tc>
        <w:tc>
          <w:tcPr>
            <w:tcW w:w="1413" w:type="dxa"/>
            <w:shd w:val="clear" w:color="auto" w:fill="auto"/>
          </w:tcPr>
          <w:p w14:paraId="17809DD6" w14:textId="628CC829" w:rsidR="009B23C2" w:rsidRPr="0009445C" w:rsidRDefault="009B23C2" w:rsidP="009B23C2">
            <w:pPr>
              <w:pStyle w:val="BRL-Tabelle"/>
              <w:widowControl w:val="0"/>
              <w:jc w:val="center"/>
            </w:pPr>
            <w:r w:rsidRPr="0009445C">
              <w:t>Mark of conformity [ÜZ]</w:t>
            </w:r>
          </w:p>
        </w:tc>
      </w:tr>
      <w:tr w:rsidR="009B23C2" w:rsidRPr="0009445C" w14:paraId="4D88CED8"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2A7B0C04" w14:textId="77777777" w:rsidR="009B23C2" w:rsidRPr="0009445C" w:rsidRDefault="009B23C2" w:rsidP="009B23C2">
            <w:pPr>
              <w:pStyle w:val="BRL-Tabelle-berschrift"/>
            </w:pPr>
            <w:r w:rsidRPr="0009445C">
              <w:t>C 2.15</w:t>
            </w:r>
            <w:r w:rsidRPr="0009445C">
              <w:tab/>
              <w:t>Construction products for stationary installations that are used for the containment, drawing off and handling of water-polluting materials:</w:t>
            </w:r>
          </w:p>
        </w:tc>
      </w:tr>
      <w:tr w:rsidR="009B23C2" w:rsidRPr="0009445C" w14:paraId="48F1C67C"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147402B2" w14:textId="77777777" w:rsidR="009B23C2" w:rsidRPr="0009445C" w:rsidRDefault="009B23C2" w:rsidP="009B23C2">
            <w:pPr>
              <w:pStyle w:val="BRL-Tabelle"/>
              <w:widowControl w:val="0"/>
            </w:pPr>
            <w:r w:rsidRPr="0009445C">
              <w:t>C 2.15.16</w:t>
            </w:r>
          </w:p>
        </w:tc>
        <w:tc>
          <w:tcPr>
            <w:tcW w:w="3402" w:type="dxa"/>
            <w:shd w:val="clear" w:color="auto" w:fill="auto"/>
          </w:tcPr>
          <w:p w14:paraId="4198326B" w14:textId="77777777" w:rsidR="009B23C2" w:rsidRPr="0009445C" w:rsidRDefault="009B23C2" w:rsidP="009B23C2">
            <w:pPr>
              <w:pStyle w:val="BRL-Tabelle"/>
              <w:widowControl w:val="0"/>
            </w:pPr>
            <w:r w:rsidRPr="0009445C">
              <w:t>Concrete used as sealant for collecting chambers and surfaces</w:t>
            </w:r>
          </w:p>
        </w:tc>
        <w:tc>
          <w:tcPr>
            <w:tcW w:w="3539" w:type="dxa"/>
            <w:shd w:val="clear" w:color="auto" w:fill="auto"/>
          </w:tcPr>
          <w:p w14:paraId="06D2FEDA" w14:textId="77777777" w:rsidR="009B23C2" w:rsidRPr="0009445C" w:rsidRDefault="009B23C2" w:rsidP="009B23C2">
            <w:pPr>
              <w:pStyle w:val="BRL-Tabelle"/>
              <w:widowControl w:val="0"/>
            </w:pPr>
            <w:r w:rsidRPr="0009445C">
              <w:t>DIN 1045-2:2008-08</w:t>
            </w:r>
          </w:p>
          <w:p w14:paraId="6787ABB6" w14:textId="77777777" w:rsidR="009B23C2" w:rsidRPr="0009445C" w:rsidRDefault="009B23C2" w:rsidP="009B23C2">
            <w:pPr>
              <w:pStyle w:val="BRL-Tabelle"/>
              <w:widowControl w:val="0"/>
            </w:pPr>
            <w:r w:rsidRPr="0009445C">
              <w:t>in conjunction with</w:t>
            </w:r>
          </w:p>
          <w:p w14:paraId="5AD36000" w14:textId="77777777" w:rsidR="009B23C2" w:rsidRPr="0009445C" w:rsidRDefault="009B23C2" w:rsidP="009B23C2">
            <w:pPr>
              <w:pStyle w:val="BRL-Tabelle"/>
              <w:widowControl w:val="0"/>
            </w:pPr>
            <w:r w:rsidRPr="0009445C">
              <w:t xml:space="preserve">DIN EN 206-1:2001-07, </w:t>
            </w:r>
          </w:p>
          <w:p w14:paraId="7A16B5A4" w14:textId="77777777" w:rsidR="009B23C2" w:rsidRPr="0009445C" w:rsidRDefault="009B23C2" w:rsidP="009B23C2">
            <w:pPr>
              <w:pStyle w:val="BRL-Tabelle"/>
              <w:widowControl w:val="0"/>
              <w:rPr>
                <w:lang w:val="de-DE"/>
              </w:rPr>
            </w:pPr>
            <w:r w:rsidRPr="0009445C">
              <w:rPr>
                <w:lang w:val="de-DE"/>
              </w:rPr>
              <w:t xml:space="preserve">DIN EN 206-1/A1:2004-10, </w:t>
            </w:r>
          </w:p>
          <w:p w14:paraId="54434605" w14:textId="77777777" w:rsidR="009B23C2" w:rsidRPr="0009445C" w:rsidRDefault="009B23C2" w:rsidP="009B23C2">
            <w:pPr>
              <w:pStyle w:val="BRL-Tabelle"/>
              <w:widowControl w:val="0"/>
              <w:rPr>
                <w:lang w:val="de-DE"/>
              </w:rPr>
            </w:pPr>
            <w:r w:rsidRPr="0009445C">
              <w:rPr>
                <w:lang w:val="de-DE"/>
              </w:rPr>
              <w:t>DIN EN 206-1/A2:2005-09</w:t>
            </w:r>
          </w:p>
          <w:p w14:paraId="33E207F5" w14:textId="77777777" w:rsidR="009B23C2" w:rsidRPr="0009445C" w:rsidRDefault="009B23C2" w:rsidP="009B23C2">
            <w:pPr>
              <w:pStyle w:val="BRL-Tabelle"/>
              <w:widowControl w:val="0"/>
            </w:pPr>
            <w:r w:rsidRPr="0009445C">
              <w:t>Also applicable:</w:t>
            </w:r>
          </w:p>
          <w:p w14:paraId="01580931" w14:textId="77777777" w:rsidR="009B23C2" w:rsidRPr="0009445C" w:rsidRDefault="009B23C2" w:rsidP="009B23C2">
            <w:pPr>
              <w:pStyle w:val="BRL-Tabelle"/>
              <w:widowControl w:val="0"/>
            </w:pPr>
            <w:r w:rsidRPr="0009445C">
              <w:t>DIN 1045-3:2012-03 in conjunction with</w:t>
            </w:r>
          </w:p>
          <w:p w14:paraId="29653F58" w14:textId="77777777" w:rsidR="009B23C2" w:rsidRPr="0009445C" w:rsidRDefault="009B23C2" w:rsidP="009B23C2">
            <w:pPr>
              <w:pStyle w:val="BRL-Tabelle"/>
              <w:widowControl w:val="0"/>
            </w:pPr>
            <w:r w:rsidRPr="0009445C">
              <w:t xml:space="preserve">DIN EN 13670:2011-03, </w:t>
            </w:r>
          </w:p>
          <w:p w14:paraId="2C3BE2B2" w14:textId="77777777" w:rsidR="009B23C2" w:rsidRPr="0009445C" w:rsidRDefault="009B23C2" w:rsidP="009B23C2">
            <w:pPr>
              <w:pStyle w:val="BRL-Tabelle"/>
              <w:widowControl w:val="0"/>
            </w:pPr>
            <w:proofErr w:type="spellStart"/>
            <w:r w:rsidRPr="0009445C">
              <w:t>DAfStb</w:t>
            </w:r>
            <w:proofErr w:type="spellEnd"/>
            <w:r w:rsidRPr="0009445C">
              <w:t xml:space="preserve"> Guideline for Concrete construction when handling water-endangering substances (</w:t>
            </w:r>
            <w:proofErr w:type="spellStart"/>
            <w:r w:rsidRPr="0009445C">
              <w:t>BUmwS</w:t>
            </w:r>
            <w:proofErr w:type="spellEnd"/>
            <w:r w:rsidRPr="0009445C">
              <w:t xml:space="preserve">), Part 2 (2011-03), </w:t>
            </w:r>
          </w:p>
          <w:p w14:paraId="10748FD6" w14:textId="4DE7BB30" w:rsidR="009B23C2" w:rsidRPr="0009445C" w:rsidRDefault="009B23C2" w:rsidP="009B23C2">
            <w:pPr>
              <w:pStyle w:val="BRL-Tabelle"/>
              <w:widowControl w:val="0"/>
            </w:pPr>
            <w:proofErr w:type="spellStart"/>
            <w:r w:rsidRPr="0009445C">
              <w:t>DAfStb</w:t>
            </w:r>
            <w:proofErr w:type="spellEnd"/>
            <w:r w:rsidRPr="0009445C">
              <w:t xml:space="preserve"> Guideline for Steel Fibre Reinforced Concrete (</w:t>
            </w:r>
            <w:proofErr w:type="spellStart"/>
            <w:r w:rsidRPr="0009445C">
              <w:t>DAfStb-Richtlinie</w:t>
            </w:r>
            <w:proofErr w:type="spellEnd"/>
            <w:r w:rsidRPr="0009445C">
              <w:t xml:space="preserve"> </w:t>
            </w:r>
            <w:proofErr w:type="spellStart"/>
            <w:r w:rsidRPr="0009445C">
              <w:t>Stahlfaserbeton</w:t>
            </w:r>
            <w:proofErr w:type="spellEnd"/>
            <w:r w:rsidRPr="0009445C">
              <w:t>) (2021-06) and Appendix C 2.15.11</w:t>
            </w:r>
          </w:p>
        </w:tc>
        <w:tc>
          <w:tcPr>
            <w:tcW w:w="1413" w:type="dxa"/>
            <w:shd w:val="clear" w:color="auto" w:fill="auto"/>
          </w:tcPr>
          <w:p w14:paraId="62BEB34F" w14:textId="77777777" w:rsidR="009B23C2" w:rsidRPr="0009445C" w:rsidRDefault="009B23C2" w:rsidP="009B23C2">
            <w:pPr>
              <w:pStyle w:val="BRL-Tabelle"/>
              <w:widowControl w:val="0"/>
              <w:jc w:val="center"/>
            </w:pPr>
            <w:r w:rsidRPr="0009445C">
              <w:t>Mark of conformity [ÜZ]</w:t>
            </w:r>
          </w:p>
        </w:tc>
      </w:tr>
      <w:tr w:rsidR="009B23C2" w:rsidRPr="0009445C" w14:paraId="21F57F5A" w14:textId="77777777" w:rsidTr="0009445C">
        <w:tblPrEx>
          <w:tblCellMar>
            <w:top w:w="57" w:type="dxa"/>
            <w:bottom w:w="57" w:type="dxa"/>
          </w:tblCellMar>
          <w:tblLook w:val="05E0" w:firstRow="1" w:lastRow="1" w:firstColumn="1" w:lastColumn="1" w:noHBand="0" w:noVBand="1"/>
        </w:tblPrEx>
        <w:trPr>
          <w:trHeight w:val="227"/>
        </w:trPr>
        <w:tc>
          <w:tcPr>
            <w:tcW w:w="9489" w:type="dxa"/>
            <w:gridSpan w:val="4"/>
            <w:shd w:val="clear" w:color="auto" w:fill="auto"/>
          </w:tcPr>
          <w:p w14:paraId="7E58710A" w14:textId="77777777" w:rsidR="009B23C2" w:rsidRPr="0009445C" w:rsidRDefault="009B23C2" w:rsidP="009B23C2">
            <w:pPr>
              <w:pStyle w:val="BRL-Tabelle-berschrift"/>
            </w:pPr>
            <w:r w:rsidRPr="0009445C">
              <w:t>C 2.16</w:t>
            </w:r>
            <w:r w:rsidRPr="0009445C">
              <w:tab/>
              <w:t>Scaffolding structural elements</w:t>
            </w:r>
            <w:r w:rsidRPr="0009445C">
              <w:rPr>
                <w:vertAlign w:val="superscript"/>
              </w:rPr>
              <w:t>10</w:t>
            </w:r>
          </w:p>
        </w:tc>
      </w:tr>
      <w:tr w:rsidR="009B23C2" w:rsidRPr="0009445C" w14:paraId="6DD26D22" w14:textId="77777777" w:rsidTr="0009445C">
        <w:tblPrEx>
          <w:tblCellMar>
            <w:top w:w="57" w:type="dxa"/>
            <w:bottom w:w="57" w:type="dxa"/>
          </w:tblCellMar>
          <w:tblLook w:val="05E0" w:firstRow="1" w:lastRow="1" w:firstColumn="1" w:lastColumn="1" w:noHBand="0" w:noVBand="1"/>
        </w:tblPrEx>
        <w:trPr>
          <w:trHeight w:val="227"/>
        </w:trPr>
        <w:tc>
          <w:tcPr>
            <w:tcW w:w="1134" w:type="dxa"/>
            <w:shd w:val="clear" w:color="auto" w:fill="auto"/>
          </w:tcPr>
          <w:p w14:paraId="622356C4" w14:textId="77777777" w:rsidR="009B23C2" w:rsidRPr="0009445C" w:rsidRDefault="009B23C2" w:rsidP="009B23C2">
            <w:pPr>
              <w:pStyle w:val="BRL-Tabelle"/>
              <w:widowControl w:val="0"/>
            </w:pPr>
            <w:r w:rsidRPr="0009445C">
              <w:t>C 2.16.1</w:t>
            </w:r>
          </w:p>
        </w:tc>
        <w:tc>
          <w:tcPr>
            <w:tcW w:w="3402" w:type="dxa"/>
            <w:shd w:val="clear" w:color="auto" w:fill="auto"/>
          </w:tcPr>
          <w:p w14:paraId="00C48A74" w14:textId="7B60B13A" w:rsidR="009B23C2" w:rsidRPr="0009445C" w:rsidRDefault="009B23C2" w:rsidP="009B23C2">
            <w:pPr>
              <w:pStyle w:val="BRL-Tabelle"/>
              <w:widowControl w:val="0"/>
            </w:pPr>
            <w:r w:rsidRPr="0009445C">
              <w:t>Adjustable steel telescopic piles with mathematically determined load-bearing capacity</w:t>
            </w:r>
            <w:r w:rsidRPr="0009445C">
              <w:rPr>
                <w:rStyle w:val="FootnoteReference"/>
              </w:rPr>
              <w:footnoteReference w:customMarkFollows="1" w:id="8"/>
              <w:t xml:space="preserve">10 </w:t>
            </w:r>
          </w:p>
        </w:tc>
        <w:tc>
          <w:tcPr>
            <w:tcW w:w="3539" w:type="dxa"/>
            <w:shd w:val="clear" w:color="auto" w:fill="auto"/>
          </w:tcPr>
          <w:p w14:paraId="0F00312D" w14:textId="77777777" w:rsidR="009B23C2" w:rsidRPr="0009445C" w:rsidRDefault="009B23C2" w:rsidP="009B23C2">
            <w:pPr>
              <w:pStyle w:val="BRL-Tabelle"/>
              <w:widowControl w:val="0"/>
            </w:pPr>
            <w:r w:rsidRPr="0009445C">
              <w:t>DIN EN 1065:1998-12</w:t>
            </w:r>
          </w:p>
          <w:p w14:paraId="156B4532" w14:textId="77777777" w:rsidR="009B23C2" w:rsidRPr="0009445C" w:rsidRDefault="009B23C2" w:rsidP="009B23C2">
            <w:pPr>
              <w:pStyle w:val="BRL-Tabelle"/>
              <w:widowControl w:val="0"/>
            </w:pPr>
            <w:r w:rsidRPr="0009445C">
              <w:t>Also applicable:</w:t>
            </w:r>
          </w:p>
          <w:p w14:paraId="4F4A56D5" w14:textId="77777777" w:rsidR="009B23C2" w:rsidRPr="0009445C" w:rsidRDefault="009B23C2" w:rsidP="009B23C2">
            <w:pPr>
              <w:pStyle w:val="BRL-Tabelle"/>
              <w:widowControl w:val="0"/>
            </w:pPr>
            <w:r w:rsidRPr="0009445C">
              <w:t>Annex C 2.16.1</w:t>
            </w:r>
          </w:p>
        </w:tc>
        <w:tc>
          <w:tcPr>
            <w:tcW w:w="1413" w:type="dxa"/>
            <w:shd w:val="clear" w:color="auto" w:fill="auto"/>
          </w:tcPr>
          <w:p w14:paraId="71F20C65" w14:textId="77777777" w:rsidR="009B23C2" w:rsidRPr="0009445C" w:rsidRDefault="009B23C2" w:rsidP="009B23C2">
            <w:pPr>
              <w:pStyle w:val="BRL-Tabelle"/>
              <w:widowControl w:val="0"/>
              <w:jc w:val="center"/>
            </w:pPr>
            <w:r w:rsidRPr="0009445C">
              <w:t>Mark of conformity [ÜZ]</w:t>
            </w:r>
          </w:p>
        </w:tc>
      </w:tr>
    </w:tbl>
    <w:p w14:paraId="3CB1A7AA" w14:textId="77777777" w:rsidR="00D74620" w:rsidRPr="0009445C" w:rsidRDefault="00D74620" w:rsidP="00742443">
      <w:pPr>
        <w:pStyle w:val="BRL-Funote"/>
        <w:widowControl w:val="0"/>
        <w:sectPr w:rsidR="00D74620" w:rsidRPr="0009445C" w:rsidSect="00744176">
          <w:headerReference w:type="default" r:id="rId52"/>
          <w:footerReference w:type="default" r:id="rId53"/>
          <w:headerReference w:type="first" r:id="rId54"/>
          <w:footerReference w:type="first" r:id="rId55"/>
          <w:pgSz w:w="11906" w:h="16838"/>
          <w:pgMar w:top="1134" w:right="1418" w:bottom="1134" w:left="1418" w:header="709" w:footer="709" w:gutter="0"/>
          <w:cols w:space="708"/>
          <w:titlePg/>
          <w:docGrid w:linePitch="360"/>
        </w:sectPr>
      </w:pPr>
    </w:p>
    <w:p w14:paraId="0679F768" w14:textId="77777777" w:rsidR="00EC702A" w:rsidRPr="0009445C" w:rsidRDefault="00EC702A" w:rsidP="00EC702A">
      <w:pPr>
        <w:pStyle w:val="BRL-Anlage"/>
      </w:pPr>
      <w:r w:rsidRPr="0009445C">
        <w:lastRenderedPageBreak/>
        <w:t>Annex C 2.1.3</w:t>
      </w:r>
    </w:p>
    <w:p w14:paraId="101511AC" w14:textId="77777777" w:rsidR="00EC702A" w:rsidRPr="0009445C" w:rsidRDefault="00EC702A" w:rsidP="00EC702A">
      <w:pPr>
        <w:pStyle w:val="BRL-Anlage"/>
      </w:pPr>
    </w:p>
    <w:p w14:paraId="1353B281" w14:textId="77777777" w:rsidR="00EC702A" w:rsidRPr="0009445C" w:rsidRDefault="00EC702A" w:rsidP="00EC702A">
      <w:pPr>
        <w:pStyle w:val="BRL-Anlage"/>
      </w:pPr>
      <w:r w:rsidRPr="0009445C">
        <w:t>1</w:t>
      </w:r>
      <w:r w:rsidRPr="0009445C">
        <w:tab/>
        <w:t>Re. DIN 1045-2:2008-08</w:t>
      </w:r>
    </w:p>
    <w:p w14:paraId="0CF3A920" w14:textId="77777777" w:rsidR="00EC702A" w:rsidRPr="0009445C" w:rsidRDefault="00EC702A" w:rsidP="00EC702A">
      <w:pPr>
        <w:pStyle w:val="BRL-AnlagenStandardEinrck"/>
        <w:keepNext/>
      </w:pPr>
    </w:p>
    <w:p w14:paraId="7AABF52E" w14:textId="77777777" w:rsidR="00EC702A" w:rsidRPr="0009445C" w:rsidRDefault="00EC702A" w:rsidP="00EC702A">
      <w:pPr>
        <w:pStyle w:val="BRL-Nummerierung"/>
      </w:pPr>
      <w:r w:rsidRPr="0009445C">
        <w:t xml:space="preserve">1.1 </w:t>
      </w:r>
      <w:r w:rsidRPr="0009445C">
        <w:tab/>
        <w:t>Section 5.1.2:</w:t>
      </w:r>
    </w:p>
    <w:p w14:paraId="31E9EDA2" w14:textId="77777777" w:rsidR="00EC702A" w:rsidRPr="0009445C" w:rsidRDefault="00EC702A" w:rsidP="00EC702A">
      <w:pPr>
        <w:pStyle w:val="BRL-AnlageStandard"/>
      </w:pPr>
      <w:r w:rsidRPr="0009445C">
        <w:t>To be amended: ‘Cements in accordance with EN 197-1:2011</w:t>
      </w:r>
      <w:r w:rsidRPr="0009445C">
        <w:rPr>
          <w:vertAlign w:val="superscript"/>
        </w:rPr>
        <w:t>1</w:t>
      </w:r>
      <w:r w:rsidRPr="0009445C">
        <w:t>, DIN 1164-10:2013-03, DIN 1164</w:t>
      </w:r>
      <w:r w:rsidRPr="0009445C">
        <w:noBreakHyphen/>
        <w:t>11:2003</w:t>
      </w:r>
      <w:r w:rsidRPr="0009445C">
        <w:noBreakHyphen/>
        <w:t>11, DIN 1164-12:2005-06 and EN 14216:2015</w:t>
      </w:r>
      <w:r w:rsidRPr="0009445C">
        <w:rPr>
          <w:vertAlign w:val="superscript"/>
        </w:rPr>
        <w:t>2</w:t>
      </w:r>
      <w:r w:rsidRPr="0009445C">
        <w:t xml:space="preserve"> are deemed suitable.’</w:t>
      </w:r>
    </w:p>
    <w:p w14:paraId="764E2682" w14:textId="77777777" w:rsidR="00EC702A" w:rsidRPr="0009445C" w:rsidRDefault="00EC702A" w:rsidP="00EC702A">
      <w:pPr>
        <w:pStyle w:val="BRL-berschrift2"/>
      </w:pPr>
    </w:p>
    <w:p w14:paraId="2F282E15" w14:textId="77777777" w:rsidR="00EC702A" w:rsidRPr="0009445C" w:rsidRDefault="00EC702A" w:rsidP="00EC702A">
      <w:pPr>
        <w:pStyle w:val="BRL-Nummerierung"/>
      </w:pPr>
      <w:r w:rsidRPr="0009445C">
        <w:t>1.2</w:t>
      </w:r>
      <w:r w:rsidRPr="0009445C">
        <w:tab/>
        <w:t xml:space="preserve">Section 5.1.6: </w:t>
      </w:r>
    </w:p>
    <w:p w14:paraId="337CA1FD" w14:textId="77777777" w:rsidR="00EC702A" w:rsidRPr="0009445C" w:rsidRDefault="00EC702A" w:rsidP="00EC702A">
      <w:pPr>
        <w:pStyle w:val="BRL-AnlageStandard"/>
      </w:pPr>
      <w:r w:rsidRPr="0009445C">
        <w:t>To be added: ‘For ground granulated blast furnace slag as per EN 15167</w:t>
      </w:r>
      <w:r w:rsidRPr="0009445C">
        <w:noBreakHyphen/>
        <w:t>1:2006</w:t>
      </w:r>
      <w:r w:rsidRPr="0009445C">
        <w:rPr>
          <w:vertAlign w:val="superscript"/>
        </w:rPr>
        <w:t>3</w:t>
      </w:r>
      <w:r w:rsidRPr="0009445C">
        <w:t xml:space="preserve">, its suitability as a type </w:t>
      </w:r>
      <w:r w:rsidRPr="0009445C">
        <w:rPr>
          <w:rFonts w:ascii="Times New Roman" w:hAnsi="Times New Roman"/>
        </w:rPr>
        <w:t>II</w:t>
      </w:r>
      <w:r w:rsidRPr="0009445C">
        <w:t xml:space="preserve"> additive is regarded as having been proven.’</w:t>
      </w:r>
    </w:p>
    <w:p w14:paraId="4F5F2FE4" w14:textId="77777777" w:rsidR="00EC702A" w:rsidRPr="0009445C" w:rsidRDefault="00EC702A" w:rsidP="00EC702A">
      <w:pPr>
        <w:pStyle w:val="BRL-AnlagenStandardEinrck"/>
      </w:pPr>
    </w:p>
    <w:p w14:paraId="11BD1486" w14:textId="77777777" w:rsidR="00EC702A" w:rsidRPr="0009445C" w:rsidRDefault="00EC702A" w:rsidP="00EC702A">
      <w:pPr>
        <w:pStyle w:val="BRL-AnlagenStandardEinrck"/>
        <w:keepNext/>
        <w:ind w:left="567" w:hanging="567"/>
      </w:pPr>
      <w:r w:rsidRPr="0009445C">
        <w:t>1.3</w:t>
      </w:r>
      <w:r w:rsidRPr="0009445C">
        <w:tab/>
        <w:t>Section 5.2.3.4:</w:t>
      </w:r>
    </w:p>
    <w:p w14:paraId="1DC9123A" w14:textId="77777777" w:rsidR="00EC702A" w:rsidRPr="0009445C" w:rsidRDefault="00EC702A" w:rsidP="00EC702A">
      <w:pPr>
        <w:pStyle w:val="BRL-AnlageStandard"/>
      </w:pPr>
      <w:r w:rsidRPr="0009445C">
        <w:t>To be added: ‘The alkali reactivity class of aggregates under EN 12620:2002+A1:2008</w:t>
      </w:r>
      <w:r w:rsidRPr="0009445C">
        <w:rPr>
          <w:vertAlign w:val="superscript"/>
        </w:rPr>
        <w:t>4</w:t>
      </w:r>
      <w:r w:rsidRPr="0009445C">
        <w:t xml:space="preserve"> under the </w:t>
      </w:r>
      <w:proofErr w:type="spellStart"/>
      <w:r w:rsidRPr="0009445C">
        <w:t>DAfStb</w:t>
      </w:r>
      <w:proofErr w:type="spellEnd"/>
      <w:r w:rsidRPr="0009445C">
        <w:t xml:space="preserve">  Alkali Guideline can be taken from the declaration of performance.’</w:t>
      </w:r>
    </w:p>
    <w:p w14:paraId="45CD01BA" w14:textId="77777777" w:rsidR="00EC702A" w:rsidRPr="0009445C" w:rsidRDefault="00EC702A" w:rsidP="00EC702A">
      <w:pPr>
        <w:pStyle w:val="BRL-AnlagenStandardEinrck"/>
      </w:pPr>
    </w:p>
    <w:p w14:paraId="64C8216C" w14:textId="77777777" w:rsidR="00EC702A" w:rsidRPr="0009445C" w:rsidRDefault="00EC702A" w:rsidP="00EC702A">
      <w:pPr>
        <w:pStyle w:val="BRL-Nummerierung"/>
      </w:pPr>
      <w:r w:rsidRPr="0009445C">
        <w:t xml:space="preserve">1.4 </w:t>
      </w:r>
      <w:r w:rsidRPr="0009445C">
        <w:tab/>
        <w:t>Section 5.2.3.5:</w:t>
      </w:r>
    </w:p>
    <w:p w14:paraId="6CB718CE" w14:textId="77777777" w:rsidR="00EC702A" w:rsidRPr="0009445C" w:rsidRDefault="00EC702A" w:rsidP="00EC702A">
      <w:pPr>
        <w:pStyle w:val="BRL-AnlageStandard"/>
      </w:pPr>
      <w:r w:rsidRPr="0009445C">
        <w:t xml:space="preserve">The paragraph is replaced by: ‘Regarding the use of recycled aggregates as per DIN EN 12620:2008-07, the </w:t>
      </w:r>
      <w:proofErr w:type="spellStart"/>
      <w:r w:rsidRPr="0009445C">
        <w:t>DAfStb</w:t>
      </w:r>
      <w:proofErr w:type="spellEnd"/>
      <w:r w:rsidRPr="0009445C">
        <w:t xml:space="preserve"> guideline “Concrete in accordance with DIN EN 206-1 and DIN 1045-2 with recycled aggregates in accordance with DIN EN 12620:2010-09 must be observed.”’</w:t>
      </w:r>
    </w:p>
    <w:p w14:paraId="473F783E" w14:textId="77777777" w:rsidR="00EC702A" w:rsidRPr="0009445C" w:rsidRDefault="00EC702A" w:rsidP="00EC702A">
      <w:pPr>
        <w:pStyle w:val="BRL-AnlagenStandardEinrck"/>
      </w:pPr>
    </w:p>
    <w:p w14:paraId="68F4C175" w14:textId="77777777" w:rsidR="00EC702A" w:rsidRPr="0009445C" w:rsidRDefault="00EC702A" w:rsidP="00EC702A">
      <w:pPr>
        <w:pStyle w:val="BRL-Nummerierung"/>
      </w:pPr>
      <w:r w:rsidRPr="0009445C">
        <w:t xml:space="preserve">1.5 </w:t>
      </w:r>
      <w:r w:rsidRPr="0009445C">
        <w:tab/>
        <w:t>Section 5.2.5.1:</w:t>
      </w:r>
    </w:p>
    <w:p w14:paraId="10AE84AB" w14:textId="77777777" w:rsidR="00EC702A" w:rsidRPr="0009445C" w:rsidRDefault="00EC702A" w:rsidP="00EC702A">
      <w:pPr>
        <w:pStyle w:val="BRL-AnlageStandard"/>
      </w:pPr>
      <w:r w:rsidRPr="0009445C">
        <w:t>To be added: ‘Suitability of the k-value approach is regarded as having been demonstrated for ground granulated blast furnace slag.’</w:t>
      </w:r>
    </w:p>
    <w:p w14:paraId="12243B76" w14:textId="77777777" w:rsidR="00EC702A" w:rsidRPr="0009445C" w:rsidRDefault="00EC702A" w:rsidP="00EC702A">
      <w:pPr>
        <w:pStyle w:val="BRL-AnlageStandard"/>
      </w:pPr>
      <w:r w:rsidRPr="0009445C">
        <w:t>The following shall be added after Paragraph 8: ‘Only silica fumes containing Class 1 silicon dioxide may be used.’</w:t>
      </w:r>
    </w:p>
    <w:p w14:paraId="1309DF35" w14:textId="77777777" w:rsidR="00EC702A" w:rsidRPr="0009445C" w:rsidRDefault="00EC702A" w:rsidP="00EC702A">
      <w:pPr>
        <w:pStyle w:val="BRL-AnlagenStandardEinrck"/>
      </w:pPr>
    </w:p>
    <w:p w14:paraId="7CC4B6B6" w14:textId="77777777" w:rsidR="00EC702A" w:rsidRPr="0009445C" w:rsidRDefault="00EC702A" w:rsidP="00EC702A">
      <w:pPr>
        <w:pStyle w:val="BRL-Nummerierung"/>
      </w:pPr>
      <w:r w:rsidRPr="0009445C">
        <w:t>1.6</w:t>
      </w:r>
      <w:r w:rsidRPr="0009445C">
        <w:tab/>
        <w:t xml:space="preserve">Section 5.2.5.2.1: </w:t>
      </w:r>
    </w:p>
    <w:p w14:paraId="0372911A" w14:textId="77777777" w:rsidR="00EC702A" w:rsidRPr="0009445C" w:rsidRDefault="00EC702A" w:rsidP="00EC702A">
      <w:pPr>
        <w:pStyle w:val="BRL-AnlageStandard"/>
      </w:pPr>
      <w:r w:rsidRPr="0009445C">
        <w:t>To be added: ‘Regarding the application of the k-value approach to ground granulated blast furnace slag, the stipulations under DIN 1045</w:t>
      </w:r>
      <w:r w:rsidRPr="0009445C">
        <w:noBreakHyphen/>
        <w:t xml:space="preserve">2:2008-08, 5.2.5.2.2 apply to fly ash accordingly. The lowering of the minimum cement content and making allowances for the water/cement ratio are </w:t>
      </w:r>
      <w:r w:rsidRPr="0009445C">
        <w:rPr>
          <w:u w:val="single"/>
        </w:rPr>
        <w:t>not</w:t>
      </w:r>
      <w:r w:rsidRPr="0009445C">
        <w:t xml:space="preserve"> permitted for the exposure classes XF2 and XF4.</w:t>
      </w:r>
    </w:p>
    <w:p w14:paraId="5D3536A2" w14:textId="77777777" w:rsidR="00EC702A" w:rsidRPr="0009445C" w:rsidRDefault="00EC702A" w:rsidP="00EC702A">
      <w:pPr>
        <w:pStyle w:val="BRL-AnlageStandard"/>
      </w:pPr>
      <w:r w:rsidRPr="0009445C">
        <w:t xml:space="preserve">The simultaneous use of ground granulated blast furnace slag and fly ash and/or silica fume is </w:t>
      </w:r>
      <w:r w:rsidRPr="0009445C">
        <w:rPr>
          <w:u w:val="single"/>
        </w:rPr>
        <w:t>not</w:t>
      </w:r>
      <w:r w:rsidRPr="0009445C">
        <w:t xml:space="preserve"> permitted.’</w:t>
      </w:r>
    </w:p>
    <w:p w14:paraId="5D7DDACA" w14:textId="77777777" w:rsidR="00EC702A" w:rsidRPr="0009445C" w:rsidRDefault="00EC702A" w:rsidP="00EC702A">
      <w:pPr>
        <w:pStyle w:val="BRL-AnlagenStandardEinrck"/>
      </w:pPr>
    </w:p>
    <w:p w14:paraId="403F4D7A" w14:textId="77777777" w:rsidR="00EC702A" w:rsidRPr="0009445C" w:rsidRDefault="00EC702A" w:rsidP="00EC702A">
      <w:pPr>
        <w:pStyle w:val="BRL-Nummerierung"/>
      </w:pPr>
      <w:r w:rsidRPr="0009445C">
        <w:t>1.7</w:t>
      </w:r>
      <w:r w:rsidRPr="0009445C">
        <w:tab/>
        <w:t xml:space="preserve">Section 5.2.5.2.2: </w:t>
      </w:r>
    </w:p>
    <w:p w14:paraId="0A8B30FA" w14:textId="77777777" w:rsidR="00C6178A" w:rsidRPr="0009445C" w:rsidRDefault="00C6178A" w:rsidP="00C6178A">
      <w:pPr>
        <w:pStyle w:val="BRL-AnlageStandard"/>
      </w:pPr>
      <w:r w:rsidRPr="0009445C">
        <w:t>The following is to be added to the list of cements in Paragraph 1:</w:t>
      </w:r>
    </w:p>
    <w:p w14:paraId="18E29C66" w14:textId="77777777" w:rsidR="00C6178A" w:rsidRPr="0009445C" w:rsidRDefault="00C6178A" w:rsidP="00C6178A">
      <w:pPr>
        <w:pStyle w:val="BRL-AnlageStandard"/>
      </w:pPr>
      <w:r w:rsidRPr="0009445C">
        <w:t>'Portland composite cements CEM II/B-M (S-LL), CEM II/B-M (V-LL) and CEM II/B-M (T-LL) with up to 20 % (mass portion) limestone'</w:t>
      </w:r>
    </w:p>
    <w:p w14:paraId="6B21CB90" w14:textId="77777777" w:rsidR="00C6178A" w:rsidRPr="0009445C" w:rsidRDefault="00C6178A" w:rsidP="00EC702A">
      <w:pPr>
        <w:pStyle w:val="BRL-AnlageStandard"/>
      </w:pPr>
    </w:p>
    <w:p w14:paraId="578C0FD8" w14:textId="2187A06A" w:rsidR="00EC702A" w:rsidRPr="0009445C" w:rsidRDefault="00EC702A" w:rsidP="00EC702A">
      <w:pPr>
        <w:pStyle w:val="BRL-AnlageStandard"/>
      </w:pPr>
      <w:r w:rsidRPr="0009445C">
        <w:t xml:space="preserve">To be added: Regarding the maximum quantity of ground granulated blast furnace slag h which may be included in the water/cement ratio, the condition h/z (ratio of ground granulated blast furnace slag to cement) </w:t>
      </w:r>
      <w:r w:rsidRPr="0009445C">
        <w:sym w:font="Symbol" w:char="F0A3"/>
      </w:r>
      <w:r w:rsidRPr="0009445C">
        <w:t> 0.33 by mass portions can be applied in the case of all cements pursuant to point 5.2.5.2.2.</w:t>
      </w:r>
    </w:p>
    <w:p w14:paraId="3348B918" w14:textId="77777777" w:rsidR="00EC702A" w:rsidRPr="0009445C" w:rsidRDefault="00EC702A" w:rsidP="00EC702A">
      <w:pPr>
        <w:pStyle w:val="BRL-AnlageStandard"/>
      </w:pPr>
    </w:p>
    <w:p w14:paraId="07F1AF94" w14:textId="77777777" w:rsidR="00EC702A" w:rsidRPr="0009445C" w:rsidRDefault="00EC702A" w:rsidP="00EC702A">
      <w:pPr>
        <w:pStyle w:val="BRL-AnlageStandard"/>
      </w:pPr>
      <w:r w:rsidRPr="0009445C">
        <w:t>In the case of cements with the main constituent D, a quantity of ground granulated blast furnace slag in excess of h/z = 0.15 may be used.</w:t>
      </w:r>
    </w:p>
    <w:p w14:paraId="5DE97CC8" w14:textId="77777777" w:rsidR="00EC702A" w:rsidRPr="0009445C" w:rsidRDefault="00EC702A" w:rsidP="00EC702A">
      <w:pPr>
        <w:pStyle w:val="BRL-AnlageStandard"/>
      </w:pPr>
    </w:p>
    <w:p w14:paraId="6164F173" w14:textId="77777777" w:rsidR="00EC702A" w:rsidRPr="0009445C" w:rsidRDefault="00EC702A" w:rsidP="00EC702A">
      <w:pPr>
        <w:pStyle w:val="BRL-AnlageStandard"/>
      </w:pPr>
      <w:r w:rsidRPr="0009445C">
        <w:t xml:space="preserve">After the 7th paragraph for the production of high sulphate resistance concrete is listed in the first indent to be added: 'Portland composite cements CEM II/B-M (S-LL), CEM II/B-M (V-LL) and CEM II/B-M (T-LL) with up to 20 % (mass portion) limestone' </w:t>
      </w:r>
    </w:p>
    <w:p w14:paraId="788FBF16" w14:textId="77777777" w:rsidR="00EC702A" w:rsidRPr="0009445C" w:rsidRDefault="00EC702A" w:rsidP="00EC702A">
      <w:pPr>
        <w:pStyle w:val="BRL-AnlageStandard"/>
      </w:pPr>
    </w:p>
    <w:p w14:paraId="3DA2A7ED" w14:textId="77777777" w:rsidR="00EC702A" w:rsidRPr="0009445C" w:rsidRDefault="00EC702A" w:rsidP="00EC702A">
      <w:pPr>
        <w:pStyle w:val="BRL-AnlageStandard"/>
      </w:pPr>
      <w:r w:rsidRPr="0009445C">
        <w:t xml:space="preserve">The flight ash content in terms of cement and fly ash content (z+) must be at least 20 % (by mass) of these types of cement. </w:t>
      </w:r>
    </w:p>
    <w:p w14:paraId="24110F88" w14:textId="77777777" w:rsidR="00EC702A" w:rsidRPr="0009445C" w:rsidRDefault="00EC702A" w:rsidP="00EC702A">
      <w:pPr>
        <w:pStyle w:val="BRL-AnlageStandard"/>
      </w:pPr>
    </w:p>
    <w:p w14:paraId="3D8DA57B" w14:textId="77777777" w:rsidR="00EC702A" w:rsidRPr="0009445C" w:rsidRDefault="00EC702A" w:rsidP="00EC702A">
      <w:pPr>
        <w:pStyle w:val="BRL-AnlageStandard"/>
      </w:pPr>
      <w:r w:rsidRPr="0009445C">
        <w:t xml:space="preserve">The provisions under 5.2.5.2.2 concerning fly ash used in the production of concrete with a high sulphate resistance may </w:t>
      </w:r>
      <w:r w:rsidRPr="0009445C">
        <w:rPr>
          <w:u w:val="single"/>
        </w:rPr>
        <w:t>not</w:t>
      </w:r>
      <w:r w:rsidRPr="0009445C">
        <w:t xml:space="preserve"> be applied to ground granulated blast furnace slag.’</w:t>
      </w:r>
    </w:p>
    <w:p w14:paraId="7E1227B0" w14:textId="77777777" w:rsidR="00EC702A" w:rsidRPr="0009445C" w:rsidRDefault="00EC702A" w:rsidP="00EC702A">
      <w:pPr>
        <w:pStyle w:val="BRL-AnlageStandard"/>
      </w:pPr>
    </w:p>
    <w:p w14:paraId="19897A22" w14:textId="77777777" w:rsidR="00EC702A" w:rsidRPr="0009445C" w:rsidRDefault="00EC702A" w:rsidP="00EC702A">
      <w:pPr>
        <w:pStyle w:val="BRL-AnlageStandard"/>
      </w:pPr>
      <w:r w:rsidRPr="0009445C">
        <w:t>To be amended: ‘NOTE: The requirements for HS cement are met for CEM I-SR 0, CEM I-SR 3, CEM III/B-SR and CEM III/C-SR under EN 197-1:2011</w:t>
      </w:r>
      <w:r w:rsidRPr="0009445C">
        <w:rPr>
          <w:vertAlign w:val="superscript"/>
        </w:rPr>
        <w:t>1</w:t>
      </w:r>
      <w:r w:rsidRPr="0009445C">
        <w:t>.’</w:t>
      </w:r>
    </w:p>
    <w:p w14:paraId="4A1F331B" w14:textId="77777777" w:rsidR="00EC702A" w:rsidRPr="0009445C" w:rsidRDefault="00EC702A" w:rsidP="00EC702A">
      <w:pPr>
        <w:pStyle w:val="BRL-AnlageStandard"/>
      </w:pPr>
    </w:p>
    <w:p w14:paraId="29F87AF6" w14:textId="77777777" w:rsidR="00EC702A" w:rsidRPr="0009445C" w:rsidRDefault="00EC702A" w:rsidP="00EC702A">
      <w:pPr>
        <w:pStyle w:val="BRL-AnlageStandard"/>
      </w:pPr>
      <w:r w:rsidRPr="0009445C">
        <w:t xml:space="preserve">To be added: ‘The provisions in 5.3.4 for the use of fly ash in underwater concrete do </w:t>
      </w:r>
      <w:r w:rsidRPr="0009445C">
        <w:rPr>
          <w:u w:val="single"/>
        </w:rPr>
        <w:t>not</w:t>
      </w:r>
      <w:r w:rsidRPr="0009445C">
        <w:t xml:space="preserve"> apply for ground granulated blast furnace slag.’</w:t>
      </w:r>
      <w:r w:rsidRPr="0009445C">
        <w:rPr>
          <w:i/>
        </w:rPr>
        <w:t xml:space="preserve"> </w:t>
      </w:r>
    </w:p>
    <w:p w14:paraId="3C91F547" w14:textId="77777777" w:rsidR="00EC702A" w:rsidRPr="0009445C" w:rsidRDefault="00EC702A" w:rsidP="00EC702A">
      <w:pPr>
        <w:pStyle w:val="BRL-AnlagenStandardEinrck"/>
      </w:pPr>
    </w:p>
    <w:p w14:paraId="467B6A54" w14:textId="77777777" w:rsidR="00EC702A" w:rsidRPr="0009445C" w:rsidRDefault="00EC702A" w:rsidP="0009445C">
      <w:pPr>
        <w:pStyle w:val="BRL-Nummerierung"/>
        <w:keepNext/>
      </w:pPr>
      <w:r w:rsidRPr="0009445C">
        <w:lastRenderedPageBreak/>
        <w:t>1.8</w:t>
      </w:r>
      <w:r w:rsidRPr="0009445C">
        <w:tab/>
        <w:t>Section 5.2.5.2.3:</w:t>
      </w:r>
    </w:p>
    <w:p w14:paraId="07AAE193" w14:textId="77777777" w:rsidR="00EC702A" w:rsidRPr="0009445C" w:rsidRDefault="00EC702A" w:rsidP="00EC702A">
      <w:pPr>
        <w:pStyle w:val="BRL-Standard"/>
      </w:pPr>
      <w:r w:rsidRPr="0009445C">
        <w:t>The following is to be added to the list of cements in Paragraph 2:</w:t>
      </w:r>
    </w:p>
    <w:p w14:paraId="419C7BB3" w14:textId="77777777" w:rsidR="00EC702A" w:rsidRPr="0009445C" w:rsidRDefault="00EC702A" w:rsidP="00EC702A">
      <w:pPr>
        <w:pStyle w:val="BRL-Standard"/>
      </w:pPr>
      <w:r w:rsidRPr="0009445C">
        <w:t>'Portland composite cements CEM II/B-M (S-LL), CEM II/B-M (V-LL) and CEM II/B-M (T-LL) with up to 20 % (mass portion) limestone'</w:t>
      </w:r>
    </w:p>
    <w:p w14:paraId="2B425DD1" w14:textId="77777777" w:rsidR="00EC702A" w:rsidRPr="0009445C" w:rsidRDefault="00EC702A" w:rsidP="00EC702A">
      <w:pPr>
        <w:pStyle w:val="BRL-AnlagenStandardEinrck"/>
      </w:pPr>
    </w:p>
    <w:p w14:paraId="2C15E1F6" w14:textId="77777777" w:rsidR="00EC702A" w:rsidRPr="0009445C" w:rsidRDefault="00EC702A" w:rsidP="00EC702A">
      <w:pPr>
        <w:pStyle w:val="BRL-Nummerierung"/>
      </w:pPr>
      <w:r w:rsidRPr="0009445C">
        <w:t>1.9</w:t>
      </w:r>
      <w:r w:rsidRPr="0009445C">
        <w:tab/>
        <w:t>Section 5.2.5.2.4:</w:t>
      </w:r>
    </w:p>
    <w:p w14:paraId="5E8A5556" w14:textId="77777777" w:rsidR="00EC702A" w:rsidRPr="0009445C" w:rsidRDefault="00EC702A" w:rsidP="00EC702A">
      <w:pPr>
        <w:pStyle w:val="BRL-AnlagenStandardEinrck"/>
      </w:pPr>
      <w:r w:rsidRPr="0009445C">
        <w:t>In the 4th paragraph, cements shall be added that may be used:</w:t>
      </w:r>
    </w:p>
    <w:p w14:paraId="7BF89C34" w14:textId="77777777" w:rsidR="00EC702A" w:rsidRPr="0009445C" w:rsidRDefault="00EC702A" w:rsidP="00EC702A">
      <w:pPr>
        <w:pStyle w:val="BRL-AnlagenStandardEinrck"/>
      </w:pPr>
      <w:r w:rsidRPr="0009445C">
        <w:t>'Portland composite cements CEM II/B-M (S-LL) and CEM II/B-M (T-LL) with up to 20 % (mass portion) limestone'</w:t>
      </w:r>
    </w:p>
    <w:p w14:paraId="0B8D808A" w14:textId="77777777" w:rsidR="00EC702A" w:rsidRPr="0009445C" w:rsidRDefault="00EC702A" w:rsidP="00EC702A">
      <w:pPr>
        <w:pStyle w:val="BRL-AnlagenStandardEinrck"/>
      </w:pPr>
    </w:p>
    <w:p w14:paraId="4E88D52B" w14:textId="4E0508AA" w:rsidR="00EC702A" w:rsidRPr="0009445C" w:rsidRDefault="00EC702A" w:rsidP="00EC702A">
      <w:pPr>
        <w:pStyle w:val="BRL-Nummerierung"/>
      </w:pPr>
      <w:bookmarkStart w:id="17" w:name="_Hlk105672552"/>
      <w:r w:rsidRPr="0009445C">
        <w:t>1:10</w:t>
      </w:r>
      <w:r w:rsidRPr="0009445C">
        <w:tab/>
        <w:t>Table F.3.1</w:t>
      </w:r>
    </w:p>
    <w:bookmarkEnd w:id="17"/>
    <w:p w14:paraId="7266C4CF" w14:textId="77777777" w:rsidR="00EC702A" w:rsidRPr="0009445C" w:rsidRDefault="00EC702A" w:rsidP="00EC702A">
      <w:pPr>
        <w:pStyle w:val="BRL-Nummerierung"/>
      </w:pPr>
      <w:r w:rsidRPr="0009445C">
        <w:t>Table heading:</w:t>
      </w:r>
    </w:p>
    <w:p w14:paraId="6B993281" w14:textId="77777777" w:rsidR="00EC702A" w:rsidRPr="0009445C" w:rsidRDefault="00EC702A" w:rsidP="00EC702A">
      <w:pPr>
        <w:pStyle w:val="BRL-AnlageStandard"/>
      </w:pPr>
      <w:r w:rsidRPr="0009445C">
        <w:t>To be amended: ‘Areas of application for cements according to EN 197-1:2011</w:t>
      </w:r>
      <w:r w:rsidRPr="0009445C">
        <w:rPr>
          <w:vertAlign w:val="superscript"/>
        </w:rPr>
        <w:t>1</w:t>
      </w:r>
      <w:r w:rsidRPr="0009445C">
        <w:t>, DIN 1164-11:2003-11, DIN 1164</w:t>
      </w:r>
      <w:r w:rsidRPr="0009445C">
        <w:noBreakHyphen/>
        <w:t>12:2005-06 and for FE cements as well as CEM I-SE and CEM II-SE according to DIN 1164-11:2003-11 for the production of concrete according to DIN 1045-2:2008-08’</w:t>
      </w:r>
    </w:p>
    <w:p w14:paraId="6F33820F" w14:textId="77777777" w:rsidR="00EC702A" w:rsidRPr="0009445C" w:rsidRDefault="00EC702A" w:rsidP="00EC702A">
      <w:pPr>
        <w:pStyle w:val="BRL-AnlageStandard"/>
      </w:pPr>
    </w:p>
    <w:p w14:paraId="26117BC0" w14:textId="77777777" w:rsidR="00EC702A" w:rsidRPr="0009445C" w:rsidRDefault="00EC702A" w:rsidP="00EC702A">
      <w:pPr>
        <w:pStyle w:val="BRL-AnlageStandard"/>
      </w:pPr>
      <w:r w:rsidRPr="0009445C">
        <w:t>Footnote d:</w:t>
      </w:r>
    </w:p>
    <w:p w14:paraId="07C549CC" w14:textId="77777777" w:rsidR="00EC702A" w:rsidRPr="0009445C" w:rsidRDefault="00EC702A" w:rsidP="00EC702A">
      <w:pPr>
        <w:pStyle w:val="BRL-AnlageStandard"/>
      </w:pPr>
      <w:r w:rsidRPr="0009445C">
        <w:t>To be amended: ‘NOTE: The requirements for HS cement are met for CEM I-SR 0, CEM I-SR 3, CEM III/B-SR and CEM III/C-SR under EN 197-1:2011</w:t>
      </w:r>
      <w:r w:rsidRPr="0009445C">
        <w:rPr>
          <w:vertAlign w:val="superscript"/>
        </w:rPr>
        <w:t>1</w:t>
      </w:r>
      <w:r w:rsidRPr="0009445C">
        <w:t>.’</w:t>
      </w:r>
    </w:p>
    <w:p w14:paraId="36ACD0CE" w14:textId="77777777" w:rsidR="00EC702A" w:rsidRPr="0009445C" w:rsidRDefault="00EC702A" w:rsidP="00EC702A">
      <w:pPr>
        <w:pStyle w:val="BRL-AnlageStandard"/>
      </w:pPr>
    </w:p>
    <w:p w14:paraId="1ED3436F" w14:textId="77777777" w:rsidR="00307D5B" w:rsidRPr="0009445C" w:rsidRDefault="00307D5B">
      <w:pPr>
        <w:spacing w:after="200" w:line="276" w:lineRule="auto"/>
        <w:rPr>
          <w:szCs w:val="18"/>
        </w:rPr>
      </w:pPr>
      <w:r w:rsidRPr="0009445C">
        <w:br w:type="page"/>
      </w:r>
    </w:p>
    <w:p w14:paraId="29CEAF93" w14:textId="77777777" w:rsidR="00EC702A" w:rsidRPr="0009445C" w:rsidRDefault="00EC702A" w:rsidP="00EC702A">
      <w:pPr>
        <w:pStyle w:val="BRL-AnlageStandard"/>
      </w:pPr>
      <w:r w:rsidRPr="0009445C">
        <w:lastRenderedPageBreak/>
        <w:t>1:11</w:t>
      </w:r>
      <w:r w:rsidRPr="0009445C">
        <w:tab/>
        <w:t>to Table F.3.2</w:t>
      </w:r>
    </w:p>
    <w:p w14:paraId="7932615B" w14:textId="77777777" w:rsidR="00EC702A" w:rsidRPr="0009445C" w:rsidRDefault="00EC702A" w:rsidP="00EC702A">
      <w:pPr>
        <w:pStyle w:val="BRL-AnlageStandard"/>
      </w:pPr>
      <w:r w:rsidRPr="0009445C">
        <w:t xml:space="preserve">A new line and a footnote j shall be inserted before the last line: (See extract from Table F.3.2) </w:t>
      </w:r>
    </w:p>
    <w:p w14:paraId="1CCDE0CA" w14:textId="77777777" w:rsidR="00EC702A" w:rsidRPr="0009445C" w:rsidRDefault="00EC702A" w:rsidP="00EC702A">
      <w:pPr>
        <w:pStyle w:val="BRL-AnlageStandard"/>
      </w:pPr>
    </w:p>
    <w:p w14:paraId="21355B42" w14:textId="77777777" w:rsidR="00EC702A" w:rsidRPr="0009445C" w:rsidRDefault="00C016FB" w:rsidP="00EC702A">
      <w:pPr>
        <w:pStyle w:val="BRL-AnlageStandard"/>
      </w:pPr>
      <w:r w:rsidRPr="0009445C">
        <w:t>Extract from Table F.3.2 of DIN 1045-2:2008</w:t>
      </w:r>
    </w:p>
    <w:p w14:paraId="16FABD75" w14:textId="77777777" w:rsidR="00C016FB" w:rsidRPr="0009445C" w:rsidRDefault="00C016FB" w:rsidP="00EC702A">
      <w:pPr>
        <w:pStyle w:val="BRL-AnlageStandard"/>
      </w:pPr>
    </w:p>
    <w:tbl>
      <w:tblPr>
        <w:tblStyle w:val="TableGrid"/>
        <w:tblW w:w="0" w:type="auto"/>
        <w:tblInd w:w="1134" w:type="dxa"/>
        <w:tblLook w:val="04A0" w:firstRow="1" w:lastRow="0" w:firstColumn="1" w:lastColumn="0" w:noHBand="0" w:noVBand="1"/>
      </w:tblPr>
      <w:tblGrid>
        <w:gridCol w:w="421"/>
        <w:gridCol w:w="708"/>
        <w:gridCol w:w="709"/>
        <w:gridCol w:w="709"/>
        <w:gridCol w:w="709"/>
        <w:gridCol w:w="425"/>
      </w:tblGrid>
      <w:tr w:rsidR="00AB3316" w:rsidRPr="0009445C" w14:paraId="175125AF" w14:textId="77777777" w:rsidTr="00E868FA">
        <w:trPr>
          <w:cantSplit/>
          <w:trHeight w:val="397"/>
        </w:trPr>
        <w:tc>
          <w:tcPr>
            <w:tcW w:w="2547" w:type="dxa"/>
            <w:gridSpan w:val="4"/>
          </w:tcPr>
          <w:p w14:paraId="2C42FA1C" w14:textId="77777777" w:rsidR="00AB3316" w:rsidRPr="0009445C" w:rsidRDefault="00AB3316" w:rsidP="00AB3316">
            <w:pPr>
              <w:pStyle w:val="BRL-AnlageStandard"/>
              <w:spacing w:line="240" w:lineRule="auto"/>
              <w:jc w:val="center"/>
              <w:rPr>
                <w:rFonts w:cs="Arial"/>
                <w:b/>
                <w:sz w:val="16"/>
                <w:szCs w:val="16"/>
              </w:rPr>
            </w:pPr>
            <w:r w:rsidRPr="0009445C">
              <w:rPr>
                <w:b/>
                <w:sz w:val="16"/>
              </w:rPr>
              <w:t>Prestressing steel compatibility</w:t>
            </w:r>
          </w:p>
        </w:tc>
        <w:tc>
          <w:tcPr>
            <w:tcW w:w="709" w:type="dxa"/>
            <w:textDirection w:val="btLr"/>
          </w:tcPr>
          <w:p w14:paraId="2081DE63" w14:textId="77777777" w:rsidR="00AB3316" w:rsidRPr="0009445C" w:rsidRDefault="00AB3316" w:rsidP="00AB3316">
            <w:pPr>
              <w:pStyle w:val="BRL-AnlageStandard"/>
              <w:spacing w:line="240" w:lineRule="auto"/>
              <w:ind w:left="113" w:right="113"/>
              <w:jc w:val="center"/>
              <w:rPr>
                <w:rFonts w:cs="Arial"/>
                <w:sz w:val="16"/>
                <w:szCs w:val="16"/>
              </w:rPr>
            </w:pPr>
            <w:r w:rsidRPr="0009445C">
              <w:rPr>
                <w:sz w:val="16"/>
              </w:rPr>
              <w:t>X</w:t>
            </w:r>
          </w:p>
        </w:tc>
        <w:tc>
          <w:tcPr>
            <w:tcW w:w="425" w:type="dxa"/>
            <w:vMerge w:val="restart"/>
            <w:textDirection w:val="btLr"/>
          </w:tcPr>
          <w:p w14:paraId="313D4A1E" w14:textId="77777777" w:rsidR="00AB3316" w:rsidRPr="0009445C" w:rsidRDefault="00AB3316" w:rsidP="00AB3316">
            <w:pPr>
              <w:pStyle w:val="BRL-AnlageStandard"/>
              <w:spacing w:line="240" w:lineRule="auto"/>
              <w:ind w:left="113" w:right="113"/>
              <w:jc w:val="left"/>
              <w:rPr>
                <w:rFonts w:cs="Arial"/>
                <w:sz w:val="16"/>
                <w:szCs w:val="16"/>
              </w:rPr>
            </w:pPr>
            <w:r w:rsidRPr="0009445C">
              <w:rPr>
                <w:sz w:val="16"/>
              </w:rPr>
              <w:t xml:space="preserve">a, d, f, </w:t>
            </w:r>
            <w:proofErr w:type="spellStart"/>
            <w:r w:rsidRPr="0009445C">
              <w:rPr>
                <w:sz w:val="16"/>
              </w:rPr>
              <w:t>i</w:t>
            </w:r>
            <w:proofErr w:type="spellEnd"/>
            <w:r w:rsidRPr="0009445C">
              <w:rPr>
                <w:sz w:val="16"/>
              </w:rPr>
              <w:t>, j see footnote in Table F.3.3</w:t>
            </w:r>
          </w:p>
        </w:tc>
      </w:tr>
      <w:tr w:rsidR="00AB3316" w:rsidRPr="0009445C" w14:paraId="78E5695F" w14:textId="77777777" w:rsidTr="00E868FA">
        <w:trPr>
          <w:trHeight w:val="397"/>
        </w:trPr>
        <w:tc>
          <w:tcPr>
            <w:tcW w:w="421" w:type="dxa"/>
            <w:vMerge w:val="restart"/>
            <w:textDirection w:val="btLr"/>
          </w:tcPr>
          <w:p w14:paraId="1F1F7AAD" w14:textId="77777777" w:rsidR="00AB3316" w:rsidRPr="0009445C" w:rsidRDefault="00AB3316" w:rsidP="00AB3316">
            <w:pPr>
              <w:pStyle w:val="BRL-AnlageStandard"/>
              <w:spacing w:line="240" w:lineRule="auto"/>
              <w:jc w:val="center"/>
              <w:rPr>
                <w:rFonts w:cs="Arial"/>
                <w:b/>
                <w:sz w:val="16"/>
                <w:szCs w:val="16"/>
              </w:rPr>
            </w:pPr>
            <w:r w:rsidRPr="0009445C">
              <w:rPr>
                <w:b/>
                <w:sz w:val="16"/>
              </w:rPr>
              <w:t>Concrete attack</w:t>
            </w:r>
          </w:p>
        </w:tc>
        <w:tc>
          <w:tcPr>
            <w:tcW w:w="1417" w:type="dxa"/>
            <w:gridSpan w:val="2"/>
            <w:vMerge w:val="restart"/>
            <w:textDirection w:val="btLr"/>
          </w:tcPr>
          <w:p w14:paraId="15B1F8FF" w14:textId="77777777" w:rsidR="00AB3316" w:rsidRPr="0009445C" w:rsidRDefault="00AB3316" w:rsidP="00AB3316">
            <w:pPr>
              <w:pStyle w:val="BRL-AnlageStandard"/>
              <w:spacing w:line="240" w:lineRule="auto"/>
              <w:jc w:val="center"/>
              <w:rPr>
                <w:rFonts w:cs="Arial"/>
                <w:sz w:val="16"/>
                <w:szCs w:val="16"/>
              </w:rPr>
            </w:pPr>
            <w:r w:rsidRPr="0009445C">
              <w:rPr>
                <w:sz w:val="16"/>
              </w:rPr>
              <w:t>Wear</w:t>
            </w:r>
          </w:p>
        </w:tc>
        <w:tc>
          <w:tcPr>
            <w:tcW w:w="709" w:type="dxa"/>
            <w:textDirection w:val="btLr"/>
          </w:tcPr>
          <w:p w14:paraId="67AA0050" w14:textId="77777777" w:rsidR="00AB3316" w:rsidRPr="0009445C" w:rsidRDefault="00AB3316" w:rsidP="00AB3316">
            <w:pPr>
              <w:pStyle w:val="BRL-AnlageStandard"/>
              <w:spacing w:line="240" w:lineRule="auto"/>
              <w:jc w:val="center"/>
              <w:rPr>
                <w:rFonts w:cs="Arial"/>
                <w:b/>
                <w:sz w:val="16"/>
                <w:szCs w:val="16"/>
              </w:rPr>
            </w:pPr>
            <w:r w:rsidRPr="0009445C">
              <w:rPr>
                <w:b/>
                <w:sz w:val="16"/>
              </w:rPr>
              <w:t>XM3</w:t>
            </w:r>
          </w:p>
        </w:tc>
        <w:tc>
          <w:tcPr>
            <w:tcW w:w="709" w:type="dxa"/>
            <w:textDirection w:val="btLr"/>
          </w:tcPr>
          <w:p w14:paraId="7FDAE74F"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0BE8B145"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7DDB2994" w14:textId="77777777" w:rsidTr="00E868FA">
        <w:trPr>
          <w:trHeight w:val="397"/>
        </w:trPr>
        <w:tc>
          <w:tcPr>
            <w:tcW w:w="421" w:type="dxa"/>
            <w:vMerge/>
            <w:textDirection w:val="btLr"/>
          </w:tcPr>
          <w:p w14:paraId="14086264"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20B359FE"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1B901993" w14:textId="77777777" w:rsidR="00AB3316" w:rsidRPr="0009445C" w:rsidRDefault="00AB3316" w:rsidP="00AB3316">
            <w:pPr>
              <w:pStyle w:val="BRL-AnlageStandard"/>
              <w:spacing w:line="240" w:lineRule="auto"/>
              <w:jc w:val="center"/>
              <w:rPr>
                <w:rFonts w:cs="Arial"/>
                <w:b/>
                <w:sz w:val="16"/>
                <w:szCs w:val="16"/>
              </w:rPr>
            </w:pPr>
            <w:r w:rsidRPr="0009445C">
              <w:rPr>
                <w:b/>
                <w:sz w:val="16"/>
              </w:rPr>
              <w:t>XM2</w:t>
            </w:r>
          </w:p>
        </w:tc>
        <w:tc>
          <w:tcPr>
            <w:tcW w:w="709" w:type="dxa"/>
            <w:textDirection w:val="btLr"/>
          </w:tcPr>
          <w:p w14:paraId="0231EE01"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5084486C"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7621474C" w14:textId="77777777" w:rsidTr="00E868FA">
        <w:trPr>
          <w:trHeight w:val="397"/>
        </w:trPr>
        <w:tc>
          <w:tcPr>
            <w:tcW w:w="421" w:type="dxa"/>
            <w:vMerge/>
            <w:textDirection w:val="btLr"/>
          </w:tcPr>
          <w:p w14:paraId="5BD71B82"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66473718"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551990FF" w14:textId="77777777" w:rsidR="00AB3316" w:rsidRPr="0009445C" w:rsidRDefault="00AB3316" w:rsidP="00AB3316">
            <w:pPr>
              <w:pStyle w:val="BRL-AnlageStandard"/>
              <w:spacing w:line="240" w:lineRule="auto"/>
              <w:jc w:val="center"/>
              <w:rPr>
                <w:rFonts w:cs="Arial"/>
                <w:b/>
                <w:sz w:val="16"/>
                <w:szCs w:val="16"/>
              </w:rPr>
            </w:pPr>
            <w:r w:rsidRPr="0009445C">
              <w:rPr>
                <w:b/>
                <w:sz w:val="16"/>
              </w:rPr>
              <w:t>XM1</w:t>
            </w:r>
          </w:p>
        </w:tc>
        <w:tc>
          <w:tcPr>
            <w:tcW w:w="709" w:type="dxa"/>
            <w:textDirection w:val="btLr"/>
          </w:tcPr>
          <w:p w14:paraId="50DC7B73"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3578CB70"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50699850" w14:textId="77777777" w:rsidTr="00E868FA">
        <w:trPr>
          <w:trHeight w:val="397"/>
        </w:trPr>
        <w:tc>
          <w:tcPr>
            <w:tcW w:w="421" w:type="dxa"/>
            <w:vMerge/>
            <w:textDirection w:val="btLr"/>
          </w:tcPr>
          <w:p w14:paraId="75B936FA"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val="restart"/>
            <w:textDirection w:val="btLr"/>
          </w:tcPr>
          <w:p w14:paraId="5D7F0523" w14:textId="77777777" w:rsidR="00AB3316" w:rsidRPr="0009445C" w:rsidRDefault="00AB3316" w:rsidP="00AB3316">
            <w:pPr>
              <w:pStyle w:val="BRL-AnlageStandard"/>
              <w:spacing w:line="240" w:lineRule="auto"/>
              <w:jc w:val="center"/>
              <w:rPr>
                <w:rFonts w:cs="Arial"/>
                <w:sz w:val="16"/>
                <w:szCs w:val="16"/>
              </w:rPr>
            </w:pPr>
            <w:r w:rsidRPr="0009445C">
              <w:rPr>
                <w:sz w:val="16"/>
              </w:rPr>
              <w:t>Aggressive chemical environment</w:t>
            </w:r>
          </w:p>
        </w:tc>
        <w:tc>
          <w:tcPr>
            <w:tcW w:w="709" w:type="dxa"/>
            <w:textDirection w:val="btLr"/>
          </w:tcPr>
          <w:p w14:paraId="6CF4F457" w14:textId="77777777" w:rsidR="00AB3316" w:rsidRPr="0009445C" w:rsidRDefault="00AB3316" w:rsidP="00AB3316">
            <w:pPr>
              <w:pStyle w:val="BRL-AnlageStandard"/>
              <w:spacing w:line="240" w:lineRule="auto"/>
              <w:jc w:val="center"/>
              <w:rPr>
                <w:rFonts w:cs="Arial"/>
                <w:b/>
                <w:sz w:val="16"/>
                <w:szCs w:val="16"/>
              </w:rPr>
            </w:pPr>
            <w:r w:rsidRPr="0009445C">
              <w:rPr>
                <w:b/>
                <w:sz w:val="16"/>
              </w:rPr>
              <w:t>XA3</w:t>
            </w:r>
            <w:r w:rsidRPr="0009445C">
              <w:rPr>
                <w:b/>
                <w:sz w:val="16"/>
                <w:vertAlign w:val="superscript"/>
              </w:rPr>
              <w:t>a</w:t>
            </w:r>
          </w:p>
        </w:tc>
        <w:tc>
          <w:tcPr>
            <w:tcW w:w="709" w:type="dxa"/>
            <w:textDirection w:val="btLr"/>
          </w:tcPr>
          <w:p w14:paraId="0C4EABA3"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411B53C6"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5FBD0D51" w14:textId="77777777" w:rsidTr="00E868FA">
        <w:trPr>
          <w:trHeight w:val="397"/>
        </w:trPr>
        <w:tc>
          <w:tcPr>
            <w:tcW w:w="421" w:type="dxa"/>
            <w:vMerge/>
            <w:textDirection w:val="btLr"/>
          </w:tcPr>
          <w:p w14:paraId="7E05168A"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243EB867"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1534FC18" w14:textId="77777777" w:rsidR="00AB3316" w:rsidRPr="0009445C" w:rsidRDefault="00AB3316" w:rsidP="00AB3316">
            <w:pPr>
              <w:pStyle w:val="BRL-AnlageStandard"/>
              <w:spacing w:line="240" w:lineRule="auto"/>
              <w:jc w:val="center"/>
              <w:rPr>
                <w:rFonts w:cs="Arial"/>
                <w:b/>
                <w:sz w:val="16"/>
                <w:szCs w:val="16"/>
              </w:rPr>
            </w:pPr>
            <w:r w:rsidRPr="0009445C">
              <w:rPr>
                <w:b/>
                <w:sz w:val="16"/>
              </w:rPr>
              <w:t>XA2</w:t>
            </w:r>
            <w:r w:rsidRPr="0009445C">
              <w:rPr>
                <w:b/>
                <w:sz w:val="16"/>
                <w:vertAlign w:val="superscript"/>
              </w:rPr>
              <w:t>d</w:t>
            </w:r>
          </w:p>
        </w:tc>
        <w:tc>
          <w:tcPr>
            <w:tcW w:w="709" w:type="dxa"/>
            <w:textDirection w:val="btLr"/>
          </w:tcPr>
          <w:p w14:paraId="2CB7F2CC"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27EA39ED"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32E13681" w14:textId="77777777" w:rsidTr="00E868FA">
        <w:trPr>
          <w:trHeight w:val="397"/>
        </w:trPr>
        <w:tc>
          <w:tcPr>
            <w:tcW w:w="421" w:type="dxa"/>
            <w:vMerge/>
            <w:textDirection w:val="btLr"/>
          </w:tcPr>
          <w:p w14:paraId="72B4BC8E"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1AB29584"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501E9B3B" w14:textId="77777777" w:rsidR="00AB3316" w:rsidRPr="0009445C" w:rsidRDefault="00AB3316" w:rsidP="00AB3316">
            <w:pPr>
              <w:pStyle w:val="BRL-AnlageStandard"/>
              <w:spacing w:line="240" w:lineRule="auto"/>
              <w:jc w:val="center"/>
              <w:rPr>
                <w:rFonts w:cs="Arial"/>
                <w:b/>
                <w:sz w:val="16"/>
                <w:szCs w:val="16"/>
              </w:rPr>
            </w:pPr>
            <w:r w:rsidRPr="0009445C">
              <w:rPr>
                <w:b/>
                <w:sz w:val="16"/>
              </w:rPr>
              <w:t>XA1</w:t>
            </w:r>
          </w:p>
        </w:tc>
        <w:tc>
          <w:tcPr>
            <w:tcW w:w="709" w:type="dxa"/>
            <w:textDirection w:val="btLr"/>
          </w:tcPr>
          <w:p w14:paraId="4135FBB4"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4F05F6FD"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456F3EC8" w14:textId="77777777" w:rsidTr="00E868FA">
        <w:trPr>
          <w:trHeight w:val="397"/>
        </w:trPr>
        <w:tc>
          <w:tcPr>
            <w:tcW w:w="421" w:type="dxa"/>
            <w:vMerge/>
            <w:textDirection w:val="btLr"/>
          </w:tcPr>
          <w:p w14:paraId="04F4D09A"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val="restart"/>
            <w:textDirection w:val="btLr"/>
          </w:tcPr>
          <w:p w14:paraId="3EF36057" w14:textId="77777777" w:rsidR="00AB3316" w:rsidRPr="0009445C" w:rsidRDefault="00AB3316" w:rsidP="00AB3316">
            <w:pPr>
              <w:pStyle w:val="BRL-AnlageStandard"/>
              <w:spacing w:line="240" w:lineRule="auto"/>
              <w:jc w:val="center"/>
              <w:rPr>
                <w:rFonts w:cs="Arial"/>
                <w:sz w:val="16"/>
                <w:szCs w:val="16"/>
              </w:rPr>
            </w:pPr>
            <w:r w:rsidRPr="0009445C">
              <w:rPr>
                <w:sz w:val="16"/>
              </w:rPr>
              <w:t>Frost Attack</w:t>
            </w:r>
          </w:p>
        </w:tc>
        <w:tc>
          <w:tcPr>
            <w:tcW w:w="709" w:type="dxa"/>
            <w:textDirection w:val="btLr"/>
          </w:tcPr>
          <w:p w14:paraId="19C3AC85" w14:textId="77777777" w:rsidR="00AB3316" w:rsidRPr="0009445C" w:rsidRDefault="00AB3316" w:rsidP="00AB3316">
            <w:pPr>
              <w:pStyle w:val="BRL-AnlageStandard"/>
              <w:spacing w:line="240" w:lineRule="auto"/>
              <w:jc w:val="center"/>
              <w:rPr>
                <w:rFonts w:cs="Arial"/>
                <w:b/>
                <w:sz w:val="16"/>
                <w:szCs w:val="16"/>
              </w:rPr>
            </w:pPr>
            <w:r w:rsidRPr="0009445C">
              <w:rPr>
                <w:b/>
                <w:sz w:val="16"/>
              </w:rPr>
              <w:t>XF4</w:t>
            </w:r>
          </w:p>
        </w:tc>
        <w:tc>
          <w:tcPr>
            <w:tcW w:w="709" w:type="dxa"/>
            <w:textDirection w:val="btLr"/>
          </w:tcPr>
          <w:p w14:paraId="02BE25AA" w14:textId="77777777" w:rsidR="00AB3316" w:rsidRPr="0009445C" w:rsidRDefault="00AB3316" w:rsidP="00AB3316">
            <w:pPr>
              <w:pStyle w:val="BRL-AnlageStandard"/>
              <w:spacing w:line="240" w:lineRule="auto"/>
              <w:jc w:val="center"/>
              <w:rPr>
                <w:rFonts w:cs="Arial"/>
                <w:sz w:val="16"/>
                <w:szCs w:val="16"/>
              </w:rPr>
            </w:pPr>
            <w:r w:rsidRPr="0009445C">
              <w:rPr>
                <w:sz w:val="16"/>
              </w:rPr>
              <w:t>O</w:t>
            </w:r>
          </w:p>
        </w:tc>
        <w:tc>
          <w:tcPr>
            <w:tcW w:w="425" w:type="dxa"/>
            <w:vMerge/>
          </w:tcPr>
          <w:p w14:paraId="53B798D6"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520E4624" w14:textId="77777777" w:rsidTr="00E868FA">
        <w:trPr>
          <w:trHeight w:val="397"/>
        </w:trPr>
        <w:tc>
          <w:tcPr>
            <w:tcW w:w="421" w:type="dxa"/>
            <w:vMerge/>
            <w:textDirection w:val="btLr"/>
          </w:tcPr>
          <w:p w14:paraId="57C864DB"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3DD21C78"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409B0B8C" w14:textId="77777777" w:rsidR="00AB3316" w:rsidRPr="0009445C" w:rsidRDefault="00AB3316" w:rsidP="00AB3316">
            <w:pPr>
              <w:pStyle w:val="BRL-AnlageStandard"/>
              <w:spacing w:line="240" w:lineRule="auto"/>
              <w:jc w:val="center"/>
              <w:rPr>
                <w:rFonts w:cs="Arial"/>
                <w:b/>
                <w:sz w:val="16"/>
                <w:szCs w:val="16"/>
              </w:rPr>
            </w:pPr>
            <w:r w:rsidRPr="0009445C">
              <w:rPr>
                <w:b/>
                <w:sz w:val="16"/>
              </w:rPr>
              <w:t>XF3</w:t>
            </w:r>
          </w:p>
        </w:tc>
        <w:tc>
          <w:tcPr>
            <w:tcW w:w="709" w:type="dxa"/>
            <w:textDirection w:val="btLr"/>
          </w:tcPr>
          <w:p w14:paraId="1716DF8A" w14:textId="77777777" w:rsidR="00AB3316" w:rsidRPr="0009445C" w:rsidRDefault="00AB3316" w:rsidP="00AB3316">
            <w:pPr>
              <w:pStyle w:val="BRL-AnlageStandard"/>
              <w:spacing w:line="240" w:lineRule="auto"/>
              <w:jc w:val="center"/>
              <w:rPr>
                <w:rFonts w:cs="Arial"/>
                <w:sz w:val="16"/>
                <w:szCs w:val="16"/>
              </w:rPr>
            </w:pPr>
            <w:r w:rsidRPr="0009445C">
              <w:rPr>
                <w:sz w:val="16"/>
              </w:rPr>
              <w:t>O</w:t>
            </w:r>
          </w:p>
        </w:tc>
        <w:tc>
          <w:tcPr>
            <w:tcW w:w="425" w:type="dxa"/>
            <w:vMerge/>
          </w:tcPr>
          <w:p w14:paraId="638A7744"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0595C40F" w14:textId="77777777" w:rsidTr="00E868FA">
        <w:trPr>
          <w:trHeight w:val="397"/>
        </w:trPr>
        <w:tc>
          <w:tcPr>
            <w:tcW w:w="421" w:type="dxa"/>
            <w:vMerge/>
            <w:textDirection w:val="btLr"/>
          </w:tcPr>
          <w:p w14:paraId="08A5B623"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58491522"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06BCB0F1" w14:textId="77777777" w:rsidR="00AB3316" w:rsidRPr="0009445C" w:rsidRDefault="00AB3316" w:rsidP="00AB3316">
            <w:pPr>
              <w:pStyle w:val="BRL-AnlageStandard"/>
              <w:spacing w:line="240" w:lineRule="auto"/>
              <w:jc w:val="center"/>
              <w:rPr>
                <w:rFonts w:cs="Arial"/>
                <w:b/>
                <w:sz w:val="16"/>
                <w:szCs w:val="16"/>
              </w:rPr>
            </w:pPr>
            <w:r w:rsidRPr="0009445C">
              <w:rPr>
                <w:b/>
                <w:sz w:val="16"/>
              </w:rPr>
              <w:t>XF2</w:t>
            </w:r>
          </w:p>
        </w:tc>
        <w:tc>
          <w:tcPr>
            <w:tcW w:w="709" w:type="dxa"/>
            <w:textDirection w:val="btLr"/>
          </w:tcPr>
          <w:p w14:paraId="0FDCBD22" w14:textId="77777777" w:rsidR="00AB3316" w:rsidRPr="0009445C" w:rsidRDefault="00AB3316" w:rsidP="00AB3316">
            <w:pPr>
              <w:pStyle w:val="BRL-AnlageStandard"/>
              <w:spacing w:line="240" w:lineRule="auto"/>
              <w:jc w:val="center"/>
              <w:rPr>
                <w:rFonts w:cs="Arial"/>
                <w:sz w:val="16"/>
                <w:szCs w:val="16"/>
              </w:rPr>
            </w:pPr>
            <w:r w:rsidRPr="0009445C">
              <w:rPr>
                <w:sz w:val="16"/>
              </w:rPr>
              <w:t>O</w:t>
            </w:r>
          </w:p>
        </w:tc>
        <w:tc>
          <w:tcPr>
            <w:tcW w:w="425" w:type="dxa"/>
            <w:vMerge/>
          </w:tcPr>
          <w:p w14:paraId="225081F1"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2C514449" w14:textId="77777777" w:rsidTr="00E868FA">
        <w:trPr>
          <w:trHeight w:val="397"/>
        </w:trPr>
        <w:tc>
          <w:tcPr>
            <w:tcW w:w="421" w:type="dxa"/>
            <w:vMerge/>
            <w:textDirection w:val="btLr"/>
          </w:tcPr>
          <w:p w14:paraId="5D8F2E31"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58EBF739"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6F783559" w14:textId="77777777" w:rsidR="00AB3316" w:rsidRPr="0009445C" w:rsidRDefault="00AB3316" w:rsidP="00AB3316">
            <w:pPr>
              <w:pStyle w:val="BRL-AnlageStandard"/>
              <w:spacing w:line="240" w:lineRule="auto"/>
              <w:jc w:val="center"/>
              <w:rPr>
                <w:rFonts w:cs="Arial"/>
                <w:b/>
                <w:sz w:val="16"/>
                <w:szCs w:val="16"/>
              </w:rPr>
            </w:pPr>
            <w:r w:rsidRPr="0009445C">
              <w:rPr>
                <w:b/>
                <w:sz w:val="16"/>
              </w:rPr>
              <w:t>XF1</w:t>
            </w:r>
          </w:p>
        </w:tc>
        <w:tc>
          <w:tcPr>
            <w:tcW w:w="709" w:type="dxa"/>
            <w:textDirection w:val="btLr"/>
          </w:tcPr>
          <w:p w14:paraId="71A389E5"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29EE0C0E"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1B35DB34" w14:textId="77777777" w:rsidTr="00F619D1">
        <w:trPr>
          <w:trHeight w:val="397"/>
        </w:trPr>
        <w:tc>
          <w:tcPr>
            <w:tcW w:w="421" w:type="dxa"/>
            <w:vMerge w:val="restart"/>
            <w:textDirection w:val="btLr"/>
          </w:tcPr>
          <w:p w14:paraId="44B57E22" w14:textId="77777777" w:rsidR="00AB3316" w:rsidRPr="0009445C" w:rsidRDefault="00AB3316" w:rsidP="00AB3316">
            <w:pPr>
              <w:pStyle w:val="BRL-AnlageStandard"/>
              <w:spacing w:line="240" w:lineRule="auto"/>
              <w:jc w:val="center"/>
              <w:rPr>
                <w:rFonts w:cs="Arial"/>
                <w:b/>
                <w:sz w:val="16"/>
                <w:szCs w:val="16"/>
              </w:rPr>
            </w:pPr>
            <w:r w:rsidRPr="0009445C">
              <w:rPr>
                <w:b/>
                <w:sz w:val="16"/>
              </w:rPr>
              <w:t>Reinforcement corrosion</w:t>
            </w:r>
          </w:p>
        </w:tc>
        <w:tc>
          <w:tcPr>
            <w:tcW w:w="708" w:type="dxa"/>
            <w:vMerge w:val="restart"/>
            <w:textDirection w:val="btLr"/>
          </w:tcPr>
          <w:p w14:paraId="01B4C17C" w14:textId="77777777" w:rsidR="00AB3316" w:rsidRPr="0009445C" w:rsidRDefault="00AB3316" w:rsidP="00AB3316">
            <w:pPr>
              <w:pStyle w:val="BRL-AnlageStandard"/>
              <w:spacing w:line="240" w:lineRule="auto"/>
              <w:jc w:val="center"/>
              <w:rPr>
                <w:rFonts w:cs="Arial"/>
                <w:sz w:val="16"/>
                <w:szCs w:val="16"/>
              </w:rPr>
            </w:pPr>
            <w:r w:rsidRPr="0009445C">
              <w:rPr>
                <w:sz w:val="16"/>
              </w:rPr>
              <w:t>Corrosion caused by chlorides</w:t>
            </w:r>
          </w:p>
        </w:tc>
        <w:tc>
          <w:tcPr>
            <w:tcW w:w="709" w:type="dxa"/>
            <w:vMerge w:val="restart"/>
            <w:textDirection w:val="btLr"/>
          </w:tcPr>
          <w:p w14:paraId="0E6F7171" w14:textId="77777777" w:rsidR="00AB3316" w:rsidRPr="0009445C" w:rsidRDefault="00AB3316" w:rsidP="00AB3316">
            <w:pPr>
              <w:pStyle w:val="BRL-AnlageStandard"/>
              <w:spacing w:line="240" w:lineRule="auto"/>
              <w:jc w:val="center"/>
              <w:rPr>
                <w:rFonts w:cs="Arial"/>
                <w:sz w:val="16"/>
                <w:szCs w:val="16"/>
              </w:rPr>
            </w:pPr>
            <w:r w:rsidRPr="0009445C">
              <w:rPr>
                <w:sz w:val="16"/>
              </w:rPr>
              <w:t>Chlorides from sea water</w:t>
            </w:r>
          </w:p>
        </w:tc>
        <w:tc>
          <w:tcPr>
            <w:tcW w:w="709" w:type="dxa"/>
            <w:textDirection w:val="btLr"/>
          </w:tcPr>
          <w:p w14:paraId="645FA2CA" w14:textId="77777777" w:rsidR="00AB3316" w:rsidRPr="0009445C" w:rsidRDefault="00AB3316" w:rsidP="00AB3316">
            <w:pPr>
              <w:pStyle w:val="BRL-AnlageStandard"/>
              <w:spacing w:line="240" w:lineRule="auto"/>
              <w:jc w:val="center"/>
              <w:rPr>
                <w:rFonts w:cs="Arial"/>
                <w:b/>
                <w:sz w:val="16"/>
                <w:szCs w:val="16"/>
              </w:rPr>
            </w:pPr>
            <w:r w:rsidRPr="0009445C">
              <w:rPr>
                <w:b/>
                <w:sz w:val="16"/>
              </w:rPr>
              <w:t>XS3</w:t>
            </w:r>
          </w:p>
        </w:tc>
        <w:tc>
          <w:tcPr>
            <w:tcW w:w="709" w:type="dxa"/>
            <w:textDirection w:val="btLr"/>
          </w:tcPr>
          <w:p w14:paraId="43F50CB4"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2AF52FC1"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52365CFE" w14:textId="77777777" w:rsidTr="00F619D1">
        <w:trPr>
          <w:trHeight w:val="397"/>
        </w:trPr>
        <w:tc>
          <w:tcPr>
            <w:tcW w:w="421" w:type="dxa"/>
            <w:vMerge/>
            <w:textDirection w:val="btLr"/>
          </w:tcPr>
          <w:p w14:paraId="7C27166E" w14:textId="77777777" w:rsidR="00AB3316" w:rsidRPr="0009445C" w:rsidRDefault="00AB3316" w:rsidP="002158CF">
            <w:pPr>
              <w:pStyle w:val="BRL-AnlageStandard"/>
              <w:spacing w:line="240" w:lineRule="auto"/>
              <w:jc w:val="left"/>
              <w:rPr>
                <w:rFonts w:cs="Arial"/>
                <w:sz w:val="16"/>
                <w:szCs w:val="16"/>
              </w:rPr>
            </w:pPr>
          </w:p>
        </w:tc>
        <w:tc>
          <w:tcPr>
            <w:tcW w:w="708" w:type="dxa"/>
            <w:vMerge/>
            <w:textDirection w:val="btLr"/>
          </w:tcPr>
          <w:p w14:paraId="0294712D" w14:textId="77777777" w:rsidR="00AB3316" w:rsidRPr="0009445C" w:rsidRDefault="00AB3316" w:rsidP="002158CF">
            <w:pPr>
              <w:pStyle w:val="BRL-AnlageStandard"/>
              <w:spacing w:line="240" w:lineRule="auto"/>
              <w:jc w:val="left"/>
              <w:rPr>
                <w:rFonts w:cs="Arial"/>
                <w:sz w:val="16"/>
                <w:szCs w:val="16"/>
              </w:rPr>
            </w:pPr>
          </w:p>
        </w:tc>
        <w:tc>
          <w:tcPr>
            <w:tcW w:w="709" w:type="dxa"/>
            <w:vMerge/>
            <w:textDirection w:val="btLr"/>
          </w:tcPr>
          <w:p w14:paraId="13C67E87"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40F0B6D8" w14:textId="77777777" w:rsidR="00AB3316" w:rsidRPr="0009445C" w:rsidRDefault="00AB3316" w:rsidP="00AB3316">
            <w:pPr>
              <w:pStyle w:val="BRL-AnlageStandard"/>
              <w:spacing w:line="240" w:lineRule="auto"/>
              <w:jc w:val="center"/>
              <w:rPr>
                <w:rFonts w:cs="Arial"/>
                <w:b/>
                <w:sz w:val="16"/>
                <w:szCs w:val="16"/>
              </w:rPr>
            </w:pPr>
            <w:r w:rsidRPr="0009445C">
              <w:rPr>
                <w:b/>
                <w:sz w:val="16"/>
              </w:rPr>
              <w:t>XS2</w:t>
            </w:r>
          </w:p>
        </w:tc>
        <w:tc>
          <w:tcPr>
            <w:tcW w:w="709" w:type="dxa"/>
            <w:textDirection w:val="btLr"/>
          </w:tcPr>
          <w:p w14:paraId="6DA356FB"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2E4CC535"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478D3E87" w14:textId="77777777" w:rsidTr="00F619D1">
        <w:trPr>
          <w:trHeight w:val="397"/>
        </w:trPr>
        <w:tc>
          <w:tcPr>
            <w:tcW w:w="421" w:type="dxa"/>
            <w:vMerge/>
            <w:textDirection w:val="btLr"/>
          </w:tcPr>
          <w:p w14:paraId="0A9A54D8" w14:textId="77777777" w:rsidR="00AB3316" w:rsidRPr="0009445C" w:rsidRDefault="00AB3316" w:rsidP="002158CF">
            <w:pPr>
              <w:pStyle w:val="BRL-AnlageStandard"/>
              <w:spacing w:line="240" w:lineRule="auto"/>
              <w:jc w:val="left"/>
              <w:rPr>
                <w:rFonts w:cs="Arial"/>
                <w:sz w:val="16"/>
                <w:szCs w:val="16"/>
              </w:rPr>
            </w:pPr>
          </w:p>
        </w:tc>
        <w:tc>
          <w:tcPr>
            <w:tcW w:w="708" w:type="dxa"/>
            <w:vMerge/>
            <w:textDirection w:val="btLr"/>
          </w:tcPr>
          <w:p w14:paraId="5DB58A67" w14:textId="77777777" w:rsidR="00AB3316" w:rsidRPr="0009445C" w:rsidRDefault="00AB3316" w:rsidP="002158CF">
            <w:pPr>
              <w:pStyle w:val="BRL-AnlageStandard"/>
              <w:spacing w:line="240" w:lineRule="auto"/>
              <w:jc w:val="left"/>
              <w:rPr>
                <w:rFonts w:cs="Arial"/>
                <w:sz w:val="16"/>
                <w:szCs w:val="16"/>
              </w:rPr>
            </w:pPr>
          </w:p>
        </w:tc>
        <w:tc>
          <w:tcPr>
            <w:tcW w:w="709" w:type="dxa"/>
            <w:vMerge/>
            <w:textDirection w:val="btLr"/>
          </w:tcPr>
          <w:p w14:paraId="188B8A81"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3C4D3EB8" w14:textId="77777777" w:rsidR="00AB3316" w:rsidRPr="0009445C" w:rsidRDefault="00AB3316" w:rsidP="00AB3316">
            <w:pPr>
              <w:pStyle w:val="BRL-AnlageStandard"/>
              <w:spacing w:line="240" w:lineRule="auto"/>
              <w:jc w:val="center"/>
              <w:rPr>
                <w:rFonts w:cs="Arial"/>
                <w:b/>
                <w:sz w:val="16"/>
                <w:szCs w:val="16"/>
              </w:rPr>
            </w:pPr>
            <w:r w:rsidRPr="0009445C">
              <w:rPr>
                <w:b/>
                <w:sz w:val="16"/>
              </w:rPr>
              <w:t>XS1</w:t>
            </w:r>
          </w:p>
        </w:tc>
        <w:tc>
          <w:tcPr>
            <w:tcW w:w="709" w:type="dxa"/>
            <w:textDirection w:val="btLr"/>
          </w:tcPr>
          <w:p w14:paraId="7A6BFA19"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1B668872"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1DC07C1E" w14:textId="77777777" w:rsidTr="00F619D1">
        <w:trPr>
          <w:trHeight w:val="397"/>
        </w:trPr>
        <w:tc>
          <w:tcPr>
            <w:tcW w:w="421" w:type="dxa"/>
            <w:vMerge/>
            <w:textDirection w:val="btLr"/>
          </w:tcPr>
          <w:p w14:paraId="10A494F7" w14:textId="77777777" w:rsidR="00AB3316" w:rsidRPr="0009445C" w:rsidRDefault="00AB3316" w:rsidP="002158CF">
            <w:pPr>
              <w:pStyle w:val="BRL-AnlageStandard"/>
              <w:spacing w:line="240" w:lineRule="auto"/>
              <w:jc w:val="left"/>
              <w:rPr>
                <w:rFonts w:cs="Arial"/>
                <w:sz w:val="16"/>
                <w:szCs w:val="16"/>
              </w:rPr>
            </w:pPr>
          </w:p>
        </w:tc>
        <w:tc>
          <w:tcPr>
            <w:tcW w:w="708" w:type="dxa"/>
            <w:vMerge/>
            <w:textDirection w:val="btLr"/>
          </w:tcPr>
          <w:p w14:paraId="14F38BFE" w14:textId="77777777" w:rsidR="00AB3316" w:rsidRPr="0009445C" w:rsidRDefault="00AB3316" w:rsidP="002158CF">
            <w:pPr>
              <w:pStyle w:val="BRL-AnlageStandard"/>
              <w:spacing w:line="240" w:lineRule="auto"/>
              <w:jc w:val="left"/>
              <w:rPr>
                <w:rFonts w:cs="Arial"/>
                <w:sz w:val="16"/>
                <w:szCs w:val="16"/>
              </w:rPr>
            </w:pPr>
          </w:p>
        </w:tc>
        <w:tc>
          <w:tcPr>
            <w:tcW w:w="709" w:type="dxa"/>
            <w:vMerge w:val="restart"/>
            <w:textDirection w:val="btLr"/>
          </w:tcPr>
          <w:p w14:paraId="5E4E54F5" w14:textId="77777777" w:rsidR="00AB3316" w:rsidRPr="0009445C" w:rsidRDefault="00AB3316" w:rsidP="00AB3316">
            <w:pPr>
              <w:pStyle w:val="BRL-AnlageStandard"/>
              <w:spacing w:line="240" w:lineRule="auto"/>
              <w:jc w:val="center"/>
              <w:rPr>
                <w:rFonts w:cs="Arial"/>
                <w:sz w:val="16"/>
                <w:szCs w:val="16"/>
              </w:rPr>
            </w:pPr>
            <w:r w:rsidRPr="0009445C">
              <w:rPr>
                <w:sz w:val="16"/>
              </w:rPr>
              <w:t>chlorides other than seawater</w:t>
            </w:r>
          </w:p>
        </w:tc>
        <w:tc>
          <w:tcPr>
            <w:tcW w:w="709" w:type="dxa"/>
            <w:textDirection w:val="btLr"/>
          </w:tcPr>
          <w:p w14:paraId="7E1E11FE" w14:textId="77777777" w:rsidR="00AB3316" w:rsidRPr="0009445C" w:rsidRDefault="00AB3316" w:rsidP="00AB3316">
            <w:pPr>
              <w:pStyle w:val="BRL-AnlageStandard"/>
              <w:spacing w:line="240" w:lineRule="auto"/>
              <w:jc w:val="center"/>
              <w:rPr>
                <w:rFonts w:cs="Arial"/>
                <w:b/>
                <w:sz w:val="16"/>
                <w:szCs w:val="16"/>
              </w:rPr>
            </w:pPr>
            <w:r w:rsidRPr="0009445C">
              <w:rPr>
                <w:b/>
                <w:sz w:val="16"/>
              </w:rPr>
              <w:t>XD3</w:t>
            </w:r>
          </w:p>
        </w:tc>
        <w:tc>
          <w:tcPr>
            <w:tcW w:w="709" w:type="dxa"/>
            <w:textDirection w:val="btLr"/>
          </w:tcPr>
          <w:p w14:paraId="62A5390E"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778AAA9F"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10619257" w14:textId="77777777" w:rsidTr="00F619D1">
        <w:trPr>
          <w:trHeight w:val="397"/>
        </w:trPr>
        <w:tc>
          <w:tcPr>
            <w:tcW w:w="421" w:type="dxa"/>
            <w:vMerge/>
            <w:textDirection w:val="btLr"/>
          </w:tcPr>
          <w:p w14:paraId="7C66432B" w14:textId="77777777" w:rsidR="00AB3316" w:rsidRPr="0009445C" w:rsidRDefault="00AB3316" w:rsidP="002158CF">
            <w:pPr>
              <w:pStyle w:val="BRL-AnlageStandard"/>
              <w:spacing w:line="240" w:lineRule="auto"/>
              <w:jc w:val="left"/>
              <w:rPr>
                <w:rFonts w:cs="Arial"/>
                <w:sz w:val="16"/>
                <w:szCs w:val="16"/>
              </w:rPr>
            </w:pPr>
          </w:p>
        </w:tc>
        <w:tc>
          <w:tcPr>
            <w:tcW w:w="708" w:type="dxa"/>
            <w:vMerge/>
            <w:textDirection w:val="btLr"/>
          </w:tcPr>
          <w:p w14:paraId="7A2BB244" w14:textId="77777777" w:rsidR="00AB3316" w:rsidRPr="0009445C" w:rsidRDefault="00AB3316" w:rsidP="002158CF">
            <w:pPr>
              <w:pStyle w:val="BRL-AnlageStandard"/>
              <w:spacing w:line="240" w:lineRule="auto"/>
              <w:jc w:val="left"/>
              <w:rPr>
                <w:rFonts w:cs="Arial"/>
                <w:sz w:val="16"/>
                <w:szCs w:val="16"/>
              </w:rPr>
            </w:pPr>
          </w:p>
        </w:tc>
        <w:tc>
          <w:tcPr>
            <w:tcW w:w="709" w:type="dxa"/>
            <w:vMerge/>
            <w:textDirection w:val="btLr"/>
          </w:tcPr>
          <w:p w14:paraId="7962DF66"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61214044" w14:textId="77777777" w:rsidR="00AB3316" w:rsidRPr="0009445C" w:rsidRDefault="00AB3316" w:rsidP="00AB3316">
            <w:pPr>
              <w:pStyle w:val="BRL-AnlageStandard"/>
              <w:spacing w:line="240" w:lineRule="auto"/>
              <w:jc w:val="center"/>
              <w:rPr>
                <w:rFonts w:cs="Arial"/>
                <w:b/>
                <w:sz w:val="16"/>
                <w:szCs w:val="16"/>
              </w:rPr>
            </w:pPr>
            <w:r w:rsidRPr="0009445C">
              <w:rPr>
                <w:b/>
                <w:sz w:val="16"/>
              </w:rPr>
              <w:t>XD2</w:t>
            </w:r>
          </w:p>
        </w:tc>
        <w:tc>
          <w:tcPr>
            <w:tcW w:w="709" w:type="dxa"/>
            <w:textDirection w:val="btLr"/>
          </w:tcPr>
          <w:p w14:paraId="53AB666A"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7184D80E"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62B7238D" w14:textId="77777777" w:rsidTr="00F619D1">
        <w:trPr>
          <w:trHeight w:val="397"/>
        </w:trPr>
        <w:tc>
          <w:tcPr>
            <w:tcW w:w="421" w:type="dxa"/>
            <w:vMerge/>
            <w:textDirection w:val="btLr"/>
          </w:tcPr>
          <w:p w14:paraId="0A37D3D3" w14:textId="77777777" w:rsidR="00AB3316" w:rsidRPr="0009445C" w:rsidRDefault="00AB3316" w:rsidP="002158CF">
            <w:pPr>
              <w:pStyle w:val="BRL-AnlageStandard"/>
              <w:spacing w:line="240" w:lineRule="auto"/>
              <w:jc w:val="left"/>
              <w:rPr>
                <w:rFonts w:cs="Arial"/>
                <w:sz w:val="16"/>
                <w:szCs w:val="16"/>
              </w:rPr>
            </w:pPr>
          </w:p>
        </w:tc>
        <w:tc>
          <w:tcPr>
            <w:tcW w:w="708" w:type="dxa"/>
            <w:vMerge/>
            <w:textDirection w:val="btLr"/>
          </w:tcPr>
          <w:p w14:paraId="1AC5EC51" w14:textId="77777777" w:rsidR="00AB3316" w:rsidRPr="0009445C" w:rsidRDefault="00AB3316" w:rsidP="002158CF">
            <w:pPr>
              <w:pStyle w:val="BRL-AnlageStandard"/>
              <w:spacing w:line="240" w:lineRule="auto"/>
              <w:jc w:val="left"/>
              <w:rPr>
                <w:rFonts w:cs="Arial"/>
                <w:sz w:val="16"/>
                <w:szCs w:val="16"/>
              </w:rPr>
            </w:pPr>
          </w:p>
        </w:tc>
        <w:tc>
          <w:tcPr>
            <w:tcW w:w="709" w:type="dxa"/>
            <w:vMerge/>
            <w:textDirection w:val="btLr"/>
          </w:tcPr>
          <w:p w14:paraId="3607AEC7"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5FC8C97B" w14:textId="77777777" w:rsidR="00AB3316" w:rsidRPr="0009445C" w:rsidRDefault="00AB3316" w:rsidP="00AB3316">
            <w:pPr>
              <w:pStyle w:val="BRL-AnlageStandard"/>
              <w:spacing w:line="240" w:lineRule="auto"/>
              <w:jc w:val="center"/>
              <w:rPr>
                <w:rFonts w:cs="Arial"/>
                <w:b/>
                <w:sz w:val="16"/>
                <w:szCs w:val="16"/>
              </w:rPr>
            </w:pPr>
            <w:r w:rsidRPr="0009445C">
              <w:rPr>
                <w:b/>
                <w:sz w:val="16"/>
              </w:rPr>
              <w:t>XD1</w:t>
            </w:r>
          </w:p>
        </w:tc>
        <w:tc>
          <w:tcPr>
            <w:tcW w:w="709" w:type="dxa"/>
            <w:textDirection w:val="btLr"/>
          </w:tcPr>
          <w:p w14:paraId="34E64E93"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02611D8C"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79D76D39" w14:textId="77777777" w:rsidTr="00E868FA">
        <w:trPr>
          <w:trHeight w:val="397"/>
        </w:trPr>
        <w:tc>
          <w:tcPr>
            <w:tcW w:w="421" w:type="dxa"/>
            <w:vMerge/>
            <w:textDirection w:val="btLr"/>
          </w:tcPr>
          <w:p w14:paraId="26DBD20F"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val="restart"/>
            <w:textDirection w:val="btLr"/>
          </w:tcPr>
          <w:p w14:paraId="5A166144" w14:textId="77777777" w:rsidR="00AB3316" w:rsidRPr="0009445C" w:rsidRDefault="00AB3316" w:rsidP="00AB3316">
            <w:pPr>
              <w:pStyle w:val="BRL-AnlageStandard"/>
              <w:spacing w:line="240" w:lineRule="auto"/>
              <w:jc w:val="center"/>
              <w:rPr>
                <w:rFonts w:cs="Arial"/>
                <w:sz w:val="16"/>
                <w:szCs w:val="16"/>
              </w:rPr>
            </w:pPr>
            <w:r w:rsidRPr="0009445C">
              <w:rPr>
                <w:sz w:val="16"/>
              </w:rPr>
              <w:t xml:space="preserve">Corrosion caused by </w:t>
            </w:r>
            <w:proofErr w:type="spellStart"/>
            <w:r w:rsidRPr="0009445C">
              <w:rPr>
                <w:sz w:val="16"/>
              </w:rPr>
              <w:t>carbonatisation</w:t>
            </w:r>
            <w:proofErr w:type="spellEnd"/>
          </w:p>
        </w:tc>
        <w:tc>
          <w:tcPr>
            <w:tcW w:w="709" w:type="dxa"/>
            <w:textDirection w:val="btLr"/>
          </w:tcPr>
          <w:p w14:paraId="279E430C" w14:textId="77777777" w:rsidR="00AB3316" w:rsidRPr="0009445C" w:rsidRDefault="00AB3316" w:rsidP="00AB3316">
            <w:pPr>
              <w:pStyle w:val="BRL-AnlageStandard"/>
              <w:spacing w:line="240" w:lineRule="auto"/>
              <w:jc w:val="center"/>
              <w:rPr>
                <w:rFonts w:cs="Arial"/>
                <w:b/>
                <w:sz w:val="16"/>
                <w:szCs w:val="16"/>
              </w:rPr>
            </w:pPr>
            <w:r w:rsidRPr="0009445C">
              <w:rPr>
                <w:b/>
                <w:sz w:val="16"/>
              </w:rPr>
              <w:t>XC4</w:t>
            </w:r>
          </w:p>
        </w:tc>
        <w:tc>
          <w:tcPr>
            <w:tcW w:w="709" w:type="dxa"/>
            <w:textDirection w:val="btLr"/>
          </w:tcPr>
          <w:p w14:paraId="7D7EF8ED"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0B208693"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42AB9F2D" w14:textId="77777777" w:rsidTr="00E868FA">
        <w:trPr>
          <w:trHeight w:val="397"/>
        </w:trPr>
        <w:tc>
          <w:tcPr>
            <w:tcW w:w="421" w:type="dxa"/>
            <w:vMerge/>
            <w:textDirection w:val="btLr"/>
          </w:tcPr>
          <w:p w14:paraId="588609E8"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29370032"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3E0F3BC1" w14:textId="77777777" w:rsidR="00AB3316" w:rsidRPr="0009445C" w:rsidRDefault="00AB3316" w:rsidP="00AB3316">
            <w:pPr>
              <w:pStyle w:val="BRL-AnlageStandard"/>
              <w:spacing w:line="240" w:lineRule="auto"/>
              <w:jc w:val="center"/>
              <w:rPr>
                <w:rFonts w:cs="Arial"/>
                <w:b/>
                <w:sz w:val="16"/>
                <w:szCs w:val="16"/>
              </w:rPr>
            </w:pPr>
            <w:r w:rsidRPr="0009445C">
              <w:rPr>
                <w:b/>
                <w:sz w:val="16"/>
              </w:rPr>
              <w:t>XC3</w:t>
            </w:r>
          </w:p>
        </w:tc>
        <w:tc>
          <w:tcPr>
            <w:tcW w:w="709" w:type="dxa"/>
            <w:textDirection w:val="btLr"/>
          </w:tcPr>
          <w:p w14:paraId="697440CA"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2BE671E1"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4AFAA5CE" w14:textId="77777777" w:rsidTr="00E868FA">
        <w:trPr>
          <w:trHeight w:val="397"/>
        </w:trPr>
        <w:tc>
          <w:tcPr>
            <w:tcW w:w="421" w:type="dxa"/>
            <w:vMerge/>
            <w:textDirection w:val="btLr"/>
          </w:tcPr>
          <w:p w14:paraId="4D066467"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extDirection w:val="btLr"/>
          </w:tcPr>
          <w:p w14:paraId="0946A235"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75C9761C" w14:textId="77777777" w:rsidR="00AB3316" w:rsidRPr="0009445C" w:rsidRDefault="00AB3316" w:rsidP="00AB3316">
            <w:pPr>
              <w:pStyle w:val="BRL-AnlageStandard"/>
              <w:spacing w:line="240" w:lineRule="auto"/>
              <w:jc w:val="center"/>
              <w:rPr>
                <w:rFonts w:cs="Arial"/>
                <w:b/>
                <w:sz w:val="16"/>
                <w:szCs w:val="16"/>
              </w:rPr>
            </w:pPr>
            <w:r w:rsidRPr="0009445C">
              <w:rPr>
                <w:b/>
                <w:sz w:val="16"/>
              </w:rPr>
              <w:t>XC2</w:t>
            </w:r>
          </w:p>
        </w:tc>
        <w:tc>
          <w:tcPr>
            <w:tcW w:w="709" w:type="dxa"/>
            <w:textDirection w:val="btLr"/>
          </w:tcPr>
          <w:p w14:paraId="4CC50C7A"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3E7C8B59"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13A55A00" w14:textId="77777777" w:rsidTr="00E868FA">
        <w:trPr>
          <w:trHeight w:val="397"/>
        </w:trPr>
        <w:tc>
          <w:tcPr>
            <w:tcW w:w="421" w:type="dxa"/>
            <w:vMerge/>
          </w:tcPr>
          <w:p w14:paraId="0CB7ACD3" w14:textId="77777777" w:rsidR="00AB3316" w:rsidRPr="0009445C" w:rsidRDefault="00AB3316" w:rsidP="002158CF">
            <w:pPr>
              <w:pStyle w:val="BRL-AnlageStandard"/>
              <w:spacing w:line="240" w:lineRule="auto"/>
              <w:jc w:val="left"/>
              <w:rPr>
                <w:rFonts w:cs="Arial"/>
                <w:sz w:val="16"/>
                <w:szCs w:val="16"/>
              </w:rPr>
            </w:pPr>
          </w:p>
        </w:tc>
        <w:tc>
          <w:tcPr>
            <w:tcW w:w="1417" w:type="dxa"/>
            <w:gridSpan w:val="2"/>
            <w:vMerge/>
          </w:tcPr>
          <w:p w14:paraId="7D6DDE16"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7AEDDE1C" w14:textId="77777777" w:rsidR="00AB3316" w:rsidRPr="0009445C" w:rsidRDefault="00AB3316" w:rsidP="00AB3316">
            <w:pPr>
              <w:pStyle w:val="BRL-AnlageStandard"/>
              <w:spacing w:line="240" w:lineRule="auto"/>
              <w:jc w:val="center"/>
              <w:rPr>
                <w:rFonts w:cs="Arial"/>
                <w:b/>
                <w:sz w:val="16"/>
                <w:szCs w:val="16"/>
              </w:rPr>
            </w:pPr>
            <w:r w:rsidRPr="0009445C">
              <w:rPr>
                <w:b/>
                <w:sz w:val="16"/>
              </w:rPr>
              <w:t>XC1</w:t>
            </w:r>
          </w:p>
        </w:tc>
        <w:tc>
          <w:tcPr>
            <w:tcW w:w="709" w:type="dxa"/>
            <w:textDirection w:val="btLr"/>
          </w:tcPr>
          <w:p w14:paraId="126EDC93"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4210A561"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08530101" w14:textId="77777777" w:rsidTr="00E868FA">
        <w:trPr>
          <w:cantSplit/>
          <w:trHeight w:val="398"/>
        </w:trPr>
        <w:tc>
          <w:tcPr>
            <w:tcW w:w="1838" w:type="dxa"/>
            <w:gridSpan w:val="3"/>
          </w:tcPr>
          <w:p w14:paraId="497A6AB8" w14:textId="77777777" w:rsidR="00AB3316" w:rsidRPr="0009445C" w:rsidRDefault="00AB3316" w:rsidP="00AB3316">
            <w:pPr>
              <w:pStyle w:val="BRL-AnlageStandard"/>
              <w:spacing w:line="240" w:lineRule="auto"/>
              <w:jc w:val="center"/>
              <w:rPr>
                <w:rFonts w:cs="Arial"/>
                <w:b/>
                <w:sz w:val="16"/>
                <w:szCs w:val="16"/>
              </w:rPr>
            </w:pPr>
            <w:r w:rsidRPr="0009445C">
              <w:rPr>
                <w:b/>
                <w:sz w:val="16"/>
              </w:rPr>
              <w:t>No corrosion/attack risk</w:t>
            </w:r>
          </w:p>
        </w:tc>
        <w:tc>
          <w:tcPr>
            <w:tcW w:w="709" w:type="dxa"/>
            <w:textDirection w:val="btLr"/>
          </w:tcPr>
          <w:p w14:paraId="785D01F0" w14:textId="77777777" w:rsidR="00AB3316" w:rsidRPr="0009445C" w:rsidRDefault="00AB3316" w:rsidP="00AB3316">
            <w:pPr>
              <w:pStyle w:val="BRL-AnlageStandard"/>
              <w:spacing w:line="240" w:lineRule="auto"/>
              <w:jc w:val="center"/>
              <w:rPr>
                <w:rFonts w:cs="Arial"/>
                <w:b/>
                <w:sz w:val="16"/>
                <w:szCs w:val="16"/>
              </w:rPr>
            </w:pPr>
            <w:r w:rsidRPr="0009445C">
              <w:rPr>
                <w:b/>
                <w:sz w:val="16"/>
              </w:rPr>
              <w:t>X0</w:t>
            </w:r>
          </w:p>
        </w:tc>
        <w:tc>
          <w:tcPr>
            <w:tcW w:w="709" w:type="dxa"/>
            <w:textDirection w:val="btLr"/>
          </w:tcPr>
          <w:p w14:paraId="23204003" w14:textId="77777777" w:rsidR="00AB3316" w:rsidRPr="0009445C" w:rsidRDefault="00AB3316" w:rsidP="00AB3316">
            <w:pPr>
              <w:pStyle w:val="BRL-AnlageStandard"/>
              <w:spacing w:line="240" w:lineRule="auto"/>
              <w:jc w:val="center"/>
              <w:rPr>
                <w:rFonts w:cs="Arial"/>
                <w:sz w:val="16"/>
                <w:szCs w:val="16"/>
              </w:rPr>
            </w:pPr>
            <w:r w:rsidRPr="0009445C">
              <w:rPr>
                <w:sz w:val="16"/>
              </w:rPr>
              <w:t>X</w:t>
            </w:r>
          </w:p>
        </w:tc>
        <w:tc>
          <w:tcPr>
            <w:tcW w:w="425" w:type="dxa"/>
            <w:vMerge/>
          </w:tcPr>
          <w:p w14:paraId="27447541"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260EFAD5" w14:textId="77777777" w:rsidTr="00E868FA">
        <w:trPr>
          <w:cantSplit/>
          <w:trHeight w:val="1134"/>
        </w:trPr>
        <w:tc>
          <w:tcPr>
            <w:tcW w:w="2547" w:type="dxa"/>
            <w:gridSpan w:val="4"/>
            <w:vMerge w:val="restart"/>
            <w:textDirection w:val="btLr"/>
          </w:tcPr>
          <w:p w14:paraId="14BB2262" w14:textId="77777777" w:rsidR="00DD2DE1" w:rsidRPr="0009445C" w:rsidRDefault="00AB3316" w:rsidP="00F7130C">
            <w:pPr>
              <w:pStyle w:val="BRL-AnlageStandard"/>
              <w:spacing w:line="240" w:lineRule="auto"/>
              <w:ind w:left="113" w:right="113"/>
              <w:jc w:val="left"/>
              <w:rPr>
                <w:rFonts w:cs="Arial"/>
                <w:sz w:val="16"/>
                <w:szCs w:val="16"/>
              </w:rPr>
            </w:pPr>
            <w:r w:rsidRPr="0009445C">
              <w:rPr>
                <w:sz w:val="16"/>
              </w:rPr>
              <w:t>Exposure classes</w:t>
            </w:r>
            <w:r w:rsidRPr="0009445C">
              <w:rPr>
                <w:sz w:val="16"/>
              </w:rPr>
              <w:br/>
              <w:t>X = valid scope of application</w:t>
            </w:r>
          </w:p>
          <w:p w14:paraId="735A344A" w14:textId="55C9CD46" w:rsidR="00AB3316" w:rsidRPr="0009445C" w:rsidRDefault="00AB3316" w:rsidP="00DD2DE1">
            <w:pPr>
              <w:pStyle w:val="BRL-AnlageStandard"/>
              <w:spacing w:line="240" w:lineRule="auto"/>
              <w:ind w:left="397" w:right="113" w:hanging="284"/>
              <w:jc w:val="left"/>
              <w:rPr>
                <w:rFonts w:cs="Arial"/>
                <w:sz w:val="16"/>
                <w:szCs w:val="16"/>
              </w:rPr>
            </w:pPr>
            <w:r w:rsidRPr="0009445C">
              <w:rPr>
                <w:sz w:val="16"/>
              </w:rPr>
              <w:t>O = not applicable for manufacturing according to this standard</w:t>
            </w:r>
          </w:p>
        </w:tc>
        <w:tc>
          <w:tcPr>
            <w:tcW w:w="709" w:type="dxa"/>
            <w:textDirection w:val="btLr"/>
          </w:tcPr>
          <w:p w14:paraId="6694EC2C" w14:textId="77777777" w:rsidR="00AB3316" w:rsidRPr="0009445C" w:rsidRDefault="00AB3316" w:rsidP="00F7130C">
            <w:pPr>
              <w:pStyle w:val="BRL-AnlageStandard"/>
              <w:spacing w:line="240" w:lineRule="auto"/>
              <w:ind w:left="113" w:right="113"/>
              <w:jc w:val="left"/>
              <w:rPr>
                <w:rFonts w:cs="Arial"/>
                <w:sz w:val="16"/>
                <w:szCs w:val="16"/>
              </w:rPr>
            </w:pPr>
            <w:proofErr w:type="spellStart"/>
            <w:r w:rsidRPr="0009445C">
              <w:rPr>
                <w:sz w:val="16"/>
              </w:rPr>
              <w:t>S-LL</w:t>
            </w:r>
            <w:r w:rsidRPr="0009445C">
              <w:rPr>
                <w:sz w:val="16"/>
                <w:vertAlign w:val="superscript"/>
              </w:rPr>
              <w:t>j</w:t>
            </w:r>
            <w:r w:rsidRPr="0009445C">
              <w:rPr>
                <w:sz w:val="16"/>
              </w:rPr>
              <w:t>;V</w:t>
            </w:r>
            <w:r w:rsidRPr="0009445C">
              <w:rPr>
                <w:sz w:val="16"/>
                <w:vertAlign w:val="superscript"/>
              </w:rPr>
              <w:t>i</w:t>
            </w:r>
            <w:r w:rsidRPr="0009445C">
              <w:rPr>
                <w:sz w:val="16"/>
              </w:rPr>
              <w:t>-LL</w:t>
            </w:r>
            <w:r w:rsidRPr="0009445C">
              <w:rPr>
                <w:sz w:val="16"/>
                <w:vertAlign w:val="superscript"/>
              </w:rPr>
              <w:t>j</w:t>
            </w:r>
            <w:proofErr w:type="spellEnd"/>
            <w:r w:rsidRPr="0009445C">
              <w:rPr>
                <w:sz w:val="16"/>
              </w:rPr>
              <w:t>;</w:t>
            </w:r>
          </w:p>
          <w:p w14:paraId="7A354666" w14:textId="77777777" w:rsidR="00AB3316" w:rsidRPr="0009445C" w:rsidRDefault="00AB3316" w:rsidP="00F7130C">
            <w:pPr>
              <w:pStyle w:val="BRL-AnlageStandard"/>
              <w:spacing w:line="240" w:lineRule="auto"/>
              <w:ind w:left="113" w:right="113"/>
              <w:jc w:val="left"/>
              <w:rPr>
                <w:rFonts w:cs="Arial"/>
                <w:sz w:val="16"/>
                <w:szCs w:val="16"/>
              </w:rPr>
            </w:pPr>
            <w:r w:rsidRPr="0009445C">
              <w:rPr>
                <w:sz w:val="16"/>
              </w:rPr>
              <w:t>T-</w:t>
            </w:r>
            <w:proofErr w:type="spellStart"/>
            <w:r w:rsidRPr="0009445C">
              <w:rPr>
                <w:sz w:val="16"/>
              </w:rPr>
              <w:t>LL</w:t>
            </w:r>
            <w:r w:rsidRPr="0009445C">
              <w:rPr>
                <w:sz w:val="16"/>
                <w:vertAlign w:val="superscript"/>
              </w:rPr>
              <w:t>j</w:t>
            </w:r>
            <w:proofErr w:type="spellEnd"/>
          </w:p>
        </w:tc>
        <w:tc>
          <w:tcPr>
            <w:tcW w:w="425" w:type="dxa"/>
            <w:vMerge/>
          </w:tcPr>
          <w:p w14:paraId="68DA9EE7"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02B6D341" w14:textId="77777777" w:rsidTr="00E868FA">
        <w:trPr>
          <w:cantSplit/>
          <w:trHeight w:val="397"/>
        </w:trPr>
        <w:tc>
          <w:tcPr>
            <w:tcW w:w="2547" w:type="dxa"/>
            <w:gridSpan w:val="4"/>
            <w:vMerge/>
          </w:tcPr>
          <w:p w14:paraId="27B97AF9"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11AF61C6" w14:textId="77777777" w:rsidR="00AB3316" w:rsidRPr="0009445C" w:rsidRDefault="00AB3316" w:rsidP="00AB3316">
            <w:pPr>
              <w:pStyle w:val="BRL-AnlageStandard"/>
              <w:spacing w:line="240" w:lineRule="auto"/>
              <w:ind w:left="113" w:right="113"/>
              <w:jc w:val="center"/>
              <w:rPr>
                <w:rFonts w:cs="Arial"/>
                <w:b/>
                <w:sz w:val="16"/>
                <w:szCs w:val="16"/>
              </w:rPr>
            </w:pPr>
            <w:r w:rsidRPr="0009445C">
              <w:rPr>
                <w:b/>
                <w:sz w:val="16"/>
              </w:rPr>
              <w:t>T</w:t>
            </w:r>
          </w:p>
        </w:tc>
        <w:tc>
          <w:tcPr>
            <w:tcW w:w="425" w:type="dxa"/>
            <w:vMerge/>
          </w:tcPr>
          <w:p w14:paraId="1046AF11"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6F30AD49" w14:textId="77777777" w:rsidTr="00E868FA">
        <w:trPr>
          <w:cantSplit/>
          <w:trHeight w:val="397"/>
        </w:trPr>
        <w:tc>
          <w:tcPr>
            <w:tcW w:w="2547" w:type="dxa"/>
            <w:gridSpan w:val="4"/>
            <w:vMerge/>
          </w:tcPr>
          <w:p w14:paraId="3AD3214E"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50B18C1F" w14:textId="77777777" w:rsidR="00AB3316" w:rsidRPr="0009445C" w:rsidRDefault="00AB3316" w:rsidP="00AB3316">
            <w:pPr>
              <w:pStyle w:val="BRL-AnlageStandard"/>
              <w:spacing w:line="240" w:lineRule="auto"/>
              <w:ind w:left="113" w:right="113"/>
              <w:jc w:val="center"/>
              <w:rPr>
                <w:rFonts w:cs="Arial"/>
                <w:b/>
                <w:sz w:val="16"/>
                <w:szCs w:val="16"/>
              </w:rPr>
            </w:pPr>
            <w:r w:rsidRPr="0009445C">
              <w:rPr>
                <w:b/>
                <w:sz w:val="16"/>
              </w:rPr>
              <w:t>B</w:t>
            </w:r>
          </w:p>
        </w:tc>
        <w:tc>
          <w:tcPr>
            <w:tcW w:w="425" w:type="dxa"/>
            <w:vMerge/>
          </w:tcPr>
          <w:p w14:paraId="4659697D" w14:textId="77777777" w:rsidR="00AB3316" w:rsidRPr="0009445C" w:rsidRDefault="00AB3316" w:rsidP="00F7130C">
            <w:pPr>
              <w:pStyle w:val="BRL-AnlageStandard"/>
              <w:spacing w:line="240" w:lineRule="auto"/>
              <w:jc w:val="left"/>
              <w:rPr>
                <w:rFonts w:cs="Arial"/>
                <w:sz w:val="16"/>
                <w:szCs w:val="16"/>
              </w:rPr>
            </w:pPr>
          </w:p>
        </w:tc>
      </w:tr>
      <w:tr w:rsidR="00AB3316" w:rsidRPr="0009445C" w14:paraId="5DA0FC00" w14:textId="77777777" w:rsidTr="00E868FA">
        <w:trPr>
          <w:cantSplit/>
          <w:trHeight w:val="779"/>
        </w:trPr>
        <w:tc>
          <w:tcPr>
            <w:tcW w:w="2547" w:type="dxa"/>
            <w:gridSpan w:val="4"/>
            <w:vMerge/>
          </w:tcPr>
          <w:p w14:paraId="3974B14C" w14:textId="77777777" w:rsidR="00AB3316" w:rsidRPr="0009445C" w:rsidRDefault="00AB3316" w:rsidP="002158CF">
            <w:pPr>
              <w:pStyle w:val="BRL-AnlageStandard"/>
              <w:spacing w:line="240" w:lineRule="auto"/>
              <w:jc w:val="left"/>
              <w:rPr>
                <w:rFonts w:cs="Arial"/>
                <w:sz w:val="16"/>
                <w:szCs w:val="16"/>
              </w:rPr>
            </w:pPr>
          </w:p>
        </w:tc>
        <w:tc>
          <w:tcPr>
            <w:tcW w:w="709" w:type="dxa"/>
            <w:textDirection w:val="btLr"/>
          </w:tcPr>
          <w:p w14:paraId="4CC27A1D" w14:textId="77777777" w:rsidR="00AB3316" w:rsidRPr="0009445C" w:rsidRDefault="00AB3316" w:rsidP="00AB3316">
            <w:pPr>
              <w:pStyle w:val="BRL-AnlageStandard"/>
              <w:spacing w:line="240" w:lineRule="auto"/>
              <w:ind w:left="113" w:right="113"/>
              <w:jc w:val="center"/>
              <w:rPr>
                <w:rFonts w:cs="Arial"/>
                <w:b/>
                <w:sz w:val="16"/>
                <w:szCs w:val="16"/>
              </w:rPr>
            </w:pPr>
            <w:r w:rsidRPr="0009445C">
              <w:rPr>
                <w:b/>
                <w:sz w:val="16"/>
              </w:rPr>
              <w:t>CEM II</w:t>
            </w:r>
          </w:p>
        </w:tc>
        <w:tc>
          <w:tcPr>
            <w:tcW w:w="425" w:type="dxa"/>
            <w:vMerge/>
          </w:tcPr>
          <w:p w14:paraId="5BD38BA4" w14:textId="77777777" w:rsidR="00AB3316" w:rsidRPr="0009445C" w:rsidRDefault="00AB3316" w:rsidP="002158CF">
            <w:pPr>
              <w:pStyle w:val="BRL-AnlageStandard"/>
              <w:spacing w:line="240" w:lineRule="auto"/>
              <w:jc w:val="left"/>
              <w:rPr>
                <w:rFonts w:cs="Arial"/>
                <w:sz w:val="16"/>
                <w:szCs w:val="16"/>
              </w:rPr>
            </w:pPr>
          </w:p>
        </w:tc>
      </w:tr>
    </w:tbl>
    <w:p w14:paraId="03F07BA6" w14:textId="77777777" w:rsidR="00C016FB" w:rsidRPr="0009445C" w:rsidRDefault="00C016FB" w:rsidP="00EC702A">
      <w:pPr>
        <w:pStyle w:val="BRL-AnlageStandard"/>
      </w:pPr>
    </w:p>
    <w:p w14:paraId="3BC43525" w14:textId="77777777" w:rsidR="00307D5B" w:rsidRPr="0009445C" w:rsidRDefault="00307D5B">
      <w:pPr>
        <w:spacing w:after="200" w:line="276" w:lineRule="auto"/>
        <w:rPr>
          <w:szCs w:val="18"/>
        </w:rPr>
      </w:pPr>
      <w:r w:rsidRPr="0009445C">
        <w:br w:type="page"/>
      </w:r>
    </w:p>
    <w:p w14:paraId="71379BDD" w14:textId="77777777" w:rsidR="00C016FB" w:rsidRPr="0009445C" w:rsidRDefault="00C016FB" w:rsidP="00C016FB">
      <w:pPr>
        <w:pStyle w:val="BRL-AnlageStandard"/>
      </w:pPr>
      <w:r w:rsidRPr="0009445C">
        <w:lastRenderedPageBreak/>
        <w:t>1:12</w:t>
      </w:r>
      <w:r w:rsidRPr="0009445C">
        <w:tab/>
        <w:t>to Table F.3.3</w:t>
      </w:r>
    </w:p>
    <w:p w14:paraId="7D635BCD" w14:textId="77777777" w:rsidR="00C016FB" w:rsidRPr="0009445C" w:rsidRDefault="00C016FB" w:rsidP="00C016FB">
      <w:pPr>
        <w:pStyle w:val="BRL-AnlageStandard"/>
      </w:pPr>
      <w:r w:rsidRPr="0009445C">
        <w:t>Add footnote j:</w:t>
      </w:r>
    </w:p>
    <w:p w14:paraId="67C5C4AD" w14:textId="77777777" w:rsidR="00C016FB" w:rsidRPr="0009445C" w:rsidRDefault="00C016FB" w:rsidP="00C016FB">
      <w:pPr>
        <w:pStyle w:val="BRL-AnlageStandard"/>
      </w:pPr>
      <w:r w:rsidRPr="0009445C">
        <w:rPr>
          <w:vertAlign w:val="superscript"/>
        </w:rPr>
        <w:t>j</w:t>
      </w:r>
      <w:r w:rsidRPr="0009445C">
        <w:tab/>
        <w:t>The permissible limestone content of the cements (S-LL), (V-LL) and (T-LL) is limited to 20 M.-%. Compliance with the maximum permissible limestone content shall be explained by the cement manufacturer.</w:t>
      </w:r>
    </w:p>
    <w:p w14:paraId="29170EC5" w14:textId="77777777" w:rsidR="00EC702A" w:rsidRPr="0009445C" w:rsidRDefault="00EC702A" w:rsidP="00EC702A">
      <w:pPr>
        <w:pStyle w:val="BRL-AnlageStandard"/>
      </w:pPr>
    </w:p>
    <w:p w14:paraId="749E60F2" w14:textId="77777777" w:rsidR="00EC702A" w:rsidRPr="0009445C" w:rsidRDefault="00EC702A" w:rsidP="00EC702A">
      <w:pPr>
        <w:pStyle w:val="BRL-AnlagenStandardEinrck"/>
      </w:pPr>
    </w:p>
    <w:p w14:paraId="7AFA2BC1" w14:textId="77777777" w:rsidR="00EC702A" w:rsidRPr="0009445C" w:rsidRDefault="00EC702A" w:rsidP="00EC702A">
      <w:pPr>
        <w:pStyle w:val="BRL-Anlage"/>
      </w:pPr>
      <w:r w:rsidRPr="0009445C">
        <w:t>2</w:t>
      </w:r>
      <w:r w:rsidRPr="0009445C">
        <w:tab/>
        <w:t xml:space="preserve">About the Alkali Guideline – </w:t>
      </w:r>
      <w:proofErr w:type="spellStart"/>
      <w:r w:rsidRPr="0009445C">
        <w:t>AlkR</w:t>
      </w:r>
      <w:proofErr w:type="spellEnd"/>
      <w:r w:rsidRPr="0009445C">
        <w:t xml:space="preserve"> – (2013-10)</w:t>
      </w:r>
    </w:p>
    <w:p w14:paraId="6A6D9774" w14:textId="77777777" w:rsidR="00EC702A" w:rsidRPr="0009445C" w:rsidRDefault="00EC702A" w:rsidP="00EC702A">
      <w:pPr>
        <w:pStyle w:val="BRL-AnlagenStandardEinrck"/>
        <w:keepNext/>
      </w:pPr>
    </w:p>
    <w:p w14:paraId="09581F3A" w14:textId="77777777" w:rsidR="00EC702A" w:rsidRPr="0009445C" w:rsidRDefault="00EC702A" w:rsidP="00EC702A">
      <w:pPr>
        <w:pStyle w:val="BRL-AnlageStandard"/>
      </w:pPr>
      <w:r w:rsidRPr="0009445C">
        <w:t>Section 7.1.1:</w:t>
      </w:r>
    </w:p>
    <w:p w14:paraId="14B29EA2" w14:textId="77777777" w:rsidR="00EC702A" w:rsidRPr="0009445C" w:rsidRDefault="00EC702A" w:rsidP="00EC702A">
      <w:pPr>
        <w:pStyle w:val="BRL-AnlageStandard"/>
      </w:pPr>
      <w:r w:rsidRPr="0009445C">
        <w:t>To be added: ‘The manufacturer must declare compliance with DIN 1164-10:2013-03 for cement with low effective alkali content.’</w:t>
      </w:r>
    </w:p>
    <w:p w14:paraId="237C66EC" w14:textId="77777777" w:rsidR="00EC702A" w:rsidRPr="0009445C" w:rsidRDefault="00EC702A" w:rsidP="00EC702A">
      <w:r w:rsidRPr="0009445C">
        <w:t>___________</w:t>
      </w:r>
    </w:p>
    <w:p w14:paraId="76853CCE" w14:textId="77777777" w:rsidR="00EC702A" w:rsidRPr="0009445C" w:rsidRDefault="00EC702A" w:rsidP="00EC702A">
      <w:pPr>
        <w:pStyle w:val="BRL-Funote"/>
      </w:pPr>
      <w:r w:rsidRPr="0009445C">
        <w:t>1</w:t>
      </w:r>
      <w:r w:rsidRPr="0009445C">
        <w:tab/>
        <w:t>Implemented in Germany by DIN EN 197-1:2011-11.</w:t>
      </w:r>
    </w:p>
    <w:p w14:paraId="707A9934" w14:textId="77777777" w:rsidR="00EC702A" w:rsidRPr="0009445C" w:rsidRDefault="00EC702A" w:rsidP="00EC702A">
      <w:pPr>
        <w:pStyle w:val="BRL-Funote"/>
      </w:pPr>
      <w:r w:rsidRPr="0009445C">
        <w:t>2</w:t>
      </w:r>
      <w:r w:rsidRPr="0009445C">
        <w:tab/>
        <w:t>Implemented in Germany by DIN EN 14216:2015-09.</w:t>
      </w:r>
    </w:p>
    <w:p w14:paraId="2A544F29" w14:textId="77777777" w:rsidR="00EC702A" w:rsidRPr="0009445C" w:rsidRDefault="00EC702A" w:rsidP="00EC702A">
      <w:pPr>
        <w:pStyle w:val="BRL-Funote"/>
      </w:pPr>
      <w:r w:rsidRPr="0009445C">
        <w:t>3</w:t>
      </w:r>
      <w:r w:rsidRPr="0009445C">
        <w:tab/>
        <w:t>Implemented in Germany by DIN EN 15167-1:2006-12.</w:t>
      </w:r>
    </w:p>
    <w:p w14:paraId="7F6DA7B1" w14:textId="77777777" w:rsidR="00EC702A" w:rsidRPr="0009445C" w:rsidRDefault="00EC702A" w:rsidP="00EC702A">
      <w:pPr>
        <w:pStyle w:val="BRL-Funote"/>
      </w:pPr>
      <w:r w:rsidRPr="0009445C">
        <w:t>4</w:t>
      </w:r>
      <w:r w:rsidRPr="0009445C">
        <w:tab/>
        <w:t>Implemented in Germany by DIN EN 12620:2008-07.</w:t>
      </w:r>
    </w:p>
    <w:p w14:paraId="2CC71C4D" w14:textId="77777777" w:rsidR="00EC702A" w:rsidRPr="0009445C" w:rsidRDefault="00EC702A" w:rsidP="00D32A0E">
      <w:pPr>
        <w:pStyle w:val="BRL-Anlage"/>
        <w:rPr>
          <w:b w:val="0"/>
        </w:rPr>
      </w:pPr>
    </w:p>
    <w:p w14:paraId="6D957822" w14:textId="77777777" w:rsidR="00EC702A" w:rsidRPr="0009445C" w:rsidRDefault="00EC702A" w:rsidP="00D32A0E">
      <w:pPr>
        <w:pStyle w:val="BRL-Anlage"/>
        <w:rPr>
          <w:b w:val="0"/>
        </w:rPr>
      </w:pPr>
    </w:p>
    <w:p w14:paraId="1A2E991B" w14:textId="77777777" w:rsidR="009A419A" w:rsidRPr="0009445C" w:rsidRDefault="00D32A0E" w:rsidP="00D32A0E">
      <w:pPr>
        <w:pStyle w:val="BRL-Anlage"/>
      </w:pPr>
      <w:r w:rsidRPr="0009445C">
        <w:t>Annex C 2.1.8</w:t>
      </w:r>
    </w:p>
    <w:p w14:paraId="08B451E4" w14:textId="77777777" w:rsidR="00D32A0E" w:rsidRPr="0009445C" w:rsidRDefault="00D32A0E" w:rsidP="00742443">
      <w:pPr>
        <w:pStyle w:val="BRL-Funote"/>
        <w:widowControl w:val="0"/>
      </w:pPr>
    </w:p>
    <w:p w14:paraId="08B64A55" w14:textId="77777777" w:rsidR="00D32A0E" w:rsidRPr="0009445C" w:rsidRDefault="00D32A0E" w:rsidP="00D32A0E">
      <w:pPr>
        <w:pStyle w:val="BRL-Standard"/>
      </w:pPr>
      <w:r w:rsidRPr="0009445C">
        <w:t>Portland composite cement CEM II/C-M (S-LL) according to DIN EN 197-5 may be used for the production of concrete according to DIN EN 206-1:2001-07 +A1:2004-10+A2:2005-09 in conjunction with DIN 1045-2:2008-08 in all exposure classes except XF2 to XF4. The prestressing steel compatibility is considered to be proven.</w:t>
      </w:r>
    </w:p>
    <w:p w14:paraId="544E62B0" w14:textId="77777777" w:rsidR="00D32A0E" w:rsidRPr="0009445C" w:rsidRDefault="00D32A0E" w:rsidP="00D32A0E">
      <w:pPr>
        <w:pStyle w:val="BRL-Standard"/>
      </w:pPr>
    </w:p>
    <w:p w14:paraId="5E2CE289" w14:textId="77777777" w:rsidR="009A419A" w:rsidRPr="0009445C" w:rsidRDefault="00D32A0E" w:rsidP="00D32A0E">
      <w:pPr>
        <w:pStyle w:val="BRL-Standard"/>
        <w:rPr>
          <w:szCs w:val="20"/>
        </w:rPr>
      </w:pPr>
      <w:r w:rsidRPr="0009445C">
        <w:t>Other Portland composite cements CEM II/C-M and compound CEM VI (CEM VI (S P), CEM VI (S-V), CEM VI (S-L) and CEM VI (S-LL)) according to DIN EN 197-5 may only be used in the production of concrete according to DIN EN 206-1:2001-07 +A1:2004-10+A2:2005-09 in conjunction with DIN 1045-2:2008-08 in the exposure classes X0 and XC2. The prestressing steel compatibility shall be considered to be demonstrated if the cement does not contain a pozzolan (P) as its main component.</w:t>
      </w:r>
    </w:p>
    <w:p w14:paraId="7AFB917C" w14:textId="77777777" w:rsidR="00D32A0E" w:rsidRPr="0009445C" w:rsidRDefault="00D32A0E" w:rsidP="00D32A0E">
      <w:pPr>
        <w:pStyle w:val="BRL-Standard"/>
      </w:pPr>
    </w:p>
    <w:p w14:paraId="20093B95" w14:textId="77777777" w:rsidR="00B34A5D" w:rsidRPr="0009445C" w:rsidRDefault="00B34A5D" w:rsidP="00D32A0E">
      <w:pPr>
        <w:pStyle w:val="BRL-Standard"/>
      </w:pPr>
    </w:p>
    <w:p w14:paraId="1D3F8E96" w14:textId="77777777" w:rsidR="00044502" w:rsidRPr="0009445C" w:rsidRDefault="00044502" w:rsidP="00044502">
      <w:pPr>
        <w:pStyle w:val="BRL-Anlage"/>
        <w:rPr>
          <w:lang w:val="de-DE"/>
        </w:rPr>
      </w:pPr>
      <w:r w:rsidRPr="0009445C">
        <w:rPr>
          <w:lang w:val="de-DE"/>
        </w:rPr>
        <w:t>Annex C 2.4.15</w:t>
      </w:r>
    </w:p>
    <w:p w14:paraId="2A4DC099" w14:textId="77777777" w:rsidR="00044502" w:rsidRPr="0009445C" w:rsidRDefault="00044502" w:rsidP="00044502">
      <w:pPr>
        <w:pStyle w:val="BRL-Anlage"/>
        <w:rPr>
          <w:lang w:val="de-DE"/>
        </w:rPr>
      </w:pPr>
    </w:p>
    <w:p w14:paraId="03E27897" w14:textId="77777777" w:rsidR="00044502" w:rsidRPr="0009445C" w:rsidRDefault="00044502" w:rsidP="00044502">
      <w:pPr>
        <w:pStyle w:val="BRL-Anlage"/>
        <w:rPr>
          <w:lang w:val="de-DE"/>
        </w:rPr>
      </w:pPr>
      <w:r w:rsidRPr="0009445C">
        <w:rPr>
          <w:lang w:val="de-DE"/>
        </w:rPr>
        <w:t>Re. DIN EN 1090-3</w:t>
      </w:r>
    </w:p>
    <w:p w14:paraId="2238E584" w14:textId="77777777" w:rsidR="00044502" w:rsidRPr="0009445C" w:rsidRDefault="00044502" w:rsidP="00044502">
      <w:pPr>
        <w:pStyle w:val="BRL-Anlage"/>
        <w:rPr>
          <w:lang w:val="de-DE"/>
        </w:rPr>
      </w:pPr>
    </w:p>
    <w:p w14:paraId="7BC9B651" w14:textId="77777777" w:rsidR="00044502" w:rsidRPr="0009445C" w:rsidRDefault="00044502" w:rsidP="00044502">
      <w:pPr>
        <w:pStyle w:val="BRL-AnlageStandard"/>
        <w:spacing w:after="120"/>
      </w:pPr>
      <w:r w:rsidRPr="0009445C">
        <w:t>The Technical Rule shall be applied as follows:</w:t>
      </w:r>
    </w:p>
    <w:p w14:paraId="04643891" w14:textId="77777777" w:rsidR="00044502" w:rsidRPr="0009445C" w:rsidRDefault="00044502" w:rsidP="00044502">
      <w:pPr>
        <w:pStyle w:val="BRL-AnlageStandard"/>
      </w:pPr>
      <w:r w:rsidRPr="0009445C">
        <w:t>1</w:t>
      </w:r>
      <w:r w:rsidRPr="0009445C">
        <w:tab/>
        <w:t>Confirmation of conformity of aluminium structural elements not covered by EN 1090</w:t>
      </w:r>
      <w:r w:rsidRPr="0009445C">
        <w:noBreakHyphen/>
        <w:t>1:2009+A1:2011</w:t>
      </w:r>
      <w:r w:rsidRPr="0009445C">
        <w:rPr>
          <w:vertAlign w:val="superscript"/>
        </w:rPr>
        <w:t>1</w:t>
      </w:r>
      <w:r w:rsidRPr="0009445C">
        <w:t xml:space="preserve"> but which have to remove payloads shall be carried out with a manufacturer’s declaration of conformity on the basis of an initial test in accordance with Section 6.2 of EN 1090</w:t>
      </w:r>
      <w:r w:rsidRPr="0009445C">
        <w:noBreakHyphen/>
        <w:t>1:2009+A1:2011</w:t>
      </w:r>
      <w:r w:rsidRPr="0009445C">
        <w:rPr>
          <w:vertAlign w:val="superscript"/>
        </w:rPr>
        <w:t>1</w:t>
      </w:r>
      <w:r w:rsidRPr="0009445C">
        <w:t xml:space="preserve"> and in-house quality control according to Section 6.3 of EN 1090</w:t>
      </w:r>
      <w:r w:rsidRPr="0009445C">
        <w:noBreakHyphen/>
        <w:t>1:2009+A1:2011</w:t>
      </w:r>
      <w:r w:rsidRPr="0009445C">
        <w:rPr>
          <w:vertAlign w:val="superscript"/>
        </w:rPr>
        <w:t>1</w:t>
      </w:r>
      <w:r w:rsidRPr="0009445C">
        <w:t>.</w:t>
      </w:r>
    </w:p>
    <w:p w14:paraId="13DABEF6" w14:textId="77777777" w:rsidR="00044502" w:rsidRPr="0009445C" w:rsidRDefault="00044502" w:rsidP="00044502">
      <w:pPr>
        <w:pStyle w:val="BRL-AnlageStandard"/>
      </w:pPr>
      <w:r w:rsidRPr="0009445C">
        <w:t>2</w:t>
      </w:r>
      <w:r w:rsidRPr="0009445C">
        <w:tab/>
        <w:t>The manufacturer shall provide the declaration of conformity by marking the construction products with the ‘ÜZ’ conformity mark, with reference to the designated use.</w:t>
      </w:r>
    </w:p>
    <w:p w14:paraId="49DCA441" w14:textId="77777777" w:rsidR="00044502" w:rsidRPr="0009445C" w:rsidRDefault="00044502" w:rsidP="00044502">
      <w:pPr>
        <w:pStyle w:val="BRL-AnlageStandard"/>
        <w:spacing w:after="120"/>
      </w:pPr>
      <w:r w:rsidRPr="0009445C">
        <w:t>3</w:t>
      </w:r>
      <w:r w:rsidRPr="0009445C">
        <w:tab/>
        <w:t>The manufacture of welded aluminium structural elements not covered by EN 1090</w:t>
      </w:r>
      <w:r w:rsidRPr="0009445C">
        <w:noBreakHyphen/>
        <w:t>1:2009+A1:2011</w:t>
      </w:r>
      <w:r w:rsidRPr="0009445C">
        <w:rPr>
          <w:vertAlign w:val="superscript"/>
        </w:rPr>
        <w:t>1</w:t>
      </w:r>
      <w:r w:rsidRPr="0009445C">
        <w:t xml:space="preserve"> but which need to bear payloads, may be carried out only by companies which possess a proof of suitability for the execution of welding work in the relevant execution class (EXC). Alternatively, the following shall be considered as proof of suitability:</w:t>
      </w:r>
    </w:p>
    <w:p w14:paraId="309636FE" w14:textId="77777777" w:rsidR="00044502" w:rsidRPr="0009445C" w:rsidRDefault="00044502" w:rsidP="00044502">
      <w:pPr>
        <w:pStyle w:val="BRLAufzhlungAnstrich"/>
        <w:numPr>
          <w:ilvl w:val="0"/>
          <w:numId w:val="1"/>
        </w:numPr>
      </w:pPr>
      <w:r w:rsidRPr="0009445C">
        <w:t>a welding certificate in line with EN 1090</w:t>
      </w:r>
      <w:r w:rsidRPr="0009445C">
        <w:noBreakHyphen/>
        <w:t>1:2009+A1:2011</w:t>
      </w:r>
      <w:r w:rsidRPr="0009445C">
        <w:rPr>
          <w:vertAlign w:val="superscript"/>
        </w:rPr>
        <w:t>1</w:t>
      </w:r>
      <w:r w:rsidRPr="0009445C">
        <w:t xml:space="preserve"> issued or certified by a notified body, if the firm’s in-house production control is certified by this body in line with EN 1090</w:t>
      </w:r>
      <w:r w:rsidRPr="0009445C">
        <w:noBreakHyphen/>
        <w:t>1:2009+A1:2011</w:t>
      </w:r>
      <w:r w:rsidRPr="0009445C">
        <w:rPr>
          <w:vertAlign w:val="superscript"/>
        </w:rPr>
        <w:t>1</w:t>
      </w:r>
      <w:r w:rsidRPr="0009445C">
        <w:t>;</w:t>
      </w:r>
    </w:p>
    <w:p w14:paraId="0DC87EE6" w14:textId="77777777" w:rsidR="00044502" w:rsidRPr="0009445C" w:rsidRDefault="00044502" w:rsidP="00044502">
      <w:pPr>
        <w:pStyle w:val="BRLAufzhlungAnstrich"/>
        <w:numPr>
          <w:ilvl w:val="0"/>
          <w:numId w:val="1"/>
        </w:numPr>
        <w:rPr>
          <w:strike/>
        </w:rPr>
      </w:pPr>
      <w:r w:rsidRPr="0009445C">
        <w:t>a welding certificate based on DIN EN 1090-3:2019-07 in conjunction with EN 1090</w:t>
      </w:r>
      <w:r w:rsidRPr="0009445C">
        <w:noBreakHyphen/>
        <w:t>1:2009+A1:2011</w:t>
      </w:r>
      <w:r w:rsidRPr="0009445C">
        <w:rPr>
          <w:vertAlign w:val="superscript"/>
        </w:rPr>
        <w:t>1</w:t>
      </w:r>
      <w:r w:rsidRPr="0009445C">
        <w:t>, Table B.1 issued by an officially recognised body.</w:t>
      </w:r>
    </w:p>
    <w:p w14:paraId="5FB9021D" w14:textId="6B743171" w:rsidR="00044502" w:rsidRPr="0009445C" w:rsidRDefault="00044502" w:rsidP="00044502">
      <w:pPr>
        <w:pStyle w:val="BRL-AnlageStandard"/>
      </w:pPr>
      <w:r w:rsidRPr="0009445C">
        <w:t>For the assignment of structural elements into the execution classes (EXC), DIN EN 1999-1</w:t>
      </w:r>
      <w:r w:rsidRPr="0009445C">
        <w:noBreakHyphen/>
        <w:t>1/NA:2021-03 applies.</w:t>
      </w:r>
    </w:p>
    <w:p w14:paraId="5792F417" w14:textId="77777777" w:rsidR="00044502" w:rsidRPr="0009445C" w:rsidRDefault="00044502" w:rsidP="00044502">
      <w:pPr>
        <w:pStyle w:val="BRL-AnlageStandard"/>
        <w:rPr>
          <w:strike/>
        </w:rPr>
      </w:pPr>
      <w:r w:rsidRPr="0009445C">
        <w:t>________</w:t>
      </w:r>
    </w:p>
    <w:p w14:paraId="3BAB033A" w14:textId="77777777" w:rsidR="00044502" w:rsidRPr="0009445C" w:rsidRDefault="00044502" w:rsidP="00044502">
      <w:pPr>
        <w:pStyle w:val="BRL-Funote"/>
      </w:pPr>
      <w:r w:rsidRPr="0009445C">
        <w:t>1</w:t>
      </w:r>
      <w:r w:rsidRPr="0009445C">
        <w:tab/>
        <w:t>Implemented in Germany by DIN EN 1090-1:2012-02.</w:t>
      </w:r>
    </w:p>
    <w:p w14:paraId="2AA79EFD" w14:textId="77777777" w:rsidR="00044502" w:rsidRPr="0009445C" w:rsidRDefault="00044502" w:rsidP="00044502">
      <w:pPr>
        <w:pStyle w:val="BRL-AnlageStandard"/>
      </w:pPr>
    </w:p>
    <w:p w14:paraId="7B8B1E5B" w14:textId="77777777" w:rsidR="00044502" w:rsidRPr="0009445C" w:rsidRDefault="00044502" w:rsidP="00742443">
      <w:pPr>
        <w:pStyle w:val="BRL-Funote"/>
        <w:widowControl w:val="0"/>
      </w:pPr>
    </w:p>
    <w:p w14:paraId="23189015" w14:textId="77777777" w:rsidR="00B34A5D" w:rsidRPr="0009445C" w:rsidRDefault="00B34A5D">
      <w:pPr>
        <w:spacing w:after="200" w:line="276" w:lineRule="auto"/>
        <w:rPr>
          <w:b/>
          <w:szCs w:val="18"/>
        </w:rPr>
      </w:pPr>
      <w:r w:rsidRPr="0009445C">
        <w:br w:type="page"/>
      </w:r>
    </w:p>
    <w:p w14:paraId="005C3566" w14:textId="77777777" w:rsidR="009A419A" w:rsidRPr="0009445C" w:rsidRDefault="009A419A" w:rsidP="009A419A">
      <w:pPr>
        <w:pStyle w:val="BRL-Anlage"/>
      </w:pPr>
      <w:r w:rsidRPr="0009445C">
        <w:lastRenderedPageBreak/>
        <w:t>Annex C 2.6.3</w:t>
      </w:r>
    </w:p>
    <w:p w14:paraId="6C792D45" w14:textId="77777777" w:rsidR="009A419A" w:rsidRPr="0009445C" w:rsidRDefault="009A419A" w:rsidP="009A419A">
      <w:pPr>
        <w:pStyle w:val="BRL-Anlage"/>
      </w:pPr>
    </w:p>
    <w:p w14:paraId="7FCA9824" w14:textId="77777777" w:rsidR="009A419A" w:rsidRPr="0009445C" w:rsidRDefault="009A419A" w:rsidP="009A419A">
      <w:pPr>
        <w:pStyle w:val="BRL-Anlage"/>
        <w:numPr>
          <w:ilvl w:val="0"/>
          <w:numId w:val="36"/>
        </w:numPr>
      </w:pPr>
      <w:r w:rsidRPr="0009445C">
        <w:t>General information</w:t>
      </w:r>
    </w:p>
    <w:p w14:paraId="1A3B90D8" w14:textId="77777777" w:rsidR="009A419A" w:rsidRPr="0009445C" w:rsidRDefault="009A419A" w:rsidP="009A419A">
      <w:pPr>
        <w:pStyle w:val="BRL-AnlageStandard"/>
        <w:keepNext/>
      </w:pPr>
    </w:p>
    <w:p w14:paraId="7A307A5E" w14:textId="6399AEB0" w:rsidR="009A419A" w:rsidRPr="0009445C" w:rsidRDefault="009A419A" w:rsidP="009A419A">
      <w:pPr>
        <w:pStyle w:val="BRL-AnlageStandard"/>
        <w:keepNext/>
      </w:pPr>
      <w:r w:rsidRPr="0009445C">
        <w:t xml:space="preserve">The following provisions shall apply to interior doors, on which there are requirements on sound insulation. Interior doors consist of at least the structural elements door wings and frames as well as the building fittings. </w:t>
      </w:r>
    </w:p>
    <w:p w14:paraId="30D3686D" w14:textId="77777777" w:rsidR="009A419A" w:rsidRPr="0009445C" w:rsidRDefault="009A419A" w:rsidP="009A419A">
      <w:pPr>
        <w:pStyle w:val="BRL-AnlageStandard"/>
      </w:pPr>
    </w:p>
    <w:p w14:paraId="3959F63D" w14:textId="77777777" w:rsidR="009A419A" w:rsidRPr="0009445C" w:rsidRDefault="009A419A" w:rsidP="009A419A">
      <w:pPr>
        <w:pStyle w:val="BRL-AnlageStandard"/>
      </w:pPr>
      <w:r w:rsidRPr="0009445C">
        <w:t>Interior doors must be made of at least normally flame-resistant materials.</w:t>
      </w:r>
    </w:p>
    <w:p w14:paraId="4B48576E" w14:textId="77777777" w:rsidR="009A419A" w:rsidRPr="0009445C" w:rsidRDefault="009A419A" w:rsidP="009A419A">
      <w:pPr>
        <w:pStyle w:val="BRL-AnlageStandard"/>
      </w:pPr>
    </w:p>
    <w:p w14:paraId="314EE590" w14:textId="77777777" w:rsidR="009A419A" w:rsidRPr="0009445C" w:rsidRDefault="009A419A" w:rsidP="009A419A">
      <w:pPr>
        <w:pStyle w:val="BRL-Anlage"/>
      </w:pPr>
      <w:r w:rsidRPr="0009445C">
        <w:t>2</w:t>
      </w:r>
      <w:r w:rsidRPr="0009445C">
        <w:tab/>
        <w:t>Rated sound insulation value</w:t>
      </w:r>
    </w:p>
    <w:p w14:paraId="3AC98D8B" w14:textId="77777777" w:rsidR="009A419A" w:rsidRPr="0009445C" w:rsidRDefault="009A419A" w:rsidP="009A419A">
      <w:pPr>
        <w:pStyle w:val="BRL-AnlageStandard"/>
        <w:keepNext/>
      </w:pPr>
    </w:p>
    <w:p w14:paraId="7A8B2FB5" w14:textId="346ABD47" w:rsidR="009A419A" w:rsidRPr="0009445C" w:rsidRDefault="009A419A" w:rsidP="00D32A0E">
      <w:pPr>
        <w:pStyle w:val="BRL-AnlageStandard"/>
        <w:keepNext/>
      </w:pPr>
      <w:r w:rsidRPr="0009445C">
        <w:t xml:space="preserve">If sound-insulating properties are to be identified depending on the intended use, the rated sound insulation measure </w:t>
      </w:r>
      <w:proofErr w:type="spellStart"/>
      <w:r w:rsidRPr="0009445C">
        <w:t>R</w:t>
      </w:r>
      <w:r w:rsidRPr="0009445C">
        <w:rPr>
          <w:vertAlign w:val="subscript"/>
        </w:rPr>
        <w:t>w</w:t>
      </w:r>
      <w:proofErr w:type="spellEnd"/>
      <w:r w:rsidRPr="0009445C">
        <w:t xml:space="preserve"> shall be determined according to Section 5.6 of DIN EN 14351-2:2019-01. </w:t>
      </w:r>
    </w:p>
    <w:p w14:paraId="48B23AD3" w14:textId="77777777" w:rsidR="009A419A" w:rsidRPr="0009445C" w:rsidRDefault="009A419A" w:rsidP="009A419A">
      <w:pPr>
        <w:pStyle w:val="BRL-AnlageStandard"/>
      </w:pPr>
    </w:p>
    <w:p w14:paraId="78878518" w14:textId="77777777" w:rsidR="009A419A" w:rsidRPr="0009445C" w:rsidRDefault="009A419A" w:rsidP="009A419A">
      <w:pPr>
        <w:pStyle w:val="BRL-Anlage"/>
      </w:pPr>
      <w:r w:rsidRPr="0009445C">
        <w:t>3</w:t>
      </w:r>
      <w:r w:rsidRPr="0009445C">
        <w:tab/>
        <w:t>Main features of the ‘ÜZ’ conformity mark</w:t>
      </w:r>
    </w:p>
    <w:p w14:paraId="0209DEC3" w14:textId="77777777" w:rsidR="009A419A" w:rsidRPr="0009445C" w:rsidRDefault="009A419A" w:rsidP="009A419A">
      <w:pPr>
        <w:pStyle w:val="BRL-AnlageStandard"/>
        <w:keepNext/>
      </w:pPr>
    </w:p>
    <w:p w14:paraId="4FB387D3" w14:textId="77777777" w:rsidR="009A419A" w:rsidRPr="0009445C" w:rsidRDefault="009A419A" w:rsidP="009A419A">
      <w:pPr>
        <w:pStyle w:val="BRL-AnlageStandard"/>
        <w:keepNext/>
      </w:pPr>
      <w:r w:rsidRPr="0009445C">
        <w:t xml:space="preserve">On the </w:t>
      </w:r>
      <w:r w:rsidRPr="0009445C">
        <w:noBreakHyphen/>
        <w:t>mark of conformity of an interior door that meets the requirements of Section 2, the rated sound insulation value </w:t>
      </w:r>
      <w:proofErr w:type="spellStart"/>
      <w:r w:rsidRPr="0009445C">
        <w:t>R</w:t>
      </w:r>
      <w:r w:rsidRPr="0009445C">
        <w:rPr>
          <w:vertAlign w:val="subscript"/>
        </w:rPr>
        <w:t>w</w:t>
      </w:r>
      <w:proofErr w:type="spellEnd"/>
      <w:r w:rsidRPr="0009445C">
        <w:t xml:space="preserve"> must be specified as well as the combinations of door leaves with door frames to which this applies.</w:t>
      </w:r>
    </w:p>
    <w:p w14:paraId="356E9135" w14:textId="77777777" w:rsidR="00D32A0E" w:rsidRPr="0009445C" w:rsidRDefault="00D32A0E" w:rsidP="009A419A">
      <w:pPr>
        <w:pStyle w:val="BRL-AnlageStandard"/>
      </w:pPr>
    </w:p>
    <w:p w14:paraId="6DC569C7" w14:textId="1E901C9E" w:rsidR="00D32A0E" w:rsidRPr="0009445C" w:rsidRDefault="009B23C2" w:rsidP="009B23C2">
      <w:pPr>
        <w:pStyle w:val="BRL-Anlage"/>
      </w:pPr>
      <w:r w:rsidRPr="0009445C">
        <w:t>Appendix C 2.14.5</w:t>
      </w:r>
    </w:p>
    <w:p w14:paraId="4977FB17" w14:textId="77777777" w:rsidR="009B23C2" w:rsidRPr="0009445C" w:rsidRDefault="009B23C2" w:rsidP="009A419A">
      <w:pPr>
        <w:pStyle w:val="BRL-AnlageStandard"/>
      </w:pPr>
    </w:p>
    <w:p w14:paraId="1AE88EAE" w14:textId="77777777" w:rsidR="009B23C2" w:rsidRPr="0009445C" w:rsidRDefault="009B23C2" w:rsidP="009B23C2">
      <w:pPr>
        <w:pStyle w:val="BRL-Standard"/>
      </w:pPr>
      <w:r w:rsidRPr="0009445C">
        <w:t>The air-independent fireplaces shall conform to the type CA in accordance with Table 1 of DIN EN 16510</w:t>
      </w:r>
      <w:r w:rsidRPr="0009445C">
        <w:noBreakHyphen/>
        <w:t xml:space="preserve"> 1:2018-11. The leakage determined must not exceed 2 m³/h. As part of the external monitoring, which takes place once a year, the leakage test bench of the fireworks manufacturer must also be assessed with regard to its suitability.</w:t>
      </w:r>
    </w:p>
    <w:p w14:paraId="66B65D36" w14:textId="77777777" w:rsidR="009B23C2" w:rsidRPr="0009445C" w:rsidRDefault="009B23C2" w:rsidP="009A419A">
      <w:pPr>
        <w:pStyle w:val="BRL-AnlageStandard"/>
      </w:pPr>
    </w:p>
    <w:p w14:paraId="7D22BCB3" w14:textId="77777777" w:rsidR="009B23C2" w:rsidRPr="0009445C" w:rsidRDefault="009B23C2" w:rsidP="009A419A">
      <w:pPr>
        <w:pStyle w:val="BRL-AnlageStandard"/>
      </w:pPr>
    </w:p>
    <w:p w14:paraId="38AE284C" w14:textId="77777777" w:rsidR="00D32A0E" w:rsidRPr="0009445C" w:rsidRDefault="00D32A0E" w:rsidP="00D32A0E">
      <w:pPr>
        <w:pStyle w:val="BRL-Anlage"/>
      </w:pPr>
      <w:r w:rsidRPr="0009445C">
        <w:t>Annex C 2.16.1</w:t>
      </w:r>
    </w:p>
    <w:p w14:paraId="0C4CBC76" w14:textId="77777777" w:rsidR="00D32A0E" w:rsidRPr="0009445C" w:rsidRDefault="00D32A0E" w:rsidP="00D32A0E">
      <w:pPr>
        <w:pStyle w:val="BRL-AnlageStandard"/>
        <w:keepNext/>
      </w:pPr>
    </w:p>
    <w:p w14:paraId="76E6ADF7" w14:textId="77777777" w:rsidR="00D32A0E" w:rsidRPr="0009445C" w:rsidRDefault="00D32A0E" w:rsidP="00D32A0E">
      <w:pPr>
        <w:pStyle w:val="BRL-AnlageStandard"/>
        <w:keepNext/>
      </w:pPr>
      <w:r w:rsidRPr="0009445C">
        <w:t>The regulations of Annex E to the standard for monitoring level M apply to the in-house quality control and external monitoring. Contrary to Table E.1, the properties of the materials and structural elements used are specified in test certificate 2.2, and the properties of the pipes with an increased yield strength are specified in the acceptance test certificate 3.1 in accordance with EN 10204:2005-01.</w:t>
      </w:r>
    </w:p>
    <w:p w14:paraId="0AACD84A" w14:textId="77777777" w:rsidR="00D32A0E" w:rsidRPr="0009445C" w:rsidRDefault="00D32A0E" w:rsidP="00D32A0E">
      <w:pPr>
        <w:pStyle w:val="BRL-AnlageStandard"/>
      </w:pPr>
    </w:p>
    <w:p w14:paraId="23F25697" w14:textId="77777777" w:rsidR="00D32A0E" w:rsidRPr="0009445C" w:rsidRDefault="00D32A0E" w:rsidP="00D32A0E">
      <w:pPr>
        <w:pStyle w:val="BRL-AnlageStandard"/>
      </w:pPr>
      <w:r w:rsidRPr="0009445C">
        <w:t>Mathematical proof of the load-bearing capacity of adjustable steel telescopic piles must be tested under the certification procedure. Testing may be carried out directly by the certification body itself or by a third body appointed by it.</w:t>
      </w:r>
    </w:p>
    <w:p w14:paraId="22F0B22E" w14:textId="77777777" w:rsidR="00D32A0E" w:rsidRPr="0009445C" w:rsidRDefault="00D32A0E" w:rsidP="00D32A0E">
      <w:pPr>
        <w:pStyle w:val="BRL-AnlageStandard"/>
      </w:pPr>
    </w:p>
    <w:p w14:paraId="06F04197" w14:textId="77777777" w:rsidR="00D32A0E" w:rsidRPr="0009445C" w:rsidRDefault="00D32A0E" w:rsidP="00D32A0E">
      <w:pPr>
        <w:pStyle w:val="BRL-Standard"/>
      </w:pPr>
      <w:r w:rsidRPr="0009445C">
        <w:t xml:space="preserve">If according to Section 9.4.2 of DIN EN 1065:1998-12 it can be shown that the characteristic load capacity for the adjustment device is at least 44.0 </w:t>
      </w:r>
      <w:proofErr w:type="spellStart"/>
      <w:r w:rsidRPr="0009445C">
        <w:t>kN</w:t>
      </w:r>
      <w:proofErr w:type="spellEnd"/>
      <w:r w:rsidRPr="0009445C">
        <w:t xml:space="preserve"> (class A) or 59.5 </w:t>
      </w:r>
      <w:proofErr w:type="spellStart"/>
      <w:r w:rsidRPr="0009445C">
        <w:t>kN</w:t>
      </w:r>
      <w:proofErr w:type="spellEnd"/>
      <w:r w:rsidRPr="0009445C">
        <w:t xml:space="preserve"> (classes B to E), a greater characteristic load capacity may be used compared to the nominal characteristic load capacity according to Section 8 of the standard, provided that this has been mathematically demonstrated for the overall support in accordance with Section 9.2 of the standard.</w:t>
      </w:r>
    </w:p>
    <w:p w14:paraId="4A10FE25" w14:textId="77777777" w:rsidR="004C5799" w:rsidRPr="0009445C" w:rsidRDefault="004C5799" w:rsidP="00D32A0E">
      <w:pPr>
        <w:pStyle w:val="BRL-Standard"/>
      </w:pPr>
    </w:p>
    <w:p w14:paraId="08F2A571" w14:textId="77777777" w:rsidR="00D32A0E" w:rsidRPr="0009445C" w:rsidRDefault="00D32A0E" w:rsidP="00D32A0E">
      <w:pPr>
        <w:pStyle w:val="BRL-Standard"/>
      </w:pPr>
      <w:r w:rsidRPr="0009445C">
        <w:t xml:space="preserve">The approach of larger characteristic load capacities of the structural supports according to DIN EN 1065:1998-12 is not permissible than 44.0 </w:t>
      </w:r>
      <w:proofErr w:type="spellStart"/>
      <w:r w:rsidRPr="0009445C">
        <w:t>kN</w:t>
      </w:r>
      <w:proofErr w:type="spellEnd"/>
      <w:r w:rsidRPr="0009445C">
        <w:t xml:space="preserve"> (class A) or 59.5 </w:t>
      </w:r>
      <w:proofErr w:type="spellStart"/>
      <w:r w:rsidRPr="0009445C">
        <w:t>kN</w:t>
      </w:r>
      <w:proofErr w:type="spellEnd"/>
      <w:r w:rsidRPr="0009445C">
        <w:t xml:space="preserve"> (classes B to E).</w:t>
      </w:r>
    </w:p>
    <w:p w14:paraId="5FC184EA" w14:textId="77777777" w:rsidR="00D32A0E" w:rsidRPr="0009445C" w:rsidRDefault="00D32A0E" w:rsidP="009A419A">
      <w:pPr>
        <w:pStyle w:val="BRL-AnlageStandard"/>
      </w:pPr>
    </w:p>
    <w:p w14:paraId="1E14ECF0" w14:textId="77777777" w:rsidR="006E60F4" w:rsidRPr="0009445C" w:rsidRDefault="006E60F4" w:rsidP="009A419A">
      <w:pPr>
        <w:pStyle w:val="BRL-AnlageStandard"/>
        <w:sectPr w:rsidR="006E60F4" w:rsidRPr="0009445C" w:rsidSect="00744176">
          <w:headerReference w:type="default" r:id="rId56"/>
          <w:headerReference w:type="first" r:id="rId57"/>
          <w:footerReference w:type="first" r:id="rId58"/>
          <w:pgSz w:w="11906" w:h="16838"/>
          <w:pgMar w:top="1134" w:right="1418" w:bottom="1134" w:left="1418" w:header="709" w:footer="709" w:gutter="0"/>
          <w:cols w:space="708"/>
          <w:titlePg/>
          <w:docGrid w:linePitch="360"/>
        </w:sectPr>
      </w:pPr>
    </w:p>
    <w:p w14:paraId="23D26431" w14:textId="77777777" w:rsidR="006E60F4" w:rsidRPr="0009445C" w:rsidRDefault="006E60F4" w:rsidP="006E60F4">
      <w:pPr>
        <w:pStyle w:val="Heading1"/>
      </w:pPr>
      <w:bookmarkStart w:id="18" w:name="_Ref24538508"/>
      <w:r w:rsidRPr="0009445C">
        <w:lastRenderedPageBreak/>
        <w:t>C 3</w:t>
      </w:r>
      <w:r w:rsidRPr="0009445C">
        <w:tab/>
        <w:t>Construction products that require only a general building supervisory inspection certificate pursuant to § 19(1) sentence 2 MBO</w:t>
      </w:r>
      <w:r w:rsidRPr="0009445C">
        <w:rPr>
          <w:vertAlign w:val="superscript"/>
        </w:rPr>
        <w:t>1</w:t>
      </w:r>
      <w:bookmarkEnd w:id="18"/>
    </w:p>
    <w:p w14:paraId="595A7DB2" w14:textId="77777777" w:rsidR="006E60F4" w:rsidRPr="0009445C" w:rsidRDefault="006E60F4" w:rsidP="006E60F4">
      <w:pPr>
        <w:pStyle w:val="BRL-Standard"/>
      </w:pPr>
      <w:r w:rsidRPr="0009445C">
        <w:t>The following is stipulated in accordance with § 85a(2) No. 4 MBO</w:t>
      </w:r>
      <w:r w:rsidRPr="0009445C">
        <w:rPr>
          <w:vertAlign w:val="superscript"/>
        </w:rPr>
        <w:t>1</w:t>
      </w:r>
      <w:r w:rsidRPr="0009445C">
        <w:t>:</w:t>
      </w:r>
    </w:p>
    <w:tbl>
      <w:tblPr>
        <w:tblStyle w:val="TableGrid"/>
        <w:tblW w:w="9072" w:type="dxa"/>
        <w:tblLayout w:type="fixed"/>
        <w:tblCellMar>
          <w:top w:w="28" w:type="dxa"/>
          <w:left w:w="57" w:type="dxa"/>
          <w:bottom w:w="28" w:type="dxa"/>
          <w:right w:w="57" w:type="dxa"/>
        </w:tblCellMar>
        <w:tblLook w:val="01E0" w:firstRow="1" w:lastRow="1" w:firstColumn="1" w:lastColumn="1" w:noHBand="0" w:noVBand="0"/>
      </w:tblPr>
      <w:tblGrid>
        <w:gridCol w:w="1134"/>
        <w:gridCol w:w="3402"/>
        <w:gridCol w:w="3402"/>
        <w:gridCol w:w="1134"/>
      </w:tblGrid>
      <w:tr w:rsidR="006E60F4" w:rsidRPr="0009445C" w14:paraId="12C5B63B" w14:textId="77777777" w:rsidTr="004C2C77">
        <w:trPr>
          <w:trHeight w:hRule="exact" w:val="57"/>
        </w:trPr>
        <w:tc>
          <w:tcPr>
            <w:tcW w:w="9072" w:type="dxa"/>
            <w:gridSpan w:val="4"/>
            <w:tcBorders>
              <w:top w:val="nil"/>
              <w:left w:val="nil"/>
              <w:bottom w:val="nil"/>
              <w:right w:val="nil"/>
            </w:tcBorders>
          </w:tcPr>
          <w:p w14:paraId="7F9503F4" w14:textId="77777777" w:rsidR="006E60F4" w:rsidRPr="0009445C" w:rsidRDefault="006E60F4" w:rsidP="004C2C77">
            <w:pPr>
              <w:pStyle w:val="BRL-berschrift2"/>
            </w:pPr>
          </w:p>
        </w:tc>
      </w:tr>
      <w:tr w:rsidR="006E60F4" w:rsidRPr="0009445C" w14:paraId="25BDFD62" w14:textId="77777777" w:rsidTr="004C2C77">
        <w:tc>
          <w:tcPr>
            <w:tcW w:w="1134" w:type="dxa"/>
            <w:tcBorders>
              <w:bottom w:val="single" w:sz="4" w:space="0" w:color="auto"/>
            </w:tcBorders>
          </w:tcPr>
          <w:p w14:paraId="45ECC263" w14:textId="77777777" w:rsidR="006E60F4" w:rsidRPr="0009445C" w:rsidRDefault="006E60F4" w:rsidP="004C2C77">
            <w:pPr>
              <w:pStyle w:val="BRL-Tabelle"/>
              <w:jc w:val="center"/>
            </w:pPr>
            <w:r w:rsidRPr="0009445C">
              <w:t>Ser. No</w:t>
            </w:r>
          </w:p>
        </w:tc>
        <w:tc>
          <w:tcPr>
            <w:tcW w:w="3402" w:type="dxa"/>
            <w:tcBorders>
              <w:bottom w:val="single" w:sz="4" w:space="0" w:color="auto"/>
            </w:tcBorders>
          </w:tcPr>
          <w:p w14:paraId="26EA1859" w14:textId="77777777" w:rsidR="006E60F4" w:rsidRPr="0009445C" w:rsidRDefault="006E60F4" w:rsidP="004C2C77">
            <w:pPr>
              <w:pStyle w:val="BRL-Tabelle"/>
              <w:jc w:val="center"/>
            </w:pPr>
            <w:r w:rsidRPr="0009445C">
              <w:t>Construction product</w:t>
            </w:r>
          </w:p>
        </w:tc>
        <w:tc>
          <w:tcPr>
            <w:tcW w:w="3402" w:type="dxa"/>
            <w:tcBorders>
              <w:bottom w:val="single" w:sz="4" w:space="0" w:color="auto"/>
            </w:tcBorders>
          </w:tcPr>
          <w:p w14:paraId="7DB4D3A3" w14:textId="77777777" w:rsidR="006E60F4" w:rsidRPr="0009445C" w:rsidRDefault="006E60F4" w:rsidP="004C2C77">
            <w:pPr>
              <w:pStyle w:val="BRL-Tabelle"/>
              <w:jc w:val="center"/>
            </w:pPr>
            <w:r w:rsidRPr="0009445C">
              <w:t>approved test procedure according to:</w:t>
            </w:r>
          </w:p>
        </w:tc>
        <w:tc>
          <w:tcPr>
            <w:tcW w:w="1134" w:type="dxa"/>
            <w:tcBorders>
              <w:bottom w:val="single" w:sz="4" w:space="0" w:color="auto"/>
            </w:tcBorders>
          </w:tcPr>
          <w:p w14:paraId="1D281518" w14:textId="77777777" w:rsidR="006E60F4" w:rsidRPr="0009445C" w:rsidRDefault="006E60F4" w:rsidP="004C2C77">
            <w:pPr>
              <w:pStyle w:val="BRL-Tabelle"/>
              <w:jc w:val="center"/>
            </w:pPr>
            <w:r w:rsidRPr="0009445C">
              <w:t>Declaration of conformity</w:t>
            </w:r>
          </w:p>
        </w:tc>
      </w:tr>
      <w:tr w:rsidR="006E60F4" w:rsidRPr="0009445C" w14:paraId="48A5B816" w14:textId="77777777" w:rsidTr="004C2C77">
        <w:tc>
          <w:tcPr>
            <w:tcW w:w="1134" w:type="dxa"/>
            <w:tcBorders>
              <w:bottom w:val="nil"/>
            </w:tcBorders>
          </w:tcPr>
          <w:p w14:paraId="04AE4CE8" w14:textId="77777777" w:rsidR="006E60F4" w:rsidRPr="0009445C" w:rsidRDefault="006E60F4" w:rsidP="004C2C77">
            <w:pPr>
              <w:pStyle w:val="BRL-Tabelle"/>
              <w:jc w:val="center"/>
            </w:pPr>
            <w:r w:rsidRPr="0009445C">
              <w:t>1</w:t>
            </w:r>
          </w:p>
        </w:tc>
        <w:tc>
          <w:tcPr>
            <w:tcW w:w="3402" w:type="dxa"/>
            <w:tcBorders>
              <w:bottom w:val="nil"/>
            </w:tcBorders>
          </w:tcPr>
          <w:p w14:paraId="2DC90B84" w14:textId="77777777" w:rsidR="006E60F4" w:rsidRPr="0009445C" w:rsidRDefault="006E60F4" w:rsidP="004C2C77">
            <w:pPr>
              <w:pStyle w:val="BRL-Tabelle"/>
              <w:jc w:val="center"/>
            </w:pPr>
            <w:r w:rsidRPr="0009445C">
              <w:t>2</w:t>
            </w:r>
          </w:p>
        </w:tc>
        <w:tc>
          <w:tcPr>
            <w:tcW w:w="3402" w:type="dxa"/>
            <w:tcBorders>
              <w:bottom w:val="nil"/>
            </w:tcBorders>
          </w:tcPr>
          <w:p w14:paraId="14CB9961" w14:textId="77777777" w:rsidR="006E60F4" w:rsidRPr="0009445C" w:rsidRDefault="006E60F4" w:rsidP="004C2C77">
            <w:pPr>
              <w:pStyle w:val="BRL-Tabelle"/>
              <w:jc w:val="center"/>
            </w:pPr>
            <w:r w:rsidRPr="0009445C">
              <w:t>3</w:t>
            </w:r>
          </w:p>
        </w:tc>
        <w:tc>
          <w:tcPr>
            <w:tcW w:w="1134" w:type="dxa"/>
            <w:tcBorders>
              <w:bottom w:val="nil"/>
            </w:tcBorders>
          </w:tcPr>
          <w:p w14:paraId="61C7CA38" w14:textId="77777777" w:rsidR="006E60F4" w:rsidRPr="0009445C" w:rsidRDefault="006E60F4" w:rsidP="004C2C77">
            <w:pPr>
              <w:pStyle w:val="BRL-Tabelle"/>
              <w:jc w:val="center"/>
            </w:pPr>
            <w:r w:rsidRPr="0009445C">
              <w:t>4</w:t>
            </w:r>
          </w:p>
        </w:tc>
      </w:tr>
    </w:tbl>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5E0" w:firstRow="1" w:lastRow="1" w:firstColumn="1" w:lastColumn="1" w:noHBand="0" w:noVBand="1"/>
      </w:tblPr>
      <w:tblGrid>
        <w:gridCol w:w="1133"/>
        <w:gridCol w:w="3402"/>
        <w:gridCol w:w="3402"/>
        <w:gridCol w:w="1133"/>
      </w:tblGrid>
      <w:tr w:rsidR="006E60F4" w:rsidRPr="0009445C" w14:paraId="30FD8723" w14:textId="77777777" w:rsidTr="004C2C77">
        <w:trPr>
          <w:trHeight w:val="227"/>
        </w:trPr>
        <w:tc>
          <w:tcPr>
            <w:tcW w:w="1133" w:type="dxa"/>
            <w:shd w:val="clear" w:color="auto" w:fill="auto"/>
          </w:tcPr>
          <w:p w14:paraId="1893F37E" w14:textId="10F7BC7C" w:rsidR="006E60F4" w:rsidRPr="0009445C" w:rsidRDefault="006E60F4" w:rsidP="006E60F4">
            <w:pPr>
              <w:pStyle w:val="BRL-Tabelle"/>
              <w:widowControl w:val="0"/>
            </w:pPr>
          </w:p>
        </w:tc>
        <w:tc>
          <w:tcPr>
            <w:tcW w:w="3402" w:type="dxa"/>
            <w:shd w:val="clear" w:color="auto" w:fill="auto"/>
          </w:tcPr>
          <w:p w14:paraId="7EF0F7E5" w14:textId="16B627C5" w:rsidR="006E60F4" w:rsidRPr="0009445C" w:rsidRDefault="006E60F4" w:rsidP="006E60F4">
            <w:pPr>
              <w:pStyle w:val="BRL-Tabelle"/>
              <w:widowControl w:val="0"/>
            </w:pPr>
          </w:p>
        </w:tc>
        <w:tc>
          <w:tcPr>
            <w:tcW w:w="3402" w:type="dxa"/>
            <w:shd w:val="clear" w:color="auto" w:fill="auto"/>
          </w:tcPr>
          <w:p w14:paraId="2462AB10" w14:textId="15A73711" w:rsidR="006E60F4" w:rsidRPr="0009445C" w:rsidRDefault="006E60F4" w:rsidP="006E60F4">
            <w:pPr>
              <w:pStyle w:val="BRL-Tabelle"/>
              <w:widowControl w:val="0"/>
            </w:pPr>
          </w:p>
        </w:tc>
        <w:tc>
          <w:tcPr>
            <w:tcW w:w="1133" w:type="dxa"/>
            <w:shd w:val="clear" w:color="auto" w:fill="auto"/>
          </w:tcPr>
          <w:p w14:paraId="7849598E" w14:textId="3102DDED" w:rsidR="006E60F4" w:rsidRPr="0009445C" w:rsidRDefault="006E60F4" w:rsidP="006E60F4">
            <w:pPr>
              <w:pStyle w:val="BRL-Tabelle"/>
              <w:widowControl w:val="0"/>
              <w:jc w:val="center"/>
            </w:pPr>
          </w:p>
        </w:tc>
      </w:tr>
      <w:tr w:rsidR="006E60F4" w:rsidRPr="0009445C" w14:paraId="24697AA9" w14:textId="77777777" w:rsidTr="004C2C77">
        <w:trPr>
          <w:trHeight w:val="227"/>
        </w:trPr>
        <w:tc>
          <w:tcPr>
            <w:tcW w:w="1133" w:type="dxa"/>
            <w:shd w:val="clear" w:color="auto" w:fill="auto"/>
          </w:tcPr>
          <w:p w14:paraId="09360895" w14:textId="77777777" w:rsidR="006E60F4" w:rsidRPr="0009445C" w:rsidRDefault="006E60F4" w:rsidP="006E60F4">
            <w:pPr>
              <w:pStyle w:val="BRL-Tabelle"/>
              <w:widowControl w:val="0"/>
            </w:pPr>
            <w:r w:rsidRPr="0009445C">
              <w:t>C 3.13</w:t>
            </w:r>
          </w:p>
        </w:tc>
        <w:tc>
          <w:tcPr>
            <w:tcW w:w="3402" w:type="dxa"/>
            <w:shd w:val="clear" w:color="auto" w:fill="auto"/>
          </w:tcPr>
          <w:p w14:paraId="78F3FED0" w14:textId="77777777" w:rsidR="006E60F4" w:rsidRPr="0009445C" w:rsidRDefault="006E60F4" w:rsidP="006E60F4">
            <w:pPr>
              <w:pStyle w:val="BRL-Tabelle"/>
              <w:widowControl w:val="0"/>
            </w:pPr>
            <w:r w:rsidRPr="0009445C">
              <w:t>Adjustable telescopic steel props - Product specifications, design and assessment by calculation and tests</w:t>
            </w:r>
          </w:p>
        </w:tc>
        <w:tc>
          <w:tcPr>
            <w:tcW w:w="3402" w:type="dxa"/>
            <w:shd w:val="clear" w:color="auto" w:fill="auto"/>
          </w:tcPr>
          <w:p w14:paraId="438364BA" w14:textId="77777777" w:rsidR="00611559" w:rsidRPr="0009445C" w:rsidRDefault="006E60F4" w:rsidP="006E60F4">
            <w:pPr>
              <w:pStyle w:val="BRL-Tabelle"/>
              <w:widowControl w:val="0"/>
            </w:pPr>
            <w:r w:rsidRPr="0009445C">
              <w:t>DIN EN 1065:1998-12</w:t>
            </w:r>
            <w:r w:rsidRPr="0009445C">
              <w:br/>
              <w:t>Additionally applies:</w:t>
            </w:r>
            <w:r w:rsidRPr="0009445C">
              <w:br/>
              <w:t>Annex C 3.9</w:t>
            </w:r>
          </w:p>
        </w:tc>
        <w:tc>
          <w:tcPr>
            <w:tcW w:w="1133" w:type="dxa"/>
            <w:shd w:val="clear" w:color="auto" w:fill="auto"/>
          </w:tcPr>
          <w:p w14:paraId="22BC1474" w14:textId="77777777" w:rsidR="006E60F4" w:rsidRPr="0009445C" w:rsidRDefault="006E60F4" w:rsidP="006E60F4">
            <w:pPr>
              <w:pStyle w:val="BRL-Tabelle"/>
              <w:widowControl w:val="0"/>
              <w:jc w:val="center"/>
            </w:pPr>
            <w:r w:rsidRPr="0009445C">
              <w:t>Mark of conformity [ÜZ]</w:t>
            </w:r>
          </w:p>
        </w:tc>
      </w:tr>
      <w:tr w:rsidR="006E60F4" w:rsidRPr="0009445C" w14:paraId="3572C459" w14:textId="77777777" w:rsidTr="004C2C77">
        <w:trPr>
          <w:trHeight w:val="227"/>
        </w:trPr>
        <w:tc>
          <w:tcPr>
            <w:tcW w:w="1133" w:type="dxa"/>
            <w:tcBorders>
              <w:bottom w:val="single" w:sz="4" w:space="0" w:color="auto"/>
            </w:tcBorders>
            <w:shd w:val="clear" w:color="auto" w:fill="auto"/>
          </w:tcPr>
          <w:p w14:paraId="7D937B09" w14:textId="77777777" w:rsidR="006E60F4" w:rsidRPr="0009445C" w:rsidRDefault="006E60F4" w:rsidP="006E60F4">
            <w:pPr>
              <w:pStyle w:val="BRL-Tabelle"/>
              <w:keepNext/>
              <w:widowControl w:val="0"/>
            </w:pPr>
            <w:r w:rsidRPr="0009445C">
              <w:t>C 3.27</w:t>
            </w:r>
          </w:p>
        </w:tc>
        <w:tc>
          <w:tcPr>
            <w:tcW w:w="3402" w:type="dxa"/>
            <w:tcBorders>
              <w:bottom w:val="single" w:sz="4" w:space="0" w:color="auto"/>
            </w:tcBorders>
            <w:shd w:val="clear" w:color="auto" w:fill="auto"/>
          </w:tcPr>
          <w:p w14:paraId="1DE3F9B7" w14:textId="77777777" w:rsidR="006E60F4" w:rsidRPr="0009445C" w:rsidRDefault="006E60F4" w:rsidP="006E60F4">
            <w:pPr>
              <w:pStyle w:val="BRL-Tabelle"/>
              <w:keepNext/>
              <w:widowControl w:val="0"/>
            </w:pPr>
            <w:r w:rsidRPr="0009445C">
              <w:t>Products for seals in conjunction with tiles and slab surfaces</w:t>
            </w:r>
          </w:p>
          <w:p w14:paraId="4DEF9541" w14:textId="77777777" w:rsidR="006E60F4" w:rsidRPr="0009445C" w:rsidRDefault="006E60F4" w:rsidP="006E60F4">
            <w:pPr>
              <w:pStyle w:val="BRL-Tabelle"/>
              <w:keepNext/>
              <w:widowControl w:val="0"/>
              <w:tabs>
                <w:tab w:val="left" w:pos="340"/>
              </w:tabs>
              <w:ind w:left="340" w:hanging="340"/>
            </w:pPr>
            <w:r w:rsidRPr="0009445C">
              <w:t>-</w:t>
            </w:r>
            <w:r w:rsidRPr="0009445C">
              <w:tab/>
              <w:t>for internal and exterior walls and floors that are connected with buildings, against water without hydrostatic pressure in high-load situations such as in wet rooms in the public and commercial sector</w:t>
            </w:r>
          </w:p>
          <w:p w14:paraId="7B3DCC28" w14:textId="77777777" w:rsidR="006E60F4" w:rsidRPr="0009445C" w:rsidRDefault="006E60F4" w:rsidP="006E60F4">
            <w:pPr>
              <w:pStyle w:val="BRL-Tabelle"/>
              <w:keepNext/>
              <w:widowControl w:val="0"/>
              <w:tabs>
                <w:tab w:val="left" w:pos="340"/>
              </w:tabs>
              <w:ind w:left="340" w:hanging="340"/>
            </w:pPr>
            <w:r w:rsidRPr="0009445C">
              <w:t>-</w:t>
            </w:r>
            <w:r w:rsidRPr="0009445C">
              <w:tab/>
              <w:t>for containers and basins located inside or outside, where these are connected to buildings against fill water such as with swimming pools</w:t>
            </w:r>
          </w:p>
        </w:tc>
        <w:tc>
          <w:tcPr>
            <w:tcW w:w="3402" w:type="dxa"/>
            <w:tcBorders>
              <w:bottom w:val="single" w:sz="4" w:space="0" w:color="auto"/>
            </w:tcBorders>
            <w:shd w:val="clear" w:color="auto" w:fill="auto"/>
          </w:tcPr>
          <w:p w14:paraId="0CCE09CE" w14:textId="77777777" w:rsidR="006E60F4" w:rsidRPr="0009445C" w:rsidRDefault="006E60F4" w:rsidP="006E60F4">
            <w:pPr>
              <w:pStyle w:val="BRL-Tabelle"/>
              <w:keepNext/>
              <w:widowControl w:val="0"/>
            </w:pPr>
            <w:r w:rsidRPr="0009445C">
              <w:t xml:space="preserve">Test principles for the issuing of general building inspection certificates for seals in conjunction with tiles and slab surfaces </w:t>
            </w:r>
          </w:p>
          <w:p w14:paraId="575ACD45" w14:textId="77777777" w:rsidR="006E60F4" w:rsidRPr="0009445C" w:rsidRDefault="006E60F4" w:rsidP="006E60F4">
            <w:pPr>
              <w:pStyle w:val="BRL-Tabelle"/>
              <w:keepNext/>
              <w:widowControl w:val="0"/>
              <w:tabs>
                <w:tab w:val="left" w:pos="340"/>
              </w:tabs>
              <w:ind w:left="340" w:hanging="340"/>
            </w:pPr>
            <w:r w:rsidRPr="0009445C">
              <w:t>-</w:t>
            </w:r>
            <w:r w:rsidRPr="0009445C">
              <w:tab/>
              <w:t>Part 1: Liquid-applied seals (PG AIV-F) (2018-03),</w:t>
            </w:r>
          </w:p>
          <w:p w14:paraId="5181BB10" w14:textId="77777777" w:rsidR="006E60F4" w:rsidRPr="0009445C" w:rsidRDefault="006E60F4" w:rsidP="006E60F4">
            <w:pPr>
              <w:pStyle w:val="BRL-Tabelle"/>
              <w:keepNext/>
              <w:widowControl w:val="0"/>
              <w:tabs>
                <w:tab w:val="left" w:pos="340"/>
              </w:tabs>
              <w:ind w:left="340" w:hanging="340"/>
            </w:pPr>
            <w:r w:rsidRPr="0009445C">
              <w:t>-</w:t>
            </w:r>
            <w:r w:rsidRPr="0009445C">
              <w:tab/>
              <w:t>Part 2: Sheet-type seals (PG AIV-B) (2018-03),</w:t>
            </w:r>
          </w:p>
          <w:p w14:paraId="78F23D56" w14:textId="77777777" w:rsidR="006E60F4" w:rsidRPr="0009445C" w:rsidRDefault="006E60F4" w:rsidP="006E60F4">
            <w:pPr>
              <w:pStyle w:val="BRL-Tabelle"/>
              <w:keepNext/>
              <w:widowControl w:val="0"/>
              <w:tabs>
                <w:tab w:val="left" w:pos="340"/>
              </w:tabs>
              <w:ind w:left="340" w:hanging="340"/>
            </w:pPr>
            <w:r w:rsidRPr="0009445C">
              <w:t>-</w:t>
            </w:r>
            <w:r w:rsidRPr="0009445C">
              <w:tab/>
              <w:t>Part 3: Slab-type seals (PG AIV-P) (2018-03)</w:t>
            </w:r>
          </w:p>
          <w:p w14:paraId="0027F4FF" w14:textId="77777777" w:rsidR="00611559" w:rsidRPr="0009445C" w:rsidRDefault="00611559" w:rsidP="006E60F4">
            <w:pPr>
              <w:pStyle w:val="BRL-Tabelle"/>
              <w:keepNext/>
              <w:widowControl w:val="0"/>
              <w:tabs>
                <w:tab w:val="left" w:pos="340"/>
              </w:tabs>
              <w:ind w:left="340" w:hanging="340"/>
            </w:pPr>
            <w:r w:rsidRPr="0009445C">
              <w:t>-</w:t>
            </w:r>
            <w:r w:rsidRPr="0009445C">
              <w:tab/>
              <w:t>Part 4: Additional tests on sealing systems in connection with wear layers (PG</w:t>
            </w:r>
            <w:r w:rsidRPr="0009445C">
              <w:noBreakHyphen/>
              <w:t>AIV</w:t>
            </w:r>
            <w:r w:rsidRPr="0009445C">
              <w:noBreakHyphen/>
              <w:t>N) (2021-07)</w:t>
            </w:r>
          </w:p>
        </w:tc>
        <w:tc>
          <w:tcPr>
            <w:tcW w:w="1133" w:type="dxa"/>
            <w:tcBorders>
              <w:bottom w:val="single" w:sz="4" w:space="0" w:color="auto"/>
            </w:tcBorders>
            <w:shd w:val="clear" w:color="auto" w:fill="auto"/>
          </w:tcPr>
          <w:p w14:paraId="17EE8BB8" w14:textId="77777777" w:rsidR="006E60F4" w:rsidRPr="0009445C" w:rsidRDefault="006E60F4" w:rsidP="006E60F4">
            <w:pPr>
              <w:pStyle w:val="BRL-Tabelle"/>
              <w:keepNext/>
              <w:widowControl w:val="0"/>
              <w:jc w:val="center"/>
            </w:pPr>
            <w:r w:rsidRPr="0009445C">
              <w:t>MDT</w:t>
            </w:r>
          </w:p>
        </w:tc>
      </w:tr>
      <w:tr w:rsidR="006E60F4" w:rsidRPr="0009445C" w14:paraId="3BDBD944" w14:textId="77777777" w:rsidTr="004C2C77">
        <w:trPr>
          <w:trHeight w:val="977"/>
        </w:trPr>
        <w:tc>
          <w:tcPr>
            <w:tcW w:w="1133" w:type="dxa"/>
            <w:tcBorders>
              <w:bottom w:val="single" w:sz="4" w:space="0" w:color="auto"/>
            </w:tcBorders>
            <w:shd w:val="clear" w:color="auto" w:fill="auto"/>
          </w:tcPr>
          <w:p w14:paraId="0EE35C83" w14:textId="77777777" w:rsidR="006E60F4" w:rsidRPr="0009445C" w:rsidRDefault="006E60F4" w:rsidP="006E60F4">
            <w:pPr>
              <w:pStyle w:val="BRL-Tabelle"/>
              <w:widowControl w:val="0"/>
            </w:pPr>
            <w:r w:rsidRPr="0009445C">
              <w:t>C 3.30</w:t>
            </w:r>
          </w:p>
        </w:tc>
        <w:tc>
          <w:tcPr>
            <w:tcW w:w="3402" w:type="dxa"/>
            <w:tcBorders>
              <w:bottom w:val="single" w:sz="4" w:space="0" w:color="auto"/>
            </w:tcBorders>
            <w:shd w:val="clear" w:color="auto" w:fill="auto"/>
          </w:tcPr>
          <w:p w14:paraId="4360D2E6" w14:textId="77777777" w:rsidR="006E60F4" w:rsidRPr="0009445C" w:rsidRDefault="006E60F4" w:rsidP="006E60F4">
            <w:pPr>
              <w:pStyle w:val="BRL-Tabelle"/>
              <w:widowControl w:val="0"/>
            </w:pPr>
            <w:r w:rsidRPr="0009445C">
              <w:t>Waterproofing for joints and transitions in or on water-tight structural elements including those made of concrete, with high resistance to water penetration in soil contact areas, which cannot be classified as C 2.10.2 or C 2.10.3 products as referred to in Chapter C 2</w:t>
            </w:r>
          </w:p>
        </w:tc>
        <w:tc>
          <w:tcPr>
            <w:tcW w:w="3402" w:type="dxa"/>
            <w:tcBorders>
              <w:bottom w:val="single" w:sz="4" w:space="0" w:color="auto"/>
            </w:tcBorders>
            <w:shd w:val="clear" w:color="auto" w:fill="auto"/>
          </w:tcPr>
          <w:p w14:paraId="74879C11" w14:textId="56089A7F" w:rsidR="006E60F4" w:rsidRPr="0009445C" w:rsidRDefault="006E60F4" w:rsidP="006E60F4">
            <w:pPr>
              <w:pStyle w:val="BRL-Tabelle"/>
              <w:widowControl w:val="0"/>
            </w:pPr>
            <w:r w:rsidRPr="0009445C">
              <w:t>Testing principles regarding the issuing of general building supervisory inspection certificates for joint sealants in concrete structural elements with a high resistance to water penetration (PG-FBB Part 1: Sealings for working joints and target crack cross Sections, transitions and connections (May 2020) Part 2: Seals for motion joints (July 2021)</w:t>
            </w:r>
          </w:p>
        </w:tc>
        <w:tc>
          <w:tcPr>
            <w:tcW w:w="1133" w:type="dxa"/>
            <w:tcBorders>
              <w:bottom w:val="single" w:sz="4" w:space="0" w:color="auto"/>
            </w:tcBorders>
            <w:shd w:val="clear" w:color="auto" w:fill="auto"/>
          </w:tcPr>
          <w:p w14:paraId="117B2234" w14:textId="77777777" w:rsidR="006E60F4" w:rsidRPr="0009445C" w:rsidRDefault="006E60F4" w:rsidP="006E60F4">
            <w:pPr>
              <w:pStyle w:val="BRL-Tabelle"/>
              <w:widowControl w:val="0"/>
              <w:jc w:val="center"/>
            </w:pPr>
            <w:r w:rsidRPr="0009445C">
              <w:t>MDT</w:t>
            </w:r>
          </w:p>
        </w:tc>
      </w:tr>
    </w:tbl>
    <w:p w14:paraId="7C2ADE44" w14:textId="77777777" w:rsidR="006E60F4" w:rsidRPr="0009445C" w:rsidRDefault="006E60F4" w:rsidP="006E60F4">
      <w:pPr>
        <w:spacing w:line="20" w:lineRule="exact"/>
        <w:rPr>
          <w:color w:val="FFFFFF"/>
        </w:rPr>
      </w:pPr>
    </w:p>
    <w:p w14:paraId="139DCB5F" w14:textId="77777777" w:rsidR="006E60F4" w:rsidRPr="0009445C" w:rsidRDefault="006E60F4" w:rsidP="009A419A">
      <w:pPr>
        <w:pStyle w:val="BRL-AnlageStandard"/>
      </w:pPr>
    </w:p>
    <w:p w14:paraId="278FA7F2" w14:textId="77777777" w:rsidR="00617B88" w:rsidRPr="0009445C" w:rsidRDefault="00617B88" w:rsidP="009A419A">
      <w:pPr>
        <w:pStyle w:val="BRL-AnlageStandard"/>
        <w:sectPr w:rsidR="00617B88" w:rsidRPr="0009445C" w:rsidSect="00744176">
          <w:headerReference w:type="first" r:id="rId59"/>
          <w:footerReference w:type="first" r:id="rId60"/>
          <w:pgSz w:w="11906" w:h="16838"/>
          <w:pgMar w:top="1134" w:right="1418" w:bottom="1134" w:left="1418" w:header="709" w:footer="709" w:gutter="0"/>
          <w:cols w:space="708"/>
          <w:titlePg/>
          <w:docGrid w:linePitch="360"/>
        </w:sectPr>
      </w:pPr>
    </w:p>
    <w:p w14:paraId="4D2ABDBD" w14:textId="77777777" w:rsidR="00617B88" w:rsidRPr="0009445C" w:rsidRDefault="00617B88" w:rsidP="00617B88">
      <w:pPr>
        <w:pStyle w:val="BRL-Anlage"/>
      </w:pPr>
      <w:r w:rsidRPr="0009445C">
        <w:lastRenderedPageBreak/>
        <w:t>Annex C 3.9</w:t>
      </w:r>
    </w:p>
    <w:p w14:paraId="7BBDD8CB" w14:textId="77777777" w:rsidR="00617B88" w:rsidRPr="0009445C" w:rsidRDefault="00617B88" w:rsidP="00617B88">
      <w:pPr>
        <w:pStyle w:val="BRL-Standard"/>
      </w:pPr>
    </w:p>
    <w:p w14:paraId="3D32DB7B" w14:textId="77777777" w:rsidR="00617B88" w:rsidRPr="0009445C" w:rsidRDefault="00617B88" w:rsidP="00617B88">
      <w:pPr>
        <w:pStyle w:val="BRL-Standard"/>
      </w:pPr>
      <w:r w:rsidRPr="0009445C">
        <w:t xml:space="preserve">The regulations of Annex E to the standard for monitoring level M apply to the in-house quality control and external monitoring. Contrary to Table E.1, the properties of the materials and structural elements used are specified in test certificate 2.2, and the properties of the pipes with an increased yield strength are specified in the acceptance test certificate 3.1 in accordance with EN 10204:2005-01. </w:t>
      </w:r>
    </w:p>
    <w:p w14:paraId="631AE1B6" w14:textId="77777777" w:rsidR="00617B88" w:rsidRPr="0009445C" w:rsidRDefault="00617B88" w:rsidP="00617B88">
      <w:pPr>
        <w:pStyle w:val="BRL-Standard"/>
      </w:pPr>
    </w:p>
    <w:p w14:paraId="1951EFC4" w14:textId="77777777" w:rsidR="00617B88" w:rsidRPr="0009445C" w:rsidRDefault="00617B88" w:rsidP="00617B88">
      <w:pPr>
        <w:pStyle w:val="BRL-Standard"/>
      </w:pPr>
      <w:r w:rsidRPr="0009445C">
        <w:t xml:space="preserve">If according to Section 9.4.2 of DIN EN 1065:1998-12 it can be shown that the characteristic load capacity for the adjustment device is at least 44.0 </w:t>
      </w:r>
      <w:proofErr w:type="spellStart"/>
      <w:r w:rsidRPr="0009445C">
        <w:t>kN</w:t>
      </w:r>
      <w:proofErr w:type="spellEnd"/>
      <w:r w:rsidRPr="0009445C">
        <w:t xml:space="preserve"> (class A) or 59.5 </w:t>
      </w:r>
      <w:proofErr w:type="spellStart"/>
      <w:r w:rsidRPr="0009445C">
        <w:t>kN</w:t>
      </w:r>
      <w:proofErr w:type="spellEnd"/>
      <w:r w:rsidRPr="0009445C">
        <w:t xml:space="preserve"> (classes B to E), a greater characteristic load capacity may be used compared to the nominal characteristic load capacity according to Section 8 of the standard, provided that this has been demonstrated by test for the overall support in accordance with Section 9.3 of the standard.</w:t>
      </w:r>
    </w:p>
    <w:p w14:paraId="7767F436" w14:textId="77777777" w:rsidR="00617B88" w:rsidRPr="0009445C" w:rsidRDefault="00617B88" w:rsidP="00617B88">
      <w:pPr>
        <w:pStyle w:val="BRL-Standard"/>
      </w:pPr>
    </w:p>
    <w:p w14:paraId="6A10BCCB" w14:textId="77777777" w:rsidR="00617B88" w:rsidRPr="0009445C" w:rsidRDefault="00617B88" w:rsidP="00617B88">
      <w:pPr>
        <w:pStyle w:val="BRL-Standard"/>
      </w:pPr>
      <w:r w:rsidRPr="0009445C">
        <w:t xml:space="preserve">The approach of larger characteristic load capacities of the structural supports according to DIN EN 1065:1998-12 is not permissible than 44.0 </w:t>
      </w:r>
      <w:proofErr w:type="spellStart"/>
      <w:r w:rsidRPr="0009445C">
        <w:t>kN</w:t>
      </w:r>
      <w:proofErr w:type="spellEnd"/>
      <w:r w:rsidRPr="0009445C">
        <w:t xml:space="preserve"> (class A) or 59.5 </w:t>
      </w:r>
      <w:proofErr w:type="spellStart"/>
      <w:r w:rsidRPr="0009445C">
        <w:t>kN</w:t>
      </w:r>
      <w:proofErr w:type="spellEnd"/>
      <w:r w:rsidRPr="0009445C">
        <w:t xml:space="preserve"> (classes B to E).</w:t>
      </w:r>
    </w:p>
    <w:p w14:paraId="1F279748" w14:textId="77777777" w:rsidR="00617B88" w:rsidRPr="0009445C" w:rsidRDefault="00617B88" w:rsidP="009A419A">
      <w:pPr>
        <w:pStyle w:val="BRL-AnlageStandard"/>
      </w:pPr>
    </w:p>
    <w:p w14:paraId="4CE36F56" w14:textId="77777777" w:rsidR="00C96461" w:rsidRPr="0009445C" w:rsidRDefault="00C96461" w:rsidP="009A419A">
      <w:pPr>
        <w:pStyle w:val="BRL-AnlageStandard"/>
        <w:sectPr w:rsidR="00C96461" w:rsidRPr="0009445C" w:rsidSect="00744176">
          <w:headerReference w:type="first" r:id="rId61"/>
          <w:footerReference w:type="first" r:id="rId62"/>
          <w:pgSz w:w="11906" w:h="16838"/>
          <w:pgMar w:top="1134" w:right="1418" w:bottom="1134" w:left="1418" w:header="709" w:footer="709" w:gutter="0"/>
          <w:cols w:space="708"/>
          <w:titlePg/>
          <w:docGrid w:linePitch="360"/>
        </w:sectPr>
      </w:pPr>
    </w:p>
    <w:p w14:paraId="4C330956" w14:textId="77777777" w:rsidR="002F2FDB" w:rsidRPr="0009445C" w:rsidRDefault="002F2FDB" w:rsidP="002F2FDB">
      <w:pPr>
        <w:pStyle w:val="BRL-berschrift-Kopf"/>
      </w:pPr>
      <w:r w:rsidRPr="0009445C">
        <w:lastRenderedPageBreak/>
        <w:t>D 2.2</w:t>
      </w:r>
      <w:r w:rsidRPr="0009445C">
        <w:tab/>
        <w:t>Products for which there are no generally accepted technical rules</w:t>
      </w:r>
    </w:p>
    <w:p w14:paraId="5CFA12F0" w14:textId="77777777" w:rsidR="00C96461" w:rsidRPr="0009445C" w:rsidRDefault="002F2FDB" w:rsidP="002F2FDB">
      <w:pPr>
        <w:pStyle w:val="BRL-AnlageStandard"/>
      </w:pPr>
      <w:r w:rsidRPr="0009445C">
        <w:t>This list only applies to construction products and applications that are only subject to a normal flammability requirement under building inspection requirements, and not to any further fire protection requirements or requirements for sound or thermal insulation.</w:t>
      </w:r>
    </w:p>
    <w:p w14:paraId="00B57435" w14:textId="77777777" w:rsidR="009A419A" w:rsidRPr="0009445C" w:rsidRDefault="009A419A" w:rsidP="00742443">
      <w:pPr>
        <w:pStyle w:val="BRL-Funote"/>
        <w:widowControl w:val="0"/>
      </w:pPr>
    </w:p>
    <w:tbl>
      <w:tblPr>
        <w:tblW w:w="9070" w:type="dxa"/>
        <w:tblLayout w:type="fixed"/>
        <w:tblCellMar>
          <w:top w:w="57" w:type="dxa"/>
          <w:left w:w="57" w:type="dxa"/>
          <w:bottom w:w="57" w:type="dxa"/>
          <w:right w:w="57" w:type="dxa"/>
        </w:tblCellMar>
        <w:tblLook w:val="05E0" w:firstRow="1" w:lastRow="1" w:firstColumn="1" w:lastColumn="1" w:noHBand="0" w:noVBand="1"/>
      </w:tblPr>
      <w:tblGrid>
        <w:gridCol w:w="9070"/>
      </w:tblGrid>
      <w:tr w:rsidR="002F2FDB" w:rsidRPr="0009445C" w14:paraId="44466CBF" w14:textId="77777777" w:rsidTr="004C2C77">
        <w:trPr>
          <w:trHeight w:val="227"/>
        </w:trPr>
        <w:tc>
          <w:tcPr>
            <w:tcW w:w="9070" w:type="dxa"/>
            <w:shd w:val="clear" w:color="auto" w:fill="auto"/>
          </w:tcPr>
          <w:tbl>
            <w:tblPr>
              <w:tblW w:w="9070" w:type="dxa"/>
              <w:tblLayout w:type="fixed"/>
              <w:tblCellMar>
                <w:top w:w="57" w:type="dxa"/>
                <w:left w:w="57" w:type="dxa"/>
                <w:bottom w:w="57" w:type="dxa"/>
                <w:right w:w="57" w:type="dxa"/>
              </w:tblCellMar>
              <w:tblLook w:val="05E0" w:firstRow="1" w:lastRow="1" w:firstColumn="1" w:lastColumn="1" w:noHBand="0" w:noVBand="1"/>
            </w:tblPr>
            <w:tblGrid>
              <w:gridCol w:w="1133"/>
              <w:gridCol w:w="7937"/>
            </w:tblGrid>
            <w:tr w:rsidR="002F2FDB" w:rsidRPr="0009445C" w14:paraId="12112BA3" w14:textId="77777777" w:rsidTr="004C2C77">
              <w:trPr>
                <w:trHeight w:val="227"/>
              </w:trPr>
              <w:tc>
                <w:tcPr>
                  <w:tcW w:w="9070" w:type="dxa"/>
                  <w:gridSpan w:val="2"/>
                  <w:shd w:val="clear" w:color="auto" w:fill="auto"/>
                </w:tcPr>
                <w:p w14:paraId="4C37C1C3" w14:textId="77777777" w:rsidR="002F2FDB" w:rsidRPr="0009445C" w:rsidRDefault="002F2FDB" w:rsidP="002F2FDB">
                  <w:pPr>
                    <w:pStyle w:val="BRL-Tabelle-berschrift"/>
                  </w:pPr>
                  <w:bookmarkStart w:id="19" w:name="_Hlk89871862"/>
                  <w:r w:rsidRPr="0009445C">
                    <w:t>D 2.2.2</w:t>
                  </w:r>
                  <w:r w:rsidRPr="0009445C">
                    <w:tab/>
                    <w:t>Construction products relating to interior work</w:t>
                  </w:r>
                </w:p>
              </w:tc>
            </w:tr>
            <w:tr w:rsidR="00F97017" w:rsidRPr="0009445C" w14:paraId="157A367C" w14:textId="77777777" w:rsidTr="00307D5B">
              <w:trPr>
                <w:trHeight w:val="227"/>
              </w:trPr>
              <w:tc>
                <w:tcPr>
                  <w:tcW w:w="1133" w:type="dxa"/>
                  <w:shd w:val="clear" w:color="auto" w:fill="auto"/>
                </w:tcPr>
                <w:p w14:paraId="37C3CA55" w14:textId="77777777" w:rsidR="00F97017" w:rsidRPr="0009445C" w:rsidRDefault="00F97017" w:rsidP="00307D5B">
                  <w:pPr>
                    <w:pStyle w:val="BRL-Tabelle"/>
                    <w:widowControl w:val="0"/>
                  </w:pPr>
                  <w:r w:rsidRPr="0009445C">
                    <w:t>D 2.2.2.11</w:t>
                  </w:r>
                </w:p>
              </w:tc>
              <w:tc>
                <w:tcPr>
                  <w:tcW w:w="7937" w:type="dxa"/>
                  <w:shd w:val="clear" w:color="auto" w:fill="auto"/>
                </w:tcPr>
                <w:p w14:paraId="6D35E89B" w14:textId="77777777" w:rsidR="00F97017" w:rsidRPr="0009445C" w:rsidRDefault="00F97017" w:rsidP="00307D5B">
                  <w:pPr>
                    <w:pStyle w:val="BRL-Tabelle"/>
                    <w:widowControl w:val="0"/>
                  </w:pPr>
                  <w:r w:rsidRPr="0009445C">
                    <w:t xml:space="preserve">Sealants </w:t>
                  </w:r>
                </w:p>
                <w:p w14:paraId="48297852" w14:textId="231BEC54" w:rsidR="00F97017" w:rsidRPr="0009445C" w:rsidRDefault="00F97017" w:rsidP="00F97017">
                  <w:pPr>
                    <w:pStyle w:val="BRLAufzhlungAnstrich"/>
                    <w:numPr>
                      <w:ilvl w:val="0"/>
                      <w:numId w:val="1"/>
                    </w:numPr>
                    <w:jc w:val="both"/>
                  </w:pPr>
                  <w:r w:rsidRPr="0009445C">
                    <w:t>on floor plates with water effects of class W1-E according to DIN 18533-1</w:t>
                  </w:r>
                </w:p>
                <w:p w14:paraId="79F9BEEC" w14:textId="77777777" w:rsidR="00F97017" w:rsidRPr="0009445C" w:rsidRDefault="00F97017" w:rsidP="00F97017">
                  <w:pPr>
                    <w:pStyle w:val="BRLAufzhlungAnstrich"/>
                    <w:numPr>
                      <w:ilvl w:val="0"/>
                      <w:numId w:val="1"/>
                    </w:numPr>
                    <w:jc w:val="both"/>
                  </w:pPr>
                  <w:r w:rsidRPr="0009445C">
                    <w:t xml:space="preserve">on splashed wall sockets </w:t>
                  </w:r>
                </w:p>
                <w:p w14:paraId="7D1E5B77" w14:textId="01462577" w:rsidR="00F97017" w:rsidRPr="0009445C" w:rsidRDefault="00F97017" w:rsidP="00F97017">
                  <w:pPr>
                    <w:pStyle w:val="BRLAufzhlungAnstrich"/>
                    <w:numPr>
                      <w:ilvl w:val="0"/>
                      <w:numId w:val="1"/>
                    </w:numPr>
                    <w:jc w:val="both"/>
                  </w:pPr>
                  <w:r w:rsidRPr="0009445C">
                    <w:t>on wall and floor surfaces with water effects of class W0-I and W1-I according to DIN 18534</w:t>
                  </w:r>
                  <w:r w:rsidRPr="0009445C">
                    <w:noBreakHyphen/>
                    <w:t>1</w:t>
                  </w:r>
                </w:p>
                <w:p w14:paraId="10A7EEA0" w14:textId="77777777" w:rsidR="00F97017" w:rsidRPr="0009445C" w:rsidRDefault="00F97017" w:rsidP="00F97017">
                  <w:pPr>
                    <w:pStyle w:val="BRLAufzhlungAnstrich"/>
                    <w:numPr>
                      <w:ilvl w:val="0"/>
                      <w:numId w:val="1"/>
                    </w:numPr>
                    <w:jc w:val="both"/>
                  </w:pPr>
                  <w:r w:rsidRPr="0009445C">
                    <w:t>for balconies, loggias and arcades.</w:t>
                  </w:r>
                </w:p>
              </w:tc>
            </w:tr>
            <w:bookmarkEnd w:id="19"/>
            <w:tr w:rsidR="002F2FDB" w:rsidRPr="0009445C" w14:paraId="7C6D30B4" w14:textId="77777777" w:rsidTr="004C2C77">
              <w:trPr>
                <w:trHeight w:val="227"/>
              </w:trPr>
              <w:tc>
                <w:tcPr>
                  <w:tcW w:w="1133" w:type="dxa"/>
                  <w:shd w:val="clear" w:color="auto" w:fill="auto"/>
                </w:tcPr>
                <w:p w14:paraId="0C88FC08" w14:textId="77777777" w:rsidR="002F2FDB" w:rsidRPr="0009445C" w:rsidRDefault="002F2FDB" w:rsidP="002F2FDB">
                  <w:pPr>
                    <w:pStyle w:val="BRL-Tabelle"/>
                    <w:widowControl w:val="0"/>
                  </w:pPr>
                  <w:r w:rsidRPr="0009445C">
                    <w:t>D 2.2.2.25</w:t>
                  </w:r>
                </w:p>
              </w:tc>
              <w:tc>
                <w:tcPr>
                  <w:tcW w:w="7937" w:type="dxa"/>
                  <w:shd w:val="clear" w:color="auto" w:fill="auto"/>
                </w:tcPr>
                <w:p w14:paraId="7E396F3B" w14:textId="77777777" w:rsidR="009D5CC8" w:rsidRPr="0009445C" w:rsidRDefault="002F2FDB" w:rsidP="00081D00">
                  <w:pPr>
                    <w:pStyle w:val="BRL-Tabelle"/>
                    <w:widowControl w:val="0"/>
                    <w:tabs>
                      <w:tab w:val="left" w:pos="340"/>
                    </w:tabs>
                  </w:pPr>
                  <w:r w:rsidRPr="0009445C">
                    <w:t>Accessories for plastering or tile work, such as mounting and finishing rails, beams and reinforcements</w:t>
                  </w:r>
                </w:p>
              </w:tc>
            </w:tr>
            <w:tr w:rsidR="00081D00" w:rsidRPr="0009445C" w14:paraId="02E9DF14" w14:textId="77777777" w:rsidTr="00044502">
              <w:trPr>
                <w:trHeight w:val="227"/>
              </w:trPr>
              <w:tc>
                <w:tcPr>
                  <w:tcW w:w="9070" w:type="dxa"/>
                  <w:gridSpan w:val="2"/>
                  <w:shd w:val="clear" w:color="auto" w:fill="auto"/>
                </w:tcPr>
                <w:p w14:paraId="03F2566A" w14:textId="77777777" w:rsidR="00081D00" w:rsidRPr="0009445C" w:rsidRDefault="00081D00" w:rsidP="00044502">
                  <w:pPr>
                    <w:pStyle w:val="BRL-Tabelle-berschrift"/>
                  </w:pPr>
                  <w:r w:rsidRPr="0009445C">
                    <w:t>D 2.2.3</w:t>
                  </w:r>
                  <w:r w:rsidRPr="0009445C">
                    <w:tab/>
                    <w:t>Construction products for home automation</w:t>
                  </w:r>
                </w:p>
              </w:tc>
            </w:tr>
            <w:tr w:rsidR="00081D00" w:rsidRPr="0009445C" w14:paraId="032DB48A" w14:textId="77777777" w:rsidTr="00044502">
              <w:trPr>
                <w:trHeight w:val="227"/>
              </w:trPr>
              <w:tc>
                <w:tcPr>
                  <w:tcW w:w="1133" w:type="dxa"/>
                  <w:shd w:val="clear" w:color="auto" w:fill="auto"/>
                </w:tcPr>
                <w:p w14:paraId="611FA914" w14:textId="77777777" w:rsidR="00081D00" w:rsidRPr="0009445C" w:rsidRDefault="00081D00" w:rsidP="00044502">
                  <w:pPr>
                    <w:pStyle w:val="BRL-Tabelle"/>
                    <w:widowControl w:val="0"/>
                  </w:pPr>
                  <w:r w:rsidRPr="0009445C">
                    <w:t>D 2.2.3.14</w:t>
                  </w:r>
                </w:p>
              </w:tc>
              <w:tc>
                <w:tcPr>
                  <w:tcW w:w="7937" w:type="dxa"/>
                  <w:shd w:val="clear" w:color="auto" w:fill="auto"/>
                </w:tcPr>
                <w:p w14:paraId="16A6418E" w14:textId="77777777" w:rsidR="00081D00" w:rsidRPr="0009445C" w:rsidRDefault="00081D00" w:rsidP="00044502">
                  <w:pPr>
                    <w:pStyle w:val="BRL-Tabelle"/>
                    <w:widowControl w:val="0"/>
                  </w:pPr>
                  <w:r w:rsidRPr="0009445C">
                    <w:t>Waterless urinals</w:t>
                  </w:r>
                </w:p>
              </w:tc>
            </w:tr>
            <w:tr w:rsidR="002F2FDB" w:rsidRPr="0009445C" w14:paraId="7259EFE3" w14:textId="77777777" w:rsidTr="004C2C77">
              <w:trPr>
                <w:trHeight w:val="227"/>
              </w:trPr>
              <w:tc>
                <w:tcPr>
                  <w:tcW w:w="9070" w:type="dxa"/>
                  <w:gridSpan w:val="2"/>
                  <w:shd w:val="clear" w:color="auto" w:fill="auto"/>
                </w:tcPr>
                <w:p w14:paraId="0B73BE58" w14:textId="77777777" w:rsidR="002F2FDB" w:rsidRPr="0009445C" w:rsidRDefault="002F2FDB" w:rsidP="002F2FDB">
                  <w:pPr>
                    <w:pStyle w:val="BRL-Tabelle-berschrift"/>
                  </w:pPr>
                  <w:r w:rsidRPr="0009445C">
                    <w:t>D 2.2.6</w:t>
                  </w:r>
                  <w:r w:rsidRPr="0009445C">
                    <w:tab/>
                    <w:t>Other construction products</w:t>
                  </w:r>
                </w:p>
              </w:tc>
            </w:tr>
            <w:tr w:rsidR="002F2FDB" w:rsidRPr="0009445C" w14:paraId="5D92C774" w14:textId="77777777" w:rsidTr="004C2C77">
              <w:trPr>
                <w:trHeight w:val="227"/>
              </w:trPr>
              <w:tc>
                <w:tcPr>
                  <w:tcW w:w="1133" w:type="dxa"/>
                  <w:shd w:val="clear" w:color="auto" w:fill="auto"/>
                </w:tcPr>
                <w:p w14:paraId="7F54D7F4" w14:textId="77777777" w:rsidR="002F2FDB" w:rsidRPr="0009445C" w:rsidRDefault="002F2FDB" w:rsidP="002F2FDB">
                  <w:pPr>
                    <w:pStyle w:val="BRL-Tabelle"/>
                    <w:widowControl w:val="0"/>
                  </w:pPr>
                  <w:r w:rsidRPr="0009445C">
                    <w:t>D 2.2.6.9</w:t>
                  </w:r>
                </w:p>
              </w:tc>
              <w:tc>
                <w:tcPr>
                  <w:tcW w:w="7937" w:type="dxa"/>
                  <w:shd w:val="clear" w:color="auto" w:fill="auto"/>
                </w:tcPr>
                <w:p w14:paraId="74EDB056" w14:textId="77777777" w:rsidR="002F2FDB" w:rsidRPr="0009445C" w:rsidRDefault="002F2FDB" w:rsidP="002F2FDB">
                  <w:pPr>
                    <w:pStyle w:val="BRL-Tabelle"/>
                    <w:widowControl w:val="0"/>
                    <w:tabs>
                      <w:tab w:val="left" w:pos="340"/>
                    </w:tabs>
                  </w:pPr>
                  <w:r w:rsidRPr="0009445C">
                    <w:t>Floating roofs and ring gap sealing systems of floating roofs in flat floor tank structures</w:t>
                  </w:r>
                </w:p>
              </w:tc>
            </w:tr>
          </w:tbl>
          <w:p w14:paraId="62FAA2DA" w14:textId="77777777" w:rsidR="002F2FDB" w:rsidRPr="0009445C" w:rsidRDefault="002F2FDB" w:rsidP="004C2C77">
            <w:pPr>
              <w:pStyle w:val="BRL-Tabelle-berschrift"/>
            </w:pPr>
          </w:p>
        </w:tc>
      </w:tr>
    </w:tbl>
    <w:p w14:paraId="5CC6B646" w14:textId="77777777" w:rsidR="00ED2FDA" w:rsidRPr="0009445C" w:rsidRDefault="00ED2FDA" w:rsidP="00742443">
      <w:pPr>
        <w:pStyle w:val="BRL-Funote"/>
        <w:widowControl w:val="0"/>
        <w:sectPr w:rsidR="00ED2FDA" w:rsidRPr="0009445C" w:rsidSect="00744176">
          <w:headerReference w:type="first" r:id="rId63"/>
          <w:footerReference w:type="first" r:id="rId64"/>
          <w:pgSz w:w="11906" w:h="16838"/>
          <w:pgMar w:top="1134" w:right="1418" w:bottom="1134" w:left="1418" w:header="709" w:footer="709" w:gutter="0"/>
          <w:cols w:space="708"/>
          <w:titlePg/>
          <w:docGrid w:linePitch="360"/>
        </w:sectPr>
      </w:pPr>
    </w:p>
    <w:p w14:paraId="4E4B81EE" w14:textId="68052CBF" w:rsidR="00ED2FDA" w:rsidRPr="0009445C" w:rsidRDefault="00ED2FDA" w:rsidP="00BA2FAB">
      <w:pPr>
        <w:pStyle w:val="Heading2"/>
      </w:pPr>
      <w:bookmarkStart w:id="20" w:name="_Ref24536526"/>
      <w:r w:rsidRPr="0009445C">
        <w:lastRenderedPageBreak/>
        <w:t>Annex 2</w:t>
      </w:r>
      <w:bookmarkEnd w:id="20"/>
    </w:p>
    <w:p w14:paraId="41C473E2" w14:textId="77777777" w:rsidR="00ED2FDA" w:rsidRPr="0009445C" w:rsidRDefault="00ED2FDA" w:rsidP="00ED2FDA">
      <w:pPr>
        <w:pStyle w:val="Titelseite-berschrift1"/>
        <w:tabs>
          <w:tab w:val="clear" w:pos="340"/>
        </w:tabs>
        <w:spacing w:after="140"/>
        <w:rPr>
          <w:b w:val="0"/>
        </w:rPr>
      </w:pPr>
      <w:bookmarkStart w:id="21" w:name="Anhang2"/>
      <w:r w:rsidRPr="0009445C">
        <w:t>Planning, designing and execution requirements of</w:t>
      </w:r>
      <w:bookmarkEnd w:id="21"/>
      <w:r w:rsidRPr="0009445C">
        <w:t xml:space="preserve"> anchors in concrete with cemented or subsequently fitted fasteners</w:t>
      </w:r>
    </w:p>
    <w:p w14:paraId="289E7893" w14:textId="58F1F88C" w:rsidR="00ED2FDA" w:rsidRPr="0009445C" w:rsidRDefault="00ED2FDA" w:rsidP="00ED2FDA">
      <w:pPr>
        <w:rPr>
          <w:szCs w:val="18"/>
        </w:rPr>
      </w:pPr>
      <w:bookmarkStart w:id="22" w:name="Anhang2_Stand"/>
      <w:r w:rsidRPr="0009445C">
        <w:t xml:space="preserve">Last updated: </w:t>
      </w:r>
      <w:bookmarkEnd w:id="22"/>
      <w:r w:rsidRPr="0009445C">
        <w:t>October 2021</w:t>
      </w:r>
    </w:p>
    <w:p w14:paraId="62846037" w14:textId="77777777" w:rsidR="00ED2FDA" w:rsidRPr="0009445C" w:rsidRDefault="00ED2FDA" w:rsidP="00ED2FDA">
      <w:pPr>
        <w:rPr>
          <w:szCs w:val="18"/>
        </w:rPr>
      </w:pPr>
    </w:p>
    <w:p w14:paraId="0B6BFC65" w14:textId="77777777" w:rsidR="00ED2FDA" w:rsidRPr="0009445C" w:rsidRDefault="00ED2FDA" w:rsidP="00ED2FDA">
      <w:pPr>
        <w:rPr>
          <w:szCs w:val="18"/>
        </w:rPr>
      </w:pPr>
    </w:p>
    <w:p w14:paraId="48BE5D12" w14:textId="77777777" w:rsidR="00ED2FDA" w:rsidRPr="0009445C" w:rsidRDefault="00ED2FDA" w:rsidP="00ED2FDA">
      <w:pPr>
        <w:rPr>
          <w:b/>
          <w:caps/>
          <w:szCs w:val="18"/>
        </w:rPr>
      </w:pPr>
      <w:r w:rsidRPr="0009445C">
        <w:rPr>
          <w:b/>
          <w:caps/>
        </w:rPr>
        <w:t>Contents</w:t>
      </w:r>
    </w:p>
    <w:p w14:paraId="4A056616" w14:textId="77777777" w:rsidR="00ED2FDA" w:rsidRPr="0009445C" w:rsidRDefault="00ED2FDA" w:rsidP="00ED2FDA">
      <w:pPr>
        <w:rPr>
          <w:caps/>
          <w:szCs w:val="18"/>
        </w:rPr>
      </w:pPr>
    </w:p>
    <w:p w14:paraId="4C2A3F12" w14:textId="77777777" w:rsidR="00ED2FDA" w:rsidRPr="0009445C" w:rsidRDefault="00ED2FDA" w:rsidP="00ED2FDA">
      <w:pPr>
        <w:spacing w:before="100"/>
        <w:rPr>
          <w:caps/>
          <w:szCs w:val="18"/>
        </w:rPr>
      </w:pPr>
      <w:r w:rsidRPr="0009445C">
        <w:rPr>
          <w:caps/>
        </w:rPr>
        <w:t>1</w:t>
      </w:r>
      <w:r w:rsidRPr="0009445C">
        <w:rPr>
          <w:caps/>
        </w:rPr>
        <w:tab/>
        <w:t>Scope</w:t>
      </w:r>
    </w:p>
    <w:p w14:paraId="0BC270A8" w14:textId="77777777" w:rsidR="00ED2FDA" w:rsidRPr="0009445C" w:rsidRDefault="00ED2FDA" w:rsidP="00ED2FDA">
      <w:pPr>
        <w:spacing w:before="100"/>
        <w:rPr>
          <w:caps/>
          <w:szCs w:val="18"/>
        </w:rPr>
      </w:pPr>
      <w:r w:rsidRPr="0009445C">
        <w:rPr>
          <w:caps/>
        </w:rPr>
        <w:t>2</w:t>
      </w:r>
      <w:r w:rsidRPr="0009445C">
        <w:rPr>
          <w:caps/>
        </w:rPr>
        <w:tab/>
        <w:t>Planning</w:t>
      </w:r>
    </w:p>
    <w:p w14:paraId="3D688BB6" w14:textId="77777777" w:rsidR="00ED2FDA" w:rsidRPr="0009445C" w:rsidRDefault="00ED2FDA" w:rsidP="00ED2FDA">
      <w:pPr>
        <w:spacing w:before="100"/>
        <w:rPr>
          <w:caps/>
          <w:szCs w:val="18"/>
        </w:rPr>
      </w:pPr>
      <w:r w:rsidRPr="0009445C">
        <w:rPr>
          <w:caps/>
        </w:rPr>
        <w:t>3</w:t>
      </w:r>
      <w:r w:rsidRPr="0009445C">
        <w:rPr>
          <w:caps/>
        </w:rPr>
        <w:tab/>
        <w:t>Design</w:t>
      </w:r>
    </w:p>
    <w:p w14:paraId="6EC4A52C" w14:textId="77777777" w:rsidR="00ED2FDA" w:rsidRPr="0009445C" w:rsidRDefault="00ED2FDA" w:rsidP="00ED2FDA">
      <w:pPr>
        <w:spacing w:before="100"/>
        <w:rPr>
          <w:caps/>
          <w:szCs w:val="18"/>
        </w:rPr>
      </w:pPr>
      <w:r w:rsidRPr="0009445C">
        <w:rPr>
          <w:caps/>
        </w:rPr>
        <w:t>4</w:t>
      </w:r>
      <w:r w:rsidRPr="0009445C">
        <w:rPr>
          <w:caps/>
        </w:rPr>
        <w:tab/>
        <w:t>Execution</w:t>
      </w:r>
    </w:p>
    <w:p w14:paraId="090183F2" w14:textId="77777777" w:rsidR="00ED2FDA" w:rsidRPr="0009445C" w:rsidRDefault="00ED2FDA" w:rsidP="00ED2FDA">
      <w:pPr>
        <w:pStyle w:val="BRL-Standard"/>
        <w:spacing w:before="100"/>
        <w:rPr>
          <w:caps/>
        </w:rPr>
        <w:sectPr w:rsidR="00ED2FDA" w:rsidRPr="0009445C" w:rsidSect="004C2C77">
          <w:headerReference w:type="even" r:id="rId65"/>
          <w:headerReference w:type="default" r:id="rId66"/>
          <w:headerReference w:type="first" r:id="rId67"/>
          <w:pgSz w:w="11906" w:h="16838" w:code="9"/>
          <w:pgMar w:top="1134" w:right="1418" w:bottom="1134" w:left="1418" w:header="709" w:footer="652" w:gutter="0"/>
          <w:cols w:space="708"/>
          <w:titlePg/>
          <w:docGrid w:linePitch="360"/>
        </w:sectPr>
      </w:pPr>
    </w:p>
    <w:p w14:paraId="1A2F913D" w14:textId="77777777" w:rsidR="00ED2FDA" w:rsidRPr="0009445C" w:rsidRDefault="00ED2FDA" w:rsidP="00600F53">
      <w:pPr>
        <w:pStyle w:val="BRL-berschrift"/>
      </w:pPr>
      <w:r w:rsidRPr="0009445C">
        <w:lastRenderedPageBreak/>
        <w:t>1</w:t>
      </w:r>
      <w:r w:rsidRPr="0009445C">
        <w:tab/>
        <w:t>Scope</w:t>
      </w:r>
    </w:p>
    <w:p w14:paraId="2DE39F16" w14:textId="77777777" w:rsidR="00ED2FDA" w:rsidRPr="0009445C" w:rsidRDefault="00ED2FDA" w:rsidP="00ED2FDA">
      <w:pPr>
        <w:pStyle w:val="BRL-Standard"/>
        <w:spacing w:after="120"/>
      </w:pPr>
      <w:r w:rsidRPr="0009445C">
        <w:t>These technical rules apply to anchors set in concrete with fasteners that have a European Technical Assessment/Approval (ETA) according to the following technical specifications:</w:t>
      </w:r>
    </w:p>
    <w:p w14:paraId="105AE53D" w14:textId="77777777" w:rsidR="00ED2FDA" w:rsidRPr="0009445C" w:rsidRDefault="00ED2FDA" w:rsidP="00ED2FDA">
      <w:pPr>
        <w:pStyle w:val="BRLAufzhlungAnstrich"/>
        <w:numPr>
          <w:ilvl w:val="0"/>
          <w:numId w:val="1"/>
        </w:numPr>
      </w:pPr>
      <w:r w:rsidRPr="0009445C">
        <w:t>EAD 330008 ‘Anchor channels’</w:t>
      </w:r>
    </w:p>
    <w:p w14:paraId="0A190B43" w14:textId="77777777" w:rsidR="00ED2FDA" w:rsidRPr="0009445C" w:rsidRDefault="00ED2FDA" w:rsidP="00ED2FDA">
      <w:pPr>
        <w:pStyle w:val="BRLAufzhlungAnstrich"/>
        <w:numPr>
          <w:ilvl w:val="0"/>
          <w:numId w:val="1"/>
        </w:numPr>
      </w:pPr>
      <w:r w:rsidRPr="0009445C">
        <w:t>EAD 330012 ‘Cast-in anchor with internal threaded socket’</w:t>
      </w:r>
    </w:p>
    <w:p w14:paraId="7DD1C25B" w14:textId="77777777" w:rsidR="00ED2FDA" w:rsidRPr="0009445C" w:rsidRDefault="00ED2FDA" w:rsidP="00ED2FDA">
      <w:pPr>
        <w:pStyle w:val="BRLAufzhlungAnstrich"/>
        <w:numPr>
          <w:ilvl w:val="0"/>
          <w:numId w:val="1"/>
        </w:numPr>
      </w:pPr>
      <w:r w:rsidRPr="0009445C">
        <w:t>EAD 330084 ‘Steel plate with head bolts’</w:t>
      </w:r>
    </w:p>
    <w:p w14:paraId="731A2606" w14:textId="77777777" w:rsidR="00ED2FDA" w:rsidRPr="0009445C" w:rsidRDefault="00ED2FDA" w:rsidP="00ED2FDA">
      <w:pPr>
        <w:pStyle w:val="BRLAufzhlungAnstrich"/>
        <w:numPr>
          <w:ilvl w:val="0"/>
          <w:numId w:val="1"/>
        </w:numPr>
      </w:pPr>
      <w:r w:rsidRPr="0009445C">
        <w:t>EAD 330232 ‘Mechanical fasteners for use in concrete’</w:t>
      </w:r>
    </w:p>
    <w:p w14:paraId="4D31B5E1" w14:textId="77777777" w:rsidR="00ED2FDA" w:rsidRPr="0009445C" w:rsidRDefault="00ED2FDA" w:rsidP="00ED2FDA">
      <w:pPr>
        <w:pStyle w:val="BRLAufzhlungAnstrich"/>
        <w:numPr>
          <w:ilvl w:val="0"/>
          <w:numId w:val="1"/>
        </w:numPr>
      </w:pPr>
      <w:r w:rsidRPr="0009445C">
        <w:t>EAD 330284 ‘Plastic anchors for redundant non-supporting systems in concrete and masonry’</w:t>
      </w:r>
    </w:p>
    <w:p w14:paraId="071B62C4" w14:textId="77777777" w:rsidR="00ED2FDA" w:rsidRPr="0009445C" w:rsidRDefault="00ED2FDA" w:rsidP="00ED2FDA">
      <w:pPr>
        <w:pStyle w:val="BRLAufzhlungAnstrich"/>
        <w:numPr>
          <w:ilvl w:val="0"/>
          <w:numId w:val="1"/>
        </w:numPr>
      </w:pPr>
      <w:r w:rsidRPr="0009445C">
        <w:t>EAD 330499 ‘Bonded fasteners for use in concrete’</w:t>
      </w:r>
    </w:p>
    <w:p w14:paraId="40A8AD81" w14:textId="77777777" w:rsidR="00ED2FDA" w:rsidRPr="0009445C" w:rsidRDefault="00ED2FDA" w:rsidP="00ED2FDA">
      <w:pPr>
        <w:pStyle w:val="BRLAufzhlungAnstrich"/>
        <w:numPr>
          <w:ilvl w:val="0"/>
          <w:numId w:val="1"/>
        </w:numPr>
      </w:pPr>
      <w:r w:rsidRPr="0009445C">
        <w:t>EAD 330747 ‘Fasteners for use in concrete for redundant non-structural systems’</w:t>
      </w:r>
    </w:p>
    <w:p w14:paraId="2214FF76" w14:textId="77777777" w:rsidR="00ED2FDA" w:rsidRPr="0009445C" w:rsidRDefault="00ED2FDA" w:rsidP="00ED2FDA">
      <w:pPr>
        <w:pStyle w:val="BRLAufzhlungAnstrich"/>
        <w:numPr>
          <w:ilvl w:val="0"/>
          <w:numId w:val="1"/>
        </w:numPr>
      </w:pPr>
      <w:r w:rsidRPr="0009445C">
        <w:t>EAD 330924 ‘Cast-in anchor bolt of ribbed reinforcing steel’</w:t>
      </w:r>
    </w:p>
    <w:p w14:paraId="1A99244A" w14:textId="77777777" w:rsidR="00ED2FDA" w:rsidRPr="0009445C" w:rsidRDefault="00ED2FDA" w:rsidP="00ED2FDA">
      <w:pPr>
        <w:pStyle w:val="BRLAufzhlungAnstrich"/>
        <w:numPr>
          <w:ilvl w:val="0"/>
          <w:numId w:val="1"/>
        </w:numPr>
      </w:pPr>
      <w:r w:rsidRPr="0009445C">
        <w:t>ETAG 020 ‘Plastic anchors’.</w:t>
      </w:r>
    </w:p>
    <w:p w14:paraId="0011FD3C" w14:textId="77777777" w:rsidR="00ED2FDA" w:rsidRPr="0009445C" w:rsidRDefault="00ED2FDA" w:rsidP="00ED2FDA">
      <w:pPr>
        <w:tabs>
          <w:tab w:val="left" w:pos="709"/>
        </w:tabs>
        <w:suppressAutoHyphens/>
      </w:pPr>
    </w:p>
    <w:p w14:paraId="4D2C8BD0" w14:textId="77777777" w:rsidR="00ED2FDA" w:rsidRPr="0009445C" w:rsidRDefault="00ED2FDA" w:rsidP="00ED2FDA">
      <w:pPr>
        <w:rPr>
          <w:szCs w:val="18"/>
        </w:rPr>
      </w:pPr>
      <w:r w:rsidRPr="0009445C">
        <w:t>This Technical Rule does not apply to anchors in nuclear installations.</w:t>
      </w:r>
    </w:p>
    <w:p w14:paraId="40FC7A10" w14:textId="77777777" w:rsidR="00ED2FDA" w:rsidRPr="0009445C" w:rsidRDefault="00ED2FDA" w:rsidP="00ED2FDA">
      <w:pPr>
        <w:tabs>
          <w:tab w:val="left" w:pos="709"/>
        </w:tabs>
        <w:suppressAutoHyphens/>
      </w:pPr>
    </w:p>
    <w:p w14:paraId="30E39493" w14:textId="77777777" w:rsidR="00ED2FDA" w:rsidRPr="0009445C" w:rsidRDefault="00ED2FDA" w:rsidP="00600F53">
      <w:pPr>
        <w:pStyle w:val="BRL-berschrift"/>
      </w:pPr>
      <w:r w:rsidRPr="0009445C">
        <w:t>2</w:t>
      </w:r>
      <w:r w:rsidRPr="0009445C">
        <w:tab/>
        <w:t>Planning</w:t>
      </w:r>
    </w:p>
    <w:p w14:paraId="25C7A04C" w14:textId="77777777" w:rsidR="00ED2FDA" w:rsidRPr="0009445C" w:rsidRDefault="00ED2FDA" w:rsidP="00600F53">
      <w:pPr>
        <w:pStyle w:val="BRL-berschrift"/>
      </w:pPr>
      <w:r w:rsidRPr="0009445C">
        <w:t>2.1</w:t>
      </w:r>
      <w:r w:rsidRPr="0009445C">
        <w:tab/>
        <w:t>General information</w:t>
      </w:r>
    </w:p>
    <w:p w14:paraId="765D55BA" w14:textId="059B9B09" w:rsidR="00ED2FDA" w:rsidRPr="0009445C" w:rsidRDefault="00ED2FDA" w:rsidP="00ED2FDA">
      <w:pPr>
        <w:pStyle w:val="BRL-Standard"/>
      </w:pPr>
      <w:r w:rsidRPr="0009445C">
        <w:t>The anchorages (except for with plastic dowels) must be planned in line with engineering practice under DIN EN 1992</w:t>
      </w:r>
      <w:r w:rsidRPr="0009445C">
        <w:noBreakHyphen/>
        <w:t>4 and DIN EN 1992</w:t>
      </w:r>
      <w:r w:rsidRPr="0009445C">
        <w:noBreakHyphen/>
        <w:t>4/NA. W plastic dowels is to be planned in accordance with the design procedure for plastic anchorages for use in concrete and masonry, August 2019 (German application document for EOTA TR 064 from May 2018) (</w:t>
      </w:r>
      <w:hyperlink r:id="rId68" w:history="1">
        <w:r w:rsidRPr="0009445C">
          <w:rPr>
            <w:rStyle w:val="Hyperlink"/>
            <w:color w:val="auto"/>
          </w:rPr>
          <w:t>www.dibt.de</w:t>
        </w:r>
      </w:hyperlink>
      <w:r w:rsidRPr="0009445C">
        <w:t>)</w:t>
      </w:r>
    </w:p>
    <w:p w14:paraId="75AEC3C4" w14:textId="77777777" w:rsidR="00ED2FDA" w:rsidRPr="0009445C" w:rsidRDefault="00ED2FDA" w:rsidP="00ED2FDA">
      <w:pPr>
        <w:pStyle w:val="BRL-Standard"/>
      </w:pPr>
    </w:p>
    <w:p w14:paraId="4C993881" w14:textId="77777777" w:rsidR="00ED2FDA" w:rsidRPr="0009445C" w:rsidRDefault="00ED2FDA" w:rsidP="00ED2FDA">
      <w:pPr>
        <w:pStyle w:val="BRL-Standard"/>
      </w:pPr>
      <w:r w:rsidRPr="0009445C">
        <w:t xml:space="preserve">Verifiable design drawings must be prepared taking into account the loads to be anchored. </w:t>
      </w:r>
    </w:p>
    <w:p w14:paraId="2D1981E9" w14:textId="77777777" w:rsidR="00ED2FDA" w:rsidRPr="0009445C" w:rsidRDefault="00ED2FDA" w:rsidP="00ED2FDA">
      <w:pPr>
        <w:pStyle w:val="BRL-Standard"/>
      </w:pPr>
    </w:p>
    <w:p w14:paraId="46998157" w14:textId="77777777" w:rsidR="00ED2FDA" w:rsidRPr="0009445C" w:rsidRDefault="00ED2FDA" w:rsidP="00ED2FDA">
      <w:pPr>
        <w:pStyle w:val="BRL-Standard"/>
        <w:spacing w:after="120"/>
      </w:pPr>
      <w:r w:rsidRPr="0009445C">
        <w:t>The provisions of the relevant ETA must be observed. In particular these are:</w:t>
      </w:r>
    </w:p>
    <w:p w14:paraId="0A03BB34" w14:textId="77777777" w:rsidR="00ED2FDA" w:rsidRPr="0009445C" w:rsidRDefault="00ED2FDA" w:rsidP="00ED2FDA">
      <w:pPr>
        <w:pStyle w:val="BRLAufzhlungAnstrich"/>
        <w:numPr>
          <w:ilvl w:val="0"/>
          <w:numId w:val="1"/>
        </w:numPr>
      </w:pPr>
      <w:r w:rsidRPr="0009445C">
        <w:t>difference in cracked or uncracked concrete</w:t>
      </w:r>
    </w:p>
    <w:p w14:paraId="4C317023" w14:textId="77777777" w:rsidR="00ED2FDA" w:rsidRPr="0009445C" w:rsidRDefault="00ED2FDA" w:rsidP="00ED2FDA">
      <w:pPr>
        <w:pStyle w:val="BRLAufzhlungAnstrich"/>
        <w:numPr>
          <w:ilvl w:val="0"/>
          <w:numId w:val="1"/>
        </w:numPr>
      </w:pPr>
      <w:r w:rsidRPr="0009445C">
        <w:t>concrete strength class of anchor base</w:t>
      </w:r>
    </w:p>
    <w:p w14:paraId="1FA7DC0A" w14:textId="77777777" w:rsidR="00ED2FDA" w:rsidRPr="0009445C" w:rsidRDefault="00ED2FDA" w:rsidP="00ED2FDA">
      <w:pPr>
        <w:pStyle w:val="BRLAufzhlungAnstrich"/>
        <w:numPr>
          <w:ilvl w:val="0"/>
          <w:numId w:val="1"/>
        </w:numPr>
      </w:pPr>
      <w:r w:rsidRPr="0009445C">
        <w:t>minimum component thickness</w:t>
      </w:r>
    </w:p>
    <w:p w14:paraId="05B11FA3" w14:textId="77777777" w:rsidR="00ED2FDA" w:rsidRPr="0009445C" w:rsidRDefault="00ED2FDA" w:rsidP="00ED2FDA">
      <w:pPr>
        <w:pStyle w:val="BRLAufzhlungAnstrich"/>
        <w:numPr>
          <w:ilvl w:val="0"/>
          <w:numId w:val="1"/>
        </w:numPr>
      </w:pPr>
      <w:r w:rsidRPr="0009445C">
        <w:t>minimum centre and edge distances</w:t>
      </w:r>
    </w:p>
    <w:p w14:paraId="771765EF" w14:textId="77777777" w:rsidR="00ED2FDA" w:rsidRPr="0009445C" w:rsidRDefault="00ED2FDA" w:rsidP="00ED2FDA">
      <w:pPr>
        <w:pStyle w:val="BRLAufzhlungAnstrich"/>
        <w:numPr>
          <w:ilvl w:val="0"/>
          <w:numId w:val="1"/>
        </w:numPr>
      </w:pPr>
      <w:r w:rsidRPr="0009445C">
        <w:t>limit values for ambient and component temperatures.</w:t>
      </w:r>
    </w:p>
    <w:p w14:paraId="57AE8B17" w14:textId="77777777" w:rsidR="00ED2FDA" w:rsidRPr="0009445C" w:rsidRDefault="00ED2FDA" w:rsidP="00ED2FDA">
      <w:pPr>
        <w:pStyle w:val="BRL-Standard"/>
      </w:pPr>
    </w:p>
    <w:p w14:paraId="5E1AE891" w14:textId="77777777" w:rsidR="00ED2FDA" w:rsidRPr="0009445C" w:rsidRDefault="00ED2FDA" w:rsidP="00ED2FDA">
      <w:pPr>
        <w:pStyle w:val="BRL-Standard"/>
      </w:pPr>
      <w:r w:rsidRPr="0009445C">
        <w:t>Plastic dowel anchors with ETA: the characteristic load-bearing capacities in the ETA apply to the strength class, the drilling procedure and the anchoring depth as specified in the ETA. For greater anchoring depths, different drilling methods or if no information on the concrete strength class is available, the characteristic load-bearing capacity may be determined by construction site tests under the Technical Rule ‘Execution and evaluation of on-site tests for plastic anchors in concrete and masonry with ETA according to ETAG 020 or EAD 330284</w:t>
      </w:r>
      <w:r w:rsidRPr="0009445C">
        <w:noBreakHyphen/>
        <w:t>00</w:t>
      </w:r>
      <w:r w:rsidRPr="0009445C">
        <w:noBreakHyphen/>
        <w:t>0604, Last updated: September 2019’.</w:t>
      </w:r>
    </w:p>
    <w:p w14:paraId="4958DC24" w14:textId="77777777" w:rsidR="00ED2FDA" w:rsidRPr="0009445C" w:rsidRDefault="00ED2FDA" w:rsidP="00ED2FDA">
      <w:pPr>
        <w:pStyle w:val="BRL-Standard"/>
      </w:pPr>
    </w:p>
    <w:p w14:paraId="71022645" w14:textId="77777777" w:rsidR="00ED2FDA" w:rsidRPr="0009445C" w:rsidRDefault="00ED2FDA" w:rsidP="00600F53">
      <w:pPr>
        <w:pStyle w:val="BRL-berschrift"/>
      </w:pPr>
      <w:r w:rsidRPr="0009445C">
        <w:t>2.2</w:t>
      </w:r>
      <w:r w:rsidRPr="0009445C">
        <w:tab/>
        <w:t>Anchors for redundant, non-structural systems</w:t>
      </w:r>
    </w:p>
    <w:p w14:paraId="7A83130F" w14:textId="77777777" w:rsidR="00ED2FDA" w:rsidRPr="0009445C" w:rsidRDefault="00ED2FDA" w:rsidP="00ED2FDA">
      <w:pPr>
        <w:pStyle w:val="BRL-Standard"/>
      </w:pPr>
      <w:r w:rsidRPr="0009445C">
        <w:t>Application limits for redundant, non-structural systems:</w:t>
      </w:r>
    </w:p>
    <w:p w14:paraId="117F192B" w14:textId="77777777" w:rsidR="00ED2FDA" w:rsidRPr="0009445C" w:rsidRDefault="00ED2FDA" w:rsidP="00ED2FDA">
      <w:pPr>
        <w:pStyle w:val="BRL-Standard"/>
      </w:pPr>
    </w:p>
    <w:p w14:paraId="53F53DB1" w14:textId="77777777" w:rsidR="00ED2FDA" w:rsidRPr="0009445C" w:rsidRDefault="00ED2FDA" w:rsidP="00ED2FDA">
      <w:pPr>
        <w:pStyle w:val="BRL-Standard"/>
      </w:pPr>
      <w:r w:rsidRPr="0009445C">
        <w:t>Mechanical dowels and composite dowels: N</w:t>
      </w:r>
      <w:r w:rsidRPr="0009445C">
        <w:rPr>
          <w:vertAlign w:val="subscript"/>
        </w:rPr>
        <w:t>1</w:t>
      </w:r>
      <w:r w:rsidRPr="0009445C">
        <w:t xml:space="preserve"> ≥ 4; n</w:t>
      </w:r>
      <w:r w:rsidRPr="0009445C">
        <w:rPr>
          <w:vertAlign w:val="subscript"/>
        </w:rPr>
        <w:t>2</w:t>
      </w:r>
      <w:r w:rsidRPr="0009445C">
        <w:t xml:space="preserve"> ≥ 1 and n</w:t>
      </w:r>
      <w:r w:rsidRPr="0009445C">
        <w:rPr>
          <w:vertAlign w:val="subscript"/>
        </w:rPr>
        <w:t>3</w:t>
      </w:r>
      <w:r w:rsidRPr="0009445C">
        <w:t xml:space="preserve"> ≤ 3.0 </w:t>
      </w:r>
      <w:proofErr w:type="spellStart"/>
      <w:r w:rsidRPr="0009445C">
        <w:t>kN</w:t>
      </w:r>
      <w:proofErr w:type="spellEnd"/>
      <w:r w:rsidRPr="0009445C">
        <w:t xml:space="preserve"> or </w:t>
      </w:r>
    </w:p>
    <w:p w14:paraId="024C9C8D" w14:textId="2E82BD2F" w:rsidR="00ED2FDA" w:rsidRPr="0009445C" w:rsidRDefault="00414B95" w:rsidP="00414B95">
      <w:pPr>
        <w:pStyle w:val="BRL-Standard"/>
        <w:ind w:left="3544" w:hanging="1701"/>
      </w:pPr>
      <w:r w:rsidRPr="0009445C">
        <w:tab/>
        <w:t>n</w:t>
      </w:r>
      <w:r w:rsidRPr="0009445C">
        <w:rPr>
          <w:vertAlign w:val="subscript"/>
        </w:rPr>
        <w:t>1</w:t>
      </w:r>
      <w:r w:rsidRPr="0009445C">
        <w:t xml:space="preserve"> ≥ 3; n</w:t>
      </w:r>
      <w:r w:rsidRPr="0009445C">
        <w:rPr>
          <w:vertAlign w:val="subscript"/>
        </w:rPr>
        <w:t>2</w:t>
      </w:r>
      <w:r w:rsidRPr="0009445C">
        <w:t xml:space="preserve"> ≥ 1 and n</w:t>
      </w:r>
      <w:r w:rsidRPr="0009445C">
        <w:rPr>
          <w:vertAlign w:val="subscript"/>
        </w:rPr>
        <w:t>3</w:t>
      </w:r>
      <w:r w:rsidRPr="0009445C">
        <w:t xml:space="preserve"> ≤ 2.0 </w:t>
      </w:r>
      <w:proofErr w:type="spellStart"/>
      <w:r w:rsidRPr="0009445C">
        <w:t>kN.</w:t>
      </w:r>
      <w:proofErr w:type="spellEnd"/>
      <w:r w:rsidRPr="0009445C">
        <w:t xml:space="preserve"> </w:t>
      </w:r>
    </w:p>
    <w:p w14:paraId="501E7A41" w14:textId="77777777" w:rsidR="00ED2FDA" w:rsidRPr="0009445C" w:rsidRDefault="00ED2FDA" w:rsidP="00ED2FDA">
      <w:pPr>
        <w:pStyle w:val="BRL-Standard"/>
      </w:pPr>
    </w:p>
    <w:p w14:paraId="3C44EFD3" w14:textId="13312F94" w:rsidR="00ED2FDA" w:rsidRPr="0009445C" w:rsidRDefault="00ED2FDA" w:rsidP="00414B95">
      <w:pPr>
        <w:tabs>
          <w:tab w:val="left" w:pos="3544"/>
        </w:tabs>
        <w:rPr>
          <w:szCs w:val="18"/>
        </w:rPr>
      </w:pPr>
      <w:r w:rsidRPr="0009445C">
        <w:t>Plastic dowels: N</w:t>
      </w:r>
      <w:r w:rsidRPr="0009445C">
        <w:rPr>
          <w:vertAlign w:val="subscript"/>
        </w:rPr>
        <w:t xml:space="preserve"> 1</w:t>
      </w:r>
      <w:r w:rsidRPr="0009445C">
        <w:t xml:space="preserve"> ≥ 4; n</w:t>
      </w:r>
      <w:r w:rsidRPr="0009445C">
        <w:rPr>
          <w:vertAlign w:val="subscript"/>
        </w:rPr>
        <w:t>2</w:t>
      </w:r>
      <w:r w:rsidRPr="0009445C">
        <w:t xml:space="preserve"> ≥ 1 and n</w:t>
      </w:r>
      <w:r w:rsidRPr="0009445C">
        <w:rPr>
          <w:vertAlign w:val="subscript"/>
        </w:rPr>
        <w:t>3</w:t>
      </w:r>
      <w:r w:rsidRPr="0009445C">
        <w:t xml:space="preserve"> ≤ 4.5 </w:t>
      </w:r>
      <w:proofErr w:type="spellStart"/>
      <w:r w:rsidRPr="0009445C">
        <w:t>kN</w:t>
      </w:r>
      <w:proofErr w:type="spellEnd"/>
      <w:r w:rsidRPr="0009445C">
        <w:t xml:space="preserve"> or </w:t>
      </w:r>
    </w:p>
    <w:p w14:paraId="3BB144D3" w14:textId="7D95F8AF" w:rsidR="00ED2FDA" w:rsidRPr="0009445C" w:rsidRDefault="00414B95" w:rsidP="00414B95">
      <w:pPr>
        <w:tabs>
          <w:tab w:val="left" w:pos="3544"/>
        </w:tabs>
        <w:rPr>
          <w:szCs w:val="18"/>
        </w:rPr>
      </w:pPr>
      <w:r w:rsidRPr="0009445C">
        <w:tab/>
        <w:t>n</w:t>
      </w:r>
      <w:r w:rsidRPr="0009445C">
        <w:rPr>
          <w:vertAlign w:val="subscript"/>
        </w:rPr>
        <w:t>1</w:t>
      </w:r>
      <w:r w:rsidRPr="0009445C">
        <w:t xml:space="preserve"> ≥ 3; n</w:t>
      </w:r>
      <w:r w:rsidRPr="0009445C">
        <w:rPr>
          <w:vertAlign w:val="subscript"/>
        </w:rPr>
        <w:t>2</w:t>
      </w:r>
      <w:r w:rsidRPr="0009445C">
        <w:t xml:space="preserve"> ≥ 1 and n</w:t>
      </w:r>
      <w:r w:rsidRPr="0009445C">
        <w:rPr>
          <w:vertAlign w:val="subscript"/>
        </w:rPr>
        <w:t>3</w:t>
      </w:r>
      <w:r w:rsidRPr="0009445C">
        <w:t xml:space="preserve"> ≤ 3.0 </w:t>
      </w:r>
      <w:proofErr w:type="spellStart"/>
      <w:r w:rsidRPr="0009445C">
        <w:t>kN.</w:t>
      </w:r>
      <w:proofErr w:type="spellEnd"/>
    </w:p>
    <w:p w14:paraId="1AAA1DF5" w14:textId="77777777" w:rsidR="00ED2FDA" w:rsidRPr="0009445C" w:rsidRDefault="00ED2FDA" w:rsidP="00ED2FDA">
      <w:pPr>
        <w:rPr>
          <w:szCs w:val="18"/>
        </w:rPr>
      </w:pPr>
    </w:p>
    <w:p w14:paraId="0B4C088A" w14:textId="77777777" w:rsidR="00ED2FDA" w:rsidRPr="0009445C" w:rsidRDefault="00ED2FDA" w:rsidP="00ED2FDA">
      <w:pPr>
        <w:pStyle w:val="BRL-Standard"/>
      </w:pPr>
      <w:r w:rsidRPr="0009445C">
        <w:t>n</w:t>
      </w:r>
      <w:r w:rsidRPr="0009445C">
        <w:rPr>
          <w:vertAlign w:val="subscript"/>
        </w:rPr>
        <w:t>1</w:t>
      </w:r>
      <w:r w:rsidRPr="0009445C">
        <w:t xml:space="preserve"> = Number of fastening points </w:t>
      </w:r>
    </w:p>
    <w:p w14:paraId="7EF04303" w14:textId="77777777" w:rsidR="00ED2FDA" w:rsidRPr="0009445C" w:rsidRDefault="00ED2FDA" w:rsidP="00ED2FDA">
      <w:pPr>
        <w:pStyle w:val="BRL-Standard"/>
      </w:pPr>
      <w:r w:rsidRPr="0009445C">
        <w:t>n</w:t>
      </w:r>
      <w:r w:rsidRPr="0009445C">
        <w:rPr>
          <w:vertAlign w:val="subscript"/>
        </w:rPr>
        <w:t>2</w:t>
      </w:r>
      <w:r w:rsidRPr="0009445C">
        <w:t xml:space="preserve"> = Number of anchors per fastening point </w:t>
      </w:r>
    </w:p>
    <w:p w14:paraId="6247C2B9" w14:textId="77777777" w:rsidR="00ED2FDA" w:rsidRPr="0009445C" w:rsidRDefault="00ED2FDA" w:rsidP="00ED2FDA">
      <w:pPr>
        <w:pStyle w:val="BRL-Standard"/>
      </w:pPr>
      <w:r w:rsidRPr="0009445C">
        <w:t>n</w:t>
      </w:r>
      <w:r w:rsidRPr="0009445C">
        <w:rPr>
          <w:vertAlign w:val="subscript"/>
        </w:rPr>
        <w:t>3</w:t>
      </w:r>
      <w:r w:rsidRPr="0009445C">
        <w:t xml:space="preserve"> = Rated value of the effects </w:t>
      </w:r>
      <w:proofErr w:type="spellStart"/>
      <w:r w:rsidRPr="0009445C">
        <w:t>N</w:t>
      </w:r>
      <w:r w:rsidRPr="0009445C">
        <w:rPr>
          <w:vertAlign w:val="subscript"/>
        </w:rPr>
        <w:t>Ed</w:t>
      </w:r>
      <w:proofErr w:type="spellEnd"/>
      <w:r w:rsidRPr="0009445C">
        <w:t xml:space="preserve"> (</w:t>
      </w:r>
      <w:proofErr w:type="spellStart"/>
      <w:r w:rsidRPr="0009445C">
        <w:t>kN</w:t>
      </w:r>
      <w:proofErr w:type="spellEnd"/>
      <w:r w:rsidRPr="0009445C">
        <w:t>) of a fastening point</w:t>
      </w:r>
    </w:p>
    <w:p w14:paraId="76061E20" w14:textId="77777777" w:rsidR="00ED2FDA" w:rsidRPr="0009445C" w:rsidRDefault="00ED2FDA" w:rsidP="00ED2FDA">
      <w:pPr>
        <w:pStyle w:val="BRL-Standard"/>
      </w:pPr>
    </w:p>
    <w:p w14:paraId="63BEB98B" w14:textId="77777777" w:rsidR="00ED2FDA" w:rsidRPr="0009445C" w:rsidRDefault="00ED2FDA" w:rsidP="00600F53">
      <w:pPr>
        <w:pStyle w:val="BRL-berschrift"/>
      </w:pPr>
      <w:r w:rsidRPr="0009445C">
        <w:br w:type="page"/>
      </w:r>
      <w:r w:rsidRPr="0009445C">
        <w:lastRenderedPageBreak/>
        <w:t>3</w:t>
      </w:r>
      <w:r w:rsidRPr="0009445C">
        <w:tab/>
        <w:t>Design</w:t>
      </w:r>
    </w:p>
    <w:p w14:paraId="26E0F685" w14:textId="732BBA1B" w:rsidR="00ED2FDA" w:rsidRPr="0009445C" w:rsidRDefault="00ED2FDA" w:rsidP="00ED2FDA">
      <w:pPr>
        <w:pStyle w:val="BRL-Standard"/>
      </w:pPr>
      <w:r w:rsidRPr="0009445C">
        <w:t>The anchorages (except for with plastic dowel anchors) must be designed in line with engineering practice under DIN EN 1992</w:t>
      </w:r>
      <w:r w:rsidRPr="0009445C">
        <w:noBreakHyphen/>
        <w:t>4 and DIN EN 1992</w:t>
      </w:r>
      <w:r w:rsidRPr="0009445C">
        <w:noBreakHyphen/>
        <w:t>4/NA. For anchor rails, the design method for anchor rails, August 2020 (German application document for EOTA TR 047 of March 2018) (</w:t>
      </w:r>
      <w:hyperlink r:id="rId69" w:history="1">
        <w:r w:rsidRPr="0009445C">
          <w:rPr>
            <w:rStyle w:val="Hyperlink"/>
            <w:color w:val="auto"/>
          </w:rPr>
          <w:t>www.dibt.de</w:t>
        </w:r>
      </w:hyperlink>
      <w:r w:rsidRPr="0009445C">
        <w:t xml:space="preserve">) and the design method for anchor rails under fatigue-relevant load, August 2020 (German application document for EOTA TR 050 of October 2018) (www.dibt.de) may be used. </w:t>
      </w:r>
    </w:p>
    <w:p w14:paraId="1F5E0ACF" w14:textId="77777777" w:rsidR="00ED2FDA" w:rsidRPr="0009445C" w:rsidRDefault="00ED2FDA" w:rsidP="00ED2FDA">
      <w:pPr>
        <w:pStyle w:val="BRL-Standard"/>
      </w:pPr>
    </w:p>
    <w:p w14:paraId="75D16D67" w14:textId="73F2A7BB" w:rsidR="00ED2FDA" w:rsidRPr="0009445C" w:rsidRDefault="00ED2FDA" w:rsidP="00ED2FDA">
      <w:pPr>
        <w:pStyle w:val="BRL-Standard"/>
      </w:pPr>
      <w:r w:rsidRPr="0009445C">
        <w:t>Anchorages with plastic dowels are to be designed in line with engineering practice in accordance with ETAG 020, Annex C or EOTA TR 064. Anchorages with plastic dowels are to be designed in accordance with the design procedure for plastic dowels in anchorages for use in concrete and masonry, August 2019 (German application document for EOTA TR 064 from May 2018) (</w:t>
      </w:r>
      <w:hyperlink r:id="rId70" w:history="1">
        <w:r w:rsidRPr="0009445C">
          <w:rPr>
            <w:rStyle w:val="Hyperlink"/>
            <w:color w:val="auto"/>
          </w:rPr>
          <w:t>www.dibt.de</w:t>
        </w:r>
      </w:hyperlink>
      <w:r w:rsidRPr="0009445C">
        <w:t>).</w:t>
      </w:r>
    </w:p>
    <w:p w14:paraId="7E5F102F" w14:textId="77777777" w:rsidR="00ED2FDA" w:rsidRPr="0009445C" w:rsidRDefault="00ED2FDA" w:rsidP="00ED2FDA">
      <w:pPr>
        <w:pStyle w:val="BRL-Standard"/>
      </w:pPr>
      <w:r w:rsidRPr="0009445C">
        <w:t>Verifiable calculations must be made taking into account the loads to be anchored.</w:t>
      </w:r>
    </w:p>
    <w:p w14:paraId="1FFCE060" w14:textId="77777777" w:rsidR="00ED2FDA" w:rsidRPr="0009445C" w:rsidRDefault="00ED2FDA" w:rsidP="00ED2FDA">
      <w:pPr>
        <w:pStyle w:val="BRL-Standard"/>
      </w:pPr>
      <w:r w:rsidRPr="0009445C">
        <w:t>The product performance required for the design (characteristic load-bearing capacity values, centre and edge distances, installation parameters) must be taken from the relevant ETA.</w:t>
      </w:r>
    </w:p>
    <w:p w14:paraId="43387BBF" w14:textId="77777777" w:rsidR="00ED2FDA" w:rsidRPr="0009445C" w:rsidRDefault="00ED2FDA" w:rsidP="00ED2FDA">
      <w:pPr>
        <w:pStyle w:val="BRL-Standard"/>
      </w:pPr>
    </w:p>
    <w:p w14:paraId="68F0230E" w14:textId="77777777" w:rsidR="00ED2FDA" w:rsidRPr="0009445C" w:rsidRDefault="00ED2FDA" w:rsidP="00ED2FDA">
      <w:pPr>
        <w:pStyle w:val="BRL-Standard"/>
      </w:pPr>
      <w:r w:rsidRPr="0009445C">
        <w:t xml:space="preserve">If applied transverse loads change their sign several times, they may have to be regarded as fatigue-related stress. Varying transverse loads with changing signs resulting from wind loads or temperature changes are usually regarded as quasi-static loads, not fatigue stresses. Further information can be found in </w:t>
      </w:r>
      <w:proofErr w:type="spellStart"/>
      <w:r w:rsidRPr="0009445C">
        <w:t>DAfStb</w:t>
      </w:r>
      <w:proofErr w:type="spellEnd"/>
      <w:r w:rsidRPr="0009445C">
        <w:t xml:space="preserve"> vol. 615, Commentary on DIN EN 1992-4, Section 8.1(2).</w:t>
      </w:r>
    </w:p>
    <w:p w14:paraId="5F7DB3AA" w14:textId="77777777" w:rsidR="00ED2FDA" w:rsidRPr="0009445C" w:rsidRDefault="00ED2FDA" w:rsidP="00ED2FDA">
      <w:pPr>
        <w:pStyle w:val="BRL-Standard"/>
      </w:pPr>
    </w:p>
    <w:p w14:paraId="746269F4" w14:textId="77777777" w:rsidR="00ED2FDA" w:rsidRPr="0009445C" w:rsidRDefault="00ED2FDA" w:rsidP="00ED2FDA">
      <w:pPr>
        <w:pStyle w:val="BRL-Standard"/>
      </w:pPr>
      <w:r w:rsidRPr="0009445C">
        <w:t>If the specifications of the relevant ETA are observed, proof of direct local force application in the concrete is deemed provided.</w:t>
      </w:r>
    </w:p>
    <w:p w14:paraId="7E87B6BD" w14:textId="77777777" w:rsidR="00ED2FDA" w:rsidRPr="0009445C" w:rsidRDefault="00ED2FDA" w:rsidP="00ED2FDA">
      <w:pPr>
        <w:pStyle w:val="BRL-Standard"/>
      </w:pPr>
    </w:p>
    <w:p w14:paraId="377A6FAA" w14:textId="77777777" w:rsidR="00ED2FDA" w:rsidRPr="0009445C" w:rsidRDefault="00ED2FDA" w:rsidP="00ED2FDA">
      <w:pPr>
        <w:pStyle w:val="BRL-Standard"/>
      </w:pPr>
      <w:r w:rsidRPr="0009445C">
        <w:t>Transfer within the component of the loads to be anchored must be demonstrated.</w:t>
      </w:r>
    </w:p>
    <w:p w14:paraId="6F1AA219" w14:textId="77777777" w:rsidR="00ED2FDA" w:rsidRPr="0009445C" w:rsidRDefault="00ED2FDA" w:rsidP="00ED2FDA">
      <w:pPr>
        <w:pStyle w:val="BRL-Standard"/>
      </w:pPr>
    </w:p>
    <w:p w14:paraId="6BC99503" w14:textId="77777777" w:rsidR="00ED2FDA" w:rsidRPr="0009445C" w:rsidRDefault="00ED2FDA" w:rsidP="00600F53">
      <w:pPr>
        <w:pStyle w:val="BRL-berschrift"/>
      </w:pPr>
      <w:r w:rsidRPr="0009445C">
        <w:t>4</w:t>
      </w:r>
      <w:r w:rsidRPr="0009445C">
        <w:tab/>
        <w:t>Execution</w:t>
      </w:r>
    </w:p>
    <w:p w14:paraId="2F667EB7" w14:textId="5557785C" w:rsidR="00ED2FDA" w:rsidRPr="0009445C" w:rsidRDefault="00ED2FDA" w:rsidP="00ED2FDA">
      <w:pPr>
        <w:pStyle w:val="BRL-Standard"/>
      </w:pPr>
      <w:r w:rsidRPr="0009445C">
        <w:t xml:space="preserve">Notes on the execution are contained in the </w:t>
      </w:r>
      <w:proofErr w:type="spellStart"/>
      <w:r w:rsidRPr="0009445C">
        <w:t>DIBt</w:t>
      </w:r>
      <w:proofErr w:type="spellEnd"/>
      <w:r w:rsidRPr="0009445C">
        <w:t xml:space="preserve"> paper ‘Notes on the installation of anchors, October 2010’ (</w:t>
      </w:r>
      <w:hyperlink r:id="rId71" w:history="1">
        <w:r w:rsidRPr="0009445C">
          <w:rPr>
            <w:rStyle w:val="Hyperlink"/>
            <w:color w:val="auto"/>
          </w:rPr>
          <w:t>www.dibt.de</w:t>
        </w:r>
      </w:hyperlink>
      <w:r w:rsidRPr="0009445C">
        <w:t>).</w:t>
      </w:r>
    </w:p>
    <w:p w14:paraId="0A17F83E" w14:textId="77777777" w:rsidR="00ED2FDA" w:rsidRPr="0009445C" w:rsidRDefault="00ED2FDA" w:rsidP="00ED2FDA"/>
    <w:p w14:paraId="6AAFD9C5" w14:textId="77777777" w:rsidR="002765B6" w:rsidRPr="0009445C" w:rsidRDefault="002765B6" w:rsidP="00ED2FDA">
      <w:pPr>
        <w:sectPr w:rsidR="002765B6" w:rsidRPr="0009445C" w:rsidSect="004C2C77">
          <w:headerReference w:type="first" r:id="rId72"/>
          <w:pgSz w:w="11906" w:h="16838" w:code="9"/>
          <w:pgMar w:top="1134" w:right="1418" w:bottom="1134" w:left="1418" w:header="709" w:footer="652" w:gutter="0"/>
          <w:cols w:space="708"/>
          <w:titlePg/>
          <w:docGrid w:linePitch="360"/>
        </w:sectPr>
      </w:pPr>
    </w:p>
    <w:p w14:paraId="5A2E6AA2" w14:textId="10CD6C8C" w:rsidR="00E713B0" w:rsidRPr="0009445C" w:rsidRDefault="00E713B0" w:rsidP="00BA2FAB">
      <w:pPr>
        <w:pStyle w:val="Heading2"/>
      </w:pPr>
      <w:bookmarkStart w:id="23" w:name="_Ref24536533"/>
      <w:r w:rsidRPr="0009445C">
        <w:lastRenderedPageBreak/>
        <w:t>Annex 4</w:t>
      </w:r>
      <w:bookmarkEnd w:id="23"/>
    </w:p>
    <w:p w14:paraId="41BDA936" w14:textId="77777777" w:rsidR="00E713B0" w:rsidRPr="0009445C" w:rsidRDefault="00E713B0" w:rsidP="00E713B0">
      <w:pPr>
        <w:pStyle w:val="Titelseite-berschrift1"/>
        <w:spacing w:after="140"/>
        <w:rPr>
          <w:rStyle w:val="Titelseite-berschrift1Zchn"/>
          <w:b/>
          <w:bCs/>
          <w:color w:val="000000"/>
        </w:rPr>
      </w:pPr>
      <w:bookmarkStart w:id="24" w:name="_Ref91695356"/>
      <w:r w:rsidRPr="0009445C">
        <w:rPr>
          <w:rStyle w:val="Titelseite-berschrift1Zchn"/>
          <w:b/>
        </w:rPr>
        <w:t xml:space="preserve">Building approval requirements, classification, </w:t>
      </w:r>
      <w:r w:rsidRPr="0009445C">
        <w:rPr>
          <w:rStyle w:val="Titelseite-berschrift1Zchn"/>
          <w:b/>
          <w:color w:val="000000"/>
        </w:rPr>
        <w:t>use of construction products, use of designs</w:t>
      </w:r>
      <w:bookmarkEnd w:id="24"/>
    </w:p>
    <w:bookmarkStart w:id="25" w:name="Anhang_04_Stand"/>
    <w:p w14:paraId="241146B9" w14:textId="782844B6" w:rsidR="00E713B0" w:rsidRPr="0009445C" w:rsidRDefault="00375ADF" w:rsidP="00E713B0">
      <w:sdt>
        <w:sdtPr>
          <w:alias w:val="Version — Annex 4"/>
          <w:tag w:val="S_Anhang4"/>
          <w:id w:val="101006123"/>
          <w:placeholder>
            <w:docPart w:val="42F4ACBCF8AC4B26B3DC9BC366462EFA"/>
          </w:placeholder>
          <w:text/>
        </w:sdtPr>
        <w:sdtEndPr/>
        <w:sdtContent>
          <w:r w:rsidRPr="0009445C">
            <w:t>Last updated: 2022-11</w:t>
          </w:r>
        </w:sdtContent>
      </w:sdt>
      <w:bookmarkEnd w:id="25"/>
    </w:p>
    <w:p w14:paraId="45D2F356" w14:textId="77777777" w:rsidR="00E713B0" w:rsidRPr="0009445C" w:rsidRDefault="00E713B0" w:rsidP="00E713B0"/>
    <w:p w14:paraId="7786E93B" w14:textId="07CA5033" w:rsidR="00E713B0" w:rsidRPr="0009445C" w:rsidRDefault="00B84DA6" w:rsidP="00E713B0">
      <w:pPr>
        <w:pStyle w:val="BRL-Standard"/>
        <w:spacing w:line="240" w:lineRule="auto"/>
        <w:ind w:left="1134"/>
      </w:pPr>
      <w:r w:rsidRPr="0009445C">
        <w:t xml:space="preserve">Annex 4 takes into account the </w:t>
      </w:r>
      <w:proofErr w:type="spellStart"/>
      <w:r w:rsidRPr="0009445C">
        <w:t>hEN</w:t>
      </w:r>
      <w:proofErr w:type="spellEnd"/>
      <w:r w:rsidRPr="0009445C">
        <w:t>, EEAS and ETAGs, which were available in December 2021 and are relevant to building regulations.</w:t>
      </w:r>
    </w:p>
    <w:p w14:paraId="0DAE8628" w14:textId="77777777" w:rsidR="00E713B0" w:rsidRPr="0009445C" w:rsidRDefault="00E713B0" w:rsidP="00E713B0"/>
    <w:p w14:paraId="7B5D5A9C" w14:textId="77777777" w:rsidR="00E713B0" w:rsidRPr="0009445C" w:rsidRDefault="00E713B0" w:rsidP="00E713B0">
      <w:pPr>
        <w:pStyle w:val="BRL-Standard"/>
        <w:rPr>
          <w:b/>
        </w:rPr>
      </w:pPr>
    </w:p>
    <w:p w14:paraId="476A07B6" w14:textId="77777777" w:rsidR="00E713B0" w:rsidRPr="0009445C" w:rsidRDefault="00E713B0" w:rsidP="00E713B0">
      <w:pPr>
        <w:pStyle w:val="BRL-Standard"/>
        <w:rPr>
          <w:b/>
        </w:rPr>
      </w:pPr>
      <w:r w:rsidRPr="0009445C">
        <w:rPr>
          <w:b/>
        </w:rPr>
        <w:t>CONTENTS</w:t>
      </w:r>
    </w:p>
    <w:p w14:paraId="49B6A077" w14:textId="77777777" w:rsidR="00E713B0" w:rsidRPr="0009445C" w:rsidRDefault="00E713B0" w:rsidP="00E713B0">
      <w:pPr>
        <w:pStyle w:val="BRL-Standard"/>
      </w:pPr>
    </w:p>
    <w:p w14:paraId="7E36DCC7" w14:textId="77777777" w:rsidR="00E713B0" w:rsidRPr="0009445C" w:rsidRDefault="00E713B0" w:rsidP="00E713B0">
      <w:pPr>
        <w:spacing w:before="100"/>
        <w:ind w:left="709" w:hanging="709"/>
        <w:rPr>
          <w:caps/>
        </w:rPr>
      </w:pPr>
      <w:r w:rsidRPr="0009445C">
        <w:rPr>
          <w:caps/>
        </w:rPr>
        <w:t>1</w:t>
      </w:r>
      <w:r w:rsidRPr="0009445C">
        <w:rPr>
          <w:caps/>
        </w:rPr>
        <w:tab/>
        <w:t>Parts of buildings that are subject to the requirements for fire characteristics and smouldering</w:t>
      </w:r>
    </w:p>
    <w:p w14:paraId="19C0BF8C" w14:textId="77777777" w:rsidR="00E713B0" w:rsidRPr="0009445C" w:rsidRDefault="00E713B0" w:rsidP="00E713B0">
      <w:pPr>
        <w:spacing w:before="100"/>
        <w:ind w:left="709" w:hanging="709"/>
        <w:rPr>
          <w:caps/>
        </w:rPr>
      </w:pPr>
      <w:r w:rsidRPr="0009445C">
        <w:rPr>
          <w:caps/>
        </w:rPr>
        <w:t>2</w:t>
      </w:r>
      <w:r w:rsidRPr="0009445C">
        <w:rPr>
          <w:caps/>
        </w:rPr>
        <w:tab/>
        <w:t>Electrical wiring and electrical lines</w:t>
      </w:r>
    </w:p>
    <w:p w14:paraId="12811E13" w14:textId="77777777" w:rsidR="00E713B0" w:rsidRPr="0009445C" w:rsidRDefault="00E713B0" w:rsidP="00E713B0">
      <w:pPr>
        <w:spacing w:before="100"/>
        <w:ind w:left="709" w:hanging="709"/>
        <w:rPr>
          <w:caps/>
        </w:rPr>
      </w:pPr>
      <w:r w:rsidRPr="0009445C">
        <w:rPr>
          <w:caps/>
        </w:rPr>
        <w:t>3</w:t>
      </w:r>
      <w:r w:rsidRPr="0009445C">
        <w:rPr>
          <w:caps/>
        </w:rPr>
        <w:tab/>
        <w:t>Roofing</w:t>
      </w:r>
    </w:p>
    <w:p w14:paraId="7E6B8BED" w14:textId="77777777" w:rsidR="00E713B0" w:rsidRPr="0009445C" w:rsidRDefault="00E713B0" w:rsidP="00E713B0">
      <w:pPr>
        <w:spacing w:before="100"/>
        <w:ind w:left="709" w:hanging="709"/>
        <w:rPr>
          <w:caps/>
        </w:rPr>
      </w:pPr>
      <w:r w:rsidRPr="0009445C">
        <w:rPr>
          <w:caps/>
        </w:rPr>
        <w:t>4</w:t>
      </w:r>
      <w:r w:rsidRPr="0009445C">
        <w:rPr>
          <w:caps/>
        </w:rPr>
        <w:tab/>
        <w:t>Structural elements</w:t>
      </w:r>
    </w:p>
    <w:p w14:paraId="7EE3F8CE" w14:textId="77777777" w:rsidR="00E713B0" w:rsidRPr="0009445C" w:rsidRDefault="00E713B0" w:rsidP="00E713B0">
      <w:pPr>
        <w:spacing w:before="100"/>
        <w:ind w:left="709" w:hanging="709"/>
        <w:rPr>
          <w:caps/>
        </w:rPr>
      </w:pPr>
      <w:r w:rsidRPr="0009445C">
        <w:rPr>
          <w:caps/>
        </w:rPr>
        <w:t>5</w:t>
      </w:r>
      <w:r w:rsidRPr="0009445C">
        <w:rPr>
          <w:caps/>
        </w:rPr>
        <w:tab/>
        <w:t>Barriers</w:t>
      </w:r>
    </w:p>
    <w:p w14:paraId="0ACD04D4" w14:textId="77777777" w:rsidR="00E713B0" w:rsidRPr="0009445C" w:rsidRDefault="00E713B0" w:rsidP="00E713B0">
      <w:pPr>
        <w:spacing w:before="100"/>
        <w:ind w:left="709" w:hanging="709"/>
        <w:rPr>
          <w:caps/>
        </w:rPr>
      </w:pPr>
      <w:r w:rsidRPr="0009445C">
        <w:rPr>
          <w:caps/>
        </w:rPr>
        <w:t>6</w:t>
      </w:r>
      <w:r w:rsidRPr="0009445C">
        <w:rPr>
          <w:caps/>
        </w:rPr>
        <w:tab/>
        <w:t>Safety precautions for cable and/or</w:t>
      </w:r>
    </w:p>
    <w:p w14:paraId="763EF495" w14:textId="77777777" w:rsidR="00E713B0" w:rsidRPr="0009445C" w:rsidRDefault="00E713B0" w:rsidP="00E713B0">
      <w:pPr>
        <w:spacing w:before="100"/>
        <w:ind w:left="709" w:hanging="709"/>
        <w:rPr>
          <w:caps/>
        </w:rPr>
      </w:pPr>
      <w:r w:rsidRPr="0009445C">
        <w:rPr>
          <w:caps/>
        </w:rPr>
        <w:tab/>
        <w:t>pipe passages in fire-resistant structural elements</w:t>
      </w:r>
    </w:p>
    <w:p w14:paraId="6839E17A" w14:textId="77777777" w:rsidR="00E713B0" w:rsidRPr="0009445C" w:rsidRDefault="00E713B0" w:rsidP="00E713B0">
      <w:pPr>
        <w:spacing w:before="100"/>
        <w:ind w:left="709" w:hanging="709"/>
        <w:rPr>
          <w:caps/>
        </w:rPr>
      </w:pPr>
      <w:r w:rsidRPr="0009445C">
        <w:rPr>
          <w:caps/>
        </w:rPr>
        <w:t>7</w:t>
      </w:r>
      <w:r w:rsidRPr="0009445C">
        <w:rPr>
          <w:caps/>
        </w:rPr>
        <w:tab/>
        <w:t>Heat extraction devices in accordance with EN 12101-2:2003 for use in roofs in shopping streets pursuant to the Model Retail Outlet Regulation [Muster-Verkaufsstättenverordnung] and provisions on application and execution</w:t>
      </w:r>
    </w:p>
    <w:p w14:paraId="0F8BEE26" w14:textId="77777777" w:rsidR="00E713B0" w:rsidRPr="0009445C" w:rsidRDefault="00E713B0" w:rsidP="00E713B0">
      <w:pPr>
        <w:spacing w:before="100"/>
        <w:ind w:left="709" w:hanging="709"/>
        <w:rPr>
          <w:caps/>
        </w:rPr>
      </w:pPr>
      <w:r w:rsidRPr="0009445C">
        <w:rPr>
          <w:caps/>
        </w:rPr>
        <w:t>8</w:t>
      </w:r>
      <w:r w:rsidRPr="0009445C">
        <w:rPr>
          <w:caps/>
        </w:rPr>
        <w:tab/>
        <w:t>Service ducts and shafts, including their opening barriers</w:t>
      </w:r>
    </w:p>
    <w:p w14:paraId="063BDFB4" w14:textId="77777777" w:rsidR="00E713B0" w:rsidRPr="0009445C" w:rsidRDefault="00E713B0" w:rsidP="00E713B0">
      <w:pPr>
        <w:spacing w:before="100"/>
        <w:ind w:left="709" w:hanging="709"/>
        <w:rPr>
          <w:caps/>
        </w:rPr>
      </w:pPr>
      <w:r w:rsidRPr="0009445C">
        <w:rPr>
          <w:caps/>
        </w:rPr>
        <w:t>9</w:t>
      </w:r>
      <w:r w:rsidRPr="0009445C">
        <w:rPr>
          <w:caps/>
        </w:rPr>
        <w:tab/>
        <w:t>Fire-resistant glazing</w:t>
      </w:r>
    </w:p>
    <w:p w14:paraId="4201C333" w14:textId="77777777" w:rsidR="00E713B0" w:rsidRPr="0009445C" w:rsidRDefault="00E713B0" w:rsidP="00E713B0">
      <w:pPr>
        <w:spacing w:before="100"/>
        <w:ind w:left="709" w:hanging="709"/>
      </w:pPr>
      <w:r w:rsidRPr="0009445C">
        <w:rPr>
          <w:caps/>
        </w:rPr>
        <w:t>10</w:t>
      </w:r>
      <w:r w:rsidRPr="0009445C">
        <w:rPr>
          <w:caps/>
        </w:rPr>
        <w:tab/>
        <w:t>Special fire protection products</w:t>
      </w:r>
    </w:p>
    <w:p w14:paraId="58AA47F4" w14:textId="77777777" w:rsidR="00E713B0" w:rsidRPr="0009445C" w:rsidRDefault="00E713B0" w:rsidP="00E713B0">
      <w:pPr>
        <w:pStyle w:val="BRL-Standard"/>
        <w:jc w:val="left"/>
      </w:pPr>
    </w:p>
    <w:p w14:paraId="17973FF9" w14:textId="77777777" w:rsidR="00E713B0" w:rsidRPr="0009445C" w:rsidRDefault="00E713B0" w:rsidP="00E713B0">
      <w:pPr>
        <w:pStyle w:val="BRL-Standard"/>
        <w:sectPr w:rsidR="00E713B0" w:rsidRPr="0009445C" w:rsidSect="00E713B0">
          <w:headerReference w:type="even" r:id="rId73"/>
          <w:headerReference w:type="default" r:id="rId74"/>
          <w:footerReference w:type="default" r:id="rId75"/>
          <w:headerReference w:type="first" r:id="rId76"/>
          <w:footnotePr>
            <w:numRestart w:val="eachSect"/>
          </w:footnotePr>
          <w:pgSz w:w="11906" w:h="16838" w:code="9"/>
          <w:pgMar w:top="1134" w:right="1418" w:bottom="1134" w:left="1418" w:header="709" w:footer="652" w:gutter="0"/>
          <w:cols w:space="708"/>
          <w:titlePg/>
          <w:docGrid w:linePitch="360"/>
        </w:sectPr>
      </w:pPr>
    </w:p>
    <w:p w14:paraId="1A504225" w14:textId="77777777" w:rsidR="00E713B0" w:rsidRPr="0009445C" w:rsidRDefault="00E713B0" w:rsidP="00E713B0">
      <w:pPr>
        <w:pStyle w:val="BRL-Standard"/>
      </w:pPr>
    </w:p>
    <w:p w14:paraId="14063B65" w14:textId="77777777" w:rsidR="00E713B0" w:rsidRPr="0009445C" w:rsidRDefault="00E713B0" w:rsidP="00600F53">
      <w:pPr>
        <w:pStyle w:val="BRL-berschrift"/>
      </w:pPr>
      <w:r w:rsidRPr="0009445C">
        <w:t>1</w:t>
      </w:r>
      <w:r w:rsidRPr="0009445C">
        <w:tab/>
        <w:t>Parts of buildings that are subject to the requirements for fire characteristics and smouldering</w:t>
      </w:r>
    </w:p>
    <w:p w14:paraId="4E213CC6" w14:textId="44A0E421" w:rsidR="00E713B0" w:rsidRPr="0009445C" w:rsidRDefault="00E713B0" w:rsidP="00E713B0">
      <w:pPr>
        <w:pStyle w:val="BRL-Standard"/>
      </w:pPr>
      <w:r w:rsidRPr="0009445C">
        <w:t>For the fulfilment of the building requirements in A 2.1.2 when using structural works according to Technical Building Regulations or proof of usability according to § 17 MBO</w:t>
      </w:r>
      <w:bookmarkStart w:id="26" w:name="_Ref120180547"/>
      <w:r w:rsidR="00B84DA6" w:rsidRPr="0009445C">
        <w:rPr>
          <w:rStyle w:val="FootnoteReference"/>
        </w:rPr>
        <w:footnoteReference w:id="9"/>
      </w:r>
      <w:bookmarkEnd w:id="26"/>
      <w:r w:rsidRPr="0009445C">
        <w:t>, the minimum required building material classes are to be determined in Section 1.1. Unless otherwise specified in the following Sections, the minimum requirement ‘normal flammability’ applies to the fire characteristics of the building materials.</w:t>
      </w:r>
    </w:p>
    <w:p w14:paraId="6C2562C6" w14:textId="77777777" w:rsidR="00E713B0" w:rsidRPr="0009445C" w:rsidRDefault="00E713B0" w:rsidP="00E713B0">
      <w:pPr>
        <w:pStyle w:val="BRL-Standard"/>
      </w:pPr>
    </w:p>
    <w:p w14:paraId="714B46E1" w14:textId="77777777" w:rsidR="00E713B0" w:rsidRPr="0009445C" w:rsidRDefault="00E713B0" w:rsidP="00E713B0">
      <w:pPr>
        <w:pStyle w:val="BRL-Standard"/>
      </w:pPr>
      <w:r w:rsidRPr="0009445C">
        <w:t>For the fulfilment of the building requirements in A 2.1.2 when using parts of structural works that use construction products in accordance with harmonised technical specifications, the minimum required building material performance is listed in Section 1.2.</w:t>
      </w:r>
    </w:p>
    <w:p w14:paraId="6FEB16CD" w14:textId="77777777" w:rsidR="00E713B0" w:rsidRPr="0009445C" w:rsidRDefault="00E713B0" w:rsidP="00E713B0">
      <w:pPr>
        <w:spacing w:line="240" w:lineRule="auto"/>
      </w:pPr>
    </w:p>
    <w:p w14:paraId="28D6BA6C" w14:textId="711A03F4" w:rsidR="00E713B0" w:rsidRPr="0009445C" w:rsidRDefault="00E713B0" w:rsidP="00600F53">
      <w:pPr>
        <w:pStyle w:val="BRL-berschrift"/>
      </w:pPr>
      <w:r w:rsidRPr="0009445C">
        <w:t>1.1</w:t>
      </w:r>
      <w:r w:rsidRPr="0009445C">
        <w:tab/>
        <w:t>Building approval requirements and assignment of building material classes according to DIN 4102</w:t>
      </w:r>
      <w:r w:rsidRPr="0009445C">
        <w:noBreakHyphen/>
        <w:t xml:space="preserve"> 1:1998</w:t>
      </w:r>
      <w:r w:rsidRPr="0009445C">
        <w:noBreakHyphen/>
        <w:t xml:space="preserve"> 05 and other features</w:t>
      </w:r>
    </w:p>
    <w:p w14:paraId="50BA9621" w14:textId="55479CAE" w:rsidR="00E713B0" w:rsidRPr="0009445C" w:rsidRDefault="00E713B0" w:rsidP="00E713B0">
      <w:pPr>
        <w:pStyle w:val="BRLTabelleberschrift"/>
        <w:spacing w:after="120"/>
      </w:pPr>
      <w:r w:rsidRPr="0009445C">
        <w:t>Table 1.1:</w:t>
      </w:r>
      <w:r w:rsidRPr="0009445C">
        <w:tab/>
        <w:t>Building approval requirements and classification of building material classes according to DIN 4102</w:t>
      </w:r>
      <w:r w:rsidRPr="0009445C">
        <w:noBreakHyphen/>
        <w:t xml:space="preserve"> 1:1998</w:t>
      </w:r>
      <w:r w:rsidRPr="0009445C">
        <w:noBreakHyphen/>
        <w:t xml:space="preserve"> 05 including floor coverings and linear pipe insulation materials and other features</w:t>
      </w:r>
    </w:p>
    <w:tbl>
      <w:tblPr>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E0" w:firstRow="1" w:lastRow="1" w:firstColumn="1" w:lastColumn="0" w:noHBand="0" w:noVBand="1"/>
      </w:tblPr>
      <w:tblGrid>
        <w:gridCol w:w="454"/>
        <w:gridCol w:w="3090"/>
        <w:gridCol w:w="2546"/>
        <w:gridCol w:w="3266"/>
      </w:tblGrid>
      <w:tr w:rsidR="00E713B0" w:rsidRPr="0009445C" w14:paraId="338C39C5" w14:textId="77777777" w:rsidTr="00563079">
        <w:trPr>
          <w:trHeight w:val="452"/>
          <w:tblHeader/>
        </w:trPr>
        <w:tc>
          <w:tcPr>
            <w:tcW w:w="454" w:type="dxa"/>
            <w:tcBorders>
              <w:top w:val="single" w:sz="2" w:space="0" w:color="000000"/>
            </w:tcBorders>
            <w:shd w:val="clear" w:color="auto" w:fill="FFFFFF"/>
          </w:tcPr>
          <w:p w14:paraId="211E421D" w14:textId="77777777" w:rsidR="00E713B0" w:rsidRPr="0009445C" w:rsidRDefault="00E713B0" w:rsidP="00E713B0">
            <w:pPr>
              <w:pStyle w:val="BRL-TabelleberschriftAnhang"/>
              <w:jc w:val="center"/>
              <w:rPr>
                <w:rFonts w:eastAsia="Calibri"/>
              </w:rPr>
            </w:pPr>
          </w:p>
        </w:tc>
        <w:tc>
          <w:tcPr>
            <w:tcW w:w="3090" w:type="dxa"/>
            <w:tcBorders>
              <w:top w:val="single" w:sz="2" w:space="0" w:color="000000"/>
            </w:tcBorders>
            <w:shd w:val="clear" w:color="auto" w:fill="FFFFFF"/>
          </w:tcPr>
          <w:p w14:paraId="20DB0903" w14:textId="73187520" w:rsidR="00E713B0" w:rsidRPr="0009445C" w:rsidRDefault="00E713B0" w:rsidP="00E713B0">
            <w:pPr>
              <w:pStyle w:val="BRL-TabelleberschriftAnhang"/>
              <w:rPr>
                <w:rFonts w:eastAsia="Calibri"/>
              </w:rPr>
            </w:pPr>
            <w:r w:rsidRPr="0009445C">
              <w:t xml:space="preserve">Building approval </w:t>
            </w:r>
            <w:proofErr w:type="spellStart"/>
            <w:r w:rsidRPr="0009445C">
              <w:t>requirements</w:t>
            </w:r>
            <w:r w:rsidRPr="0009445C">
              <w:rPr>
                <w:vertAlign w:val="superscript"/>
              </w:rPr>
              <w:t>b</w:t>
            </w:r>
            <w:proofErr w:type="spellEnd"/>
            <w:r w:rsidRPr="0009445C">
              <w:t xml:space="preserve"> </w:t>
            </w:r>
          </w:p>
        </w:tc>
        <w:tc>
          <w:tcPr>
            <w:tcW w:w="2546" w:type="dxa"/>
            <w:tcBorders>
              <w:top w:val="single" w:sz="2" w:space="0" w:color="000000"/>
            </w:tcBorders>
            <w:shd w:val="clear" w:color="auto" w:fill="FFFFFF"/>
          </w:tcPr>
          <w:p w14:paraId="0DF56D98" w14:textId="77777777" w:rsidR="00E713B0" w:rsidRPr="0009445C" w:rsidRDefault="00E713B0" w:rsidP="00E713B0">
            <w:pPr>
              <w:pStyle w:val="BRL-TabelleberschriftAnhang"/>
              <w:rPr>
                <w:rFonts w:eastAsia="Calibri"/>
              </w:rPr>
            </w:pPr>
            <w:r w:rsidRPr="0009445C">
              <w:t>Minimum required building material classes pursuant to DIN 4102</w:t>
            </w:r>
            <w:r w:rsidRPr="0009445C">
              <w:noBreakHyphen/>
              <w:t>1:1998-05</w:t>
            </w:r>
          </w:p>
        </w:tc>
        <w:tc>
          <w:tcPr>
            <w:tcW w:w="3266" w:type="dxa"/>
            <w:tcBorders>
              <w:top w:val="single" w:sz="2" w:space="0" w:color="000000"/>
            </w:tcBorders>
            <w:shd w:val="clear" w:color="auto" w:fill="FFFFFF"/>
          </w:tcPr>
          <w:p w14:paraId="1B7A07DC" w14:textId="7B61B8F2" w:rsidR="00E713B0" w:rsidRPr="0009445C" w:rsidRDefault="00E713B0" w:rsidP="00E713B0">
            <w:pPr>
              <w:pStyle w:val="BRL-TabelleberschriftAnhang"/>
              <w:rPr>
                <w:rFonts w:eastAsia="Calibri"/>
              </w:rPr>
            </w:pPr>
            <w:r w:rsidRPr="0009445C">
              <w:t>Other characteristics for use:</w:t>
            </w:r>
          </w:p>
        </w:tc>
      </w:tr>
      <w:tr w:rsidR="00E713B0" w:rsidRPr="0009445C" w14:paraId="276AFC3A" w14:textId="77777777" w:rsidTr="00563079">
        <w:trPr>
          <w:trHeight w:val="383"/>
          <w:tblHeader/>
        </w:trPr>
        <w:tc>
          <w:tcPr>
            <w:tcW w:w="454" w:type="dxa"/>
            <w:tcBorders>
              <w:top w:val="single" w:sz="2" w:space="0" w:color="000000"/>
              <w:left w:val="single" w:sz="2" w:space="0" w:color="000000"/>
              <w:bottom w:val="single" w:sz="2" w:space="0" w:color="000000"/>
              <w:right w:val="single" w:sz="2" w:space="0" w:color="000000"/>
            </w:tcBorders>
            <w:shd w:val="clear" w:color="auto" w:fill="FFFFFF"/>
          </w:tcPr>
          <w:p w14:paraId="259112E9" w14:textId="77777777" w:rsidR="00E713B0" w:rsidRPr="0009445C" w:rsidRDefault="00E713B0" w:rsidP="00E713B0">
            <w:pPr>
              <w:pStyle w:val="BRL-TabelleFett"/>
              <w:widowControl w:val="0"/>
              <w:spacing w:before="0"/>
              <w:rPr>
                <w:rFonts w:eastAsia="Calibri"/>
              </w:rPr>
            </w:pPr>
          </w:p>
        </w:tc>
        <w:tc>
          <w:tcPr>
            <w:tcW w:w="309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98F2E0A" w14:textId="77777777" w:rsidR="00E713B0" w:rsidRPr="0009445C" w:rsidDel="0078543F" w:rsidRDefault="00E713B0" w:rsidP="00E713B0">
            <w:pPr>
              <w:pStyle w:val="BRL-TabelleFett"/>
              <w:widowControl w:val="0"/>
              <w:spacing w:before="0"/>
              <w:rPr>
                <w:rFonts w:eastAsia="Calibri"/>
              </w:rPr>
            </w:pPr>
            <w:r w:rsidRPr="0009445C">
              <w:t>1</w:t>
            </w:r>
          </w:p>
        </w:tc>
        <w:tc>
          <w:tcPr>
            <w:tcW w:w="254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4E614B8" w14:textId="77777777" w:rsidR="00E713B0" w:rsidRPr="0009445C" w:rsidRDefault="00E713B0" w:rsidP="00E713B0">
            <w:pPr>
              <w:pStyle w:val="BRL-TabelleFett"/>
              <w:widowControl w:val="0"/>
              <w:spacing w:before="0"/>
              <w:rPr>
                <w:rFonts w:eastAsia="Calibri"/>
              </w:rPr>
            </w:pPr>
            <w:r w:rsidRPr="0009445C">
              <w:t>2</w:t>
            </w:r>
          </w:p>
        </w:tc>
        <w:tc>
          <w:tcPr>
            <w:tcW w:w="326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B59D93" w14:textId="77777777" w:rsidR="00E713B0" w:rsidRPr="0009445C" w:rsidRDefault="00E713B0" w:rsidP="00E713B0">
            <w:pPr>
              <w:pStyle w:val="BRL-TabelleFett"/>
              <w:widowControl w:val="0"/>
              <w:spacing w:before="0"/>
              <w:rPr>
                <w:rFonts w:eastAsia="Calibri"/>
              </w:rPr>
            </w:pPr>
            <w:r w:rsidRPr="0009445C">
              <w:t>3</w:t>
            </w:r>
          </w:p>
        </w:tc>
      </w:tr>
      <w:tr w:rsidR="00E713B0" w:rsidRPr="0009445C" w14:paraId="335F11F3" w14:textId="77777777" w:rsidTr="00563079">
        <w:tc>
          <w:tcPr>
            <w:tcW w:w="454" w:type="dxa"/>
            <w:shd w:val="clear" w:color="auto" w:fill="FFFFFF"/>
          </w:tcPr>
          <w:p w14:paraId="4E5AFF28"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1</w:t>
            </w:r>
          </w:p>
        </w:tc>
        <w:tc>
          <w:tcPr>
            <w:tcW w:w="3090" w:type="dxa"/>
            <w:shd w:val="clear" w:color="auto" w:fill="FFFFFF"/>
          </w:tcPr>
          <w:p w14:paraId="13FB8351" w14:textId="77777777" w:rsidR="00E713B0" w:rsidRPr="0009445C" w:rsidRDefault="00E713B0" w:rsidP="00E713B0">
            <w:pPr>
              <w:pStyle w:val="BRL-Tabelle"/>
              <w:widowControl w:val="0"/>
              <w:spacing w:before="60" w:after="40"/>
              <w:ind w:left="113" w:right="113"/>
              <w:rPr>
                <w:rFonts w:eastAsia="Calibri"/>
              </w:rPr>
            </w:pPr>
            <w:r w:rsidRPr="0009445C">
              <w:t>non-combustible</w:t>
            </w:r>
            <w:r w:rsidRPr="0009445C">
              <w:rPr>
                <w:color w:val="7F7F7F" w:themeColor="text1" w:themeTint="80"/>
                <w:vertAlign w:val="superscript"/>
              </w:rPr>
              <w:t xml:space="preserve">1,2 </w:t>
            </w:r>
          </w:p>
        </w:tc>
        <w:tc>
          <w:tcPr>
            <w:tcW w:w="2546" w:type="dxa"/>
            <w:shd w:val="clear" w:color="auto" w:fill="auto"/>
          </w:tcPr>
          <w:p w14:paraId="32E96F7A" w14:textId="77777777" w:rsidR="00E713B0" w:rsidRPr="0009445C" w:rsidRDefault="00E713B0" w:rsidP="00E713B0">
            <w:pPr>
              <w:pStyle w:val="BRL-Tabelle"/>
              <w:widowControl w:val="0"/>
              <w:spacing w:before="60" w:after="40"/>
              <w:ind w:left="113" w:right="113"/>
              <w:rPr>
                <w:rFonts w:eastAsia="Calibri"/>
              </w:rPr>
            </w:pPr>
            <w:r w:rsidRPr="0009445C">
              <w:t>A 2</w:t>
            </w:r>
          </w:p>
        </w:tc>
        <w:tc>
          <w:tcPr>
            <w:tcW w:w="3266" w:type="dxa"/>
            <w:shd w:val="clear" w:color="auto" w:fill="auto"/>
          </w:tcPr>
          <w:p w14:paraId="406665E0" w14:textId="77777777" w:rsidR="00E713B0" w:rsidRPr="0009445C" w:rsidRDefault="00E713B0" w:rsidP="00E713B0">
            <w:pPr>
              <w:pStyle w:val="BRL-Tabelle"/>
              <w:widowControl w:val="0"/>
              <w:spacing w:before="60" w:after="40"/>
              <w:ind w:left="113" w:right="113"/>
              <w:rPr>
                <w:rFonts w:eastAsia="Calibri"/>
              </w:rPr>
            </w:pPr>
            <w:r w:rsidRPr="0009445C">
              <w:t>--</w:t>
            </w:r>
          </w:p>
        </w:tc>
      </w:tr>
      <w:tr w:rsidR="00E713B0" w:rsidRPr="0009445C" w14:paraId="03C80E5A" w14:textId="77777777" w:rsidTr="00563079">
        <w:tc>
          <w:tcPr>
            <w:tcW w:w="454" w:type="dxa"/>
            <w:shd w:val="clear" w:color="auto" w:fill="FFFFFF"/>
          </w:tcPr>
          <w:p w14:paraId="61406D5E"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2</w:t>
            </w:r>
          </w:p>
        </w:tc>
        <w:tc>
          <w:tcPr>
            <w:tcW w:w="3090" w:type="dxa"/>
            <w:shd w:val="clear" w:color="auto" w:fill="FFFFFF"/>
          </w:tcPr>
          <w:p w14:paraId="7FB0A408" w14:textId="77777777" w:rsidR="00E713B0" w:rsidRPr="0009445C" w:rsidRDefault="00E713B0" w:rsidP="00E713B0">
            <w:pPr>
              <w:pStyle w:val="BRL-Tabelle"/>
              <w:widowControl w:val="0"/>
              <w:spacing w:before="60" w:after="40"/>
              <w:ind w:left="113" w:right="113"/>
              <w:rPr>
                <w:rFonts w:eastAsia="Calibri"/>
              </w:rPr>
            </w:pPr>
            <w:r w:rsidRPr="0009445C">
              <w:t>flame-resistant</w:t>
            </w:r>
            <w:r w:rsidRPr="0009445C">
              <w:rPr>
                <w:vertAlign w:val="superscript"/>
              </w:rPr>
              <w:t>2</w:t>
            </w:r>
          </w:p>
        </w:tc>
        <w:tc>
          <w:tcPr>
            <w:tcW w:w="2546" w:type="dxa"/>
            <w:shd w:val="clear" w:color="auto" w:fill="auto"/>
          </w:tcPr>
          <w:p w14:paraId="3691D4E5" w14:textId="77777777" w:rsidR="00E713B0" w:rsidRPr="0009445C" w:rsidRDefault="00E713B0" w:rsidP="00E713B0">
            <w:pPr>
              <w:pStyle w:val="BRL-Tabelle"/>
              <w:widowControl w:val="0"/>
              <w:spacing w:before="60" w:after="40"/>
              <w:ind w:left="113" w:right="113"/>
              <w:rPr>
                <w:rFonts w:eastAsia="Calibri"/>
              </w:rPr>
            </w:pPr>
            <w:r w:rsidRPr="0009445C">
              <w:t>B 1</w:t>
            </w:r>
          </w:p>
        </w:tc>
        <w:tc>
          <w:tcPr>
            <w:tcW w:w="3266" w:type="dxa"/>
            <w:shd w:val="clear" w:color="auto" w:fill="auto"/>
          </w:tcPr>
          <w:p w14:paraId="13A13720" w14:textId="77777777" w:rsidR="00E713B0" w:rsidRPr="0009445C" w:rsidRDefault="00E713B0" w:rsidP="00E713B0">
            <w:pPr>
              <w:pStyle w:val="BRL-Tabelle"/>
              <w:widowControl w:val="0"/>
              <w:spacing w:before="60" w:after="40"/>
              <w:ind w:left="113" w:right="113"/>
              <w:rPr>
                <w:rFonts w:eastAsia="Calibri"/>
              </w:rPr>
            </w:pPr>
            <w:r w:rsidRPr="0009445C">
              <w:t>Building materials with the exception of floor coverings:</w:t>
            </w:r>
          </w:p>
          <w:p w14:paraId="2ACC899D" w14:textId="77777777" w:rsidR="00E713B0" w:rsidRPr="0009445C" w:rsidRDefault="00E713B0" w:rsidP="00E713B0">
            <w:pPr>
              <w:pStyle w:val="BRL-Tabelle"/>
              <w:widowControl w:val="0"/>
              <w:spacing w:before="60" w:after="40"/>
              <w:ind w:left="113" w:right="113"/>
              <w:rPr>
                <w:rFonts w:eastAsia="Calibri"/>
              </w:rPr>
            </w:pPr>
            <w:r w:rsidRPr="0009445C">
              <w:t xml:space="preserve">Limited smoke development </w:t>
            </w:r>
            <w:r w:rsidRPr="0009445C">
              <w:br/>
              <w:t>Passed (I ≤ 400 % x min. when tested pursuant to DIN 4102</w:t>
            </w:r>
            <w:r w:rsidRPr="0009445C">
              <w:noBreakHyphen/>
              <w:t>15:1990</w:t>
            </w:r>
            <w:r w:rsidRPr="0009445C">
              <w:noBreakHyphen/>
              <w:t>05)</w:t>
            </w:r>
          </w:p>
        </w:tc>
      </w:tr>
      <w:tr w:rsidR="00E713B0" w:rsidRPr="0009445C" w14:paraId="3BA0BE46" w14:textId="77777777" w:rsidTr="00563079">
        <w:tc>
          <w:tcPr>
            <w:tcW w:w="454" w:type="dxa"/>
            <w:shd w:val="clear" w:color="auto" w:fill="FFFFFF"/>
          </w:tcPr>
          <w:p w14:paraId="2CDB3CA8"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3</w:t>
            </w:r>
          </w:p>
        </w:tc>
        <w:tc>
          <w:tcPr>
            <w:tcW w:w="3090" w:type="dxa"/>
            <w:shd w:val="clear" w:color="auto" w:fill="FFFFFF"/>
          </w:tcPr>
          <w:p w14:paraId="71B2C814" w14:textId="77777777" w:rsidR="00E713B0" w:rsidRPr="0009445C" w:rsidRDefault="00E713B0" w:rsidP="00E713B0">
            <w:pPr>
              <w:pStyle w:val="BRL-Tabelle"/>
              <w:widowControl w:val="0"/>
              <w:spacing w:before="60" w:after="40"/>
              <w:ind w:left="113" w:right="113"/>
              <w:rPr>
                <w:rFonts w:eastAsia="Calibri"/>
              </w:rPr>
            </w:pPr>
            <w:r w:rsidRPr="0009445C">
              <w:t>flame-resistant</w:t>
            </w:r>
            <w:r w:rsidRPr="0009445C">
              <w:rPr>
                <w:color w:val="7F7F7F" w:themeColor="text1" w:themeTint="80"/>
                <w:vertAlign w:val="superscript"/>
              </w:rPr>
              <w:t>2</w:t>
            </w:r>
            <w:r w:rsidRPr="0009445C">
              <w:br/>
              <w:t>and no burning particles or droplets</w:t>
            </w:r>
          </w:p>
        </w:tc>
        <w:tc>
          <w:tcPr>
            <w:tcW w:w="2546" w:type="dxa"/>
            <w:shd w:val="clear" w:color="auto" w:fill="auto"/>
          </w:tcPr>
          <w:p w14:paraId="72B2994E" w14:textId="77777777" w:rsidR="00E713B0" w:rsidRPr="0009445C" w:rsidRDefault="00E713B0" w:rsidP="00E713B0">
            <w:pPr>
              <w:pStyle w:val="BRL-Tabelle"/>
              <w:widowControl w:val="0"/>
              <w:spacing w:before="60" w:after="40"/>
              <w:ind w:left="113" w:right="113"/>
              <w:rPr>
                <w:rFonts w:eastAsia="Calibri"/>
              </w:rPr>
            </w:pPr>
            <w:r w:rsidRPr="0009445C">
              <w:t>B 1</w:t>
            </w:r>
          </w:p>
        </w:tc>
        <w:tc>
          <w:tcPr>
            <w:tcW w:w="3266" w:type="dxa"/>
            <w:shd w:val="clear" w:color="auto" w:fill="auto"/>
          </w:tcPr>
          <w:p w14:paraId="48B030DC" w14:textId="77777777" w:rsidR="00E713B0" w:rsidRPr="0009445C" w:rsidRDefault="00E713B0" w:rsidP="00E713B0">
            <w:pPr>
              <w:pStyle w:val="BRL-Tabelle"/>
              <w:widowControl w:val="0"/>
              <w:spacing w:before="60" w:after="40"/>
              <w:ind w:left="113" w:right="113"/>
              <w:rPr>
                <w:rFonts w:eastAsia="Calibri"/>
              </w:rPr>
            </w:pPr>
            <w:r w:rsidRPr="0009445C">
              <w:t>No burning droplets or particles falling</w:t>
            </w:r>
          </w:p>
          <w:p w14:paraId="2A4F3493" w14:textId="77777777" w:rsidR="00E713B0" w:rsidRPr="0009445C" w:rsidRDefault="00E713B0" w:rsidP="00E713B0">
            <w:pPr>
              <w:pStyle w:val="BRL-Tabelle"/>
              <w:widowControl w:val="0"/>
              <w:spacing w:before="60" w:after="40"/>
              <w:ind w:left="113" w:right="113"/>
              <w:rPr>
                <w:rFonts w:eastAsia="Calibri"/>
              </w:rPr>
            </w:pPr>
            <w:r w:rsidRPr="0009445C">
              <w:t>Limited smoke development</w:t>
            </w:r>
            <w:r w:rsidRPr="0009445C">
              <w:br/>
              <w:t>Passed (</w:t>
            </w:r>
            <w:proofErr w:type="spellStart"/>
            <w:r w:rsidRPr="0009445C">
              <w:t>I</w:t>
            </w:r>
            <w:r w:rsidRPr="0009445C">
              <w:rPr>
                <w:color w:val="7F7F7F" w:themeColor="text1" w:themeTint="80"/>
                <w:vertAlign w:val="superscript"/>
              </w:rPr>
              <w:t>a</w:t>
            </w:r>
            <w:proofErr w:type="spellEnd"/>
            <w:r w:rsidRPr="0009445C">
              <w:t> ≤ 400 % x min. when tested pursuant to DIN 4102</w:t>
            </w:r>
            <w:r w:rsidRPr="0009445C">
              <w:noBreakHyphen/>
              <w:t>15:1990</w:t>
            </w:r>
            <w:r w:rsidRPr="0009445C">
              <w:noBreakHyphen/>
              <w:t>05)</w:t>
            </w:r>
          </w:p>
        </w:tc>
      </w:tr>
      <w:tr w:rsidR="00E713B0" w:rsidRPr="0009445C" w14:paraId="2309C91B" w14:textId="77777777" w:rsidTr="00563079">
        <w:tc>
          <w:tcPr>
            <w:tcW w:w="454" w:type="dxa"/>
            <w:shd w:val="clear" w:color="auto" w:fill="FFFFFF"/>
          </w:tcPr>
          <w:p w14:paraId="20B0593A"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4</w:t>
            </w:r>
          </w:p>
        </w:tc>
        <w:tc>
          <w:tcPr>
            <w:tcW w:w="3090" w:type="dxa"/>
            <w:shd w:val="clear" w:color="auto" w:fill="FFFFFF"/>
          </w:tcPr>
          <w:p w14:paraId="285BB8B9" w14:textId="77777777" w:rsidR="00E713B0" w:rsidRPr="0009445C" w:rsidRDefault="00E713B0" w:rsidP="00E713B0">
            <w:pPr>
              <w:pStyle w:val="BRL-Tabelle"/>
              <w:widowControl w:val="0"/>
              <w:spacing w:before="60" w:after="40"/>
              <w:ind w:left="113" w:right="113"/>
              <w:rPr>
                <w:rFonts w:eastAsia="Calibri"/>
              </w:rPr>
            </w:pPr>
            <w:r w:rsidRPr="0009445C">
              <w:t>flame-resistant</w:t>
            </w:r>
            <w:r w:rsidRPr="0009445C">
              <w:rPr>
                <w:color w:val="7F7F7F" w:themeColor="text1" w:themeTint="80"/>
                <w:vertAlign w:val="superscript"/>
              </w:rPr>
              <w:t>2</w:t>
            </w:r>
            <w:r w:rsidRPr="0009445C">
              <w:br/>
              <w:t>and low smoke development</w:t>
            </w:r>
          </w:p>
        </w:tc>
        <w:tc>
          <w:tcPr>
            <w:tcW w:w="2546" w:type="dxa"/>
            <w:shd w:val="clear" w:color="auto" w:fill="auto"/>
          </w:tcPr>
          <w:p w14:paraId="61CA62F4" w14:textId="77777777" w:rsidR="00E713B0" w:rsidRPr="0009445C" w:rsidRDefault="00E713B0" w:rsidP="00E713B0">
            <w:pPr>
              <w:pStyle w:val="BRL-Tabelle"/>
              <w:widowControl w:val="0"/>
              <w:spacing w:before="60" w:after="40"/>
              <w:ind w:left="113" w:right="113"/>
              <w:rPr>
                <w:rFonts w:eastAsia="Calibri"/>
              </w:rPr>
            </w:pPr>
            <w:r w:rsidRPr="0009445C">
              <w:t>B1</w:t>
            </w:r>
          </w:p>
        </w:tc>
        <w:tc>
          <w:tcPr>
            <w:tcW w:w="3266" w:type="dxa"/>
            <w:shd w:val="clear" w:color="auto" w:fill="auto"/>
          </w:tcPr>
          <w:p w14:paraId="2C430B00" w14:textId="77777777" w:rsidR="00E713B0" w:rsidRPr="0009445C" w:rsidRDefault="00E713B0" w:rsidP="00E713B0">
            <w:pPr>
              <w:pStyle w:val="BRL-Tabelle"/>
              <w:widowControl w:val="0"/>
              <w:spacing w:before="60" w:after="40"/>
              <w:ind w:left="113" w:right="113"/>
              <w:rPr>
                <w:rFonts w:eastAsia="Calibri"/>
              </w:rPr>
            </w:pPr>
            <w:r w:rsidRPr="0009445C">
              <w:t>Low smoke development</w:t>
            </w:r>
            <w:r w:rsidRPr="0009445C">
              <w:br/>
              <w:t>Passed (</w:t>
            </w:r>
            <w:proofErr w:type="spellStart"/>
            <w:r w:rsidRPr="0009445C">
              <w:t>I</w:t>
            </w:r>
            <w:r w:rsidRPr="0009445C">
              <w:rPr>
                <w:color w:val="7F7F7F" w:themeColor="text1" w:themeTint="80"/>
                <w:vertAlign w:val="superscript"/>
              </w:rPr>
              <w:t>a</w:t>
            </w:r>
            <w:proofErr w:type="spellEnd"/>
            <w:r w:rsidRPr="0009445C">
              <w:t> ≤ 100 % x min. when tested pursuant to DIN 4102</w:t>
            </w:r>
            <w:r w:rsidRPr="0009445C">
              <w:noBreakHyphen/>
              <w:t>15:1990</w:t>
            </w:r>
            <w:r w:rsidRPr="0009445C">
              <w:noBreakHyphen/>
              <w:t>05)</w:t>
            </w:r>
          </w:p>
        </w:tc>
      </w:tr>
      <w:tr w:rsidR="00E713B0" w:rsidRPr="0009445C" w14:paraId="1CA544CF" w14:textId="77777777" w:rsidTr="00563079">
        <w:tc>
          <w:tcPr>
            <w:tcW w:w="454" w:type="dxa"/>
            <w:shd w:val="clear" w:color="auto" w:fill="FFFFFF"/>
          </w:tcPr>
          <w:p w14:paraId="4974DCEF"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5</w:t>
            </w:r>
          </w:p>
        </w:tc>
        <w:tc>
          <w:tcPr>
            <w:tcW w:w="3090" w:type="dxa"/>
            <w:shd w:val="clear" w:color="auto" w:fill="FFFFFF"/>
          </w:tcPr>
          <w:p w14:paraId="234CABA5" w14:textId="77777777" w:rsidR="00E713B0" w:rsidRPr="0009445C" w:rsidRDefault="00E713B0" w:rsidP="00E713B0">
            <w:pPr>
              <w:pStyle w:val="BRL-Tabelle"/>
              <w:widowControl w:val="0"/>
              <w:spacing w:before="60" w:after="40"/>
              <w:ind w:left="113" w:right="113"/>
              <w:rPr>
                <w:rFonts w:eastAsia="Calibri"/>
              </w:rPr>
            </w:pPr>
            <w:r w:rsidRPr="0009445C">
              <w:t>flame-resistant</w:t>
            </w:r>
            <w:r w:rsidRPr="0009445C">
              <w:rPr>
                <w:color w:val="7F7F7F" w:themeColor="text1" w:themeTint="80"/>
                <w:vertAlign w:val="superscript"/>
              </w:rPr>
              <w:t>2</w:t>
            </w:r>
            <w:r w:rsidRPr="0009445C">
              <w:br/>
              <w:t>and no burning droplets or particles and low smoke development</w:t>
            </w:r>
          </w:p>
        </w:tc>
        <w:tc>
          <w:tcPr>
            <w:tcW w:w="2546" w:type="dxa"/>
            <w:shd w:val="clear" w:color="auto" w:fill="auto"/>
          </w:tcPr>
          <w:p w14:paraId="4F61A538" w14:textId="77777777" w:rsidR="00E713B0" w:rsidRPr="0009445C" w:rsidRDefault="00E713B0" w:rsidP="00E713B0">
            <w:pPr>
              <w:pStyle w:val="BRL-Tabelle"/>
              <w:widowControl w:val="0"/>
              <w:spacing w:before="60" w:after="40"/>
              <w:ind w:left="113" w:right="113"/>
              <w:rPr>
                <w:rFonts w:eastAsia="Calibri"/>
              </w:rPr>
            </w:pPr>
            <w:r w:rsidRPr="0009445C">
              <w:t>B1</w:t>
            </w:r>
          </w:p>
        </w:tc>
        <w:tc>
          <w:tcPr>
            <w:tcW w:w="3266" w:type="dxa"/>
            <w:shd w:val="clear" w:color="auto" w:fill="auto"/>
          </w:tcPr>
          <w:p w14:paraId="700C2BBC" w14:textId="77777777" w:rsidR="00E713B0" w:rsidRPr="0009445C" w:rsidRDefault="00E713B0" w:rsidP="00E713B0">
            <w:pPr>
              <w:pStyle w:val="BRL-Tabelle"/>
              <w:widowControl w:val="0"/>
              <w:spacing w:before="60" w:after="40"/>
              <w:ind w:left="113" w:right="113"/>
              <w:rPr>
                <w:rFonts w:eastAsia="Calibri"/>
              </w:rPr>
            </w:pPr>
            <w:r w:rsidRPr="0009445C">
              <w:t>No burning droplets or particles falling</w:t>
            </w:r>
          </w:p>
          <w:p w14:paraId="1DF6B5B3" w14:textId="77777777" w:rsidR="00E713B0" w:rsidRPr="0009445C" w:rsidRDefault="00E713B0" w:rsidP="00E713B0">
            <w:pPr>
              <w:pStyle w:val="BRL-Tabelle"/>
              <w:widowControl w:val="0"/>
              <w:spacing w:before="60" w:after="40"/>
              <w:ind w:left="113" w:right="113"/>
              <w:rPr>
                <w:rFonts w:eastAsia="Calibri"/>
              </w:rPr>
            </w:pPr>
            <w:r w:rsidRPr="0009445C">
              <w:t>Low smoke development</w:t>
            </w:r>
            <w:r w:rsidRPr="0009445C">
              <w:br/>
              <w:t>Passed (</w:t>
            </w:r>
            <w:proofErr w:type="spellStart"/>
            <w:r w:rsidRPr="0009445C">
              <w:t>I</w:t>
            </w:r>
            <w:r w:rsidRPr="0009445C">
              <w:rPr>
                <w:color w:val="7F7F7F" w:themeColor="text1" w:themeTint="80"/>
                <w:vertAlign w:val="superscript"/>
              </w:rPr>
              <w:t>a</w:t>
            </w:r>
            <w:proofErr w:type="spellEnd"/>
            <w:r w:rsidRPr="0009445C">
              <w:t> ≤ 100 % x min. when tested pursuant to DIN 4102</w:t>
            </w:r>
            <w:r w:rsidRPr="0009445C">
              <w:noBreakHyphen/>
              <w:t>15:1990</w:t>
            </w:r>
            <w:r w:rsidRPr="0009445C">
              <w:noBreakHyphen/>
              <w:t>05)</w:t>
            </w:r>
          </w:p>
        </w:tc>
      </w:tr>
      <w:tr w:rsidR="00E713B0" w:rsidRPr="0009445C" w14:paraId="6F2E7ACC" w14:textId="77777777" w:rsidTr="00563079">
        <w:tblPrEx>
          <w:tblLook w:val="04A0" w:firstRow="1" w:lastRow="0" w:firstColumn="1" w:lastColumn="0" w:noHBand="0" w:noVBand="1"/>
        </w:tblPrEx>
        <w:tc>
          <w:tcPr>
            <w:tcW w:w="454" w:type="dxa"/>
            <w:shd w:val="clear" w:color="auto" w:fill="FFFFFF"/>
          </w:tcPr>
          <w:p w14:paraId="0B4D7632"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6</w:t>
            </w:r>
          </w:p>
        </w:tc>
        <w:tc>
          <w:tcPr>
            <w:tcW w:w="3090" w:type="dxa"/>
            <w:shd w:val="clear" w:color="auto" w:fill="FFFFFF"/>
          </w:tcPr>
          <w:p w14:paraId="35BC0A19" w14:textId="77777777" w:rsidR="00E713B0" w:rsidRPr="0009445C" w:rsidRDefault="00E713B0" w:rsidP="00E713B0">
            <w:pPr>
              <w:pStyle w:val="BRL-Tabelle"/>
              <w:widowControl w:val="0"/>
              <w:spacing w:before="60" w:after="40"/>
              <w:ind w:left="113" w:right="113"/>
              <w:rPr>
                <w:rFonts w:eastAsia="Calibri"/>
              </w:rPr>
            </w:pPr>
            <w:r w:rsidRPr="0009445C">
              <w:t>normal flammability,</w:t>
            </w:r>
            <w:r w:rsidRPr="0009445C">
              <w:br/>
              <w:t>no burning droplets or particles</w:t>
            </w:r>
          </w:p>
        </w:tc>
        <w:tc>
          <w:tcPr>
            <w:tcW w:w="2546" w:type="dxa"/>
            <w:shd w:val="clear" w:color="auto" w:fill="auto"/>
          </w:tcPr>
          <w:p w14:paraId="09DC21D3" w14:textId="77777777" w:rsidR="00E713B0" w:rsidRPr="0009445C" w:rsidRDefault="00E713B0" w:rsidP="00E713B0">
            <w:pPr>
              <w:pStyle w:val="BRL-Tabelle"/>
              <w:widowControl w:val="0"/>
              <w:spacing w:before="60" w:after="40"/>
              <w:ind w:left="113" w:right="113"/>
              <w:rPr>
                <w:rFonts w:eastAsia="Calibri"/>
              </w:rPr>
            </w:pPr>
            <w:r w:rsidRPr="0009445C">
              <w:t>B 2</w:t>
            </w:r>
          </w:p>
        </w:tc>
        <w:tc>
          <w:tcPr>
            <w:tcW w:w="3266" w:type="dxa"/>
            <w:shd w:val="clear" w:color="auto" w:fill="auto"/>
          </w:tcPr>
          <w:p w14:paraId="5D0A4CBB" w14:textId="77777777" w:rsidR="00E713B0" w:rsidRPr="0009445C" w:rsidRDefault="00E713B0" w:rsidP="00E713B0">
            <w:pPr>
              <w:pStyle w:val="BRL-Tabelle"/>
              <w:widowControl w:val="0"/>
              <w:spacing w:before="60" w:after="40"/>
              <w:ind w:left="113" w:right="113"/>
              <w:rPr>
                <w:rFonts w:eastAsia="Calibri"/>
              </w:rPr>
            </w:pPr>
            <w:r w:rsidRPr="0009445C">
              <w:t>No burning droplets or particles falling</w:t>
            </w:r>
          </w:p>
        </w:tc>
      </w:tr>
      <w:tr w:rsidR="00E713B0" w:rsidRPr="0009445C" w14:paraId="2AF8DDCE" w14:textId="77777777" w:rsidTr="00563079">
        <w:tblPrEx>
          <w:tblLook w:val="04A0" w:firstRow="1" w:lastRow="0" w:firstColumn="1" w:lastColumn="0" w:noHBand="0" w:noVBand="1"/>
        </w:tblPrEx>
        <w:tc>
          <w:tcPr>
            <w:tcW w:w="454" w:type="dxa"/>
            <w:tcBorders>
              <w:bottom w:val="single" w:sz="2" w:space="0" w:color="000000"/>
            </w:tcBorders>
            <w:shd w:val="clear" w:color="auto" w:fill="FFFFFF"/>
          </w:tcPr>
          <w:p w14:paraId="6529CE48" w14:textId="77777777" w:rsidR="00E713B0" w:rsidRPr="0009445C" w:rsidRDefault="00E713B0" w:rsidP="00463D3D">
            <w:pPr>
              <w:pStyle w:val="BRL-Tabelle"/>
              <w:pageBreakBefore/>
              <w:widowControl w:val="0"/>
              <w:spacing w:before="60" w:after="40"/>
              <w:ind w:left="113" w:right="113"/>
              <w:jc w:val="center"/>
              <w:rPr>
                <w:rFonts w:eastAsia="Calibri"/>
                <w:b/>
              </w:rPr>
            </w:pPr>
            <w:r w:rsidRPr="0009445C">
              <w:rPr>
                <w:b/>
              </w:rPr>
              <w:lastRenderedPageBreak/>
              <w:t>7</w:t>
            </w:r>
          </w:p>
        </w:tc>
        <w:tc>
          <w:tcPr>
            <w:tcW w:w="3090" w:type="dxa"/>
            <w:tcBorders>
              <w:bottom w:val="single" w:sz="2" w:space="0" w:color="000000"/>
            </w:tcBorders>
            <w:shd w:val="clear" w:color="auto" w:fill="FFFFFF"/>
          </w:tcPr>
          <w:p w14:paraId="0FDB88D6" w14:textId="77777777" w:rsidR="00E713B0" w:rsidRPr="0009445C" w:rsidRDefault="00E713B0" w:rsidP="00E713B0">
            <w:pPr>
              <w:pStyle w:val="BRL-Tabelle"/>
              <w:widowControl w:val="0"/>
              <w:spacing w:before="60" w:after="40"/>
              <w:ind w:left="113" w:right="113"/>
              <w:rPr>
                <w:rFonts w:eastAsia="Calibri"/>
              </w:rPr>
            </w:pPr>
            <w:r w:rsidRPr="0009445C">
              <w:t>normal flammability</w:t>
            </w:r>
          </w:p>
        </w:tc>
        <w:tc>
          <w:tcPr>
            <w:tcW w:w="2546" w:type="dxa"/>
            <w:tcBorders>
              <w:bottom w:val="single" w:sz="2" w:space="0" w:color="000000"/>
            </w:tcBorders>
            <w:shd w:val="clear" w:color="auto" w:fill="auto"/>
          </w:tcPr>
          <w:p w14:paraId="741D23B3" w14:textId="77777777" w:rsidR="00E713B0" w:rsidRPr="0009445C" w:rsidRDefault="00E713B0" w:rsidP="00E713B0">
            <w:pPr>
              <w:pStyle w:val="BRL-Tabelle"/>
              <w:widowControl w:val="0"/>
              <w:spacing w:before="60" w:after="40"/>
              <w:ind w:left="113" w:right="113"/>
              <w:rPr>
                <w:rFonts w:eastAsia="Calibri"/>
              </w:rPr>
            </w:pPr>
            <w:r w:rsidRPr="0009445C">
              <w:t>B 2</w:t>
            </w:r>
            <w:r w:rsidRPr="0009445C">
              <w:br/>
            </w:r>
          </w:p>
        </w:tc>
        <w:tc>
          <w:tcPr>
            <w:tcW w:w="3266" w:type="dxa"/>
            <w:tcBorders>
              <w:bottom w:val="single" w:sz="2" w:space="0" w:color="000000"/>
            </w:tcBorders>
            <w:shd w:val="clear" w:color="auto" w:fill="auto"/>
          </w:tcPr>
          <w:p w14:paraId="1CEF7F71" w14:textId="77777777" w:rsidR="00E713B0" w:rsidRPr="0009445C" w:rsidRDefault="00E713B0" w:rsidP="00E713B0">
            <w:pPr>
              <w:pStyle w:val="BRL-Tabelle"/>
              <w:widowControl w:val="0"/>
              <w:spacing w:before="60" w:after="40"/>
              <w:ind w:left="113" w:right="113"/>
              <w:rPr>
                <w:rFonts w:eastAsia="Calibri"/>
              </w:rPr>
            </w:pPr>
            <w:r w:rsidRPr="0009445C">
              <w:t>--</w:t>
            </w:r>
          </w:p>
        </w:tc>
      </w:tr>
      <w:tr w:rsidR="00E713B0" w:rsidRPr="0009445C" w14:paraId="00E8A4AD" w14:textId="77777777" w:rsidTr="00563079">
        <w:tblPrEx>
          <w:tblLook w:val="04A0" w:firstRow="1" w:lastRow="0" w:firstColumn="1" w:lastColumn="0" w:noHBand="0" w:noVBand="1"/>
        </w:tblPrEx>
        <w:tc>
          <w:tcPr>
            <w:tcW w:w="454" w:type="dxa"/>
            <w:tcBorders>
              <w:bottom w:val="nil"/>
            </w:tcBorders>
            <w:shd w:val="clear" w:color="auto" w:fill="FFFFFF"/>
          </w:tcPr>
          <w:p w14:paraId="2861F3D1" w14:textId="77777777" w:rsidR="00E713B0" w:rsidRPr="0009445C" w:rsidRDefault="00E713B0" w:rsidP="00E713B0">
            <w:pPr>
              <w:pStyle w:val="BRL-Tabelle"/>
              <w:widowControl w:val="0"/>
              <w:spacing w:before="60" w:after="40"/>
              <w:ind w:left="113" w:right="113"/>
              <w:jc w:val="center"/>
              <w:rPr>
                <w:rFonts w:eastAsia="Calibri"/>
                <w:b/>
                <w:vertAlign w:val="superscript"/>
              </w:rPr>
            </w:pPr>
          </w:p>
        </w:tc>
        <w:tc>
          <w:tcPr>
            <w:tcW w:w="3090" w:type="dxa"/>
            <w:tcBorders>
              <w:bottom w:val="nil"/>
            </w:tcBorders>
            <w:shd w:val="clear" w:color="auto" w:fill="FFFFFF"/>
          </w:tcPr>
          <w:p w14:paraId="50D35372" w14:textId="77777777" w:rsidR="00E713B0" w:rsidRPr="0009445C" w:rsidRDefault="00E713B0" w:rsidP="00E713B0">
            <w:pPr>
              <w:pStyle w:val="BRL-Tabelle"/>
              <w:widowControl w:val="0"/>
              <w:spacing w:before="60" w:after="40"/>
              <w:ind w:left="113" w:right="113"/>
              <w:rPr>
                <w:rFonts w:eastAsia="Calibri"/>
              </w:rPr>
            </w:pPr>
            <w:r w:rsidRPr="0009445C">
              <w:rPr>
                <w:vertAlign w:val="superscript"/>
              </w:rPr>
              <w:t>1</w:t>
            </w:r>
            <w:r w:rsidRPr="0009445C">
              <w:t xml:space="preserve"> if necessary, additionally melting point&gt; 1000 °C</w:t>
            </w:r>
          </w:p>
        </w:tc>
        <w:tc>
          <w:tcPr>
            <w:tcW w:w="2546" w:type="dxa"/>
            <w:tcBorders>
              <w:bottom w:val="nil"/>
            </w:tcBorders>
            <w:shd w:val="clear" w:color="auto" w:fill="FFFFFF"/>
          </w:tcPr>
          <w:p w14:paraId="563510EF" w14:textId="77777777" w:rsidR="00E713B0" w:rsidRPr="0009445C" w:rsidRDefault="00E713B0" w:rsidP="00E713B0">
            <w:pPr>
              <w:pStyle w:val="BRL-Tabelle"/>
              <w:widowControl w:val="0"/>
              <w:spacing w:before="60" w:after="40"/>
              <w:ind w:left="113" w:right="113"/>
              <w:rPr>
                <w:rFonts w:eastAsia="Calibri"/>
              </w:rPr>
            </w:pPr>
            <w:r w:rsidRPr="0009445C">
              <w:t>--</w:t>
            </w:r>
          </w:p>
        </w:tc>
        <w:tc>
          <w:tcPr>
            <w:tcW w:w="3266" w:type="dxa"/>
            <w:tcBorders>
              <w:bottom w:val="nil"/>
            </w:tcBorders>
            <w:shd w:val="clear" w:color="auto" w:fill="FFFFFF"/>
          </w:tcPr>
          <w:p w14:paraId="4CD77678" w14:textId="77777777" w:rsidR="00E713B0" w:rsidRPr="0009445C" w:rsidRDefault="00E713B0" w:rsidP="00E713B0">
            <w:pPr>
              <w:pStyle w:val="BRL-Tabelle"/>
              <w:widowControl w:val="0"/>
              <w:spacing w:before="60" w:after="40"/>
              <w:ind w:left="113" w:right="113"/>
              <w:rPr>
                <w:rFonts w:eastAsia="Calibri"/>
              </w:rPr>
            </w:pPr>
            <w:r w:rsidRPr="0009445C">
              <w:t>Specification: Melting point at least 1,000°C pursuant to DIN 4102-17:2017-12</w:t>
            </w:r>
          </w:p>
        </w:tc>
      </w:tr>
      <w:tr w:rsidR="00E713B0" w:rsidRPr="0009445C" w14:paraId="5CABCD5C" w14:textId="77777777" w:rsidTr="00563079">
        <w:tblPrEx>
          <w:tblLook w:val="04A0" w:firstRow="1" w:lastRow="0" w:firstColumn="1" w:lastColumn="0" w:noHBand="0" w:noVBand="1"/>
        </w:tblPrEx>
        <w:tc>
          <w:tcPr>
            <w:tcW w:w="454" w:type="dxa"/>
            <w:tcBorders>
              <w:top w:val="nil"/>
              <w:bottom w:val="nil"/>
            </w:tcBorders>
            <w:shd w:val="clear" w:color="auto" w:fill="FFFFFF"/>
          </w:tcPr>
          <w:p w14:paraId="78023478" w14:textId="77777777" w:rsidR="00E713B0" w:rsidRPr="0009445C" w:rsidRDefault="00E713B0" w:rsidP="00E713B0">
            <w:pPr>
              <w:pStyle w:val="BRL-Tabelle"/>
              <w:ind w:left="113" w:right="113"/>
              <w:jc w:val="center"/>
              <w:rPr>
                <w:rFonts w:eastAsia="Calibri"/>
                <w:b/>
                <w:vertAlign w:val="superscript"/>
              </w:rPr>
            </w:pPr>
          </w:p>
        </w:tc>
        <w:tc>
          <w:tcPr>
            <w:tcW w:w="3090" w:type="dxa"/>
            <w:tcBorders>
              <w:top w:val="nil"/>
              <w:bottom w:val="single" w:sz="2" w:space="0" w:color="auto"/>
            </w:tcBorders>
            <w:shd w:val="clear" w:color="auto" w:fill="FFFFFF"/>
          </w:tcPr>
          <w:p w14:paraId="07A3E592" w14:textId="77777777" w:rsidR="00E713B0" w:rsidRPr="0009445C" w:rsidRDefault="00E713B0" w:rsidP="00E713B0">
            <w:pPr>
              <w:pStyle w:val="BRL-Tabelle"/>
              <w:ind w:left="113" w:right="113"/>
              <w:rPr>
                <w:rFonts w:eastAsia="Calibri"/>
                <w:vertAlign w:val="superscript"/>
              </w:rPr>
            </w:pPr>
            <w:r w:rsidRPr="0009445C">
              <w:rPr>
                <w:vertAlign w:val="superscript"/>
              </w:rPr>
              <w:t>2</w:t>
            </w:r>
            <w:r w:rsidRPr="0009445C">
              <w:t xml:space="preserve"> if required, additional raw density</w:t>
            </w:r>
          </w:p>
        </w:tc>
        <w:tc>
          <w:tcPr>
            <w:tcW w:w="2546" w:type="dxa"/>
            <w:tcBorders>
              <w:top w:val="nil"/>
              <w:bottom w:val="single" w:sz="2" w:space="0" w:color="auto"/>
            </w:tcBorders>
            <w:shd w:val="clear" w:color="auto" w:fill="FFFFFF"/>
          </w:tcPr>
          <w:p w14:paraId="35AAC85D" w14:textId="77777777" w:rsidR="00E713B0" w:rsidRPr="0009445C" w:rsidRDefault="00E713B0" w:rsidP="00E713B0">
            <w:pPr>
              <w:pStyle w:val="BRL-Tabelle"/>
              <w:widowControl w:val="0"/>
              <w:spacing w:before="60" w:after="40"/>
              <w:ind w:left="113" w:right="113"/>
              <w:rPr>
                <w:rFonts w:eastAsia="Calibri"/>
              </w:rPr>
            </w:pPr>
            <w:r w:rsidRPr="0009445C">
              <w:t>--</w:t>
            </w:r>
          </w:p>
        </w:tc>
        <w:tc>
          <w:tcPr>
            <w:tcW w:w="3266" w:type="dxa"/>
            <w:tcBorders>
              <w:top w:val="nil"/>
              <w:bottom w:val="single" w:sz="2" w:space="0" w:color="auto"/>
            </w:tcBorders>
            <w:shd w:val="clear" w:color="auto" w:fill="FFFFFF"/>
          </w:tcPr>
          <w:p w14:paraId="73D565B5" w14:textId="77777777" w:rsidR="00E713B0" w:rsidRPr="0009445C" w:rsidRDefault="00E713B0" w:rsidP="00E713B0">
            <w:pPr>
              <w:pStyle w:val="BRL-Tabelle"/>
              <w:widowControl w:val="0"/>
              <w:spacing w:before="60" w:after="40"/>
              <w:ind w:left="113" w:right="113"/>
              <w:rPr>
                <w:rFonts w:eastAsia="Calibri"/>
              </w:rPr>
            </w:pPr>
            <w:r w:rsidRPr="0009445C">
              <w:t>Specification: Bulk density</w:t>
            </w:r>
          </w:p>
        </w:tc>
      </w:tr>
      <w:tr w:rsidR="00E713B0" w:rsidRPr="0009445C" w14:paraId="66AE188B" w14:textId="77777777" w:rsidTr="00563079">
        <w:tblPrEx>
          <w:tblLook w:val="04A0" w:firstRow="1" w:lastRow="0" w:firstColumn="1" w:lastColumn="0" w:noHBand="0" w:noVBand="1"/>
        </w:tblPrEx>
        <w:tc>
          <w:tcPr>
            <w:tcW w:w="454" w:type="dxa"/>
            <w:tcBorders>
              <w:top w:val="nil"/>
            </w:tcBorders>
            <w:shd w:val="clear" w:color="auto" w:fill="FFFFFF"/>
          </w:tcPr>
          <w:p w14:paraId="45F21EF5" w14:textId="77777777" w:rsidR="00E713B0" w:rsidRPr="0009445C" w:rsidRDefault="00E713B0" w:rsidP="00E713B0">
            <w:pPr>
              <w:pStyle w:val="BRL-Tabelle"/>
              <w:widowControl w:val="0"/>
              <w:spacing w:before="60" w:after="40"/>
              <w:ind w:left="113" w:right="113"/>
              <w:jc w:val="center"/>
              <w:rPr>
                <w:rFonts w:eastAsia="Calibri"/>
                <w:b/>
                <w:vertAlign w:val="superscript"/>
              </w:rPr>
            </w:pPr>
          </w:p>
        </w:tc>
        <w:tc>
          <w:tcPr>
            <w:tcW w:w="8902" w:type="dxa"/>
            <w:gridSpan w:val="3"/>
            <w:tcBorders>
              <w:top w:val="single" w:sz="2" w:space="0" w:color="auto"/>
            </w:tcBorders>
            <w:shd w:val="clear" w:color="auto" w:fill="FFFFFF"/>
          </w:tcPr>
          <w:p w14:paraId="76284081" w14:textId="6F0105DC" w:rsidR="00E713B0" w:rsidRPr="0009445C" w:rsidRDefault="00E713B0" w:rsidP="00E713B0">
            <w:pPr>
              <w:pStyle w:val="BRL-Tabelle"/>
              <w:widowControl w:val="0"/>
              <w:spacing w:before="60" w:after="40"/>
              <w:ind w:left="113" w:right="113"/>
            </w:pPr>
            <w:proofErr w:type="spellStart"/>
            <w:r w:rsidRPr="0009445C">
              <w:rPr>
                <w:vertAlign w:val="superscript"/>
              </w:rPr>
              <w:t>a</w:t>
            </w:r>
            <w:proofErr w:type="spellEnd"/>
            <w:r w:rsidRPr="0009445C">
              <w:rPr>
                <w:vertAlign w:val="superscript"/>
              </w:rPr>
              <w:t xml:space="preserve"> </w:t>
            </w:r>
            <w:r w:rsidRPr="0009445C">
              <w:t>The integral value I of smoke development shall be determined over time by determining the surface content by means of rectangular method under the light attenuation curve during the test according to DIN 4102-15: 1990-05 during the flame exposure period by means of the light measuring distance according to DIN 50055:1989-03 with a sampling rate of at least one measured value per 3 seconds.</w:t>
            </w:r>
          </w:p>
          <w:p w14:paraId="749A835A" w14:textId="5B11FC5B" w:rsidR="00463D3D" w:rsidRPr="0009445C" w:rsidRDefault="00463D3D" w:rsidP="00E713B0">
            <w:pPr>
              <w:pStyle w:val="BRL-Tabelle"/>
              <w:widowControl w:val="0"/>
              <w:spacing w:before="60" w:after="40"/>
              <w:ind w:left="113" w:right="113"/>
              <w:rPr>
                <w:rFonts w:eastAsia="Calibri"/>
              </w:rPr>
            </w:pPr>
            <w:r w:rsidRPr="0009445C">
              <w:rPr>
                <w:vertAlign w:val="superscript"/>
              </w:rPr>
              <w:t xml:space="preserve">b </w:t>
            </w:r>
            <w:r w:rsidRPr="0009445C">
              <w:t>If a component is to be used for the construction installation that does not meet at least the requirement “normal flammability” (lightly flammable), § 26(1) sentence 2 MBO</w:t>
            </w:r>
            <w:r w:rsidR="00D978D8" w:rsidRPr="0009445C">
              <w:rPr>
                <w:rFonts w:eastAsia="Calibri"/>
              </w:rPr>
              <w:fldChar w:fldCharType="begin"/>
            </w:r>
            <w:r w:rsidR="00D978D8" w:rsidRPr="0009445C">
              <w:rPr>
                <w:rFonts w:eastAsia="Calibri"/>
              </w:rPr>
              <w:instrText xml:space="preserve"> NOTEREF _Ref120180547 \f \h </w:instrText>
            </w:r>
            <w:r w:rsidR="00D978D8" w:rsidRPr="0009445C">
              <w:rPr>
                <w:rFonts w:eastAsia="Calibri"/>
              </w:rPr>
            </w:r>
            <w:r w:rsidR="0009445C" w:rsidRPr="0009445C">
              <w:rPr>
                <w:rFonts w:eastAsia="Calibri"/>
              </w:rPr>
              <w:instrText xml:space="preserve"> \* MERGEFORMAT </w:instrText>
            </w:r>
            <w:r w:rsidR="00D978D8" w:rsidRPr="0009445C">
              <w:rPr>
                <w:rFonts w:eastAsia="Calibri"/>
              </w:rPr>
              <w:fldChar w:fldCharType="separate"/>
            </w:r>
            <w:r w:rsidR="0009445C" w:rsidRPr="0009445C">
              <w:rPr>
                <w:rStyle w:val="FootnoteReference"/>
                <w:rFonts w:eastAsia="Calibri"/>
              </w:rPr>
              <w:t>2</w:t>
            </w:r>
            <w:r w:rsidR="00D978D8" w:rsidRPr="0009445C">
              <w:rPr>
                <w:rFonts w:eastAsia="Calibri"/>
              </w:rPr>
              <w:fldChar w:fldCharType="end"/>
            </w:r>
            <w:r w:rsidRPr="0009445C">
              <w:t xml:space="preserve"> shall be complied with.</w:t>
            </w:r>
          </w:p>
        </w:tc>
      </w:tr>
    </w:tbl>
    <w:p w14:paraId="3FF06849" w14:textId="77777777" w:rsidR="00E713B0" w:rsidRPr="0009445C" w:rsidRDefault="00E713B0" w:rsidP="00E713B0">
      <w:pPr>
        <w:pStyle w:val="BRL-Standard"/>
      </w:pPr>
    </w:p>
    <w:p w14:paraId="04DD7F8E" w14:textId="77777777" w:rsidR="00E713B0" w:rsidRPr="0009445C" w:rsidRDefault="00E713B0" w:rsidP="00E713B0">
      <w:pPr>
        <w:pStyle w:val="BRL-Standard"/>
      </w:pPr>
      <w:r w:rsidRPr="0009445C">
        <w:t xml:space="preserve">For construction products – except flooring – the tests shall include results on burning droplets or falling burning particles of the sample pursuant to DIN 4102-1:1998-05, Sections 6.1 and 6.2, and/or values for smoke development pursuant to DIN 4102-1:1998-05, Sections 6.1. These results and the values must be provided by the manufacturer with the exception of floor coverings. </w:t>
      </w:r>
    </w:p>
    <w:p w14:paraId="4073258E" w14:textId="77777777" w:rsidR="00E713B0" w:rsidRPr="0009445C" w:rsidRDefault="00E713B0" w:rsidP="00E713B0">
      <w:pPr>
        <w:pStyle w:val="BRL-Standard"/>
      </w:pPr>
    </w:p>
    <w:p w14:paraId="1C74908E" w14:textId="77777777" w:rsidR="00E713B0" w:rsidRPr="0009445C" w:rsidRDefault="00E713B0" w:rsidP="00600F53">
      <w:pPr>
        <w:pStyle w:val="BRL-berschrift"/>
      </w:pPr>
      <w:r w:rsidRPr="0009445C">
        <w:t>1.2</w:t>
      </w:r>
      <w:r w:rsidRPr="0009445C">
        <w:tab/>
        <w:t>Minimum required fire performance according to harmonised technical specifications</w:t>
      </w:r>
    </w:p>
    <w:p w14:paraId="3EDA5481" w14:textId="5FB617CB" w:rsidR="00E713B0" w:rsidRPr="0009445C" w:rsidRDefault="00E713B0" w:rsidP="00E713B0">
      <w:pPr>
        <w:pStyle w:val="BRL-Standard"/>
      </w:pPr>
      <w:r w:rsidRPr="0009445C">
        <w:t>Construction products for use in buildings, including their structural elements, may be used in accordance with the harmonised technical specifications. The minimum required performance shall be taken from Table 1.2. For the use of these construction products for horizontal installation, additional 1.4 must be considered.</w:t>
      </w:r>
    </w:p>
    <w:p w14:paraId="58E8A630" w14:textId="77777777" w:rsidR="00E713B0" w:rsidRPr="0009445C" w:rsidRDefault="00E713B0" w:rsidP="00E713B0">
      <w:pPr>
        <w:pStyle w:val="BRL-Standard"/>
      </w:pPr>
    </w:p>
    <w:p w14:paraId="703C6AA8" w14:textId="40D9B6F1" w:rsidR="00E713B0" w:rsidRPr="0009445C" w:rsidRDefault="00E713B0" w:rsidP="00414B95">
      <w:pPr>
        <w:pStyle w:val="BRLTabelleberschrift"/>
        <w:tabs>
          <w:tab w:val="clear" w:pos="851"/>
        </w:tabs>
        <w:spacing w:after="120"/>
        <w:ind w:left="1560" w:hanging="1560"/>
      </w:pPr>
      <w:r w:rsidRPr="0009445C">
        <w:t xml:space="preserve">Table 1.2: </w:t>
      </w:r>
      <w:r w:rsidRPr="0009445C">
        <w:tab/>
        <w:t>Building approval requirements and at least required fire behaviour and other features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449"/>
        <w:gridCol w:w="2874"/>
        <w:gridCol w:w="1783"/>
        <w:gridCol w:w="1696"/>
        <w:gridCol w:w="1407"/>
        <w:gridCol w:w="1567"/>
      </w:tblGrid>
      <w:tr w:rsidR="00EF500C" w:rsidRPr="0009445C" w14:paraId="5C34C433" w14:textId="07793538" w:rsidTr="004B20AF">
        <w:trPr>
          <w:cantSplit/>
          <w:trHeight w:val="265"/>
          <w:tblHeader/>
        </w:trPr>
        <w:tc>
          <w:tcPr>
            <w:tcW w:w="449" w:type="dxa"/>
            <w:vMerge w:val="restart"/>
            <w:shd w:val="clear" w:color="auto" w:fill="FFFFFF"/>
          </w:tcPr>
          <w:p w14:paraId="58D4AC76" w14:textId="77777777" w:rsidR="00EF500C" w:rsidRPr="0009445C" w:rsidRDefault="00EF500C" w:rsidP="00E713B0">
            <w:pPr>
              <w:pStyle w:val="BRL-TabelleberschriftAnhang"/>
            </w:pPr>
          </w:p>
        </w:tc>
        <w:tc>
          <w:tcPr>
            <w:tcW w:w="2874" w:type="dxa"/>
            <w:vMerge w:val="restart"/>
            <w:shd w:val="clear" w:color="auto" w:fill="FFFFFF"/>
            <w:vAlign w:val="bottom"/>
          </w:tcPr>
          <w:p w14:paraId="71E90767" w14:textId="154AC322" w:rsidR="00EF500C" w:rsidRPr="0009445C" w:rsidRDefault="00EF500C" w:rsidP="00E713B0">
            <w:pPr>
              <w:pStyle w:val="BRL-TabelleberschriftAnhang"/>
            </w:pPr>
            <w:r w:rsidRPr="0009445C">
              <w:t>Building approval requirement</w:t>
            </w:r>
          </w:p>
        </w:tc>
        <w:tc>
          <w:tcPr>
            <w:tcW w:w="4886" w:type="dxa"/>
            <w:gridSpan w:val="3"/>
            <w:shd w:val="clear" w:color="auto" w:fill="FFFFFF"/>
          </w:tcPr>
          <w:p w14:paraId="13CDE0C6" w14:textId="77777777" w:rsidR="00EF500C" w:rsidRPr="0009445C" w:rsidRDefault="00EF500C" w:rsidP="00E713B0">
            <w:pPr>
              <w:pStyle w:val="BRL-TabelleberschriftAnhang"/>
            </w:pPr>
            <w:r w:rsidRPr="0009445C">
              <w:t>Minimum required performances</w:t>
            </w:r>
          </w:p>
        </w:tc>
        <w:tc>
          <w:tcPr>
            <w:tcW w:w="1567" w:type="dxa"/>
            <w:vMerge w:val="restart"/>
            <w:shd w:val="clear" w:color="auto" w:fill="FFFFFF"/>
          </w:tcPr>
          <w:p w14:paraId="4FFB5718" w14:textId="36C5AA4B" w:rsidR="00EF500C" w:rsidRPr="0009445C" w:rsidRDefault="00EF500C" w:rsidP="00E713B0">
            <w:pPr>
              <w:pStyle w:val="BRL-TabelleberschriftAnhang"/>
            </w:pPr>
            <w:r w:rsidRPr="0009445C">
              <w:t>other features (excluding floor coverings)</w:t>
            </w:r>
          </w:p>
        </w:tc>
      </w:tr>
      <w:tr w:rsidR="00EF500C" w:rsidRPr="0009445C" w14:paraId="2202937E" w14:textId="784924EF" w:rsidTr="004B20AF">
        <w:trPr>
          <w:cantSplit/>
          <w:trHeight w:val="960"/>
          <w:tblHeader/>
        </w:trPr>
        <w:tc>
          <w:tcPr>
            <w:tcW w:w="449" w:type="dxa"/>
            <w:vMerge/>
            <w:shd w:val="clear" w:color="auto" w:fill="FFFFFF"/>
          </w:tcPr>
          <w:p w14:paraId="6F57C22C" w14:textId="77777777" w:rsidR="00EF500C" w:rsidRPr="0009445C" w:rsidRDefault="00EF500C" w:rsidP="00E713B0">
            <w:pPr>
              <w:pStyle w:val="BRL-TabelleberschriftAnhang"/>
            </w:pPr>
          </w:p>
        </w:tc>
        <w:tc>
          <w:tcPr>
            <w:tcW w:w="2874" w:type="dxa"/>
            <w:vMerge/>
            <w:shd w:val="clear" w:color="auto" w:fill="FFFFFF"/>
          </w:tcPr>
          <w:p w14:paraId="14C11689" w14:textId="77777777" w:rsidR="00EF500C" w:rsidRPr="0009445C" w:rsidRDefault="00EF500C" w:rsidP="00E713B0">
            <w:pPr>
              <w:pStyle w:val="BRL-TabelleberschriftAnhang"/>
            </w:pPr>
          </w:p>
        </w:tc>
        <w:tc>
          <w:tcPr>
            <w:tcW w:w="1783" w:type="dxa"/>
            <w:shd w:val="clear" w:color="auto" w:fill="FFFFFF"/>
            <w:vAlign w:val="bottom"/>
          </w:tcPr>
          <w:p w14:paraId="4E8A45AF" w14:textId="77777777" w:rsidR="00EF500C" w:rsidRPr="0009445C" w:rsidRDefault="00EF500C" w:rsidP="00E713B0">
            <w:pPr>
              <w:pStyle w:val="BRL-TabelleberschriftAnhang"/>
            </w:pPr>
            <w:r w:rsidRPr="0009445C">
              <w:t>Construction products excluding linear pipe insulation materials and floor coverings</w:t>
            </w:r>
          </w:p>
        </w:tc>
        <w:tc>
          <w:tcPr>
            <w:tcW w:w="1696" w:type="dxa"/>
            <w:shd w:val="clear" w:color="auto" w:fill="FFFFFF"/>
            <w:vAlign w:val="bottom"/>
          </w:tcPr>
          <w:p w14:paraId="29A02218" w14:textId="77777777" w:rsidR="00EF500C" w:rsidRPr="0009445C" w:rsidRDefault="00EF500C" w:rsidP="00E713B0">
            <w:pPr>
              <w:pStyle w:val="BRL-TabelleberschriftAnhang"/>
            </w:pPr>
            <w:r w:rsidRPr="0009445C">
              <w:t>Linear pipe insulation materials</w:t>
            </w:r>
          </w:p>
        </w:tc>
        <w:tc>
          <w:tcPr>
            <w:tcW w:w="1407" w:type="dxa"/>
            <w:shd w:val="clear" w:color="auto" w:fill="FFFFFF"/>
            <w:vAlign w:val="bottom"/>
          </w:tcPr>
          <w:p w14:paraId="7F48AC2F" w14:textId="77777777" w:rsidR="00EF500C" w:rsidRPr="0009445C" w:rsidRDefault="00EF500C" w:rsidP="00E713B0">
            <w:pPr>
              <w:pStyle w:val="BRL-TabelleberschriftAnhang"/>
            </w:pPr>
            <w:r w:rsidRPr="0009445C">
              <w:t>Floor coverings</w:t>
            </w:r>
          </w:p>
        </w:tc>
        <w:tc>
          <w:tcPr>
            <w:tcW w:w="1567" w:type="dxa"/>
            <w:vMerge/>
            <w:shd w:val="clear" w:color="auto" w:fill="FFFFFF"/>
          </w:tcPr>
          <w:p w14:paraId="291AD046" w14:textId="77777777" w:rsidR="00EF500C" w:rsidRPr="0009445C" w:rsidRDefault="00EF500C" w:rsidP="00E713B0">
            <w:pPr>
              <w:pStyle w:val="BRL-TabelleberschriftAnhang"/>
            </w:pPr>
          </w:p>
        </w:tc>
      </w:tr>
      <w:tr w:rsidR="00EF500C" w:rsidRPr="0009445C" w14:paraId="4528370F" w14:textId="04B4D331" w:rsidTr="004B20AF">
        <w:trPr>
          <w:cantSplit/>
          <w:trHeight w:val="199"/>
          <w:tblHeader/>
        </w:trPr>
        <w:tc>
          <w:tcPr>
            <w:tcW w:w="449" w:type="dxa"/>
            <w:shd w:val="clear" w:color="auto" w:fill="FFFFFF"/>
          </w:tcPr>
          <w:p w14:paraId="57E10B89" w14:textId="77777777" w:rsidR="00EF500C" w:rsidRPr="0009445C" w:rsidRDefault="00EF500C" w:rsidP="00E713B0">
            <w:pPr>
              <w:pStyle w:val="BRL-TabelleberschriftAnhang"/>
              <w:jc w:val="center"/>
            </w:pPr>
          </w:p>
        </w:tc>
        <w:tc>
          <w:tcPr>
            <w:tcW w:w="2874" w:type="dxa"/>
            <w:shd w:val="clear" w:color="auto" w:fill="FFFFFF"/>
          </w:tcPr>
          <w:p w14:paraId="6F845A89" w14:textId="77777777" w:rsidR="00EF500C" w:rsidRPr="0009445C" w:rsidRDefault="00EF500C" w:rsidP="00E713B0">
            <w:pPr>
              <w:pStyle w:val="BRL-TabelleberschriftAnhang"/>
              <w:jc w:val="center"/>
            </w:pPr>
            <w:r w:rsidRPr="0009445C">
              <w:t>1</w:t>
            </w:r>
          </w:p>
        </w:tc>
        <w:tc>
          <w:tcPr>
            <w:tcW w:w="1783" w:type="dxa"/>
            <w:shd w:val="clear" w:color="auto" w:fill="FFFFFF"/>
            <w:vAlign w:val="bottom"/>
          </w:tcPr>
          <w:p w14:paraId="43923CD2" w14:textId="77777777" w:rsidR="00EF500C" w:rsidRPr="0009445C" w:rsidRDefault="00EF500C" w:rsidP="00E713B0">
            <w:pPr>
              <w:pStyle w:val="BRL-TabelleberschriftAnhang"/>
              <w:jc w:val="center"/>
            </w:pPr>
            <w:r w:rsidRPr="0009445C">
              <w:t>2</w:t>
            </w:r>
          </w:p>
        </w:tc>
        <w:tc>
          <w:tcPr>
            <w:tcW w:w="1696" w:type="dxa"/>
            <w:shd w:val="clear" w:color="auto" w:fill="FFFFFF"/>
            <w:vAlign w:val="bottom"/>
          </w:tcPr>
          <w:p w14:paraId="5C34124A" w14:textId="77777777" w:rsidR="00EF500C" w:rsidRPr="0009445C" w:rsidRDefault="00EF500C" w:rsidP="00E713B0">
            <w:pPr>
              <w:pStyle w:val="BRL-TabelleberschriftAnhang"/>
              <w:jc w:val="center"/>
            </w:pPr>
            <w:r w:rsidRPr="0009445C">
              <w:t>3</w:t>
            </w:r>
          </w:p>
        </w:tc>
        <w:tc>
          <w:tcPr>
            <w:tcW w:w="1407" w:type="dxa"/>
            <w:shd w:val="clear" w:color="auto" w:fill="FFFFFF"/>
            <w:vAlign w:val="bottom"/>
          </w:tcPr>
          <w:p w14:paraId="54AE7E18" w14:textId="77777777" w:rsidR="00EF500C" w:rsidRPr="0009445C" w:rsidRDefault="00EF500C" w:rsidP="00E713B0">
            <w:pPr>
              <w:pStyle w:val="BRL-TabelleberschriftAnhang"/>
              <w:jc w:val="center"/>
            </w:pPr>
            <w:r w:rsidRPr="0009445C">
              <w:t>4</w:t>
            </w:r>
          </w:p>
        </w:tc>
        <w:tc>
          <w:tcPr>
            <w:tcW w:w="1567" w:type="dxa"/>
            <w:shd w:val="clear" w:color="auto" w:fill="FFFFFF"/>
          </w:tcPr>
          <w:p w14:paraId="2816B666" w14:textId="5822E1C7" w:rsidR="00EF500C" w:rsidRPr="0009445C" w:rsidRDefault="00EF500C" w:rsidP="00E713B0">
            <w:pPr>
              <w:pStyle w:val="BRL-TabelleberschriftAnhang"/>
              <w:jc w:val="center"/>
            </w:pPr>
            <w:r w:rsidRPr="0009445C">
              <w:t>5</w:t>
            </w:r>
          </w:p>
        </w:tc>
      </w:tr>
      <w:tr w:rsidR="00EF500C" w:rsidRPr="0009445C" w14:paraId="5360BB1F" w14:textId="0A60385B" w:rsidTr="004B20AF">
        <w:trPr>
          <w:cantSplit/>
        </w:trPr>
        <w:tc>
          <w:tcPr>
            <w:tcW w:w="449" w:type="dxa"/>
            <w:shd w:val="clear" w:color="auto" w:fill="FFFFFF"/>
          </w:tcPr>
          <w:p w14:paraId="32D51A35" w14:textId="77777777" w:rsidR="00EF500C" w:rsidRPr="0009445C" w:rsidRDefault="00EF500C" w:rsidP="00E713B0">
            <w:pPr>
              <w:pStyle w:val="BRL-Tabelle"/>
              <w:spacing w:before="40" w:after="60"/>
              <w:ind w:left="113" w:right="113"/>
              <w:jc w:val="center"/>
              <w:rPr>
                <w:b/>
              </w:rPr>
            </w:pPr>
            <w:r w:rsidRPr="0009445C">
              <w:rPr>
                <w:b/>
              </w:rPr>
              <w:t>1</w:t>
            </w:r>
          </w:p>
        </w:tc>
        <w:tc>
          <w:tcPr>
            <w:tcW w:w="2874" w:type="dxa"/>
            <w:shd w:val="clear" w:color="auto" w:fill="FFFFFF"/>
          </w:tcPr>
          <w:p w14:paraId="345B4257" w14:textId="702CACB7" w:rsidR="00EF500C" w:rsidRPr="0009445C" w:rsidRDefault="00EF500C" w:rsidP="00E713B0">
            <w:pPr>
              <w:pStyle w:val="BRL-Tabelle"/>
              <w:spacing w:before="40" w:after="60"/>
              <w:ind w:left="113" w:right="113"/>
            </w:pPr>
            <w:r w:rsidRPr="0009445C">
              <w:t>non-combustible</w:t>
            </w:r>
          </w:p>
        </w:tc>
        <w:tc>
          <w:tcPr>
            <w:tcW w:w="1783" w:type="dxa"/>
            <w:shd w:val="clear" w:color="auto" w:fill="auto"/>
            <w:vAlign w:val="center"/>
          </w:tcPr>
          <w:p w14:paraId="2C0CCA57" w14:textId="7CEADF9D" w:rsidR="00EF500C" w:rsidRPr="0009445C" w:rsidRDefault="00EF500C" w:rsidP="00E713B0">
            <w:pPr>
              <w:pStyle w:val="BRL-Tabelle"/>
              <w:spacing w:before="40" w:after="60"/>
              <w:ind w:left="113" w:right="113"/>
            </w:pPr>
            <w:r w:rsidRPr="0009445C">
              <w:t>A2 – s1,d0</w:t>
            </w:r>
          </w:p>
        </w:tc>
        <w:tc>
          <w:tcPr>
            <w:tcW w:w="1696" w:type="dxa"/>
            <w:shd w:val="clear" w:color="auto" w:fill="auto"/>
            <w:vAlign w:val="center"/>
          </w:tcPr>
          <w:p w14:paraId="01BB3111" w14:textId="5991830B" w:rsidR="00EF500C" w:rsidRPr="0009445C" w:rsidRDefault="00EF500C" w:rsidP="00E713B0">
            <w:pPr>
              <w:pStyle w:val="BRL-Tabelle"/>
              <w:spacing w:before="40" w:after="60"/>
              <w:ind w:left="113" w:right="113"/>
            </w:pPr>
            <w:r w:rsidRPr="0009445C">
              <w:t>A2</w:t>
            </w:r>
            <w:r w:rsidRPr="0009445C">
              <w:rPr>
                <w:vertAlign w:val="subscript"/>
              </w:rPr>
              <w:t>L</w:t>
            </w:r>
            <w:r w:rsidRPr="0009445C">
              <w:t> – s1,d0*</w:t>
            </w:r>
          </w:p>
        </w:tc>
        <w:tc>
          <w:tcPr>
            <w:tcW w:w="1407" w:type="dxa"/>
            <w:shd w:val="clear" w:color="auto" w:fill="auto"/>
            <w:vAlign w:val="center"/>
          </w:tcPr>
          <w:p w14:paraId="05561B44" w14:textId="77777777" w:rsidR="00EF500C" w:rsidRPr="0009445C" w:rsidRDefault="00EF500C" w:rsidP="00E713B0">
            <w:pPr>
              <w:pStyle w:val="BRL-Tabelle"/>
              <w:spacing w:before="40" w:after="60"/>
              <w:ind w:left="113" w:right="113"/>
            </w:pPr>
            <w:r w:rsidRPr="0009445C">
              <w:t>A2</w:t>
            </w:r>
            <w:r w:rsidRPr="0009445C">
              <w:rPr>
                <w:vertAlign w:val="subscript"/>
              </w:rPr>
              <w:t>fl</w:t>
            </w:r>
            <w:r w:rsidRPr="0009445C">
              <w:t> – s1</w:t>
            </w:r>
          </w:p>
        </w:tc>
        <w:tc>
          <w:tcPr>
            <w:tcW w:w="1567" w:type="dxa"/>
          </w:tcPr>
          <w:p w14:paraId="412DDD0C" w14:textId="729F5672" w:rsidR="00EF500C" w:rsidRPr="0009445C" w:rsidRDefault="008377B5" w:rsidP="005348FE">
            <w:pPr>
              <w:pStyle w:val="BRL-Tabelle"/>
              <w:spacing w:before="40" w:after="60"/>
              <w:ind w:left="113" w:right="113"/>
            </w:pPr>
            <w:r w:rsidRPr="0009445C">
              <w:t>Specification:</w:t>
            </w:r>
            <w:r w:rsidRPr="0009445C">
              <w:br/>
              <w:t>Glowing behaviour according to 1.3 and if necessary raw density</w:t>
            </w:r>
          </w:p>
        </w:tc>
      </w:tr>
      <w:tr w:rsidR="008377B5" w:rsidRPr="0009445C" w14:paraId="4009F0CD" w14:textId="77777777" w:rsidTr="004B20AF">
        <w:trPr>
          <w:cantSplit/>
        </w:trPr>
        <w:tc>
          <w:tcPr>
            <w:tcW w:w="449" w:type="dxa"/>
            <w:shd w:val="clear" w:color="auto" w:fill="FFFFFF"/>
          </w:tcPr>
          <w:p w14:paraId="271E2F89" w14:textId="5867C65B" w:rsidR="008377B5" w:rsidRPr="0009445C" w:rsidRDefault="008377B5" w:rsidP="00E713B0">
            <w:pPr>
              <w:pStyle w:val="BRL-Tabelle"/>
              <w:spacing w:before="40" w:after="60"/>
              <w:ind w:left="113" w:right="113"/>
              <w:jc w:val="center"/>
              <w:rPr>
                <w:b/>
              </w:rPr>
            </w:pPr>
            <w:r w:rsidRPr="0009445C">
              <w:rPr>
                <w:b/>
              </w:rPr>
              <w:t>2</w:t>
            </w:r>
          </w:p>
        </w:tc>
        <w:tc>
          <w:tcPr>
            <w:tcW w:w="2874" w:type="dxa"/>
            <w:shd w:val="clear" w:color="auto" w:fill="FFFFFF"/>
          </w:tcPr>
          <w:p w14:paraId="4C125D9B" w14:textId="67722D6F" w:rsidR="008377B5" w:rsidRPr="0009445C" w:rsidRDefault="008377B5" w:rsidP="00E713B0">
            <w:pPr>
              <w:pStyle w:val="BRL-Tabelle"/>
              <w:spacing w:before="40" w:after="60"/>
              <w:ind w:left="113" w:right="113"/>
            </w:pPr>
            <w:r w:rsidRPr="0009445C">
              <w:t>non-combustible and additionally melting point &gt; 1 000 °C</w:t>
            </w:r>
          </w:p>
        </w:tc>
        <w:tc>
          <w:tcPr>
            <w:tcW w:w="1783" w:type="dxa"/>
            <w:shd w:val="clear" w:color="auto" w:fill="auto"/>
            <w:vAlign w:val="center"/>
          </w:tcPr>
          <w:p w14:paraId="779DDE0B" w14:textId="09B64743" w:rsidR="008377B5" w:rsidRPr="0009445C" w:rsidRDefault="008377B5" w:rsidP="00E713B0">
            <w:pPr>
              <w:pStyle w:val="BRL-Tabelle"/>
              <w:spacing w:before="40" w:after="60"/>
              <w:ind w:left="113" w:right="113"/>
            </w:pPr>
            <w:r w:rsidRPr="0009445C">
              <w:t>A2 – s1,d0*</w:t>
            </w:r>
          </w:p>
        </w:tc>
        <w:tc>
          <w:tcPr>
            <w:tcW w:w="1696" w:type="dxa"/>
            <w:shd w:val="clear" w:color="auto" w:fill="auto"/>
            <w:vAlign w:val="center"/>
          </w:tcPr>
          <w:p w14:paraId="7E5C4AEC" w14:textId="724F6572" w:rsidR="008377B5" w:rsidRPr="0009445C" w:rsidRDefault="008377B5" w:rsidP="00E713B0">
            <w:pPr>
              <w:pStyle w:val="BRL-Tabelle"/>
              <w:spacing w:before="40" w:after="60"/>
              <w:ind w:left="113" w:right="113"/>
            </w:pPr>
            <w:r w:rsidRPr="0009445C">
              <w:t>A2</w:t>
            </w:r>
            <w:r w:rsidRPr="0009445C">
              <w:rPr>
                <w:vertAlign w:val="subscript"/>
              </w:rPr>
              <w:t>L</w:t>
            </w:r>
            <w:r w:rsidRPr="0009445C">
              <w:t> – s1,d0*</w:t>
            </w:r>
          </w:p>
        </w:tc>
        <w:tc>
          <w:tcPr>
            <w:tcW w:w="1407" w:type="dxa"/>
            <w:shd w:val="clear" w:color="auto" w:fill="auto"/>
            <w:vAlign w:val="center"/>
          </w:tcPr>
          <w:p w14:paraId="35B3348C" w14:textId="08F95487" w:rsidR="008377B5" w:rsidRPr="0009445C" w:rsidRDefault="004B20AF" w:rsidP="00E713B0">
            <w:pPr>
              <w:pStyle w:val="BRL-Tabelle"/>
              <w:spacing w:before="40" w:after="60"/>
              <w:ind w:left="113" w:right="113"/>
            </w:pPr>
            <w:r w:rsidRPr="0009445C">
              <w:t>A2</w:t>
            </w:r>
            <w:r w:rsidRPr="0009445C">
              <w:rPr>
                <w:vertAlign w:val="subscript"/>
              </w:rPr>
              <w:t>fl</w:t>
            </w:r>
            <w:r w:rsidRPr="0009445C">
              <w:t> – s1</w:t>
            </w:r>
          </w:p>
        </w:tc>
        <w:tc>
          <w:tcPr>
            <w:tcW w:w="1567" w:type="dxa"/>
          </w:tcPr>
          <w:p w14:paraId="6188912A" w14:textId="65C43B0A" w:rsidR="008377B5" w:rsidRPr="0009445C" w:rsidRDefault="004B20AF" w:rsidP="005348FE">
            <w:pPr>
              <w:pStyle w:val="BRL-Tabelle"/>
              <w:widowControl w:val="0"/>
              <w:spacing w:before="40" w:after="60"/>
              <w:ind w:left="113" w:right="113"/>
            </w:pPr>
            <w:r w:rsidRPr="0009445C">
              <w:t>Specification: Melting point of at least 1 000 °C and glow behaviour according to 1.3 and if necessary raw density</w:t>
            </w:r>
          </w:p>
        </w:tc>
      </w:tr>
      <w:tr w:rsidR="004B20AF" w:rsidRPr="0009445C" w14:paraId="0CB70528" w14:textId="53D06A23" w:rsidTr="007D6BBF">
        <w:trPr>
          <w:cantSplit/>
        </w:trPr>
        <w:tc>
          <w:tcPr>
            <w:tcW w:w="449" w:type="dxa"/>
            <w:shd w:val="clear" w:color="auto" w:fill="FFFFFF"/>
          </w:tcPr>
          <w:p w14:paraId="40F786AB" w14:textId="3E5D2453" w:rsidR="004B20AF" w:rsidRPr="0009445C" w:rsidRDefault="004B20AF" w:rsidP="004B20AF">
            <w:pPr>
              <w:pStyle w:val="BRL-Tabelle"/>
              <w:pageBreakBefore/>
              <w:spacing w:before="40" w:after="60"/>
              <w:ind w:left="113" w:right="113"/>
              <w:jc w:val="center"/>
              <w:rPr>
                <w:b/>
              </w:rPr>
            </w:pPr>
            <w:r w:rsidRPr="0009445C">
              <w:rPr>
                <w:b/>
              </w:rPr>
              <w:lastRenderedPageBreak/>
              <w:t>3</w:t>
            </w:r>
          </w:p>
        </w:tc>
        <w:tc>
          <w:tcPr>
            <w:tcW w:w="2874" w:type="dxa"/>
            <w:shd w:val="clear" w:color="auto" w:fill="FFFFFF"/>
          </w:tcPr>
          <w:p w14:paraId="72F626AF" w14:textId="0DCE7A1E" w:rsidR="004B20AF" w:rsidRPr="0009445C" w:rsidRDefault="004B20AF" w:rsidP="00E713B0">
            <w:pPr>
              <w:pStyle w:val="BRL-Tabelle"/>
              <w:spacing w:before="40" w:after="60"/>
              <w:ind w:left="113" w:right="113"/>
            </w:pPr>
            <w:r w:rsidRPr="0009445C">
              <w:t>flame-resistant and no burning droplets or particles and low smoke development</w:t>
            </w:r>
          </w:p>
        </w:tc>
        <w:tc>
          <w:tcPr>
            <w:tcW w:w="1783" w:type="dxa"/>
            <w:shd w:val="clear" w:color="auto" w:fill="auto"/>
            <w:vAlign w:val="center"/>
          </w:tcPr>
          <w:p w14:paraId="6836FC3C" w14:textId="47F3ED37" w:rsidR="004B20AF" w:rsidRPr="0009445C" w:rsidRDefault="004B20AF" w:rsidP="00E713B0">
            <w:pPr>
              <w:pStyle w:val="BRL-Tabelle"/>
              <w:spacing w:before="40" w:after="60"/>
              <w:ind w:left="113" w:right="113"/>
            </w:pPr>
            <w:r w:rsidRPr="0009445C">
              <w:t>C – s1,d0*</w:t>
            </w:r>
          </w:p>
        </w:tc>
        <w:tc>
          <w:tcPr>
            <w:tcW w:w="1696" w:type="dxa"/>
            <w:shd w:val="clear" w:color="auto" w:fill="auto"/>
            <w:vAlign w:val="center"/>
          </w:tcPr>
          <w:p w14:paraId="207782F5" w14:textId="73E04246" w:rsidR="004B20AF" w:rsidRPr="0009445C" w:rsidRDefault="004B20AF" w:rsidP="00E713B0">
            <w:pPr>
              <w:pStyle w:val="BRL-Tabelle"/>
              <w:spacing w:before="40" w:after="60"/>
              <w:ind w:left="113" w:right="113"/>
            </w:pPr>
            <w:r w:rsidRPr="0009445C">
              <w:t>C</w:t>
            </w:r>
            <w:r w:rsidRPr="0009445C">
              <w:rPr>
                <w:vertAlign w:val="subscript"/>
              </w:rPr>
              <w:t>L</w:t>
            </w:r>
            <w:r w:rsidRPr="0009445C">
              <w:t xml:space="preserve"> – s1,d0</w:t>
            </w:r>
          </w:p>
        </w:tc>
        <w:tc>
          <w:tcPr>
            <w:tcW w:w="1407" w:type="dxa"/>
            <w:shd w:val="clear" w:color="auto" w:fill="auto"/>
            <w:vAlign w:val="center"/>
          </w:tcPr>
          <w:p w14:paraId="23E7BFD5" w14:textId="77777777" w:rsidR="004B20AF" w:rsidRPr="0009445C" w:rsidRDefault="004B20AF" w:rsidP="00E713B0">
            <w:pPr>
              <w:pStyle w:val="BRL-Tabelle"/>
              <w:spacing w:before="40" w:after="60"/>
              <w:ind w:left="113" w:right="113"/>
            </w:pPr>
            <w:r w:rsidRPr="0009445C">
              <w:t>-</w:t>
            </w:r>
          </w:p>
        </w:tc>
        <w:tc>
          <w:tcPr>
            <w:tcW w:w="1567" w:type="dxa"/>
            <w:vMerge w:val="restart"/>
            <w:vAlign w:val="center"/>
          </w:tcPr>
          <w:p w14:paraId="7D84B0F4" w14:textId="586950B6" w:rsidR="004B20AF" w:rsidRPr="0009445C" w:rsidRDefault="004B20AF" w:rsidP="007D6BBF">
            <w:pPr>
              <w:pStyle w:val="BRL-Tabelle"/>
              <w:spacing w:before="40" w:after="60"/>
              <w:ind w:left="113" w:right="113"/>
            </w:pPr>
            <w:r w:rsidRPr="0009445C">
              <w:t>Specification:</w:t>
            </w:r>
            <w:r w:rsidRPr="0009445C">
              <w:br/>
              <w:t>Glowing behaviour according to 1.3 and if necessary raw density</w:t>
            </w:r>
          </w:p>
        </w:tc>
      </w:tr>
      <w:tr w:rsidR="004B20AF" w:rsidRPr="0009445C" w14:paraId="3D8F0D60" w14:textId="66858496" w:rsidTr="004B20AF">
        <w:trPr>
          <w:cantSplit/>
        </w:trPr>
        <w:tc>
          <w:tcPr>
            <w:tcW w:w="449" w:type="dxa"/>
            <w:shd w:val="clear" w:color="auto" w:fill="FFFFFF"/>
          </w:tcPr>
          <w:p w14:paraId="644D7A8A" w14:textId="7D5B7BD3" w:rsidR="004B20AF" w:rsidRPr="0009445C" w:rsidRDefault="004B20AF" w:rsidP="00E713B0">
            <w:pPr>
              <w:pStyle w:val="BRL-Tabelle"/>
              <w:spacing w:before="40" w:after="60"/>
              <w:ind w:left="113" w:right="113"/>
              <w:jc w:val="center"/>
              <w:rPr>
                <w:b/>
              </w:rPr>
            </w:pPr>
            <w:r w:rsidRPr="0009445C">
              <w:rPr>
                <w:b/>
              </w:rPr>
              <w:t>4</w:t>
            </w:r>
          </w:p>
        </w:tc>
        <w:tc>
          <w:tcPr>
            <w:tcW w:w="2874" w:type="dxa"/>
            <w:shd w:val="clear" w:color="auto" w:fill="FFFFFF"/>
          </w:tcPr>
          <w:p w14:paraId="0B62E404" w14:textId="39AA4C5B" w:rsidR="004B20AF" w:rsidRPr="0009445C" w:rsidRDefault="004B20AF" w:rsidP="00E713B0">
            <w:pPr>
              <w:pStyle w:val="BRL-Tabelle"/>
              <w:spacing w:before="40" w:after="60"/>
              <w:ind w:left="113" w:right="113"/>
            </w:pPr>
            <w:r w:rsidRPr="0009445C">
              <w:t>flame-resistant and no burning droplets or particles</w:t>
            </w:r>
          </w:p>
        </w:tc>
        <w:tc>
          <w:tcPr>
            <w:tcW w:w="1783" w:type="dxa"/>
            <w:shd w:val="clear" w:color="auto" w:fill="auto"/>
            <w:vAlign w:val="center"/>
          </w:tcPr>
          <w:p w14:paraId="6BD225CC" w14:textId="55401EE4" w:rsidR="004B20AF" w:rsidRPr="0009445C" w:rsidRDefault="004B20AF" w:rsidP="00E713B0">
            <w:pPr>
              <w:pStyle w:val="BRL-Tabelle"/>
              <w:spacing w:before="40" w:after="60"/>
              <w:ind w:left="113" w:right="113"/>
            </w:pPr>
            <w:r w:rsidRPr="0009445C">
              <w:t>C – s2,d0*</w:t>
            </w:r>
          </w:p>
        </w:tc>
        <w:tc>
          <w:tcPr>
            <w:tcW w:w="1696" w:type="dxa"/>
            <w:shd w:val="clear" w:color="auto" w:fill="auto"/>
            <w:vAlign w:val="center"/>
          </w:tcPr>
          <w:p w14:paraId="7800F3B9" w14:textId="17EDF6E2" w:rsidR="004B20AF" w:rsidRPr="0009445C" w:rsidRDefault="004B20AF" w:rsidP="00E713B0">
            <w:pPr>
              <w:pStyle w:val="BRL-Tabelle"/>
              <w:spacing w:before="40" w:after="60"/>
              <w:ind w:left="113" w:right="113"/>
            </w:pPr>
            <w:r w:rsidRPr="0009445C">
              <w:t>C</w:t>
            </w:r>
            <w:r w:rsidRPr="0009445C">
              <w:rPr>
                <w:vertAlign w:val="subscript"/>
              </w:rPr>
              <w:t>L</w:t>
            </w:r>
            <w:r w:rsidRPr="0009445C">
              <w:t xml:space="preserve"> – s2,d0</w:t>
            </w:r>
          </w:p>
        </w:tc>
        <w:tc>
          <w:tcPr>
            <w:tcW w:w="1407" w:type="dxa"/>
            <w:shd w:val="clear" w:color="auto" w:fill="auto"/>
            <w:vAlign w:val="center"/>
          </w:tcPr>
          <w:p w14:paraId="579300B5" w14:textId="77777777" w:rsidR="004B20AF" w:rsidRPr="0009445C" w:rsidRDefault="004B20AF" w:rsidP="00E713B0">
            <w:pPr>
              <w:pStyle w:val="BRL-Tabelle"/>
              <w:spacing w:before="40" w:after="60"/>
              <w:ind w:left="113" w:right="113"/>
            </w:pPr>
            <w:r w:rsidRPr="0009445C">
              <w:t>-</w:t>
            </w:r>
          </w:p>
        </w:tc>
        <w:tc>
          <w:tcPr>
            <w:tcW w:w="1567" w:type="dxa"/>
            <w:vMerge/>
          </w:tcPr>
          <w:p w14:paraId="2B3C69C0" w14:textId="77777777" w:rsidR="004B20AF" w:rsidRPr="0009445C" w:rsidRDefault="004B20AF" w:rsidP="00E713B0">
            <w:pPr>
              <w:pStyle w:val="BRL-Tabelle"/>
              <w:spacing w:before="40" w:after="60"/>
              <w:ind w:left="113" w:right="113"/>
            </w:pPr>
          </w:p>
        </w:tc>
      </w:tr>
      <w:tr w:rsidR="004B20AF" w:rsidRPr="0009445C" w14:paraId="12F5F0D1" w14:textId="47B1BCDF" w:rsidTr="004B20AF">
        <w:trPr>
          <w:cantSplit/>
        </w:trPr>
        <w:tc>
          <w:tcPr>
            <w:tcW w:w="449" w:type="dxa"/>
            <w:shd w:val="clear" w:color="auto" w:fill="FFFFFF"/>
          </w:tcPr>
          <w:p w14:paraId="3400EBC0" w14:textId="1F24FEB7" w:rsidR="004B20AF" w:rsidRPr="0009445C" w:rsidRDefault="004B20AF" w:rsidP="00E713B0">
            <w:pPr>
              <w:pStyle w:val="BRL-Tabelle"/>
              <w:spacing w:before="40" w:after="60"/>
              <w:ind w:left="113" w:right="113"/>
              <w:jc w:val="center"/>
              <w:rPr>
                <w:b/>
              </w:rPr>
            </w:pPr>
            <w:r w:rsidRPr="0009445C">
              <w:rPr>
                <w:b/>
              </w:rPr>
              <w:t>5</w:t>
            </w:r>
          </w:p>
        </w:tc>
        <w:tc>
          <w:tcPr>
            <w:tcW w:w="2874" w:type="dxa"/>
            <w:shd w:val="clear" w:color="auto" w:fill="FFFFFF"/>
          </w:tcPr>
          <w:p w14:paraId="2260F05B" w14:textId="694C7850" w:rsidR="004B20AF" w:rsidRPr="0009445C" w:rsidRDefault="004B20AF" w:rsidP="00E713B0">
            <w:pPr>
              <w:pStyle w:val="BRL-Tabelle"/>
              <w:spacing w:before="40" w:after="60"/>
              <w:ind w:left="113" w:right="113"/>
            </w:pPr>
            <w:r w:rsidRPr="0009445C">
              <w:t>flame-resistant and low smoke development</w:t>
            </w:r>
          </w:p>
        </w:tc>
        <w:tc>
          <w:tcPr>
            <w:tcW w:w="1783" w:type="dxa"/>
            <w:shd w:val="clear" w:color="auto" w:fill="auto"/>
            <w:vAlign w:val="center"/>
          </w:tcPr>
          <w:p w14:paraId="7BF19119" w14:textId="35B079FE" w:rsidR="004B20AF" w:rsidRPr="0009445C" w:rsidRDefault="004B20AF" w:rsidP="00E713B0">
            <w:pPr>
              <w:pStyle w:val="BRL-Tabelle"/>
              <w:spacing w:before="40" w:after="60"/>
              <w:ind w:left="113" w:right="113"/>
            </w:pPr>
            <w:r w:rsidRPr="0009445C">
              <w:t>C – s1,d2</w:t>
            </w:r>
            <w:r w:rsidRPr="0009445C">
              <w:rPr>
                <w:color w:val="7F7F7F" w:themeColor="text1" w:themeTint="80"/>
                <w:vertAlign w:val="superscript"/>
              </w:rPr>
              <w:t>**</w:t>
            </w:r>
          </w:p>
        </w:tc>
        <w:tc>
          <w:tcPr>
            <w:tcW w:w="1696" w:type="dxa"/>
            <w:shd w:val="clear" w:color="auto" w:fill="auto"/>
            <w:vAlign w:val="center"/>
          </w:tcPr>
          <w:p w14:paraId="7D585534" w14:textId="4E44D273" w:rsidR="004B20AF" w:rsidRPr="0009445C" w:rsidRDefault="004B20AF" w:rsidP="00E713B0">
            <w:pPr>
              <w:pStyle w:val="BRL-Tabelle"/>
              <w:spacing w:before="40" w:after="60"/>
              <w:ind w:left="113" w:right="113"/>
            </w:pPr>
            <w:r w:rsidRPr="0009445C">
              <w:t>C</w:t>
            </w:r>
            <w:r w:rsidRPr="0009445C">
              <w:rPr>
                <w:vertAlign w:val="subscript"/>
              </w:rPr>
              <w:t>L</w:t>
            </w:r>
            <w:r w:rsidRPr="0009445C">
              <w:t xml:space="preserve"> – s1,d2</w:t>
            </w:r>
          </w:p>
        </w:tc>
        <w:tc>
          <w:tcPr>
            <w:tcW w:w="1407" w:type="dxa"/>
            <w:shd w:val="clear" w:color="auto" w:fill="auto"/>
            <w:vAlign w:val="center"/>
          </w:tcPr>
          <w:p w14:paraId="40C9A619" w14:textId="77777777" w:rsidR="004B20AF" w:rsidRPr="0009445C" w:rsidRDefault="004B20AF" w:rsidP="00E713B0">
            <w:pPr>
              <w:pStyle w:val="BRL-Tabelle"/>
              <w:spacing w:before="40" w:after="60"/>
              <w:ind w:left="113" w:right="113"/>
            </w:pPr>
            <w:proofErr w:type="spellStart"/>
            <w:r w:rsidRPr="0009445C">
              <w:t>C</w:t>
            </w:r>
            <w:r w:rsidRPr="0009445C">
              <w:rPr>
                <w:vertAlign w:val="subscript"/>
              </w:rPr>
              <w:t>fl</w:t>
            </w:r>
            <w:proofErr w:type="spellEnd"/>
            <w:r w:rsidRPr="0009445C">
              <w:t> – s1</w:t>
            </w:r>
          </w:p>
        </w:tc>
        <w:tc>
          <w:tcPr>
            <w:tcW w:w="1567" w:type="dxa"/>
            <w:vMerge/>
          </w:tcPr>
          <w:p w14:paraId="08A793DA" w14:textId="77777777" w:rsidR="004B20AF" w:rsidRPr="0009445C" w:rsidRDefault="004B20AF" w:rsidP="00E713B0">
            <w:pPr>
              <w:pStyle w:val="BRL-Tabelle"/>
              <w:spacing w:before="40" w:after="60"/>
              <w:ind w:left="113" w:right="113"/>
            </w:pPr>
          </w:p>
        </w:tc>
      </w:tr>
      <w:tr w:rsidR="004B20AF" w:rsidRPr="0009445C" w14:paraId="77CAF37F" w14:textId="1FDFC7B2" w:rsidTr="004B20AF">
        <w:trPr>
          <w:cantSplit/>
        </w:trPr>
        <w:tc>
          <w:tcPr>
            <w:tcW w:w="449" w:type="dxa"/>
            <w:shd w:val="clear" w:color="auto" w:fill="FFFFFF"/>
          </w:tcPr>
          <w:p w14:paraId="00242C57" w14:textId="414A6310" w:rsidR="004B20AF" w:rsidRPr="0009445C" w:rsidRDefault="004B20AF" w:rsidP="00E713B0">
            <w:pPr>
              <w:pStyle w:val="BRL-Tabelle"/>
              <w:spacing w:before="40" w:after="60"/>
              <w:ind w:left="113" w:right="113"/>
              <w:jc w:val="center"/>
              <w:rPr>
                <w:b/>
              </w:rPr>
            </w:pPr>
            <w:r w:rsidRPr="0009445C">
              <w:rPr>
                <w:b/>
              </w:rPr>
              <w:t>6</w:t>
            </w:r>
          </w:p>
        </w:tc>
        <w:tc>
          <w:tcPr>
            <w:tcW w:w="2874" w:type="dxa"/>
            <w:shd w:val="clear" w:color="auto" w:fill="FFFFFF"/>
          </w:tcPr>
          <w:p w14:paraId="06C5B1BE" w14:textId="5DC73C1F" w:rsidR="004B20AF" w:rsidRPr="0009445C" w:rsidRDefault="004B20AF" w:rsidP="00E713B0">
            <w:pPr>
              <w:pStyle w:val="BRL-Tabelle"/>
              <w:spacing w:before="40" w:after="60"/>
              <w:ind w:left="113" w:right="113"/>
            </w:pPr>
            <w:r w:rsidRPr="0009445C">
              <w:t>flame-resistant</w:t>
            </w:r>
          </w:p>
        </w:tc>
        <w:tc>
          <w:tcPr>
            <w:tcW w:w="1783" w:type="dxa"/>
            <w:shd w:val="clear" w:color="auto" w:fill="auto"/>
            <w:vAlign w:val="center"/>
          </w:tcPr>
          <w:p w14:paraId="694078F9" w14:textId="3F5A4CE6" w:rsidR="004B20AF" w:rsidRPr="0009445C" w:rsidRDefault="004B20AF" w:rsidP="00E713B0">
            <w:pPr>
              <w:pStyle w:val="BRL-Tabelle"/>
              <w:spacing w:before="40" w:after="60"/>
              <w:ind w:left="113" w:right="113"/>
            </w:pPr>
            <w:r w:rsidRPr="0009445C">
              <w:t>C – s2,d2*</w:t>
            </w:r>
          </w:p>
        </w:tc>
        <w:tc>
          <w:tcPr>
            <w:tcW w:w="1696" w:type="dxa"/>
            <w:shd w:val="clear" w:color="auto" w:fill="auto"/>
            <w:vAlign w:val="center"/>
          </w:tcPr>
          <w:p w14:paraId="696DE474" w14:textId="0644F304" w:rsidR="004B20AF" w:rsidRPr="0009445C" w:rsidRDefault="004B20AF" w:rsidP="00E713B0">
            <w:pPr>
              <w:pStyle w:val="BRL-Tabelle"/>
              <w:spacing w:before="40" w:after="60"/>
              <w:ind w:left="113" w:right="113"/>
            </w:pPr>
            <w:r w:rsidRPr="0009445C">
              <w:t>C</w:t>
            </w:r>
            <w:r w:rsidRPr="0009445C">
              <w:rPr>
                <w:vertAlign w:val="subscript"/>
              </w:rPr>
              <w:t>L</w:t>
            </w:r>
            <w:r w:rsidRPr="0009445C">
              <w:t xml:space="preserve"> – s2,d2</w:t>
            </w:r>
          </w:p>
        </w:tc>
        <w:tc>
          <w:tcPr>
            <w:tcW w:w="1407" w:type="dxa"/>
            <w:shd w:val="clear" w:color="auto" w:fill="auto"/>
            <w:vAlign w:val="center"/>
          </w:tcPr>
          <w:p w14:paraId="37E2184C" w14:textId="77777777" w:rsidR="004B20AF" w:rsidRPr="0009445C" w:rsidRDefault="004B20AF" w:rsidP="00E713B0">
            <w:pPr>
              <w:pStyle w:val="BRL-Tabelle"/>
              <w:spacing w:before="40" w:after="60"/>
              <w:ind w:left="113" w:right="113"/>
            </w:pPr>
            <w:proofErr w:type="spellStart"/>
            <w:r w:rsidRPr="0009445C">
              <w:t>C</w:t>
            </w:r>
            <w:r w:rsidRPr="0009445C">
              <w:rPr>
                <w:vertAlign w:val="subscript"/>
              </w:rPr>
              <w:t>fl</w:t>
            </w:r>
            <w:proofErr w:type="spellEnd"/>
            <w:r w:rsidRPr="0009445C">
              <w:t> – s1</w:t>
            </w:r>
          </w:p>
        </w:tc>
        <w:tc>
          <w:tcPr>
            <w:tcW w:w="1567" w:type="dxa"/>
            <w:vMerge/>
          </w:tcPr>
          <w:p w14:paraId="66FCC5AA" w14:textId="77777777" w:rsidR="004B20AF" w:rsidRPr="0009445C" w:rsidRDefault="004B20AF" w:rsidP="00E713B0">
            <w:pPr>
              <w:pStyle w:val="BRL-Tabelle"/>
              <w:spacing w:before="40" w:after="60"/>
              <w:ind w:left="113" w:right="113"/>
            </w:pPr>
          </w:p>
        </w:tc>
      </w:tr>
      <w:tr w:rsidR="00EF500C" w:rsidRPr="0009445C" w14:paraId="6EB5EC75" w14:textId="0A37E7F9" w:rsidTr="004B20AF">
        <w:trPr>
          <w:cantSplit/>
        </w:trPr>
        <w:tc>
          <w:tcPr>
            <w:tcW w:w="449" w:type="dxa"/>
            <w:shd w:val="clear" w:color="auto" w:fill="FFFFFF"/>
          </w:tcPr>
          <w:p w14:paraId="3FEC51D0" w14:textId="1E2BA3AB" w:rsidR="00EF500C" w:rsidRPr="0009445C" w:rsidRDefault="004B20AF" w:rsidP="00E713B0">
            <w:pPr>
              <w:pStyle w:val="BRL-Tabelle"/>
              <w:spacing w:before="40" w:after="60"/>
              <w:ind w:left="113" w:right="113"/>
              <w:jc w:val="center"/>
              <w:rPr>
                <w:b/>
              </w:rPr>
            </w:pPr>
            <w:r w:rsidRPr="0009445C">
              <w:rPr>
                <w:b/>
              </w:rPr>
              <w:t>7</w:t>
            </w:r>
          </w:p>
        </w:tc>
        <w:tc>
          <w:tcPr>
            <w:tcW w:w="2874" w:type="dxa"/>
            <w:shd w:val="clear" w:color="auto" w:fill="FFFFFF"/>
          </w:tcPr>
          <w:p w14:paraId="680B6A02" w14:textId="77777777" w:rsidR="00EF500C" w:rsidRPr="0009445C" w:rsidRDefault="00EF500C" w:rsidP="00E713B0">
            <w:pPr>
              <w:pStyle w:val="BRL-Tabelle"/>
              <w:spacing w:before="40" w:after="60"/>
              <w:ind w:left="113" w:right="113"/>
            </w:pPr>
            <w:r w:rsidRPr="0009445C">
              <w:t>normal flammability and no burning droplets or particles</w:t>
            </w:r>
          </w:p>
        </w:tc>
        <w:tc>
          <w:tcPr>
            <w:tcW w:w="1783" w:type="dxa"/>
            <w:shd w:val="clear" w:color="auto" w:fill="auto"/>
            <w:vAlign w:val="center"/>
          </w:tcPr>
          <w:p w14:paraId="18EEB994" w14:textId="77777777" w:rsidR="00EF500C" w:rsidRPr="0009445C" w:rsidRDefault="00EF500C" w:rsidP="00E713B0">
            <w:pPr>
              <w:pStyle w:val="BRL-Tabelle"/>
              <w:spacing w:before="40" w:after="60"/>
              <w:ind w:left="113" w:right="113"/>
            </w:pPr>
            <w:r w:rsidRPr="0009445C">
              <w:t>E</w:t>
            </w:r>
          </w:p>
        </w:tc>
        <w:tc>
          <w:tcPr>
            <w:tcW w:w="1696" w:type="dxa"/>
            <w:shd w:val="clear" w:color="auto" w:fill="auto"/>
            <w:vAlign w:val="center"/>
          </w:tcPr>
          <w:p w14:paraId="195216FE" w14:textId="77777777" w:rsidR="00EF500C" w:rsidRPr="0009445C" w:rsidRDefault="00EF500C" w:rsidP="00E713B0">
            <w:pPr>
              <w:pStyle w:val="BRL-Tabelle"/>
              <w:spacing w:before="40" w:after="60"/>
              <w:ind w:left="113" w:right="113"/>
            </w:pPr>
            <w:r w:rsidRPr="0009445C">
              <w:t>E</w:t>
            </w:r>
            <w:r w:rsidRPr="0009445C">
              <w:rPr>
                <w:vertAlign w:val="subscript"/>
              </w:rPr>
              <w:t>L</w:t>
            </w:r>
          </w:p>
        </w:tc>
        <w:tc>
          <w:tcPr>
            <w:tcW w:w="1407" w:type="dxa"/>
            <w:shd w:val="clear" w:color="auto" w:fill="auto"/>
            <w:vAlign w:val="center"/>
          </w:tcPr>
          <w:p w14:paraId="7D48D8E6" w14:textId="77777777" w:rsidR="00EF500C" w:rsidRPr="0009445C" w:rsidRDefault="00EF500C" w:rsidP="00E713B0">
            <w:pPr>
              <w:pStyle w:val="BRL-Tabelle"/>
              <w:spacing w:before="40" w:after="60"/>
              <w:ind w:left="113" w:right="113"/>
            </w:pPr>
            <w:r w:rsidRPr="0009445C">
              <w:t>-</w:t>
            </w:r>
          </w:p>
        </w:tc>
        <w:tc>
          <w:tcPr>
            <w:tcW w:w="1567" w:type="dxa"/>
          </w:tcPr>
          <w:p w14:paraId="1DCAED70" w14:textId="52103AAA" w:rsidR="00EF500C" w:rsidRPr="0009445C" w:rsidRDefault="004B20AF" w:rsidP="00E713B0">
            <w:pPr>
              <w:pStyle w:val="BRL-Tabelle"/>
              <w:spacing w:before="40" w:after="60"/>
              <w:ind w:left="113" w:right="113"/>
            </w:pPr>
            <w:r w:rsidRPr="0009445C">
              <w:t>-</w:t>
            </w:r>
          </w:p>
        </w:tc>
      </w:tr>
      <w:tr w:rsidR="00EF500C" w:rsidRPr="0009445C" w14:paraId="1DA525AC" w14:textId="0D039B16" w:rsidTr="004B20AF">
        <w:trPr>
          <w:cantSplit/>
        </w:trPr>
        <w:tc>
          <w:tcPr>
            <w:tcW w:w="449" w:type="dxa"/>
            <w:tcBorders>
              <w:bottom w:val="single" w:sz="4" w:space="0" w:color="auto"/>
            </w:tcBorders>
            <w:shd w:val="clear" w:color="auto" w:fill="FFFFFF"/>
          </w:tcPr>
          <w:p w14:paraId="543D3CEA" w14:textId="0B3287FA" w:rsidR="00EF500C" w:rsidRPr="0009445C" w:rsidRDefault="004B20AF" w:rsidP="00E713B0">
            <w:pPr>
              <w:pStyle w:val="BRL-Tabelle"/>
              <w:spacing w:before="40" w:after="60"/>
              <w:ind w:left="113" w:right="113"/>
              <w:jc w:val="center"/>
              <w:rPr>
                <w:b/>
              </w:rPr>
            </w:pPr>
            <w:r w:rsidRPr="0009445C">
              <w:rPr>
                <w:b/>
              </w:rPr>
              <w:t>8</w:t>
            </w:r>
          </w:p>
        </w:tc>
        <w:tc>
          <w:tcPr>
            <w:tcW w:w="2874" w:type="dxa"/>
            <w:tcBorders>
              <w:bottom w:val="single" w:sz="4" w:space="0" w:color="auto"/>
            </w:tcBorders>
            <w:shd w:val="clear" w:color="auto" w:fill="FFFFFF"/>
          </w:tcPr>
          <w:p w14:paraId="4C56B2F3" w14:textId="77777777" w:rsidR="00EF500C" w:rsidRPr="0009445C" w:rsidRDefault="00EF500C" w:rsidP="00E713B0">
            <w:pPr>
              <w:pStyle w:val="BRL-Tabelle"/>
              <w:spacing w:before="40" w:after="60"/>
              <w:ind w:left="113" w:right="113"/>
            </w:pPr>
            <w:r w:rsidRPr="0009445C">
              <w:t>normal flammability</w:t>
            </w:r>
          </w:p>
        </w:tc>
        <w:tc>
          <w:tcPr>
            <w:tcW w:w="1783" w:type="dxa"/>
            <w:tcBorders>
              <w:bottom w:val="single" w:sz="4" w:space="0" w:color="auto"/>
            </w:tcBorders>
            <w:shd w:val="clear" w:color="auto" w:fill="auto"/>
            <w:vAlign w:val="center"/>
          </w:tcPr>
          <w:p w14:paraId="351BFB3B" w14:textId="77777777" w:rsidR="00EF500C" w:rsidRPr="0009445C" w:rsidRDefault="00EF500C" w:rsidP="00E713B0">
            <w:pPr>
              <w:pStyle w:val="BRL-Tabelle"/>
              <w:spacing w:before="40" w:after="60"/>
              <w:ind w:left="113" w:right="113"/>
            </w:pPr>
            <w:r w:rsidRPr="0009445C">
              <w:t>E – d2</w:t>
            </w:r>
          </w:p>
        </w:tc>
        <w:tc>
          <w:tcPr>
            <w:tcW w:w="1696" w:type="dxa"/>
            <w:tcBorders>
              <w:bottom w:val="single" w:sz="4" w:space="0" w:color="auto"/>
            </w:tcBorders>
            <w:shd w:val="clear" w:color="auto" w:fill="auto"/>
            <w:vAlign w:val="center"/>
          </w:tcPr>
          <w:p w14:paraId="0D81CFF1" w14:textId="77777777" w:rsidR="00EF500C" w:rsidRPr="0009445C" w:rsidRDefault="00EF500C" w:rsidP="00E713B0">
            <w:pPr>
              <w:pStyle w:val="BRL-Tabelle"/>
              <w:spacing w:before="40" w:after="60"/>
              <w:ind w:left="113" w:right="113"/>
            </w:pPr>
            <w:r w:rsidRPr="0009445C">
              <w:t>E</w:t>
            </w:r>
            <w:r w:rsidRPr="0009445C">
              <w:rPr>
                <w:vertAlign w:val="subscript"/>
              </w:rPr>
              <w:t>L</w:t>
            </w:r>
            <w:r w:rsidRPr="0009445C">
              <w:t> – d2</w:t>
            </w:r>
          </w:p>
        </w:tc>
        <w:tc>
          <w:tcPr>
            <w:tcW w:w="1407" w:type="dxa"/>
            <w:tcBorders>
              <w:bottom w:val="single" w:sz="4" w:space="0" w:color="auto"/>
            </w:tcBorders>
            <w:shd w:val="clear" w:color="auto" w:fill="auto"/>
            <w:vAlign w:val="center"/>
          </w:tcPr>
          <w:p w14:paraId="48130B4B" w14:textId="77777777" w:rsidR="00EF500C" w:rsidRPr="0009445C" w:rsidRDefault="00EF500C" w:rsidP="00E713B0">
            <w:pPr>
              <w:pStyle w:val="BRL-Tabelle"/>
              <w:spacing w:before="40" w:after="60"/>
              <w:ind w:left="113" w:right="113"/>
            </w:pPr>
            <w:proofErr w:type="spellStart"/>
            <w:r w:rsidRPr="0009445C">
              <w:t>E</w:t>
            </w:r>
            <w:r w:rsidRPr="0009445C">
              <w:rPr>
                <w:vertAlign w:val="subscript"/>
              </w:rPr>
              <w:t>fl</w:t>
            </w:r>
            <w:proofErr w:type="spellEnd"/>
          </w:p>
        </w:tc>
        <w:tc>
          <w:tcPr>
            <w:tcW w:w="1567" w:type="dxa"/>
            <w:tcBorders>
              <w:bottom w:val="single" w:sz="4" w:space="0" w:color="auto"/>
            </w:tcBorders>
          </w:tcPr>
          <w:p w14:paraId="5E6153B6" w14:textId="139F8711" w:rsidR="00EF500C" w:rsidRPr="0009445C" w:rsidRDefault="004B20AF" w:rsidP="00E713B0">
            <w:pPr>
              <w:pStyle w:val="BRL-Tabelle"/>
              <w:spacing w:before="40" w:after="60"/>
              <w:ind w:left="113" w:right="113"/>
            </w:pPr>
            <w:r w:rsidRPr="0009445C">
              <w:t>-</w:t>
            </w:r>
          </w:p>
        </w:tc>
      </w:tr>
      <w:tr w:rsidR="004B20AF" w:rsidRPr="0009445C" w14:paraId="1EB2EEE0" w14:textId="77777777" w:rsidTr="00986679">
        <w:trPr>
          <w:cantSplit/>
        </w:trPr>
        <w:tc>
          <w:tcPr>
            <w:tcW w:w="9776" w:type="dxa"/>
            <w:gridSpan w:val="6"/>
            <w:tcBorders>
              <w:top w:val="nil"/>
            </w:tcBorders>
            <w:shd w:val="clear" w:color="auto" w:fill="FFFFFF"/>
          </w:tcPr>
          <w:p w14:paraId="684C4281" w14:textId="7E142614" w:rsidR="004B20AF" w:rsidRPr="0009445C" w:rsidRDefault="004B20AF" w:rsidP="004B20AF">
            <w:pPr>
              <w:pStyle w:val="BRL-Tabelle"/>
              <w:spacing w:before="40" w:after="60"/>
              <w:ind w:left="113" w:right="113"/>
              <w:rPr>
                <w:sz w:val="14"/>
              </w:rPr>
            </w:pPr>
            <w:r w:rsidRPr="0009445C">
              <w:rPr>
                <w:b/>
                <w:sz w:val="14"/>
                <w:vertAlign w:val="superscript"/>
              </w:rPr>
              <w:t xml:space="preserve">* </w:t>
            </w:r>
            <w:r w:rsidRPr="0009445C">
              <w:rPr>
                <w:sz w:val="14"/>
              </w:rPr>
              <w:t>When tested according to EN 13823:2020 TSP</w:t>
            </w:r>
            <w:r w:rsidRPr="0009445C">
              <w:rPr>
                <w:sz w:val="14"/>
                <w:vertAlign w:val="subscript"/>
              </w:rPr>
              <w:t xml:space="preserve"> 600 s</w:t>
            </w:r>
            <w:r w:rsidRPr="0009445C">
              <w:rPr>
                <w:sz w:val="14"/>
              </w:rPr>
              <w:t xml:space="preserve"> ≤ 35 m²; this information is not required for construction products whose fire behaviour according to CWFT Decisions 2003/43/EC of 17.1.2003 (Fig. L13/35), 2003/593/EC of 7.8. 2003 (OJ L201/35), 2006/673/EC of 5.10.2006 (OJ L276/77) and 2010/83/EU of 9.2.2010 (OJ L38/13) and Delegated Regulation (EU) 2017/1228 of 20 March 2017 (OJ L177/4) is classified in Class A2 — s1,d0 without testing.</w:t>
            </w:r>
          </w:p>
          <w:p w14:paraId="478D9C53" w14:textId="50A04DCB" w:rsidR="004B20AF" w:rsidRPr="0009445C" w:rsidRDefault="004B20AF" w:rsidP="004B20AF">
            <w:pPr>
              <w:pStyle w:val="BRL-Tabelle"/>
              <w:spacing w:before="40" w:after="60"/>
              <w:ind w:left="113" w:right="113"/>
            </w:pPr>
            <w:r w:rsidRPr="0009445C">
              <w:rPr>
                <w:b/>
                <w:sz w:val="14"/>
                <w:vertAlign w:val="superscript"/>
              </w:rPr>
              <w:t>**</w:t>
            </w:r>
            <w:r w:rsidRPr="0009445C">
              <w:rPr>
                <w:sz w:val="14"/>
              </w:rPr>
              <w:t xml:space="preserve"> When tested according to EN 13823:2020 TSP</w:t>
            </w:r>
            <w:r w:rsidRPr="0009445C">
              <w:rPr>
                <w:sz w:val="14"/>
                <w:vertAlign w:val="subscript"/>
              </w:rPr>
              <w:t xml:space="preserve"> 600 s</w:t>
            </w:r>
            <w:r w:rsidRPr="0009445C">
              <w:rPr>
                <w:sz w:val="14"/>
              </w:rPr>
              <w:t xml:space="preserve"> ≤ 35 m²; this information is not required for construction products whose fire behaviour is classified in Class B-s1,d0 without testing according to CWFT Decisions 2003/43/EC of 17.1.2003 (Fig. L13/35) and 2007/348/EC of 15.5.2007 (OJ L131/21).</w:t>
            </w:r>
          </w:p>
        </w:tc>
      </w:tr>
    </w:tbl>
    <w:p w14:paraId="38532606" w14:textId="77777777" w:rsidR="00E713B0" w:rsidRPr="0009445C" w:rsidRDefault="00E713B0" w:rsidP="00E713B0">
      <w:pPr>
        <w:pStyle w:val="BRL-Tabelle"/>
      </w:pPr>
    </w:p>
    <w:p w14:paraId="68E68C38" w14:textId="77777777" w:rsidR="00E713B0" w:rsidRPr="0009445C" w:rsidRDefault="00E713B0" w:rsidP="00E713B0">
      <w:pPr>
        <w:pStyle w:val="BRL-Tabelle"/>
        <w:spacing w:after="120"/>
        <w:rPr>
          <w:b/>
        </w:rPr>
      </w:pPr>
      <w:r w:rsidRPr="0009445C">
        <w:t>Explanatory notes to Table 1.2:</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2695"/>
        <w:gridCol w:w="1842"/>
        <w:gridCol w:w="4535"/>
      </w:tblGrid>
      <w:tr w:rsidR="00E713B0" w:rsidRPr="0009445C" w14:paraId="23C0F2CC" w14:textId="77777777" w:rsidTr="00E713B0">
        <w:trPr>
          <w:cantSplit/>
        </w:trPr>
        <w:tc>
          <w:tcPr>
            <w:tcW w:w="2694" w:type="dxa"/>
            <w:shd w:val="clear" w:color="auto" w:fill="FFFFFF"/>
          </w:tcPr>
          <w:p w14:paraId="6F9E2A97" w14:textId="77777777" w:rsidR="00E713B0" w:rsidRPr="0009445C" w:rsidRDefault="00E713B0" w:rsidP="00E713B0">
            <w:pPr>
              <w:pStyle w:val="BRL-TabelleberschriftAnhang"/>
            </w:pPr>
            <w:r w:rsidRPr="0009445C">
              <w:t>Derivation of the abbreviation</w:t>
            </w:r>
          </w:p>
        </w:tc>
        <w:tc>
          <w:tcPr>
            <w:tcW w:w="1842" w:type="dxa"/>
            <w:shd w:val="clear" w:color="auto" w:fill="FFFFFF"/>
          </w:tcPr>
          <w:p w14:paraId="21D4D26D" w14:textId="77777777" w:rsidR="00E713B0" w:rsidRPr="0009445C" w:rsidRDefault="00E713B0" w:rsidP="00E713B0">
            <w:pPr>
              <w:pStyle w:val="BRL-TabelleberschriftAnhang"/>
            </w:pPr>
            <w:r w:rsidRPr="0009445C">
              <w:t>Criterion</w:t>
            </w:r>
          </w:p>
        </w:tc>
        <w:tc>
          <w:tcPr>
            <w:tcW w:w="4534" w:type="dxa"/>
            <w:shd w:val="clear" w:color="auto" w:fill="FFFFFF"/>
          </w:tcPr>
          <w:p w14:paraId="7C9964E7" w14:textId="77777777" w:rsidR="00E713B0" w:rsidRPr="0009445C" w:rsidRDefault="00E713B0" w:rsidP="00E713B0">
            <w:pPr>
              <w:pStyle w:val="BRL-TabelleberschriftAnhang"/>
            </w:pPr>
            <w:r w:rsidRPr="0009445C">
              <w:t>Scope</w:t>
            </w:r>
          </w:p>
        </w:tc>
      </w:tr>
      <w:tr w:rsidR="00E713B0" w:rsidRPr="0009445C" w14:paraId="2E80088E" w14:textId="77777777" w:rsidTr="00E713B0">
        <w:trPr>
          <w:cantSplit/>
        </w:trPr>
        <w:tc>
          <w:tcPr>
            <w:tcW w:w="2694" w:type="dxa"/>
            <w:shd w:val="clear" w:color="auto" w:fill="FFFFFF"/>
          </w:tcPr>
          <w:p w14:paraId="3C2F3FC5" w14:textId="77777777" w:rsidR="00E713B0" w:rsidRPr="0009445C" w:rsidRDefault="00E713B0" w:rsidP="00E713B0">
            <w:pPr>
              <w:pStyle w:val="BRL-Tabelle"/>
              <w:spacing w:before="100"/>
              <w:ind w:left="113" w:right="113"/>
            </w:pPr>
            <w:r w:rsidRPr="0009445C">
              <w:t>s (Smoke)</w:t>
            </w:r>
          </w:p>
        </w:tc>
        <w:tc>
          <w:tcPr>
            <w:tcW w:w="1842" w:type="dxa"/>
            <w:shd w:val="clear" w:color="auto" w:fill="auto"/>
          </w:tcPr>
          <w:p w14:paraId="7BAE433A" w14:textId="77777777" w:rsidR="00E713B0" w:rsidRPr="0009445C" w:rsidRDefault="00E713B0" w:rsidP="00E713B0">
            <w:pPr>
              <w:pStyle w:val="BRL-Tabelle"/>
              <w:spacing w:before="100"/>
              <w:ind w:left="113" w:right="113"/>
            </w:pPr>
            <w:r w:rsidRPr="0009445C">
              <w:t>Smoke development</w:t>
            </w:r>
          </w:p>
        </w:tc>
        <w:tc>
          <w:tcPr>
            <w:tcW w:w="4534" w:type="dxa"/>
            <w:shd w:val="clear" w:color="auto" w:fill="auto"/>
          </w:tcPr>
          <w:p w14:paraId="67560007" w14:textId="77777777" w:rsidR="00E713B0" w:rsidRPr="0009445C" w:rsidRDefault="00E713B0" w:rsidP="00E713B0">
            <w:pPr>
              <w:pStyle w:val="BRL-Tabelle"/>
              <w:spacing w:before="100"/>
              <w:ind w:left="113" w:right="113"/>
            </w:pPr>
            <w:r w:rsidRPr="0009445C">
              <w:t>Requirements for smoke development</w:t>
            </w:r>
          </w:p>
          <w:p w14:paraId="694C0566" w14:textId="77777777" w:rsidR="00E713B0" w:rsidRPr="0009445C" w:rsidRDefault="00E713B0" w:rsidP="00E713B0">
            <w:pPr>
              <w:pStyle w:val="BRL-TabelleAufzhlung9PtLinksRechts02cmVor0PtNach"/>
              <w:ind w:left="527" w:hanging="170"/>
            </w:pPr>
            <w:r w:rsidRPr="0009445C">
              <w:t>s1; low smoke development</w:t>
            </w:r>
          </w:p>
          <w:p w14:paraId="247819BC" w14:textId="77777777" w:rsidR="00E713B0" w:rsidRPr="0009445C" w:rsidRDefault="00E713B0" w:rsidP="00E713B0">
            <w:pPr>
              <w:pStyle w:val="BRL-TabelleAufzhlung9PtLinksRechts02cmVor0PtNach"/>
              <w:ind w:left="527" w:hanging="170"/>
            </w:pPr>
            <w:r w:rsidRPr="0009445C">
              <w:t>s2: limited smoke development</w:t>
            </w:r>
          </w:p>
        </w:tc>
      </w:tr>
      <w:tr w:rsidR="00E713B0" w:rsidRPr="0009445C" w14:paraId="25CA8605" w14:textId="77777777" w:rsidTr="00E713B0">
        <w:trPr>
          <w:cantSplit/>
        </w:trPr>
        <w:tc>
          <w:tcPr>
            <w:tcW w:w="2694" w:type="dxa"/>
            <w:shd w:val="clear" w:color="auto" w:fill="FFFFFF"/>
          </w:tcPr>
          <w:p w14:paraId="00D4FF77" w14:textId="77777777" w:rsidR="00E713B0" w:rsidRPr="0009445C" w:rsidRDefault="00E713B0" w:rsidP="00E713B0">
            <w:pPr>
              <w:pStyle w:val="BRL-Tabelle"/>
              <w:spacing w:before="100"/>
              <w:ind w:left="113" w:right="113"/>
            </w:pPr>
            <w:r w:rsidRPr="0009445C">
              <w:t>d (droplets)</w:t>
            </w:r>
          </w:p>
        </w:tc>
        <w:tc>
          <w:tcPr>
            <w:tcW w:w="1842" w:type="dxa"/>
            <w:shd w:val="clear" w:color="auto" w:fill="auto"/>
          </w:tcPr>
          <w:p w14:paraId="06591D79" w14:textId="77777777" w:rsidR="00E713B0" w:rsidRPr="0009445C" w:rsidRDefault="00E713B0" w:rsidP="00E713B0">
            <w:pPr>
              <w:pStyle w:val="BRL-Tabelle"/>
              <w:spacing w:before="100"/>
              <w:ind w:left="113" w:right="113"/>
            </w:pPr>
            <w:r w:rsidRPr="0009445C">
              <w:t>burning droplets/particles</w:t>
            </w:r>
          </w:p>
        </w:tc>
        <w:tc>
          <w:tcPr>
            <w:tcW w:w="4534" w:type="dxa"/>
            <w:shd w:val="clear" w:color="auto" w:fill="auto"/>
          </w:tcPr>
          <w:p w14:paraId="23CC6900" w14:textId="77777777" w:rsidR="00E713B0" w:rsidRPr="0009445C" w:rsidRDefault="00E713B0" w:rsidP="00E713B0">
            <w:pPr>
              <w:pStyle w:val="BRL-Tabelle"/>
              <w:spacing w:before="100"/>
              <w:ind w:left="113" w:right="113"/>
            </w:pPr>
            <w:r w:rsidRPr="0009445C">
              <w:t>Requirements for burning droplets/particles</w:t>
            </w:r>
          </w:p>
          <w:p w14:paraId="73E4F341" w14:textId="77777777" w:rsidR="00E713B0" w:rsidRPr="0009445C" w:rsidRDefault="00E713B0" w:rsidP="00E713B0">
            <w:pPr>
              <w:pStyle w:val="BRL-TabelleAufzhlung9PtLinksRechts02cmVor0PtNach"/>
              <w:ind w:left="527" w:hanging="170"/>
            </w:pPr>
            <w:r w:rsidRPr="0009445C">
              <w:t>d0: no burning dripping/particles</w:t>
            </w:r>
          </w:p>
          <w:p w14:paraId="315505C1" w14:textId="77777777" w:rsidR="00E713B0" w:rsidRPr="0009445C" w:rsidRDefault="00E713B0" w:rsidP="00E713B0">
            <w:pPr>
              <w:pStyle w:val="BRL-TabelleAufzhlung9PtLinksRechts02cmVor0PtNach"/>
              <w:ind w:left="527" w:hanging="170"/>
            </w:pPr>
            <w:r w:rsidRPr="0009445C">
              <w:t>d1, d2; burning droplets/particles</w:t>
            </w:r>
          </w:p>
        </w:tc>
      </w:tr>
      <w:tr w:rsidR="00E713B0" w:rsidRPr="0009445C" w14:paraId="5BF79682" w14:textId="77777777" w:rsidTr="00E713B0">
        <w:trPr>
          <w:cantSplit/>
        </w:trPr>
        <w:tc>
          <w:tcPr>
            <w:tcW w:w="2694" w:type="dxa"/>
            <w:shd w:val="clear" w:color="auto" w:fill="FFFFFF"/>
          </w:tcPr>
          <w:p w14:paraId="65843D8A" w14:textId="77777777" w:rsidR="00E713B0" w:rsidRPr="0009445C" w:rsidRDefault="00E713B0" w:rsidP="00E713B0">
            <w:pPr>
              <w:pStyle w:val="BRL-Tabelle"/>
              <w:spacing w:before="100"/>
              <w:ind w:left="113" w:right="113"/>
            </w:pPr>
            <w:r w:rsidRPr="0009445C">
              <w:t>....</w:t>
            </w:r>
            <w:proofErr w:type="spellStart"/>
            <w:r w:rsidRPr="0009445C">
              <w:t>fl</w:t>
            </w:r>
            <w:proofErr w:type="spellEnd"/>
            <w:r w:rsidRPr="0009445C">
              <w:t xml:space="preserve"> (floorings)</w:t>
            </w:r>
          </w:p>
        </w:tc>
        <w:tc>
          <w:tcPr>
            <w:tcW w:w="1842" w:type="dxa"/>
            <w:shd w:val="clear" w:color="auto" w:fill="auto"/>
          </w:tcPr>
          <w:p w14:paraId="1D39BB2A" w14:textId="77777777" w:rsidR="00E713B0" w:rsidRPr="0009445C" w:rsidRDefault="00E713B0" w:rsidP="00E713B0">
            <w:pPr>
              <w:pStyle w:val="BRL-Tabelle"/>
              <w:spacing w:before="100"/>
              <w:ind w:left="113" w:right="113"/>
            </w:pPr>
          </w:p>
        </w:tc>
        <w:tc>
          <w:tcPr>
            <w:tcW w:w="4534" w:type="dxa"/>
            <w:shd w:val="clear" w:color="auto" w:fill="auto"/>
          </w:tcPr>
          <w:p w14:paraId="4ACE008A" w14:textId="77777777" w:rsidR="00E713B0" w:rsidRPr="0009445C" w:rsidRDefault="00E713B0" w:rsidP="00E713B0">
            <w:pPr>
              <w:pStyle w:val="BRL-Tabelle"/>
              <w:spacing w:before="100"/>
              <w:ind w:left="113" w:right="113"/>
            </w:pPr>
            <w:r w:rsidRPr="0009445C">
              <w:t>Fire performance class for floorings</w:t>
            </w:r>
          </w:p>
        </w:tc>
      </w:tr>
      <w:tr w:rsidR="00E713B0" w:rsidRPr="0009445C" w14:paraId="26A2B592" w14:textId="77777777" w:rsidTr="00E713B0">
        <w:trPr>
          <w:cantSplit/>
        </w:trPr>
        <w:tc>
          <w:tcPr>
            <w:tcW w:w="2694" w:type="dxa"/>
            <w:shd w:val="clear" w:color="auto" w:fill="FFFFFF"/>
          </w:tcPr>
          <w:p w14:paraId="4455D40A" w14:textId="77777777" w:rsidR="00E713B0" w:rsidRPr="0009445C" w:rsidRDefault="00E713B0" w:rsidP="00E713B0">
            <w:pPr>
              <w:pStyle w:val="BRL-Tabelle"/>
              <w:spacing w:before="100"/>
              <w:ind w:left="113" w:right="113"/>
              <w:rPr>
                <w:b/>
              </w:rPr>
            </w:pPr>
            <w:r w:rsidRPr="0009445C">
              <w:t>…L (linear pipe thermal insulation products)</w:t>
            </w:r>
          </w:p>
        </w:tc>
        <w:tc>
          <w:tcPr>
            <w:tcW w:w="1842" w:type="dxa"/>
            <w:shd w:val="clear" w:color="auto" w:fill="auto"/>
          </w:tcPr>
          <w:p w14:paraId="2BB4632B" w14:textId="77777777" w:rsidR="00E713B0" w:rsidRPr="0009445C" w:rsidRDefault="00E713B0" w:rsidP="00E713B0">
            <w:pPr>
              <w:pStyle w:val="BRL-Tabelle"/>
              <w:spacing w:before="100"/>
              <w:ind w:left="113" w:right="113"/>
              <w:rPr>
                <w:b/>
                <w:lang w:val="en-US"/>
              </w:rPr>
            </w:pPr>
          </w:p>
        </w:tc>
        <w:tc>
          <w:tcPr>
            <w:tcW w:w="4534" w:type="dxa"/>
            <w:shd w:val="clear" w:color="auto" w:fill="auto"/>
          </w:tcPr>
          <w:p w14:paraId="424D32CD" w14:textId="77777777" w:rsidR="00E713B0" w:rsidRPr="0009445C" w:rsidRDefault="00E713B0" w:rsidP="00E713B0">
            <w:pPr>
              <w:pStyle w:val="BRL-Tabelle"/>
              <w:spacing w:before="100"/>
              <w:ind w:left="113" w:right="113"/>
              <w:rPr>
                <w:b/>
              </w:rPr>
            </w:pPr>
            <w:r w:rsidRPr="0009445C">
              <w:t>Fire performance class for linear products for thermal insulation of pipes</w:t>
            </w:r>
          </w:p>
        </w:tc>
      </w:tr>
    </w:tbl>
    <w:p w14:paraId="4B1C6660" w14:textId="77777777" w:rsidR="00E713B0" w:rsidRPr="0009445C" w:rsidRDefault="00E713B0" w:rsidP="00E713B0">
      <w:pPr>
        <w:pStyle w:val="BRL-Standard"/>
      </w:pPr>
    </w:p>
    <w:p w14:paraId="1B903D87" w14:textId="77777777" w:rsidR="00E713B0" w:rsidRPr="0009445C" w:rsidRDefault="00E713B0" w:rsidP="00E713B0">
      <w:pPr>
        <w:spacing w:line="240" w:lineRule="auto"/>
      </w:pPr>
      <w:r w:rsidRPr="0009445C">
        <w:br w:type="page"/>
      </w:r>
    </w:p>
    <w:p w14:paraId="079536EB" w14:textId="77777777" w:rsidR="00E713B0" w:rsidRPr="0009445C" w:rsidRDefault="00E713B0" w:rsidP="00600F53">
      <w:pPr>
        <w:pStyle w:val="BRL-berschrift"/>
      </w:pPr>
      <w:r w:rsidRPr="0009445C">
        <w:lastRenderedPageBreak/>
        <w:t>1.3</w:t>
      </w:r>
      <w:r w:rsidRPr="0009445C">
        <w:tab/>
        <w:t>Minimum required smouldering performances</w:t>
      </w:r>
    </w:p>
    <w:p w14:paraId="026884CE" w14:textId="77777777" w:rsidR="00E713B0" w:rsidRPr="0009445C" w:rsidRDefault="00E713B0" w:rsidP="00E713B0">
      <w:pPr>
        <w:pStyle w:val="BRL-Standard"/>
        <w:rPr>
          <w:b/>
          <w:bCs/>
        </w:rPr>
      </w:pPr>
      <w:r w:rsidRPr="0009445C">
        <w:t>For the fulfilment of the building requirements in A 2.1.2 for flame-resistant or non-combustible parts of structural works where construction products are used in accordance with the following harmonised standards (EN 438</w:t>
      </w:r>
      <w:r w:rsidRPr="0009445C">
        <w:noBreakHyphen/>
        <w:t>7:2005</w:t>
      </w:r>
      <w:r w:rsidRPr="0009445C">
        <w:rPr>
          <w:rStyle w:val="FootnoteReference"/>
        </w:rPr>
        <w:footnoteReference w:id="10"/>
      </w:r>
      <w:r w:rsidRPr="0009445C">
        <w:t>, EN 13162:2012+A1:2015</w:t>
      </w:r>
      <w:r w:rsidRPr="0009445C">
        <w:rPr>
          <w:rStyle w:val="FootnoteReference"/>
        </w:rPr>
        <w:footnoteReference w:id="11"/>
      </w:r>
      <w:r w:rsidRPr="0009445C">
        <w:t>, EN 13168:2012+A1:2015</w:t>
      </w:r>
      <w:r w:rsidRPr="0009445C">
        <w:rPr>
          <w:rStyle w:val="FootnoteReference"/>
        </w:rPr>
        <w:footnoteReference w:id="12"/>
      </w:r>
      <w:r w:rsidRPr="0009445C">
        <w:t>, EN 13170:2012+A1:2015</w:t>
      </w:r>
      <w:r w:rsidRPr="0009445C">
        <w:rPr>
          <w:rStyle w:val="FootnoteReference"/>
        </w:rPr>
        <w:footnoteReference w:id="13"/>
      </w:r>
      <w:r w:rsidRPr="0009445C">
        <w:t>, EN 13171:2012+A1:2015</w:t>
      </w:r>
      <w:r w:rsidRPr="0009445C">
        <w:rPr>
          <w:rStyle w:val="FootnoteReference"/>
        </w:rPr>
        <w:footnoteReference w:id="14"/>
      </w:r>
      <w:r w:rsidRPr="0009445C">
        <w:t>, EN 13950:2014</w:t>
      </w:r>
      <w:r w:rsidRPr="0009445C">
        <w:rPr>
          <w:rStyle w:val="FootnoteReference"/>
        </w:rPr>
        <w:footnoteReference w:id="15"/>
      </w:r>
      <w:r w:rsidRPr="0009445C">
        <w:t>, EN 13964:2014</w:t>
      </w:r>
      <w:r w:rsidRPr="0009445C">
        <w:rPr>
          <w:rStyle w:val="FootnoteReference"/>
        </w:rPr>
        <w:footnoteReference w:id="16"/>
      </w:r>
      <w:r w:rsidRPr="0009445C">
        <w:t>, EN 13986:2004+A1:2015</w:t>
      </w:r>
      <w:r w:rsidRPr="0009445C">
        <w:rPr>
          <w:rStyle w:val="FootnoteReference"/>
        </w:rPr>
        <w:footnoteReference w:id="17"/>
      </w:r>
      <w:r w:rsidRPr="0009445C">
        <w:t>, EN 14064</w:t>
      </w:r>
      <w:r w:rsidRPr="0009445C">
        <w:noBreakHyphen/>
        <w:t>1:2010</w:t>
      </w:r>
      <w:r w:rsidRPr="0009445C">
        <w:rPr>
          <w:rStyle w:val="FootnoteReference"/>
        </w:rPr>
        <w:footnoteReference w:id="18"/>
      </w:r>
      <w:r w:rsidRPr="0009445C">
        <w:t>, EN 14190:2014</w:t>
      </w:r>
      <w:r w:rsidRPr="0009445C">
        <w:rPr>
          <w:rStyle w:val="FootnoteReference"/>
        </w:rPr>
        <w:footnoteReference w:id="19"/>
      </w:r>
      <w:r w:rsidRPr="0009445C">
        <w:t>, EN 14303:2009+A1:2013</w:t>
      </w:r>
      <w:r w:rsidRPr="0009445C">
        <w:rPr>
          <w:rStyle w:val="FootnoteReference"/>
        </w:rPr>
        <w:footnoteReference w:id="20"/>
      </w:r>
      <w:r w:rsidRPr="0009445C">
        <w:t>, EN 15037-4:2010+A1:2013</w:t>
      </w:r>
      <w:r w:rsidRPr="0009445C">
        <w:rPr>
          <w:rStyle w:val="FootnoteReference"/>
        </w:rPr>
        <w:footnoteReference w:id="21"/>
      </w:r>
      <w:r w:rsidRPr="0009445C">
        <w:t>, EN 15498:2008</w:t>
      </w:r>
      <w:r w:rsidRPr="0009445C">
        <w:rPr>
          <w:rStyle w:val="FootnoteReference"/>
        </w:rPr>
        <w:footnoteReference w:id="22"/>
      </w:r>
      <w:r w:rsidRPr="0009445C">
        <w:t>), specifications on smouldering performance according to according to Table 1.2 must be met. A European test method DIN EN 16733:2016-07 is available to determine the smouldering behaviour; the required indication is: ‘The test was passed: the product shows no tendency of continuous smouldering.’.</w:t>
      </w:r>
      <w:r w:rsidRPr="0009445C">
        <w:rPr>
          <w:b/>
        </w:rPr>
        <w:t xml:space="preserve"> </w:t>
      </w:r>
    </w:p>
    <w:p w14:paraId="45D3CF61" w14:textId="69C7A715" w:rsidR="00A922C2" w:rsidRPr="0009445C" w:rsidRDefault="00A922C2" w:rsidP="00E713B0">
      <w:pPr>
        <w:pStyle w:val="BRL-Standard"/>
        <w:rPr>
          <w:b/>
          <w:bCs/>
          <w:szCs w:val="16"/>
        </w:rPr>
      </w:pPr>
    </w:p>
    <w:p w14:paraId="0BA34BE5" w14:textId="77777777" w:rsidR="00A922C2" w:rsidRPr="0009445C" w:rsidRDefault="00A922C2" w:rsidP="00A922C2">
      <w:pPr>
        <w:pStyle w:val="BRL-berschrift-Kopf"/>
      </w:pPr>
      <w:r w:rsidRPr="0009445C">
        <w:t>1.4</w:t>
      </w:r>
      <w:r w:rsidRPr="0009445C">
        <w:tab/>
        <w:t>Use of building materials for horizontal installation</w:t>
      </w:r>
    </w:p>
    <w:p w14:paraId="12A35949" w14:textId="6C028C4D" w:rsidR="00A922C2" w:rsidRPr="0009445C" w:rsidRDefault="00A922C2" w:rsidP="00A922C2">
      <w:pPr>
        <w:pStyle w:val="BRL-Standard"/>
        <w:rPr>
          <w:bCs/>
          <w:szCs w:val="16"/>
        </w:rPr>
      </w:pPr>
      <w:r w:rsidRPr="0009445C">
        <w:t>By way of deviation from the information set out in Table 1.2, construction products made of rigid polystyrene foam (EPS, XPS) shall not be installed horizontally in accordance with harmonised product specifications and composite construction products with polystyrene hard foam insulation layers in accordance with harmonised product specifications, provided that such construction products are subject to the construction supervision requirement ‘seriously flammable’ for the intended use.</w:t>
      </w:r>
    </w:p>
    <w:p w14:paraId="1FA5137C" w14:textId="77777777" w:rsidR="00A922C2" w:rsidRPr="0009445C" w:rsidRDefault="00A922C2" w:rsidP="00A922C2">
      <w:pPr>
        <w:pStyle w:val="BRL-Standard"/>
        <w:rPr>
          <w:bCs/>
          <w:szCs w:val="16"/>
        </w:rPr>
      </w:pPr>
    </w:p>
    <w:p w14:paraId="2B61D195" w14:textId="1AE94298" w:rsidR="00A922C2" w:rsidRPr="0009445C" w:rsidRDefault="00A922C2" w:rsidP="00A922C2">
      <w:pPr>
        <w:pStyle w:val="BRL-Standard"/>
        <w:rPr>
          <w:bCs/>
          <w:szCs w:val="16"/>
        </w:rPr>
      </w:pPr>
      <w:r w:rsidRPr="0009445C">
        <w:t>Excluded from this is the use of these construction products under screeds on floors made of concrete.</w:t>
      </w:r>
    </w:p>
    <w:p w14:paraId="6379E804" w14:textId="77777777" w:rsidR="00A922C2" w:rsidRPr="0009445C" w:rsidRDefault="00A922C2" w:rsidP="00E713B0">
      <w:pPr>
        <w:pStyle w:val="BRL-Standard"/>
        <w:rPr>
          <w:b/>
          <w:bCs/>
          <w:szCs w:val="16"/>
        </w:rPr>
      </w:pPr>
    </w:p>
    <w:p w14:paraId="7AFCDE28" w14:textId="77777777" w:rsidR="00E713B0" w:rsidRPr="0009445C" w:rsidRDefault="00E713B0" w:rsidP="00600F53">
      <w:pPr>
        <w:pStyle w:val="BRL-berschrift"/>
      </w:pPr>
      <w:r w:rsidRPr="0009445C">
        <w:t>2</w:t>
      </w:r>
      <w:r w:rsidRPr="0009445C">
        <w:tab/>
        <w:t>Electrical wiring and electrical lines</w:t>
      </w:r>
    </w:p>
    <w:p w14:paraId="51E39BE4" w14:textId="77777777" w:rsidR="00E713B0" w:rsidRPr="0009445C" w:rsidRDefault="00E713B0" w:rsidP="00600F53">
      <w:pPr>
        <w:pStyle w:val="BRL-berschrift"/>
      </w:pPr>
      <w:r w:rsidRPr="0009445C">
        <w:t>2.1</w:t>
      </w:r>
      <w:r w:rsidRPr="0009445C">
        <w:tab/>
        <w:t>Electrical wiring</w:t>
      </w:r>
    </w:p>
    <w:p w14:paraId="23E0614E" w14:textId="0C60954C" w:rsidR="00E713B0" w:rsidRPr="0009445C" w:rsidRDefault="00E713B0" w:rsidP="00600F53">
      <w:pPr>
        <w:pStyle w:val="BRL-berschrift"/>
      </w:pPr>
      <w:r w:rsidRPr="0009445C">
        <w:t>2.1.1</w:t>
      </w:r>
      <w:r w:rsidRPr="0009445C">
        <w:tab/>
        <w:t>Building approval requirements and assignment of building material classes according to DIN 4102-1:1998-05 and other features</w:t>
      </w:r>
    </w:p>
    <w:p w14:paraId="7201C141" w14:textId="1F8DC26E" w:rsidR="00E713B0" w:rsidRPr="0009445C" w:rsidRDefault="00E713B0" w:rsidP="00E713B0">
      <w:pPr>
        <w:pStyle w:val="BRL-Standard"/>
      </w:pPr>
      <w:r w:rsidRPr="0009445C">
        <w:t>To demonstrate the fire characteristics of electrical cables under the Technical Building Regulations or under the proof of fitness for purpose pursuant to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assignment of building material classes pursuant to DIN 4102</w:t>
      </w:r>
      <w:r w:rsidRPr="0009445C">
        <w:noBreakHyphen/>
        <w:t>1:1988-05 for the requirements of A 2.1.2 may be based on Table 2.1.1 as well as further characteristics.</w:t>
      </w:r>
    </w:p>
    <w:p w14:paraId="485FC53C" w14:textId="77777777" w:rsidR="00E713B0" w:rsidRPr="0009445C" w:rsidRDefault="00E713B0" w:rsidP="00E713B0">
      <w:pPr>
        <w:pStyle w:val="BRL-Standard"/>
      </w:pPr>
    </w:p>
    <w:p w14:paraId="1D1E7AEC" w14:textId="308A5EE8" w:rsidR="00E713B0" w:rsidRPr="0009445C" w:rsidRDefault="00E713B0" w:rsidP="00E713B0">
      <w:pPr>
        <w:pStyle w:val="BRLTabelleberschrift"/>
        <w:spacing w:after="120"/>
      </w:pPr>
      <w:r w:rsidRPr="0009445C">
        <w:t xml:space="preserve">Table 2.1.1: </w:t>
      </w:r>
      <w:r w:rsidRPr="0009445C">
        <w:tab/>
        <w:t>Building approval requirements and assignment of building material classes according to DIN 4102</w:t>
      </w:r>
      <w:r w:rsidRPr="0009445C">
        <w:noBreakHyphen/>
        <w:t xml:space="preserve"> 1:1998</w:t>
      </w:r>
      <w:r w:rsidRPr="0009445C">
        <w:noBreakHyphen/>
        <w:t xml:space="preserve"> 05 and other features</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E0" w:firstRow="1" w:lastRow="1" w:firstColumn="1" w:lastColumn="0" w:noHBand="0" w:noVBand="1"/>
      </w:tblPr>
      <w:tblGrid>
        <w:gridCol w:w="528"/>
        <w:gridCol w:w="2941"/>
        <w:gridCol w:w="2598"/>
        <w:gridCol w:w="3005"/>
      </w:tblGrid>
      <w:tr w:rsidR="00E713B0" w:rsidRPr="0009445C" w14:paraId="2A9C6415" w14:textId="77777777" w:rsidTr="00E713B0">
        <w:trPr>
          <w:tblHeader/>
        </w:trPr>
        <w:tc>
          <w:tcPr>
            <w:tcW w:w="454" w:type="dxa"/>
            <w:shd w:val="clear" w:color="auto" w:fill="FFFFFF"/>
          </w:tcPr>
          <w:p w14:paraId="355E6755" w14:textId="77777777" w:rsidR="00E713B0" w:rsidRPr="0009445C" w:rsidRDefault="00E713B0" w:rsidP="00E713B0">
            <w:pPr>
              <w:pStyle w:val="BRL-TabelleberschriftAnhang"/>
              <w:jc w:val="center"/>
              <w:rPr>
                <w:rFonts w:eastAsia="Calibri"/>
              </w:rPr>
            </w:pPr>
          </w:p>
        </w:tc>
        <w:tc>
          <w:tcPr>
            <w:tcW w:w="2528" w:type="dxa"/>
            <w:shd w:val="clear" w:color="auto" w:fill="FFFFFF"/>
          </w:tcPr>
          <w:p w14:paraId="01AEF92E" w14:textId="11122682" w:rsidR="00E713B0" w:rsidRPr="0009445C" w:rsidRDefault="00E713B0" w:rsidP="00E713B0">
            <w:pPr>
              <w:pStyle w:val="BRL-TabelleberschriftAnhang"/>
              <w:rPr>
                <w:rFonts w:eastAsia="Calibri"/>
              </w:rPr>
            </w:pPr>
            <w:r w:rsidRPr="0009445C">
              <w:t xml:space="preserve">Building approval requirement </w:t>
            </w:r>
          </w:p>
        </w:tc>
        <w:tc>
          <w:tcPr>
            <w:tcW w:w="2233" w:type="dxa"/>
            <w:shd w:val="clear" w:color="auto" w:fill="FFFFFF"/>
          </w:tcPr>
          <w:p w14:paraId="309A1043" w14:textId="77777777" w:rsidR="00E713B0" w:rsidRPr="0009445C" w:rsidRDefault="00E713B0" w:rsidP="00E713B0">
            <w:pPr>
              <w:pStyle w:val="BRL-TabelleberschriftAnhang"/>
              <w:rPr>
                <w:rFonts w:eastAsia="Calibri"/>
              </w:rPr>
            </w:pPr>
            <w:r w:rsidRPr="0009445C">
              <w:t>Minimum required building material classes pursuant to DIN 4102</w:t>
            </w:r>
            <w:r w:rsidRPr="0009445C">
              <w:noBreakHyphen/>
              <w:t>1:1998-05</w:t>
            </w:r>
          </w:p>
        </w:tc>
        <w:tc>
          <w:tcPr>
            <w:tcW w:w="2583" w:type="dxa"/>
            <w:shd w:val="clear" w:color="auto" w:fill="FFFFFF"/>
          </w:tcPr>
          <w:p w14:paraId="216E96D0" w14:textId="005BF07E" w:rsidR="00E713B0" w:rsidRPr="0009445C" w:rsidRDefault="00A922C2" w:rsidP="00E713B0">
            <w:pPr>
              <w:pStyle w:val="BRL-TabelleberschriftAnhang"/>
              <w:rPr>
                <w:rFonts w:eastAsia="Calibri"/>
              </w:rPr>
            </w:pPr>
            <w:r w:rsidRPr="0009445C">
              <w:t>Other characteristics for use:</w:t>
            </w:r>
          </w:p>
        </w:tc>
      </w:tr>
      <w:tr w:rsidR="00E713B0" w:rsidRPr="0009445C" w14:paraId="00CA0079" w14:textId="77777777" w:rsidTr="00E713B0">
        <w:trPr>
          <w:tblHeader/>
        </w:trPr>
        <w:tc>
          <w:tcPr>
            <w:tcW w:w="454" w:type="dxa"/>
            <w:shd w:val="clear" w:color="auto" w:fill="FFFFFF"/>
          </w:tcPr>
          <w:p w14:paraId="4CB84E26" w14:textId="77777777" w:rsidR="00E713B0" w:rsidRPr="0009445C" w:rsidRDefault="00E713B0" w:rsidP="00E713B0">
            <w:pPr>
              <w:pStyle w:val="FormatvorlageBRL-TabelleFett"/>
              <w:widowControl w:val="0"/>
              <w:spacing w:before="40" w:after="60"/>
              <w:ind w:right="113"/>
              <w:rPr>
                <w:rFonts w:eastAsia="Calibri"/>
              </w:rPr>
            </w:pPr>
          </w:p>
        </w:tc>
        <w:tc>
          <w:tcPr>
            <w:tcW w:w="2528" w:type="dxa"/>
            <w:shd w:val="clear" w:color="auto" w:fill="FFFFFF"/>
          </w:tcPr>
          <w:p w14:paraId="559ADD72" w14:textId="77777777" w:rsidR="00E713B0" w:rsidRPr="0009445C" w:rsidDel="00442124" w:rsidRDefault="00E713B0" w:rsidP="00E713B0">
            <w:pPr>
              <w:pStyle w:val="FormatvorlageBRL-TabelleFett"/>
              <w:widowControl w:val="0"/>
              <w:spacing w:before="40" w:after="60"/>
              <w:ind w:right="113"/>
              <w:rPr>
                <w:rFonts w:eastAsia="Calibri"/>
              </w:rPr>
            </w:pPr>
            <w:r w:rsidRPr="0009445C">
              <w:t>1</w:t>
            </w:r>
          </w:p>
        </w:tc>
        <w:tc>
          <w:tcPr>
            <w:tcW w:w="2233" w:type="dxa"/>
            <w:shd w:val="clear" w:color="auto" w:fill="FFFFFF"/>
          </w:tcPr>
          <w:p w14:paraId="312E4FDB" w14:textId="77777777" w:rsidR="00E713B0" w:rsidRPr="0009445C" w:rsidRDefault="00E713B0" w:rsidP="00E713B0">
            <w:pPr>
              <w:pStyle w:val="FormatvorlageBRL-TabelleFett"/>
              <w:widowControl w:val="0"/>
              <w:spacing w:before="40" w:after="60"/>
              <w:ind w:right="113"/>
              <w:rPr>
                <w:rFonts w:eastAsia="Calibri"/>
              </w:rPr>
            </w:pPr>
            <w:r w:rsidRPr="0009445C">
              <w:t>2</w:t>
            </w:r>
          </w:p>
        </w:tc>
        <w:tc>
          <w:tcPr>
            <w:tcW w:w="2583" w:type="dxa"/>
            <w:shd w:val="clear" w:color="auto" w:fill="FFFFFF"/>
          </w:tcPr>
          <w:p w14:paraId="58BA5E8C" w14:textId="77777777" w:rsidR="00E713B0" w:rsidRPr="0009445C" w:rsidRDefault="00E713B0" w:rsidP="00E713B0">
            <w:pPr>
              <w:pStyle w:val="FormatvorlageBRL-TabelleFett"/>
              <w:widowControl w:val="0"/>
              <w:spacing w:before="40" w:after="60"/>
              <w:ind w:right="113"/>
              <w:rPr>
                <w:rFonts w:eastAsia="Calibri"/>
              </w:rPr>
            </w:pPr>
            <w:r w:rsidRPr="0009445C">
              <w:t>3</w:t>
            </w:r>
          </w:p>
        </w:tc>
      </w:tr>
      <w:tr w:rsidR="00E713B0" w:rsidRPr="0009445C" w14:paraId="73F5E9C9" w14:textId="77777777" w:rsidTr="00E713B0">
        <w:tc>
          <w:tcPr>
            <w:tcW w:w="454" w:type="dxa"/>
            <w:shd w:val="clear" w:color="auto" w:fill="FFFFFF"/>
          </w:tcPr>
          <w:p w14:paraId="6080CCBD"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1</w:t>
            </w:r>
          </w:p>
        </w:tc>
        <w:tc>
          <w:tcPr>
            <w:tcW w:w="2528" w:type="dxa"/>
            <w:shd w:val="clear" w:color="auto" w:fill="FFFFFF"/>
          </w:tcPr>
          <w:p w14:paraId="483B6400" w14:textId="77777777" w:rsidR="00E713B0" w:rsidRPr="0009445C" w:rsidRDefault="00E713B0" w:rsidP="00E713B0">
            <w:pPr>
              <w:pStyle w:val="BRL-Tabelle"/>
              <w:widowControl w:val="0"/>
              <w:spacing w:before="60" w:after="40"/>
              <w:ind w:left="113" w:right="113"/>
              <w:rPr>
                <w:rFonts w:eastAsia="Calibri"/>
              </w:rPr>
            </w:pPr>
            <w:r w:rsidRPr="0009445C">
              <w:t>non-combustible</w:t>
            </w:r>
          </w:p>
        </w:tc>
        <w:tc>
          <w:tcPr>
            <w:tcW w:w="2233" w:type="dxa"/>
            <w:shd w:val="clear" w:color="auto" w:fill="auto"/>
          </w:tcPr>
          <w:p w14:paraId="2978242D" w14:textId="77777777" w:rsidR="00E713B0" w:rsidRPr="0009445C" w:rsidRDefault="00E713B0" w:rsidP="00E713B0">
            <w:pPr>
              <w:pStyle w:val="BRL-Tabelle"/>
              <w:widowControl w:val="0"/>
              <w:spacing w:before="60" w:after="40"/>
              <w:ind w:left="113" w:right="113"/>
              <w:rPr>
                <w:rFonts w:eastAsia="Calibri"/>
              </w:rPr>
            </w:pPr>
            <w:r w:rsidRPr="0009445C">
              <w:t>A2</w:t>
            </w:r>
          </w:p>
        </w:tc>
        <w:tc>
          <w:tcPr>
            <w:tcW w:w="2583" w:type="dxa"/>
            <w:shd w:val="clear" w:color="auto" w:fill="auto"/>
          </w:tcPr>
          <w:p w14:paraId="01109377" w14:textId="2C095D3D" w:rsidR="00E713B0" w:rsidRPr="0009445C" w:rsidRDefault="007D6BBF" w:rsidP="00E713B0">
            <w:pPr>
              <w:pStyle w:val="BRL-Tabelle"/>
              <w:widowControl w:val="0"/>
              <w:spacing w:before="60" w:after="40"/>
              <w:ind w:left="113" w:right="113"/>
              <w:rPr>
                <w:rFonts w:eastAsia="Calibri"/>
              </w:rPr>
            </w:pPr>
            <w:r w:rsidRPr="0009445C">
              <w:t>-</w:t>
            </w:r>
          </w:p>
        </w:tc>
      </w:tr>
      <w:tr w:rsidR="00E713B0" w:rsidRPr="0009445C" w14:paraId="1E9E9AEA" w14:textId="77777777" w:rsidTr="00E713B0">
        <w:tc>
          <w:tcPr>
            <w:tcW w:w="454" w:type="dxa"/>
            <w:shd w:val="clear" w:color="auto" w:fill="FFFFFF"/>
          </w:tcPr>
          <w:p w14:paraId="3C16AEA5"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2</w:t>
            </w:r>
          </w:p>
        </w:tc>
        <w:tc>
          <w:tcPr>
            <w:tcW w:w="2528" w:type="dxa"/>
            <w:shd w:val="clear" w:color="auto" w:fill="FFFFFF"/>
          </w:tcPr>
          <w:p w14:paraId="4D36C13D" w14:textId="77777777" w:rsidR="00E713B0" w:rsidRPr="0009445C" w:rsidRDefault="00E713B0" w:rsidP="00E713B0">
            <w:pPr>
              <w:pStyle w:val="BRL-Tabelle"/>
              <w:widowControl w:val="0"/>
              <w:spacing w:before="60" w:after="40"/>
              <w:ind w:left="113" w:right="113"/>
              <w:rPr>
                <w:rFonts w:eastAsia="Calibri"/>
              </w:rPr>
            </w:pPr>
            <w:r w:rsidRPr="0009445C">
              <w:t>flame-resistant</w:t>
            </w:r>
          </w:p>
        </w:tc>
        <w:tc>
          <w:tcPr>
            <w:tcW w:w="2233" w:type="dxa"/>
            <w:shd w:val="clear" w:color="auto" w:fill="auto"/>
          </w:tcPr>
          <w:p w14:paraId="48A01E12" w14:textId="77777777" w:rsidR="00E713B0" w:rsidRPr="0009445C" w:rsidRDefault="00E713B0" w:rsidP="00E713B0">
            <w:pPr>
              <w:pStyle w:val="BRL-Tabelle"/>
              <w:widowControl w:val="0"/>
              <w:spacing w:before="60" w:after="40"/>
              <w:ind w:left="113" w:right="113"/>
              <w:rPr>
                <w:rFonts w:eastAsia="Calibri"/>
              </w:rPr>
            </w:pPr>
            <w:r w:rsidRPr="0009445C">
              <w:t>B1</w:t>
            </w:r>
          </w:p>
        </w:tc>
        <w:tc>
          <w:tcPr>
            <w:tcW w:w="2583" w:type="dxa"/>
            <w:shd w:val="clear" w:color="auto" w:fill="auto"/>
          </w:tcPr>
          <w:p w14:paraId="41AE7B5F" w14:textId="77777777" w:rsidR="00E713B0" w:rsidRPr="0009445C" w:rsidRDefault="00E713B0" w:rsidP="00E713B0">
            <w:pPr>
              <w:pStyle w:val="BRL-Tabelle"/>
              <w:widowControl w:val="0"/>
              <w:spacing w:before="60" w:after="40"/>
              <w:ind w:left="113" w:right="113"/>
              <w:rPr>
                <w:rFonts w:eastAsia="Calibri"/>
              </w:rPr>
            </w:pPr>
            <w:r w:rsidRPr="0009445C">
              <w:t>limited smoke development</w:t>
            </w:r>
            <w:r w:rsidRPr="0009445C">
              <w:br/>
              <w:t>(</w:t>
            </w:r>
            <w:proofErr w:type="spellStart"/>
            <w:r w:rsidRPr="0009445C">
              <w:t>I</w:t>
            </w:r>
            <w:r w:rsidRPr="0009445C">
              <w:rPr>
                <w:color w:val="7F7F7F" w:themeColor="text1" w:themeTint="80"/>
                <w:vertAlign w:val="superscript"/>
              </w:rPr>
              <w:t>a</w:t>
            </w:r>
            <w:proofErr w:type="spellEnd"/>
            <w:r w:rsidRPr="0009445C">
              <w:t> ≤ 400 % x min. when tested pursuant to DIN 4102</w:t>
            </w:r>
            <w:r w:rsidRPr="0009445C">
              <w:noBreakHyphen/>
              <w:t xml:space="preserve">15:1990-05) </w:t>
            </w:r>
          </w:p>
          <w:p w14:paraId="5DBFB564" w14:textId="77777777" w:rsidR="00E713B0" w:rsidRPr="0009445C" w:rsidRDefault="00E713B0" w:rsidP="00E713B0">
            <w:pPr>
              <w:pStyle w:val="BRL-Tabelle"/>
              <w:widowControl w:val="0"/>
              <w:spacing w:before="60" w:after="40"/>
              <w:ind w:left="113" w:right="113"/>
              <w:rPr>
                <w:rFonts w:eastAsia="Calibri"/>
              </w:rPr>
            </w:pPr>
            <w:r w:rsidRPr="0009445C">
              <w:t>Pass</w:t>
            </w:r>
          </w:p>
        </w:tc>
      </w:tr>
      <w:tr w:rsidR="00E713B0" w:rsidRPr="0009445C" w14:paraId="5B87432B" w14:textId="77777777" w:rsidTr="00E713B0">
        <w:tc>
          <w:tcPr>
            <w:tcW w:w="454" w:type="dxa"/>
            <w:shd w:val="clear" w:color="auto" w:fill="FFFFFF"/>
          </w:tcPr>
          <w:p w14:paraId="45A9D7D4"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3</w:t>
            </w:r>
          </w:p>
        </w:tc>
        <w:tc>
          <w:tcPr>
            <w:tcW w:w="2528" w:type="dxa"/>
            <w:shd w:val="clear" w:color="auto" w:fill="FFFFFF"/>
          </w:tcPr>
          <w:p w14:paraId="1FC9AB2C" w14:textId="77777777" w:rsidR="00E713B0" w:rsidRPr="0009445C" w:rsidRDefault="00E713B0" w:rsidP="00E713B0">
            <w:pPr>
              <w:pStyle w:val="BRL-Tabelle"/>
              <w:widowControl w:val="0"/>
              <w:spacing w:before="60" w:after="40"/>
              <w:ind w:left="113" w:right="113"/>
              <w:rPr>
                <w:rFonts w:eastAsia="Calibri"/>
              </w:rPr>
            </w:pPr>
            <w:r w:rsidRPr="0009445C">
              <w:t xml:space="preserve">flame-resistant and with low </w:t>
            </w:r>
            <w:r w:rsidRPr="0009445C">
              <w:lastRenderedPageBreak/>
              <w:t>smoke development</w:t>
            </w:r>
          </w:p>
        </w:tc>
        <w:tc>
          <w:tcPr>
            <w:tcW w:w="2233" w:type="dxa"/>
            <w:shd w:val="clear" w:color="auto" w:fill="auto"/>
          </w:tcPr>
          <w:p w14:paraId="16B87195" w14:textId="77777777" w:rsidR="00E713B0" w:rsidRPr="0009445C" w:rsidRDefault="00E713B0" w:rsidP="00E713B0">
            <w:pPr>
              <w:pStyle w:val="BRL-Tabelle"/>
              <w:widowControl w:val="0"/>
              <w:spacing w:before="60" w:after="40"/>
              <w:ind w:left="113" w:right="113"/>
              <w:rPr>
                <w:rFonts w:eastAsia="Calibri"/>
              </w:rPr>
            </w:pPr>
            <w:r w:rsidRPr="0009445C">
              <w:lastRenderedPageBreak/>
              <w:t xml:space="preserve">B1 </w:t>
            </w:r>
          </w:p>
        </w:tc>
        <w:tc>
          <w:tcPr>
            <w:tcW w:w="2583" w:type="dxa"/>
            <w:shd w:val="clear" w:color="auto" w:fill="auto"/>
          </w:tcPr>
          <w:p w14:paraId="3CEA1641" w14:textId="77777777" w:rsidR="00E713B0" w:rsidRPr="0009445C" w:rsidRDefault="00E713B0" w:rsidP="00E713B0">
            <w:pPr>
              <w:pStyle w:val="BRL-Tabelle"/>
              <w:widowControl w:val="0"/>
              <w:spacing w:before="60" w:after="40"/>
              <w:ind w:left="113" w:right="113"/>
              <w:rPr>
                <w:rFonts w:eastAsia="Calibri"/>
              </w:rPr>
            </w:pPr>
            <w:r w:rsidRPr="0009445C">
              <w:t>low smoke development</w:t>
            </w:r>
            <w:r w:rsidRPr="0009445C">
              <w:br/>
              <w:t>(</w:t>
            </w:r>
            <w:proofErr w:type="spellStart"/>
            <w:r w:rsidRPr="0009445C">
              <w:t>I</w:t>
            </w:r>
            <w:r w:rsidRPr="0009445C">
              <w:rPr>
                <w:color w:val="7F7F7F" w:themeColor="text1" w:themeTint="80"/>
                <w:vertAlign w:val="superscript"/>
              </w:rPr>
              <w:t>a</w:t>
            </w:r>
            <w:proofErr w:type="spellEnd"/>
            <w:r w:rsidRPr="0009445C">
              <w:t xml:space="preserve"> ≤ 100 % x min. when tested </w:t>
            </w:r>
            <w:r w:rsidRPr="0009445C">
              <w:lastRenderedPageBreak/>
              <w:t>pursuant to DIN 4102</w:t>
            </w:r>
            <w:r w:rsidRPr="0009445C">
              <w:noBreakHyphen/>
              <w:t xml:space="preserve">15:1990-05) </w:t>
            </w:r>
          </w:p>
          <w:p w14:paraId="7B648D22" w14:textId="77777777" w:rsidR="00E713B0" w:rsidRPr="0009445C" w:rsidRDefault="00E713B0" w:rsidP="00E713B0">
            <w:pPr>
              <w:pStyle w:val="BRL-Tabelle"/>
              <w:widowControl w:val="0"/>
              <w:spacing w:before="60" w:after="40"/>
              <w:ind w:left="113" w:right="113"/>
              <w:rPr>
                <w:rFonts w:eastAsia="Calibri"/>
              </w:rPr>
            </w:pPr>
            <w:r w:rsidRPr="0009445C">
              <w:t>Pass</w:t>
            </w:r>
          </w:p>
        </w:tc>
      </w:tr>
      <w:tr w:rsidR="00E713B0" w:rsidRPr="0009445C" w14:paraId="0C863A95" w14:textId="77777777" w:rsidTr="00E713B0">
        <w:tc>
          <w:tcPr>
            <w:tcW w:w="454" w:type="dxa"/>
            <w:shd w:val="clear" w:color="auto" w:fill="FFFFFF"/>
          </w:tcPr>
          <w:p w14:paraId="6F289F29"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lastRenderedPageBreak/>
              <w:t>4</w:t>
            </w:r>
          </w:p>
        </w:tc>
        <w:tc>
          <w:tcPr>
            <w:tcW w:w="2528" w:type="dxa"/>
            <w:shd w:val="clear" w:color="auto" w:fill="FFFFFF"/>
          </w:tcPr>
          <w:p w14:paraId="046EE03C" w14:textId="77777777" w:rsidR="00E713B0" w:rsidRPr="0009445C" w:rsidRDefault="00E713B0" w:rsidP="00E713B0">
            <w:pPr>
              <w:pStyle w:val="BRL-Tabelle"/>
              <w:widowControl w:val="0"/>
              <w:spacing w:before="60" w:after="40"/>
              <w:ind w:left="113" w:right="113"/>
              <w:rPr>
                <w:rFonts w:eastAsia="Calibri"/>
              </w:rPr>
            </w:pPr>
            <w:r w:rsidRPr="0009445C">
              <w:t>normal flammability</w:t>
            </w:r>
          </w:p>
        </w:tc>
        <w:tc>
          <w:tcPr>
            <w:tcW w:w="2233" w:type="dxa"/>
            <w:shd w:val="clear" w:color="auto" w:fill="auto"/>
          </w:tcPr>
          <w:p w14:paraId="2C9D067C" w14:textId="77777777" w:rsidR="00E713B0" w:rsidRPr="0009445C" w:rsidRDefault="00E713B0" w:rsidP="00E713B0">
            <w:pPr>
              <w:pStyle w:val="BRL-Tabelle"/>
              <w:widowControl w:val="0"/>
              <w:spacing w:before="60" w:after="40"/>
              <w:ind w:left="113" w:right="113"/>
              <w:rPr>
                <w:rFonts w:eastAsia="Calibri"/>
              </w:rPr>
            </w:pPr>
            <w:r w:rsidRPr="0009445C">
              <w:t>B2</w:t>
            </w:r>
            <w:r w:rsidRPr="0009445C">
              <w:br/>
            </w:r>
          </w:p>
        </w:tc>
        <w:tc>
          <w:tcPr>
            <w:tcW w:w="2583" w:type="dxa"/>
            <w:shd w:val="clear" w:color="auto" w:fill="auto"/>
          </w:tcPr>
          <w:p w14:paraId="1F0E8EBA" w14:textId="77777777" w:rsidR="00E713B0" w:rsidRPr="0009445C" w:rsidDel="00354207" w:rsidRDefault="00E713B0" w:rsidP="00E713B0">
            <w:pPr>
              <w:pStyle w:val="BRL-Tabelle"/>
              <w:widowControl w:val="0"/>
              <w:spacing w:before="60" w:after="40"/>
              <w:ind w:left="113" w:right="113"/>
              <w:rPr>
                <w:rFonts w:eastAsia="Calibri"/>
              </w:rPr>
            </w:pPr>
            <w:r w:rsidRPr="0009445C">
              <w:t>--</w:t>
            </w:r>
          </w:p>
        </w:tc>
      </w:tr>
      <w:tr w:rsidR="00E713B0" w:rsidRPr="0009445C" w14:paraId="4D82B848" w14:textId="77777777" w:rsidTr="00E713B0">
        <w:tc>
          <w:tcPr>
            <w:tcW w:w="454" w:type="dxa"/>
            <w:shd w:val="clear" w:color="auto" w:fill="FFFFFF"/>
          </w:tcPr>
          <w:p w14:paraId="148224C6" w14:textId="77777777" w:rsidR="00E713B0" w:rsidRPr="0009445C" w:rsidRDefault="00E713B0" w:rsidP="00E713B0">
            <w:pPr>
              <w:pStyle w:val="BRL-Tabelle"/>
              <w:widowControl w:val="0"/>
              <w:spacing w:before="60" w:after="40"/>
              <w:ind w:left="113" w:right="113"/>
              <w:jc w:val="center"/>
              <w:rPr>
                <w:rFonts w:eastAsia="Calibri"/>
                <w:b/>
                <w:color w:val="7F7F7F" w:themeColor="text1" w:themeTint="80"/>
                <w:vertAlign w:val="superscript"/>
              </w:rPr>
            </w:pPr>
          </w:p>
        </w:tc>
        <w:tc>
          <w:tcPr>
            <w:tcW w:w="7344" w:type="dxa"/>
            <w:gridSpan w:val="3"/>
            <w:shd w:val="clear" w:color="auto" w:fill="FFFFFF"/>
          </w:tcPr>
          <w:p w14:paraId="5FC96DB6" w14:textId="77777777" w:rsidR="00E713B0" w:rsidRPr="0009445C" w:rsidRDefault="00E713B0" w:rsidP="00E713B0">
            <w:pPr>
              <w:pStyle w:val="BRL-Tabelle"/>
              <w:widowControl w:val="0"/>
              <w:spacing w:before="60" w:after="40"/>
              <w:ind w:left="113" w:right="113"/>
              <w:rPr>
                <w:rFonts w:eastAsia="Calibri"/>
              </w:rPr>
            </w:pPr>
            <w:proofErr w:type="spellStart"/>
            <w:r w:rsidRPr="0009445C">
              <w:rPr>
                <w:color w:val="7F7F7F" w:themeColor="text1" w:themeTint="80"/>
                <w:vertAlign w:val="superscript"/>
              </w:rPr>
              <w:t>a</w:t>
            </w:r>
            <w:proofErr w:type="spellEnd"/>
            <w:r w:rsidRPr="0009445C">
              <w:rPr>
                <w:color w:val="7F7F7F" w:themeColor="text1" w:themeTint="80"/>
                <w:vertAlign w:val="superscript"/>
              </w:rPr>
              <w:t xml:space="preserve"> </w:t>
            </w:r>
            <w:r w:rsidRPr="0009445C">
              <w:t>The integral value I of smoke development shall be determined over time by determining the surface content by means of rectangular method under the light attenuation curve during the test according to DIN 4102-15: 1990-05 during the flame exposure period by means of the light measuring distance according to DIN 50055:1989-03 with a sampling rate of at least one measured value per 3 seconds.</w:t>
            </w:r>
          </w:p>
        </w:tc>
      </w:tr>
    </w:tbl>
    <w:p w14:paraId="2AE481D7" w14:textId="77777777" w:rsidR="00E713B0" w:rsidRPr="0009445C" w:rsidRDefault="00E713B0" w:rsidP="00E713B0">
      <w:pPr>
        <w:pStyle w:val="BRL-Standard"/>
      </w:pPr>
    </w:p>
    <w:p w14:paraId="1B55ED39" w14:textId="77777777" w:rsidR="00E713B0" w:rsidRPr="0009445C" w:rsidRDefault="00E713B0" w:rsidP="00E713B0">
      <w:pPr>
        <w:pStyle w:val="BRL-Standard"/>
      </w:pPr>
      <w:r w:rsidRPr="0009445C">
        <w:t>For construction products, values on smoke development are determined during the tests according to DIN 4102-15:1990-05 Section 4.4. These values shall be specified by the manufacturer.</w:t>
      </w:r>
    </w:p>
    <w:p w14:paraId="4A7A6E8F" w14:textId="77777777" w:rsidR="00E713B0" w:rsidRPr="0009445C" w:rsidRDefault="00E713B0" w:rsidP="00E713B0">
      <w:pPr>
        <w:pStyle w:val="BRL-Standard"/>
      </w:pPr>
    </w:p>
    <w:p w14:paraId="55F04F65" w14:textId="77777777" w:rsidR="00E713B0" w:rsidRPr="0009445C" w:rsidRDefault="00E713B0" w:rsidP="00600F53">
      <w:pPr>
        <w:pStyle w:val="BRL-berschrift"/>
      </w:pPr>
      <w:r w:rsidRPr="0009445C">
        <w:t>2.1.2</w:t>
      </w:r>
      <w:r w:rsidRPr="0009445C">
        <w:tab/>
        <w:t>Minimum required fire performance</w:t>
      </w:r>
    </w:p>
    <w:p w14:paraId="7F22C1A9" w14:textId="77777777" w:rsidR="00E713B0" w:rsidRPr="0009445C" w:rsidRDefault="00E713B0" w:rsidP="00E713B0">
      <w:pPr>
        <w:pStyle w:val="BRL-Standard"/>
      </w:pPr>
      <w:r w:rsidRPr="0009445C">
        <w:t>The minimum required performance is given in Table 2.1.2 for cables and wiring for use in structural works as defined in Section 4.1 of EN 50575:2014+A1:2016</w:t>
      </w:r>
      <w:r w:rsidRPr="0009445C">
        <w:rPr>
          <w:rStyle w:val="FootnoteReference"/>
        </w:rPr>
        <w:footnoteReference w:id="23"/>
      </w:r>
      <w:r w:rsidRPr="0009445C">
        <w:t>.</w:t>
      </w:r>
    </w:p>
    <w:p w14:paraId="736C66C7" w14:textId="77777777" w:rsidR="00E713B0" w:rsidRPr="0009445C" w:rsidRDefault="00E713B0" w:rsidP="00E713B0">
      <w:pPr>
        <w:pStyle w:val="BRL-Standard"/>
      </w:pPr>
    </w:p>
    <w:p w14:paraId="20AFE033" w14:textId="77777777" w:rsidR="00E713B0" w:rsidRPr="0009445C" w:rsidRDefault="00E713B0" w:rsidP="00E713B0">
      <w:pPr>
        <w:pStyle w:val="BRLTabelleberschrift"/>
        <w:spacing w:after="120"/>
      </w:pPr>
      <w:r w:rsidRPr="0009445C">
        <w:t xml:space="preserve">Table 2.1.2: </w:t>
      </w:r>
      <w:r w:rsidRPr="0009445C">
        <w:tab/>
        <w:t>Building approval requirements and minimum required fire performance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616"/>
        <w:gridCol w:w="4983"/>
        <w:gridCol w:w="3473"/>
      </w:tblGrid>
      <w:tr w:rsidR="00E713B0" w:rsidRPr="0009445C" w14:paraId="3366A21C" w14:textId="77777777" w:rsidTr="00E713B0">
        <w:tc>
          <w:tcPr>
            <w:tcW w:w="454" w:type="dxa"/>
            <w:shd w:val="clear" w:color="auto" w:fill="FFFFFF"/>
          </w:tcPr>
          <w:p w14:paraId="1638BA67" w14:textId="77777777" w:rsidR="00E713B0" w:rsidRPr="0009445C" w:rsidRDefault="00E713B0" w:rsidP="00E713B0">
            <w:pPr>
              <w:pStyle w:val="BRL-TabelleAnlageberschriftFett"/>
              <w:rPr>
                <w:rFonts w:eastAsia="Calibri"/>
              </w:rPr>
            </w:pPr>
          </w:p>
        </w:tc>
        <w:tc>
          <w:tcPr>
            <w:tcW w:w="3676" w:type="dxa"/>
            <w:shd w:val="clear" w:color="auto" w:fill="FFFFFF"/>
          </w:tcPr>
          <w:p w14:paraId="1953CBE6" w14:textId="77777777" w:rsidR="00E713B0" w:rsidRPr="0009445C" w:rsidRDefault="00E713B0" w:rsidP="00E713B0">
            <w:pPr>
              <w:pStyle w:val="BRL-TabelleAnlageberschriftFett"/>
              <w:rPr>
                <w:rFonts w:eastAsia="Calibri"/>
              </w:rPr>
            </w:pPr>
            <w:r w:rsidRPr="0009445C">
              <w:t>Building approval requirement</w:t>
            </w:r>
          </w:p>
        </w:tc>
        <w:tc>
          <w:tcPr>
            <w:tcW w:w="2562" w:type="dxa"/>
            <w:shd w:val="clear" w:color="auto" w:fill="FFFFFF"/>
          </w:tcPr>
          <w:p w14:paraId="3EC1FF29" w14:textId="77777777" w:rsidR="00E713B0" w:rsidRPr="0009445C" w:rsidRDefault="00E713B0" w:rsidP="00E713B0">
            <w:pPr>
              <w:pStyle w:val="BRL-TabelleAnlageberschriftFett"/>
              <w:rPr>
                <w:rFonts w:eastAsia="Calibri"/>
              </w:rPr>
            </w:pPr>
            <w:r w:rsidRPr="0009445C">
              <w:t>Minimum required performances</w:t>
            </w:r>
          </w:p>
        </w:tc>
      </w:tr>
      <w:tr w:rsidR="00E713B0" w:rsidRPr="0009445C" w14:paraId="38D5321A" w14:textId="77777777" w:rsidTr="00E713B0">
        <w:tc>
          <w:tcPr>
            <w:tcW w:w="454" w:type="dxa"/>
            <w:shd w:val="clear" w:color="auto" w:fill="FFFFFF"/>
          </w:tcPr>
          <w:p w14:paraId="0365DA53" w14:textId="77777777" w:rsidR="00E713B0" w:rsidRPr="0009445C" w:rsidRDefault="00E713B0" w:rsidP="00E713B0">
            <w:pPr>
              <w:pStyle w:val="BRL-TabelleAnlageberschriftFett"/>
              <w:jc w:val="center"/>
              <w:rPr>
                <w:rFonts w:eastAsia="Calibri"/>
              </w:rPr>
            </w:pPr>
          </w:p>
        </w:tc>
        <w:tc>
          <w:tcPr>
            <w:tcW w:w="3676" w:type="dxa"/>
            <w:shd w:val="clear" w:color="auto" w:fill="FFFFFF"/>
          </w:tcPr>
          <w:p w14:paraId="757566EF" w14:textId="77777777" w:rsidR="00E713B0" w:rsidRPr="0009445C" w:rsidRDefault="00E713B0" w:rsidP="00E713B0">
            <w:pPr>
              <w:pStyle w:val="BRL-TabelleAnlageberschriftFett"/>
              <w:jc w:val="center"/>
              <w:rPr>
                <w:rFonts w:eastAsia="Calibri"/>
              </w:rPr>
            </w:pPr>
            <w:r w:rsidRPr="0009445C">
              <w:t>1</w:t>
            </w:r>
          </w:p>
        </w:tc>
        <w:tc>
          <w:tcPr>
            <w:tcW w:w="2562" w:type="dxa"/>
            <w:shd w:val="clear" w:color="auto" w:fill="FFFFFF"/>
          </w:tcPr>
          <w:p w14:paraId="33FAD549" w14:textId="77777777" w:rsidR="00E713B0" w:rsidRPr="0009445C" w:rsidRDefault="00E713B0" w:rsidP="00E713B0">
            <w:pPr>
              <w:pStyle w:val="BRL-TabelleAnlageberschriftFett"/>
              <w:jc w:val="center"/>
              <w:rPr>
                <w:rFonts w:eastAsia="Calibri"/>
              </w:rPr>
            </w:pPr>
            <w:r w:rsidRPr="0009445C">
              <w:t>2</w:t>
            </w:r>
          </w:p>
        </w:tc>
      </w:tr>
      <w:tr w:rsidR="00E713B0" w:rsidRPr="0009445C" w14:paraId="58DA7004" w14:textId="77777777" w:rsidTr="00E713B0">
        <w:tc>
          <w:tcPr>
            <w:tcW w:w="454" w:type="dxa"/>
            <w:shd w:val="clear" w:color="auto" w:fill="FFFFFF"/>
          </w:tcPr>
          <w:p w14:paraId="65EFEE74"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1</w:t>
            </w:r>
          </w:p>
        </w:tc>
        <w:tc>
          <w:tcPr>
            <w:tcW w:w="3676" w:type="dxa"/>
            <w:shd w:val="clear" w:color="auto" w:fill="FFFFFF"/>
          </w:tcPr>
          <w:p w14:paraId="409BBE45" w14:textId="77777777" w:rsidR="00E713B0" w:rsidRPr="0009445C" w:rsidRDefault="00E713B0" w:rsidP="00E713B0">
            <w:pPr>
              <w:pStyle w:val="BRL-Tabelle"/>
              <w:widowControl w:val="0"/>
              <w:spacing w:before="60" w:after="40"/>
              <w:ind w:left="113" w:right="113"/>
              <w:rPr>
                <w:rFonts w:eastAsia="Calibri"/>
              </w:rPr>
            </w:pPr>
            <w:r w:rsidRPr="0009445C">
              <w:t>non-combustible</w:t>
            </w:r>
          </w:p>
        </w:tc>
        <w:tc>
          <w:tcPr>
            <w:tcW w:w="2562" w:type="dxa"/>
            <w:shd w:val="clear" w:color="auto" w:fill="auto"/>
          </w:tcPr>
          <w:p w14:paraId="31DF26A6" w14:textId="77777777" w:rsidR="00E713B0" w:rsidRPr="0009445C" w:rsidRDefault="00E713B0" w:rsidP="00E713B0">
            <w:pPr>
              <w:pStyle w:val="BRL-Tabelle"/>
              <w:widowControl w:val="0"/>
              <w:spacing w:before="60" w:after="40"/>
              <w:ind w:left="113" w:right="113"/>
              <w:rPr>
                <w:rFonts w:eastAsia="Calibri"/>
              </w:rPr>
            </w:pPr>
            <w:r w:rsidRPr="0009445C">
              <w:t>A</w:t>
            </w:r>
            <w:r w:rsidRPr="0009445C">
              <w:rPr>
                <w:vertAlign w:val="subscript"/>
              </w:rPr>
              <w:t>ca</w:t>
            </w:r>
          </w:p>
        </w:tc>
      </w:tr>
      <w:tr w:rsidR="00E713B0" w:rsidRPr="0009445C" w14:paraId="50557316" w14:textId="77777777" w:rsidTr="00E713B0">
        <w:tc>
          <w:tcPr>
            <w:tcW w:w="454" w:type="dxa"/>
            <w:shd w:val="clear" w:color="auto" w:fill="FFFFFF"/>
          </w:tcPr>
          <w:p w14:paraId="4F082EC1"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2</w:t>
            </w:r>
          </w:p>
        </w:tc>
        <w:tc>
          <w:tcPr>
            <w:tcW w:w="3676" w:type="dxa"/>
            <w:shd w:val="clear" w:color="auto" w:fill="FFFFFF"/>
          </w:tcPr>
          <w:p w14:paraId="07F69223" w14:textId="77777777" w:rsidR="00E713B0" w:rsidRPr="0009445C" w:rsidRDefault="00E713B0" w:rsidP="00E713B0">
            <w:pPr>
              <w:pStyle w:val="BRL-Tabelle"/>
              <w:widowControl w:val="0"/>
              <w:spacing w:before="60" w:after="40"/>
              <w:ind w:left="113" w:right="113"/>
              <w:rPr>
                <w:rFonts w:eastAsia="Calibri"/>
              </w:rPr>
            </w:pPr>
            <w:r w:rsidRPr="0009445C">
              <w:t>flame-resistant</w:t>
            </w:r>
          </w:p>
        </w:tc>
        <w:tc>
          <w:tcPr>
            <w:tcW w:w="2562" w:type="dxa"/>
            <w:shd w:val="clear" w:color="auto" w:fill="auto"/>
          </w:tcPr>
          <w:p w14:paraId="1950EB09" w14:textId="77777777" w:rsidR="00E713B0" w:rsidRPr="0009445C" w:rsidRDefault="00E713B0" w:rsidP="00E713B0">
            <w:pPr>
              <w:pStyle w:val="BRL-Tabelle"/>
              <w:widowControl w:val="0"/>
              <w:spacing w:before="60" w:after="40"/>
              <w:ind w:left="113" w:right="113"/>
              <w:rPr>
                <w:rFonts w:eastAsia="Calibri"/>
              </w:rPr>
            </w:pPr>
            <w:r w:rsidRPr="0009445C">
              <w:t>B1</w:t>
            </w:r>
            <w:r w:rsidRPr="0009445C">
              <w:rPr>
                <w:vertAlign w:val="subscript"/>
              </w:rPr>
              <w:t>ca</w:t>
            </w:r>
            <w:r w:rsidRPr="0009445C">
              <w:t xml:space="preserve"> –s2</w:t>
            </w:r>
          </w:p>
        </w:tc>
      </w:tr>
      <w:tr w:rsidR="00E713B0" w:rsidRPr="0009445C" w14:paraId="5D6070AA" w14:textId="77777777" w:rsidTr="00E713B0">
        <w:tc>
          <w:tcPr>
            <w:tcW w:w="454" w:type="dxa"/>
            <w:shd w:val="clear" w:color="auto" w:fill="FFFFFF"/>
          </w:tcPr>
          <w:p w14:paraId="792D0362"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3</w:t>
            </w:r>
          </w:p>
        </w:tc>
        <w:tc>
          <w:tcPr>
            <w:tcW w:w="3676" w:type="dxa"/>
            <w:shd w:val="clear" w:color="auto" w:fill="FFFFFF"/>
          </w:tcPr>
          <w:p w14:paraId="4EE7B220" w14:textId="77777777" w:rsidR="00E713B0" w:rsidRPr="0009445C" w:rsidRDefault="00E713B0" w:rsidP="00E713B0">
            <w:pPr>
              <w:pStyle w:val="BRL-Tabelle"/>
              <w:widowControl w:val="0"/>
              <w:spacing w:before="60" w:after="40"/>
              <w:ind w:left="113" w:right="113"/>
              <w:rPr>
                <w:rFonts w:eastAsia="Calibri"/>
                <w:b/>
              </w:rPr>
            </w:pPr>
            <w:r w:rsidRPr="0009445C">
              <w:t>flame-resistant and with low smoke development</w:t>
            </w:r>
          </w:p>
        </w:tc>
        <w:tc>
          <w:tcPr>
            <w:tcW w:w="2562" w:type="dxa"/>
            <w:shd w:val="clear" w:color="auto" w:fill="auto"/>
          </w:tcPr>
          <w:p w14:paraId="29A94247" w14:textId="77777777" w:rsidR="00E713B0" w:rsidRPr="0009445C" w:rsidRDefault="00E713B0" w:rsidP="00E713B0">
            <w:pPr>
              <w:pStyle w:val="BRL-Tabelle"/>
              <w:widowControl w:val="0"/>
              <w:spacing w:before="60" w:after="40"/>
              <w:ind w:left="113" w:right="113"/>
              <w:rPr>
                <w:rFonts w:eastAsia="Calibri"/>
              </w:rPr>
            </w:pPr>
            <w:r w:rsidRPr="0009445C">
              <w:t>B1</w:t>
            </w:r>
            <w:r w:rsidRPr="0009445C">
              <w:rPr>
                <w:vertAlign w:val="subscript"/>
              </w:rPr>
              <w:t>ca</w:t>
            </w:r>
            <w:r w:rsidRPr="0009445C">
              <w:t xml:space="preserve"> –s1</w:t>
            </w:r>
          </w:p>
        </w:tc>
      </w:tr>
      <w:tr w:rsidR="00E713B0" w:rsidRPr="0009445C" w14:paraId="3909EAA4" w14:textId="77777777" w:rsidTr="00E713B0">
        <w:tc>
          <w:tcPr>
            <w:tcW w:w="454" w:type="dxa"/>
            <w:shd w:val="clear" w:color="auto" w:fill="FFFFFF"/>
          </w:tcPr>
          <w:p w14:paraId="57CEFF8D" w14:textId="77777777" w:rsidR="00E713B0" w:rsidRPr="0009445C" w:rsidRDefault="00E713B0" w:rsidP="00E713B0">
            <w:pPr>
              <w:pStyle w:val="BRL-Tabelle"/>
              <w:widowControl w:val="0"/>
              <w:spacing w:before="60" w:after="40"/>
              <w:ind w:left="113" w:right="113"/>
              <w:jc w:val="center"/>
              <w:rPr>
                <w:rFonts w:eastAsia="Calibri"/>
                <w:b/>
              </w:rPr>
            </w:pPr>
            <w:r w:rsidRPr="0009445C">
              <w:rPr>
                <w:b/>
              </w:rPr>
              <w:t>4</w:t>
            </w:r>
          </w:p>
        </w:tc>
        <w:tc>
          <w:tcPr>
            <w:tcW w:w="3676" w:type="dxa"/>
            <w:shd w:val="clear" w:color="auto" w:fill="FFFFFF"/>
          </w:tcPr>
          <w:p w14:paraId="3B2E9D3D" w14:textId="77777777" w:rsidR="00E713B0" w:rsidRPr="0009445C" w:rsidRDefault="00E713B0" w:rsidP="00E713B0">
            <w:pPr>
              <w:pStyle w:val="BRL-Tabelle"/>
              <w:widowControl w:val="0"/>
              <w:spacing w:before="60" w:after="40"/>
              <w:ind w:left="113" w:right="113"/>
              <w:rPr>
                <w:rFonts w:eastAsia="Calibri"/>
              </w:rPr>
            </w:pPr>
            <w:r w:rsidRPr="0009445C">
              <w:t>normal flammability</w:t>
            </w:r>
          </w:p>
        </w:tc>
        <w:tc>
          <w:tcPr>
            <w:tcW w:w="2562" w:type="dxa"/>
            <w:shd w:val="clear" w:color="auto" w:fill="auto"/>
          </w:tcPr>
          <w:p w14:paraId="0652FEE9" w14:textId="77777777" w:rsidR="00E713B0" w:rsidRPr="0009445C" w:rsidRDefault="00E713B0" w:rsidP="00E713B0">
            <w:pPr>
              <w:pStyle w:val="BRL-Tabelle"/>
              <w:widowControl w:val="0"/>
              <w:spacing w:before="60" w:after="40"/>
              <w:ind w:left="113" w:right="113"/>
              <w:rPr>
                <w:rFonts w:eastAsia="Calibri"/>
              </w:rPr>
            </w:pPr>
            <w:proofErr w:type="spellStart"/>
            <w:r w:rsidRPr="0009445C">
              <w:t>E</w:t>
            </w:r>
            <w:r w:rsidRPr="0009445C">
              <w:rPr>
                <w:vertAlign w:val="subscript"/>
              </w:rPr>
              <w:t>ca</w:t>
            </w:r>
            <w:proofErr w:type="spellEnd"/>
          </w:p>
        </w:tc>
      </w:tr>
    </w:tbl>
    <w:p w14:paraId="4C7B5FAF" w14:textId="77777777" w:rsidR="00E713B0" w:rsidRPr="0009445C" w:rsidRDefault="00E713B0" w:rsidP="00E713B0">
      <w:pPr>
        <w:spacing w:before="120"/>
      </w:pPr>
      <w:r w:rsidRPr="0009445C">
        <w:t>Explanatory notes for Table 2.1.2: ...ca(cable) fire performance class of cables</w:t>
      </w:r>
    </w:p>
    <w:p w14:paraId="341288B4" w14:textId="77777777" w:rsidR="00E713B0" w:rsidRPr="0009445C" w:rsidRDefault="00E713B0" w:rsidP="00E713B0">
      <w:pPr>
        <w:spacing w:before="120"/>
      </w:pPr>
    </w:p>
    <w:p w14:paraId="461329D9" w14:textId="77777777" w:rsidR="00E713B0" w:rsidRPr="0009445C" w:rsidRDefault="00E713B0" w:rsidP="00600F53">
      <w:pPr>
        <w:pStyle w:val="BRL-berschrift"/>
      </w:pPr>
      <w:r w:rsidRPr="0009445C">
        <w:t>2.2</w:t>
      </w:r>
      <w:r w:rsidRPr="0009445C">
        <w:tab/>
        <w:t>Electrical cable systems</w:t>
      </w:r>
    </w:p>
    <w:p w14:paraId="6839361B" w14:textId="3AC81D93" w:rsidR="00E713B0" w:rsidRPr="0009445C" w:rsidRDefault="00E713B0" w:rsidP="00E713B0">
      <w:pPr>
        <w:pStyle w:val="BRL-Standard"/>
      </w:pPr>
      <w:r w:rsidRPr="0009445C">
        <w:t>In order to fulfil the structural requirements of A 2.1.15 and A 2.2.1.8, functional integrity of electrical cable systems under fire impact for types according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shall be demonstrated based on the minimum required functional integrity classes pursuant to DIN 4102</w:t>
      </w:r>
      <w:r w:rsidRPr="0009445C">
        <w:noBreakHyphen/>
        <w:t>12:1998</w:t>
      </w:r>
      <w:r w:rsidRPr="0009445C">
        <w:noBreakHyphen/>
        <w:t>11 as given in Table 2.2.1.</w:t>
      </w:r>
    </w:p>
    <w:p w14:paraId="75DDA690" w14:textId="77777777" w:rsidR="00E713B0" w:rsidRPr="0009445C" w:rsidRDefault="00E713B0" w:rsidP="00E713B0">
      <w:pPr>
        <w:pStyle w:val="BRL-Standard"/>
      </w:pPr>
    </w:p>
    <w:p w14:paraId="534BCCB6" w14:textId="43DB4CE0" w:rsidR="00E713B0" w:rsidRPr="0009445C" w:rsidRDefault="00E713B0" w:rsidP="00E713B0">
      <w:pPr>
        <w:pStyle w:val="BRLTabelleberschrift"/>
        <w:spacing w:after="120"/>
      </w:pPr>
      <w:r w:rsidRPr="0009445C">
        <w:t xml:space="preserve">Table 2.2.1: </w:t>
      </w:r>
      <w:r w:rsidRPr="0009445C">
        <w:tab/>
        <w:t>Building approval requirements and assignment of functional maintenance classes according to DIN 4102</w:t>
      </w:r>
      <w:r w:rsidRPr="0009445C">
        <w:noBreakHyphen/>
        <w:t xml:space="preserve"> 12:1998</w:t>
      </w:r>
      <w:r w:rsidRPr="0009445C">
        <w:noBreakHyphen/>
        <w:t xml:space="preserve"> 11</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592"/>
        <w:gridCol w:w="4362"/>
        <w:gridCol w:w="4118"/>
      </w:tblGrid>
      <w:tr w:rsidR="00E713B0" w:rsidRPr="0009445C" w14:paraId="1316882A" w14:textId="77777777" w:rsidTr="00E713B0">
        <w:trPr>
          <w:cantSplit/>
        </w:trPr>
        <w:tc>
          <w:tcPr>
            <w:tcW w:w="454" w:type="dxa"/>
            <w:shd w:val="clear" w:color="auto" w:fill="FFFFFF"/>
          </w:tcPr>
          <w:p w14:paraId="1DF93943" w14:textId="77777777" w:rsidR="00E713B0" w:rsidRPr="0009445C" w:rsidRDefault="00E713B0" w:rsidP="00E713B0">
            <w:pPr>
              <w:pStyle w:val="BRL-TabelleberschriftAnhang"/>
            </w:pPr>
          </w:p>
        </w:tc>
        <w:tc>
          <w:tcPr>
            <w:tcW w:w="3344" w:type="dxa"/>
            <w:shd w:val="clear" w:color="auto" w:fill="FFFFFF"/>
          </w:tcPr>
          <w:p w14:paraId="7D167C54" w14:textId="6225CC24" w:rsidR="00E713B0" w:rsidRPr="0009445C" w:rsidRDefault="00BF471E" w:rsidP="00E713B0">
            <w:pPr>
              <w:pStyle w:val="BRL-TabelleberschriftAnhang"/>
            </w:pPr>
            <w:r w:rsidRPr="0009445C">
              <w:t>Requirements for function retention in minutes</w:t>
            </w:r>
          </w:p>
        </w:tc>
        <w:tc>
          <w:tcPr>
            <w:tcW w:w="3157" w:type="dxa"/>
            <w:shd w:val="clear" w:color="auto" w:fill="FFFFFF"/>
          </w:tcPr>
          <w:p w14:paraId="62AC9D2C" w14:textId="77777777" w:rsidR="00E713B0" w:rsidRPr="0009445C" w:rsidRDefault="00E713B0" w:rsidP="00E713B0">
            <w:pPr>
              <w:pStyle w:val="BRL-TabelleberschriftAnhang"/>
            </w:pPr>
            <w:r w:rsidRPr="0009445C">
              <w:t>Minimum required functional integrity classes according to DIN 4102</w:t>
            </w:r>
            <w:r w:rsidRPr="0009445C">
              <w:noBreakHyphen/>
              <w:t xml:space="preserve"> 12:1998-11</w:t>
            </w:r>
          </w:p>
        </w:tc>
      </w:tr>
      <w:tr w:rsidR="00E713B0" w:rsidRPr="0009445C" w14:paraId="68CF39A3" w14:textId="77777777" w:rsidTr="00E713B0">
        <w:trPr>
          <w:cantSplit/>
        </w:trPr>
        <w:tc>
          <w:tcPr>
            <w:tcW w:w="454" w:type="dxa"/>
            <w:shd w:val="clear" w:color="auto" w:fill="FFFFFF"/>
          </w:tcPr>
          <w:p w14:paraId="62726B4D" w14:textId="77777777" w:rsidR="00E713B0" w:rsidRPr="0009445C" w:rsidRDefault="00E713B0" w:rsidP="00E713B0">
            <w:pPr>
              <w:pStyle w:val="BRL-TabelleberschriftAnhang"/>
              <w:jc w:val="center"/>
            </w:pPr>
          </w:p>
        </w:tc>
        <w:tc>
          <w:tcPr>
            <w:tcW w:w="3344" w:type="dxa"/>
            <w:shd w:val="clear" w:color="auto" w:fill="FFFFFF"/>
          </w:tcPr>
          <w:p w14:paraId="5A8B6414" w14:textId="77777777" w:rsidR="00E713B0" w:rsidRPr="0009445C" w:rsidRDefault="00E713B0" w:rsidP="00E713B0">
            <w:pPr>
              <w:pStyle w:val="BRL-TabelleberschriftAnhang"/>
              <w:jc w:val="center"/>
            </w:pPr>
            <w:r w:rsidRPr="0009445C">
              <w:t>1</w:t>
            </w:r>
          </w:p>
        </w:tc>
        <w:tc>
          <w:tcPr>
            <w:tcW w:w="3157" w:type="dxa"/>
            <w:shd w:val="clear" w:color="auto" w:fill="FFFFFF"/>
          </w:tcPr>
          <w:p w14:paraId="308B3DD1" w14:textId="77777777" w:rsidR="00E713B0" w:rsidRPr="0009445C" w:rsidRDefault="00E713B0" w:rsidP="00E713B0">
            <w:pPr>
              <w:pStyle w:val="BRL-TabelleberschriftAnhang"/>
              <w:jc w:val="center"/>
            </w:pPr>
            <w:r w:rsidRPr="0009445C">
              <w:t>2</w:t>
            </w:r>
          </w:p>
        </w:tc>
      </w:tr>
      <w:tr w:rsidR="00E713B0" w:rsidRPr="0009445C" w14:paraId="17C5B303" w14:textId="77777777" w:rsidTr="00E713B0">
        <w:trPr>
          <w:cantSplit/>
        </w:trPr>
        <w:tc>
          <w:tcPr>
            <w:tcW w:w="454" w:type="dxa"/>
            <w:shd w:val="clear" w:color="auto" w:fill="FFFFFF"/>
          </w:tcPr>
          <w:p w14:paraId="70E323B0" w14:textId="77777777" w:rsidR="00E713B0" w:rsidRPr="0009445C" w:rsidRDefault="00E713B0" w:rsidP="00E713B0">
            <w:pPr>
              <w:pStyle w:val="BRL-Tabelle"/>
              <w:spacing w:before="60" w:after="40"/>
              <w:ind w:left="113" w:right="113"/>
              <w:jc w:val="center"/>
              <w:rPr>
                <w:b/>
              </w:rPr>
            </w:pPr>
            <w:r w:rsidRPr="0009445C">
              <w:rPr>
                <w:b/>
              </w:rPr>
              <w:t>1</w:t>
            </w:r>
          </w:p>
        </w:tc>
        <w:tc>
          <w:tcPr>
            <w:tcW w:w="3344" w:type="dxa"/>
            <w:shd w:val="clear" w:color="auto" w:fill="FFFFFF"/>
          </w:tcPr>
          <w:p w14:paraId="54DD1258" w14:textId="77777777" w:rsidR="00E713B0" w:rsidRPr="0009445C" w:rsidRDefault="00E713B0" w:rsidP="00E713B0">
            <w:pPr>
              <w:pStyle w:val="BRL-Tabelle"/>
              <w:spacing w:before="60" w:after="40"/>
              <w:ind w:left="113" w:right="113"/>
            </w:pPr>
            <w:r w:rsidRPr="0009445C">
              <w:t>≥ 30</w:t>
            </w:r>
          </w:p>
        </w:tc>
        <w:tc>
          <w:tcPr>
            <w:tcW w:w="3157" w:type="dxa"/>
            <w:shd w:val="clear" w:color="auto" w:fill="auto"/>
          </w:tcPr>
          <w:p w14:paraId="40159A1A" w14:textId="77777777" w:rsidR="00E713B0" w:rsidRPr="0009445C" w:rsidRDefault="00E713B0" w:rsidP="00E713B0">
            <w:pPr>
              <w:pStyle w:val="BRL-Tabelle"/>
              <w:spacing w:before="60" w:after="40"/>
              <w:ind w:left="113" w:right="113"/>
            </w:pPr>
            <w:r w:rsidRPr="0009445C">
              <w:t>E 30</w:t>
            </w:r>
          </w:p>
        </w:tc>
      </w:tr>
      <w:tr w:rsidR="00E713B0" w:rsidRPr="0009445C" w14:paraId="5121C3C8" w14:textId="77777777" w:rsidTr="00E713B0">
        <w:trPr>
          <w:cantSplit/>
        </w:trPr>
        <w:tc>
          <w:tcPr>
            <w:tcW w:w="454" w:type="dxa"/>
            <w:shd w:val="clear" w:color="auto" w:fill="FFFFFF"/>
          </w:tcPr>
          <w:p w14:paraId="16712C38" w14:textId="77777777" w:rsidR="00E713B0" w:rsidRPr="0009445C" w:rsidRDefault="00E713B0" w:rsidP="00E713B0">
            <w:pPr>
              <w:pStyle w:val="BRL-Tabelle"/>
              <w:spacing w:before="60" w:after="40"/>
              <w:ind w:left="113" w:right="113"/>
              <w:jc w:val="center"/>
              <w:rPr>
                <w:b/>
              </w:rPr>
            </w:pPr>
            <w:r w:rsidRPr="0009445C">
              <w:rPr>
                <w:b/>
              </w:rPr>
              <w:t>2</w:t>
            </w:r>
          </w:p>
        </w:tc>
        <w:tc>
          <w:tcPr>
            <w:tcW w:w="3344" w:type="dxa"/>
            <w:shd w:val="clear" w:color="auto" w:fill="FFFFFF"/>
          </w:tcPr>
          <w:p w14:paraId="0EBA27AE" w14:textId="77777777" w:rsidR="00E713B0" w:rsidRPr="0009445C" w:rsidRDefault="00E713B0" w:rsidP="00E713B0">
            <w:pPr>
              <w:pStyle w:val="BRL-Tabelle"/>
              <w:spacing w:before="60" w:after="40"/>
              <w:ind w:left="113" w:right="113"/>
            </w:pPr>
            <w:r w:rsidRPr="0009445C">
              <w:t>≥ 60</w:t>
            </w:r>
          </w:p>
        </w:tc>
        <w:tc>
          <w:tcPr>
            <w:tcW w:w="3157" w:type="dxa"/>
            <w:shd w:val="clear" w:color="auto" w:fill="auto"/>
          </w:tcPr>
          <w:p w14:paraId="1690EEB1" w14:textId="77777777" w:rsidR="00E713B0" w:rsidRPr="0009445C" w:rsidRDefault="00E713B0" w:rsidP="00E713B0">
            <w:pPr>
              <w:pStyle w:val="BRL-Tabelle"/>
              <w:spacing w:before="60" w:after="40"/>
              <w:ind w:left="113" w:right="113"/>
            </w:pPr>
            <w:r w:rsidRPr="0009445C">
              <w:t>E 60</w:t>
            </w:r>
          </w:p>
        </w:tc>
      </w:tr>
      <w:tr w:rsidR="00E713B0" w:rsidRPr="0009445C" w14:paraId="58AE80C2" w14:textId="77777777" w:rsidTr="00E713B0">
        <w:trPr>
          <w:cantSplit/>
        </w:trPr>
        <w:tc>
          <w:tcPr>
            <w:tcW w:w="454" w:type="dxa"/>
            <w:shd w:val="clear" w:color="auto" w:fill="FFFFFF"/>
          </w:tcPr>
          <w:p w14:paraId="1760B470" w14:textId="77777777" w:rsidR="00E713B0" w:rsidRPr="0009445C" w:rsidRDefault="00E713B0" w:rsidP="00E713B0">
            <w:pPr>
              <w:pStyle w:val="BRL-Tabelle"/>
              <w:spacing w:before="60" w:after="40"/>
              <w:ind w:left="113" w:right="113"/>
              <w:jc w:val="center"/>
              <w:rPr>
                <w:b/>
              </w:rPr>
            </w:pPr>
            <w:r w:rsidRPr="0009445C">
              <w:rPr>
                <w:b/>
              </w:rPr>
              <w:t>3</w:t>
            </w:r>
          </w:p>
        </w:tc>
        <w:tc>
          <w:tcPr>
            <w:tcW w:w="3344" w:type="dxa"/>
            <w:shd w:val="clear" w:color="auto" w:fill="FFFFFF"/>
          </w:tcPr>
          <w:p w14:paraId="73F6EBED" w14:textId="77777777" w:rsidR="00E713B0" w:rsidRPr="0009445C" w:rsidRDefault="00E713B0" w:rsidP="00E713B0">
            <w:pPr>
              <w:pStyle w:val="BRL-Tabelle"/>
              <w:spacing w:before="60" w:after="40"/>
              <w:ind w:left="113" w:right="113"/>
              <w:rPr>
                <w:b/>
              </w:rPr>
            </w:pPr>
            <w:r w:rsidRPr="0009445C">
              <w:t>≥ 90</w:t>
            </w:r>
          </w:p>
        </w:tc>
        <w:tc>
          <w:tcPr>
            <w:tcW w:w="3157" w:type="dxa"/>
            <w:shd w:val="clear" w:color="auto" w:fill="auto"/>
          </w:tcPr>
          <w:p w14:paraId="62C5C8A0" w14:textId="77777777" w:rsidR="00E713B0" w:rsidRPr="0009445C" w:rsidRDefault="00E713B0" w:rsidP="00E713B0">
            <w:pPr>
              <w:pStyle w:val="BRL-Tabelle"/>
              <w:spacing w:before="60" w:after="40"/>
              <w:ind w:left="113" w:right="113"/>
              <w:rPr>
                <w:b/>
              </w:rPr>
            </w:pPr>
            <w:r w:rsidRPr="0009445C">
              <w:t>E 90</w:t>
            </w:r>
          </w:p>
        </w:tc>
      </w:tr>
    </w:tbl>
    <w:p w14:paraId="398E7C20" w14:textId="77777777" w:rsidR="00E713B0" w:rsidRPr="0009445C" w:rsidRDefault="00E713B0" w:rsidP="00E713B0">
      <w:pPr>
        <w:pStyle w:val="BRL-Standard"/>
        <w:spacing w:after="120"/>
      </w:pPr>
    </w:p>
    <w:p w14:paraId="13401984" w14:textId="77777777" w:rsidR="007D6BBF" w:rsidRPr="0009445C" w:rsidRDefault="007D6BBF">
      <w:pPr>
        <w:spacing w:after="200" w:line="276" w:lineRule="auto"/>
        <w:rPr>
          <w:b/>
          <w:bCs/>
          <w:szCs w:val="16"/>
        </w:rPr>
      </w:pPr>
      <w:r w:rsidRPr="0009445C">
        <w:br w:type="page"/>
      </w:r>
    </w:p>
    <w:p w14:paraId="2A3CB5D0" w14:textId="7E4AB649" w:rsidR="00E713B0" w:rsidRPr="0009445C" w:rsidRDefault="00E713B0" w:rsidP="00600F53">
      <w:pPr>
        <w:pStyle w:val="BRL-berschrift"/>
      </w:pPr>
      <w:r w:rsidRPr="0009445C">
        <w:lastRenderedPageBreak/>
        <w:t>3</w:t>
      </w:r>
      <w:r w:rsidRPr="0009445C">
        <w:tab/>
        <w:t>Roofing</w:t>
      </w:r>
    </w:p>
    <w:p w14:paraId="7617AC66" w14:textId="6E082CE6" w:rsidR="00E713B0" w:rsidRPr="0009445C" w:rsidRDefault="00E713B0" w:rsidP="00600F53">
      <w:pPr>
        <w:pStyle w:val="BRL-berschrift"/>
      </w:pPr>
      <w:r w:rsidRPr="0009445C">
        <w:t>3.1</w:t>
      </w:r>
      <w:r w:rsidRPr="0009445C">
        <w:tab/>
        <w:t>Roofing with external fire stress due to flying fire and radiant heat and classification of classes according to DIN 4102-7:2018-11</w:t>
      </w:r>
    </w:p>
    <w:p w14:paraId="053DBBF8" w14:textId="77777777" w:rsidR="00E713B0" w:rsidRPr="0009445C" w:rsidRDefault="00E713B0" w:rsidP="00E713B0">
      <w:pPr>
        <w:pStyle w:val="BRL-Standard"/>
      </w:pPr>
      <w:r w:rsidRPr="0009445C">
        <w:t>In order to fulfil the building requirements in A 2.1.9, the property of a roofing as part of the building structure under fire impact from outside against flying sparks and radiating heat (hard roofing) shall be demonstrated based on the minimum required class for a roofing deemed resistant to flying sparks and radiating heat pursuant to DIN 4102</w:t>
      </w:r>
      <w:r w:rsidRPr="0009445C">
        <w:noBreakHyphen/>
        <w:t>7:2018-11 in conjunction with DIN SPEC 4102</w:t>
      </w:r>
      <w:r w:rsidRPr="0009445C">
        <w:noBreakHyphen/>
        <w:t>23:2018-07, as given in Table 3.1.</w:t>
      </w:r>
    </w:p>
    <w:p w14:paraId="2C60D6C3" w14:textId="77777777" w:rsidR="00E713B0" w:rsidRPr="0009445C" w:rsidRDefault="00E713B0" w:rsidP="00E713B0">
      <w:pPr>
        <w:pStyle w:val="BRL-Standard"/>
      </w:pPr>
    </w:p>
    <w:p w14:paraId="1A1BBD20" w14:textId="0FCEB4E0" w:rsidR="00E713B0" w:rsidRPr="0009445C" w:rsidRDefault="00E713B0" w:rsidP="00E713B0">
      <w:pPr>
        <w:pStyle w:val="BRLTabelleberschrift"/>
        <w:spacing w:after="120"/>
      </w:pPr>
      <w:r w:rsidRPr="0009445C">
        <w:t xml:space="preserve">Table 3.1: </w:t>
      </w:r>
      <w:r w:rsidRPr="0009445C">
        <w:tab/>
        <w:t>Building supervision requirement and classification of classes according to DIN 4102</w:t>
      </w:r>
      <w:r w:rsidRPr="0009445C">
        <w:noBreakHyphen/>
        <w:t xml:space="preserve"> 7:2018-11</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4679"/>
        <w:gridCol w:w="4393"/>
      </w:tblGrid>
      <w:tr w:rsidR="00E713B0" w:rsidRPr="0009445C" w14:paraId="5E5C7A13" w14:textId="77777777" w:rsidTr="00E713B0">
        <w:trPr>
          <w:cantSplit/>
        </w:trPr>
        <w:tc>
          <w:tcPr>
            <w:tcW w:w="4678" w:type="dxa"/>
            <w:shd w:val="clear" w:color="auto" w:fill="FFFFFF"/>
          </w:tcPr>
          <w:p w14:paraId="353336A3" w14:textId="77777777" w:rsidR="00E713B0" w:rsidRPr="0009445C" w:rsidRDefault="00E713B0" w:rsidP="00E713B0">
            <w:pPr>
              <w:pStyle w:val="BRL-TabelleberschriftAnhang"/>
            </w:pPr>
            <w:r w:rsidRPr="0009445C">
              <w:t>Building approval requirement</w:t>
            </w:r>
          </w:p>
        </w:tc>
        <w:tc>
          <w:tcPr>
            <w:tcW w:w="4392" w:type="dxa"/>
            <w:shd w:val="clear" w:color="auto" w:fill="FFFFFF"/>
          </w:tcPr>
          <w:p w14:paraId="08C3E608" w14:textId="4D64B645" w:rsidR="00E713B0" w:rsidRPr="0009445C" w:rsidRDefault="00BF471E" w:rsidP="00E713B0">
            <w:pPr>
              <w:pStyle w:val="BRL-TabelleberschriftAnhang"/>
            </w:pPr>
            <w:r w:rsidRPr="0009445C">
              <w:t>Classes according to DIN 4102</w:t>
            </w:r>
            <w:r w:rsidRPr="0009445C">
              <w:noBreakHyphen/>
              <w:t xml:space="preserve"> 7:2018-11</w:t>
            </w:r>
          </w:p>
        </w:tc>
      </w:tr>
      <w:tr w:rsidR="00E713B0" w:rsidRPr="0009445C" w14:paraId="6855E0EC" w14:textId="77777777" w:rsidTr="00E713B0">
        <w:trPr>
          <w:cantSplit/>
        </w:trPr>
        <w:tc>
          <w:tcPr>
            <w:tcW w:w="4678" w:type="dxa"/>
            <w:shd w:val="clear" w:color="auto" w:fill="FFFFFF"/>
          </w:tcPr>
          <w:p w14:paraId="1CC41B72" w14:textId="77777777" w:rsidR="00E713B0" w:rsidRPr="0009445C" w:rsidRDefault="00E713B0" w:rsidP="00E713B0">
            <w:pPr>
              <w:pStyle w:val="BRL-TabelleberschriftAnhang"/>
              <w:jc w:val="center"/>
            </w:pPr>
            <w:r w:rsidRPr="0009445C">
              <w:t>1</w:t>
            </w:r>
          </w:p>
        </w:tc>
        <w:tc>
          <w:tcPr>
            <w:tcW w:w="4392" w:type="dxa"/>
            <w:shd w:val="clear" w:color="auto" w:fill="FFFFFF"/>
          </w:tcPr>
          <w:p w14:paraId="2A5DB783" w14:textId="77777777" w:rsidR="00E713B0" w:rsidRPr="0009445C" w:rsidRDefault="00E713B0" w:rsidP="00E713B0">
            <w:pPr>
              <w:pStyle w:val="BRL-TabelleberschriftAnhang"/>
              <w:jc w:val="center"/>
            </w:pPr>
            <w:r w:rsidRPr="0009445C">
              <w:t>2</w:t>
            </w:r>
          </w:p>
        </w:tc>
      </w:tr>
      <w:tr w:rsidR="00E713B0" w:rsidRPr="0009445C" w14:paraId="1A7D118F" w14:textId="77777777" w:rsidTr="00E713B0">
        <w:trPr>
          <w:cantSplit/>
        </w:trPr>
        <w:tc>
          <w:tcPr>
            <w:tcW w:w="4678" w:type="dxa"/>
            <w:shd w:val="clear" w:color="auto" w:fill="FFFFFF"/>
          </w:tcPr>
          <w:p w14:paraId="41A2B0C0" w14:textId="77777777" w:rsidR="00E713B0" w:rsidRPr="0009445C" w:rsidRDefault="00E713B0" w:rsidP="00E713B0">
            <w:pPr>
              <w:pStyle w:val="BRL-Tabelle"/>
              <w:spacing w:before="60" w:after="40"/>
              <w:ind w:left="113" w:right="113"/>
              <w:rPr>
                <w:b/>
              </w:rPr>
            </w:pPr>
            <w:r w:rsidRPr="0009445C">
              <w:t>External fire exposure due to sparks and radiant heat (hard roofing)</w:t>
            </w:r>
          </w:p>
        </w:tc>
        <w:tc>
          <w:tcPr>
            <w:tcW w:w="4392" w:type="dxa"/>
            <w:shd w:val="clear" w:color="auto" w:fill="auto"/>
          </w:tcPr>
          <w:p w14:paraId="196388A0" w14:textId="77777777" w:rsidR="00E713B0" w:rsidRPr="0009445C" w:rsidRDefault="00E713B0" w:rsidP="00E713B0">
            <w:pPr>
              <w:pStyle w:val="BRL-Tabelle"/>
              <w:spacing w:before="60" w:after="40"/>
              <w:ind w:left="113" w:right="113"/>
              <w:rPr>
                <w:b/>
              </w:rPr>
            </w:pPr>
            <w:r w:rsidRPr="0009445C">
              <w:t>Resistant to sparks and radiant heat</w:t>
            </w:r>
          </w:p>
        </w:tc>
      </w:tr>
    </w:tbl>
    <w:p w14:paraId="4B174D9A" w14:textId="77777777" w:rsidR="00E713B0" w:rsidRPr="0009445C" w:rsidRDefault="00E713B0" w:rsidP="00E713B0">
      <w:pPr>
        <w:pStyle w:val="BRL-Standard"/>
      </w:pPr>
    </w:p>
    <w:p w14:paraId="5808DEB1" w14:textId="77777777" w:rsidR="00E713B0" w:rsidRPr="0009445C" w:rsidRDefault="00E713B0" w:rsidP="00600F53">
      <w:pPr>
        <w:pStyle w:val="BRL-berschrift"/>
        <w:rPr>
          <w:rStyle w:val="BRL-StandardZchn"/>
          <w:b w:val="0"/>
          <w:bCs w:val="0"/>
          <w:szCs w:val="22"/>
        </w:rPr>
      </w:pPr>
      <w:r w:rsidRPr="0009445C">
        <w:t>3.2</w:t>
      </w:r>
      <w:r w:rsidRPr="0009445C">
        <w:tab/>
      </w:r>
      <w:r w:rsidRPr="0009445C">
        <w:rPr>
          <w:rStyle w:val="BRL-StandardZchn"/>
        </w:rPr>
        <w:t>Roofing with external fire exposure due to sparks and radiant heat when using construction products according to European harmonised specifications and minimum required performance</w:t>
      </w:r>
    </w:p>
    <w:p w14:paraId="67540CA8" w14:textId="2379F198" w:rsidR="00E713B0" w:rsidRPr="0009445C" w:rsidRDefault="00E713B0" w:rsidP="00E713B0">
      <w:pPr>
        <w:pStyle w:val="BRL-Standard"/>
        <w:jc w:val="left"/>
      </w:pPr>
      <w:r w:rsidRPr="0009445C">
        <w:t>In order to fulfil the structural requirements in A 2.1.9, proof for hard roofing using construction products (EN 492:2012+A1:2018</w:t>
      </w:r>
      <w:r w:rsidR="00BF471E" w:rsidRPr="0009445C">
        <w:rPr>
          <w:rStyle w:val="FootnoteReference"/>
        </w:rPr>
        <w:footnoteReference w:id="24"/>
      </w:r>
      <w:r w:rsidRPr="0009445C">
        <w:t>, EN 494:2012+A1:2015</w:t>
      </w:r>
      <w:r w:rsidRPr="0009445C">
        <w:rPr>
          <w:rStyle w:val="FootnoteReference"/>
        </w:rPr>
        <w:footnoteReference w:id="25"/>
      </w:r>
      <w:r w:rsidRPr="0009445C">
        <w:t>, EN 534:2006+A1:2010</w:t>
      </w:r>
      <w:r w:rsidRPr="0009445C">
        <w:rPr>
          <w:rStyle w:val="FootnoteReference"/>
        </w:rPr>
        <w:footnoteReference w:id="26"/>
      </w:r>
      <w:r w:rsidRPr="0009445C">
        <w:t xml:space="preserve">, </w:t>
      </w:r>
      <w:r w:rsidRPr="0009445C">
        <w:br/>
        <w:t>EN 1873:2005</w:t>
      </w:r>
      <w:r w:rsidRPr="0009445C">
        <w:rPr>
          <w:rStyle w:val="FootnoteReference"/>
        </w:rPr>
        <w:footnoteReference w:id="27"/>
      </w:r>
      <w:r w:rsidRPr="0009445C">
        <w:t>, EN 13707:2004+A2:2009</w:t>
      </w:r>
      <w:r w:rsidRPr="0009445C">
        <w:rPr>
          <w:rStyle w:val="FootnoteReference"/>
        </w:rPr>
        <w:footnoteReference w:id="28"/>
      </w:r>
      <w:r w:rsidRPr="0009445C">
        <w:t>, EN 13956:2012</w:t>
      </w:r>
      <w:r w:rsidRPr="0009445C">
        <w:rPr>
          <w:rStyle w:val="FootnoteReference"/>
        </w:rPr>
        <w:footnoteReference w:id="29"/>
      </w:r>
      <w:r w:rsidRPr="0009445C">
        <w:t>, EN 14351</w:t>
      </w:r>
      <w:r w:rsidRPr="0009445C">
        <w:noBreakHyphen/>
        <w:t xml:space="preserve"> 1:2006+A2:2016</w:t>
      </w:r>
      <w:bookmarkStart w:id="27" w:name="_Ref77260632"/>
      <w:r w:rsidRPr="0009445C">
        <w:rPr>
          <w:rStyle w:val="FootnoteReference"/>
        </w:rPr>
        <w:footnoteReference w:id="30"/>
      </w:r>
      <w:bookmarkEnd w:id="27"/>
      <w:r w:rsidRPr="0009445C">
        <w:t>, EN 14783:2013</w:t>
      </w:r>
      <w:r w:rsidRPr="0009445C">
        <w:rPr>
          <w:rStyle w:val="FootnoteReference"/>
        </w:rPr>
        <w:footnoteReference w:id="31"/>
      </w:r>
      <w:r w:rsidRPr="0009445C">
        <w:t xml:space="preserve"> and EN 14963:2006</w:t>
      </w:r>
      <w:r w:rsidRPr="0009445C">
        <w:rPr>
          <w:rStyle w:val="FootnoteReference"/>
        </w:rPr>
        <w:footnoteReference w:id="32"/>
      </w:r>
      <w:r w:rsidRPr="0009445C">
        <w:t>) with CE</w:t>
      </w:r>
      <w:r w:rsidRPr="0009445C">
        <w:noBreakHyphen/>
        <w:t xml:space="preserve"> marking pursuant to Regulation (EU) No 305/2011 shall be based on the minimum required performance as given in Table 3.2. </w:t>
      </w:r>
    </w:p>
    <w:p w14:paraId="1E767980" w14:textId="77777777" w:rsidR="00E713B0" w:rsidRPr="0009445C" w:rsidRDefault="00E713B0" w:rsidP="00E713B0">
      <w:pPr>
        <w:pStyle w:val="BRL-Standard"/>
      </w:pPr>
    </w:p>
    <w:p w14:paraId="421FEFA1" w14:textId="77777777" w:rsidR="00E713B0" w:rsidRPr="0009445C" w:rsidRDefault="00E713B0" w:rsidP="00E713B0">
      <w:pPr>
        <w:pStyle w:val="BRL-Standard"/>
      </w:pPr>
      <w:r w:rsidRPr="0009445C">
        <w:t>If the CE marking specifies class B</w:t>
      </w:r>
      <w:r w:rsidRPr="0009445C">
        <w:rPr>
          <w:vertAlign w:val="subscript"/>
        </w:rPr>
        <w:t>ROOF</w:t>
      </w:r>
      <w:r w:rsidRPr="0009445C">
        <w:t>(t1), stress by fire from the outside according to DIN EN 13501-5:2016-12, this applies to roofing according to A 2.1.9 only if the execution of the roof corresponds to the versions in the associated classification document.</w:t>
      </w:r>
    </w:p>
    <w:p w14:paraId="5E38BBF1" w14:textId="77777777" w:rsidR="00E713B0" w:rsidRPr="0009445C" w:rsidRDefault="00E713B0" w:rsidP="00E713B0">
      <w:pPr>
        <w:pStyle w:val="BRL-Standard"/>
      </w:pPr>
    </w:p>
    <w:p w14:paraId="418EFF31" w14:textId="77777777" w:rsidR="00E713B0" w:rsidRPr="0009445C" w:rsidRDefault="00E713B0" w:rsidP="00E713B0">
      <w:pPr>
        <w:pStyle w:val="BRLTabelleberschrift"/>
        <w:spacing w:after="120"/>
      </w:pPr>
      <w:r w:rsidRPr="0009445C">
        <w:t xml:space="preserve">Table 3.2: </w:t>
      </w:r>
      <w:r w:rsidRPr="0009445C">
        <w:tab/>
        <w:t>Building approval requirement and minimum required performance</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4679"/>
        <w:gridCol w:w="4393"/>
      </w:tblGrid>
      <w:tr w:rsidR="00E713B0" w:rsidRPr="0009445C" w14:paraId="1A0D8EAC" w14:textId="77777777" w:rsidTr="00E713B0">
        <w:tc>
          <w:tcPr>
            <w:tcW w:w="4678" w:type="dxa"/>
            <w:tcBorders>
              <w:top w:val="single" w:sz="2" w:space="0" w:color="auto"/>
              <w:bottom w:val="single" w:sz="2" w:space="0" w:color="595959"/>
            </w:tcBorders>
            <w:shd w:val="clear" w:color="auto" w:fill="FFFFFF"/>
          </w:tcPr>
          <w:p w14:paraId="25E0D132" w14:textId="77777777" w:rsidR="00E713B0" w:rsidRPr="0009445C" w:rsidRDefault="00E713B0" w:rsidP="00E713B0">
            <w:pPr>
              <w:pStyle w:val="BRL-TabelleberschriftAnhang"/>
              <w:rPr>
                <w:rFonts w:eastAsia="Calibri"/>
              </w:rPr>
            </w:pPr>
            <w:r w:rsidRPr="0009445C">
              <w:t>Building approval requirement</w:t>
            </w:r>
          </w:p>
        </w:tc>
        <w:tc>
          <w:tcPr>
            <w:tcW w:w="4392" w:type="dxa"/>
            <w:tcBorders>
              <w:top w:val="single" w:sz="2" w:space="0" w:color="auto"/>
              <w:bottom w:val="single" w:sz="2" w:space="0" w:color="595959"/>
            </w:tcBorders>
            <w:shd w:val="clear" w:color="auto" w:fill="FFFFFF"/>
          </w:tcPr>
          <w:p w14:paraId="3CC62F33" w14:textId="77777777" w:rsidR="00E713B0" w:rsidRPr="0009445C" w:rsidRDefault="00E713B0" w:rsidP="00E713B0">
            <w:pPr>
              <w:pStyle w:val="BRL-TabelleberschriftAnhang"/>
              <w:rPr>
                <w:rFonts w:eastAsia="Calibri"/>
              </w:rPr>
            </w:pPr>
            <w:r w:rsidRPr="0009445C">
              <w:t>Minimum required performance</w:t>
            </w:r>
          </w:p>
        </w:tc>
      </w:tr>
      <w:tr w:rsidR="00E713B0" w:rsidRPr="0009445C" w14:paraId="33C13B23" w14:textId="77777777" w:rsidTr="00E713B0">
        <w:tc>
          <w:tcPr>
            <w:tcW w:w="4678" w:type="dxa"/>
            <w:tcBorders>
              <w:top w:val="single" w:sz="2" w:space="0" w:color="auto"/>
              <w:bottom w:val="single" w:sz="2" w:space="0" w:color="595959"/>
            </w:tcBorders>
            <w:shd w:val="clear" w:color="auto" w:fill="FFFFFF"/>
          </w:tcPr>
          <w:p w14:paraId="1527197B" w14:textId="77777777" w:rsidR="00E713B0" w:rsidRPr="0009445C" w:rsidRDefault="00E713B0" w:rsidP="00E713B0">
            <w:pPr>
              <w:pStyle w:val="BRL-TabelleberschriftAnhang"/>
              <w:jc w:val="center"/>
              <w:rPr>
                <w:rFonts w:eastAsia="Calibri"/>
              </w:rPr>
            </w:pPr>
            <w:r w:rsidRPr="0009445C">
              <w:t>1</w:t>
            </w:r>
          </w:p>
        </w:tc>
        <w:tc>
          <w:tcPr>
            <w:tcW w:w="4392" w:type="dxa"/>
            <w:tcBorders>
              <w:top w:val="single" w:sz="2" w:space="0" w:color="auto"/>
              <w:bottom w:val="single" w:sz="2" w:space="0" w:color="595959"/>
            </w:tcBorders>
            <w:shd w:val="clear" w:color="auto" w:fill="FFFFFF"/>
          </w:tcPr>
          <w:p w14:paraId="1809319E" w14:textId="77777777" w:rsidR="00E713B0" w:rsidRPr="0009445C" w:rsidRDefault="00E713B0" w:rsidP="00E713B0">
            <w:pPr>
              <w:pStyle w:val="BRL-TabelleberschriftAnhang"/>
              <w:jc w:val="center"/>
              <w:rPr>
                <w:rFonts w:eastAsia="Calibri"/>
              </w:rPr>
            </w:pPr>
            <w:r w:rsidRPr="0009445C">
              <w:t>2</w:t>
            </w:r>
          </w:p>
        </w:tc>
      </w:tr>
      <w:tr w:rsidR="00E713B0" w:rsidRPr="0009445C" w14:paraId="5C2D94DD" w14:textId="77777777" w:rsidTr="00E713B0">
        <w:tc>
          <w:tcPr>
            <w:tcW w:w="4678" w:type="dxa"/>
            <w:tcBorders>
              <w:top w:val="single" w:sz="2" w:space="0" w:color="595959"/>
              <w:bottom w:val="single" w:sz="2" w:space="0" w:color="595959"/>
            </w:tcBorders>
            <w:shd w:val="clear" w:color="auto" w:fill="FFFFFF"/>
          </w:tcPr>
          <w:p w14:paraId="17068529" w14:textId="77777777" w:rsidR="00E713B0" w:rsidRPr="0009445C" w:rsidRDefault="00E713B0" w:rsidP="00E713B0">
            <w:pPr>
              <w:pStyle w:val="BRL-Tabelle"/>
              <w:widowControl w:val="0"/>
              <w:spacing w:before="60" w:after="40"/>
              <w:ind w:left="113" w:right="113"/>
              <w:rPr>
                <w:rFonts w:eastAsia="Calibri"/>
                <w:b/>
              </w:rPr>
            </w:pPr>
            <w:r w:rsidRPr="0009445C">
              <w:t>External fire exposure due to sparks and radiant heat (hard roofing)</w:t>
            </w:r>
          </w:p>
        </w:tc>
        <w:tc>
          <w:tcPr>
            <w:tcW w:w="4392" w:type="dxa"/>
            <w:tcBorders>
              <w:top w:val="single" w:sz="2" w:space="0" w:color="595959"/>
              <w:bottom w:val="single" w:sz="2" w:space="0" w:color="595959"/>
            </w:tcBorders>
            <w:shd w:val="clear" w:color="auto" w:fill="auto"/>
          </w:tcPr>
          <w:p w14:paraId="702F2865" w14:textId="77777777" w:rsidR="00E713B0" w:rsidRPr="0009445C" w:rsidRDefault="00E713B0" w:rsidP="00E713B0">
            <w:pPr>
              <w:pStyle w:val="BRL-Tabelle"/>
              <w:widowControl w:val="0"/>
              <w:spacing w:before="60" w:after="40"/>
              <w:ind w:left="113" w:right="113"/>
              <w:rPr>
                <w:rFonts w:eastAsia="Calibri"/>
                <w:b/>
              </w:rPr>
            </w:pPr>
            <w:r w:rsidRPr="0009445C">
              <w:t>B</w:t>
            </w:r>
            <w:r w:rsidRPr="0009445C">
              <w:rPr>
                <w:vertAlign w:val="subscript"/>
              </w:rPr>
              <w:t>ROOF</w:t>
            </w:r>
            <w:r w:rsidRPr="0009445C">
              <w:t>(t1)</w:t>
            </w:r>
          </w:p>
        </w:tc>
      </w:tr>
    </w:tbl>
    <w:p w14:paraId="5BB4CAF5" w14:textId="77777777" w:rsidR="00E713B0" w:rsidRPr="0009445C" w:rsidRDefault="00E713B0" w:rsidP="00E713B0"/>
    <w:p w14:paraId="41DB0FB1" w14:textId="77777777" w:rsidR="00E713B0" w:rsidRPr="0009445C" w:rsidRDefault="00E713B0" w:rsidP="00600F53">
      <w:pPr>
        <w:pStyle w:val="BRL-berschrift"/>
      </w:pPr>
      <w:r w:rsidRPr="0009445C">
        <w:t>4</w:t>
      </w:r>
      <w:r w:rsidRPr="0009445C">
        <w:tab/>
        <w:t>Structural elements</w:t>
      </w:r>
    </w:p>
    <w:p w14:paraId="0BF5C85B" w14:textId="77777777" w:rsidR="00E713B0" w:rsidRPr="0009445C" w:rsidRDefault="00E713B0" w:rsidP="00600F53">
      <w:pPr>
        <w:pStyle w:val="BRL-berschrift"/>
      </w:pPr>
      <w:r w:rsidRPr="0009445C">
        <w:t>4.1</w:t>
      </w:r>
      <w:r w:rsidRPr="0009445C">
        <w:tab/>
        <w:t>Load-bearing structural elements</w:t>
      </w:r>
    </w:p>
    <w:p w14:paraId="6F13F05F" w14:textId="77777777" w:rsidR="00E713B0" w:rsidRPr="0009445C" w:rsidRDefault="00E713B0" w:rsidP="00E713B0">
      <w:pPr>
        <w:pStyle w:val="BRL-Standard"/>
      </w:pPr>
      <w:r w:rsidRPr="0009445C">
        <w:t>In order to meet the structural requirements in A 2.1.3 for the planning, designing and execution of load-bearing structural elements of structural works, Tables 4.1.1 and 4.1.2 shall be complied with when determining the stability in the event of fire in accordance with Eurocode.</w:t>
      </w:r>
    </w:p>
    <w:p w14:paraId="6AF957E2" w14:textId="77777777" w:rsidR="00E713B0" w:rsidRPr="0009445C" w:rsidRDefault="00E713B0" w:rsidP="00E713B0">
      <w:pPr>
        <w:pStyle w:val="BRL-Standard"/>
      </w:pPr>
    </w:p>
    <w:p w14:paraId="7AAD5E2D" w14:textId="77777777" w:rsidR="00E713B0" w:rsidRPr="0009445C" w:rsidRDefault="00E713B0" w:rsidP="00E713B0">
      <w:pPr>
        <w:pStyle w:val="BRL-Standard"/>
      </w:pPr>
      <w:r w:rsidRPr="0009445C">
        <w:t>The requirements in the tables are deemed fulfilled only if the structural elements have been designed in accordance with the Technical Building Regulations of Part A, Chapter A 1, ser. No A 1.2.</w:t>
      </w:r>
    </w:p>
    <w:p w14:paraId="6802E5E6" w14:textId="77777777" w:rsidR="00E713B0" w:rsidRPr="0009445C" w:rsidRDefault="00E713B0" w:rsidP="00E713B0">
      <w:pPr>
        <w:pStyle w:val="BRL-Standard"/>
      </w:pPr>
    </w:p>
    <w:p w14:paraId="523A84A4" w14:textId="77777777" w:rsidR="00E713B0" w:rsidRPr="0009445C" w:rsidRDefault="00E713B0" w:rsidP="00E713B0">
      <w:pPr>
        <w:pStyle w:val="BRL-Standard"/>
      </w:pPr>
      <w:r w:rsidRPr="0009445C">
        <w:t xml:space="preserve">For structural elements in accordance with national Technical Rules, the following tables list only the minimum building regulations requirements. </w:t>
      </w:r>
    </w:p>
    <w:p w14:paraId="29FF6A7C" w14:textId="77777777" w:rsidR="00E713B0" w:rsidRPr="0009445C" w:rsidRDefault="00E713B0" w:rsidP="00E713B0">
      <w:pPr>
        <w:pStyle w:val="BRL-Standard"/>
      </w:pPr>
    </w:p>
    <w:p w14:paraId="46A4E7E5" w14:textId="5F156E06" w:rsidR="00E713B0" w:rsidRPr="0009445C" w:rsidRDefault="00E713B0" w:rsidP="00E713B0">
      <w:pPr>
        <w:pStyle w:val="BRLTabelleberschrift"/>
        <w:spacing w:after="120"/>
      </w:pPr>
      <w:r w:rsidRPr="0009445C">
        <w:t>Table 4.1.1</w:t>
      </w:r>
      <w:r w:rsidRPr="0009445C">
        <w:rPr>
          <w:vertAlign w:val="superscript"/>
        </w:rPr>
        <w:t>A</w:t>
      </w:r>
      <w:r w:rsidRPr="0009445C">
        <w:t>:</w:t>
      </w:r>
      <w:r w:rsidRPr="0009445C">
        <w:tab/>
        <w:t>Building approval requirements for load-bearing structural elements, design according to Eurocode and additional application rules</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520"/>
        <w:gridCol w:w="3142"/>
        <w:gridCol w:w="2461"/>
        <w:gridCol w:w="2949"/>
      </w:tblGrid>
      <w:tr w:rsidR="00E713B0" w:rsidRPr="0009445C" w14:paraId="52504E62" w14:textId="77777777" w:rsidTr="00E713B0">
        <w:trPr>
          <w:cantSplit/>
          <w:tblHeader/>
        </w:trPr>
        <w:tc>
          <w:tcPr>
            <w:tcW w:w="454" w:type="dxa"/>
            <w:shd w:val="clear" w:color="auto" w:fill="FFFFFF"/>
          </w:tcPr>
          <w:p w14:paraId="3F6115A8" w14:textId="77777777" w:rsidR="00E713B0" w:rsidRPr="0009445C" w:rsidRDefault="00E713B0" w:rsidP="00E713B0">
            <w:pPr>
              <w:pStyle w:val="BRL-TabelleberschriftAnhang"/>
              <w:jc w:val="center"/>
            </w:pPr>
          </w:p>
        </w:tc>
        <w:tc>
          <w:tcPr>
            <w:tcW w:w="2743" w:type="dxa"/>
            <w:shd w:val="clear" w:color="auto" w:fill="FFFFFF"/>
          </w:tcPr>
          <w:p w14:paraId="0A88A33A" w14:textId="77777777" w:rsidR="00E713B0" w:rsidRPr="0009445C" w:rsidRDefault="00E713B0" w:rsidP="00E713B0">
            <w:pPr>
              <w:pStyle w:val="BRL-TabelleberschriftAnhang"/>
            </w:pPr>
            <w:r w:rsidRPr="0009445C">
              <w:t>Building approval requirement</w:t>
            </w:r>
          </w:p>
        </w:tc>
        <w:tc>
          <w:tcPr>
            <w:tcW w:w="2149" w:type="dxa"/>
            <w:shd w:val="clear" w:color="auto" w:fill="FFFFFF"/>
          </w:tcPr>
          <w:p w14:paraId="36EAAFB4" w14:textId="77777777" w:rsidR="00E713B0" w:rsidRPr="0009445C" w:rsidRDefault="00E713B0" w:rsidP="00E713B0">
            <w:pPr>
              <w:pStyle w:val="BRL-TabelleberschriftAnhang"/>
            </w:pPr>
            <w:r w:rsidRPr="0009445C">
              <w:t>Determined duration of stability in the event of fire in min. Eurocode</w:t>
            </w:r>
            <w:r w:rsidRPr="0009445C">
              <w:rPr>
                <w:vertAlign w:val="superscript"/>
              </w:rPr>
              <w:t>1,</w:t>
            </w:r>
            <w:r w:rsidRPr="0009445C">
              <w:t>** under action ETK in accordance with DIN EN 1991</w:t>
            </w:r>
            <w:r w:rsidRPr="0009445C">
              <w:rPr>
                <w:vertAlign w:val="superscript"/>
              </w:rPr>
              <w:t>1,</w:t>
            </w:r>
            <w:r w:rsidRPr="0009445C">
              <w:t>**</w:t>
            </w:r>
          </w:p>
        </w:tc>
        <w:tc>
          <w:tcPr>
            <w:tcW w:w="2575" w:type="dxa"/>
            <w:shd w:val="clear" w:color="auto" w:fill="FFFFFF"/>
          </w:tcPr>
          <w:p w14:paraId="646358BE" w14:textId="77777777" w:rsidR="00E713B0" w:rsidRPr="0009445C" w:rsidRDefault="00E713B0" w:rsidP="00E713B0">
            <w:pPr>
              <w:pStyle w:val="BRL-TabelleberschriftAnhang"/>
            </w:pPr>
            <w:r w:rsidRPr="0009445C">
              <w:t>In addition to the Eurocode application rule for construction types using certain building materials***</w:t>
            </w:r>
          </w:p>
        </w:tc>
      </w:tr>
      <w:tr w:rsidR="00E713B0" w:rsidRPr="0009445C" w14:paraId="52A7D834" w14:textId="77777777" w:rsidTr="00E713B0">
        <w:trPr>
          <w:cantSplit/>
          <w:tblHeader/>
        </w:trPr>
        <w:tc>
          <w:tcPr>
            <w:tcW w:w="454" w:type="dxa"/>
            <w:shd w:val="clear" w:color="auto" w:fill="FFFFFF"/>
          </w:tcPr>
          <w:p w14:paraId="6DDBEBE0" w14:textId="77777777" w:rsidR="00E713B0" w:rsidRPr="0009445C" w:rsidRDefault="00E713B0" w:rsidP="00E713B0">
            <w:pPr>
              <w:pStyle w:val="BRL-TabelleberschriftAnhang"/>
              <w:jc w:val="center"/>
            </w:pPr>
          </w:p>
        </w:tc>
        <w:tc>
          <w:tcPr>
            <w:tcW w:w="2743" w:type="dxa"/>
            <w:shd w:val="clear" w:color="auto" w:fill="FFFFFF"/>
          </w:tcPr>
          <w:p w14:paraId="28F4EE42" w14:textId="77777777" w:rsidR="00E713B0" w:rsidRPr="0009445C" w:rsidRDefault="00E713B0" w:rsidP="00E713B0">
            <w:pPr>
              <w:pStyle w:val="BRL-TabelleberschriftAnhang"/>
              <w:jc w:val="center"/>
            </w:pPr>
            <w:r w:rsidRPr="0009445C">
              <w:t>1</w:t>
            </w:r>
          </w:p>
        </w:tc>
        <w:tc>
          <w:tcPr>
            <w:tcW w:w="2149" w:type="dxa"/>
            <w:shd w:val="clear" w:color="auto" w:fill="FFFFFF"/>
          </w:tcPr>
          <w:p w14:paraId="57651372" w14:textId="77777777" w:rsidR="00E713B0" w:rsidRPr="0009445C" w:rsidRDefault="00E713B0" w:rsidP="00E713B0">
            <w:pPr>
              <w:pStyle w:val="BRL-TabelleberschriftAnhang"/>
              <w:jc w:val="center"/>
            </w:pPr>
            <w:r w:rsidRPr="0009445C">
              <w:t>2</w:t>
            </w:r>
          </w:p>
        </w:tc>
        <w:tc>
          <w:tcPr>
            <w:tcW w:w="2575" w:type="dxa"/>
            <w:shd w:val="clear" w:color="auto" w:fill="FFFFFF"/>
          </w:tcPr>
          <w:p w14:paraId="5BA7E277" w14:textId="77777777" w:rsidR="00E713B0" w:rsidRPr="0009445C" w:rsidRDefault="00E713B0" w:rsidP="00E713B0">
            <w:pPr>
              <w:pStyle w:val="BRL-TabelleberschriftAnhang"/>
              <w:jc w:val="center"/>
            </w:pPr>
            <w:r w:rsidRPr="0009445C">
              <w:t>3</w:t>
            </w:r>
          </w:p>
        </w:tc>
      </w:tr>
      <w:tr w:rsidR="00E713B0" w:rsidRPr="0009445C" w14:paraId="774CDD82" w14:textId="77777777" w:rsidTr="00E713B0">
        <w:trPr>
          <w:cantSplit/>
        </w:trPr>
        <w:tc>
          <w:tcPr>
            <w:tcW w:w="454" w:type="dxa"/>
            <w:shd w:val="clear" w:color="auto" w:fill="FFFFFF"/>
          </w:tcPr>
          <w:p w14:paraId="0C1E2F17" w14:textId="77777777" w:rsidR="00E713B0" w:rsidRPr="0009445C" w:rsidRDefault="00E713B0" w:rsidP="00E713B0">
            <w:pPr>
              <w:pStyle w:val="BRL-Tabelle"/>
              <w:spacing w:before="60" w:after="40"/>
              <w:ind w:left="113" w:right="113"/>
              <w:jc w:val="center"/>
              <w:rPr>
                <w:b/>
              </w:rPr>
            </w:pPr>
            <w:r w:rsidRPr="0009445C">
              <w:rPr>
                <w:b/>
              </w:rPr>
              <w:t>1</w:t>
            </w:r>
          </w:p>
        </w:tc>
        <w:tc>
          <w:tcPr>
            <w:tcW w:w="2743" w:type="dxa"/>
            <w:shd w:val="clear" w:color="auto" w:fill="FFFFFF"/>
          </w:tcPr>
          <w:p w14:paraId="7D0143EB" w14:textId="77777777" w:rsidR="00E713B0" w:rsidRPr="0009445C" w:rsidRDefault="00E713B0" w:rsidP="00E713B0">
            <w:pPr>
              <w:pStyle w:val="BRL-Tabelle"/>
              <w:spacing w:before="60" w:after="40"/>
              <w:ind w:left="113" w:right="113"/>
            </w:pPr>
            <w:r w:rsidRPr="0009445C">
              <w:t>Of non-combustible* building materials</w:t>
            </w:r>
          </w:p>
        </w:tc>
        <w:tc>
          <w:tcPr>
            <w:tcW w:w="2149" w:type="dxa"/>
            <w:shd w:val="clear" w:color="auto" w:fill="auto"/>
          </w:tcPr>
          <w:p w14:paraId="349781E9" w14:textId="77777777" w:rsidR="00E713B0" w:rsidRPr="0009445C" w:rsidRDefault="00E713B0" w:rsidP="00E713B0">
            <w:pPr>
              <w:pStyle w:val="BRL-Tabelle"/>
              <w:spacing w:before="60" w:after="40"/>
              <w:ind w:left="113" w:right="113"/>
            </w:pPr>
            <w:r w:rsidRPr="0009445C">
              <w:t>Not required</w:t>
            </w:r>
          </w:p>
        </w:tc>
        <w:tc>
          <w:tcPr>
            <w:tcW w:w="2575" w:type="dxa"/>
            <w:shd w:val="clear" w:color="auto" w:fill="auto"/>
          </w:tcPr>
          <w:p w14:paraId="335FA515" w14:textId="77777777" w:rsidR="00E713B0" w:rsidRPr="0009445C" w:rsidRDefault="00E713B0" w:rsidP="00E713B0">
            <w:pPr>
              <w:pStyle w:val="BRL-Tabelle"/>
              <w:spacing w:before="60" w:after="40"/>
              <w:ind w:left="113" w:right="113"/>
            </w:pPr>
            <w:r w:rsidRPr="0009445C">
              <w:t>DIN 4102-4:2016-05</w:t>
            </w:r>
          </w:p>
        </w:tc>
      </w:tr>
      <w:tr w:rsidR="00E713B0" w:rsidRPr="0009445C" w14:paraId="2FFAE4F9" w14:textId="77777777" w:rsidTr="00E713B0">
        <w:trPr>
          <w:cantSplit/>
        </w:trPr>
        <w:tc>
          <w:tcPr>
            <w:tcW w:w="454" w:type="dxa"/>
            <w:shd w:val="clear" w:color="auto" w:fill="FFFFFF"/>
          </w:tcPr>
          <w:p w14:paraId="5ADABDFC" w14:textId="77777777" w:rsidR="00E713B0" w:rsidRPr="0009445C" w:rsidRDefault="00E713B0" w:rsidP="00E713B0">
            <w:pPr>
              <w:pStyle w:val="BRL-Tabelle"/>
              <w:spacing w:before="60" w:after="40"/>
              <w:ind w:left="113" w:right="113"/>
              <w:jc w:val="center"/>
              <w:rPr>
                <w:b/>
              </w:rPr>
            </w:pPr>
            <w:r w:rsidRPr="0009445C">
              <w:rPr>
                <w:b/>
              </w:rPr>
              <w:t>2</w:t>
            </w:r>
          </w:p>
        </w:tc>
        <w:tc>
          <w:tcPr>
            <w:tcW w:w="2743" w:type="dxa"/>
            <w:shd w:val="clear" w:color="auto" w:fill="FFFFFF"/>
          </w:tcPr>
          <w:p w14:paraId="14B74CD5" w14:textId="77777777" w:rsidR="00E713B0" w:rsidRPr="0009445C" w:rsidRDefault="00E713B0" w:rsidP="00E713B0">
            <w:pPr>
              <w:pStyle w:val="BRL-Tabelle"/>
              <w:spacing w:before="60" w:after="40"/>
              <w:ind w:left="113" w:right="113"/>
            </w:pPr>
            <w:r w:rsidRPr="0009445C">
              <w:t>Made of normal-flammability building materials</w:t>
            </w:r>
          </w:p>
        </w:tc>
        <w:tc>
          <w:tcPr>
            <w:tcW w:w="2149" w:type="dxa"/>
            <w:shd w:val="clear" w:color="auto" w:fill="auto"/>
          </w:tcPr>
          <w:p w14:paraId="570B4A83" w14:textId="77777777" w:rsidR="00E713B0" w:rsidRPr="0009445C" w:rsidRDefault="00E713B0" w:rsidP="00E713B0">
            <w:pPr>
              <w:pStyle w:val="BRL-Tabelle"/>
              <w:spacing w:before="60" w:after="40"/>
              <w:ind w:left="113" w:right="113"/>
            </w:pPr>
            <w:r w:rsidRPr="0009445C">
              <w:t>Not required</w:t>
            </w:r>
          </w:p>
        </w:tc>
        <w:tc>
          <w:tcPr>
            <w:tcW w:w="2575" w:type="dxa"/>
            <w:shd w:val="clear" w:color="auto" w:fill="auto"/>
          </w:tcPr>
          <w:p w14:paraId="67367A33" w14:textId="77777777" w:rsidR="00E713B0" w:rsidRPr="0009445C" w:rsidRDefault="00E713B0" w:rsidP="00E713B0">
            <w:pPr>
              <w:pStyle w:val="BRL-Tabelle"/>
              <w:spacing w:before="60" w:after="40"/>
              <w:ind w:left="113" w:right="113"/>
            </w:pPr>
            <w:r w:rsidRPr="0009445C">
              <w:t>DIN 4102-4:2016-05</w:t>
            </w:r>
          </w:p>
        </w:tc>
      </w:tr>
      <w:tr w:rsidR="00E713B0" w:rsidRPr="0009445C" w14:paraId="3D54A32C" w14:textId="77777777" w:rsidTr="00E713B0">
        <w:trPr>
          <w:cantSplit/>
        </w:trPr>
        <w:tc>
          <w:tcPr>
            <w:tcW w:w="454" w:type="dxa"/>
            <w:shd w:val="clear" w:color="auto" w:fill="FFFFFF"/>
          </w:tcPr>
          <w:p w14:paraId="472EF441" w14:textId="77777777" w:rsidR="00E713B0" w:rsidRPr="0009445C" w:rsidRDefault="00E713B0" w:rsidP="00E713B0">
            <w:pPr>
              <w:pStyle w:val="BRL-Tabelle"/>
              <w:spacing w:before="60" w:after="40"/>
              <w:ind w:left="113" w:right="113"/>
              <w:jc w:val="center"/>
              <w:rPr>
                <w:b/>
              </w:rPr>
            </w:pPr>
            <w:r w:rsidRPr="0009445C">
              <w:rPr>
                <w:b/>
              </w:rPr>
              <w:t>3</w:t>
            </w:r>
          </w:p>
        </w:tc>
        <w:tc>
          <w:tcPr>
            <w:tcW w:w="2743" w:type="dxa"/>
            <w:shd w:val="clear" w:color="auto" w:fill="FFFFFF"/>
          </w:tcPr>
          <w:p w14:paraId="6F5D4C9C" w14:textId="77777777" w:rsidR="00E713B0" w:rsidRPr="0009445C" w:rsidRDefault="00E713B0" w:rsidP="00E713B0">
            <w:pPr>
              <w:pStyle w:val="BRL-Tabelle"/>
              <w:spacing w:before="60" w:after="40"/>
              <w:ind w:left="113" w:right="113"/>
            </w:pPr>
            <w:r w:rsidRPr="0009445C">
              <w:t>Fire-retardant</w:t>
            </w:r>
          </w:p>
        </w:tc>
        <w:tc>
          <w:tcPr>
            <w:tcW w:w="2149" w:type="dxa"/>
            <w:shd w:val="clear" w:color="auto" w:fill="auto"/>
          </w:tcPr>
          <w:p w14:paraId="6950E532" w14:textId="77777777" w:rsidR="00E713B0" w:rsidRPr="0009445C" w:rsidRDefault="00E713B0" w:rsidP="00E713B0">
            <w:pPr>
              <w:pStyle w:val="BRL-Tabelle"/>
              <w:spacing w:before="60" w:after="40"/>
              <w:ind w:left="113" w:right="113"/>
            </w:pPr>
            <w:r w:rsidRPr="0009445C">
              <w:t>≥ 30</w:t>
            </w:r>
          </w:p>
        </w:tc>
        <w:tc>
          <w:tcPr>
            <w:tcW w:w="2575" w:type="dxa"/>
            <w:shd w:val="clear" w:color="auto" w:fill="auto"/>
          </w:tcPr>
          <w:p w14:paraId="5F7597FD"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1F59583D" w14:textId="77777777" w:rsidTr="00E713B0">
        <w:trPr>
          <w:cantSplit/>
        </w:trPr>
        <w:tc>
          <w:tcPr>
            <w:tcW w:w="454" w:type="dxa"/>
            <w:shd w:val="clear" w:color="auto" w:fill="FFFFFF"/>
          </w:tcPr>
          <w:p w14:paraId="730495CA" w14:textId="77777777" w:rsidR="00E713B0" w:rsidRPr="0009445C" w:rsidRDefault="00E713B0" w:rsidP="00E713B0">
            <w:pPr>
              <w:pStyle w:val="BRL-Tabelle"/>
              <w:spacing w:before="60" w:after="40"/>
              <w:ind w:left="113" w:right="113"/>
              <w:jc w:val="center"/>
              <w:rPr>
                <w:b/>
              </w:rPr>
            </w:pPr>
            <w:r w:rsidRPr="0009445C">
              <w:rPr>
                <w:b/>
              </w:rPr>
              <w:t>4</w:t>
            </w:r>
          </w:p>
        </w:tc>
        <w:tc>
          <w:tcPr>
            <w:tcW w:w="2743" w:type="dxa"/>
            <w:shd w:val="clear" w:color="auto" w:fill="FFFFFF"/>
          </w:tcPr>
          <w:p w14:paraId="11F3592D" w14:textId="77777777" w:rsidR="00E713B0" w:rsidRPr="0009445C" w:rsidRDefault="00E713B0" w:rsidP="00E713B0">
            <w:pPr>
              <w:pStyle w:val="BRL-Tabelle"/>
              <w:spacing w:before="60" w:after="40"/>
              <w:ind w:left="113" w:right="113"/>
            </w:pPr>
            <w:r w:rsidRPr="0009445C">
              <w:t>Fire-retardant and made of non-combustible* materials</w:t>
            </w:r>
          </w:p>
        </w:tc>
        <w:tc>
          <w:tcPr>
            <w:tcW w:w="2149" w:type="dxa"/>
            <w:shd w:val="clear" w:color="auto" w:fill="auto"/>
          </w:tcPr>
          <w:p w14:paraId="3FB0D150" w14:textId="77777777" w:rsidR="00E713B0" w:rsidRPr="0009445C" w:rsidRDefault="00E713B0" w:rsidP="00E713B0">
            <w:pPr>
              <w:pStyle w:val="BRL-Tabelle"/>
              <w:spacing w:before="60" w:after="40"/>
              <w:ind w:left="113" w:right="113"/>
            </w:pPr>
            <w:r w:rsidRPr="0009445C">
              <w:t>≥ 30</w:t>
            </w:r>
            <w:r w:rsidRPr="0009445C">
              <w:rPr>
                <w:vertAlign w:val="superscript"/>
              </w:rPr>
              <w:t>2</w:t>
            </w:r>
          </w:p>
        </w:tc>
        <w:tc>
          <w:tcPr>
            <w:tcW w:w="2575" w:type="dxa"/>
            <w:shd w:val="clear" w:color="auto" w:fill="auto"/>
          </w:tcPr>
          <w:p w14:paraId="7D5ACC37"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6881E230" w14:textId="77777777" w:rsidTr="00E713B0">
        <w:trPr>
          <w:cantSplit/>
        </w:trPr>
        <w:tc>
          <w:tcPr>
            <w:tcW w:w="454" w:type="dxa"/>
            <w:shd w:val="clear" w:color="auto" w:fill="FFFFFF"/>
          </w:tcPr>
          <w:p w14:paraId="419AD22F" w14:textId="77777777" w:rsidR="00E713B0" w:rsidRPr="0009445C" w:rsidRDefault="00E713B0" w:rsidP="00E713B0">
            <w:pPr>
              <w:pStyle w:val="BRL-Tabelle"/>
              <w:spacing w:before="60" w:after="40"/>
              <w:ind w:left="113" w:right="113"/>
              <w:jc w:val="center"/>
              <w:rPr>
                <w:b/>
              </w:rPr>
            </w:pPr>
            <w:r w:rsidRPr="0009445C">
              <w:rPr>
                <w:b/>
              </w:rPr>
              <w:t>5</w:t>
            </w:r>
          </w:p>
        </w:tc>
        <w:tc>
          <w:tcPr>
            <w:tcW w:w="2743" w:type="dxa"/>
            <w:shd w:val="clear" w:color="auto" w:fill="FFFFFF"/>
          </w:tcPr>
          <w:p w14:paraId="6B7E2D7D" w14:textId="4AE99162" w:rsidR="00E713B0" w:rsidRPr="0009445C" w:rsidRDefault="00E713B0" w:rsidP="00E713B0">
            <w:pPr>
              <w:pStyle w:val="BRL-Tabelle"/>
              <w:spacing w:before="60" w:after="40"/>
              <w:ind w:left="113" w:right="113"/>
            </w:pPr>
            <w:r w:rsidRPr="0009445C">
              <w:t>Highly fire-retardant (load-bearing combustible parts, non-combustible* with insulation materials and fire-protective cladding of 60 min. made of non-combustible building materials) according to Section 4 of the Technical Rule under ser. No A 2.2.1.4.</w:t>
            </w:r>
            <w:r w:rsidRPr="0009445C">
              <w:rPr>
                <w:vertAlign w:val="superscript"/>
              </w:rPr>
              <w:t>4</w:t>
            </w:r>
          </w:p>
        </w:tc>
        <w:tc>
          <w:tcPr>
            <w:tcW w:w="2149" w:type="dxa"/>
            <w:shd w:val="clear" w:color="auto" w:fill="auto"/>
          </w:tcPr>
          <w:p w14:paraId="62A3FB23" w14:textId="77777777" w:rsidR="00E713B0" w:rsidRPr="0009445C" w:rsidRDefault="00E713B0" w:rsidP="00E713B0">
            <w:pPr>
              <w:pStyle w:val="BRL-Tabelle"/>
              <w:spacing w:before="60" w:after="40"/>
              <w:ind w:left="113" w:right="113"/>
            </w:pPr>
            <w:r w:rsidRPr="0009445C">
              <w:t>≥ 60</w:t>
            </w:r>
            <w:r w:rsidRPr="0009445C">
              <w:rPr>
                <w:vertAlign w:val="superscript"/>
              </w:rPr>
              <w:t>3</w:t>
            </w:r>
          </w:p>
        </w:tc>
        <w:tc>
          <w:tcPr>
            <w:tcW w:w="2575" w:type="dxa"/>
            <w:shd w:val="clear" w:color="auto" w:fill="auto"/>
          </w:tcPr>
          <w:p w14:paraId="47E648C1" w14:textId="77777777" w:rsidR="00E713B0" w:rsidRPr="0009445C" w:rsidRDefault="00E713B0" w:rsidP="00E713B0">
            <w:pPr>
              <w:pStyle w:val="BRL-Tabelle"/>
              <w:spacing w:before="60" w:after="40"/>
              <w:ind w:left="113" w:right="113"/>
            </w:pPr>
            <w:r w:rsidRPr="0009445C">
              <w:t>A 2.2.1.4</w:t>
            </w:r>
          </w:p>
        </w:tc>
      </w:tr>
      <w:tr w:rsidR="00E713B0" w:rsidRPr="0009445C" w14:paraId="51884787" w14:textId="77777777" w:rsidTr="00E713B0">
        <w:trPr>
          <w:cantSplit/>
        </w:trPr>
        <w:tc>
          <w:tcPr>
            <w:tcW w:w="454" w:type="dxa"/>
            <w:shd w:val="clear" w:color="auto" w:fill="FFFFFF"/>
          </w:tcPr>
          <w:p w14:paraId="59CF2F9E" w14:textId="77777777" w:rsidR="00E713B0" w:rsidRPr="0009445C" w:rsidRDefault="00E713B0" w:rsidP="00E713B0">
            <w:pPr>
              <w:pStyle w:val="BRL-Tabelle"/>
              <w:spacing w:before="60" w:after="40"/>
              <w:ind w:left="113" w:right="113"/>
              <w:jc w:val="center"/>
              <w:rPr>
                <w:b/>
              </w:rPr>
            </w:pPr>
            <w:r w:rsidRPr="0009445C">
              <w:rPr>
                <w:b/>
              </w:rPr>
              <w:t>6</w:t>
            </w:r>
          </w:p>
        </w:tc>
        <w:tc>
          <w:tcPr>
            <w:tcW w:w="2743" w:type="dxa"/>
            <w:shd w:val="clear" w:color="auto" w:fill="FFFFFF"/>
          </w:tcPr>
          <w:p w14:paraId="7C62949D" w14:textId="77777777" w:rsidR="00E713B0" w:rsidRPr="0009445C" w:rsidRDefault="00E713B0" w:rsidP="00E713B0">
            <w:pPr>
              <w:pStyle w:val="BRL-Tabelle"/>
              <w:spacing w:before="60" w:after="40"/>
              <w:ind w:left="113" w:right="113"/>
            </w:pPr>
            <w:r w:rsidRPr="0009445C">
              <w:t>Highly fire-retardant and essential parts made of non-combustible materials</w:t>
            </w:r>
          </w:p>
        </w:tc>
        <w:tc>
          <w:tcPr>
            <w:tcW w:w="2149" w:type="dxa"/>
            <w:shd w:val="clear" w:color="auto" w:fill="auto"/>
            <w:vAlign w:val="center"/>
          </w:tcPr>
          <w:p w14:paraId="6CEC5187" w14:textId="77777777" w:rsidR="00E713B0" w:rsidRPr="0009445C" w:rsidRDefault="00E713B0" w:rsidP="00E713B0">
            <w:pPr>
              <w:pStyle w:val="BRL-Tabelle"/>
              <w:spacing w:before="60" w:after="40"/>
              <w:ind w:left="113" w:right="113"/>
            </w:pPr>
            <w:r w:rsidRPr="0009445C">
              <w:t>≥ 60</w:t>
            </w:r>
            <w:r w:rsidRPr="0009445C">
              <w:rPr>
                <w:vertAlign w:val="superscript"/>
              </w:rPr>
              <w:t>2</w:t>
            </w:r>
          </w:p>
        </w:tc>
        <w:tc>
          <w:tcPr>
            <w:tcW w:w="2575" w:type="dxa"/>
            <w:shd w:val="clear" w:color="auto" w:fill="auto"/>
            <w:vAlign w:val="center"/>
          </w:tcPr>
          <w:p w14:paraId="4100AA0B"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6AF336C5" w14:textId="77777777" w:rsidTr="00E713B0">
        <w:trPr>
          <w:cantSplit/>
        </w:trPr>
        <w:tc>
          <w:tcPr>
            <w:tcW w:w="454" w:type="dxa"/>
            <w:shd w:val="clear" w:color="auto" w:fill="FFFFFF"/>
          </w:tcPr>
          <w:p w14:paraId="742CF695" w14:textId="77777777" w:rsidR="00E713B0" w:rsidRPr="0009445C" w:rsidRDefault="00E713B0" w:rsidP="00E713B0">
            <w:pPr>
              <w:pStyle w:val="BRL-Tabelle"/>
              <w:spacing w:before="60" w:after="40"/>
              <w:ind w:left="113" w:right="113"/>
              <w:jc w:val="center"/>
              <w:rPr>
                <w:b/>
              </w:rPr>
            </w:pPr>
            <w:r w:rsidRPr="0009445C">
              <w:rPr>
                <w:b/>
              </w:rPr>
              <w:t>7</w:t>
            </w:r>
          </w:p>
        </w:tc>
        <w:tc>
          <w:tcPr>
            <w:tcW w:w="2743" w:type="dxa"/>
            <w:shd w:val="clear" w:color="auto" w:fill="FFFFFF"/>
          </w:tcPr>
          <w:p w14:paraId="7BFCAB96" w14:textId="77777777" w:rsidR="00E713B0" w:rsidRPr="0009445C" w:rsidRDefault="00E713B0" w:rsidP="00E713B0">
            <w:pPr>
              <w:pStyle w:val="BRL-Tabelle"/>
              <w:spacing w:before="60" w:after="40"/>
              <w:ind w:left="113" w:right="113"/>
            </w:pPr>
            <w:r w:rsidRPr="0009445C">
              <w:t>Highly fire-retardant and made of non-combustible materials</w:t>
            </w:r>
          </w:p>
        </w:tc>
        <w:tc>
          <w:tcPr>
            <w:tcW w:w="2149" w:type="dxa"/>
            <w:shd w:val="clear" w:color="auto" w:fill="auto"/>
            <w:vAlign w:val="center"/>
          </w:tcPr>
          <w:p w14:paraId="274F8444" w14:textId="77777777" w:rsidR="00E713B0" w:rsidRPr="0009445C" w:rsidRDefault="00E713B0" w:rsidP="00E713B0">
            <w:pPr>
              <w:pStyle w:val="BRL-Tabelle"/>
              <w:spacing w:before="60" w:after="40"/>
              <w:ind w:left="113" w:right="113"/>
            </w:pPr>
            <w:r w:rsidRPr="0009445C">
              <w:t>≥ 60</w:t>
            </w:r>
            <w:r w:rsidRPr="0009445C">
              <w:rPr>
                <w:vertAlign w:val="superscript"/>
              </w:rPr>
              <w:t>2</w:t>
            </w:r>
          </w:p>
        </w:tc>
        <w:tc>
          <w:tcPr>
            <w:tcW w:w="2575" w:type="dxa"/>
            <w:shd w:val="clear" w:color="auto" w:fill="auto"/>
            <w:vAlign w:val="center"/>
          </w:tcPr>
          <w:p w14:paraId="3091F866"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21C3975C" w14:textId="77777777" w:rsidTr="00E713B0">
        <w:trPr>
          <w:cantSplit/>
        </w:trPr>
        <w:tc>
          <w:tcPr>
            <w:tcW w:w="454" w:type="dxa"/>
            <w:shd w:val="clear" w:color="auto" w:fill="FFFFFF"/>
          </w:tcPr>
          <w:p w14:paraId="0F891BFB" w14:textId="77777777" w:rsidR="00E713B0" w:rsidRPr="0009445C" w:rsidRDefault="00E713B0" w:rsidP="00E713B0">
            <w:pPr>
              <w:pStyle w:val="BRL-Tabelle"/>
              <w:spacing w:before="60" w:after="40"/>
              <w:ind w:left="113" w:right="113"/>
              <w:jc w:val="center"/>
              <w:rPr>
                <w:b/>
              </w:rPr>
            </w:pPr>
            <w:r w:rsidRPr="0009445C">
              <w:rPr>
                <w:b/>
              </w:rPr>
              <w:t>8</w:t>
            </w:r>
          </w:p>
        </w:tc>
        <w:tc>
          <w:tcPr>
            <w:tcW w:w="2743" w:type="dxa"/>
            <w:shd w:val="clear" w:color="auto" w:fill="FFFFFF"/>
          </w:tcPr>
          <w:p w14:paraId="1A031BC4" w14:textId="77777777" w:rsidR="00E713B0" w:rsidRPr="0009445C" w:rsidRDefault="00E713B0" w:rsidP="00E713B0">
            <w:pPr>
              <w:pStyle w:val="BRL-Tabelle"/>
              <w:spacing w:before="60" w:after="40"/>
              <w:ind w:left="113" w:right="113"/>
            </w:pPr>
            <w:r w:rsidRPr="0009445C">
              <w:t>Fire-resistant (non-combustible* load-bearing and reinforced parts)</w:t>
            </w:r>
          </w:p>
        </w:tc>
        <w:tc>
          <w:tcPr>
            <w:tcW w:w="2149" w:type="dxa"/>
            <w:shd w:val="clear" w:color="auto" w:fill="auto"/>
            <w:vAlign w:val="center"/>
          </w:tcPr>
          <w:p w14:paraId="044CEECC" w14:textId="77777777" w:rsidR="00E713B0" w:rsidRPr="0009445C" w:rsidRDefault="00E713B0" w:rsidP="00E713B0">
            <w:pPr>
              <w:pStyle w:val="BRL-Tabelle"/>
              <w:spacing w:before="60" w:after="40"/>
              <w:ind w:left="113" w:right="113"/>
            </w:pPr>
            <w:r w:rsidRPr="0009445C">
              <w:t>≥ 90</w:t>
            </w:r>
            <w:r w:rsidRPr="0009445C">
              <w:rPr>
                <w:vertAlign w:val="superscript"/>
              </w:rPr>
              <w:t>2</w:t>
            </w:r>
          </w:p>
        </w:tc>
        <w:tc>
          <w:tcPr>
            <w:tcW w:w="2575" w:type="dxa"/>
            <w:shd w:val="clear" w:color="auto" w:fill="auto"/>
            <w:vAlign w:val="center"/>
          </w:tcPr>
          <w:p w14:paraId="1671AB41"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729D7817" w14:textId="77777777" w:rsidTr="00E713B0">
        <w:trPr>
          <w:cantSplit/>
        </w:trPr>
        <w:tc>
          <w:tcPr>
            <w:tcW w:w="454" w:type="dxa"/>
            <w:shd w:val="clear" w:color="auto" w:fill="FFFFFF"/>
          </w:tcPr>
          <w:p w14:paraId="6792677B" w14:textId="77777777" w:rsidR="00E713B0" w:rsidRPr="0009445C" w:rsidRDefault="00E713B0" w:rsidP="00E713B0">
            <w:pPr>
              <w:pStyle w:val="BRL-Tabelle"/>
              <w:spacing w:before="60" w:after="40"/>
              <w:ind w:left="113" w:right="113"/>
              <w:jc w:val="center"/>
              <w:rPr>
                <w:b/>
              </w:rPr>
            </w:pPr>
            <w:r w:rsidRPr="0009445C">
              <w:rPr>
                <w:b/>
              </w:rPr>
              <w:t>9</w:t>
            </w:r>
          </w:p>
        </w:tc>
        <w:tc>
          <w:tcPr>
            <w:tcW w:w="2743" w:type="dxa"/>
            <w:shd w:val="clear" w:color="auto" w:fill="FFFFFF"/>
          </w:tcPr>
          <w:p w14:paraId="7698C953" w14:textId="77777777" w:rsidR="00E713B0" w:rsidRPr="0009445C" w:rsidRDefault="00E713B0" w:rsidP="00E713B0">
            <w:pPr>
              <w:pStyle w:val="BRL-Tabelle"/>
              <w:spacing w:before="60" w:after="40"/>
              <w:ind w:left="113" w:right="113"/>
            </w:pPr>
            <w:r w:rsidRPr="0009445C">
              <w:t>Fire-resistant and made of non-combustible* building materials</w:t>
            </w:r>
          </w:p>
        </w:tc>
        <w:tc>
          <w:tcPr>
            <w:tcW w:w="2149" w:type="dxa"/>
            <w:shd w:val="clear" w:color="auto" w:fill="auto"/>
            <w:vAlign w:val="center"/>
          </w:tcPr>
          <w:p w14:paraId="5E7067B7" w14:textId="77777777" w:rsidR="00E713B0" w:rsidRPr="0009445C" w:rsidRDefault="00E713B0" w:rsidP="00E713B0">
            <w:pPr>
              <w:pStyle w:val="BRL-Tabelle"/>
              <w:spacing w:before="60" w:after="40"/>
              <w:ind w:left="113" w:right="113"/>
            </w:pPr>
            <w:r w:rsidRPr="0009445C">
              <w:t>≥ 90</w:t>
            </w:r>
            <w:r w:rsidRPr="0009445C">
              <w:rPr>
                <w:vertAlign w:val="superscript"/>
              </w:rPr>
              <w:t>2</w:t>
            </w:r>
          </w:p>
        </w:tc>
        <w:tc>
          <w:tcPr>
            <w:tcW w:w="2575" w:type="dxa"/>
            <w:shd w:val="clear" w:color="auto" w:fill="auto"/>
            <w:vAlign w:val="center"/>
          </w:tcPr>
          <w:p w14:paraId="1947CD58"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2F1D0339" w14:textId="77777777" w:rsidTr="00E713B0">
        <w:trPr>
          <w:cantSplit/>
          <w:trHeight w:val="667"/>
        </w:trPr>
        <w:tc>
          <w:tcPr>
            <w:tcW w:w="454" w:type="dxa"/>
            <w:tcBorders>
              <w:bottom w:val="nil"/>
            </w:tcBorders>
            <w:shd w:val="clear" w:color="auto" w:fill="FFFFFF"/>
          </w:tcPr>
          <w:p w14:paraId="1E15035E" w14:textId="77777777" w:rsidR="00E713B0" w:rsidRPr="0009445C" w:rsidRDefault="00E713B0" w:rsidP="00E713B0">
            <w:pPr>
              <w:pStyle w:val="BRL-Tabelle"/>
              <w:spacing w:before="60" w:after="40"/>
              <w:ind w:left="113" w:right="113"/>
              <w:jc w:val="center"/>
              <w:rPr>
                <w:b/>
              </w:rPr>
            </w:pPr>
            <w:r w:rsidRPr="0009445C">
              <w:rPr>
                <w:b/>
              </w:rPr>
              <w:t>10</w:t>
            </w:r>
          </w:p>
        </w:tc>
        <w:tc>
          <w:tcPr>
            <w:tcW w:w="2743" w:type="dxa"/>
            <w:tcBorders>
              <w:bottom w:val="nil"/>
            </w:tcBorders>
            <w:shd w:val="clear" w:color="auto" w:fill="FFFFFF"/>
          </w:tcPr>
          <w:p w14:paraId="272EEE1D" w14:textId="77777777" w:rsidR="00E713B0" w:rsidRPr="0009445C" w:rsidRDefault="00E713B0" w:rsidP="00E713B0">
            <w:pPr>
              <w:pStyle w:val="BRL-Tabelle"/>
              <w:spacing w:before="60" w:after="40"/>
              <w:ind w:left="113" w:right="113"/>
              <w:rPr>
                <w:b/>
              </w:rPr>
            </w:pPr>
            <w:r w:rsidRPr="0009445C">
              <w:t>Fire resistance of 120 minutes and made of non-combustible*</w:t>
            </w:r>
            <w:r w:rsidRPr="0009445C">
              <w:br/>
              <w:t>building materials</w:t>
            </w:r>
          </w:p>
        </w:tc>
        <w:tc>
          <w:tcPr>
            <w:tcW w:w="2149" w:type="dxa"/>
            <w:shd w:val="clear" w:color="auto" w:fill="auto"/>
          </w:tcPr>
          <w:p w14:paraId="4E719485" w14:textId="77777777" w:rsidR="00E713B0" w:rsidRPr="0009445C" w:rsidRDefault="00E713B0" w:rsidP="00E713B0">
            <w:pPr>
              <w:pStyle w:val="BRL-Tabelle"/>
              <w:spacing w:before="60" w:after="40"/>
              <w:ind w:left="113" w:right="113"/>
              <w:rPr>
                <w:b/>
              </w:rPr>
            </w:pPr>
            <w:r w:rsidRPr="0009445C">
              <w:t>≥ 120</w:t>
            </w:r>
            <w:r w:rsidRPr="0009445C">
              <w:rPr>
                <w:vertAlign w:val="superscript"/>
              </w:rPr>
              <w:t>2</w:t>
            </w:r>
          </w:p>
        </w:tc>
        <w:tc>
          <w:tcPr>
            <w:tcW w:w="2575" w:type="dxa"/>
            <w:shd w:val="clear" w:color="auto" w:fill="auto"/>
          </w:tcPr>
          <w:p w14:paraId="765B7ED1" w14:textId="77777777" w:rsidR="00E713B0" w:rsidRPr="0009445C" w:rsidRDefault="00E713B0" w:rsidP="00E713B0">
            <w:pPr>
              <w:pStyle w:val="BRL-Tabelle"/>
              <w:spacing w:before="60" w:after="40"/>
              <w:ind w:left="113" w:right="113"/>
            </w:pPr>
            <w:r w:rsidRPr="0009445C">
              <w:t>-</w:t>
            </w:r>
          </w:p>
        </w:tc>
      </w:tr>
      <w:tr w:rsidR="00E713B0" w:rsidRPr="0009445C" w14:paraId="38FE9CA9" w14:textId="77777777" w:rsidTr="00E713B0">
        <w:trPr>
          <w:cantSplit/>
          <w:trHeight w:val="667"/>
        </w:trPr>
        <w:tc>
          <w:tcPr>
            <w:tcW w:w="454" w:type="dxa"/>
            <w:tcBorders>
              <w:bottom w:val="single" w:sz="2" w:space="0" w:color="595959"/>
            </w:tcBorders>
            <w:shd w:val="clear" w:color="auto" w:fill="FFFFFF"/>
          </w:tcPr>
          <w:p w14:paraId="07117FBF" w14:textId="77777777" w:rsidR="00E713B0" w:rsidRPr="0009445C" w:rsidRDefault="00E713B0" w:rsidP="00E713B0">
            <w:pPr>
              <w:pStyle w:val="BRL-Tabelle"/>
              <w:spacing w:before="60" w:after="40"/>
              <w:ind w:left="113" w:right="113"/>
              <w:jc w:val="center"/>
              <w:rPr>
                <w:b/>
              </w:rPr>
            </w:pPr>
            <w:r w:rsidRPr="0009445C">
              <w:rPr>
                <w:b/>
              </w:rPr>
              <w:t>11</w:t>
            </w:r>
          </w:p>
        </w:tc>
        <w:tc>
          <w:tcPr>
            <w:tcW w:w="2743" w:type="dxa"/>
            <w:tcBorders>
              <w:bottom w:val="single" w:sz="2" w:space="0" w:color="595959"/>
            </w:tcBorders>
            <w:shd w:val="clear" w:color="auto" w:fill="FFFFFF"/>
          </w:tcPr>
          <w:p w14:paraId="455E744A" w14:textId="0BB3EF95" w:rsidR="00E713B0" w:rsidRPr="0009445C" w:rsidRDefault="00E713B0" w:rsidP="00E713B0">
            <w:pPr>
              <w:pStyle w:val="BRL-Tabelle"/>
              <w:spacing w:before="60" w:after="40"/>
              <w:ind w:left="113" w:right="113"/>
            </w:pPr>
            <w:r w:rsidRPr="0009445C">
              <w:t>Structural elements referred to in A 2.1.3.1 letter (d) with fire resistance of 60 minutes and made of combustible building materials in accordance with Section 5 of the Technical Rule under ser. No A 2.2.1.4</w:t>
            </w:r>
            <w:r w:rsidRPr="0009445C">
              <w:rPr>
                <w:vertAlign w:val="superscript"/>
              </w:rPr>
              <w:t>4</w:t>
            </w:r>
          </w:p>
        </w:tc>
        <w:tc>
          <w:tcPr>
            <w:tcW w:w="2149" w:type="dxa"/>
            <w:tcBorders>
              <w:bottom w:val="single" w:sz="2" w:space="0" w:color="595959"/>
            </w:tcBorders>
            <w:shd w:val="clear" w:color="auto" w:fill="auto"/>
          </w:tcPr>
          <w:p w14:paraId="53A013AC" w14:textId="77777777" w:rsidR="00E713B0" w:rsidRPr="0009445C" w:rsidRDefault="00E713B0" w:rsidP="00E713B0">
            <w:pPr>
              <w:pStyle w:val="BRL-Tabelle"/>
              <w:spacing w:before="60" w:after="40"/>
              <w:ind w:left="113" w:right="113"/>
            </w:pPr>
            <w:r w:rsidRPr="0009445C">
              <w:t>≥ 60</w:t>
            </w:r>
            <w:r w:rsidRPr="0009445C">
              <w:rPr>
                <w:vertAlign w:val="superscript"/>
              </w:rPr>
              <w:t>3,**</w:t>
            </w:r>
          </w:p>
        </w:tc>
        <w:tc>
          <w:tcPr>
            <w:tcW w:w="2575" w:type="dxa"/>
            <w:tcBorders>
              <w:bottom w:val="single" w:sz="2" w:space="0" w:color="595959"/>
            </w:tcBorders>
            <w:shd w:val="clear" w:color="auto" w:fill="auto"/>
          </w:tcPr>
          <w:p w14:paraId="3F1F90B1" w14:textId="77777777" w:rsidR="00E713B0" w:rsidRPr="0009445C" w:rsidRDefault="00E713B0" w:rsidP="00E713B0">
            <w:pPr>
              <w:pStyle w:val="BRL-Tabelle"/>
              <w:spacing w:before="60" w:after="40"/>
              <w:ind w:left="113" w:right="113"/>
            </w:pPr>
            <w:r w:rsidRPr="0009445C">
              <w:t>A 2.2.1.4</w:t>
            </w:r>
          </w:p>
        </w:tc>
      </w:tr>
      <w:tr w:rsidR="00E713B0" w:rsidRPr="0009445C" w14:paraId="5D733379" w14:textId="77777777" w:rsidTr="00E713B0">
        <w:trPr>
          <w:cantSplit/>
          <w:trHeight w:val="667"/>
        </w:trPr>
        <w:tc>
          <w:tcPr>
            <w:tcW w:w="454" w:type="dxa"/>
            <w:tcBorders>
              <w:top w:val="single" w:sz="2" w:space="0" w:color="595959"/>
              <w:bottom w:val="single" w:sz="2" w:space="0" w:color="auto"/>
            </w:tcBorders>
            <w:shd w:val="clear" w:color="auto" w:fill="FFFFFF"/>
          </w:tcPr>
          <w:p w14:paraId="1ACCC861" w14:textId="77777777" w:rsidR="00E713B0" w:rsidRPr="0009445C" w:rsidRDefault="00E713B0" w:rsidP="007D6BBF">
            <w:pPr>
              <w:pStyle w:val="BRL-Tabelle"/>
              <w:pageBreakBefore/>
              <w:ind w:left="113" w:right="113"/>
              <w:jc w:val="center"/>
              <w:rPr>
                <w:b/>
              </w:rPr>
            </w:pPr>
            <w:r w:rsidRPr="0009445C">
              <w:rPr>
                <w:b/>
              </w:rPr>
              <w:lastRenderedPageBreak/>
              <w:t>12</w:t>
            </w:r>
          </w:p>
        </w:tc>
        <w:tc>
          <w:tcPr>
            <w:tcW w:w="2743" w:type="dxa"/>
            <w:tcBorders>
              <w:top w:val="single" w:sz="2" w:space="0" w:color="595959"/>
              <w:bottom w:val="single" w:sz="2" w:space="0" w:color="auto"/>
            </w:tcBorders>
            <w:shd w:val="clear" w:color="auto" w:fill="FFFFFF"/>
          </w:tcPr>
          <w:p w14:paraId="3D2FE191" w14:textId="10FAD537" w:rsidR="00E713B0" w:rsidRPr="0009445C" w:rsidRDefault="00E713B0" w:rsidP="00E713B0">
            <w:pPr>
              <w:pStyle w:val="BRL-Tabelle"/>
              <w:ind w:left="113" w:right="113"/>
            </w:pPr>
            <w:r w:rsidRPr="0009445C">
              <w:t>Structural elements referred to in A 2.1.3.1 letter (d) with fire resistance of 90 minutes and made of combustible building materials in accordance with Section 5 of the Technical Rule under ser. No A 2.2.1.4</w:t>
            </w:r>
            <w:r w:rsidRPr="0009445C">
              <w:rPr>
                <w:vertAlign w:val="superscript"/>
              </w:rPr>
              <w:t>4</w:t>
            </w:r>
          </w:p>
        </w:tc>
        <w:tc>
          <w:tcPr>
            <w:tcW w:w="2149" w:type="dxa"/>
            <w:tcBorders>
              <w:top w:val="single" w:sz="2" w:space="0" w:color="595959"/>
              <w:bottom w:val="single" w:sz="2" w:space="0" w:color="auto"/>
            </w:tcBorders>
            <w:shd w:val="clear" w:color="auto" w:fill="auto"/>
          </w:tcPr>
          <w:p w14:paraId="70ED5795" w14:textId="542AC873" w:rsidR="00E713B0" w:rsidRPr="0009445C" w:rsidRDefault="00E713B0" w:rsidP="00E713B0">
            <w:pPr>
              <w:pStyle w:val="BRL-Tabelle"/>
              <w:ind w:left="113" w:right="113"/>
            </w:pPr>
            <w:r w:rsidRPr="0009445C">
              <w:t>≥ 90</w:t>
            </w:r>
            <w:r w:rsidRPr="0009445C">
              <w:rPr>
                <w:vertAlign w:val="superscript"/>
              </w:rPr>
              <w:t>3,5,**</w:t>
            </w:r>
          </w:p>
          <w:p w14:paraId="5C45DC26" w14:textId="77777777" w:rsidR="00E713B0" w:rsidRPr="0009445C" w:rsidRDefault="00E713B0" w:rsidP="00E713B0">
            <w:pPr>
              <w:pStyle w:val="BRL-Tabelle"/>
              <w:spacing w:before="60" w:after="40"/>
              <w:ind w:left="113" w:right="113"/>
            </w:pPr>
          </w:p>
        </w:tc>
        <w:tc>
          <w:tcPr>
            <w:tcW w:w="2575" w:type="dxa"/>
            <w:tcBorders>
              <w:top w:val="single" w:sz="2" w:space="0" w:color="595959"/>
              <w:bottom w:val="single" w:sz="2" w:space="0" w:color="auto"/>
            </w:tcBorders>
            <w:shd w:val="clear" w:color="auto" w:fill="auto"/>
          </w:tcPr>
          <w:p w14:paraId="7F1B82BB" w14:textId="77777777" w:rsidR="00E713B0" w:rsidRPr="0009445C" w:rsidRDefault="00E713B0" w:rsidP="00E713B0">
            <w:pPr>
              <w:pStyle w:val="BRL-Tabelle"/>
              <w:spacing w:before="60" w:after="40"/>
              <w:ind w:left="113" w:right="113"/>
            </w:pPr>
            <w:r w:rsidRPr="0009445C">
              <w:t>A 2.2.1.4</w:t>
            </w:r>
          </w:p>
        </w:tc>
      </w:tr>
      <w:tr w:rsidR="00E713B0" w:rsidRPr="0009445C" w14:paraId="05AA1300" w14:textId="77777777" w:rsidTr="00E713B0">
        <w:trPr>
          <w:cantSplit/>
          <w:trHeight w:val="2126"/>
        </w:trPr>
        <w:tc>
          <w:tcPr>
            <w:tcW w:w="454" w:type="dxa"/>
            <w:tcBorders>
              <w:top w:val="single" w:sz="2" w:space="0" w:color="auto"/>
            </w:tcBorders>
            <w:shd w:val="clear" w:color="auto" w:fill="FFFFFF"/>
          </w:tcPr>
          <w:p w14:paraId="278A8665" w14:textId="77777777" w:rsidR="00E713B0" w:rsidRPr="0009445C" w:rsidRDefault="00E713B0" w:rsidP="00E713B0">
            <w:pPr>
              <w:pStyle w:val="BRL-Funote"/>
              <w:spacing w:before="120"/>
              <w:ind w:left="426" w:hanging="284"/>
              <w:jc w:val="center"/>
              <w:rPr>
                <w:b/>
              </w:rPr>
            </w:pPr>
          </w:p>
        </w:tc>
        <w:tc>
          <w:tcPr>
            <w:tcW w:w="7467" w:type="dxa"/>
            <w:gridSpan w:val="3"/>
            <w:tcBorders>
              <w:top w:val="single" w:sz="2" w:space="0" w:color="auto"/>
            </w:tcBorders>
            <w:shd w:val="clear" w:color="auto" w:fill="FFFFFF"/>
          </w:tcPr>
          <w:p w14:paraId="08529794" w14:textId="77777777" w:rsidR="00E713B0" w:rsidRPr="0009445C" w:rsidRDefault="00E713B0" w:rsidP="00E713B0">
            <w:pPr>
              <w:pStyle w:val="BRL-Funote"/>
              <w:spacing w:before="120"/>
              <w:ind w:left="426" w:hanging="284"/>
              <w:jc w:val="left"/>
            </w:pPr>
            <w:r w:rsidRPr="0009445C">
              <w:t xml:space="preserve">A. </w:t>
            </w:r>
            <w:r w:rsidRPr="0009445C">
              <w:tab/>
              <w:t>Table contains only building supervisory requirements for structural elements, which are also represented by the Eurocodes.</w:t>
            </w:r>
          </w:p>
          <w:p w14:paraId="638DB5CC" w14:textId="77777777" w:rsidR="00E713B0" w:rsidRPr="0009445C" w:rsidRDefault="00E713B0" w:rsidP="00E713B0">
            <w:pPr>
              <w:pStyle w:val="BRL-Funote"/>
              <w:ind w:hanging="283"/>
              <w:jc w:val="left"/>
              <w:rPr>
                <w:lang w:val="de-DE"/>
              </w:rPr>
            </w:pPr>
            <w:r w:rsidRPr="0009445C">
              <w:rPr>
                <w:lang w:val="de-DE"/>
              </w:rPr>
              <w:t>1</w:t>
            </w:r>
            <w:r w:rsidRPr="0009445C">
              <w:rPr>
                <w:lang w:val="de-DE"/>
              </w:rPr>
              <w:tab/>
              <w:t xml:space="preserve">DIN EN 1992-1-2:2010-12, DIN EN 1993-1-2:2010-12, DIN EN 1994-1-2:2010-12, DIN EN 1995-1-2:2010-12, DIN EN 1999-1-2:2010-12, DIN EN 1996-1-2:2011-04, </w:t>
            </w:r>
            <w:r w:rsidRPr="0009445C">
              <w:rPr>
                <w:lang w:val="de-DE"/>
              </w:rPr>
              <w:br/>
              <w:t>DIN EN 1991-1-2:2010-12, Section 3.2.1</w:t>
            </w:r>
          </w:p>
          <w:p w14:paraId="4E843351" w14:textId="77777777" w:rsidR="00E713B0" w:rsidRPr="0009445C" w:rsidRDefault="00E713B0" w:rsidP="00E713B0">
            <w:pPr>
              <w:pStyle w:val="BRL-Funote"/>
              <w:ind w:hanging="283"/>
              <w:jc w:val="left"/>
            </w:pPr>
            <w:r w:rsidRPr="0009445C">
              <w:t>2</w:t>
            </w:r>
            <w:r w:rsidRPr="0009445C">
              <w:tab/>
              <w:t>Not applicable to DIN EN 1995, as requirements for the fire characteristics of load-bearing parts are not fulfilled.</w:t>
            </w:r>
          </w:p>
          <w:p w14:paraId="40B18CF5" w14:textId="77777777" w:rsidR="00E713B0" w:rsidRPr="0009445C" w:rsidRDefault="00E713B0" w:rsidP="00E713B0">
            <w:pPr>
              <w:pStyle w:val="BRL-Funote"/>
              <w:ind w:hanging="283"/>
              <w:jc w:val="left"/>
              <w:rPr>
                <w:lang w:val="de-DE"/>
              </w:rPr>
            </w:pPr>
            <w:r w:rsidRPr="0009445C">
              <w:rPr>
                <w:lang w:val="de-DE"/>
              </w:rPr>
              <w:t>3</w:t>
            </w:r>
            <w:r w:rsidRPr="0009445C">
              <w:rPr>
                <w:lang w:val="de-DE"/>
              </w:rPr>
              <w:tab/>
              <w:t>Not applicable to DIN EN 1992-1-2:2010-12, DIN EN 1993-1-2:2010-12, DIN EN 1994-1-2:2010-12, DIN EN 1999-1-2:2010-12, DIN EN 1996-1-2:2011-04</w:t>
            </w:r>
          </w:p>
          <w:p w14:paraId="71D229E7" w14:textId="726E6771" w:rsidR="00BF471E" w:rsidRPr="0009445C" w:rsidRDefault="00E713B0" w:rsidP="00E713B0">
            <w:pPr>
              <w:pStyle w:val="BRL-Funote"/>
              <w:keepNext/>
              <w:keepLines/>
              <w:ind w:hanging="283"/>
              <w:jc w:val="left"/>
            </w:pPr>
            <w:r w:rsidRPr="0009445C">
              <w:t>4</w:t>
            </w:r>
            <w:r w:rsidRPr="0009445C">
              <w:tab/>
              <w:t>As far as the design according to DIN EN 1995-1-2:2010-12 and DIN EN 1995-1-2/NA:2010-12 should take into account the fire-protective cladding according to Sections 4.2 and 5.2 of the Technical Rule in accordance with ser. No A 2.2.1.4, a type-approval according to § 16a MBO</w:t>
            </w:r>
            <w:r w:rsidRPr="0009445C">
              <w:rPr>
                <w:vertAlign w:val="superscript"/>
              </w:rPr>
              <w:t xml:space="preserve"> 1</w:t>
            </w:r>
            <w:r w:rsidRPr="0009445C">
              <w:t xml:space="preserve"> is required. Excluded from this are designs for beams and columns according to DIN EN 1995-1-2:2010-12 Section 3.4.3.</w:t>
            </w:r>
          </w:p>
          <w:p w14:paraId="7679675F" w14:textId="0858CFAE" w:rsidR="00E713B0" w:rsidRPr="0009445C" w:rsidRDefault="00BF471E" w:rsidP="00E713B0">
            <w:pPr>
              <w:pStyle w:val="BRL-Funote"/>
              <w:keepNext/>
              <w:keepLines/>
              <w:ind w:hanging="283"/>
              <w:jc w:val="left"/>
            </w:pPr>
            <w:r w:rsidRPr="0009445C">
              <w:t>5</w:t>
            </w:r>
            <w:r w:rsidRPr="0009445C">
              <w:tab/>
              <w:t xml:space="preserve">In connection with DIN EN 1995-1-2:2010-12 Section 6, reference is made to the possibility of DIN EN 1995-1-1/NA:2010-12, NCI NA.12 (‘carpenter-style connections’). </w:t>
            </w:r>
          </w:p>
          <w:p w14:paraId="36B8A8C0" w14:textId="4B58AC96" w:rsidR="00BF471E" w:rsidRPr="0009445C" w:rsidRDefault="00BF471E" w:rsidP="00E713B0">
            <w:pPr>
              <w:pStyle w:val="BRL-Funote"/>
              <w:keepNext/>
              <w:keepLines/>
              <w:ind w:hanging="283"/>
              <w:jc w:val="left"/>
            </w:pPr>
          </w:p>
          <w:p w14:paraId="2A7F9595" w14:textId="77777777" w:rsidR="00E713B0" w:rsidRPr="0009445C" w:rsidRDefault="00E713B0" w:rsidP="00E713B0">
            <w:pPr>
              <w:pStyle w:val="BRL-Funote"/>
              <w:ind w:hanging="283"/>
              <w:jc w:val="left"/>
              <w:rPr>
                <w:b/>
              </w:rPr>
            </w:pPr>
            <w:r w:rsidRPr="0009445C">
              <w:t>*</w:t>
            </w:r>
            <w:r w:rsidRPr="0009445C">
              <w:tab/>
              <w:t>Regarding the requirements, Table 1.1. applies.</w:t>
            </w:r>
          </w:p>
          <w:p w14:paraId="7B9A4885" w14:textId="77777777" w:rsidR="00E713B0" w:rsidRPr="0009445C" w:rsidRDefault="00E713B0" w:rsidP="00E713B0">
            <w:pPr>
              <w:pStyle w:val="BRL-Funote"/>
              <w:ind w:hanging="283"/>
              <w:jc w:val="left"/>
              <w:rPr>
                <w:b/>
              </w:rPr>
            </w:pPr>
            <w:r w:rsidRPr="0009445C">
              <w:t>**</w:t>
            </w:r>
            <w:r w:rsidRPr="0009445C">
              <w:tab/>
              <w:t>Design according to Eurocode does not account for the fire characteristics of building materials.</w:t>
            </w:r>
          </w:p>
          <w:p w14:paraId="68DD1CE3" w14:textId="77777777" w:rsidR="00E713B0" w:rsidRPr="0009445C" w:rsidRDefault="00E713B0" w:rsidP="00E713B0">
            <w:pPr>
              <w:pStyle w:val="BRL-Funote"/>
              <w:spacing w:after="120"/>
              <w:ind w:left="426" w:hanging="284"/>
              <w:jc w:val="left"/>
              <w:rPr>
                <w:b/>
              </w:rPr>
            </w:pPr>
            <w:r w:rsidRPr="0009445C">
              <w:t>***</w:t>
            </w:r>
            <w:r w:rsidRPr="0009445C">
              <w:tab/>
              <w:t>Regarding the requirements, Table 1.1 or Table 1.2 applies.</w:t>
            </w:r>
          </w:p>
        </w:tc>
      </w:tr>
    </w:tbl>
    <w:p w14:paraId="68A79501" w14:textId="77777777" w:rsidR="00E713B0" w:rsidRPr="0009445C" w:rsidRDefault="00E713B0" w:rsidP="00E713B0">
      <w:pPr>
        <w:pStyle w:val="BRL-Standard"/>
      </w:pPr>
    </w:p>
    <w:p w14:paraId="000C3570" w14:textId="77777777" w:rsidR="00E713B0" w:rsidRPr="0009445C" w:rsidRDefault="00E713B0" w:rsidP="00E713B0">
      <w:pPr>
        <w:pStyle w:val="BRL-Standard"/>
      </w:pPr>
      <w:r w:rsidRPr="0009445C">
        <w:t xml:space="preserve">The requirement of Table 4.1.1, column 1, is met only if reinforcing structural elements with their connections have at least the same determined duration of stability in the event of fire. </w:t>
      </w:r>
    </w:p>
    <w:p w14:paraId="6F6AB6A4" w14:textId="77777777" w:rsidR="00E713B0" w:rsidRPr="0009445C" w:rsidRDefault="00E713B0" w:rsidP="00E713B0">
      <w:pPr>
        <w:pStyle w:val="BRL-Standard"/>
        <w:rPr>
          <w:szCs w:val="22"/>
        </w:rPr>
      </w:pPr>
      <w:r w:rsidRPr="0009445C">
        <w:br w:type="page"/>
      </w:r>
    </w:p>
    <w:p w14:paraId="6BEDB12E" w14:textId="5F5987E7" w:rsidR="00E713B0" w:rsidRPr="0009445C" w:rsidRDefault="00E713B0" w:rsidP="00E713B0">
      <w:pPr>
        <w:pStyle w:val="BRLTabelleberschrift"/>
        <w:keepNext w:val="0"/>
        <w:widowControl w:val="0"/>
        <w:spacing w:after="120"/>
      </w:pPr>
      <w:r w:rsidRPr="0009445C">
        <w:lastRenderedPageBreak/>
        <w:t>Table 4.1.2</w:t>
      </w:r>
      <w:r w:rsidRPr="0009445C">
        <w:rPr>
          <w:vertAlign w:val="superscript"/>
        </w:rPr>
        <w:t>A</w:t>
      </w:r>
      <w:r w:rsidRPr="0009445C">
        <w:t xml:space="preserve">: </w:t>
      </w:r>
      <w:r w:rsidRPr="0009445C">
        <w:tab/>
        <w:t>Building approval requirements for load-bearing structural elements and classification of classes (table values) according to Eurocode DIN EN 1992</w:t>
      </w:r>
      <w:r w:rsidRPr="0009445C">
        <w:noBreakHyphen/>
        <w:t xml:space="preserve"> 1</w:t>
      </w:r>
      <w:r w:rsidRPr="0009445C">
        <w:noBreakHyphen/>
        <w:t xml:space="preserve"> 2:2010-12, DIN EN 1994</w:t>
      </w:r>
      <w:r w:rsidRPr="0009445C">
        <w:noBreakHyphen/>
        <w:t>1</w:t>
      </w:r>
      <w:r w:rsidRPr="0009445C">
        <w:noBreakHyphen/>
        <w:t>2:2010-12, DIN EN 1996</w:t>
      </w:r>
      <w:r w:rsidRPr="0009445C">
        <w:noBreakHyphen/>
        <w:t xml:space="preserve"> 1</w:t>
      </w:r>
      <w:r w:rsidRPr="0009445C">
        <w:noBreakHyphen/>
        <w:t xml:space="preserve"> 2/NA:2013-06 and additional application rules</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Layout w:type="fixed"/>
        <w:tblCellMar>
          <w:left w:w="0" w:type="dxa"/>
          <w:right w:w="0" w:type="dxa"/>
        </w:tblCellMar>
        <w:tblLook w:val="04E0" w:firstRow="1" w:lastRow="1" w:firstColumn="1" w:lastColumn="0" w:noHBand="0" w:noVBand="1"/>
      </w:tblPr>
      <w:tblGrid>
        <w:gridCol w:w="433"/>
        <w:gridCol w:w="3647"/>
        <w:gridCol w:w="2429"/>
        <w:gridCol w:w="2563"/>
      </w:tblGrid>
      <w:tr w:rsidR="00E713B0" w:rsidRPr="0009445C" w14:paraId="71FC98A3" w14:textId="77777777" w:rsidTr="00E713B0">
        <w:trPr>
          <w:cantSplit/>
          <w:tblHeader/>
        </w:trPr>
        <w:tc>
          <w:tcPr>
            <w:tcW w:w="454" w:type="dxa"/>
            <w:shd w:val="clear" w:color="auto" w:fill="FFFFFF"/>
          </w:tcPr>
          <w:p w14:paraId="18B32614" w14:textId="77777777" w:rsidR="00E713B0" w:rsidRPr="0009445C" w:rsidRDefault="00E713B0" w:rsidP="00E713B0">
            <w:pPr>
              <w:pStyle w:val="BRL-TabelleberschriftAnhang"/>
              <w:jc w:val="center"/>
            </w:pPr>
          </w:p>
        </w:tc>
        <w:tc>
          <w:tcPr>
            <w:tcW w:w="3831" w:type="dxa"/>
            <w:shd w:val="clear" w:color="auto" w:fill="FFFFFF"/>
          </w:tcPr>
          <w:p w14:paraId="2BC88431" w14:textId="77777777" w:rsidR="00E713B0" w:rsidRPr="0009445C" w:rsidRDefault="00E713B0" w:rsidP="00E713B0">
            <w:pPr>
              <w:pStyle w:val="BRL-TabelleberschriftAnhang"/>
            </w:pPr>
            <w:r w:rsidRPr="0009445C">
              <w:t>Building approval requirement</w:t>
            </w:r>
          </w:p>
        </w:tc>
        <w:tc>
          <w:tcPr>
            <w:tcW w:w="2551" w:type="dxa"/>
            <w:shd w:val="clear" w:color="auto" w:fill="FFFFFF"/>
          </w:tcPr>
          <w:p w14:paraId="468404BF" w14:textId="77777777" w:rsidR="00E713B0" w:rsidRPr="0009445C" w:rsidRDefault="00E713B0" w:rsidP="00E713B0">
            <w:pPr>
              <w:pStyle w:val="BRL-TabelleberschriftAnhang"/>
            </w:pPr>
            <w:r w:rsidRPr="0009445C">
              <w:t xml:space="preserve">Classes according to Eurocode** </w:t>
            </w:r>
            <w:r w:rsidRPr="0009445C">
              <w:br/>
              <w:t>DIN EN 1992</w:t>
            </w:r>
            <w:r w:rsidRPr="0009445C">
              <w:noBreakHyphen/>
              <w:t>1</w:t>
            </w:r>
            <w:r w:rsidRPr="0009445C">
              <w:noBreakHyphen/>
              <w:t>2:2010-12, Section 5 DIN EN 1994</w:t>
            </w:r>
            <w:r w:rsidRPr="0009445C">
              <w:noBreakHyphen/>
              <w:t>1</w:t>
            </w:r>
            <w:r w:rsidRPr="0009445C">
              <w:noBreakHyphen/>
              <w:t>2:2010-12, Section 4.2 DIN EN 1996</w:t>
            </w:r>
            <w:r w:rsidRPr="0009445C">
              <w:noBreakHyphen/>
              <w:t>1</w:t>
            </w:r>
            <w:r w:rsidRPr="0009445C">
              <w:noBreakHyphen/>
              <w:t>2/NA:2013-06, to Annex B</w:t>
            </w:r>
          </w:p>
        </w:tc>
        <w:tc>
          <w:tcPr>
            <w:tcW w:w="2692" w:type="dxa"/>
            <w:shd w:val="clear" w:color="auto" w:fill="FFFFFF"/>
          </w:tcPr>
          <w:p w14:paraId="51B6EF06" w14:textId="77777777" w:rsidR="00E713B0" w:rsidRPr="0009445C" w:rsidRDefault="00E713B0" w:rsidP="00E713B0">
            <w:pPr>
              <w:pStyle w:val="BRL-TabelleberschriftAnhang"/>
            </w:pPr>
            <w:r w:rsidRPr="0009445C">
              <w:t>Application rule to be observed in addition to Eurocode for designs using certain building materials***</w:t>
            </w:r>
          </w:p>
        </w:tc>
      </w:tr>
      <w:tr w:rsidR="00E713B0" w:rsidRPr="0009445C" w14:paraId="4F421F1E" w14:textId="77777777" w:rsidTr="00E713B0">
        <w:trPr>
          <w:cantSplit/>
          <w:tblHeader/>
        </w:trPr>
        <w:tc>
          <w:tcPr>
            <w:tcW w:w="454" w:type="dxa"/>
            <w:shd w:val="clear" w:color="auto" w:fill="FFFFFF"/>
          </w:tcPr>
          <w:p w14:paraId="02788ECB" w14:textId="77777777" w:rsidR="00E713B0" w:rsidRPr="0009445C" w:rsidRDefault="00E713B0" w:rsidP="00E713B0">
            <w:pPr>
              <w:pStyle w:val="BRL-TabelleberschriftAnhang"/>
              <w:jc w:val="center"/>
            </w:pPr>
          </w:p>
        </w:tc>
        <w:tc>
          <w:tcPr>
            <w:tcW w:w="3831" w:type="dxa"/>
            <w:shd w:val="clear" w:color="auto" w:fill="FFFFFF"/>
          </w:tcPr>
          <w:p w14:paraId="660AB2AC" w14:textId="77777777" w:rsidR="00E713B0" w:rsidRPr="0009445C" w:rsidRDefault="00E713B0" w:rsidP="00E713B0">
            <w:pPr>
              <w:pStyle w:val="BRL-TabelleberschriftAnhang"/>
              <w:jc w:val="center"/>
            </w:pPr>
            <w:r w:rsidRPr="0009445C">
              <w:t>1</w:t>
            </w:r>
          </w:p>
        </w:tc>
        <w:tc>
          <w:tcPr>
            <w:tcW w:w="2551" w:type="dxa"/>
            <w:shd w:val="clear" w:color="auto" w:fill="FFFFFF"/>
          </w:tcPr>
          <w:p w14:paraId="437561C7" w14:textId="77777777" w:rsidR="00E713B0" w:rsidRPr="0009445C" w:rsidRDefault="00E713B0" w:rsidP="00E713B0">
            <w:pPr>
              <w:pStyle w:val="BRL-TabelleberschriftAnhang"/>
              <w:jc w:val="center"/>
            </w:pPr>
            <w:r w:rsidRPr="0009445C">
              <w:t>2</w:t>
            </w:r>
          </w:p>
        </w:tc>
        <w:tc>
          <w:tcPr>
            <w:tcW w:w="2692" w:type="dxa"/>
            <w:shd w:val="clear" w:color="auto" w:fill="FFFFFF"/>
          </w:tcPr>
          <w:p w14:paraId="0934F25A" w14:textId="77777777" w:rsidR="00E713B0" w:rsidRPr="0009445C" w:rsidRDefault="00E713B0" w:rsidP="00E713B0">
            <w:pPr>
              <w:pStyle w:val="BRL-TabelleberschriftAnhang"/>
              <w:jc w:val="center"/>
            </w:pPr>
            <w:r w:rsidRPr="0009445C">
              <w:t>3</w:t>
            </w:r>
          </w:p>
        </w:tc>
      </w:tr>
      <w:tr w:rsidR="00E713B0" w:rsidRPr="0009445C" w14:paraId="690BBF90" w14:textId="77777777" w:rsidTr="00E713B0">
        <w:trPr>
          <w:cantSplit/>
        </w:trPr>
        <w:tc>
          <w:tcPr>
            <w:tcW w:w="454" w:type="dxa"/>
            <w:shd w:val="clear" w:color="auto" w:fill="FFFFFF"/>
          </w:tcPr>
          <w:p w14:paraId="36B0931F" w14:textId="77777777" w:rsidR="00E713B0" w:rsidRPr="0009445C" w:rsidRDefault="00E713B0" w:rsidP="00E713B0">
            <w:pPr>
              <w:pStyle w:val="BRL-Tabelle"/>
              <w:spacing w:before="60" w:after="40"/>
              <w:ind w:left="113" w:right="113"/>
              <w:jc w:val="center"/>
              <w:rPr>
                <w:b/>
              </w:rPr>
            </w:pPr>
            <w:r w:rsidRPr="0009445C">
              <w:rPr>
                <w:b/>
              </w:rPr>
              <w:t>1</w:t>
            </w:r>
          </w:p>
        </w:tc>
        <w:tc>
          <w:tcPr>
            <w:tcW w:w="3831" w:type="dxa"/>
            <w:shd w:val="clear" w:color="auto" w:fill="FFFFFF"/>
          </w:tcPr>
          <w:p w14:paraId="2F08E235" w14:textId="77777777" w:rsidR="00E713B0" w:rsidRPr="0009445C" w:rsidRDefault="00E713B0" w:rsidP="00E713B0">
            <w:pPr>
              <w:pStyle w:val="BRL-Tabelle"/>
              <w:spacing w:before="60" w:after="40"/>
              <w:ind w:left="113" w:right="113"/>
            </w:pPr>
            <w:r w:rsidRPr="0009445C">
              <w:t>Of non-combustible* building materials</w:t>
            </w:r>
          </w:p>
        </w:tc>
        <w:tc>
          <w:tcPr>
            <w:tcW w:w="2551" w:type="dxa"/>
            <w:shd w:val="clear" w:color="auto" w:fill="auto"/>
          </w:tcPr>
          <w:p w14:paraId="02DACBD9" w14:textId="77777777" w:rsidR="00E713B0" w:rsidRPr="0009445C" w:rsidRDefault="00E713B0" w:rsidP="00E713B0">
            <w:pPr>
              <w:pStyle w:val="BRL-Tabelle"/>
              <w:spacing w:before="60" w:after="40"/>
              <w:ind w:left="113" w:right="113"/>
            </w:pPr>
            <w:r w:rsidRPr="0009445C">
              <w:t>Not required</w:t>
            </w:r>
          </w:p>
        </w:tc>
        <w:tc>
          <w:tcPr>
            <w:tcW w:w="2692" w:type="dxa"/>
            <w:shd w:val="clear" w:color="auto" w:fill="auto"/>
          </w:tcPr>
          <w:p w14:paraId="1ECAE6FA" w14:textId="77777777" w:rsidR="00E713B0" w:rsidRPr="0009445C" w:rsidRDefault="00E713B0" w:rsidP="00E713B0">
            <w:pPr>
              <w:pStyle w:val="BRL-Tabelle"/>
              <w:spacing w:before="60" w:after="40"/>
              <w:ind w:left="113" w:right="113"/>
            </w:pPr>
            <w:r w:rsidRPr="0009445C">
              <w:t>DIN 4102-4:2016-05</w:t>
            </w:r>
          </w:p>
        </w:tc>
      </w:tr>
      <w:tr w:rsidR="00E713B0" w:rsidRPr="0009445C" w14:paraId="2D497BDF" w14:textId="77777777" w:rsidTr="00E713B0">
        <w:trPr>
          <w:cantSplit/>
        </w:trPr>
        <w:tc>
          <w:tcPr>
            <w:tcW w:w="454" w:type="dxa"/>
            <w:shd w:val="clear" w:color="auto" w:fill="FFFFFF"/>
          </w:tcPr>
          <w:p w14:paraId="02C0F7BE" w14:textId="77777777" w:rsidR="00E713B0" w:rsidRPr="0009445C" w:rsidRDefault="00E713B0" w:rsidP="00E713B0">
            <w:pPr>
              <w:pStyle w:val="BRL-Tabelle"/>
              <w:spacing w:before="60" w:after="40"/>
              <w:ind w:left="113" w:right="113"/>
              <w:jc w:val="center"/>
              <w:rPr>
                <w:b/>
              </w:rPr>
            </w:pPr>
            <w:r w:rsidRPr="0009445C">
              <w:rPr>
                <w:b/>
              </w:rPr>
              <w:t>2</w:t>
            </w:r>
          </w:p>
        </w:tc>
        <w:tc>
          <w:tcPr>
            <w:tcW w:w="3831" w:type="dxa"/>
            <w:shd w:val="clear" w:color="auto" w:fill="FFFFFF"/>
          </w:tcPr>
          <w:p w14:paraId="3FECF43D" w14:textId="77777777" w:rsidR="00E713B0" w:rsidRPr="0009445C" w:rsidRDefault="00E713B0" w:rsidP="00E713B0">
            <w:pPr>
              <w:pStyle w:val="BRL-Tabelle"/>
              <w:spacing w:before="60" w:after="40"/>
              <w:ind w:left="113" w:right="113"/>
            </w:pPr>
            <w:r w:rsidRPr="0009445C">
              <w:t>Fire-retardant</w:t>
            </w:r>
          </w:p>
        </w:tc>
        <w:tc>
          <w:tcPr>
            <w:tcW w:w="2551" w:type="dxa"/>
            <w:shd w:val="clear" w:color="auto" w:fill="auto"/>
          </w:tcPr>
          <w:p w14:paraId="00629531" w14:textId="77777777" w:rsidR="00E713B0" w:rsidRPr="0009445C" w:rsidRDefault="00E713B0" w:rsidP="00E713B0">
            <w:pPr>
              <w:pStyle w:val="BRL-Tabelle"/>
              <w:spacing w:before="60" w:after="40"/>
              <w:ind w:left="113" w:right="113"/>
            </w:pPr>
            <w:r w:rsidRPr="0009445C">
              <w:t>R 30</w:t>
            </w:r>
          </w:p>
        </w:tc>
        <w:tc>
          <w:tcPr>
            <w:tcW w:w="2692" w:type="dxa"/>
            <w:shd w:val="clear" w:color="auto" w:fill="auto"/>
          </w:tcPr>
          <w:p w14:paraId="610238CA"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2F5755B6" w14:textId="77777777" w:rsidTr="00E713B0">
        <w:trPr>
          <w:cantSplit/>
        </w:trPr>
        <w:tc>
          <w:tcPr>
            <w:tcW w:w="454" w:type="dxa"/>
            <w:shd w:val="clear" w:color="auto" w:fill="FFFFFF"/>
          </w:tcPr>
          <w:p w14:paraId="7721DDBE" w14:textId="77777777" w:rsidR="00E713B0" w:rsidRPr="0009445C" w:rsidRDefault="00E713B0" w:rsidP="00E713B0">
            <w:pPr>
              <w:pStyle w:val="BRL-Tabelle"/>
              <w:spacing w:before="60" w:after="40"/>
              <w:ind w:left="113" w:right="113"/>
              <w:jc w:val="center"/>
              <w:rPr>
                <w:b/>
              </w:rPr>
            </w:pPr>
            <w:r w:rsidRPr="0009445C">
              <w:rPr>
                <w:b/>
              </w:rPr>
              <w:t>3</w:t>
            </w:r>
          </w:p>
        </w:tc>
        <w:tc>
          <w:tcPr>
            <w:tcW w:w="3831" w:type="dxa"/>
            <w:shd w:val="clear" w:color="auto" w:fill="FFFFFF"/>
          </w:tcPr>
          <w:p w14:paraId="6944CA04" w14:textId="77777777" w:rsidR="00E713B0" w:rsidRPr="0009445C" w:rsidRDefault="00E713B0" w:rsidP="00E713B0">
            <w:pPr>
              <w:pStyle w:val="BRL-Tabelle"/>
              <w:spacing w:before="60" w:after="40"/>
              <w:ind w:left="113" w:right="113"/>
            </w:pPr>
            <w:r w:rsidRPr="0009445C">
              <w:t>Fire-retardant and made of non-combustible* materials</w:t>
            </w:r>
          </w:p>
        </w:tc>
        <w:tc>
          <w:tcPr>
            <w:tcW w:w="2551" w:type="dxa"/>
            <w:shd w:val="clear" w:color="auto" w:fill="auto"/>
          </w:tcPr>
          <w:p w14:paraId="0F06EF5F" w14:textId="77777777" w:rsidR="00E713B0" w:rsidRPr="0009445C" w:rsidRDefault="00E713B0" w:rsidP="00E713B0">
            <w:pPr>
              <w:pStyle w:val="BRL-Tabelle"/>
              <w:spacing w:before="60" w:after="40"/>
              <w:ind w:left="113" w:right="113"/>
              <w:rPr>
                <w:b/>
                <w:vertAlign w:val="superscript"/>
              </w:rPr>
            </w:pPr>
            <w:r w:rsidRPr="0009445C">
              <w:t>R 30</w:t>
            </w:r>
          </w:p>
        </w:tc>
        <w:tc>
          <w:tcPr>
            <w:tcW w:w="2692" w:type="dxa"/>
            <w:shd w:val="clear" w:color="auto" w:fill="auto"/>
          </w:tcPr>
          <w:p w14:paraId="1819C2EA"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6326A28A" w14:textId="77777777" w:rsidTr="00E713B0">
        <w:trPr>
          <w:cantSplit/>
        </w:trPr>
        <w:tc>
          <w:tcPr>
            <w:tcW w:w="454" w:type="dxa"/>
            <w:shd w:val="clear" w:color="auto" w:fill="FFFFFF"/>
          </w:tcPr>
          <w:p w14:paraId="448004A1" w14:textId="77777777" w:rsidR="00E713B0" w:rsidRPr="0009445C" w:rsidRDefault="00E713B0" w:rsidP="00E713B0">
            <w:pPr>
              <w:pStyle w:val="BRL-Tabelle"/>
              <w:spacing w:before="60" w:after="40"/>
              <w:ind w:left="113" w:right="113"/>
              <w:jc w:val="center"/>
              <w:rPr>
                <w:b/>
              </w:rPr>
            </w:pPr>
            <w:r w:rsidRPr="0009445C">
              <w:rPr>
                <w:b/>
              </w:rPr>
              <w:t>4</w:t>
            </w:r>
          </w:p>
        </w:tc>
        <w:tc>
          <w:tcPr>
            <w:tcW w:w="3831" w:type="dxa"/>
            <w:shd w:val="clear" w:color="auto" w:fill="FFFFFF"/>
          </w:tcPr>
          <w:p w14:paraId="7E3E6256" w14:textId="77777777" w:rsidR="00E713B0" w:rsidRPr="0009445C" w:rsidRDefault="00E713B0" w:rsidP="00E713B0">
            <w:pPr>
              <w:pStyle w:val="BRL-Tabelle"/>
              <w:spacing w:before="60" w:after="40"/>
              <w:ind w:left="113" w:right="113"/>
            </w:pPr>
            <w:r w:rsidRPr="0009445C">
              <w:t>Highly fire-retardant and essential parts made of non-combustible materials</w:t>
            </w:r>
          </w:p>
        </w:tc>
        <w:tc>
          <w:tcPr>
            <w:tcW w:w="2551" w:type="dxa"/>
            <w:shd w:val="clear" w:color="auto" w:fill="auto"/>
            <w:vAlign w:val="center"/>
          </w:tcPr>
          <w:p w14:paraId="3A4F72E1" w14:textId="77777777" w:rsidR="00E713B0" w:rsidRPr="0009445C" w:rsidRDefault="00E713B0" w:rsidP="00E713B0">
            <w:pPr>
              <w:pStyle w:val="BRL-Tabelle"/>
              <w:spacing w:before="60" w:after="40"/>
              <w:ind w:left="113" w:right="113"/>
            </w:pPr>
            <w:r w:rsidRPr="0009445C">
              <w:t>R 60</w:t>
            </w:r>
          </w:p>
        </w:tc>
        <w:tc>
          <w:tcPr>
            <w:tcW w:w="2692" w:type="dxa"/>
            <w:shd w:val="clear" w:color="auto" w:fill="auto"/>
            <w:vAlign w:val="center"/>
          </w:tcPr>
          <w:p w14:paraId="14F70279" w14:textId="77777777" w:rsidR="00E713B0" w:rsidRPr="0009445C" w:rsidRDefault="00E713B0" w:rsidP="00E713B0">
            <w:pPr>
              <w:pStyle w:val="BRL-Tabelle"/>
              <w:spacing w:before="60" w:after="40"/>
              <w:ind w:left="113" w:right="113"/>
            </w:pPr>
            <w:r w:rsidRPr="0009445C">
              <w:t>DIN 4102-4:2016-05</w:t>
            </w:r>
          </w:p>
        </w:tc>
      </w:tr>
      <w:tr w:rsidR="00E713B0" w:rsidRPr="0009445C" w14:paraId="43B2E7E9" w14:textId="77777777" w:rsidTr="00E713B0">
        <w:trPr>
          <w:cantSplit/>
        </w:trPr>
        <w:tc>
          <w:tcPr>
            <w:tcW w:w="454" w:type="dxa"/>
            <w:shd w:val="clear" w:color="auto" w:fill="FFFFFF"/>
          </w:tcPr>
          <w:p w14:paraId="5C366604" w14:textId="77777777" w:rsidR="00E713B0" w:rsidRPr="0009445C" w:rsidRDefault="00E713B0" w:rsidP="00E713B0">
            <w:pPr>
              <w:pStyle w:val="BRL-Tabelle"/>
              <w:spacing w:before="60" w:after="40"/>
              <w:ind w:left="113" w:right="113"/>
              <w:jc w:val="center"/>
              <w:rPr>
                <w:b/>
              </w:rPr>
            </w:pPr>
            <w:r w:rsidRPr="0009445C">
              <w:rPr>
                <w:b/>
              </w:rPr>
              <w:t>5</w:t>
            </w:r>
          </w:p>
        </w:tc>
        <w:tc>
          <w:tcPr>
            <w:tcW w:w="3831" w:type="dxa"/>
            <w:shd w:val="clear" w:color="auto" w:fill="FFFFFF"/>
          </w:tcPr>
          <w:p w14:paraId="2DF49826" w14:textId="77777777" w:rsidR="00E713B0" w:rsidRPr="0009445C" w:rsidRDefault="00E713B0" w:rsidP="00E713B0">
            <w:pPr>
              <w:pStyle w:val="BRL-Tabelle"/>
              <w:spacing w:before="60" w:after="40"/>
              <w:ind w:left="113" w:right="113"/>
            </w:pPr>
            <w:r w:rsidRPr="0009445C">
              <w:t>Highly fire-retardant and made of non-combustible materials</w:t>
            </w:r>
          </w:p>
        </w:tc>
        <w:tc>
          <w:tcPr>
            <w:tcW w:w="2551" w:type="dxa"/>
            <w:shd w:val="clear" w:color="auto" w:fill="auto"/>
            <w:vAlign w:val="center"/>
          </w:tcPr>
          <w:p w14:paraId="1B7DA47A" w14:textId="77777777" w:rsidR="00E713B0" w:rsidRPr="0009445C" w:rsidRDefault="00E713B0" w:rsidP="00E713B0">
            <w:pPr>
              <w:pStyle w:val="BRL-Tabelle"/>
              <w:spacing w:before="60" w:after="40"/>
              <w:ind w:left="113" w:right="113"/>
            </w:pPr>
            <w:r w:rsidRPr="0009445C">
              <w:t>R 60</w:t>
            </w:r>
          </w:p>
        </w:tc>
        <w:tc>
          <w:tcPr>
            <w:tcW w:w="2692" w:type="dxa"/>
            <w:shd w:val="clear" w:color="auto" w:fill="auto"/>
            <w:vAlign w:val="center"/>
          </w:tcPr>
          <w:p w14:paraId="3E1B986A" w14:textId="77777777" w:rsidR="00E713B0" w:rsidRPr="0009445C" w:rsidRDefault="00E713B0" w:rsidP="00E713B0">
            <w:pPr>
              <w:pStyle w:val="BRL-Tabelle"/>
              <w:spacing w:before="60" w:after="40"/>
              <w:ind w:left="113" w:right="113"/>
            </w:pPr>
            <w:r w:rsidRPr="0009445C">
              <w:t>DIN 4102-4:2016-05</w:t>
            </w:r>
          </w:p>
        </w:tc>
      </w:tr>
      <w:tr w:rsidR="00E713B0" w:rsidRPr="0009445C" w14:paraId="30A824EE" w14:textId="77777777" w:rsidTr="00E713B0">
        <w:trPr>
          <w:cantSplit/>
        </w:trPr>
        <w:tc>
          <w:tcPr>
            <w:tcW w:w="454" w:type="dxa"/>
            <w:shd w:val="clear" w:color="auto" w:fill="FFFFFF"/>
          </w:tcPr>
          <w:p w14:paraId="4177A179" w14:textId="77777777" w:rsidR="00E713B0" w:rsidRPr="0009445C" w:rsidRDefault="00E713B0" w:rsidP="00E713B0">
            <w:pPr>
              <w:pStyle w:val="BRL-Tabelle"/>
              <w:spacing w:before="60" w:after="40"/>
              <w:ind w:left="113" w:right="113"/>
              <w:jc w:val="center"/>
              <w:rPr>
                <w:b/>
              </w:rPr>
            </w:pPr>
            <w:r w:rsidRPr="0009445C">
              <w:rPr>
                <w:b/>
              </w:rPr>
              <w:t>6</w:t>
            </w:r>
          </w:p>
        </w:tc>
        <w:tc>
          <w:tcPr>
            <w:tcW w:w="3831" w:type="dxa"/>
            <w:shd w:val="clear" w:color="auto" w:fill="FFFFFF"/>
          </w:tcPr>
          <w:p w14:paraId="257A71E8" w14:textId="77777777" w:rsidR="00E713B0" w:rsidRPr="0009445C" w:rsidRDefault="00E713B0" w:rsidP="00E713B0">
            <w:pPr>
              <w:pStyle w:val="BRL-Tabelle"/>
              <w:spacing w:before="60" w:after="40"/>
              <w:ind w:left="113" w:right="113"/>
            </w:pPr>
            <w:r w:rsidRPr="0009445C">
              <w:t>Fire-resistant (non-combustible* load-bearing and reinforced parts)</w:t>
            </w:r>
          </w:p>
        </w:tc>
        <w:tc>
          <w:tcPr>
            <w:tcW w:w="2551" w:type="dxa"/>
            <w:shd w:val="clear" w:color="auto" w:fill="auto"/>
            <w:vAlign w:val="center"/>
          </w:tcPr>
          <w:p w14:paraId="657087AD" w14:textId="77777777" w:rsidR="00E713B0" w:rsidRPr="0009445C" w:rsidRDefault="00E713B0" w:rsidP="00E713B0">
            <w:pPr>
              <w:pStyle w:val="BRL-Tabelle"/>
              <w:spacing w:before="60" w:after="40"/>
              <w:ind w:left="113" w:right="113"/>
            </w:pPr>
            <w:r w:rsidRPr="0009445C">
              <w:t>R 90</w:t>
            </w:r>
          </w:p>
        </w:tc>
        <w:tc>
          <w:tcPr>
            <w:tcW w:w="2692" w:type="dxa"/>
            <w:shd w:val="clear" w:color="auto" w:fill="auto"/>
            <w:vAlign w:val="center"/>
          </w:tcPr>
          <w:p w14:paraId="2911F31B" w14:textId="77777777" w:rsidR="00E713B0" w:rsidRPr="0009445C" w:rsidRDefault="00E713B0" w:rsidP="00E713B0">
            <w:pPr>
              <w:pStyle w:val="BRL-Tabelle"/>
              <w:spacing w:before="60" w:after="40"/>
              <w:ind w:left="113" w:right="113"/>
            </w:pPr>
            <w:r w:rsidRPr="0009445C">
              <w:t>DIN 4102-4:2016-05</w:t>
            </w:r>
          </w:p>
        </w:tc>
      </w:tr>
      <w:tr w:rsidR="00E713B0" w:rsidRPr="0009445C" w14:paraId="47864752" w14:textId="77777777" w:rsidTr="00E713B0">
        <w:trPr>
          <w:cantSplit/>
        </w:trPr>
        <w:tc>
          <w:tcPr>
            <w:tcW w:w="454" w:type="dxa"/>
            <w:shd w:val="clear" w:color="auto" w:fill="FFFFFF"/>
          </w:tcPr>
          <w:p w14:paraId="3D9D9B4C" w14:textId="77777777" w:rsidR="00E713B0" w:rsidRPr="0009445C" w:rsidRDefault="00E713B0" w:rsidP="00E713B0">
            <w:pPr>
              <w:pStyle w:val="BRL-Tabelle"/>
              <w:spacing w:before="60" w:after="40"/>
              <w:ind w:left="113" w:right="113"/>
              <w:jc w:val="center"/>
              <w:rPr>
                <w:b/>
              </w:rPr>
            </w:pPr>
            <w:r w:rsidRPr="0009445C">
              <w:rPr>
                <w:b/>
              </w:rPr>
              <w:t>7</w:t>
            </w:r>
          </w:p>
        </w:tc>
        <w:tc>
          <w:tcPr>
            <w:tcW w:w="3831" w:type="dxa"/>
            <w:shd w:val="clear" w:color="auto" w:fill="FFFFFF"/>
          </w:tcPr>
          <w:p w14:paraId="625B8E78" w14:textId="77777777" w:rsidR="00E713B0" w:rsidRPr="0009445C" w:rsidRDefault="00E713B0" w:rsidP="00E713B0">
            <w:pPr>
              <w:pStyle w:val="BRL-Tabelle"/>
              <w:spacing w:before="60" w:after="40"/>
              <w:ind w:left="113" w:right="113"/>
            </w:pPr>
            <w:r w:rsidRPr="0009445C">
              <w:t>Fire-resistant and made of non-combustible* building materials</w:t>
            </w:r>
          </w:p>
        </w:tc>
        <w:tc>
          <w:tcPr>
            <w:tcW w:w="2551" w:type="dxa"/>
            <w:shd w:val="clear" w:color="auto" w:fill="auto"/>
            <w:vAlign w:val="center"/>
          </w:tcPr>
          <w:p w14:paraId="6D7585F4" w14:textId="77777777" w:rsidR="00E713B0" w:rsidRPr="0009445C" w:rsidRDefault="00E713B0" w:rsidP="00E713B0">
            <w:pPr>
              <w:pStyle w:val="BRL-Tabelle"/>
              <w:spacing w:before="60" w:after="40"/>
              <w:ind w:left="113" w:right="113"/>
            </w:pPr>
            <w:r w:rsidRPr="0009445C">
              <w:t>R 90</w:t>
            </w:r>
          </w:p>
        </w:tc>
        <w:tc>
          <w:tcPr>
            <w:tcW w:w="2692" w:type="dxa"/>
            <w:shd w:val="clear" w:color="auto" w:fill="auto"/>
            <w:vAlign w:val="center"/>
          </w:tcPr>
          <w:p w14:paraId="50A0E537" w14:textId="77777777" w:rsidR="00E713B0" w:rsidRPr="0009445C" w:rsidRDefault="00E713B0" w:rsidP="00E713B0">
            <w:pPr>
              <w:pStyle w:val="BRL-Tabelle"/>
              <w:spacing w:before="60" w:after="40"/>
              <w:ind w:left="113" w:right="113"/>
            </w:pPr>
            <w:r w:rsidRPr="0009445C">
              <w:t>DIN 4102-4:2016-05</w:t>
            </w:r>
          </w:p>
        </w:tc>
      </w:tr>
      <w:tr w:rsidR="00E713B0" w:rsidRPr="0009445C" w14:paraId="5AE65D4A" w14:textId="77777777" w:rsidTr="00E713B0">
        <w:trPr>
          <w:cantSplit/>
        </w:trPr>
        <w:tc>
          <w:tcPr>
            <w:tcW w:w="454" w:type="dxa"/>
            <w:tcBorders>
              <w:bottom w:val="nil"/>
            </w:tcBorders>
            <w:shd w:val="clear" w:color="auto" w:fill="FFFFFF"/>
          </w:tcPr>
          <w:p w14:paraId="056AF48D" w14:textId="77777777" w:rsidR="00E713B0" w:rsidRPr="0009445C" w:rsidRDefault="00E713B0" w:rsidP="00E713B0">
            <w:pPr>
              <w:pStyle w:val="BRL-Tabelle"/>
              <w:spacing w:before="60" w:after="40"/>
              <w:ind w:left="113" w:right="113"/>
              <w:jc w:val="center"/>
              <w:rPr>
                <w:b/>
              </w:rPr>
            </w:pPr>
            <w:r w:rsidRPr="0009445C">
              <w:rPr>
                <w:b/>
              </w:rPr>
              <w:t>8</w:t>
            </w:r>
          </w:p>
        </w:tc>
        <w:tc>
          <w:tcPr>
            <w:tcW w:w="3831" w:type="dxa"/>
            <w:tcBorders>
              <w:bottom w:val="nil"/>
            </w:tcBorders>
            <w:shd w:val="clear" w:color="auto" w:fill="FFFFFF"/>
          </w:tcPr>
          <w:p w14:paraId="73347DF1" w14:textId="77777777" w:rsidR="00E713B0" w:rsidRPr="0009445C" w:rsidRDefault="00E713B0" w:rsidP="00E713B0">
            <w:pPr>
              <w:pStyle w:val="BRL-Tabelle"/>
              <w:spacing w:before="60" w:after="40"/>
              <w:ind w:left="113" w:right="113"/>
              <w:rPr>
                <w:b/>
              </w:rPr>
            </w:pPr>
            <w:r w:rsidRPr="0009445C">
              <w:t>Fire resistance of 120 minutes and made of non-combustible* materials</w:t>
            </w:r>
          </w:p>
        </w:tc>
        <w:tc>
          <w:tcPr>
            <w:tcW w:w="2551" w:type="dxa"/>
            <w:shd w:val="clear" w:color="auto" w:fill="auto"/>
          </w:tcPr>
          <w:p w14:paraId="3FD073A6" w14:textId="77777777" w:rsidR="00E713B0" w:rsidRPr="0009445C" w:rsidRDefault="00E713B0" w:rsidP="00E713B0">
            <w:pPr>
              <w:pStyle w:val="BRL-Tabelle"/>
              <w:spacing w:before="60" w:after="40"/>
              <w:ind w:left="113" w:right="113"/>
              <w:rPr>
                <w:b/>
              </w:rPr>
            </w:pPr>
            <w:r w:rsidRPr="0009445C">
              <w:t>R 120</w:t>
            </w:r>
          </w:p>
        </w:tc>
        <w:tc>
          <w:tcPr>
            <w:tcW w:w="2692" w:type="dxa"/>
            <w:shd w:val="clear" w:color="auto" w:fill="auto"/>
          </w:tcPr>
          <w:p w14:paraId="3AF16CC4" w14:textId="77777777" w:rsidR="00E713B0" w:rsidRPr="0009445C" w:rsidRDefault="00E713B0" w:rsidP="00E713B0">
            <w:pPr>
              <w:pStyle w:val="BRL-Tabelle"/>
              <w:spacing w:before="60" w:after="40"/>
              <w:ind w:left="113" w:right="113"/>
              <w:rPr>
                <w:b/>
              </w:rPr>
            </w:pPr>
            <w:r w:rsidRPr="0009445C">
              <w:t>DIN 4102-4:2016-05</w:t>
            </w:r>
          </w:p>
        </w:tc>
      </w:tr>
      <w:tr w:rsidR="00E713B0" w:rsidRPr="0009445C" w14:paraId="7572755B" w14:textId="77777777" w:rsidTr="00E713B0">
        <w:trPr>
          <w:cantSplit/>
        </w:trPr>
        <w:tc>
          <w:tcPr>
            <w:tcW w:w="454" w:type="dxa"/>
            <w:shd w:val="clear" w:color="auto" w:fill="FFFFFF"/>
          </w:tcPr>
          <w:p w14:paraId="5295C1AA" w14:textId="77777777" w:rsidR="00E713B0" w:rsidRPr="0009445C" w:rsidRDefault="00E713B0" w:rsidP="00E713B0">
            <w:pPr>
              <w:pStyle w:val="BRL-Funote"/>
              <w:spacing w:before="120"/>
              <w:ind w:left="426" w:hanging="284"/>
              <w:jc w:val="center"/>
              <w:rPr>
                <w:b/>
              </w:rPr>
            </w:pPr>
          </w:p>
        </w:tc>
        <w:tc>
          <w:tcPr>
            <w:tcW w:w="9074" w:type="dxa"/>
            <w:gridSpan w:val="3"/>
            <w:shd w:val="clear" w:color="auto" w:fill="FFFFFF"/>
          </w:tcPr>
          <w:p w14:paraId="5633722B" w14:textId="77777777" w:rsidR="00E713B0" w:rsidRPr="0009445C" w:rsidRDefault="00E713B0" w:rsidP="00E713B0">
            <w:pPr>
              <w:pStyle w:val="BRL-Funote"/>
              <w:spacing w:before="120"/>
              <w:ind w:left="426" w:hanging="284"/>
            </w:pPr>
            <w:r w:rsidRPr="0009445C">
              <w:t>A</w:t>
            </w:r>
            <w:r w:rsidRPr="0009445C">
              <w:tab/>
              <w:t>Table contains only building supervisory requirements for structural elements, which are also represented by the Eurocodes.</w:t>
            </w:r>
          </w:p>
          <w:p w14:paraId="0EAFCC8B" w14:textId="77777777" w:rsidR="00E713B0" w:rsidRPr="0009445C" w:rsidRDefault="00E713B0" w:rsidP="00E713B0">
            <w:pPr>
              <w:pStyle w:val="BRL-Funote"/>
              <w:ind w:left="426" w:hanging="284"/>
              <w:rPr>
                <w:b/>
              </w:rPr>
            </w:pPr>
            <w:r w:rsidRPr="0009445C">
              <w:t>*</w:t>
            </w:r>
            <w:r w:rsidRPr="0009445C">
              <w:tab/>
              <w:t>Regarding the requirements, Table 1.1. applies.</w:t>
            </w:r>
          </w:p>
          <w:p w14:paraId="094699B6" w14:textId="636C4200" w:rsidR="00E713B0" w:rsidRPr="0009445C" w:rsidRDefault="00E713B0" w:rsidP="00E713B0">
            <w:pPr>
              <w:pStyle w:val="BRL-Funote"/>
              <w:ind w:hanging="283"/>
              <w:rPr>
                <w:b/>
              </w:rPr>
            </w:pPr>
            <w:r w:rsidRPr="0009445C">
              <w:t>**</w:t>
            </w:r>
            <w:r w:rsidRPr="0009445C">
              <w:tab/>
              <w:t>The Eurocode class does not account for the fire characteristics of building materials. Table 1.1 or 1.2 applies.</w:t>
            </w:r>
          </w:p>
          <w:p w14:paraId="74838AD8" w14:textId="77777777" w:rsidR="00E713B0" w:rsidRPr="0009445C" w:rsidRDefault="00E713B0" w:rsidP="00E713B0">
            <w:pPr>
              <w:pStyle w:val="BRL-Funote"/>
              <w:spacing w:after="120"/>
              <w:ind w:left="426" w:hanging="284"/>
              <w:rPr>
                <w:b/>
              </w:rPr>
            </w:pPr>
            <w:r w:rsidRPr="0009445C">
              <w:t>***</w:t>
            </w:r>
            <w:r w:rsidRPr="0009445C">
              <w:tab/>
              <w:t>Regarding the requirements, Table 1.1 or Table 1.2 applies.</w:t>
            </w:r>
          </w:p>
        </w:tc>
      </w:tr>
    </w:tbl>
    <w:p w14:paraId="430D0BAF" w14:textId="77777777" w:rsidR="00E713B0" w:rsidRPr="0009445C" w:rsidRDefault="00E713B0" w:rsidP="00E713B0">
      <w:pPr>
        <w:pStyle w:val="BRL-Standard"/>
      </w:pPr>
    </w:p>
    <w:p w14:paraId="66861A81" w14:textId="77777777" w:rsidR="00E713B0" w:rsidRPr="0009445C" w:rsidRDefault="00E713B0" w:rsidP="00E713B0">
      <w:pPr>
        <w:pStyle w:val="BRL-Standard"/>
      </w:pPr>
      <w:r w:rsidRPr="0009445C">
        <w:t>The requirements of Tables 4.1.1, column 1 and 4.1.2, column 1 are met only if the parts bearing or reinforcing the structural elements these parts have at least the same fire resistance.</w:t>
      </w:r>
    </w:p>
    <w:p w14:paraId="41B3B036" w14:textId="77777777" w:rsidR="00E713B0" w:rsidRPr="0009445C" w:rsidRDefault="00E713B0" w:rsidP="00E713B0">
      <w:pPr>
        <w:pStyle w:val="BRL-Standard"/>
      </w:pPr>
    </w:p>
    <w:p w14:paraId="257BF04B" w14:textId="77777777" w:rsidR="00E713B0" w:rsidRPr="0009445C" w:rsidRDefault="00E713B0" w:rsidP="00600F53">
      <w:pPr>
        <w:pStyle w:val="BRL-berschrift"/>
      </w:pPr>
      <w:r w:rsidRPr="0009445C">
        <w:t>4.2</w:t>
      </w:r>
      <w:r w:rsidRPr="0009445C">
        <w:tab/>
        <w:t>Space-enclosing structural elements</w:t>
      </w:r>
    </w:p>
    <w:p w14:paraId="1EBE3D92" w14:textId="77777777" w:rsidR="00E713B0" w:rsidRPr="0009445C" w:rsidRDefault="00E713B0" w:rsidP="00E713B0">
      <w:pPr>
        <w:pStyle w:val="BRL-Standard"/>
      </w:pPr>
      <w:r w:rsidRPr="0009445C">
        <w:t xml:space="preserve">In order to fulfil the building requirements in A 2.1.3 for the planning, design and execution of space-enclosing and, where applicable, load-bearing parts of structural works, Tables 4.2.1 to 4.2.3 shall be observed when designing the fire resistance according to Eurocode. </w:t>
      </w:r>
    </w:p>
    <w:p w14:paraId="034CD918" w14:textId="77777777" w:rsidR="00E713B0" w:rsidRPr="0009445C" w:rsidRDefault="00E713B0" w:rsidP="00E713B0">
      <w:pPr>
        <w:pStyle w:val="BRL-Standard"/>
      </w:pPr>
      <w:r w:rsidRPr="0009445C">
        <w:t>The requirements in Tables 4.2.1 to 4.2.3 are met only if the design of the structural elements has been carried out in accordance with the Technical Building Regulations of Part A, Chapter A 1, ser. No A 1.2.</w:t>
      </w:r>
    </w:p>
    <w:p w14:paraId="36311309" w14:textId="77777777" w:rsidR="00E713B0" w:rsidRPr="0009445C" w:rsidRDefault="00E713B0" w:rsidP="00E713B0">
      <w:pPr>
        <w:pStyle w:val="BRL-Standard"/>
      </w:pPr>
    </w:p>
    <w:p w14:paraId="13B40549" w14:textId="77777777" w:rsidR="00E713B0" w:rsidRPr="0009445C" w:rsidRDefault="00E713B0" w:rsidP="00E713B0">
      <w:pPr>
        <w:pStyle w:val="BRL-Standard"/>
      </w:pPr>
      <w:r w:rsidRPr="0009445C">
        <w:t>For structural elements in accordance with national Technical Rules, the following tables list only the minimum building regulations requirements.</w:t>
      </w:r>
    </w:p>
    <w:p w14:paraId="7C3B70CC" w14:textId="77777777" w:rsidR="00E713B0" w:rsidRPr="0009445C" w:rsidRDefault="00E713B0" w:rsidP="00E713B0">
      <w:pPr>
        <w:pStyle w:val="BRL-Standard"/>
      </w:pPr>
    </w:p>
    <w:p w14:paraId="0F63338E" w14:textId="77777777" w:rsidR="00E713B0" w:rsidRPr="0009445C" w:rsidRDefault="00E713B0" w:rsidP="00600F53">
      <w:pPr>
        <w:pStyle w:val="BRL-berschrift"/>
      </w:pPr>
      <w:r w:rsidRPr="0009445C">
        <w:t>4.2.1</w:t>
      </w:r>
      <w:r w:rsidRPr="0009445C">
        <w:tab/>
        <w:t>Non-supporting space-enclosing walls</w:t>
      </w:r>
    </w:p>
    <w:p w14:paraId="6BBD825C" w14:textId="2F3A2176" w:rsidR="00E713B0" w:rsidRPr="0009445C" w:rsidRDefault="00E713B0" w:rsidP="00E713B0">
      <w:pPr>
        <w:pStyle w:val="BRLTabelleberschrift"/>
        <w:spacing w:after="120"/>
      </w:pPr>
      <w:r w:rsidRPr="0009445C">
        <w:t>Table 4.2.1</w:t>
      </w:r>
      <w:r w:rsidRPr="0009445C">
        <w:rPr>
          <w:vertAlign w:val="superscript"/>
        </w:rPr>
        <w:t>A</w:t>
      </w:r>
      <w:r w:rsidRPr="0009445C">
        <w:t xml:space="preserve">: </w:t>
      </w:r>
      <w:r w:rsidRPr="0009445C">
        <w:tab/>
        <w:t>Building approval requirements for non-bearing space-closing walls and assignment of classes (table value) according to Eurocode DIN EN 1992-1-2:2010-12 and DIN EN 1996-1/NA:2013-06 and additional application rules</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495"/>
        <w:gridCol w:w="2757"/>
        <w:gridCol w:w="3172"/>
        <w:gridCol w:w="2648"/>
      </w:tblGrid>
      <w:tr w:rsidR="00E713B0" w:rsidRPr="0009445C" w14:paraId="6662C9EC" w14:textId="77777777" w:rsidTr="00E713B0">
        <w:trPr>
          <w:trHeight w:val="1242"/>
          <w:tblHeader/>
        </w:trPr>
        <w:tc>
          <w:tcPr>
            <w:tcW w:w="454" w:type="dxa"/>
            <w:shd w:val="clear" w:color="auto" w:fill="FFFFFF"/>
          </w:tcPr>
          <w:p w14:paraId="603EF0F7" w14:textId="77777777" w:rsidR="00E713B0" w:rsidRPr="0009445C" w:rsidRDefault="00E713B0" w:rsidP="00E713B0">
            <w:pPr>
              <w:pStyle w:val="BRL-TabelleAnlageberschriftFett"/>
              <w:jc w:val="center"/>
            </w:pPr>
          </w:p>
        </w:tc>
        <w:tc>
          <w:tcPr>
            <w:tcW w:w="2525" w:type="dxa"/>
            <w:shd w:val="clear" w:color="auto" w:fill="FFFFFF"/>
          </w:tcPr>
          <w:p w14:paraId="69AF2326" w14:textId="77777777" w:rsidR="00E713B0" w:rsidRPr="0009445C" w:rsidRDefault="00E713B0" w:rsidP="00E713B0">
            <w:pPr>
              <w:pStyle w:val="BRL-TabelleAnlageberschriftFett"/>
            </w:pPr>
            <w:r w:rsidRPr="0009445C">
              <w:t>Building approval requirement</w:t>
            </w:r>
          </w:p>
        </w:tc>
        <w:tc>
          <w:tcPr>
            <w:tcW w:w="2905" w:type="dxa"/>
            <w:shd w:val="clear" w:color="auto" w:fill="FFFFFF"/>
          </w:tcPr>
          <w:p w14:paraId="7EE44676" w14:textId="77777777" w:rsidR="00E713B0" w:rsidRPr="0009445C" w:rsidRDefault="00E713B0" w:rsidP="00E713B0">
            <w:pPr>
              <w:pStyle w:val="BRL-TabelleAnlageberschriftFett"/>
            </w:pPr>
            <w:r w:rsidRPr="0009445C">
              <w:t xml:space="preserve">Classes according to Eurocode** </w:t>
            </w:r>
            <w:r w:rsidRPr="0009445C">
              <w:br/>
              <w:t>DIN EN 1992</w:t>
            </w:r>
            <w:r w:rsidRPr="0009445C">
              <w:noBreakHyphen/>
              <w:t>1</w:t>
            </w:r>
            <w:r w:rsidRPr="0009445C">
              <w:noBreakHyphen/>
              <w:t>2:2010-12, Section 5 DIN EN 1996</w:t>
            </w:r>
            <w:r w:rsidRPr="0009445C">
              <w:noBreakHyphen/>
              <w:t>1</w:t>
            </w:r>
            <w:r w:rsidRPr="0009445C">
              <w:noBreakHyphen/>
              <w:t>2/NA:2013</w:t>
            </w:r>
            <w:r w:rsidRPr="0009445C">
              <w:noBreakHyphen/>
              <w:t>06 to Annex B</w:t>
            </w:r>
          </w:p>
        </w:tc>
        <w:tc>
          <w:tcPr>
            <w:tcW w:w="2425" w:type="dxa"/>
            <w:shd w:val="clear" w:color="auto" w:fill="FFFFFF"/>
          </w:tcPr>
          <w:p w14:paraId="16701F05" w14:textId="77777777" w:rsidR="00E713B0" w:rsidRPr="0009445C" w:rsidRDefault="00E713B0" w:rsidP="00E713B0">
            <w:pPr>
              <w:pStyle w:val="BRL-TabelleAnlageberschriftFett"/>
            </w:pPr>
            <w:r w:rsidRPr="0009445C">
              <w:t xml:space="preserve">Application rule to be observed in addition to Eurocode for designs using certain building materials*** </w:t>
            </w:r>
          </w:p>
        </w:tc>
      </w:tr>
      <w:tr w:rsidR="00E713B0" w:rsidRPr="0009445C" w14:paraId="1D898FB1" w14:textId="77777777" w:rsidTr="00E713B0">
        <w:trPr>
          <w:trHeight w:val="190"/>
          <w:tblHeader/>
        </w:trPr>
        <w:tc>
          <w:tcPr>
            <w:tcW w:w="454" w:type="dxa"/>
            <w:shd w:val="clear" w:color="auto" w:fill="FFFFFF"/>
          </w:tcPr>
          <w:p w14:paraId="76E94B08" w14:textId="77777777" w:rsidR="00E713B0" w:rsidRPr="0009445C" w:rsidRDefault="00E713B0" w:rsidP="00E713B0">
            <w:pPr>
              <w:pStyle w:val="BRL-TabelleAnlageberschriftFett"/>
              <w:jc w:val="center"/>
            </w:pPr>
          </w:p>
        </w:tc>
        <w:tc>
          <w:tcPr>
            <w:tcW w:w="2525" w:type="dxa"/>
            <w:shd w:val="clear" w:color="auto" w:fill="FFFFFF"/>
          </w:tcPr>
          <w:p w14:paraId="6EF06C1D" w14:textId="77777777" w:rsidR="00E713B0" w:rsidRPr="0009445C" w:rsidRDefault="00E713B0" w:rsidP="00E713B0">
            <w:pPr>
              <w:pStyle w:val="BRL-TabelleAnlageberschriftFett"/>
              <w:jc w:val="center"/>
            </w:pPr>
            <w:r w:rsidRPr="0009445C">
              <w:t>1</w:t>
            </w:r>
          </w:p>
        </w:tc>
        <w:tc>
          <w:tcPr>
            <w:tcW w:w="2905" w:type="dxa"/>
            <w:shd w:val="clear" w:color="auto" w:fill="FFFFFF"/>
          </w:tcPr>
          <w:p w14:paraId="18707844" w14:textId="77777777" w:rsidR="00E713B0" w:rsidRPr="0009445C" w:rsidRDefault="00E713B0" w:rsidP="00E713B0">
            <w:pPr>
              <w:pStyle w:val="BRL-TabelleAnlageberschriftFett"/>
              <w:jc w:val="center"/>
            </w:pPr>
            <w:r w:rsidRPr="0009445C">
              <w:t>2</w:t>
            </w:r>
          </w:p>
        </w:tc>
        <w:tc>
          <w:tcPr>
            <w:tcW w:w="2425" w:type="dxa"/>
            <w:shd w:val="clear" w:color="auto" w:fill="FFFFFF"/>
          </w:tcPr>
          <w:p w14:paraId="2DC2998D" w14:textId="77777777" w:rsidR="00E713B0" w:rsidRPr="0009445C" w:rsidRDefault="00E713B0" w:rsidP="00E713B0">
            <w:pPr>
              <w:pStyle w:val="BRL-TabelleAnlageberschriftFett"/>
              <w:jc w:val="center"/>
              <w:rPr>
                <w:bCs/>
              </w:rPr>
            </w:pPr>
            <w:r w:rsidRPr="0009445C">
              <w:t>3</w:t>
            </w:r>
          </w:p>
        </w:tc>
      </w:tr>
      <w:tr w:rsidR="00E713B0" w:rsidRPr="0009445C" w14:paraId="4C62C549" w14:textId="77777777" w:rsidTr="00E713B0">
        <w:tc>
          <w:tcPr>
            <w:tcW w:w="454" w:type="dxa"/>
            <w:shd w:val="clear" w:color="auto" w:fill="FFFFFF"/>
          </w:tcPr>
          <w:p w14:paraId="415A2822" w14:textId="77777777" w:rsidR="00E713B0" w:rsidRPr="0009445C" w:rsidRDefault="00E713B0" w:rsidP="00E713B0">
            <w:pPr>
              <w:pStyle w:val="BRL-Tabelle"/>
              <w:spacing w:before="60" w:after="40"/>
              <w:ind w:left="113" w:right="113"/>
              <w:jc w:val="center"/>
              <w:rPr>
                <w:b/>
              </w:rPr>
            </w:pPr>
            <w:r w:rsidRPr="0009445C">
              <w:rPr>
                <w:b/>
              </w:rPr>
              <w:t>1</w:t>
            </w:r>
          </w:p>
        </w:tc>
        <w:tc>
          <w:tcPr>
            <w:tcW w:w="2525" w:type="dxa"/>
            <w:shd w:val="clear" w:color="auto" w:fill="FFFFFF"/>
          </w:tcPr>
          <w:p w14:paraId="3AC267FC" w14:textId="77777777" w:rsidR="00E713B0" w:rsidRPr="0009445C" w:rsidRDefault="00E713B0" w:rsidP="00E713B0">
            <w:pPr>
              <w:pStyle w:val="BRL-Tabelle"/>
              <w:spacing w:before="60" w:after="40"/>
              <w:ind w:left="113" w:right="113"/>
            </w:pPr>
            <w:r w:rsidRPr="0009445C">
              <w:t>Fire-retardant</w:t>
            </w:r>
          </w:p>
        </w:tc>
        <w:tc>
          <w:tcPr>
            <w:tcW w:w="2905" w:type="dxa"/>
            <w:shd w:val="clear" w:color="auto" w:fill="auto"/>
          </w:tcPr>
          <w:p w14:paraId="4F1BFAE6" w14:textId="77777777" w:rsidR="00E713B0" w:rsidRPr="0009445C" w:rsidRDefault="00E713B0" w:rsidP="00E713B0">
            <w:pPr>
              <w:pStyle w:val="BRL-Tabelle"/>
              <w:spacing w:before="60" w:after="40"/>
              <w:ind w:left="113" w:right="113"/>
            </w:pPr>
            <w:r w:rsidRPr="0009445C">
              <w:t>EI 30</w:t>
            </w:r>
          </w:p>
        </w:tc>
        <w:tc>
          <w:tcPr>
            <w:tcW w:w="2425" w:type="dxa"/>
            <w:shd w:val="clear" w:color="auto" w:fill="auto"/>
          </w:tcPr>
          <w:p w14:paraId="7F7526E9"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49EEABBD" w14:textId="77777777" w:rsidTr="00E713B0">
        <w:tc>
          <w:tcPr>
            <w:tcW w:w="454" w:type="dxa"/>
            <w:shd w:val="clear" w:color="auto" w:fill="FFFFFF"/>
          </w:tcPr>
          <w:p w14:paraId="0437591D" w14:textId="77777777" w:rsidR="00E713B0" w:rsidRPr="0009445C" w:rsidRDefault="00E713B0" w:rsidP="00E713B0">
            <w:pPr>
              <w:pStyle w:val="BRL-Tabelle"/>
              <w:spacing w:before="60" w:after="40"/>
              <w:ind w:left="113" w:right="113"/>
              <w:jc w:val="center"/>
              <w:rPr>
                <w:b/>
              </w:rPr>
            </w:pPr>
            <w:r w:rsidRPr="0009445C">
              <w:rPr>
                <w:b/>
              </w:rPr>
              <w:lastRenderedPageBreak/>
              <w:t>2</w:t>
            </w:r>
          </w:p>
        </w:tc>
        <w:tc>
          <w:tcPr>
            <w:tcW w:w="2525" w:type="dxa"/>
            <w:shd w:val="clear" w:color="auto" w:fill="FFFFFF"/>
          </w:tcPr>
          <w:p w14:paraId="5A626DF9" w14:textId="77777777" w:rsidR="00E713B0" w:rsidRPr="0009445C" w:rsidRDefault="00E713B0" w:rsidP="00E713B0">
            <w:pPr>
              <w:pStyle w:val="BRL-Tabelle"/>
              <w:spacing w:before="60" w:after="40"/>
              <w:ind w:left="113" w:right="113"/>
            </w:pPr>
            <w:r w:rsidRPr="0009445C">
              <w:t>Fire-retardant and made of non-combustible* materials</w:t>
            </w:r>
          </w:p>
        </w:tc>
        <w:tc>
          <w:tcPr>
            <w:tcW w:w="2905" w:type="dxa"/>
            <w:shd w:val="clear" w:color="auto" w:fill="auto"/>
          </w:tcPr>
          <w:p w14:paraId="0D21CB64" w14:textId="77777777" w:rsidR="00E713B0" w:rsidRPr="0009445C" w:rsidRDefault="00E713B0" w:rsidP="00E713B0">
            <w:pPr>
              <w:pStyle w:val="BRL-Tabelle"/>
              <w:spacing w:before="60" w:after="40"/>
              <w:ind w:left="113" w:right="113"/>
            </w:pPr>
            <w:r w:rsidRPr="0009445C">
              <w:t>EI 30</w:t>
            </w:r>
          </w:p>
        </w:tc>
        <w:tc>
          <w:tcPr>
            <w:tcW w:w="2425" w:type="dxa"/>
            <w:shd w:val="clear" w:color="auto" w:fill="auto"/>
          </w:tcPr>
          <w:p w14:paraId="64847E50" w14:textId="77777777" w:rsidR="00E713B0" w:rsidRPr="0009445C" w:rsidRDefault="00E713B0" w:rsidP="00E713B0">
            <w:pPr>
              <w:pStyle w:val="BRL-Tabelle"/>
              <w:spacing w:before="60" w:after="40"/>
              <w:ind w:left="113" w:right="113"/>
            </w:pPr>
            <w:r w:rsidRPr="0009445C">
              <w:t>DIN 4102-4:2016-05</w:t>
            </w:r>
          </w:p>
        </w:tc>
      </w:tr>
      <w:tr w:rsidR="00E713B0" w:rsidRPr="0009445C" w14:paraId="55969A56" w14:textId="77777777" w:rsidTr="00E713B0">
        <w:tc>
          <w:tcPr>
            <w:tcW w:w="454" w:type="dxa"/>
            <w:shd w:val="clear" w:color="auto" w:fill="FFFFFF"/>
          </w:tcPr>
          <w:p w14:paraId="643F41FB" w14:textId="77777777" w:rsidR="00E713B0" w:rsidRPr="0009445C" w:rsidRDefault="00E713B0" w:rsidP="00E713B0">
            <w:pPr>
              <w:pStyle w:val="BRL-Tabelle"/>
              <w:spacing w:before="60" w:after="40"/>
              <w:ind w:left="113" w:right="113"/>
              <w:jc w:val="center"/>
              <w:rPr>
                <w:b/>
              </w:rPr>
            </w:pPr>
            <w:r w:rsidRPr="0009445C">
              <w:rPr>
                <w:b/>
              </w:rPr>
              <w:t>3</w:t>
            </w:r>
          </w:p>
        </w:tc>
        <w:tc>
          <w:tcPr>
            <w:tcW w:w="2525" w:type="dxa"/>
            <w:shd w:val="clear" w:color="auto" w:fill="FFFFFF"/>
          </w:tcPr>
          <w:p w14:paraId="69D32F98" w14:textId="77777777" w:rsidR="00E713B0" w:rsidRPr="0009445C" w:rsidRDefault="00E713B0" w:rsidP="00E713B0">
            <w:pPr>
              <w:pStyle w:val="BRL-Tabelle"/>
              <w:spacing w:before="60" w:after="40"/>
              <w:ind w:left="113" w:right="113"/>
            </w:pPr>
            <w:r w:rsidRPr="0009445C">
              <w:t>Highly fire-retardant and essential parts made of non-combustible materials</w:t>
            </w:r>
          </w:p>
        </w:tc>
        <w:tc>
          <w:tcPr>
            <w:tcW w:w="2905" w:type="dxa"/>
            <w:shd w:val="clear" w:color="auto" w:fill="auto"/>
            <w:vAlign w:val="center"/>
          </w:tcPr>
          <w:p w14:paraId="65D5CC42" w14:textId="77777777" w:rsidR="00E713B0" w:rsidRPr="0009445C" w:rsidRDefault="00E713B0" w:rsidP="00E713B0">
            <w:pPr>
              <w:pStyle w:val="BRL-Tabelle"/>
              <w:spacing w:before="60" w:after="40"/>
              <w:ind w:left="113" w:right="113"/>
            </w:pPr>
            <w:r w:rsidRPr="0009445C">
              <w:t>EI 60</w:t>
            </w:r>
          </w:p>
        </w:tc>
        <w:tc>
          <w:tcPr>
            <w:tcW w:w="2425" w:type="dxa"/>
            <w:shd w:val="clear" w:color="auto" w:fill="auto"/>
            <w:vAlign w:val="center"/>
          </w:tcPr>
          <w:p w14:paraId="5609EB59"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4A4FC1CC" w14:textId="77777777" w:rsidTr="00E713B0">
        <w:tc>
          <w:tcPr>
            <w:tcW w:w="454" w:type="dxa"/>
            <w:shd w:val="clear" w:color="auto" w:fill="FFFFFF"/>
          </w:tcPr>
          <w:p w14:paraId="0DABA964" w14:textId="77777777" w:rsidR="00E713B0" w:rsidRPr="0009445C" w:rsidRDefault="00E713B0" w:rsidP="00E713B0">
            <w:pPr>
              <w:pStyle w:val="BRL-Tabelle"/>
              <w:spacing w:before="60" w:after="40"/>
              <w:ind w:left="113" w:right="113"/>
              <w:jc w:val="center"/>
              <w:rPr>
                <w:b/>
              </w:rPr>
            </w:pPr>
            <w:r w:rsidRPr="0009445C">
              <w:rPr>
                <w:b/>
              </w:rPr>
              <w:t>4</w:t>
            </w:r>
          </w:p>
        </w:tc>
        <w:tc>
          <w:tcPr>
            <w:tcW w:w="2525" w:type="dxa"/>
            <w:shd w:val="clear" w:color="auto" w:fill="FFFFFF"/>
          </w:tcPr>
          <w:p w14:paraId="0D8E1422" w14:textId="77777777" w:rsidR="00E713B0" w:rsidRPr="0009445C" w:rsidRDefault="00E713B0" w:rsidP="00E713B0">
            <w:pPr>
              <w:pStyle w:val="BRL-Tabelle"/>
              <w:spacing w:before="60" w:after="40"/>
              <w:ind w:left="113" w:right="113"/>
            </w:pPr>
            <w:r w:rsidRPr="0009445C">
              <w:t>Highly fire-retardant and made of non-combustible materials</w:t>
            </w:r>
          </w:p>
        </w:tc>
        <w:tc>
          <w:tcPr>
            <w:tcW w:w="2905" w:type="dxa"/>
            <w:shd w:val="clear" w:color="auto" w:fill="auto"/>
            <w:vAlign w:val="center"/>
          </w:tcPr>
          <w:p w14:paraId="1EA715AD" w14:textId="77777777" w:rsidR="00E713B0" w:rsidRPr="0009445C" w:rsidRDefault="00E713B0" w:rsidP="00E713B0">
            <w:pPr>
              <w:pStyle w:val="BRL-Tabelle"/>
              <w:spacing w:before="60" w:after="40"/>
              <w:ind w:left="113" w:right="113"/>
            </w:pPr>
            <w:r w:rsidRPr="0009445C">
              <w:t>EI 60</w:t>
            </w:r>
          </w:p>
        </w:tc>
        <w:tc>
          <w:tcPr>
            <w:tcW w:w="2425" w:type="dxa"/>
            <w:shd w:val="clear" w:color="auto" w:fill="auto"/>
            <w:vAlign w:val="center"/>
          </w:tcPr>
          <w:p w14:paraId="0AF73F9B"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1693FFB1" w14:textId="77777777" w:rsidTr="00E713B0">
        <w:tc>
          <w:tcPr>
            <w:tcW w:w="454" w:type="dxa"/>
            <w:shd w:val="clear" w:color="auto" w:fill="FFFFFF"/>
          </w:tcPr>
          <w:p w14:paraId="70CA9A8E" w14:textId="77777777" w:rsidR="00E713B0" w:rsidRPr="0009445C" w:rsidRDefault="00E713B0" w:rsidP="00E713B0">
            <w:pPr>
              <w:pStyle w:val="BRL-Tabelle"/>
              <w:spacing w:before="60" w:after="40"/>
              <w:ind w:left="113" w:right="113"/>
              <w:jc w:val="center"/>
              <w:rPr>
                <w:b/>
              </w:rPr>
            </w:pPr>
            <w:r w:rsidRPr="0009445C">
              <w:rPr>
                <w:b/>
              </w:rPr>
              <w:t>5</w:t>
            </w:r>
          </w:p>
        </w:tc>
        <w:tc>
          <w:tcPr>
            <w:tcW w:w="2525" w:type="dxa"/>
            <w:shd w:val="clear" w:color="auto" w:fill="FFFFFF"/>
          </w:tcPr>
          <w:p w14:paraId="2798258F" w14:textId="77777777" w:rsidR="00E713B0" w:rsidRPr="0009445C" w:rsidRDefault="00E713B0" w:rsidP="00E713B0">
            <w:pPr>
              <w:pStyle w:val="BRL-Tabelle"/>
              <w:spacing w:before="60" w:after="40"/>
              <w:ind w:left="113" w:right="113"/>
            </w:pPr>
            <w:r w:rsidRPr="0009445C">
              <w:t>Fire-resistant (non-combustible* load-bearing and reinforced parts)</w:t>
            </w:r>
          </w:p>
        </w:tc>
        <w:tc>
          <w:tcPr>
            <w:tcW w:w="2905" w:type="dxa"/>
            <w:shd w:val="clear" w:color="auto" w:fill="auto"/>
            <w:vAlign w:val="center"/>
          </w:tcPr>
          <w:p w14:paraId="12E5AF0D" w14:textId="77777777" w:rsidR="00E713B0" w:rsidRPr="0009445C" w:rsidRDefault="00E713B0" w:rsidP="00E713B0">
            <w:pPr>
              <w:pStyle w:val="BRL-Tabelle"/>
              <w:spacing w:before="60" w:after="40"/>
              <w:ind w:left="113" w:right="113"/>
            </w:pPr>
            <w:r w:rsidRPr="0009445C">
              <w:t>EI 90</w:t>
            </w:r>
          </w:p>
        </w:tc>
        <w:tc>
          <w:tcPr>
            <w:tcW w:w="2425" w:type="dxa"/>
            <w:shd w:val="clear" w:color="auto" w:fill="auto"/>
            <w:vAlign w:val="center"/>
          </w:tcPr>
          <w:p w14:paraId="10793FDF"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6BD8DBF8" w14:textId="77777777" w:rsidTr="00E713B0">
        <w:tc>
          <w:tcPr>
            <w:tcW w:w="454" w:type="dxa"/>
            <w:shd w:val="clear" w:color="auto" w:fill="FFFFFF"/>
          </w:tcPr>
          <w:p w14:paraId="46C4ED30" w14:textId="77777777" w:rsidR="00E713B0" w:rsidRPr="0009445C" w:rsidRDefault="00E713B0" w:rsidP="00E713B0">
            <w:pPr>
              <w:pStyle w:val="BRL-Tabelle"/>
              <w:spacing w:before="60" w:after="40"/>
              <w:ind w:left="113" w:right="113"/>
              <w:jc w:val="center"/>
              <w:rPr>
                <w:b/>
              </w:rPr>
            </w:pPr>
            <w:r w:rsidRPr="0009445C">
              <w:rPr>
                <w:b/>
              </w:rPr>
              <w:t>6</w:t>
            </w:r>
          </w:p>
        </w:tc>
        <w:tc>
          <w:tcPr>
            <w:tcW w:w="2525" w:type="dxa"/>
            <w:shd w:val="clear" w:color="auto" w:fill="FFFFFF"/>
          </w:tcPr>
          <w:p w14:paraId="0BCC13A5" w14:textId="77777777" w:rsidR="00E713B0" w:rsidRPr="0009445C" w:rsidRDefault="00E713B0" w:rsidP="00E713B0">
            <w:pPr>
              <w:pStyle w:val="BRL-Tabelle"/>
              <w:spacing w:before="60" w:after="40"/>
              <w:ind w:left="113" w:right="113"/>
            </w:pPr>
            <w:r w:rsidRPr="0009445C">
              <w:t>Fire-resistant and made of non-combustible* building materials</w:t>
            </w:r>
          </w:p>
        </w:tc>
        <w:tc>
          <w:tcPr>
            <w:tcW w:w="2905" w:type="dxa"/>
            <w:shd w:val="clear" w:color="auto" w:fill="auto"/>
            <w:vAlign w:val="center"/>
          </w:tcPr>
          <w:p w14:paraId="2F1A662D" w14:textId="77777777" w:rsidR="00E713B0" w:rsidRPr="0009445C" w:rsidRDefault="00E713B0" w:rsidP="00E713B0">
            <w:pPr>
              <w:pStyle w:val="BRL-Tabelle"/>
              <w:spacing w:before="60" w:after="40"/>
              <w:ind w:left="113" w:right="113"/>
            </w:pPr>
            <w:r w:rsidRPr="0009445C">
              <w:t>EI 90</w:t>
            </w:r>
          </w:p>
        </w:tc>
        <w:tc>
          <w:tcPr>
            <w:tcW w:w="2425" w:type="dxa"/>
            <w:shd w:val="clear" w:color="auto" w:fill="auto"/>
            <w:vAlign w:val="center"/>
          </w:tcPr>
          <w:p w14:paraId="22CE9FE5" w14:textId="77777777" w:rsidR="00E713B0" w:rsidRPr="0009445C" w:rsidRDefault="00E713B0" w:rsidP="00E713B0">
            <w:pPr>
              <w:pStyle w:val="BRL-Tabelle"/>
              <w:spacing w:before="60" w:after="40"/>
              <w:ind w:left="113" w:right="113"/>
            </w:pPr>
            <w:r w:rsidRPr="0009445C">
              <w:t>DIN 4102</w:t>
            </w:r>
            <w:r w:rsidRPr="0009445C">
              <w:noBreakHyphen/>
              <w:t>4:2016</w:t>
            </w:r>
            <w:r w:rsidRPr="0009445C">
              <w:noBreakHyphen/>
              <w:t>05</w:t>
            </w:r>
          </w:p>
        </w:tc>
      </w:tr>
      <w:tr w:rsidR="00E713B0" w:rsidRPr="0009445C" w14:paraId="1EBBF00E" w14:textId="77777777" w:rsidTr="00E713B0">
        <w:tc>
          <w:tcPr>
            <w:tcW w:w="454" w:type="dxa"/>
            <w:tcBorders>
              <w:bottom w:val="nil"/>
            </w:tcBorders>
            <w:shd w:val="clear" w:color="auto" w:fill="FFFFFF"/>
          </w:tcPr>
          <w:p w14:paraId="797BB9BE" w14:textId="77777777" w:rsidR="00E713B0" w:rsidRPr="0009445C" w:rsidRDefault="00E713B0" w:rsidP="00E713B0">
            <w:pPr>
              <w:pStyle w:val="BRL-Tabelle"/>
              <w:spacing w:before="60" w:after="40"/>
              <w:ind w:left="113" w:right="113"/>
              <w:jc w:val="center"/>
              <w:rPr>
                <w:b/>
              </w:rPr>
            </w:pPr>
            <w:r w:rsidRPr="0009445C">
              <w:rPr>
                <w:b/>
              </w:rPr>
              <w:t>7</w:t>
            </w:r>
          </w:p>
        </w:tc>
        <w:tc>
          <w:tcPr>
            <w:tcW w:w="2525" w:type="dxa"/>
            <w:tcBorders>
              <w:bottom w:val="nil"/>
            </w:tcBorders>
            <w:shd w:val="clear" w:color="auto" w:fill="FFFFFF"/>
          </w:tcPr>
          <w:p w14:paraId="1A91A995" w14:textId="77777777" w:rsidR="00E713B0" w:rsidRPr="0009445C" w:rsidRDefault="00E713B0" w:rsidP="00E713B0">
            <w:pPr>
              <w:pStyle w:val="BRL-Tabelle"/>
              <w:spacing w:before="60" w:after="40"/>
              <w:ind w:left="113" w:right="113"/>
            </w:pPr>
            <w:r w:rsidRPr="0009445C">
              <w:t>Fire resistance of 120 minutes and made of non-combustible* building materials</w:t>
            </w:r>
          </w:p>
        </w:tc>
        <w:tc>
          <w:tcPr>
            <w:tcW w:w="2905" w:type="dxa"/>
            <w:shd w:val="clear" w:color="auto" w:fill="auto"/>
          </w:tcPr>
          <w:p w14:paraId="612380D5" w14:textId="77777777" w:rsidR="00E713B0" w:rsidRPr="0009445C" w:rsidRDefault="00E713B0" w:rsidP="00E713B0">
            <w:pPr>
              <w:pStyle w:val="BRL-Tabelle"/>
              <w:spacing w:before="60" w:after="40"/>
              <w:ind w:left="113" w:right="113"/>
            </w:pPr>
            <w:r w:rsidRPr="0009445C">
              <w:t>EI 120</w:t>
            </w:r>
          </w:p>
        </w:tc>
        <w:tc>
          <w:tcPr>
            <w:tcW w:w="2425" w:type="dxa"/>
            <w:shd w:val="clear" w:color="auto" w:fill="auto"/>
          </w:tcPr>
          <w:p w14:paraId="2A126510" w14:textId="77777777" w:rsidR="00E713B0" w:rsidRPr="0009445C" w:rsidRDefault="00E713B0" w:rsidP="00E713B0">
            <w:pPr>
              <w:pStyle w:val="BRL-Tabelle"/>
              <w:spacing w:before="60" w:after="40"/>
              <w:ind w:left="113" w:right="113"/>
            </w:pPr>
            <w:r w:rsidRPr="0009445C">
              <w:t>DIN 4102-4:2016-05</w:t>
            </w:r>
          </w:p>
        </w:tc>
      </w:tr>
      <w:tr w:rsidR="00E713B0" w:rsidRPr="0009445C" w14:paraId="21D23752" w14:textId="77777777" w:rsidTr="00E713B0">
        <w:tc>
          <w:tcPr>
            <w:tcW w:w="454" w:type="dxa"/>
            <w:shd w:val="clear" w:color="auto" w:fill="FFFFFF"/>
          </w:tcPr>
          <w:p w14:paraId="2AF50960" w14:textId="77777777" w:rsidR="00E713B0" w:rsidRPr="0009445C" w:rsidRDefault="00E713B0" w:rsidP="00E713B0">
            <w:pPr>
              <w:pStyle w:val="BRL-Funote"/>
              <w:spacing w:before="120"/>
              <w:ind w:hanging="283"/>
              <w:jc w:val="center"/>
              <w:rPr>
                <w:b/>
              </w:rPr>
            </w:pPr>
          </w:p>
        </w:tc>
        <w:tc>
          <w:tcPr>
            <w:tcW w:w="7855" w:type="dxa"/>
            <w:gridSpan w:val="3"/>
            <w:shd w:val="clear" w:color="auto" w:fill="FFFFFF"/>
          </w:tcPr>
          <w:p w14:paraId="15757BDF" w14:textId="77777777" w:rsidR="00E713B0" w:rsidRPr="0009445C" w:rsidRDefault="00E713B0" w:rsidP="00E713B0">
            <w:pPr>
              <w:pStyle w:val="BRL-Funote"/>
              <w:spacing w:before="120"/>
              <w:ind w:hanging="283"/>
            </w:pPr>
            <w:r w:rsidRPr="0009445C">
              <w:t>A</w:t>
            </w:r>
            <w:r w:rsidRPr="0009445C">
              <w:tab/>
              <w:t>Table contains only building supervisory requirements for structural elements, which are also represented by the Eurocodes.</w:t>
            </w:r>
          </w:p>
          <w:p w14:paraId="571DE53D" w14:textId="77777777" w:rsidR="00E713B0" w:rsidRPr="0009445C" w:rsidRDefault="00E713B0" w:rsidP="00E713B0">
            <w:pPr>
              <w:pStyle w:val="BRL-Funote"/>
              <w:ind w:left="426" w:hanging="284"/>
              <w:rPr>
                <w:b/>
              </w:rPr>
            </w:pPr>
            <w:r w:rsidRPr="0009445C">
              <w:t>*</w:t>
            </w:r>
            <w:r w:rsidRPr="0009445C">
              <w:tab/>
              <w:t>Regarding the requirements, Table 1.1. applies.</w:t>
            </w:r>
          </w:p>
          <w:p w14:paraId="30F03D16" w14:textId="40A2D328" w:rsidR="00E713B0" w:rsidRPr="0009445C" w:rsidRDefault="00E713B0" w:rsidP="00E713B0">
            <w:pPr>
              <w:pStyle w:val="BRL-Funote"/>
              <w:ind w:hanging="283"/>
              <w:rPr>
                <w:b/>
              </w:rPr>
            </w:pPr>
            <w:r w:rsidRPr="0009445C">
              <w:t>**</w:t>
            </w:r>
            <w:r w:rsidRPr="0009445C">
              <w:tab/>
              <w:t>The Eurocode class does not account for the fire characteristics of building materials. Table 1.1 or 1.2 applies.</w:t>
            </w:r>
          </w:p>
          <w:p w14:paraId="0B644C5D" w14:textId="77777777" w:rsidR="00E713B0" w:rsidRPr="0009445C" w:rsidRDefault="00E713B0" w:rsidP="00E713B0">
            <w:pPr>
              <w:pStyle w:val="BRL-Funote"/>
              <w:spacing w:after="120"/>
              <w:ind w:hanging="283"/>
              <w:rPr>
                <w:b/>
              </w:rPr>
            </w:pPr>
            <w:r w:rsidRPr="0009445C">
              <w:t>***</w:t>
            </w:r>
            <w:r w:rsidRPr="0009445C">
              <w:tab/>
              <w:t>Regarding the requirements, Table 1.1 or Table 1.2 applies.</w:t>
            </w:r>
          </w:p>
        </w:tc>
      </w:tr>
    </w:tbl>
    <w:p w14:paraId="18A10CB9" w14:textId="77777777" w:rsidR="00E713B0" w:rsidRPr="0009445C" w:rsidRDefault="00E713B0" w:rsidP="00E713B0">
      <w:pPr>
        <w:pStyle w:val="BRL-Standard"/>
      </w:pPr>
    </w:p>
    <w:p w14:paraId="7571D711" w14:textId="79381959" w:rsidR="00E713B0" w:rsidRPr="0009445C" w:rsidRDefault="00E713B0" w:rsidP="00E713B0">
      <w:pPr>
        <w:pStyle w:val="BRL-Standard"/>
      </w:pPr>
      <w:r w:rsidRPr="0009445C">
        <w:t>The requirement of Table 4.2.1, column 1, is only met if subsequent structural elements have at least the same fire resistance, unless Part A 2.1.3.3.1 allows a different connection for subsequent structural elements. The transitions to such structural elements must not affect the space barrier pursuant to ser. No A 2.1.3.3.</w:t>
      </w:r>
    </w:p>
    <w:p w14:paraId="2B549A6B" w14:textId="77777777" w:rsidR="00E713B0" w:rsidRPr="0009445C" w:rsidRDefault="00E713B0" w:rsidP="00E713B0"/>
    <w:p w14:paraId="67B4BC6E" w14:textId="77777777" w:rsidR="00E713B0" w:rsidRPr="0009445C" w:rsidRDefault="00E713B0" w:rsidP="00600F53">
      <w:pPr>
        <w:pStyle w:val="BRL-berschrift"/>
      </w:pPr>
      <w:r w:rsidRPr="0009445C">
        <w:t>4.2.2</w:t>
      </w:r>
      <w:r w:rsidRPr="0009445C">
        <w:tab/>
        <w:t>Load-bearing space-enclosing walls</w:t>
      </w:r>
    </w:p>
    <w:p w14:paraId="1BADC5B1" w14:textId="0D30D717" w:rsidR="00E713B0" w:rsidRPr="0009445C" w:rsidRDefault="00E713B0" w:rsidP="00E713B0">
      <w:pPr>
        <w:pStyle w:val="BRLTabelleberschrift"/>
        <w:spacing w:after="120"/>
        <w:rPr>
          <w:rStyle w:val="CaptionChar"/>
          <w:bCs w:val="0"/>
          <w:sz w:val="16"/>
          <w:szCs w:val="16"/>
        </w:rPr>
      </w:pPr>
      <w:r w:rsidRPr="0009445C">
        <w:t>Table 4.2.2</w:t>
      </w:r>
      <w:r w:rsidRPr="0009445C">
        <w:rPr>
          <w:vertAlign w:val="superscript"/>
        </w:rPr>
        <w:t>A</w:t>
      </w:r>
      <w:r w:rsidRPr="0009445C">
        <w:t>:</w:t>
      </w:r>
      <w:r w:rsidRPr="0009445C">
        <w:tab/>
        <w:t>Building approval requirements for loadbearing partitions and classification of classes (table values) according to Eurocode DIN EN 1992-1-2:2010-12 and DIN EN 1996</w:t>
      </w:r>
      <w:r w:rsidRPr="0009445C">
        <w:noBreakHyphen/>
        <w:t xml:space="preserve"> 1</w:t>
      </w:r>
      <w:r w:rsidRPr="0009445C">
        <w:noBreakHyphen/>
        <w:t xml:space="preserve"> 2/NA:2013</w:t>
      </w:r>
      <w:r w:rsidRPr="0009445C">
        <w:noBreakHyphen/>
        <w:t xml:space="preserve"> 06 and additional application rules</w:t>
      </w:r>
    </w:p>
    <w:tbl>
      <w:tblPr>
        <w:tblW w:w="9072" w:type="dxa"/>
        <w:tblInd w:w="-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Layout w:type="fixed"/>
        <w:tblCellMar>
          <w:left w:w="0" w:type="dxa"/>
          <w:right w:w="0" w:type="dxa"/>
        </w:tblCellMar>
        <w:tblLook w:val="04E0" w:firstRow="1" w:lastRow="1" w:firstColumn="1" w:lastColumn="0" w:noHBand="0" w:noVBand="1"/>
      </w:tblPr>
      <w:tblGrid>
        <w:gridCol w:w="433"/>
        <w:gridCol w:w="2971"/>
        <w:gridCol w:w="2974"/>
        <w:gridCol w:w="2694"/>
      </w:tblGrid>
      <w:tr w:rsidR="00E713B0" w:rsidRPr="0009445C" w14:paraId="7D9A7BF9" w14:textId="77777777" w:rsidTr="00E713B0">
        <w:trPr>
          <w:tblHeader/>
        </w:trPr>
        <w:tc>
          <w:tcPr>
            <w:tcW w:w="433" w:type="dxa"/>
            <w:shd w:val="clear" w:color="auto" w:fill="FFFFFF"/>
          </w:tcPr>
          <w:p w14:paraId="7485E932" w14:textId="77777777" w:rsidR="00E713B0" w:rsidRPr="0009445C" w:rsidRDefault="00E713B0" w:rsidP="00E713B0">
            <w:pPr>
              <w:pStyle w:val="BRL-TabelleberschriftAnhang"/>
              <w:ind w:left="0"/>
              <w:jc w:val="center"/>
            </w:pPr>
          </w:p>
        </w:tc>
        <w:tc>
          <w:tcPr>
            <w:tcW w:w="2971" w:type="dxa"/>
            <w:shd w:val="clear" w:color="auto" w:fill="FFFFFF"/>
          </w:tcPr>
          <w:p w14:paraId="50501175" w14:textId="77777777" w:rsidR="00E713B0" w:rsidRPr="0009445C" w:rsidRDefault="00E713B0" w:rsidP="00E713B0">
            <w:pPr>
              <w:pStyle w:val="BRL-TabelleberschriftAnhang"/>
            </w:pPr>
            <w:r w:rsidRPr="0009445C">
              <w:t>Building approval requirement</w:t>
            </w:r>
          </w:p>
        </w:tc>
        <w:tc>
          <w:tcPr>
            <w:tcW w:w="2974" w:type="dxa"/>
            <w:shd w:val="clear" w:color="auto" w:fill="FFFFFF"/>
          </w:tcPr>
          <w:p w14:paraId="2ABA9DBB" w14:textId="77777777" w:rsidR="00E713B0" w:rsidRPr="0009445C" w:rsidRDefault="00E713B0" w:rsidP="00E713B0">
            <w:pPr>
              <w:pStyle w:val="BRL-TabelleberschriftAnhang"/>
            </w:pPr>
            <w:r w:rsidRPr="0009445C">
              <w:t xml:space="preserve">Classes according to Eurocode** </w:t>
            </w:r>
            <w:r w:rsidRPr="0009445C">
              <w:br/>
              <w:t>DIN EN 1992</w:t>
            </w:r>
            <w:r w:rsidRPr="0009445C">
              <w:noBreakHyphen/>
              <w:t>1</w:t>
            </w:r>
            <w:r w:rsidRPr="0009445C">
              <w:noBreakHyphen/>
              <w:t>2:2010-12, Section 5</w:t>
            </w:r>
            <w:r w:rsidRPr="0009445C">
              <w:br/>
              <w:t>DIN EN 1996</w:t>
            </w:r>
            <w:r w:rsidRPr="0009445C">
              <w:noBreakHyphen/>
              <w:t>1</w:t>
            </w:r>
            <w:r w:rsidRPr="0009445C">
              <w:noBreakHyphen/>
              <w:t>2/NA:2013-06, to Annex B under unilateral fire stress</w:t>
            </w:r>
          </w:p>
        </w:tc>
        <w:tc>
          <w:tcPr>
            <w:tcW w:w="2694" w:type="dxa"/>
            <w:shd w:val="clear" w:color="auto" w:fill="FFFFFF"/>
          </w:tcPr>
          <w:p w14:paraId="5441DBCF" w14:textId="77777777" w:rsidR="00E713B0" w:rsidRPr="0009445C" w:rsidRDefault="00E713B0" w:rsidP="00E713B0">
            <w:pPr>
              <w:pStyle w:val="BRL-TabelleberschriftAnhang"/>
            </w:pPr>
            <w:r w:rsidRPr="0009445C">
              <w:t>Application rule to be observed in addition to Eurocode for designs using certain building materials***</w:t>
            </w:r>
          </w:p>
        </w:tc>
      </w:tr>
      <w:tr w:rsidR="00E713B0" w:rsidRPr="0009445C" w14:paraId="7D3BC8EF" w14:textId="77777777" w:rsidTr="00E713B0">
        <w:trPr>
          <w:tblHeader/>
        </w:trPr>
        <w:tc>
          <w:tcPr>
            <w:tcW w:w="433" w:type="dxa"/>
            <w:shd w:val="clear" w:color="auto" w:fill="FFFFFF"/>
          </w:tcPr>
          <w:p w14:paraId="2A92EF40" w14:textId="77777777" w:rsidR="00E713B0" w:rsidRPr="0009445C" w:rsidRDefault="00E713B0" w:rsidP="00E713B0">
            <w:pPr>
              <w:pStyle w:val="BRL-TabelleberschriftAnhang"/>
              <w:ind w:left="0"/>
              <w:jc w:val="center"/>
            </w:pPr>
          </w:p>
        </w:tc>
        <w:tc>
          <w:tcPr>
            <w:tcW w:w="2971" w:type="dxa"/>
            <w:shd w:val="clear" w:color="auto" w:fill="FFFFFF"/>
          </w:tcPr>
          <w:p w14:paraId="61F14463" w14:textId="77777777" w:rsidR="00E713B0" w:rsidRPr="0009445C" w:rsidRDefault="00E713B0" w:rsidP="00E713B0">
            <w:pPr>
              <w:pStyle w:val="BRL-TabelleberschriftAnhang"/>
              <w:jc w:val="center"/>
            </w:pPr>
            <w:r w:rsidRPr="0009445C">
              <w:t>1</w:t>
            </w:r>
          </w:p>
        </w:tc>
        <w:tc>
          <w:tcPr>
            <w:tcW w:w="2974" w:type="dxa"/>
            <w:shd w:val="clear" w:color="auto" w:fill="FFFFFF"/>
          </w:tcPr>
          <w:p w14:paraId="7FD97782" w14:textId="77777777" w:rsidR="00E713B0" w:rsidRPr="0009445C" w:rsidRDefault="00E713B0" w:rsidP="00E713B0">
            <w:pPr>
              <w:pStyle w:val="BRL-TabelleberschriftAnhang"/>
              <w:jc w:val="center"/>
            </w:pPr>
            <w:r w:rsidRPr="0009445C">
              <w:t>2</w:t>
            </w:r>
          </w:p>
        </w:tc>
        <w:tc>
          <w:tcPr>
            <w:tcW w:w="2694" w:type="dxa"/>
            <w:shd w:val="clear" w:color="auto" w:fill="FFFFFF"/>
          </w:tcPr>
          <w:p w14:paraId="54CAA57E" w14:textId="77777777" w:rsidR="00E713B0" w:rsidRPr="0009445C" w:rsidRDefault="00E713B0" w:rsidP="00E713B0">
            <w:pPr>
              <w:pStyle w:val="BRL-TabelleberschriftAnhang"/>
              <w:jc w:val="center"/>
            </w:pPr>
            <w:r w:rsidRPr="0009445C">
              <w:t>3</w:t>
            </w:r>
          </w:p>
        </w:tc>
      </w:tr>
      <w:tr w:rsidR="00E713B0" w:rsidRPr="0009445C" w14:paraId="255942E1" w14:textId="77777777" w:rsidTr="00E713B0">
        <w:tc>
          <w:tcPr>
            <w:tcW w:w="433" w:type="dxa"/>
            <w:tcBorders>
              <w:top w:val="single" w:sz="2" w:space="0" w:color="000000"/>
            </w:tcBorders>
            <w:shd w:val="clear" w:color="auto" w:fill="FFFFFF"/>
          </w:tcPr>
          <w:p w14:paraId="799863D2" w14:textId="77777777" w:rsidR="00E713B0" w:rsidRPr="0009445C" w:rsidRDefault="00E713B0" w:rsidP="00E713B0">
            <w:pPr>
              <w:pStyle w:val="BRL-Tabelle"/>
              <w:widowControl w:val="0"/>
              <w:spacing w:before="60" w:after="40"/>
              <w:jc w:val="center"/>
              <w:rPr>
                <w:rFonts w:eastAsia="Calibri"/>
                <w:b/>
              </w:rPr>
            </w:pPr>
            <w:r w:rsidRPr="0009445C">
              <w:rPr>
                <w:b/>
              </w:rPr>
              <w:t>1</w:t>
            </w:r>
          </w:p>
        </w:tc>
        <w:tc>
          <w:tcPr>
            <w:tcW w:w="2971" w:type="dxa"/>
            <w:tcBorders>
              <w:top w:val="single" w:sz="2" w:space="0" w:color="000000"/>
            </w:tcBorders>
            <w:shd w:val="clear" w:color="auto" w:fill="FFFFFF"/>
          </w:tcPr>
          <w:p w14:paraId="663A57D0" w14:textId="77777777" w:rsidR="00E713B0" w:rsidRPr="0009445C" w:rsidRDefault="00E713B0" w:rsidP="00E713B0">
            <w:pPr>
              <w:pStyle w:val="BRL-Tabelle"/>
              <w:widowControl w:val="0"/>
              <w:spacing w:before="60" w:after="40"/>
              <w:ind w:left="113"/>
              <w:rPr>
                <w:rFonts w:eastAsia="Calibri"/>
              </w:rPr>
            </w:pPr>
            <w:r w:rsidRPr="0009445C">
              <w:t>Fire-retardant</w:t>
            </w:r>
          </w:p>
        </w:tc>
        <w:tc>
          <w:tcPr>
            <w:tcW w:w="2974" w:type="dxa"/>
            <w:tcBorders>
              <w:top w:val="single" w:sz="2" w:space="0" w:color="000000"/>
            </w:tcBorders>
            <w:shd w:val="clear" w:color="auto" w:fill="auto"/>
          </w:tcPr>
          <w:p w14:paraId="6747AF63" w14:textId="77777777" w:rsidR="00E713B0" w:rsidRPr="0009445C" w:rsidRDefault="00E713B0" w:rsidP="00E713B0">
            <w:pPr>
              <w:pStyle w:val="BRL-Tabelle"/>
              <w:widowControl w:val="0"/>
              <w:spacing w:before="60" w:after="40"/>
              <w:ind w:left="113"/>
              <w:rPr>
                <w:rFonts w:eastAsia="Calibri"/>
              </w:rPr>
            </w:pPr>
            <w:r w:rsidRPr="0009445C">
              <w:t>REI 30</w:t>
            </w:r>
          </w:p>
        </w:tc>
        <w:tc>
          <w:tcPr>
            <w:tcW w:w="2694" w:type="dxa"/>
            <w:tcBorders>
              <w:top w:val="single" w:sz="2" w:space="0" w:color="000000"/>
            </w:tcBorders>
            <w:shd w:val="clear" w:color="auto" w:fill="auto"/>
          </w:tcPr>
          <w:p w14:paraId="4420473A" w14:textId="77777777" w:rsidR="00E713B0" w:rsidRPr="0009445C" w:rsidRDefault="00E713B0" w:rsidP="00E713B0">
            <w:pPr>
              <w:pStyle w:val="BRL-Tabelle"/>
              <w:widowControl w:val="0"/>
              <w:spacing w:before="60" w:after="40"/>
              <w:ind w:left="113"/>
              <w:rPr>
                <w:rFonts w:eastAsia="Calibri"/>
              </w:rPr>
            </w:pPr>
            <w:r w:rsidRPr="0009445C">
              <w:t>DIN 4102</w:t>
            </w:r>
            <w:r w:rsidRPr="0009445C">
              <w:noBreakHyphen/>
              <w:t>4:2016</w:t>
            </w:r>
            <w:r w:rsidRPr="0009445C">
              <w:noBreakHyphen/>
              <w:t>05</w:t>
            </w:r>
          </w:p>
        </w:tc>
      </w:tr>
      <w:tr w:rsidR="00E713B0" w:rsidRPr="0009445C" w14:paraId="3255A15E" w14:textId="77777777" w:rsidTr="00E713B0">
        <w:tc>
          <w:tcPr>
            <w:tcW w:w="433" w:type="dxa"/>
            <w:shd w:val="clear" w:color="auto" w:fill="FFFFFF"/>
          </w:tcPr>
          <w:p w14:paraId="6C677E2A" w14:textId="77777777" w:rsidR="00E713B0" w:rsidRPr="0009445C" w:rsidRDefault="00E713B0" w:rsidP="00E713B0">
            <w:pPr>
              <w:pStyle w:val="BRL-Tabelle"/>
              <w:widowControl w:val="0"/>
              <w:spacing w:before="60" w:after="40"/>
              <w:jc w:val="center"/>
              <w:rPr>
                <w:rFonts w:eastAsia="Calibri"/>
                <w:b/>
              </w:rPr>
            </w:pPr>
            <w:r w:rsidRPr="0009445C">
              <w:rPr>
                <w:b/>
              </w:rPr>
              <w:t>2</w:t>
            </w:r>
          </w:p>
        </w:tc>
        <w:tc>
          <w:tcPr>
            <w:tcW w:w="2971" w:type="dxa"/>
            <w:shd w:val="clear" w:color="auto" w:fill="FFFFFF"/>
          </w:tcPr>
          <w:p w14:paraId="595FF596" w14:textId="77777777" w:rsidR="00E713B0" w:rsidRPr="0009445C" w:rsidRDefault="00E713B0" w:rsidP="00E713B0">
            <w:pPr>
              <w:pStyle w:val="BRL-Tabelle"/>
              <w:widowControl w:val="0"/>
              <w:spacing w:before="60" w:after="40"/>
              <w:ind w:left="113"/>
              <w:rPr>
                <w:rFonts w:eastAsia="Calibri"/>
              </w:rPr>
            </w:pPr>
            <w:r w:rsidRPr="0009445C">
              <w:t>Fire-retardant and made of non-combustible* materials</w:t>
            </w:r>
          </w:p>
        </w:tc>
        <w:tc>
          <w:tcPr>
            <w:tcW w:w="2974" w:type="dxa"/>
            <w:shd w:val="clear" w:color="auto" w:fill="auto"/>
          </w:tcPr>
          <w:p w14:paraId="515D5DB9" w14:textId="77777777" w:rsidR="00E713B0" w:rsidRPr="0009445C" w:rsidRDefault="00E713B0" w:rsidP="00E713B0">
            <w:pPr>
              <w:pStyle w:val="BRL-Tabelle"/>
              <w:widowControl w:val="0"/>
              <w:spacing w:before="60" w:after="40"/>
              <w:ind w:left="113"/>
              <w:rPr>
                <w:rFonts w:eastAsia="Calibri"/>
              </w:rPr>
            </w:pPr>
            <w:r w:rsidRPr="0009445C">
              <w:t>REI 30</w:t>
            </w:r>
          </w:p>
        </w:tc>
        <w:tc>
          <w:tcPr>
            <w:tcW w:w="2694" w:type="dxa"/>
            <w:shd w:val="clear" w:color="auto" w:fill="auto"/>
          </w:tcPr>
          <w:p w14:paraId="05E16112" w14:textId="77777777" w:rsidR="00E713B0" w:rsidRPr="0009445C" w:rsidRDefault="00E713B0" w:rsidP="00E713B0">
            <w:pPr>
              <w:pStyle w:val="BRL-Tabelle"/>
              <w:widowControl w:val="0"/>
              <w:spacing w:before="60" w:after="40"/>
              <w:ind w:left="113"/>
              <w:rPr>
                <w:rFonts w:eastAsia="Calibri"/>
              </w:rPr>
            </w:pPr>
            <w:r w:rsidRPr="0009445C">
              <w:t>DIN 4102</w:t>
            </w:r>
            <w:r w:rsidRPr="0009445C">
              <w:noBreakHyphen/>
              <w:t>4:2016</w:t>
            </w:r>
            <w:r w:rsidRPr="0009445C">
              <w:noBreakHyphen/>
              <w:t>05</w:t>
            </w:r>
          </w:p>
        </w:tc>
      </w:tr>
      <w:tr w:rsidR="00E713B0" w:rsidRPr="0009445C" w14:paraId="72490FD7" w14:textId="77777777" w:rsidTr="00E713B0">
        <w:tc>
          <w:tcPr>
            <w:tcW w:w="433" w:type="dxa"/>
            <w:shd w:val="clear" w:color="auto" w:fill="FFFFFF"/>
          </w:tcPr>
          <w:p w14:paraId="1A1C64F9" w14:textId="77777777" w:rsidR="00E713B0" w:rsidRPr="0009445C" w:rsidRDefault="00E713B0" w:rsidP="00E713B0">
            <w:pPr>
              <w:pStyle w:val="BRL-Tabelle"/>
              <w:widowControl w:val="0"/>
              <w:spacing w:before="60" w:after="40"/>
              <w:jc w:val="center"/>
              <w:rPr>
                <w:rFonts w:eastAsia="Calibri"/>
                <w:b/>
              </w:rPr>
            </w:pPr>
            <w:r w:rsidRPr="0009445C">
              <w:rPr>
                <w:b/>
              </w:rPr>
              <w:t>3</w:t>
            </w:r>
          </w:p>
        </w:tc>
        <w:tc>
          <w:tcPr>
            <w:tcW w:w="2971" w:type="dxa"/>
            <w:shd w:val="clear" w:color="auto" w:fill="FFFFFF"/>
          </w:tcPr>
          <w:p w14:paraId="4E5A656B" w14:textId="77777777" w:rsidR="00E713B0" w:rsidRPr="0009445C" w:rsidRDefault="00E713B0" w:rsidP="00E713B0">
            <w:pPr>
              <w:pStyle w:val="BRL-Tabelle"/>
              <w:widowControl w:val="0"/>
              <w:spacing w:before="60" w:after="40"/>
              <w:ind w:left="113"/>
              <w:rPr>
                <w:rFonts w:eastAsia="Calibri"/>
              </w:rPr>
            </w:pPr>
            <w:r w:rsidRPr="0009445C">
              <w:t>Highly fire-retardant and essential parts made of non-combustible materials</w:t>
            </w:r>
          </w:p>
        </w:tc>
        <w:tc>
          <w:tcPr>
            <w:tcW w:w="2974" w:type="dxa"/>
            <w:shd w:val="clear" w:color="auto" w:fill="auto"/>
            <w:vAlign w:val="center"/>
          </w:tcPr>
          <w:p w14:paraId="7CF1A637" w14:textId="77777777" w:rsidR="00E713B0" w:rsidRPr="0009445C" w:rsidRDefault="00E713B0" w:rsidP="00E713B0">
            <w:pPr>
              <w:pStyle w:val="BRL-Tabelle"/>
              <w:widowControl w:val="0"/>
              <w:spacing w:before="60" w:after="40"/>
              <w:ind w:left="113"/>
              <w:rPr>
                <w:rFonts w:eastAsia="Calibri"/>
              </w:rPr>
            </w:pPr>
            <w:r w:rsidRPr="0009445C">
              <w:t>REI 60</w:t>
            </w:r>
          </w:p>
        </w:tc>
        <w:tc>
          <w:tcPr>
            <w:tcW w:w="2694" w:type="dxa"/>
            <w:shd w:val="clear" w:color="auto" w:fill="auto"/>
            <w:vAlign w:val="center"/>
          </w:tcPr>
          <w:p w14:paraId="5D827ED8" w14:textId="77777777" w:rsidR="00E713B0" w:rsidRPr="0009445C" w:rsidRDefault="00E713B0" w:rsidP="00E713B0">
            <w:pPr>
              <w:pStyle w:val="BRL-Tabelle"/>
              <w:widowControl w:val="0"/>
              <w:spacing w:before="60" w:after="40"/>
              <w:ind w:left="113"/>
              <w:rPr>
                <w:rFonts w:eastAsia="Calibri"/>
              </w:rPr>
            </w:pPr>
            <w:r w:rsidRPr="0009445C">
              <w:t>DIN 4102</w:t>
            </w:r>
            <w:r w:rsidRPr="0009445C">
              <w:noBreakHyphen/>
              <w:t>4:2016</w:t>
            </w:r>
            <w:r w:rsidRPr="0009445C">
              <w:noBreakHyphen/>
              <w:t>05</w:t>
            </w:r>
          </w:p>
        </w:tc>
      </w:tr>
      <w:tr w:rsidR="00E713B0" w:rsidRPr="0009445C" w14:paraId="4A22FA4A" w14:textId="77777777" w:rsidTr="00E713B0">
        <w:tc>
          <w:tcPr>
            <w:tcW w:w="433" w:type="dxa"/>
            <w:shd w:val="clear" w:color="auto" w:fill="FFFFFF"/>
          </w:tcPr>
          <w:p w14:paraId="77F1901B" w14:textId="77777777" w:rsidR="00E713B0" w:rsidRPr="0009445C" w:rsidRDefault="00E713B0" w:rsidP="00E713B0">
            <w:pPr>
              <w:pStyle w:val="BRL-Tabelle"/>
              <w:widowControl w:val="0"/>
              <w:spacing w:before="60" w:after="40"/>
              <w:jc w:val="center"/>
              <w:rPr>
                <w:rFonts w:eastAsia="Calibri"/>
                <w:b/>
              </w:rPr>
            </w:pPr>
            <w:r w:rsidRPr="0009445C">
              <w:rPr>
                <w:b/>
              </w:rPr>
              <w:t>4</w:t>
            </w:r>
          </w:p>
        </w:tc>
        <w:tc>
          <w:tcPr>
            <w:tcW w:w="2971" w:type="dxa"/>
            <w:shd w:val="clear" w:color="auto" w:fill="FFFFFF"/>
          </w:tcPr>
          <w:p w14:paraId="09325652" w14:textId="77777777" w:rsidR="00E713B0" w:rsidRPr="0009445C" w:rsidRDefault="00E713B0" w:rsidP="00E713B0">
            <w:pPr>
              <w:pStyle w:val="BRL-Tabelle"/>
              <w:widowControl w:val="0"/>
              <w:spacing w:before="60" w:after="40"/>
              <w:ind w:left="113"/>
              <w:rPr>
                <w:rFonts w:eastAsia="Calibri"/>
              </w:rPr>
            </w:pPr>
            <w:r w:rsidRPr="0009445C">
              <w:t>Highly fire-retardant and made of non-combustible materials</w:t>
            </w:r>
          </w:p>
        </w:tc>
        <w:tc>
          <w:tcPr>
            <w:tcW w:w="2974" w:type="dxa"/>
            <w:shd w:val="clear" w:color="auto" w:fill="auto"/>
            <w:vAlign w:val="center"/>
          </w:tcPr>
          <w:p w14:paraId="6B263AAA" w14:textId="77777777" w:rsidR="00E713B0" w:rsidRPr="0009445C" w:rsidRDefault="00E713B0" w:rsidP="00E713B0">
            <w:pPr>
              <w:pStyle w:val="BRL-Tabelle"/>
              <w:widowControl w:val="0"/>
              <w:spacing w:before="60" w:after="40"/>
              <w:ind w:left="113"/>
              <w:rPr>
                <w:rFonts w:eastAsia="Calibri"/>
              </w:rPr>
            </w:pPr>
            <w:r w:rsidRPr="0009445C">
              <w:t>REI 60</w:t>
            </w:r>
          </w:p>
        </w:tc>
        <w:tc>
          <w:tcPr>
            <w:tcW w:w="2694" w:type="dxa"/>
            <w:shd w:val="clear" w:color="auto" w:fill="auto"/>
            <w:vAlign w:val="center"/>
          </w:tcPr>
          <w:p w14:paraId="34A57269" w14:textId="77777777" w:rsidR="00E713B0" w:rsidRPr="0009445C" w:rsidRDefault="00E713B0" w:rsidP="00E713B0">
            <w:pPr>
              <w:pStyle w:val="BRL-Tabelle"/>
              <w:widowControl w:val="0"/>
              <w:spacing w:before="60" w:after="40"/>
              <w:ind w:left="113"/>
              <w:rPr>
                <w:rFonts w:eastAsia="Calibri"/>
              </w:rPr>
            </w:pPr>
            <w:r w:rsidRPr="0009445C">
              <w:t>DIN 4102</w:t>
            </w:r>
            <w:r w:rsidRPr="0009445C">
              <w:noBreakHyphen/>
              <w:t>4:2016</w:t>
            </w:r>
            <w:r w:rsidRPr="0009445C">
              <w:noBreakHyphen/>
              <w:t>05</w:t>
            </w:r>
          </w:p>
        </w:tc>
      </w:tr>
      <w:tr w:rsidR="00E713B0" w:rsidRPr="0009445C" w14:paraId="2EAC247D" w14:textId="77777777" w:rsidTr="00E713B0">
        <w:tc>
          <w:tcPr>
            <w:tcW w:w="433" w:type="dxa"/>
            <w:shd w:val="clear" w:color="auto" w:fill="FFFFFF"/>
          </w:tcPr>
          <w:p w14:paraId="3AE8C20C" w14:textId="77777777" w:rsidR="00E713B0" w:rsidRPr="0009445C" w:rsidRDefault="00E713B0" w:rsidP="00E713B0">
            <w:pPr>
              <w:pStyle w:val="BRL-Tabelle"/>
              <w:widowControl w:val="0"/>
              <w:spacing w:before="60" w:after="40"/>
              <w:jc w:val="center"/>
              <w:rPr>
                <w:rFonts w:eastAsia="Calibri"/>
                <w:b/>
              </w:rPr>
            </w:pPr>
            <w:r w:rsidRPr="0009445C">
              <w:rPr>
                <w:b/>
              </w:rPr>
              <w:t>5</w:t>
            </w:r>
          </w:p>
        </w:tc>
        <w:tc>
          <w:tcPr>
            <w:tcW w:w="2971" w:type="dxa"/>
            <w:shd w:val="clear" w:color="auto" w:fill="FFFFFF"/>
          </w:tcPr>
          <w:p w14:paraId="0E69260C" w14:textId="77777777" w:rsidR="00E713B0" w:rsidRPr="0009445C" w:rsidRDefault="00E713B0" w:rsidP="00E713B0">
            <w:pPr>
              <w:pStyle w:val="BRL-Tabelle"/>
              <w:widowControl w:val="0"/>
              <w:spacing w:before="60" w:after="40"/>
              <w:ind w:left="113"/>
              <w:rPr>
                <w:rFonts w:eastAsia="Calibri"/>
              </w:rPr>
            </w:pPr>
            <w:r w:rsidRPr="0009445C">
              <w:t>Fire-resistant (non-combustible* load-bearing and reinforced parts)</w:t>
            </w:r>
          </w:p>
        </w:tc>
        <w:tc>
          <w:tcPr>
            <w:tcW w:w="2974" w:type="dxa"/>
            <w:shd w:val="clear" w:color="auto" w:fill="auto"/>
            <w:vAlign w:val="center"/>
          </w:tcPr>
          <w:p w14:paraId="72E54C1C" w14:textId="77777777" w:rsidR="00E713B0" w:rsidRPr="0009445C" w:rsidRDefault="00E713B0" w:rsidP="00E713B0">
            <w:pPr>
              <w:pStyle w:val="BRL-Tabelle"/>
              <w:widowControl w:val="0"/>
              <w:spacing w:before="60" w:after="40"/>
              <w:ind w:left="113"/>
              <w:rPr>
                <w:rFonts w:eastAsia="Calibri"/>
              </w:rPr>
            </w:pPr>
            <w:r w:rsidRPr="0009445C">
              <w:t>REI 90</w:t>
            </w:r>
          </w:p>
        </w:tc>
        <w:tc>
          <w:tcPr>
            <w:tcW w:w="2694" w:type="dxa"/>
            <w:shd w:val="clear" w:color="auto" w:fill="auto"/>
            <w:vAlign w:val="center"/>
          </w:tcPr>
          <w:p w14:paraId="61A5BF63" w14:textId="77777777" w:rsidR="00E713B0" w:rsidRPr="0009445C" w:rsidRDefault="00E713B0" w:rsidP="00E713B0">
            <w:pPr>
              <w:pStyle w:val="BRL-Tabelle"/>
              <w:widowControl w:val="0"/>
              <w:spacing w:before="60" w:after="40"/>
              <w:ind w:left="113"/>
              <w:rPr>
                <w:rFonts w:eastAsia="Calibri"/>
              </w:rPr>
            </w:pPr>
            <w:r w:rsidRPr="0009445C">
              <w:t>DIN 4102</w:t>
            </w:r>
            <w:r w:rsidRPr="0009445C">
              <w:noBreakHyphen/>
              <w:t>4:2016</w:t>
            </w:r>
            <w:r w:rsidRPr="0009445C">
              <w:noBreakHyphen/>
              <w:t>05</w:t>
            </w:r>
          </w:p>
        </w:tc>
      </w:tr>
      <w:tr w:rsidR="00E713B0" w:rsidRPr="0009445C" w14:paraId="44C253A3" w14:textId="77777777" w:rsidTr="00E713B0">
        <w:tc>
          <w:tcPr>
            <w:tcW w:w="433" w:type="dxa"/>
            <w:shd w:val="clear" w:color="auto" w:fill="FFFFFF"/>
          </w:tcPr>
          <w:p w14:paraId="1D009BFD" w14:textId="77777777" w:rsidR="00E713B0" w:rsidRPr="0009445C" w:rsidRDefault="00E713B0" w:rsidP="00E713B0">
            <w:pPr>
              <w:pStyle w:val="BRL-Tabelle"/>
              <w:widowControl w:val="0"/>
              <w:spacing w:before="60" w:after="40"/>
              <w:jc w:val="center"/>
              <w:rPr>
                <w:rFonts w:eastAsia="Calibri"/>
                <w:b/>
              </w:rPr>
            </w:pPr>
            <w:r w:rsidRPr="0009445C">
              <w:rPr>
                <w:b/>
              </w:rPr>
              <w:t>6</w:t>
            </w:r>
          </w:p>
        </w:tc>
        <w:tc>
          <w:tcPr>
            <w:tcW w:w="2971" w:type="dxa"/>
            <w:shd w:val="clear" w:color="auto" w:fill="FFFFFF"/>
          </w:tcPr>
          <w:p w14:paraId="3B6D04D0" w14:textId="77777777" w:rsidR="00E713B0" w:rsidRPr="0009445C" w:rsidRDefault="00E713B0" w:rsidP="00E713B0">
            <w:pPr>
              <w:pStyle w:val="BRL-Tabelle"/>
              <w:widowControl w:val="0"/>
              <w:spacing w:before="60" w:after="40"/>
              <w:ind w:left="113"/>
              <w:rPr>
                <w:rFonts w:eastAsia="Calibri"/>
              </w:rPr>
            </w:pPr>
            <w:r w:rsidRPr="0009445C">
              <w:t>Fire-resistant and made of non-combustible* building materials</w:t>
            </w:r>
          </w:p>
        </w:tc>
        <w:tc>
          <w:tcPr>
            <w:tcW w:w="2974" w:type="dxa"/>
            <w:shd w:val="clear" w:color="auto" w:fill="auto"/>
            <w:vAlign w:val="center"/>
          </w:tcPr>
          <w:p w14:paraId="605E797A" w14:textId="77777777" w:rsidR="00E713B0" w:rsidRPr="0009445C" w:rsidRDefault="00E713B0" w:rsidP="00E713B0">
            <w:pPr>
              <w:pStyle w:val="BRL-Tabelle"/>
              <w:widowControl w:val="0"/>
              <w:spacing w:before="60" w:after="40"/>
              <w:ind w:left="113"/>
              <w:rPr>
                <w:rFonts w:eastAsia="Calibri"/>
              </w:rPr>
            </w:pPr>
            <w:r w:rsidRPr="0009445C">
              <w:t>REI 90</w:t>
            </w:r>
          </w:p>
        </w:tc>
        <w:tc>
          <w:tcPr>
            <w:tcW w:w="2694" w:type="dxa"/>
            <w:shd w:val="clear" w:color="auto" w:fill="auto"/>
            <w:vAlign w:val="center"/>
          </w:tcPr>
          <w:p w14:paraId="236715F6" w14:textId="77777777" w:rsidR="00E713B0" w:rsidRPr="0009445C" w:rsidRDefault="00E713B0" w:rsidP="00E713B0">
            <w:pPr>
              <w:pStyle w:val="BRL-Tabelle"/>
              <w:widowControl w:val="0"/>
              <w:spacing w:before="60" w:after="40"/>
              <w:ind w:left="113"/>
              <w:rPr>
                <w:rFonts w:eastAsia="Calibri"/>
              </w:rPr>
            </w:pPr>
            <w:r w:rsidRPr="0009445C">
              <w:t>DIN 4102</w:t>
            </w:r>
            <w:r w:rsidRPr="0009445C">
              <w:noBreakHyphen/>
              <w:t>4:2016</w:t>
            </w:r>
            <w:r w:rsidRPr="0009445C">
              <w:noBreakHyphen/>
              <w:t>05</w:t>
            </w:r>
          </w:p>
        </w:tc>
      </w:tr>
      <w:tr w:rsidR="00E713B0" w:rsidRPr="0009445C" w14:paraId="66B698C7" w14:textId="77777777" w:rsidTr="00E713B0">
        <w:trPr>
          <w:trHeight w:val="258"/>
        </w:trPr>
        <w:tc>
          <w:tcPr>
            <w:tcW w:w="433" w:type="dxa"/>
            <w:vMerge w:val="restart"/>
            <w:shd w:val="clear" w:color="auto" w:fill="FFFFFF"/>
          </w:tcPr>
          <w:p w14:paraId="6E0F62D0" w14:textId="77777777" w:rsidR="00E713B0" w:rsidRPr="0009445C" w:rsidRDefault="00E713B0" w:rsidP="00E713B0">
            <w:pPr>
              <w:pStyle w:val="BRL-Tabelle"/>
              <w:widowControl w:val="0"/>
              <w:spacing w:before="60" w:after="40"/>
              <w:jc w:val="center"/>
              <w:rPr>
                <w:rFonts w:eastAsia="Calibri"/>
                <w:b/>
              </w:rPr>
            </w:pPr>
            <w:r w:rsidRPr="0009445C">
              <w:rPr>
                <w:b/>
              </w:rPr>
              <w:t>7</w:t>
            </w:r>
          </w:p>
        </w:tc>
        <w:tc>
          <w:tcPr>
            <w:tcW w:w="2971" w:type="dxa"/>
            <w:vMerge w:val="restart"/>
            <w:shd w:val="clear" w:color="auto" w:fill="FFFFFF"/>
          </w:tcPr>
          <w:p w14:paraId="5F4EB428" w14:textId="77777777" w:rsidR="00E713B0" w:rsidRPr="0009445C" w:rsidRDefault="00E713B0" w:rsidP="00E713B0">
            <w:pPr>
              <w:pStyle w:val="BRL-Tabelle"/>
              <w:widowControl w:val="0"/>
              <w:spacing w:before="60" w:after="40"/>
              <w:ind w:left="113"/>
              <w:rPr>
                <w:rFonts w:eastAsia="Calibri"/>
              </w:rPr>
            </w:pPr>
            <w:r w:rsidRPr="0009445C">
              <w:t>Firewall (fire-resistant and made of non-combustible materials)</w:t>
            </w:r>
          </w:p>
        </w:tc>
        <w:tc>
          <w:tcPr>
            <w:tcW w:w="2974" w:type="dxa"/>
            <w:shd w:val="clear" w:color="auto" w:fill="auto"/>
            <w:vAlign w:val="center"/>
          </w:tcPr>
          <w:p w14:paraId="69624044" w14:textId="77777777" w:rsidR="00E713B0" w:rsidRPr="0009445C" w:rsidDel="00AF3707" w:rsidRDefault="00E713B0" w:rsidP="00E713B0">
            <w:pPr>
              <w:pStyle w:val="BRL-Tabelle"/>
              <w:widowControl w:val="0"/>
              <w:spacing w:before="60" w:after="40"/>
              <w:ind w:left="113"/>
              <w:rPr>
                <w:rFonts w:eastAsia="Calibri"/>
              </w:rPr>
            </w:pPr>
            <w:r w:rsidRPr="0009445C">
              <w:t>REI 90 and Criterion M</w:t>
            </w:r>
          </w:p>
        </w:tc>
        <w:tc>
          <w:tcPr>
            <w:tcW w:w="2694" w:type="dxa"/>
            <w:shd w:val="clear" w:color="auto" w:fill="auto"/>
            <w:vAlign w:val="center"/>
          </w:tcPr>
          <w:p w14:paraId="79485375" w14:textId="77777777" w:rsidR="00E713B0" w:rsidRPr="0009445C" w:rsidDel="00AF3707" w:rsidRDefault="00E713B0" w:rsidP="00E713B0">
            <w:pPr>
              <w:pStyle w:val="BRL-Tabelle"/>
              <w:widowControl w:val="0"/>
              <w:spacing w:before="60" w:after="40"/>
              <w:ind w:left="113"/>
              <w:rPr>
                <w:rFonts w:eastAsia="Calibri"/>
              </w:rPr>
            </w:pPr>
            <w:r w:rsidRPr="0009445C">
              <w:t>DIN 4102-4:2016-05</w:t>
            </w:r>
          </w:p>
        </w:tc>
      </w:tr>
      <w:tr w:rsidR="00E713B0" w:rsidRPr="0009445C" w14:paraId="7BF06991" w14:textId="77777777" w:rsidTr="00E713B0">
        <w:trPr>
          <w:trHeight w:val="258"/>
        </w:trPr>
        <w:tc>
          <w:tcPr>
            <w:tcW w:w="433" w:type="dxa"/>
            <w:vMerge/>
            <w:shd w:val="clear" w:color="auto" w:fill="FFFFFF"/>
          </w:tcPr>
          <w:p w14:paraId="060FEC14" w14:textId="77777777" w:rsidR="00E713B0" w:rsidRPr="0009445C" w:rsidRDefault="00E713B0" w:rsidP="00E713B0">
            <w:pPr>
              <w:pStyle w:val="BRL-Tabelle"/>
              <w:widowControl w:val="0"/>
              <w:spacing w:before="60" w:after="40"/>
              <w:jc w:val="center"/>
              <w:rPr>
                <w:rFonts w:eastAsia="Calibri"/>
                <w:b/>
                <w:lang w:val="en-US"/>
              </w:rPr>
            </w:pPr>
          </w:p>
        </w:tc>
        <w:tc>
          <w:tcPr>
            <w:tcW w:w="2971" w:type="dxa"/>
            <w:vMerge/>
            <w:shd w:val="clear" w:color="auto" w:fill="FFFFFF"/>
          </w:tcPr>
          <w:p w14:paraId="2BE07051" w14:textId="77777777" w:rsidR="00E713B0" w:rsidRPr="0009445C" w:rsidRDefault="00E713B0" w:rsidP="00E713B0">
            <w:pPr>
              <w:pStyle w:val="BRL-Tabelle"/>
              <w:widowControl w:val="0"/>
              <w:spacing w:before="60" w:after="40"/>
              <w:ind w:left="113"/>
              <w:rPr>
                <w:rFonts w:eastAsia="Calibri"/>
                <w:lang w:val="en-US"/>
              </w:rPr>
            </w:pPr>
          </w:p>
        </w:tc>
        <w:tc>
          <w:tcPr>
            <w:tcW w:w="2974" w:type="dxa"/>
            <w:shd w:val="clear" w:color="auto" w:fill="auto"/>
            <w:vAlign w:val="center"/>
          </w:tcPr>
          <w:p w14:paraId="5C419DFA" w14:textId="77777777" w:rsidR="00E713B0" w:rsidRPr="0009445C" w:rsidDel="00AF3707" w:rsidRDefault="00E713B0" w:rsidP="00E713B0">
            <w:pPr>
              <w:pStyle w:val="BRL-Tabelle"/>
              <w:widowControl w:val="0"/>
              <w:spacing w:before="60" w:after="40"/>
              <w:ind w:left="113"/>
              <w:rPr>
                <w:rFonts w:eastAsia="Calibri"/>
              </w:rPr>
            </w:pPr>
            <w:r w:rsidRPr="0009445C">
              <w:t>REI-M 90</w:t>
            </w:r>
          </w:p>
        </w:tc>
        <w:tc>
          <w:tcPr>
            <w:tcW w:w="2694" w:type="dxa"/>
            <w:shd w:val="clear" w:color="auto" w:fill="auto"/>
            <w:vAlign w:val="center"/>
          </w:tcPr>
          <w:p w14:paraId="5C5675C2" w14:textId="77777777" w:rsidR="00E713B0" w:rsidRPr="0009445C" w:rsidDel="00AF3707" w:rsidRDefault="00E713B0" w:rsidP="00E713B0">
            <w:pPr>
              <w:pStyle w:val="BRL-Tabelle"/>
              <w:widowControl w:val="0"/>
              <w:spacing w:before="60" w:after="40"/>
              <w:ind w:left="113"/>
              <w:rPr>
                <w:rFonts w:eastAsia="Calibri"/>
              </w:rPr>
            </w:pPr>
            <w:r w:rsidRPr="0009445C">
              <w:t>DIN 4102-4:2016-05</w:t>
            </w:r>
          </w:p>
        </w:tc>
      </w:tr>
      <w:tr w:rsidR="00E713B0" w:rsidRPr="0009445C" w14:paraId="6C26FD6E" w14:textId="77777777" w:rsidTr="00E713B0">
        <w:trPr>
          <w:trHeight w:val="584"/>
        </w:trPr>
        <w:tc>
          <w:tcPr>
            <w:tcW w:w="433" w:type="dxa"/>
            <w:vMerge w:val="restart"/>
            <w:shd w:val="clear" w:color="auto" w:fill="FFFFFF"/>
          </w:tcPr>
          <w:p w14:paraId="510ED490" w14:textId="77777777" w:rsidR="00E713B0" w:rsidRPr="0009445C" w:rsidRDefault="00E713B0" w:rsidP="00E713B0">
            <w:pPr>
              <w:pStyle w:val="BRL-Tabelle"/>
              <w:pageBreakBefore/>
              <w:widowControl w:val="0"/>
              <w:spacing w:before="60" w:after="40"/>
              <w:jc w:val="center"/>
              <w:rPr>
                <w:rFonts w:eastAsia="Calibri"/>
                <w:b/>
              </w:rPr>
            </w:pPr>
            <w:r w:rsidRPr="0009445C">
              <w:rPr>
                <w:b/>
              </w:rPr>
              <w:lastRenderedPageBreak/>
              <w:t>8</w:t>
            </w:r>
          </w:p>
          <w:p w14:paraId="40FD7FF0" w14:textId="77777777" w:rsidR="00E713B0" w:rsidRPr="0009445C" w:rsidRDefault="00E713B0" w:rsidP="00E713B0">
            <w:pPr>
              <w:pStyle w:val="BRL-Tabelle"/>
              <w:widowControl w:val="0"/>
              <w:spacing w:before="60" w:after="40"/>
              <w:rPr>
                <w:rFonts w:eastAsia="Calibri"/>
                <w:b/>
              </w:rPr>
            </w:pPr>
          </w:p>
        </w:tc>
        <w:tc>
          <w:tcPr>
            <w:tcW w:w="2971" w:type="dxa"/>
            <w:vMerge w:val="restart"/>
            <w:shd w:val="clear" w:color="auto" w:fill="FFFFFF"/>
          </w:tcPr>
          <w:p w14:paraId="5821FC0B" w14:textId="77777777" w:rsidR="00E713B0" w:rsidRPr="0009445C" w:rsidRDefault="00E713B0" w:rsidP="00E713B0">
            <w:pPr>
              <w:pStyle w:val="BRL-Tabelle"/>
              <w:widowControl w:val="0"/>
              <w:spacing w:before="60" w:after="40"/>
              <w:ind w:left="113"/>
              <w:rPr>
                <w:rFonts w:eastAsia="Calibri"/>
              </w:rPr>
            </w:pPr>
            <w:r w:rsidRPr="0009445C">
              <w:t>Wall instead of a firewall (highly fire-retardant and made of non-combustible* building materials and stable even under additional mechanical stress</w:t>
            </w:r>
          </w:p>
        </w:tc>
        <w:tc>
          <w:tcPr>
            <w:tcW w:w="2974" w:type="dxa"/>
            <w:shd w:val="clear" w:color="auto" w:fill="auto"/>
            <w:vAlign w:val="center"/>
          </w:tcPr>
          <w:p w14:paraId="2ACF1461" w14:textId="77777777" w:rsidR="00E713B0" w:rsidRPr="0009445C" w:rsidDel="00AF3707" w:rsidRDefault="00E713B0" w:rsidP="00E713B0">
            <w:pPr>
              <w:pStyle w:val="BRL-Tabelle"/>
              <w:widowControl w:val="0"/>
              <w:spacing w:before="60" w:after="40"/>
              <w:ind w:left="113"/>
              <w:rPr>
                <w:rFonts w:eastAsia="Calibri"/>
              </w:rPr>
            </w:pPr>
            <w:r w:rsidRPr="0009445C">
              <w:t>REI 60 and Criterion M</w:t>
            </w:r>
          </w:p>
        </w:tc>
        <w:tc>
          <w:tcPr>
            <w:tcW w:w="2694" w:type="dxa"/>
            <w:shd w:val="clear" w:color="auto" w:fill="auto"/>
            <w:vAlign w:val="center"/>
          </w:tcPr>
          <w:p w14:paraId="654D93AB" w14:textId="77777777" w:rsidR="00E713B0" w:rsidRPr="0009445C" w:rsidDel="00AF3707" w:rsidRDefault="00E713B0" w:rsidP="00E713B0">
            <w:pPr>
              <w:pStyle w:val="BRL-Tabelle"/>
              <w:widowControl w:val="0"/>
              <w:spacing w:before="60" w:after="40"/>
              <w:ind w:left="113"/>
              <w:rPr>
                <w:rFonts w:eastAsia="Calibri"/>
              </w:rPr>
            </w:pPr>
            <w:r w:rsidRPr="0009445C">
              <w:t>DIN 4102-4:2016-05</w:t>
            </w:r>
          </w:p>
        </w:tc>
      </w:tr>
      <w:tr w:rsidR="00E713B0" w:rsidRPr="0009445C" w14:paraId="6626D199" w14:textId="77777777" w:rsidTr="00E713B0">
        <w:trPr>
          <w:trHeight w:val="584"/>
        </w:trPr>
        <w:tc>
          <w:tcPr>
            <w:tcW w:w="433" w:type="dxa"/>
            <w:vMerge/>
            <w:shd w:val="clear" w:color="auto" w:fill="FFFFFF"/>
          </w:tcPr>
          <w:p w14:paraId="2ED55DE6" w14:textId="77777777" w:rsidR="00E713B0" w:rsidRPr="0009445C" w:rsidRDefault="00E713B0" w:rsidP="00E713B0">
            <w:pPr>
              <w:pStyle w:val="BRL-Tabelle"/>
              <w:widowControl w:val="0"/>
              <w:spacing w:before="60" w:after="40"/>
              <w:jc w:val="center"/>
              <w:rPr>
                <w:rFonts w:eastAsia="Calibri"/>
                <w:b/>
                <w:lang w:val="en-US"/>
              </w:rPr>
            </w:pPr>
          </w:p>
        </w:tc>
        <w:tc>
          <w:tcPr>
            <w:tcW w:w="2971" w:type="dxa"/>
            <w:vMerge/>
            <w:shd w:val="clear" w:color="auto" w:fill="FFFFFF"/>
          </w:tcPr>
          <w:p w14:paraId="4A7FFAA0" w14:textId="77777777" w:rsidR="00E713B0" w:rsidRPr="0009445C" w:rsidRDefault="00E713B0" w:rsidP="00E713B0">
            <w:pPr>
              <w:pStyle w:val="BRL-Tabelle"/>
              <w:widowControl w:val="0"/>
              <w:spacing w:before="60" w:after="40"/>
              <w:ind w:left="113"/>
              <w:rPr>
                <w:rFonts w:eastAsia="Calibri"/>
                <w:lang w:val="en-US"/>
              </w:rPr>
            </w:pPr>
          </w:p>
        </w:tc>
        <w:tc>
          <w:tcPr>
            <w:tcW w:w="2974" w:type="dxa"/>
            <w:shd w:val="clear" w:color="auto" w:fill="auto"/>
            <w:vAlign w:val="center"/>
          </w:tcPr>
          <w:p w14:paraId="2ABE9D33" w14:textId="77777777" w:rsidR="00E713B0" w:rsidRPr="0009445C" w:rsidDel="00AF3707" w:rsidRDefault="00E713B0" w:rsidP="00E713B0">
            <w:pPr>
              <w:pStyle w:val="BRL-Tabelle"/>
              <w:widowControl w:val="0"/>
              <w:spacing w:before="60" w:after="40"/>
              <w:ind w:left="113"/>
              <w:rPr>
                <w:rFonts w:eastAsia="Calibri"/>
              </w:rPr>
            </w:pPr>
            <w:r w:rsidRPr="0009445C">
              <w:t>REI-M 60</w:t>
            </w:r>
          </w:p>
        </w:tc>
        <w:tc>
          <w:tcPr>
            <w:tcW w:w="2694" w:type="dxa"/>
            <w:shd w:val="clear" w:color="auto" w:fill="auto"/>
            <w:vAlign w:val="center"/>
          </w:tcPr>
          <w:p w14:paraId="6DA17588" w14:textId="77777777" w:rsidR="00E713B0" w:rsidRPr="0009445C" w:rsidDel="00AF3707" w:rsidRDefault="00E713B0" w:rsidP="00E713B0">
            <w:pPr>
              <w:pStyle w:val="BRL-Tabelle"/>
              <w:widowControl w:val="0"/>
              <w:spacing w:before="60" w:after="40"/>
              <w:ind w:left="113"/>
              <w:rPr>
                <w:rFonts w:eastAsia="Calibri"/>
              </w:rPr>
            </w:pPr>
            <w:r w:rsidRPr="0009445C">
              <w:t>DIN 4102-4:2016-05</w:t>
            </w:r>
          </w:p>
        </w:tc>
      </w:tr>
      <w:tr w:rsidR="00E713B0" w:rsidRPr="0009445C" w14:paraId="49ADCF72" w14:textId="77777777" w:rsidTr="00E713B0">
        <w:tc>
          <w:tcPr>
            <w:tcW w:w="433" w:type="dxa"/>
            <w:shd w:val="clear" w:color="auto" w:fill="FFFFFF"/>
          </w:tcPr>
          <w:p w14:paraId="7A43C9B3" w14:textId="77777777" w:rsidR="00E713B0" w:rsidRPr="0009445C" w:rsidRDefault="00E713B0" w:rsidP="00E713B0">
            <w:pPr>
              <w:pStyle w:val="BRL-Tabelle"/>
              <w:widowControl w:val="0"/>
              <w:spacing w:before="60" w:after="40"/>
              <w:jc w:val="center"/>
              <w:rPr>
                <w:rFonts w:eastAsia="Calibri"/>
                <w:b/>
              </w:rPr>
            </w:pPr>
            <w:r w:rsidRPr="0009445C">
              <w:rPr>
                <w:b/>
              </w:rPr>
              <w:t>9</w:t>
            </w:r>
          </w:p>
        </w:tc>
        <w:tc>
          <w:tcPr>
            <w:tcW w:w="2971" w:type="dxa"/>
            <w:shd w:val="clear" w:color="auto" w:fill="FFFFFF"/>
          </w:tcPr>
          <w:p w14:paraId="159DC02E" w14:textId="77777777" w:rsidR="00E713B0" w:rsidRPr="0009445C" w:rsidRDefault="00E713B0" w:rsidP="00E713B0">
            <w:pPr>
              <w:pStyle w:val="BRL-Tabelle"/>
              <w:widowControl w:val="0"/>
              <w:spacing w:before="60" w:after="40"/>
              <w:ind w:left="113"/>
              <w:rPr>
                <w:rFonts w:eastAsia="Calibri"/>
              </w:rPr>
            </w:pPr>
            <w:r w:rsidRPr="0009445C">
              <w:t>Fire resistance of 120 minutes and made of non-combustible* materials</w:t>
            </w:r>
          </w:p>
        </w:tc>
        <w:tc>
          <w:tcPr>
            <w:tcW w:w="2974" w:type="dxa"/>
            <w:shd w:val="clear" w:color="auto" w:fill="auto"/>
          </w:tcPr>
          <w:p w14:paraId="5FE26AC4" w14:textId="77777777" w:rsidR="00E713B0" w:rsidRPr="0009445C" w:rsidRDefault="00E713B0" w:rsidP="00E713B0">
            <w:pPr>
              <w:pStyle w:val="BRL-Tabelle"/>
              <w:widowControl w:val="0"/>
              <w:spacing w:before="60" w:after="40"/>
              <w:ind w:left="113"/>
              <w:rPr>
                <w:rFonts w:eastAsia="Calibri"/>
              </w:rPr>
            </w:pPr>
            <w:r w:rsidRPr="0009445C">
              <w:t>REI 120</w:t>
            </w:r>
          </w:p>
        </w:tc>
        <w:tc>
          <w:tcPr>
            <w:tcW w:w="2694" w:type="dxa"/>
            <w:shd w:val="clear" w:color="auto" w:fill="auto"/>
          </w:tcPr>
          <w:p w14:paraId="0C26DB0A" w14:textId="77777777" w:rsidR="00E713B0" w:rsidRPr="0009445C" w:rsidRDefault="00E713B0" w:rsidP="00E713B0">
            <w:pPr>
              <w:pStyle w:val="BRL-Tabelle"/>
              <w:widowControl w:val="0"/>
              <w:spacing w:before="60" w:after="40"/>
              <w:ind w:left="113"/>
              <w:rPr>
                <w:rFonts w:eastAsia="Calibri"/>
              </w:rPr>
            </w:pPr>
            <w:r w:rsidRPr="0009445C">
              <w:t>DIN 4102-4:2016-05</w:t>
            </w:r>
          </w:p>
        </w:tc>
      </w:tr>
      <w:tr w:rsidR="00E713B0" w:rsidRPr="0009445C" w14:paraId="0FE7BE47" w14:textId="77777777" w:rsidTr="00E713B0">
        <w:trPr>
          <w:trHeight w:val="356"/>
        </w:trPr>
        <w:tc>
          <w:tcPr>
            <w:tcW w:w="433" w:type="dxa"/>
            <w:vMerge w:val="restart"/>
            <w:shd w:val="clear" w:color="auto" w:fill="FFFFFF"/>
          </w:tcPr>
          <w:p w14:paraId="2BFC26D3" w14:textId="77777777" w:rsidR="00E713B0" w:rsidRPr="0009445C" w:rsidRDefault="00E713B0" w:rsidP="00E713B0">
            <w:pPr>
              <w:pStyle w:val="BRL-Tabelle"/>
              <w:widowControl w:val="0"/>
              <w:spacing w:before="60" w:after="40"/>
              <w:jc w:val="center"/>
              <w:rPr>
                <w:rFonts w:eastAsia="Calibri"/>
                <w:b/>
              </w:rPr>
            </w:pPr>
            <w:r w:rsidRPr="0009445C">
              <w:rPr>
                <w:b/>
              </w:rPr>
              <w:t>10</w:t>
            </w:r>
          </w:p>
        </w:tc>
        <w:tc>
          <w:tcPr>
            <w:tcW w:w="2971" w:type="dxa"/>
            <w:vMerge w:val="restart"/>
            <w:shd w:val="clear" w:color="auto" w:fill="FFFFFF"/>
          </w:tcPr>
          <w:p w14:paraId="036A4166" w14:textId="77777777" w:rsidR="00E713B0" w:rsidRPr="0009445C" w:rsidRDefault="00E713B0" w:rsidP="00E713B0">
            <w:pPr>
              <w:pStyle w:val="BRL-Tabelle"/>
              <w:widowControl w:val="0"/>
              <w:spacing w:before="60" w:after="40"/>
              <w:ind w:left="113"/>
              <w:rPr>
                <w:rFonts w:eastAsia="Calibri"/>
              </w:rPr>
            </w:pPr>
            <w:r w:rsidRPr="0009445C">
              <w:t>Fire resistance of 120 min and made of non-combustible* building materials, stable even under additional mechanical stress</w:t>
            </w:r>
          </w:p>
        </w:tc>
        <w:tc>
          <w:tcPr>
            <w:tcW w:w="2974" w:type="dxa"/>
            <w:shd w:val="clear" w:color="auto" w:fill="auto"/>
          </w:tcPr>
          <w:p w14:paraId="1E5BAA3E" w14:textId="77777777" w:rsidR="00E713B0" w:rsidRPr="0009445C" w:rsidRDefault="00E713B0" w:rsidP="00E713B0">
            <w:pPr>
              <w:pStyle w:val="BRL-Tabelle"/>
              <w:widowControl w:val="0"/>
              <w:spacing w:before="60" w:after="40"/>
              <w:ind w:left="113"/>
              <w:rPr>
                <w:rFonts w:eastAsia="Calibri"/>
              </w:rPr>
            </w:pPr>
            <w:r w:rsidRPr="0009445C">
              <w:t>REI 120 and Criterion M</w:t>
            </w:r>
          </w:p>
        </w:tc>
        <w:tc>
          <w:tcPr>
            <w:tcW w:w="2694" w:type="dxa"/>
            <w:shd w:val="clear" w:color="auto" w:fill="auto"/>
          </w:tcPr>
          <w:p w14:paraId="3D9ECB3D" w14:textId="77777777" w:rsidR="00E713B0" w:rsidRPr="0009445C" w:rsidRDefault="00E713B0" w:rsidP="00E713B0">
            <w:pPr>
              <w:pStyle w:val="BRL-Tabelle"/>
              <w:widowControl w:val="0"/>
              <w:spacing w:before="60" w:after="40"/>
              <w:ind w:left="113"/>
              <w:rPr>
                <w:rFonts w:eastAsia="Calibri"/>
              </w:rPr>
            </w:pPr>
            <w:r w:rsidRPr="0009445C">
              <w:t>DIN 4102-4:2016-05</w:t>
            </w:r>
          </w:p>
        </w:tc>
      </w:tr>
      <w:tr w:rsidR="00E713B0" w:rsidRPr="0009445C" w14:paraId="0A7C5F6B" w14:textId="77777777" w:rsidTr="00E713B0">
        <w:trPr>
          <w:trHeight w:val="355"/>
        </w:trPr>
        <w:tc>
          <w:tcPr>
            <w:tcW w:w="433" w:type="dxa"/>
            <w:vMerge/>
            <w:shd w:val="clear" w:color="auto" w:fill="FFFFFF"/>
          </w:tcPr>
          <w:p w14:paraId="487B5879" w14:textId="77777777" w:rsidR="00E713B0" w:rsidRPr="0009445C" w:rsidRDefault="00E713B0" w:rsidP="00E713B0">
            <w:pPr>
              <w:pStyle w:val="BRL-Tabelle"/>
              <w:widowControl w:val="0"/>
              <w:spacing w:before="60" w:after="40"/>
              <w:jc w:val="center"/>
              <w:rPr>
                <w:rFonts w:eastAsia="Calibri"/>
                <w:b/>
              </w:rPr>
            </w:pPr>
          </w:p>
        </w:tc>
        <w:tc>
          <w:tcPr>
            <w:tcW w:w="2971" w:type="dxa"/>
            <w:vMerge/>
            <w:shd w:val="clear" w:color="auto" w:fill="FFFFFF"/>
          </w:tcPr>
          <w:p w14:paraId="3EFDFA04" w14:textId="77777777" w:rsidR="00E713B0" w:rsidRPr="0009445C" w:rsidRDefault="00E713B0" w:rsidP="00E713B0">
            <w:pPr>
              <w:pStyle w:val="BRL-Tabelle"/>
              <w:widowControl w:val="0"/>
              <w:spacing w:before="60" w:after="40"/>
              <w:ind w:left="113"/>
              <w:rPr>
                <w:rFonts w:eastAsia="Calibri"/>
              </w:rPr>
            </w:pPr>
          </w:p>
        </w:tc>
        <w:tc>
          <w:tcPr>
            <w:tcW w:w="2974" w:type="dxa"/>
            <w:shd w:val="clear" w:color="auto" w:fill="auto"/>
          </w:tcPr>
          <w:p w14:paraId="306D400C" w14:textId="77777777" w:rsidR="00E713B0" w:rsidRPr="0009445C" w:rsidRDefault="00E713B0" w:rsidP="00E713B0">
            <w:pPr>
              <w:pStyle w:val="BRL-Tabelle"/>
              <w:widowControl w:val="0"/>
              <w:spacing w:before="60" w:after="40"/>
              <w:ind w:left="113"/>
              <w:rPr>
                <w:rFonts w:eastAsia="Calibri"/>
              </w:rPr>
            </w:pPr>
            <w:r w:rsidRPr="0009445C">
              <w:t>REI-M 120</w:t>
            </w:r>
          </w:p>
        </w:tc>
        <w:tc>
          <w:tcPr>
            <w:tcW w:w="2694" w:type="dxa"/>
            <w:shd w:val="clear" w:color="auto" w:fill="auto"/>
          </w:tcPr>
          <w:p w14:paraId="6A3EE8F8" w14:textId="77777777" w:rsidR="00E713B0" w:rsidRPr="0009445C" w:rsidRDefault="00E713B0" w:rsidP="00E713B0">
            <w:pPr>
              <w:pStyle w:val="BRL-Tabelle"/>
              <w:widowControl w:val="0"/>
              <w:spacing w:before="60" w:after="40"/>
              <w:ind w:left="113"/>
              <w:rPr>
                <w:rFonts w:eastAsia="Calibri"/>
              </w:rPr>
            </w:pPr>
            <w:r w:rsidRPr="0009445C">
              <w:t>DIN 4102-4:2016-05</w:t>
            </w:r>
          </w:p>
        </w:tc>
      </w:tr>
      <w:tr w:rsidR="00E713B0" w:rsidRPr="0009445C" w14:paraId="17E6CABF" w14:textId="77777777" w:rsidTr="00E713B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33" w:type="dxa"/>
            <w:shd w:val="clear" w:color="auto" w:fill="FFFFFF"/>
          </w:tcPr>
          <w:p w14:paraId="60653FDF" w14:textId="77777777" w:rsidR="00E713B0" w:rsidRPr="0009445C" w:rsidRDefault="00E713B0" w:rsidP="00E713B0">
            <w:pPr>
              <w:pStyle w:val="BRL-Funote"/>
              <w:spacing w:before="120"/>
              <w:ind w:left="0"/>
              <w:jc w:val="center"/>
              <w:rPr>
                <w:b/>
              </w:rPr>
            </w:pPr>
          </w:p>
        </w:tc>
        <w:tc>
          <w:tcPr>
            <w:tcW w:w="8639" w:type="dxa"/>
            <w:gridSpan w:val="3"/>
            <w:shd w:val="clear" w:color="auto" w:fill="FFFFFF"/>
          </w:tcPr>
          <w:p w14:paraId="27502A1A" w14:textId="77777777" w:rsidR="00E713B0" w:rsidRPr="0009445C" w:rsidRDefault="00E713B0" w:rsidP="00E713B0">
            <w:pPr>
              <w:pStyle w:val="BRL-Funote"/>
              <w:spacing w:before="120"/>
              <w:ind w:left="113"/>
            </w:pPr>
            <w:r w:rsidRPr="0009445C">
              <w:t>*</w:t>
            </w:r>
            <w:r w:rsidRPr="0009445C">
              <w:tab/>
              <w:t>A</w:t>
            </w:r>
            <w:r w:rsidRPr="0009445C">
              <w:tab/>
              <w:t>Table contains only building supervisory requirements for structural elements, which are also represented by the Eurocodes.</w:t>
            </w:r>
          </w:p>
          <w:p w14:paraId="496BE3FD" w14:textId="77777777" w:rsidR="00E713B0" w:rsidRPr="0009445C" w:rsidRDefault="00E713B0" w:rsidP="00E713B0">
            <w:pPr>
              <w:pStyle w:val="BRL-Funote"/>
              <w:ind w:left="113"/>
              <w:rPr>
                <w:b/>
              </w:rPr>
            </w:pPr>
            <w:r w:rsidRPr="0009445C">
              <w:t>*</w:t>
            </w:r>
            <w:r w:rsidRPr="0009445C">
              <w:tab/>
              <w:t>*</w:t>
            </w:r>
            <w:r w:rsidRPr="0009445C">
              <w:tab/>
              <w:t>Regarding the requirements, Table 1.1. applies.</w:t>
            </w:r>
          </w:p>
          <w:p w14:paraId="4B1631C2" w14:textId="3F5A4D52" w:rsidR="00E713B0" w:rsidRPr="0009445C" w:rsidRDefault="00E713B0" w:rsidP="00E713B0">
            <w:pPr>
              <w:pStyle w:val="BRL-Funote"/>
              <w:ind w:left="113"/>
              <w:rPr>
                <w:b/>
              </w:rPr>
            </w:pPr>
            <w:r w:rsidRPr="0009445C">
              <w:t>**</w:t>
            </w:r>
            <w:r w:rsidRPr="0009445C">
              <w:tab/>
              <w:t>**</w:t>
            </w:r>
            <w:r w:rsidRPr="0009445C">
              <w:tab/>
              <w:t>The Eurocode class does not account for the fire characteristics of building materials. Table 1.1 or 1.2 applies.</w:t>
            </w:r>
          </w:p>
          <w:p w14:paraId="2D7FB8F1" w14:textId="77777777" w:rsidR="00E713B0" w:rsidRPr="0009445C" w:rsidRDefault="00E713B0" w:rsidP="00E713B0">
            <w:pPr>
              <w:pStyle w:val="BRL-Funote"/>
              <w:spacing w:after="120"/>
              <w:ind w:left="113"/>
              <w:rPr>
                <w:b/>
              </w:rPr>
            </w:pPr>
            <w:r w:rsidRPr="0009445C">
              <w:t>***</w:t>
            </w:r>
            <w:r w:rsidRPr="0009445C">
              <w:tab/>
              <w:t>***</w:t>
            </w:r>
            <w:r w:rsidRPr="0009445C">
              <w:tab/>
              <w:t>Regarding the requirements, Table 1.1 or Table 1.2 applies.</w:t>
            </w:r>
          </w:p>
        </w:tc>
      </w:tr>
    </w:tbl>
    <w:p w14:paraId="0BFCC906" w14:textId="77777777" w:rsidR="00E713B0" w:rsidRPr="0009445C" w:rsidRDefault="00E713B0" w:rsidP="00E713B0">
      <w:pPr>
        <w:pStyle w:val="BRL-Standard"/>
      </w:pPr>
      <w:r w:rsidRPr="0009445C">
        <w:tab/>
      </w:r>
    </w:p>
    <w:p w14:paraId="7BB8912A" w14:textId="07D0F9D7" w:rsidR="00E713B0" w:rsidRPr="0009445C" w:rsidRDefault="00E713B0" w:rsidP="00E713B0">
      <w:pPr>
        <w:pStyle w:val="BRL-Standard"/>
      </w:pPr>
      <w:r w:rsidRPr="0009445C">
        <w:t xml:space="preserve">The requirement of Table 4.2.2, column 1, is only met if subsequent structural elements have at least the same fire resistance, unless Part A 2.1.3.3.1 allows a different connection for subsequent structural elements. The transitions to such structural elements must not affect the space barrier pursuant to ser. No A 2.1.3.3. </w:t>
      </w:r>
    </w:p>
    <w:p w14:paraId="72A5FBFB" w14:textId="77777777" w:rsidR="00E713B0" w:rsidRPr="0009445C" w:rsidRDefault="00E713B0" w:rsidP="00E713B0">
      <w:pPr>
        <w:pStyle w:val="BRL-Standard"/>
      </w:pPr>
    </w:p>
    <w:p w14:paraId="64C0B29C" w14:textId="77777777" w:rsidR="00E713B0" w:rsidRPr="0009445C" w:rsidRDefault="00E713B0" w:rsidP="00600F53">
      <w:pPr>
        <w:pStyle w:val="BRL-berschrift"/>
      </w:pPr>
      <w:r w:rsidRPr="0009445C">
        <w:t>4.2.3</w:t>
      </w:r>
      <w:r w:rsidRPr="0009445C">
        <w:tab/>
        <w:t>Load-bearing space-enclosing ceilings</w:t>
      </w:r>
    </w:p>
    <w:p w14:paraId="4F90F033" w14:textId="3F8450DC" w:rsidR="00E713B0" w:rsidRPr="0009445C" w:rsidRDefault="00E713B0" w:rsidP="00E713B0">
      <w:pPr>
        <w:pStyle w:val="BRLTabelleberschrift"/>
        <w:spacing w:before="0" w:after="120"/>
      </w:pPr>
      <w:r w:rsidRPr="0009445C">
        <w:t>Table 4.2.3</w:t>
      </w:r>
      <w:r w:rsidRPr="0009445C">
        <w:rPr>
          <w:vertAlign w:val="superscript"/>
        </w:rPr>
        <w:t>A</w:t>
      </w:r>
      <w:r w:rsidRPr="0009445C">
        <w:t>:</w:t>
      </w:r>
      <w:r w:rsidRPr="0009445C">
        <w:tab/>
        <w:t>Building approval requirements for load-bearing space-closing ceilings and classification of classes (table values) according to Eurocode and additional application rules</w:t>
      </w:r>
    </w:p>
    <w:tbl>
      <w:tblPr>
        <w:tblW w:w="9072"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505"/>
        <w:gridCol w:w="2932"/>
        <w:gridCol w:w="2927"/>
        <w:gridCol w:w="2708"/>
      </w:tblGrid>
      <w:tr w:rsidR="00E713B0" w:rsidRPr="0009445C" w14:paraId="20AA7BB0" w14:textId="77777777" w:rsidTr="00E713B0">
        <w:trPr>
          <w:tblHeader/>
        </w:trPr>
        <w:tc>
          <w:tcPr>
            <w:tcW w:w="505"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065BB317" w14:textId="77777777" w:rsidR="00E713B0" w:rsidRPr="0009445C" w:rsidRDefault="00E713B0" w:rsidP="00E713B0">
            <w:pPr>
              <w:pStyle w:val="BRL-TabelleAnlageberschriftFett"/>
              <w:ind w:left="0" w:right="0"/>
              <w:jc w:val="center"/>
            </w:pPr>
          </w:p>
        </w:tc>
        <w:tc>
          <w:tcPr>
            <w:tcW w:w="2932"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06F235AD" w14:textId="77777777" w:rsidR="00E713B0" w:rsidRPr="0009445C" w:rsidRDefault="00E713B0" w:rsidP="00E713B0">
            <w:pPr>
              <w:pStyle w:val="BRL-TabelleAnlageberschriftFett"/>
            </w:pPr>
            <w:r w:rsidRPr="0009445C">
              <w:t>Building approval requirement</w:t>
            </w:r>
          </w:p>
        </w:tc>
        <w:tc>
          <w:tcPr>
            <w:tcW w:w="2927"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1501E9CB" w14:textId="77777777" w:rsidR="00E713B0" w:rsidRPr="0009445C" w:rsidRDefault="00E713B0" w:rsidP="00E713B0">
            <w:pPr>
              <w:pStyle w:val="BRL-TabelleAnlageberschriftFett"/>
            </w:pPr>
            <w:r w:rsidRPr="0009445C">
              <w:t>Classes according to Eurocode** DIN EN 1992</w:t>
            </w:r>
            <w:r w:rsidRPr="0009445C">
              <w:noBreakHyphen/>
              <w:t xml:space="preserve"> 1</w:t>
            </w:r>
            <w:r w:rsidRPr="0009445C">
              <w:noBreakHyphen/>
              <w:t xml:space="preserve"> 2:2010</w:t>
            </w:r>
            <w:r w:rsidRPr="0009445C">
              <w:noBreakHyphen/>
              <w:t xml:space="preserve"> 12, Section 5 or DIN EN 1994-1-2:2010-12, Section 4.3</w:t>
            </w:r>
          </w:p>
        </w:tc>
        <w:tc>
          <w:tcPr>
            <w:tcW w:w="270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0572D037" w14:textId="77777777" w:rsidR="00E713B0" w:rsidRPr="0009445C" w:rsidRDefault="00E713B0" w:rsidP="00E713B0">
            <w:pPr>
              <w:pStyle w:val="BRL-TabelleAnlageberschriftFett"/>
            </w:pPr>
            <w:r w:rsidRPr="0009445C">
              <w:t>Application rule to be observed in addition to the Eurocode for designs using certain building materials***</w:t>
            </w:r>
          </w:p>
        </w:tc>
      </w:tr>
      <w:tr w:rsidR="00E713B0" w:rsidRPr="0009445C" w14:paraId="3E0B9A87" w14:textId="77777777" w:rsidTr="00E713B0">
        <w:trPr>
          <w:tblHeader/>
        </w:trPr>
        <w:tc>
          <w:tcPr>
            <w:tcW w:w="505"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4757E122" w14:textId="77777777" w:rsidR="00E713B0" w:rsidRPr="0009445C" w:rsidRDefault="00E713B0" w:rsidP="00E713B0">
            <w:pPr>
              <w:pStyle w:val="BRL-TabelleAnlageberschriftFett"/>
              <w:ind w:left="0" w:right="0"/>
              <w:jc w:val="center"/>
            </w:pPr>
          </w:p>
        </w:tc>
        <w:tc>
          <w:tcPr>
            <w:tcW w:w="2932"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1164B929" w14:textId="77777777" w:rsidR="00E713B0" w:rsidRPr="0009445C" w:rsidRDefault="00E713B0" w:rsidP="00E713B0">
            <w:pPr>
              <w:pStyle w:val="BRL-TabelleAnlageberschriftFett"/>
              <w:jc w:val="center"/>
            </w:pPr>
            <w:r w:rsidRPr="0009445C">
              <w:t>1</w:t>
            </w:r>
          </w:p>
        </w:tc>
        <w:tc>
          <w:tcPr>
            <w:tcW w:w="2927"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60200B45" w14:textId="77777777" w:rsidR="00E713B0" w:rsidRPr="0009445C" w:rsidRDefault="00E713B0" w:rsidP="00E713B0">
            <w:pPr>
              <w:pStyle w:val="BRL-TabelleAnlageberschriftFett"/>
              <w:jc w:val="center"/>
            </w:pPr>
            <w:r w:rsidRPr="0009445C">
              <w:t>2</w:t>
            </w:r>
          </w:p>
        </w:tc>
        <w:tc>
          <w:tcPr>
            <w:tcW w:w="270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485D4ACE" w14:textId="77777777" w:rsidR="00E713B0" w:rsidRPr="0009445C" w:rsidRDefault="00E713B0" w:rsidP="00E713B0">
            <w:pPr>
              <w:pStyle w:val="BRL-TabelleAnlageberschriftFett"/>
              <w:jc w:val="center"/>
            </w:pPr>
            <w:r w:rsidRPr="0009445C">
              <w:t>3</w:t>
            </w:r>
          </w:p>
        </w:tc>
      </w:tr>
      <w:tr w:rsidR="00E713B0" w:rsidRPr="0009445C" w14:paraId="517AAD5A" w14:textId="77777777" w:rsidTr="00E713B0">
        <w:tc>
          <w:tcPr>
            <w:tcW w:w="505" w:type="dxa"/>
            <w:tcBorders>
              <w:top w:val="single" w:sz="4" w:space="0" w:color="auto"/>
              <w:bottom w:val="nil"/>
            </w:tcBorders>
            <w:shd w:val="clear" w:color="auto" w:fill="FFFFFF"/>
          </w:tcPr>
          <w:p w14:paraId="5E33F0C7" w14:textId="77777777" w:rsidR="00E713B0" w:rsidRPr="0009445C" w:rsidRDefault="00E713B0" w:rsidP="00E713B0">
            <w:pPr>
              <w:pStyle w:val="BRL-Tabelle"/>
              <w:spacing w:before="60" w:afterLines="40" w:after="96"/>
              <w:jc w:val="center"/>
              <w:rPr>
                <w:b/>
              </w:rPr>
            </w:pPr>
            <w:r w:rsidRPr="0009445C">
              <w:rPr>
                <w:b/>
              </w:rPr>
              <w:t>1</w:t>
            </w:r>
          </w:p>
        </w:tc>
        <w:tc>
          <w:tcPr>
            <w:tcW w:w="2932" w:type="dxa"/>
            <w:tcBorders>
              <w:top w:val="single" w:sz="4" w:space="0" w:color="auto"/>
              <w:bottom w:val="nil"/>
            </w:tcBorders>
            <w:shd w:val="clear" w:color="auto" w:fill="FFFFFF"/>
          </w:tcPr>
          <w:p w14:paraId="09A8E3EE" w14:textId="77777777" w:rsidR="00E713B0" w:rsidRPr="0009445C" w:rsidRDefault="00E713B0" w:rsidP="00E713B0">
            <w:pPr>
              <w:pStyle w:val="BRL-Tabelle"/>
              <w:spacing w:before="60" w:afterLines="40" w:after="96"/>
              <w:ind w:left="113" w:right="113"/>
            </w:pPr>
            <w:r w:rsidRPr="0009445C">
              <w:t>Fire-retardant</w:t>
            </w:r>
          </w:p>
        </w:tc>
        <w:tc>
          <w:tcPr>
            <w:tcW w:w="2927" w:type="dxa"/>
            <w:tcBorders>
              <w:top w:val="single" w:sz="4" w:space="0" w:color="auto"/>
            </w:tcBorders>
            <w:shd w:val="clear" w:color="auto" w:fill="auto"/>
          </w:tcPr>
          <w:p w14:paraId="2F3CC893" w14:textId="77777777" w:rsidR="00E713B0" w:rsidRPr="0009445C" w:rsidRDefault="00E713B0" w:rsidP="00E713B0">
            <w:pPr>
              <w:pStyle w:val="BRL-Tabelle"/>
              <w:spacing w:before="60" w:afterLines="40" w:after="96"/>
              <w:ind w:left="113" w:right="113"/>
            </w:pPr>
            <w:r w:rsidRPr="0009445C">
              <w:t>REI 30</w:t>
            </w:r>
          </w:p>
        </w:tc>
        <w:tc>
          <w:tcPr>
            <w:tcW w:w="2708" w:type="dxa"/>
            <w:tcBorders>
              <w:top w:val="single" w:sz="4" w:space="0" w:color="auto"/>
            </w:tcBorders>
            <w:shd w:val="clear" w:color="auto" w:fill="auto"/>
          </w:tcPr>
          <w:p w14:paraId="49E78233" w14:textId="77777777" w:rsidR="00E713B0" w:rsidRPr="0009445C" w:rsidRDefault="00E713B0" w:rsidP="00E713B0">
            <w:pPr>
              <w:pStyle w:val="BRL-Tabelle"/>
              <w:spacing w:before="60" w:afterLines="40" w:after="96"/>
              <w:ind w:left="113" w:right="113"/>
            </w:pPr>
            <w:r w:rsidRPr="0009445C">
              <w:t>DIN 4102</w:t>
            </w:r>
            <w:r w:rsidRPr="0009445C">
              <w:noBreakHyphen/>
              <w:t>4:2016</w:t>
            </w:r>
            <w:r w:rsidRPr="0009445C">
              <w:noBreakHyphen/>
              <w:t xml:space="preserve">05 </w:t>
            </w:r>
          </w:p>
        </w:tc>
      </w:tr>
      <w:tr w:rsidR="00E713B0" w:rsidRPr="0009445C" w14:paraId="068C20A8" w14:textId="77777777" w:rsidTr="00E713B0">
        <w:tc>
          <w:tcPr>
            <w:tcW w:w="505" w:type="dxa"/>
            <w:tcBorders>
              <w:bottom w:val="nil"/>
            </w:tcBorders>
            <w:shd w:val="clear" w:color="auto" w:fill="FFFFFF"/>
          </w:tcPr>
          <w:p w14:paraId="6A5932D4" w14:textId="77777777" w:rsidR="00E713B0" w:rsidRPr="0009445C" w:rsidRDefault="00E713B0" w:rsidP="00E713B0">
            <w:pPr>
              <w:pStyle w:val="BRL-Tabelle"/>
              <w:spacing w:before="60" w:afterLines="40" w:after="96"/>
              <w:jc w:val="center"/>
              <w:rPr>
                <w:b/>
              </w:rPr>
            </w:pPr>
            <w:r w:rsidRPr="0009445C">
              <w:rPr>
                <w:b/>
              </w:rPr>
              <w:t>2</w:t>
            </w:r>
          </w:p>
        </w:tc>
        <w:tc>
          <w:tcPr>
            <w:tcW w:w="2932" w:type="dxa"/>
            <w:tcBorders>
              <w:bottom w:val="nil"/>
            </w:tcBorders>
            <w:shd w:val="clear" w:color="auto" w:fill="FFFFFF"/>
          </w:tcPr>
          <w:p w14:paraId="7AFFE6BF" w14:textId="77777777" w:rsidR="00E713B0" w:rsidRPr="0009445C" w:rsidRDefault="00E713B0" w:rsidP="00E713B0">
            <w:pPr>
              <w:pStyle w:val="BRL-Tabelle"/>
              <w:spacing w:before="60" w:afterLines="40" w:after="96"/>
              <w:ind w:left="113" w:right="113"/>
            </w:pPr>
            <w:r w:rsidRPr="0009445C">
              <w:t>Fire-retardant and made of non-combustible* materials</w:t>
            </w:r>
          </w:p>
        </w:tc>
        <w:tc>
          <w:tcPr>
            <w:tcW w:w="2927" w:type="dxa"/>
            <w:shd w:val="clear" w:color="auto" w:fill="auto"/>
          </w:tcPr>
          <w:p w14:paraId="464437A1" w14:textId="77777777" w:rsidR="00E713B0" w:rsidRPr="0009445C" w:rsidRDefault="00E713B0" w:rsidP="00E713B0">
            <w:pPr>
              <w:pStyle w:val="BRL-Tabelle"/>
              <w:spacing w:before="60" w:afterLines="40" w:after="96"/>
              <w:ind w:left="113" w:right="113"/>
            </w:pPr>
            <w:r w:rsidRPr="0009445C">
              <w:t>REI 30</w:t>
            </w:r>
          </w:p>
        </w:tc>
        <w:tc>
          <w:tcPr>
            <w:tcW w:w="2708" w:type="dxa"/>
            <w:shd w:val="clear" w:color="auto" w:fill="auto"/>
          </w:tcPr>
          <w:p w14:paraId="4216FA46" w14:textId="77777777" w:rsidR="00E713B0" w:rsidRPr="0009445C" w:rsidRDefault="00E713B0" w:rsidP="00E713B0">
            <w:pPr>
              <w:pStyle w:val="BRL-Tabelle"/>
              <w:spacing w:before="60" w:afterLines="40" w:after="96"/>
              <w:ind w:left="113" w:right="113"/>
            </w:pPr>
            <w:r w:rsidRPr="0009445C">
              <w:t>DIN 4102</w:t>
            </w:r>
            <w:r w:rsidRPr="0009445C">
              <w:noBreakHyphen/>
              <w:t>4:2016</w:t>
            </w:r>
            <w:r w:rsidRPr="0009445C">
              <w:noBreakHyphen/>
              <w:t>05</w:t>
            </w:r>
          </w:p>
        </w:tc>
      </w:tr>
      <w:tr w:rsidR="00E713B0" w:rsidRPr="0009445C" w14:paraId="6762C7A4" w14:textId="77777777" w:rsidTr="00E713B0">
        <w:tc>
          <w:tcPr>
            <w:tcW w:w="505" w:type="dxa"/>
            <w:tcBorders>
              <w:bottom w:val="nil"/>
            </w:tcBorders>
            <w:shd w:val="clear" w:color="auto" w:fill="FFFFFF"/>
          </w:tcPr>
          <w:p w14:paraId="48CD7C9C" w14:textId="77777777" w:rsidR="00E713B0" w:rsidRPr="0009445C" w:rsidRDefault="00E713B0" w:rsidP="00E713B0">
            <w:pPr>
              <w:pStyle w:val="BRL-Tabelle"/>
              <w:spacing w:before="60" w:afterLines="40" w:after="96"/>
              <w:jc w:val="center"/>
              <w:rPr>
                <w:b/>
              </w:rPr>
            </w:pPr>
            <w:r w:rsidRPr="0009445C">
              <w:rPr>
                <w:b/>
              </w:rPr>
              <w:t>3</w:t>
            </w:r>
          </w:p>
        </w:tc>
        <w:tc>
          <w:tcPr>
            <w:tcW w:w="2932" w:type="dxa"/>
            <w:tcBorders>
              <w:bottom w:val="nil"/>
            </w:tcBorders>
            <w:shd w:val="clear" w:color="auto" w:fill="FFFFFF"/>
          </w:tcPr>
          <w:p w14:paraId="0E3253A0" w14:textId="77777777" w:rsidR="00E713B0" w:rsidRPr="0009445C" w:rsidRDefault="00E713B0" w:rsidP="00E713B0">
            <w:pPr>
              <w:pStyle w:val="BRL-Tabelle"/>
              <w:spacing w:before="60" w:afterLines="40" w:after="96"/>
              <w:ind w:left="113" w:right="113"/>
            </w:pPr>
            <w:r w:rsidRPr="0009445C">
              <w:t>Highly fire-retardant and essential parts made of non-combustible materials</w:t>
            </w:r>
          </w:p>
        </w:tc>
        <w:tc>
          <w:tcPr>
            <w:tcW w:w="2927" w:type="dxa"/>
            <w:shd w:val="clear" w:color="auto" w:fill="auto"/>
            <w:vAlign w:val="center"/>
          </w:tcPr>
          <w:p w14:paraId="3BBEEAA1" w14:textId="77777777" w:rsidR="00E713B0" w:rsidRPr="0009445C" w:rsidRDefault="00E713B0" w:rsidP="00E713B0">
            <w:pPr>
              <w:pStyle w:val="BRL-Tabelle"/>
              <w:spacing w:before="60" w:afterLines="40" w:after="96"/>
              <w:ind w:left="113" w:right="113"/>
            </w:pPr>
            <w:r w:rsidRPr="0009445C">
              <w:t>REI 60</w:t>
            </w:r>
          </w:p>
        </w:tc>
        <w:tc>
          <w:tcPr>
            <w:tcW w:w="2708" w:type="dxa"/>
            <w:shd w:val="clear" w:color="auto" w:fill="auto"/>
            <w:vAlign w:val="center"/>
          </w:tcPr>
          <w:p w14:paraId="263C0399" w14:textId="77777777" w:rsidR="00E713B0" w:rsidRPr="0009445C" w:rsidRDefault="00E713B0" w:rsidP="00E713B0">
            <w:pPr>
              <w:pStyle w:val="BRL-Tabelle"/>
              <w:spacing w:before="60" w:afterLines="40" w:after="96"/>
              <w:ind w:left="113" w:right="113"/>
            </w:pPr>
            <w:r w:rsidRPr="0009445C">
              <w:t>DIN 4102</w:t>
            </w:r>
            <w:r w:rsidRPr="0009445C">
              <w:noBreakHyphen/>
              <w:t>4:2016</w:t>
            </w:r>
            <w:r w:rsidRPr="0009445C">
              <w:noBreakHyphen/>
              <w:t>05</w:t>
            </w:r>
          </w:p>
        </w:tc>
      </w:tr>
      <w:tr w:rsidR="00E713B0" w:rsidRPr="0009445C" w14:paraId="4F33BB6E" w14:textId="77777777" w:rsidTr="00E713B0">
        <w:tc>
          <w:tcPr>
            <w:tcW w:w="505" w:type="dxa"/>
            <w:tcBorders>
              <w:bottom w:val="nil"/>
            </w:tcBorders>
            <w:shd w:val="clear" w:color="auto" w:fill="FFFFFF"/>
          </w:tcPr>
          <w:p w14:paraId="5391CE38" w14:textId="77777777" w:rsidR="00E713B0" w:rsidRPr="0009445C" w:rsidRDefault="00E713B0" w:rsidP="00E713B0">
            <w:pPr>
              <w:pStyle w:val="BRL-Tabelle"/>
              <w:spacing w:before="60" w:afterLines="40" w:after="96"/>
              <w:jc w:val="center"/>
              <w:rPr>
                <w:b/>
              </w:rPr>
            </w:pPr>
            <w:r w:rsidRPr="0009445C">
              <w:rPr>
                <w:b/>
              </w:rPr>
              <w:t>4</w:t>
            </w:r>
          </w:p>
        </w:tc>
        <w:tc>
          <w:tcPr>
            <w:tcW w:w="2932" w:type="dxa"/>
            <w:tcBorders>
              <w:bottom w:val="nil"/>
            </w:tcBorders>
            <w:shd w:val="clear" w:color="auto" w:fill="FFFFFF"/>
          </w:tcPr>
          <w:p w14:paraId="1BA12CE9" w14:textId="77777777" w:rsidR="00E713B0" w:rsidRPr="0009445C" w:rsidRDefault="00E713B0" w:rsidP="00E713B0">
            <w:pPr>
              <w:pStyle w:val="BRL-Tabelle"/>
              <w:spacing w:before="60" w:afterLines="40" w:after="96"/>
              <w:ind w:left="113" w:right="113"/>
            </w:pPr>
            <w:r w:rsidRPr="0009445C">
              <w:t>Highly fire-retardant and made of non-combustible materials</w:t>
            </w:r>
          </w:p>
        </w:tc>
        <w:tc>
          <w:tcPr>
            <w:tcW w:w="2927" w:type="dxa"/>
            <w:shd w:val="clear" w:color="auto" w:fill="auto"/>
            <w:vAlign w:val="center"/>
          </w:tcPr>
          <w:p w14:paraId="1144B612" w14:textId="77777777" w:rsidR="00E713B0" w:rsidRPr="0009445C" w:rsidRDefault="00E713B0" w:rsidP="00E713B0">
            <w:pPr>
              <w:pStyle w:val="BRL-Tabelle"/>
              <w:spacing w:before="60" w:afterLines="40" w:after="96"/>
              <w:ind w:left="113" w:right="113"/>
            </w:pPr>
            <w:r w:rsidRPr="0009445C">
              <w:t>REI 60</w:t>
            </w:r>
          </w:p>
        </w:tc>
        <w:tc>
          <w:tcPr>
            <w:tcW w:w="2708" w:type="dxa"/>
            <w:shd w:val="clear" w:color="auto" w:fill="auto"/>
            <w:vAlign w:val="center"/>
          </w:tcPr>
          <w:p w14:paraId="140998B3" w14:textId="77777777" w:rsidR="00E713B0" w:rsidRPr="0009445C" w:rsidRDefault="00E713B0" w:rsidP="00E713B0">
            <w:pPr>
              <w:pStyle w:val="BRL-Tabelle"/>
              <w:spacing w:before="60" w:afterLines="40" w:after="96"/>
              <w:ind w:left="113" w:right="113"/>
            </w:pPr>
            <w:r w:rsidRPr="0009445C">
              <w:t>DIN 4102</w:t>
            </w:r>
            <w:r w:rsidRPr="0009445C">
              <w:noBreakHyphen/>
              <w:t>4:2016</w:t>
            </w:r>
            <w:r w:rsidRPr="0009445C">
              <w:noBreakHyphen/>
              <w:t>05</w:t>
            </w:r>
          </w:p>
        </w:tc>
      </w:tr>
      <w:tr w:rsidR="007D6BBF" w:rsidRPr="0009445C" w14:paraId="54775744" w14:textId="77777777" w:rsidTr="007D6BBF">
        <w:tc>
          <w:tcPr>
            <w:tcW w:w="505" w:type="dxa"/>
            <w:tcBorders>
              <w:bottom w:val="single" w:sz="2" w:space="0" w:color="595959"/>
            </w:tcBorders>
            <w:shd w:val="clear" w:color="auto" w:fill="FFFFFF"/>
          </w:tcPr>
          <w:p w14:paraId="0EAA51D7" w14:textId="77777777" w:rsidR="00E713B0" w:rsidRPr="0009445C" w:rsidRDefault="00E713B0" w:rsidP="00E713B0">
            <w:pPr>
              <w:pStyle w:val="BRL-Tabelle"/>
              <w:spacing w:before="60" w:afterLines="40" w:after="96"/>
              <w:jc w:val="center"/>
              <w:rPr>
                <w:b/>
              </w:rPr>
            </w:pPr>
            <w:r w:rsidRPr="0009445C">
              <w:rPr>
                <w:b/>
              </w:rPr>
              <w:t>5</w:t>
            </w:r>
          </w:p>
        </w:tc>
        <w:tc>
          <w:tcPr>
            <w:tcW w:w="2932" w:type="dxa"/>
            <w:tcBorders>
              <w:bottom w:val="single" w:sz="2" w:space="0" w:color="595959"/>
            </w:tcBorders>
            <w:shd w:val="clear" w:color="auto" w:fill="FFFFFF"/>
          </w:tcPr>
          <w:p w14:paraId="371267A5" w14:textId="77777777" w:rsidR="00E713B0" w:rsidRPr="0009445C" w:rsidRDefault="00E713B0" w:rsidP="00E713B0">
            <w:pPr>
              <w:pStyle w:val="BRL-Tabelle"/>
              <w:spacing w:before="60" w:afterLines="40" w:after="96"/>
              <w:ind w:left="113" w:right="113"/>
            </w:pPr>
            <w:r w:rsidRPr="0009445C">
              <w:t>Fire-resistant (non-combustible* load-bearing and reinforced parts)</w:t>
            </w:r>
          </w:p>
        </w:tc>
        <w:tc>
          <w:tcPr>
            <w:tcW w:w="2927" w:type="dxa"/>
            <w:tcBorders>
              <w:bottom w:val="single" w:sz="2" w:space="0" w:color="595959"/>
            </w:tcBorders>
            <w:shd w:val="clear" w:color="auto" w:fill="auto"/>
            <w:vAlign w:val="center"/>
          </w:tcPr>
          <w:p w14:paraId="581EE3CE" w14:textId="77777777" w:rsidR="00E713B0" w:rsidRPr="0009445C" w:rsidRDefault="00E713B0" w:rsidP="00E713B0">
            <w:pPr>
              <w:pStyle w:val="BRL-Tabelle"/>
              <w:spacing w:before="60" w:afterLines="40" w:after="96"/>
              <w:ind w:left="113" w:right="113"/>
            </w:pPr>
            <w:r w:rsidRPr="0009445C">
              <w:t>REI 90</w:t>
            </w:r>
          </w:p>
        </w:tc>
        <w:tc>
          <w:tcPr>
            <w:tcW w:w="2708" w:type="dxa"/>
            <w:tcBorders>
              <w:bottom w:val="single" w:sz="2" w:space="0" w:color="595959"/>
            </w:tcBorders>
            <w:shd w:val="clear" w:color="auto" w:fill="auto"/>
            <w:vAlign w:val="center"/>
          </w:tcPr>
          <w:p w14:paraId="34163EE3" w14:textId="77777777" w:rsidR="00E713B0" w:rsidRPr="0009445C" w:rsidRDefault="00E713B0" w:rsidP="00E713B0">
            <w:pPr>
              <w:pStyle w:val="BRL-Tabelle"/>
              <w:spacing w:before="60" w:afterLines="40" w:after="96"/>
              <w:ind w:left="113" w:right="113"/>
            </w:pPr>
            <w:r w:rsidRPr="0009445C">
              <w:t>DIN 4102</w:t>
            </w:r>
            <w:r w:rsidRPr="0009445C">
              <w:noBreakHyphen/>
              <w:t>4:2016</w:t>
            </w:r>
            <w:r w:rsidRPr="0009445C">
              <w:noBreakHyphen/>
              <w:t>05</w:t>
            </w:r>
          </w:p>
        </w:tc>
      </w:tr>
      <w:tr w:rsidR="007D6BBF" w:rsidRPr="0009445C" w14:paraId="04C8DBAF" w14:textId="77777777" w:rsidTr="007D6BBF">
        <w:tc>
          <w:tcPr>
            <w:tcW w:w="505" w:type="dxa"/>
            <w:tcBorders>
              <w:top w:val="single" w:sz="2" w:space="0" w:color="595959"/>
              <w:bottom w:val="single" w:sz="4" w:space="0" w:color="auto"/>
            </w:tcBorders>
            <w:shd w:val="clear" w:color="auto" w:fill="FFFFFF"/>
          </w:tcPr>
          <w:p w14:paraId="015BAC84" w14:textId="77777777" w:rsidR="00E713B0" w:rsidRPr="0009445C" w:rsidRDefault="00E713B0" w:rsidP="00E713B0">
            <w:pPr>
              <w:pStyle w:val="BRL-Tabelle"/>
              <w:spacing w:before="60" w:afterLines="40" w:after="96"/>
              <w:jc w:val="center"/>
              <w:rPr>
                <w:b/>
              </w:rPr>
            </w:pPr>
            <w:r w:rsidRPr="0009445C">
              <w:rPr>
                <w:b/>
              </w:rPr>
              <w:t>6</w:t>
            </w:r>
          </w:p>
        </w:tc>
        <w:tc>
          <w:tcPr>
            <w:tcW w:w="2932" w:type="dxa"/>
            <w:tcBorders>
              <w:top w:val="single" w:sz="2" w:space="0" w:color="595959"/>
              <w:bottom w:val="single" w:sz="4" w:space="0" w:color="auto"/>
            </w:tcBorders>
            <w:shd w:val="clear" w:color="auto" w:fill="FFFFFF"/>
          </w:tcPr>
          <w:p w14:paraId="34F5EB24" w14:textId="77777777" w:rsidR="00E713B0" w:rsidRPr="0009445C" w:rsidRDefault="00E713B0" w:rsidP="00E713B0">
            <w:pPr>
              <w:pStyle w:val="BRL-Tabelle"/>
              <w:spacing w:before="60" w:afterLines="40" w:after="96"/>
              <w:ind w:left="113" w:right="113"/>
            </w:pPr>
            <w:r w:rsidRPr="0009445C">
              <w:t>Fire-resistant and made of non-combustible* building materials</w:t>
            </w:r>
          </w:p>
        </w:tc>
        <w:tc>
          <w:tcPr>
            <w:tcW w:w="2927" w:type="dxa"/>
            <w:tcBorders>
              <w:top w:val="single" w:sz="2" w:space="0" w:color="595959"/>
              <w:bottom w:val="single" w:sz="4" w:space="0" w:color="auto"/>
            </w:tcBorders>
            <w:shd w:val="clear" w:color="auto" w:fill="auto"/>
            <w:vAlign w:val="center"/>
          </w:tcPr>
          <w:p w14:paraId="594A9DD8" w14:textId="77777777" w:rsidR="00E713B0" w:rsidRPr="0009445C" w:rsidRDefault="00E713B0" w:rsidP="00E713B0">
            <w:pPr>
              <w:pStyle w:val="BRL-Tabelle"/>
              <w:spacing w:before="60" w:afterLines="40" w:after="96"/>
              <w:ind w:left="113" w:right="113"/>
            </w:pPr>
            <w:r w:rsidRPr="0009445C">
              <w:t>REI 90</w:t>
            </w:r>
          </w:p>
        </w:tc>
        <w:tc>
          <w:tcPr>
            <w:tcW w:w="2708" w:type="dxa"/>
            <w:tcBorders>
              <w:top w:val="single" w:sz="2" w:space="0" w:color="595959"/>
              <w:bottom w:val="single" w:sz="4" w:space="0" w:color="auto"/>
            </w:tcBorders>
            <w:shd w:val="clear" w:color="auto" w:fill="auto"/>
            <w:vAlign w:val="center"/>
          </w:tcPr>
          <w:p w14:paraId="1E963DAD" w14:textId="77777777" w:rsidR="00E713B0" w:rsidRPr="0009445C" w:rsidRDefault="00E713B0" w:rsidP="00E713B0">
            <w:pPr>
              <w:pStyle w:val="BRL-Tabelle"/>
              <w:spacing w:before="60" w:afterLines="40" w:after="96"/>
              <w:ind w:left="113" w:right="113"/>
            </w:pPr>
            <w:r w:rsidRPr="0009445C">
              <w:t>DIN 4102</w:t>
            </w:r>
            <w:r w:rsidRPr="0009445C">
              <w:noBreakHyphen/>
              <w:t>4:2016</w:t>
            </w:r>
            <w:r w:rsidRPr="0009445C">
              <w:noBreakHyphen/>
              <w:t>05</w:t>
            </w:r>
          </w:p>
        </w:tc>
      </w:tr>
      <w:tr w:rsidR="007D6BBF" w:rsidRPr="0009445C" w14:paraId="725F52EB" w14:textId="77777777" w:rsidTr="007D6BBF">
        <w:tc>
          <w:tcPr>
            <w:tcW w:w="505" w:type="dxa"/>
            <w:tcBorders>
              <w:top w:val="single" w:sz="4" w:space="0" w:color="auto"/>
              <w:bottom w:val="nil"/>
            </w:tcBorders>
            <w:shd w:val="clear" w:color="auto" w:fill="FFFFFF"/>
          </w:tcPr>
          <w:p w14:paraId="28A08724" w14:textId="77777777" w:rsidR="00E713B0" w:rsidRPr="0009445C" w:rsidRDefault="00E713B0" w:rsidP="007D6BBF">
            <w:pPr>
              <w:pStyle w:val="BRL-Tabelle"/>
              <w:pageBreakBefore/>
              <w:spacing w:before="60" w:afterLines="40" w:after="96"/>
              <w:jc w:val="center"/>
              <w:rPr>
                <w:b/>
              </w:rPr>
            </w:pPr>
            <w:r w:rsidRPr="0009445C">
              <w:rPr>
                <w:b/>
              </w:rPr>
              <w:lastRenderedPageBreak/>
              <w:t>7</w:t>
            </w:r>
          </w:p>
        </w:tc>
        <w:tc>
          <w:tcPr>
            <w:tcW w:w="2932" w:type="dxa"/>
            <w:tcBorders>
              <w:top w:val="single" w:sz="4" w:space="0" w:color="auto"/>
              <w:bottom w:val="nil"/>
            </w:tcBorders>
            <w:shd w:val="clear" w:color="auto" w:fill="FFFFFF"/>
          </w:tcPr>
          <w:p w14:paraId="316D3D41" w14:textId="77777777" w:rsidR="00E713B0" w:rsidRPr="0009445C" w:rsidRDefault="00E713B0" w:rsidP="00E713B0">
            <w:pPr>
              <w:pStyle w:val="BRL-Tabelle"/>
              <w:spacing w:before="60" w:after="40"/>
              <w:ind w:left="113" w:right="113"/>
            </w:pPr>
            <w:r w:rsidRPr="0009445C">
              <w:t>Fire resistance of 120 minutes and made of non-combustible* building materials</w:t>
            </w:r>
          </w:p>
        </w:tc>
        <w:tc>
          <w:tcPr>
            <w:tcW w:w="2927" w:type="dxa"/>
            <w:tcBorders>
              <w:top w:val="single" w:sz="4" w:space="0" w:color="auto"/>
            </w:tcBorders>
            <w:shd w:val="clear" w:color="auto" w:fill="auto"/>
          </w:tcPr>
          <w:p w14:paraId="46D3C3E6" w14:textId="77777777" w:rsidR="00E713B0" w:rsidRPr="0009445C" w:rsidRDefault="00E713B0" w:rsidP="00E713B0">
            <w:pPr>
              <w:pStyle w:val="BRL-Tabelle"/>
              <w:spacing w:before="60" w:afterLines="40" w:after="96"/>
              <w:ind w:left="113" w:right="113"/>
            </w:pPr>
            <w:r w:rsidRPr="0009445C">
              <w:t>REI 120</w:t>
            </w:r>
          </w:p>
        </w:tc>
        <w:tc>
          <w:tcPr>
            <w:tcW w:w="2708" w:type="dxa"/>
            <w:tcBorders>
              <w:top w:val="single" w:sz="4" w:space="0" w:color="auto"/>
            </w:tcBorders>
            <w:shd w:val="clear" w:color="auto" w:fill="auto"/>
          </w:tcPr>
          <w:p w14:paraId="450F2DDD" w14:textId="77777777" w:rsidR="00E713B0" w:rsidRPr="0009445C" w:rsidRDefault="00E713B0" w:rsidP="00E713B0">
            <w:pPr>
              <w:pStyle w:val="BRL-Tabelle"/>
              <w:spacing w:before="60" w:afterLines="40" w:after="96"/>
              <w:ind w:left="113" w:right="113"/>
            </w:pPr>
            <w:r w:rsidRPr="0009445C">
              <w:t>DIN 4102-4:2016-05</w:t>
            </w:r>
          </w:p>
        </w:tc>
      </w:tr>
      <w:tr w:rsidR="00E713B0" w:rsidRPr="0009445C" w14:paraId="626C7A98" w14:textId="77777777" w:rsidTr="00E713B0">
        <w:tc>
          <w:tcPr>
            <w:tcW w:w="505" w:type="dxa"/>
            <w:shd w:val="clear" w:color="auto" w:fill="FFFFFF"/>
          </w:tcPr>
          <w:p w14:paraId="4DFD0731" w14:textId="77777777" w:rsidR="00E713B0" w:rsidRPr="0009445C" w:rsidRDefault="00E713B0" w:rsidP="00E713B0">
            <w:pPr>
              <w:pStyle w:val="BRL-Funote"/>
              <w:spacing w:before="120"/>
              <w:ind w:left="0" w:hanging="283"/>
              <w:jc w:val="center"/>
              <w:rPr>
                <w:b/>
              </w:rPr>
            </w:pPr>
          </w:p>
        </w:tc>
        <w:tc>
          <w:tcPr>
            <w:tcW w:w="8567" w:type="dxa"/>
            <w:gridSpan w:val="3"/>
            <w:shd w:val="clear" w:color="auto" w:fill="FFFFFF"/>
          </w:tcPr>
          <w:p w14:paraId="7F09CC85" w14:textId="77777777" w:rsidR="00E713B0" w:rsidRPr="0009445C" w:rsidRDefault="00E713B0" w:rsidP="00E713B0">
            <w:pPr>
              <w:pStyle w:val="BRL-Funote"/>
              <w:spacing w:before="60"/>
              <w:ind w:left="426" w:right="113" w:hanging="284"/>
            </w:pPr>
            <w:r w:rsidRPr="0009445C">
              <w:t>A</w:t>
            </w:r>
            <w:r w:rsidRPr="0009445C">
              <w:tab/>
              <w:t>Table contains only building supervisory requirements for structural elements, which are also represented by the Eurocodes.</w:t>
            </w:r>
          </w:p>
          <w:p w14:paraId="35F815D5" w14:textId="77777777" w:rsidR="00E713B0" w:rsidRPr="0009445C" w:rsidRDefault="00E713B0" w:rsidP="00E713B0">
            <w:pPr>
              <w:pStyle w:val="BRL-Funote"/>
              <w:ind w:left="426" w:right="113" w:hanging="284"/>
              <w:rPr>
                <w:b/>
              </w:rPr>
            </w:pPr>
            <w:r w:rsidRPr="0009445C">
              <w:t>*</w:t>
            </w:r>
            <w:r w:rsidRPr="0009445C">
              <w:tab/>
              <w:t>Regarding the requirements, Table 1.1. applies.</w:t>
            </w:r>
          </w:p>
          <w:p w14:paraId="096A6E9D" w14:textId="1BCC870F" w:rsidR="00E713B0" w:rsidRPr="0009445C" w:rsidRDefault="00E713B0" w:rsidP="00E713B0">
            <w:pPr>
              <w:pStyle w:val="BRL-Funote"/>
              <w:ind w:right="113" w:hanging="283"/>
              <w:rPr>
                <w:b/>
              </w:rPr>
            </w:pPr>
            <w:r w:rsidRPr="0009445C">
              <w:t>**</w:t>
            </w:r>
            <w:r w:rsidRPr="0009445C">
              <w:tab/>
              <w:t>The Eurocode class does not account for the fire characteristics of building materials. Table 1.1 or 1.2 applies.</w:t>
            </w:r>
          </w:p>
          <w:p w14:paraId="53223588" w14:textId="77777777" w:rsidR="00E713B0" w:rsidRPr="0009445C" w:rsidRDefault="00E713B0" w:rsidP="00E713B0">
            <w:pPr>
              <w:pStyle w:val="BRL-Funote"/>
              <w:spacing w:after="120"/>
              <w:ind w:left="426" w:right="113" w:hanging="284"/>
              <w:rPr>
                <w:b/>
              </w:rPr>
            </w:pPr>
            <w:r w:rsidRPr="0009445C">
              <w:t>***</w:t>
            </w:r>
            <w:r w:rsidRPr="0009445C">
              <w:tab/>
              <w:t>Regarding the requirements, Table 1.1 or Table 1.2 applies.</w:t>
            </w:r>
          </w:p>
        </w:tc>
      </w:tr>
    </w:tbl>
    <w:p w14:paraId="76A81167" w14:textId="77777777" w:rsidR="00E713B0" w:rsidRPr="0009445C" w:rsidRDefault="00E713B0" w:rsidP="00E713B0">
      <w:pPr>
        <w:pStyle w:val="BRL-Standard-Literatur"/>
        <w:ind w:left="0" w:firstLine="0"/>
        <w:rPr>
          <w:vertAlign w:val="superscript"/>
        </w:rPr>
      </w:pPr>
    </w:p>
    <w:p w14:paraId="28B083BF" w14:textId="77777777" w:rsidR="00E713B0" w:rsidRPr="0009445C" w:rsidRDefault="00E713B0" w:rsidP="00E713B0">
      <w:pPr>
        <w:pStyle w:val="BRL-Standard-Literatur"/>
        <w:ind w:left="0" w:firstLine="0"/>
        <w:rPr>
          <w:vertAlign w:val="superscript"/>
        </w:rPr>
      </w:pPr>
      <w:r w:rsidRPr="0009445C">
        <w:t>In the case of ceilings, the proof referred to in Table 4.2.3, column 2 shall also be provided for fire exposure from the top (fire from top to bottom) in accordance with the requirement in A 2.1.8.</w:t>
      </w:r>
    </w:p>
    <w:p w14:paraId="16BAFC73" w14:textId="77777777" w:rsidR="00E713B0" w:rsidRPr="0009445C" w:rsidRDefault="00E713B0" w:rsidP="00E713B0">
      <w:pPr>
        <w:pStyle w:val="BRL-Standard-Literatur"/>
      </w:pPr>
    </w:p>
    <w:p w14:paraId="1E7374E3" w14:textId="79180D9B" w:rsidR="00E713B0" w:rsidRPr="0009445C" w:rsidRDefault="00E713B0" w:rsidP="00E713B0">
      <w:pPr>
        <w:pStyle w:val="BRL-Standard"/>
      </w:pPr>
      <w:r w:rsidRPr="0009445C">
        <w:t>The requirement of Table 4.2.3, column 1, is only met if subsequent structural elements have at least the same fire resistance, unless Part A 2.1.3.3.1 allows a different connection for subsequent structural elements. The transitions to such structural elements must not affect the space barrier pursuant to ser. No A 2.1.3.3.</w:t>
      </w:r>
    </w:p>
    <w:p w14:paraId="4E57E947" w14:textId="77777777" w:rsidR="00E713B0" w:rsidRPr="0009445C" w:rsidRDefault="00E713B0" w:rsidP="00E713B0">
      <w:pPr>
        <w:pStyle w:val="BRL-Standard"/>
      </w:pPr>
    </w:p>
    <w:p w14:paraId="1D9D2734" w14:textId="77777777" w:rsidR="00E713B0" w:rsidRPr="0009445C" w:rsidRDefault="00E713B0" w:rsidP="00E713B0">
      <w:pPr>
        <w:pStyle w:val="BRL-Standard"/>
        <w:jc w:val="left"/>
      </w:pPr>
      <w:r w:rsidRPr="0009445C">
        <w:t>For ceilings made of concrete, reinforced concrete, prestressed concrete or composite ceilings in accordance with the Eurocodes DIN EN 1992</w:t>
      </w:r>
      <w:r w:rsidRPr="0009445C">
        <w:noBreakHyphen/>
        <w:t>1</w:t>
      </w:r>
      <w:r w:rsidRPr="0009445C">
        <w:noBreakHyphen/>
        <w:t>1:2011-01 or DIN EN 1994-1-1:2010-12, which have been measured in terms of load capacity in the event of fire (criterion R), the following applies in addition to Table 4.1.1:</w:t>
      </w:r>
    </w:p>
    <w:p w14:paraId="30F5CAA3" w14:textId="77777777" w:rsidR="00E713B0" w:rsidRPr="0009445C" w:rsidRDefault="00E713B0" w:rsidP="00E713B0">
      <w:pPr>
        <w:tabs>
          <w:tab w:val="left" w:pos="1701"/>
        </w:tabs>
        <w:spacing w:after="120"/>
        <w:ind w:left="1701" w:hanging="1701"/>
      </w:pPr>
    </w:p>
    <w:p w14:paraId="606B9366" w14:textId="77777777" w:rsidR="00E713B0" w:rsidRPr="0009445C" w:rsidRDefault="00E713B0" w:rsidP="00E713B0">
      <w:pPr>
        <w:pStyle w:val="BRLAufzhlungAnstrich"/>
        <w:numPr>
          <w:ilvl w:val="0"/>
          <w:numId w:val="1"/>
        </w:numPr>
      </w:pPr>
      <w:r w:rsidRPr="0009445C">
        <w:t>For the ceilings, proof of space enclosing barrier (criteria E and I) for the duration as given in Table 4.1.1, column 2, shall be provided based on the provisions of Paragraph A 1.2.</w:t>
      </w:r>
    </w:p>
    <w:p w14:paraId="1A029523" w14:textId="77777777" w:rsidR="00E713B0" w:rsidRPr="0009445C" w:rsidRDefault="00E713B0" w:rsidP="00E713B0">
      <w:pPr>
        <w:pStyle w:val="BRLAufzhlungAnstrich"/>
        <w:numPr>
          <w:ilvl w:val="0"/>
          <w:numId w:val="1"/>
        </w:numPr>
      </w:pPr>
      <w:r w:rsidRPr="0009445C">
        <w:t>For ceilings, the aforementioned proof shall also be given for fire impact from above (fire from top to bottom) in accordance with the requirement in A 2.1.8.</w:t>
      </w:r>
    </w:p>
    <w:p w14:paraId="70201476" w14:textId="77777777" w:rsidR="00E713B0" w:rsidRPr="0009445C" w:rsidRDefault="00E713B0" w:rsidP="00E713B0">
      <w:pPr>
        <w:pStyle w:val="BRLAufzhlungAnstrich"/>
        <w:numPr>
          <w:ilvl w:val="0"/>
          <w:numId w:val="0"/>
        </w:numPr>
      </w:pPr>
    </w:p>
    <w:p w14:paraId="19BDEE47" w14:textId="77777777" w:rsidR="00E713B0" w:rsidRPr="0009445C" w:rsidRDefault="00E713B0" w:rsidP="00600F53">
      <w:pPr>
        <w:pStyle w:val="BRL-berschrift"/>
      </w:pPr>
      <w:r w:rsidRPr="0009445C">
        <w:t>4.2.4</w:t>
      </w:r>
      <w:r w:rsidRPr="0009445C">
        <w:tab/>
        <w:t>Load-bearing structural elements, space-enclosing ceilings, firewalls and walls instead of firewalls, partitions, walls of necessary stairwells and corridors, walls of open corridors, exterior walls, independent subceilings, roofs, stairs, system floors</w:t>
      </w:r>
    </w:p>
    <w:p w14:paraId="266AD391" w14:textId="08FEA10B" w:rsidR="00E713B0" w:rsidRPr="0009445C" w:rsidRDefault="00E713B0" w:rsidP="00E713B0">
      <w:pPr>
        <w:pStyle w:val="BRL-Standard"/>
      </w:pPr>
      <w:r w:rsidRPr="0009445C">
        <w:t>In order to fulfil the structural requirements in A 2.1.3, space-enclosing and/or load-bearing parts of buildings according to Technical Building Regulations or according to a proof of fitness for purpose in accordance with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or proof of the suitability of designs according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shall be subject to the minimum required classes as given in Section 4.2, Table 4.2.4.</w:t>
      </w:r>
    </w:p>
    <w:p w14:paraId="6B4316DF" w14:textId="77777777" w:rsidR="00E713B0" w:rsidRPr="0009445C" w:rsidRDefault="00E713B0" w:rsidP="00E713B0">
      <w:pPr>
        <w:pStyle w:val="BRL-Standard"/>
      </w:pPr>
    </w:p>
    <w:p w14:paraId="07D167DE" w14:textId="0847DF69" w:rsidR="00E713B0" w:rsidRPr="0009445C" w:rsidRDefault="00E713B0" w:rsidP="00E713B0">
      <w:pPr>
        <w:pStyle w:val="BRLTabelleberschrift"/>
        <w:spacing w:before="0" w:after="120"/>
      </w:pPr>
      <w:r w:rsidRPr="0009445C">
        <w:t>Table 4.2.4:</w:t>
      </w:r>
      <w:r w:rsidRPr="0009445C">
        <w:tab/>
        <w:t>Building approval requirements and classification of classes according to DIN 4102-2:1977-09</w:t>
      </w:r>
    </w:p>
    <w:tbl>
      <w:tblPr>
        <w:tblW w:w="9072" w:type="dxa"/>
        <w:tblBorders>
          <w:insideH w:val="single" w:sz="2" w:space="0" w:color="595959"/>
          <w:insideV w:val="single" w:sz="2" w:space="0" w:color="595959"/>
        </w:tblBorders>
        <w:tblLayout w:type="fixed"/>
        <w:tblCellMar>
          <w:left w:w="0" w:type="dxa"/>
          <w:right w:w="0" w:type="dxa"/>
        </w:tblCellMar>
        <w:tblLook w:val="04E0" w:firstRow="1" w:lastRow="1" w:firstColumn="1" w:lastColumn="0" w:noHBand="0" w:noVBand="1"/>
      </w:tblPr>
      <w:tblGrid>
        <w:gridCol w:w="434"/>
        <w:gridCol w:w="3378"/>
        <w:gridCol w:w="3375"/>
        <w:gridCol w:w="1885"/>
      </w:tblGrid>
      <w:tr w:rsidR="00E713B0" w:rsidRPr="0009445C" w14:paraId="4D50E3FA" w14:textId="77777777" w:rsidTr="00E713B0">
        <w:trPr>
          <w:cantSplit/>
          <w:tblHeader/>
        </w:trPr>
        <w:tc>
          <w:tcPr>
            <w:tcW w:w="434" w:type="dxa"/>
            <w:tcBorders>
              <w:top w:val="single" w:sz="2" w:space="0" w:color="auto"/>
              <w:left w:val="single" w:sz="2" w:space="0" w:color="auto"/>
              <w:bottom w:val="single" w:sz="2" w:space="0" w:color="595959"/>
              <w:right w:val="single" w:sz="2" w:space="0" w:color="595959"/>
              <w:tl2br w:val="nil"/>
              <w:tr2bl w:val="nil"/>
            </w:tcBorders>
            <w:shd w:val="clear" w:color="auto" w:fill="FFFFFF"/>
          </w:tcPr>
          <w:p w14:paraId="078A770F" w14:textId="77777777" w:rsidR="00E713B0" w:rsidRPr="0009445C" w:rsidRDefault="00E713B0" w:rsidP="00E713B0">
            <w:pPr>
              <w:pStyle w:val="BRL-TabelleAnlageberschriftFett"/>
              <w:ind w:left="0" w:right="0"/>
              <w:jc w:val="center"/>
            </w:pPr>
          </w:p>
        </w:tc>
        <w:tc>
          <w:tcPr>
            <w:tcW w:w="3378" w:type="dxa"/>
            <w:tcBorders>
              <w:top w:val="single" w:sz="2" w:space="0" w:color="auto"/>
              <w:left w:val="single" w:sz="2" w:space="0" w:color="auto"/>
              <w:bottom w:val="single" w:sz="2" w:space="0" w:color="595959"/>
              <w:right w:val="single" w:sz="2" w:space="0" w:color="595959"/>
              <w:tl2br w:val="nil"/>
              <w:tr2bl w:val="nil"/>
            </w:tcBorders>
            <w:shd w:val="clear" w:color="auto" w:fill="FFFFFF"/>
          </w:tcPr>
          <w:p w14:paraId="660631E5" w14:textId="77777777" w:rsidR="00E713B0" w:rsidRPr="0009445C" w:rsidRDefault="00E713B0" w:rsidP="00E713B0">
            <w:pPr>
              <w:pStyle w:val="BRL-TabelleAnlageberschriftFett"/>
            </w:pPr>
            <w:r w:rsidRPr="0009445C">
              <w:t>Building approval requirement</w:t>
            </w:r>
          </w:p>
        </w:tc>
        <w:tc>
          <w:tcPr>
            <w:tcW w:w="3375" w:type="dxa"/>
            <w:tcBorders>
              <w:top w:val="single" w:sz="2" w:space="0" w:color="auto"/>
              <w:left w:val="single" w:sz="2" w:space="0" w:color="595959"/>
              <w:bottom w:val="single" w:sz="2" w:space="0" w:color="595959"/>
              <w:right w:val="single" w:sz="2" w:space="0" w:color="595959"/>
              <w:tl2br w:val="nil"/>
              <w:tr2bl w:val="nil"/>
            </w:tcBorders>
            <w:shd w:val="clear" w:color="auto" w:fill="FFFFFF"/>
          </w:tcPr>
          <w:p w14:paraId="16B507EB" w14:textId="77777777" w:rsidR="00E713B0" w:rsidRPr="0009445C" w:rsidRDefault="00E713B0" w:rsidP="00E713B0">
            <w:pPr>
              <w:pStyle w:val="BRL-TabelleAnlageberschriftFett"/>
            </w:pPr>
            <w:r w:rsidRPr="0009445C">
              <w:t>Minimum required classes according to DIN 4102</w:t>
            </w:r>
            <w:r w:rsidRPr="0009445C">
              <w:noBreakHyphen/>
              <w:t>2:1977-09</w:t>
            </w:r>
          </w:p>
        </w:tc>
        <w:tc>
          <w:tcPr>
            <w:tcW w:w="1885" w:type="dxa"/>
            <w:tcBorders>
              <w:top w:val="single" w:sz="2" w:space="0" w:color="auto"/>
              <w:left w:val="single" w:sz="2" w:space="0" w:color="595959"/>
              <w:bottom w:val="single" w:sz="2" w:space="0" w:color="595959"/>
              <w:right w:val="single" w:sz="2" w:space="0" w:color="auto"/>
              <w:tl2br w:val="nil"/>
              <w:tr2bl w:val="nil"/>
            </w:tcBorders>
            <w:shd w:val="clear" w:color="auto" w:fill="FFFFFF"/>
          </w:tcPr>
          <w:p w14:paraId="39FD8129" w14:textId="77777777" w:rsidR="00E713B0" w:rsidRPr="0009445C" w:rsidRDefault="00E713B0" w:rsidP="00E713B0">
            <w:pPr>
              <w:pStyle w:val="BRL-TabelleAnlageberschriftFett"/>
            </w:pPr>
            <w:r w:rsidRPr="0009445C">
              <w:t>Abbreviation pursuant to DIN 4102</w:t>
            </w:r>
            <w:r w:rsidRPr="0009445C">
              <w:noBreakHyphen/>
              <w:t>2:1977-09</w:t>
            </w:r>
          </w:p>
        </w:tc>
      </w:tr>
      <w:tr w:rsidR="00E713B0" w:rsidRPr="0009445C" w14:paraId="044E31C4" w14:textId="77777777" w:rsidTr="00E713B0">
        <w:trPr>
          <w:cantSplit/>
          <w:tblHeader/>
        </w:trPr>
        <w:tc>
          <w:tcPr>
            <w:tcW w:w="434" w:type="dxa"/>
            <w:tcBorders>
              <w:top w:val="single" w:sz="2" w:space="0" w:color="auto"/>
              <w:left w:val="single" w:sz="2" w:space="0" w:color="auto"/>
              <w:bottom w:val="single" w:sz="2" w:space="0" w:color="595959"/>
              <w:right w:val="single" w:sz="2" w:space="0" w:color="595959"/>
              <w:tl2br w:val="nil"/>
              <w:tr2bl w:val="nil"/>
            </w:tcBorders>
            <w:shd w:val="clear" w:color="auto" w:fill="FFFFFF"/>
          </w:tcPr>
          <w:p w14:paraId="3346BEBE" w14:textId="77777777" w:rsidR="00E713B0" w:rsidRPr="0009445C" w:rsidRDefault="00E713B0" w:rsidP="00E713B0">
            <w:pPr>
              <w:pStyle w:val="BRL-TabelleAnlageberschriftFett"/>
              <w:ind w:left="0" w:right="0"/>
              <w:jc w:val="center"/>
            </w:pPr>
          </w:p>
        </w:tc>
        <w:tc>
          <w:tcPr>
            <w:tcW w:w="3378" w:type="dxa"/>
            <w:tcBorders>
              <w:top w:val="single" w:sz="2" w:space="0" w:color="auto"/>
              <w:left w:val="single" w:sz="2" w:space="0" w:color="auto"/>
              <w:bottom w:val="single" w:sz="2" w:space="0" w:color="595959"/>
              <w:right w:val="single" w:sz="2" w:space="0" w:color="595959"/>
              <w:tl2br w:val="nil"/>
              <w:tr2bl w:val="nil"/>
            </w:tcBorders>
            <w:shd w:val="clear" w:color="auto" w:fill="FFFFFF"/>
          </w:tcPr>
          <w:p w14:paraId="3C105F75" w14:textId="77777777" w:rsidR="00E713B0" w:rsidRPr="0009445C" w:rsidRDefault="00E713B0" w:rsidP="00E713B0">
            <w:pPr>
              <w:pStyle w:val="BRL-TabelleAnlageberschriftFett"/>
              <w:jc w:val="center"/>
            </w:pPr>
            <w:r w:rsidRPr="0009445C">
              <w:t>1</w:t>
            </w:r>
          </w:p>
        </w:tc>
        <w:tc>
          <w:tcPr>
            <w:tcW w:w="3375" w:type="dxa"/>
            <w:tcBorders>
              <w:top w:val="single" w:sz="2" w:space="0" w:color="auto"/>
              <w:left w:val="single" w:sz="2" w:space="0" w:color="595959"/>
              <w:bottom w:val="single" w:sz="2" w:space="0" w:color="595959"/>
              <w:right w:val="single" w:sz="2" w:space="0" w:color="595959"/>
              <w:tl2br w:val="nil"/>
              <w:tr2bl w:val="nil"/>
            </w:tcBorders>
            <w:shd w:val="clear" w:color="auto" w:fill="FFFFFF"/>
          </w:tcPr>
          <w:p w14:paraId="5B2ADC93" w14:textId="77777777" w:rsidR="00E713B0" w:rsidRPr="0009445C" w:rsidRDefault="00E713B0" w:rsidP="00E713B0">
            <w:pPr>
              <w:pStyle w:val="BRL-TabelleAnlageberschriftFett"/>
              <w:jc w:val="center"/>
            </w:pPr>
            <w:r w:rsidRPr="0009445C">
              <w:t>2</w:t>
            </w:r>
          </w:p>
        </w:tc>
        <w:tc>
          <w:tcPr>
            <w:tcW w:w="1885" w:type="dxa"/>
            <w:tcBorders>
              <w:top w:val="single" w:sz="2" w:space="0" w:color="auto"/>
              <w:left w:val="single" w:sz="2" w:space="0" w:color="595959"/>
              <w:bottom w:val="single" w:sz="2" w:space="0" w:color="595959"/>
              <w:right w:val="single" w:sz="2" w:space="0" w:color="auto"/>
              <w:tl2br w:val="nil"/>
              <w:tr2bl w:val="nil"/>
            </w:tcBorders>
            <w:shd w:val="clear" w:color="auto" w:fill="FFFFFF"/>
          </w:tcPr>
          <w:p w14:paraId="165CE1C6" w14:textId="77777777" w:rsidR="00E713B0" w:rsidRPr="0009445C" w:rsidRDefault="00E713B0" w:rsidP="00E713B0">
            <w:pPr>
              <w:pStyle w:val="BRL-TabelleAnlageberschriftFett"/>
              <w:jc w:val="center"/>
            </w:pPr>
            <w:r w:rsidRPr="0009445C">
              <w:t>3</w:t>
            </w:r>
          </w:p>
        </w:tc>
      </w:tr>
      <w:tr w:rsidR="00E713B0" w:rsidRPr="0009445C" w14:paraId="73971BC4" w14:textId="77777777" w:rsidTr="00E713B0">
        <w:trPr>
          <w:cantSplit/>
        </w:trPr>
        <w:tc>
          <w:tcPr>
            <w:tcW w:w="434" w:type="dxa"/>
            <w:tcBorders>
              <w:left w:val="single" w:sz="2" w:space="0" w:color="auto"/>
              <w:bottom w:val="nil"/>
            </w:tcBorders>
            <w:shd w:val="clear" w:color="auto" w:fill="FFFFFF"/>
          </w:tcPr>
          <w:p w14:paraId="46D7CE98" w14:textId="77777777" w:rsidR="00E713B0" w:rsidRPr="0009445C" w:rsidRDefault="00E713B0" w:rsidP="00E713B0">
            <w:pPr>
              <w:pStyle w:val="BRL-Tabelle"/>
              <w:spacing w:before="60" w:after="40"/>
              <w:jc w:val="center"/>
              <w:rPr>
                <w:b/>
              </w:rPr>
            </w:pPr>
            <w:r w:rsidRPr="0009445C">
              <w:rPr>
                <w:b/>
              </w:rPr>
              <w:t>1</w:t>
            </w:r>
          </w:p>
        </w:tc>
        <w:tc>
          <w:tcPr>
            <w:tcW w:w="3378" w:type="dxa"/>
            <w:tcBorders>
              <w:left w:val="single" w:sz="2" w:space="0" w:color="auto"/>
              <w:bottom w:val="nil"/>
            </w:tcBorders>
            <w:shd w:val="clear" w:color="auto" w:fill="FFFFFF"/>
          </w:tcPr>
          <w:p w14:paraId="601D855E" w14:textId="77777777" w:rsidR="00E713B0" w:rsidRPr="0009445C" w:rsidRDefault="00E713B0" w:rsidP="00E713B0">
            <w:pPr>
              <w:pStyle w:val="BRL-Tabelle"/>
              <w:spacing w:before="60" w:after="40"/>
              <w:ind w:left="113" w:right="113"/>
            </w:pPr>
            <w:r w:rsidRPr="0009445C">
              <w:t>Of non-combustible* building materials</w:t>
            </w:r>
          </w:p>
        </w:tc>
        <w:tc>
          <w:tcPr>
            <w:tcW w:w="5260" w:type="dxa"/>
            <w:gridSpan w:val="2"/>
            <w:vMerge w:val="restart"/>
            <w:tcBorders>
              <w:right w:val="single" w:sz="2" w:space="0" w:color="auto"/>
            </w:tcBorders>
            <w:shd w:val="clear" w:color="auto" w:fill="auto"/>
            <w:vAlign w:val="center"/>
          </w:tcPr>
          <w:p w14:paraId="6792536B" w14:textId="77777777" w:rsidR="00E713B0" w:rsidRPr="0009445C" w:rsidRDefault="00E713B0" w:rsidP="00E713B0">
            <w:pPr>
              <w:pStyle w:val="BRL-Tabelle"/>
              <w:spacing w:before="60" w:after="40"/>
              <w:ind w:left="113" w:right="113"/>
            </w:pPr>
            <w:r w:rsidRPr="0009445C">
              <w:t>No specification of the class required. Table 1.1 applies.</w:t>
            </w:r>
          </w:p>
        </w:tc>
      </w:tr>
      <w:tr w:rsidR="00E713B0" w:rsidRPr="0009445C" w14:paraId="10FCA01B" w14:textId="77777777" w:rsidTr="00E713B0">
        <w:trPr>
          <w:cantSplit/>
        </w:trPr>
        <w:tc>
          <w:tcPr>
            <w:tcW w:w="434" w:type="dxa"/>
            <w:tcBorders>
              <w:left w:val="single" w:sz="2" w:space="0" w:color="auto"/>
              <w:bottom w:val="nil"/>
            </w:tcBorders>
            <w:shd w:val="clear" w:color="auto" w:fill="FFFFFF"/>
          </w:tcPr>
          <w:p w14:paraId="07111DA0" w14:textId="77777777" w:rsidR="00E713B0" w:rsidRPr="0009445C" w:rsidRDefault="00E713B0" w:rsidP="00E713B0">
            <w:pPr>
              <w:pStyle w:val="BRL-Tabelle"/>
              <w:spacing w:before="60" w:after="40"/>
              <w:jc w:val="center"/>
              <w:rPr>
                <w:b/>
              </w:rPr>
            </w:pPr>
            <w:r w:rsidRPr="0009445C">
              <w:rPr>
                <w:b/>
              </w:rPr>
              <w:t>2</w:t>
            </w:r>
          </w:p>
        </w:tc>
        <w:tc>
          <w:tcPr>
            <w:tcW w:w="3378" w:type="dxa"/>
            <w:tcBorders>
              <w:left w:val="single" w:sz="2" w:space="0" w:color="auto"/>
              <w:bottom w:val="nil"/>
            </w:tcBorders>
            <w:shd w:val="clear" w:color="auto" w:fill="FFFFFF"/>
          </w:tcPr>
          <w:p w14:paraId="36AA3A7F" w14:textId="77777777" w:rsidR="00E713B0" w:rsidRPr="0009445C" w:rsidRDefault="00E713B0" w:rsidP="00E713B0">
            <w:pPr>
              <w:pStyle w:val="BRL-Tabelle"/>
              <w:spacing w:before="60" w:after="40"/>
              <w:ind w:left="113" w:right="113"/>
            </w:pPr>
            <w:r w:rsidRPr="0009445C">
              <w:t>Of flame-retardant building materials</w:t>
            </w:r>
          </w:p>
        </w:tc>
        <w:tc>
          <w:tcPr>
            <w:tcW w:w="5260" w:type="dxa"/>
            <w:gridSpan w:val="2"/>
            <w:vMerge/>
            <w:tcBorders>
              <w:right w:val="single" w:sz="2" w:space="0" w:color="auto"/>
            </w:tcBorders>
            <w:shd w:val="clear" w:color="auto" w:fill="auto"/>
          </w:tcPr>
          <w:p w14:paraId="3B92FCE5" w14:textId="77777777" w:rsidR="00E713B0" w:rsidRPr="0009445C" w:rsidRDefault="00E713B0" w:rsidP="00E713B0">
            <w:pPr>
              <w:pStyle w:val="BRL-Tabelle"/>
              <w:spacing w:before="60" w:after="40"/>
              <w:ind w:left="113" w:right="113"/>
            </w:pPr>
          </w:p>
        </w:tc>
      </w:tr>
      <w:tr w:rsidR="00E713B0" w:rsidRPr="0009445C" w14:paraId="65088551" w14:textId="77777777" w:rsidTr="00E713B0">
        <w:trPr>
          <w:cantSplit/>
        </w:trPr>
        <w:tc>
          <w:tcPr>
            <w:tcW w:w="434" w:type="dxa"/>
            <w:tcBorders>
              <w:left w:val="single" w:sz="2" w:space="0" w:color="auto"/>
              <w:bottom w:val="nil"/>
            </w:tcBorders>
            <w:shd w:val="clear" w:color="auto" w:fill="FFFFFF"/>
          </w:tcPr>
          <w:p w14:paraId="4696E727" w14:textId="77777777" w:rsidR="00E713B0" w:rsidRPr="0009445C" w:rsidRDefault="00E713B0" w:rsidP="00E713B0">
            <w:pPr>
              <w:pStyle w:val="BRL-Tabelle"/>
              <w:spacing w:before="60" w:after="40"/>
              <w:jc w:val="center"/>
              <w:rPr>
                <w:b/>
              </w:rPr>
            </w:pPr>
            <w:r w:rsidRPr="0009445C">
              <w:rPr>
                <w:b/>
              </w:rPr>
              <w:t>3</w:t>
            </w:r>
          </w:p>
        </w:tc>
        <w:tc>
          <w:tcPr>
            <w:tcW w:w="3378" w:type="dxa"/>
            <w:tcBorders>
              <w:left w:val="single" w:sz="2" w:space="0" w:color="auto"/>
              <w:bottom w:val="nil"/>
            </w:tcBorders>
            <w:shd w:val="clear" w:color="auto" w:fill="FFFFFF"/>
          </w:tcPr>
          <w:p w14:paraId="262E979D" w14:textId="77777777" w:rsidR="00E713B0" w:rsidRPr="0009445C" w:rsidRDefault="00E713B0" w:rsidP="00E713B0">
            <w:pPr>
              <w:pStyle w:val="BRL-Tabelle"/>
              <w:spacing w:before="60" w:after="40"/>
              <w:ind w:left="113" w:right="113"/>
            </w:pPr>
            <w:r w:rsidRPr="0009445C">
              <w:t>Of flame-retardant building materials, non-flaming falling or dripping</w:t>
            </w:r>
          </w:p>
        </w:tc>
        <w:tc>
          <w:tcPr>
            <w:tcW w:w="5260" w:type="dxa"/>
            <w:gridSpan w:val="2"/>
            <w:vMerge/>
            <w:tcBorders>
              <w:right w:val="single" w:sz="2" w:space="0" w:color="auto"/>
            </w:tcBorders>
            <w:shd w:val="clear" w:color="auto" w:fill="auto"/>
          </w:tcPr>
          <w:p w14:paraId="647B30B5" w14:textId="77777777" w:rsidR="00E713B0" w:rsidRPr="0009445C" w:rsidRDefault="00E713B0" w:rsidP="00E713B0">
            <w:pPr>
              <w:pStyle w:val="BRL-Tabelle"/>
              <w:spacing w:before="60" w:after="40"/>
              <w:ind w:left="113" w:right="113"/>
            </w:pPr>
          </w:p>
        </w:tc>
      </w:tr>
      <w:tr w:rsidR="00E713B0" w:rsidRPr="0009445C" w14:paraId="5225F252" w14:textId="77777777" w:rsidTr="00E713B0">
        <w:trPr>
          <w:cantSplit/>
        </w:trPr>
        <w:tc>
          <w:tcPr>
            <w:tcW w:w="434" w:type="dxa"/>
            <w:tcBorders>
              <w:left w:val="single" w:sz="2" w:space="0" w:color="auto"/>
              <w:bottom w:val="nil"/>
            </w:tcBorders>
            <w:shd w:val="clear" w:color="auto" w:fill="FFFFFF"/>
          </w:tcPr>
          <w:p w14:paraId="12EF4E0B" w14:textId="77777777" w:rsidR="00E713B0" w:rsidRPr="0009445C" w:rsidRDefault="00E713B0" w:rsidP="00E713B0">
            <w:pPr>
              <w:pStyle w:val="BRL-Tabelle"/>
              <w:spacing w:before="60" w:after="40"/>
              <w:jc w:val="center"/>
              <w:rPr>
                <w:b/>
              </w:rPr>
            </w:pPr>
            <w:r w:rsidRPr="0009445C">
              <w:rPr>
                <w:b/>
              </w:rPr>
              <w:t>4</w:t>
            </w:r>
          </w:p>
        </w:tc>
        <w:tc>
          <w:tcPr>
            <w:tcW w:w="3378" w:type="dxa"/>
            <w:tcBorders>
              <w:left w:val="single" w:sz="2" w:space="0" w:color="auto"/>
              <w:bottom w:val="nil"/>
            </w:tcBorders>
            <w:shd w:val="clear" w:color="auto" w:fill="FFFFFF"/>
          </w:tcPr>
          <w:p w14:paraId="0191B8C4" w14:textId="77777777" w:rsidR="00E713B0" w:rsidRPr="0009445C" w:rsidRDefault="00E713B0" w:rsidP="00E713B0">
            <w:pPr>
              <w:pStyle w:val="BRL-Tabelle"/>
              <w:spacing w:before="60" w:after="40"/>
              <w:ind w:left="113" w:right="113"/>
            </w:pPr>
            <w:r w:rsidRPr="0009445C">
              <w:t>Made of normal-flammability building materials</w:t>
            </w:r>
          </w:p>
        </w:tc>
        <w:tc>
          <w:tcPr>
            <w:tcW w:w="5260" w:type="dxa"/>
            <w:gridSpan w:val="2"/>
            <w:vMerge/>
            <w:tcBorders>
              <w:right w:val="single" w:sz="2" w:space="0" w:color="auto"/>
            </w:tcBorders>
            <w:shd w:val="clear" w:color="auto" w:fill="auto"/>
          </w:tcPr>
          <w:p w14:paraId="4E69F698" w14:textId="77777777" w:rsidR="00E713B0" w:rsidRPr="0009445C" w:rsidRDefault="00E713B0" w:rsidP="00E713B0">
            <w:pPr>
              <w:pStyle w:val="BRL-Tabelle"/>
              <w:spacing w:before="60" w:after="40"/>
              <w:ind w:left="113" w:right="113"/>
            </w:pPr>
          </w:p>
        </w:tc>
      </w:tr>
      <w:tr w:rsidR="00E713B0" w:rsidRPr="0009445C" w14:paraId="5F426340" w14:textId="77777777" w:rsidTr="00E713B0">
        <w:trPr>
          <w:cantSplit/>
        </w:trPr>
        <w:tc>
          <w:tcPr>
            <w:tcW w:w="434" w:type="dxa"/>
            <w:tcBorders>
              <w:left w:val="single" w:sz="2" w:space="0" w:color="auto"/>
              <w:bottom w:val="nil"/>
            </w:tcBorders>
            <w:shd w:val="clear" w:color="auto" w:fill="FFFFFF"/>
          </w:tcPr>
          <w:p w14:paraId="14CE1593" w14:textId="77777777" w:rsidR="00E713B0" w:rsidRPr="0009445C" w:rsidRDefault="00E713B0" w:rsidP="00E713B0">
            <w:pPr>
              <w:pStyle w:val="BRL-Tabelle"/>
              <w:spacing w:before="60" w:after="40"/>
              <w:jc w:val="center"/>
              <w:rPr>
                <w:b/>
              </w:rPr>
            </w:pPr>
            <w:r w:rsidRPr="0009445C">
              <w:rPr>
                <w:b/>
              </w:rPr>
              <w:t>5</w:t>
            </w:r>
          </w:p>
        </w:tc>
        <w:tc>
          <w:tcPr>
            <w:tcW w:w="3378" w:type="dxa"/>
            <w:tcBorders>
              <w:left w:val="single" w:sz="2" w:space="0" w:color="auto"/>
              <w:bottom w:val="nil"/>
            </w:tcBorders>
            <w:shd w:val="clear" w:color="auto" w:fill="FFFFFF"/>
          </w:tcPr>
          <w:p w14:paraId="411E5D74" w14:textId="77777777" w:rsidR="00E713B0" w:rsidRPr="0009445C" w:rsidRDefault="00E713B0" w:rsidP="00E713B0">
            <w:pPr>
              <w:pStyle w:val="BRL-Tabelle"/>
              <w:spacing w:before="60" w:after="40"/>
              <w:ind w:left="113" w:right="113"/>
            </w:pPr>
            <w:r w:rsidRPr="0009445C">
              <w:t>Fire-retardant</w:t>
            </w:r>
          </w:p>
        </w:tc>
        <w:tc>
          <w:tcPr>
            <w:tcW w:w="3375" w:type="dxa"/>
            <w:shd w:val="clear" w:color="auto" w:fill="auto"/>
          </w:tcPr>
          <w:p w14:paraId="44F3F5B2" w14:textId="77777777" w:rsidR="00E713B0" w:rsidRPr="0009445C" w:rsidRDefault="00E713B0" w:rsidP="00E713B0">
            <w:pPr>
              <w:pStyle w:val="BRL-Tabelle"/>
              <w:spacing w:before="60" w:after="40"/>
              <w:ind w:left="113" w:right="113"/>
            </w:pPr>
            <w:r w:rsidRPr="0009445C">
              <w:t>Fire resistance class F 30</w:t>
            </w:r>
          </w:p>
        </w:tc>
        <w:tc>
          <w:tcPr>
            <w:tcW w:w="1885" w:type="dxa"/>
            <w:tcBorders>
              <w:right w:val="single" w:sz="2" w:space="0" w:color="auto"/>
            </w:tcBorders>
            <w:shd w:val="clear" w:color="auto" w:fill="auto"/>
          </w:tcPr>
          <w:p w14:paraId="5E257D3D" w14:textId="77777777" w:rsidR="00E713B0" w:rsidRPr="0009445C" w:rsidRDefault="00E713B0" w:rsidP="00E713B0">
            <w:pPr>
              <w:pStyle w:val="BRL-Tabelle"/>
              <w:spacing w:before="60" w:after="40"/>
              <w:ind w:left="113" w:right="113"/>
            </w:pPr>
            <w:r w:rsidRPr="0009445C">
              <w:t>F 30-B</w:t>
            </w:r>
            <w:r w:rsidRPr="0009445C">
              <w:rPr>
                <w:vertAlign w:val="superscript"/>
              </w:rPr>
              <w:t>1</w:t>
            </w:r>
          </w:p>
        </w:tc>
      </w:tr>
      <w:tr w:rsidR="00007636" w:rsidRPr="0009445C" w14:paraId="2F85FE6D" w14:textId="77777777" w:rsidTr="007D6BBF">
        <w:trPr>
          <w:cantSplit/>
        </w:trPr>
        <w:tc>
          <w:tcPr>
            <w:tcW w:w="434" w:type="dxa"/>
            <w:tcBorders>
              <w:left w:val="single" w:sz="2" w:space="0" w:color="auto"/>
              <w:bottom w:val="single" w:sz="2" w:space="0" w:color="595959"/>
            </w:tcBorders>
            <w:shd w:val="clear" w:color="auto" w:fill="FFFFFF"/>
          </w:tcPr>
          <w:p w14:paraId="10E68324" w14:textId="77777777" w:rsidR="00E713B0" w:rsidRPr="0009445C" w:rsidRDefault="00E713B0" w:rsidP="00E713B0">
            <w:pPr>
              <w:pStyle w:val="BRL-Tabelle"/>
              <w:spacing w:before="60" w:after="40"/>
              <w:jc w:val="center"/>
              <w:rPr>
                <w:b/>
              </w:rPr>
            </w:pPr>
            <w:r w:rsidRPr="0009445C">
              <w:rPr>
                <w:b/>
              </w:rPr>
              <w:t>6</w:t>
            </w:r>
          </w:p>
        </w:tc>
        <w:tc>
          <w:tcPr>
            <w:tcW w:w="3378" w:type="dxa"/>
            <w:tcBorders>
              <w:left w:val="single" w:sz="2" w:space="0" w:color="auto"/>
              <w:bottom w:val="single" w:sz="2" w:space="0" w:color="595959"/>
            </w:tcBorders>
            <w:shd w:val="clear" w:color="auto" w:fill="FFFFFF"/>
          </w:tcPr>
          <w:p w14:paraId="7641BD56" w14:textId="77777777" w:rsidR="00E713B0" w:rsidRPr="0009445C" w:rsidRDefault="00E713B0" w:rsidP="00E713B0">
            <w:pPr>
              <w:pStyle w:val="BRL-Tabelle"/>
              <w:spacing w:before="60" w:after="40"/>
              <w:ind w:left="113" w:right="113"/>
            </w:pPr>
            <w:r w:rsidRPr="0009445C">
              <w:t>Fire-retardant and made of non-combustible* materials</w:t>
            </w:r>
          </w:p>
        </w:tc>
        <w:tc>
          <w:tcPr>
            <w:tcW w:w="3375" w:type="dxa"/>
            <w:tcBorders>
              <w:bottom w:val="single" w:sz="2" w:space="0" w:color="595959"/>
            </w:tcBorders>
            <w:shd w:val="clear" w:color="auto" w:fill="auto"/>
          </w:tcPr>
          <w:p w14:paraId="53099476" w14:textId="77777777" w:rsidR="00E713B0" w:rsidRPr="0009445C" w:rsidRDefault="00E713B0" w:rsidP="00E713B0">
            <w:pPr>
              <w:pStyle w:val="BRL-Tabelle"/>
              <w:spacing w:before="60" w:after="40"/>
              <w:ind w:left="113" w:right="113"/>
            </w:pPr>
            <w:r w:rsidRPr="0009445C">
              <w:t>Fire resistance class F 30 and made of non-combustible building materials</w:t>
            </w:r>
          </w:p>
        </w:tc>
        <w:tc>
          <w:tcPr>
            <w:tcW w:w="1885" w:type="dxa"/>
            <w:tcBorders>
              <w:bottom w:val="single" w:sz="2" w:space="0" w:color="595959"/>
              <w:right w:val="single" w:sz="2" w:space="0" w:color="auto"/>
            </w:tcBorders>
            <w:shd w:val="clear" w:color="auto" w:fill="auto"/>
          </w:tcPr>
          <w:p w14:paraId="31915566" w14:textId="77777777" w:rsidR="00E713B0" w:rsidRPr="0009445C" w:rsidRDefault="00E713B0" w:rsidP="00E713B0">
            <w:pPr>
              <w:pStyle w:val="BRL-Tabelle"/>
              <w:spacing w:before="60" w:after="40"/>
              <w:ind w:left="113" w:right="113"/>
            </w:pPr>
            <w:r w:rsidRPr="0009445C">
              <w:t>F 30-A</w:t>
            </w:r>
            <w:r w:rsidRPr="0009445C">
              <w:rPr>
                <w:vertAlign w:val="superscript"/>
              </w:rPr>
              <w:t>1</w:t>
            </w:r>
          </w:p>
        </w:tc>
      </w:tr>
      <w:tr w:rsidR="00007636" w:rsidRPr="0009445C" w14:paraId="6CC6A7FC" w14:textId="77777777" w:rsidTr="007D6BBF">
        <w:trPr>
          <w:cantSplit/>
        </w:trPr>
        <w:tc>
          <w:tcPr>
            <w:tcW w:w="434" w:type="dxa"/>
            <w:tcBorders>
              <w:top w:val="single" w:sz="2" w:space="0" w:color="595959"/>
              <w:left w:val="single" w:sz="2" w:space="0" w:color="auto"/>
              <w:bottom w:val="single" w:sz="4" w:space="0" w:color="auto"/>
            </w:tcBorders>
            <w:shd w:val="clear" w:color="auto" w:fill="FFFFFF"/>
          </w:tcPr>
          <w:p w14:paraId="427E634E" w14:textId="77777777" w:rsidR="00E713B0" w:rsidRPr="0009445C" w:rsidRDefault="00E713B0" w:rsidP="00E713B0">
            <w:pPr>
              <w:pStyle w:val="BRL-Tabelle"/>
              <w:spacing w:before="60" w:after="40"/>
              <w:jc w:val="center"/>
              <w:rPr>
                <w:b/>
              </w:rPr>
            </w:pPr>
            <w:r w:rsidRPr="0009445C">
              <w:rPr>
                <w:b/>
              </w:rPr>
              <w:t>7</w:t>
            </w:r>
          </w:p>
        </w:tc>
        <w:tc>
          <w:tcPr>
            <w:tcW w:w="3378" w:type="dxa"/>
            <w:tcBorders>
              <w:top w:val="single" w:sz="2" w:space="0" w:color="595959"/>
              <w:left w:val="single" w:sz="2" w:space="0" w:color="auto"/>
              <w:bottom w:val="single" w:sz="4" w:space="0" w:color="auto"/>
            </w:tcBorders>
            <w:shd w:val="clear" w:color="auto" w:fill="FFFFFF"/>
          </w:tcPr>
          <w:p w14:paraId="05B47AA9" w14:textId="77777777" w:rsidR="00E713B0" w:rsidRPr="0009445C" w:rsidRDefault="00E713B0" w:rsidP="00E713B0">
            <w:pPr>
              <w:pStyle w:val="BRL-Tabelle"/>
              <w:spacing w:before="60" w:after="40"/>
              <w:ind w:left="113" w:right="113"/>
            </w:pPr>
            <w:r w:rsidRPr="0009445C">
              <w:t>Highly fire-retardant and of incombustible materials in the main parts</w:t>
            </w:r>
          </w:p>
        </w:tc>
        <w:tc>
          <w:tcPr>
            <w:tcW w:w="3375" w:type="dxa"/>
            <w:tcBorders>
              <w:top w:val="single" w:sz="2" w:space="0" w:color="595959"/>
              <w:bottom w:val="single" w:sz="4" w:space="0" w:color="auto"/>
            </w:tcBorders>
            <w:shd w:val="clear" w:color="auto" w:fill="auto"/>
          </w:tcPr>
          <w:p w14:paraId="77D25845" w14:textId="77777777" w:rsidR="00E713B0" w:rsidRPr="0009445C" w:rsidRDefault="00E713B0" w:rsidP="00E713B0">
            <w:pPr>
              <w:pStyle w:val="BRL-Tabelle"/>
              <w:spacing w:before="60" w:after="40"/>
              <w:ind w:left="113" w:right="113"/>
            </w:pPr>
            <w:r w:rsidRPr="0009445C">
              <w:t>Fire resistance class F 60 and essential parts made of non-combustible building materials</w:t>
            </w:r>
          </w:p>
        </w:tc>
        <w:tc>
          <w:tcPr>
            <w:tcW w:w="1885" w:type="dxa"/>
            <w:tcBorders>
              <w:top w:val="single" w:sz="2" w:space="0" w:color="595959"/>
              <w:bottom w:val="single" w:sz="4" w:space="0" w:color="auto"/>
              <w:right w:val="single" w:sz="2" w:space="0" w:color="auto"/>
            </w:tcBorders>
            <w:shd w:val="clear" w:color="auto" w:fill="auto"/>
          </w:tcPr>
          <w:p w14:paraId="5B9135B8" w14:textId="77777777" w:rsidR="00E713B0" w:rsidRPr="0009445C" w:rsidRDefault="00E713B0" w:rsidP="00E713B0">
            <w:pPr>
              <w:pStyle w:val="BRL-Tabelle"/>
              <w:spacing w:before="60" w:after="40"/>
              <w:ind w:left="113" w:right="113"/>
            </w:pPr>
            <w:r w:rsidRPr="0009445C">
              <w:t>F 60-AB</w:t>
            </w:r>
            <w:r w:rsidRPr="0009445C">
              <w:rPr>
                <w:vertAlign w:val="superscript"/>
              </w:rPr>
              <w:t>2,3</w:t>
            </w:r>
          </w:p>
        </w:tc>
      </w:tr>
      <w:tr w:rsidR="00007636" w:rsidRPr="0009445C" w14:paraId="7D060787" w14:textId="77777777" w:rsidTr="007D6BBF">
        <w:trPr>
          <w:cantSplit/>
        </w:trPr>
        <w:tc>
          <w:tcPr>
            <w:tcW w:w="434" w:type="dxa"/>
            <w:tcBorders>
              <w:top w:val="single" w:sz="4" w:space="0" w:color="auto"/>
              <w:left w:val="single" w:sz="2" w:space="0" w:color="auto"/>
              <w:bottom w:val="nil"/>
            </w:tcBorders>
            <w:shd w:val="clear" w:color="auto" w:fill="FFFFFF"/>
          </w:tcPr>
          <w:p w14:paraId="1C276E14" w14:textId="77777777" w:rsidR="00E713B0" w:rsidRPr="0009445C" w:rsidRDefault="00E713B0" w:rsidP="00E713B0">
            <w:pPr>
              <w:pStyle w:val="BRL-Tabelle"/>
              <w:spacing w:before="60" w:after="40"/>
              <w:jc w:val="center"/>
              <w:rPr>
                <w:b/>
              </w:rPr>
            </w:pPr>
            <w:r w:rsidRPr="0009445C">
              <w:rPr>
                <w:b/>
              </w:rPr>
              <w:lastRenderedPageBreak/>
              <w:t>8</w:t>
            </w:r>
          </w:p>
        </w:tc>
        <w:tc>
          <w:tcPr>
            <w:tcW w:w="3378" w:type="dxa"/>
            <w:tcBorders>
              <w:top w:val="single" w:sz="4" w:space="0" w:color="auto"/>
              <w:left w:val="single" w:sz="2" w:space="0" w:color="auto"/>
              <w:bottom w:val="nil"/>
            </w:tcBorders>
            <w:shd w:val="clear" w:color="auto" w:fill="FFFFFF"/>
          </w:tcPr>
          <w:p w14:paraId="2FB6AEBD" w14:textId="5223E8E7" w:rsidR="00E713B0" w:rsidRPr="0009445C" w:rsidRDefault="00E713B0" w:rsidP="00E713B0">
            <w:pPr>
              <w:pStyle w:val="BRL-Tabelle"/>
              <w:spacing w:before="60" w:after="40"/>
              <w:ind w:left="113" w:right="113"/>
            </w:pPr>
            <w:r w:rsidRPr="0009445C">
              <w:t>Highly fire-retardant (load-bearing combustible parts, non-combustible* with insulation materials and fire-protective cladding of 60 min. made of non-combustible* building materials) according to Section 4 of the Technical Rule under ser. No A 2.2.1.4</w:t>
            </w:r>
            <w:r w:rsidRPr="0009445C">
              <w:rPr>
                <w:vertAlign w:val="superscript"/>
              </w:rPr>
              <w:t>4</w:t>
            </w:r>
          </w:p>
        </w:tc>
        <w:tc>
          <w:tcPr>
            <w:tcW w:w="3375" w:type="dxa"/>
            <w:tcBorders>
              <w:top w:val="single" w:sz="4" w:space="0" w:color="auto"/>
            </w:tcBorders>
            <w:shd w:val="clear" w:color="auto" w:fill="auto"/>
          </w:tcPr>
          <w:p w14:paraId="0E5A485A" w14:textId="77777777" w:rsidR="00E713B0" w:rsidRPr="0009445C" w:rsidRDefault="00E713B0" w:rsidP="00E713B0">
            <w:pPr>
              <w:pStyle w:val="BRL-Tabelle"/>
              <w:spacing w:before="60" w:after="40"/>
              <w:ind w:left="113" w:right="113"/>
            </w:pPr>
            <w:r w:rsidRPr="0009445C">
              <w:t>Highly fire-retardant (load-bearing combustible parts, non-combustible* with insulation materials and fire-protective cladding of 60 min. made of non-combustible building materials) according to Section 4 of the Technical Rule under ser. No A 2.2.1.4</w:t>
            </w:r>
          </w:p>
        </w:tc>
        <w:tc>
          <w:tcPr>
            <w:tcW w:w="1885" w:type="dxa"/>
            <w:tcBorders>
              <w:top w:val="single" w:sz="4" w:space="0" w:color="auto"/>
              <w:right w:val="single" w:sz="2" w:space="0" w:color="auto"/>
            </w:tcBorders>
            <w:shd w:val="clear" w:color="auto" w:fill="auto"/>
          </w:tcPr>
          <w:p w14:paraId="3896674F" w14:textId="77777777" w:rsidR="00E713B0" w:rsidRPr="0009445C" w:rsidRDefault="00E713B0" w:rsidP="00E713B0">
            <w:pPr>
              <w:pStyle w:val="BRL-Tabelle"/>
              <w:spacing w:before="60" w:after="40"/>
              <w:ind w:left="113" w:right="113"/>
            </w:pPr>
            <w:r w:rsidRPr="0009445C">
              <w:t>-</w:t>
            </w:r>
          </w:p>
        </w:tc>
      </w:tr>
      <w:tr w:rsidR="00E713B0" w:rsidRPr="0009445C" w14:paraId="48F3BDD6" w14:textId="77777777" w:rsidTr="00E713B0">
        <w:trPr>
          <w:cantSplit/>
        </w:trPr>
        <w:tc>
          <w:tcPr>
            <w:tcW w:w="434" w:type="dxa"/>
            <w:tcBorders>
              <w:left w:val="single" w:sz="2" w:space="0" w:color="auto"/>
              <w:bottom w:val="single" w:sz="2" w:space="0" w:color="595959"/>
            </w:tcBorders>
            <w:shd w:val="clear" w:color="auto" w:fill="FFFFFF"/>
          </w:tcPr>
          <w:p w14:paraId="6B5BD155" w14:textId="77777777" w:rsidR="00E713B0" w:rsidRPr="0009445C" w:rsidRDefault="00E713B0" w:rsidP="00E713B0">
            <w:pPr>
              <w:pStyle w:val="BRL-Tabelle"/>
              <w:spacing w:before="60" w:after="40"/>
              <w:jc w:val="center"/>
              <w:rPr>
                <w:b/>
              </w:rPr>
            </w:pPr>
            <w:r w:rsidRPr="0009445C">
              <w:rPr>
                <w:b/>
              </w:rPr>
              <w:t>9</w:t>
            </w:r>
          </w:p>
        </w:tc>
        <w:tc>
          <w:tcPr>
            <w:tcW w:w="3378" w:type="dxa"/>
            <w:tcBorders>
              <w:left w:val="single" w:sz="2" w:space="0" w:color="auto"/>
              <w:bottom w:val="single" w:sz="2" w:space="0" w:color="595959"/>
            </w:tcBorders>
            <w:shd w:val="clear" w:color="auto" w:fill="FFFFFF"/>
          </w:tcPr>
          <w:p w14:paraId="3C7A9D7E" w14:textId="77777777" w:rsidR="00E713B0" w:rsidRPr="0009445C" w:rsidRDefault="00E713B0" w:rsidP="00E713B0">
            <w:pPr>
              <w:pStyle w:val="BRL-Tabelle"/>
              <w:spacing w:before="60" w:after="40"/>
              <w:ind w:left="113" w:right="113"/>
            </w:pPr>
            <w:r w:rsidRPr="0009445C">
              <w:t>Highly fire-retardant and made of non-combustible materials</w:t>
            </w:r>
          </w:p>
        </w:tc>
        <w:tc>
          <w:tcPr>
            <w:tcW w:w="3375" w:type="dxa"/>
            <w:tcBorders>
              <w:bottom w:val="single" w:sz="2" w:space="0" w:color="595959"/>
            </w:tcBorders>
            <w:shd w:val="clear" w:color="auto" w:fill="auto"/>
          </w:tcPr>
          <w:p w14:paraId="46F8CF1A" w14:textId="77777777" w:rsidR="00E713B0" w:rsidRPr="0009445C" w:rsidRDefault="00E713B0" w:rsidP="00E713B0">
            <w:pPr>
              <w:pStyle w:val="BRL-Tabelle"/>
              <w:spacing w:before="60" w:after="40"/>
              <w:ind w:left="113" w:right="113"/>
            </w:pPr>
            <w:r w:rsidRPr="0009445C">
              <w:t>Fire resistance class F 60 and made of non-combustible building materials</w:t>
            </w:r>
          </w:p>
        </w:tc>
        <w:tc>
          <w:tcPr>
            <w:tcW w:w="1885" w:type="dxa"/>
            <w:tcBorders>
              <w:bottom w:val="single" w:sz="2" w:space="0" w:color="595959"/>
              <w:right w:val="single" w:sz="2" w:space="0" w:color="auto"/>
            </w:tcBorders>
            <w:shd w:val="clear" w:color="auto" w:fill="auto"/>
          </w:tcPr>
          <w:p w14:paraId="522DFA9A" w14:textId="77777777" w:rsidR="00E713B0" w:rsidRPr="0009445C" w:rsidRDefault="00E713B0" w:rsidP="00E713B0">
            <w:pPr>
              <w:pStyle w:val="BRL-Tabelle"/>
              <w:spacing w:before="60" w:after="40"/>
              <w:ind w:left="113" w:right="113"/>
            </w:pPr>
            <w:r w:rsidRPr="0009445C">
              <w:t>F 60-A</w:t>
            </w:r>
            <w:r w:rsidRPr="0009445C">
              <w:rPr>
                <w:vertAlign w:val="superscript"/>
              </w:rPr>
              <w:t>2,3</w:t>
            </w:r>
          </w:p>
        </w:tc>
      </w:tr>
      <w:tr w:rsidR="00E713B0" w:rsidRPr="0009445C" w14:paraId="71175284" w14:textId="77777777" w:rsidTr="00E713B0">
        <w:trPr>
          <w:cantSplit/>
        </w:trPr>
        <w:tc>
          <w:tcPr>
            <w:tcW w:w="434" w:type="dxa"/>
            <w:tcBorders>
              <w:top w:val="single" w:sz="2" w:space="0" w:color="595959"/>
              <w:left w:val="single" w:sz="2" w:space="0" w:color="auto"/>
              <w:bottom w:val="single" w:sz="4" w:space="0" w:color="auto"/>
            </w:tcBorders>
            <w:shd w:val="clear" w:color="auto" w:fill="FFFFFF"/>
          </w:tcPr>
          <w:p w14:paraId="49C6970E" w14:textId="77777777" w:rsidR="00E713B0" w:rsidRPr="0009445C" w:rsidRDefault="00E713B0" w:rsidP="00E713B0">
            <w:pPr>
              <w:pStyle w:val="BRL-Tabelle"/>
              <w:spacing w:before="60" w:after="40"/>
              <w:jc w:val="center"/>
              <w:rPr>
                <w:b/>
              </w:rPr>
            </w:pPr>
            <w:r w:rsidRPr="0009445C">
              <w:rPr>
                <w:b/>
              </w:rPr>
              <w:t>10</w:t>
            </w:r>
          </w:p>
        </w:tc>
        <w:tc>
          <w:tcPr>
            <w:tcW w:w="3378" w:type="dxa"/>
            <w:tcBorders>
              <w:top w:val="single" w:sz="2" w:space="0" w:color="595959"/>
              <w:left w:val="single" w:sz="2" w:space="0" w:color="auto"/>
              <w:bottom w:val="single" w:sz="4" w:space="0" w:color="auto"/>
            </w:tcBorders>
            <w:shd w:val="clear" w:color="auto" w:fill="FFFFFF"/>
          </w:tcPr>
          <w:p w14:paraId="629DC588" w14:textId="77777777" w:rsidR="00E713B0" w:rsidRPr="0009445C" w:rsidRDefault="00E713B0" w:rsidP="00E713B0">
            <w:pPr>
              <w:pStyle w:val="BRL-Tabelle"/>
              <w:spacing w:before="60" w:after="40"/>
              <w:ind w:left="113" w:right="113"/>
            </w:pPr>
            <w:r w:rsidRPr="0009445C">
              <w:t>Fire-resistant (non-combustible load-bearing and reinforced parts)</w:t>
            </w:r>
          </w:p>
        </w:tc>
        <w:tc>
          <w:tcPr>
            <w:tcW w:w="3375" w:type="dxa"/>
            <w:tcBorders>
              <w:top w:val="single" w:sz="2" w:space="0" w:color="595959"/>
              <w:bottom w:val="single" w:sz="4" w:space="0" w:color="auto"/>
            </w:tcBorders>
            <w:shd w:val="clear" w:color="auto" w:fill="auto"/>
          </w:tcPr>
          <w:p w14:paraId="59AFDD41" w14:textId="77777777" w:rsidR="00E713B0" w:rsidRPr="0009445C" w:rsidRDefault="00E713B0" w:rsidP="00E713B0">
            <w:pPr>
              <w:pStyle w:val="BRL-Tabelle"/>
              <w:spacing w:before="60" w:after="40"/>
              <w:ind w:left="113" w:right="113"/>
            </w:pPr>
            <w:r w:rsidRPr="0009445C">
              <w:t>Fire resistance class F 90 and essential parts made of non-combustible building materials</w:t>
            </w:r>
          </w:p>
        </w:tc>
        <w:tc>
          <w:tcPr>
            <w:tcW w:w="1885" w:type="dxa"/>
            <w:tcBorders>
              <w:top w:val="single" w:sz="2" w:space="0" w:color="595959"/>
              <w:bottom w:val="single" w:sz="4" w:space="0" w:color="auto"/>
              <w:right w:val="single" w:sz="2" w:space="0" w:color="auto"/>
            </w:tcBorders>
            <w:shd w:val="clear" w:color="auto" w:fill="auto"/>
          </w:tcPr>
          <w:p w14:paraId="4AC7E134" w14:textId="46AAC394" w:rsidR="00E713B0" w:rsidRPr="0009445C" w:rsidRDefault="00E713B0" w:rsidP="00E713B0">
            <w:pPr>
              <w:pStyle w:val="BRL-Tabelle"/>
              <w:spacing w:before="60" w:after="40"/>
              <w:ind w:left="113" w:right="113"/>
              <w:rPr>
                <w:vertAlign w:val="superscript"/>
              </w:rPr>
            </w:pPr>
            <w:r w:rsidRPr="0009445C">
              <w:t>F 90-AB</w:t>
            </w:r>
            <w:r w:rsidRPr="0009445C">
              <w:rPr>
                <w:vertAlign w:val="superscript"/>
              </w:rPr>
              <w:t>5,6</w:t>
            </w:r>
          </w:p>
        </w:tc>
      </w:tr>
      <w:tr w:rsidR="00E713B0" w:rsidRPr="0009445C" w14:paraId="3E160552" w14:textId="77777777" w:rsidTr="00E713B0">
        <w:trPr>
          <w:cantSplit/>
        </w:trPr>
        <w:tc>
          <w:tcPr>
            <w:tcW w:w="434" w:type="dxa"/>
            <w:tcBorders>
              <w:top w:val="single" w:sz="4" w:space="0" w:color="auto"/>
              <w:left w:val="single" w:sz="2" w:space="0" w:color="auto"/>
              <w:bottom w:val="single" w:sz="4" w:space="0" w:color="auto"/>
            </w:tcBorders>
            <w:shd w:val="clear" w:color="auto" w:fill="FFFFFF"/>
          </w:tcPr>
          <w:p w14:paraId="26C58EDC" w14:textId="77777777" w:rsidR="00E713B0" w:rsidRPr="0009445C" w:rsidRDefault="00E713B0" w:rsidP="00E713B0">
            <w:pPr>
              <w:pStyle w:val="BRL-Tabelle"/>
              <w:spacing w:before="60" w:after="40"/>
              <w:jc w:val="center"/>
              <w:rPr>
                <w:b/>
              </w:rPr>
            </w:pPr>
            <w:r w:rsidRPr="0009445C">
              <w:rPr>
                <w:b/>
              </w:rPr>
              <w:t>11</w:t>
            </w:r>
          </w:p>
        </w:tc>
        <w:tc>
          <w:tcPr>
            <w:tcW w:w="3378" w:type="dxa"/>
            <w:tcBorders>
              <w:top w:val="single" w:sz="4" w:space="0" w:color="auto"/>
              <w:left w:val="single" w:sz="2" w:space="0" w:color="auto"/>
              <w:bottom w:val="single" w:sz="4" w:space="0" w:color="auto"/>
            </w:tcBorders>
            <w:shd w:val="clear" w:color="auto" w:fill="FFFFFF"/>
          </w:tcPr>
          <w:p w14:paraId="04065FF9" w14:textId="77777777" w:rsidR="00E713B0" w:rsidRPr="0009445C" w:rsidRDefault="00E713B0" w:rsidP="00E713B0">
            <w:pPr>
              <w:pStyle w:val="BRL-Tabelle"/>
              <w:spacing w:before="60" w:after="40"/>
              <w:ind w:left="113" w:right="113"/>
            </w:pPr>
            <w:r w:rsidRPr="0009445C">
              <w:t>Fire-resistant and made of non-combustible* building materials</w:t>
            </w:r>
          </w:p>
        </w:tc>
        <w:tc>
          <w:tcPr>
            <w:tcW w:w="3375" w:type="dxa"/>
            <w:tcBorders>
              <w:top w:val="single" w:sz="4" w:space="0" w:color="auto"/>
              <w:bottom w:val="single" w:sz="4" w:space="0" w:color="auto"/>
            </w:tcBorders>
            <w:shd w:val="clear" w:color="auto" w:fill="auto"/>
          </w:tcPr>
          <w:p w14:paraId="039C82F7" w14:textId="77777777" w:rsidR="00E713B0" w:rsidRPr="0009445C" w:rsidRDefault="00E713B0" w:rsidP="00E713B0">
            <w:pPr>
              <w:pStyle w:val="BRL-Tabelle"/>
              <w:spacing w:before="60" w:after="40"/>
              <w:ind w:left="113" w:right="113"/>
            </w:pPr>
            <w:r w:rsidRPr="0009445C">
              <w:t>Fire resistance class F 90 and made of non-combustible building materials</w:t>
            </w:r>
          </w:p>
        </w:tc>
        <w:tc>
          <w:tcPr>
            <w:tcW w:w="1885" w:type="dxa"/>
            <w:tcBorders>
              <w:top w:val="single" w:sz="4" w:space="0" w:color="auto"/>
              <w:bottom w:val="single" w:sz="4" w:space="0" w:color="auto"/>
              <w:right w:val="single" w:sz="2" w:space="0" w:color="auto"/>
            </w:tcBorders>
            <w:shd w:val="clear" w:color="auto" w:fill="auto"/>
          </w:tcPr>
          <w:p w14:paraId="2658F75A" w14:textId="201DE08E" w:rsidR="00E713B0" w:rsidRPr="0009445C" w:rsidRDefault="00E713B0" w:rsidP="00E713B0">
            <w:pPr>
              <w:pStyle w:val="BRL-Tabelle"/>
              <w:spacing w:before="60" w:after="40"/>
              <w:ind w:left="113" w:right="113"/>
            </w:pPr>
            <w:r w:rsidRPr="0009445C">
              <w:t>F 90-A</w:t>
            </w:r>
            <w:r w:rsidRPr="0009445C">
              <w:rPr>
                <w:vertAlign w:val="superscript"/>
              </w:rPr>
              <w:t>, 5,6</w:t>
            </w:r>
          </w:p>
        </w:tc>
      </w:tr>
      <w:tr w:rsidR="00E713B0" w:rsidRPr="0009445C" w14:paraId="043BE6BE" w14:textId="77777777" w:rsidTr="00E713B0">
        <w:trPr>
          <w:cantSplit/>
        </w:trPr>
        <w:tc>
          <w:tcPr>
            <w:tcW w:w="434" w:type="dxa"/>
            <w:tcBorders>
              <w:top w:val="single" w:sz="4" w:space="0" w:color="auto"/>
              <w:left w:val="single" w:sz="4" w:space="0" w:color="auto"/>
              <w:bottom w:val="single" w:sz="4" w:space="0" w:color="auto"/>
              <w:right w:val="single" w:sz="4" w:space="0" w:color="auto"/>
            </w:tcBorders>
            <w:shd w:val="clear" w:color="auto" w:fill="FFFFFF"/>
          </w:tcPr>
          <w:p w14:paraId="6DD6FB85" w14:textId="77777777" w:rsidR="00E713B0" w:rsidRPr="0009445C" w:rsidRDefault="00E713B0" w:rsidP="00E713B0">
            <w:pPr>
              <w:pStyle w:val="BRL-Tabelle"/>
              <w:spacing w:before="60" w:after="40"/>
              <w:jc w:val="center"/>
              <w:rPr>
                <w:b/>
              </w:rPr>
            </w:pPr>
            <w:r w:rsidRPr="0009445C">
              <w:rPr>
                <w:b/>
              </w:rPr>
              <w:t>12</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14:paraId="6B7C0A43" w14:textId="77777777" w:rsidR="00E713B0" w:rsidRPr="0009445C" w:rsidRDefault="00E713B0" w:rsidP="00E713B0">
            <w:pPr>
              <w:pStyle w:val="BRL-Tabelle"/>
              <w:spacing w:before="60" w:after="40"/>
              <w:ind w:left="113" w:right="113"/>
            </w:pPr>
            <w:r w:rsidRPr="0009445C">
              <w:t>Firewall (including fire-resistant and non-combustible building materials under additional mechanical stress)</w:t>
            </w:r>
          </w:p>
        </w:tc>
        <w:tc>
          <w:tcPr>
            <w:tcW w:w="3375" w:type="dxa"/>
            <w:tcBorders>
              <w:top w:val="single" w:sz="4" w:space="0" w:color="auto"/>
              <w:left w:val="single" w:sz="4" w:space="0" w:color="auto"/>
              <w:bottom w:val="single" w:sz="4" w:space="0" w:color="auto"/>
              <w:right w:val="single" w:sz="4" w:space="0" w:color="auto"/>
            </w:tcBorders>
            <w:shd w:val="clear" w:color="auto" w:fill="auto"/>
          </w:tcPr>
          <w:p w14:paraId="10A28A61" w14:textId="77777777" w:rsidR="00E713B0" w:rsidRPr="0009445C" w:rsidRDefault="00E713B0" w:rsidP="00E713B0">
            <w:pPr>
              <w:pStyle w:val="BRL-Tabelle"/>
              <w:spacing w:before="60" w:after="40"/>
              <w:ind w:left="113" w:right="113"/>
            </w:pPr>
            <w:r w:rsidRPr="0009445C">
              <w:t>Firewall</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6A35D37" w14:textId="77777777" w:rsidR="00E713B0" w:rsidRPr="0009445C" w:rsidRDefault="00E713B0" w:rsidP="00E713B0">
            <w:pPr>
              <w:pStyle w:val="BRL-Tabelle"/>
              <w:spacing w:before="60" w:after="40"/>
              <w:ind w:left="113" w:right="113"/>
            </w:pPr>
            <w:r w:rsidRPr="0009445C">
              <w:t>-</w:t>
            </w:r>
          </w:p>
        </w:tc>
      </w:tr>
      <w:tr w:rsidR="00E713B0" w:rsidRPr="0009445C" w14:paraId="3A2FF507" w14:textId="77777777" w:rsidTr="00E713B0">
        <w:trPr>
          <w:cantSplit/>
        </w:trPr>
        <w:tc>
          <w:tcPr>
            <w:tcW w:w="434" w:type="dxa"/>
            <w:tcBorders>
              <w:top w:val="single" w:sz="4" w:space="0" w:color="auto"/>
              <w:left w:val="single" w:sz="2" w:space="0" w:color="auto"/>
              <w:bottom w:val="single" w:sz="2" w:space="0" w:color="595959"/>
            </w:tcBorders>
            <w:shd w:val="clear" w:color="auto" w:fill="FFFFFF"/>
          </w:tcPr>
          <w:p w14:paraId="090FBFBF" w14:textId="77777777" w:rsidR="00E713B0" w:rsidRPr="0009445C" w:rsidRDefault="00E713B0" w:rsidP="00E713B0">
            <w:pPr>
              <w:pStyle w:val="BRL-Tabelle"/>
              <w:spacing w:before="60" w:after="40"/>
              <w:jc w:val="center"/>
              <w:rPr>
                <w:b/>
              </w:rPr>
            </w:pPr>
            <w:r w:rsidRPr="0009445C">
              <w:rPr>
                <w:b/>
              </w:rPr>
              <w:t>13</w:t>
            </w:r>
          </w:p>
        </w:tc>
        <w:tc>
          <w:tcPr>
            <w:tcW w:w="3378" w:type="dxa"/>
            <w:tcBorders>
              <w:top w:val="single" w:sz="4" w:space="0" w:color="auto"/>
              <w:left w:val="single" w:sz="2" w:space="0" w:color="auto"/>
              <w:bottom w:val="single" w:sz="2" w:space="0" w:color="595959"/>
            </w:tcBorders>
            <w:shd w:val="clear" w:color="auto" w:fill="FFFFFF"/>
          </w:tcPr>
          <w:p w14:paraId="3C3BC91F" w14:textId="77777777" w:rsidR="00E713B0" w:rsidRPr="0009445C" w:rsidRDefault="00E713B0" w:rsidP="00E713B0">
            <w:pPr>
              <w:pStyle w:val="BRL-Tabelle"/>
              <w:spacing w:before="60" w:after="40"/>
              <w:ind w:left="113" w:right="113"/>
            </w:pPr>
            <w:r w:rsidRPr="0009445C">
              <w:t>Wall in the type of firewalls (fire resistant and non-combustible* building materials)</w:t>
            </w:r>
          </w:p>
        </w:tc>
        <w:tc>
          <w:tcPr>
            <w:tcW w:w="3375" w:type="dxa"/>
            <w:tcBorders>
              <w:top w:val="single" w:sz="4" w:space="0" w:color="auto"/>
              <w:bottom w:val="single" w:sz="2" w:space="0" w:color="595959"/>
            </w:tcBorders>
            <w:shd w:val="clear" w:color="auto" w:fill="auto"/>
          </w:tcPr>
          <w:p w14:paraId="5C9F6FB8" w14:textId="77777777" w:rsidR="00E713B0" w:rsidRPr="0009445C" w:rsidRDefault="00E713B0" w:rsidP="00E713B0">
            <w:pPr>
              <w:pStyle w:val="BRL-Tabelle"/>
              <w:spacing w:before="60" w:after="40"/>
              <w:ind w:left="113" w:right="113"/>
            </w:pPr>
            <w:r w:rsidRPr="0009445C">
              <w:t>Wall in the type of firewalls (fire resistant and non-combustible* building materials)</w:t>
            </w:r>
          </w:p>
        </w:tc>
        <w:tc>
          <w:tcPr>
            <w:tcW w:w="1885" w:type="dxa"/>
            <w:tcBorders>
              <w:top w:val="single" w:sz="4" w:space="0" w:color="auto"/>
              <w:bottom w:val="single" w:sz="2" w:space="0" w:color="595959"/>
              <w:right w:val="single" w:sz="2" w:space="0" w:color="auto"/>
            </w:tcBorders>
            <w:shd w:val="clear" w:color="auto" w:fill="auto"/>
          </w:tcPr>
          <w:p w14:paraId="6B8DCE4B" w14:textId="77777777" w:rsidR="00E713B0" w:rsidRPr="0009445C" w:rsidRDefault="00E713B0" w:rsidP="00E713B0">
            <w:pPr>
              <w:pStyle w:val="BRL-Tabelle"/>
              <w:spacing w:before="60" w:after="40"/>
              <w:ind w:left="113" w:right="113"/>
            </w:pPr>
            <w:r w:rsidRPr="0009445C">
              <w:t>-</w:t>
            </w:r>
          </w:p>
        </w:tc>
      </w:tr>
      <w:tr w:rsidR="00E713B0" w:rsidRPr="0009445C" w14:paraId="29C325D3" w14:textId="77777777" w:rsidTr="00E713B0">
        <w:trPr>
          <w:cantSplit/>
        </w:trPr>
        <w:tc>
          <w:tcPr>
            <w:tcW w:w="434" w:type="dxa"/>
            <w:tcBorders>
              <w:left w:val="single" w:sz="2" w:space="0" w:color="auto"/>
              <w:bottom w:val="single" w:sz="2" w:space="0" w:color="595959"/>
            </w:tcBorders>
            <w:shd w:val="clear" w:color="auto" w:fill="FFFFFF"/>
          </w:tcPr>
          <w:p w14:paraId="5CD7E907" w14:textId="77777777" w:rsidR="00E713B0" w:rsidRPr="0009445C" w:rsidRDefault="00E713B0" w:rsidP="00E713B0">
            <w:pPr>
              <w:pStyle w:val="BRL-Tabelle"/>
              <w:jc w:val="center"/>
              <w:rPr>
                <w:b/>
              </w:rPr>
            </w:pPr>
            <w:r w:rsidRPr="0009445C">
              <w:rPr>
                <w:b/>
              </w:rPr>
              <w:t>14</w:t>
            </w:r>
          </w:p>
        </w:tc>
        <w:tc>
          <w:tcPr>
            <w:tcW w:w="3378" w:type="dxa"/>
            <w:tcBorders>
              <w:left w:val="single" w:sz="2" w:space="0" w:color="auto"/>
              <w:bottom w:val="single" w:sz="2" w:space="0" w:color="595959"/>
            </w:tcBorders>
            <w:shd w:val="clear" w:color="auto" w:fill="FFFFFF"/>
          </w:tcPr>
          <w:p w14:paraId="6213A96D" w14:textId="353C6E9E" w:rsidR="00E713B0" w:rsidRPr="0009445C" w:rsidRDefault="00E713B0" w:rsidP="00E713B0">
            <w:pPr>
              <w:pStyle w:val="BRL-Tabelle"/>
              <w:ind w:left="113" w:right="113"/>
            </w:pPr>
            <w:r w:rsidRPr="0009445C">
              <w:t>Wall instead of a firewall</w:t>
            </w:r>
            <w:r w:rsidRPr="0009445C">
              <w:br/>
              <w:t>highly fire-retardant (load-bearing combustible parts, non-combustible* with insulation materials and fire-protective cladding of 60 min. made of non-combustible building materials) according to Section 4 of the Technical Rule under ser. No A 2.2.1.4</w:t>
            </w:r>
            <w:r w:rsidRPr="0009445C">
              <w:rPr>
                <w:vertAlign w:val="superscript"/>
              </w:rPr>
              <w:t>4</w:t>
            </w:r>
          </w:p>
        </w:tc>
        <w:tc>
          <w:tcPr>
            <w:tcW w:w="3375" w:type="dxa"/>
            <w:tcBorders>
              <w:bottom w:val="single" w:sz="2" w:space="0" w:color="595959"/>
            </w:tcBorders>
            <w:shd w:val="clear" w:color="auto" w:fill="auto"/>
          </w:tcPr>
          <w:p w14:paraId="2757AC6A" w14:textId="77777777" w:rsidR="00E713B0" w:rsidRPr="0009445C" w:rsidRDefault="00E713B0" w:rsidP="00E713B0">
            <w:pPr>
              <w:pStyle w:val="BRL-Tabelle"/>
              <w:ind w:left="113" w:right="113"/>
            </w:pPr>
            <w:r w:rsidRPr="0009445C">
              <w:t>Wall instead of a firewall</w:t>
            </w:r>
            <w:r w:rsidRPr="0009445C">
              <w:br/>
              <w:t>highly fire-retardant (load-bearing combustible parts, non-combustible* with insulation materials and fire-protective cladding of 60 min. made of non-combustible building materials) according to Section 4 of the Technical Rule under ser. No A 2.2.1.4</w:t>
            </w:r>
          </w:p>
        </w:tc>
        <w:tc>
          <w:tcPr>
            <w:tcW w:w="1885" w:type="dxa"/>
            <w:tcBorders>
              <w:bottom w:val="single" w:sz="2" w:space="0" w:color="595959"/>
              <w:right w:val="single" w:sz="2" w:space="0" w:color="auto"/>
            </w:tcBorders>
            <w:shd w:val="clear" w:color="auto" w:fill="auto"/>
          </w:tcPr>
          <w:p w14:paraId="697E34F9" w14:textId="77777777" w:rsidR="00E713B0" w:rsidRPr="0009445C" w:rsidRDefault="00E713B0" w:rsidP="00E713B0">
            <w:pPr>
              <w:pStyle w:val="BRL-Tabelle"/>
              <w:spacing w:before="60" w:after="40"/>
              <w:ind w:left="113" w:right="113"/>
            </w:pPr>
            <w:r w:rsidRPr="0009445C">
              <w:t>-</w:t>
            </w:r>
          </w:p>
        </w:tc>
      </w:tr>
      <w:tr w:rsidR="00E713B0" w:rsidRPr="0009445C" w14:paraId="16861210"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3E8EE2AC" w14:textId="77777777" w:rsidR="00E713B0" w:rsidRPr="0009445C" w:rsidRDefault="00E713B0" w:rsidP="00E713B0">
            <w:pPr>
              <w:pStyle w:val="BRL-Tabelle"/>
              <w:spacing w:before="60" w:after="40"/>
              <w:jc w:val="center"/>
              <w:rPr>
                <w:b/>
              </w:rPr>
            </w:pPr>
            <w:r w:rsidRPr="0009445C">
              <w:rPr>
                <w:b/>
              </w:rPr>
              <w:t>15</w:t>
            </w:r>
          </w:p>
        </w:tc>
        <w:tc>
          <w:tcPr>
            <w:tcW w:w="3378" w:type="dxa"/>
            <w:tcBorders>
              <w:top w:val="single" w:sz="2" w:space="0" w:color="595959"/>
              <w:left w:val="single" w:sz="2" w:space="0" w:color="auto"/>
              <w:bottom w:val="single" w:sz="2" w:space="0" w:color="auto"/>
            </w:tcBorders>
            <w:shd w:val="clear" w:color="auto" w:fill="FFFFFF"/>
          </w:tcPr>
          <w:p w14:paraId="0A9AC438" w14:textId="77777777" w:rsidR="00E713B0" w:rsidRPr="0009445C" w:rsidRDefault="00E713B0" w:rsidP="00E713B0">
            <w:pPr>
              <w:pStyle w:val="BRL-Tabelle"/>
              <w:spacing w:before="60" w:after="40"/>
              <w:ind w:left="113" w:right="113"/>
            </w:pPr>
            <w:r w:rsidRPr="0009445C">
              <w:t xml:space="preserve">Wall instead of a firewall </w:t>
            </w:r>
            <w:r w:rsidRPr="0009445C">
              <w:br/>
              <w:t>highly fire-retardant and made of non-combustible* building materials and stable even under additional mechanical stress</w:t>
            </w:r>
          </w:p>
        </w:tc>
        <w:tc>
          <w:tcPr>
            <w:tcW w:w="3375" w:type="dxa"/>
            <w:tcBorders>
              <w:top w:val="single" w:sz="2" w:space="0" w:color="595959"/>
              <w:bottom w:val="single" w:sz="2" w:space="0" w:color="auto"/>
            </w:tcBorders>
            <w:shd w:val="clear" w:color="auto" w:fill="auto"/>
          </w:tcPr>
          <w:p w14:paraId="6E6642C0" w14:textId="77777777" w:rsidR="00E713B0" w:rsidRPr="0009445C" w:rsidRDefault="00E713B0" w:rsidP="00E713B0">
            <w:pPr>
              <w:pStyle w:val="BRL-Tabelle"/>
              <w:spacing w:before="60" w:after="40"/>
              <w:ind w:left="113" w:right="113"/>
            </w:pPr>
            <w:r w:rsidRPr="0009445C">
              <w:t xml:space="preserve">Wall instead of a firewall </w:t>
            </w:r>
            <w:r w:rsidRPr="0009445C">
              <w:br/>
              <w:t>highly fire-retardant and made of non-combustible building materials and stable even under additional mechanical stress</w:t>
            </w:r>
          </w:p>
        </w:tc>
        <w:tc>
          <w:tcPr>
            <w:tcW w:w="1885" w:type="dxa"/>
            <w:tcBorders>
              <w:top w:val="single" w:sz="2" w:space="0" w:color="595959"/>
              <w:bottom w:val="single" w:sz="2" w:space="0" w:color="auto"/>
              <w:right w:val="single" w:sz="2" w:space="0" w:color="auto"/>
            </w:tcBorders>
            <w:shd w:val="clear" w:color="auto" w:fill="auto"/>
          </w:tcPr>
          <w:p w14:paraId="641BB89C" w14:textId="77777777" w:rsidR="00E713B0" w:rsidRPr="0009445C" w:rsidRDefault="00E713B0" w:rsidP="00E713B0">
            <w:pPr>
              <w:pStyle w:val="BRL-Tabelle"/>
              <w:spacing w:before="60" w:after="40"/>
              <w:ind w:left="113" w:right="113"/>
            </w:pPr>
            <w:r w:rsidRPr="0009445C">
              <w:t>-</w:t>
            </w:r>
          </w:p>
        </w:tc>
      </w:tr>
      <w:tr w:rsidR="00E713B0" w:rsidRPr="0009445C" w14:paraId="52B7BAD8"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306FBE0A" w14:textId="77777777" w:rsidR="00E713B0" w:rsidRPr="0009445C" w:rsidRDefault="00E713B0" w:rsidP="00E713B0">
            <w:pPr>
              <w:pStyle w:val="BRL-Tabelle"/>
              <w:spacing w:before="60" w:after="40"/>
              <w:jc w:val="center"/>
              <w:rPr>
                <w:b/>
              </w:rPr>
            </w:pPr>
            <w:r w:rsidRPr="0009445C">
              <w:rPr>
                <w:b/>
              </w:rPr>
              <w:t>16</w:t>
            </w:r>
          </w:p>
        </w:tc>
        <w:tc>
          <w:tcPr>
            <w:tcW w:w="3378" w:type="dxa"/>
            <w:tcBorders>
              <w:top w:val="single" w:sz="2" w:space="0" w:color="595959"/>
              <w:left w:val="single" w:sz="2" w:space="0" w:color="auto"/>
              <w:bottom w:val="single" w:sz="2" w:space="0" w:color="auto"/>
            </w:tcBorders>
            <w:shd w:val="clear" w:color="auto" w:fill="FFFFFF"/>
          </w:tcPr>
          <w:p w14:paraId="49DA5163" w14:textId="77777777" w:rsidR="00E713B0" w:rsidRPr="0009445C" w:rsidRDefault="00E713B0" w:rsidP="00E713B0">
            <w:pPr>
              <w:pStyle w:val="BRL-Tabelle"/>
              <w:spacing w:before="60" w:after="40"/>
              <w:ind w:left="113" w:right="113"/>
            </w:pPr>
            <w:r w:rsidRPr="0009445C">
              <w:t>Wall instead of a firewall highly fire-retardant and in the essential parts of non-combustible** building materials also under additional mechanical stress stable</w:t>
            </w:r>
          </w:p>
        </w:tc>
        <w:tc>
          <w:tcPr>
            <w:tcW w:w="3375" w:type="dxa"/>
            <w:tcBorders>
              <w:top w:val="single" w:sz="2" w:space="0" w:color="595959"/>
              <w:bottom w:val="single" w:sz="2" w:space="0" w:color="auto"/>
            </w:tcBorders>
            <w:shd w:val="clear" w:color="auto" w:fill="auto"/>
          </w:tcPr>
          <w:p w14:paraId="57710EF1" w14:textId="77777777" w:rsidR="00E713B0" w:rsidRPr="0009445C" w:rsidRDefault="00E713B0" w:rsidP="00E713B0">
            <w:pPr>
              <w:pStyle w:val="BRL-Tabelle"/>
              <w:spacing w:before="60" w:after="40"/>
              <w:ind w:left="113" w:right="113"/>
            </w:pPr>
            <w:r w:rsidRPr="0009445C">
              <w:t>Wall instead of a firewall highly fire-retardant with essential parts made of non-combustible building materials and stable even under additional mechanical stress</w:t>
            </w:r>
          </w:p>
        </w:tc>
        <w:tc>
          <w:tcPr>
            <w:tcW w:w="1885" w:type="dxa"/>
            <w:tcBorders>
              <w:top w:val="single" w:sz="2" w:space="0" w:color="595959"/>
              <w:bottom w:val="single" w:sz="2" w:space="0" w:color="auto"/>
              <w:right w:val="single" w:sz="2" w:space="0" w:color="auto"/>
            </w:tcBorders>
            <w:shd w:val="clear" w:color="auto" w:fill="auto"/>
          </w:tcPr>
          <w:p w14:paraId="2757146F" w14:textId="77777777" w:rsidR="00E713B0" w:rsidRPr="0009445C" w:rsidRDefault="00E713B0" w:rsidP="00E713B0">
            <w:pPr>
              <w:pStyle w:val="BRL-Tabelle"/>
              <w:spacing w:before="60" w:after="40"/>
              <w:ind w:left="113" w:right="113"/>
            </w:pPr>
            <w:r w:rsidRPr="0009445C">
              <w:t>-</w:t>
            </w:r>
          </w:p>
        </w:tc>
      </w:tr>
      <w:tr w:rsidR="00E713B0" w:rsidRPr="0009445C" w14:paraId="7153F975"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6D87C61C" w14:textId="77777777" w:rsidR="00E713B0" w:rsidRPr="0009445C" w:rsidRDefault="00E713B0" w:rsidP="00E713B0">
            <w:pPr>
              <w:pStyle w:val="BRL-Tabelle"/>
              <w:spacing w:before="60" w:after="40"/>
              <w:jc w:val="center"/>
              <w:rPr>
                <w:b/>
              </w:rPr>
            </w:pPr>
            <w:r w:rsidRPr="0009445C">
              <w:rPr>
                <w:b/>
              </w:rPr>
              <w:t>17</w:t>
            </w:r>
          </w:p>
        </w:tc>
        <w:tc>
          <w:tcPr>
            <w:tcW w:w="3378" w:type="dxa"/>
            <w:tcBorders>
              <w:top w:val="single" w:sz="2" w:space="0" w:color="595959"/>
              <w:left w:val="single" w:sz="2" w:space="0" w:color="auto"/>
              <w:bottom w:val="single" w:sz="2" w:space="0" w:color="auto"/>
            </w:tcBorders>
            <w:shd w:val="clear" w:color="auto" w:fill="FFFFFF"/>
          </w:tcPr>
          <w:p w14:paraId="0CC8119E" w14:textId="77777777" w:rsidR="00E713B0" w:rsidRPr="0009445C" w:rsidRDefault="00E713B0" w:rsidP="00E713B0">
            <w:pPr>
              <w:pStyle w:val="BRL-Tabelle"/>
              <w:spacing w:before="60" w:after="40"/>
              <w:ind w:left="113" w:right="113"/>
            </w:pPr>
            <w:r w:rsidRPr="0009445C">
              <w:t>Building shell walls which, from the inside out, always have the fire resistance of the load-bearing and reinforced parts of the building (however, the building structural elements must be at least fire-retardant), and, from the outside in, have the fire resistivity of the fire-resistant building structural elements</w:t>
            </w:r>
          </w:p>
        </w:tc>
        <w:tc>
          <w:tcPr>
            <w:tcW w:w="3375" w:type="dxa"/>
            <w:tcBorders>
              <w:top w:val="single" w:sz="2" w:space="0" w:color="595959"/>
              <w:bottom w:val="single" w:sz="2" w:space="0" w:color="auto"/>
            </w:tcBorders>
            <w:shd w:val="clear" w:color="auto" w:fill="auto"/>
          </w:tcPr>
          <w:p w14:paraId="72588E2C" w14:textId="77777777" w:rsidR="00E713B0" w:rsidRPr="0009445C" w:rsidRDefault="00E713B0" w:rsidP="00E713B0">
            <w:pPr>
              <w:pStyle w:val="BRL-Tabelle"/>
              <w:spacing w:before="60" w:after="40"/>
              <w:ind w:left="113" w:right="113"/>
            </w:pPr>
            <w:r w:rsidRPr="0009445C">
              <w:t>Building shell walls which, from the inside out, always have the fire resistance of the load-bearing and reinforced parts of the building (however, the building structural elements must be at least fire-retardant), and, from the outside in, have the fire resistivity of the fire-resistant building structural elements.</w:t>
            </w:r>
          </w:p>
        </w:tc>
        <w:tc>
          <w:tcPr>
            <w:tcW w:w="1885" w:type="dxa"/>
            <w:tcBorders>
              <w:top w:val="single" w:sz="2" w:space="0" w:color="595959"/>
              <w:bottom w:val="single" w:sz="2" w:space="0" w:color="auto"/>
              <w:right w:val="single" w:sz="2" w:space="0" w:color="auto"/>
            </w:tcBorders>
            <w:shd w:val="clear" w:color="auto" w:fill="auto"/>
          </w:tcPr>
          <w:p w14:paraId="4A531B87" w14:textId="77777777" w:rsidR="00E713B0" w:rsidRPr="0009445C" w:rsidRDefault="00E713B0" w:rsidP="00E713B0">
            <w:pPr>
              <w:pStyle w:val="BRL-Tabelle"/>
              <w:spacing w:before="60" w:after="40"/>
              <w:ind w:left="113" w:right="113"/>
            </w:pPr>
            <w:r w:rsidRPr="0009445C">
              <w:t>F 30-B (from the inside) and F90-B (from the outside)</w:t>
            </w:r>
          </w:p>
        </w:tc>
      </w:tr>
      <w:tr w:rsidR="00E713B0" w:rsidRPr="0009445C" w14:paraId="229FCAB2"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3D960187" w14:textId="77777777" w:rsidR="00E713B0" w:rsidRPr="0009445C" w:rsidRDefault="00E713B0" w:rsidP="00E713B0">
            <w:pPr>
              <w:pStyle w:val="BRL-Tabelle"/>
              <w:spacing w:before="60" w:after="40"/>
              <w:jc w:val="center"/>
              <w:rPr>
                <w:b/>
              </w:rPr>
            </w:pPr>
            <w:r w:rsidRPr="0009445C">
              <w:rPr>
                <w:b/>
              </w:rPr>
              <w:t>18</w:t>
            </w:r>
          </w:p>
        </w:tc>
        <w:tc>
          <w:tcPr>
            <w:tcW w:w="3378" w:type="dxa"/>
            <w:tcBorders>
              <w:top w:val="single" w:sz="2" w:space="0" w:color="595959"/>
              <w:left w:val="single" w:sz="2" w:space="0" w:color="auto"/>
              <w:bottom w:val="single" w:sz="2" w:space="0" w:color="auto"/>
            </w:tcBorders>
            <w:shd w:val="clear" w:color="auto" w:fill="FFFFFF"/>
          </w:tcPr>
          <w:p w14:paraId="3EC573FB" w14:textId="77777777" w:rsidR="00E713B0" w:rsidRPr="0009445C" w:rsidRDefault="00E713B0" w:rsidP="00E713B0">
            <w:pPr>
              <w:pStyle w:val="BRL-Tabelle"/>
              <w:spacing w:before="60" w:after="40"/>
              <w:ind w:left="113" w:right="113"/>
            </w:pPr>
            <w:r w:rsidRPr="0009445C">
              <w:t>Fire resistance of 120 minutes and made of non-combustible building materials</w:t>
            </w:r>
          </w:p>
        </w:tc>
        <w:tc>
          <w:tcPr>
            <w:tcW w:w="3375" w:type="dxa"/>
            <w:tcBorders>
              <w:top w:val="single" w:sz="2" w:space="0" w:color="595959"/>
              <w:bottom w:val="single" w:sz="2" w:space="0" w:color="auto"/>
            </w:tcBorders>
            <w:shd w:val="clear" w:color="auto" w:fill="auto"/>
          </w:tcPr>
          <w:p w14:paraId="37FF3927" w14:textId="77777777" w:rsidR="00E713B0" w:rsidRPr="0009445C" w:rsidRDefault="00E713B0" w:rsidP="00E713B0">
            <w:pPr>
              <w:pStyle w:val="BRL-Tabelle"/>
              <w:spacing w:before="60" w:after="40"/>
              <w:ind w:left="113" w:right="113"/>
            </w:pPr>
            <w:r w:rsidRPr="0009445C">
              <w:t>Fire resistance class F 120 and made of non-combustible building materials</w:t>
            </w:r>
          </w:p>
        </w:tc>
        <w:tc>
          <w:tcPr>
            <w:tcW w:w="1885" w:type="dxa"/>
            <w:tcBorders>
              <w:top w:val="single" w:sz="2" w:space="0" w:color="595959"/>
              <w:bottom w:val="single" w:sz="2" w:space="0" w:color="auto"/>
              <w:right w:val="single" w:sz="2" w:space="0" w:color="auto"/>
            </w:tcBorders>
            <w:shd w:val="clear" w:color="auto" w:fill="auto"/>
          </w:tcPr>
          <w:p w14:paraId="55406642" w14:textId="77777777" w:rsidR="00E713B0" w:rsidRPr="0009445C" w:rsidRDefault="00E713B0" w:rsidP="00E713B0">
            <w:pPr>
              <w:pStyle w:val="BRL-Tabelle"/>
              <w:spacing w:before="60" w:after="40"/>
              <w:ind w:left="113" w:right="113"/>
            </w:pPr>
            <w:r w:rsidRPr="0009445C">
              <w:t>F 120-A</w:t>
            </w:r>
          </w:p>
        </w:tc>
      </w:tr>
      <w:tr w:rsidR="00E713B0" w:rsidRPr="0009445C" w14:paraId="200935E6"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672FC489" w14:textId="77777777" w:rsidR="00E713B0" w:rsidRPr="0009445C" w:rsidRDefault="00E713B0" w:rsidP="00E713B0">
            <w:pPr>
              <w:pStyle w:val="BRL-Tabelle"/>
              <w:spacing w:before="60" w:after="40"/>
              <w:jc w:val="center"/>
              <w:rPr>
                <w:rFonts w:eastAsia="Calibri"/>
                <w:b/>
              </w:rPr>
            </w:pPr>
            <w:r w:rsidRPr="0009445C">
              <w:rPr>
                <w:b/>
              </w:rPr>
              <w:t>19</w:t>
            </w:r>
          </w:p>
        </w:tc>
        <w:tc>
          <w:tcPr>
            <w:tcW w:w="3378" w:type="dxa"/>
            <w:tcBorders>
              <w:top w:val="single" w:sz="2" w:space="0" w:color="595959"/>
              <w:left w:val="single" w:sz="2" w:space="0" w:color="auto"/>
              <w:bottom w:val="single" w:sz="2" w:space="0" w:color="auto"/>
            </w:tcBorders>
            <w:shd w:val="clear" w:color="auto" w:fill="FFFFFF"/>
          </w:tcPr>
          <w:p w14:paraId="2E93AC9D" w14:textId="77777777" w:rsidR="00E713B0" w:rsidRPr="0009445C" w:rsidRDefault="00E713B0" w:rsidP="00E713B0">
            <w:pPr>
              <w:pStyle w:val="BRL-Tabelle"/>
              <w:spacing w:before="60" w:after="40"/>
              <w:ind w:left="113" w:right="113"/>
            </w:pPr>
            <w:r w:rsidRPr="0009445C">
              <w:t>Fire resistance of 120 min and made of non-combustible* building materials, stable even under additional mechanical stress</w:t>
            </w:r>
          </w:p>
        </w:tc>
        <w:tc>
          <w:tcPr>
            <w:tcW w:w="3375" w:type="dxa"/>
            <w:tcBorders>
              <w:top w:val="single" w:sz="2" w:space="0" w:color="595959"/>
              <w:bottom w:val="single" w:sz="2" w:space="0" w:color="auto"/>
            </w:tcBorders>
            <w:shd w:val="clear" w:color="auto" w:fill="auto"/>
          </w:tcPr>
          <w:p w14:paraId="7251CBA3" w14:textId="77777777" w:rsidR="00E713B0" w:rsidRPr="0009445C" w:rsidRDefault="00E713B0" w:rsidP="00E713B0">
            <w:pPr>
              <w:pStyle w:val="BRL-Tabelle"/>
              <w:spacing w:before="60" w:after="40"/>
              <w:ind w:left="113" w:right="113"/>
            </w:pPr>
            <w:r w:rsidRPr="0009445C">
              <w:t>Firewall with a higher fire resistance duration of 120 min</w:t>
            </w:r>
          </w:p>
        </w:tc>
        <w:tc>
          <w:tcPr>
            <w:tcW w:w="1885" w:type="dxa"/>
            <w:tcBorders>
              <w:top w:val="single" w:sz="2" w:space="0" w:color="595959"/>
              <w:bottom w:val="single" w:sz="2" w:space="0" w:color="auto"/>
              <w:right w:val="single" w:sz="2" w:space="0" w:color="auto"/>
            </w:tcBorders>
            <w:shd w:val="clear" w:color="auto" w:fill="auto"/>
          </w:tcPr>
          <w:p w14:paraId="46FE2CCB" w14:textId="77777777" w:rsidR="00E713B0" w:rsidRPr="0009445C" w:rsidRDefault="00E713B0" w:rsidP="00E713B0">
            <w:pPr>
              <w:pStyle w:val="BRL-Tabelle"/>
              <w:spacing w:before="60" w:after="40"/>
              <w:ind w:left="113" w:right="113"/>
            </w:pPr>
            <w:r w:rsidRPr="0009445C">
              <w:t>-</w:t>
            </w:r>
          </w:p>
        </w:tc>
      </w:tr>
      <w:tr w:rsidR="00E713B0" w:rsidRPr="0009445C" w14:paraId="5DBB0F77"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1C657D57" w14:textId="77777777" w:rsidR="00E713B0" w:rsidRPr="0009445C" w:rsidRDefault="00E713B0" w:rsidP="00E713B0">
            <w:pPr>
              <w:pStyle w:val="BRL-Tabelle"/>
              <w:spacing w:before="60" w:after="40"/>
              <w:jc w:val="center"/>
              <w:rPr>
                <w:b/>
              </w:rPr>
            </w:pPr>
            <w:r w:rsidRPr="0009445C">
              <w:rPr>
                <w:b/>
              </w:rPr>
              <w:lastRenderedPageBreak/>
              <w:t>20</w:t>
            </w:r>
          </w:p>
        </w:tc>
        <w:tc>
          <w:tcPr>
            <w:tcW w:w="3378" w:type="dxa"/>
            <w:tcBorders>
              <w:top w:val="single" w:sz="2" w:space="0" w:color="595959"/>
              <w:left w:val="single" w:sz="2" w:space="0" w:color="auto"/>
              <w:bottom w:val="single" w:sz="2" w:space="0" w:color="auto"/>
            </w:tcBorders>
            <w:shd w:val="clear" w:color="auto" w:fill="FFFFFF"/>
          </w:tcPr>
          <w:p w14:paraId="7C8642B3" w14:textId="6A6C84BA" w:rsidR="00E713B0" w:rsidRPr="0009445C" w:rsidRDefault="00E713B0" w:rsidP="00E713B0">
            <w:pPr>
              <w:pStyle w:val="BRL-Tabelle"/>
              <w:spacing w:before="60" w:after="40"/>
              <w:ind w:left="113" w:right="113"/>
            </w:pPr>
            <w:r w:rsidRPr="0009445C">
              <w:t>Structural elements referred to in A 2.1.3.1 letter (d) with fire resistance of 90 minutes and made of combustible building materials in accordance with Section 5 of the Technical Rule under ser. No A 2.2.1.4</w:t>
            </w:r>
            <w:r w:rsidRPr="0009445C">
              <w:rPr>
                <w:vertAlign w:val="superscript"/>
              </w:rPr>
              <w:t>8</w:t>
            </w:r>
          </w:p>
        </w:tc>
        <w:tc>
          <w:tcPr>
            <w:tcW w:w="3375" w:type="dxa"/>
            <w:tcBorders>
              <w:top w:val="single" w:sz="2" w:space="0" w:color="595959"/>
              <w:bottom w:val="single" w:sz="2" w:space="0" w:color="auto"/>
            </w:tcBorders>
            <w:shd w:val="clear" w:color="auto" w:fill="auto"/>
          </w:tcPr>
          <w:p w14:paraId="45B9D3E6" w14:textId="77777777" w:rsidR="00E713B0" w:rsidRPr="0009445C" w:rsidRDefault="00E713B0" w:rsidP="00E713B0">
            <w:pPr>
              <w:pStyle w:val="BRL-Tabelle"/>
              <w:spacing w:before="60" w:after="40"/>
              <w:ind w:left="113" w:right="113"/>
            </w:pPr>
            <w:r w:rsidRPr="0009445C">
              <w:t>Structural elements referred to in A 2.1.3.1 letter (d) with fire resistance of 90 minutes and made of combustible building materials in accordance with Section 5 of the Technical Rule under ser. No A 2.2.1.4</w:t>
            </w:r>
            <w:r w:rsidRPr="0009445C">
              <w:rPr>
                <w:vertAlign w:val="superscript"/>
              </w:rPr>
              <w:t>7</w:t>
            </w:r>
          </w:p>
        </w:tc>
        <w:tc>
          <w:tcPr>
            <w:tcW w:w="1885" w:type="dxa"/>
            <w:tcBorders>
              <w:top w:val="single" w:sz="2" w:space="0" w:color="595959"/>
              <w:bottom w:val="single" w:sz="2" w:space="0" w:color="auto"/>
              <w:right w:val="single" w:sz="2" w:space="0" w:color="auto"/>
            </w:tcBorders>
            <w:shd w:val="clear" w:color="auto" w:fill="auto"/>
          </w:tcPr>
          <w:p w14:paraId="0502F699" w14:textId="327D47D6" w:rsidR="00E713B0" w:rsidRPr="0009445C" w:rsidRDefault="00DD0A08" w:rsidP="00E713B0">
            <w:pPr>
              <w:pStyle w:val="BRL-Tabelle"/>
              <w:spacing w:before="60" w:after="40"/>
              <w:ind w:left="113" w:right="113"/>
            </w:pPr>
            <w:r w:rsidRPr="0009445C">
              <w:t>-</w:t>
            </w:r>
          </w:p>
        </w:tc>
      </w:tr>
      <w:tr w:rsidR="00E713B0" w:rsidRPr="0009445C" w14:paraId="11765668"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6C4D37CC" w14:textId="77777777" w:rsidR="00E713B0" w:rsidRPr="0009445C" w:rsidRDefault="00E713B0" w:rsidP="00E713B0">
            <w:pPr>
              <w:pStyle w:val="BRL-Tabelle"/>
              <w:spacing w:before="60" w:after="40"/>
              <w:jc w:val="center"/>
              <w:rPr>
                <w:b/>
              </w:rPr>
            </w:pPr>
            <w:r w:rsidRPr="0009445C">
              <w:rPr>
                <w:b/>
              </w:rPr>
              <w:t>21</w:t>
            </w:r>
          </w:p>
        </w:tc>
        <w:tc>
          <w:tcPr>
            <w:tcW w:w="3378" w:type="dxa"/>
            <w:tcBorders>
              <w:top w:val="single" w:sz="2" w:space="0" w:color="595959"/>
              <w:left w:val="single" w:sz="2" w:space="0" w:color="auto"/>
              <w:bottom w:val="single" w:sz="2" w:space="0" w:color="auto"/>
            </w:tcBorders>
            <w:shd w:val="clear" w:color="auto" w:fill="FFFFFF"/>
          </w:tcPr>
          <w:p w14:paraId="696278B4" w14:textId="0B39AA12" w:rsidR="00E713B0" w:rsidRPr="0009445C" w:rsidRDefault="00E713B0" w:rsidP="00E713B0">
            <w:pPr>
              <w:pStyle w:val="BRL-Tabelle"/>
              <w:ind w:left="113" w:right="113"/>
            </w:pPr>
            <w:r w:rsidRPr="0009445C">
              <w:t>Structural elements referred to in A 2.1.3.1 letter (d) with fire resistance of 60 minutes and made of combustible building materials in accordance with Section 5 of the Technical Rule under ser. No A 2.2.1.4</w:t>
            </w:r>
            <w:r w:rsidRPr="0009445C">
              <w:rPr>
                <w:vertAlign w:val="superscript"/>
              </w:rPr>
              <w:t>4</w:t>
            </w:r>
          </w:p>
        </w:tc>
        <w:tc>
          <w:tcPr>
            <w:tcW w:w="3375" w:type="dxa"/>
            <w:tcBorders>
              <w:top w:val="single" w:sz="2" w:space="0" w:color="595959"/>
              <w:bottom w:val="single" w:sz="2" w:space="0" w:color="auto"/>
            </w:tcBorders>
            <w:shd w:val="clear" w:color="auto" w:fill="auto"/>
          </w:tcPr>
          <w:p w14:paraId="01BD8B4E" w14:textId="77777777" w:rsidR="00E713B0" w:rsidRPr="0009445C" w:rsidRDefault="00E713B0" w:rsidP="00E713B0">
            <w:pPr>
              <w:pStyle w:val="BRL-Tabelle"/>
              <w:spacing w:before="60" w:after="40"/>
              <w:ind w:left="113" w:right="113"/>
            </w:pPr>
            <w:r w:rsidRPr="0009445C">
              <w:t>Structural elements referred to in A 2.1.3.1 letter (d) with fire resistance of 60 minutes and made of combustible building materials in accordance with Section 5 of the Technical Rule under ser. No A 2.2.1.4</w:t>
            </w:r>
            <w:r w:rsidRPr="0009445C">
              <w:rPr>
                <w:vertAlign w:val="superscript"/>
              </w:rPr>
              <w:t>7</w:t>
            </w:r>
          </w:p>
        </w:tc>
        <w:tc>
          <w:tcPr>
            <w:tcW w:w="1885" w:type="dxa"/>
            <w:tcBorders>
              <w:top w:val="single" w:sz="2" w:space="0" w:color="595959"/>
              <w:bottom w:val="single" w:sz="2" w:space="0" w:color="auto"/>
              <w:right w:val="single" w:sz="2" w:space="0" w:color="auto"/>
            </w:tcBorders>
            <w:shd w:val="clear" w:color="auto" w:fill="auto"/>
          </w:tcPr>
          <w:p w14:paraId="5F95D0C1" w14:textId="3E3E3966" w:rsidR="00E713B0" w:rsidRPr="0009445C" w:rsidRDefault="00DD0A08" w:rsidP="00E713B0">
            <w:pPr>
              <w:pStyle w:val="BRL-Tabelle"/>
              <w:spacing w:before="60" w:after="40"/>
              <w:ind w:left="113" w:right="113"/>
            </w:pPr>
            <w:r w:rsidRPr="0009445C">
              <w:t>-</w:t>
            </w:r>
          </w:p>
        </w:tc>
      </w:tr>
      <w:tr w:rsidR="00E713B0" w:rsidRPr="0009445C" w14:paraId="45D034CC" w14:textId="77777777" w:rsidTr="00E713B0">
        <w:trPr>
          <w:cantSplit/>
        </w:trPr>
        <w:tc>
          <w:tcPr>
            <w:tcW w:w="434" w:type="dxa"/>
            <w:tcBorders>
              <w:top w:val="single" w:sz="2" w:space="0" w:color="595959"/>
              <w:left w:val="single" w:sz="2" w:space="0" w:color="auto"/>
              <w:bottom w:val="single" w:sz="2" w:space="0" w:color="auto"/>
            </w:tcBorders>
            <w:shd w:val="clear" w:color="auto" w:fill="FFFFFF"/>
          </w:tcPr>
          <w:p w14:paraId="03DD998B" w14:textId="77777777" w:rsidR="00E713B0" w:rsidRPr="0009445C" w:rsidRDefault="00E713B0" w:rsidP="00E713B0">
            <w:pPr>
              <w:pStyle w:val="BRL-Tabelle"/>
              <w:spacing w:before="60" w:after="40"/>
              <w:jc w:val="center"/>
              <w:rPr>
                <w:b/>
              </w:rPr>
            </w:pPr>
            <w:r w:rsidRPr="0009445C">
              <w:rPr>
                <w:b/>
              </w:rPr>
              <w:t>22</w:t>
            </w:r>
          </w:p>
        </w:tc>
        <w:tc>
          <w:tcPr>
            <w:tcW w:w="3378" w:type="dxa"/>
            <w:tcBorders>
              <w:top w:val="single" w:sz="2" w:space="0" w:color="595959"/>
              <w:left w:val="single" w:sz="2" w:space="0" w:color="auto"/>
              <w:bottom w:val="single" w:sz="2" w:space="0" w:color="auto"/>
            </w:tcBorders>
            <w:shd w:val="clear" w:color="auto" w:fill="FFFFFF"/>
          </w:tcPr>
          <w:p w14:paraId="67582117" w14:textId="77777777" w:rsidR="00E713B0" w:rsidRPr="0009445C" w:rsidRDefault="00E713B0" w:rsidP="00E713B0">
            <w:pPr>
              <w:pStyle w:val="BRL-Tabelle"/>
              <w:ind w:left="113" w:right="113"/>
            </w:pPr>
            <w:r w:rsidRPr="0009445C">
              <w:t xml:space="preserve">Structural elements referred to in A 2.1.3.1 letter (d)  </w:t>
            </w:r>
          </w:p>
          <w:p w14:paraId="3AFA6704" w14:textId="77777777" w:rsidR="00E713B0" w:rsidRPr="0009445C" w:rsidRDefault="00E713B0" w:rsidP="00E713B0">
            <w:pPr>
              <w:pStyle w:val="BRL-Tabelle"/>
              <w:ind w:left="113" w:right="113"/>
            </w:pPr>
            <w:r w:rsidRPr="0009445C">
              <w:t>as a wall instead of a firewall</w:t>
            </w:r>
          </w:p>
          <w:p w14:paraId="334EE15E" w14:textId="742CD51E" w:rsidR="00E713B0" w:rsidRPr="0009445C" w:rsidRDefault="00E713B0" w:rsidP="00E713B0">
            <w:pPr>
              <w:pStyle w:val="BRL-Tabelle"/>
              <w:spacing w:before="60" w:after="40"/>
              <w:ind w:left="113" w:right="113"/>
            </w:pPr>
            <w:r w:rsidRPr="0009445C">
              <w:t>(also under additional mechanical stress with fire resistance of 60 min and made of combustible building materials) in accordance with Section 5 of the Technical Rule under ser. No A 2.2.1.4</w:t>
            </w:r>
            <w:r w:rsidRPr="0009445C">
              <w:rPr>
                <w:vertAlign w:val="superscript"/>
              </w:rPr>
              <w:t xml:space="preserve"> 8</w:t>
            </w:r>
          </w:p>
        </w:tc>
        <w:tc>
          <w:tcPr>
            <w:tcW w:w="3375" w:type="dxa"/>
            <w:tcBorders>
              <w:top w:val="single" w:sz="2" w:space="0" w:color="595959"/>
              <w:bottom w:val="single" w:sz="2" w:space="0" w:color="auto"/>
            </w:tcBorders>
            <w:shd w:val="clear" w:color="auto" w:fill="auto"/>
          </w:tcPr>
          <w:p w14:paraId="74288F9D" w14:textId="77777777" w:rsidR="00E713B0" w:rsidRPr="0009445C" w:rsidRDefault="00E713B0" w:rsidP="00E713B0">
            <w:pPr>
              <w:pStyle w:val="BRL-Tabelle"/>
              <w:ind w:left="113" w:right="113"/>
            </w:pPr>
            <w:r w:rsidRPr="0009445C">
              <w:t>Wall instead of a firewall</w:t>
            </w:r>
          </w:p>
          <w:p w14:paraId="531A6A47" w14:textId="77777777" w:rsidR="00E713B0" w:rsidRPr="0009445C" w:rsidRDefault="00E713B0" w:rsidP="00E713B0">
            <w:pPr>
              <w:pStyle w:val="BRL-Tabelle"/>
              <w:spacing w:before="60" w:after="40"/>
              <w:ind w:left="113" w:right="113"/>
            </w:pPr>
            <w:r w:rsidRPr="0009445C">
              <w:t>(even under additional mechanical stress, fire resistance of 60 min and made of combustible building materials)</w:t>
            </w:r>
            <w:r w:rsidRPr="0009445C">
              <w:rPr>
                <w:vertAlign w:val="superscript"/>
              </w:rPr>
              <w:t xml:space="preserve"> </w:t>
            </w:r>
            <w:r w:rsidRPr="0009445C">
              <w:t>in accordance with Section 5 of the Technical Rule under ser. No A 2.2.1.4</w:t>
            </w:r>
            <w:r w:rsidRPr="0009445C">
              <w:rPr>
                <w:vertAlign w:val="superscript"/>
              </w:rPr>
              <w:t xml:space="preserve"> 7</w:t>
            </w:r>
          </w:p>
        </w:tc>
        <w:tc>
          <w:tcPr>
            <w:tcW w:w="1885" w:type="dxa"/>
            <w:tcBorders>
              <w:top w:val="single" w:sz="2" w:space="0" w:color="595959"/>
              <w:bottom w:val="single" w:sz="2" w:space="0" w:color="auto"/>
              <w:right w:val="single" w:sz="2" w:space="0" w:color="auto"/>
            </w:tcBorders>
            <w:shd w:val="clear" w:color="auto" w:fill="auto"/>
          </w:tcPr>
          <w:p w14:paraId="376C0387" w14:textId="77777777" w:rsidR="00E713B0" w:rsidRPr="0009445C" w:rsidRDefault="00E713B0" w:rsidP="00E713B0">
            <w:pPr>
              <w:pStyle w:val="BRL-Tabelle"/>
              <w:spacing w:before="60" w:after="40"/>
              <w:ind w:left="113" w:right="113"/>
            </w:pPr>
            <w:r w:rsidRPr="0009445C">
              <w:t>-</w:t>
            </w:r>
          </w:p>
        </w:tc>
      </w:tr>
      <w:tr w:rsidR="00E713B0" w:rsidRPr="0009445C" w14:paraId="413A3DA4" w14:textId="77777777" w:rsidTr="00E713B0">
        <w:trPr>
          <w:cantSplit/>
        </w:trPr>
        <w:tc>
          <w:tcPr>
            <w:tcW w:w="434" w:type="dxa"/>
            <w:tcBorders>
              <w:top w:val="single" w:sz="2" w:space="0" w:color="595959"/>
              <w:left w:val="single" w:sz="2" w:space="0" w:color="auto"/>
              <w:bottom w:val="single" w:sz="2" w:space="0" w:color="auto"/>
              <w:right w:val="single" w:sz="2" w:space="0" w:color="auto"/>
            </w:tcBorders>
            <w:shd w:val="clear" w:color="auto" w:fill="FFFFFF"/>
          </w:tcPr>
          <w:p w14:paraId="5F865F62" w14:textId="77777777" w:rsidR="00E713B0" w:rsidRPr="0009445C" w:rsidRDefault="00E713B0" w:rsidP="00E713B0">
            <w:pPr>
              <w:pStyle w:val="BRL-Funote"/>
              <w:spacing w:before="120"/>
              <w:ind w:left="0" w:hanging="284"/>
              <w:jc w:val="center"/>
              <w:rPr>
                <w:b/>
              </w:rPr>
            </w:pPr>
          </w:p>
        </w:tc>
        <w:tc>
          <w:tcPr>
            <w:tcW w:w="8638" w:type="dxa"/>
            <w:gridSpan w:val="3"/>
            <w:tcBorders>
              <w:top w:val="single" w:sz="2" w:space="0" w:color="595959"/>
              <w:left w:val="single" w:sz="2" w:space="0" w:color="auto"/>
              <w:bottom w:val="single" w:sz="2" w:space="0" w:color="auto"/>
              <w:right w:val="single" w:sz="2" w:space="0" w:color="auto"/>
            </w:tcBorders>
            <w:shd w:val="clear" w:color="auto" w:fill="FFFFFF"/>
          </w:tcPr>
          <w:p w14:paraId="4106144F" w14:textId="77777777" w:rsidR="00E713B0" w:rsidRPr="0009445C" w:rsidRDefault="00E713B0" w:rsidP="00E713B0">
            <w:pPr>
              <w:pStyle w:val="BRL-Funote"/>
              <w:spacing w:before="120"/>
              <w:ind w:left="426" w:right="113" w:hanging="284"/>
              <w:jc w:val="left"/>
            </w:pPr>
            <w:r w:rsidRPr="0009445C">
              <w:t>1</w:t>
            </w:r>
            <w:r w:rsidRPr="0009445C">
              <w:tab/>
              <w:t>W 30 is also permitted for non-load-bearing exterior walls.</w:t>
            </w:r>
          </w:p>
          <w:p w14:paraId="2145EF25" w14:textId="77777777" w:rsidR="00E713B0" w:rsidRPr="0009445C" w:rsidRDefault="00E713B0" w:rsidP="00E713B0">
            <w:pPr>
              <w:pStyle w:val="BRL-Funote"/>
              <w:ind w:right="113" w:hanging="283"/>
              <w:jc w:val="left"/>
            </w:pPr>
            <w:r w:rsidRPr="0009445C">
              <w:t>2</w:t>
            </w:r>
            <w:r w:rsidRPr="0009445C">
              <w:tab/>
              <w:t>Proof and classification as per Table 4.3.1.</w:t>
            </w:r>
          </w:p>
          <w:p w14:paraId="12F42D1F" w14:textId="77777777" w:rsidR="00E713B0" w:rsidRPr="0009445C" w:rsidRDefault="00E713B0" w:rsidP="00E713B0">
            <w:pPr>
              <w:pStyle w:val="BRL-Funote"/>
              <w:ind w:right="113" w:hanging="283"/>
              <w:jc w:val="left"/>
            </w:pPr>
            <w:r w:rsidRPr="0009445C">
              <w:t>3</w:t>
            </w:r>
            <w:r w:rsidRPr="0009445C">
              <w:tab/>
              <w:t>W 60 also permitted for non-load-bearing exterior walls.</w:t>
            </w:r>
          </w:p>
          <w:p w14:paraId="0DC9A914" w14:textId="231DD6F1" w:rsidR="00986679" w:rsidRPr="0009445C" w:rsidRDefault="00E713B0" w:rsidP="00E713B0">
            <w:pPr>
              <w:pStyle w:val="BRL-Funote"/>
              <w:ind w:right="113" w:hanging="283"/>
              <w:jc w:val="left"/>
            </w:pPr>
            <w:r w:rsidRPr="0009445C">
              <w:t>4</w:t>
            </w:r>
            <w:r w:rsidRPr="0009445C">
              <w:tab/>
              <w:t>A type-approval according to § 16a MBO is required, unless construction types according to DIN 4102-4:2016-05 or according to DIN EN 1995-1-2:2010-12 and the fire-protective cladding in accordance with Section 4.2 or 5.2 of the Technical Rule according to ser. No A 2.2.1.4 are used and the connections are executed according to the Technical Rule in accordance with ser. No A 2.2.1.4.</w:t>
            </w:r>
          </w:p>
          <w:p w14:paraId="3C73A719" w14:textId="06F73AE8" w:rsidR="00E713B0" w:rsidRPr="0009445C" w:rsidRDefault="00986679" w:rsidP="00E713B0">
            <w:pPr>
              <w:pStyle w:val="BRL-Funote"/>
              <w:ind w:right="113" w:hanging="283"/>
              <w:jc w:val="left"/>
            </w:pPr>
            <w:r w:rsidRPr="0009445C">
              <w:t>5</w:t>
            </w:r>
            <w:r w:rsidRPr="0009445C">
              <w:tab/>
              <w:t>W 90 is also permitted for non-load-bearing exterior walls.</w:t>
            </w:r>
          </w:p>
          <w:p w14:paraId="3BDE43B2" w14:textId="76F8E2A5" w:rsidR="00E713B0" w:rsidRPr="0009445C" w:rsidRDefault="00986679" w:rsidP="00E713B0">
            <w:pPr>
              <w:pStyle w:val="BRL-Funote"/>
              <w:ind w:right="113" w:hanging="283"/>
              <w:jc w:val="left"/>
            </w:pPr>
            <w:r w:rsidRPr="0009445C">
              <w:t>6</w:t>
            </w:r>
            <w:r w:rsidRPr="0009445C">
              <w:tab/>
              <w:t>Load-bearing structural elements must be tested under an appropriate load in accordance with DIN 4102-2:1977-09, Section 6.2.2.6.</w:t>
            </w:r>
          </w:p>
          <w:p w14:paraId="58D7E6CB" w14:textId="5772A384" w:rsidR="00E713B0" w:rsidRPr="0009445C" w:rsidRDefault="00986679" w:rsidP="00E713B0">
            <w:pPr>
              <w:pStyle w:val="BRL-Funote"/>
              <w:ind w:left="426" w:hanging="284"/>
              <w:jc w:val="left"/>
            </w:pPr>
            <w:r w:rsidRPr="0009445C">
              <w:t>7</w:t>
            </w:r>
            <w:r w:rsidRPr="0009445C">
              <w:tab/>
              <w:t>Cladding made from non-combustible building materials is required in accordance with the Technical Rule under ser. No A 2.2.1.4, unless facilitations are made in Section 5.2. of the Technical Rule under ser. No A 2.2.1.4.</w:t>
            </w:r>
          </w:p>
          <w:p w14:paraId="6DBDDF7F" w14:textId="133D546D" w:rsidR="00E713B0" w:rsidRPr="0009445C" w:rsidRDefault="00986679" w:rsidP="00E713B0">
            <w:pPr>
              <w:pStyle w:val="BRL-Funote"/>
              <w:ind w:left="426" w:hanging="284"/>
              <w:jc w:val="left"/>
            </w:pPr>
            <w:r w:rsidRPr="0009445C">
              <w:t>8</w:t>
            </w:r>
            <w:r w:rsidRPr="0009445C">
              <w:tab/>
              <w:t>Design approval according to § 16a MBO is required.</w:t>
            </w:r>
          </w:p>
          <w:p w14:paraId="2833FE9A" w14:textId="77777777" w:rsidR="00E713B0" w:rsidRPr="0009445C" w:rsidRDefault="00E713B0" w:rsidP="00E713B0">
            <w:pPr>
              <w:pStyle w:val="BRL-Funote"/>
              <w:ind w:left="426" w:hanging="284"/>
              <w:jc w:val="left"/>
            </w:pPr>
            <w:r w:rsidRPr="0009445C">
              <w:t>*</w:t>
            </w:r>
            <w:r w:rsidRPr="0009445C">
              <w:tab/>
              <w:t>Regarding the requirements, Table 1.1. applies.</w:t>
            </w:r>
          </w:p>
          <w:p w14:paraId="6DBB3056" w14:textId="77777777" w:rsidR="00E713B0" w:rsidRPr="0009445C" w:rsidRDefault="00E713B0" w:rsidP="00E713B0">
            <w:pPr>
              <w:pStyle w:val="BRL-Funote"/>
              <w:spacing w:after="60"/>
              <w:ind w:right="113" w:hanging="283"/>
              <w:jc w:val="left"/>
            </w:pPr>
            <w:r w:rsidRPr="0009445C">
              <w:t>**</w:t>
            </w:r>
            <w:r w:rsidRPr="0009445C">
              <w:tab/>
              <w:t>Continuous layer of non-combustible building materials in the component plane.</w:t>
            </w:r>
          </w:p>
        </w:tc>
      </w:tr>
    </w:tbl>
    <w:p w14:paraId="725B93B8" w14:textId="77777777" w:rsidR="00E713B0" w:rsidRPr="0009445C" w:rsidRDefault="00E713B0" w:rsidP="00E713B0">
      <w:pPr>
        <w:pStyle w:val="BRL-Standard"/>
      </w:pPr>
    </w:p>
    <w:p w14:paraId="3E3EDD33" w14:textId="684CBE68" w:rsidR="00E713B0" w:rsidRPr="0009445C" w:rsidRDefault="00E713B0" w:rsidP="00E713B0">
      <w:pPr>
        <w:pStyle w:val="BRL-Standard"/>
      </w:pPr>
      <w:r w:rsidRPr="0009445C">
        <w:t>The requirement of Table 4.2.4, column 1, is only met if subsequent structural elements have at least the same fire resistance, unless Part A 2.1.3.3.1 allows a different connection for subsequent structural elements. The transitions to such structural elements must not affect the space barrier, if required, under ser. No A 2.1.3.3.</w:t>
      </w:r>
    </w:p>
    <w:p w14:paraId="0CB8C1FA" w14:textId="77777777" w:rsidR="00E713B0" w:rsidRPr="0009445C" w:rsidRDefault="00E713B0" w:rsidP="00600F53">
      <w:pPr>
        <w:pStyle w:val="BRL-berschrift"/>
      </w:pPr>
    </w:p>
    <w:p w14:paraId="26F63C22" w14:textId="77777777" w:rsidR="00E713B0" w:rsidRPr="0009445C" w:rsidRDefault="00E713B0" w:rsidP="00600F53">
      <w:pPr>
        <w:pStyle w:val="BRL-berschrift"/>
      </w:pPr>
      <w:r w:rsidRPr="0009445C">
        <w:t>4.3</w:t>
      </w:r>
      <w:r w:rsidRPr="0009445C">
        <w:tab/>
        <w:t>Use of construction products according to harmonised technical specifications for load-bearing and/or space-enclosing structural elements</w:t>
      </w:r>
    </w:p>
    <w:p w14:paraId="4F6DB38D" w14:textId="77777777" w:rsidR="00E713B0" w:rsidRPr="0009445C" w:rsidRDefault="00E713B0" w:rsidP="00E713B0">
      <w:pPr>
        <w:pStyle w:val="BRL-Standard"/>
      </w:pPr>
      <w:r w:rsidRPr="0009445C">
        <w:t>For the fulfilment of the building requirements in A 2.1.3 when using construction products in accordance with harmonised technical specifications for load-bearing and/or space-enclosing parts of structural works, the minimum required performance shall be taken from Section 4.3.</w:t>
      </w:r>
    </w:p>
    <w:p w14:paraId="3E8E01D6" w14:textId="77777777" w:rsidR="00E713B0" w:rsidRPr="0009445C" w:rsidRDefault="00E713B0" w:rsidP="00E713B0">
      <w:pPr>
        <w:pStyle w:val="BRL-Standard"/>
      </w:pPr>
    </w:p>
    <w:p w14:paraId="68E951DF" w14:textId="77777777" w:rsidR="00E713B0" w:rsidRPr="0009445C" w:rsidRDefault="00E713B0" w:rsidP="00E713B0">
      <w:pPr>
        <w:pStyle w:val="BRL-Standard"/>
      </w:pPr>
      <w:r w:rsidRPr="0009445C">
        <w:t>The requirements in the tables are deemed fulfilled only if the required performance has been achieved based on design or, where required, test load calculation in case of fire resistance tests in accordance with the Technical Building Regulations of Part A, Chapter A 1, ser. No A 1.2.</w:t>
      </w:r>
    </w:p>
    <w:p w14:paraId="59F6BDC3" w14:textId="77777777" w:rsidR="00E713B0" w:rsidRPr="0009445C" w:rsidRDefault="00E713B0" w:rsidP="00E713B0">
      <w:pPr>
        <w:pStyle w:val="BRL-Standard"/>
      </w:pPr>
    </w:p>
    <w:p w14:paraId="69DAD54D" w14:textId="77777777" w:rsidR="00E713B0" w:rsidRPr="0009445C" w:rsidRDefault="00E713B0" w:rsidP="00E713B0">
      <w:pPr>
        <w:pStyle w:val="BRL-Standard"/>
      </w:pPr>
      <w:r w:rsidRPr="0009445C">
        <w:t>In accordance with A 2.1.3.3.1, the proof of fire resistance shall be demonstrated for each of the possible directions of fire exposure (e.g. from the inside to the outside and from the outside to the inside and both from the top to the bottom and from the bottom to the top) for space barrier requirements.</w:t>
      </w:r>
    </w:p>
    <w:p w14:paraId="0B35E7A8" w14:textId="77777777" w:rsidR="00E713B0" w:rsidRPr="0009445C" w:rsidRDefault="00E713B0" w:rsidP="00E713B0">
      <w:pPr>
        <w:pStyle w:val="BRL-Standard"/>
      </w:pPr>
    </w:p>
    <w:p w14:paraId="2E04D519" w14:textId="66B31393" w:rsidR="00E713B0" w:rsidRPr="0009445C" w:rsidRDefault="00E713B0" w:rsidP="00E713B0">
      <w:pPr>
        <w:pStyle w:val="BRL-Standard"/>
      </w:pPr>
      <w:r w:rsidRPr="0009445C">
        <w:t>In the absence of a technical best practice for the planning, designing and execution when using the aforementioned construction products, a proof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is required.</w:t>
      </w:r>
    </w:p>
    <w:p w14:paraId="0A6FFB59" w14:textId="77777777" w:rsidR="00E713B0" w:rsidRPr="0009445C" w:rsidRDefault="00E713B0" w:rsidP="00E713B0">
      <w:pPr>
        <w:pStyle w:val="BRL-Standard"/>
      </w:pPr>
    </w:p>
    <w:p w14:paraId="050A41F4" w14:textId="77777777" w:rsidR="00E713B0" w:rsidRPr="0009445C" w:rsidRDefault="00E713B0" w:rsidP="00E713B0">
      <w:pPr>
        <w:pStyle w:val="BRL-Standard"/>
      </w:pPr>
      <w:r w:rsidRPr="0009445C">
        <w:lastRenderedPageBreak/>
        <w:t>For structural elements according to harmonised technical specifications, the following tables list only the minimum building regulatory requirements.</w:t>
      </w:r>
    </w:p>
    <w:p w14:paraId="7590DF17" w14:textId="77777777" w:rsidR="00E713B0" w:rsidRPr="0009445C" w:rsidRDefault="00E713B0" w:rsidP="00E713B0">
      <w:pPr>
        <w:pStyle w:val="BRL-Standard"/>
      </w:pPr>
    </w:p>
    <w:p w14:paraId="51CB7110" w14:textId="7E2A81C3" w:rsidR="00E713B0" w:rsidRPr="0009445C" w:rsidRDefault="00E713B0" w:rsidP="00600F53">
      <w:pPr>
        <w:pStyle w:val="BRL-berschrift"/>
      </w:pPr>
      <w:r w:rsidRPr="0009445C">
        <w:t>4.3.1.1</w:t>
      </w:r>
      <w:r w:rsidRPr="0009445C">
        <w:tab/>
        <w:t>Fire resistance requirements including fire performance when using construction products in accordance with harmonised technical specifications</w:t>
      </w:r>
      <w:r w:rsidRPr="0009445C">
        <w:rPr>
          <w:rStyle w:val="FootnoteReference"/>
        </w:rPr>
        <w:footnoteReference w:id="33"/>
      </w:r>
      <w:r w:rsidRPr="0009445C">
        <w:t xml:space="preserve"> for load-bearing, load-bearing and space-closing structural elements and at least required performances, excluding construction products in accordance with 4.3.1.2</w:t>
      </w:r>
    </w:p>
    <w:p w14:paraId="04BD4876" w14:textId="6E1B4E4B" w:rsidR="00E713B0" w:rsidRPr="0009445C" w:rsidRDefault="00E713B0" w:rsidP="00E713B0">
      <w:pPr>
        <w:pStyle w:val="BRLTabelleberschrift"/>
        <w:spacing w:after="120"/>
      </w:pPr>
      <w:r w:rsidRPr="0009445C">
        <w:t xml:space="preserve">Table 4.3.1.1: </w:t>
      </w:r>
      <w:r w:rsidRPr="0009445C">
        <w:tab/>
        <w:t>Building approval requirements and minimum required performances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441"/>
        <w:gridCol w:w="2696"/>
        <w:gridCol w:w="2026"/>
        <w:gridCol w:w="2043"/>
        <w:gridCol w:w="1866"/>
      </w:tblGrid>
      <w:tr w:rsidR="00E713B0" w:rsidRPr="0009445C" w14:paraId="45EAD73F" w14:textId="77777777" w:rsidTr="00E713B0">
        <w:trPr>
          <w:cantSplit/>
          <w:tblHeader/>
        </w:trPr>
        <w:tc>
          <w:tcPr>
            <w:tcW w:w="441" w:type="dxa"/>
            <w:vMerge w:val="restart"/>
          </w:tcPr>
          <w:p w14:paraId="6C917B94" w14:textId="77777777" w:rsidR="00E713B0" w:rsidRPr="0009445C" w:rsidRDefault="00E713B0" w:rsidP="00E713B0">
            <w:pPr>
              <w:pStyle w:val="BRL-TabelleberschriftAnhang"/>
              <w:spacing w:before="60" w:after="0"/>
              <w:ind w:left="0" w:right="0"/>
              <w:jc w:val="center"/>
              <w:rPr>
                <w:rFonts w:eastAsia="Calibri"/>
              </w:rPr>
            </w:pPr>
          </w:p>
        </w:tc>
        <w:tc>
          <w:tcPr>
            <w:tcW w:w="2696" w:type="dxa"/>
            <w:vMerge w:val="restart"/>
            <w:shd w:val="clear" w:color="auto" w:fill="auto"/>
          </w:tcPr>
          <w:p w14:paraId="243EDD1F" w14:textId="77777777" w:rsidR="00E713B0" w:rsidRPr="0009445C" w:rsidRDefault="00E713B0" w:rsidP="00E713B0">
            <w:pPr>
              <w:pStyle w:val="BRL-TabelleberschriftAnhang"/>
              <w:ind w:left="0" w:right="0"/>
              <w:rPr>
                <w:rFonts w:eastAsia="Calibri"/>
              </w:rPr>
            </w:pPr>
            <w:r w:rsidRPr="0009445C">
              <w:t>Building approval requirement</w:t>
            </w:r>
          </w:p>
        </w:tc>
        <w:tc>
          <w:tcPr>
            <w:tcW w:w="5935" w:type="dxa"/>
            <w:gridSpan w:val="3"/>
            <w:shd w:val="clear" w:color="auto" w:fill="auto"/>
          </w:tcPr>
          <w:p w14:paraId="1AB5A796" w14:textId="77777777" w:rsidR="00E713B0" w:rsidRPr="0009445C" w:rsidRDefault="00E713B0" w:rsidP="00E713B0">
            <w:pPr>
              <w:pStyle w:val="BRL-TabelleberschriftAnhang"/>
              <w:ind w:left="0" w:right="0"/>
              <w:jc w:val="center"/>
              <w:rPr>
                <w:rFonts w:eastAsia="Calibri"/>
              </w:rPr>
            </w:pPr>
            <w:r w:rsidRPr="0009445C">
              <w:t>Minimum required performances</w:t>
            </w:r>
          </w:p>
        </w:tc>
      </w:tr>
      <w:tr w:rsidR="00E713B0" w:rsidRPr="0009445C" w14:paraId="7E7FCF9E" w14:textId="77777777" w:rsidTr="00E713B0">
        <w:trPr>
          <w:cantSplit/>
          <w:tblHeader/>
        </w:trPr>
        <w:tc>
          <w:tcPr>
            <w:tcW w:w="441" w:type="dxa"/>
            <w:vMerge/>
          </w:tcPr>
          <w:p w14:paraId="5D5056BD" w14:textId="77777777" w:rsidR="00E713B0" w:rsidRPr="0009445C" w:rsidRDefault="00E713B0" w:rsidP="00E713B0">
            <w:pPr>
              <w:pStyle w:val="BRL-TabelleberschriftAnhang"/>
              <w:spacing w:before="60" w:after="0"/>
              <w:ind w:left="0" w:right="0"/>
              <w:jc w:val="center"/>
              <w:rPr>
                <w:rFonts w:eastAsia="Calibri"/>
              </w:rPr>
            </w:pPr>
          </w:p>
        </w:tc>
        <w:tc>
          <w:tcPr>
            <w:tcW w:w="2696" w:type="dxa"/>
            <w:vMerge/>
            <w:shd w:val="clear" w:color="auto" w:fill="auto"/>
          </w:tcPr>
          <w:p w14:paraId="6E1C7C1B" w14:textId="77777777" w:rsidR="00E713B0" w:rsidRPr="0009445C" w:rsidRDefault="00E713B0" w:rsidP="00E713B0">
            <w:pPr>
              <w:pStyle w:val="BRL-TabelleberschriftAnhang"/>
              <w:rPr>
                <w:rFonts w:eastAsia="Calibri"/>
              </w:rPr>
            </w:pPr>
          </w:p>
        </w:tc>
        <w:tc>
          <w:tcPr>
            <w:tcW w:w="4069" w:type="dxa"/>
            <w:gridSpan w:val="2"/>
            <w:shd w:val="clear" w:color="auto" w:fill="auto"/>
          </w:tcPr>
          <w:p w14:paraId="55D203C7" w14:textId="77777777" w:rsidR="00E713B0" w:rsidRPr="0009445C" w:rsidRDefault="00E713B0" w:rsidP="00E713B0">
            <w:pPr>
              <w:pStyle w:val="BRL-TabelleberschriftAnhang"/>
              <w:ind w:left="0" w:right="0"/>
              <w:jc w:val="center"/>
              <w:rPr>
                <w:rFonts w:eastAsia="Calibri"/>
              </w:rPr>
            </w:pPr>
            <w:r w:rsidRPr="0009445C">
              <w:t>Fire resistance</w:t>
            </w:r>
          </w:p>
        </w:tc>
        <w:tc>
          <w:tcPr>
            <w:tcW w:w="1866" w:type="dxa"/>
            <w:vMerge w:val="restart"/>
            <w:shd w:val="clear" w:color="auto" w:fill="auto"/>
          </w:tcPr>
          <w:p w14:paraId="74E7DFC0" w14:textId="77777777" w:rsidR="00E713B0" w:rsidRPr="0009445C" w:rsidRDefault="00E713B0" w:rsidP="00E713B0">
            <w:pPr>
              <w:pStyle w:val="BRL-TabelleberschriftAnhang"/>
              <w:ind w:left="0" w:right="0"/>
              <w:rPr>
                <w:rFonts w:eastAsia="Calibri"/>
              </w:rPr>
            </w:pPr>
            <w:r w:rsidRPr="0009445C">
              <w:t>Fire performance</w:t>
            </w:r>
          </w:p>
        </w:tc>
      </w:tr>
      <w:tr w:rsidR="00E713B0" w:rsidRPr="0009445C" w14:paraId="012F8D32" w14:textId="77777777" w:rsidTr="00E713B0">
        <w:trPr>
          <w:cantSplit/>
          <w:tblHeader/>
        </w:trPr>
        <w:tc>
          <w:tcPr>
            <w:tcW w:w="441" w:type="dxa"/>
            <w:vMerge/>
          </w:tcPr>
          <w:p w14:paraId="084CDECE" w14:textId="77777777" w:rsidR="00E713B0" w:rsidRPr="0009445C" w:rsidRDefault="00E713B0" w:rsidP="00E713B0">
            <w:pPr>
              <w:pStyle w:val="BRL-Tabelle"/>
              <w:spacing w:before="60"/>
              <w:jc w:val="center"/>
              <w:rPr>
                <w:rFonts w:eastAsia="Calibri"/>
                <w:b/>
              </w:rPr>
            </w:pPr>
          </w:p>
        </w:tc>
        <w:tc>
          <w:tcPr>
            <w:tcW w:w="2696" w:type="dxa"/>
            <w:vMerge/>
            <w:shd w:val="clear" w:color="auto" w:fill="auto"/>
          </w:tcPr>
          <w:p w14:paraId="080C48CD" w14:textId="77777777" w:rsidR="00E713B0" w:rsidRPr="0009445C" w:rsidRDefault="00E713B0" w:rsidP="00E713B0">
            <w:pPr>
              <w:pStyle w:val="BRL-Tabelle"/>
              <w:ind w:left="113"/>
              <w:rPr>
                <w:rFonts w:eastAsia="Calibri"/>
              </w:rPr>
            </w:pPr>
          </w:p>
        </w:tc>
        <w:tc>
          <w:tcPr>
            <w:tcW w:w="2026" w:type="dxa"/>
            <w:shd w:val="clear" w:color="auto" w:fill="auto"/>
          </w:tcPr>
          <w:p w14:paraId="5A518A48" w14:textId="77777777" w:rsidR="00E713B0" w:rsidRPr="0009445C" w:rsidRDefault="00E713B0" w:rsidP="00E713B0">
            <w:pPr>
              <w:pStyle w:val="BRL-TabelleberschriftAnhang"/>
              <w:ind w:left="0" w:right="0"/>
              <w:rPr>
                <w:rFonts w:eastAsia="Calibri"/>
              </w:rPr>
            </w:pPr>
            <w:r w:rsidRPr="0009445C">
              <w:t>without space barrier</w:t>
            </w:r>
            <w:r w:rsidRPr="0009445C">
              <w:rPr>
                <w:vertAlign w:val="superscript"/>
              </w:rPr>
              <w:t>1</w:t>
            </w:r>
          </w:p>
        </w:tc>
        <w:tc>
          <w:tcPr>
            <w:tcW w:w="2043" w:type="dxa"/>
            <w:shd w:val="clear" w:color="auto" w:fill="auto"/>
          </w:tcPr>
          <w:p w14:paraId="0532D3A3" w14:textId="77777777" w:rsidR="00E713B0" w:rsidRPr="0009445C" w:rsidRDefault="00E713B0" w:rsidP="00E713B0">
            <w:pPr>
              <w:pStyle w:val="BRL-TabelleberschriftAnhang"/>
              <w:ind w:left="0" w:right="0"/>
              <w:rPr>
                <w:rFonts w:eastAsia="Calibri"/>
              </w:rPr>
            </w:pPr>
            <w:r w:rsidRPr="0009445C">
              <w:t>with space barrier</w:t>
            </w:r>
          </w:p>
        </w:tc>
        <w:tc>
          <w:tcPr>
            <w:tcW w:w="1866" w:type="dxa"/>
            <w:vMerge/>
            <w:shd w:val="clear" w:color="auto" w:fill="auto"/>
          </w:tcPr>
          <w:p w14:paraId="09EDC1C6" w14:textId="77777777" w:rsidR="00E713B0" w:rsidRPr="0009445C" w:rsidRDefault="00E713B0" w:rsidP="00600F53">
            <w:pPr>
              <w:pStyle w:val="BRL-Tabelleberschrift1Zeile"/>
              <w:rPr>
                <w:rFonts w:eastAsia="Calibri"/>
              </w:rPr>
            </w:pPr>
          </w:p>
        </w:tc>
      </w:tr>
      <w:tr w:rsidR="00E713B0" w:rsidRPr="0009445C" w14:paraId="4CFE5810" w14:textId="77777777" w:rsidTr="00E713B0">
        <w:trPr>
          <w:cantSplit/>
          <w:trHeight w:val="313"/>
          <w:tblHeader/>
        </w:trPr>
        <w:tc>
          <w:tcPr>
            <w:tcW w:w="441" w:type="dxa"/>
          </w:tcPr>
          <w:p w14:paraId="1848567D" w14:textId="77777777" w:rsidR="00E713B0" w:rsidRPr="0009445C" w:rsidRDefault="00E713B0" w:rsidP="00E713B0">
            <w:pPr>
              <w:pStyle w:val="BRL-Tabelle"/>
              <w:spacing w:before="40" w:after="60"/>
              <w:jc w:val="center"/>
              <w:rPr>
                <w:rFonts w:eastAsia="Calibri"/>
                <w:b/>
              </w:rPr>
            </w:pPr>
          </w:p>
        </w:tc>
        <w:tc>
          <w:tcPr>
            <w:tcW w:w="2696" w:type="dxa"/>
            <w:shd w:val="clear" w:color="auto" w:fill="auto"/>
            <w:vAlign w:val="center"/>
          </w:tcPr>
          <w:p w14:paraId="2A2AAA0B" w14:textId="77777777" w:rsidR="00E713B0" w:rsidRPr="0009445C" w:rsidRDefault="00E713B0" w:rsidP="00E713B0">
            <w:pPr>
              <w:pStyle w:val="BRL-Tabelle"/>
              <w:spacing w:before="40" w:after="60"/>
              <w:ind w:left="113"/>
              <w:jc w:val="center"/>
              <w:rPr>
                <w:rFonts w:eastAsia="Calibri"/>
                <w:b/>
              </w:rPr>
            </w:pPr>
            <w:r w:rsidRPr="0009445C">
              <w:rPr>
                <w:b/>
              </w:rPr>
              <w:t>1</w:t>
            </w:r>
          </w:p>
        </w:tc>
        <w:tc>
          <w:tcPr>
            <w:tcW w:w="2026" w:type="dxa"/>
            <w:shd w:val="clear" w:color="auto" w:fill="auto"/>
            <w:vAlign w:val="center"/>
          </w:tcPr>
          <w:p w14:paraId="41CA228E" w14:textId="77777777" w:rsidR="00E713B0" w:rsidRPr="0009445C" w:rsidRDefault="00E713B0" w:rsidP="00E713B0">
            <w:pPr>
              <w:pStyle w:val="BRL-TabelleberschriftAnhang"/>
              <w:ind w:left="0" w:right="0"/>
              <w:jc w:val="center"/>
              <w:rPr>
                <w:rFonts w:eastAsia="Calibri"/>
              </w:rPr>
            </w:pPr>
            <w:r w:rsidRPr="0009445C">
              <w:t>2</w:t>
            </w:r>
          </w:p>
        </w:tc>
        <w:tc>
          <w:tcPr>
            <w:tcW w:w="2043" w:type="dxa"/>
            <w:shd w:val="clear" w:color="auto" w:fill="auto"/>
            <w:vAlign w:val="center"/>
          </w:tcPr>
          <w:p w14:paraId="029C6669" w14:textId="77777777" w:rsidR="00E713B0" w:rsidRPr="0009445C" w:rsidRDefault="00E713B0" w:rsidP="00E713B0">
            <w:pPr>
              <w:pStyle w:val="BRL-TabelleberschriftAnhang"/>
              <w:ind w:left="0" w:right="0"/>
              <w:jc w:val="center"/>
              <w:rPr>
                <w:rFonts w:eastAsia="Calibri"/>
              </w:rPr>
            </w:pPr>
            <w:r w:rsidRPr="0009445C">
              <w:t>3</w:t>
            </w:r>
          </w:p>
        </w:tc>
        <w:tc>
          <w:tcPr>
            <w:tcW w:w="1866" w:type="dxa"/>
            <w:shd w:val="clear" w:color="auto" w:fill="auto"/>
            <w:vAlign w:val="center"/>
          </w:tcPr>
          <w:p w14:paraId="45118A95" w14:textId="77777777" w:rsidR="00E713B0" w:rsidRPr="0009445C" w:rsidRDefault="00E713B0" w:rsidP="00600F53">
            <w:pPr>
              <w:pStyle w:val="BRL-Tabelleberschrift1Zeile"/>
              <w:rPr>
                <w:rFonts w:eastAsia="Calibri"/>
              </w:rPr>
            </w:pPr>
            <w:r w:rsidRPr="0009445C">
              <w:t>4</w:t>
            </w:r>
          </w:p>
        </w:tc>
      </w:tr>
      <w:tr w:rsidR="00E713B0" w:rsidRPr="0009445C" w14:paraId="3CDDA46C" w14:textId="77777777" w:rsidTr="00E713B0">
        <w:trPr>
          <w:cantSplit/>
        </w:trPr>
        <w:tc>
          <w:tcPr>
            <w:tcW w:w="441" w:type="dxa"/>
          </w:tcPr>
          <w:p w14:paraId="548537CD" w14:textId="77777777" w:rsidR="00E713B0" w:rsidRPr="0009445C" w:rsidRDefault="00E713B0" w:rsidP="00E713B0">
            <w:pPr>
              <w:pStyle w:val="BRL-Tabelle"/>
              <w:spacing w:before="60"/>
              <w:jc w:val="center"/>
              <w:rPr>
                <w:rFonts w:eastAsia="Calibri"/>
                <w:b/>
              </w:rPr>
            </w:pPr>
            <w:r w:rsidRPr="0009445C">
              <w:rPr>
                <w:b/>
              </w:rPr>
              <w:t>1</w:t>
            </w:r>
          </w:p>
        </w:tc>
        <w:tc>
          <w:tcPr>
            <w:tcW w:w="2696" w:type="dxa"/>
            <w:shd w:val="clear" w:color="auto" w:fill="auto"/>
          </w:tcPr>
          <w:p w14:paraId="15BA9316" w14:textId="77777777" w:rsidR="00E713B0" w:rsidRPr="0009445C" w:rsidRDefault="00E713B0" w:rsidP="00E713B0">
            <w:pPr>
              <w:pStyle w:val="BRL-Tabelle"/>
              <w:spacing w:before="60" w:after="40"/>
              <w:rPr>
                <w:rFonts w:eastAsia="Calibri"/>
              </w:rPr>
            </w:pPr>
            <w:r w:rsidRPr="0009445C">
              <w:t>Of non-combustible* building materials</w:t>
            </w:r>
          </w:p>
        </w:tc>
        <w:tc>
          <w:tcPr>
            <w:tcW w:w="2026" w:type="dxa"/>
            <w:shd w:val="clear" w:color="auto" w:fill="auto"/>
          </w:tcPr>
          <w:p w14:paraId="31A95DC7"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497F6A44" w14:textId="77777777" w:rsidR="00E713B0" w:rsidRPr="0009445C" w:rsidRDefault="00E713B0" w:rsidP="00E713B0">
            <w:pPr>
              <w:pStyle w:val="BRL-Tabelle"/>
              <w:spacing w:before="60" w:after="40"/>
              <w:rPr>
                <w:rFonts w:eastAsia="Calibri"/>
              </w:rPr>
            </w:pPr>
            <w:r w:rsidRPr="0009445C">
              <w:t>-</w:t>
            </w:r>
          </w:p>
        </w:tc>
        <w:tc>
          <w:tcPr>
            <w:tcW w:w="1866" w:type="dxa"/>
            <w:shd w:val="clear" w:color="auto" w:fill="auto"/>
          </w:tcPr>
          <w:p w14:paraId="381C9DC7" w14:textId="77777777" w:rsidR="00E713B0" w:rsidRPr="0009445C" w:rsidRDefault="00E713B0" w:rsidP="00E713B0">
            <w:pPr>
              <w:pStyle w:val="BRL-Tabelle"/>
              <w:spacing w:before="60" w:after="40"/>
              <w:rPr>
                <w:rFonts w:eastAsia="Calibri"/>
              </w:rPr>
            </w:pPr>
            <w:r w:rsidRPr="0009445C">
              <w:t>A2 – s1,d0**</w:t>
            </w:r>
          </w:p>
        </w:tc>
      </w:tr>
      <w:tr w:rsidR="00E713B0" w:rsidRPr="0009445C" w14:paraId="3C3BF61F" w14:textId="77777777" w:rsidTr="00E713B0">
        <w:trPr>
          <w:cantSplit/>
        </w:trPr>
        <w:tc>
          <w:tcPr>
            <w:tcW w:w="441" w:type="dxa"/>
          </w:tcPr>
          <w:p w14:paraId="1DF9A7DE" w14:textId="77777777" w:rsidR="00E713B0" w:rsidRPr="0009445C" w:rsidRDefault="00E713B0" w:rsidP="00E713B0">
            <w:pPr>
              <w:pStyle w:val="BRL-Tabelle"/>
              <w:spacing w:before="60"/>
              <w:jc w:val="center"/>
              <w:rPr>
                <w:rFonts w:eastAsia="Calibri"/>
                <w:b/>
              </w:rPr>
            </w:pPr>
            <w:r w:rsidRPr="0009445C">
              <w:rPr>
                <w:b/>
              </w:rPr>
              <w:t>2</w:t>
            </w:r>
          </w:p>
        </w:tc>
        <w:tc>
          <w:tcPr>
            <w:tcW w:w="2696" w:type="dxa"/>
            <w:shd w:val="clear" w:color="auto" w:fill="auto"/>
          </w:tcPr>
          <w:p w14:paraId="0DA9A0F4" w14:textId="77777777" w:rsidR="00E713B0" w:rsidRPr="0009445C" w:rsidRDefault="00E713B0" w:rsidP="00E713B0">
            <w:pPr>
              <w:pStyle w:val="BRL-Tabelle"/>
              <w:spacing w:before="60" w:after="40"/>
              <w:rPr>
                <w:rFonts w:eastAsia="Calibri"/>
              </w:rPr>
            </w:pPr>
            <w:r w:rsidRPr="0009445C">
              <w:t>Made of flame retardant* building materials</w:t>
            </w:r>
          </w:p>
        </w:tc>
        <w:tc>
          <w:tcPr>
            <w:tcW w:w="2026" w:type="dxa"/>
            <w:shd w:val="clear" w:color="auto" w:fill="auto"/>
          </w:tcPr>
          <w:p w14:paraId="3F90780C"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245A422C" w14:textId="77777777" w:rsidR="00E713B0" w:rsidRPr="0009445C" w:rsidRDefault="00E713B0" w:rsidP="00E713B0">
            <w:pPr>
              <w:pStyle w:val="BRL-Tabelle"/>
              <w:spacing w:before="60" w:after="40"/>
              <w:rPr>
                <w:rFonts w:eastAsia="Calibri"/>
              </w:rPr>
            </w:pPr>
            <w:r w:rsidRPr="0009445C">
              <w:t>-</w:t>
            </w:r>
          </w:p>
        </w:tc>
        <w:tc>
          <w:tcPr>
            <w:tcW w:w="1866" w:type="dxa"/>
            <w:shd w:val="clear" w:color="auto" w:fill="auto"/>
          </w:tcPr>
          <w:p w14:paraId="35A95559" w14:textId="77777777" w:rsidR="00E713B0" w:rsidRPr="0009445C" w:rsidRDefault="00E713B0" w:rsidP="00E713B0">
            <w:pPr>
              <w:pStyle w:val="BRL-Tabelle"/>
              <w:spacing w:before="60" w:after="40"/>
              <w:rPr>
                <w:rFonts w:eastAsia="Calibri"/>
              </w:rPr>
            </w:pPr>
            <w:r w:rsidRPr="0009445C">
              <w:t>C – s2,d2**</w:t>
            </w:r>
          </w:p>
        </w:tc>
      </w:tr>
      <w:tr w:rsidR="00E713B0" w:rsidRPr="0009445C" w14:paraId="473D8966" w14:textId="77777777" w:rsidTr="00E713B0">
        <w:trPr>
          <w:cantSplit/>
        </w:trPr>
        <w:tc>
          <w:tcPr>
            <w:tcW w:w="441" w:type="dxa"/>
          </w:tcPr>
          <w:p w14:paraId="635DE557" w14:textId="77777777" w:rsidR="00E713B0" w:rsidRPr="0009445C" w:rsidRDefault="00E713B0" w:rsidP="00E713B0">
            <w:pPr>
              <w:pStyle w:val="BRL-Tabelle"/>
              <w:spacing w:before="60"/>
              <w:jc w:val="center"/>
              <w:rPr>
                <w:rFonts w:eastAsia="Calibri"/>
                <w:b/>
              </w:rPr>
            </w:pPr>
            <w:r w:rsidRPr="0009445C">
              <w:rPr>
                <w:b/>
              </w:rPr>
              <w:t>3</w:t>
            </w:r>
          </w:p>
        </w:tc>
        <w:tc>
          <w:tcPr>
            <w:tcW w:w="2696" w:type="dxa"/>
            <w:shd w:val="clear" w:color="auto" w:fill="auto"/>
          </w:tcPr>
          <w:p w14:paraId="243431E5" w14:textId="77777777" w:rsidR="00E713B0" w:rsidRPr="0009445C" w:rsidRDefault="00E713B0" w:rsidP="00E713B0">
            <w:pPr>
              <w:pStyle w:val="BRL-Tabelle"/>
              <w:spacing w:before="60" w:after="40"/>
              <w:rPr>
                <w:rFonts w:eastAsia="Calibri"/>
              </w:rPr>
            </w:pPr>
            <w:r w:rsidRPr="0009445C">
              <w:t>Made of normal flame retardant* building materials</w:t>
            </w:r>
          </w:p>
        </w:tc>
        <w:tc>
          <w:tcPr>
            <w:tcW w:w="2026" w:type="dxa"/>
            <w:shd w:val="clear" w:color="auto" w:fill="auto"/>
          </w:tcPr>
          <w:p w14:paraId="016AD844"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7AF75369" w14:textId="77777777" w:rsidR="00E713B0" w:rsidRPr="0009445C" w:rsidRDefault="00E713B0" w:rsidP="00E713B0">
            <w:pPr>
              <w:pStyle w:val="BRL-Tabelle"/>
              <w:spacing w:before="60" w:after="40"/>
              <w:rPr>
                <w:rFonts w:eastAsia="Calibri"/>
              </w:rPr>
            </w:pPr>
            <w:r w:rsidRPr="0009445C">
              <w:t>-</w:t>
            </w:r>
          </w:p>
        </w:tc>
        <w:tc>
          <w:tcPr>
            <w:tcW w:w="1866" w:type="dxa"/>
            <w:shd w:val="clear" w:color="auto" w:fill="auto"/>
          </w:tcPr>
          <w:p w14:paraId="7D47D183" w14:textId="77777777" w:rsidR="00E713B0" w:rsidRPr="0009445C" w:rsidRDefault="00E713B0" w:rsidP="00E713B0">
            <w:pPr>
              <w:pStyle w:val="BRL-Tabelle"/>
              <w:spacing w:before="60" w:after="40"/>
              <w:rPr>
                <w:rFonts w:eastAsia="Calibri"/>
              </w:rPr>
            </w:pPr>
            <w:r w:rsidRPr="0009445C">
              <w:t>E – d2</w:t>
            </w:r>
          </w:p>
        </w:tc>
      </w:tr>
      <w:tr w:rsidR="00E713B0" w:rsidRPr="0009445C" w14:paraId="42E221EE" w14:textId="77777777" w:rsidTr="00E713B0">
        <w:trPr>
          <w:cantSplit/>
        </w:trPr>
        <w:tc>
          <w:tcPr>
            <w:tcW w:w="441" w:type="dxa"/>
          </w:tcPr>
          <w:p w14:paraId="1ECCDCCF" w14:textId="77777777" w:rsidR="00E713B0" w:rsidRPr="0009445C" w:rsidRDefault="00E713B0" w:rsidP="00E713B0">
            <w:pPr>
              <w:pStyle w:val="BRL-Tabelle"/>
              <w:spacing w:before="60"/>
              <w:jc w:val="center"/>
              <w:rPr>
                <w:rFonts w:eastAsia="Calibri"/>
                <w:b/>
              </w:rPr>
            </w:pPr>
            <w:r w:rsidRPr="0009445C">
              <w:rPr>
                <w:b/>
              </w:rPr>
              <w:t>4</w:t>
            </w:r>
          </w:p>
        </w:tc>
        <w:tc>
          <w:tcPr>
            <w:tcW w:w="2696" w:type="dxa"/>
            <w:shd w:val="clear" w:color="auto" w:fill="auto"/>
          </w:tcPr>
          <w:p w14:paraId="343FA101" w14:textId="77777777" w:rsidR="00E713B0" w:rsidRPr="0009445C" w:rsidRDefault="00E713B0" w:rsidP="00E713B0">
            <w:pPr>
              <w:pStyle w:val="BRL-Tabelle"/>
              <w:spacing w:before="60" w:after="40"/>
              <w:rPr>
                <w:rFonts w:eastAsia="Calibri"/>
              </w:rPr>
            </w:pPr>
            <w:r w:rsidRPr="0009445C">
              <w:t>Fire-retardant</w:t>
            </w:r>
          </w:p>
        </w:tc>
        <w:tc>
          <w:tcPr>
            <w:tcW w:w="2026" w:type="dxa"/>
            <w:shd w:val="clear" w:color="auto" w:fill="auto"/>
          </w:tcPr>
          <w:p w14:paraId="081078DC" w14:textId="77777777" w:rsidR="00E713B0" w:rsidRPr="0009445C" w:rsidRDefault="00E713B0" w:rsidP="00E713B0">
            <w:pPr>
              <w:pStyle w:val="BRL-Tabelle"/>
              <w:spacing w:before="60" w:after="40"/>
              <w:rPr>
                <w:rFonts w:eastAsia="Calibri"/>
              </w:rPr>
            </w:pPr>
            <w:r w:rsidRPr="0009445C">
              <w:t>R 30</w:t>
            </w:r>
          </w:p>
        </w:tc>
        <w:tc>
          <w:tcPr>
            <w:tcW w:w="2043" w:type="dxa"/>
            <w:shd w:val="clear" w:color="auto" w:fill="auto"/>
          </w:tcPr>
          <w:p w14:paraId="7AF94D0F" w14:textId="77777777" w:rsidR="00E713B0" w:rsidRPr="0009445C" w:rsidRDefault="00E713B0" w:rsidP="00E713B0">
            <w:pPr>
              <w:pStyle w:val="BRL-Tabelle"/>
              <w:spacing w:before="60" w:after="40"/>
              <w:rPr>
                <w:rFonts w:eastAsia="Calibri"/>
              </w:rPr>
            </w:pPr>
            <w:r w:rsidRPr="0009445C">
              <w:t>REI 30</w:t>
            </w:r>
          </w:p>
        </w:tc>
        <w:tc>
          <w:tcPr>
            <w:tcW w:w="1866" w:type="dxa"/>
            <w:shd w:val="clear" w:color="auto" w:fill="auto"/>
          </w:tcPr>
          <w:p w14:paraId="490E410B" w14:textId="77777777" w:rsidR="00E713B0" w:rsidRPr="0009445C" w:rsidRDefault="00E713B0" w:rsidP="00E713B0">
            <w:pPr>
              <w:pStyle w:val="BRL-Tabelle"/>
              <w:spacing w:before="60" w:after="40"/>
              <w:rPr>
                <w:rFonts w:eastAsia="Calibri"/>
              </w:rPr>
            </w:pPr>
            <w:r w:rsidRPr="0009445C">
              <w:t>E – d2</w:t>
            </w:r>
          </w:p>
        </w:tc>
      </w:tr>
      <w:tr w:rsidR="00E713B0" w:rsidRPr="0009445C" w14:paraId="452D5B40" w14:textId="77777777" w:rsidTr="00E713B0">
        <w:trPr>
          <w:cantSplit/>
        </w:trPr>
        <w:tc>
          <w:tcPr>
            <w:tcW w:w="441" w:type="dxa"/>
          </w:tcPr>
          <w:p w14:paraId="783C869E" w14:textId="77777777" w:rsidR="00E713B0" w:rsidRPr="0009445C" w:rsidRDefault="00E713B0" w:rsidP="00E713B0">
            <w:pPr>
              <w:pStyle w:val="BRL-Tabelle"/>
              <w:spacing w:before="60"/>
              <w:jc w:val="center"/>
              <w:rPr>
                <w:rFonts w:eastAsia="Calibri"/>
                <w:b/>
              </w:rPr>
            </w:pPr>
            <w:r w:rsidRPr="0009445C">
              <w:rPr>
                <w:b/>
              </w:rPr>
              <w:t>5</w:t>
            </w:r>
          </w:p>
        </w:tc>
        <w:tc>
          <w:tcPr>
            <w:tcW w:w="2696" w:type="dxa"/>
            <w:shd w:val="clear" w:color="auto" w:fill="auto"/>
          </w:tcPr>
          <w:p w14:paraId="45054F76" w14:textId="77777777" w:rsidR="00E713B0" w:rsidRPr="0009445C" w:rsidRDefault="00E713B0" w:rsidP="00E713B0">
            <w:pPr>
              <w:pStyle w:val="BRL-Tabelle"/>
              <w:spacing w:before="60" w:after="40"/>
              <w:rPr>
                <w:rFonts w:eastAsia="Calibri"/>
              </w:rPr>
            </w:pPr>
            <w:r w:rsidRPr="0009445C">
              <w:t>Fire-retardant with one-sided</w:t>
            </w:r>
            <w:r w:rsidRPr="0009445C">
              <w:rPr>
                <w:vertAlign w:val="superscript"/>
              </w:rPr>
              <w:t>2</w:t>
            </w:r>
            <w:r w:rsidRPr="0009445C">
              <w:t xml:space="preserve"> cladding made of non-combustible* building materials</w:t>
            </w:r>
          </w:p>
        </w:tc>
        <w:tc>
          <w:tcPr>
            <w:tcW w:w="2026" w:type="dxa"/>
            <w:shd w:val="clear" w:color="auto" w:fill="auto"/>
          </w:tcPr>
          <w:p w14:paraId="77C649A4"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0D040860" w14:textId="77777777" w:rsidR="00E713B0" w:rsidRPr="0009445C" w:rsidRDefault="00E713B0" w:rsidP="00E713B0">
            <w:pPr>
              <w:pStyle w:val="BRL-Tabelle"/>
              <w:rPr>
                <w:rFonts w:eastAsia="Calibri"/>
                <w:vertAlign w:val="superscript"/>
              </w:rPr>
            </w:pPr>
            <w:r w:rsidRPr="0009445C">
              <w:t>REI 30</w:t>
            </w:r>
          </w:p>
          <w:p w14:paraId="6EC1FEA6" w14:textId="77777777" w:rsidR="00E713B0" w:rsidRPr="0009445C" w:rsidRDefault="00E713B0" w:rsidP="00E713B0">
            <w:pPr>
              <w:pStyle w:val="BRL-Tabelle"/>
              <w:spacing w:before="60" w:after="40"/>
              <w:rPr>
                <w:rFonts w:eastAsia="Calibri"/>
              </w:rPr>
            </w:pPr>
          </w:p>
        </w:tc>
        <w:tc>
          <w:tcPr>
            <w:tcW w:w="1866" w:type="dxa"/>
            <w:shd w:val="clear" w:color="auto" w:fill="auto"/>
          </w:tcPr>
          <w:p w14:paraId="235313DA" w14:textId="77777777" w:rsidR="00E713B0" w:rsidRPr="0009445C" w:rsidRDefault="00E713B0" w:rsidP="00E713B0">
            <w:pPr>
              <w:pStyle w:val="BRL-Tabelle"/>
              <w:spacing w:before="60" w:after="40"/>
              <w:rPr>
                <w:rFonts w:eastAsia="Calibri"/>
              </w:rPr>
            </w:pPr>
            <w:r w:rsidRPr="0009445C">
              <w:t>Non-combustible* cladding:</w:t>
            </w:r>
            <w:r w:rsidRPr="0009445C">
              <w:br/>
              <w:t>A2 – s1,d0**;</w:t>
            </w:r>
            <w:r w:rsidRPr="0009445C">
              <w:br/>
              <w:t>Otherwise: E – d2</w:t>
            </w:r>
          </w:p>
        </w:tc>
      </w:tr>
      <w:tr w:rsidR="00E713B0" w:rsidRPr="0009445C" w14:paraId="61217C9E" w14:textId="77777777" w:rsidTr="00E713B0">
        <w:trPr>
          <w:cantSplit/>
        </w:trPr>
        <w:tc>
          <w:tcPr>
            <w:tcW w:w="441" w:type="dxa"/>
          </w:tcPr>
          <w:p w14:paraId="781283E8" w14:textId="77777777" w:rsidR="00E713B0" w:rsidRPr="0009445C" w:rsidRDefault="00E713B0" w:rsidP="00E713B0">
            <w:pPr>
              <w:pStyle w:val="BRL-Tabelle"/>
              <w:spacing w:before="60"/>
              <w:jc w:val="center"/>
              <w:rPr>
                <w:rFonts w:eastAsia="Calibri"/>
                <w:b/>
              </w:rPr>
            </w:pPr>
            <w:r w:rsidRPr="0009445C">
              <w:rPr>
                <w:b/>
              </w:rPr>
              <w:t>6</w:t>
            </w:r>
          </w:p>
        </w:tc>
        <w:tc>
          <w:tcPr>
            <w:tcW w:w="2696" w:type="dxa"/>
            <w:shd w:val="clear" w:color="auto" w:fill="auto"/>
          </w:tcPr>
          <w:p w14:paraId="795B5D6E" w14:textId="77777777" w:rsidR="00E713B0" w:rsidRPr="0009445C" w:rsidRDefault="00E713B0" w:rsidP="00E713B0">
            <w:pPr>
              <w:pStyle w:val="BRL-Tabelle"/>
              <w:spacing w:before="60" w:after="40"/>
              <w:rPr>
                <w:rFonts w:eastAsia="Calibri"/>
              </w:rPr>
            </w:pPr>
            <w:r w:rsidRPr="0009445C">
              <w:t>Fire-retardant and made of non-combustible* materials</w:t>
            </w:r>
          </w:p>
        </w:tc>
        <w:tc>
          <w:tcPr>
            <w:tcW w:w="2026" w:type="dxa"/>
            <w:shd w:val="clear" w:color="auto" w:fill="auto"/>
          </w:tcPr>
          <w:p w14:paraId="411C326E" w14:textId="77777777" w:rsidR="00E713B0" w:rsidRPr="0009445C" w:rsidRDefault="00E713B0" w:rsidP="00E713B0">
            <w:pPr>
              <w:pStyle w:val="BRL-Tabelle"/>
              <w:spacing w:before="60" w:after="40"/>
              <w:rPr>
                <w:rFonts w:eastAsia="Calibri"/>
              </w:rPr>
            </w:pPr>
            <w:r w:rsidRPr="0009445C">
              <w:t>R 30</w:t>
            </w:r>
          </w:p>
        </w:tc>
        <w:tc>
          <w:tcPr>
            <w:tcW w:w="2043" w:type="dxa"/>
            <w:shd w:val="clear" w:color="auto" w:fill="auto"/>
          </w:tcPr>
          <w:p w14:paraId="71C78E55" w14:textId="77777777" w:rsidR="00E713B0" w:rsidRPr="0009445C" w:rsidRDefault="00E713B0" w:rsidP="00E713B0">
            <w:pPr>
              <w:pStyle w:val="BRL-Tabelle"/>
              <w:spacing w:before="60" w:after="40"/>
              <w:rPr>
                <w:rFonts w:eastAsia="Calibri"/>
              </w:rPr>
            </w:pPr>
            <w:r w:rsidRPr="0009445C">
              <w:t>REI 30</w:t>
            </w:r>
          </w:p>
        </w:tc>
        <w:tc>
          <w:tcPr>
            <w:tcW w:w="1866" w:type="dxa"/>
            <w:shd w:val="clear" w:color="auto" w:fill="auto"/>
          </w:tcPr>
          <w:p w14:paraId="0FAC540F" w14:textId="77777777" w:rsidR="00E713B0" w:rsidRPr="0009445C" w:rsidRDefault="00E713B0" w:rsidP="00E713B0">
            <w:pPr>
              <w:pStyle w:val="BRL-Tabelle"/>
              <w:spacing w:before="60" w:after="40"/>
              <w:rPr>
                <w:rFonts w:eastAsia="Calibri"/>
              </w:rPr>
            </w:pPr>
            <w:r w:rsidRPr="0009445C">
              <w:t xml:space="preserve">A2 – s1,d0** </w:t>
            </w:r>
          </w:p>
        </w:tc>
      </w:tr>
      <w:tr w:rsidR="00E713B0" w:rsidRPr="0009445C" w14:paraId="08052101" w14:textId="77777777" w:rsidTr="00E713B0">
        <w:trPr>
          <w:cantSplit/>
        </w:trPr>
        <w:tc>
          <w:tcPr>
            <w:tcW w:w="441" w:type="dxa"/>
          </w:tcPr>
          <w:p w14:paraId="5CB6A9F0" w14:textId="77777777" w:rsidR="00E713B0" w:rsidRPr="0009445C" w:rsidRDefault="00E713B0" w:rsidP="00E713B0">
            <w:pPr>
              <w:pStyle w:val="BRL-Tabelle"/>
              <w:spacing w:before="60"/>
              <w:jc w:val="center"/>
              <w:rPr>
                <w:rFonts w:eastAsia="Calibri"/>
                <w:b/>
              </w:rPr>
            </w:pPr>
            <w:r w:rsidRPr="0009445C">
              <w:rPr>
                <w:b/>
              </w:rPr>
              <w:t>7</w:t>
            </w:r>
          </w:p>
        </w:tc>
        <w:tc>
          <w:tcPr>
            <w:tcW w:w="2696" w:type="dxa"/>
            <w:shd w:val="clear" w:color="auto" w:fill="auto"/>
          </w:tcPr>
          <w:p w14:paraId="66A255A5" w14:textId="77777777" w:rsidR="00E713B0" w:rsidRPr="0009445C" w:rsidRDefault="00E713B0" w:rsidP="00E713B0">
            <w:pPr>
              <w:pStyle w:val="BRL-Tabelle"/>
              <w:spacing w:before="60" w:after="40"/>
              <w:rPr>
                <w:rFonts w:eastAsia="Calibri"/>
              </w:rPr>
            </w:pPr>
            <w:r w:rsidRPr="0009445C">
              <w:t>Highly fire-retardant (load-bearing combustible parts, non-combustible* with insulation materials and fire-protective cladding of 60 min. made of non-combustible building materials) according to Section 4 of the Technical Rule under ser. No A 2.2.1.4</w:t>
            </w:r>
            <w:r w:rsidRPr="0009445C">
              <w:rPr>
                <w:vertAlign w:val="superscript"/>
              </w:rPr>
              <w:t>3</w:t>
            </w:r>
            <w:r w:rsidRPr="0009445C">
              <w:t xml:space="preserve"> </w:t>
            </w:r>
          </w:p>
        </w:tc>
        <w:tc>
          <w:tcPr>
            <w:tcW w:w="2026" w:type="dxa"/>
            <w:shd w:val="clear" w:color="auto" w:fill="auto"/>
          </w:tcPr>
          <w:p w14:paraId="7CBC85A3" w14:textId="77777777" w:rsidR="00E713B0" w:rsidRPr="0009445C" w:rsidRDefault="00E713B0" w:rsidP="00E713B0">
            <w:pPr>
              <w:pStyle w:val="BRL-Tabelle"/>
              <w:spacing w:before="60" w:after="40"/>
              <w:rPr>
                <w:rFonts w:eastAsia="Calibri"/>
              </w:rPr>
            </w:pPr>
            <w:r w:rsidRPr="0009445C">
              <w:t>R 60</w:t>
            </w:r>
            <w:r w:rsidRPr="0009445C">
              <w:br/>
              <w:t>Fire-protective cladding: K</w:t>
            </w:r>
            <w:r w:rsidRPr="0009445C">
              <w:rPr>
                <w:vertAlign w:val="subscript"/>
              </w:rPr>
              <w:t>2</w:t>
            </w:r>
            <w:r w:rsidRPr="0009445C">
              <w:t>60</w:t>
            </w:r>
          </w:p>
        </w:tc>
        <w:tc>
          <w:tcPr>
            <w:tcW w:w="2043" w:type="dxa"/>
            <w:shd w:val="clear" w:color="auto" w:fill="auto"/>
          </w:tcPr>
          <w:p w14:paraId="675FB13A" w14:textId="77777777" w:rsidR="00E713B0" w:rsidRPr="0009445C" w:rsidRDefault="00E713B0" w:rsidP="00E713B0">
            <w:pPr>
              <w:pStyle w:val="BRL-Tabelle"/>
              <w:spacing w:before="60" w:after="40"/>
              <w:rPr>
                <w:rFonts w:eastAsia="Calibri"/>
              </w:rPr>
            </w:pPr>
            <w:r w:rsidRPr="0009445C">
              <w:t>REI 60</w:t>
            </w:r>
            <w:r w:rsidRPr="0009445C">
              <w:br/>
              <w:t>Fire-protective cladding: K</w:t>
            </w:r>
            <w:r w:rsidRPr="0009445C">
              <w:rPr>
                <w:vertAlign w:val="subscript"/>
              </w:rPr>
              <w:t>2</w:t>
            </w:r>
            <w:r w:rsidRPr="0009445C">
              <w:t>60</w:t>
            </w:r>
          </w:p>
        </w:tc>
        <w:tc>
          <w:tcPr>
            <w:tcW w:w="1866" w:type="dxa"/>
            <w:shd w:val="clear" w:color="auto" w:fill="auto"/>
          </w:tcPr>
          <w:p w14:paraId="5D1EF761" w14:textId="77777777" w:rsidR="00E713B0" w:rsidRPr="0009445C" w:rsidRDefault="00E713B0" w:rsidP="00E713B0">
            <w:pPr>
              <w:pStyle w:val="BRL-Tabelle"/>
              <w:spacing w:before="60" w:after="40"/>
              <w:rPr>
                <w:rFonts w:eastAsia="Calibri"/>
              </w:rPr>
            </w:pPr>
            <w:r w:rsidRPr="0009445C">
              <w:t>Insulation materials, fire-protective cladding:</w:t>
            </w:r>
            <w:r w:rsidRPr="0009445C">
              <w:br/>
              <w:t>A2 – s1,d0**;</w:t>
            </w:r>
            <w:r w:rsidRPr="0009445C">
              <w:br/>
              <w:t>Otherwise: E – d2</w:t>
            </w:r>
          </w:p>
        </w:tc>
      </w:tr>
      <w:tr w:rsidR="00E713B0" w:rsidRPr="0009445C" w14:paraId="6D507E38" w14:textId="77777777" w:rsidTr="00E713B0">
        <w:trPr>
          <w:cantSplit/>
        </w:trPr>
        <w:tc>
          <w:tcPr>
            <w:tcW w:w="441" w:type="dxa"/>
          </w:tcPr>
          <w:p w14:paraId="47CFD1E5" w14:textId="77777777" w:rsidR="00E713B0" w:rsidRPr="0009445C" w:rsidRDefault="00E713B0" w:rsidP="00E713B0">
            <w:pPr>
              <w:pStyle w:val="BRL-Tabelle"/>
              <w:spacing w:before="60"/>
              <w:jc w:val="center"/>
              <w:rPr>
                <w:rFonts w:eastAsia="Calibri"/>
                <w:b/>
              </w:rPr>
            </w:pPr>
            <w:r w:rsidRPr="0009445C">
              <w:rPr>
                <w:b/>
              </w:rPr>
              <w:t>8</w:t>
            </w:r>
          </w:p>
        </w:tc>
        <w:tc>
          <w:tcPr>
            <w:tcW w:w="2696" w:type="dxa"/>
            <w:shd w:val="clear" w:color="auto" w:fill="auto"/>
          </w:tcPr>
          <w:p w14:paraId="0AB41051" w14:textId="77777777" w:rsidR="00E713B0" w:rsidRPr="0009445C" w:rsidRDefault="00E713B0" w:rsidP="00E713B0">
            <w:pPr>
              <w:pStyle w:val="BRL-Tabelle"/>
              <w:spacing w:before="60" w:after="40"/>
              <w:rPr>
                <w:rFonts w:eastAsia="Calibri"/>
              </w:rPr>
            </w:pPr>
            <w:r w:rsidRPr="0009445C">
              <w:t>Highly fire-retardant and made of non-combustible materials</w:t>
            </w:r>
          </w:p>
        </w:tc>
        <w:tc>
          <w:tcPr>
            <w:tcW w:w="2026" w:type="dxa"/>
            <w:shd w:val="clear" w:color="auto" w:fill="auto"/>
          </w:tcPr>
          <w:p w14:paraId="38E2A9E6" w14:textId="77777777" w:rsidR="00E713B0" w:rsidRPr="0009445C" w:rsidRDefault="00E713B0" w:rsidP="00E713B0">
            <w:pPr>
              <w:pStyle w:val="BRL-Tabelle"/>
              <w:spacing w:before="60" w:after="40"/>
              <w:rPr>
                <w:rFonts w:eastAsia="Calibri"/>
              </w:rPr>
            </w:pPr>
            <w:r w:rsidRPr="0009445C">
              <w:t>R 60</w:t>
            </w:r>
          </w:p>
        </w:tc>
        <w:tc>
          <w:tcPr>
            <w:tcW w:w="2043" w:type="dxa"/>
            <w:shd w:val="clear" w:color="auto" w:fill="auto"/>
          </w:tcPr>
          <w:p w14:paraId="6A9CB86A" w14:textId="77777777" w:rsidR="00E713B0" w:rsidRPr="0009445C" w:rsidRDefault="00E713B0" w:rsidP="00E713B0">
            <w:pPr>
              <w:pStyle w:val="BRL-Tabelle"/>
              <w:spacing w:before="60" w:after="40"/>
              <w:rPr>
                <w:rFonts w:eastAsia="Calibri"/>
              </w:rPr>
            </w:pPr>
            <w:r w:rsidRPr="0009445C">
              <w:t>REI 60</w:t>
            </w:r>
          </w:p>
        </w:tc>
        <w:tc>
          <w:tcPr>
            <w:tcW w:w="1866" w:type="dxa"/>
            <w:shd w:val="clear" w:color="auto" w:fill="auto"/>
          </w:tcPr>
          <w:p w14:paraId="195BAEE0" w14:textId="77777777" w:rsidR="00E713B0" w:rsidRPr="0009445C" w:rsidRDefault="00E713B0" w:rsidP="00E713B0">
            <w:pPr>
              <w:pStyle w:val="BRL-Tabelle"/>
              <w:spacing w:before="60" w:after="40"/>
              <w:rPr>
                <w:rFonts w:eastAsia="Calibri"/>
              </w:rPr>
            </w:pPr>
            <w:r w:rsidRPr="0009445C">
              <w:t>A2 – s1,d0**</w:t>
            </w:r>
          </w:p>
        </w:tc>
      </w:tr>
      <w:tr w:rsidR="00E713B0" w:rsidRPr="0009445C" w14:paraId="64F21F41" w14:textId="77777777" w:rsidTr="00E713B0">
        <w:trPr>
          <w:cantSplit/>
        </w:trPr>
        <w:tc>
          <w:tcPr>
            <w:tcW w:w="441" w:type="dxa"/>
          </w:tcPr>
          <w:p w14:paraId="4407290C" w14:textId="77777777" w:rsidR="00E713B0" w:rsidRPr="0009445C" w:rsidRDefault="00E713B0" w:rsidP="00E713B0">
            <w:pPr>
              <w:pStyle w:val="BRL-Tabelle"/>
              <w:spacing w:before="60"/>
              <w:jc w:val="center"/>
              <w:rPr>
                <w:rFonts w:eastAsia="Calibri"/>
                <w:b/>
              </w:rPr>
            </w:pPr>
            <w:r w:rsidRPr="0009445C">
              <w:rPr>
                <w:b/>
              </w:rPr>
              <w:t>9</w:t>
            </w:r>
          </w:p>
        </w:tc>
        <w:tc>
          <w:tcPr>
            <w:tcW w:w="2696" w:type="dxa"/>
            <w:shd w:val="clear" w:color="auto" w:fill="auto"/>
          </w:tcPr>
          <w:p w14:paraId="61BE9131" w14:textId="77777777" w:rsidR="00E713B0" w:rsidRPr="0009445C" w:rsidRDefault="00E713B0" w:rsidP="00E713B0">
            <w:pPr>
              <w:pStyle w:val="BRL-Tabelle"/>
              <w:spacing w:before="60" w:after="40"/>
              <w:rPr>
                <w:rFonts w:eastAsia="Calibri"/>
              </w:rPr>
            </w:pPr>
            <w:r w:rsidRPr="0009445C">
              <w:t>Highly fire-retardant and of incombustible materials</w:t>
            </w:r>
            <w:r w:rsidRPr="0009445C">
              <w:rPr>
                <w:vertAlign w:val="superscript"/>
              </w:rPr>
              <w:t>4</w:t>
            </w:r>
            <w:r w:rsidRPr="0009445C">
              <w:t xml:space="preserve"> in the main parts</w:t>
            </w:r>
          </w:p>
        </w:tc>
        <w:tc>
          <w:tcPr>
            <w:tcW w:w="2026" w:type="dxa"/>
            <w:shd w:val="clear" w:color="auto" w:fill="auto"/>
          </w:tcPr>
          <w:p w14:paraId="66D4EADA" w14:textId="77777777" w:rsidR="00E713B0" w:rsidRPr="0009445C" w:rsidRDefault="00E713B0" w:rsidP="00E713B0">
            <w:pPr>
              <w:pStyle w:val="BRL-Tabelle"/>
              <w:spacing w:before="60" w:after="40"/>
              <w:rPr>
                <w:rFonts w:eastAsia="Calibri"/>
              </w:rPr>
            </w:pPr>
            <w:r w:rsidRPr="0009445C">
              <w:t>R 60</w:t>
            </w:r>
          </w:p>
        </w:tc>
        <w:tc>
          <w:tcPr>
            <w:tcW w:w="2043" w:type="dxa"/>
            <w:shd w:val="clear" w:color="auto" w:fill="auto"/>
          </w:tcPr>
          <w:p w14:paraId="1142962C" w14:textId="77777777" w:rsidR="00E713B0" w:rsidRPr="0009445C" w:rsidRDefault="00E713B0" w:rsidP="00E713B0">
            <w:pPr>
              <w:pStyle w:val="BRL-Tabelle"/>
              <w:spacing w:before="60" w:after="40"/>
              <w:rPr>
                <w:rFonts w:eastAsia="Calibri"/>
              </w:rPr>
            </w:pPr>
            <w:r w:rsidRPr="0009445C">
              <w:t>REI 60</w:t>
            </w:r>
            <w:r w:rsidRPr="0009445C">
              <w:rPr>
                <w:vertAlign w:val="superscript"/>
              </w:rPr>
              <w:t>2</w:t>
            </w:r>
          </w:p>
        </w:tc>
        <w:tc>
          <w:tcPr>
            <w:tcW w:w="1866" w:type="dxa"/>
            <w:shd w:val="clear" w:color="auto" w:fill="auto"/>
          </w:tcPr>
          <w:p w14:paraId="4287DBD1" w14:textId="77777777" w:rsidR="00E713B0" w:rsidRPr="0009445C" w:rsidRDefault="00E713B0" w:rsidP="00E713B0">
            <w:pPr>
              <w:pStyle w:val="BRL-Tabelle"/>
              <w:rPr>
                <w:rFonts w:eastAsia="Calibri"/>
              </w:rPr>
            </w:pPr>
            <w:r w:rsidRPr="0009445C">
              <w:t xml:space="preserve">Essential parts: </w:t>
            </w:r>
          </w:p>
          <w:p w14:paraId="7108C5DA" w14:textId="77777777" w:rsidR="00E713B0" w:rsidRPr="0009445C" w:rsidRDefault="00E713B0" w:rsidP="00E713B0">
            <w:pPr>
              <w:pStyle w:val="BRL-Tabelle"/>
              <w:rPr>
                <w:rFonts w:eastAsia="Calibri"/>
              </w:rPr>
            </w:pPr>
            <w:r w:rsidRPr="0009445C">
              <w:t>A2 – s1,d0**</w:t>
            </w:r>
          </w:p>
          <w:p w14:paraId="789B2FBB" w14:textId="77777777" w:rsidR="00E713B0" w:rsidRPr="0009445C" w:rsidRDefault="00E713B0" w:rsidP="00E713B0">
            <w:pPr>
              <w:pStyle w:val="BRL-Tabelle"/>
              <w:rPr>
                <w:rFonts w:eastAsia="Calibri"/>
              </w:rPr>
            </w:pPr>
          </w:p>
          <w:p w14:paraId="74831CBB" w14:textId="77777777" w:rsidR="00E713B0" w:rsidRPr="0009445C" w:rsidRDefault="00E713B0" w:rsidP="00E713B0">
            <w:pPr>
              <w:pStyle w:val="BRL-Tabelle"/>
              <w:spacing w:before="60" w:after="40"/>
              <w:rPr>
                <w:rFonts w:eastAsia="Calibri"/>
              </w:rPr>
            </w:pPr>
            <w:r w:rsidRPr="0009445C">
              <w:t>Otherwise: E – d2</w:t>
            </w:r>
          </w:p>
        </w:tc>
      </w:tr>
      <w:tr w:rsidR="00E713B0" w:rsidRPr="0009445C" w14:paraId="4EA4E389" w14:textId="77777777" w:rsidTr="00E713B0">
        <w:trPr>
          <w:cantSplit/>
        </w:trPr>
        <w:tc>
          <w:tcPr>
            <w:tcW w:w="441" w:type="dxa"/>
          </w:tcPr>
          <w:p w14:paraId="37A5DB0D" w14:textId="77777777" w:rsidR="00E713B0" w:rsidRPr="0009445C" w:rsidRDefault="00E713B0" w:rsidP="00E713B0">
            <w:pPr>
              <w:pStyle w:val="BRL-Tabelle"/>
              <w:spacing w:before="60"/>
              <w:jc w:val="center"/>
              <w:rPr>
                <w:rFonts w:eastAsia="Calibri"/>
                <w:b/>
              </w:rPr>
            </w:pPr>
            <w:r w:rsidRPr="0009445C">
              <w:rPr>
                <w:b/>
              </w:rPr>
              <w:t>10</w:t>
            </w:r>
          </w:p>
        </w:tc>
        <w:tc>
          <w:tcPr>
            <w:tcW w:w="2696" w:type="dxa"/>
            <w:shd w:val="clear" w:color="auto" w:fill="auto"/>
          </w:tcPr>
          <w:p w14:paraId="70D164C6" w14:textId="77777777" w:rsidR="00E713B0" w:rsidRPr="0009445C" w:rsidRDefault="00E713B0" w:rsidP="00E713B0">
            <w:pPr>
              <w:pStyle w:val="BRL-Tabelle"/>
              <w:spacing w:before="60" w:after="40"/>
              <w:rPr>
                <w:rFonts w:eastAsia="Calibri"/>
              </w:rPr>
            </w:pPr>
            <w:r w:rsidRPr="0009445C">
              <w:t xml:space="preserve">Wall instead of a firewall highly fire-retardant (from non-combustible* building materials even under additional mechanical stress) </w:t>
            </w:r>
          </w:p>
        </w:tc>
        <w:tc>
          <w:tcPr>
            <w:tcW w:w="2026" w:type="dxa"/>
            <w:shd w:val="clear" w:color="auto" w:fill="auto"/>
          </w:tcPr>
          <w:p w14:paraId="2C140514"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1713A191" w14:textId="77777777" w:rsidR="00E713B0" w:rsidRPr="0009445C" w:rsidRDefault="00E713B0" w:rsidP="00E713B0">
            <w:pPr>
              <w:pStyle w:val="BRL-Tabelle"/>
              <w:spacing w:before="60" w:after="40"/>
              <w:rPr>
                <w:rFonts w:eastAsia="Calibri"/>
              </w:rPr>
            </w:pPr>
            <w:r w:rsidRPr="0009445C">
              <w:t>REI 60-M</w:t>
            </w:r>
          </w:p>
        </w:tc>
        <w:tc>
          <w:tcPr>
            <w:tcW w:w="1866" w:type="dxa"/>
            <w:shd w:val="clear" w:color="auto" w:fill="auto"/>
          </w:tcPr>
          <w:p w14:paraId="6729EE39" w14:textId="77777777" w:rsidR="00E713B0" w:rsidRPr="0009445C" w:rsidRDefault="00E713B0" w:rsidP="00E713B0">
            <w:pPr>
              <w:pStyle w:val="BRL-Tabelle"/>
              <w:spacing w:before="60" w:after="40"/>
              <w:rPr>
                <w:rFonts w:eastAsia="Calibri"/>
              </w:rPr>
            </w:pPr>
            <w:r w:rsidRPr="0009445C">
              <w:t>A2 – s1,d0**</w:t>
            </w:r>
          </w:p>
        </w:tc>
      </w:tr>
      <w:tr w:rsidR="00E713B0" w:rsidRPr="0009445C" w14:paraId="4504A47D" w14:textId="77777777" w:rsidTr="00E713B0">
        <w:trPr>
          <w:cantSplit/>
        </w:trPr>
        <w:tc>
          <w:tcPr>
            <w:tcW w:w="441" w:type="dxa"/>
          </w:tcPr>
          <w:p w14:paraId="26B9EF04" w14:textId="77777777" w:rsidR="00E713B0" w:rsidRPr="0009445C" w:rsidRDefault="00E713B0" w:rsidP="00E713B0">
            <w:pPr>
              <w:pStyle w:val="BRL-Tabelle"/>
              <w:spacing w:before="60"/>
              <w:jc w:val="center"/>
              <w:rPr>
                <w:b/>
              </w:rPr>
            </w:pPr>
            <w:r w:rsidRPr="0009445C">
              <w:rPr>
                <w:b/>
              </w:rPr>
              <w:t>11</w:t>
            </w:r>
          </w:p>
        </w:tc>
        <w:tc>
          <w:tcPr>
            <w:tcW w:w="2696" w:type="dxa"/>
            <w:shd w:val="clear" w:color="auto" w:fill="auto"/>
          </w:tcPr>
          <w:p w14:paraId="461323AD" w14:textId="77777777" w:rsidR="00E713B0" w:rsidRPr="0009445C" w:rsidRDefault="00E713B0" w:rsidP="00E713B0">
            <w:pPr>
              <w:pStyle w:val="BRL-Tabelle"/>
              <w:spacing w:before="60" w:after="40"/>
              <w:rPr>
                <w:rFonts w:eastAsia="Calibri"/>
              </w:rPr>
            </w:pPr>
            <w:r w:rsidRPr="0009445C">
              <w:t>Wall instead of a firewall highly fire-retardant and stable in the essential parts of non-combustible* building materials even under additional mechanical stress</w:t>
            </w:r>
          </w:p>
        </w:tc>
        <w:tc>
          <w:tcPr>
            <w:tcW w:w="2026" w:type="dxa"/>
            <w:shd w:val="clear" w:color="auto" w:fill="auto"/>
          </w:tcPr>
          <w:p w14:paraId="674C78AA"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7BBE0345" w14:textId="77777777" w:rsidR="00E713B0" w:rsidRPr="0009445C" w:rsidRDefault="00E713B0" w:rsidP="00E713B0">
            <w:pPr>
              <w:pStyle w:val="BRL-Tabelle"/>
              <w:spacing w:before="60" w:after="40"/>
              <w:rPr>
                <w:rFonts w:eastAsia="Calibri"/>
              </w:rPr>
            </w:pPr>
            <w:r w:rsidRPr="0009445C">
              <w:t>REI 60-M</w:t>
            </w:r>
          </w:p>
        </w:tc>
        <w:tc>
          <w:tcPr>
            <w:tcW w:w="1866" w:type="dxa"/>
            <w:shd w:val="clear" w:color="auto" w:fill="auto"/>
          </w:tcPr>
          <w:p w14:paraId="43907563" w14:textId="77777777" w:rsidR="00E713B0" w:rsidRPr="0009445C" w:rsidRDefault="00E713B0" w:rsidP="00E713B0">
            <w:pPr>
              <w:pStyle w:val="BRL-Tabelle"/>
              <w:rPr>
                <w:rFonts w:eastAsia="Calibri"/>
              </w:rPr>
            </w:pPr>
            <w:r w:rsidRPr="0009445C">
              <w:t xml:space="preserve">Essential parts: </w:t>
            </w:r>
          </w:p>
          <w:p w14:paraId="17F4329B" w14:textId="77777777" w:rsidR="00E713B0" w:rsidRPr="0009445C" w:rsidRDefault="00E713B0" w:rsidP="00E713B0">
            <w:pPr>
              <w:pStyle w:val="BRL-Tabelle"/>
              <w:rPr>
                <w:rFonts w:eastAsia="Calibri"/>
              </w:rPr>
            </w:pPr>
            <w:r w:rsidRPr="0009445C">
              <w:t>A2 – s1,d0**</w:t>
            </w:r>
          </w:p>
          <w:p w14:paraId="0E461D68" w14:textId="77777777" w:rsidR="00E713B0" w:rsidRPr="0009445C" w:rsidRDefault="00E713B0" w:rsidP="00E713B0">
            <w:pPr>
              <w:pStyle w:val="BRL-Tabelle"/>
              <w:rPr>
                <w:rFonts w:eastAsia="Calibri"/>
              </w:rPr>
            </w:pPr>
          </w:p>
          <w:p w14:paraId="32E2E1FE" w14:textId="77777777" w:rsidR="00E713B0" w:rsidRPr="0009445C" w:rsidRDefault="00E713B0" w:rsidP="00E713B0">
            <w:pPr>
              <w:pStyle w:val="BRL-Tabelle"/>
              <w:spacing w:before="60" w:after="40"/>
              <w:rPr>
                <w:rFonts w:eastAsia="Calibri"/>
              </w:rPr>
            </w:pPr>
            <w:r w:rsidRPr="0009445C">
              <w:t>Otherwise: E – d2</w:t>
            </w:r>
          </w:p>
        </w:tc>
      </w:tr>
      <w:tr w:rsidR="00E713B0" w:rsidRPr="0009445C" w14:paraId="4B49A4AC" w14:textId="77777777" w:rsidTr="00E713B0">
        <w:trPr>
          <w:cantSplit/>
        </w:trPr>
        <w:tc>
          <w:tcPr>
            <w:tcW w:w="441" w:type="dxa"/>
          </w:tcPr>
          <w:p w14:paraId="5E2739BB" w14:textId="77777777" w:rsidR="00E713B0" w:rsidRPr="0009445C" w:rsidRDefault="00E713B0" w:rsidP="00E713B0">
            <w:pPr>
              <w:pStyle w:val="BRL-Tabelle"/>
              <w:spacing w:before="60"/>
              <w:jc w:val="center"/>
              <w:rPr>
                <w:rFonts w:eastAsia="Calibri"/>
                <w:b/>
              </w:rPr>
            </w:pPr>
            <w:r w:rsidRPr="0009445C">
              <w:rPr>
                <w:b/>
              </w:rPr>
              <w:lastRenderedPageBreak/>
              <w:t>12</w:t>
            </w:r>
          </w:p>
        </w:tc>
        <w:tc>
          <w:tcPr>
            <w:tcW w:w="2696" w:type="dxa"/>
            <w:shd w:val="clear" w:color="auto" w:fill="auto"/>
          </w:tcPr>
          <w:p w14:paraId="21DEB179" w14:textId="77777777" w:rsidR="00E713B0" w:rsidRPr="0009445C" w:rsidRDefault="00E713B0" w:rsidP="00E713B0">
            <w:pPr>
              <w:pStyle w:val="BRL-Tabelle"/>
              <w:spacing w:before="60" w:after="40"/>
              <w:rPr>
                <w:rFonts w:eastAsia="Calibri"/>
              </w:rPr>
            </w:pPr>
            <w:r w:rsidRPr="0009445C">
              <w:t>Wall instead of a fire-retardant wall (carrying parts flammable, insulating materials non-combustible* with fire-protective cladding of 60 min. made of non-combustible* building materials also under additional mechanical stress resistant) according to Section 4 of the Technical Rule according to ser. No A 2.2.1.4</w:t>
            </w:r>
            <w:r w:rsidRPr="0009445C">
              <w:rPr>
                <w:vertAlign w:val="superscript"/>
              </w:rPr>
              <w:t xml:space="preserve"> 3</w:t>
            </w:r>
          </w:p>
        </w:tc>
        <w:tc>
          <w:tcPr>
            <w:tcW w:w="2026" w:type="dxa"/>
            <w:shd w:val="clear" w:color="auto" w:fill="auto"/>
          </w:tcPr>
          <w:p w14:paraId="774B3011"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1A7FF676" w14:textId="77777777" w:rsidR="00E713B0" w:rsidRPr="0009445C" w:rsidRDefault="00E713B0" w:rsidP="00E713B0">
            <w:pPr>
              <w:pStyle w:val="BRL-Tabelle"/>
              <w:spacing w:before="60" w:after="40"/>
              <w:rPr>
                <w:rFonts w:eastAsia="Calibri"/>
              </w:rPr>
            </w:pPr>
            <w:r w:rsidRPr="0009445C">
              <w:t>REI 60-M</w:t>
            </w:r>
            <w:r w:rsidRPr="0009445C">
              <w:br/>
              <w:t>Fire-protective cladding: K</w:t>
            </w:r>
            <w:r w:rsidRPr="0009445C">
              <w:rPr>
                <w:vertAlign w:val="subscript"/>
              </w:rPr>
              <w:t>2</w:t>
            </w:r>
            <w:r w:rsidRPr="0009445C">
              <w:t>60</w:t>
            </w:r>
          </w:p>
        </w:tc>
        <w:tc>
          <w:tcPr>
            <w:tcW w:w="1866" w:type="dxa"/>
            <w:shd w:val="clear" w:color="auto" w:fill="auto"/>
          </w:tcPr>
          <w:p w14:paraId="3A1ED121" w14:textId="77777777" w:rsidR="00E713B0" w:rsidRPr="0009445C" w:rsidRDefault="00E713B0" w:rsidP="00E713B0">
            <w:pPr>
              <w:pStyle w:val="BRL-Tabelle"/>
              <w:spacing w:before="60" w:after="40"/>
              <w:rPr>
                <w:rFonts w:eastAsia="Calibri"/>
              </w:rPr>
            </w:pPr>
            <w:r w:rsidRPr="0009445C">
              <w:t>Load-bearing and reinforcing</w:t>
            </w:r>
            <w:r w:rsidRPr="0009445C">
              <w:br/>
              <w:t>parts: E, incidentally, A2 – s1,d0**</w:t>
            </w:r>
          </w:p>
        </w:tc>
      </w:tr>
      <w:tr w:rsidR="00E713B0" w:rsidRPr="0009445C" w14:paraId="458D0E7B" w14:textId="77777777" w:rsidTr="00E713B0">
        <w:trPr>
          <w:cantSplit/>
        </w:trPr>
        <w:tc>
          <w:tcPr>
            <w:tcW w:w="441" w:type="dxa"/>
          </w:tcPr>
          <w:p w14:paraId="633F3179" w14:textId="77777777" w:rsidR="00E713B0" w:rsidRPr="0009445C" w:rsidRDefault="00E713B0" w:rsidP="00E713B0">
            <w:pPr>
              <w:pStyle w:val="BRL-Tabelle"/>
              <w:spacing w:before="60"/>
              <w:jc w:val="center"/>
              <w:rPr>
                <w:b/>
              </w:rPr>
            </w:pPr>
            <w:r w:rsidRPr="0009445C">
              <w:rPr>
                <w:b/>
              </w:rPr>
              <w:t>13</w:t>
            </w:r>
          </w:p>
        </w:tc>
        <w:tc>
          <w:tcPr>
            <w:tcW w:w="2696" w:type="dxa"/>
            <w:shd w:val="clear" w:color="auto" w:fill="auto"/>
          </w:tcPr>
          <w:p w14:paraId="0A59EABE" w14:textId="77777777" w:rsidR="00E713B0" w:rsidRPr="0009445C" w:rsidRDefault="00E713B0" w:rsidP="00E713B0">
            <w:pPr>
              <w:pStyle w:val="BRL-Tabelle"/>
              <w:spacing w:before="60" w:after="40"/>
              <w:rPr>
                <w:rFonts w:eastAsia="Calibri"/>
              </w:rPr>
            </w:pPr>
            <w:r w:rsidRPr="0009445C">
              <w:t xml:space="preserve">Structural elements according to A 2.1.3.1 letter (d) with a fire resistance of 60 min and of flammable building materials, </w:t>
            </w:r>
            <w:bookmarkStart w:id="28" w:name="_Hlk50453659"/>
            <w:r w:rsidRPr="0009445C">
              <w:t xml:space="preserve"> according to Section 5 of the technical regulation in accordance with ser. No A 2.2.1.4</w:t>
            </w:r>
            <w:r w:rsidRPr="0009445C">
              <w:rPr>
                <w:vertAlign w:val="superscript"/>
              </w:rPr>
              <w:t>3</w:t>
            </w:r>
            <w:bookmarkEnd w:id="28"/>
            <w:r w:rsidRPr="0009445C">
              <w:t>,</w:t>
            </w:r>
            <w:r w:rsidRPr="0009445C">
              <w:rPr>
                <w:vertAlign w:val="superscript"/>
              </w:rPr>
              <w:t xml:space="preserve"> </w:t>
            </w:r>
            <w:r w:rsidRPr="0009445C">
              <w:t xml:space="preserve">with room-side fire-protective cladding of 30 min. made of non-combustible* building materials according to Section 5.2 of the Technical Rule in accordance with ser. No A 2.2.1.4 </w:t>
            </w:r>
            <w:r w:rsidRPr="0009445C">
              <w:rPr>
                <w:vertAlign w:val="superscript"/>
              </w:rPr>
              <w:t xml:space="preserve"> 3</w:t>
            </w:r>
            <w:r w:rsidRPr="0009445C">
              <w:t>, and with one-sided cladding made of non-combustible* building materials in accordance with § 35(5) MBO in conjunction with A 2.1.12, also stable under additional mechanical stress (staircase wall)</w:t>
            </w:r>
          </w:p>
        </w:tc>
        <w:tc>
          <w:tcPr>
            <w:tcW w:w="2026" w:type="dxa"/>
            <w:shd w:val="clear" w:color="auto" w:fill="auto"/>
          </w:tcPr>
          <w:p w14:paraId="368F3133"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2E5F3184" w14:textId="77777777" w:rsidR="00E713B0" w:rsidRPr="0009445C" w:rsidRDefault="00E713B0" w:rsidP="00E713B0">
            <w:pPr>
              <w:pStyle w:val="BRL-Tabelle"/>
              <w:rPr>
                <w:rFonts w:eastAsia="Calibri"/>
              </w:rPr>
            </w:pPr>
            <w:r w:rsidRPr="0009445C">
              <w:t>REI 60-M</w:t>
            </w:r>
          </w:p>
          <w:p w14:paraId="14FB7371" w14:textId="77777777" w:rsidR="00E713B0" w:rsidRPr="0009445C" w:rsidRDefault="00E713B0" w:rsidP="00E713B0">
            <w:pPr>
              <w:pStyle w:val="BRL-Tabelle"/>
              <w:spacing w:before="60" w:after="40"/>
              <w:rPr>
                <w:rFonts w:eastAsia="Calibri"/>
              </w:rPr>
            </w:pPr>
            <w:r w:rsidRPr="0009445C">
              <w:t>Fire-protective cladding: K</w:t>
            </w:r>
            <w:r w:rsidRPr="0009445C">
              <w:rPr>
                <w:vertAlign w:val="subscript"/>
              </w:rPr>
              <w:t>2</w:t>
            </w:r>
            <w:r w:rsidRPr="0009445C">
              <w:t>30</w:t>
            </w:r>
          </w:p>
        </w:tc>
        <w:tc>
          <w:tcPr>
            <w:tcW w:w="1866" w:type="dxa"/>
            <w:shd w:val="clear" w:color="auto" w:fill="auto"/>
          </w:tcPr>
          <w:p w14:paraId="0D886B67" w14:textId="77777777" w:rsidR="00E713B0" w:rsidRPr="0009445C" w:rsidRDefault="00E713B0" w:rsidP="00E713B0">
            <w:pPr>
              <w:pStyle w:val="BRL-Tabelle"/>
              <w:spacing w:before="60" w:after="40"/>
              <w:rPr>
                <w:rFonts w:eastAsia="Calibri"/>
              </w:rPr>
            </w:pPr>
            <w:r w:rsidRPr="0009445C">
              <w:t>fire-protective cladding, non-combustible* cladding A2 – s1,d0**;</w:t>
            </w:r>
            <w:r w:rsidRPr="0009445C">
              <w:br/>
              <w:t>Otherwise: E – d2</w:t>
            </w:r>
          </w:p>
        </w:tc>
      </w:tr>
      <w:tr w:rsidR="00E713B0" w:rsidRPr="0009445C" w14:paraId="45B9618F" w14:textId="77777777" w:rsidTr="00E713B0">
        <w:trPr>
          <w:cantSplit/>
        </w:trPr>
        <w:tc>
          <w:tcPr>
            <w:tcW w:w="441" w:type="dxa"/>
          </w:tcPr>
          <w:p w14:paraId="4F716A23" w14:textId="77777777" w:rsidR="00E713B0" w:rsidRPr="0009445C" w:rsidRDefault="00E713B0" w:rsidP="00E713B0">
            <w:pPr>
              <w:pStyle w:val="BRL-Tabelle"/>
              <w:spacing w:before="60"/>
              <w:jc w:val="center"/>
              <w:rPr>
                <w:rFonts w:eastAsia="Calibri"/>
                <w:b/>
              </w:rPr>
            </w:pPr>
            <w:r w:rsidRPr="0009445C">
              <w:rPr>
                <w:b/>
              </w:rPr>
              <w:t>14</w:t>
            </w:r>
          </w:p>
        </w:tc>
        <w:tc>
          <w:tcPr>
            <w:tcW w:w="2696" w:type="dxa"/>
            <w:shd w:val="clear" w:color="auto" w:fill="auto"/>
          </w:tcPr>
          <w:p w14:paraId="4D01984E" w14:textId="77777777" w:rsidR="00E713B0" w:rsidRPr="0009445C" w:rsidRDefault="00E713B0" w:rsidP="00E713B0">
            <w:pPr>
              <w:pStyle w:val="BRL-Tabelle"/>
              <w:spacing w:before="60" w:after="40"/>
              <w:rPr>
                <w:rFonts w:eastAsia="Calibri"/>
              </w:rPr>
            </w:pPr>
            <w:r w:rsidRPr="0009445C">
              <w:t>Fire-resistant (non-combustible load-bearing and reinforced parts)</w:t>
            </w:r>
            <w:r w:rsidRPr="0009445C">
              <w:rPr>
                <w:vertAlign w:val="superscript"/>
              </w:rPr>
              <w:t>4</w:t>
            </w:r>
          </w:p>
        </w:tc>
        <w:tc>
          <w:tcPr>
            <w:tcW w:w="2026" w:type="dxa"/>
            <w:shd w:val="clear" w:color="auto" w:fill="auto"/>
          </w:tcPr>
          <w:p w14:paraId="513CCF23" w14:textId="77777777" w:rsidR="00E713B0" w:rsidRPr="0009445C" w:rsidRDefault="00E713B0" w:rsidP="00E713B0">
            <w:pPr>
              <w:pStyle w:val="BRL-Tabelle"/>
              <w:spacing w:before="60" w:after="40"/>
              <w:rPr>
                <w:rFonts w:eastAsia="Calibri"/>
              </w:rPr>
            </w:pPr>
            <w:r w:rsidRPr="0009445C">
              <w:t>R 90</w:t>
            </w:r>
          </w:p>
        </w:tc>
        <w:tc>
          <w:tcPr>
            <w:tcW w:w="2043" w:type="dxa"/>
            <w:shd w:val="clear" w:color="auto" w:fill="auto"/>
          </w:tcPr>
          <w:p w14:paraId="24E353A6" w14:textId="77777777" w:rsidR="00E713B0" w:rsidRPr="0009445C" w:rsidRDefault="00E713B0" w:rsidP="00E713B0">
            <w:pPr>
              <w:pStyle w:val="BRL-Tabelle"/>
              <w:spacing w:before="60" w:after="40"/>
              <w:rPr>
                <w:rFonts w:eastAsia="Calibri"/>
              </w:rPr>
            </w:pPr>
            <w:r w:rsidRPr="0009445C">
              <w:t>REI 90</w:t>
            </w:r>
            <w:r w:rsidRPr="0009445C">
              <w:rPr>
                <w:vertAlign w:val="superscript"/>
              </w:rPr>
              <w:t>2</w:t>
            </w:r>
          </w:p>
        </w:tc>
        <w:tc>
          <w:tcPr>
            <w:tcW w:w="1866" w:type="dxa"/>
            <w:shd w:val="clear" w:color="auto" w:fill="auto"/>
          </w:tcPr>
          <w:p w14:paraId="400CCA4A" w14:textId="77777777" w:rsidR="00E713B0" w:rsidRPr="0009445C" w:rsidRDefault="00E713B0" w:rsidP="00E713B0">
            <w:pPr>
              <w:pStyle w:val="BRL-Tabelle"/>
              <w:spacing w:before="60" w:after="40"/>
              <w:rPr>
                <w:rFonts w:eastAsia="Calibri"/>
              </w:rPr>
            </w:pPr>
            <w:r w:rsidRPr="0009445C">
              <w:t>A2 – s1,d0**;</w:t>
            </w:r>
            <w:r w:rsidRPr="0009445C">
              <w:br/>
              <w:t>Otherwise E – d2</w:t>
            </w:r>
          </w:p>
        </w:tc>
      </w:tr>
      <w:tr w:rsidR="00E713B0" w:rsidRPr="0009445C" w14:paraId="29985B19" w14:textId="77777777" w:rsidTr="00E713B0">
        <w:trPr>
          <w:cantSplit/>
        </w:trPr>
        <w:tc>
          <w:tcPr>
            <w:tcW w:w="441" w:type="dxa"/>
          </w:tcPr>
          <w:p w14:paraId="73E07B45" w14:textId="77777777" w:rsidR="00E713B0" w:rsidRPr="0009445C" w:rsidRDefault="00E713B0" w:rsidP="00E713B0">
            <w:pPr>
              <w:pStyle w:val="BRL-Tabelle"/>
              <w:spacing w:before="60"/>
              <w:jc w:val="center"/>
              <w:rPr>
                <w:rFonts w:eastAsia="Calibri"/>
                <w:b/>
              </w:rPr>
            </w:pPr>
            <w:r w:rsidRPr="0009445C">
              <w:rPr>
                <w:b/>
              </w:rPr>
              <w:t>15</w:t>
            </w:r>
          </w:p>
        </w:tc>
        <w:tc>
          <w:tcPr>
            <w:tcW w:w="2696" w:type="dxa"/>
            <w:shd w:val="clear" w:color="auto" w:fill="auto"/>
          </w:tcPr>
          <w:p w14:paraId="05E5FB7C" w14:textId="77777777" w:rsidR="00E713B0" w:rsidRPr="0009445C" w:rsidRDefault="00E713B0" w:rsidP="00E713B0">
            <w:pPr>
              <w:pStyle w:val="BRL-Tabelle"/>
              <w:spacing w:before="60" w:after="40"/>
              <w:rPr>
                <w:rFonts w:eastAsia="Calibri"/>
              </w:rPr>
            </w:pPr>
            <w:r w:rsidRPr="0009445C">
              <w:t>Fire-resistant and made of non-combustible* building materials</w:t>
            </w:r>
          </w:p>
        </w:tc>
        <w:tc>
          <w:tcPr>
            <w:tcW w:w="2026" w:type="dxa"/>
            <w:shd w:val="clear" w:color="auto" w:fill="auto"/>
          </w:tcPr>
          <w:p w14:paraId="62ED696F" w14:textId="77777777" w:rsidR="00E713B0" w:rsidRPr="0009445C" w:rsidRDefault="00E713B0" w:rsidP="00E713B0">
            <w:pPr>
              <w:pStyle w:val="BRL-Tabelle"/>
              <w:spacing w:before="60" w:after="40"/>
              <w:rPr>
                <w:rFonts w:eastAsia="Calibri"/>
              </w:rPr>
            </w:pPr>
            <w:r w:rsidRPr="0009445C">
              <w:t>R 90</w:t>
            </w:r>
          </w:p>
        </w:tc>
        <w:tc>
          <w:tcPr>
            <w:tcW w:w="2043" w:type="dxa"/>
            <w:shd w:val="clear" w:color="auto" w:fill="auto"/>
          </w:tcPr>
          <w:p w14:paraId="48F2B9AA" w14:textId="77777777" w:rsidR="00E713B0" w:rsidRPr="0009445C" w:rsidRDefault="00E713B0" w:rsidP="00E713B0">
            <w:pPr>
              <w:pStyle w:val="BRL-Tabelle"/>
              <w:spacing w:before="60" w:after="40"/>
              <w:rPr>
                <w:rFonts w:eastAsia="Calibri"/>
              </w:rPr>
            </w:pPr>
            <w:r w:rsidRPr="0009445C">
              <w:t>REI 90</w:t>
            </w:r>
          </w:p>
        </w:tc>
        <w:tc>
          <w:tcPr>
            <w:tcW w:w="1866" w:type="dxa"/>
            <w:shd w:val="clear" w:color="auto" w:fill="auto"/>
          </w:tcPr>
          <w:p w14:paraId="22C98FA4" w14:textId="77777777" w:rsidR="00E713B0" w:rsidRPr="0009445C" w:rsidRDefault="00E713B0" w:rsidP="00E713B0">
            <w:pPr>
              <w:pStyle w:val="BRL-Tabelle"/>
              <w:spacing w:before="60" w:after="40"/>
              <w:rPr>
                <w:rFonts w:eastAsia="Calibri"/>
              </w:rPr>
            </w:pPr>
            <w:r w:rsidRPr="0009445C">
              <w:t xml:space="preserve">A2 – s1,d0** </w:t>
            </w:r>
          </w:p>
        </w:tc>
      </w:tr>
      <w:tr w:rsidR="00E713B0" w:rsidRPr="0009445C" w14:paraId="3127819F" w14:textId="77777777" w:rsidTr="00E713B0">
        <w:trPr>
          <w:cantSplit/>
          <w:trHeight w:val="465"/>
        </w:trPr>
        <w:tc>
          <w:tcPr>
            <w:tcW w:w="441" w:type="dxa"/>
          </w:tcPr>
          <w:p w14:paraId="54EBA3B9" w14:textId="77777777" w:rsidR="00E713B0" w:rsidRPr="0009445C" w:rsidRDefault="00E713B0" w:rsidP="00E713B0">
            <w:pPr>
              <w:pStyle w:val="BRL-Tabelle"/>
              <w:spacing w:before="60"/>
              <w:jc w:val="center"/>
              <w:rPr>
                <w:rFonts w:eastAsia="Calibri"/>
                <w:b/>
              </w:rPr>
            </w:pPr>
            <w:r w:rsidRPr="0009445C">
              <w:rPr>
                <w:b/>
              </w:rPr>
              <w:t>16</w:t>
            </w:r>
          </w:p>
        </w:tc>
        <w:tc>
          <w:tcPr>
            <w:tcW w:w="2696" w:type="dxa"/>
            <w:shd w:val="clear" w:color="auto" w:fill="auto"/>
          </w:tcPr>
          <w:p w14:paraId="6EF4E1A5" w14:textId="77777777" w:rsidR="00E713B0" w:rsidRPr="0009445C" w:rsidRDefault="00E713B0" w:rsidP="00E713B0">
            <w:pPr>
              <w:pStyle w:val="BRL-Tabelle"/>
              <w:spacing w:before="60" w:after="40"/>
              <w:rPr>
                <w:rFonts w:eastAsia="Calibri"/>
              </w:rPr>
            </w:pPr>
            <w:r w:rsidRPr="0009445C">
              <w:t>Fire resistance of 120 minutes and made of non-combustible* building materials</w:t>
            </w:r>
          </w:p>
        </w:tc>
        <w:tc>
          <w:tcPr>
            <w:tcW w:w="2026" w:type="dxa"/>
            <w:shd w:val="clear" w:color="auto" w:fill="auto"/>
          </w:tcPr>
          <w:p w14:paraId="4381774B" w14:textId="77777777" w:rsidR="00E713B0" w:rsidRPr="0009445C" w:rsidRDefault="00E713B0" w:rsidP="00E713B0">
            <w:pPr>
              <w:pStyle w:val="BRL-Tabelle"/>
              <w:spacing w:before="60" w:after="40"/>
              <w:rPr>
                <w:rFonts w:eastAsia="Calibri"/>
              </w:rPr>
            </w:pPr>
            <w:r w:rsidRPr="0009445C">
              <w:t>R 120</w:t>
            </w:r>
          </w:p>
        </w:tc>
        <w:tc>
          <w:tcPr>
            <w:tcW w:w="2043" w:type="dxa"/>
            <w:shd w:val="clear" w:color="auto" w:fill="auto"/>
          </w:tcPr>
          <w:p w14:paraId="58CA57EE" w14:textId="77777777" w:rsidR="00E713B0" w:rsidRPr="0009445C" w:rsidRDefault="00E713B0" w:rsidP="00E713B0">
            <w:pPr>
              <w:pStyle w:val="BRL-Tabelle"/>
              <w:spacing w:before="60" w:after="40"/>
              <w:rPr>
                <w:rFonts w:eastAsia="Calibri"/>
              </w:rPr>
            </w:pPr>
            <w:r w:rsidRPr="0009445C">
              <w:t>REI 120</w:t>
            </w:r>
          </w:p>
        </w:tc>
        <w:tc>
          <w:tcPr>
            <w:tcW w:w="1866" w:type="dxa"/>
            <w:shd w:val="clear" w:color="auto" w:fill="auto"/>
          </w:tcPr>
          <w:p w14:paraId="659C1D93" w14:textId="77777777" w:rsidR="00E713B0" w:rsidRPr="0009445C" w:rsidRDefault="00E713B0" w:rsidP="00E713B0">
            <w:pPr>
              <w:pStyle w:val="BRL-Tabelle"/>
              <w:spacing w:before="60" w:after="40"/>
              <w:rPr>
                <w:rFonts w:eastAsia="Calibri"/>
              </w:rPr>
            </w:pPr>
            <w:r w:rsidRPr="0009445C">
              <w:t>A2 – s1,d0**</w:t>
            </w:r>
          </w:p>
        </w:tc>
      </w:tr>
      <w:tr w:rsidR="00E713B0" w:rsidRPr="0009445C" w14:paraId="1A7EF87E" w14:textId="77777777" w:rsidTr="00E713B0">
        <w:trPr>
          <w:cantSplit/>
        </w:trPr>
        <w:tc>
          <w:tcPr>
            <w:tcW w:w="441" w:type="dxa"/>
          </w:tcPr>
          <w:p w14:paraId="53A475D8" w14:textId="77777777" w:rsidR="00E713B0" w:rsidRPr="0009445C" w:rsidRDefault="00E713B0" w:rsidP="00E713B0">
            <w:pPr>
              <w:pStyle w:val="BRL-Tabelle"/>
              <w:spacing w:before="60"/>
              <w:jc w:val="center"/>
              <w:rPr>
                <w:rFonts w:eastAsia="Calibri"/>
                <w:b/>
              </w:rPr>
            </w:pPr>
            <w:r w:rsidRPr="0009445C">
              <w:rPr>
                <w:b/>
              </w:rPr>
              <w:t>17</w:t>
            </w:r>
          </w:p>
        </w:tc>
        <w:tc>
          <w:tcPr>
            <w:tcW w:w="2696" w:type="dxa"/>
            <w:shd w:val="clear" w:color="auto" w:fill="auto"/>
          </w:tcPr>
          <w:p w14:paraId="6749CB70" w14:textId="77777777" w:rsidR="00E713B0" w:rsidRPr="0009445C" w:rsidRDefault="00E713B0" w:rsidP="00E713B0">
            <w:pPr>
              <w:pStyle w:val="BRL-Tabelle"/>
              <w:spacing w:before="60" w:after="40"/>
              <w:rPr>
                <w:rFonts w:eastAsia="Calibri"/>
              </w:rPr>
            </w:pPr>
            <w:r w:rsidRPr="0009445C">
              <w:t>Fire resistance of 120 minutes and made of non-combustible* building materials, stable even under additional mechanical stress</w:t>
            </w:r>
          </w:p>
        </w:tc>
        <w:tc>
          <w:tcPr>
            <w:tcW w:w="2026" w:type="dxa"/>
            <w:shd w:val="clear" w:color="auto" w:fill="auto"/>
          </w:tcPr>
          <w:p w14:paraId="150E7E14"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68077871" w14:textId="77777777" w:rsidR="00E713B0" w:rsidRPr="0009445C" w:rsidRDefault="00E713B0" w:rsidP="00E713B0">
            <w:pPr>
              <w:pStyle w:val="BRL-Tabelle"/>
              <w:spacing w:before="60" w:after="40"/>
              <w:rPr>
                <w:rFonts w:eastAsia="Calibri"/>
              </w:rPr>
            </w:pPr>
            <w:r w:rsidRPr="0009445C">
              <w:t>REI 120-M</w:t>
            </w:r>
            <w:r w:rsidRPr="0009445C">
              <w:rPr>
                <w:vertAlign w:val="superscript"/>
              </w:rPr>
              <w:t>4</w:t>
            </w:r>
          </w:p>
        </w:tc>
        <w:tc>
          <w:tcPr>
            <w:tcW w:w="1866" w:type="dxa"/>
            <w:shd w:val="clear" w:color="auto" w:fill="auto"/>
          </w:tcPr>
          <w:p w14:paraId="01A46337" w14:textId="77777777" w:rsidR="00E713B0" w:rsidRPr="0009445C" w:rsidRDefault="00E713B0" w:rsidP="00E713B0">
            <w:pPr>
              <w:pStyle w:val="BRL-Tabelle"/>
              <w:spacing w:before="60" w:after="40"/>
              <w:rPr>
                <w:rFonts w:eastAsia="Calibri"/>
              </w:rPr>
            </w:pPr>
            <w:r w:rsidRPr="0009445C">
              <w:t>A2 – s1,d0**</w:t>
            </w:r>
          </w:p>
        </w:tc>
      </w:tr>
      <w:tr w:rsidR="00E713B0" w:rsidRPr="0009445C" w14:paraId="4EF392C4" w14:textId="77777777" w:rsidTr="00E713B0">
        <w:trPr>
          <w:cantSplit/>
        </w:trPr>
        <w:tc>
          <w:tcPr>
            <w:tcW w:w="441" w:type="dxa"/>
          </w:tcPr>
          <w:p w14:paraId="140FC681" w14:textId="77777777" w:rsidR="00E713B0" w:rsidRPr="0009445C" w:rsidRDefault="00E713B0" w:rsidP="00E713B0">
            <w:pPr>
              <w:pStyle w:val="BRL-Tabelle"/>
              <w:spacing w:before="60"/>
              <w:jc w:val="center"/>
              <w:rPr>
                <w:b/>
              </w:rPr>
            </w:pPr>
            <w:r w:rsidRPr="0009445C">
              <w:rPr>
                <w:b/>
              </w:rPr>
              <w:t>18</w:t>
            </w:r>
          </w:p>
        </w:tc>
        <w:tc>
          <w:tcPr>
            <w:tcW w:w="2696" w:type="dxa"/>
            <w:shd w:val="clear" w:color="auto" w:fill="auto"/>
          </w:tcPr>
          <w:p w14:paraId="3C3F01D7" w14:textId="77777777" w:rsidR="00E713B0" w:rsidRPr="0009445C" w:rsidRDefault="00E713B0" w:rsidP="00E713B0">
            <w:pPr>
              <w:pStyle w:val="BRL-Tabelle"/>
              <w:spacing w:before="60" w:after="40"/>
              <w:rPr>
                <w:rFonts w:eastAsia="Calibri"/>
              </w:rPr>
            </w:pPr>
            <w:r w:rsidRPr="0009445C">
              <w:t>Structural elements in accordance with A 2.1.3.1 letter (d) with fire resistance of 60 min or 90 min and made of combustible building materials, in accordance with Section 5 of the Technical Rule under ser. No A 2.2.1.4</w:t>
            </w:r>
            <w:r w:rsidRPr="0009445C">
              <w:rPr>
                <w:vertAlign w:val="superscript"/>
              </w:rPr>
              <w:t>3</w:t>
            </w:r>
          </w:p>
        </w:tc>
        <w:tc>
          <w:tcPr>
            <w:tcW w:w="2026" w:type="dxa"/>
            <w:shd w:val="clear" w:color="auto" w:fill="auto"/>
          </w:tcPr>
          <w:p w14:paraId="5836756D" w14:textId="77777777" w:rsidR="00E713B0" w:rsidRPr="0009445C" w:rsidRDefault="00E713B0" w:rsidP="00E713B0">
            <w:pPr>
              <w:pStyle w:val="BRL-Tabelle"/>
              <w:spacing w:before="60" w:after="40"/>
              <w:rPr>
                <w:rFonts w:eastAsia="Calibri"/>
                <w:highlight w:val="yellow"/>
              </w:rPr>
            </w:pPr>
            <w:r w:rsidRPr="0009445C">
              <w:t>R 60 or R 90</w:t>
            </w:r>
          </w:p>
          <w:p w14:paraId="3C43B05D" w14:textId="77777777" w:rsidR="00E713B0" w:rsidRPr="0009445C" w:rsidRDefault="00E713B0" w:rsidP="00E713B0">
            <w:pPr>
              <w:pStyle w:val="BRL-Tabelle"/>
              <w:spacing w:before="60" w:after="40"/>
              <w:rPr>
                <w:rFonts w:eastAsia="Calibri"/>
              </w:rPr>
            </w:pPr>
          </w:p>
        </w:tc>
        <w:tc>
          <w:tcPr>
            <w:tcW w:w="2043" w:type="dxa"/>
            <w:shd w:val="clear" w:color="auto" w:fill="auto"/>
          </w:tcPr>
          <w:p w14:paraId="0BD1AA7E" w14:textId="77777777" w:rsidR="00E713B0" w:rsidRPr="0009445C" w:rsidRDefault="00E713B0" w:rsidP="00E713B0">
            <w:pPr>
              <w:pStyle w:val="BRL-Tabelle"/>
              <w:spacing w:before="60" w:after="40"/>
              <w:rPr>
                <w:rFonts w:eastAsia="Calibri"/>
                <w:vertAlign w:val="superscript"/>
              </w:rPr>
            </w:pPr>
            <w:r w:rsidRPr="0009445C">
              <w:rPr>
                <w:vertAlign w:val="superscript"/>
              </w:rPr>
              <w:t xml:space="preserve">-   </w:t>
            </w:r>
          </w:p>
          <w:p w14:paraId="05865AED" w14:textId="77777777" w:rsidR="00E713B0" w:rsidRPr="0009445C" w:rsidRDefault="00E713B0" w:rsidP="00E713B0">
            <w:pPr>
              <w:pStyle w:val="BRL-Tabelle"/>
              <w:spacing w:before="60" w:after="40"/>
              <w:rPr>
                <w:rFonts w:eastAsia="Calibri"/>
              </w:rPr>
            </w:pPr>
          </w:p>
        </w:tc>
        <w:tc>
          <w:tcPr>
            <w:tcW w:w="1866" w:type="dxa"/>
            <w:shd w:val="clear" w:color="auto" w:fill="auto"/>
          </w:tcPr>
          <w:p w14:paraId="0E5ADD97" w14:textId="77777777" w:rsidR="00E713B0" w:rsidRPr="0009445C" w:rsidRDefault="00E713B0" w:rsidP="00E713B0">
            <w:pPr>
              <w:pStyle w:val="BRL-Tabelle"/>
              <w:spacing w:before="60" w:after="40"/>
              <w:rPr>
                <w:rFonts w:eastAsia="Calibri"/>
              </w:rPr>
            </w:pPr>
            <w:r w:rsidRPr="0009445C">
              <w:t>E – d2</w:t>
            </w:r>
          </w:p>
        </w:tc>
      </w:tr>
      <w:tr w:rsidR="00E713B0" w:rsidRPr="0009445C" w14:paraId="74A3626C" w14:textId="77777777" w:rsidTr="00E713B0">
        <w:trPr>
          <w:cantSplit/>
        </w:trPr>
        <w:tc>
          <w:tcPr>
            <w:tcW w:w="441" w:type="dxa"/>
          </w:tcPr>
          <w:p w14:paraId="715249C8" w14:textId="77777777" w:rsidR="00E713B0" w:rsidRPr="0009445C" w:rsidRDefault="00E713B0" w:rsidP="00E713B0">
            <w:pPr>
              <w:pStyle w:val="BRL-Tabelle"/>
              <w:spacing w:before="60"/>
              <w:jc w:val="center"/>
              <w:rPr>
                <w:b/>
              </w:rPr>
            </w:pPr>
            <w:r w:rsidRPr="0009445C">
              <w:rPr>
                <w:b/>
              </w:rPr>
              <w:lastRenderedPageBreak/>
              <w:t>19</w:t>
            </w:r>
          </w:p>
        </w:tc>
        <w:tc>
          <w:tcPr>
            <w:tcW w:w="2696" w:type="dxa"/>
            <w:shd w:val="clear" w:color="auto" w:fill="auto"/>
          </w:tcPr>
          <w:p w14:paraId="7CE58306" w14:textId="77777777" w:rsidR="00E713B0" w:rsidRPr="0009445C" w:rsidRDefault="00E713B0" w:rsidP="00E713B0">
            <w:pPr>
              <w:pStyle w:val="BRL-Tabelle"/>
              <w:spacing w:before="60" w:after="40"/>
              <w:rPr>
                <w:rFonts w:eastAsia="Calibri"/>
              </w:rPr>
            </w:pPr>
            <w:r w:rsidRPr="0009445C">
              <w:t>Structural elements referred to in A 2.1.3.1 letter (d) with fire resistance of 60 min or 90 min and made of combustible building materials as defined in Section 5 of the Technical Rule under ser. No A 2.2.1.4</w:t>
            </w:r>
            <w:r w:rsidRPr="0009445C">
              <w:rPr>
                <w:vertAlign w:val="superscript"/>
              </w:rPr>
              <w:t>3</w:t>
            </w:r>
            <w:r w:rsidRPr="0009445C">
              <w:t>, and fire-protective cladding made of non-combustible* building materials as defined in Section 5.2 of the Technical Rule under ser. No A 2.2.1.4</w:t>
            </w:r>
            <w:r w:rsidRPr="0009445C">
              <w:rPr>
                <w:vertAlign w:val="superscript"/>
              </w:rPr>
              <w:t>3</w:t>
            </w:r>
            <w:r w:rsidRPr="0009445C">
              <w:t xml:space="preserve"> </w:t>
            </w:r>
          </w:p>
        </w:tc>
        <w:tc>
          <w:tcPr>
            <w:tcW w:w="2026" w:type="dxa"/>
            <w:shd w:val="clear" w:color="auto" w:fill="auto"/>
          </w:tcPr>
          <w:p w14:paraId="0BE089AC" w14:textId="77777777" w:rsidR="00E713B0" w:rsidRPr="0009445C" w:rsidRDefault="00E713B0" w:rsidP="00E713B0">
            <w:pPr>
              <w:pStyle w:val="BRL-Tabelle"/>
              <w:spacing w:before="60" w:after="40"/>
              <w:rPr>
                <w:rFonts w:eastAsia="Calibri"/>
              </w:rPr>
            </w:pPr>
            <w:r w:rsidRPr="0009445C">
              <w:t>R 60 or R 90</w:t>
            </w:r>
          </w:p>
        </w:tc>
        <w:tc>
          <w:tcPr>
            <w:tcW w:w="2043" w:type="dxa"/>
            <w:shd w:val="clear" w:color="auto" w:fill="auto"/>
          </w:tcPr>
          <w:p w14:paraId="400E5524" w14:textId="77777777" w:rsidR="00E713B0" w:rsidRPr="0009445C" w:rsidRDefault="00E713B0" w:rsidP="00E713B0">
            <w:pPr>
              <w:pStyle w:val="BRL-Tabelle"/>
              <w:spacing w:before="60" w:after="40"/>
              <w:rPr>
                <w:rFonts w:eastAsia="Calibri"/>
                <w:vertAlign w:val="superscript"/>
              </w:rPr>
            </w:pPr>
            <w:r w:rsidRPr="0009445C">
              <w:t>REI 60 or REI 90</w:t>
            </w:r>
          </w:p>
          <w:p w14:paraId="00E50EC3" w14:textId="77777777" w:rsidR="00E713B0" w:rsidRPr="0009445C" w:rsidRDefault="00E713B0" w:rsidP="00E713B0">
            <w:pPr>
              <w:pStyle w:val="BRL-Tabelle"/>
              <w:spacing w:before="60" w:after="40"/>
              <w:rPr>
                <w:rFonts w:eastAsia="Calibri"/>
              </w:rPr>
            </w:pPr>
            <w:r w:rsidRPr="0009445C">
              <w:t>Fire-protective cladding: K</w:t>
            </w:r>
            <w:r w:rsidRPr="0009445C">
              <w:rPr>
                <w:vertAlign w:val="subscript"/>
              </w:rPr>
              <w:t>2</w:t>
            </w:r>
            <w:r w:rsidRPr="0009445C">
              <w:t>30</w:t>
            </w:r>
          </w:p>
        </w:tc>
        <w:tc>
          <w:tcPr>
            <w:tcW w:w="1866" w:type="dxa"/>
            <w:shd w:val="clear" w:color="auto" w:fill="auto"/>
          </w:tcPr>
          <w:p w14:paraId="6E7409A8" w14:textId="77777777" w:rsidR="00E713B0" w:rsidRPr="0009445C" w:rsidRDefault="00E713B0" w:rsidP="00E713B0">
            <w:pPr>
              <w:pStyle w:val="BRL-Tabelle"/>
              <w:spacing w:before="60" w:after="40"/>
              <w:rPr>
                <w:rFonts w:eastAsia="Calibri"/>
              </w:rPr>
            </w:pPr>
            <w:r w:rsidRPr="0009445C">
              <w:t>Fire-protective cladding:</w:t>
            </w:r>
            <w:r w:rsidRPr="0009445C">
              <w:br/>
              <w:t>A2 – s1,d0**;</w:t>
            </w:r>
            <w:r w:rsidRPr="0009445C">
              <w:br/>
              <w:t>Otherwise: E – d2</w:t>
            </w:r>
          </w:p>
        </w:tc>
      </w:tr>
      <w:tr w:rsidR="00E713B0" w:rsidRPr="0009445C" w14:paraId="0A8F6440" w14:textId="77777777" w:rsidTr="00E713B0">
        <w:trPr>
          <w:cantSplit/>
        </w:trPr>
        <w:tc>
          <w:tcPr>
            <w:tcW w:w="441" w:type="dxa"/>
          </w:tcPr>
          <w:p w14:paraId="3B03C04C" w14:textId="77777777" w:rsidR="00E713B0" w:rsidRPr="0009445C" w:rsidRDefault="00E713B0" w:rsidP="00E713B0">
            <w:pPr>
              <w:pStyle w:val="BRL-Tabelle"/>
              <w:spacing w:before="60"/>
              <w:jc w:val="center"/>
              <w:rPr>
                <w:b/>
              </w:rPr>
            </w:pPr>
            <w:r w:rsidRPr="0009445C">
              <w:rPr>
                <w:b/>
              </w:rPr>
              <w:t>20</w:t>
            </w:r>
          </w:p>
        </w:tc>
        <w:tc>
          <w:tcPr>
            <w:tcW w:w="2696" w:type="dxa"/>
            <w:shd w:val="clear" w:color="auto" w:fill="auto"/>
          </w:tcPr>
          <w:p w14:paraId="19F4EF37" w14:textId="77777777" w:rsidR="00E713B0" w:rsidRPr="0009445C" w:rsidRDefault="00E713B0" w:rsidP="00E713B0">
            <w:pPr>
              <w:pStyle w:val="BRL-Tabelle"/>
              <w:spacing w:before="60" w:after="40"/>
              <w:rPr>
                <w:rFonts w:eastAsia="Calibri"/>
              </w:rPr>
            </w:pPr>
            <w:r w:rsidRPr="0009445C">
              <w:t>Structural elements according to A 2.1.3.1 letter (d) with a fire resistance of 30 min. or 90 min. and made of combustible building materials in accordance with Section 5 of the Technical Rule under ser. No A 2.2.1.4</w:t>
            </w:r>
            <w:r w:rsidRPr="0009445C">
              <w:rPr>
                <w:vertAlign w:val="superscript"/>
              </w:rPr>
              <w:t>3</w:t>
            </w:r>
            <w:r w:rsidRPr="0009445C">
              <w:t>, and with one-sided cladding made of non-combustible* building materials according to § 36(6) MBO in conjunction with A 2.1.12 (corridor wall)</w:t>
            </w:r>
          </w:p>
        </w:tc>
        <w:tc>
          <w:tcPr>
            <w:tcW w:w="2026" w:type="dxa"/>
            <w:shd w:val="clear" w:color="auto" w:fill="auto"/>
          </w:tcPr>
          <w:p w14:paraId="6489CF05"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15D7DBF2" w14:textId="77777777" w:rsidR="00E713B0" w:rsidRPr="0009445C" w:rsidRDefault="00E713B0" w:rsidP="00E713B0">
            <w:pPr>
              <w:pStyle w:val="BRL-Tabelle"/>
              <w:spacing w:before="60" w:after="40"/>
              <w:rPr>
                <w:rFonts w:eastAsia="Calibri"/>
                <w:vertAlign w:val="superscript"/>
              </w:rPr>
            </w:pPr>
            <w:r w:rsidRPr="0009445C">
              <w:t>REI 30 or REI 90</w:t>
            </w:r>
          </w:p>
          <w:p w14:paraId="151D8053" w14:textId="77777777" w:rsidR="00E713B0" w:rsidRPr="0009445C" w:rsidRDefault="00E713B0" w:rsidP="00E713B0">
            <w:pPr>
              <w:pStyle w:val="BRL-Tabelle"/>
              <w:spacing w:before="60" w:after="40"/>
              <w:rPr>
                <w:rFonts w:eastAsia="Calibri"/>
              </w:rPr>
            </w:pPr>
          </w:p>
        </w:tc>
        <w:tc>
          <w:tcPr>
            <w:tcW w:w="1866" w:type="dxa"/>
            <w:shd w:val="clear" w:color="auto" w:fill="auto"/>
          </w:tcPr>
          <w:p w14:paraId="27D0A67A" w14:textId="77777777" w:rsidR="00E713B0" w:rsidRPr="0009445C" w:rsidRDefault="00E713B0" w:rsidP="00E713B0">
            <w:pPr>
              <w:pStyle w:val="BRL-Tabelle"/>
              <w:spacing w:before="60" w:after="40"/>
              <w:rPr>
                <w:rFonts w:eastAsia="Calibri"/>
              </w:rPr>
            </w:pPr>
            <w:r w:rsidRPr="0009445C">
              <w:t>Non-combustible* cladding:</w:t>
            </w:r>
            <w:r w:rsidRPr="0009445C">
              <w:br/>
              <w:t>A2 – s1,d0**;</w:t>
            </w:r>
            <w:r w:rsidRPr="0009445C">
              <w:br/>
              <w:t>Otherwise: E – d2</w:t>
            </w:r>
          </w:p>
        </w:tc>
      </w:tr>
      <w:tr w:rsidR="00E713B0" w:rsidRPr="0009445C" w14:paraId="0214A100" w14:textId="77777777" w:rsidTr="00E713B0">
        <w:trPr>
          <w:cantSplit/>
        </w:trPr>
        <w:tc>
          <w:tcPr>
            <w:tcW w:w="441" w:type="dxa"/>
          </w:tcPr>
          <w:p w14:paraId="3A059B21" w14:textId="77777777" w:rsidR="00E713B0" w:rsidRPr="0009445C" w:rsidRDefault="00E713B0" w:rsidP="00E713B0">
            <w:pPr>
              <w:pStyle w:val="BRL-Tabelle"/>
              <w:spacing w:before="60"/>
              <w:jc w:val="center"/>
              <w:rPr>
                <w:b/>
              </w:rPr>
            </w:pPr>
            <w:r w:rsidRPr="0009445C">
              <w:rPr>
                <w:b/>
              </w:rPr>
              <w:t>21</w:t>
            </w:r>
          </w:p>
        </w:tc>
        <w:tc>
          <w:tcPr>
            <w:tcW w:w="2696" w:type="dxa"/>
            <w:shd w:val="clear" w:color="auto" w:fill="auto"/>
          </w:tcPr>
          <w:p w14:paraId="041D1D74" w14:textId="77777777" w:rsidR="00E713B0" w:rsidRPr="0009445C" w:rsidRDefault="00E713B0" w:rsidP="00E713B0">
            <w:pPr>
              <w:pStyle w:val="BRL-Tabelle"/>
              <w:spacing w:before="60" w:after="40"/>
              <w:rPr>
                <w:rFonts w:eastAsia="Calibri"/>
              </w:rPr>
            </w:pPr>
            <w:r w:rsidRPr="0009445C">
              <w:t>Structural elements according to A 2.1.3.1 letter (d) with a fire resistance of 30 min. or 90 min. and made of combustible building materials in accordance with Section 5 of the Technical Rule under ser. No A 2.2.1.4</w:t>
            </w:r>
            <w:r w:rsidRPr="0009445C">
              <w:rPr>
                <w:vertAlign w:val="superscript"/>
              </w:rPr>
              <w:t>3</w:t>
            </w:r>
            <w:r w:rsidRPr="0009445C">
              <w:t>, and fire-protective cladding made of non-combustible* building materials in accordance with Section 5.2 of the Technical Rule under ser. No A 2.2.1.4</w:t>
            </w:r>
            <w:r w:rsidRPr="0009445C">
              <w:rPr>
                <w:vertAlign w:val="superscript"/>
              </w:rPr>
              <w:t>3</w:t>
            </w:r>
            <w:r w:rsidRPr="0009445C">
              <w:t>, and with one-sided cladding made of non-combustible* building materials according to § 36(6) MBO in conjunction with A 2.1.12 (corridor wall)</w:t>
            </w:r>
          </w:p>
        </w:tc>
        <w:tc>
          <w:tcPr>
            <w:tcW w:w="2026" w:type="dxa"/>
            <w:shd w:val="clear" w:color="auto" w:fill="auto"/>
          </w:tcPr>
          <w:p w14:paraId="6BFFA429"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49499B80" w14:textId="77777777" w:rsidR="00E713B0" w:rsidRPr="0009445C" w:rsidRDefault="00E713B0" w:rsidP="00E713B0">
            <w:pPr>
              <w:pStyle w:val="BRL-Tabelle"/>
              <w:spacing w:before="60" w:after="40"/>
              <w:rPr>
                <w:rFonts w:eastAsia="Calibri"/>
                <w:vertAlign w:val="superscript"/>
              </w:rPr>
            </w:pPr>
            <w:r w:rsidRPr="0009445C">
              <w:t>REI 30 or REI 90</w:t>
            </w:r>
          </w:p>
          <w:p w14:paraId="27DF58D7" w14:textId="77777777" w:rsidR="00E713B0" w:rsidRPr="0009445C" w:rsidRDefault="00E713B0" w:rsidP="00E713B0">
            <w:pPr>
              <w:pStyle w:val="BRL-Tabelle"/>
              <w:spacing w:before="60" w:after="40"/>
              <w:rPr>
                <w:rFonts w:eastAsia="Calibri"/>
              </w:rPr>
            </w:pPr>
            <w:r w:rsidRPr="0009445C">
              <w:t>Fire-protective cladding: K</w:t>
            </w:r>
            <w:r w:rsidRPr="0009445C">
              <w:rPr>
                <w:vertAlign w:val="subscript"/>
              </w:rPr>
              <w:t>2</w:t>
            </w:r>
            <w:r w:rsidRPr="0009445C">
              <w:t>30</w:t>
            </w:r>
          </w:p>
        </w:tc>
        <w:tc>
          <w:tcPr>
            <w:tcW w:w="1866" w:type="dxa"/>
            <w:shd w:val="clear" w:color="auto" w:fill="auto"/>
          </w:tcPr>
          <w:p w14:paraId="3E5FF3B1" w14:textId="77777777" w:rsidR="00E713B0" w:rsidRPr="0009445C" w:rsidRDefault="00E713B0" w:rsidP="00E713B0">
            <w:pPr>
              <w:pStyle w:val="BRL-Tabelle"/>
              <w:spacing w:before="60" w:after="40"/>
              <w:rPr>
                <w:rFonts w:eastAsia="Calibri"/>
              </w:rPr>
            </w:pPr>
            <w:r w:rsidRPr="0009445C">
              <w:t>Fire-protective cladding, non-combustible* cladding:</w:t>
            </w:r>
            <w:r w:rsidRPr="0009445C">
              <w:br/>
              <w:t>A2 – s1,d0**;</w:t>
            </w:r>
            <w:r w:rsidRPr="0009445C">
              <w:br/>
              <w:t>Otherwise: E – d2</w:t>
            </w:r>
          </w:p>
        </w:tc>
      </w:tr>
      <w:tr w:rsidR="00E713B0" w:rsidRPr="0009445C" w14:paraId="35373C59" w14:textId="77777777" w:rsidTr="00E713B0">
        <w:trPr>
          <w:cantSplit/>
        </w:trPr>
        <w:tc>
          <w:tcPr>
            <w:tcW w:w="441" w:type="dxa"/>
          </w:tcPr>
          <w:p w14:paraId="6C712C5A" w14:textId="77777777" w:rsidR="00E713B0" w:rsidRPr="0009445C" w:rsidRDefault="00E713B0" w:rsidP="00E713B0">
            <w:pPr>
              <w:pStyle w:val="BRL-Tabelle"/>
              <w:spacing w:before="60"/>
              <w:jc w:val="center"/>
              <w:rPr>
                <w:rFonts w:eastAsia="Calibri"/>
                <w:b/>
              </w:rPr>
            </w:pPr>
            <w:r w:rsidRPr="0009445C">
              <w:rPr>
                <w:b/>
              </w:rPr>
              <w:t>22</w:t>
            </w:r>
          </w:p>
        </w:tc>
        <w:tc>
          <w:tcPr>
            <w:tcW w:w="2696" w:type="dxa"/>
            <w:shd w:val="clear" w:color="auto" w:fill="auto"/>
          </w:tcPr>
          <w:p w14:paraId="4CBF711B" w14:textId="77777777" w:rsidR="00E713B0" w:rsidRPr="0009445C" w:rsidRDefault="00E713B0" w:rsidP="00E713B0">
            <w:pPr>
              <w:pStyle w:val="BRL-Tabelle"/>
              <w:spacing w:before="60" w:after="40"/>
              <w:rPr>
                <w:rFonts w:eastAsia="Calibri"/>
              </w:rPr>
            </w:pPr>
            <w:r w:rsidRPr="0009445C">
              <w:t>Firewall***</w:t>
            </w:r>
          </w:p>
        </w:tc>
        <w:tc>
          <w:tcPr>
            <w:tcW w:w="2026" w:type="dxa"/>
            <w:shd w:val="clear" w:color="auto" w:fill="auto"/>
          </w:tcPr>
          <w:p w14:paraId="676305AD"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5CDDBB20" w14:textId="77777777" w:rsidR="00E713B0" w:rsidRPr="0009445C" w:rsidRDefault="00E713B0" w:rsidP="00E713B0">
            <w:pPr>
              <w:pStyle w:val="BRL-Tabelle"/>
              <w:spacing w:before="60" w:after="40"/>
              <w:rPr>
                <w:rFonts w:eastAsia="Calibri"/>
              </w:rPr>
            </w:pPr>
            <w:r w:rsidRPr="0009445C">
              <w:t>REI 90-M</w:t>
            </w:r>
          </w:p>
        </w:tc>
        <w:tc>
          <w:tcPr>
            <w:tcW w:w="1866" w:type="dxa"/>
            <w:shd w:val="clear" w:color="auto" w:fill="auto"/>
          </w:tcPr>
          <w:p w14:paraId="4160AF70" w14:textId="77777777" w:rsidR="00E713B0" w:rsidRPr="0009445C" w:rsidRDefault="00E713B0" w:rsidP="00E713B0">
            <w:pPr>
              <w:pStyle w:val="BRL-Tabelle"/>
              <w:spacing w:before="60" w:after="40"/>
              <w:rPr>
                <w:rFonts w:eastAsia="Calibri"/>
              </w:rPr>
            </w:pPr>
            <w:r w:rsidRPr="0009445C">
              <w:t>A2 – s1,d0**</w:t>
            </w:r>
          </w:p>
        </w:tc>
      </w:tr>
      <w:tr w:rsidR="00E713B0" w:rsidRPr="0009445C" w14:paraId="5D38407C" w14:textId="77777777" w:rsidTr="00E713B0">
        <w:trPr>
          <w:cantSplit/>
        </w:trPr>
        <w:tc>
          <w:tcPr>
            <w:tcW w:w="441" w:type="dxa"/>
          </w:tcPr>
          <w:p w14:paraId="2312E1F3" w14:textId="77777777" w:rsidR="00E713B0" w:rsidRPr="0009445C" w:rsidRDefault="00E713B0" w:rsidP="00E713B0">
            <w:pPr>
              <w:pStyle w:val="BRL-Tabelle"/>
              <w:spacing w:before="60"/>
              <w:jc w:val="center"/>
              <w:rPr>
                <w:b/>
              </w:rPr>
            </w:pPr>
            <w:r w:rsidRPr="0009445C">
              <w:rPr>
                <w:b/>
              </w:rPr>
              <w:t>23</w:t>
            </w:r>
          </w:p>
        </w:tc>
        <w:tc>
          <w:tcPr>
            <w:tcW w:w="2696" w:type="dxa"/>
            <w:shd w:val="clear" w:color="auto" w:fill="auto"/>
          </w:tcPr>
          <w:p w14:paraId="2672E2EC" w14:textId="77777777" w:rsidR="00E713B0" w:rsidRPr="0009445C" w:rsidRDefault="00E713B0" w:rsidP="00E713B0">
            <w:pPr>
              <w:pStyle w:val="BRL-Tabelle"/>
              <w:spacing w:before="60" w:after="40"/>
              <w:rPr>
                <w:rFonts w:eastAsia="Calibri"/>
              </w:rPr>
            </w:pPr>
            <w:r w:rsidRPr="0009445C">
              <w:t>Wall in the construction of firewalls (including under additional mechanical stress, fire-resistant and of non-combustible* building materials)</w:t>
            </w:r>
          </w:p>
        </w:tc>
        <w:tc>
          <w:tcPr>
            <w:tcW w:w="2026" w:type="dxa"/>
            <w:shd w:val="clear" w:color="auto" w:fill="auto"/>
          </w:tcPr>
          <w:p w14:paraId="207841B1"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407CE17E" w14:textId="77777777" w:rsidR="00E713B0" w:rsidRPr="0009445C" w:rsidRDefault="00E713B0" w:rsidP="00E713B0">
            <w:pPr>
              <w:pStyle w:val="BRL-Tabelle"/>
              <w:spacing w:before="60" w:after="40"/>
              <w:rPr>
                <w:rFonts w:eastAsia="Calibri"/>
              </w:rPr>
            </w:pPr>
            <w:r w:rsidRPr="0009445C">
              <w:t>REI 90-M</w:t>
            </w:r>
          </w:p>
        </w:tc>
        <w:tc>
          <w:tcPr>
            <w:tcW w:w="1866" w:type="dxa"/>
            <w:shd w:val="clear" w:color="auto" w:fill="auto"/>
          </w:tcPr>
          <w:p w14:paraId="11E36F79" w14:textId="77777777" w:rsidR="00E713B0" w:rsidRPr="0009445C" w:rsidRDefault="00E713B0" w:rsidP="00E713B0">
            <w:pPr>
              <w:pStyle w:val="BRL-Tabelle"/>
              <w:spacing w:before="60" w:after="40"/>
              <w:rPr>
                <w:rFonts w:eastAsia="Calibri"/>
              </w:rPr>
            </w:pPr>
            <w:r w:rsidRPr="0009445C">
              <w:t>A2 – s1,d0**</w:t>
            </w:r>
          </w:p>
        </w:tc>
      </w:tr>
      <w:tr w:rsidR="00E713B0" w:rsidRPr="0009445C" w14:paraId="7C8CFF55" w14:textId="77777777" w:rsidTr="00E713B0">
        <w:trPr>
          <w:cantSplit/>
        </w:trPr>
        <w:tc>
          <w:tcPr>
            <w:tcW w:w="441" w:type="dxa"/>
          </w:tcPr>
          <w:p w14:paraId="520EB27B" w14:textId="77777777" w:rsidR="00E713B0" w:rsidRPr="0009445C" w:rsidRDefault="00E713B0" w:rsidP="00E713B0">
            <w:pPr>
              <w:pStyle w:val="BRL-Tabelle"/>
              <w:spacing w:before="60"/>
              <w:jc w:val="center"/>
              <w:rPr>
                <w:b/>
              </w:rPr>
            </w:pPr>
            <w:r w:rsidRPr="0009445C">
              <w:rPr>
                <w:b/>
              </w:rPr>
              <w:lastRenderedPageBreak/>
              <w:t>24</w:t>
            </w:r>
          </w:p>
        </w:tc>
        <w:tc>
          <w:tcPr>
            <w:tcW w:w="2696" w:type="dxa"/>
            <w:shd w:val="clear" w:color="auto" w:fill="auto"/>
          </w:tcPr>
          <w:p w14:paraId="18E205EF" w14:textId="77777777" w:rsidR="00E713B0" w:rsidRPr="0009445C" w:rsidRDefault="00E713B0" w:rsidP="00E713B0">
            <w:pPr>
              <w:pStyle w:val="BRL-Tabelle"/>
              <w:spacing w:after="40"/>
              <w:rPr>
                <w:rFonts w:eastAsia="Calibri"/>
              </w:rPr>
            </w:pPr>
            <w:r w:rsidRPr="0009445C">
              <w:t>Structural elements referred to in A 2.1.3.1 letter (d)</w:t>
            </w:r>
            <w:r w:rsidRPr="0009445C">
              <w:br/>
              <w:t xml:space="preserve"> as a wall instead of a firewall (stable even under additional mechanical stress with a fire resistance of 60 min. and made of combustible building materials according to Section 5 of the Technical Rule under ser. No A 2.2.1.4</w:t>
            </w:r>
            <w:r w:rsidRPr="0009445C">
              <w:rPr>
                <w:vertAlign w:val="superscript"/>
              </w:rPr>
              <w:t>3</w:t>
            </w:r>
            <w:r w:rsidRPr="0009445C">
              <w:t>) with fire-protective cladding made of non-combustible building materials, according to Section 5.2 of the Technical Rule under ser. No A 2.2.1.4</w:t>
            </w:r>
            <w:r w:rsidRPr="0009445C">
              <w:rPr>
                <w:vertAlign w:val="superscript"/>
              </w:rPr>
              <w:t>3</w:t>
            </w:r>
          </w:p>
        </w:tc>
        <w:tc>
          <w:tcPr>
            <w:tcW w:w="2026" w:type="dxa"/>
            <w:shd w:val="clear" w:color="auto" w:fill="auto"/>
          </w:tcPr>
          <w:p w14:paraId="320A4EDB" w14:textId="77777777" w:rsidR="00E713B0" w:rsidRPr="0009445C" w:rsidRDefault="00E713B0" w:rsidP="00E713B0">
            <w:pPr>
              <w:pStyle w:val="BRL-Tabelle"/>
              <w:spacing w:before="60" w:after="40"/>
              <w:rPr>
                <w:rFonts w:eastAsia="Calibri"/>
              </w:rPr>
            </w:pPr>
            <w:r w:rsidRPr="0009445C">
              <w:t>-</w:t>
            </w:r>
          </w:p>
        </w:tc>
        <w:tc>
          <w:tcPr>
            <w:tcW w:w="2043" w:type="dxa"/>
            <w:shd w:val="clear" w:color="auto" w:fill="auto"/>
          </w:tcPr>
          <w:p w14:paraId="508007C4" w14:textId="77777777" w:rsidR="00E713B0" w:rsidRPr="0009445C" w:rsidRDefault="00E713B0" w:rsidP="00E713B0">
            <w:pPr>
              <w:pStyle w:val="BRL-Tabelle"/>
              <w:rPr>
                <w:rFonts w:eastAsia="Calibri"/>
                <w:vertAlign w:val="superscript"/>
              </w:rPr>
            </w:pPr>
            <w:r w:rsidRPr="0009445C">
              <w:t>REI 60-M</w:t>
            </w:r>
          </w:p>
          <w:p w14:paraId="5AB6CCBC" w14:textId="77777777" w:rsidR="00E713B0" w:rsidRPr="0009445C" w:rsidRDefault="00E713B0" w:rsidP="00E713B0">
            <w:pPr>
              <w:pStyle w:val="BRL-Tabelle"/>
              <w:rPr>
                <w:rFonts w:eastAsia="Calibri"/>
                <w:vertAlign w:val="superscript"/>
              </w:rPr>
            </w:pPr>
            <w:r w:rsidRPr="0009445C">
              <w:t>Fire-protective cladding: K</w:t>
            </w:r>
            <w:r w:rsidRPr="0009445C">
              <w:rPr>
                <w:vertAlign w:val="subscript"/>
              </w:rPr>
              <w:t>2</w:t>
            </w:r>
            <w:r w:rsidRPr="0009445C">
              <w:t>30</w:t>
            </w:r>
          </w:p>
          <w:p w14:paraId="31D91CAB" w14:textId="77777777" w:rsidR="00E713B0" w:rsidRPr="0009445C" w:rsidRDefault="00E713B0" w:rsidP="00E713B0">
            <w:pPr>
              <w:pStyle w:val="BRL-Tabelle"/>
              <w:spacing w:before="60" w:after="40"/>
              <w:rPr>
                <w:rFonts w:eastAsia="Calibri"/>
              </w:rPr>
            </w:pPr>
          </w:p>
        </w:tc>
        <w:tc>
          <w:tcPr>
            <w:tcW w:w="1866" w:type="dxa"/>
            <w:shd w:val="clear" w:color="auto" w:fill="auto"/>
          </w:tcPr>
          <w:p w14:paraId="712D93D3" w14:textId="77777777" w:rsidR="00E713B0" w:rsidRPr="0009445C" w:rsidRDefault="00E713B0" w:rsidP="00E713B0">
            <w:pPr>
              <w:pStyle w:val="BRL-Tabelle"/>
              <w:spacing w:before="60" w:after="40"/>
              <w:rPr>
                <w:rFonts w:eastAsia="Calibri"/>
              </w:rPr>
            </w:pPr>
            <w:r w:rsidRPr="0009445C">
              <w:t>Fire-protective cladding:</w:t>
            </w:r>
            <w:r w:rsidRPr="0009445C">
              <w:br/>
              <w:t>A2 – s1,d0**;</w:t>
            </w:r>
            <w:r w:rsidRPr="0009445C">
              <w:br/>
              <w:t>Otherwise: E – d2</w:t>
            </w:r>
          </w:p>
        </w:tc>
      </w:tr>
      <w:tr w:rsidR="00E713B0" w:rsidRPr="0009445C" w14:paraId="3D7A682C" w14:textId="77777777" w:rsidTr="00E713B0">
        <w:trPr>
          <w:cantSplit/>
        </w:trPr>
        <w:tc>
          <w:tcPr>
            <w:tcW w:w="441" w:type="dxa"/>
          </w:tcPr>
          <w:p w14:paraId="482C5F7B" w14:textId="77777777" w:rsidR="00E713B0" w:rsidRPr="0009445C" w:rsidRDefault="00E713B0" w:rsidP="00E713B0">
            <w:pPr>
              <w:pStyle w:val="BRL-Funote"/>
              <w:spacing w:before="60"/>
              <w:ind w:left="0" w:firstLine="0"/>
              <w:jc w:val="center"/>
              <w:rPr>
                <w:rFonts w:eastAsia="Calibri"/>
                <w:b/>
              </w:rPr>
            </w:pPr>
          </w:p>
        </w:tc>
        <w:tc>
          <w:tcPr>
            <w:tcW w:w="8631" w:type="dxa"/>
            <w:gridSpan w:val="4"/>
            <w:shd w:val="clear" w:color="auto" w:fill="auto"/>
          </w:tcPr>
          <w:p w14:paraId="6957D868" w14:textId="77777777" w:rsidR="00E713B0" w:rsidRPr="0009445C" w:rsidRDefault="00E713B0" w:rsidP="00E713B0">
            <w:pPr>
              <w:pStyle w:val="BRL-Funote"/>
              <w:spacing w:before="60"/>
              <w:jc w:val="left"/>
              <w:rPr>
                <w:rFonts w:eastAsia="Calibri"/>
              </w:rPr>
            </w:pPr>
            <w:r w:rsidRPr="0009445C">
              <w:t>1</w:t>
            </w:r>
            <w:r w:rsidRPr="0009445C">
              <w:tab/>
              <w:t xml:space="preserve">For the steel structural elements coated with reactive fire protection systems, the </w:t>
            </w:r>
            <w:proofErr w:type="spellStart"/>
            <w:r w:rsidRPr="0009445C">
              <w:t>IncSlow</w:t>
            </w:r>
            <w:proofErr w:type="spellEnd"/>
            <w:r w:rsidRPr="0009445C">
              <w:t xml:space="preserve"> specification according to DIN EN 13501</w:t>
            </w:r>
            <w:r w:rsidRPr="0009445C">
              <w:noBreakHyphen/>
              <w:t>2:02-2010 must be mentioned in the declaration of performance.</w:t>
            </w:r>
          </w:p>
          <w:p w14:paraId="6A160F1B" w14:textId="77777777" w:rsidR="00E713B0" w:rsidRPr="0009445C" w:rsidRDefault="00E713B0" w:rsidP="00E713B0">
            <w:pPr>
              <w:pStyle w:val="BRL-Funote"/>
              <w:rPr>
                <w:rFonts w:eastAsia="Calibri"/>
              </w:rPr>
            </w:pPr>
            <w:r w:rsidRPr="0009445C">
              <w:t>2</w:t>
            </w:r>
            <w:r w:rsidRPr="0009445C">
              <w:tab/>
              <w:t>pursuant to § 35(5); § 36 Para. 6 and § 39 Para. 2 MBO in conjunction with A 2.1.12</w:t>
            </w:r>
          </w:p>
          <w:p w14:paraId="6B4E6C47" w14:textId="32DC9F82" w:rsidR="00E713B0" w:rsidRPr="0009445C" w:rsidRDefault="00E713B0" w:rsidP="00E713B0">
            <w:pPr>
              <w:pStyle w:val="BRL-Funote"/>
              <w:rPr>
                <w:rFonts w:eastAsia="Calibri"/>
              </w:rPr>
            </w:pPr>
            <w:r w:rsidRPr="0009445C">
              <w:t>3</w:t>
            </w:r>
            <w:r w:rsidRPr="0009445C">
              <w:tab/>
              <w:t>For structural elements referred to in A 2.1.3.1 letter (d) in standard buildings of building classes 4 and 5, the Technical Rule set out in ser. No A 2.2.1.4 shall apply to the design and use</w:t>
            </w:r>
          </w:p>
          <w:p w14:paraId="3A9CC818" w14:textId="540A9EE8" w:rsidR="00E713B0" w:rsidRPr="0009445C" w:rsidRDefault="00E713B0" w:rsidP="00E713B0">
            <w:pPr>
              <w:pStyle w:val="BRL-Funote"/>
              <w:rPr>
                <w:rFonts w:eastAsia="Calibri"/>
              </w:rPr>
            </w:pPr>
            <w:r w:rsidRPr="0009445C">
              <w:t>4</w:t>
            </w:r>
            <w:r w:rsidRPr="0009445C">
              <w:tab/>
              <w:t>A non-combustible layer continuous in the component plane: A2 — s1,d0** as defined in Table 1.2</w:t>
            </w:r>
          </w:p>
          <w:p w14:paraId="2BB51491" w14:textId="77777777" w:rsidR="00E713B0" w:rsidRPr="0009445C" w:rsidRDefault="00E713B0" w:rsidP="00E713B0">
            <w:pPr>
              <w:pStyle w:val="BRL-Funote"/>
              <w:rPr>
                <w:rFonts w:eastAsia="Calibri"/>
              </w:rPr>
            </w:pPr>
            <w:r w:rsidRPr="0009445C">
              <w:t>*</w:t>
            </w:r>
            <w:r w:rsidRPr="0009445C">
              <w:tab/>
              <w:t>Regarding the requirements, Table 1.1. applies.</w:t>
            </w:r>
          </w:p>
          <w:p w14:paraId="5CE2BBF7" w14:textId="77777777" w:rsidR="00E713B0" w:rsidRPr="0009445C" w:rsidRDefault="00E713B0" w:rsidP="00E713B0">
            <w:pPr>
              <w:pStyle w:val="BRL-Funote"/>
              <w:rPr>
                <w:rFonts w:eastAsia="Calibri"/>
              </w:rPr>
            </w:pPr>
            <w:r w:rsidRPr="0009445C">
              <w:t>**</w:t>
            </w:r>
            <w:r w:rsidRPr="0009445C">
              <w:tab/>
              <w:t xml:space="preserve">Section 1.3 shall apply where necessary. </w:t>
            </w:r>
          </w:p>
          <w:p w14:paraId="0151E2E7" w14:textId="77777777" w:rsidR="00E713B0" w:rsidRPr="0009445C" w:rsidRDefault="00E713B0" w:rsidP="00E713B0">
            <w:pPr>
              <w:pStyle w:val="BRL-Funote"/>
              <w:spacing w:after="60"/>
              <w:rPr>
                <w:rFonts w:eastAsia="Calibri"/>
              </w:rPr>
            </w:pPr>
            <w:r w:rsidRPr="0009445C">
              <w:t>***</w:t>
            </w:r>
            <w:r w:rsidRPr="0009445C">
              <w:tab/>
              <w:t>The firewall must be made of non-combustible building materials.</w:t>
            </w:r>
          </w:p>
        </w:tc>
      </w:tr>
    </w:tbl>
    <w:p w14:paraId="1BFB38EE" w14:textId="77777777" w:rsidR="00E713B0" w:rsidRPr="0009445C" w:rsidRDefault="00E713B0" w:rsidP="00E713B0">
      <w:pPr>
        <w:pStyle w:val="BRL-Standard"/>
      </w:pPr>
    </w:p>
    <w:p w14:paraId="0FC3B258" w14:textId="2AC3A9F2" w:rsidR="00E713B0" w:rsidRPr="0009445C" w:rsidRDefault="00E713B0" w:rsidP="00E713B0">
      <w:pPr>
        <w:pStyle w:val="BRL-Standard"/>
      </w:pPr>
      <w:r w:rsidRPr="0009445C">
        <w:t>The requirement of Table 4.3.1.1, column 1, is only met if subsequent structural elements have at least the same fire resistance. With regard to the fire behaviour of the construction products, Table 1.2 applies.</w:t>
      </w:r>
    </w:p>
    <w:p w14:paraId="619D9011" w14:textId="29EEFF48" w:rsidR="00E713B0" w:rsidRPr="0009445C" w:rsidRDefault="00E713B0" w:rsidP="00E713B0">
      <w:pPr>
        <w:pStyle w:val="BRL-Standard"/>
      </w:pPr>
      <w:r w:rsidRPr="0009445C">
        <w:t>If the requirements of technical regulation according to ser. No A 2.2.1.4 according to Table 4.3.1.1, footnote 3, are not met, proof according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is required in the absence of a generally accepted Technical Rule for the planning, designing and execution of the above-mentioned construction products.</w:t>
      </w:r>
    </w:p>
    <w:p w14:paraId="534DB7D9" w14:textId="6792D506" w:rsidR="00975DB9" w:rsidRPr="0009445C" w:rsidRDefault="00975DB9" w:rsidP="00E713B0">
      <w:pPr>
        <w:pStyle w:val="BRL-Standard"/>
      </w:pPr>
    </w:p>
    <w:p w14:paraId="211BCBB4" w14:textId="0406E76E" w:rsidR="00975DB9" w:rsidRPr="0009445C" w:rsidRDefault="00975DB9" w:rsidP="00600F53">
      <w:pPr>
        <w:pStyle w:val="BRL-berschrift"/>
      </w:pPr>
      <w:r w:rsidRPr="0009445C">
        <w:t>4.3.1.2</w:t>
      </w:r>
      <w:r w:rsidRPr="0009445C">
        <w:tab/>
        <w:t>Fire resistance requirements including fire performance when using construction products in accordance with DIN EN 13964:2014-08 for space-closing structural elements as non-supporting subceilings with fire stress only from bottom or bottom up and from top to bottom and at least required performance</w:t>
      </w:r>
    </w:p>
    <w:p w14:paraId="42626F63" w14:textId="65ADA097" w:rsidR="00975DB9" w:rsidRPr="0009445C" w:rsidRDefault="00975DB9" w:rsidP="00975DB9">
      <w:pPr>
        <w:pStyle w:val="BRLTabelleberschrift"/>
        <w:spacing w:after="120"/>
      </w:pPr>
      <w:r w:rsidRPr="0009445C">
        <w:t xml:space="preserve">Table 4.3.1.2: </w:t>
      </w:r>
      <w:r w:rsidRPr="0009445C">
        <w:tab/>
        <w:t>Building approval requirements and minimum required performances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441"/>
        <w:gridCol w:w="2696"/>
        <w:gridCol w:w="2026"/>
        <w:gridCol w:w="2043"/>
        <w:gridCol w:w="1866"/>
      </w:tblGrid>
      <w:tr w:rsidR="00975DB9" w:rsidRPr="0009445C" w14:paraId="5E5C3B48" w14:textId="77777777" w:rsidTr="00E07C4A">
        <w:trPr>
          <w:cantSplit/>
          <w:tblHeader/>
        </w:trPr>
        <w:tc>
          <w:tcPr>
            <w:tcW w:w="441" w:type="dxa"/>
            <w:vMerge w:val="restart"/>
          </w:tcPr>
          <w:p w14:paraId="55580F3E" w14:textId="77777777" w:rsidR="00975DB9" w:rsidRPr="0009445C" w:rsidRDefault="00975DB9" w:rsidP="00E07C4A">
            <w:pPr>
              <w:pStyle w:val="BRL-TabelleberschriftAnhang"/>
              <w:spacing w:before="60" w:after="0"/>
              <w:ind w:left="0" w:right="0"/>
              <w:jc w:val="center"/>
              <w:rPr>
                <w:rFonts w:eastAsia="Calibri"/>
              </w:rPr>
            </w:pPr>
          </w:p>
        </w:tc>
        <w:tc>
          <w:tcPr>
            <w:tcW w:w="2696" w:type="dxa"/>
            <w:vMerge w:val="restart"/>
            <w:shd w:val="clear" w:color="auto" w:fill="auto"/>
          </w:tcPr>
          <w:p w14:paraId="2E4D950B" w14:textId="77777777" w:rsidR="00975DB9" w:rsidRPr="0009445C" w:rsidRDefault="00975DB9" w:rsidP="00E07C4A">
            <w:pPr>
              <w:pStyle w:val="BRL-TabelleberschriftAnhang"/>
              <w:ind w:left="0" w:right="0"/>
              <w:rPr>
                <w:rFonts w:eastAsia="Calibri"/>
              </w:rPr>
            </w:pPr>
            <w:r w:rsidRPr="0009445C">
              <w:t>Building approval requirement</w:t>
            </w:r>
          </w:p>
        </w:tc>
        <w:tc>
          <w:tcPr>
            <w:tcW w:w="5935" w:type="dxa"/>
            <w:gridSpan w:val="3"/>
            <w:shd w:val="clear" w:color="auto" w:fill="auto"/>
          </w:tcPr>
          <w:p w14:paraId="715B8077" w14:textId="77777777" w:rsidR="00975DB9" w:rsidRPr="0009445C" w:rsidRDefault="00975DB9" w:rsidP="00E07C4A">
            <w:pPr>
              <w:pStyle w:val="BRL-TabelleberschriftAnhang"/>
              <w:ind w:left="0" w:right="0"/>
              <w:jc w:val="center"/>
              <w:rPr>
                <w:rFonts w:eastAsia="Calibri"/>
              </w:rPr>
            </w:pPr>
            <w:r w:rsidRPr="0009445C">
              <w:t>Minimum required performances</w:t>
            </w:r>
          </w:p>
        </w:tc>
      </w:tr>
      <w:tr w:rsidR="00975DB9" w:rsidRPr="0009445C" w14:paraId="21DF0929" w14:textId="77777777" w:rsidTr="00E07C4A">
        <w:trPr>
          <w:cantSplit/>
          <w:tblHeader/>
        </w:trPr>
        <w:tc>
          <w:tcPr>
            <w:tcW w:w="441" w:type="dxa"/>
            <w:vMerge/>
          </w:tcPr>
          <w:p w14:paraId="135B2249" w14:textId="77777777" w:rsidR="00975DB9" w:rsidRPr="0009445C" w:rsidRDefault="00975DB9" w:rsidP="00E07C4A">
            <w:pPr>
              <w:pStyle w:val="BRL-TabelleberschriftAnhang"/>
              <w:spacing w:before="60" w:after="0"/>
              <w:ind w:left="0" w:right="0"/>
              <w:jc w:val="center"/>
              <w:rPr>
                <w:rFonts w:eastAsia="Calibri"/>
              </w:rPr>
            </w:pPr>
          </w:p>
        </w:tc>
        <w:tc>
          <w:tcPr>
            <w:tcW w:w="2696" w:type="dxa"/>
            <w:vMerge/>
            <w:shd w:val="clear" w:color="auto" w:fill="auto"/>
          </w:tcPr>
          <w:p w14:paraId="2A3EF7EE" w14:textId="77777777" w:rsidR="00975DB9" w:rsidRPr="0009445C" w:rsidRDefault="00975DB9" w:rsidP="00E07C4A">
            <w:pPr>
              <w:pStyle w:val="BRL-TabelleberschriftAnhang"/>
              <w:rPr>
                <w:rFonts w:eastAsia="Calibri"/>
              </w:rPr>
            </w:pPr>
          </w:p>
        </w:tc>
        <w:tc>
          <w:tcPr>
            <w:tcW w:w="4069" w:type="dxa"/>
            <w:gridSpan w:val="2"/>
            <w:shd w:val="clear" w:color="auto" w:fill="auto"/>
          </w:tcPr>
          <w:p w14:paraId="4CBA1BC9" w14:textId="5FA27E62" w:rsidR="00975DB9" w:rsidRPr="0009445C" w:rsidRDefault="00975DB9" w:rsidP="00E07C4A">
            <w:pPr>
              <w:pStyle w:val="BRL-TabelleberschriftAnhang"/>
              <w:ind w:left="0" w:right="0"/>
              <w:jc w:val="center"/>
              <w:rPr>
                <w:rFonts w:eastAsia="Calibri"/>
              </w:rPr>
            </w:pPr>
            <w:r w:rsidRPr="0009445C">
              <w:t>Fire resistance of the subceiling</w:t>
            </w:r>
          </w:p>
        </w:tc>
        <w:tc>
          <w:tcPr>
            <w:tcW w:w="1866" w:type="dxa"/>
            <w:vMerge w:val="restart"/>
            <w:shd w:val="clear" w:color="auto" w:fill="auto"/>
          </w:tcPr>
          <w:p w14:paraId="1AC8BBF3" w14:textId="188BCF40" w:rsidR="00975DB9" w:rsidRPr="0009445C" w:rsidRDefault="00975DB9" w:rsidP="00E07C4A">
            <w:pPr>
              <w:pStyle w:val="BRL-TabelleberschriftAnhang"/>
              <w:ind w:left="0" w:right="0"/>
              <w:rPr>
                <w:rFonts w:eastAsia="Calibri"/>
              </w:rPr>
            </w:pPr>
            <w:r w:rsidRPr="0009445C">
              <w:t>Fire behaviour of the subceiling</w:t>
            </w:r>
          </w:p>
        </w:tc>
      </w:tr>
      <w:tr w:rsidR="00975DB9" w:rsidRPr="0009445C" w14:paraId="0D590FAF" w14:textId="77777777" w:rsidTr="00E07C4A">
        <w:trPr>
          <w:cantSplit/>
          <w:tblHeader/>
        </w:trPr>
        <w:tc>
          <w:tcPr>
            <w:tcW w:w="441" w:type="dxa"/>
            <w:vMerge/>
          </w:tcPr>
          <w:p w14:paraId="046F1FFF" w14:textId="77777777" w:rsidR="00975DB9" w:rsidRPr="0009445C" w:rsidRDefault="00975DB9" w:rsidP="00E07C4A">
            <w:pPr>
              <w:pStyle w:val="BRL-Tabelle"/>
              <w:spacing w:before="60"/>
              <w:jc w:val="center"/>
              <w:rPr>
                <w:rFonts w:eastAsia="Calibri"/>
                <w:b/>
              </w:rPr>
            </w:pPr>
          </w:p>
        </w:tc>
        <w:tc>
          <w:tcPr>
            <w:tcW w:w="2696" w:type="dxa"/>
            <w:vMerge/>
            <w:shd w:val="clear" w:color="auto" w:fill="auto"/>
          </w:tcPr>
          <w:p w14:paraId="362B32A8" w14:textId="77777777" w:rsidR="00975DB9" w:rsidRPr="0009445C" w:rsidRDefault="00975DB9" w:rsidP="00E07C4A">
            <w:pPr>
              <w:pStyle w:val="BRL-Tabelle"/>
              <w:ind w:left="113"/>
              <w:rPr>
                <w:rFonts w:eastAsia="Calibri"/>
              </w:rPr>
            </w:pPr>
          </w:p>
        </w:tc>
        <w:tc>
          <w:tcPr>
            <w:tcW w:w="2026" w:type="dxa"/>
            <w:shd w:val="clear" w:color="auto" w:fill="auto"/>
          </w:tcPr>
          <w:p w14:paraId="324339A3" w14:textId="65FEBBAE" w:rsidR="00975DB9" w:rsidRPr="0009445C" w:rsidRDefault="00975DB9" w:rsidP="00E07C4A">
            <w:pPr>
              <w:pStyle w:val="BRL-TabelleberschriftAnhang"/>
              <w:ind w:left="0" w:right="0"/>
              <w:rPr>
                <w:rFonts w:eastAsia="Calibri"/>
              </w:rPr>
            </w:pPr>
            <w:r w:rsidRPr="0009445C">
              <w:t>with a fire stress only from below</w:t>
            </w:r>
          </w:p>
        </w:tc>
        <w:tc>
          <w:tcPr>
            <w:tcW w:w="2043" w:type="dxa"/>
            <w:shd w:val="clear" w:color="auto" w:fill="auto"/>
          </w:tcPr>
          <w:p w14:paraId="5806FD8D" w14:textId="48A10453" w:rsidR="00975DB9" w:rsidRPr="0009445C" w:rsidRDefault="00975DB9" w:rsidP="00E07C4A">
            <w:pPr>
              <w:pStyle w:val="BRL-TabelleberschriftAnhang"/>
              <w:ind w:left="0" w:right="0"/>
              <w:rPr>
                <w:rFonts w:eastAsia="Calibri"/>
              </w:rPr>
            </w:pPr>
            <w:r w:rsidRPr="0009445C">
              <w:t>with a fire stress from bottom to top and from top to bottom</w:t>
            </w:r>
          </w:p>
        </w:tc>
        <w:tc>
          <w:tcPr>
            <w:tcW w:w="1866" w:type="dxa"/>
            <w:vMerge/>
            <w:shd w:val="clear" w:color="auto" w:fill="auto"/>
          </w:tcPr>
          <w:p w14:paraId="1F39F42C" w14:textId="77777777" w:rsidR="00975DB9" w:rsidRPr="0009445C" w:rsidRDefault="00975DB9" w:rsidP="00600F53">
            <w:pPr>
              <w:pStyle w:val="BRL-Tabelleberschrift1Zeile"/>
              <w:rPr>
                <w:rFonts w:eastAsia="Calibri"/>
              </w:rPr>
            </w:pPr>
          </w:p>
        </w:tc>
      </w:tr>
      <w:tr w:rsidR="00975DB9" w:rsidRPr="0009445C" w14:paraId="693B0D2F" w14:textId="77777777" w:rsidTr="00E07C4A">
        <w:trPr>
          <w:cantSplit/>
          <w:trHeight w:val="313"/>
          <w:tblHeader/>
        </w:trPr>
        <w:tc>
          <w:tcPr>
            <w:tcW w:w="441" w:type="dxa"/>
          </w:tcPr>
          <w:p w14:paraId="2CBB5BEE" w14:textId="77777777" w:rsidR="00975DB9" w:rsidRPr="0009445C" w:rsidRDefault="00975DB9" w:rsidP="00E07C4A">
            <w:pPr>
              <w:pStyle w:val="BRL-Tabelle"/>
              <w:spacing w:before="40" w:after="60"/>
              <w:jc w:val="center"/>
              <w:rPr>
                <w:rFonts w:eastAsia="Calibri"/>
                <w:b/>
              </w:rPr>
            </w:pPr>
          </w:p>
        </w:tc>
        <w:tc>
          <w:tcPr>
            <w:tcW w:w="2696" w:type="dxa"/>
            <w:shd w:val="clear" w:color="auto" w:fill="auto"/>
            <w:vAlign w:val="center"/>
          </w:tcPr>
          <w:p w14:paraId="2AC28B82" w14:textId="77777777" w:rsidR="00975DB9" w:rsidRPr="0009445C" w:rsidRDefault="00975DB9" w:rsidP="00E07C4A">
            <w:pPr>
              <w:pStyle w:val="BRL-Tabelle"/>
              <w:spacing w:before="40" w:after="60"/>
              <w:ind w:left="113"/>
              <w:jc w:val="center"/>
              <w:rPr>
                <w:rFonts w:eastAsia="Calibri"/>
                <w:b/>
              </w:rPr>
            </w:pPr>
            <w:r w:rsidRPr="0009445C">
              <w:rPr>
                <w:b/>
              </w:rPr>
              <w:t>1</w:t>
            </w:r>
          </w:p>
        </w:tc>
        <w:tc>
          <w:tcPr>
            <w:tcW w:w="2026" w:type="dxa"/>
            <w:shd w:val="clear" w:color="auto" w:fill="auto"/>
            <w:vAlign w:val="center"/>
          </w:tcPr>
          <w:p w14:paraId="046ED019" w14:textId="77777777" w:rsidR="00975DB9" w:rsidRPr="0009445C" w:rsidRDefault="00975DB9" w:rsidP="00E07C4A">
            <w:pPr>
              <w:pStyle w:val="BRL-TabelleberschriftAnhang"/>
              <w:ind w:left="0" w:right="0"/>
              <w:jc w:val="center"/>
              <w:rPr>
                <w:rFonts w:eastAsia="Calibri"/>
              </w:rPr>
            </w:pPr>
            <w:r w:rsidRPr="0009445C">
              <w:t>2</w:t>
            </w:r>
          </w:p>
        </w:tc>
        <w:tc>
          <w:tcPr>
            <w:tcW w:w="2043" w:type="dxa"/>
            <w:shd w:val="clear" w:color="auto" w:fill="auto"/>
            <w:vAlign w:val="center"/>
          </w:tcPr>
          <w:p w14:paraId="2A3208B4" w14:textId="77777777" w:rsidR="00975DB9" w:rsidRPr="0009445C" w:rsidRDefault="00975DB9" w:rsidP="00E07C4A">
            <w:pPr>
              <w:pStyle w:val="BRL-TabelleberschriftAnhang"/>
              <w:ind w:left="0" w:right="0"/>
              <w:jc w:val="center"/>
              <w:rPr>
                <w:rFonts w:eastAsia="Calibri"/>
              </w:rPr>
            </w:pPr>
            <w:r w:rsidRPr="0009445C">
              <w:t>3</w:t>
            </w:r>
          </w:p>
        </w:tc>
        <w:tc>
          <w:tcPr>
            <w:tcW w:w="1866" w:type="dxa"/>
            <w:shd w:val="clear" w:color="auto" w:fill="auto"/>
            <w:vAlign w:val="center"/>
          </w:tcPr>
          <w:p w14:paraId="5C84AF04" w14:textId="77777777" w:rsidR="00975DB9" w:rsidRPr="0009445C" w:rsidRDefault="00975DB9" w:rsidP="00600F53">
            <w:pPr>
              <w:pStyle w:val="BRL-Tabelleberschrift1Zeile"/>
              <w:rPr>
                <w:rFonts w:eastAsia="Calibri"/>
              </w:rPr>
            </w:pPr>
            <w:r w:rsidRPr="0009445C">
              <w:t>4</w:t>
            </w:r>
          </w:p>
        </w:tc>
      </w:tr>
      <w:tr w:rsidR="00975DB9" w:rsidRPr="0009445C" w14:paraId="2C1FA3C8" w14:textId="77777777" w:rsidTr="00E07C4A">
        <w:trPr>
          <w:cantSplit/>
        </w:trPr>
        <w:tc>
          <w:tcPr>
            <w:tcW w:w="441" w:type="dxa"/>
          </w:tcPr>
          <w:p w14:paraId="1975B106" w14:textId="77777777" w:rsidR="00975DB9" w:rsidRPr="0009445C" w:rsidRDefault="00975DB9" w:rsidP="00E07C4A">
            <w:pPr>
              <w:pStyle w:val="BRL-Tabelle"/>
              <w:spacing w:before="60"/>
              <w:jc w:val="center"/>
              <w:rPr>
                <w:rFonts w:eastAsia="Calibri"/>
                <w:b/>
              </w:rPr>
            </w:pPr>
            <w:r w:rsidRPr="0009445C">
              <w:rPr>
                <w:b/>
              </w:rPr>
              <w:t>1</w:t>
            </w:r>
          </w:p>
        </w:tc>
        <w:tc>
          <w:tcPr>
            <w:tcW w:w="2696" w:type="dxa"/>
            <w:shd w:val="clear" w:color="auto" w:fill="auto"/>
          </w:tcPr>
          <w:p w14:paraId="5314EAB3" w14:textId="77777777" w:rsidR="00975DB9" w:rsidRPr="0009445C" w:rsidRDefault="00975DB9" w:rsidP="00E07C4A">
            <w:pPr>
              <w:pStyle w:val="BRL-Tabelle"/>
              <w:spacing w:before="60" w:after="40"/>
              <w:rPr>
                <w:rFonts w:eastAsia="Calibri"/>
              </w:rPr>
            </w:pPr>
            <w:r w:rsidRPr="0009445C">
              <w:t>Of non-combustible* building materials</w:t>
            </w:r>
          </w:p>
        </w:tc>
        <w:tc>
          <w:tcPr>
            <w:tcW w:w="2026" w:type="dxa"/>
            <w:shd w:val="clear" w:color="auto" w:fill="auto"/>
          </w:tcPr>
          <w:p w14:paraId="647CC5B8" w14:textId="77777777" w:rsidR="00975DB9" w:rsidRPr="0009445C" w:rsidRDefault="00975DB9" w:rsidP="00E07C4A">
            <w:pPr>
              <w:pStyle w:val="BRL-Tabelle"/>
              <w:spacing w:before="60" w:after="40"/>
              <w:rPr>
                <w:rFonts w:eastAsia="Calibri"/>
              </w:rPr>
            </w:pPr>
            <w:r w:rsidRPr="0009445C">
              <w:t>-</w:t>
            </w:r>
          </w:p>
        </w:tc>
        <w:tc>
          <w:tcPr>
            <w:tcW w:w="2043" w:type="dxa"/>
            <w:shd w:val="clear" w:color="auto" w:fill="auto"/>
          </w:tcPr>
          <w:p w14:paraId="21BA04E1" w14:textId="77777777" w:rsidR="00975DB9" w:rsidRPr="0009445C" w:rsidRDefault="00975DB9" w:rsidP="00E07C4A">
            <w:pPr>
              <w:pStyle w:val="BRL-Tabelle"/>
              <w:spacing w:before="60" w:after="40"/>
              <w:rPr>
                <w:rFonts w:eastAsia="Calibri"/>
              </w:rPr>
            </w:pPr>
            <w:r w:rsidRPr="0009445C">
              <w:t>-</w:t>
            </w:r>
          </w:p>
        </w:tc>
        <w:tc>
          <w:tcPr>
            <w:tcW w:w="1866" w:type="dxa"/>
            <w:shd w:val="clear" w:color="auto" w:fill="auto"/>
          </w:tcPr>
          <w:p w14:paraId="7859E7D4" w14:textId="77777777" w:rsidR="00975DB9" w:rsidRPr="0009445C" w:rsidRDefault="00975DB9" w:rsidP="00E07C4A">
            <w:pPr>
              <w:pStyle w:val="BRL-Tabelle"/>
              <w:spacing w:before="60" w:after="40"/>
              <w:rPr>
                <w:rFonts w:eastAsia="Calibri"/>
              </w:rPr>
            </w:pPr>
            <w:r w:rsidRPr="0009445C">
              <w:t>A2 – s1,d0**</w:t>
            </w:r>
          </w:p>
        </w:tc>
      </w:tr>
      <w:tr w:rsidR="00975DB9" w:rsidRPr="0009445C" w14:paraId="592A4859" w14:textId="77777777" w:rsidTr="00E07C4A">
        <w:trPr>
          <w:cantSplit/>
        </w:trPr>
        <w:tc>
          <w:tcPr>
            <w:tcW w:w="441" w:type="dxa"/>
          </w:tcPr>
          <w:p w14:paraId="513FC40C" w14:textId="0FFA220D" w:rsidR="00975DB9" w:rsidRPr="0009445C" w:rsidRDefault="00975DB9" w:rsidP="00E07C4A">
            <w:pPr>
              <w:pStyle w:val="BRL-Tabelle"/>
              <w:spacing w:before="60"/>
              <w:jc w:val="center"/>
              <w:rPr>
                <w:rFonts w:eastAsia="Calibri"/>
                <w:b/>
              </w:rPr>
            </w:pPr>
            <w:r w:rsidRPr="0009445C">
              <w:rPr>
                <w:b/>
              </w:rPr>
              <w:t>2</w:t>
            </w:r>
          </w:p>
        </w:tc>
        <w:tc>
          <w:tcPr>
            <w:tcW w:w="2696" w:type="dxa"/>
            <w:shd w:val="clear" w:color="auto" w:fill="auto"/>
          </w:tcPr>
          <w:p w14:paraId="1650D555" w14:textId="6048C3F1" w:rsidR="00975DB9" w:rsidRPr="0009445C" w:rsidRDefault="00975DB9" w:rsidP="00E07C4A">
            <w:pPr>
              <w:pStyle w:val="BRL-Tabelle"/>
              <w:spacing w:before="60" w:after="40"/>
              <w:rPr>
                <w:rFonts w:eastAsia="Calibri"/>
              </w:rPr>
            </w:pPr>
            <w:r w:rsidRPr="0009445C">
              <w:t>Of flame-retardant building materials, non-flaming falling or dripping*</w:t>
            </w:r>
          </w:p>
        </w:tc>
        <w:tc>
          <w:tcPr>
            <w:tcW w:w="2026" w:type="dxa"/>
            <w:shd w:val="clear" w:color="auto" w:fill="auto"/>
          </w:tcPr>
          <w:p w14:paraId="3614D09B" w14:textId="6291DA27" w:rsidR="00975DB9" w:rsidRPr="0009445C" w:rsidRDefault="00975DB9" w:rsidP="00E07C4A">
            <w:pPr>
              <w:pStyle w:val="BRL-Tabelle"/>
              <w:spacing w:before="60" w:after="40"/>
              <w:rPr>
                <w:rFonts w:eastAsia="Calibri"/>
              </w:rPr>
            </w:pPr>
            <w:r w:rsidRPr="0009445C">
              <w:t>-</w:t>
            </w:r>
          </w:p>
        </w:tc>
        <w:tc>
          <w:tcPr>
            <w:tcW w:w="2043" w:type="dxa"/>
            <w:shd w:val="clear" w:color="auto" w:fill="auto"/>
          </w:tcPr>
          <w:p w14:paraId="5793A306" w14:textId="106AEFB3" w:rsidR="00975DB9" w:rsidRPr="0009445C" w:rsidRDefault="00975DB9" w:rsidP="00E07C4A">
            <w:pPr>
              <w:pStyle w:val="BRL-Tabelle"/>
              <w:spacing w:before="60" w:after="40"/>
              <w:rPr>
                <w:rFonts w:eastAsia="Calibri"/>
              </w:rPr>
            </w:pPr>
            <w:r w:rsidRPr="0009445C">
              <w:t>-</w:t>
            </w:r>
          </w:p>
        </w:tc>
        <w:tc>
          <w:tcPr>
            <w:tcW w:w="1866" w:type="dxa"/>
            <w:shd w:val="clear" w:color="auto" w:fill="auto"/>
          </w:tcPr>
          <w:p w14:paraId="55E1F96A" w14:textId="76C79E94" w:rsidR="00975DB9" w:rsidRPr="0009445C" w:rsidRDefault="00975DB9" w:rsidP="00E07C4A">
            <w:pPr>
              <w:pStyle w:val="BRL-Tabelle"/>
              <w:spacing w:before="60" w:after="40"/>
              <w:rPr>
                <w:rFonts w:eastAsia="Calibri"/>
              </w:rPr>
            </w:pPr>
            <w:r w:rsidRPr="0009445C">
              <w:t>C – S2,d0**</w:t>
            </w:r>
          </w:p>
        </w:tc>
      </w:tr>
      <w:tr w:rsidR="00975DB9" w:rsidRPr="0009445C" w14:paraId="04BF449F" w14:textId="77777777" w:rsidTr="00E07C4A">
        <w:trPr>
          <w:cantSplit/>
        </w:trPr>
        <w:tc>
          <w:tcPr>
            <w:tcW w:w="441" w:type="dxa"/>
          </w:tcPr>
          <w:p w14:paraId="5229995B" w14:textId="09F9036D" w:rsidR="00975DB9" w:rsidRPr="0009445C" w:rsidRDefault="00975DB9" w:rsidP="00E07C4A">
            <w:pPr>
              <w:pStyle w:val="BRL-Tabelle"/>
              <w:spacing w:before="60"/>
              <w:jc w:val="center"/>
              <w:rPr>
                <w:rFonts w:eastAsia="Calibri"/>
                <w:b/>
              </w:rPr>
            </w:pPr>
            <w:r w:rsidRPr="0009445C">
              <w:rPr>
                <w:b/>
              </w:rPr>
              <w:t>3</w:t>
            </w:r>
          </w:p>
        </w:tc>
        <w:tc>
          <w:tcPr>
            <w:tcW w:w="2696" w:type="dxa"/>
            <w:shd w:val="clear" w:color="auto" w:fill="auto"/>
          </w:tcPr>
          <w:p w14:paraId="20ED101A" w14:textId="37A3DD72" w:rsidR="00975DB9" w:rsidRPr="0009445C" w:rsidRDefault="00975DB9" w:rsidP="00E07C4A">
            <w:pPr>
              <w:pStyle w:val="BRL-Tabelle"/>
              <w:spacing w:before="60" w:after="40"/>
              <w:rPr>
                <w:rFonts w:eastAsia="Calibri"/>
              </w:rPr>
            </w:pPr>
            <w:r w:rsidRPr="0009445C">
              <w:t>Fire-retardant</w:t>
            </w:r>
          </w:p>
        </w:tc>
        <w:tc>
          <w:tcPr>
            <w:tcW w:w="2026" w:type="dxa"/>
            <w:shd w:val="clear" w:color="auto" w:fill="auto"/>
          </w:tcPr>
          <w:p w14:paraId="418F7955" w14:textId="41A01563" w:rsidR="00975DB9" w:rsidRPr="0009445C" w:rsidRDefault="00975DB9" w:rsidP="00E07C4A">
            <w:pPr>
              <w:pStyle w:val="BRL-Tabelle"/>
              <w:spacing w:before="60" w:after="40"/>
              <w:rPr>
                <w:rFonts w:eastAsia="Calibri"/>
              </w:rPr>
            </w:pPr>
            <w:r w:rsidRPr="0009445C">
              <w:t>From bottom to top</w:t>
            </w:r>
            <w:r w:rsidRPr="0009445C">
              <w:br/>
              <w:t>EI 30 (a</w:t>
            </w:r>
            <w:r w:rsidRPr="0009445C">
              <w:sym w:font="Symbol" w:char="F0AC"/>
            </w:r>
            <w:r w:rsidRPr="0009445C">
              <w:t>b)</w:t>
            </w:r>
          </w:p>
        </w:tc>
        <w:tc>
          <w:tcPr>
            <w:tcW w:w="2043" w:type="dxa"/>
            <w:shd w:val="clear" w:color="auto" w:fill="auto"/>
          </w:tcPr>
          <w:p w14:paraId="382E7B16" w14:textId="05A4DA18" w:rsidR="00975DB9" w:rsidRPr="0009445C" w:rsidRDefault="00975DB9" w:rsidP="00975DB9">
            <w:pPr>
              <w:pStyle w:val="Default"/>
              <w:rPr>
                <w:rFonts w:eastAsia="Calibri"/>
                <w:color w:val="auto"/>
              </w:rPr>
            </w:pPr>
            <w:r w:rsidRPr="0009445C">
              <w:rPr>
                <w:color w:val="auto"/>
                <w:sz w:val="18"/>
              </w:rPr>
              <w:t>From bottom to top and</w:t>
            </w:r>
            <w:r w:rsidRPr="0009445C">
              <w:rPr>
                <w:color w:val="auto"/>
                <w:sz w:val="18"/>
              </w:rPr>
              <w:br/>
              <w:t>from top to bottom</w:t>
            </w:r>
            <w:r w:rsidRPr="0009445C">
              <w:rPr>
                <w:color w:val="auto"/>
                <w:sz w:val="18"/>
              </w:rPr>
              <w:br/>
              <w:t>EI 30 (a</w:t>
            </w:r>
            <w:r w:rsidRPr="0009445C">
              <w:rPr>
                <w:color w:val="auto"/>
                <w:sz w:val="18"/>
              </w:rPr>
              <w:sym w:font="Symbol" w:char="F0AB"/>
            </w:r>
            <w:r w:rsidRPr="0009445C">
              <w:rPr>
                <w:color w:val="auto"/>
                <w:sz w:val="18"/>
              </w:rPr>
              <w:t>b)</w:t>
            </w:r>
          </w:p>
        </w:tc>
        <w:tc>
          <w:tcPr>
            <w:tcW w:w="1866" w:type="dxa"/>
            <w:shd w:val="clear" w:color="auto" w:fill="auto"/>
          </w:tcPr>
          <w:p w14:paraId="6A34C039" w14:textId="3F20739B" w:rsidR="00975DB9" w:rsidRPr="0009445C" w:rsidRDefault="00975DB9" w:rsidP="00E07C4A">
            <w:pPr>
              <w:pStyle w:val="BRL-Tabelle"/>
              <w:spacing w:before="60" w:after="40"/>
              <w:rPr>
                <w:rFonts w:eastAsia="Calibri"/>
              </w:rPr>
            </w:pPr>
            <w:r w:rsidRPr="0009445C">
              <w:t>E – d2</w:t>
            </w:r>
          </w:p>
        </w:tc>
      </w:tr>
      <w:tr w:rsidR="00975DB9" w:rsidRPr="0009445C" w14:paraId="23CAB670" w14:textId="77777777" w:rsidTr="00E07C4A">
        <w:trPr>
          <w:cantSplit/>
        </w:trPr>
        <w:tc>
          <w:tcPr>
            <w:tcW w:w="441" w:type="dxa"/>
          </w:tcPr>
          <w:p w14:paraId="439F7BF9" w14:textId="310510A4" w:rsidR="00975DB9" w:rsidRPr="0009445C" w:rsidRDefault="00975DB9" w:rsidP="00E07C4A">
            <w:pPr>
              <w:pStyle w:val="BRL-Tabelle"/>
              <w:spacing w:before="60"/>
              <w:jc w:val="center"/>
              <w:rPr>
                <w:rFonts w:eastAsia="Calibri"/>
                <w:b/>
              </w:rPr>
            </w:pPr>
            <w:r w:rsidRPr="0009445C">
              <w:rPr>
                <w:b/>
              </w:rPr>
              <w:lastRenderedPageBreak/>
              <w:t>4</w:t>
            </w:r>
          </w:p>
        </w:tc>
        <w:tc>
          <w:tcPr>
            <w:tcW w:w="2696" w:type="dxa"/>
            <w:shd w:val="clear" w:color="auto" w:fill="auto"/>
          </w:tcPr>
          <w:p w14:paraId="5863C5BD" w14:textId="44E4B7D7" w:rsidR="00975DB9" w:rsidRPr="0009445C" w:rsidRDefault="00975DB9" w:rsidP="00E07C4A">
            <w:pPr>
              <w:pStyle w:val="BRL-Tabelle"/>
              <w:spacing w:before="60" w:after="40"/>
              <w:rPr>
                <w:rFonts w:eastAsia="Calibri"/>
              </w:rPr>
            </w:pPr>
            <w:r w:rsidRPr="0009445C">
              <w:t>Fire-retardant and made of non-combustible* materials</w:t>
            </w:r>
          </w:p>
        </w:tc>
        <w:tc>
          <w:tcPr>
            <w:tcW w:w="2026" w:type="dxa"/>
            <w:shd w:val="clear" w:color="auto" w:fill="auto"/>
          </w:tcPr>
          <w:p w14:paraId="06A5CC0A" w14:textId="1B8F9FB3" w:rsidR="00975DB9" w:rsidRPr="0009445C" w:rsidRDefault="00975DB9" w:rsidP="00E07C4A">
            <w:pPr>
              <w:pStyle w:val="BRL-Tabelle"/>
              <w:spacing w:before="60" w:after="40"/>
              <w:rPr>
                <w:rFonts w:eastAsia="Calibri"/>
              </w:rPr>
            </w:pPr>
            <w:r w:rsidRPr="0009445C">
              <w:t>From bottom to top</w:t>
            </w:r>
            <w:r w:rsidRPr="0009445C">
              <w:br/>
              <w:t>EI 30 (a</w:t>
            </w:r>
            <w:r w:rsidRPr="0009445C">
              <w:sym w:font="Symbol" w:char="F0AC"/>
            </w:r>
            <w:r w:rsidRPr="0009445C">
              <w:t>b)</w:t>
            </w:r>
          </w:p>
        </w:tc>
        <w:tc>
          <w:tcPr>
            <w:tcW w:w="2043" w:type="dxa"/>
            <w:shd w:val="clear" w:color="auto" w:fill="auto"/>
          </w:tcPr>
          <w:p w14:paraId="21915016" w14:textId="27531D43" w:rsidR="00975DB9" w:rsidRPr="0009445C" w:rsidRDefault="00975DB9" w:rsidP="00E07C4A">
            <w:pPr>
              <w:pStyle w:val="BRL-Tabelle"/>
              <w:spacing w:before="60" w:after="40"/>
              <w:rPr>
                <w:rFonts w:eastAsia="Calibri"/>
              </w:rPr>
            </w:pPr>
            <w:r w:rsidRPr="0009445C">
              <w:t>From bottom to top and</w:t>
            </w:r>
            <w:r w:rsidRPr="0009445C">
              <w:br/>
              <w:t>from top to bottom</w:t>
            </w:r>
            <w:r w:rsidRPr="0009445C">
              <w:br/>
              <w:t>EI 30 (a</w:t>
            </w:r>
            <w:r w:rsidRPr="0009445C">
              <w:sym w:font="Symbol" w:char="F0AB"/>
            </w:r>
            <w:r w:rsidRPr="0009445C">
              <w:t>b)</w:t>
            </w:r>
          </w:p>
        </w:tc>
        <w:tc>
          <w:tcPr>
            <w:tcW w:w="1866" w:type="dxa"/>
            <w:shd w:val="clear" w:color="auto" w:fill="auto"/>
          </w:tcPr>
          <w:p w14:paraId="5EBA1529" w14:textId="3D762293" w:rsidR="00975DB9" w:rsidRPr="0009445C" w:rsidRDefault="00975DB9" w:rsidP="00E07C4A">
            <w:pPr>
              <w:pStyle w:val="BRL-Tabelle"/>
              <w:spacing w:before="60" w:after="40"/>
              <w:rPr>
                <w:rFonts w:eastAsia="Calibri"/>
              </w:rPr>
            </w:pPr>
            <w:r w:rsidRPr="0009445C">
              <w:t>A2 – s1,d0**</w:t>
            </w:r>
          </w:p>
        </w:tc>
      </w:tr>
      <w:tr w:rsidR="00975DB9" w:rsidRPr="0009445C" w14:paraId="6E9A1CA7" w14:textId="77777777" w:rsidTr="00E07C4A">
        <w:trPr>
          <w:cantSplit/>
        </w:trPr>
        <w:tc>
          <w:tcPr>
            <w:tcW w:w="441" w:type="dxa"/>
          </w:tcPr>
          <w:p w14:paraId="46A0D068" w14:textId="2A5C2538" w:rsidR="00975DB9" w:rsidRPr="0009445C" w:rsidRDefault="00975DB9" w:rsidP="00E07C4A">
            <w:pPr>
              <w:pStyle w:val="BRL-Tabelle"/>
              <w:spacing w:before="60"/>
              <w:jc w:val="center"/>
              <w:rPr>
                <w:rFonts w:eastAsia="Calibri"/>
                <w:b/>
              </w:rPr>
            </w:pPr>
            <w:r w:rsidRPr="0009445C">
              <w:rPr>
                <w:b/>
              </w:rPr>
              <w:t>5</w:t>
            </w:r>
          </w:p>
        </w:tc>
        <w:tc>
          <w:tcPr>
            <w:tcW w:w="2696" w:type="dxa"/>
            <w:shd w:val="clear" w:color="auto" w:fill="auto"/>
          </w:tcPr>
          <w:p w14:paraId="2267F788" w14:textId="18941DD4" w:rsidR="00975DB9" w:rsidRPr="0009445C" w:rsidRDefault="00C60C97" w:rsidP="00E07C4A">
            <w:pPr>
              <w:pStyle w:val="BRL-Tabelle"/>
              <w:spacing w:before="60" w:after="40"/>
              <w:rPr>
                <w:rFonts w:eastAsia="Calibri"/>
              </w:rPr>
            </w:pPr>
            <w:r w:rsidRPr="0009445C">
              <w:t>Highly fire-retardant and made of non-combustible*building materials</w:t>
            </w:r>
          </w:p>
        </w:tc>
        <w:tc>
          <w:tcPr>
            <w:tcW w:w="2026" w:type="dxa"/>
            <w:shd w:val="clear" w:color="auto" w:fill="auto"/>
          </w:tcPr>
          <w:p w14:paraId="098FD668" w14:textId="569CE3AB" w:rsidR="00975DB9" w:rsidRPr="0009445C" w:rsidRDefault="00C60C97" w:rsidP="00E07C4A">
            <w:pPr>
              <w:pStyle w:val="BRL-Tabelle"/>
              <w:spacing w:before="60" w:after="40"/>
              <w:rPr>
                <w:rFonts w:eastAsia="Calibri"/>
              </w:rPr>
            </w:pPr>
            <w:r w:rsidRPr="0009445C">
              <w:t>From bottom to top</w:t>
            </w:r>
            <w:r w:rsidRPr="0009445C">
              <w:br/>
              <w:t>EI 60 (a</w:t>
            </w:r>
            <w:r w:rsidRPr="0009445C">
              <w:sym w:font="Symbol" w:char="F0AC"/>
            </w:r>
            <w:r w:rsidRPr="0009445C">
              <w:t>b)</w:t>
            </w:r>
          </w:p>
        </w:tc>
        <w:tc>
          <w:tcPr>
            <w:tcW w:w="2043" w:type="dxa"/>
            <w:shd w:val="clear" w:color="auto" w:fill="auto"/>
          </w:tcPr>
          <w:p w14:paraId="6E20F785" w14:textId="49B78DE7" w:rsidR="00975DB9" w:rsidRPr="0009445C" w:rsidRDefault="00C60C97" w:rsidP="00E07C4A">
            <w:pPr>
              <w:pStyle w:val="BRL-Tabelle"/>
              <w:spacing w:before="60" w:after="40"/>
              <w:rPr>
                <w:rFonts w:eastAsia="Calibri"/>
              </w:rPr>
            </w:pPr>
            <w:r w:rsidRPr="0009445C">
              <w:t>From bottom to top and</w:t>
            </w:r>
            <w:r w:rsidRPr="0009445C">
              <w:br/>
              <w:t>from top to bottom</w:t>
            </w:r>
            <w:r w:rsidRPr="0009445C">
              <w:br/>
              <w:t>EI 60 (a</w:t>
            </w:r>
            <w:r w:rsidRPr="0009445C">
              <w:sym w:font="Symbol" w:char="F0AB"/>
            </w:r>
            <w:r w:rsidRPr="0009445C">
              <w:t>b)</w:t>
            </w:r>
          </w:p>
        </w:tc>
        <w:tc>
          <w:tcPr>
            <w:tcW w:w="1866" w:type="dxa"/>
            <w:shd w:val="clear" w:color="auto" w:fill="auto"/>
          </w:tcPr>
          <w:p w14:paraId="01C49BD0" w14:textId="4EAF34A4" w:rsidR="00975DB9" w:rsidRPr="0009445C" w:rsidRDefault="00C60C97" w:rsidP="00E07C4A">
            <w:pPr>
              <w:pStyle w:val="BRL-Tabelle"/>
              <w:spacing w:before="60" w:after="40"/>
              <w:rPr>
                <w:rFonts w:eastAsia="Calibri"/>
              </w:rPr>
            </w:pPr>
            <w:r w:rsidRPr="0009445C">
              <w:t>A2 – s1,d0**</w:t>
            </w:r>
          </w:p>
        </w:tc>
      </w:tr>
      <w:tr w:rsidR="00975DB9" w:rsidRPr="0009445C" w14:paraId="44E7E99E" w14:textId="77777777" w:rsidTr="00E07C4A">
        <w:trPr>
          <w:cantSplit/>
        </w:trPr>
        <w:tc>
          <w:tcPr>
            <w:tcW w:w="441" w:type="dxa"/>
          </w:tcPr>
          <w:p w14:paraId="1030A10B" w14:textId="2C0C8D51" w:rsidR="00975DB9" w:rsidRPr="0009445C" w:rsidRDefault="00975DB9" w:rsidP="00E07C4A">
            <w:pPr>
              <w:pStyle w:val="BRL-Tabelle"/>
              <w:spacing w:before="60"/>
              <w:jc w:val="center"/>
              <w:rPr>
                <w:rFonts w:eastAsia="Calibri"/>
                <w:b/>
              </w:rPr>
            </w:pPr>
            <w:r w:rsidRPr="0009445C">
              <w:rPr>
                <w:b/>
              </w:rPr>
              <w:t>6</w:t>
            </w:r>
          </w:p>
        </w:tc>
        <w:tc>
          <w:tcPr>
            <w:tcW w:w="2696" w:type="dxa"/>
            <w:shd w:val="clear" w:color="auto" w:fill="auto"/>
          </w:tcPr>
          <w:p w14:paraId="349ED340" w14:textId="3ECD5B31" w:rsidR="00975DB9" w:rsidRPr="0009445C" w:rsidRDefault="00C60C97" w:rsidP="00E07C4A">
            <w:pPr>
              <w:pStyle w:val="BRL-Tabelle"/>
              <w:spacing w:before="60" w:after="40"/>
              <w:rPr>
                <w:rFonts w:eastAsia="Calibri"/>
              </w:rPr>
            </w:pPr>
            <w:r w:rsidRPr="0009445C">
              <w:t>Fire-resistant and made of non-combustible* building materials</w:t>
            </w:r>
          </w:p>
        </w:tc>
        <w:tc>
          <w:tcPr>
            <w:tcW w:w="2026" w:type="dxa"/>
            <w:shd w:val="clear" w:color="auto" w:fill="auto"/>
          </w:tcPr>
          <w:p w14:paraId="4C1B1731" w14:textId="37075C06" w:rsidR="00975DB9" w:rsidRPr="0009445C" w:rsidRDefault="00C60C97" w:rsidP="00E07C4A">
            <w:pPr>
              <w:pStyle w:val="BRL-Tabelle"/>
              <w:spacing w:before="60" w:after="40"/>
              <w:rPr>
                <w:rFonts w:eastAsia="Calibri"/>
              </w:rPr>
            </w:pPr>
            <w:r w:rsidRPr="0009445C">
              <w:t>From bottom to top</w:t>
            </w:r>
            <w:r w:rsidRPr="0009445C">
              <w:br/>
              <w:t>EI 90 (a</w:t>
            </w:r>
            <w:r w:rsidRPr="0009445C">
              <w:sym w:font="Symbol" w:char="F0AC"/>
            </w:r>
            <w:r w:rsidRPr="0009445C">
              <w:t>b)</w:t>
            </w:r>
          </w:p>
        </w:tc>
        <w:tc>
          <w:tcPr>
            <w:tcW w:w="2043" w:type="dxa"/>
            <w:shd w:val="clear" w:color="auto" w:fill="auto"/>
          </w:tcPr>
          <w:p w14:paraId="46557D94" w14:textId="17EDDBAA" w:rsidR="00975DB9" w:rsidRPr="0009445C" w:rsidRDefault="00C60C97" w:rsidP="00E07C4A">
            <w:pPr>
              <w:pStyle w:val="BRL-Tabelle"/>
              <w:spacing w:before="60" w:after="40"/>
              <w:rPr>
                <w:rFonts w:eastAsia="Calibri"/>
              </w:rPr>
            </w:pPr>
            <w:r w:rsidRPr="0009445C">
              <w:t>From bottom to top and</w:t>
            </w:r>
            <w:r w:rsidRPr="0009445C">
              <w:br/>
              <w:t>from top to bottom</w:t>
            </w:r>
            <w:r w:rsidRPr="0009445C">
              <w:br/>
              <w:t>EI 90 (a</w:t>
            </w:r>
            <w:r w:rsidRPr="0009445C">
              <w:sym w:font="Symbol" w:char="F0AB"/>
            </w:r>
            <w:r w:rsidRPr="0009445C">
              <w:t>b)</w:t>
            </w:r>
          </w:p>
        </w:tc>
        <w:tc>
          <w:tcPr>
            <w:tcW w:w="1866" w:type="dxa"/>
            <w:shd w:val="clear" w:color="auto" w:fill="auto"/>
          </w:tcPr>
          <w:p w14:paraId="58BF7B3E" w14:textId="34F2A8E8" w:rsidR="00975DB9" w:rsidRPr="0009445C" w:rsidRDefault="00C60C97" w:rsidP="00E07C4A">
            <w:pPr>
              <w:pStyle w:val="BRL-Tabelle"/>
              <w:spacing w:before="60" w:after="40"/>
              <w:rPr>
                <w:rFonts w:eastAsia="Calibri"/>
              </w:rPr>
            </w:pPr>
            <w:r w:rsidRPr="0009445C">
              <w:t>A2 – s1,d0**</w:t>
            </w:r>
          </w:p>
        </w:tc>
      </w:tr>
      <w:tr w:rsidR="00C60C97" w:rsidRPr="0009445C" w14:paraId="082050FF" w14:textId="77777777" w:rsidTr="00E07C4A">
        <w:trPr>
          <w:cantSplit/>
        </w:trPr>
        <w:tc>
          <w:tcPr>
            <w:tcW w:w="441" w:type="dxa"/>
          </w:tcPr>
          <w:p w14:paraId="3B7D2F6A" w14:textId="77777777" w:rsidR="00C60C97" w:rsidRPr="0009445C" w:rsidRDefault="00C60C97" w:rsidP="00E07C4A">
            <w:pPr>
              <w:pStyle w:val="BRL-Tabelle"/>
              <w:spacing w:before="60"/>
              <w:jc w:val="center"/>
              <w:rPr>
                <w:rFonts w:eastAsia="Calibri"/>
                <w:b/>
              </w:rPr>
            </w:pPr>
          </w:p>
        </w:tc>
        <w:tc>
          <w:tcPr>
            <w:tcW w:w="8631" w:type="dxa"/>
            <w:gridSpan w:val="4"/>
            <w:shd w:val="clear" w:color="auto" w:fill="auto"/>
          </w:tcPr>
          <w:p w14:paraId="04438B98" w14:textId="2643F98C" w:rsidR="00C60C97" w:rsidRPr="0009445C" w:rsidRDefault="00C60C97" w:rsidP="00C60C97">
            <w:pPr>
              <w:pStyle w:val="BRL-Funote"/>
              <w:rPr>
                <w:rFonts w:eastAsia="Calibri"/>
              </w:rPr>
            </w:pPr>
            <w:r w:rsidRPr="0009445C">
              <w:t>*</w:t>
            </w:r>
            <w:r w:rsidRPr="0009445C">
              <w:tab/>
              <w:t>Regarding the requirements, Table 1.1. applies.</w:t>
            </w:r>
          </w:p>
          <w:p w14:paraId="231C1A0E" w14:textId="3746CE2E" w:rsidR="00C60C97" w:rsidRPr="0009445C" w:rsidRDefault="00C60C97" w:rsidP="00C60C97">
            <w:pPr>
              <w:pStyle w:val="BRL-Funote"/>
              <w:rPr>
                <w:rFonts w:eastAsia="Calibri"/>
              </w:rPr>
            </w:pPr>
            <w:r w:rsidRPr="0009445C">
              <w:t>**</w:t>
            </w:r>
            <w:r w:rsidRPr="0009445C">
              <w:tab/>
              <w:t>Regarding the requirements, Table 1.1 or Table 1.2 applies.</w:t>
            </w:r>
          </w:p>
        </w:tc>
      </w:tr>
    </w:tbl>
    <w:p w14:paraId="0703352E" w14:textId="77777777" w:rsidR="00975DB9" w:rsidRPr="0009445C" w:rsidRDefault="00975DB9" w:rsidP="00E713B0">
      <w:pPr>
        <w:pStyle w:val="BRL-Standard"/>
      </w:pPr>
    </w:p>
    <w:p w14:paraId="09AEDD0F" w14:textId="068870B4" w:rsidR="00C60C97" w:rsidRPr="0009445C" w:rsidRDefault="00C60C97" w:rsidP="00600F53">
      <w:pPr>
        <w:pStyle w:val="BRL-berschrift"/>
      </w:pPr>
      <w:r w:rsidRPr="0009445C">
        <w:t>4.3.1.3</w:t>
      </w:r>
      <w:r w:rsidRPr="0009445C">
        <w:tab/>
        <w:t>Terms of use and execution of construction products in accordance with Table 4.3.1.2</w:t>
      </w:r>
    </w:p>
    <w:p w14:paraId="3B586BC7" w14:textId="2DCFBD5B" w:rsidR="00C60C97" w:rsidRPr="0009445C" w:rsidRDefault="00C60C97" w:rsidP="003D1751">
      <w:pPr>
        <w:pStyle w:val="BRL-StandardAufzhlungNr"/>
      </w:pPr>
      <w:r w:rsidRPr="0009445C">
        <w:t>Use is only permitted if the structural elements adjacent to the construction product described in the manufacturer’s installation manual are in compliance with the fire resistance requirements for the building structure. These structural elements must be designed so as to withstand the impacts of the use of the construction product as well as the impacts of the construction product in case of fire. The requirements of Table 4.3.1.2 are only met if subsequent, room-closing structural elements have at least the same fire resistance.</w:t>
      </w:r>
    </w:p>
    <w:p w14:paraId="37BB374C" w14:textId="0122EC23" w:rsidR="00C60C97" w:rsidRPr="0009445C" w:rsidRDefault="00E43637" w:rsidP="003D1751">
      <w:pPr>
        <w:pStyle w:val="BRL-StandardAufzhlungNr"/>
      </w:pPr>
      <w:r w:rsidRPr="0009445C">
        <w:t>The requirements of Table 4.3.1.2 for sub-ceilings with fire stress only from below shall be met only if the ceiling to which this subceiling is installed meets the requirements in the case of fire action from the top (top-down fire) in accordance with the requirement in ser. No A 2.1.8.</w:t>
      </w:r>
    </w:p>
    <w:p w14:paraId="0E57082B" w14:textId="5C550F83" w:rsidR="00C60C97" w:rsidRPr="0009445C" w:rsidRDefault="00E43637" w:rsidP="00E43637">
      <w:pPr>
        <w:pStyle w:val="BRL-StandardAufzhlungNr"/>
      </w:pPr>
      <w:r w:rsidRPr="0009445C">
        <w:t>The use of sub-ceilings is only permitted if the type of attachment to vertical and/or horizontal structural elements is apparent from the manufacturer’s installation instructions in accordance with the classification report.</w:t>
      </w:r>
    </w:p>
    <w:p w14:paraId="5E608FD2" w14:textId="77777777" w:rsidR="00E43637" w:rsidRPr="0009445C" w:rsidRDefault="00E43637" w:rsidP="00E43637">
      <w:pPr>
        <w:pStyle w:val="BRL-StandardAufzhlungNr"/>
      </w:pPr>
      <w:r w:rsidRPr="0009445C">
        <w:t>The use of ceilings with installations (such as luminaires, loudspeakers, ventilation structural elements, etc.) is only permitted if this is indicated in the classification report and the installation method is apparent from the manufacturer’s installation instructions.</w:t>
      </w:r>
    </w:p>
    <w:p w14:paraId="4640F9D1" w14:textId="248F5F95" w:rsidR="00E43637" w:rsidRPr="0009445C" w:rsidRDefault="00E43637" w:rsidP="00E43637">
      <w:pPr>
        <w:pStyle w:val="BRL-StandardAufzhlungNr"/>
      </w:pPr>
      <w:r w:rsidRPr="0009445C">
        <w:t>The use of undercovers with revision openings is only permitted if this is indicated in the classification report and the installation method for the revision opening is apparent from the manufacturer’s installation instructions.</w:t>
      </w:r>
    </w:p>
    <w:p w14:paraId="0323AD6D" w14:textId="77777777" w:rsidR="00C60C97" w:rsidRPr="0009445C" w:rsidRDefault="00C60C97" w:rsidP="00E713B0">
      <w:pPr>
        <w:spacing w:line="240" w:lineRule="auto"/>
      </w:pPr>
    </w:p>
    <w:p w14:paraId="74ACBB8E" w14:textId="0C21D9D8" w:rsidR="00E713B0" w:rsidRPr="0009445C" w:rsidRDefault="00E713B0" w:rsidP="00E713B0">
      <w:pPr>
        <w:spacing w:line="240" w:lineRule="auto"/>
      </w:pPr>
      <w:r w:rsidRPr="0009445C">
        <w:br w:type="page"/>
      </w:r>
    </w:p>
    <w:p w14:paraId="21A43F8F" w14:textId="77777777" w:rsidR="00E713B0" w:rsidRPr="0009445C" w:rsidRDefault="00E713B0" w:rsidP="00600F53">
      <w:pPr>
        <w:pStyle w:val="BRL-berschrift"/>
      </w:pPr>
      <w:r w:rsidRPr="0009445C">
        <w:lastRenderedPageBreak/>
        <w:t>4.3.2</w:t>
      </w:r>
      <w:r w:rsidRPr="0009445C">
        <w:tab/>
        <w:t>Requirements on fire resistance including fire performance when using construction products in accordance with harmonised technical specifications for non-supporting walls, non-supporting partitions or walls of necessary corridors, walls of open corridors and minimum required performance</w:t>
      </w:r>
    </w:p>
    <w:p w14:paraId="352705ED" w14:textId="77777777" w:rsidR="00E713B0" w:rsidRPr="0009445C" w:rsidRDefault="00E713B0" w:rsidP="00E713B0">
      <w:pPr>
        <w:pStyle w:val="BRLTabelleberschrift"/>
        <w:spacing w:after="120"/>
      </w:pPr>
      <w:r w:rsidRPr="0009445C">
        <w:t>Table 4.3.2:</w:t>
      </w:r>
      <w:r w:rsidRPr="0009445C">
        <w:tab/>
        <w:t>Building approval requirements and minimum required performances</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504"/>
        <w:gridCol w:w="2932"/>
        <w:gridCol w:w="2655"/>
        <w:gridCol w:w="2981"/>
      </w:tblGrid>
      <w:tr w:rsidR="00E713B0" w:rsidRPr="0009445C" w14:paraId="38A79A11" w14:textId="77777777" w:rsidTr="00E713B0">
        <w:trPr>
          <w:cantSplit/>
          <w:tblHeader/>
        </w:trPr>
        <w:tc>
          <w:tcPr>
            <w:tcW w:w="504" w:type="dxa"/>
            <w:vMerge w:val="restart"/>
            <w:tcBorders>
              <w:top w:val="single" w:sz="2" w:space="0" w:color="595959"/>
              <w:left w:val="single" w:sz="2" w:space="0" w:color="595959"/>
              <w:right w:val="single" w:sz="2" w:space="0" w:color="595959"/>
              <w:tl2br w:val="nil"/>
              <w:tr2bl w:val="nil"/>
            </w:tcBorders>
            <w:shd w:val="clear" w:color="auto" w:fill="FFFFFF"/>
          </w:tcPr>
          <w:p w14:paraId="351B18AF" w14:textId="77777777" w:rsidR="00E713B0" w:rsidRPr="0009445C" w:rsidRDefault="00E713B0" w:rsidP="00E713B0">
            <w:pPr>
              <w:pStyle w:val="BRLTabelleberschrift"/>
              <w:spacing w:before="60" w:after="40"/>
              <w:ind w:left="113" w:right="113" w:firstLine="0"/>
              <w:jc w:val="center"/>
            </w:pPr>
          </w:p>
        </w:tc>
        <w:tc>
          <w:tcPr>
            <w:tcW w:w="2932" w:type="dxa"/>
            <w:vMerge w:val="restart"/>
            <w:tcBorders>
              <w:top w:val="single" w:sz="2" w:space="0" w:color="595959"/>
              <w:left w:val="single" w:sz="2" w:space="0" w:color="595959"/>
              <w:bottom w:val="single" w:sz="2" w:space="0" w:color="595959"/>
              <w:right w:val="single" w:sz="2" w:space="0" w:color="595959"/>
              <w:tl2br w:val="nil"/>
              <w:tr2bl w:val="nil"/>
            </w:tcBorders>
            <w:shd w:val="clear" w:color="auto" w:fill="FFFFFF"/>
          </w:tcPr>
          <w:p w14:paraId="6B8EC544" w14:textId="77777777" w:rsidR="00E713B0" w:rsidRPr="0009445C" w:rsidRDefault="00E713B0" w:rsidP="00E713B0">
            <w:pPr>
              <w:pStyle w:val="BRLTabelleberschrift"/>
              <w:spacing w:before="60" w:after="40"/>
              <w:ind w:left="113" w:right="113" w:firstLine="0"/>
              <w:rPr>
                <w:b w:val="0"/>
              </w:rPr>
            </w:pPr>
            <w:r w:rsidRPr="0009445C">
              <w:t>Building approval requirement</w:t>
            </w:r>
          </w:p>
        </w:tc>
        <w:tc>
          <w:tcPr>
            <w:tcW w:w="5636" w:type="dxa"/>
            <w:gridSpan w:val="2"/>
            <w:tcBorders>
              <w:top w:val="single" w:sz="2" w:space="0" w:color="595959"/>
              <w:left w:val="single" w:sz="2" w:space="0" w:color="595959"/>
              <w:bottom w:val="single" w:sz="2" w:space="0" w:color="595959"/>
              <w:right w:val="single" w:sz="2" w:space="0" w:color="595959"/>
              <w:tl2br w:val="nil"/>
              <w:tr2bl w:val="nil"/>
            </w:tcBorders>
            <w:shd w:val="clear" w:color="auto" w:fill="auto"/>
          </w:tcPr>
          <w:p w14:paraId="5F32BDC8" w14:textId="77777777" w:rsidR="00E713B0" w:rsidRPr="0009445C" w:rsidRDefault="00E713B0" w:rsidP="00E713B0">
            <w:pPr>
              <w:pStyle w:val="BRLTabelleberschrift"/>
              <w:spacing w:before="60" w:after="40"/>
              <w:ind w:left="113" w:right="113" w:firstLine="0"/>
              <w:jc w:val="center"/>
              <w:rPr>
                <w:b w:val="0"/>
              </w:rPr>
            </w:pPr>
            <w:r w:rsidRPr="0009445C">
              <w:t>Minimum required performances</w:t>
            </w:r>
          </w:p>
        </w:tc>
      </w:tr>
      <w:tr w:rsidR="00E713B0" w:rsidRPr="0009445C" w14:paraId="61672F68" w14:textId="77777777" w:rsidTr="00E713B0">
        <w:trPr>
          <w:cantSplit/>
          <w:tblHeader/>
        </w:trPr>
        <w:tc>
          <w:tcPr>
            <w:tcW w:w="504" w:type="dxa"/>
            <w:vMerge/>
            <w:tcBorders>
              <w:left w:val="single" w:sz="2" w:space="0" w:color="595959"/>
              <w:bottom w:val="nil"/>
              <w:right w:val="single" w:sz="2" w:space="0" w:color="595959"/>
            </w:tcBorders>
            <w:shd w:val="clear" w:color="auto" w:fill="FFFFFF"/>
          </w:tcPr>
          <w:p w14:paraId="10CE540C" w14:textId="77777777" w:rsidR="00E713B0" w:rsidRPr="0009445C" w:rsidRDefault="00E713B0" w:rsidP="00600F53">
            <w:pPr>
              <w:pStyle w:val="BRL-Tabelleberschrift1Zeile"/>
            </w:pPr>
          </w:p>
        </w:tc>
        <w:tc>
          <w:tcPr>
            <w:tcW w:w="2932" w:type="dxa"/>
            <w:vMerge/>
            <w:tcBorders>
              <w:top w:val="single" w:sz="2" w:space="0" w:color="595959"/>
              <w:left w:val="single" w:sz="2" w:space="0" w:color="595959"/>
              <w:bottom w:val="nil"/>
            </w:tcBorders>
            <w:shd w:val="clear" w:color="auto" w:fill="FFFFFF"/>
          </w:tcPr>
          <w:p w14:paraId="567B09FA" w14:textId="77777777" w:rsidR="00E713B0" w:rsidRPr="0009445C" w:rsidRDefault="00E713B0" w:rsidP="00600F53">
            <w:pPr>
              <w:pStyle w:val="BRL-Tabelleberschrift1Zeile"/>
            </w:pPr>
          </w:p>
        </w:tc>
        <w:tc>
          <w:tcPr>
            <w:tcW w:w="2655" w:type="dxa"/>
            <w:tcBorders>
              <w:top w:val="single" w:sz="2" w:space="0" w:color="595959"/>
            </w:tcBorders>
            <w:shd w:val="clear" w:color="auto" w:fill="auto"/>
          </w:tcPr>
          <w:p w14:paraId="493AAFCF" w14:textId="77777777" w:rsidR="00E713B0" w:rsidRPr="0009445C" w:rsidRDefault="00E713B0" w:rsidP="00600F53">
            <w:pPr>
              <w:pStyle w:val="BRL-Tabelleberschrift1Zeile"/>
            </w:pPr>
            <w:r w:rsidRPr="0009445C">
              <w:t xml:space="preserve">Fire resistance </w:t>
            </w:r>
          </w:p>
        </w:tc>
        <w:tc>
          <w:tcPr>
            <w:tcW w:w="2981" w:type="dxa"/>
            <w:tcBorders>
              <w:top w:val="single" w:sz="2" w:space="0" w:color="595959"/>
            </w:tcBorders>
            <w:shd w:val="clear" w:color="auto" w:fill="auto"/>
          </w:tcPr>
          <w:p w14:paraId="6B7778EE" w14:textId="77777777" w:rsidR="00E713B0" w:rsidRPr="0009445C" w:rsidRDefault="00E713B0" w:rsidP="00600F53">
            <w:pPr>
              <w:pStyle w:val="BRL-Tabelleberschrift1Zeile"/>
            </w:pPr>
            <w:r w:rsidRPr="0009445C">
              <w:t>Fire performance</w:t>
            </w:r>
          </w:p>
        </w:tc>
      </w:tr>
      <w:tr w:rsidR="00E713B0" w:rsidRPr="0009445C" w14:paraId="370E082C" w14:textId="77777777" w:rsidTr="00E713B0">
        <w:trPr>
          <w:cantSplit/>
          <w:trHeight w:val="166"/>
          <w:tblHeader/>
        </w:trPr>
        <w:tc>
          <w:tcPr>
            <w:tcW w:w="504" w:type="dxa"/>
            <w:tcBorders>
              <w:top w:val="single" w:sz="2" w:space="0" w:color="595959"/>
              <w:bottom w:val="nil"/>
            </w:tcBorders>
            <w:shd w:val="clear" w:color="auto" w:fill="FFFFFF"/>
          </w:tcPr>
          <w:p w14:paraId="4E9286D1" w14:textId="77777777" w:rsidR="00E713B0" w:rsidRPr="0009445C" w:rsidRDefault="00E713B0" w:rsidP="00600F53">
            <w:pPr>
              <w:pStyle w:val="BRL-Tabelleberschrift1Zeile"/>
            </w:pPr>
          </w:p>
        </w:tc>
        <w:tc>
          <w:tcPr>
            <w:tcW w:w="2932" w:type="dxa"/>
            <w:tcBorders>
              <w:top w:val="single" w:sz="2" w:space="0" w:color="595959"/>
              <w:bottom w:val="nil"/>
            </w:tcBorders>
            <w:shd w:val="clear" w:color="auto" w:fill="FFFFFF"/>
            <w:vAlign w:val="center"/>
          </w:tcPr>
          <w:p w14:paraId="664AD830" w14:textId="77777777" w:rsidR="00E713B0" w:rsidRPr="0009445C" w:rsidRDefault="00E713B0" w:rsidP="00600F53">
            <w:pPr>
              <w:pStyle w:val="BRL-Tabelleberschrift1Zeile"/>
            </w:pPr>
            <w:r w:rsidRPr="0009445C">
              <w:t>1</w:t>
            </w:r>
          </w:p>
        </w:tc>
        <w:tc>
          <w:tcPr>
            <w:tcW w:w="2655" w:type="dxa"/>
            <w:tcBorders>
              <w:top w:val="single" w:sz="2" w:space="0" w:color="595959"/>
            </w:tcBorders>
            <w:shd w:val="clear" w:color="auto" w:fill="auto"/>
            <w:vAlign w:val="center"/>
          </w:tcPr>
          <w:p w14:paraId="6054A897" w14:textId="77777777" w:rsidR="00E713B0" w:rsidRPr="0009445C" w:rsidRDefault="00E713B0" w:rsidP="00600F53">
            <w:pPr>
              <w:pStyle w:val="BRL-Tabelleberschrift1Zeile"/>
            </w:pPr>
            <w:r w:rsidRPr="0009445C">
              <w:t>2</w:t>
            </w:r>
          </w:p>
        </w:tc>
        <w:tc>
          <w:tcPr>
            <w:tcW w:w="2981" w:type="dxa"/>
            <w:tcBorders>
              <w:top w:val="single" w:sz="2" w:space="0" w:color="595959"/>
            </w:tcBorders>
            <w:shd w:val="clear" w:color="auto" w:fill="auto"/>
            <w:vAlign w:val="center"/>
          </w:tcPr>
          <w:p w14:paraId="2AD48C10" w14:textId="77777777" w:rsidR="00E713B0" w:rsidRPr="0009445C" w:rsidRDefault="00E713B0" w:rsidP="00600F53">
            <w:pPr>
              <w:pStyle w:val="BRL-Tabelleberschrift1Zeile"/>
            </w:pPr>
            <w:r w:rsidRPr="0009445C">
              <w:t>3</w:t>
            </w:r>
          </w:p>
        </w:tc>
      </w:tr>
      <w:tr w:rsidR="00E713B0" w:rsidRPr="0009445C" w14:paraId="5C603EEF" w14:textId="77777777" w:rsidTr="00E713B0">
        <w:trPr>
          <w:cantSplit/>
        </w:trPr>
        <w:tc>
          <w:tcPr>
            <w:tcW w:w="504" w:type="dxa"/>
            <w:tcBorders>
              <w:bottom w:val="nil"/>
            </w:tcBorders>
            <w:shd w:val="clear" w:color="auto" w:fill="FFFFFF"/>
          </w:tcPr>
          <w:p w14:paraId="305C48F7" w14:textId="77777777" w:rsidR="00E713B0" w:rsidRPr="0009445C" w:rsidRDefault="00E713B0" w:rsidP="00E713B0">
            <w:pPr>
              <w:pStyle w:val="BRL-Tabelle"/>
              <w:spacing w:before="60" w:after="40"/>
              <w:ind w:left="113" w:right="113"/>
              <w:jc w:val="center"/>
              <w:rPr>
                <w:rFonts w:eastAsia="Calibri"/>
                <w:b/>
              </w:rPr>
            </w:pPr>
            <w:r w:rsidRPr="0009445C">
              <w:rPr>
                <w:b/>
              </w:rPr>
              <w:t>1</w:t>
            </w:r>
          </w:p>
        </w:tc>
        <w:tc>
          <w:tcPr>
            <w:tcW w:w="2932" w:type="dxa"/>
            <w:tcBorders>
              <w:bottom w:val="nil"/>
            </w:tcBorders>
            <w:shd w:val="clear" w:color="auto" w:fill="FFFFFF"/>
          </w:tcPr>
          <w:p w14:paraId="5F68026C" w14:textId="77777777" w:rsidR="00E713B0" w:rsidRPr="0009445C" w:rsidRDefault="00E713B0" w:rsidP="00E713B0">
            <w:pPr>
              <w:pStyle w:val="BRL-Tabelle"/>
              <w:spacing w:before="60" w:after="40"/>
              <w:ind w:left="113" w:right="113"/>
            </w:pPr>
            <w:r w:rsidRPr="0009445C">
              <w:t>Made of normal-flammability building materials</w:t>
            </w:r>
          </w:p>
        </w:tc>
        <w:tc>
          <w:tcPr>
            <w:tcW w:w="2655" w:type="dxa"/>
            <w:shd w:val="clear" w:color="auto" w:fill="auto"/>
          </w:tcPr>
          <w:p w14:paraId="3431C925" w14:textId="77777777" w:rsidR="00E713B0" w:rsidRPr="0009445C" w:rsidRDefault="00E713B0" w:rsidP="00E713B0">
            <w:pPr>
              <w:pStyle w:val="BRL-Tabelle"/>
              <w:spacing w:before="60" w:after="40"/>
              <w:ind w:left="113" w:right="113"/>
            </w:pPr>
            <w:r w:rsidRPr="0009445C">
              <w:t>-</w:t>
            </w:r>
          </w:p>
        </w:tc>
        <w:tc>
          <w:tcPr>
            <w:tcW w:w="2981" w:type="dxa"/>
            <w:shd w:val="clear" w:color="auto" w:fill="auto"/>
          </w:tcPr>
          <w:p w14:paraId="74FE5719" w14:textId="77777777" w:rsidR="00E713B0" w:rsidRPr="0009445C" w:rsidRDefault="00E713B0" w:rsidP="00E713B0">
            <w:pPr>
              <w:pStyle w:val="BRL-Tabelle"/>
              <w:spacing w:before="60" w:after="40"/>
              <w:ind w:left="113" w:right="113"/>
            </w:pPr>
            <w:r w:rsidRPr="0009445C">
              <w:t>E – d2</w:t>
            </w:r>
          </w:p>
        </w:tc>
      </w:tr>
      <w:tr w:rsidR="00E713B0" w:rsidRPr="0009445C" w14:paraId="29535738" w14:textId="77777777" w:rsidTr="00E713B0">
        <w:trPr>
          <w:cantSplit/>
        </w:trPr>
        <w:tc>
          <w:tcPr>
            <w:tcW w:w="504" w:type="dxa"/>
            <w:tcBorders>
              <w:bottom w:val="nil"/>
            </w:tcBorders>
            <w:shd w:val="clear" w:color="auto" w:fill="FFFFFF"/>
          </w:tcPr>
          <w:p w14:paraId="735B438B" w14:textId="77777777" w:rsidR="00E713B0" w:rsidRPr="0009445C" w:rsidRDefault="00E713B0" w:rsidP="00E713B0">
            <w:pPr>
              <w:pStyle w:val="BRL-Tabelle"/>
              <w:spacing w:before="60" w:after="40"/>
              <w:ind w:left="113" w:right="113"/>
              <w:jc w:val="center"/>
              <w:rPr>
                <w:rFonts w:eastAsia="Calibri"/>
                <w:b/>
              </w:rPr>
            </w:pPr>
            <w:r w:rsidRPr="0009445C">
              <w:rPr>
                <w:b/>
              </w:rPr>
              <w:t>2</w:t>
            </w:r>
          </w:p>
        </w:tc>
        <w:tc>
          <w:tcPr>
            <w:tcW w:w="2932" w:type="dxa"/>
            <w:tcBorders>
              <w:bottom w:val="nil"/>
            </w:tcBorders>
            <w:shd w:val="clear" w:color="auto" w:fill="FFFFFF"/>
          </w:tcPr>
          <w:p w14:paraId="0F3B1AD8" w14:textId="77777777" w:rsidR="00E713B0" w:rsidRPr="0009445C" w:rsidRDefault="00E713B0" w:rsidP="00E713B0">
            <w:pPr>
              <w:pStyle w:val="BRL-Tabelle"/>
              <w:spacing w:before="60" w:after="40"/>
              <w:ind w:left="113" w:right="113"/>
            </w:pPr>
            <w:r w:rsidRPr="0009445C">
              <w:t>Made of normal-flammability building materials with fire-resistant cladding of 30 min. of non-combustible* building materials, in accordance with Section 5.2 of the technical regulation in accordance with point A 2.2.1.4</w:t>
            </w:r>
          </w:p>
        </w:tc>
        <w:tc>
          <w:tcPr>
            <w:tcW w:w="2655" w:type="dxa"/>
            <w:shd w:val="clear" w:color="auto" w:fill="auto"/>
          </w:tcPr>
          <w:p w14:paraId="698180F2" w14:textId="30FD18E5" w:rsidR="00E713B0" w:rsidRPr="0009445C" w:rsidRDefault="00AC5469" w:rsidP="00E713B0">
            <w:pPr>
              <w:pStyle w:val="BRL-Tabelle"/>
              <w:spacing w:before="60" w:after="40"/>
              <w:ind w:left="113" w:right="113"/>
            </w:pPr>
            <w:r w:rsidRPr="0009445C">
              <w:t>Fire-protective cladding: depending on use, single-sided or double-sided K</w:t>
            </w:r>
            <w:r w:rsidRPr="0009445C">
              <w:rPr>
                <w:vertAlign w:val="subscript"/>
              </w:rPr>
              <w:t xml:space="preserve"> 2</w:t>
            </w:r>
            <w:r w:rsidRPr="0009445C">
              <w:t xml:space="preserve"> 30</w:t>
            </w:r>
          </w:p>
        </w:tc>
        <w:tc>
          <w:tcPr>
            <w:tcW w:w="2981" w:type="dxa"/>
            <w:shd w:val="clear" w:color="auto" w:fill="auto"/>
          </w:tcPr>
          <w:p w14:paraId="283CB1C3" w14:textId="77777777" w:rsidR="00E713B0" w:rsidRPr="0009445C" w:rsidRDefault="00E713B0" w:rsidP="00E713B0">
            <w:pPr>
              <w:pStyle w:val="BRL-Tabelle"/>
              <w:ind w:left="113" w:right="113"/>
            </w:pPr>
            <w:r w:rsidRPr="0009445C">
              <w:t>Fire-protective cladding:</w:t>
            </w:r>
            <w:r w:rsidRPr="0009445C">
              <w:br/>
              <w:t>A2 – s1,d0**,</w:t>
            </w:r>
          </w:p>
          <w:p w14:paraId="3B7C4441" w14:textId="77777777" w:rsidR="00E713B0" w:rsidRPr="0009445C" w:rsidRDefault="00E713B0" w:rsidP="00E713B0">
            <w:pPr>
              <w:pStyle w:val="BRL-Tabelle"/>
              <w:spacing w:before="60" w:after="40"/>
              <w:ind w:left="113" w:right="113"/>
            </w:pPr>
            <w:r w:rsidRPr="0009445C">
              <w:t>Otherwise: E – d2</w:t>
            </w:r>
          </w:p>
        </w:tc>
      </w:tr>
      <w:tr w:rsidR="00E713B0" w:rsidRPr="0009445C" w14:paraId="4B00BB5C" w14:textId="77777777" w:rsidTr="00E713B0">
        <w:trPr>
          <w:cantSplit/>
        </w:trPr>
        <w:tc>
          <w:tcPr>
            <w:tcW w:w="504" w:type="dxa"/>
            <w:tcBorders>
              <w:bottom w:val="nil"/>
            </w:tcBorders>
            <w:shd w:val="clear" w:color="auto" w:fill="FFFFFF"/>
          </w:tcPr>
          <w:p w14:paraId="7D45BE81" w14:textId="77777777" w:rsidR="00E713B0" w:rsidRPr="0009445C" w:rsidRDefault="00E713B0" w:rsidP="00E713B0">
            <w:pPr>
              <w:pStyle w:val="BRL-Tabelle"/>
              <w:spacing w:before="60" w:after="40"/>
              <w:ind w:left="113" w:right="113"/>
              <w:jc w:val="center"/>
              <w:rPr>
                <w:b/>
              </w:rPr>
            </w:pPr>
            <w:r w:rsidRPr="0009445C">
              <w:rPr>
                <w:b/>
              </w:rPr>
              <w:t>3</w:t>
            </w:r>
          </w:p>
        </w:tc>
        <w:tc>
          <w:tcPr>
            <w:tcW w:w="2932" w:type="dxa"/>
            <w:tcBorders>
              <w:bottom w:val="nil"/>
            </w:tcBorders>
            <w:shd w:val="clear" w:color="auto" w:fill="FFFFFF"/>
          </w:tcPr>
          <w:p w14:paraId="77AA5FC8" w14:textId="77777777" w:rsidR="00E713B0" w:rsidRPr="0009445C" w:rsidRDefault="00E713B0" w:rsidP="00E713B0">
            <w:pPr>
              <w:pStyle w:val="BRL-Tabelle"/>
              <w:spacing w:before="60" w:after="40"/>
              <w:ind w:left="113" w:right="113"/>
            </w:pPr>
            <w:r w:rsidRPr="0009445C">
              <w:t>Fire-retardant</w:t>
            </w:r>
          </w:p>
        </w:tc>
        <w:tc>
          <w:tcPr>
            <w:tcW w:w="2655" w:type="dxa"/>
            <w:shd w:val="clear" w:color="auto" w:fill="auto"/>
          </w:tcPr>
          <w:p w14:paraId="5E2984D9" w14:textId="77777777" w:rsidR="00E713B0" w:rsidRPr="0009445C" w:rsidRDefault="00E713B0" w:rsidP="00E713B0">
            <w:pPr>
              <w:pStyle w:val="BRL-Tabelle"/>
              <w:spacing w:before="60" w:after="40"/>
              <w:ind w:left="113" w:right="113"/>
            </w:pPr>
            <w:r w:rsidRPr="0009445C">
              <w:t>EI 30</w:t>
            </w:r>
          </w:p>
        </w:tc>
        <w:tc>
          <w:tcPr>
            <w:tcW w:w="2981" w:type="dxa"/>
            <w:shd w:val="clear" w:color="auto" w:fill="auto"/>
          </w:tcPr>
          <w:p w14:paraId="79DA6925" w14:textId="77777777" w:rsidR="00E713B0" w:rsidRPr="0009445C" w:rsidRDefault="00E713B0" w:rsidP="00E713B0">
            <w:pPr>
              <w:pStyle w:val="BRL-Tabelle"/>
              <w:spacing w:before="60" w:after="40"/>
              <w:ind w:left="113" w:right="113"/>
            </w:pPr>
            <w:r w:rsidRPr="0009445C">
              <w:t>E – d2</w:t>
            </w:r>
          </w:p>
        </w:tc>
      </w:tr>
      <w:tr w:rsidR="00E713B0" w:rsidRPr="0009445C" w14:paraId="281FD4AB" w14:textId="77777777" w:rsidTr="00E713B0">
        <w:trPr>
          <w:cantSplit/>
        </w:trPr>
        <w:tc>
          <w:tcPr>
            <w:tcW w:w="504" w:type="dxa"/>
            <w:tcBorders>
              <w:bottom w:val="nil"/>
            </w:tcBorders>
            <w:shd w:val="clear" w:color="auto" w:fill="FFFFFF"/>
          </w:tcPr>
          <w:p w14:paraId="76208944" w14:textId="77777777" w:rsidR="00E713B0" w:rsidRPr="0009445C" w:rsidRDefault="00E713B0" w:rsidP="00E713B0">
            <w:pPr>
              <w:pStyle w:val="BRL-Tabelle"/>
              <w:spacing w:before="60" w:after="40"/>
              <w:ind w:left="113" w:right="113"/>
              <w:jc w:val="center"/>
              <w:rPr>
                <w:rFonts w:eastAsia="Calibri"/>
                <w:b/>
              </w:rPr>
            </w:pPr>
            <w:r w:rsidRPr="0009445C">
              <w:rPr>
                <w:b/>
              </w:rPr>
              <w:t>4</w:t>
            </w:r>
          </w:p>
        </w:tc>
        <w:tc>
          <w:tcPr>
            <w:tcW w:w="2932" w:type="dxa"/>
            <w:tcBorders>
              <w:bottom w:val="nil"/>
            </w:tcBorders>
            <w:shd w:val="clear" w:color="auto" w:fill="FFFFFF"/>
          </w:tcPr>
          <w:p w14:paraId="593EF588" w14:textId="77777777" w:rsidR="00E713B0" w:rsidRPr="0009445C" w:rsidRDefault="00E713B0" w:rsidP="00E713B0">
            <w:pPr>
              <w:pStyle w:val="BRL-Tabelle"/>
              <w:spacing w:before="60" w:after="40"/>
              <w:ind w:left="113" w:right="113"/>
            </w:pPr>
            <w:r w:rsidRPr="0009445C">
              <w:t>Fire-retardant with one-sided</w:t>
            </w:r>
            <w:r w:rsidRPr="0009445C">
              <w:rPr>
                <w:vertAlign w:val="superscript"/>
              </w:rPr>
              <w:t>1</w:t>
            </w:r>
            <w:r w:rsidRPr="0009445C">
              <w:t xml:space="preserve"> cladding made of non-combustible* building materials</w:t>
            </w:r>
          </w:p>
        </w:tc>
        <w:tc>
          <w:tcPr>
            <w:tcW w:w="2655" w:type="dxa"/>
            <w:shd w:val="clear" w:color="auto" w:fill="auto"/>
          </w:tcPr>
          <w:p w14:paraId="5F5E37BF" w14:textId="77777777" w:rsidR="00E713B0" w:rsidRPr="0009445C" w:rsidRDefault="00E713B0" w:rsidP="00E713B0">
            <w:pPr>
              <w:pStyle w:val="BRL-Tabelle"/>
              <w:spacing w:before="60" w:after="40"/>
              <w:ind w:left="113" w:right="113"/>
            </w:pPr>
            <w:r w:rsidRPr="0009445C">
              <w:t>EI 30</w:t>
            </w:r>
          </w:p>
          <w:p w14:paraId="3C8D9652" w14:textId="77777777" w:rsidR="00E713B0" w:rsidRPr="0009445C" w:rsidRDefault="00E713B0" w:rsidP="00E713B0">
            <w:pPr>
              <w:pStyle w:val="BRL-Tabelle"/>
              <w:spacing w:before="60" w:after="40"/>
              <w:ind w:left="113" w:right="113"/>
            </w:pPr>
          </w:p>
        </w:tc>
        <w:tc>
          <w:tcPr>
            <w:tcW w:w="2981" w:type="dxa"/>
            <w:shd w:val="clear" w:color="auto" w:fill="auto"/>
          </w:tcPr>
          <w:p w14:paraId="1ECC8BE7" w14:textId="77777777" w:rsidR="00E713B0" w:rsidRPr="0009445C" w:rsidRDefault="00E713B0" w:rsidP="00E713B0">
            <w:pPr>
              <w:pStyle w:val="BRL-Tabelle"/>
              <w:spacing w:before="60" w:after="40"/>
              <w:ind w:left="113" w:right="113"/>
            </w:pPr>
            <w:r w:rsidRPr="0009445C">
              <w:t>Non-combustible* cladding:</w:t>
            </w:r>
            <w:r w:rsidRPr="0009445C">
              <w:br/>
              <w:t>A2 – s1,d0**;</w:t>
            </w:r>
            <w:r w:rsidRPr="0009445C">
              <w:br/>
              <w:t>Otherwise: E – d2</w:t>
            </w:r>
          </w:p>
        </w:tc>
      </w:tr>
      <w:tr w:rsidR="00E713B0" w:rsidRPr="0009445C" w14:paraId="4844F42D" w14:textId="77777777" w:rsidTr="00E713B0">
        <w:trPr>
          <w:cantSplit/>
        </w:trPr>
        <w:tc>
          <w:tcPr>
            <w:tcW w:w="504" w:type="dxa"/>
            <w:tcBorders>
              <w:bottom w:val="nil"/>
            </w:tcBorders>
            <w:shd w:val="clear" w:color="auto" w:fill="FFFFFF"/>
          </w:tcPr>
          <w:p w14:paraId="682E5CFD" w14:textId="77777777" w:rsidR="00E713B0" w:rsidRPr="0009445C" w:rsidRDefault="00E713B0" w:rsidP="00E713B0">
            <w:pPr>
              <w:pStyle w:val="BRL-Tabelle"/>
              <w:spacing w:before="60" w:after="40"/>
              <w:ind w:left="113" w:right="113"/>
              <w:jc w:val="center"/>
              <w:rPr>
                <w:b/>
              </w:rPr>
            </w:pPr>
            <w:r w:rsidRPr="0009445C">
              <w:rPr>
                <w:b/>
              </w:rPr>
              <w:t>5</w:t>
            </w:r>
          </w:p>
        </w:tc>
        <w:tc>
          <w:tcPr>
            <w:tcW w:w="2932" w:type="dxa"/>
            <w:tcBorders>
              <w:bottom w:val="nil"/>
            </w:tcBorders>
            <w:shd w:val="clear" w:color="auto" w:fill="FFFFFF"/>
          </w:tcPr>
          <w:p w14:paraId="55B250F1" w14:textId="77777777" w:rsidR="00E713B0" w:rsidRPr="0009445C" w:rsidRDefault="00E713B0" w:rsidP="00E713B0">
            <w:pPr>
              <w:pStyle w:val="BRL-Tabelle"/>
              <w:spacing w:before="60" w:after="40"/>
              <w:ind w:left="113" w:right="113"/>
            </w:pPr>
            <w:r w:rsidRPr="0009445C">
              <w:t>Fire-retardant and made of non-combustible* materials</w:t>
            </w:r>
          </w:p>
        </w:tc>
        <w:tc>
          <w:tcPr>
            <w:tcW w:w="2655" w:type="dxa"/>
            <w:shd w:val="clear" w:color="auto" w:fill="auto"/>
          </w:tcPr>
          <w:p w14:paraId="34D81122" w14:textId="77777777" w:rsidR="00E713B0" w:rsidRPr="0009445C" w:rsidRDefault="00E713B0" w:rsidP="00E713B0">
            <w:pPr>
              <w:pStyle w:val="BRL-Tabelle"/>
              <w:spacing w:before="60" w:after="40"/>
              <w:ind w:left="113" w:right="113"/>
            </w:pPr>
            <w:r w:rsidRPr="0009445C">
              <w:t>EI 30</w:t>
            </w:r>
          </w:p>
        </w:tc>
        <w:tc>
          <w:tcPr>
            <w:tcW w:w="2981" w:type="dxa"/>
            <w:shd w:val="clear" w:color="auto" w:fill="auto"/>
          </w:tcPr>
          <w:p w14:paraId="60160830" w14:textId="77777777" w:rsidR="00E713B0" w:rsidRPr="0009445C" w:rsidRDefault="00E713B0" w:rsidP="00E713B0">
            <w:pPr>
              <w:pStyle w:val="BRL-Tabelle"/>
              <w:spacing w:before="60" w:after="40"/>
              <w:ind w:left="113" w:right="113"/>
            </w:pPr>
            <w:r w:rsidRPr="0009445C">
              <w:t>A2 – s1,d0**</w:t>
            </w:r>
          </w:p>
        </w:tc>
      </w:tr>
      <w:tr w:rsidR="00E713B0" w:rsidRPr="0009445C" w14:paraId="7D147C07" w14:textId="77777777" w:rsidTr="00E713B0">
        <w:trPr>
          <w:cantSplit/>
        </w:trPr>
        <w:tc>
          <w:tcPr>
            <w:tcW w:w="504" w:type="dxa"/>
            <w:tcBorders>
              <w:bottom w:val="nil"/>
            </w:tcBorders>
            <w:shd w:val="clear" w:color="auto" w:fill="FFFFFF"/>
          </w:tcPr>
          <w:p w14:paraId="18583AEA" w14:textId="77777777" w:rsidR="00E713B0" w:rsidRPr="0009445C" w:rsidRDefault="00E713B0" w:rsidP="00E713B0">
            <w:pPr>
              <w:pStyle w:val="BRL-Tabelle"/>
              <w:spacing w:before="60" w:after="40"/>
              <w:ind w:left="113" w:right="113"/>
              <w:jc w:val="center"/>
              <w:rPr>
                <w:b/>
              </w:rPr>
            </w:pPr>
            <w:r w:rsidRPr="0009445C">
              <w:rPr>
                <w:b/>
              </w:rPr>
              <w:t>6</w:t>
            </w:r>
          </w:p>
        </w:tc>
        <w:tc>
          <w:tcPr>
            <w:tcW w:w="2932" w:type="dxa"/>
            <w:tcBorders>
              <w:bottom w:val="nil"/>
            </w:tcBorders>
            <w:shd w:val="clear" w:color="auto" w:fill="FFFFFF"/>
          </w:tcPr>
          <w:p w14:paraId="0BD8F150" w14:textId="77777777" w:rsidR="00E713B0" w:rsidRPr="0009445C" w:rsidRDefault="00E713B0" w:rsidP="00E713B0">
            <w:pPr>
              <w:pStyle w:val="BRL-Tabelle"/>
              <w:spacing w:before="60" w:after="40"/>
              <w:ind w:left="113" w:right="113"/>
            </w:pPr>
            <w:r w:rsidRPr="0009445C">
              <w:t xml:space="preserve">Highly fire-retardant (carrying parts flammable, insulating materials non-combustible* with fire-protective cladding of 60 min. made of non-combustible* building </w:t>
            </w:r>
            <w:r w:rsidRPr="00D54FAD">
              <w:t>materials)</w:t>
            </w:r>
            <w:r w:rsidRPr="00D54FAD">
              <w:rPr>
                <w:vertAlign w:val="superscript"/>
              </w:rPr>
              <w:t xml:space="preserve">2 </w:t>
            </w:r>
            <w:r w:rsidRPr="00D54FAD">
              <w:t>according</w:t>
            </w:r>
            <w:r w:rsidRPr="0009445C">
              <w:t xml:space="preserve"> to Section 4 of the Technical Rule according to ser. No A 2.2.1.4</w:t>
            </w:r>
            <w:r w:rsidRPr="0009445C">
              <w:rPr>
                <w:vertAlign w:val="superscript"/>
              </w:rPr>
              <w:t xml:space="preserve"> 3</w:t>
            </w:r>
          </w:p>
        </w:tc>
        <w:tc>
          <w:tcPr>
            <w:tcW w:w="2655" w:type="dxa"/>
            <w:shd w:val="clear" w:color="auto" w:fill="auto"/>
          </w:tcPr>
          <w:p w14:paraId="1CAE366C" w14:textId="78B0E6D9" w:rsidR="00E713B0" w:rsidRPr="0009445C" w:rsidRDefault="00E713B0" w:rsidP="00E713B0">
            <w:pPr>
              <w:pStyle w:val="BRL-Tabelle"/>
              <w:spacing w:before="60" w:after="40"/>
              <w:ind w:left="113" w:right="113"/>
            </w:pPr>
            <w:r w:rsidRPr="0009445C">
              <w:t xml:space="preserve">Egg 60- </w:t>
            </w:r>
            <w:r w:rsidRPr="0009445C">
              <w:br/>
              <w:t>fire-protective cladding:</w:t>
            </w:r>
            <w:r w:rsidRPr="0009445C">
              <w:br/>
              <w:t>both sides K</w:t>
            </w:r>
            <w:r w:rsidRPr="0009445C">
              <w:rPr>
                <w:vertAlign w:val="subscript"/>
              </w:rPr>
              <w:t xml:space="preserve"> 2</w:t>
            </w:r>
            <w:r w:rsidRPr="0009445C">
              <w:t xml:space="preserve"> 60</w:t>
            </w:r>
          </w:p>
        </w:tc>
        <w:tc>
          <w:tcPr>
            <w:tcW w:w="2981" w:type="dxa"/>
            <w:shd w:val="clear" w:color="auto" w:fill="auto"/>
          </w:tcPr>
          <w:p w14:paraId="626A9517" w14:textId="77777777" w:rsidR="00E713B0" w:rsidRPr="0009445C" w:rsidRDefault="00E713B0" w:rsidP="00E713B0">
            <w:pPr>
              <w:pStyle w:val="BRL-Tabelle"/>
              <w:spacing w:before="60" w:after="40"/>
              <w:ind w:left="113" w:right="113"/>
            </w:pPr>
            <w:r w:rsidRPr="0009445C">
              <w:t>Insulation materials and fire-protective cladding:</w:t>
            </w:r>
            <w:r w:rsidRPr="0009445C">
              <w:br/>
              <w:t>A2 – s1,d0**,</w:t>
            </w:r>
          </w:p>
          <w:p w14:paraId="2DE6749D" w14:textId="77777777" w:rsidR="00E713B0" w:rsidRPr="0009445C" w:rsidRDefault="00E713B0" w:rsidP="00E713B0">
            <w:pPr>
              <w:pStyle w:val="BRL-Tabelle"/>
              <w:spacing w:before="60" w:after="40"/>
              <w:ind w:left="113" w:right="113"/>
            </w:pPr>
            <w:r w:rsidRPr="0009445C">
              <w:t>Otherwise: E – d2</w:t>
            </w:r>
          </w:p>
        </w:tc>
      </w:tr>
      <w:tr w:rsidR="00E713B0" w:rsidRPr="0009445C" w14:paraId="0C0CA16C" w14:textId="77777777" w:rsidTr="00E713B0">
        <w:trPr>
          <w:cantSplit/>
        </w:trPr>
        <w:tc>
          <w:tcPr>
            <w:tcW w:w="504" w:type="dxa"/>
            <w:tcBorders>
              <w:bottom w:val="nil"/>
            </w:tcBorders>
            <w:shd w:val="clear" w:color="auto" w:fill="FFFFFF"/>
          </w:tcPr>
          <w:p w14:paraId="15E7264F" w14:textId="77777777" w:rsidR="00E713B0" w:rsidRPr="0009445C" w:rsidRDefault="00E713B0" w:rsidP="00E713B0">
            <w:pPr>
              <w:pStyle w:val="BRL-Tabelle"/>
              <w:spacing w:before="60" w:after="40"/>
              <w:ind w:left="113" w:right="113"/>
              <w:jc w:val="center"/>
              <w:rPr>
                <w:rFonts w:eastAsia="Calibri"/>
                <w:b/>
              </w:rPr>
            </w:pPr>
            <w:r w:rsidRPr="0009445C">
              <w:rPr>
                <w:b/>
              </w:rPr>
              <w:t>7</w:t>
            </w:r>
          </w:p>
        </w:tc>
        <w:tc>
          <w:tcPr>
            <w:tcW w:w="2932" w:type="dxa"/>
            <w:tcBorders>
              <w:bottom w:val="nil"/>
            </w:tcBorders>
            <w:shd w:val="clear" w:color="auto" w:fill="FFFFFF"/>
          </w:tcPr>
          <w:p w14:paraId="5FB571A6" w14:textId="77777777" w:rsidR="00E713B0" w:rsidRPr="0009445C" w:rsidRDefault="00E713B0" w:rsidP="00E713B0">
            <w:pPr>
              <w:pStyle w:val="BRL-Tabelle"/>
              <w:spacing w:before="60" w:after="40"/>
              <w:ind w:left="113" w:right="113"/>
            </w:pPr>
            <w:r w:rsidRPr="0009445C">
              <w:t>Highly fire-retardant and made of non-combustible materials</w:t>
            </w:r>
          </w:p>
        </w:tc>
        <w:tc>
          <w:tcPr>
            <w:tcW w:w="2655" w:type="dxa"/>
            <w:shd w:val="clear" w:color="auto" w:fill="auto"/>
          </w:tcPr>
          <w:p w14:paraId="4ED5DC0C" w14:textId="77777777" w:rsidR="00E713B0" w:rsidRPr="0009445C" w:rsidRDefault="00E713B0" w:rsidP="00E713B0">
            <w:pPr>
              <w:pStyle w:val="BRL-Tabelle"/>
              <w:spacing w:before="60" w:after="40"/>
              <w:ind w:left="113" w:right="113"/>
            </w:pPr>
            <w:r w:rsidRPr="0009445C">
              <w:t>EI 60</w:t>
            </w:r>
          </w:p>
        </w:tc>
        <w:tc>
          <w:tcPr>
            <w:tcW w:w="2981" w:type="dxa"/>
            <w:shd w:val="clear" w:color="auto" w:fill="auto"/>
          </w:tcPr>
          <w:p w14:paraId="7D67A407" w14:textId="77777777" w:rsidR="00E713B0" w:rsidRPr="0009445C" w:rsidRDefault="00E713B0" w:rsidP="00E713B0">
            <w:pPr>
              <w:pStyle w:val="BRL-Tabelle"/>
              <w:spacing w:before="60" w:after="40"/>
              <w:ind w:left="113" w:right="113"/>
            </w:pPr>
            <w:r w:rsidRPr="0009445C">
              <w:t>A2 – s1,d0**</w:t>
            </w:r>
          </w:p>
        </w:tc>
      </w:tr>
      <w:tr w:rsidR="00E713B0" w:rsidRPr="0009445C" w14:paraId="269FAC4A" w14:textId="77777777" w:rsidTr="00E713B0">
        <w:trPr>
          <w:cantSplit/>
        </w:trPr>
        <w:tc>
          <w:tcPr>
            <w:tcW w:w="504" w:type="dxa"/>
            <w:tcBorders>
              <w:bottom w:val="nil"/>
            </w:tcBorders>
            <w:shd w:val="clear" w:color="auto" w:fill="FFFFFF"/>
          </w:tcPr>
          <w:p w14:paraId="5B996FE5" w14:textId="77777777" w:rsidR="00E713B0" w:rsidRPr="0009445C" w:rsidRDefault="00E713B0" w:rsidP="00E713B0">
            <w:pPr>
              <w:pStyle w:val="BRL-Tabelle"/>
              <w:spacing w:before="60" w:after="40"/>
              <w:ind w:left="113" w:right="113"/>
              <w:jc w:val="center"/>
              <w:rPr>
                <w:b/>
              </w:rPr>
            </w:pPr>
            <w:r w:rsidRPr="0009445C">
              <w:rPr>
                <w:b/>
              </w:rPr>
              <w:t>8</w:t>
            </w:r>
          </w:p>
        </w:tc>
        <w:tc>
          <w:tcPr>
            <w:tcW w:w="2932" w:type="dxa"/>
            <w:tcBorders>
              <w:bottom w:val="nil"/>
            </w:tcBorders>
            <w:shd w:val="clear" w:color="auto" w:fill="FFFFFF"/>
          </w:tcPr>
          <w:p w14:paraId="28667EDB" w14:textId="77777777" w:rsidR="00E713B0" w:rsidRPr="0009445C" w:rsidRDefault="00E713B0" w:rsidP="00E713B0">
            <w:pPr>
              <w:pStyle w:val="BRL-Tabelle"/>
              <w:spacing w:before="60" w:after="40"/>
              <w:ind w:left="113" w:right="113"/>
            </w:pPr>
            <w:r w:rsidRPr="0009445C">
              <w:t>Highly fire-retardant and made of non-combustible* materials in the main parts (non-combustible load-bearing and reinforced parts)</w:t>
            </w:r>
            <w:r w:rsidRPr="0009445C">
              <w:rPr>
                <w:vertAlign w:val="superscript"/>
              </w:rPr>
              <w:t>2,4</w:t>
            </w:r>
          </w:p>
        </w:tc>
        <w:tc>
          <w:tcPr>
            <w:tcW w:w="2655" w:type="dxa"/>
            <w:shd w:val="clear" w:color="auto" w:fill="auto"/>
          </w:tcPr>
          <w:p w14:paraId="7F1D6927" w14:textId="77777777" w:rsidR="00E713B0" w:rsidRPr="0009445C" w:rsidRDefault="00E713B0" w:rsidP="00E713B0">
            <w:pPr>
              <w:pStyle w:val="BRL-Tabelle"/>
              <w:spacing w:before="60" w:after="40"/>
              <w:ind w:left="113" w:right="113"/>
            </w:pPr>
            <w:r w:rsidRPr="0009445C">
              <w:t>EI 60</w:t>
            </w:r>
          </w:p>
        </w:tc>
        <w:tc>
          <w:tcPr>
            <w:tcW w:w="2981" w:type="dxa"/>
            <w:shd w:val="clear" w:color="auto" w:fill="auto"/>
          </w:tcPr>
          <w:p w14:paraId="2657F5F4" w14:textId="77777777" w:rsidR="00E713B0" w:rsidRPr="0009445C" w:rsidRDefault="00E713B0" w:rsidP="00E713B0">
            <w:pPr>
              <w:pStyle w:val="BRL-Tabelle"/>
              <w:spacing w:before="60" w:after="40"/>
              <w:ind w:left="113" w:right="113"/>
            </w:pPr>
            <w:r w:rsidRPr="0009445C">
              <w:t xml:space="preserve">Essential parts: </w:t>
            </w:r>
            <w:r w:rsidRPr="0009445C">
              <w:br/>
              <w:t>A2 – s1,d0**,</w:t>
            </w:r>
          </w:p>
          <w:p w14:paraId="178363FD" w14:textId="77777777" w:rsidR="00E713B0" w:rsidRPr="0009445C" w:rsidRDefault="00E713B0" w:rsidP="00E713B0">
            <w:pPr>
              <w:pStyle w:val="BRL-Tabelle"/>
              <w:spacing w:before="60" w:after="40"/>
              <w:ind w:left="113" w:right="113"/>
            </w:pPr>
            <w:r w:rsidRPr="0009445C">
              <w:t>Otherwise: E – d2</w:t>
            </w:r>
          </w:p>
        </w:tc>
      </w:tr>
      <w:tr w:rsidR="00E713B0" w:rsidRPr="0009445C" w14:paraId="7443672F" w14:textId="77777777" w:rsidTr="00E713B0">
        <w:trPr>
          <w:cantSplit/>
        </w:trPr>
        <w:tc>
          <w:tcPr>
            <w:tcW w:w="504" w:type="dxa"/>
            <w:tcBorders>
              <w:bottom w:val="nil"/>
            </w:tcBorders>
            <w:shd w:val="clear" w:color="auto" w:fill="FFFFFF"/>
          </w:tcPr>
          <w:p w14:paraId="56A16261" w14:textId="77777777" w:rsidR="00E713B0" w:rsidRPr="0009445C" w:rsidRDefault="00E713B0" w:rsidP="00E713B0">
            <w:pPr>
              <w:pStyle w:val="BRL-Tabelle"/>
              <w:spacing w:before="60" w:after="40"/>
              <w:ind w:left="113" w:right="113"/>
              <w:jc w:val="center"/>
              <w:rPr>
                <w:b/>
              </w:rPr>
            </w:pPr>
            <w:r w:rsidRPr="0009445C">
              <w:rPr>
                <w:b/>
              </w:rPr>
              <w:t>9</w:t>
            </w:r>
          </w:p>
        </w:tc>
        <w:tc>
          <w:tcPr>
            <w:tcW w:w="2932" w:type="dxa"/>
            <w:tcBorders>
              <w:bottom w:val="nil"/>
            </w:tcBorders>
            <w:shd w:val="clear" w:color="auto" w:fill="FFFFFF"/>
          </w:tcPr>
          <w:p w14:paraId="084818BB" w14:textId="77777777" w:rsidR="00E713B0" w:rsidRPr="0009445C" w:rsidRDefault="00E713B0" w:rsidP="00E713B0">
            <w:pPr>
              <w:pStyle w:val="BRL-Tabelle"/>
              <w:spacing w:before="60" w:after="40"/>
              <w:ind w:left="113" w:right="113"/>
            </w:pPr>
            <w:r w:rsidRPr="0009445C">
              <w:t>Hire-resistant (non-combustible load-bearing and reinforced parts)</w:t>
            </w:r>
            <w:r w:rsidRPr="0009445C">
              <w:rPr>
                <w:vertAlign w:val="superscript"/>
              </w:rPr>
              <w:t>2,4</w:t>
            </w:r>
          </w:p>
        </w:tc>
        <w:tc>
          <w:tcPr>
            <w:tcW w:w="2655" w:type="dxa"/>
            <w:shd w:val="clear" w:color="auto" w:fill="auto"/>
          </w:tcPr>
          <w:p w14:paraId="50E96A37" w14:textId="77777777" w:rsidR="00E713B0" w:rsidRPr="0009445C" w:rsidRDefault="00E713B0" w:rsidP="00E713B0">
            <w:pPr>
              <w:pStyle w:val="BRL-Tabelle"/>
              <w:spacing w:before="60" w:after="40"/>
              <w:ind w:left="113" w:right="113"/>
            </w:pPr>
            <w:r w:rsidRPr="0009445C">
              <w:t>EI 90</w:t>
            </w:r>
          </w:p>
        </w:tc>
        <w:tc>
          <w:tcPr>
            <w:tcW w:w="2981" w:type="dxa"/>
            <w:shd w:val="clear" w:color="auto" w:fill="auto"/>
          </w:tcPr>
          <w:p w14:paraId="259CA73C" w14:textId="77777777" w:rsidR="00E713B0" w:rsidRPr="0009445C" w:rsidRDefault="00E713B0" w:rsidP="00E713B0">
            <w:pPr>
              <w:pStyle w:val="BRL-Tabelle"/>
              <w:spacing w:before="60" w:after="40"/>
              <w:ind w:left="113" w:right="113"/>
            </w:pPr>
            <w:r w:rsidRPr="0009445C">
              <w:t>A2 – s1,d0**,</w:t>
            </w:r>
          </w:p>
          <w:p w14:paraId="05C867D1" w14:textId="77777777" w:rsidR="00E713B0" w:rsidRPr="0009445C" w:rsidRDefault="00E713B0" w:rsidP="00E713B0">
            <w:pPr>
              <w:pStyle w:val="BRL-Tabelle"/>
              <w:spacing w:before="60" w:after="40"/>
              <w:ind w:left="113" w:right="113"/>
            </w:pPr>
            <w:r w:rsidRPr="0009445C">
              <w:t>Otherwise E – d2</w:t>
            </w:r>
          </w:p>
        </w:tc>
      </w:tr>
      <w:tr w:rsidR="00E713B0" w:rsidRPr="0009445C" w14:paraId="4D82D312" w14:textId="77777777" w:rsidTr="00E713B0">
        <w:trPr>
          <w:cantSplit/>
        </w:trPr>
        <w:tc>
          <w:tcPr>
            <w:tcW w:w="504" w:type="dxa"/>
            <w:tcBorders>
              <w:bottom w:val="nil"/>
            </w:tcBorders>
            <w:shd w:val="clear" w:color="auto" w:fill="FFFFFF"/>
          </w:tcPr>
          <w:p w14:paraId="58DA60FF" w14:textId="77777777" w:rsidR="00E713B0" w:rsidRPr="0009445C" w:rsidRDefault="00E713B0" w:rsidP="00E713B0">
            <w:pPr>
              <w:pStyle w:val="BRL-Tabelle"/>
              <w:spacing w:before="60" w:after="40"/>
              <w:ind w:left="113" w:right="113"/>
              <w:jc w:val="center"/>
              <w:rPr>
                <w:b/>
              </w:rPr>
            </w:pPr>
            <w:r w:rsidRPr="0009445C">
              <w:rPr>
                <w:b/>
              </w:rPr>
              <w:t>10</w:t>
            </w:r>
          </w:p>
        </w:tc>
        <w:tc>
          <w:tcPr>
            <w:tcW w:w="2932" w:type="dxa"/>
            <w:tcBorders>
              <w:bottom w:val="nil"/>
            </w:tcBorders>
            <w:shd w:val="clear" w:color="auto" w:fill="FFFFFF"/>
          </w:tcPr>
          <w:p w14:paraId="4CC7F845" w14:textId="77777777" w:rsidR="00E713B0" w:rsidRPr="0009445C" w:rsidRDefault="00E713B0" w:rsidP="00E713B0">
            <w:pPr>
              <w:pStyle w:val="BRL-Tabelle"/>
              <w:spacing w:before="60" w:after="40"/>
              <w:ind w:left="113" w:right="113"/>
            </w:pPr>
            <w:r w:rsidRPr="0009445C">
              <w:t>Fire-resistant and made of non-combustible* building materials</w:t>
            </w:r>
          </w:p>
        </w:tc>
        <w:tc>
          <w:tcPr>
            <w:tcW w:w="2655" w:type="dxa"/>
            <w:shd w:val="clear" w:color="auto" w:fill="auto"/>
          </w:tcPr>
          <w:p w14:paraId="2E8C3C8B" w14:textId="77777777" w:rsidR="00E713B0" w:rsidRPr="0009445C" w:rsidRDefault="00E713B0" w:rsidP="00E713B0">
            <w:pPr>
              <w:pStyle w:val="BRL-Tabelle"/>
              <w:spacing w:before="60" w:after="40"/>
              <w:ind w:left="113" w:right="113"/>
            </w:pPr>
            <w:r w:rsidRPr="0009445C">
              <w:t>EI 90</w:t>
            </w:r>
          </w:p>
        </w:tc>
        <w:tc>
          <w:tcPr>
            <w:tcW w:w="2981" w:type="dxa"/>
            <w:shd w:val="clear" w:color="auto" w:fill="auto"/>
          </w:tcPr>
          <w:p w14:paraId="54FB734A" w14:textId="77777777" w:rsidR="00E713B0" w:rsidRPr="0009445C" w:rsidRDefault="00E713B0" w:rsidP="00E713B0">
            <w:pPr>
              <w:pStyle w:val="BRL-Tabelle"/>
              <w:spacing w:before="60" w:after="40"/>
              <w:ind w:left="113" w:right="113"/>
            </w:pPr>
            <w:r w:rsidRPr="0009445C">
              <w:t xml:space="preserve">A2 – s1,d0** </w:t>
            </w:r>
          </w:p>
        </w:tc>
      </w:tr>
      <w:tr w:rsidR="00E713B0" w:rsidRPr="0009445C" w14:paraId="30D74C20" w14:textId="77777777" w:rsidTr="00E713B0">
        <w:trPr>
          <w:cantSplit/>
        </w:trPr>
        <w:tc>
          <w:tcPr>
            <w:tcW w:w="504" w:type="dxa"/>
            <w:tcBorders>
              <w:bottom w:val="single" w:sz="2" w:space="0" w:color="595959"/>
            </w:tcBorders>
            <w:shd w:val="clear" w:color="auto" w:fill="FFFFFF"/>
          </w:tcPr>
          <w:p w14:paraId="2EE836AD" w14:textId="77777777" w:rsidR="00E713B0" w:rsidRPr="0009445C" w:rsidRDefault="00E713B0" w:rsidP="00E713B0">
            <w:pPr>
              <w:pStyle w:val="BRL-Tabelle"/>
              <w:spacing w:before="60" w:after="40"/>
              <w:ind w:left="113" w:right="113"/>
              <w:jc w:val="center"/>
              <w:rPr>
                <w:b/>
              </w:rPr>
            </w:pPr>
            <w:r w:rsidRPr="0009445C">
              <w:rPr>
                <w:b/>
              </w:rPr>
              <w:t>11</w:t>
            </w:r>
          </w:p>
        </w:tc>
        <w:tc>
          <w:tcPr>
            <w:tcW w:w="2932" w:type="dxa"/>
            <w:tcBorders>
              <w:bottom w:val="single" w:sz="2" w:space="0" w:color="595959"/>
            </w:tcBorders>
            <w:shd w:val="clear" w:color="auto" w:fill="FFFFFF"/>
          </w:tcPr>
          <w:p w14:paraId="1D865C39" w14:textId="77777777" w:rsidR="00E713B0" w:rsidRPr="0009445C" w:rsidRDefault="00E713B0" w:rsidP="00E713B0">
            <w:pPr>
              <w:pStyle w:val="BRL-Tabelle"/>
              <w:spacing w:before="60" w:after="40"/>
              <w:ind w:left="113" w:right="113"/>
            </w:pPr>
            <w:r w:rsidRPr="0009445C">
              <w:t>Fire resistance of 120 minutes and made of non-combustible* building materials</w:t>
            </w:r>
          </w:p>
        </w:tc>
        <w:tc>
          <w:tcPr>
            <w:tcW w:w="2655" w:type="dxa"/>
            <w:shd w:val="clear" w:color="auto" w:fill="auto"/>
          </w:tcPr>
          <w:p w14:paraId="468CB439" w14:textId="77777777" w:rsidR="00E713B0" w:rsidRPr="0009445C" w:rsidRDefault="00E713B0" w:rsidP="00E713B0">
            <w:pPr>
              <w:pStyle w:val="BRL-Tabelle"/>
              <w:spacing w:before="60" w:after="40"/>
              <w:ind w:left="113" w:right="113"/>
            </w:pPr>
            <w:r w:rsidRPr="0009445C">
              <w:t>EI 120</w:t>
            </w:r>
          </w:p>
        </w:tc>
        <w:tc>
          <w:tcPr>
            <w:tcW w:w="2981" w:type="dxa"/>
            <w:shd w:val="clear" w:color="auto" w:fill="auto"/>
          </w:tcPr>
          <w:p w14:paraId="1EEACD6B" w14:textId="77777777" w:rsidR="00E713B0" w:rsidRPr="0009445C" w:rsidRDefault="00E713B0" w:rsidP="00E713B0">
            <w:pPr>
              <w:pStyle w:val="BRL-Tabelle"/>
              <w:spacing w:before="60" w:after="40"/>
              <w:ind w:left="113" w:right="113"/>
            </w:pPr>
            <w:r w:rsidRPr="0009445C">
              <w:t>A2 – s1,d0**</w:t>
            </w:r>
          </w:p>
        </w:tc>
      </w:tr>
      <w:tr w:rsidR="00E713B0" w:rsidRPr="0009445C" w14:paraId="18139CC4" w14:textId="77777777" w:rsidTr="00E713B0">
        <w:trPr>
          <w:cantSplit/>
        </w:trPr>
        <w:tc>
          <w:tcPr>
            <w:tcW w:w="504" w:type="dxa"/>
            <w:tcBorders>
              <w:top w:val="single" w:sz="2" w:space="0" w:color="595959"/>
              <w:bottom w:val="single" w:sz="4" w:space="0" w:color="auto"/>
            </w:tcBorders>
            <w:shd w:val="clear" w:color="auto" w:fill="FFFFFF"/>
          </w:tcPr>
          <w:p w14:paraId="4E9041B0" w14:textId="77777777" w:rsidR="00E713B0" w:rsidRPr="0009445C" w:rsidRDefault="00E713B0" w:rsidP="00E713B0">
            <w:pPr>
              <w:pStyle w:val="BRL-Tabelle"/>
              <w:spacing w:before="60" w:after="40"/>
              <w:ind w:left="113" w:right="113"/>
              <w:jc w:val="center"/>
              <w:rPr>
                <w:b/>
              </w:rPr>
            </w:pPr>
            <w:r w:rsidRPr="0009445C">
              <w:rPr>
                <w:b/>
              </w:rPr>
              <w:t>12</w:t>
            </w:r>
          </w:p>
        </w:tc>
        <w:tc>
          <w:tcPr>
            <w:tcW w:w="2932" w:type="dxa"/>
            <w:tcBorders>
              <w:top w:val="single" w:sz="2" w:space="0" w:color="595959"/>
              <w:bottom w:val="single" w:sz="4" w:space="0" w:color="auto"/>
            </w:tcBorders>
            <w:shd w:val="clear" w:color="auto" w:fill="FFFFFF"/>
          </w:tcPr>
          <w:p w14:paraId="0F34E385" w14:textId="77777777" w:rsidR="00E713B0" w:rsidRPr="0009445C" w:rsidRDefault="00E713B0" w:rsidP="00E713B0">
            <w:pPr>
              <w:pStyle w:val="BRL-Tabelle"/>
              <w:spacing w:before="60" w:after="40"/>
              <w:ind w:left="113" w:right="113"/>
            </w:pPr>
            <w:r w:rsidRPr="0009445C">
              <w:t>Structural elements according to A 2.1.3.1, letter (d) with a fire resistance of 60 min or 90 min and of flammable building materials according to Section 5 of the Technical Rule of ser. No A 2.2.1.4</w:t>
            </w:r>
            <w:r w:rsidRPr="0009445C">
              <w:rPr>
                <w:vertAlign w:val="superscript"/>
              </w:rPr>
              <w:t xml:space="preserve"> 3</w:t>
            </w:r>
            <w:r w:rsidRPr="0009445C">
              <w:t>, with fire-protective cladding of 30 min. made of non-combustible* building materials, in accordance with Section 5.2 of the Technical Rule in accordance with ser. No A 2.2.1.4</w:t>
            </w:r>
            <w:r w:rsidRPr="0009445C">
              <w:rPr>
                <w:vertAlign w:val="superscript"/>
              </w:rPr>
              <w:t xml:space="preserve"> 3</w:t>
            </w:r>
          </w:p>
        </w:tc>
        <w:tc>
          <w:tcPr>
            <w:tcW w:w="2655" w:type="dxa"/>
            <w:shd w:val="clear" w:color="auto" w:fill="auto"/>
          </w:tcPr>
          <w:p w14:paraId="7B090BFA" w14:textId="77777777" w:rsidR="00E713B0" w:rsidRPr="0009445C" w:rsidRDefault="00E713B0" w:rsidP="00E713B0">
            <w:pPr>
              <w:pStyle w:val="BRL-Tabelle"/>
              <w:spacing w:before="60"/>
              <w:ind w:left="113" w:right="113"/>
              <w:rPr>
                <w:rFonts w:eastAsia="Calibri"/>
              </w:rPr>
            </w:pPr>
            <w:r w:rsidRPr="0009445C">
              <w:t>EI 60 or EI 90</w:t>
            </w:r>
          </w:p>
          <w:p w14:paraId="251D6B89" w14:textId="7B65DB9B" w:rsidR="00E713B0" w:rsidRPr="0009445C" w:rsidRDefault="00E713B0" w:rsidP="00E713B0">
            <w:pPr>
              <w:pStyle w:val="BRL-Tabelle"/>
              <w:spacing w:before="60" w:after="40"/>
              <w:ind w:left="113" w:right="113"/>
            </w:pPr>
            <w:r w:rsidRPr="0009445C">
              <w:t>Fire-protective cladding:</w:t>
            </w:r>
            <w:r w:rsidRPr="0009445C">
              <w:br/>
              <w:t>both sides K</w:t>
            </w:r>
            <w:r w:rsidRPr="0009445C">
              <w:rPr>
                <w:vertAlign w:val="subscript"/>
              </w:rPr>
              <w:t>2</w:t>
            </w:r>
            <w:r w:rsidRPr="0009445C">
              <w:t xml:space="preserve"> 30</w:t>
            </w:r>
          </w:p>
        </w:tc>
        <w:tc>
          <w:tcPr>
            <w:tcW w:w="2981" w:type="dxa"/>
            <w:shd w:val="clear" w:color="auto" w:fill="auto"/>
          </w:tcPr>
          <w:p w14:paraId="74B32807" w14:textId="77777777" w:rsidR="00E713B0" w:rsidRPr="0009445C" w:rsidRDefault="00E713B0" w:rsidP="00E713B0">
            <w:pPr>
              <w:pStyle w:val="BRL-Tabelle"/>
              <w:spacing w:before="60" w:after="40"/>
              <w:ind w:left="113" w:right="113"/>
            </w:pPr>
            <w:r w:rsidRPr="0009445C">
              <w:t>Fire-protective cladding, non-combustible cladding:</w:t>
            </w:r>
            <w:r w:rsidRPr="0009445C">
              <w:br/>
              <w:t>A2 – s1,d0**;</w:t>
            </w:r>
            <w:r w:rsidRPr="0009445C">
              <w:br/>
              <w:t>Otherwise: E – d2</w:t>
            </w:r>
          </w:p>
        </w:tc>
      </w:tr>
      <w:tr w:rsidR="00E713B0" w:rsidRPr="0009445C" w14:paraId="718D736D" w14:textId="77777777" w:rsidTr="00E713B0">
        <w:trPr>
          <w:cantSplit/>
        </w:trPr>
        <w:tc>
          <w:tcPr>
            <w:tcW w:w="504" w:type="dxa"/>
            <w:tcBorders>
              <w:top w:val="single" w:sz="4" w:space="0" w:color="auto"/>
              <w:bottom w:val="nil"/>
            </w:tcBorders>
            <w:shd w:val="clear" w:color="auto" w:fill="FFFFFF"/>
          </w:tcPr>
          <w:p w14:paraId="4371C75F" w14:textId="77777777" w:rsidR="00E713B0" w:rsidRPr="0009445C" w:rsidRDefault="00E713B0" w:rsidP="00E713B0">
            <w:pPr>
              <w:pStyle w:val="BRL-Tabelle"/>
              <w:spacing w:before="60" w:after="40"/>
              <w:ind w:left="113" w:right="113"/>
              <w:jc w:val="center"/>
              <w:rPr>
                <w:b/>
              </w:rPr>
            </w:pPr>
            <w:r w:rsidRPr="0009445C">
              <w:rPr>
                <w:b/>
              </w:rPr>
              <w:lastRenderedPageBreak/>
              <w:t>13</w:t>
            </w:r>
          </w:p>
        </w:tc>
        <w:tc>
          <w:tcPr>
            <w:tcW w:w="2932" w:type="dxa"/>
            <w:tcBorders>
              <w:top w:val="single" w:sz="4" w:space="0" w:color="auto"/>
              <w:bottom w:val="nil"/>
            </w:tcBorders>
            <w:shd w:val="clear" w:color="auto" w:fill="FFFFFF"/>
          </w:tcPr>
          <w:p w14:paraId="7EFA5BE1" w14:textId="77777777" w:rsidR="00E713B0" w:rsidRPr="0009445C" w:rsidRDefault="00E713B0" w:rsidP="00E713B0">
            <w:pPr>
              <w:pStyle w:val="BRL-Tabelle"/>
              <w:spacing w:before="60" w:after="40"/>
              <w:ind w:left="113" w:right="113"/>
            </w:pPr>
            <w:r w:rsidRPr="0009445C">
              <w:t>Structural elements according to A 2.1.3.1 letter (d) with a fire resistance of 30 min. or 90 min. and made of combustible building materials in accordance with Section 5 of the Technical Rule under ser. No A 2.2.1.4</w:t>
            </w:r>
            <w:r w:rsidRPr="0009445C">
              <w:rPr>
                <w:vertAlign w:val="superscript"/>
              </w:rPr>
              <w:t>3</w:t>
            </w:r>
            <w:r w:rsidRPr="0009445C">
              <w:t>, and with one-sided cladding made of non-combustible* building materials according to § 36 Para. 6 MBO in conjunction with A 2.1.12 (corridor wall, open corridor)</w:t>
            </w:r>
          </w:p>
        </w:tc>
        <w:tc>
          <w:tcPr>
            <w:tcW w:w="2655" w:type="dxa"/>
            <w:shd w:val="clear" w:color="auto" w:fill="auto"/>
          </w:tcPr>
          <w:p w14:paraId="65A3B4CE" w14:textId="77777777" w:rsidR="00E713B0" w:rsidRPr="0009445C" w:rsidRDefault="00E713B0" w:rsidP="00E713B0">
            <w:pPr>
              <w:pStyle w:val="BRL-Tabelle"/>
              <w:spacing w:before="60" w:after="40"/>
              <w:ind w:left="113" w:right="113"/>
            </w:pPr>
            <w:r w:rsidRPr="0009445C">
              <w:t>EI 30 or EI 90</w:t>
            </w:r>
          </w:p>
        </w:tc>
        <w:tc>
          <w:tcPr>
            <w:tcW w:w="2981" w:type="dxa"/>
            <w:shd w:val="clear" w:color="auto" w:fill="auto"/>
          </w:tcPr>
          <w:p w14:paraId="545C3C98" w14:textId="77777777" w:rsidR="00E713B0" w:rsidRPr="0009445C" w:rsidRDefault="00E713B0" w:rsidP="00E713B0">
            <w:pPr>
              <w:pStyle w:val="BRL-Tabelle"/>
              <w:spacing w:before="60" w:after="40"/>
              <w:ind w:left="113" w:right="113"/>
            </w:pPr>
            <w:r w:rsidRPr="0009445C">
              <w:t>Non-combustible* cladding:</w:t>
            </w:r>
            <w:r w:rsidRPr="0009445C">
              <w:br/>
              <w:t>A2 – s1,d0**;</w:t>
            </w:r>
            <w:r w:rsidRPr="0009445C">
              <w:br/>
              <w:t>Otherwise: E – d2</w:t>
            </w:r>
          </w:p>
        </w:tc>
      </w:tr>
      <w:tr w:rsidR="00E713B0" w:rsidRPr="0009445C" w14:paraId="55D37724" w14:textId="77777777" w:rsidTr="00E713B0">
        <w:trPr>
          <w:cantSplit/>
        </w:trPr>
        <w:tc>
          <w:tcPr>
            <w:tcW w:w="504" w:type="dxa"/>
            <w:tcBorders>
              <w:bottom w:val="nil"/>
            </w:tcBorders>
            <w:shd w:val="clear" w:color="auto" w:fill="FFFFFF"/>
          </w:tcPr>
          <w:p w14:paraId="5A91FF21" w14:textId="77777777" w:rsidR="00E713B0" w:rsidRPr="0009445C" w:rsidRDefault="00E713B0" w:rsidP="00E713B0">
            <w:pPr>
              <w:pStyle w:val="BRL-Tabelle"/>
              <w:spacing w:before="60" w:after="40"/>
              <w:ind w:left="113" w:right="113"/>
              <w:jc w:val="center"/>
              <w:rPr>
                <w:b/>
              </w:rPr>
            </w:pPr>
            <w:r w:rsidRPr="0009445C">
              <w:rPr>
                <w:b/>
              </w:rPr>
              <w:t>14</w:t>
            </w:r>
          </w:p>
        </w:tc>
        <w:tc>
          <w:tcPr>
            <w:tcW w:w="2932" w:type="dxa"/>
            <w:tcBorders>
              <w:bottom w:val="nil"/>
            </w:tcBorders>
            <w:shd w:val="clear" w:color="auto" w:fill="FFFFFF"/>
          </w:tcPr>
          <w:p w14:paraId="2DF5696F" w14:textId="77777777" w:rsidR="00E713B0" w:rsidRPr="0009445C" w:rsidRDefault="00E713B0" w:rsidP="00E713B0">
            <w:pPr>
              <w:pStyle w:val="BRL-Tabelle"/>
              <w:spacing w:before="60" w:after="40"/>
              <w:ind w:left="113" w:right="113"/>
            </w:pPr>
            <w:r w:rsidRPr="0009445C">
              <w:t>Structural elements according to A 2.1.3.1 letter (d) with a fire resistance of 30 min. or 90 min. and made of combustible building materials in accordance with Section 5 of the Technical Rule under ser. No A 2.2.1.4</w:t>
            </w:r>
            <w:r w:rsidRPr="0009445C">
              <w:rPr>
                <w:vertAlign w:val="superscript"/>
              </w:rPr>
              <w:t>3</w:t>
            </w:r>
            <w:r w:rsidRPr="0009445C">
              <w:t>, and fire-protective cladding made of non-combustible* building materials in accordance with Section 5.2 of the Technical Rule under ser. No A 2.2.1.4</w:t>
            </w:r>
            <w:r w:rsidRPr="0009445C">
              <w:rPr>
                <w:vertAlign w:val="superscript"/>
              </w:rPr>
              <w:t>3</w:t>
            </w:r>
            <w:r w:rsidRPr="0009445C">
              <w:t>, and with one-sided cladding made of non-combustible* building materials according to § 36(6) MBO in conjunction with A 2.1.12 (corridor wall, open corridor)</w:t>
            </w:r>
          </w:p>
        </w:tc>
        <w:tc>
          <w:tcPr>
            <w:tcW w:w="2655" w:type="dxa"/>
            <w:shd w:val="clear" w:color="auto" w:fill="auto"/>
          </w:tcPr>
          <w:p w14:paraId="3ADA9600" w14:textId="659E1201" w:rsidR="00E713B0" w:rsidRPr="0009445C" w:rsidRDefault="00E713B0" w:rsidP="00E713B0">
            <w:pPr>
              <w:pStyle w:val="BRL-Tabelle"/>
              <w:spacing w:before="60" w:after="40"/>
              <w:ind w:left="113" w:right="113"/>
            </w:pPr>
            <w:r w:rsidRPr="0009445C">
              <w:t>Egg 30 or EI 90 fire-protective cladding:</w:t>
            </w:r>
            <w:r w:rsidRPr="0009445C">
              <w:br/>
              <w:t>single-sided K</w:t>
            </w:r>
            <w:r w:rsidRPr="0009445C">
              <w:rPr>
                <w:vertAlign w:val="subscript"/>
              </w:rPr>
              <w:t>2</w:t>
            </w:r>
            <w:r w:rsidRPr="0009445C">
              <w:t xml:space="preserve"> 30</w:t>
            </w:r>
          </w:p>
        </w:tc>
        <w:tc>
          <w:tcPr>
            <w:tcW w:w="2981" w:type="dxa"/>
            <w:shd w:val="clear" w:color="auto" w:fill="auto"/>
          </w:tcPr>
          <w:p w14:paraId="6EB94D32" w14:textId="77777777" w:rsidR="00E713B0" w:rsidRPr="0009445C" w:rsidRDefault="00E713B0" w:rsidP="00E713B0">
            <w:pPr>
              <w:pStyle w:val="BRL-Tabelle"/>
              <w:spacing w:before="60" w:after="40"/>
              <w:ind w:left="113" w:right="113"/>
            </w:pPr>
            <w:r w:rsidRPr="0009445C">
              <w:t>Fire-protective cladding, non-combustible* cladding:</w:t>
            </w:r>
            <w:r w:rsidRPr="0009445C">
              <w:br/>
              <w:t>A2 – s1,d0**;</w:t>
            </w:r>
            <w:r w:rsidRPr="0009445C">
              <w:br/>
              <w:t>Otherwise: E – d2</w:t>
            </w:r>
          </w:p>
        </w:tc>
      </w:tr>
      <w:tr w:rsidR="00E713B0" w:rsidRPr="0009445C" w14:paraId="77449CB7" w14:textId="77777777" w:rsidTr="00E713B0">
        <w:trPr>
          <w:cantSplit/>
        </w:trPr>
        <w:tc>
          <w:tcPr>
            <w:tcW w:w="504" w:type="dxa"/>
            <w:shd w:val="clear" w:color="auto" w:fill="FFFFFF"/>
          </w:tcPr>
          <w:p w14:paraId="2C8E8336" w14:textId="77777777" w:rsidR="00E713B0" w:rsidRPr="0009445C" w:rsidRDefault="00E713B0" w:rsidP="00E713B0">
            <w:pPr>
              <w:pStyle w:val="BRL-Funote"/>
              <w:spacing w:before="120"/>
              <w:ind w:left="426" w:hanging="284"/>
              <w:jc w:val="center"/>
              <w:rPr>
                <w:rFonts w:eastAsia="Calibri"/>
                <w:b/>
              </w:rPr>
            </w:pPr>
          </w:p>
        </w:tc>
        <w:tc>
          <w:tcPr>
            <w:tcW w:w="8568" w:type="dxa"/>
            <w:gridSpan w:val="3"/>
            <w:shd w:val="clear" w:color="auto" w:fill="FFFFFF"/>
          </w:tcPr>
          <w:p w14:paraId="724C6E01" w14:textId="77777777" w:rsidR="00E713B0" w:rsidRPr="0009445C" w:rsidRDefault="00E713B0" w:rsidP="00E713B0">
            <w:pPr>
              <w:pStyle w:val="BRL-Funote"/>
              <w:spacing w:before="120"/>
              <w:ind w:left="426" w:hanging="284"/>
              <w:jc w:val="left"/>
            </w:pPr>
            <w:r w:rsidRPr="0009445C">
              <w:t>1</w:t>
            </w:r>
            <w:r w:rsidRPr="0009445C">
              <w:tab/>
              <w:t xml:space="preserve"> pursuant to § 35(5); § 36 Para. 6 and § 39(2) MBO in conjunction with A 2.1.12 and A 2.1.13</w:t>
            </w:r>
          </w:p>
          <w:p w14:paraId="79250FD3" w14:textId="77777777" w:rsidR="00E713B0" w:rsidRPr="0009445C" w:rsidRDefault="00E713B0" w:rsidP="00E713B0">
            <w:pPr>
              <w:pStyle w:val="BRL-Funote"/>
              <w:ind w:left="426" w:hanging="284"/>
              <w:jc w:val="left"/>
            </w:pPr>
            <w:r w:rsidRPr="0009445C">
              <w:t>2</w:t>
            </w:r>
            <w:r w:rsidRPr="0009445C">
              <w:tab/>
              <w:t>Parts within the component to ensure stability (intrinsic weight) and suitability.</w:t>
            </w:r>
          </w:p>
          <w:p w14:paraId="1DDD0E69" w14:textId="359514FC" w:rsidR="00E713B0" w:rsidRPr="0009445C" w:rsidRDefault="00E713B0" w:rsidP="00E713B0">
            <w:pPr>
              <w:pStyle w:val="BRL-Funote"/>
              <w:ind w:left="426" w:hanging="284"/>
              <w:jc w:val="left"/>
              <w:rPr>
                <w:rFonts w:eastAsia="Calibri"/>
              </w:rPr>
            </w:pPr>
            <w:r w:rsidRPr="0009445C">
              <w:t>3</w:t>
            </w:r>
            <w:r w:rsidRPr="0009445C">
              <w:tab/>
              <w:t>For structural elements referred to in A 2.1.3.1 letter (d) in standard buildings of building classes 4 and 5, the Technical Rule set out in ser. No A 2.2.1.4 shall apply to the design and use</w:t>
            </w:r>
          </w:p>
          <w:p w14:paraId="447E9641" w14:textId="572BBFAD" w:rsidR="00E713B0" w:rsidRPr="0009445C" w:rsidRDefault="00E713B0" w:rsidP="00E713B0">
            <w:pPr>
              <w:pStyle w:val="BRL-Funote"/>
              <w:ind w:left="426" w:hanging="284"/>
              <w:jc w:val="left"/>
              <w:rPr>
                <w:rFonts w:eastAsia="Calibri"/>
              </w:rPr>
            </w:pPr>
            <w:r w:rsidRPr="0009445C">
              <w:t>4</w:t>
            </w:r>
            <w:r w:rsidRPr="0009445C">
              <w:rPr>
                <w:b/>
              </w:rPr>
              <w:tab/>
            </w:r>
            <w:r w:rsidRPr="0009445C">
              <w:t>A non-combustible layer continuous in the component plane: A2 — s1,d0** as defined in Table 1.2.</w:t>
            </w:r>
          </w:p>
          <w:p w14:paraId="475719B9" w14:textId="77777777" w:rsidR="00E713B0" w:rsidRPr="0009445C" w:rsidRDefault="00E713B0" w:rsidP="00E713B0">
            <w:pPr>
              <w:pStyle w:val="BRL-Funote"/>
              <w:ind w:right="113" w:hanging="283"/>
              <w:jc w:val="left"/>
              <w:rPr>
                <w:b/>
              </w:rPr>
            </w:pPr>
            <w:r w:rsidRPr="0009445C">
              <w:t>*</w:t>
            </w:r>
            <w:r w:rsidRPr="0009445C">
              <w:tab/>
              <w:t>Regarding the requirements, Table 1. applies. 1.</w:t>
            </w:r>
          </w:p>
          <w:p w14:paraId="7382AD70" w14:textId="77777777" w:rsidR="00E713B0" w:rsidRPr="0009445C" w:rsidRDefault="00E713B0" w:rsidP="00E713B0">
            <w:pPr>
              <w:pStyle w:val="BRL-Funote"/>
              <w:spacing w:after="120"/>
              <w:ind w:left="426" w:right="113" w:hanging="284"/>
              <w:jc w:val="left"/>
              <w:rPr>
                <w:b/>
              </w:rPr>
            </w:pPr>
            <w:r w:rsidRPr="0009445C">
              <w:t>**</w:t>
            </w:r>
            <w:r w:rsidRPr="0009445C">
              <w:tab/>
              <w:t>Section 1.3 shall apply where necessary.</w:t>
            </w:r>
          </w:p>
        </w:tc>
      </w:tr>
    </w:tbl>
    <w:p w14:paraId="1E3D2293" w14:textId="77777777" w:rsidR="00E713B0" w:rsidRPr="0009445C" w:rsidRDefault="00E713B0" w:rsidP="00E713B0">
      <w:pPr>
        <w:pStyle w:val="BRL-Standard"/>
      </w:pPr>
    </w:p>
    <w:p w14:paraId="2A643240" w14:textId="0BB29E81" w:rsidR="00E713B0" w:rsidRPr="0009445C" w:rsidRDefault="00E713B0" w:rsidP="00E713B0">
      <w:pPr>
        <w:pStyle w:val="BRL-Standard"/>
      </w:pPr>
      <w:r w:rsidRPr="0009445C">
        <w:t>The requirement of Table 4.3.2, column 1, is deemed fulfilled only if adjacent structural elements have at least the same fire resistance. The transitions to such structural elements must not affect the space barrier pursuant to ser. No A 2.1.3.3. With regard to the fire behaviour of the construction products, Table 1.2 applies.</w:t>
      </w:r>
    </w:p>
    <w:p w14:paraId="60E89AB6" w14:textId="77777777" w:rsidR="00E713B0" w:rsidRPr="0009445C" w:rsidRDefault="00E713B0" w:rsidP="00E713B0">
      <w:pPr>
        <w:pStyle w:val="BRL-Standard"/>
      </w:pPr>
    </w:p>
    <w:p w14:paraId="5AE40FE7" w14:textId="77777777" w:rsidR="00007636" w:rsidRPr="0009445C" w:rsidRDefault="00007636">
      <w:pPr>
        <w:spacing w:after="200" w:line="276" w:lineRule="auto"/>
        <w:rPr>
          <w:b/>
          <w:bCs/>
          <w:szCs w:val="16"/>
        </w:rPr>
      </w:pPr>
      <w:r w:rsidRPr="0009445C">
        <w:br w:type="page"/>
      </w:r>
    </w:p>
    <w:p w14:paraId="4B59AA09" w14:textId="1AAC3117" w:rsidR="00E713B0" w:rsidRPr="0009445C" w:rsidRDefault="00E713B0" w:rsidP="00600F53">
      <w:pPr>
        <w:pStyle w:val="BRL-berschrift"/>
      </w:pPr>
      <w:r w:rsidRPr="0009445C">
        <w:lastRenderedPageBreak/>
        <w:t>4.3.3</w:t>
      </w:r>
      <w:r w:rsidRPr="0009445C">
        <w:tab/>
        <w:t>Requirements for fire resistance including fire performance when using construction products according to harmonised technical specifications for</w:t>
      </w:r>
      <w:r w:rsidRPr="0009445C">
        <w:rPr>
          <w:i/>
        </w:rPr>
        <w:t xml:space="preserve"> </w:t>
      </w:r>
      <w:r w:rsidRPr="0009445C">
        <w:t>non-load-bearing exterior walls (with space barrier) and minimum required performance</w:t>
      </w:r>
    </w:p>
    <w:p w14:paraId="49DCF8A1" w14:textId="77777777" w:rsidR="00E713B0" w:rsidRPr="0009445C" w:rsidRDefault="00E713B0" w:rsidP="00E713B0">
      <w:pPr>
        <w:pStyle w:val="BRLTabelleberschrift"/>
        <w:spacing w:after="120"/>
      </w:pPr>
      <w:r w:rsidRPr="0009445C">
        <w:t>Table 4.3.3:</w:t>
      </w:r>
      <w:r w:rsidRPr="0009445C">
        <w:tab/>
        <w:t>Building approval requirements and minimum required performances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06"/>
        <w:gridCol w:w="2658"/>
        <w:gridCol w:w="3034"/>
        <w:gridCol w:w="2874"/>
      </w:tblGrid>
      <w:tr w:rsidR="00E713B0" w:rsidRPr="0009445C" w14:paraId="5D5E38E6" w14:textId="77777777" w:rsidTr="00E713B0">
        <w:trPr>
          <w:cantSplit/>
          <w:tblHeader/>
        </w:trPr>
        <w:tc>
          <w:tcPr>
            <w:tcW w:w="454" w:type="dxa"/>
            <w:vMerge w:val="restart"/>
          </w:tcPr>
          <w:p w14:paraId="3D3B1EC4" w14:textId="77777777" w:rsidR="00E713B0" w:rsidRPr="0009445C" w:rsidRDefault="00E713B0" w:rsidP="00E713B0">
            <w:pPr>
              <w:pStyle w:val="BRL-TabelleberschriftAnhang"/>
              <w:spacing w:before="60" w:after="40"/>
              <w:ind w:left="0" w:right="0"/>
              <w:jc w:val="center"/>
              <w:rPr>
                <w:rFonts w:eastAsia="Calibri"/>
              </w:rPr>
            </w:pPr>
          </w:p>
        </w:tc>
        <w:tc>
          <w:tcPr>
            <w:tcW w:w="2385" w:type="dxa"/>
            <w:vMerge w:val="restart"/>
            <w:shd w:val="clear" w:color="auto" w:fill="auto"/>
          </w:tcPr>
          <w:p w14:paraId="20181CB9" w14:textId="77777777" w:rsidR="00E713B0" w:rsidRPr="0009445C" w:rsidRDefault="00E713B0" w:rsidP="00E713B0">
            <w:pPr>
              <w:pStyle w:val="BRL-TabelleberschriftAnhang"/>
              <w:rPr>
                <w:rFonts w:eastAsia="Calibri"/>
              </w:rPr>
            </w:pPr>
            <w:r w:rsidRPr="0009445C">
              <w:t>Building approval requirement</w:t>
            </w:r>
          </w:p>
        </w:tc>
        <w:tc>
          <w:tcPr>
            <w:tcW w:w="5302" w:type="dxa"/>
            <w:gridSpan w:val="2"/>
            <w:shd w:val="clear" w:color="auto" w:fill="auto"/>
          </w:tcPr>
          <w:p w14:paraId="58129EAD" w14:textId="77777777" w:rsidR="00E713B0" w:rsidRPr="0009445C" w:rsidRDefault="00E713B0" w:rsidP="00E713B0">
            <w:pPr>
              <w:pStyle w:val="BRL-TabelleberschriftAnhang"/>
              <w:rPr>
                <w:rFonts w:eastAsia="Calibri"/>
              </w:rPr>
            </w:pPr>
            <w:r w:rsidRPr="0009445C">
              <w:t>Minimum required performances</w:t>
            </w:r>
          </w:p>
        </w:tc>
      </w:tr>
      <w:tr w:rsidR="00E713B0" w:rsidRPr="0009445C" w14:paraId="228BA5FE" w14:textId="77777777" w:rsidTr="00E713B0">
        <w:trPr>
          <w:cantSplit/>
          <w:tblHeader/>
        </w:trPr>
        <w:tc>
          <w:tcPr>
            <w:tcW w:w="454" w:type="dxa"/>
            <w:vMerge/>
          </w:tcPr>
          <w:p w14:paraId="02B9B889" w14:textId="77777777" w:rsidR="00E713B0" w:rsidRPr="0009445C" w:rsidRDefault="00E713B0" w:rsidP="00E713B0">
            <w:pPr>
              <w:pStyle w:val="BRL-TabelleberschriftAnhang"/>
              <w:spacing w:before="60" w:after="40"/>
              <w:ind w:left="0" w:right="0"/>
              <w:jc w:val="center"/>
              <w:rPr>
                <w:rFonts w:eastAsia="Calibri"/>
              </w:rPr>
            </w:pPr>
          </w:p>
        </w:tc>
        <w:tc>
          <w:tcPr>
            <w:tcW w:w="2385" w:type="dxa"/>
            <w:vMerge/>
            <w:shd w:val="clear" w:color="auto" w:fill="auto"/>
          </w:tcPr>
          <w:p w14:paraId="29E8FF3E" w14:textId="77777777" w:rsidR="00E713B0" w:rsidRPr="0009445C" w:rsidRDefault="00E713B0" w:rsidP="00E713B0">
            <w:pPr>
              <w:pStyle w:val="BRL-TabelleberschriftAnhang"/>
              <w:rPr>
                <w:rFonts w:eastAsia="Calibri"/>
              </w:rPr>
            </w:pPr>
          </w:p>
        </w:tc>
        <w:tc>
          <w:tcPr>
            <w:tcW w:w="2723" w:type="dxa"/>
            <w:shd w:val="clear" w:color="auto" w:fill="auto"/>
          </w:tcPr>
          <w:p w14:paraId="6A94AC17" w14:textId="77777777" w:rsidR="00E713B0" w:rsidRPr="0009445C" w:rsidRDefault="00E713B0" w:rsidP="00E713B0">
            <w:pPr>
              <w:pStyle w:val="BRL-TabelleberschriftAnhang"/>
              <w:rPr>
                <w:rFonts w:eastAsia="Calibri"/>
              </w:rPr>
            </w:pPr>
            <w:r w:rsidRPr="0009445C">
              <w:t xml:space="preserve">Fire resistance </w:t>
            </w:r>
          </w:p>
        </w:tc>
        <w:tc>
          <w:tcPr>
            <w:tcW w:w="2579" w:type="dxa"/>
            <w:shd w:val="clear" w:color="auto" w:fill="auto"/>
          </w:tcPr>
          <w:p w14:paraId="649AD288" w14:textId="77777777" w:rsidR="00E713B0" w:rsidRPr="0009445C" w:rsidRDefault="00E713B0" w:rsidP="00E713B0">
            <w:pPr>
              <w:pStyle w:val="BRL-TabelleberschriftAnhang"/>
              <w:rPr>
                <w:rFonts w:eastAsia="Calibri"/>
              </w:rPr>
            </w:pPr>
            <w:r w:rsidRPr="0009445C">
              <w:t>Fire performance</w:t>
            </w:r>
          </w:p>
        </w:tc>
      </w:tr>
      <w:tr w:rsidR="00E713B0" w:rsidRPr="0009445C" w14:paraId="74C2CA71" w14:textId="77777777" w:rsidTr="00E713B0">
        <w:trPr>
          <w:cantSplit/>
          <w:tblHeader/>
        </w:trPr>
        <w:tc>
          <w:tcPr>
            <w:tcW w:w="454" w:type="dxa"/>
          </w:tcPr>
          <w:p w14:paraId="626BBB0B" w14:textId="77777777" w:rsidR="00E713B0" w:rsidRPr="0009445C" w:rsidRDefault="00E713B0" w:rsidP="00E713B0">
            <w:pPr>
              <w:pStyle w:val="BRL-TabelleberschriftAnhang"/>
              <w:spacing w:before="60" w:after="40"/>
              <w:ind w:left="0" w:right="0"/>
              <w:jc w:val="center"/>
              <w:rPr>
                <w:rFonts w:eastAsia="Calibri"/>
              </w:rPr>
            </w:pPr>
          </w:p>
        </w:tc>
        <w:tc>
          <w:tcPr>
            <w:tcW w:w="2385" w:type="dxa"/>
            <w:shd w:val="clear" w:color="auto" w:fill="auto"/>
          </w:tcPr>
          <w:p w14:paraId="59F3708F" w14:textId="77777777" w:rsidR="00E713B0" w:rsidRPr="0009445C" w:rsidRDefault="00E713B0" w:rsidP="00E713B0">
            <w:pPr>
              <w:pStyle w:val="BRL-TabelleberschriftAnhang"/>
              <w:jc w:val="center"/>
              <w:rPr>
                <w:rFonts w:eastAsia="Calibri"/>
              </w:rPr>
            </w:pPr>
            <w:r w:rsidRPr="0009445C">
              <w:t>1</w:t>
            </w:r>
          </w:p>
        </w:tc>
        <w:tc>
          <w:tcPr>
            <w:tcW w:w="2723" w:type="dxa"/>
            <w:shd w:val="clear" w:color="auto" w:fill="auto"/>
          </w:tcPr>
          <w:p w14:paraId="6B31F670" w14:textId="77777777" w:rsidR="00E713B0" w:rsidRPr="0009445C" w:rsidRDefault="00E713B0" w:rsidP="00E713B0">
            <w:pPr>
              <w:pStyle w:val="BRL-TabelleberschriftAnhang"/>
              <w:jc w:val="center"/>
              <w:rPr>
                <w:rFonts w:eastAsia="Calibri"/>
              </w:rPr>
            </w:pPr>
            <w:r w:rsidRPr="0009445C">
              <w:t>2</w:t>
            </w:r>
          </w:p>
        </w:tc>
        <w:tc>
          <w:tcPr>
            <w:tcW w:w="2579" w:type="dxa"/>
            <w:shd w:val="clear" w:color="auto" w:fill="auto"/>
          </w:tcPr>
          <w:p w14:paraId="76C81461" w14:textId="77777777" w:rsidR="00E713B0" w:rsidRPr="0009445C" w:rsidRDefault="00E713B0" w:rsidP="00E713B0">
            <w:pPr>
              <w:pStyle w:val="BRL-TabelleberschriftAnhang"/>
              <w:jc w:val="center"/>
              <w:rPr>
                <w:rFonts w:eastAsia="Calibri"/>
              </w:rPr>
            </w:pPr>
            <w:r w:rsidRPr="0009445C">
              <w:t>3</w:t>
            </w:r>
          </w:p>
        </w:tc>
      </w:tr>
      <w:tr w:rsidR="00E713B0" w:rsidRPr="0009445C" w14:paraId="009A3FD4" w14:textId="77777777" w:rsidTr="00E713B0">
        <w:tblPrEx>
          <w:tblLook w:val="04A0" w:firstRow="1" w:lastRow="0" w:firstColumn="1" w:lastColumn="0" w:noHBand="0" w:noVBand="1"/>
        </w:tblPrEx>
        <w:trPr>
          <w:cantSplit/>
        </w:trPr>
        <w:tc>
          <w:tcPr>
            <w:tcW w:w="454" w:type="dxa"/>
          </w:tcPr>
          <w:p w14:paraId="6FDD3EF8" w14:textId="77777777" w:rsidR="00E713B0" w:rsidRPr="0009445C" w:rsidRDefault="00E713B0" w:rsidP="00E713B0">
            <w:pPr>
              <w:pStyle w:val="BRL-Tabelle"/>
              <w:spacing w:before="60" w:after="40"/>
              <w:jc w:val="center"/>
              <w:rPr>
                <w:rFonts w:eastAsia="Calibri"/>
                <w:b/>
              </w:rPr>
            </w:pPr>
            <w:r w:rsidRPr="0009445C">
              <w:rPr>
                <w:b/>
              </w:rPr>
              <w:t>1</w:t>
            </w:r>
          </w:p>
        </w:tc>
        <w:tc>
          <w:tcPr>
            <w:tcW w:w="2385" w:type="dxa"/>
            <w:shd w:val="clear" w:color="auto" w:fill="auto"/>
          </w:tcPr>
          <w:p w14:paraId="15C59BEB" w14:textId="77777777" w:rsidR="00E713B0" w:rsidRPr="0009445C" w:rsidRDefault="00E713B0" w:rsidP="00E713B0">
            <w:pPr>
              <w:pStyle w:val="BRL-Tabelle"/>
              <w:spacing w:before="60" w:after="40"/>
              <w:rPr>
                <w:rFonts w:eastAsia="Calibri"/>
              </w:rPr>
            </w:pPr>
            <w:r w:rsidRPr="0009445C">
              <w:t>Of non-combustible* building materials</w:t>
            </w:r>
          </w:p>
        </w:tc>
        <w:tc>
          <w:tcPr>
            <w:tcW w:w="2723" w:type="dxa"/>
            <w:shd w:val="clear" w:color="auto" w:fill="auto"/>
          </w:tcPr>
          <w:p w14:paraId="58FB4888" w14:textId="77777777" w:rsidR="00E713B0" w:rsidRPr="0009445C" w:rsidRDefault="00E713B0" w:rsidP="00E713B0">
            <w:pPr>
              <w:pStyle w:val="BRL-Tabelle"/>
              <w:spacing w:before="60" w:after="40"/>
              <w:rPr>
                <w:rFonts w:eastAsia="Calibri"/>
              </w:rPr>
            </w:pPr>
            <w:r w:rsidRPr="0009445C">
              <w:t>-</w:t>
            </w:r>
          </w:p>
        </w:tc>
        <w:tc>
          <w:tcPr>
            <w:tcW w:w="2579" w:type="dxa"/>
            <w:shd w:val="clear" w:color="auto" w:fill="auto"/>
          </w:tcPr>
          <w:p w14:paraId="3B1A7228" w14:textId="77777777" w:rsidR="00E713B0" w:rsidRPr="0009445C" w:rsidRDefault="00E713B0" w:rsidP="00E713B0">
            <w:pPr>
              <w:pStyle w:val="BRL-Tabelle"/>
              <w:spacing w:before="60" w:after="40"/>
              <w:rPr>
                <w:rFonts w:eastAsia="Calibri"/>
              </w:rPr>
            </w:pPr>
            <w:r w:rsidRPr="0009445C">
              <w:t>A2 – s1,d0**</w:t>
            </w:r>
          </w:p>
        </w:tc>
      </w:tr>
      <w:tr w:rsidR="00E713B0" w:rsidRPr="0009445C" w14:paraId="3AFE7147" w14:textId="77777777" w:rsidTr="00E713B0">
        <w:tblPrEx>
          <w:tblLook w:val="04A0" w:firstRow="1" w:lastRow="0" w:firstColumn="1" w:lastColumn="0" w:noHBand="0" w:noVBand="1"/>
        </w:tblPrEx>
        <w:trPr>
          <w:cantSplit/>
        </w:trPr>
        <w:tc>
          <w:tcPr>
            <w:tcW w:w="454" w:type="dxa"/>
          </w:tcPr>
          <w:p w14:paraId="388F4C95" w14:textId="77777777" w:rsidR="00E713B0" w:rsidRPr="0009445C" w:rsidRDefault="00E713B0" w:rsidP="00E713B0">
            <w:pPr>
              <w:pStyle w:val="BRL-Tabelle"/>
              <w:spacing w:before="60" w:after="40"/>
              <w:jc w:val="center"/>
              <w:rPr>
                <w:rFonts w:eastAsia="Calibri"/>
                <w:b/>
              </w:rPr>
            </w:pPr>
            <w:r w:rsidRPr="0009445C">
              <w:rPr>
                <w:b/>
              </w:rPr>
              <w:t>2</w:t>
            </w:r>
          </w:p>
        </w:tc>
        <w:tc>
          <w:tcPr>
            <w:tcW w:w="2385" w:type="dxa"/>
            <w:shd w:val="clear" w:color="auto" w:fill="auto"/>
          </w:tcPr>
          <w:p w14:paraId="6C79BC2E" w14:textId="77777777" w:rsidR="00E713B0" w:rsidRPr="0009445C" w:rsidRDefault="00E713B0" w:rsidP="00E713B0">
            <w:pPr>
              <w:pStyle w:val="BRL-Tabelle"/>
              <w:spacing w:before="60" w:after="40"/>
              <w:rPr>
                <w:rFonts w:eastAsia="Calibri"/>
              </w:rPr>
            </w:pPr>
            <w:r w:rsidRPr="0009445C">
              <w:t>Of flame-retardant building materials</w:t>
            </w:r>
          </w:p>
        </w:tc>
        <w:tc>
          <w:tcPr>
            <w:tcW w:w="2723" w:type="dxa"/>
            <w:shd w:val="clear" w:color="auto" w:fill="auto"/>
          </w:tcPr>
          <w:p w14:paraId="15352407" w14:textId="77777777" w:rsidR="00E713B0" w:rsidRPr="0009445C" w:rsidRDefault="00E713B0" w:rsidP="00E713B0">
            <w:pPr>
              <w:pStyle w:val="BRL-Tabelle"/>
              <w:spacing w:before="60" w:after="40"/>
              <w:rPr>
                <w:rFonts w:eastAsia="Calibri"/>
              </w:rPr>
            </w:pPr>
            <w:r w:rsidRPr="0009445C">
              <w:t>-</w:t>
            </w:r>
          </w:p>
        </w:tc>
        <w:tc>
          <w:tcPr>
            <w:tcW w:w="2579" w:type="dxa"/>
            <w:shd w:val="clear" w:color="auto" w:fill="auto"/>
          </w:tcPr>
          <w:p w14:paraId="32B3E900" w14:textId="77777777" w:rsidR="00E713B0" w:rsidRPr="0009445C" w:rsidRDefault="00E713B0" w:rsidP="00E713B0">
            <w:pPr>
              <w:pStyle w:val="BRL-Tabelle"/>
              <w:spacing w:before="60" w:after="40"/>
              <w:rPr>
                <w:rFonts w:eastAsia="Calibri"/>
              </w:rPr>
            </w:pPr>
            <w:r w:rsidRPr="0009445C">
              <w:t>C – s2,d2**</w:t>
            </w:r>
          </w:p>
        </w:tc>
      </w:tr>
      <w:tr w:rsidR="00E713B0" w:rsidRPr="0009445C" w14:paraId="7CF1F7FA" w14:textId="77777777" w:rsidTr="00E713B0">
        <w:tblPrEx>
          <w:tblLook w:val="04A0" w:firstRow="1" w:lastRow="0" w:firstColumn="1" w:lastColumn="0" w:noHBand="0" w:noVBand="1"/>
        </w:tblPrEx>
        <w:trPr>
          <w:cantSplit/>
        </w:trPr>
        <w:tc>
          <w:tcPr>
            <w:tcW w:w="454" w:type="dxa"/>
          </w:tcPr>
          <w:p w14:paraId="4E4C872F" w14:textId="77777777" w:rsidR="00E713B0" w:rsidRPr="0009445C" w:rsidRDefault="00E713B0" w:rsidP="00E713B0">
            <w:pPr>
              <w:pStyle w:val="BRL-Tabelle"/>
              <w:spacing w:before="60" w:after="40"/>
              <w:jc w:val="center"/>
              <w:rPr>
                <w:rFonts w:eastAsia="Calibri"/>
                <w:b/>
              </w:rPr>
            </w:pPr>
            <w:r w:rsidRPr="0009445C">
              <w:rPr>
                <w:b/>
              </w:rPr>
              <w:t>3</w:t>
            </w:r>
          </w:p>
        </w:tc>
        <w:tc>
          <w:tcPr>
            <w:tcW w:w="2385" w:type="dxa"/>
            <w:shd w:val="clear" w:color="auto" w:fill="auto"/>
          </w:tcPr>
          <w:p w14:paraId="68EB0078" w14:textId="77777777" w:rsidR="00E713B0" w:rsidRPr="0009445C" w:rsidRDefault="00E713B0" w:rsidP="00E713B0">
            <w:pPr>
              <w:pStyle w:val="BRL-Tabelle"/>
              <w:spacing w:before="60" w:after="40"/>
              <w:rPr>
                <w:rFonts w:eastAsia="Calibri"/>
              </w:rPr>
            </w:pPr>
            <w:r w:rsidRPr="0009445C">
              <w:t>Of flame-retardant building materials, non-flaming falling or dripping</w:t>
            </w:r>
          </w:p>
        </w:tc>
        <w:tc>
          <w:tcPr>
            <w:tcW w:w="2723" w:type="dxa"/>
            <w:shd w:val="clear" w:color="auto" w:fill="auto"/>
          </w:tcPr>
          <w:p w14:paraId="1A7DF91A" w14:textId="77777777" w:rsidR="00E713B0" w:rsidRPr="0009445C" w:rsidRDefault="00E713B0" w:rsidP="00E713B0">
            <w:pPr>
              <w:pStyle w:val="BRL-Tabelle"/>
              <w:spacing w:before="60" w:after="40"/>
              <w:rPr>
                <w:rFonts w:eastAsia="Calibri"/>
              </w:rPr>
            </w:pPr>
            <w:r w:rsidRPr="0009445C">
              <w:t>-</w:t>
            </w:r>
          </w:p>
        </w:tc>
        <w:tc>
          <w:tcPr>
            <w:tcW w:w="2579" w:type="dxa"/>
            <w:shd w:val="clear" w:color="auto" w:fill="auto"/>
          </w:tcPr>
          <w:p w14:paraId="6DCA176F" w14:textId="77777777" w:rsidR="00E713B0" w:rsidRPr="0009445C" w:rsidRDefault="00E713B0" w:rsidP="00E713B0">
            <w:pPr>
              <w:pStyle w:val="BRL-Tabelle"/>
              <w:spacing w:before="60" w:after="40"/>
              <w:rPr>
                <w:rFonts w:eastAsia="Calibri"/>
              </w:rPr>
            </w:pPr>
            <w:r w:rsidRPr="0009445C">
              <w:t>C – s2,d0**</w:t>
            </w:r>
          </w:p>
        </w:tc>
      </w:tr>
      <w:tr w:rsidR="00E713B0" w:rsidRPr="0009445C" w14:paraId="74B2B67B" w14:textId="77777777" w:rsidTr="00E713B0">
        <w:tblPrEx>
          <w:tblLook w:val="04A0" w:firstRow="1" w:lastRow="0" w:firstColumn="1" w:lastColumn="0" w:noHBand="0" w:noVBand="1"/>
        </w:tblPrEx>
        <w:trPr>
          <w:cantSplit/>
        </w:trPr>
        <w:tc>
          <w:tcPr>
            <w:tcW w:w="454" w:type="dxa"/>
          </w:tcPr>
          <w:p w14:paraId="69C33F5C" w14:textId="77777777" w:rsidR="00E713B0" w:rsidRPr="0009445C" w:rsidRDefault="00E713B0" w:rsidP="00E713B0">
            <w:pPr>
              <w:pStyle w:val="BRL-Tabelle"/>
              <w:spacing w:before="60" w:after="40"/>
              <w:jc w:val="center"/>
              <w:rPr>
                <w:rFonts w:eastAsia="Calibri"/>
                <w:b/>
              </w:rPr>
            </w:pPr>
            <w:r w:rsidRPr="0009445C">
              <w:rPr>
                <w:b/>
              </w:rPr>
              <w:t>4</w:t>
            </w:r>
          </w:p>
        </w:tc>
        <w:tc>
          <w:tcPr>
            <w:tcW w:w="2385" w:type="dxa"/>
            <w:shd w:val="clear" w:color="auto" w:fill="auto"/>
          </w:tcPr>
          <w:p w14:paraId="02628AE9" w14:textId="77777777" w:rsidR="00E713B0" w:rsidRPr="0009445C" w:rsidRDefault="00E713B0" w:rsidP="00E713B0">
            <w:pPr>
              <w:pStyle w:val="BRL-Tabelle"/>
              <w:spacing w:before="60" w:after="40"/>
              <w:rPr>
                <w:rFonts w:eastAsia="Calibri"/>
              </w:rPr>
            </w:pPr>
            <w:r w:rsidRPr="0009445C">
              <w:t>Made of normal-flammability building materials</w:t>
            </w:r>
          </w:p>
        </w:tc>
        <w:tc>
          <w:tcPr>
            <w:tcW w:w="2723" w:type="dxa"/>
            <w:shd w:val="clear" w:color="auto" w:fill="auto"/>
          </w:tcPr>
          <w:p w14:paraId="1977C1FF" w14:textId="77777777" w:rsidR="00E713B0" w:rsidRPr="0009445C" w:rsidRDefault="00E713B0" w:rsidP="00E713B0">
            <w:pPr>
              <w:pStyle w:val="BRL-Tabelle"/>
              <w:spacing w:before="60" w:after="40"/>
              <w:rPr>
                <w:rFonts w:eastAsia="Calibri"/>
              </w:rPr>
            </w:pPr>
            <w:r w:rsidRPr="0009445C">
              <w:t>-</w:t>
            </w:r>
          </w:p>
        </w:tc>
        <w:tc>
          <w:tcPr>
            <w:tcW w:w="2579" w:type="dxa"/>
            <w:shd w:val="clear" w:color="auto" w:fill="auto"/>
          </w:tcPr>
          <w:p w14:paraId="225A13B4" w14:textId="77777777" w:rsidR="00E713B0" w:rsidRPr="0009445C" w:rsidRDefault="00E713B0" w:rsidP="00E713B0">
            <w:pPr>
              <w:pStyle w:val="BRL-Tabelle"/>
              <w:spacing w:before="60" w:after="40"/>
              <w:rPr>
                <w:rFonts w:eastAsia="Calibri"/>
              </w:rPr>
            </w:pPr>
            <w:r w:rsidRPr="0009445C">
              <w:t>E – d2</w:t>
            </w:r>
          </w:p>
        </w:tc>
      </w:tr>
      <w:tr w:rsidR="00E713B0" w:rsidRPr="0009445C" w14:paraId="5FBD7437" w14:textId="77777777" w:rsidTr="00E713B0">
        <w:tblPrEx>
          <w:tblLook w:val="04A0" w:firstRow="1" w:lastRow="0" w:firstColumn="1" w:lastColumn="0" w:noHBand="0" w:noVBand="1"/>
        </w:tblPrEx>
        <w:trPr>
          <w:cantSplit/>
        </w:trPr>
        <w:tc>
          <w:tcPr>
            <w:tcW w:w="454" w:type="dxa"/>
          </w:tcPr>
          <w:p w14:paraId="070F8193" w14:textId="77777777" w:rsidR="00E713B0" w:rsidRPr="0009445C" w:rsidRDefault="00E713B0" w:rsidP="00E713B0">
            <w:pPr>
              <w:pStyle w:val="BRL-Tabelle"/>
              <w:spacing w:before="60" w:after="40"/>
              <w:jc w:val="center"/>
              <w:rPr>
                <w:rFonts w:eastAsia="Calibri"/>
                <w:b/>
              </w:rPr>
            </w:pPr>
            <w:r w:rsidRPr="0009445C">
              <w:rPr>
                <w:b/>
              </w:rPr>
              <w:t>5</w:t>
            </w:r>
          </w:p>
        </w:tc>
        <w:tc>
          <w:tcPr>
            <w:tcW w:w="2385" w:type="dxa"/>
            <w:shd w:val="clear" w:color="auto" w:fill="auto"/>
          </w:tcPr>
          <w:p w14:paraId="78EAA5A9" w14:textId="77777777" w:rsidR="00E713B0" w:rsidRPr="0009445C" w:rsidRDefault="00E713B0" w:rsidP="00E713B0">
            <w:pPr>
              <w:pStyle w:val="BRL-Tabelle"/>
              <w:spacing w:before="60" w:after="40"/>
              <w:rPr>
                <w:rFonts w:eastAsia="Calibri"/>
              </w:rPr>
            </w:pPr>
            <w:r w:rsidRPr="0009445C">
              <w:t>Fire-retardant</w:t>
            </w:r>
          </w:p>
        </w:tc>
        <w:tc>
          <w:tcPr>
            <w:tcW w:w="2723" w:type="dxa"/>
            <w:shd w:val="clear" w:color="auto" w:fill="auto"/>
          </w:tcPr>
          <w:p w14:paraId="5CE24C9D" w14:textId="77777777" w:rsidR="00E713B0" w:rsidRPr="0009445C" w:rsidRDefault="00E713B0" w:rsidP="00E713B0">
            <w:pPr>
              <w:pStyle w:val="BRL-Tabelle"/>
              <w:spacing w:before="60" w:after="40"/>
              <w:rPr>
                <w:rFonts w:eastAsia="Calibri"/>
              </w:rPr>
            </w:pPr>
            <w:r w:rsidRPr="0009445C">
              <w:t>From the inside to the outside:</w:t>
            </w:r>
            <w:r w:rsidRPr="0009445C">
              <w:br/>
              <w:t>E 30 (</w:t>
            </w:r>
            <w:proofErr w:type="spellStart"/>
            <w:r w:rsidRPr="0009445C">
              <w:t>i</w:t>
            </w:r>
            <w:proofErr w:type="spellEnd"/>
            <w:r w:rsidRPr="0009445C">
              <w:sym w:font="Symbol" w:char="F0AE"/>
            </w:r>
            <w:r w:rsidRPr="0009445C">
              <w:t xml:space="preserve">o) and </w:t>
            </w:r>
            <w:r w:rsidRPr="0009445C">
              <w:br/>
              <w:t>from the outside to the inside:</w:t>
            </w:r>
          </w:p>
          <w:p w14:paraId="70A20590" w14:textId="77777777" w:rsidR="00E713B0" w:rsidRPr="0009445C" w:rsidRDefault="00E713B0" w:rsidP="00E713B0">
            <w:pPr>
              <w:pStyle w:val="BRL-Tabelle"/>
              <w:spacing w:before="60" w:after="40"/>
              <w:rPr>
                <w:rFonts w:eastAsia="Calibri"/>
              </w:rPr>
            </w:pPr>
            <w:r w:rsidRPr="0009445C">
              <w:t>EI 30-ef (</w:t>
            </w:r>
            <w:proofErr w:type="spellStart"/>
            <w:r w:rsidRPr="0009445C">
              <w:t>i</w:t>
            </w:r>
            <w:proofErr w:type="spellEnd"/>
            <w:r w:rsidRPr="0009445C">
              <w:sym w:font="Symbol" w:char="F0AC"/>
            </w:r>
            <w:r w:rsidRPr="0009445C">
              <w:t>o)</w:t>
            </w:r>
          </w:p>
        </w:tc>
        <w:tc>
          <w:tcPr>
            <w:tcW w:w="2579" w:type="dxa"/>
            <w:shd w:val="clear" w:color="auto" w:fill="auto"/>
          </w:tcPr>
          <w:p w14:paraId="12BC600C" w14:textId="77777777" w:rsidR="00E713B0" w:rsidRPr="0009445C" w:rsidRDefault="00E713B0" w:rsidP="00E713B0">
            <w:pPr>
              <w:pStyle w:val="BRL-Tabelle"/>
              <w:spacing w:before="60" w:after="40"/>
              <w:rPr>
                <w:rFonts w:eastAsia="Calibri"/>
              </w:rPr>
            </w:pPr>
            <w:r w:rsidRPr="0009445C">
              <w:t>E – d2</w:t>
            </w:r>
          </w:p>
        </w:tc>
      </w:tr>
      <w:tr w:rsidR="00E713B0" w:rsidRPr="0009445C" w14:paraId="39DA6AAA" w14:textId="77777777" w:rsidTr="00E713B0">
        <w:tblPrEx>
          <w:tblLook w:val="04A0" w:firstRow="1" w:lastRow="0" w:firstColumn="1" w:lastColumn="0" w:noHBand="0" w:noVBand="1"/>
        </w:tblPrEx>
        <w:trPr>
          <w:cantSplit/>
        </w:trPr>
        <w:tc>
          <w:tcPr>
            <w:tcW w:w="454" w:type="dxa"/>
          </w:tcPr>
          <w:p w14:paraId="0220433E" w14:textId="77777777" w:rsidR="00E713B0" w:rsidRPr="0009445C" w:rsidRDefault="00E713B0" w:rsidP="00E713B0">
            <w:pPr>
              <w:pStyle w:val="BRL-Tabelle"/>
              <w:spacing w:before="60" w:after="40"/>
              <w:jc w:val="center"/>
              <w:rPr>
                <w:rFonts w:eastAsia="Calibri"/>
                <w:b/>
              </w:rPr>
            </w:pPr>
            <w:r w:rsidRPr="0009445C">
              <w:rPr>
                <w:b/>
              </w:rPr>
              <w:t>6</w:t>
            </w:r>
          </w:p>
        </w:tc>
        <w:tc>
          <w:tcPr>
            <w:tcW w:w="2385" w:type="dxa"/>
            <w:shd w:val="clear" w:color="auto" w:fill="auto"/>
          </w:tcPr>
          <w:p w14:paraId="2AC04C29" w14:textId="77777777" w:rsidR="00E713B0" w:rsidRPr="0009445C" w:rsidRDefault="00E713B0" w:rsidP="00E713B0">
            <w:pPr>
              <w:pStyle w:val="BRL-Tabelle"/>
              <w:spacing w:before="60" w:after="40"/>
              <w:rPr>
                <w:rFonts w:eastAsia="Calibri"/>
              </w:rPr>
            </w:pPr>
            <w:r w:rsidRPr="0009445C">
              <w:t>Fire-retardant with one-sided cladding made of non-combustible* building materials</w:t>
            </w:r>
            <w:r w:rsidRPr="0009445C">
              <w:rPr>
                <w:vertAlign w:val="superscript"/>
              </w:rPr>
              <w:t xml:space="preserve"> </w:t>
            </w:r>
            <w:r w:rsidRPr="0009445C">
              <w:t>according to § 36(6)</w:t>
            </w:r>
            <w:r w:rsidRPr="0009445C">
              <w:rPr>
                <w:vertAlign w:val="superscript"/>
              </w:rPr>
              <w:t>1</w:t>
            </w:r>
            <w:r w:rsidRPr="0009445C">
              <w:t xml:space="preserve"> MBO in conjunction with A 2.1.12 </w:t>
            </w:r>
          </w:p>
        </w:tc>
        <w:tc>
          <w:tcPr>
            <w:tcW w:w="2723" w:type="dxa"/>
            <w:shd w:val="clear" w:color="auto" w:fill="auto"/>
          </w:tcPr>
          <w:p w14:paraId="2E3681F0" w14:textId="77777777" w:rsidR="00E713B0" w:rsidRPr="0009445C" w:rsidRDefault="00E713B0" w:rsidP="00E713B0">
            <w:pPr>
              <w:pStyle w:val="BRL-Tabelle"/>
              <w:rPr>
                <w:rFonts w:eastAsia="Calibri"/>
                <w:vertAlign w:val="superscript"/>
              </w:rPr>
            </w:pPr>
            <w:r w:rsidRPr="0009445C">
              <w:t>EI 30</w:t>
            </w:r>
          </w:p>
          <w:p w14:paraId="7C2391C6" w14:textId="77777777" w:rsidR="00E713B0" w:rsidRPr="0009445C" w:rsidRDefault="00E713B0" w:rsidP="00E713B0">
            <w:pPr>
              <w:pStyle w:val="BRL-Tabelle"/>
              <w:spacing w:before="60" w:after="40"/>
              <w:rPr>
                <w:rFonts w:eastAsia="Calibri"/>
              </w:rPr>
            </w:pPr>
          </w:p>
        </w:tc>
        <w:tc>
          <w:tcPr>
            <w:tcW w:w="2579" w:type="dxa"/>
            <w:shd w:val="clear" w:color="auto" w:fill="auto"/>
          </w:tcPr>
          <w:p w14:paraId="7B9C64F8" w14:textId="77777777" w:rsidR="00E713B0" w:rsidRPr="0009445C" w:rsidRDefault="00E713B0" w:rsidP="00E713B0">
            <w:pPr>
              <w:pStyle w:val="BRL-Tabelle"/>
              <w:spacing w:before="60" w:after="40"/>
              <w:rPr>
                <w:rFonts w:eastAsia="Calibri"/>
              </w:rPr>
            </w:pPr>
            <w:r w:rsidRPr="0009445C">
              <w:t>Non-combustible cladding:</w:t>
            </w:r>
            <w:r w:rsidRPr="0009445C">
              <w:br/>
              <w:t>A2 – s1,d0**;</w:t>
            </w:r>
            <w:r w:rsidRPr="0009445C">
              <w:br/>
              <w:t>Otherwise: E – d2</w:t>
            </w:r>
          </w:p>
        </w:tc>
      </w:tr>
      <w:tr w:rsidR="00E713B0" w:rsidRPr="0009445C" w14:paraId="45B321FF" w14:textId="77777777" w:rsidTr="00E713B0">
        <w:tblPrEx>
          <w:tblLook w:val="04A0" w:firstRow="1" w:lastRow="0" w:firstColumn="1" w:lastColumn="0" w:noHBand="0" w:noVBand="1"/>
        </w:tblPrEx>
        <w:trPr>
          <w:cantSplit/>
        </w:trPr>
        <w:tc>
          <w:tcPr>
            <w:tcW w:w="454" w:type="dxa"/>
          </w:tcPr>
          <w:p w14:paraId="0B3ADD3E" w14:textId="77777777" w:rsidR="00E713B0" w:rsidRPr="0009445C" w:rsidRDefault="00E713B0" w:rsidP="00E713B0">
            <w:pPr>
              <w:pStyle w:val="BRL-Tabelle"/>
              <w:spacing w:before="60" w:after="40"/>
              <w:jc w:val="center"/>
              <w:rPr>
                <w:rFonts w:eastAsia="Calibri"/>
                <w:b/>
              </w:rPr>
            </w:pPr>
            <w:r w:rsidRPr="0009445C">
              <w:rPr>
                <w:b/>
              </w:rPr>
              <w:t>7</w:t>
            </w:r>
          </w:p>
        </w:tc>
        <w:tc>
          <w:tcPr>
            <w:tcW w:w="2385" w:type="dxa"/>
            <w:shd w:val="clear" w:color="auto" w:fill="auto"/>
          </w:tcPr>
          <w:p w14:paraId="6C46530F" w14:textId="77777777" w:rsidR="00E713B0" w:rsidRPr="0009445C" w:rsidRDefault="00E713B0" w:rsidP="00E713B0">
            <w:pPr>
              <w:pStyle w:val="BRL-Tabelle"/>
              <w:spacing w:before="60" w:after="40"/>
              <w:rPr>
                <w:rFonts w:eastAsia="Calibri"/>
              </w:rPr>
            </w:pPr>
            <w:r w:rsidRPr="0009445C">
              <w:t>Fire-retardant with one-sided cladding made of non-combustible* building materials</w:t>
            </w:r>
            <w:r w:rsidRPr="0009445C">
              <w:rPr>
                <w:vertAlign w:val="superscript"/>
              </w:rPr>
              <w:t xml:space="preserve"> </w:t>
            </w:r>
            <w:r w:rsidRPr="0009445C">
              <w:t>according to § 35(5)</w:t>
            </w:r>
            <w:r w:rsidRPr="0009445C">
              <w:rPr>
                <w:vertAlign w:val="superscript"/>
              </w:rPr>
              <w:t xml:space="preserve"> 1</w:t>
            </w:r>
            <w:r w:rsidRPr="0009445C">
              <w:t xml:space="preserve"> and § 39(2) MBO in conjunction with A 2.1.12 and A 2.1.13</w:t>
            </w:r>
          </w:p>
        </w:tc>
        <w:tc>
          <w:tcPr>
            <w:tcW w:w="2723" w:type="dxa"/>
            <w:shd w:val="clear" w:color="auto" w:fill="auto"/>
          </w:tcPr>
          <w:p w14:paraId="60ED67D9" w14:textId="77777777" w:rsidR="00E713B0" w:rsidRPr="0009445C" w:rsidRDefault="00E713B0" w:rsidP="00E713B0">
            <w:pPr>
              <w:pStyle w:val="BRL-Tabelle"/>
              <w:rPr>
                <w:rFonts w:eastAsia="Calibri"/>
              </w:rPr>
            </w:pPr>
            <w:r w:rsidRPr="0009445C">
              <w:t>From the inside to the outside:</w:t>
            </w:r>
            <w:r w:rsidRPr="0009445C">
              <w:br/>
              <w:t>E 30 (</w:t>
            </w:r>
            <w:proofErr w:type="spellStart"/>
            <w:r w:rsidRPr="0009445C">
              <w:t>i</w:t>
            </w:r>
            <w:proofErr w:type="spellEnd"/>
            <w:r w:rsidRPr="0009445C">
              <w:sym w:font="Symbol" w:char="F0AE"/>
            </w:r>
            <w:r w:rsidRPr="0009445C">
              <w:t xml:space="preserve">o) and </w:t>
            </w:r>
            <w:r w:rsidRPr="0009445C">
              <w:br/>
              <w:t>from the outside to the inside:</w:t>
            </w:r>
          </w:p>
          <w:p w14:paraId="0EB5E459" w14:textId="77777777" w:rsidR="00E713B0" w:rsidRPr="0009445C" w:rsidRDefault="00E713B0" w:rsidP="00E713B0">
            <w:pPr>
              <w:pStyle w:val="BRL-Tabelle"/>
              <w:spacing w:before="60" w:after="40"/>
              <w:rPr>
                <w:rFonts w:eastAsia="Calibri"/>
              </w:rPr>
            </w:pPr>
            <w:r w:rsidRPr="0009445C">
              <w:t>EI 30-ef (</w:t>
            </w:r>
            <w:proofErr w:type="spellStart"/>
            <w:r w:rsidRPr="0009445C">
              <w:t>i</w:t>
            </w:r>
            <w:proofErr w:type="spellEnd"/>
            <w:r w:rsidRPr="0009445C">
              <w:sym w:font="Symbol" w:char="F0AC"/>
            </w:r>
            <w:r w:rsidRPr="0009445C">
              <w:t>o)</w:t>
            </w:r>
          </w:p>
        </w:tc>
        <w:tc>
          <w:tcPr>
            <w:tcW w:w="2579" w:type="dxa"/>
            <w:shd w:val="clear" w:color="auto" w:fill="auto"/>
          </w:tcPr>
          <w:p w14:paraId="7305EF1D" w14:textId="77777777" w:rsidR="00E713B0" w:rsidRPr="0009445C" w:rsidRDefault="00E713B0" w:rsidP="00E713B0">
            <w:pPr>
              <w:pStyle w:val="BRL-Tabelle"/>
              <w:spacing w:before="60" w:after="40"/>
              <w:rPr>
                <w:rFonts w:eastAsia="Calibri"/>
              </w:rPr>
            </w:pPr>
            <w:r w:rsidRPr="0009445C">
              <w:t>Non-combustible* cladding:</w:t>
            </w:r>
            <w:r w:rsidRPr="0009445C">
              <w:br/>
              <w:t>A2 – s1,d0**;</w:t>
            </w:r>
            <w:r w:rsidRPr="0009445C">
              <w:br/>
              <w:t>Otherwise: E – d2</w:t>
            </w:r>
          </w:p>
        </w:tc>
      </w:tr>
      <w:tr w:rsidR="00E713B0" w:rsidRPr="0009445C" w14:paraId="5CC1070F" w14:textId="77777777" w:rsidTr="00E713B0">
        <w:tblPrEx>
          <w:tblLook w:val="04A0" w:firstRow="1" w:lastRow="0" w:firstColumn="1" w:lastColumn="0" w:noHBand="0" w:noVBand="1"/>
        </w:tblPrEx>
        <w:trPr>
          <w:cantSplit/>
        </w:trPr>
        <w:tc>
          <w:tcPr>
            <w:tcW w:w="454" w:type="dxa"/>
          </w:tcPr>
          <w:p w14:paraId="042C1439" w14:textId="77777777" w:rsidR="00E713B0" w:rsidRPr="0009445C" w:rsidRDefault="00E713B0" w:rsidP="00E713B0">
            <w:pPr>
              <w:pStyle w:val="BRL-Tabelle"/>
              <w:spacing w:before="60" w:after="40"/>
              <w:jc w:val="center"/>
              <w:rPr>
                <w:rFonts w:eastAsia="Calibri"/>
                <w:b/>
              </w:rPr>
            </w:pPr>
            <w:r w:rsidRPr="0009445C">
              <w:rPr>
                <w:b/>
              </w:rPr>
              <w:t>8</w:t>
            </w:r>
          </w:p>
        </w:tc>
        <w:tc>
          <w:tcPr>
            <w:tcW w:w="2385" w:type="dxa"/>
            <w:shd w:val="clear" w:color="auto" w:fill="auto"/>
          </w:tcPr>
          <w:p w14:paraId="2A10875B" w14:textId="77777777" w:rsidR="00E713B0" w:rsidRPr="0009445C" w:rsidRDefault="00E713B0" w:rsidP="00E713B0">
            <w:pPr>
              <w:pStyle w:val="BRL-Tabelle"/>
              <w:spacing w:before="60" w:after="40"/>
              <w:rPr>
                <w:rFonts w:eastAsia="Calibri"/>
              </w:rPr>
            </w:pPr>
            <w:r w:rsidRPr="0009445C">
              <w:t>Fire-retardant with a fire-protective cladding of 30 min. made of non-combustible* building materials in accordance with Section 5.2 of the Technical Rule in accordance with point A 2.2.1.4</w:t>
            </w:r>
          </w:p>
        </w:tc>
        <w:tc>
          <w:tcPr>
            <w:tcW w:w="2723" w:type="dxa"/>
            <w:shd w:val="clear" w:color="auto" w:fill="auto"/>
          </w:tcPr>
          <w:p w14:paraId="57256DD2" w14:textId="77777777" w:rsidR="00E713B0" w:rsidRPr="0009445C" w:rsidRDefault="00E713B0" w:rsidP="00E713B0">
            <w:pPr>
              <w:pStyle w:val="BRL-Tabelle"/>
              <w:rPr>
                <w:rFonts w:eastAsia="Calibri"/>
              </w:rPr>
            </w:pPr>
            <w:r w:rsidRPr="0009445C">
              <w:t>From the inside to the outside:</w:t>
            </w:r>
            <w:r w:rsidRPr="0009445C">
              <w:br/>
              <w:t>E 30 (</w:t>
            </w:r>
            <w:proofErr w:type="spellStart"/>
            <w:r w:rsidRPr="0009445C">
              <w:t>i</w:t>
            </w:r>
            <w:proofErr w:type="spellEnd"/>
            <w:r w:rsidRPr="0009445C">
              <w:sym w:font="Symbol" w:char="F0AE"/>
            </w:r>
            <w:r w:rsidRPr="0009445C">
              <w:t xml:space="preserve">o) and </w:t>
            </w:r>
            <w:r w:rsidRPr="0009445C">
              <w:br/>
              <w:t>from the outside to the inside:</w:t>
            </w:r>
          </w:p>
          <w:p w14:paraId="51F3013B" w14:textId="77777777" w:rsidR="00E713B0" w:rsidRPr="0009445C" w:rsidRDefault="00E713B0" w:rsidP="00E713B0">
            <w:pPr>
              <w:pStyle w:val="BRL-Tabelle"/>
              <w:rPr>
                <w:rFonts w:eastAsia="Calibri"/>
                <w:vertAlign w:val="superscript"/>
              </w:rPr>
            </w:pPr>
            <w:r w:rsidRPr="0009445C">
              <w:t>EI 30-ef (</w:t>
            </w:r>
            <w:proofErr w:type="spellStart"/>
            <w:r w:rsidRPr="0009445C">
              <w:t>i</w:t>
            </w:r>
            <w:proofErr w:type="spellEnd"/>
            <w:r w:rsidRPr="0009445C">
              <w:sym w:font="Symbol" w:char="F0AC"/>
            </w:r>
            <w:r w:rsidRPr="0009445C">
              <w:t>o)</w:t>
            </w:r>
          </w:p>
          <w:p w14:paraId="72831C82" w14:textId="77777777" w:rsidR="00E713B0" w:rsidRPr="0009445C" w:rsidRDefault="00E713B0" w:rsidP="00E713B0">
            <w:pPr>
              <w:pStyle w:val="BRL-Tabelle"/>
              <w:spacing w:before="60" w:after="40"/>
              <w:rPr>
                <w:rFonts w:eastAsia="Calibri"/>
              </w:rPr>
            </w:pPr>
            <w:r w:rsidRPr="0009445C">
              <w:t>Fire-protective cladding: K</w:t>
            </w:r>
            <w:r w:rsidRPr="0009445C">
              <w:rPr>
                <w:vertAlign w:val="subscript"/>
              </w:rPr>
              <w:t>2</w:t>
            </w:r>
            <w:r w:rsidRPr="0009445C">
              <w:t>30</w:t>
            </w:r>
          </w:p>
        </w:tc>
        <w:tc>
          <w:tcPr>
            <w:tcW w:w="2579" w:type="dxa"/>
            <w:shd w:val="clear" w:color="auto" w:fill="auto"/>
          </w:tcPr>
          <w:p w14:paraId="2AE98C88" w14:textId="77777777" w:rsidR="00E713B0" w:rsidRPr="0009445C" w:rsidRDefault="00E713B0" w:rsidP="00E713B0">
            <w:pPr>
              <w:pStyle w:val="BRL-Tabelle"/>
              <w:spacing w:before="60" w:after="40"/>
              <w:rPr>
                <w:rFonts w:eastAsia="Calibri"/>
              </w:rPr>
            </w:pPr>
            <w:r w:rsidRPr="0009445C">
              <w:t>Non-combustible* cladding:</w:t>
            </w:r>
            <w:r w:rsidRPr="0009445C">
              <w:br/>
              <w:t>A2 – s1,d0**;</w:t>
            </w:r>
            <w:r w:rsidRPr="0009445C">
              <w:br/>
              <w:t>Otherwise: E – d2</w:t>
            </w:r>
          </w:p>
        </w:tc>
      </w:tr>
      <w:tr w:rsidR="00E713B0" w:rsidRPr="0009445C" w14:paraId="0F16AC3E" w14:textId="77777777" w:rsidTr="00E713B0">
        <w:tblPrEx>
          <w:tblLook w:val="04A0" w:firstRow="1" w:lastRow="0" w:firstColumn="1" w:lastColumn="0" w:noHBand="0" w:noVBand="1"/>
        </w:tblPrEx>
        <w:trPr>
          <w:cantSplit/>
        </w:trPr>
        <w:tc>
          <w:tcPr>
            <w:tcW w:w="454" w:type="dxa"/>
          </w:tcPr>
          <w:p w14:paraId="7438B97D" w14:textId="77777777" w:rsidR="00E713B0" w:rsidRPr="0009445C" w:rsidRDefault="00E713B0" w:rsidP="00E713B0">
            <w:pPr>
              <w:pStyle w:val="BRL-Tabelle"/>
              <w:spacing w:before="60" w:after="40"/>
              <w:jc w:val="center"/>
              <w:rPr>
                <w:b/>
              </w:rPr>
            </w:pPr>
            <w:r w:rsidRPr="0009445C">
              <w:rPr>
                <w:b/>
              </w:rPr>
              <w:t>9</w:t>
            </w:r>
          </w:p>
        </w:tc>
        <w:tc>
          <w:tcPr>
            <w:tcW w:w="2385" w:type="dxa"/>
            <w:shd w:val="clear" w:color="auto" w:fill="auto"/>
          </w:tcPr>
          <w:p w14:paraId="3F30F7F5" w14:textId="77777777" w:rsidR="00E713B0" w:rsidRPr="0009445C" w:rsidRDefault="00E713B0" w:rsidP="00E713B0">
            <w:pPr>
              <w:pStyle w:val="BRL-Tabelle"/>
              <w:spacing w:before="60" w:after="40"/>
              <w:rPr>
                <w:rFonts w:eastAsia="Calibri"/>
              </w:rPr>
            </w:pPr>
            <w:r w:rsidRPr="0009445C">
              <w:t>Fire-retardant with a fire-protective cladding of 30 min. made of non-combustible* building materials according to Section 5.2 of the Technical Rule in accordance with point A 2.2.1.4, and with one-sided cladding made of non-combustible* building materials pursuant to § 36(6) MBO in conjunction with A 2.1.12 (open passage)</w:t>
            </w:r>
          </w:p>
        </w:tc>
        <w:tc>
          <w:tcPr>
            <w:tcW w:w="2723" w:type="dxa"/>
            <w:shd w:val="clear" w:color="auto" w:fill="auto"/>
          </w:tcPr>
          <w:p w14:paraId="54A53C1B" w14:textId="77777777" w:rsidR="00E713B0" w:rsidRPr="0009445C" w:rsidRDefault="00E713B0" w:rsidP="00E713B0">
            <w:pPr>
              <w:pStyle w:val="BRL-Tabelle"/>
              <w:spacing w:before="60" w:after="40"/>
              <w:rPr>
                <w:rFonts w:eastAsia="Calibri"/>
              </w:rPr>
            </w:pPr>
            <w:r w:rsidRPr="0009445C">
              <w:t xml:space="preserve">EI 30 </w:t>
            </w:r>
          </w:p>
          <w:p w14:paraId="61FFCA4C" w14:textId="77777777" w:rsidR="00E713B0" w:rsidRPr="0009445C" w:rsidRDefault="00E713B0" w:rsidP="00E713B0">
            <w:pPr>
              <w:pStyle w:val="BRL-Tabelle"/>
              <w:spacing w:before="60" w:after="40"/>
              <w:rPr>
                <w:rFonts w:eastAsia="Calibri"/>
              </w:rPr>
            </w:pPr>
            <w:r w:rsidRPr="0009445C">
              <w:t>Fire-protective cladding: K</w:t>
            </w:r>
            <w:r w:rsidRPr="0009445C">
              <w:rPr>
                <w:vertAlign w:val="subscript"/>
              </w:rPr>
              <w:t>2</w:t>
            </w:r>
            <w:r w:rsidRPr="0009445C">
              <w:t>30</w:t>
            </w:r>
          </w:p>
        </w:tc>
        <w:tc>
          <w:tcPr>
            <w:tcW w:w="2579" w:type="dxa"/>
            <w:shd w:val="clear" w:color="auto" w:fill="auto"/>
          </w:tcPr>
          <w:p w14:paraId="2D00B46E" w14:textId="77777777" w:rsidR="00E713B0" w:rsidRPr="0009445C" w:rsidRDefault="00E713B0" w:rsidP="00E713B0">
            <w:pPr>
              <w:pStyle w:val="BRL-Tabelle"/>
              <w:spacing w:before="60" w:after="40"/>
              <w:rPr>
                <w:rFonts w:eastAsia="Calibri"/>
              </w:rPr>
            </w:pPr>
            <w:r w:rsidRPr="0009445C">
              <w:t>Fire-protective cladding, non-combustible* cladding:</w:t>
            </w:r>
            <w:r w:rsidRPr="0009445C">
              <w:br/>
              <w:t>A2 – s1,d0**;</w:t>
            </w:r>
            <w:r w:rsidRPr="0009445C">
              <w:br/>
              <w:t>Otherwise: E – d2</w:t>
            </w:r>
          </w:p>
        </w:tc>
      </w:tr>
      <w:tr w:rsidR="00E713B0" w:rsidRPr="0009445C" w14:paraId="438E6B24" w14:textId="77777777" w:rsidTr="00E713B0">
        <w:tblPrEx>
          <w:tblLook w:val="04A0" w:firstRow="1" w:lastRow="0" w:firstColumn="1" w:lastColumn="0" w:noHBand="0" w:noVBand="1"/>
        </w:tblPrEx>
        <w:trPr>
          <w:cantSplit/>
        </w:trPr>
        <w:tc>
          <w:tcPr>
            <w:tcW w:w="454" w:type="dxa"/>
          </w:tcPr>
          <w:p w14:paraId="73DA768D" w14:textId="77777777" w:rsidR="00E713B0" w:rsidRPr="0009445C" w:rsidRDefault="00E713B0" w:rsidP="00E713B0">
            <w:pPr>
              <w:pStyle w:val="BRL-Tabelle"/>
              <w:spacing w:before="60" w:after="40"/>
              <w:jc w:val="center"/>
              <w:rPr>
                <w:rFonts w:eastAsia="Calibri"/>
                <w:b/>
              </w:rPr>
            </w:pPr>
            <w:r w:rsidRPr="0009445C">
              <w:rPr>
                <w:b/>
              </w:rPr>
              <w:t>10</w:t>
            </w:r>
          </w:p>
        </w:tc>
        <w:tc>
          <w:tcPr>
            <w:tcW w:w="2385" w:type="dxa"/>
            <w:shd w:val="clear" w:color="auto" w:fill="auto"/>
          </w:tcPr>
          <w:p w14:paraId="1F02E9A0" w14:textId="77777777" w:rsidR="00E713B0" w:rsidRPr="0009445C" w:rsidRDefault="00E713B0" w:rsidP="00E713B0">
            <w:pPr>
              <w:pStyle w:val="BRL-Tabelle"/>
              <w:spacing w:before="60" w:after="40"/>
              <w:rPr>
                <w:rFonts w:eastAsia="Calibri"/>
              </w:rPr>
            </w:pPr>
            <w:r w:rsidRPr="0009445C">
              <w:t>Fire-retardant and made of non-combustible* materials</w:t>
            </w:r>
          </w:p>
        </w:tc>
        <w:tc>
          <w:tcPr>
            <w:tcW w:w="2723" w:type="dxa"/>
            <w:shd w:val="clear" w:color="auto" w:fill="auto"/>
          </w:tcPr>
          <w:p w14:paraId="4DC94FE7" w14:textId="77777777" w:rsidR="00E713B0" w:rsidRPr="0009445C" w:rsidRDefault="00E713B0" w:rsidP="00E713B0">
            <w:pPr>
              <w:pStyle w:val="BRL-Tabelle"/>
              <w:spacing w:before="60" w:after="40"/>
              <w:rPr>
                <w:rFonts w:eastAsia="Calibri"/>
              </w:rPr>
            </w:pPr>
            <w:r w:rsidRPr="0009445C">
              <w:t>From the inside to the outside:</w:t>
            </w:r>
          </w:p>
          <w:p w14:paraId="3F0B3446" w14:textId="77777777" w:rsidR="00E713B0" w:rsidRPr="0009445C" w:rsidRDefault="00E713B0" w:rsidP="00E713B0">
            <w:pPr>
              <w:pStyle w:val="BRL-Tabelle"/>
              <w:spacing w:before="60" w:after="40"/>
              <w:rPr>
                <w:rFonts w:eastAsia="Calibri"/>
              </w:rPr>
            </w:pPr>
            <w:r w:rsidRPr="0009445C">
              <w:t>E 30 (</w:t>
            </w:r>
            <w:proofErr w:type="spellStart"/>
            <w:r w:rsidRPr="0009445C">
              <w:t>i</w:t>
            </w:r>
            <w:proofErr w:type="spellEnd"/>
            <w:r w:rsidRPr="0009445C">
              <w:sym w:font="Symbol" w:char="F0AE"/>
            </w:r>
            <w:r w:rsidRPr="0009445C">
              <w:t xml:space="preserve">o) and </w:t>
            </w:r>
            <w:r w:rsidRPr="0009445C">
              <w:br/>
              <w:t>from the outside to the inside:</w:t>
            </w:r>
          </w:p>
          <w:p w14:paraId="2BE135BA" w14:textId="77777777" w:rsidR="00E713B0" w:rsidRPr="0009445C" w:rsidRDefault="00E713B0" w:rsidP="00E713B0">
            <w:pPr>
              <w:pStyle w:val="BRL-Tabelle"/>
              <w:spacing w:before="60" w:after="40"/>
              <w:rPr>
                <w:rFonts w:eastAsia="Calibri"/>
              </w:rPr>
            </w:pPr>
            <w:r w:rsidRPr="0009445C">
              <w:t>EI 30-ef (</w:t>
            </w:r>
            <w:proofErr w:type="spellStart"/>
            <w:r w:rsidRPr="0009445C">
              <w:t>i</w:t>
            </w:r>
            <w:proofErr w:type="spellEnd"/>
            <w:r w:rsidRPr="0009445C">
              <w:sym w:font="Symbol" w:char="F0AC"/>
            </w:r>
            <w:r w:rsidRPr="0009445C">
              <w:t>o)</w:t>
            </w:r>
          </w:p>
        </w:tc>
        <w:tc>
          <w:tcPr>
            <w:tcW w:w="2579" w:type="dxa"/>
            <w:shd w:val="clear" w:color="auto" w:fill="auto"/>
          </w:tcPr>
          <w:p w14:paraId="79D6E14E" w14:textId="77777777" w:rsidR="00E713B0" w:rsidRPr="0009445C" w:rsidRDefault="00E713B0" w:rsidP="00E713B0">
            <w:pPr>
              <w:pStyle w:val="BRL-Tabelle"/>
              <w:spacing w:before="60" w:after="40"/>
              <w:rPr>
                <w:rFonts w:eastAsia="Calibri"/>
              </w:rPr>
            </w:pPr>
            <w:r w:rsidRPr="0009445C">
              <w:t xml:space="preserve">A2 – s1,d0** </w:t>
            </w:r>
          </w:p>
        </w:tc>
      </w:tr>
      <w:tr w:rsidR="00E713B0" w:rsidRPr="0009445C" w14:paraId="508BE27E" w14:textId="77777777" w:rsidTr="00E713B0">
        <w:tblPrEx>
          <w:tblLook w:val="04A0" w:firstRow="1" w:lastRow="0" w:firstColumn="1" w:lastColumn="0" w:noHBand="0" w:noVBand="1"/>
        </w:tblPrEx>
        <w:trPr>
          <w:cantSplit/>
        </w:trPr>
        <w:tc>
          <w:tcPr>
            <w:tcW w:w="454" w:type="dxa"/>
          </w:tcPr>
          <w:p w14:paraId="49B11D05" w14:textId="77777777" w:rsidR="00E713B0" w:rsidRPr="0009445C" w:rsidRDefault="00E713B0" w:rsidP="00E713B0">
            <w:pPr>
              <w:pStyle w:val="BRL-Tabelle"/>
              <w:spacing w:before="60" w:after="40"/>
              <w:jc w:val="center"/>
              <w:rPr>
                <w:rFonts w:eastAsia="Calibri"/>
                <w:b/>
              </w:rPr>
            </w:pPr>
            <w:r w:rsidRPr="0009445C">
              <w:rPr>
                <w:b/>
              </w:rPr>
              <w:lastRenderedPageBreak/>
              <w:t>11</w:t>
            </w:r>
          </w:p>
        </w:tc>
        <w:tc>
          <w:tcPr>
            <w:tcW w:w="2385" w:type="dxa"/>
            <w:shd w:val="clear" w:color="auto" w:fill="auto"/>
          </w:tcPr>
          <w:p w14:paraId="2AB31399" w14:textId="77777777" w:rsidR="00E713B0" w:rsidRPr="0009445C" w:rsidRDefault="00E713B0" w:rsidP="00E713B0">
            <w:pPr>
              <w:pStyle w:val="BRL-Tabelle"/>
              <w:spacing w:before="60" w:after="40"/>
              <w:rPr>
                <w:rFonts w:eastAsia="Calibri"/>
              </w:rPr>
            </w:pPr>
            <w:r w:rsidRPr="0009445C">
              <w:t>Fire resistant (non-combustible carrying and reinforced parts not combustible*)</w:t>
            </w:r>
            <w:r w:rsidRPr="0009445C">
              <w:rPr>
                <w:vertAlign w:val="superscript"/>
              </w:rPr>
              <w:t>2,3</w:t>
            </w:r>
          </w:p>
        </w:tc>
        <w:tc>
          <w:tcPr>
            <w:tcW w:w="2723" w:type="dxa"/>
            <w:shd w:val="clear" w:color="auto" w:fill="auto"/>
          </w:tcPr>
          <w:p w14:paraId="330392B3" w14:textId="77777777" w:rsidR="00E713B0" w:rsidRPr="0009445C" w:rsidRDefault="00E713B0" w:rsidP="00E713B0">
            <w:pPr>
              <w:pStyle w:val="BRL-Tabelle"/>
              <w:spacing w:before="60" w:after="40"/>
              <w:rPr>
                <w:rFonts w:eastAsia="Calibri"/>
              </w:rPr>
            </w:pPr>
            <w:r w:rsidRPr="0009445C">
              <w:t>From the inside to the outside:</w:t>
            </w:r>
            <w:r w:rsidRPr="0009445C">
              <w:br/>
              <w:t>EI 90 (</w:t>
            </w:r>
            <w:proofErr w:type="spellStart"/>
            <w:r w:rsidRPr="0009445C">
              <w:t>i</w:t>
            </w:r>
            <w:proofErr w:type="spellEnd"/>
            <w:r w:rsidRPr="0009445C">
              <w:sym w:font="Symbol" w:char="F0AE"/>
            </w:r>
            <w:r w:rsidRPr="0009445C">
              <w:t xml:space="preserve">o) and </w:t>
            </w:r>
            <w:r w:rsidRPr="0009445C">
              <w:br/>
              <w:t>from outside to inside:</w:t>
            </w:r>
            <w:r w:rsidRPr="0009445C">
              <w:br/>
              <w:t>EI 90-ef (</w:t>
            </w:r>
            <w:proofErr w:type="spellStart"/>
            <w:r w:rsidRPr="0009445C">
              <w:t>i</w:t>
            </w:r>
            <w:proofErr w:type="spellEnd"/>
            <w:r w:rsidRPr="0009445C">
              <w:sym w:font="Symbol" w:char="F0AC"/>
            </w:r>
            <w:r w:rsidRPr="0009445C">
              <w:t>o)</w:t>
            </w:r>
          </w:p>
        </w:tc>
        <w:tc>
          <w:tcPr>
            <w:tcW w:w="2579" w:type="dxa"/>
            <w:shd w:val="clear" w:color="auto" w:fill="auto"/>
          </w:tcPr>
          <w:p w14:paraId="2B1FA6C2" w14:textId="77777777" w:rsidR="00E713B0" w:rsidRPr="0009445C" w:rsidRDefault="00E713B0" w:rsidP="00E713B0">
            <w:pPr>
              <w:pStyle w:val="BRL-Tabelle"/>
              <w:spacing w:before="60" w:after="40"/>
              <w:rPr>
                <w:rFonts w:eastAsia="Calibri"/>
              </w:rPr>
            </w:pPr>
            <w:r w:rsidRPr="0009445C">
              <w:t>Essential parts:</w:t>
            </w:r>
          </w:p>
          <w:p w14:paraId="784D301F" w14:textId="77777777" w:rsidR="00E713B0" w:rsidRPr="0009445C" w:rsidRDefault="00E713B0" w:rsidP="00E713B0">
            <w:pPr>
              <w:pStyle w:val="BRL-Tabelle"/>
              <w:spacing w:before="60" w:after="40"/>
              <w:rPr>
                <w:rFonts w:eastAsia="Calibri"/>
              </w:rPr>
            </w:pPr>
            <w:r w:rsidRPr="0009445C">
              <w:t>A2 – s1,d0**,</w:t>
            </w:r>
          </w:p>
          <w:p w14:paraId="443C18B0" w14:textId="77777777" w:rsidR="00E713B0" w:rsidRPr="0009445C" w:rsidRDefault="00E713B0" w:rsidP="00E713B0">
            <w:pPr>
              <w:pStyle w:val="BRL-Tabelle"/>
              <w:spacing w:before="60" w:after="40"/>
              <w:rPr>
                <w:rFonts w:eastAsia="Calibri"/>
              </w:rPr>
            </w:pPr>
            <w:r w:rsidRPr="0009445C">
              <w:t>Otherwise: E – d2</w:t>
            </w:r>
          </w:p>
        </w:tc>
      </w:tr>
      <w:tr w:rsidR="00E713B0" w:rsidRPr="0009445C" w14:paraId="5F3D9D52" w14:textId="77777777" w:rsidTr="00E713B0">
        <w:tblPrEx>
          <w:tblLook w:val="04A0" w:firstRow="1" w:lastRow="0" w:firstColumn="1" w:lastColumn="0" w:noHBand="0" w:noVBand="1"/>
        </w:tblPrEx>
        <w:trPr>
          <w:cantSplit/>
        </w:trPr>
        <w:tc>
          <w:tcPr>
            <w:tcW w:w="454" w:type="dxa"/>
          </w:tcPr>
          <w:p w14:paraId="217CCB59" w14:textId="77777777" w:rsidR="00E713B0" w:rsidRPr="0009445C" w:rsidRDefault="00E713B0" w:rsidP="00E713B0">
            <w:pPr>
              <w:pStyle w:val="BRL-Tabelle"/>
              <w:spacing w:before="60" w:after="40"/>
              <w:jc w:val="center"/>
              <w:rPr>
                <w:rFonts w:eastAsia="Calibri"/>
                <w:b/>
              </w:rPr>
            </w:pPr>
            <w:r w:rsidRPr="0009445C">
              <w:rPr>
                <w:b/>
              </w:rPr>
              <w:t>12</w:t>
            </w:r>
          </w:p>
        </w:tc>
        <w:tc>
          <w:tcPr>
            <w:tcW w:w="2385" w:type="dxa"/>
            <w:shd w:val="clear" w:color="auto" w:fill="auto"/>
          </w:tcPr>
          <w:p w14:paraId="4B91EB6D" w14:textId="77777777" w:rsidR="00E713B0" w:rsidRPr="0009445C" w:rsidRDefault="00E713B0" w:rsidP="00E713B0">
            <w:pPr>
              <w:pStyle w:val="BRL-Tabelle"/>
              <w:spacing w:before="60" w:after="40"/>
              <w:rPr>
                <w:rFonts w:eastAsia="Calibri"/>
              </w:rPr>
            </w:pPr>
            <w:r w:rsidRPr="0009445C">
              <w:t>Fire-resistant and made of non-combustible* building materials</w:t>
            </w:r>
          </w:p>
        </w:tc>
        <w:tc>
          <w:tcPr>
            <w:tcW w:w="2723" w:type="dxa"/>
            <w:shd w:val="clear" w:color="auto" w:fill="auto"/>
          </w:tcPr>
          <w:p w14:paraId="38018320" w14:textId="77777777" w:rsidR="00E713B0" w:rsidRPr="0009445C" w:rsidRDefault="00E713B0" w:rsidP="00E713B0">
            <w:pPr>
              <w:pStyle w:val="BRL-Tabelle"/>
              <w:spacing w:before="60" w:after="40"/>
              <w:rPr>
                <w:rFonts w:eastAsia="Calibri"/>
              </w:rPr>
            </w:pPr>
            <w:r w:rsidRPr="0009445C">
              <w:t>From the inside to the outside:</w:t>
            </w:r>
            <w:r w:rsidRPr="0009445C">
              <w:br/>
              <w:t>EI 90 (</w:t>
            </w:r>
            <w:proofErr w:type="spellStart"/>
            <w:r w:rsidRPr="0009445C">
              <w:t>i</w:t>
            </w:r>
            <w:proofErr w:type="spellEnd"/>
            <w:r w:rsidRPr="0009445C">
              <w:sym w:font="Symbol" w:char="F0AE"/>
            </w:r>
            <w:r w:rsidRPr="0009445C">
              <w:t xml:space="preserve">o) and </w:t>
            </w:r>
            <w:r w:rsidRPr="0009445C">
              <w:br/>
              <w:t>from outside to inside:</w:t>
            </w:r>
            <w:r w:rsidRPr="0009445C">
              <w:br/>
              <w:t>EI 90-ef (</w:t>
            </w:r>
            <w:proofErr w:type="spellStart"/>
            <w:r w:rsidRPr="0009445C">
              <w:t>i</w:t>
            </w:r>
            <w:proofErr w:type="spellEnd"/>
            <w:r w:rsidRPr="0009445C">
              <w:sym w:font="Symbol" w:char="F0AC"/>
            </w:r>
            <w:r w:rsidRPr="0009445C">
              <w:t>o)</w:t>
            </w:r>
          </w:p>
        </w:tc>
        <w:tc>
          <w:tcPr>
            <w:tcW w:w="2579" w:type="dxa"/>
            <w:shd w:val="clear" w:color="auto" w:fill="auto"/>
          </w:tcPr>
          <w:p w14:paraId="2D1023E4" w14:textId="77777777" w:rsidR="00E713B0" w:rsidRPr="0009445C" w:rsidRDefault="00E713B0" w:rsidP="00E713B0">
            <w:pPr>
              <w:pStyle w:val="BRL-Tabelle"/>
              <w:spacing w:before="60" w:after="40"/>
              <w:rPr>
                <w:rFonts w:eastAsia="Calibri"/>
              </w:rPr>
            </w:pPr>
            <w:r w:rsidRPr="0009445C">
              <w:t>A2 – s1,d0**</w:t>
            </w:r>
          </w:p>
        </w:tc>
      </w:tr>
      <w:tr w:rsidR="00E713B0" w:rsidRPr="0009445C" w:rsidDel="003C52AA" w14:paraId="2F9DC594" w14:textId="77777777" w:rsidTr="00E713B0">
        <w:tblPrEx>
          <w:tblLook w:val="04A0" w:firstRow="1" w:lastRow="0" w:firstColumn="1" w:lastColumn="0" w:noHBand="0" w:noVBand="1"/>
        </w:tblPrEx>
        <w:trPr>
          <w:cantSplit/>
        </w:trPr>
        <w:tc>
          <w:tcPr>
            <w:tcW w:w="454" w:type="dxa"/>
          </w:tcPr>
          <w:p w14:paraId="59C9352B" w14:textId="77777777" w:rsidR="00E713B0" w:rsidRPr="0009445C" w:rsidRDefault="00E713B0" w:rsidP="00E713B0">
            <w:pPr>
              <w:pStyle w:val="BRL-Funote"/>
              <w:spacing w:before="60" w:after="40"/>
              <w:ind w:left="0"/>
              <w:jc w:val="center"/>
              <w:rPr>
                <w:rFonts w:eastAsia="Calibri"/>
                <w:b/>
              </w:rPr>
            </w:pPr>
          </w:p>
        </w:tc>
        <w:tc>
          <w:tcPr>
            <w:tcW w:w="7687" w:type="dxa"/>
            <w:gridSpan w:val="3"/>
            <w:shd w:val="clear" w:color="auto" w:fill="auto"/>
          </w:tcPr>
          <w:p w14:paraId="17099F6B" w14:textId="77777777" w:rsidR="00E713B0" w:rsidRPr="0009445C" w:rsidRDefault="00E713B0" w:rsidP="00E713B0">
            <w:pPr>
              <w:pStyle w:val="BRL-Funote"/>
              <w:spacing w:before="120"/>
              <w:rPr>
                <w:rFonts w:eastAsia="Calibri"/>
              </w:rPr>
            </w:pPr>
            <w:r w:rsidRPr="0009445C">
              <w:t>1</w:t>
            </w:r>
            <w:r w:rsidRPr="0009445C">
              <w:tab/>
              <w:t>To be cladded on both sides if stairwell wall is also the wall of the open corridor</w:t>
            </w:r>
          </w:p>
          <w:p w14:paraId="67359BD1" w14:textId="77777777" w:rsidR="00E713B0" w:rsidRPr="0009445C" w:rsidRDefault="00E713B0" w:rsidP="00E713B0">
            <w:pPr>
              <w:pStyle w:val="BRL-Funote"/>
              <w:rPr>
                <w:rFonts w:eastAsia="Calibri"/>
              </w:rPr>
            </w:pPr>
            <w:r w:rsidRPr="0009445C">
              <w:t>2</w:t>
            </w:r>
            <w:r w:rsidRPr="0009445C">
              <w:tab/>
              <w:t>Parts within the component to ensure stability (intrinsic weight) and suitability.</w:t>
            </w:r>
          </w:p>
          <w:p w14:paraId="0EA799DD" w14:textId="40723241" w:rsidR="00E713B0" w:rsidRPr="0009445C" w:rsidRDefault="00E713B0" w:rsidP="00E713B0">
            <w:pPr>
              <w:pStyle w:val="BRL-Funote"/>
              <w:rPr>
                <w:rFonts w:eastAsia="Calibri"/>
              </w:rPr>
            </w:pPr>
            <w:r w:rsidRPr="0009445C">
              <w:t>3</w:t>
            </w:r>
            <w:r w:rsidRPr="0009445C">
              <w:tab/>
              <w:t>A non-combustible layer continuous in the component plane: A2 — s1,d0** as defined in Table 1.2.</w:t>
            </w:r>
          </w:p>
          <w:p w14:paraId="4EC66D34" w14:textId="77777777" w:rsidR="00E713B0" w:rsidRPr="0009445C" w:rsidRDefault="00E713B0" w:rsidP="00E713B0">
            <w:pPr>
              <w:pStyle w:val="BRL-Funote"/>
              <w:rPr>
                <w:rFonts w:eastAsia="Calibri"/>
              </w:rPr>
            </w:pPr>
            <w:r w:rsidRPr="0009445C">
              <w:t>*</w:t>
            </w:r>
            <w:r w:rsidRPr="0009445C">
              <w:tab/>
              <w:t>Regarding the requirements, Table 1.2. applies.</w:t>
            </w:r>
          </w:p>
          <w:p w14:paraId="2D584D64" w14:textId="77777777" w:rsidR="00E713B0" w:rsidRPr="0009445C" w:rsidDel="003C52AA" w:rsidRDefault="00E713B0" w:rsidP="00E713B0">
            <w:pPr>
              <w:pStyle w:val="BRL-Funote"/>
              <w:spacing w:after="120"/>
              <w:rPr>
                <w:rFonts w:eastAsia="Calibri"/>
              </w:rPr>
            </w:pPr>
            <w:r w:rsidRPr="0009445C">
              <w:t>**</w:t>
            </w:r>
            <w:r w:rsidRPr="0009445C">
              <w:tab/>
              <w:t xml:space="preserve">Section 1.3 shall apply where necessary. </w:t>
            </w:r>
          </w:p>
        </w:tc>
      </w:tr>
    </w:tbl>
    <w:p w14:paraId="52B186D9" w14:textId="77777777" w:rsidR="00E713B0" w:rsidRPr="0009445C" w:rsidRDefault="00E713B0" w:rsidP="00E713B0">
      <w:pPr>
        <w:pStyle w:val="BRL-Standard"/>
      </w:pPr>
    </w:p>
    <w:p w14:paraId="7F8F02A1" w14:textId="2750DC9A" w:rsidR="00E713B0" w:rsidRPr="0009445C" w:rsidRDefault="00E713B0" w:rsidP="00E713B0">
      <w:pPr>
        <w:pStyle w:val="BRL-Standard"/>
      </w:pPr>
      <w:r w:rsidRPr="0009445C">
        <w:t>The requirement of Table 4.3.3, column 1, is deemed fulfilled only if adjacent structural elements have at least the same fire resistance. The transitions to such structural elements must not affect the space barrier as per ser. No A 2.1.3.3. With regard to the fire behaviour of the construction products, Table 1.2 applies.</w:t>
      </w:r>
    </w:p>
    <w:p w14:paraId="2C64C57D" w14:textId="77777777" w:rsidR="00E713B0" w:rsidRPr="0009445C" w:rsidRDefault="00E713B0" w:rsidP="00E713B0">
      <w:pPr>
        <w:pStyle w:val="BRL-Standard"/>
      </w:pPr>
    </w:p>
    <w:p w14:paraId="30F90E93" w14:textId="77777777" w:rsidR="00E713B0" w:rsidRPr="0009445C" w:rsidRDefault="00E713B0" w:rsidP="00600F53">
      <w:pPr>
        <w:pStyle w:val="BRL-berschrift"/>
      </w:pPr>
      <w:r w:rsidRPr="0009445C">
        <w:t>5</w:t>
      </w:r>
      <w:r w:rsidRPr="0009445C">
        <w:tab/>
        <w:t>Barriers</w:t>
      </w:r>
    </w:p>
    <w:p w14:paraId="5DB0DFCA" w14:textId="77777777" w:rsidR="00E713B0" w:rsidRPr="0009445C" w:rsidRDefault="00E713B0" w:rsidP="00600F53">
      <w:pPr>
        <w:pStyle w:val="BRL-berschrift"/>
      </w:pPr>
      <w:r w:rsidRPr="0009445C">
        <w:t>5.1</w:t>
      </w:r>
      <w:r w:rsidRPr="0009445C">
        <w:tab/>
        <w:t>Fire and/or smoke protection barriers as well as tight-sealing and self-closing barriers</w:t>
      </w:r>
    </w:p>
    <w:p w14:paraId="65861FAC" w14:textId="330E362D" w:rsidR="00E713B0" w:rsidRPr="0009445C" w:rsidRDefault="00E713B0" w:rsidP="00E713B0">
      <w:pPr>
        <w:pStyle w:val="BRL-Standard"/>
      </w:pPr>
      <w:r w:rsidRPr="0009445C">
        <w:t>In order to fulfil the structural requirements in A 2.1.6, A 2.1.7, A 2.1.8, A 2.1.11, A 2.1.12 and A 2.1.13 when using fire and smoke protection locks based on proofs of fitness for purpose in accordance with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the minimum required classes and designations shall be taken from Sections 5.1.1 and 5.1.2.</w:t>
      </w:r>
    </w:p>
    <w:p w14:paraId="6579FAC6" w14:textId="77777777" w:rsidR="00E713B0" w:rsidRPr="0009445C" w:rsidRDefault="00E713B0" w:rsidP="00E713B0">
      <w:pPr>
        <w:pStyle w:val="BRL-Standard"/>
      </w:pPr>
    </w:p>
    <w:p w14:paraId="13967059" w14:textId="77777777" w:rsidR="00E713B0" w:rsidRPr="0009445C" w:rsidRDefault="00E713B0" w:rsidP="00E713B0">
      <w:pPr>
        <w:pStyle w:val="BRL-Standard"/>
      </w:pPr>
      <w:r w:rsidRPr="0009445C">
        <w:t>For the purpose of complying with the building requirements in A 2.1.6, A 2.1.7, A 2.1.8, A 2.1.11, A 2.1.12 and A 2.1.13 for using fire and smoke protection barriers for which harmonised technical specifications exist, the minimum required performance is set out in Section 5.1.4.</w:t>
      </w:r>
    </w:p>
    <w:p w14:paraId="0D60C7D3" w14:textId="77777777" w:rsidR="00E713B0" w:rsidRPr="0009445C" w:rsidRDefault="00E713B0" w:rsidP="00E713B0">
      <w:pPr>
        <w:pStyle w:val="BRL-Standard"/>
      </w:pPr>
    </w:p>
    <w:p w14:paraId="54DE93B0" w14:textId="77777777" w:rsidR="00E713B0" w:rsidRPr="0009445C" w:rsidRDefault="00E713B0" w:rsidP="00E713B0">
      <w:pPr>
        <w:pStyle w:val="BRLAufzhlungAnstrich"/>
        <w:numPr>
          <w:ilvl w:val="0"/>
          <w:numId w:val="1"/>
        </w:numPr>
      </w:pPr>
      <w:r w:rsidRPr="0009445C">
        <w:t>Gates as fire barriers according to EN 16034:2014</w:t>
      </w:r>
      <w:bookmarkStart w:id="29" w:name="_Ref77260488"/>
      <w:r w:rsidRPr="0009445C">
        <w:rPr>
          <w:rStyle w:val="FootnoteReference"/>
        </w:rPr>
        <w:footnoteReference w:id="34"/>
      </w:r>
      <w:bookmarkEnd w:id="29"/>
      <w:r w:rsidRPr="0009445C">
        <w:t xml:space="preserve"> in conjunction with EN 13241:2003+A2:2016</w:t>
      </w:r>
      <w:bookmarkStart w:id="30" w:name="_Ref77260521"/>
      <w:r w:rsidRPr="0009445C">
        <w:rPr>
          <w:rStyle w:val="FootnoteReference"/>
        </w:rPr>
        <w:footnoteReference w:id="35"/>
      </w:r>
      <w:bookmarkEnd w:id="30"/>
      <w:r w:rsidRPr="0009445C">
        <w:t xml:space="preserve"> do not meet the requirements for electromotive opening and closing according to A 2.1.6.</w:t>
      </w:r>
    </w:p>
    <w:p w14:paraId="79D49CF4" w14:textId="77777777" w:rsidR="00E713B0" w:rsidRPr="0009445C" w:rsidRDefault="00E713B0" w:rsidP="00E713B0"/>
    <w:p w14:paraId="6C962A8F" w14:textId="4C53577A" w:rsidR="00E713B0" w:rsidRPr="0009445C" w:rsidRDefault="00E713B0" w:rsidP="00600F53">
      <w:pPr>
        <w:pStyle w:val="BRL-berschrift"/>
      </w:pPr>
      <w:r w:rsidRPr="0009445C">
        <w:t>5.1.1</w:t>
      </w:r>
      <w:r w:rsidRPr="0009445C">
        <w:tab/>
        <w:t>Fire and/or smoke protection barriers inside structural works according to usability certification according to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val="0"/>
          <w:bCs w:val="0"/>
          <w:lang w:val="en-US"/>
        </w:rPr>
        <w:t>Error! Bookmark not defined.</w:t>
      </w:r>
      <w:r w:rsidRPr="0009445C">
        <w:rPr>
          <w:rStyle w:val="FootnoteReference"/>
        </w:rPr>
        <w:fldChar w:fldCharType="end"/>
      </w:r>
      <w:r w:rsidRPr="0009445C">
        <w:t>, excluding conveyor closures</w:t>
      </w:r>
    </w:p>
    <w:p w14:paraId="57EB9BC5" w14:textId="6535C9E8" w:rsidR="00E713B0" w:rsidRPr="0009445C" w:rsidRDefault="00E713B0" w:rsidP="00E713B0">
      <w:pPr>
        <w:pStyle w:val="BRLTabelleberschrift"/>
        <w:spacing w:after="120"/>
      </w:pPr>
      <w:r w:rsidRPr="0009445C">
        <w:t xml:space="preserve">Table 5.1.1: </w:t>
      </w:r>
      <w:r w:rsidRPr="0009445C">
        <w:tab/>
        <w:t>Building approval requirements and classification of classes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13"/>
        <w:gridCol w:w="4065"/>
        <w:gridCol w:w="4453"/>
      </w:tblGrid>
      <w:tr w:rsidR="00007636" w:rsidRPr="0009445C" w14:paraId="13666DEE" w14:textId="77777777" w:rsidTr="00007636">
        <w:trPr>
          <w:tblHeader/>
        </w:trPr>
        <w:tc>
          <w:tcPr>
            <w:tcW w:w="413" w:type="dxa"/>
          </w:tcPr>
          <w:p w14:paraId="04C3BD18" w14:textId="77777777" w:rsidR="00007636" w:rsidRPr="0009445C" w:rsidRDefault="00007636" w:rsidP="00E713B0">
            <w:pPr>
              <w:pStyle w:val="BRL-TabelleberschriftAnhang"/>
              <w:spacing w:before="60" w:after="40"/>
              <w:ind w:left="0" w:right="0"/>
              <w:jc w:val="center"/>
              <w:rPr>
                <w:rFonts w:eastAsia="Calibri"/>
              </w:rPr>
            </w:pPr>
          </w:p>
        </w:tc>
        <w:tc>
          <w:tcPr>
            <w:tcW w:w="4065" w:type="dxa"/>
            <w:shd w:val="clear" w:color="auto" w:fill="auto"/>
          </w:tcPr>
          <w:p w14:paraId="643A041A" w14:textId="77777777" w:rsidR="00007636" w:rsidRPr="0009445C" w:rsidDel="00245CFE" w:rsidRDefault="00007636" w:rsidP="00E713B0">
            <w:pPr>
              <w:pStyle w:val="BRL-TabelleberschriftAnhang"/>
              <w:ind w:left="0" w:right="0"/>
              <w:rPr>
                <w:rFonts w:eastAsia="Calibri"/>
              </w:rPr>
            </w:pPr>
            <w:r w:rsidRPr="0009445C">
              <w:t>Building approval requirements</w:t>
            </w:r>
          </w:p>
        </w:tc>
        <w:tc>
          <w:tcPr>
            <w:tcW w:w="4453" w:type="dxa"/>
            <w:shd w:val="clear" w:color="auto" w:fill="auto"/>
          </w:tcPr>
          <w:p w14:paraId="20BC571A" w14:textId="77777777" w:rsidR="00007636" w:rsidRPr="0009445C" w:rsidDel="00245CFE" w:rsidRDefault="00007636" w:rsidP="00E713B0">
            <w:pPr>
              <w:pStyle w:val="BRL-TabelleberschriftAnhang"/>
              <w:ind w:left="0" w:right="0"/>
              <w:rPr>
                <w:rFonts w:eastAsia="Calibri"/>
              </w:rPr>
            </w:pPr>
            <w:r w:rsidRPr="0009445C">
              <w:t>Minimum required class according to proof of fitness for purpose</w:t>
            </w:r>
          </w:p>
        </w:tc>
      </w:tr>
      <w:tr w:rsidR="00007636" w:rsidRPr="0009445C" w14:paraId="2099A202" w14:textId="77777777" w:rsidTr="00007636">
        <w:trPr>
          <w:tblHeader/>
        </w:trPr>
        <w:tc>
          <w:tcPr>
            <w:tcW w:w="413" w:type="dxa"/>
          </w:tcPr>
          <w:p w14:paraId="5B940506" w14:textId="77777777" w:rsidR="00007636" w:rsidRPr="0009445C" w:rsidRDefault="00007636" w:rsidP="00E713B0">
            <w:pPr>
              <w:pStyle w:val="BRL-Tabelle"/>
              <w:spacing w:before="60" w:after="40"/>
              <w:jc w:val="center"/>
              <w:rPr>
                <w:rFonts w:eastAsia="Calibri"/>
                <w:b/>
              </w:rPr>
            </w:pPr>
          </w:p>
        </w:tc>
        <w:tc>
          <w:tcPr>
            <w:tcW w:w="4065" w:type="dxa"/>
            <w:shd w:val="clear" w:color="auto" w:fill="auto"/>
          </w:tcPr>
          <w:p w14:paraId="58918E8B" w14:textId="77777777" w:rsidR="00007636" w:rsidRPr="0009445C" w:rsidRDefault="00007636" w:rsidP="00E713B0">
            <w:pPr>
              <w:pStyle w:val="BRL-Tabelle"/>
              <w:spacing w:before="60" w:after="40"/>
              <w:jc w:val="center"/>
              <w:rPr>
                <w:rFonts w:eastAsia="Calibri"/>
                <w:b/>
              </w:rPr>
            </w:pPr>
            <w:r w:rsidRPr="0009445C">
              <w:rPr>
                <w:b/>
              </w:rPr>
              <w:t>1</w:t>
            </w:r>
          </w:p>
        </w:tc>
        <w:tc>
          <w:tcPr>
            <w:tcW w:w="4453" w:type="dxa"/>
            <w:shd w:val="clear" w:color="auto" w:fill="auto"/>
          </w:tcPr>
          <w:p w14:paraId="631662C1" w14:textId="77777777" w:rsidR="00007636" w:rsidRPr="0009445C" w:rsidRDefault="00007636" w:rsidP="00E713B0">
            <w:pPr>
              <w:pStyle w:val="BRL-Tabelle"/>
              <w:spacing w:before="60" w:after="40"/>
              <w:jc w:val="center"/>
              <w:rPr>
                <w:rFonts w:eastAsia="Calibri"/>
                <w:b/>
              </w:rPr>
            </w:pPr>
            <w:r w:rsidRPr="0009445C">
              <w:rPr>
                <w:b/>
              </w:rPr>
              <w:t>2</w:t>
            </w:r>
          </w:p>
        </w:tc>
      </w:tr>
      <w:tr w:rsidR="00007636" w:rsidRPr="0009445C" w14:paraId="5C57689C" w14:textId="77777777" w:rsidTr="00007636">
        <w:tc>
          <w:tcPr>
            <w:tcW w:w="413" w:type="dxa"/>
          </w:tcPr>
          <w:p w14:paraId="40E8F3AE" w14:textId="77777777" w:rsidR="00007636" w:rsidRPr="0009445C" w:rsidRDefault="00007636" w:rsidP="00E713B0">
            <w:pPr>
              <w:pStyle w:val="BRL-Tabelle"/>
              <w:spacing w:before="60" w:after="40"/>
              <w:jc w:val="center"/>
              <w:rPr>
                <w:rFonts w:eastAsia="Calibri"/>
                <w:b/>
              </w:rPr>
            </w:pPr>
            <w:r w:rsidRPr="0009445C">
              <w:rPr>
                <w:b/>
              </w:rPr>
              <w:t>1</w:t>
            </w:r>
          </w:p>
        </w:tc>
        <w:tc>
          <w:tcPr>
            <w:tcW w:w="4065" w:type="dxa"/>
            <w:shd w:val="clear" w:color="auto" w:fill="auto"/>
          </w:tcPr>
          <w:p w14:paraId="43D92297" w14:textId="77777777" w:rsidR="00007636" w:rsidRPr="0009445C" w:rsidRDefault="00007636" w:rsidP="00E713B0">
            <w:pPr>
              <w:pStyle w:val="BRL-Tabelle"/>
              <w:spacing w:before="60" w:after="40"/>
              <w:rPr>
                <w:rFonts w:eastAsia="Calibri"/>
              </w:rPr>
            </w:pPr>
            <w:r w:rsidRPr="0009445C">
              <w:t>Fire-retardant and self-closing</w:t>
            </w:r>
            <w:r w:rsidRPr="0009445C">
              <w:br/>
              <w:t>tight-sealing</w:t>
            </w:r>
          </w:p>
        </w:tc>
        <w:tc>
          <w:tcPr>
            <w:tcW w:w="4453" w:type="dxa"/>
            <w:shd w:val="clear" w:color="auto" w:fill="auto"/>
          </w:tcPr>
          <w:p w14:paraId="7C10E686" w14:textId="77777777" w:rsidR="00007636" w:rsidRPr="0009445C" w:rsidRDefault="00007636" w:rsidP="00E713B0">
            <w:pPr>
              <w:pStyle w:val="BRL-Tabelle"/>
              <w:spacing w:before="60" w:after="40"/>
              <w:jc w:val="center"/>
              <w:rPr>
                <w:rFonts w:eastAsia="Calibri"/>
              </w:rPr>
            </w:pPr>
            <w:r w:rsidRPr="0009445C">
              <w:t>T 30</w:t>
            </w:r>
          </w:p>
        </w:tc>
      </w:tr>
      <w:tr w:rsidR="00007636" w:rsidRPr="0009445C" w14:paraId="5C8751B4" w14:textId="77777777" w:rsidTr="00007636">
        <w:tc>
          <w:tcPr>
            <w:tcW w:w="413" w:type="dxa"/>
          </w:tcPr>
          <w:p w14:paraId="20550356" w14:textId="77777777" w:rsidR="00007636" w:rsidRPr="0009445C" w:rsidRDefault="00007636" w:rsidP="00E713B0">
            <w:pPr>
              <w:pStyle w:val="BRL-Tabelle"/>
              <w:spacing w:before="60" w:after="40"/>
              <w:jc w:val="center"/>
              <w:rPr>
                <w:rFonts w:eastAsia="Calibri"/>
                <w:b/>
              </w:rPr>
            </w:pPr>
            <w:r w:rsidRPr="0009445C">
              <w:rPr>
                <w:b/>
              </w:rPr>
              <w:t>2</w:t>
            </w:r>
          </w:p>
        </w:tc>
        <w:tc>
          <w:tcPr>
            <w:tcW w:w="4065" w:type="dxa"/>
            <w:shd w:val="clear" w:color="auto" w:fill="auto"/>
          </w:tcPr>
          <w:p w14:paraId="786DCBD6" w14:textId="77777777" w:rsidR="00007636" w:rsidRPr="0009445C" w:rsidRDefault="00007636" w:rsidP="00E713B0">
            <w:pPr>
              <w:pStyle w:val="BRL-Tabelle"/>
              <w:spacing w:before="60" w:after="40"/>
              <w:rPr>
                <w:rFonts w:eastAsia="Calibri"/>
              </w:rPr>
            </w:pPr>
            <w:r w:rsidRPr="0009445C">
              <w:t xml:space="preserve">Fire-retardant and self-closing </w:t>
            </w:r>
            <w:r w:rsidRPr="0009445C">
              <w:br/>
              <w:t>smoke-proof</w:t>
            </w:r>
          </w:p>
        </w:tc>
        <w:tc>
          <w:tcPr>
            <w:tcW w:w="4453" w:type="dxa"/>
            <w:shd w:val="clear" w:color="auto" w:fill="auto"/>
          </w:tcPr>
          <w:p w14:paraId="2731C987" w14:textId="77777777" w:rsidR="00007636" w:rsidRPr="0009445C" w:rsidRDefault="00007636" w:rsidP="00E713B0">
            <w:pPr>
              <w:pStyle w:val="BRL-Tabelle"/>
              <w:spacing w:before="60" w:after="40"/>
              <w:jc w:val="center"/>
              <w:rPr>
                <w:rFonts w:eastAsia="Calibri"/>
              </w:rPr>
            </w:pPr>
            <w:r w:rsidRPr="0009445C">
              <w:t>T 30</w:t>
            </w:r>
            <w:r w:rsidRPr="0009445C">
              <w:noBreakHyphen/>
              <w:t>RS</w:t>
            </w:r>
          </w:p>
        </w:tc>
      </w:tr>
      <w:tr w:rsidR="00007636" w:rsidRPr="0009445C" w14:paraId="24711FDF" w14:textId="77777777" w:rsidTr="00007636">
        <w:tc>
          <w:tcPr>
            <w:tcW w:w="413" w:type="dxa"/>
          </w:tcPr>
          <w:p w14:paraId="4E565C41" w14:textId="77777777" w:rsidR="00007636" w:rsidRPr="0009445C" w:rsidRDefault="00007636" w:rsidP="00E713B0">
            <w:pPr>
              <w:pStyle w:val="BRL-Tabelle"/>
              <w:spacing w:before="60" w:after="40"/>
              <w:jc w:val="center"/>
              <w:rPr>
                <w:rFonts w:eastAsia="Calibri"/>
                <w:b/>
              </w:rPr>
            </w:pPr>
            <w:r w:rsidRPr="0009445C">
              <w:rPr>
                <w:b/>
              </w:rPr>
              <w:t>3</w:t>
            </w:r>
          </w:p>
        </w:tc>
        <w:tc>
          <w:tcPr>
            <w:tcW w:w="4065" w:type="dxa"/>
            <w:shd w:val="clear" w:color="auto" w:fill="auto"/>
          </w:tcPr>
          <w:p w14:paraId="621DF8BC" w14:textId="77777777" w:rsidR="00007636" w:rsidRPr="0009445C" w:rsidRDefault="00007636" w:rsidP="00E713B0">
            <w:pPr>
              <w:pStyle w:val="BRL-Tabelle"/>
              <w:spacing w:before="60" w:after="40"/>
              <w:rPr>
                <w:rFonts w:eastAsia="Calibri"/>
              </w:rPr>
            </w:pPr>
            <w:r w:rsidRPr="0009445C">
              <w:t>Highly fire-retardant and self-closing, tight-sealing</w:t>
            </w:r>
          </w:p>
        </w:tc>
        <w:tc>
          <w:tcPr>
            <w:tcW w:w="4453" w:type="dxa"/>
            <w:shd w:val="clear" w:color="auto" w:fill="auto"/>
          </w:tcPr>
          <w:p w14:paraId="32DC3D4F" w14:textId="77777777" w:rsidR="00007636" w:rsidRPr="0009445C" w:rsidRDefault="00007636" w:rsidP="00E713B0">
            <w:pPr>
              <w:pStyle w:val="BRL-Tabelle"/>
              <w:spacing w:before="60" w:after="40"/>
              <w:jc w:val="center"/>
              <w:rPr>
                <w:rFonts w:eastAsia="Calibri"/>
              </w:rPr>
            </w:pPr>
            <w:r w:rsidRPr="0009445C">
              <w:t>T 60</w:t>
            </w:r>
          </w:p>
        </w:tc>
      </w:tr>
      <w:tr w:rsidR="00007636" w:rsidRPr="0009445C" w14:paraId="1944734A" w14:textId="77777777" w:rsidTr="00007636">
        <w:tc>
          <w:tcPr>
            <w:tcW w:w="413" w:type="dxa"/>
          </w:tcPr>
          <w:p w14:paraId="22E07EA3" w14:textId="77777777" w:rsidR="00007636" w:rsidRPr="0009445C" w:rsidRDefault="00007636" w:rsidP="00E713B0">
            <w:pPr>
              <w:pStyle w:val="BRL-Tabelle"/>
              <w:spacing w:before="60" w:after="40"/>
              <w:jc w:val="center"/>
              <w:rPr>
                <w:rFonts w:eastAsia="Calibri"/>
                <w:b/>
              </w:rPr>
            </w:pPr>
            <w:r w:rsidRPr="0009445C">
              <w:rPr>
                <w:b/>
              </w:rPr>
              <w:t>4</w:t>
            </w:r>
          </w:p>
        </w:tc>
        <w:tc>
          <w:tcPr>
            <w:tcW w:w="4065" w:type="dxa"/>
            <w:shd w:val="clear" w:color="auto" w:fill="auto"/>
          </w:tcPr>
          <w:p w14:paraId="1966F7C7" w14:textId="77777777" w:rsidR="00007636" w:rsidRPr="0009445C" w:rsidRDefault="00007636" w:rsidP="00E713B0">
            <w:pPr>
              <w:pStyle w:val="BRL-Tabelle"/>
              <w:spacing w:before="60" w:after="40"/>
              <w:rPr>
                <w:rFonts w:eastAsia="Calibri"/>
              </w:rPr>
            </w:pPr>
            <w:r w:rsidRPr="0009445C">
              <w:t>Highly fire-retardant and self-closing</w:t>
            </w:r>
            <w:r w:rsidRPr="0009445C">
              <w:br/>
              <w:t>smoke-proof</w:t>
            </w:r>
          </w:p>
        </w:tc>
        <w:tc>
          <w:tcPr>
            <w:tcW w:w="4453" w:type="dxa"/>
            <w:shd w:val="clear" w:color="auto" w:fill="auto"/>
          </w:tcPr>
          <w:p w14:paraId="1E3C487D" w14:textId="77777777" w:rsidR="00007636" w:rsidRPr="0009445C" w:rsidRDefault="00007636" w:rsidP="00E713B0">
            <w:pPr>
              <w:pStyle w:val="BRL-Tabelle"/>
              <w:spacing w:before="60" w:after="40"/>
              <w:jc w:val="center"/>
              <w:rPr>
                <w:rFonts w:eastAsia="Calibri"/>
              </w:rPr>
            </w:pPr>
            <w:r w:rsidRPr="0009445C">
              <w:t>T 60</w:t>
            </w:r>
            <w:r w:rsidRPr="0009445C">
              <w:noBreakHyphen/>
              <w:t>RS</w:t>
            </w:r>
          </w:p>
        </w:tc>
      </w:tr>
      <w:tr w:rsidR="00007636" w:rsidRPr="0009445C" w14:paraId="6C39AF6D" w14:textId="77777777" w:rsidTr="00007636">
        <w:tc>
          <w:tcPr>
            <w:tcW w:w="413" w:type="dxa"/>
          </w:tcPr>
          <w:p w14:paraId="7207AC54" w14:textId="77777777" w:rsidR="00007636" w:rsidRPr="0009445C" w:rsidRDefault="00007636" w:rsidP="00E713B0">
            <w:pPr>
              <w:pStyle w:val="BRL-Tabelle"/>
              <w:spacing w:before="60" w:after="40"/>
              <w:jc w:val="center"/>
              <w:rPr>
                <w:rFonts w:eastAsia="Calibri"/>
                <w:b/>
              </w:rPr>
            </w:pPr>
            <w:r w:rsidRPr="0009445C">
              <w:rPr>
                <w:b/>
              </w:rPr>
              <w:t>5</w:t>
            </w:r>
          </w:p>
        </w:tc>
        <w:tc>
          <w:tcPr>
            <w:tcW w:w="4065" w:type="dxa"/>
            <w:shd w:val="clear" w:color="auto" w:fill="auto"/>
          </w:tcPr>
          <w:p w14:paraId="2B6B198A" w14:textId="77777777" w:rsidR="00007636" w:rsidRPr="0009445C" w:rsidRDefault="00007636" w:rsidP="00E713B0">
            <w:pPr>
              <w:pStyle w:val="BRL-Tabelle"/>
              <w:spacing w:before="60" w:after="40"/>
              <w:rPr>
                <w:rFonts w:eastAsia="Calibri"/>
              </w:rPr>
            </w:pPr>
            <w:r w:rsidRPr="0009445C">
              <w:t xml:space="preserve">Fire resistant and </w:t>
            </w:r>
            <w:r w:rsidRPr="0009445C">
              <w:br/>
              <w:t>self-closing, tight-sealing</w:t>
            </w:r>
          </w:p>
        </w:tc>
        <w:tc>
          <w:tcPr>
            <w:tcW w:w="4453" w:type="dxa"/>
            <w:shd w:val="clear" w:color="auto" w:fill="auto"/>
          </w:tcPr>
          <w:p w14:paraId="46BF82E6" w14:textId="77777777" w:rsidR="00007636" w:rsidRPr="0009445C" w:rsidRDefault="00007636" w:rsidP="00E713B0">
            <w:pPr>
              <w:pStyle w:val="BRL-Tabelle"/>
              <w:spacing w:before="60" w:after="40"/>
              <w:jc w:val="center"/>
              <w:rPr>
                <w:rFonts w:eastAsia="Calibri"/>
              </w:rPr>
            </w:pPr>
            <w:r w:rsidRPr="0009445C">
              <w:t>T 90</w:t>
            </w:r>
          </w:p>
        </w:tc>
      </w:tr>
      <w:tr w:rsidR="00007636" w:rsidRPr="0009445C" w14:paraId="0B931D5B" w14:textId="77777777" w:rsidTr="00007636">
        <w:tc>
          <w:tcPr>
            <w:tcW w:w="413" w:type="dxa"/>
          </w:tcPr>
          <w:p w14:paraId="7C0BCDE6" w14:textId="77777777" w:rsidR="00007636" w:rsidRPr="0009445C" w:rsidRDefault="00007636" w:rsidP="00E713B0">
            <w:pPr>
              <w:pStyle w:val="BRL-Tabelle"/>
              <w:spacing w:before="60" w:after="40"/>
              <w:jc w:val="center"/>
              <w:rPr>
                <w:rFonts w:eastAsia="Calibri"/>
                <w:b/>
              </w:rPr>
            </w:pPr>
            <w:r w:rsidRPr="0009445C">
              <w:rPr>
                <w:b/>
              </w:rPr>
              <w:lastRenderedPageBreak/>
              <w:t>6</w:t>
            </w:r>
          </w:p>
        </w:tc>
        <w:tc>
          <w:tcPr>
            <w:tcW w:w="4065" w:type="dxa"/>
            <w:shd w:val="clear" w:color="auto" w:fill="auto"/>
          </w:tcPr>
          <w:p w14:paraId="6BE6E092" w14:textId="77777777" w:rsidR="00007636" w:rsidRPr="0009445C" w:rsidRDefault="00007636" w:rsidP="00E713B0">
            <w:pPr>
              <w:pStyle w:val="BRL-Tabelle"/>
              <w:spacing w:before="60" w:after="40"/>
              <w:rPr>
                <w:rFonts w:eastAsia="Calibri"/>
              </w:rPr>
            </w:pPr>
            <w:r w:rsidRPr="0009445C">
              <w:t>Fire resistant and</w:t>
            </w:r>
            <w:r w:rsidRPr="0009445C">
              <w:br/>
              <w:t xml:space="preserve">self-closing </w:t>
            </w:r>
            <w:r w:rsidRPr="0009445C">
              <w:br/>
              <w:t>smoke-proof</w:t>
            </w:r>
          </w:p>
        </w:tc>
        <w:tc>
          <w:tcPr>
            <w:tcW w:w="4453" w:type="dxa"/>
            <w:shd w:val="clear" w:color="auto" w:fill="auto"/>
          </w:tcPr>
          <w:p w14:paraId="13423029" w14:textId="77777777" w:rsidR="00007636" w:rsidRPr="0009445C" w:rsidRDefault="00007636" w:rsidP="00E713B0">
            <w:pPr>
              <w:pStyle w:val="BRL-Tabelle"/>
              <w:spacing w:before="60" w:after="40"/>
              <w:jc w:val="center"/>
              <w:rPr>
                <w:rFonts w:eastAsia="Calibri"/>
              </w:rPr>
            </w:pPr>
            <w:r w:rsidRPr="0009445C">
              <w:t>T 90</w:t>
            </w:r>
            <w:r w:rsidRPr="0009445C">
              <w:noBreakHyphen/>
              <w:t>RS</w:t>
            </w:r>
          </w:p>
        </w:tc>
      </w:tr>
      <w:tr w:rsidR="00007636" w:rsidRPr="0009445C" w14:paraId="1BE215EB" w14:textId="77777777" w:rsidTr="00007636">
        <w:tc>
          <w:tcPr>
            <w:tcW w:w="413" w:type="dxa"/>
          </w:tcPr>
          <w:p w14:paraId="25D9ED9F" w14:textId="77777777" w:rsidR="00007636" w:rsidRPr="0009445C" w:rsidRDefault="00007636" w:rsidP="00E713B0">
            <w:pPr>
              <w:pStyle w:val="BRL-Tabelle"/>
              <w:spacing w:before="60" w:after="40"/>
              <w:jc w:val="center"/>
              <w:rPr>
                <w:rFonts w:eastAsia="Calibri"/>
                <w:b/>
              </w:rPr>
            </w:pPr>
            <w:r w:rsidRPr="0009445C">
              <w:rPr>
                <w:b/>
              </w:rPr>
              <w:t>7</w:t>
            </w:r>
          </w:p>
        </w:tc>
        <w:tc>
          <w:tcPr>
            <w:tcW w:w="4065" w:type="dxa"/>
            <w:shd w:val="clear" w:color="auto" w:fill="auto"/>
          </w:tcPr>
          <w:p w14:paraId="347DC421" w14:textId="77777777" w:rsidR="00007636" w:rsidRPr="0009445C" w:rsidRDefault="00007636" w:rsidP="00E713B0">
            <w:pPr>
              <w:pStyle w:val="BRL-Tabelle"/>
              <w:spacing w:before="60" w:after="40"/>
              <w:rPr>
                <w:rFonts w:eastAsia="Calibri"/>
              </w:rPr>
            </w:pPr>
            <w:r w:rsidRPr="0009445C">
              <w:t>Fire resistance of 120 minutes and self-closing, tight-sealing</w:t>
            </w:r>
          </w:p>
        </w:tc>
        <w:tc>
          <w:tcPr>
            <w:tcW w:w="4453" w:type="dxa"/>
            <w:shd w:val="clear" w:color="auto" w:fill="auto"/>
          </w:tcPr>
          <w:p w14:paraId="57D9F7E2" w14:textId="77777777" w:rsidR="00007636" w:rsidRPr="0009445C" w:rsidRDefault="00007636" w:rsidP="00E713B0">
            <w:pPr>
              <w:pStyle w:val="BRL-Tabelle"/>
              <w:spacing w:before="60" w:after="40"/>
              <w:jc w:val="center"/>
              <w:rPr>
                <w:rFonts w:eastAsia="Calibri"/>
              </w:rPr>
            </w:pPr>
            <w:r w:rsidRPr="0009445C">
              <w:t>T 120</w:t>
            </w:r>
          </w:p>
        </w:tc>
      </w:tr>
      <w:tr w:rsidR="00007636" w:rsidRPr="0009445C" w14:paraId="1E46FBF3" w14:textId="77777777" w:rsidTr="00007636">
        <w:tc>
          <w:tcPr>
            <w:tcW w:w="413" w:type="dxa"/>
          </w:tcPr>
          <w:p w14:paraId="4B6FA53F" w14:textId="77777777" w:rsidR="00007636" w:rsidRPr="0009445C" w:rsidRDefault="00007636" w:rsidP="00E713B0">
            <w:pPr>
              <w:pStyle w:val="BRL-Tabelle"/>
              <w:spacing w:before="60" w:after="40"/>
              <w:jc w:val="center"/>
              <w:rPr>
                <w:rFonts w:eastAsia="Calibri"/>
                <w:b/>
              </w:rPr>
            </w:pPr>
            <w:r w:rsidRPr="0009445C">
              <w:rPr>
                <w:b/>
              </w:rPr>
              <w:t>8</w:t>
            </w:r>
          </w:p>
        </w:tc>
        <w:tc>
          <w:tcPr>
            <w:tcW w:w="4065" w:type="dxa"/>
            <w:shd w:val="clear" w:color="auto" w:fill="auto"/>
          </w:tcPr>
          <w:p w14:paraId="152349AA" w14:textId="77777777" w:rsidR="00007636" w:rsidRPr="0009445C" w:rsidRDefault="00007636" w:rsidP="00E713B0">
            <w:pPr>
              <w:pStyle w:val="BRL-Tabelle"/>
              <w:spacing w:before="60" w:after="40"/>
              <w:rPr>
                <w:rFonts w:eastAsia="Calibri"/>
              </w:rPr>
            </w:pPr>
            <w:r w:rsidRPr="0009445C">
              <w:t xml:space="preserve">Fire resistance of 120 minutes and self-closing, </w:t>
            </w:r>
            <w:r w:rsidRPr="0009445C">
              <w:br/>
              <w:t>smoke-proof</w:t>
            </w:r>
          </w:p>
        </w:tc>
        <w:tc>
          <w:tcPr>
            <w:tcW w:w="4453" w:type="dxa"/>
            <w:shd w:val="clear" w:color="auto" w:fill="auto"/>
          </w:tcPr>
          <w:p w14:paraId="05CDC831" w14:textId="77777777" w:rsidR="00007636" w:rsidRPr="0009445C" w:rsidRDefault="00007636" w:rsidP="00E713B0">
            <w:pPr>
              <w:pStyle w:val="BRL-Tabelle"/>
              <w:spacing w:before="60" w:after="40"/>
              <w:jc w:val="center"/>
              <w:rPr>
                <w:rFonts w:eastAsia="Calibri"/>
              </w:rPr>
            </w:pPr>
            <w:r w:rsidRPr="0009445C">
              <w:t>T 120</w:t>
            </w:r>
            <w:r w:rsidRPr="0009445C">
              <w:noBreakHyphen/>
              <w:t>RS</w:t>
            </w:r>
          </w:p>
        </w:tc>
      </w:tr>
      <w:tr w:rsidR="00007636" w:rsidRPr="0009445C" w14:paraId="70C13ACB" w14:textId="77777777" w:rsidTr="00007636">
        <w:tc>
          <w:tcPr>
            <w:tcW w:w="413" w:type="dxa"/>
          </w:tcPr>
          <w:p w14:paraId="243C622F" w14:textId="77777777" w:rsidR="00007636" w:rsidRPr="0009445C" w:rsidRDefault="00007636" w:rsidP="00E713B0">
            <w:pPr>
              <w:pStyle w:val="BRL-Tabelle"/>
              <w:spacing w:before="60" w:after="40"/>
              <w:jc w:val="center"/>
              <w:rPr>
                <w:rFonts w:eastAsia="Calibri"/>
                <w:b/>
              </w:rPr>
            </w:pPr>
            <w:r w:rsidRPr="0009445C">
              <w:rPr>
                <w:b/>
              </w:rPr>
              <w:t>9</w:t>
            </w:r>
          </w:p>
        </w:tc>
        <w:tc>
          <w:tcPr>
            <w:tcW w:w="4065" w:type="dxa"/>
            <w:shd w:val="clear" w:color="auto" w:fill="auto"/>
          </w:tcPr>
          <w:p w14:paraId="3B8F74CC" w14:textId="77777777" w:rsidR="00007636" w:rsidRPr="0009445C" w:rsidRDefault="00007636" w:rsidP="00E713B0">
            <w:pPr>
              <w:pStyle w:val="BRL-Tabelle"/>
              <w:spacing w:before="60" w:after="40"/>
              <w:rPr>
                <w:rFonts w:eastAsia="Calibri"/>
                <w:b/>
              </w:rPr>
            </w:pPr>
            <w:r w:rsidRPr="0009445C">
              <w:t>Smoke-proof and</w:t>
            </w:r>
            <w:r w:rsidRPr="0009445C">
              <w:br/>
              <w:t>self-closing</w:t>
            </w:r>
          </w:p>
        </w:tc>
        <w:tc>
          <w:tcPr>
            <w:tcW w:w="4453" w:type="dxa"/>
            <w:shd w:val="clear" w:color="auto" w:fill="auto"/>
          </w:tcPr>
          <w:p w14:paraId="09809A24" w14:textId="77777777" w:rsidR="00007636" w:rsidRPr="0009445C" w:rsidRDefault="00007636" w:rsidP="00E713B0">
            <w:pPr>
              <w:pStyle w:val="BRL-Tabelle"/>
              <w:spacing w:before="60" w:after="40"/>
              <w:jc w:val="center"/>
              <w:rPr>
                <w:rFonts w:eastAsia="Calibri"/>
                <w:b/>
              </w:rPr>
            </w:pPr>
            <w:r w:rsidRPr="0009445C">
              <w:t>RS</w:t>
            </w:r>
          </w:p>
        </w:tc>
      </w:tr>
    </w:tbl>
    <w:p w14:paraId="3FF97EEC" w14:textId="77777777" w:rsidR="00E713B0" w:rsidRPr="0009445C" w:rsidRDefault="00E713B0" w:rsidP="00E713B0">
      <w:pPr>
        <w:pStyle w:val="BRL-Funote"/>
      </w:pPr>
    </w:p>
    <w:p w14:paraId="61870344" w14:textId="729E9B20" w:rsidR="00E713B0" w:rsidRPr="0009445C" w:rsidRDefault="00E713B0" w:rsidP="00600F53">
      <w:pPr>
        <w:pStyle w:val="BRL-berschrift"/>
      </w:pPr>
      <w:r w:rsidRPr="0009445C">
        <w:t>5.1.2</w:t>
      </w:r>
      <w:r w:rsidRPr="0009445C">
        <w:tab/>
        <w:t xml:space="preserve">Fire and/or smoke protection closures in external walls of structural works, excluding conveyor closures </w:t>
      </w:r>
    </w:p>
    <w:p w14:paraId="692E4732" w14:textId="5C0B148C" w:rsidR="00E713B0" w:rsidRPr="0009445C" w:rsidRDefault="00275B91" w:rsidP="00E713B0">
      <w:pPr>
        <w:pStyle w:val="BRL-Standard"/>
      </w:pPr>
      <w:r w:rsidRPr="0009445C">
        <w:t>The requirements set out in Table 5.1.1 shall apply. For outdoor use, the differential climate according to EN 14351-1:2006+A2:2016</w:t>
      </w:r>
      <w:r w:rsidRPr="0009445C">
        <w:fldChar w:fldCharType="begin"/>
      </w:r>
      <w:r w:rsidRPr="0009445C">
        <w:instrText xml:space="preserve"> NOTEREF _Ref77260632 \f \h </w:instrText>
      </w:r>
      <w:r w:rsidR="0009445C" w:rsidRPr="0009445C">
        <w:instrText xml:space="preserve"> \* MERGEFORMAT </w:instrText>
      </w:r>
      <w:r w:rsidRPr="0009445C">
        <w:fldChar w:fldCharType="separate"/>
      </w:r>
      <w:r w:rsidR="0009445C" w:rsidRPr="0009445C">
        <w:rPr>
          <w:rStyle w:val="FootnoteReference"/>
        </w:rPr>
        <w:t>23</w:t>
      </w:r>
      <w:r w:rsidRPr="0009445C">
        <w:fldChar w:fldCharType="end"/>
      </w:r>
      <w:r w:rsidRPr="0009445C">
        <w:t xml:space="preserve"> and the deformation class according to EN 12219:1999</w:t>
      </w:r>
      <w:bookmarkStart w:id="31" w:name="_Ref117235849"/>
      <w:r w:rsidR="007207B3" w:rsidRPr="0009445C">
        <w:rPr>
          <w:rStyle w:val="FootnoteReference"/>
        </w:rPr>
        <w:footnoteReference w:id="36"/>
      </w:r>
      <w:bookmarkEnd w:id="31"/>
      <w:r w:rsidRPr="0009445C">
        <w:t xml:space="preserve"> must also be demonstrated. At least classes 2(d) and 2(e) are required to comply with the building approval requirements.</w:t>
      </w:r>
    </w:p>
    <w:p w14:paraId="2F6E41A6" w14:textId="12CECAC7" w:rsidR="00E713B0" w:rsidRPr="0009445C" w:rsidRDefault="00E713B0" w:rsidP="00600F53">
      <w:pPr>
        <w:pStyle w:val="BRL-berschrift"/>
      </w:pPr>
      <w:r w:rsidRPr="0009445C">
        <w:t>5.1.3</w:t>
      </w:r>
      <w:r w:rsidRPr="0009445C">
        <w:tab/>
        <w:t>Terms of use and implementation of financial statements in accordance with 5.1.1</w:t>
      </w:r>
    </w:p>
    <w:p w14:paraId="33D95A24" w14:textId="28C67F30" w:rsidR="00E713B0" w:rsidRPr="0009445C" w:rsidRDefault="00E713B0" w:rsidP="00E713B0">
      <w:pPr>
        <w:pStyle w:val="BRL-Standard"/>
      </w:pPr>
      <w:r w:rsidRPr="0009445C">
        <w:t>The provisions on application and execution are part of the proof of fitness for purpose according to § 17 MBO1</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w:t>
      </w:r>
    </w:p>
    <w:p w14:paraId="3463F2F1" w14:textId="77777777" w:rsidR="00E713B0" w:rsidRPr="0009445C" w:rsidRDefault="00E713B0" w:rsidP="00E713B0">
      <w:pPr>
        <w:pStyle w:val="BRL-Standard"/>
      </w:pPr>
    </w:p>
    <w:p w14:paraId="796BD58C" w14:textId="4101B4DE" w:rsidR="00E713B0" w:rsidRPr="0009445C" w:rsidRDefault="00E713B0" w:rsidP="00600F53">
      <w:pPr>
        <w:pStyle w:val="BRL-berschrift"/>
      </w:pPr>
      <w:r w:rsidRPr="0009445C">
        <w:t>5.1.4</w:t>
      </w:r>
      <w:r w:rsidRPr="0009445C">
        <w:tab/>
        <w:t>Construction products according to EEAS No 020029-00-1102 and EEAS No 020062-00-1102 and EN 16034:2014</w:t>
      </w:r>
      <w:r w:rsidRPr="0009445C">
        <w:rPr>
          <w:rStyle w:val="FootnoteReference"/>
        </w:rPr>
        <w:fldChar w:fldCharType="begin"/>
      </w:r>
      <w:r w:rsidRPr="0009445C">
        <w:rPr>
          <w:rStyle w:val="FootnoteReference"/>
        </w:rPr>
        <w:instrText xml:space="preserve"> NOTEREF _Ref77260488 \h  \* MERGEFORMAT </w:instrText>
      </w:r>
      <w:r w:rsidRPr="0009445C">
        <w:rPr>
          <w:rStyle w:val="FootnoteReference"/>
        </w:rPr>
      </w:r>
      <w:r w:rsidRPr="0009445C">
        <w:rPr>
          <w:rStyle w:val="FootnoteReference"/>
        </w:rPr>
        <w:fldChar w:fldCharType="separate"/>
      </w:r>
      <w:r w:rsidR="0009445C" w:rsidRPr="0009445C">
        <w:rPr>
          <w:rStyle w:val="FootnoteReference"/>
        </w:rPr>
        <w:t>27</w:t>
      </w:r>
      <w:r w:rsidRPr="0009445C">
        <w:rPr>
          <w:rStyle w:val="FootnoteReference"/>
        </w:rPr>
        <w:fldChar w:fldCharType="end"/>
      </w:r>
      <w:r w:rsidRPr="0009445C">
        <w:t xml:space="preserve"> in conjunction with EN 13241:2003+A2:2016</w:t>
      </w:r>
      <w:r w:rsidRPr="0009445C">
        <w:rPr>
          <w:rStyle w:val="FootnoteReference"/>
        </w:rPr>
        <w:fldChar w:fldCharType="begin"/>
      </w:r>
      <w:r w:rsidRPr="0009445C">
        <w:rPr>
          <w:rStyle w:val="FootnoteReference"/>
        </w:rPr>
        <w:instrText xml:space="preserve"> NOTEREF _Ref77260521 \h  \* MERGEFORMAT </w:instrText>
      </w:r>
      <w:r w:rsidRPr="0009445C">
        <w:rPr>
          <w:rStyle w:val="FootnoteReference"/>
        </w:rPr>
      </w:r>
      <w:r w:rsidRPr="0009445C">
        <w:rPr>
          <w:rStyle w:val="FootnoteReference"/>
        </w:rPr>
        <w:fldChar w:fldCharType="separate"/>
      </w:r>
      <w:r w:rsidR="0009445C" w:rsidRPr="0009445C">
        <w:rPr>
          <w:rStyle w:val="FootnoteReference"/>
        </w:rPr>
        <w:t>28</w:t>
      </w:r>
      <w:r w:rsidRPr="0009445C">
        <w:rPr>
          <w:rStyle w:val="FootnoteReference"/>
        </w:rPr>
        <w:fldChar w:fldCharType="end"/>
      </w:r>
      <w:r w:rsidRPr="0009445C">
        <w:t xml:space="preserve"> for use in the interior of structural works as fire and/or smoke protection seals</w:t>
      </w:r>
    </w:p>
    <w:p w14:paraId="38EC5F6F" w14:textId="0DAE8E7B" w:rsidR="00E713B0" w:rsidRPr="0009445C" w:rsidRDefault="00E713B0" w:rsidP="00E713B0">
      <w:pPr>
        <w:spacing w:line="240" w:lineRule="auto"/>
        <w:rPr>
          <w:b/>
          <w:szCs w:val="22"/>
        </w:rPr>
      </w:pPr>
    </w:p>
    <w:p w14:paraId="5F15FDAA" w14:textId="54DC9CC5" w:rsidR="00E713B0" w:rsidRPr="0009445C" w:rsidRDefault="00E713B0" w:rsidP="00E713B0">
      <w:pPr>
        <w:pStyle w:val="BRLTabelleberschrift"/>
        <w:spacing w:after="120"/>
      </w:pPr>
      <w:r w:rsidRPr="0009445C">
        <w:t>Table 5.1.4:</w:t>
      </w:r>
      <w:r w:rsidRPr="0009445C">
        <w:tab/>
        <w:t xml:space="preserve">Building approval requirements and at least required services and other features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439"/>
        <w:gridCol w:w="2044"/>
        <w:gridCol w:w="4024"/>
        <w:gridCol w:w="2565"/>
      </w:tblGrid>
      <w:tr w:rsidR="00E713B0" w:rsidRPr="0009445C" w14:paraId="7CAACCC1" w14:textId="77777777" w:rsidTr="00E713B0">
        <w:trPr>
          <w:trHeight w:val="384"/>
          <w:tblHeader/>
        </w:trPr>
        <w:tc>
          <w:tcPr>
            <w:tcW w:w="439" w:type="dxa"/>
            <w:vMerge w:val="restart"/>
          </w:tcPr>
          <w:p w14:paraId="69B14284" w14:textId="77777777" w:rsidR="00E713B0" w:rsidRPr="0009445C" w:rsidRDefault="00E713B0" w:rsidP="00600F53">
            <w:pPr>
              <w:pStyle w:val="BRL-Tabelleberschrift"/>
              <w:rPr>
                <w:rFonts w:eastAsia="Calibri"/>
              </w:rPr>
            </w:pPr>
          </w:p>
        </w:tc>
        <w:tc>
          <w:tcPr>
            <w:tcW w:w="2044" w:type="dxa"/>
            <w:vMerge w:val="restart"/>
            <w:shd w:val="clear" w:color="auto" w:fill="auto"/>
          </w:tcPr>
          <w:p w14:paraId="5051A109" w14:textId="2E771718" w:rsidR="00E713B0" w:rsidRPr="0009445C" w:rsidRDefault="00E713B0" w:rsidP="00600F53">
            <w:pPr>
              <w:pStyle w:val="BRL-Tabelleberschrift"/>
              <w:rPr>
                <w:rFonts w:eastAsia="Calibri"/>
              </w:rPr>
            </w:pPr>
            <w:r w:rsidRPr="0009445C">
              <w:t>Building approval requirement</w:t>
            </w:r>
          </w:p>
        </w:tc>
        <w:tc>
          <w:tcPr>
            <w:tcW w:w="4024" w:type="dxa"/>
            <w:shd w:val="clear" w:color="auto" w:fill="auto"/>
          </w:tcPr>
          <w:p w14:paraId="669BC35D" w14:textId="77777777" w:rsidR="00E713B0" w:rsidRPr="0009445C" w:rsidRDefault="00E713B0" w:rsidP="00600F53">
            <w:pPr>
              <w:pStyle w:val="BRL-Tabelleberschrift"/>
              <w:rPr>
                <w:rFonts w:eastAsia="Calibri"/>
              </w:rPr>
            </w:pPr>
            <w:r w:rsidRPr="0009445C">
              <w:t>Minimum required performances</w:t>
            </w:r>
          </w:p>
        </w:tc>
        <w:tc>
          <w:tcPr>
            <w:tcW w:w="2565" w:type="dxa"/>
            <w:shd w:val="clear" w:color="auto" w:fill="auto"/>
          </w:tcPr>
          <w:p w14:paraId="00A2B29C" w14:textId="29BDD248" w:rsidR="00E713B0" w:rsidRPr="0009445C" w:rsidRDefault="00E713B0" w:rsidP="00600F53">
            <w:pPr>
              <w:pStyle w:val="BRL-Tabelleberschrift"/>
              <w:rPr>
                <w:rFonts w:eastAsia="Calibri"/>
              </w:rPr>
            </w:pPr>
            <w:r w:rsidRPr="0009445C">
              <w:t>Other features</w:t>
            </w:r>
          </w:p>
        </w:tc>
      </w:tr>
      <w:tr w:rsidR="00E713B0" w:rsidRPr="0009445C" w14:paraId="33FF6C5F" w14:textId="77777777" w:rsidTr="00E713B0">
        <w:trPr>
          <w:trHeight w:val="535"/>
          <w:tblHeader/>
        </w:trPr>
        <w:tc>
          <w:tcPr>
            <w:tcW w:w="439" w:type="dxa"/>
            <w:vMerge/>
          </w:tcPr>
          <w:p w14:paraId="3F7E1042" w14:textId="77777777" w:rsidR="00E713B0" w:rsidRPr="0009445C" w:rsidRDefault="00E713B0" w:rsidP="00600F53">
            <w:pPr>
              <w:pStyle w:val="BRL-Tabelleberschrift"/>
              <w:rPr>
                <w:rFonts w:eastAsia="Calibri"/>
              </w:rPr>
            </w:pPr>
          </w:p>
        </w:tc>
        <w:tc>
          <w:tcPr>
            <w:tcW w:w="2044" w:type="dxa"/>
            <w:vMerge/>
            <w:shd w:val="clear" w:color="auto" w:fill="auto"/>
          </w:tcPr>
          <w:p w14:paraId="62429B00" w14:textId="77777777" w:rsidR="00E713B0" w:rsidRPr="0009445C" w:rsidRDefault="00E713B0" w:rsidP="00600F53">
            <w:pPr>
              <w:pStyle w:val="BRL-Tabelleberschrift"/>
              <w:rPr>
                <w:rFonts w:eastAsia="Calibri"/>
              </w:rPr>
            </w:pPr>
          </w:p>
        </w:tc>
        <w:tc>
          <w:tcPr>
            <w:tcW w:w="4024" w:type="dxa"/>
            <w:shd w:val="clear" w:color="auto" w:fill="auto"/>
            <w:vAlign w:val="center"/>
          </w:tcPr>
          <w:p w14:paraId="304145D6" w14:textId="77777777" w:rsidR="00E713B0" w:rsidRPr="0009445C" w:rsidRDefault="00E713B0" w:rsidP="00600F53">
            <w:pPr>
              <w:pStyle w:val="BRL-Tabelleberschrift"/>
              <w:rPr>
                <w:rFonts w:eastAsia="Calibri"/>
              </w:rPr>
            </w:pPr>
            <w:r w:rsidRPr="0009445C">
              <w:t>Fire resistance and smoke-resistance for construction products as barriers</w:t>
            </w:r>
            <w:r w:rsidRPr="0009445C">
              <w:rPr>
                <w:vertAlign w:val="superscript"/>
              </w:rPr>
              <w:t>1,2</w:t>
            </w:r>
          </w:p>
        </w:tc>
        <w:tc>
          <w:tcPr>
            <w:tcW w:w="2565" w:type="dxa"/>
            <w:shd w:val="clear" w:color="auto" w:fill="auto"/>
          </w:tcPr>
          <w:p w14:paraId="5320FFBA" w14:textId="77777777" w:rsidR="00E713B0" w:rsidRPr="0009445C" w:rsidRDefault="00E713B0" w:rsidP="00600F53">
            <w:pPr>
              <w:pStyle w:val="BRL-Tabelleberschrift"/>
              <w:rPr>
                <w:rFonts w:eastAsia="Calibri"/>
              </w:rPr>
            </w:pPr>
            <w:r w:rsidRPr="0009445C">
              <w:t>Fire performance</w:t>
            </w:r>
          </w:p>
        </w:tc>
      </w:tr>
      <w:tr w:rsidR="00E713B0" w:rsidRPr="0009445C" w14:paraId="3E182928" w14:textId="77777777" w:rsidTr="00E713B0">
        <w:trPr>
          <w:trHeight w:val="386"/>
          <w:tblHeader/>
        </w:trPr>
        <w:tc>
          <w:tcPr>
            <w:tcW w:w="439" w:type="dxa"/>
          </w:tcPr>
          <w:p w14:paraId="68ED3E45" w14:textId="77777777" w:rsidR="00E713B0" w:rsidRPr="0009445C" w:rsidRDefault="00E713B0" w:rsidP="00600F53">
            <w:pPr>
              <w:pStyle w:val="BRL-Tabelleberschrift"/>
              <w:rPr>
                <w:rFonts w:eastAsia="Calibri"/>
              </w:rPr>
            </w:pPr>
          </w:p>
        </w:tc>
        <w:tc>
          <w:tcPr>
            <w:tcW w:w="2044" w:type="dxa"/>
            <w:shd w:val="clear" w:color="auto" w:fill="auto"/>
            <w:vAlign w:val="center"/>
          </w:tcPr>
          <w:p w14:paraId="707ABB06" w14:textId="77777777" w:rsidR="00E713B0" w:rsidRPr="0009445C" w:rsidRDefault="00E713B0" w:rsidP="00600F53">
            <w:pPr>
              <w:pStyle w:val="BRL-Tabelleberschrift"/>
              <w:rPr>
                <w:rFonts w:eastAsia="Calibri"/>
              </w:rPr>
            </w:pPr>
            <w:r w:rsidRPr="0009445C">
              <w:t>1</w:t>
            </w:r>
          </w:p>
        </w:tc>
        <w:tc>
          <w:tcPr>
            <w:tcW w:w="4024" w:type="dxa"/>
            <w:shd w:val="clear" w:color="auto" w:fill="auto"/>
            <w:vAlign w:val="center"/>
          </w:tcPr>
          <w:p w14:paraId="2F65CCD7" w14:textId="77777777" w:rsidR="00E713B0" w:rsidRPr="0009445C" w:rsidRDefault="00E713B0" w:rsidP="00600F53">
            <w:pPr>
              <w:pStyle w:val="BRL-Tabelleberschrift"/>
              <w:rPr>
                <w:rFonts w:eastAsia="Calibri"/>
              </w:rPr>
            </w:pPr>
            <w:r w:rsidRPr="0009445C">
              <w:t>2</w:t>
            </w:r>
          </w:p>
        </w:tc>
        <w:tc>
          <w:tcPr>
            <w:tcW w:w="2565" w:type="dxa"/>
            <w:shd w:val="clear" w:color="auto" w:fill="auto"/>
            <w:vAlign w:val="center"/>
          </w:tcPr>
          <w:p w14:paraId="6F703117" w14:textId="77777777" w:rsidR="00E713B0" w:rsidRPr="0009445C" w:rsidRDefault="00E713B0" w:rsidP="00600F53">
            <w:pPr>
              <w:pStyle w:val="BRL-Tabelleberschrift"/>
              <w:rPr>
                <w:rFonts w:eastAsia="Calibri"/>
              </w:rPr>
            </w:pPr>
            <w:r w:rsidRPr="0009445C">
              <w:t>3</w:t>
            </w:r>
          </w:p>
        </w:tc>
      </w:tr>
      <w:tr w:rsidR="00E713B0" w:rsidRPr="0009445C" w14:paraId="70BE6CFF" w14:textId="77777777" w:rsidTr="00E713B0">
        <w:trPr>
          <w:trHeight w:val="556"/>
        </w:trPr>
        <w:tc>
          <w:tcPr>
            <w:tcW w:w="439" w:type="dxa"/>
          </w:tcPr>
          <w:p w14:paraId="3FEFA94A" w14:textId="77777777" w:rsidR="00E713B0" w:rsidRPr="0009445C" w:rsidRDefault="00E713B0" w:rsidP="00E713B0">
            <w:pPr>
              <w:pStyle w:val="BRL-Tabelle"/>
              <w:spacing w:before="60" w:after="40"/>
              <w:jc w:val="center"/>
              <w:rPr>
                <w:rFonts w:eastAsia="Calibri"/>
                <w:b/>
              </w:rPr>
            </w:pPr>
            <w:r w:rsidRPr="0009445C">
              <w:rPr>
                <w:b/>
              </w:rPr>
              <w:t>1</w:t>
            </w:r>
          </w:p>
        </w:tc>
        <w:tc>
          <w:tcPr>
            <w:tcW w:w="2044" w:type="dxa"/>
            <w:shd w:val="clear" w:color="auto" w:fill="auto"/>
          </w:tcPr>
          <w:p w14:paraId="683E59D7" w14:textId="77777777" w:rsidR="00E713B0" w:rsidRPr="0009445C" w:rsidRDefault="00E713B0" w:rsidP="00E713B0">
            <w:pPr>
              <w:pStyle w:val="BRL-Tabelle"/>
              <w:spacing w:before="60" w:after="40"/>
              <w:rPr>
                <w:rFonts w:eastAsia="Calibri"/>
              </w:rPr>
            </w:pPr>
            <w:r w:rsidRPr="0009445C">
              <w:t>Fire-retardant, tight-sealing self-closing</w:t>
            </w:r>
          </w:p>
        </w:tc>
        <w:tc>
          <w:tcPr>
            <w:tcW w:w="4024" w:type="dxa"/>
            <w:shd w:val="clear" w:color="auto" w:fill="auto"/>
          </w:tcPr>
          <w:p w14:paraId="3B0984C4" w14:textId="77777777" w:rsidR="00E713B0" w:rsidRPr="0009445C" w:rsidRDefault="00E713B0" w:rsidP="00E713B0">
            <w:pPr>
              <w:pStyle w:val="BRL-Tabelle"/>
              <w:spacing w:before="60" w:after="40"/>
              <w:rPr>
                <w:rFonts w:eastAsia="Calibri"/>
              </w:rPr>
            </w:pPr>
            <w:r w:rsidRPr="0009445C">
              <w:t>EI</w:t>
            </w:r>
            <w:r w:rsidRPr="0009445C">
              <w:rPr>
                <w:vertAlign w:val="subscript"/>
              </w:rPr>
              <w:t>2</w:t>
            </w:r>
            <w:r w:rsidRPr="0009445C">
              <w:t>30</w:t>
            </w:r>
          </w:p>
          <w:p w14:paraId="7737301C"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a</w:t>
            </w:r>
          </w:p>
          <w:p w14:paraId="1B3DAB5E" w14:textId="7238D079" w:rsidR="00E713B0" w:rsidRPr="0009445C" w:rsidRDefault="00E713B0" w:rsidP="00E713B0">
            <w:pPr>
              <w:pStyle w:val="BRL-Tabelle"/>
              <w:spacing w:before="60" w:after="40"/>
              <w:rPr>
                <w:rFonts w:eastAsia="Calibri"/>
              </w:rPr>
            </w:pPr>
            <w:r w:rsidRPr="0009445C">
              <w:t>C</w:t>
            </w:r>
            <w:r w:rsidRPr="0009445C">
              <w:rPr>
                <w:vertAlign w:val="superscript"/>
              </w:rPr>
              <w:br/>
            </w:r>
            <w:r w:rsidRPr="0009445C">
              <w:t>Continuous Function Check</w:t>
            </w:r>
            <w:r w:rsidRPr="0009445C">
              <w:rPr>
                <w:vertAlign w:val="superscript"/>
              </w:rPr>
              <w:t>2</w:t>
            </w:r>
          </w:p>
        </w:tc>
        <w:tc>
          <w:tcPr>
            <w:tcW w:w="2565" w:type="dxa"/>
            <w:vMerge w:val="restart"/>
            <w:shd w:val="clear" w:color="auto" w:fill="auto"/>
            <w:vAlign w:val="center"/>
          </w:tcPr>
          <w:p w14:paraId="27E3FF1B" w14:textId="77777777" w:rsidR="00E713B0" w:rsidRPr="0009445C" w:rsidRDefault="00E713B0" w:rsidP="00E713B0">
            <w:pPr>
              <w:pStyle w:val="BRL-Tabelle"/>
              <w:spacing w:before="60" w:after="40"/>
              <w:jc w:val="center"/>
              <w:rPr>
                <w:rFonts w:eastAsia="Calibri"/>
              </w:rPr>
            </w:pPr>
            <w:r w:rsidRPr="0009445C">
              <w:t>E – d2</w:t>
            </w:r>
          </w:p>
        </w:tc>
      </w:tr>
      <w:tr w:rsidR="00E713B0" w:rsidRPr="0009445C" w14:paraId="658A9F4D" w14:textId="77777777" w:rsidTr="00E713B0">
        <w:trPr>
          <w:trHeight w:val="556"/>
        </w:trPr>
        <w:tc>
          <w:tcPr>
            <w:tcW w:w="439" w:type="dxa"/>
          </w:tcPr>
          <w:p w14:paraId="546869B2" w14:textId="77777777" w:rsidR="00E713B0" w:rsidRPr="0009445C" w:rsidRDefault="00E713B0" w:rsidP="00E713B0">
            <w:pPr>
              <w:pStyle w:val="BRL-Tabelle"/>
              <w:spacing w:before="60" w:after="40"/>
              <w:jc w:val="center"/>
              <w:rPr>
                <w:rFonts w:eastAsia="Calibri"/>
                <w:b/>
              </w:rPr>
            </w:pPr>
            <w:r w:rsidRPr="0009445C">
              <w:rPr>
                <w:b/>
              </w:rPr>
              <w:t>2</w:t>
            </w:r>
          </w:p>
        </w:tc>
        <w:tc>
          <w:tcPr>
            <w:tcW w:w="2044" w:type="dxa"/>
            <w:shd w:val="clear" w:color="auto" w:fill="auto"/>
          </w:tcPr>
          <w:p w14:paraId="44ABC3A1" w14:textId="77777777" w:rsidR="00E713B0" w:rsidRPr="0009445C" w:rsidRDefault="00E713B0" w:rsidP="00E713B0">
            <w:pPr>
              <w:pStyle w:val="BRL-Tabelle"/>
              <w:spacing w:before="60" w:after="40"/>
              <w:rPr>
                <w:rFonts w:eastAsia="Calibri"/>
              </w:rPr>
            </w:pPr>
            <w:r w:rsidRPr="0009445C">
              <w:t>Highly fire-retardant, tight-sealing self-closing</w:t>
            </w:r>
          </w:p>
        </w:tc>
        <w:tc>
          <w:tcPr>
            <w:tcW w:w="4024" w:type="dxa"/>
            <w:shd w:val="clear" w:color="auto" w:fill="auto"/>
          </w:tcPr>
          <w:p w14:paraId="0C7CDBE5" w14:textId="77777777" w:rsidR="00E713B0" w:rsidRPr="0009445C" w:rsidRDefault="00E713B0" w:rsidP="00E713B0">
            <w:pPr>
              <w:pStyle w:val="BRL-Tabelle"/>
              <w:spacing w:before="60" w:after="40"/>
              <w:rPr>
                <w:rFonts w:eastAsia="Calibri"/>
              </w:rPr>
            </w:pPr>
            <w:r w:rsidRPr="0009445C">
              <w:t>EI</w:t>
            </w:r>
            <w:r w:rsidRPr="0009445C">
              <w:rPr>
                <w:vertAlign w:val="subscript"/>
              </w:rPr>
              <w:t xml:space="preserve">2 </w:t>
            </w:r>
            <w:r w:rsidRPr="0009445C">
              <w:t>60</w:t>
            </w:r>
          </w:p>
          <w:p w14:paraId="2D0CA2F4"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a</w:t>
            </w:r>
          </w:p>
          <w:p w14:paraId="58D43E69" w14:textId="08A29444" w:rsidR="00E713B0" w:rsidRPr="0009445C" w:rsidRDefault="00E713B0" w:rsidP="00E713B0">
            <w:pPr>
              <w:pStyle w:val="BRL-Tabelle"/>
              <w:spacing w:before="60" w:after="40"/>
              <w:rPr>
                <w:rFonts w:eastAsia="Calibri"/>
              </w:rPr>
            </w:pPr>
            <w:r w:rsidRPr="0009445C">
              <w:t>C</w:t>
            </w:r>
            <w:r w:rsidRPr="0009445C">
              <w:br/>
              <w:t>Continuous function test</w:t>
            </w:r>
            <w:r w:rsidRPr="0009445C">
              <w:rPr>
                <w:vertAlign w:val="superscript"/>
              </w:rPr>
              <w:t>2</w:t>
            </w:r>
          </w:p>
        </w:tc>
        <w:tc>
          <w:tcPr>
            <w:tcW w:w="2565" w:type="dxa"/>
            <w:vMerge/>
            <w:shd w:val="clear" w:color="auto" w:fill="auto"/>
          </w:tcPr>
          <w:p w14:paraId="616B1ED4" w14:textId="77777777" w:rsidR="00E713B0" w:rsidRPr="0009445C" w:rsidRDefault="00E713B0" w:rsidP="00E713B0">
            <w:pPr>
              <w:pStyle w:val="BRL-Tabelle"/>
              <w:spacing w:before="60" w:after="40"/>
              <w:rPr>
                <w:rFonts w:eastAsia="Calibri"/>
              </w:rPr>
            </w:pPr>
          </w:p>
        </w:tc>
      </w:tr>
      <w:tr w:rsidR="00E713B0" w:rsidRPr="0009445C" w14:paraId="6E6CFA18" w14:textId="77777777" w:rsidTr="00E713B0">
        <w:trPr>
          <w:trHeight w:val="556"/>
        </w:trPr>
        <w:tc>
          <w:tcPr>
            <w:tcW w:w="439" w:type="dxa"/>
          </w:tcPr>
          <w:p w14:paraId="120E4995" w14:textId="77777777" w:rsidR="00E713B0" w:rsidRPr="0009445C" w:rsidRDefault="00E713B0" w:rsidP="00E713B0">
            <w:pPr>
              <w:pStyle w:val="BRL-Tabelle"/>
              <w:spacing w:before="60" w:after="40"/>
              <w:jc w:val="center"/>
              <w:rPr>
                <w:rFonts w:eastAsia="Calibri"/>
                <w:b/>
              </w:rPr>
            </w:pPr>
            <w:r w:rsidRPr="0009445C">
              <w:rPr>
                <w:b/>
              </w:rPr>
              <w:t>3</w:t>
            </w:r>
          </w:p>
        </w:tc>
        <w:tc>
          <w:tcPr>
            <w:tcW w:w="2044" w:type="dxa"/>
            <w:shd w:val="clear" w:color="auto" w:fill="auto"/>
          </w:tcPr>
          <w:p w14:paraId="49298F3A" w14:textId="77777777" w:rsidR="00E713B0" w:rsidRPr="0009445C" w:rsidRDefault="00E713B0" w:rsidP="00E713B0">
            <w:pPr>
              <w:pStyle w:val="BRL-Tabelle"/>
              <w:spacing w:before="60" w:after="40"/>
              <w:rPr>
                <w:rFonts w:eastAsia="Calibri"/>
              </w:rPr>
            </w:pPr>
            <w:r w:rsidRPr="0009445C">
              <w:t>Fire resistant, tight-sealing self-closing</w:t>
            </w:r>
          </w:p>
        </w:tc>
        <w:tc>
          <w:tcPr>
            <w:tcW w:w="4024" w:type="dxa"/>
            <w:shd w:val="clear" w:color="auto" w:fill="auto"/>
          </w:tcPr>
          <w:p w14:paraId="5A688374" w14:textId="77777777" w:rsidR="00E713B0" w:rsidRPr="0009445C" w:rsidRDefault="00E713B0" w:rsidP="00E713B0">
            <w:pPr>
              <w:pStyle w:val="BRL-Tabelle"/>
              <w:spacing w:before="60" w:after="40"/>
              <w:rPr>
                <w:rFonts w:eastAsia="Calibri"/>
              </w:rPr>
            </w:pPr>
            <w:r w:rsidRPr="0009445C">
              <w:t>EI</w:t>
            </w:r>
            <w:r w:rsidRPr="0009445C">
              <w:rPr>
                <w:vertAlign w:val="subscript"/>
              </w:rPr>
              <w:t>2</w:t>
            </w:r>
            <w:r w:rsidRPr="0009445C">
              <w:t>90</w:t>
            </w:r>
          </w:p>
          <w:p w14:paraId="7687DBBE"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a</w:t>
            </w:r>
          </w:p>
          <w:p w14:paraId="550609B9" w14:textId="601EB42A" w:rsidR="00E713B0" w:rsidRPr="0009445C" w:rsidRDefault="00E713B0" w:rsidP="00E713B0">
            <w:pPr>
              <w:pStyle w:val="BRL-Tabelle"/>
              <w:spacing w:before="60" w:after="40"/>
              <w:rPr>
                <w:rFonts w:eastAsia="Calibri"/>
              </w:rPr>
            </w:pPr>
            <w:r w:rsidRPr="0009445C">
              <w:t>C</w:t>
            </w:r>
            <w:r w:rsidRPr="0009445C">
              <w:br/>
              <w:t>Continuous function test</w:t>
            </w:r>
            <w:r w:rsidRPr="0009445C">
              <w:rPr>
                <w:vertAlign w:val="superscript"/>
              </w:rPr>
              <w:t>2</w:t>
            </w:r>
          </w:p>
        </w:tc>
        <w:tc>
          <w:tcPr>
            <w:tcW w:w="2565" w:type="dxa"/>
            <w:vMerge/>
            <w:shd w:val="clear" w:color="auto" w:fill="auto"/>
          </w:tcPr>
          <w:p w14:paraId="63AFE83B" w14:textId="77777777" w:rsidR="00E713B0" w:rsidRPr="0009445C" w:rsidRDefault="00E713B0" w:rsidP="00E713B0">
            <w:pPr>
              <w:pStyle w:val="BRL-Tabelle"/>
              <w:spacing w:before="60" w:after="40"/>
              <w:rPr>
                <w:rFonts w:eastAsia="Calibri"/>
              </w:rPr>
            </w:pPr>
          </w:p>
        </w:tc>
      </w:tr>
      <w:tr w:rsidR="00E713B0" w:rsidRPr="0009445C" w14:paraId="68526381" w14:textId="77777777" w:rsidTr="00E713B0">
        <w:trPr>
          <w:trHeight w:val="556"/>
        </w:trPr>
        <w:tc>
          <w:tcPr>
            <w:tcW w:w="439" w:type="dxa"/>
          </w:tcPr>
          <w:p w14:paraId="65C362AD" w14:textId="77777777" w:rsidR="00E713B0" w:rsidRPr="0009445C" w:rsidRDefault="00E713B0" w:rsidP="00E713B0">
            <w:pPr>
              <w:pStyle w:val="BRL-Tabelle"/>
              <w:spacing w:before="60" w:after="40"/>
              <w:jc w:val="center"/>
              <w:rPr>
                <w:rFonts w:eastAsia="Calibri"/>
                <w:b/>
              </w:rPr>
            </w:pPr>
            <w:r w:rsidRPr="0009445C">
              <w:rPr>
                <w:b/>
              </w:rPr>
              <w:t>4</w:t>
            </w:r>
          </w:p>
        </w:tc>
        <w:tc>
          <w:tcPr>
            <w:tcW w:w="2044" w:type="dxa"/>
            <w:shd w:val="clear" w:color="auto" w:fill="auto"/>
          </w:tcPr>
          <w:p w14:paraId="13AD7FB6" w14:textId="77777777" w:rsidR="00E713B0" w:rsidRPr="0009445C" w:rsidRDefault="00E713B0" w:rsidP="00E713B0">
            <w:pPr>
              <w:pStyle w:val="BRL-Tabelle"/>
              <w:spacing w:before="60" w:after="40"/>
              <w:rPr>
                <w:rFonts w:eastAsia="Calibri"/>
              </w:rPr>
            </w:pPr>
            <w:r w:rsidRPr="0009445C">
              <w:t>Fire-retardant, smoke-proof, self-closing</w:t>
            </w:r>
          </w:p>
        </w:tc>
        <w:tc>
          <w:tcPr>
            <w:tcW w:w="4024" w:type="dxa"/>
            <w:shd w:val="clear" w:color="auto" w:fill="auto"/>
          </w:tcPr>
          <w:p w14:paraId="02091C13" w14:textId="77777777" w:rsidR="00E713B0" w:rsidRPr="0009445C" w:rsidRDefault="00E713B0" w:rsidP="00E713B0">
            <w:pPr>
              <w:pStyle w:val="BRL-Tabelle"/>
              <w:spacing w:before="60" w:after="40"/>
              <w:rPr>
                <w:rFonts w:eastAsia="Calibri"/>
              </w:rPr>
            </w:pPr>
            <w:r w:rsidRPr="0009445C">
              <w:t>EI</w:t>
            </w:r>
            <w:r w:rsidRPr="0009445C">
              <w:rPr>
                <w:vertAlign w:val="subscript"/>
              </w:rPr>
              <w:t>2</w:t>
            </w:r>
            <w:r w:rsidRPr="0009445C">
              <w:t>30</w:t>
            </w:r>
          </w:p>
          <w:p w14:paraId="3286A5CC"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200</w:t>
            </w:r>
          </w:p>
          <w:p w14:paraId="729352FC" w14:textId="14F2A9B2" w:rsidR="00E713B0" w:rsidRPr="0009445C" w:rsidRDefault="00E713B0" w:rsidP="00E713B0">
            <w:pPr>
              <w:pStyle w:val="BRL-Tabelle"/>
              <w:spacing w:before="60" w:after="40"/>
              <w:rPr>
                <w:rFonts w:eastAsia="Calibri"/>
              </w:rPr>
            </w:pPr>
            <w:r w:rsidRPr="0009445C">
              <w:t>C</w:t>
            </w:r>
            <w:r w:rsidRPr="0009445C">
              <w:br/>
              <w:t>Continuous function test</w:t>
            </w:r>
            <w:r w:rsidRPr="0009445C">
              <w:rPr>
                <w:vertAlign w:val="superscript"/>
              </w:rPr>
              <w:t>2</w:t>
            </w:r>
          </w:p>
        </w:tc>
        <w:tc>
          <w:tcPr>
            <w:tcW w:w="2565" w:type="dxa"/>
            <w:vMerge/>
            <w:shd w:val="clear" w:color="auto" w:fill="auto"/>
          </w:tcPr>
          <w:p w14:paraId="18E37028" w14:textId="77777777" w:rsidR="00E713B0" w:rsidRPr="0009445C" w:rsidRDefault="00E713B0" w:rsidP="00E713B0">
            <w:pPr>
              <w:pStyle w:val="BRL-Tabelle"/>
              <w:spacing w:before="60" w:after="40"/>
              <w:rPr>
                <w:rFonts w:eastAsia="Calibri"/>
              </w:rPr>
            </w:pPr>
          </w:p>
        </w:tc>
      </w:tr>
      <w:tr w:rsidR="00E713B0" w:rsidRPr="0009445C" w14:paraId="052A5809" w14:textId="77777777" w:rsidTr="00E713B0">
        <w:trPr>
          <w:trHeight w:val="556"/>
        </w:trPr>
        <w:tc>
          <w:tcPr>
            <w:tcW w:w="439" w:type="dxa"/>
          </w:tcPr>
          <w:p w14:paraId="3BC035D0" w14:textId="77777777" w:rsidR="00E713B0" w:rsidRPr="0009445C" w:rsidRDefault="00E713B0" w:rsidP="00E713B0">
            <w:pPr>
              <w:pStyle w:val="BRL-Tabelle"/>
              <w:spacing w:before="60" w:after="40"/>
              <w:jc w:val="center"/>
              <w:rPr>
                <w:rFonts w:eastAsia="Calibri"/>
                <w:b/>
              </w:rPr>
            </w:pPr>
            <w:r w:rsidRPr="0009445C">
              <w:rPr>
                <w:b/>
              </w:rPr>
              <w:t>5</w:t>
            </w:r>
          </w:p>
        </w:tc>
        <w:tc>
          <w:tcPr>
            <w:tcW w:w="2044" w:type="dxa"/>
            <w:shd w:val="clear" w:color="auto" w:fill="auto"/>
          </w:tcPr>
          <w:p w14:paraId="57DD4042" w14:textId="77777777" w:rsidR="00E713B0" w:rsidRPr="0009445C" w:rsidRDefault="00E713B0" w:rsidP="00E713B0">
            <w:pPr>
              <w:pStyle w:val="BRL-Tabelle"/>
              <w:spacing w:before="60" w:after="40"/>
              <w:rPr>
                <w:rFonts w:eastAsia="Calibri"/>
              </w:rPr>
            </w:pPr>
            <w:r w:rsidRPr="0009445C">
              <w:t>Highly fire-retardant, smoke-proof, self-closing</w:t>
            </w:r>
          </w:p>
        </w:tc>
        <w:tc>
          <w:tcPr>
            <w:tcW w:w="4024" w:type="dxa"/>
            <w:shd w:val="clear" w:color="auto" w:fill="auto"/>
          </w:tcPr>
          <w:p w14:paraId="5DF6F9B1" w14:textId="77777777" w:rsidR="00E713B0" w:rsidRPr="0009445C" w:rsidRDefault="00E713B0" w:rsidP="00E713B0">
            <w:pPr>
              <w:pStyle w:val="BRL-Tabelle"/>
              <w:spacing w:before="60" w:after="40"/>
              <w:rPr>
                <w:rFonts w:eastAsia="Calibri"/>
              </w:rPr>
            </w:pPr>
            <w:r w:rsidRPr="0009445C">
              <w:t>EI</w:t>
            </w:r>
            <w:r w:rsidRPr="0009445C">
              <w:rPr>
                <w:vertAlign w:val="subscript"/>
              </w:rPr>
              <w:t xml:space="preserve">2 </w:t>
            </w:r>
            <w:r w:rsidRPr="0009445C">
              <w:t>60</w:t>
            </w:r>
          </w:p>
          <w:p w14:paraId="66D5F3B5"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200</w:t>
            </w:r>
          </w:p>
          <w:p w14:paraId="38F362FC" w14:textId="3A0640D9" w:rsidR="00E713B0" w:rsidRPr="0009445C" w:rsidRDefault="00E713B0" w:rsidP="00E713B0">
            <w:pPr>
              <w:pStyle w:val="BRL-Tabelle"/>
              <w:spacing w:before="60" w:after="40"/>
              <w:rPr>
                <w:rFonts w:eastAsia="Calibri"/>
              </w:rPr>
            </w:pPr>
            <w:r w:rsidRPr="0009445C">
              <w:lastRenderedPageBreak/>
              <w:t>C</w:t>
            </w:r>
            <w:r w:rsidRPr="0009445C">
              <w:br/>
              <w:t>Continuous function test</w:t>
            </w:r>
            <w:r w:rsidRPr="0009445C">
              <w:rPr>
                <w:vertAlign w:val="superscript"/>
              </w:rPr>
              <w:t>2</w:t>
            </w:r>
          </w:p>
        </w:tc>
        <w:tc>
          <w:tcPr>
            <w:tcW w:w="2565" w:type="dxa"/>
            <w:vMerge/>
            <w:shd w:val="clear" w:color="auto" w:fill="auto"/>
          </w:tcPr>
          <w:p w14:paraId="6C293D87" w14:textId="77777777" w:rsidR="00E713B0" w:rsidRPr="0009445C" w:rsidRDefault="00E713B0" w:rsidP="00E713B0">
            <w:pPr>
              <w:pStyle w:val="BRL-Tabelle"/>
              <w:spacing w:before="60" w:after="40"/>
              <w:rPr>
                <w:rFonts w:eastAsia="Calibri"/>
              </w:rPr>
            </w:pPr>
          </w:p>
        </w:tc>
      </w:tr>
      <w:tr w:rsidR="00E713B0" w:rsidRPr="0009445C" w14:paraId="4A2B0D4F" w14:textId="77777777" w:rsidTr="00E713B0">
        <w:trPr>
          <w:trHeight w:val="556"/>
        </w:trPr>
        <w:tc>
          <w:tcPr>
            <w:tcW w:w="439" w:type="dxa"/>
          </w:tcPr>
          <w:p w14:paraId="44800BA4" w14:textId="77777777" w:rsidR="00E713B0" w:rsidRPr="0009445C" w:rsidRDefault="00E713B0" w:rsidP="00E713B0">
            <w:pPr>
              <w:pStyle w:val="BRL-Tabelle"/>
              <w:spacing w:before="60" w:after="40"/>
              <w:jc w:val="center"/>
              <w:rPr>
                <w:rFonts w:eastAsia="Calibri"/>
                <w:b/>
              </w:rPr>
            </w:pPr>
            <w:r w:rsidRPr="0009445C">
              <w:rPr>
                <w:b/>
              </w:rPr>
              <w:t>6</w:t>
            </w:r>
          </w:p>
        </w:tc>
        <w:tc>
          <w:tcPr>
            <w:tcW w:w="2044" w:type="dxa"/>
            <w:shd w:val="clear" w:color="auto" w:fill="auto"/>
          </w:tcPr>
          <w:p w14:paraId="7F4B5928" w14:textId="77777777" w:rsidR="00E713B0" w:rsidRPr="0009445C" w:rsidRDefault="00E713B0" w:rsidP="00E713B0">
            <w:pPr>
              <w:pStyle w:val="BRL-Tabelle"/>
              <w:spacing w:before="60" w:after="40"/>
              <w:rPr>
                <w:rFonts w:eastAsia="Calibri"/>
              </w:rPr>
            </w:pPr>
            <w:r w:rsidRPr="0009445C">
              <w:t>Fire-resistant, smoke-proof, self-closing</w:t>
            </w:r>
          </w:p>
        </w:tc>
        <w:tc>
          <w:tcPr>
            <w:tcW w:w="4024" w:type="dxa"/>
            <w:shd w:val="clear" w:color="auto" w:fill="auto"/>
          </w:tcPr>
          <w:p w14:paraId="08A857C9" w14:textId="77777777" w:rsidR="00E713B0" w:rsidRPr="0009445C" w:rsidRDefault="00E713B0" w:rsidP="00E713B0">
            <w:pPr>
              <w:pStyle w:val="BRL-Tabelle"/>
              <w:spacing w:before="60" w:after="40"/>
              <w:rPr>
                <w:rFonts w:eastAsia="Calibri"/>
              </w:rPr>
            </w:pPr>
            <w:r w:rsidRPr="0009445C">
              <w:t>EI</w:t>
            </w:r>
            <w:r w:rsidRPr="0009445C">
              <w:rPr>
                <w:vertAlign w:val="subscript"/>
              </w:rPr>
              <w:t>2</w:t>
            </w:r>
            <w:r w:rsidRPr="0009445C">
              <w:t>90</w:t>
            </w:r>
          </w:p>
          <w:p w14:paraId="3D3C5E0F"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200</w:t>
            </w:r>
          </w:p>
          <w:p w14:paraId="4FF14D73" w14:textId="3C64BD7F" w:rsidR="00E713B0" w:rsidRPr="0009445C" w:rsidRDefault="00E713B0" w:rsidP="00E713B0">
            <w:pPr>
              <w:pStyle w:val="BRL-Tabelle"/>
              <w:spacing w:before="60" w:after="40"/>
              <w:rPr>
                <w:rFonts w:eastAsia="Calibri"/>
              </w:rPr>
            </w:pPr>
            <w:r w:rsidRPr="0009445C">
              <w:t>C</w:t>
            </w:r>
            <w:r w:rsidRPr="0009445C">
              <w:br/>
              <w:t>Continuous function test</w:t>
            </w:r>
            <w:r w:rsidRPr="0009445C">
              <w:rPr>
                <w:vertAlign w:val="superscript"/>
              </w:rPr>
              <w:t>2</w:t>
            </w:r>
          </w:p>
        </w:tc>
        <w:tc>
          <w:tcPr>
            <w:tcW w:w="2565" w:type="dxa"/>
            <w:vMerge/>
            <w:shd w:val="clear" w:color="auto" w:fill="auto"/>
          </w:tcPr>
          <w:p w14:paraId="7735131C" w14:textId="77777777" w:rsidR="00E713B0" w:rsidRPr="0009445C" w:rsidRDefault="00E713B0" w:rsidP="00E713B0">
            <w:pPr>
              <w:pStyle w:val="BRL-Tabelle"/>
              <w:spacing w:before="60" w:after="40"/>
              <w:rPr>
                <w:rFonts w:eastAsia="Calibri"/>
              </w:rPr>
            </w:pPr>
          </w:p>
        </w:tc>
      </w:tr>
      <w:tr w:rsidR="00E713B0" w:rsidRPr="0009445C" w14:paraId="4CDECFF9" w14:textId="77777777" w:rsidTr="00E713B0">
        <w:trPr>
          <w:trHeight w:val="556"/>
        </w:trPr>
        <w:tc>
          <w:tcPr>
            <w:tcW w:w="439" w:type="dxa"/>
          </w:tcPr>
          <w:p w14:paraId="70AA7E84" w14:textId="77777777" w:rsidR="00E713B0" w:rsidRPr="0009445C" w:rsidRDefault="00E713B0" w:rsidP="00E713B0">
            <w:pPr>
              <w:pStyle w:val="BRL-Tabelle"/>
              <w:spacing w:before="60" w:after="40"/>
              <w:jc w:val="center"/>
              <w:rPr>
                <w:rFonts w:eastAsia="Calibri"/>
                <w:b/>
              </w:rPr>
            </w:pPr>
            <w:r w:rsidRPr="0009445C">
              <w:rPr>
                <w:b/>
              </w:rPr>
              <w:t>7</w:t>
            </w:r>
          </w:p>
        </w:tc>
        <w:tc>
          <w:tcPr>
            <w:tcW w:w="2044" w:type="dxa"/>
            <w:shd w:val="clear" w:color="auto" w:fill="auto"/>
          </w:tcPr>
          <w:p w14:paraId="57C48098" w14:textId="77777777" w:rsidR="00E713B0" w:rsidRPr="0009445C" w:rsidRDefault="00E713B0" w:rsidP="00E713B0">
            <w:pPr>
              <w:pStyle w:val="BRL-Tabelle"/>
              <w:spacing w:before="60" w:after="40"/>
              <w:rPr>
                <w:rFonts w:eastAsia="Calibri"/>
              </w:rPr>
            </w:pPr>
            <w:r w:rsidRPr="0009445C">
              <w:t>Smoke-proof and self-closing</w:t>
            </w:r>
          </w:p>
        </w:tc>
        <w:tc>
          <w:tcPr>
            <w:tcW w:w="4024" w:type="dxa"/>
            <w:shd w:val="clear" w:color="auto" w:fill="auto"/>
          </w:tcPr>
          <w:p w14:paraId="28861DC3" w14:textId="77777777" w:rsidR="00E713B0" w:rsidRPr="0009445C" w:rsidRDefault="00E713B0" w:rsidP="00E713B0">
            <w:pPr>
              <w:pStyle w:val="BRL-Tabelle"/>
              <w:spacing w:before="60" w:after="40"/>
              <w:rPr>
                <w:rFonts w:eastAsia="Calibri"/>
                <w:vertAlign w:val="subscript"/>
              </w:rPr>
            </w:pPr>
            <w:r w:rsidRPr="0009445C">
              <w:t>S</w:t>
            </w:r>
            <w:r w:rsidRPr="0009445C">
              <w:rPr>
                <w:vertAlign w:val="subscript"/>
              </w:rPr>
              <w:t>200</w:t>
            </w:r>
          </w:p>
          <w:p w14:paraId="3C3093D0" w14:textId="7FC694F0" w:rsidR="00E713B0" w:rsidRPr="0009445C" w:rsidRDefault="00E713B0" w:rsidP="00E713B0">
            <w:pPr>
              <w:pStyle w:val="BRL-Tabelle"/>
              <w:spacing w:before="60" w:after="40"/>
              <w:rPr>
                <w:rFonts w:eastAsia="Calibri"/>
              </w:rPr>
            </w:pPr>
            <w:r w:rsidRPr="0009445C">
              <w:t>C</w:t>
            </w:r>
            <w:r w:rsidRPr="0009445C">
              <w:br/>
              <w:t>Continuous function test</w:t>
            </w:r>
            <w:r w:rsidRPr="0009445C">
              <w:rPr>
                <w:vertAlign w:val="superscript"/>
              </w:rPr>
              <w:t>2</w:t>
            </w:r>
          </w:p>
        </w:tc>
        <w:tc>
          <w:tcPr>
            <w:tcW w:w="2565" w:type="dxa"/>
            <w:vMerge/>
            <w:shd w:val="clear" w:color="auto" w:fill="auto"/>
          </w:tcPr>
          <w:p w14:paraId="2EA36177" w14:textId="77777777" w:rsidR="00E713B0" w:rsidRPr="0009445C" w:rsidRDefault="00E713B0" w:rsidP="00E713B0">
            <w:pPr>
              <w:pStyle w:val="BRL-Tabelle"/>
              <w:spacing w:before="60" w:after="40"/>
              <w:rPr>
                <w:rFonts w:eastAsia="Calibri"/>
              </w:rPr>
            </w:pPr>
          </w:p>
        </w:tc>
      </w:tr>
      <w:tr w:rsidR="00E713B0" w:rsidRPr="0009445C" w14:paraId="7F5B3C14" w14:textId="77777777" w:rsidTr="00E713B0">
        <w:trPr>
          <w:trHeight w:val="556"/>
        </w:trPr>
        <w:tc>
          <w:tcPr>
            <w:tcW w:w="439" w:type="dxa"/>
          </w:tcPr>
          <w:p w14:paraId="1ADD50B6" w14:textId="004CB94C" w:rsidR="00E713B0" w:rsidRPr="0009445C" w:rsidRDefault="00E713B0" w:rsidP="00E713B0">
            <w:pPr>
              <w:pStyle w:val="BRL-Tabelle"/>
              <w:spacing w:before="60" w:after="40"/>
              <w:jc w:val="center"/>
              <w:rPr>
                <w:rFonts w:eastAsia="Calibri"/>
                <w:b/>
              </w:rPr>
            </w:pPr>
          </w:p>
        </w:tc>
        <w:tc>
          <w:tcPr>
            <w:tcW w:w="2044" w:type="dxa"/>
            <w:shd w:val="clear" w:color="auto" w:fill="auto"/>
          </w:tcPr>
          <w:p w14:paraId="376E1402" w14:textId="1A6D40B3" w:rsidR="00E713B0" w:rsidRPr="0009445C" w:rsidRDefault="00E713B0" w:rsidP="00E713B0">
            <w:pPr>
              <w:pStyle w:val="BRL-Tabelle"/>
              <w:spacing w:before="60" w:after="40"/>
              <w:rPr>
                <w:rFonts w:eastAsia="Calibri"/>
              </w:rPr>
            </w:pPr>
          </w:p>
        </w:tc>
        <w:tc>
          <w:tcPr>
            <w:tcW w:w="4024" w:type="dxa"/>
            <w:shd w:val="clear" w:color="auto" w:fill="auto"/>
          </w:tcPr>
          <w:p w14:paraId="18F2CC06" w14:textId="08BA786F" w:rsidR="00E713B0" w:rsidRPr="0009445C" w:rsidRDefault="00E713B0" w:rsidP="00E713B0">
            <w:pPr>
              <w:pStyle w:val="BRL-Tabelle"/>
              <w:spacing w:before="60" w:after="40"/>
              <w:rPr>
                <w:rFonts w:eastAsia="Calibri"/>
              </w:rPr>
            </w:pPr>
          </w:p>
        </w:tc>
        <w:tc>
          <w:tcPr>
            <w:tcW w:w="2565" w:type="dxa"/>
            <w:vMerge/>
            <w:shd w:val="clear" w:color="auto" w:fill="auto"/>
          </w:tcPr>
          <w:p w14:paraId="3589B7C1" w14:textId="77777777" w:rsidR="00E713B0" w:rsidRPr="0009445C" w:rsidRDefault="00E713B0" w:rsidP="00E713B0">
            <w:pPr>
              <w:pStyle w:val="BRL-Tabelle"/>
              <w:spacing w:before="60" w:after="40"/>
              <w:rPr>
                <w:rFonts w:eastAsia="Calibri"/>
              </w:rPr>
            </w:pPr>
          </w:p>
        </w:tc>
      </w:tr>
      <w:tr w:rsidR="00E713B0" w:rsidRPr="0009445C" w14:paraId="35A2AD67" w14:textId="77777777" w:rsidTr="00E713B0">
        <w:trPr>
          <w:trHeight w:val="556"/>
        </w:trPr>
        <w:tc>
          <w:tcPr>
            <w:tcW w:w="439" w:type="dxa"/>
          </w:tcPr>
          <w:p w14:paraId="6A1CCAB7" w14:textId="74AAEF25" w:rsidR="00E713B0" w:rsidRPr="0009445C" w:rsidRDefault="00E713B0" w:rsidP="00E713B0">
            <w:pPr>
              <w:pStyle w:val="BRL-Tabelle"/>
              <w:spacing w:before="60" w:after="40"/>
              <w:jc w:val="center"/>
              <w:rPr>
                <w:rFonts w:eastAsia="Calibri"/>
                <w:b/>
              </w:rPr>
            </w:pPr>
          </w:p>
        </w:tc>
        <w:tc>
          <w:tcPr>
            <w:tcW w:w="2044" w:type="dxa"/>
            <w:shd w:val="clear" w:color="auto" w:fill="auto"/>
          </w:tcPr>
          <w:p w14:paraId="6D99CDA2" w14:textId="5CA560D1" w:rsidR="00E713B0" w:rsidRPr="0009445C" w:rsidRDefault="00E713B0" w:rsidP="00E713B0">
            <w:pPr>
              <w:pStyle w:val="BRL-Tabelle"/>
              <w:spacing w:before="60" w:after="40"/>
              <w:rPr>
                <w:rFonts w:eastAsia="Calibri"/>
              </w:rPr>
            </w:pPr>
          </w:p>
        </w:tc>
        <w:tc>
          <w:tcPr>
            <w:tcW w:w="4024" w:type="dxa"/>
            <w:shd w:val="clear" w:color="auto" w:fill="auto"/>
          </w:tcPr>
          <w:p w14:paraId="08E63CD0" w14:textId="2BC35C2F" w:rsidR="00E713B0" w:rsidRPr="0009445C" w:rsidRDefault="00E713B0" w:rsidP="00E713B0">
            <w:pPr>
              <w:pStyle w:val="BRL-Tabelle"/>
              <w:spacing w:before="60" w:after="40"/>
              <w:rPr>
                <w:rFonts w:eastAsia="Calibri"/>
              </w:rPr>
            </w:pPr>
          </w:p>
        </w:tc>
        <w:tc>
          <w:tcPr>
            <w:tcW w:w="2565" w:type="dxa"/>
            <w:shd w:val="clear" w:color="auto" w:fill="auto"/>
          </w:tcPr>
          <w:p w14:paraId="03B79A2F" w14:textId="00B433FF" w:rsidR="00E713B0" w:rsidRPr="0009445C" w:rsidRDefault="00E713B0" w:rsidP="00E713B0">
            <w:pPr>
              <w:pStyle w:val="BRL-Tabelle"/>
              <w:spacing w:before="60" w:after="40"/>
              <w:rPr>
                <w:rFonts w:eastAsia="Calibri"/>
              </w:rPr>
            </w:pPr>
          </w:p>
        </w:tc>
      </w:tr>
      <w:tr w:rsidR="00E713B0" w:rsidRPr="0009445C" w14:paraId="588F234F" w14:textId="77777777" w:rsidTr="00E713B0">
        <w:trPr>
          <w:trHeight w:val="556"/>
        </w:trPr>
        <w:tc>
          <w:tcPr>
            <w:tcW w:w="439" w:type="dxa"/>
          </w:tcPr>
          <w:p w14:paraId="3CE32854" w14:textId="77777777" w:rsidR="00E713B0" w:rsidRPr="0009445C" w:rsidRDefault="00E713B0" w:rsidP="00E713B0">
            <w:pPr>
              <w:pStyle w:val="BRL-Funote"/>
              <w:spacing w:before="120"/>
              <w:jc w:val="center"/>
              <w:rPr>
                <w:rFonts w:eastAsia="Calibri"/>
                <w:b/>
              </w:rPr>
            </w:pPr>
          </w:p>
        </w:tc>
        <w:tc>
          <w:tcPr>
            <w:tcW w:w="8633" w:type="dxa"/>
            <w:gridSpan w:val="3"/>
            <w:shd w:val="clear" w:color="auto" w:fill="auto"/>
          </w:tcPr>
          <w:p w14:paraId="718EE52C" w14:textId="77777777" w:rsidR="00E713B0" w:rsidRPr="0009445C" w:rsidRDefault="00E713B0" w:rsidP="00E713B0">
            <w:pPr>
              <w:pStyle w:val="BRL-Funote"/>
              <w:spacing w:before="120"/>
              <w:jc w:val="left"/>
              <w:rPr>
                <w:rFonts w:eastAsia="Calibri"/>
              </w:rPr>
            </w:pPr>
            <w:r w:rsidRPr="0009445C">
              <w:t>1</w:t>
            </w:r>
            <w:r w:rsidRPr="0009445C">
              <w:tab/>
              <w:t>The minimum required performance must be verified for both sides of the barrier.</w:t>
            </w:r>
          </w:p>
          <w:p w14:paraId="11FAADD7" w14:textId="4DCA5201" w:rsidR="00E713B0" w:rsidRPr="0009445C" w:rsidRDefault="00E713B0" w:rsidP="00E713B0">
            <w:pPr>
              <w:pStyle w:val="BRL-Funote"/>
              <w:jc w:val="left"/>
              <w:rPr>
                <w:rFonts w:eastAsia="Calibri"/>
              </w:rPr>
            </w:pPr>
            <w:r w:rsidRPr="0009445C">
              <w:t>2</w:t>
            </w:r>
            <w:r w:rsidRPr="0009445C">
              <w:tab/>
              <w:t>Continuous function testing:</w:t>
            </w:r>
            <w:r w:rsidRPr="0009445C">
              <w:br/>
              <w:t>-</w:t>
            </w:r>
            <w:r w:rsidRPr="0009445C">
              <w:tab/>
              <w:t>Class 5 for fire/smoker doors (rotating wings), slip doors in gates and construction products according to EN 13241:2003 + A2:2016, which are considered as doors in accordance with Section A 2.1.6</w:t>
            </w:r>
            <w:r w:rsidRPr="0009445C">
              <w:br/>
              <w:t>-</w:t>
            </w:r>
            <w:r w:rsidRPr="0009445C">
              <w:tab/>
              <w:t>min. class 2 for other fire protection/smoker seals (e.g. flaps, gates)</w:t>
            </w:r>
          </w:p>
          <w:p w14:paraId="58EBD776" w14:textId="65B8DA89" w:rsidR="00E713B0" w:rsidRPr="0009445C" w:rsidRDefault="00E713B0" w:rsidP="00E713B0">
            <w:pPr>
              <w:pStyle w:val="BRL-Funote"/>
              <w:spacing w:before="60"/>
              <w:rPr>
                <w:rFonts w:eastAsia="Calibri"/>
              </w:rPr>
            </w:pPr>
            <w:r w:rsidRPr="0009445C">
              <w:t>*</w:t>
            </w:r>
            <w:r w:rsidRPr="0009445C">
              <w:tab/>
              <w:t>Table 1.1 applies to the requirements</w:t>
            </w:r>
          </w:p>
          <w:p w14:paraId="6AB5B935" w14:textId="027C0B01" w:rsidR="00E713B0" w:rsidRPr="0009445C" w:rsidRDefault="00E713B0" w:rsidP="00E713B0">
            <w:pPr>
              <w:pStyle w:val="BRL-Funote"/>
              <w:spacing w:after="120"/>
              <w:rPr>
                <w:rFonts w:eastAsia="Calibri"/>
              </w:rPr>
            </w:pPr>
            <w:r w:rsidRPr="0009445C">
              <w:t>**</w:t>
            </w:r>
            <w:r w:rsidRPr="0009445C">
              <w:tab/>
              <w:t xml:space="preserve">Regarding fire performance requirements, Table 1.2 applies. Section 1.3 shall apply where necessary. </w:t>
            </w:r>
          </w:p>
        </w:tc>
      </w:tr>
    </w:tbl>
    <w:p w14:paraId="064A6D9C" w14:textId="77777777" w:rsidR="00E713B0" w:rsidRPr="0009445C" w:rsidRDefault="00E713B0" w:rsidP="00E713B0">
      <w:pPr>
        <w:pStyle w:val="BRL-Standard"/>
      </w:pPr>
    </w:p>
    <w:p w14:paraId="705BC054" w14:textId="3952F66A" w:rsidR="00E713B0" w:rsidRPr="0009445C" w:rsidRDefault="00E713B0" w:rsidP="00600F53">
      <w:pPr>
        <w:pStyle w:val="BRL-berschrift"/>
      </w:pPr>
      <w:r w:rsidRPr="0009445C">
        <w:t>5.1.5</w:t>
      </w:r>
      <w:r w:rsidRPr="0009445C">
        <w:tab/>
        <w:t>Construction products according to EN 16034:2014</w:t>
      </w:r>
      <w:r w:rsidRPr="0009445C">
        <w:rPr>
          <w:rStyle w:val="FootnoteReference"/>
        </w:rPr>
        <w:fldChar w:fldCharType="begin"/>
      </w:r>
      <w:r w:rsidRPr="0009445C">
        <w:rPr>
          <w:rStyle w:val="FootnoteReference"/>
        </w:rPr>
        <w:instrText xml:space="preserve"> NOTEREF _Ref77260488 \h  \* MERGEFORMAT </w:instrText>
      </w:r>
      <w:r w:rsidRPr="0009445C">
        <w:rPr>
          <w:rStyle w:val="FootnoteReference"/>
        </w:rPr>
      </w:r>
      <w:r w:rsidRPr="0009445C">
        <w:rPr>
          <w:rStyle w:val="FootnoteReference"/>
        </w:rPr>
        <w:fldChar w:fldCharType="separate"/>
      </w:r>
      <w:r w:rsidR="0009445C" w:rsidRPr="0009445C">
        <w:rPr>
          <w:rStyle w:val="FootnoteReference"/>
        </w:rPr>
        <w:t>27</w:t>
      </w:r>
      <w:r w:rsidRPr="0009445C">
        <w:rPr>
          <w:rStyle w:val="FootnoteReference"/>
        </w:rPr>
        <w:fldChar w:fldCharType="end"/>
      </w:r>
      <w:r w:rsidRPr="0009445C">
        <w:t xml:space="preserve"> in conjunction with EN 14351-1:2006+A2:2016</w:t>
      </w:r>
      <w:r w:rsidRPr="0009445C">
        <w:rPr>
          <w:rStyle w:val="FootnoteReference"/>
        </w:rPr>
        <w:fldChar w:fldCharType="begin"/>
      </w:r>
      <w:r w:rsidRPr="0009445C">
        <w:rPr>
          <w:rStyle w:val="FootnoteReference"/>
        </w:rPr>
        <w:instrText xml:space="preserve"> NOTEREF _Ref77260632 \h  \* MERGEFORMAT </w:instrText>
      </w:r>
      <w:r w:rsidRPr="0009445C">
        <w:rPr>
          <w:rStyle w:val="FootnoteReference"/>
        </w:rPr>
      </w:r>
      <w:r w:rsidRPr="0009445C">
        <w:rPr>
          <w:rStyle w:val="FootnoteReference"/>
        </w:rPr>
        <w:fldChar w:fldCharType="separate"/>
      </w:r>
      <w:r w:rsidR="0009445C" w:rsidRPr="0009445C">
        <w:rPr>
          <w:rStyle w:val="FootnoteReference"/>
        </w:rPr>
        <w:t>23</w:t>
      </w:r>
      <w:r w:rsidRPr="0009445C">
        <w:rPr>
          <w:rStyle w:val="FootnoteReference"/>
        </w:rPr>
        <w:fldChar w:fldCharType="end"/>
      </w:r>
      <w:r w:rsidRPr="0009445C">
        <w:t xml:space="preserve"> or EN 13241:2003+A2:2016</w:t>
      </w:r>
      <w:r w:rsidRPr="0009445C">
        <w:rPr>
          <w:rStyle w:val="FootnoteReference"/>
        </w:rPr>
        <w:fldChar w:fldCharType="begin"/>
      </w:r>
      <w:r w:rsidRPr="0009445C">
        <w:rPr>
          <w:rStyle w:val="FootnoteReference"/>
        </w:rPr>
        <w:instrText xml:space="preserve"> NOTEREF _Ref77260521 \h  \* MERGEFORMAT </w:instrText>
      </w:r>
      <w:r w:rsidRPr="0009445C">
        <w:rPr>
          <w:rStyle w:val="FootnoteReference"/>
        </w:rPr>
      </w:r>
      <w:r w:rsidRPr="0009445C">
        <w:rPr>
          <w:rStyle w:val="FootnoteReference"/>
        </w:rPr>
        <w:fldChar w:fldCharType="separate"/>
      </w:r>
      <w:r w:rsidR="0009445C" w:rsidRPr="0009445C">
        <w:rPr>
          <w:rStyle w:val="FootnoteReference"/>
        </w:rPr>
        <w:t>28</w:t>
      </w:r>
      <w:r w:rsidRPr="0009445C">
        <w:rPr>
          <w:rStyle w:val="FootnoteReference"/>
        </w:rPr>
        <w:fldChar w:fldCharType="end"/>
      </w:r>
      <w:r w:rsidRPr="0009445C">
        <w:t xml:space="preserve"> for use as fire and/or barriers in exterior walls of structural works</w:t>
      </w:r>
    </w:p>
    <w:p w14:paraId="0AEE3B5F" w14:textId="5D711964" w:rsidR="00E713B0" w:rsidRPr="0009445C" w:rsidRDefault="00E713B0" w:rsidP="00E713B0">
      <w:pPr>
        <w:pStyle w:val="BRL-Standard"/>
      </w:pPr>
      <w:r w:rsidRPr="0009445C">
        <w:t>The requirements set out in Table 5.1.4 shall apply. For outdoor use, the differential climate according to EN 14351-1:2006+A2:2016</w:t>
      </w:r>
      <w:r w:rsidR="00467D6D" w:rsidRPr="0009445C">
        <w:fldChar w:fldCharType="begin"/>
      </w:r>
      <w:r w:rsidR="00467D6D" w:rsidRPr="0009445C">
        <w:instrText xml:space="preserve"> NOTEREF _Ref77260632 \f \h </w:instrText>
      </w:r>
      <w:r w:rsidR="0009445C" w:rsidRPr="0009445C">
        <w:instrText xml:space="preserve"> \* MERGEFORMAT </w:instrText>
      </w:r>
      <w:r w:rsidR="00467D6D" w:rsidRPr="0009445C">
        <w:fldChar w:fldCharType="separate"/>
      </w:r>
      <w:r w:rsidR="0009445C" w:rsidRPr="0009445C">
        <w:rPr>
          <w:rStyle w:val="FootnoteReference"/>
        </w:rPr>
        <w:t>23</w:t>
      </w:r>
      <w:r w:rsidR="00467D6D" w:rsidRPr="0009445C">
        <w:fldChar w:fldCharType="end"/>
      </w:r>
      <w:r w:rsidRPr="0009445C">
        <w:t xml:space="preserve"> and the deformation class according to EN 12219: 1999</w:t>
      </w:r>
      <w:r w:rsidR="00467D6D" w:rsidRPr="0009445C">
        <w:fldChar w:fldCharType="begin"/>
      </w:r>
      <w:r w:rsidR="00467D6D" w:rsidRPr="0009445C">
        <w:instrText xml:space="preserve"> NOTEREF _Ref117235849 \f \h </w:instrText>
      </w:r>
      <w:r w:rsidR="0009445C" w:rsidRPr="0009445C">
        <w:instrText xml:space="preserve"> \* MERGEFORMAT </w:instrText>
      </w:r>
      <w:r w:rsidR="00467D6D" w:rsidRPr="0009445C">
        <w:fldChar w:fldCharType="separate"/>
      </w:r>
      <w:r w:rsidR="0009445C" w:rsidRPr="0009445C">
        <w:rPr>
          <w:rStyle w:val="FootnoteReference"/>
        </w:rPr>
        <w:t>29</w:t>
      </w:r>
      <w:r w:rsidR="00467D6D" w:rsidRPr="0009445C">
        <w:fldChar w:fldCharType="end"/>
      </w:r>
      <w:r w:rsidRPr="0009445C">
        <w:t xml:space="preserve"> shall be proven. At least classes 2(d) and 2(e) are required to comply with the building approval requirements.</w:t>
      </w:r>
    </w:p>
    <w:p w14:paraId="0D78EB19" w14:textId="77777777" w:rsidR="00E713B0" w:rsidRPr="0009445C" w:rsidRDefault="00E713B0" w:rsidP="00E713B0">
      <w:pPr>
        <w:pStyle w:val="BRL-Standard"/>
      </w:pPr>
    </w:p>
    <w:p w14:paraId="72DFC32B" w14:textId="77777777" w:rsidR="00E713B0" w:rsidRPr="0009445C" w:rsidRDefault="00E713B0" w:rsidP="00600F53">
      <w:pPr>
        <w:pStyle w:val="BRL-berschrift"/>
      </w:pPr>
      <w:r w:rsidRPr="0009445C">
        <w:t>5.1.6</w:t>
      </w:r>
      <w:r w:rsidRPr="0009445C">
        <w:tab/>
        <w:t>Usage and implementation provisions for barriers according to 5.1.4 and 5.1.5</w:t>
      </w:r>
    </w:p>
    <w:p w14:paraId="0D4F4574" w14:textId="2E4EFED1" w:rsidR="00E713B0" w:rsidRPr="0009445C" w:rsidRDefault="00E713B0" w:rsidP="00E713B0">
      <w:pPr>
        <w:pStyle w:val="BRL-Standard"/>
      </w:pPr>
      <w:r w:rsidRPr="0009445C">
        <w:t>For the use of construction products as fire and/or smoke protection barriers, DIN 18093:2017-10 and the following conditions of use and execution shall apply:</w:t>
      </w:r>
    </w:p>
    <w:p w14:paraId="35283E4B" w14:textId="77777777" w:rsidR="00E713B0" w:rsidRPr="0009445C" w:rsidRDefault="00E713B0" w:rsidP="00E713B0">
      <w:pPr>
        <w:pStyle w:val="BRL-Standard"/>
      </w:pPr>
    </w:p>
    <w:p w14:paraId="63EAA434" w14:textId="43FCBEBA" w:rsidR="00E713B0" w:rsidRPr="0009445C" w:rsidRDefault="00E713B0" w:rsidP="00E713B0">
      <w:pPr>
        <w:pStyle w:val="BRL-Standard"/>
        <w:spacing w:after="120"/>
      </w:pPr>
      <w:r w:rsidRPr="0009445C">
        <w:t>1.</w:t>
      </w:r>
      <w:r w:rsidRPr="0009445C">
        <w:tab/>
        <w:t>Use is only permitted if the structural elements that need to be described in the manufacturer’s installation instructions pursuant to DIN 18093:2017-10, Section 3.2, are in compliance with the fire resistance requirements for the structural installation. These structural elements must be designed so as to withstand the impacts of the use of the construction product as well as the impacts of the construction product in case of fire.</w:t>
      </w:r>
    </w:p>
    <w:p w14:paraId="3BAA3A61" w14:textId="77777777" w:rsidR="00E713B0" w:rsidRPr="0009445C" w:rsidRDefault="00E713B0" w:rsidP="00E713B0">
      <w:pPr>
        <w:pStyle w:val="BRL-Standard"/>
        <w:spacing w:after="120"/>
      </w:pPr>
      <w:r w:rsidRPr="0009445C">
        <w:t>2.</w:t>
      </w:r>
      <w:r w:rsidRPr="0009445C">
        <w:tab/>
        <w:t>The use in escape and rescue routes shall only be permitted if, in the case of sliding, lifting or rolling barriers, including those considered doors in accordance with A 2.1.6, and fire and smoke protection curtains which do not open in the direction of escape, a door that can be opened in the direction of escape is located in the immediate vicinity.</w:t>
      </w:r>
    </w:p>
    <w:p w14:paraId="0C8E6CC4" w14:textId="61E28275" w:rsidR="00E713B0" w:rsidRPr="0009445C" w:rsidRDefault="00E713B0" w:rsidP="00E713B0">
      <w:pPr>
        <w:pStyle w:val="BRL-Standard"/>
        <w:spacing w:after="120"/>
      </w:pPr>
      <w:r w:rsidRPr="0009445C">
        <w:t>3.</w:t>
      </w:r>
      <w:r w:rsidRPr="0009445C">
        <w:tab/>
        <w:t>So-called side and/or fall flaps in conjunction with construction products as fire and/or smoke protection barriers are not covered by EN 16034:2014</w:t>
      </w:r>
      <w:r w:rsidRPr="0009445C">
        <w:rPr>
          <w:rStyle w:val="FootnoteReference"/>
        </w:rPr>
        <w:fldChar w:fldCharType="begin"/>
      </w:r>
      <w:r w:rsidRPr="0009445C">
        <w:rPr>
          <w:rStyle w:val="FootnoteReference"/>
        </w:rPr>
        <w:instrText xml:space="preserve"> NOTEREF _Ref77260488 \h  \* MERGEFORMAT </w:instrText>
      </w:r>
      <w:r w:rsidRPr="0009445C">
        <w:rPr>
          <w:rStyle w:val="FootnoteReference"/>
        </w:rPr>
      </w:r>
      <w:r w:rsidRPr="0009445C">
        <w:rPr>
          <w:rStyle w:val="FootnoteReference"/>
        </w:rPr>
        <w:fldChar w:fldCharType="separate"/>
      </w:r>
      <w:r w:rsidR="0009445C" w:rsidRPr="0009445C">
        <w:rPr>
          <w:rStyle w:val="FootnoteReference"/>
        </w:rPr>
        <w:t>27</w:t>
      </w:r>
      <w:r w:rsidRPr="0009445C">
        <w:rPr>
          <w:rStyle w:val="FootnoteReference"/>
        </w:rPr>
        <w:fldChar w:fldCharType="end"/>
      </w:r>
      <w:r w:rsidRPr="0009445C">
        <w:t>. For the planning, designing and execution there are no technical best practices, and proof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is required.</w:t>
      </w:r>
    </w:p>
    <w:p w14:paraId="4EEF404B" w14:textId="77777777" w:rsidR="00E713B0" w:rsidRPr="0009445C" w:rsidRDefault="00E713B0" w:rsidP="00E713B0">
      <w:pPr>
        <w:pStyle w:val="BRL-Standard"/>
        <w:spacing w:after="120"/>
      </w:pPr>
      <w:r w:rsidRPr="0009445C">
        <w:t>4.</w:t>
      </w:r>
      <w:r w:rsidRPr="0009445C">
        <w:tab/>
        <w:t>The use of construction products as fire and/or smoke barriers for non-floor level installation (height &gt; 500 mm above upper edge of the finished floor of the room) is only permitted if this is tested and specified in the installation instructions.</w:t>
      </w:r>
    </w:p>
    <w:p w14:paraId="4B8253B7" w14:textId="77777777" w:rsidR="00E713B0" w:rsidRPr="0009445C" w:rsidRDefault="00E713B0" w:rsidP="00E713B0">
      <w:pPr>
        <w:pStyle w:val="BRL-Standard"/>
        <w:spacing w:after="120"/>
      </w:pPr>
      <w:r w:rsidRPr="0009445C">
        <w:lastRenderedPageBreak/>
        <w:t>5.</w:t>
      </w:r>
      <w:r w:rsidRPr="0009445C">
        <w:tab/>
        <w:t xml:space="preserve">The lintel/component above a construction product as a fire and/or smoke protection barrier shall be static and designed in such a way that the construction product does not receive any additional load as a barrier (except its own weight). </w:t>
      </w:r>
    </w:p>
    <w:p w14:paraId="61D25E7B" w14:textId="77777777" w:rsidR="00E713B0" w:rsidRPr="0009445C" w:rsidRDefault="00E713B0" w:rsidP="00E713B0">
      <w:pPr>
        <w:pStyle w:val="BRL-Standard"/>
        <w:spacing w:after="120"/>
      </w:pPr>
      <w:r w:rsidRPr="0009445C">
        <w:t>6.</w:t>
      </w:r>
      <w:r w:rsidRPr="0009445C">
        <w:tab/>
        <w:t xml:space="preserve">Visible instructions shall be affixed to both sides of sliding, lifting and rolling barriers, reminding that the closing area must be kept free at all times from any objects that could obstruct the closing of the barrier. Sliding, lifting and rolling barriers shall be equipped with an audio-visual warning system that announces the closing. Once initiated, the closing process may only be interrupted for personal safety purposes. The closing process must continue automatically from each opening position after the closing area has been released. </w:t>
      </w:r>
    </w:p>
    <w:p w14:paraId="5E7F8E11" w14:textId="77777777" w:rsidR="00E713B0" w:rsidRPr="0009445C" w:rsidRDefault="00E713B0" w:rsidP="00E713B0">
      <w:pPr>
        <w:pStyle w:val="BRL-Standard"/>
        <w:spacing w:after="120"/>
      </w:pPr>
      <w:r w:rsidRPr="0009445C">
        <w:t>7.</w:t>
      </w:r>
      <w:r w:rsidRPr="0009445C">
        <w:tab/>
        <w:t>A fire and/or smoke barrier in the interior of structural works may be fitted with a suitable locking mechanism for the fire and/or smoke barrier with applicability demonstrated on this barrier by type approval.</w:t>
      </w:r>
    </w:p>
    <w:p w14:paraId="5E7A05E7" w14:textId="77777777" w:rsidR="00E713B0" w:rsidRPr="0009445C" w:rsidRDefault="00E713B0" w:rsidP="00E713B0">
      <w:pPr>
        <w:pStyle w:val="BRL-Standard"/>
        <w:spacing w:after="120"/>
      </w:pPr>
      <w:r w:rsidRPr="0009445C">
        <w:t>8.</w:t>
      </w:r>
      <w:r w:rsidRPr="0009445C">
        <w:tab/>
        <w:t>The indication ‘released’ for the ‘ability to release’ characteristic in the declaration of performance only means that a locking device is present, not a locking mechanism.</w:t>
      </w:r>
    </w:p>
    <w:p w14:paraId="0A41660F" w14:textId="77777777" w:rsidR="00E713B0" w:rsidRPr="0009445C" w:rsidRDefault="00E713B0" w:rsidP="00E713B0">
      <w:pPr>
        <w:pStyle w:val="BRL-Standard"/>
        <w:spacing w:after="60"/>
      </w:pPr>
      <w:r w:rsidRPr="0009445C">
        <w:t>9.</w:t>
      </w:r>
      <w:r w:rsidRPr="0009445C">
        <w:tab/>
        <w:t>The decision to use a fire curtain may be made only on the basis of the following criteria:</w:t>
      </w:r>
    </w:p>
    <w:p w14:paraId="09F4F996" w14:textId="77777777" w:rsidR="00E713B0" w:rsidRPr="0009445C" w:rsidRDefault="00E713B0" w:rsidP="00E713B0">
      <w:pPr>
        <w:pStyle w:val="BRLAufzhlungAnstrich"/>
        <w:numPr>
          <w:ilvl w:val="0"/>
          <w:numId w:val="1"/>
        </w:numPr>
      </w:pPr>
      <w:r w:rsidRPr="0009445C">
        <w:t>Expected air flows, e.g. through natural thermals or artificial ventilation systems, which would affect safe closing,</w:t>
      </w:r>
    </w:p>
    <w:p w14:paraId="1617A272" w14:textId="77777777" w:rsidR="00E713B0" w:rsidRPr="0009445C" w:rsidRDefault="00E713B0" w:rsidP="00E713B0">
      <w:pPr>
        <w:pStyle w:val="BRLAufzhlungAnstrich"/>
        <w:numPr>
          <w:ilvl w:val="0"/>
          <w:numId w:val="1"/>
        </w:numPr>
      </w:pPr>
      <w:r w:rsidRPr="0009445C">
        <w:t>the existing shape stability to collapsing or falling debris, structural elements or objects,</w:t>
      </w:r>
    </w:p>
    <w:p w14:paraId="23BFB6AC" w14:textId="77777777" w:rsidR="00E713B0" w:rsidRPr="0009445C" w:rsidRDefault="00E713B0" w:rsidP="00E713B0">
      <w:pPr>
        <w:pStyle w:val="BRLAufzhlungAnstrich"/>
        <w:numPr>
          <w:ilvl w:val="0"/>
          <w:numId w:val="1"/>
        </w:numPr>
      </w:pPr>
      <w:r w:rsidRPr="0009445C">
        <w:t>smoke leakage,</w:t>
      </w:r>
    </w:p>
    <w:p w14:paraId="0CCFB45D" w14:textId="00090824" w:rsidR="00E713B0" w:rsidRPr="0009445C" w:rsidRDefault="00E713B0" w:rsidP="00E713B0">
      <w:pPr>
        <w:pStyle w:val="BRLAufzhlungAnstrich"/>
        <w:numPr>
          <w:ilvl w:val="0"/>
          <w:numId w:val="1"/>
        </w:numPr>
      </w:pPr>
      <w:r w:rsidRPr="0009445C">
        <w:t>the behaviour of pressure ratios that differ from those specified in EN 1634-1:2014+A1:2018</w:t>
      </w:r>
      <w:r w:rsidR="0061602D" w:rsidRPr="0009445C">
        <w:rPr>
          <w:rStyle w:val="FootnoteReference"/>
        </w:rPr>
        <w:footnoteReference w:id="37"/>
      </w:r>
      <w:r w:rsidRPr="0009445C">
        <w:t xml:space="preserve"> and,</w:t>
      </w:r>
    </w:p>
    <w:p w14:paraId="1746F907" w14:textId="77777777" w:rsidR="00E713B0" w:rsidRPr="0009445C" w:rsidRDefault="00E713B0" w:rsidP="00E713B0">
      <w:pPr>
        <w:pStyle w:val="BRLAufzhlungAnstrich"/>
        <w:numPr>
          <w:ilvl w:val="0"/>
          <w:numId w:val="1"/>
        </w:numPr>
        <w:spacing w:after="60"/>
      </w:pPr>
      <w:r w:rsidRPr="0009445C">
        <w:t xml:space="preserve">the rolling-down of the curtain in case of pressure differences. </w:t>
      </w:r>
    </w:p>
    <w:p w14:paraId="18CC3F96" w14:textId="77777777" w:rsidR="00E713B0" w:rsidRPr="0009445C" w:rsidRDefault="00E713B0" w:rsidP="00E713B0">
      <w:pPr>
        <w:pStyle w:val="BRL-Standard"/>
        <w:spacing w:after="120"/>
      </w:pPr>
      <w:r w:rsidRPr="0009445C">
        <w:t xml:space="preserve">Fire curtains may only be used and installed in the dimensions for which a test has been carried out. A series of two or more fire curtains, including those separated by supporting elements, is not permitted. </w:t>
      </w:r>
    </w:p>
    <w:p w14:paraId="6EB02040" w14:textId="77777777" w:rsidR="00E713B0" w:rsidRPr="0009445C" w:rsidRDefault="00E713B0" w:rsidP="00E713B0">
      <w:pPr>
        <w:pStyle w:val="BRL-Standard"/>
        <w:spacing w:after="60"/>
      </w:pPr>
      <w:r w:rsidRPr="0009445C">
        <w:t>10.</w:t>
      </w:r>
      <w:r w:rsidRPr="0009445C">
        <w:tab/>
        <w:t>The decision to use a smoke curtain may be made only on the basis of the following criteria:</w:t>
      </w:r>
    </w:p>
    <w:p w14:paraId="75D23161" w14:textId="77777777" w:rsidR="00E713B0" w:rsidRPr="0009445C" w:rsidRDefault="00E713B0" w:rsidP="00E713B0">
      <w:pPr>
        <w:pStyle w:val="BRLAufzhlungAnstrich"/>
        <w:numPr>
          <w:ilvl w:val="0"/>
          <w:numId w:val="1"/>
        </w:numPr>
      </w:pPr>
      <w:r w:rsidRPr="0009445C">
        <w:t>Expected air flows, e.g. through natural thermals or artificial ventilation systems, which would affect safe closing,</w:t>
      </w:r>
    </w:p>
    <w:p w14:paraId="1BBD5971" w14:textId="77777777" w:rsidR="00E713B0" w:rsidRPr="0009445C" w:rsidRDefault="00E713B0" w:rsidP="00E713B0">
      <w:pPr>
        <w:pStyle w:val="BRLAufzhlungAnstrich"/>
        <w:numPr>
          <w:ilvl w:val="0"/>
          <w:numId w:val="1"/>
        </w:numPr>
      </w:pPr>
      <w:r w:rsidRPr="0009445C">
        <w:t>existing dimensional stability when faced with falling debris, structural elements or objects,</w:t>
      </w:r>
    </w:p>
    <w:p w14:paraId="4A1CF9A0" w14:textId="758A0C51" w:rsidR="00E713B0" w:rsidRPr="0009445C" w:rsidRDefault="00E713B0" w:rsidP="00E713B0">
      <w:pPr>
        <w:pStyle w:val="BRLAufzhlungAnstrich"/>
        <w:numPr>
          <w:ilvl w:val="0"/>
          <w:numId w:val="1"/>
        </w:numPr>
        <w:spacing w:after="60"/>
      </w:pPr>
      <w:r w:rsidRPr="0009445C">
        <w:t>Behaviour at pressure ratios that differ from those specified in EN 1634-3:2005-01</w:t>
      </w:r>
      <w:r w:rsidR="001B64C0" w:rsidRPr="0009445C">
        <w:rPr>
          <w:rStyle w:val="FootnoteReference"/>
        </w:rPr>
        <w:footnoteReference w:id="38"/>
      </w:r>
      <w:r w:rsidRPr="0009445C">
        <w:t>.</w:t>
      </w:r>
    </w:p>
    <w:p w14:paraId="54A14418" w14:textId="77777777" w:rsidR="00E713B0" w:rsidRPr="0009445C" w:rsidRDefault="00E713B0" w:rsidP="00E713B0">
      <w:pPr>
        <w:pStyle w:val="BRL-Standard"/>
        <w:spacing w:after="120"/>
      </w:pPr>
      <w:r w:rsidRPr="0009445C">
        <w:t>Smoke curtains may only be used and installed in the dimensions for which a test has been carried out. A series of two or more smoke curtains, including those separated by supporting elements, is not permitted.</w:t>
      </w:r>
    </w:p>
    <w:p w14:paraId="49BE25CF" w14:textId="77777777" w:rsidR="00E713B0" w:rsidRPr="0009445C" w:rsidRDefault="00E713B0" w:rsidP="00E713B0">
      <w:pPr>
        <w:pStyle w:val="BRL-Standard"/>
      </w:pPr>
      <w:r w:rsidRPr="0009445C">
        <w:t>11.</w:t>
      </w:r>
      <w:r w:rsidRPr="0009445C">
        <w:tab/>
        <w:t>Use is only permitted if the installation manual specifies that the barrier fulfils the requirements for fire impact from either side and for smoke development pursuant to A 2.1.6.</w:t>
      </w:r>
    </w:p>
    <w:p w14:paraId="1EBD4EEB" w14:textId="77777777" w:rsidR="00E713B0" w:rsidRPr="0009445C" w:rsidRDefault="00E713B0" w:rsidP="00E713B0">
      <w:pPr>
        <w:pStyle w:val="BRL-Standard"/>
      </w:pPr>
      <w:r w:rsidRPr="0009445C">
        <w:t>Use in escape routes is only permitted if the installation manual states that the requirements with regard to the closing devices and the possibility of manual opening according to A 2.1.6 are met.</w:t>
      </w:r>
    </w:p>
    <w:p w14:paraId="5F89433E" w14:textId="77777777" w:rsidR="00E713B0" w:rsidRPr="0009445C" w:rsidRDefault="00E713B0" w:rsidP="00E713B0">
      <w:pPr>
        <w:pStyle w:val="BRL-Standard"/>
      </w:pPr>
    </w:p>
    <w:p w14:paraId="2FE5925E" w14:textId="77777777" w:rsidR="00E713B0" w:rsidRPr="0009445C" w:rsidRDefault="00E713B0" w:rsidP="00600F53">
      <w:pPr>
        <w:pStyle w:val="BRL-berschrift"/>
      </w:pPr>
      <w:r w:rsidRPr="0009445C">
        <w:t>5.2</w:t>
      </w:r>
      <w:r w:rsidRPr="0009445C">
        <w:tab/>
        <w:t>Fire protection barriers in path-bound conveyor systems</w:t>
      </w:r>
    </w:p>
    <w:p w14:paraId="152CE8C2" w14:textId="3E0502E8" w:rsidR="00E713B0" w:rsidRPr="0009445C" w:rsidRDefault="00E713B0" w:rsidP="00E713B0">
      <w:pPr>
        <w:pStyle w:val="BRL-Standard"/>
      </w:pPr>
      <w:r w:rsidRPr="0009445C">
        <w:t>In order to fulfil the structural requirements in A 2.1.7 and A 2.1.8 when using fire protection barriers in track-bound conveyor systems based on proofs of fitness for purpose in accordance with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the minimum required classes and designations shall be taken from Section 5.2.1.</w:t>
      </w:r>
    </w:p>
    <w:p w14:paraId="76EA0E53" w14:textId="77777777" w:rsidR="00E713B0" w:rsidRPr="0009445C" w:rsidRDefault="00E713B0" w:rsidP="00E713B0">
      <w:pPr>
        <w:pStyle w:val="BRL-Standard"/>
      </w:pPr>
    </w:p>
    <w:p w14:paraId="0C347AAB" w14:textId="77777777" w:rsidR="00E713B0" w:rsidRPr="0009445C" w:rsidRDefault="00E713B0" w:rsidP="00E713B0">
      <w:pPr>
        <w:pStyle w:val="BRL-Standard"/>
      </w:pPr>
      <w:r w:rsidRPr="0009445C">
        <w:t>In order to comply with the building requirements in A 2.1.7 and A 2.1.8 when using fire protection barriers in path-bound conveyor systems for which harmonised technical specifications are available, the minimum required performance is set out in Section 5.2.2.</w:t>
      </w:r>
    </w:p>
    <w:p w14:paraId="5452B6FB" w14:textId="77777777" w:rsidR="00E713B0" w:rsidRPr="0009445C" w:rsidRDefault="00E713B0" w:rsidP="00E713B0">
      <w:pPr>
        <w:pStyle w:val="BRL-Standard"/>
      </w:pPr>
    </w:p>
    <w:p w14:paraId="737C5613" w14:textId="77777777" w:rsidR="00007636" w:rsidRPr="0009445C" w:rsidRDefault="00007636">
      <w:pPr>
        <w:spacing w:after="200" w:line="276" w:lineRule="auto"/>
        <w:rPr>
          <w:b/>
          <w:bCs/>
          <w:szCs w:val="16"/>
        </w:rPr>
      </w:pPr>
      <w:r w:rsidRPr="0009445C">
        <w:br w:type="page"/>
      </w:r>
    </w:p>
    <w:p w14:paraId="04429241" w14:textId="298F249D" w:rsidR="00E713B0" w:rsidRPr="0009445C" w:rsidRDefault="00E713B0" w:rsidP="00600F53">
      <w:pPr>
        <w:pStyle w:val="BRL-berschrift"/>
      </w:pPr>
      <w:r w:rsidRPr="0009445C">
        <w:lastRenderedPageBreak/>
        <w:t>5.2.1</w:t>
      </w:r>
      <w:r w:rsidRPr="0009445C">
        <w:tab/>
        <w:t>Fire protection barriers in path-bound conveyor systems classified according to DIN 4102</w:t>
      </w:r>
      <w:r w:rsidRPr="0009445C">
        <w:noBreakHyphen/>
        <w:t>5:1977</w:t>
      </w:r>
      <w:r w:rsidRPr="0009445C">
        <w:noBreakHyphen/>
        <w:t>05</w:t>
      </w:r>
    </w:p>
    <w:p w14:paraId="08F17DA4" w14:textId="667DC46F" w:rsidR="00E713B0" w:rsidRPr="0009445C" w:rsidRDefault="00E713B0" w:rsidP="00E713B0">
      <w:pPr>
        <w:pStyle w:val="BRLTabelleberschrift"/>
        <w:spacing w:after="120"/>
      </w:pPr>
      <w:r w:rsidRPr="0009445C">
        <w:t xml:space="preserve">Table 5.2.1: </w:t>
      </w:r>
      <w:r w:rsidRPr="0009445C">
        <w:tab/>
        <w:t>Building approval requirements and classification of the class according to DIN 4102</w:t>
      </w:r>
      <w:r w:rsidRPr="0009445C">
        <w:noBreakHyphen/>
        <w:t xml:space="preserve"> 5:1977-05</w:t>
      </w:r>
    </w:p>
    <w:tbl>
      <w:tblPr>
        <w:tblW w:w="9211" w:type="dxa"/>
        <w:tblBorders>
          <w:top w:val="single" w:sz="2" w:space="0" w:color="auto"/>
          <w:left w:val="single" w:sz="2" w:space="0" w:color="auto"/>
          <w:bottom w:val="single" w:sz="2" w:space="0" w:color="auto"/>
          <w:right w:val="single" w:sz="2" w:space="0" w:color="auto"/>
          <w:insideH w:val="single" w:sz="2" w:space="0" w:color="595959"/>
          <w:insideV w:val="single" w:sz="2" w:space="0" w:color="595959"/>
        </w:tblBorders>
        <w:shd w:val="clear" w:color="auto" w:fill="FFFFFF"/>
        <w:tblCellMar>
          <w:left w:w="0" w:type="dxa"/>
          <w:right w:w="0" w:type="dxa"/>
        </w:tblCellMar>
        <w:tblLook w:val="04E0" w:firstRow="1" w:lastRow="1" w:firstColumn="1" w:lastColumn="0" w:noHBand="0" w:noVBand="1"/>
      </w:tblPr>
      <w:tblGrid>
        <w:gridCol w:w="423"/>
        <w:gridCol w:w="4536"/>
        <w:gridCol w:w="4252"/>
      </w:tblGrid>
      <w:tr w:rsidR="00EE53EB" w:rsidRPr="0009445C" w14:paraId="232641F2" w14:textId="77777777" w:rsidTr="00BF5219">
        <w:trPr>
          <w:cantSplit/>
        </w:trPr>
        <w:tc>
          <w:tcPr>
            <w:tcW w:w="423" w:type="dxa"/>
            <w:shd w:val="clear" w:color="auto" w:fill="FFFFFF"/>
          </w:tcPr>
          <w:p w14:paraId="4FBF54C0" w14:textId="77777777" w:rsidR="00EE53EB" w:rsidRPr="0009445C" w:rsidRDefault="00EE53EB" w:rsidP="00600F53">
            <w:pPr>
              <w:pStyle w:val="BRL-Tabelleberschrift1Zeile"/>
            </w:pPr>
          </w:p>
        </w:tc>
        <w:tc>
          <w:tcPr>
            <w:tcW w:w="4536" w:type="dxa"/>
            <w:shd w:val="clear" w:color="auto" w:fill="FFFFFF"/>
          </w:tcPr>
          <w:p w14:paraId="336DAEA2" w14:textId="46F568B9" w:rsidR="00EE53EB" w:rsidRPr="0009445C" w:rsidRDefault="00EE53EB" w:rsidP="00600F53">
            <w:pPr>
              <w:pStyle w:val="BRL-Tabelleberschrift1Zeile"/>
            </w:pPr>
            <w:r w:rsidRPr="0009445C">
              <w:t>Building approval requirement</w:t>
            </w:r>
          </w:p>
        </w:tc>
        <w:tc>
          <w:tcPr>
            <w:tcW w:w="4252" w:type="dxa"/>
            <w:shd w:val="clear" w:color="auto" w:fill="FFFFFF"/>
          </w:tcPr>
          <w:p w14:paraId="11D13D38" w14:textId="77777777" w:rsidR="00EE53EB" w:rsidRPr="0009445C" w:rsidRDefault="00EE53EB" w:rsidP="00600F53">
            <w:pPr>
              <w:pStyle w:val="BRL-Tabelleberschrift1Zeile"/>
            </w:pPr>
            <w:r w:rsidRPr="0009445C">
              <w:t>Fire protection barrier in conveyor systems</w:t>
            </w:r>
          </w:p>
        </w:tc>
      </w:tr>
      <w:tr w:rsidR="00EE53EB" w:rsidRPr="0009445C" w14:paraId="5F1F42BE" w14:textId="77777777" w:rsidTr="00BF5219">
        <w:trPr>
          <w:cantSplit/>
          <w:trHeight w:val="326"/>
        </w:trPr>
        <w:tc>
          <w:tcPr>
            <w:tcW w:w="423" w:type="dxa"/>
            <w:shd w:val="clear" w:color="auto" w:fill="FFFFFF"/>
          </w:tcPr>
          <w:p w14:paraId="3424267B" w14:textId="77777777" w:rsidR="00EE53EB" w:rsidRPr="0009445C" w:rsidRDefault="00EE53EB" w:rsidP="00600F53">
            <w:pPr>
              <w:pStyle w:val="BRL-Tabelleberschrift1Zeile"/>
            </w:pPr>
          </w:p>
        </w:tc>
        <w:tc>
          <w:tcPr>
            <w:tcW w:w="4536" w:type="dxa"/>
            <w:shd w:val="clear" w:color="auto" w:fill="FFFFFF"/>
            <w:vAlign w:val="center"/>
          </w:tcPr>
          <w:p w14:paraId="0DBCA806" w14:textId="7A2337E4" w:rsidR="00EE53EB" w:rsidRPr="0009445C" w:rsidRDefault="00EE53EB" w:rsidP="00600F53">
            <w:pPr>
              <w:pStyle w:val="BRL-Tabelleberschrift1Zeile"/>
            </w:pPr>
            <w:r w:rsidRPr="0009445C">
              <w:t>1</w:t>
            </w:r>
          </w:p>
        </w:tc>
        <w:tc>
          <w:tcPr>
            <w:tcW w:w="4252" w:type="dxa"/>
            <w:shd w:val="clear" w:color="auto" w:fill="FFFFFF"/>
            <w:vAlign w:val="center"/>
          </w:tcPr>
          <w:p w14:paraId="1986B01F" w14:textId="77777777" w:rsidR="00EE53EB" w:rsidRPr="0009445C" w:rsidRDefault="00EE53EB" w:rsidP="00600F53">
            <w:pPr>
              <w:pStyle w:val="BRL-Tabelleberschrift1Zeile"/>
            </w:pPr>
            <w:r w:rsidRPr="0009445C">
              <w:t>2</w:t>
            </w:r>
          </w:p>
        </w:tc>
      </w:tr>
      <w:tr w:rsidR="00EE53EB" w:rsidRPr="0009445C" w14:paraId="7854C184" w14:textId="77777777" w:rsidTr="00BF5219">
        <w:trPr>
          <w:cantSplit/>
        </w:trPr>
        <w:tc>
          <w:tcPr>
            <w:tcW w:w="423" w:type="dxa"/>
            <w:shd w:val="clear" w:color="auto" w:fill="FFFFFF"/>
          </w:tcPr>
          <w:p w14:paraId="13EBAC5F" w14:textId="1885A96C" w:rsidR="00EE53EB" w:rsidRPr="0009445C" w:rsidRDefault="00BF5219" w:rsidP="00E713B0">
            <w:pPr>
              <w:pStyle w:val="BRL-Tabelle"/>
              <w:spacing w:before="60" w:after="40"/>
              <w:ind w:left="113" w:right="113"/>
              <w:rPr>
                <w:b/>
              </w:rPr>
            </w:pPr>
            <w:r w:rsidRPr="0009445C">
              <w:rPr>
                <w:b/>
              </w:rPr>
              <w:t>1</w:t>
            </w:r>
          </w:p>
        </w:tc>
        <w:tc>
          <w:tcPr>
            <w:tcW w:w="4536" w:type="dxa"/>
            <w:shd w:val="clear" w:color="auto" w:fill="FFFFFF"/>
          </w:tcPr>
          <w:p w14:paraId="16A966FD" w14:textId="69E511E0" w:rsidR="00EE53EB" w:rsidRPr="0009445C" w:rsidRDefault="00EE53EB" w:rsidP="00E713B0">
            <w:pPr>
              <w:pStyle w:val="BRL-Tabelle"/>
              <w:spacing w:before="60" w:after="40"/>
              <w:ind w:left="113" w:right="113"/>
            </w:pPr>
            <w:r w:rsidRPr="0009445C">
              <w:t>Fire-retardant, sealing and self-closing</w:t>
            </w:r>
          </w:p>
        </w:tc>
        <w:tc>
          <w:tcPr>
            <w:tcW w:w="4252" w:type="dxa"/>
            <w:shd w:val="clear" w:color="auto" w:fill="FFFFFF"/>
          </w:tcPr>
          <w:p w14:paraId="7BE0C0E3" w14:textId="1FB73024" w:rsidR="00EE53EB" w:rsidRPr="0009445C" w:rsidRDefault="00EE53EB" w:rsidP="00E713B0">
            <w:pPr>
              <w:pStyle w:val="BRL-Tabelle"/>
              <w:spacing w:before="60" w:after="40"/>
              <w:ind w:left="113" w:right="113"/>
              <w:jc w:val="center"/>
            </w:pPr>
            <w:r w:rsidRPr="0009445C">
              <w:t>T 30</w:t>
            </w:r>
          </w:p>
        </w:tc>
      </w:tr>
      <w:tr w:rsidR="00EE53EB" w:rsidRPr="0009445C" w14:paraId="195EC98F" w14:textId="77777777" w:rsidTr="00BF5219">
        <w:trPr>
          <w:cantSplit/>
        </w:trPr>
        <w:tc>
          <w:tcPr>
            <w:tcW w:w="423" w:type="dxa"/>
            <w:shd w:val="clear" w:color="auto" w:fill="FFFFFF"/>
          </w:tcPr>
          <w:p w14:paraId="6D35EFA5" w14:textId="5AC16049" w:rsidR="00EE53EB" w:rsidRPr="0009445C" w:rsidRDefault="00BF5219" w:rsidP="00E713B0">
            <w:pPr>
              <w:pStyle w:val="BRL-Tabelle"/>
              <w:spacing w:before="60" w:after="40"/>
              <w:ind w:left="113" w:right="113"/>
              <w:rPr>
                <w:b/>
              </w:rPr>
            </w:pPr>
            <w:r w:rsidRPr="0009445C">
              <w:rPr>
                <w:b/>
              </w:rPr>
              <w:t>2</w:t>
            </w:r>
          </w:p>
        </w:tc>
        <w:tc>
          <w:tcPr>
            <w:tcW w:w="4536" w:type="dxa"/>
            <w:shd w:val="clear" w:color="auto" w:fill="FFFFFF"/>
          </w:tcPr>
          <w:p w14:paraId="36C8005D" w14:textId="534084DD" w:rsidR="00EE53EB" w:rsidRPr="0009445C" w:rsidRDefault="00EE53EB" w:rsidP="00E713B0">
            <w:pPr>
              <w:pStyle w:val="BRL-Tabelle"/>
              <w:spacing w:before="60" w:after="40"/>
              <w:ind w:left="113" w:right="113"/>
            </w:pPr>
            <w:r w:rsidRPr="0009445C">
              <w:t>Highly fire-retardant, sealing and self-closing</w:t>
            </w:r>
          </w:p>
        </w:tc>
        <w:tc>
          <w:tcPr>
            <w:tcW w:w="4252" w:type="dxa"/>
            <w:shd w:val="clear" w:color="auto" w:fill="FFFFFF"/>
          </w:tcPr>
          <w:p w14:paraId="31C2CDD2" w14:textId="0CE54E57" w:rsidR="00EE53EB" w:rsidRPr="0009445C" w:rsidRDefault="00EE53EB" w:rsidP="00E713B0">
            <w:pPr>
              <w:pStyle w:val="BRL-Tabelle"/>
              <w:spacing w:before="60" w:after="40"/>
              <w:ind w:left="113" w:right="113"/>
              <w:jc w:val="center"/>
            </w:pPr>
            <w:r w:rsidRPr="0009445C">
              <w:t>T 60</w:t>
            </w:r>
          </w:p>
        </w:tc>
      </w:tr>
      <w:tr w:rsidR="00EE53EB" w:rsidRPr="0009445C" w14:paraId="6A8B3F11" w14:textId="77777777" w:rsidTr="00BF5219">
        <w:trPr>
          <w:cantSplit/>
        </w:trPr>
        <w:tc>
          <w:tcPr>
            <w:tcW w:w="423" w:type="dxa"/>
            <w:shd w:val="clear" w:color="auto" w:fill="FFFFFF"/>
          </w:tcPr>
          <w:p w14:paraId="6F4C02EF" w14:textId="4797B85F" w:rsidR="00EE53EB" w:rsidRPr="0009445C" w:rsidRDefault="00BF5219" w:rsidP="00E713B0">
            <w:pPr>
              <w:pStyle w:val="BRL-Tabelle"/>
              <w:spacing w:before="60" w:after="40"/>
              <w:ind w:left="113" w:right="113"/>
              <w:rPr>
                <w:b/>
              </w:rPr>
            </w:pPr>
            <w:r w:rsidRPr="0009445C">
              <w:rPr>
                <w:b/>
              </w:rPr>
              <w:t>3</w:t>
            </w:r>
          </w:p>
        </w:tc>
        <w:tc>
          <w:tcPr>
            <w:tcW w:w="4536" w:type="dxa"/>
            <w:shd w:val="clear" w:color="auto" w:fill="FFFFFF"/>
          </w:tcPr>
          <w:p w14:paraId="4D5056AD" w14:textId="49377338" w:rsidR="00EE53EB" w:rsidRPr="0009445C" w:rsidRDefault="00EE53EB" w:rsidP="00E713B0">
            <w:pPr>
              <w:pStyle w:val="BRL-Tabelle"/>
              <w:spacing w:before="60" w:after="40"/>
              <w:ind w:left="113" w:right="113"/>
            </w:pPr>
            <w:r w:rsidRPr="0009445C">
              <w:t>fire-resistant and self-closing</w:t>
            </w:r>
          </w:p>
        </w:tc>
        <w:tc>
          <w:tcPr>
            <w:tcW w:w="4252" w:type="dxa"/>
            <w:shd w:val="clear" w:color="auto" w:fill="FFFFFF"/>
          </w:tcPr>
          <w:p w14:paraId="1E1A1B05" w14:textId="77777777" w:rsidR="00EE53EB" w:rsidRPr="0009445C" w:rsidRDefault="00EE53EB" w:rsidP="00E713B0">
            <w:pPr>
              <w:pStyle w:val="BRL-Tabelle"/>
              <w:spacing w:before="60" w:after="40"/>
              <w:ind w:left="113" w:right="113"/>
              <w:jc w:val="center"/>
            </w:pPr>
            <w:r w:rsidRPr="0009445C">
              <w:t>T 90</w:t>
            </w:r>
          </w:p>
        </w:tc>
      </w:tr>
    </w:tbl>
    <w:p w14:paraId="7AFF6E7A" w14:textId="77777777" w:rsidR="00E713B0" w:rsidRPr="0009445C" w:rsidRDefault="00E713B0" w:rsidP="00E713B0">
      <w:pPr>
        <w:spacing w:line="240" w:lineRule="auto"/>
      </w:pPr>
    </w:p>
    <w:p w14:paraId="50AFA67F" w14:textId="03FF1C34" w:rsidR="00E713B0" w:rsidRPr="0009445C" w:rsidRDefault="00E713B0" w:rsidP="00E713B0">
      <w:pPr>
        <w:spacing w:line="240" w:lineRule="auto"/>
        <w:rPr>
          <w:b/>
          <w:bCs/>
          <w:szCs w:val="16"/>
        </w:rPr>
      </w:pPr>
    </w:p>
    <w:p w14:paraId="7D932DCD" w14:textId="77777777" w:rsidR="00E713B0" w:rsidRPr="0009445C" w:rsidRDefault="00E713B0" w:rsidP="00600F53">
      <w:pPr>
        <w:pStyle w:val="BRL-berschrift"/>
      </w:pPr>
      <w:r w:rsidRPr="0009445C">
        <w:t>5.2.2</w:t>
      </w:r>
      <w:r w:rsidRPr="0009445C">
        <w:tab/>
        <w:t>Construction products as fire protection barrier in path-bound conveyor systems according to EAD 350022-01-1107</w:t>
      </w:r>
    </w:p>
    <w:p w14:paraId="1250FF3F" w14:textId="77777777" w:rsidR="00E713B0" w:rsidRPr="0009445C" w:rsidRDefault="00E713B0" w:rsidP="00E713B0">
      <w:pPr>
        <w:pStyle w:val="BRLTabelleberschrift"/>
        <w:spacing w:before="0" w:after="120"/>
      </w:pPr>
      <w:r w:rsidRPr="0009445C">
        <w:t>Table 5.2.2:</w:t>
      </w:r>
      <w:r w:rsidRPr="0009445C">
        <w:tab/>
        <w:t xml:space="preserve">Building approval requirements and minimum required performances </w:t>
      </w:r>
    </w:p>
    <w:tbl>
      <w:tblPr>
        <w:tblW w:w="9064" w:type="dxa"/>
        <w:tblBorders>
          <w:insideH w:val="single" w:sz="2" w:space="0" w:color="595959"/>
          <w:insideV w:val="single" w:sz="2" w:space="0" w:color="595959"/>
        </w:tblBorders>
        <w:shd w:val="clear" w:color="auto" w:fill="FFFFFF"/>
        <w:tblCellMar>
          <w:left w:w="113" w:type="dxa"/>
          <w:right w:w="113" w:type="dxa"/>
        </w:tblCellMar>
        <w:tblLook w:val="04E0" w:firstRow="1" w:lastRow="1" w:firstColumn="1" w:lastColumn="0" w:noHBand="0" w:noVBand="1"/>
      </w:tblPr>
      <w:tblGrid>
        <w:gridCol w:w="479"/>
        <w:gridCol w:w="2618"/>
        <w:gridCol w:w="2404"/>
        <w:gridCol w:w="1591"/>
        <w:gridCol w:w="1972"/>
      </w:tblGrid>
      <w:tr w:rsidR="00A80A95" w:rsidRPr="0009445C" w14:paraId="781A13FC" w14:textId="77777777" w:rsidTr="00A80A95">
        <w:trPr>
          <w:cantSplit/>
        </w:trPr>
        <w:tc>
          <w:tcPr>
            <w:tcW w:w="479" w:type="dxa"/>
            <w:vMerge w:val="restart"/>
            <w:tcBorders>
              <w:top w:val="single" w:sz="2" w:space="0" w:color="auto"/>
              <w:left w:val="single" w:sz="2" w:space="0" w:color="auto"/>
              <w:right w:val="single" w:sz="2" w:space="0" w:color="595959"/>
              <w:tl2br w:val="nil"/>
              <w:tr2bl w:val="nil"/>
            </w:tcBorders>
            <w:shd w:val="clear" w:color="auto" w:fill="FFFFFF"/>
          </w:tcPr>
          <w:p w14:paraId="7FEB692D" w14:textId="77777777" w:rsidR="00A80A95" w:rsidRPr="0009445C" w:rsidRDefault="00A80A95" w:rsidP="00600F53">
            <w:pPr>
              <w:pStyle w:val="BRL-Tabelleberschrift"/>
            </w:pPr>
          </w:p>
        </w:tc>
        <w:tc>
          <w:tcPr>
            <w:tcW w:w="2618" w:type="dxa"/>
            <w:vMerge w:val="restart"/>
            <w:tcBorders>
              <w:top w:val="single" w:sz="2" w:space="0" w:color="auto"/>
              <w:left w:val="single" w:sz="2" w:space="0" w:color="auto"/>
              <w:bottom w:val="single" w:sz="2" w:space="0" w:color="595959"/>
              <w:right w:val="single" w:sz="2" w:space="0" w:color="595959"/>
              <w:tl2br w:val="nil"/>
              <w:tr2bl w:val="nil"/>
            </w:tcBorders>
            <w:shd w:val="clear" w:color="auto" w:fill="FFFFFF"/>
          </w:tcPr>
          <w:p w14:paraId="485CCB69" w14:textId="5C6092C5" w:rsidR="00A80A95" w:rsidRPr="0009445C" w:rsidRDefault="00A80A95" w:rsidP="00600F53">
            <w:pPr>
              <w:pStyle w:val="BRL-Tabelleberschrift"/>
            </w:pPr>
            <w:r w:rsidRPr="0009445C">
              <w:t>Building approval requirement</w:t>
            </w:r>
          </w:p>
        </w:tc>
        <w:tc>
          <w:tcPr>
            <w:tcW w:w="5967" w:type="dxa"/>
            <w:gridSpan w:val="3"/>
            <w:tcBorders>
              <w:top w:val="single" w:sz="2" w:space="0" w:color="auto"/>
              <w:left w:val="single" w:sz="2" w:space="0" w:color="595959"/>
              <w:bottom w:val="single" w:sz="2" w:space="0" w:color="595959"/>
              <w:right w:val="single" w:sz="2" w:space="0" w:color="auto"/>
              <w:tl2br w:val="nil"/>
              <w:tr2bl w:val="nil"/>
            </w:tcBorders>
            <w:shd w:val="clear" w:color="auto" w:fill="FFFFFF"/>
          </w:tcPr>
          <w:p w14:paraId="2AF4457A" w14:textId="77777777" w:rsidR="00A80A95" w:rsidRPr="0009445C" w:rsidRDefault="00A80A95" w:rsidP="00600F53">
            <w:pPr>
              <w:pStyle w:val="BRL-Tabelleberschrift"/>
            </w:pPr>
            <w:r w:rsidRPr="0009445C">
              <w:t>Minimum required performance</w:t>
            </w:r>
            <w:r w:rsidRPr="0009445C">
              <w:rPr>
                <w:vertAlign w:val="superscript"/>
              </w:rPr>
              <w:t>1</w:t>
            </w:r>
          </w:p>
        </w:tc>
      </w:tr>
      <w:tr w:rsidR="00A80A95" w:rsidRPr="0009445C" w14:paraId="5A795549" w14:textId="77777777" w:rsidTr="00A80A95">
        <w:trPr>
          <w:cantSplit/>
        </w:trPr>
        <w:tc>
          <w:tcPr>
            <w:tcW w:w="479" w:type="dxa"/>
            <w:vMerge/>
            <w:tcBorders>
              <w:left w:val="single" w:sz="2" w:space="0" w:color="auto"/>
              <w:bottom w:val="nil"/>
              <w:right w:val="single" w:sz="2" w:space="0" w:color="595959"/>
            </w:tcBorders>
            <w:shd w:val="clear" w:color="auto" w:fill="FFFFFF"/>
          </w:tcPr>
          <w:p w14:paraId="7440D9EE" w14:textId="77777777" w:rsidR="00A80A95" w:rsidRPr="0009445C" w:rsidDel="00C243E5" w:rsidRDefault="00A80A95" w:rsidP="00600F53">
            <w:pPr>
              <w:pStyle w:val="BRL-Tabelleberschrift"/>
            </w:pPr>
          </w:p>
        </w:tc>
        <w:tc>
          <w:tcPr>
            <w:tcW w:w="2618" w:type="dxa"/>
            <w:vMerge/>
            <w:tcBorders>
              <w:left w:val="single" w:sz="2" w:space="0" w:color="595959"/>
              <w:bottom w:val="nil"/>
            </w:tcBorders>
            <w:shd w:val="clear" w:color="auto" w:fill="FFFFFF"/>
          </w:tcPr>
          <w:p w14:paraId="1B7DB35E" w14:textId="052EECD8" w:rsidR="00A80A95" w:rsidRPr="0009445C" w:rsidDel="00C243E5" w:rsidRDefault="00A80A95" w:rsidP="00600F53">
            <w:pPr>
              <w:pStyle w:val="BRL-Tabelleberschrift"/>
            </w:pPr>
          </w:p>
        </w:tc>
        <w:tc>
          <w:tcPr>
            <w:tcW w:w="2404" w:type="dxa"/>
            <w:tcBorders>
              <w:top w:val="single" w:sz="2" w:space="0" w:color="auto"/>
              <w:right w:val="single" w:sz="2" w:space="0" w:color="auto"/>
            </w:tcBorders>
            <w:shd w:val="clear" w:color="auto" w:fill="FFFFFF"/>
          </w:tcPr>
          <w:p w14:paraId="4056EAB3" w14:textId="77777777" w:rsidR="00A80A95" w:rsidRPr="0009445C" w:rsidDel="00C243E5" w:rsidRDefault="00A80A95" w:rsidP="00600F53">
            <w:pPr>
              <w:pStyle w:val="BRL-Tabelleberschrift"/>
            </w:pPr>
            <w:r w:rsidRPr="0009445C">
              <w:t>Fire resistance</w:t>
            </w:r>
          </w:p>
        </w:tc>
        <w:tc>
          <w:tcPr>
            <w:tcW w:w="1591" w:type="dxa"/>
            <w:tcBorders>
              <w:top w:val="single" w:sz="2" w:space="0" w:color="auto"/>
              <w:right w:val="single" w:sz="2" w:space="0" w:color="auto"/>
            </w:tcBorders>
            <w:shd w:val="clear" w:color="auto" w:fill="FFFFFF"/>
          </w:tcPr>
          <w:p w14:paraId="6176AECA" w14:textId="77777777" w:rsidR="00A80A95" w:rsidRPr="0009445C" w:rsidDel="00C243E5" w:rsidRDefault="00A80A95" w:rsidP="00600F53">
            <w:pPr>
              <w:pStyle w:val="BRL-Tabelleberschrift"/>
            </w:pPr>
            <w:r w:rsidRPr="0009445C">
              <w:t xml:space="preserve">Fire performance </w:t>
            </w:r>
          </w:p>
        </w:tc>
        <w:tc>
          <w:tcPr>
            <w:tcW w:w="1972" w:type="dxa"/>
            <w:tcBorders>
              <w:top w:val="single" w:sz="2" w:space="0" w:color="auto"/>
              <w:right w:val="single" w:sz="2" w:space="0" w:color="auto"/>
            </w:tcBorders>
            <w:shd w:val="clear" w:color="auto" w:fill="FFFFFF"/>
          </w:tcPr>
          <w:p w14:paraId="211C6C74" w14:textId="77777777" w:rsidR="00A80A95" w:rsidRPr="0009445C" w:rsidDel="00C243E5" w:rsidRDefault="00A80A95" w:rsidP="00600F53">
            <w:pPr>
              <w:pStyle w:val="BRL-Tabelleberschrift"/>
            </w:pPr>
            <w:r w:rsidRPr="0009445C">
              <w:t>Electromotive open and/or closing</w:t>
            </w:r>
          </w:p>
        </w:tc>
      </w:tr>
      <w:tr w:rsidR="00BF5219" w:rsidRPr="0009445C" w14:paraId="07202E7B" w14:textId="77777777" w:rsidTr="00A80A95">
        <w:trPr>
          <w:cantSplit/>
          <w:trHeight w:val="269"/>
        </w:trPr>
        <w:tc>
          <w:tcPr>
            <w:tcW w:w="479" w:type="dxa"/>
            <w:tcBorders>
              <w:left w:val="single" w:sz="2" w:space="0" w:color="auto"/>
              <w:bottom w:val="nil"/>
            </w:tcBorders>
            <w:shd w:val="clear" w:color="auto" w:fill="FFFFFF"/>
          </w:tcPr>
          <w:p w14:paraId="4252188A" w14:textId="77777777" w:rsidR="00BF5219" w:rsidRPr="0009445C" w:rsidRDefault="00BF5219" w:rsidP="00600F53">
            <w:pPr>
              <w:pStyle w:val="BRL-Tabelleberschrift"/>
            </w:pPr>
          </w:p>
        </w:tc>
        <w:tc>
          <w:tcPr>
            <w:tcW w:w="2618" w:type="dxa"/>
            <w:tcBorders>
              <w:left w:val="single" w:sz="2" w:space="0" w:color="auto"/>
              <w:bottom w:val="nil"/>
            </w:tcBorders>
            <w:shd w:val="clear" w:color="auto" w:fill="FFFFFF"/>
            <w:vAlign w:val="center"/>
          </w:tcPr>
          <w:p w14:paraId="7BC9C5BB" w14:textId="76F579E4" w:rsidR="00BF5219" w:rsidRPr="0009445C" w:rsidDel="00C243E5" w:rsidRDefault="00BF5219" w:rsidP="00600F53">
            <w:pPr>
              <w:pStyle w:val="BRL-Tabelleberschrift"/>
            </w:pPr>
            <w:r w:rsidRPr="0009445C">
              <w:t>1</w:t>
            </w:r>
          </w:p>
        </w:tc>
        <w:tc>
          <w:tcPr>
            <w:tcW w:w="2404" w:type="dxa"/>
            <w:tcBorders>
              <w:top w:val="single" w:sz="2" w:space="0" w:color="auto"/>
              <w:right w:val="single" w:sz="2" w:space="0" w:color="auto"/>
            </w:tcBorders>
            <w:shd w:val="clear" w:color="auto" w:fill="FFFFFF"/>
            <w:vAlign w:val="center"/>
          </w:tcPr>
          <w:p w14:paraId="06B38C93" w14:textId="77777777" w:rsidR="00BF5219" w:rsidRPr="0009445C" w:rsidRDefault="00BF5219" w:rsidP="00600F53">
            <w:pPr>
              <w:pStyle w:val="BRL-Tabelleberschrift"/>
            </w:pPr>
            <w:r w:rsidRPr="0009445C">
              <w:t>2</w:t>
            </w:r>
          </w:p>
        </w:tc>
        <w:tc>
          <w:tcPr>
            <w:tcW w:w="1591" w:type="dxa"/>
            <w:tcBorders>
              <w:top w:val="single" w:sz="2" w:space="0" w:color="auto"/>
              <w:right w:val="single" w:sz="2" w:space="0" w:color="auto"/>
            </w:tcBorders>
            <w:shd w:val="clear" w:color="auto" w:fill="FFFFFF"/>
            <w:vAlign w:val="center"/>
          </w:tcPr>
          <w:p w14:paraId="31249DC6" w14:textId="77777777" w:rsidR="00BF5219" w:rsidRPr="0009445C" w:rsidRDefault="00BF5219" w:rsidP="00600F53">
            <w:pPr>
              <w:pStyle w:val="BRL-Tabelleberschrift"/>
            </w:pPr>
            <w:r w:rsidRPr="0009445C">
              <w:t>3</w:t>
            </w:r>
          </w:p>
        </w:tc>
        <w:tc>
          <w:tcPr>
            <w:tcW w:w="1972" w:type="dxa"/>
            <w:tcBorders>
              <w:top w:val="single" w:sz="2" w:space="0" w:color="auto"/>
              <w:right w:val="single" w:sz="2" w:space="0" w:color="auto"/>
            </w:tcBorders>
            <w:shd w:val="clear" w:color="auto" w:fill="FFFFFF"/>
            <w:vAlign w:val="center"/>
          </w:tcPr>
          <w:p w14:paraId="64C57B83" w14:textId="77777777" w:rsidR="00BF5219" w:rsidRPr="0009445C" w:rsidRDefault="00BF5219" w:rsidP="00600F53">
            <w:pPr>
              <w:pStyle w:val="BRL-Tabelleberschrift"/>
            </w:pPr>
            <w:r w:rsidRPr="0009445C">
              <w:t>4</w:t>
            </w:r>
          </w:p>
        </w:tc>
      </w:tr>
      <w:tr w:rsidR="00BF5219" w:rsidRPr="0009445C" w14:paraId="025C4278" w14:textId="77777777" w:rsidTr="00A80A95">
        <w:trPr>
          <w:cantSplit/>
        </w:trPr>
        <w:tc>
          <w:tcPr>
            <w:tcW w:w="479" w:type="dxa"/>
            <w:tcBorders>
              <w:top w:val="single" w:sz="2" w:space="0" w:color="595959"/>
              <w:left w:val="single" w:sz="2" w:space="0" w:color="auto"/>
              <w:bottom w:val="single" w:sz="2" w:space="0" w:color="595959"/>
              <w:right w:val="single" w:sz="4" w:space="0" w:color="auto"/>
            </w:tcBorders>
            <w:shd w:val="clear" w:color="auto" w:fill="FFFFFF"/>
          </w:tcPr>
          <w:p w14:paraId="046F1DF7" w14:textId="2288E4E9" w:rsidR="00BF5219" w:rsidRPr="0009445C" w:rsidRDefault="00BF5219" w:rsidP="00E713B0">
            <w:pPr>
              <w:pStyle w:val="BRL-Tabelle"/>
              <w:spacing w:before="60" w:after="40"/>
              <w:ind w:left="26" w:right="113"/>
              <w:rPr>
                <w:b/>
              </w:rPr>
            </w:pPr>
            <w:r w:rsidRPr="0009445C">
              <w:rPr>
                <w:b/>
              </w:rPr>
              <w:t>1</w:t>
            </w:r>
          </w:p>
        </w:tc>
        <w:tc>
          <w:tcPr>
            <w:tcW w:w="2618" w:type="dxa"/>
            <w:tcBorders>
              <w:top w:val="single" w:sz="2" w:space="0" w:color="595959"/>
              <w:left w:val="single" w:sz="2" w:space="0" w:color="auto"/>
              <w:bottom w:val="single" w:sz="2" w:space="0" w:color="595959"/>
              <w:right w:val="single" w:sz="4" w:space="0" w:color="auto"/>
            </w:tcBorders>
            <w:shd w:val="clear" w:color="auto" w:fill="FFFFFF"/>
          </w:tcPr>
          <w:p w14:paraId="533FA89E" w14:textId="62843195" w:rsidR="00BF5219" w:rsidRPr="0009445C" w:rsidRDefault="00BF5219" w:rsidP="00E713B0">
            <w:pPr>
              <w:pStyle w:val="BRL-Tabelle"/>
              <w:spacing w:before="60" w:after="40"/>
              <w:ind w:left="26" w:right="113"/>
            </w:pPr>
            <w:r w:rsidRPr="0009445C">
              <w:t>Fire-retardant, sealing and self-closing</w:t>
            </w:r>
          </w:p>
        </w:tc>
        <w:tc>
          <w:tcPr>
            <w:tcW w:w="2404" w:type="dxa"/>
            <w:tcBorders>
              <w:top w:val="single" w:sz="2" w:space="0" w:color="595959"/>
              <w:left w:val="single" w:sz="4" w:space="0" w:color="auto"/>
              <w:bottom w:val="single" w:sz="2" w:space="0" w:color="595959"/>
              <w:right w:val="single" w:sz="2" w:space="0" w:color="auto"/>
            </w:tcBorders>
            <w:shd w:val="clear" w:color="auto" w:fill="FFFFFF"/>
          </w:tcPr>
          <w:p w14:paraId="4C349C0D" w14:textId="1C2A2442" w:rsidR="00BF5219" w:rsidRPr="0009445C" w:rsidRDefault="00BF5219" w:rsidP="00E713B0">
            <w:pPr>
              <w:pStyle w:val="BRL-Tabelle"/>
              <w:spacing w:before="60" w:after="40"/>
              <w:ind w:left="113" w:right="113"/>
            </w:pPr>
            <w:r w:rsidRPr="0009445C">
              <w:t>EI</w:t>
            </w:r>
            <w:r w:rsidRPr="0009445C">
              <w:rPr>
                <w:vertAlign w:val="subscript"/>
              </w:rPr>
              <w:t>2</w:t>
            </w:r>
            <w:r w:rsidRPr="0009445C">
              <w:t>30</w:t>
            </w:r>
            <w:r w:rsidRPr="0009445C">
              <w:br/>
              <w:t>C</w:t>
            </w:r>
            <w:r w:rsidRPr="0009445C">
              <w:br/>
              <w:t>Continuous function test</w:t>
            </w:r>
            <w:r w:rsidRPr="0009445C">
              <w:rPr>
                <w:vertAlign w:val="superscript"/>
              </w:rPr>
              <w:t>2</w:t>
            </w:r>
          </w:p>
        </w:tc>
        <w:tc>
          <w:tcPr>
            <w:tcW w:w="1591" w:type="dxa"/>
            <w:tcBorders>
              <w:top w:val="single" w:sz="2" w:space="0" w:color="595959"/>
              <w:left w:val="single" w:sz="4" w:space="0" w:color="auto"/>
              <w:bottom w:val="single" w:sz="2" w:space="0" w:color="595959"/>
              <w:right w:val="single" w:sz="2" w:space="0" w:color="auto"/>
            </w:tcBorders>
            <w:shd w:val="clear" w:color="auto" w:fill="FFFFFF"/>
          </w:tcPr>
          <w:p w14:paraId="195372B8" w14:textId="2CE0A7C0" w:rsidR="00BF5219" w:rsidRPr="0009445C" w:rsidRDefault="00BF5219" w:rsidP="00E713B0">
            <w:pPr>
              <w:pStyle w:val="BRL-Tabelle"/>
              <w:spacing w:before="60" w:after="40"/>
              <w:ind w:left="113" w:right="113"/>
            </w:pPr>
            <w:r w:rsidRPr="0009445C">
              <w:t>E – d2</w:t>
            </w:r>
          </w:p>
        </w:tc>
        <w:tc>
          <w:tcPr>
            <w:tcW w:w="1972" w:type="dxa"/>
            <w:tcBorders>
              <w:top w:val="single" w:sz="2" w:space="0" w:color="595959"/>
              <w:left w:val="single" w:sz="4" w:space="0" w:color="auto"/>
              <w:bottom w:val="single" w:sz="2" w:space="0" w:color="595959"/>
              <w:right w:val="single" w:sz="2" w:space="0" w:color="auto"/>
            </w:tcBorders>
            <w:shd w:val="clear" w:color="auto" w:fill="FFFFFF"/>
          </w:tcPr>
          <w:p w14:paraId="3164C813" w14:textId="40BB9ED6" w:rsidR="00BF5219" w:rsidRPr="0009445C" w:rsidRDefault="00BF5219" w:rsidP="00E713B0">
            <w:pPr>
              <w:pStyle w:val="BRL-Tabelle"/>
              <w:spacing w:before="60" w:after="40"/>
              <w:ind w:left="113" w:right="113"/>
            </w:pPr>
            <w:r w:rsidRPr="0009445C">
              <w:t>Specification: Annex B2 and B3 of the EAD fulfilled</w:t>
            </w:r>
          </w:p>
        </w:tc>
      </w:tr>
      <w:tr w:rsidR="00BF5219" w:rsidRPr="0009445C" w14:paraId="0D8D4B1C" w14:textId="77777777" w:rsidTr="00A80A95">
        <w:trPr>
          <w:cantSplit/>
        </w:trPr>
        <w:tc>
          <w:tcPr>
            <w:tcW w:w="479" w:type="dxa"/>
            <w:tcBorders>
              <w:top w:val="single" w:sz="2" w:space="0" w:color="595959"/>
              <w:left w:val="single" w:sz="2" w:space="0" w:color="auto"/>
              <w:bottom w:val="single" w:sz="2" w:space="0" w:color="595959"/>
              <w:right w:val="single" w:sz="4" w:space="0" w:color="auto"/>
            </w:tcBorders>
            <w:shd w:val="clear" w:color="auto" w:fill="FFFFFF"/>
          </w:tcPr>
          <w:p w14:paraId="01BBDC89" w14:textId="78C294A9" w:rsidR="00BF5219" w:rsidRPr="0009445C" w:rsidRDefault="00BF5219" w:rsidP="00E713B0">
            <w:pPr>
              <w:pStyle w:val="BRL-Tabelle"/>
              <w:spacing w:before="60" w:after="40"/>
              <w:ind w:left="26" w:right="113"/>
              <w:rPr>
                <w:b/>
              </w:rPr>
            </w:pPr>
            <w:r w:rsidRPr="0009445C">
              <w:rPr>
                <w:b/>
              </w:rPr>
              <w:t>2</w:t>
            </w:r>
          </w:p>
        </w:tc>
        <w:tc>
          <w:tcPr>
            <w:tcW w:w="2618" w:type="dxa"/>
            <w:tcBorders>
              <w:top w:val="single" w:sz="2" w:space="0" w:color="595959"/>
              <w:left w:val="single" w:sz="2" w:space="0" w:color="auto"/>
              <w:bottom w:val="single" w:sz="2" w:space="0" w:color="595959"/>
              <w:right w:val="single" w:sz="4" w:space="0" w:color="auto"/>
            </w:tcBorders>
            <w:shd w:val="clear" w:color="auto" w:fill="FFFFFF"/>
          </w:tcPr>
          <w:p w14:paraId="52CC8354" w14:textId="35DD315F" w:rsidR="00BF5219" w:rsidRPr="0009445C" w:rsidRDefault="00BF5219" w:rsidP="00E713B0">
            <w:pPr>
              <w:pStyle w:val="BRL-Tabelle"/>
              <w:spacing w:before="60" w:after="40"/>
              <w:ind w:left="26" w:right="113"/>
            </w:pPr>
            <w:r w:rsidRPr="0009445C">
              <w:t>Highly fire-retardant, sealing and self-closing</w:t>
            </w:r>
          </w:p>
        </w:tc>
        <w:tc>
          <w:tcPr>
            <w:tcW w:w="2404" w:type="dxa"/>
            <w:tcBorders>
              <w:top w:val="single" w:sz="2" w:space="0" w:color="595959"/>
              <w:left w:val="single" w:sz="4" w:space="0" w:color="auto"/>
              <w:bottom w:val="single" w:sz="2" w:space="0" w:color="595959"/>
              <w:right w:val="single" w:sz="2" w:space="0" w:color="auto"/>
            </w:tcBorders>
            <w:shd w:val="clear" w:color="auto" w:fill="FFFFFF"/>
          </w:tcPr>
          <w:p w14:paraId="0AD70E40" w14:textId="1D62297F" w:rsidR="00BF5219" w:rsidRPr="0009445C" w:rsidRDefault="00BF5219" w:rsidP="00E713B0">
            <w:pPr>
              <w:pStyle w:val="BRL-Tabelle"/>
              <w:spacing w:before="60" w:after="40"/>
              <w:ind w:left="113" w:right="113"/>
            </w:pPr>
            <w:r w:rsidRPr="0009445C">
              <w:t>EI</w:t>
            </w:r>
            <w:r w:rsidRPr="0009445C">
              <w:rPr>
                <w:vertAlign w:val="subscript"/>
              </w:rPr>
              <w:t>2</w:t>
            </w:r>
            <w:r w:rsidRPr="0009445C">
              <w:t xml:space="preserve"> 60</w:t>
            </w:r>
            <w:r w:rsidRPr="0009445C">
              <w:br/>
              <w:t>C</w:t>
            </w:r>
            <w:r w:rsidRPr="0009445C">
              <w:br/>
              <w:t>Continuous function test</w:t>
            </w:r>
            <w:r w:rsidRPr="0009445C">
              <w:rPr>
                <w:vertAlign w:val="superscript"/>
              </w:rPr>
              <w:t>2</w:t>
            </w:r>
          </w:p>
        </w:tc>
        <w:tc>
          <w:tcPr>
            <w:tcW w:w="1591" w:type="dxa"/>
            <w:tcBorders>
              <w:top w:val="single" w:sz="2" w:space="0" w:color="595959"/>
              <w:left w:val="single" w:sz="4" w:space="0" w:color="auto"/>
              <w:bottom w:val="single" w:sz="2" w:space="0" w:color="595959"/>
              <w:right w:val="single" w:sz="2" w:space="0" w:color="auto"/>
            </w:tcBorders>
            <w:shd w:val="clear" w:color="auto" w:fill="FFFFFF"/>
          </w:tcPr>
          <w:p w14:paraId="774A73D4" w14:textId="2BD761B6" w:rsidR="00BF5219" w:rsidRPr="0009445C" w:rsidRDefault="00BF5219" w:rsidP="00E713B0">
            <w:pPr>
              <w:pStyle w:val="BRL-Tabelle"/>
              <w:spacing w:before="60" w:after="40"/>
              <w:ind w:left="113" w:right="113"/>
            </w:pPr>
            <w:r w:rsidRPr="0009445C">
              <w:t>E – d2</w:t>
            </w:r>
          </w:p>
        </w:tc>
        <w:tc>
          <w:tcPr>
            <w:tcW w:w="1972" w:type="dxa"/>
            <w:tcBorders>
              <w:top w:val="single" w:sz="2" w:space="0" w:color="595959"/>
              <w:left w:val="single" w:sz="4" w:space="0" w:color="auto"/>
              <w:bottom w:val="single" w:sz="2" w:space="0" w:color="595959"/>
              <w:right w:val="single" w:sz="2" w:space="0" w:color="auto"/>
            </w:tcBorders>
            <w:shd w:val="clear" w:color="auto" w:fill="FFFFFF"/>
          </w:tcPr>
          <w:p w14:paraId="7E4A9043" w14:textId="78C9436B" w:rsidR="00BF5219" w:rsidRPr="0009445C" w:rsidRDefault="00BF5219" w:rsidP="00E713B0">
            <w:pPr>
              <w:pStyle w:val="BRL-Tabelle"/>
              <w:spacing w:before="60" w:after="40"/>
              <w:ind w:left="113" w:right="113"/>
            </w:pPr>
            <w:r w:rsidRPr="0009445C">
              <w:t>Specification: Annex B2 and B3 of the EAD fulfilled</w:t>
            </w:r>
          </w:p>
        </w:tc>
      </w:tr>
      <w:tr w:rsidR="00BF5219" w:rsidRPr="0009445C" w14:paraId="0DE88BD5" w14:textId="77777777" w:rsidTr="00A80A95">
        <w:trPr>
          <w:cantSplit/>
        </w:trPr>
        <w:tc>
          <w:tcPr>
            <w:tcW w:w="479" w:type="dxa"/>
            <w:tcBorders>
              <w:top w:val="single" w:sz="2" w:space="0" w:color="595959"/>
              <w:left w:val="single" w:sz="2" w:space="0" w:color="auto"/>
              <w:bottom w:val="single" w:sz="2" w:space="0" w:color="595959"/>
              <w:right w:val="single" w:sz="4" w:space="0" w:color="auto"/>
            </w:tcBorders>
            <w:shd w:val="clear" w:color="auto" w:fill="FFFFFF"/>
          </w:tcPr>
          <w:p w14:paraId="1851DC7E" w14:textId="5BCE0550" w:rsidR="00BF5219" w:rsidRPr="0009445C" w:rsidRDefault="00BF5219" w:rsidP="00E713B0">
            <w:pPr>
              <w:pStyle w:val="BRL-Tabelle"/>
              <w:spacing w:before="60" w:after="40"/>
              <w:ind w:left="26" w:right="113"/>
              <w:rPr>
                <w:b/>
              </w:rPr>
            </w:pPr>
            <w:r w:rsidRPr="0009445C">
              <w:rPr>
                <w:b/>
              </w:rPr>
              <w:t>3</w:t>
            </w:r>
          </w:p>
        </w:tc>
        <w:tc>
          <w:tcPr>
            <w:tcW w:w="2618" w:type="dxa"/>
            <w:tcBorders>
              <w:top w:val="single" w:sz="2" w:space="0" w:color="595959"/>
              <w:left w:val="single" w:sz="2" w:space="0" w:color="auto"/>
              <w:bottom w:val="single" w:sz="2" w:space="0" w:color="595959"/>
              <w:right w:val="single" w:sz="4" w:space="0" w:color="auto"/>
            </w:tcBorders>
            <w:shd w:val="clear" w:color="auto" w:fill="FFFFFF"/>
          </w:tcPr>
          <w:p w14:paraId="78A3C8A5" w14:textId="1F083123" w:rsidR="00BF5219" w:rsidRPr="0009445C" w:rsidRDefault="00BF5219" w:rsidP="00E713B0">
            <w:pPr>
              <w:pStyle w:val="BRL-Tabelle"/>
              <w:spacing w:before="60" w:after="40"/>
              <w:ind w:left="26" w:right="113"/>
              <w:rPr>
                <w:vertAlign w:val="superscript"/>
              </w:rPr>
            </w:pPr>
            <w:r w:rsidRPr="0009445C">
              <w:t>fire resistant, sealing and self-closing</w:t>
            </w:r>
          </w:p>
        </w:tc>
        <w:tc>
          <w:tcPr>
            <w:tcW w:w="2404" w:type="dxa"/>
            <w:tcBorders>
              <w:top w:val="single" w:sz="2" w:space="0" w:color="595959"/>
              <w:left w:val="single" w:sz="4" w:space="0" w:color="auto"/>
              <w:bottom w:val="single" w:sz="2" w:space="0" w:color="595959"/>
              <w:right w:val="single" w:sz="2" w:space="0" w:color="auto"/>
            </w:tcBorders>
            <w:shd w:val="clear" w:color="auto" w:fill="FFFFFF"/>
          </w:tcPr>
          <w:p w14:paraId="3E556956" w14:textId="29F1AB8E" w:rsidR="00BF5219" w:rsidRPr="0009445C" w:rsidRDefault="00BF5219" w:rsidP="00E713B0">
            <w:pPr>
              <w:pStyle w:val="BRL-Tabelle"/>
              <w:spacing w:before="60" w:after="40"/>
              <w:ind w:left="113" w:right="113"/>
            </w:pPr>
            <w:r w:rsidRPr="0009445C">
              <w:t>EI</w:t>
            </w:r>
            <w:r w:rsidRPr="0009445C">
              <w:rPr>
                <w:vertAlign w:val="subscript"/>
              </w:rPr>
              <w:t>2</w:t>
            </w:r>
            <w:r w:rsidRPr="0009445C">
              <w:t> 90</w:t>
            </w:r>
            <w:r w:rsidRPr="0009445C">
              <w:br/>
              <w:t>C</w:t>
            </w:r>
            <w:r w:rsidRPr="0009445C">
              <w:br/>
              <w:t>Continuous function test</w:t>
            </w:r>
            <w:r w:rsidRPr="0009445C">
              <w:rPr>
                <w:vertAlign w:val="superscript"/>
              </w:rPr>
              <w:t>2</w:t>
            </w:r>
          </w:p>
        </w:tc>
        <w:tc>
          <w:tcPr>
            <w:tcW w:w="1591" w:type="dxa"/>
            <w:tcBorders>
              <w:top w:val="single" w:sz="2" w:space="0" w:color="595959"/>
              <w:left w:val="single" w:sz="4" w:space="0" w:color="auto"/>
              <w:bottom w:val="single" w:sz="2" w:space="0" w:color="595959"/>
              <w:right w:val="single" w:sz="2" w:space="0" w:color="auto"/>
            </w:tcBorders>
            <w:shd w:val="clear" w:color="auto" w:fill="FFFFFF"/>
          </w:tcPr>
          <w:p w14:paraId="6DB6EAC5" w14:textId="77777777" w:rsidR="00BF5219" w:rsidRPr="0009445C" w:rsidRDefault="00BF5219" w:rsidP="00E713B0">
            <w:pPr>
              <w:pStyle w:val="BRL-Tabelle"/>
              <w:spacing w:before="60" w:after="40"/>
              <w:ind w:left="113" w:right="113"/>
            </w:pPr>
            <w:r w:rsidRPr="0009445C">
              <w:t>E – d2</w:t>
            </w:r>
          </w:p>
        </w:tc>
        <w:tc>
          <w:tcPr>
            <w:tcW w:w="1972" w:type="dxa"/>
            <w:tcBorders>
              <w:top w:val="single" w:sz="2" w:space="0" w:color="595959"/>
              <w:left w:val="single" w:sz="4" w:space="0" w:color="auto"/>
              <w:bottom w:val="single" w:sz="2" w:space="0" w:color="595959"/>
              <w:right w:val="single" w:sz="2" w:space="0" w:color="auto"/>
            </w:tcBorders>
            <w:shd w:val="clear" w:color="auto" w:fill="FFFFFF"/>
          </w:tcPr>
          <w:p w14:paraId="1D59824D" w14:textId="77777777" w:rsidR="00BF5219" w:rsidRPr="0009445C" w:rsidRDefault="00BF5219" w:rsidP="00E713B0">
            <w:pPr>
              <w:pStyle w:val="BRL-Tabelle"/>
              <w:spacing w:before="60" w:after="40"/>
              <w:ind w:left="113" w:right="113"/>
            </w:pPr>
            <w:r w:rsidRPr="0009445C">
              <w:t>Specification: Annex B2 and B3 of the EAD fulfilled</w:t>
            </w:r>
          </w:p>
        </w:tc>
      </w:tr>
      <w:tr w:rsidR="00BF5219" w:rsidRPr="0009445C" w14:paraId="200BF1AB" w14:textId="77777777" w:rsidTr="00A80A95">
        <w:trPr>
          <w:cantSplit/>
        </w:trPr>
        <w:tc>
          <w:tcPr>
            <w:tcW w:w="479" w:type="dxa"/>
            <w:tcBorders>
              <w:top w:val="single" w:sz="2" w:space="0" w:color="595959"/>
              <w:left w:val="single" w:sz="2" w:space="0" w:color="auto"/>
              <w:bottom w:val="single" w:sz="2" w:space="0" w:color="auto"/>
              <w:right w:val="single" w:sz="2" w:space="0" w:color="auto"/>
            </w:tcBorders>
            <w:shd w:val="clear" w:color="auto" w:fill="FFFFFF"/>
          </w:tcPr>
          <w:p w14:paraId="53B80AE4" w14:textId="77777777" w:rsidR="00BF5219" w:rsidRPr="0009445C" w:rsidRDefault="00BF5219" w:rsidP="00E713B0">
            <w:pPr>
              <w:pStyle w:val="BRL-Funote"/>
              <w:keepNext/>
              <w:spacing w:before="120"/>
              <w:ind w:right="113" w:hanging="278"/>
              <w:contextualSpacing/>
            </w:pPr>
          </w:p>
        </w:tc>
        <w:tc>
          <w:tcPr>
            <w:tcW w:w="8585" w:type="dxa"/>
            <w:gridSpan w:val="4"/>
            <w:tcBorders>
              <w:top w:val="single" w:sz="2" w:space="0" w:color="595959"/>
              <w:left w:val="single" w:sz="2" w:space="0" w:color="auto"/>
              <w:bottom w:val="single" w:sz="2" w:space="0" w:color="auto"/>
              <w:right w:val="single" w:sz="2" w:space="0" w:color="auto"/>
            </w:tcBorders>
            <w:shd w:val="clear" w:color="auto" w:fill="FFFFFF"/>
          </w:tcPr>
          <w:p w14:paraId="2D492546" w14:textId="178490E9" w:rsidR="00BF5219" w:rsidRPr="0009445C" w:rsidRDefault="00BF5219" w:rsidP="00A80A95">
            <w:pPr>
              <w:pStyle w:val="BRL-Funote"/>
              <w:keepNext/>
              <w:spacing w:before="120"/>
              <w:ind w:right="113" w:hanging="278"/>
              <w:contextualSpacing/>
              <w:jc w:val="left"/>
            </w:pPr>
            <w:r w:rsidRPr="0009445C">
              <w:t>1</w:t>
            </w:r>
            <w:r w:rsidRPr="0009445C">
              <w:tab/>
              <w:t xml:space="preserve">The minimum required performance must be declared </w:t>
            </w:r>
            <w:r w:rsidRPr="0009445C">
              <w:rPr>
                <w:b/>
              </w:rPr>
              <w:t>for both sides</w:t>
            </w:r>
            <w:r w:rsidRPr="0009445C">
              <w:t xml:space="preserve"> of the barrier.</w:t>
            </w:r>
          </w:p>
          <w:p w14:paraId="6A27BF6D" w14:textId="713A42E3" w:rsidR="00BF5219" w:rsidRPr="0009445C" w:rsidRDefault="00BF5219" w:rsidP="00A80A95">
            <w:pPr>
              <w:pStyle w:val="BRL-Funote"/>
              <w:keepNext/>
              <w:ind w:right="113" w:hanging="278"/>
              <w:contextualSpacing/>
              <w:jc w:val="left"/>
              <w:rPr>
                <w:b/>
              </w:rPr>
            </w:pPr>
            <w:r w:rsidRPr="0009445C">
              <w:t>2</w:t>
            </w:r>
            <w:r w:rsidRPr="0009445C">
              <w:tab/>
              <w:t>Continuous function testing:</w:t>
            </w:r>
          </w:p>
          <w:p w14:paraId="5170371A" w14:textId="6324EBDC" w:rsidR="00A80A95" w:rsidRPr="0009445C" w:rsidRDefault="00BF5219" w:rsidP="00A80A95">
            <w:pPr>
              <w:pStyle w:val="BRL-Funote"/>
              <w:keepNext/>
              <w:ind w:right="113" w:hanging="280"/>
              <w:contextualSpacing/>
              <w:jc w:val="left"/>
            </w:pPr>
            <w:r w:rsidRPr="0009445C">
              <w:tab/>
              <w:t>Class 5 (200,000 cycles)</w:t>
            </w:r>
          </w:p>
          <w:p w14:paraId="7DF1ECF3" w14:textId="66E238C9" w:rsidR="00BF5219" w:rsidRPr="0009445C" w:rsidRDefault="00A80A95" w:rsidP="001D0151">
            <w:pPr>
              <w:pStyle w:val="BRL-Funote"/>
              <w:keepNext/>
              <w:ind w:left="714" w:right="113" w:hanging="567"/>
              <w:contextualSpacing/>
              <w:jc w:val="left"/>
              <w:rPr>
                <w:b/>
              </w:rPr>
            </w:pPr>
            <w:r w:rsidRPr="0009445C">
              <w:tab/>
            </w:r>
            <w:r w:rsidRPr="0009445C">
              <w:tab/>
              <w:t>for fire protection barriers in track-bound conveyor systems as planned closed barriers]</w:t>
            </w:r>
          </w:p>
          <w:p w14:paraId="615F4CA3" w14:textId="2E08CC73" w:rsidR="00BF5219" w:rsidRPr="0009445C" w:rsidRDefault="00BF5219" w:rsidP="001D0151">
            <w:pPr>
              <w:pStyle w:val="BRL-Funote"/>
              <w:keepNext/>
              <w:ind w:right="113" w:hanging="280"/>
              <w:contextualSpacing/>
              <w:jc w:val="left"/>
              <w:rPr>
                <w:b/>
              </w:rPr>
            </w:pPr>
            <w:r w:rsidRPr="0009445C">
              <w:tab/>
              <w:t>Class 2 (10,000 cycles) for fire-protection closures in the course of railway-bound conveyor systems as scheduled</w:t>
            </w:r>
          </w:p>
        </w:tc>
      </w:tr>
    </w:tbl>
    <w:p w14:paraId="0542E88B" w14:textId="77777777" w:rsidR="00E713B0" w:rsidRPr="0009445C" w:rsidRDefault="00E713B0" w:rsidP="00E713B0">
      <w:pPr>
        <w:pStyle w:val="BRL-Standard"/>
      </w:pPr>
    </w:p>
    <w:p w14:paraId="72DFD18B" w14:textId="77777777" w:rsidR="00E713B0" w:rsidRPr="0009445C" w:rsidRDefault="00E713B0" w:rsidP="00E713B0">
      <w:pPr>
        <w:pStyle w:val="BRL-Standard"/>
      </w:pPr>
    </w:p>
    <w:p w14:paraId="0F76B26B" w14:textId="77777777" w:rsidR="00E713B0" w:rsidRPr="0009445C" w:rsidRDefault="00E713B0" w:rsidP="00600F53">
      <w:pPr>
        <w:pStyle w:val="BRL-berschrift"/>
      </w:pPr>
      <w:r w:rsidRPr="0009445C">
        <w:t>5.2.3</w:t>
      </w:r>
      <w:r w:rsidRPr="0009445C">
        <w:tab/>
        <w:t>Conditions of use and implementation of construction products according to 5.2.2</w:t>
      </w:r>
    </w:p>
    <w:p w14:paraId="57A75C28" w14:textId="77777777" w:rsidR="00E713B0" w:rsidRPr="0009445C" w:rsidRDefault="00E713B0" w:rsidP="00600F53">
      <w:pPr>
        <w:pStyle w:val="BRL-berschrift"/>
      </w:pPr>
      <w:r w:rsidRPr="0009445C">
        <w:t>1.</w:t>
      </w:r>
      <w:r w:rsidRPr="0009445C">
        <w:tab/>
        <w:t>General information</w:t>
      </w:r>
    </w:p>
    <w:p w14:paraId="4A874798" w14:textId="77777777" w:rsidR="00E713B0" w:rsidRPr="0009445C" w:rsidRDefault="00E713B0" w:rsidP="00E713B0">
      <w:pPr>
        <w:pStyle w:val="BRL-Standard"/>
      </w:pPr>
      <w:r w:rsidRPr="0009445C">
        <w:t>Use is only permitted if the structural elements adjacent to the construction product described in the manufacturer’s installation manual are in compliance with the fire resistance requirements for the building structure. These structural elements must be designed so as to withstand the impacts of the use of the construction product as well as the impacts of the construction product in case of fire.</w:t>
      </w:r>
    </w:p>
    <w:p w14:paraId="42D25C9F" w14:textId="77777777" w:rsidR="00E713B0" w:rsidRPr="0009445C" w:rsidRDefault="00E713B0" w:rsidP="00E713B0">
      <w:pPr>
        <w:pStyle w:val="BRL-Standard"/>
      </w:pPr>
    </w:p>
    <w:p w14:paraId="1B3827C4" w14:textId="77777777" w:rsidR="00E713B0" w:rsidRPr="0009445C" w:rsidRDefault="00E713B0" w:rsidP="00E713B0">
      <w:pPr>
        <w:pStyle w:val="BRL-Standard"/>
      </w:pPr>
      <w:r w:rsidRPr="0009445C">
        <w:t xml:space="preserve">The fire protection barrier in path-bound conveyor systems (hereinafter referred to conveyor system barriers) must be installed at the place of use. </w:t>
      </w:r>
    </w:p>
    <w:p w14:paraId="545A422C" w14:textId="77777777" w:rsidR="00E713B0" w:rsidRPr="0009445C" w:rsidRDefault="00E713B0" w:rsidP="00E713B0">
      <w:pPr>
        <w:pStyle w:val="BRL-Standard"/>
      </w:pPr>
    </w:p>
    <w:p w14:paraId="25A98620" w14:textId="272BDBB0" w:rsidR="00E713B0" w:rsidRPr="0009445C" w:rsidRDefault="00601A14" w:rsidP="00E713B0">
      <w:pPr>
        <w:pStyle w:val="BRL-Standard"/>
      </w:pPr>
      <w:r w:rsidRPr="0009445C">
        <w:t>Installation shall be carried out only by undertakings which have sufficient experience in this field and which have been trained and informed by the manufacturer and which can provide a confirmation from the manufacturer as proof of their expertise.</w:t>
      </w:r>
    </w:p>
    <w:p w14:paraId="738B41EE" w14:textId="77777777" w:rsidR="00E713B0" w:rsidRPr="0009445C" w:rsidRDefault="00E713B0" w:rsidP="00E713B0">
      <w:pPr>
        <w:pStyle w:val="BRL-Standard"/>
      </w:pPr>
    </w:p>
    <w:p w14:paraId="3F14015A" w14:textId="77777777" w:rsidR="001D0151" w:rsidRPr="0009445C" w:rsidRDefault="00E713B0" w:rsidP="00E713B0">
      <w:pPr>
        <w:pStyle w:val="BRL-Standard"/>
        <w:rPr>
          <w:rFonts w:cs="Arial"/>
        </w:rPr>
      </w:pPr>
      <w:r w:rsidRPr="0009445C">
        <w:lastRenderedPageBreak/>
        <w:t>The conveyor system barrier may be provided with a suitable locking mechanism whose suitability for the relevant barrier is documented by a type approval.</w:t>
      </w:r>
    </w:p>
    <w:p w14:paraId="406D2C2A" w14:textId="68529025" w:rsidR="00E713B0" w:rsidRPr="0009445C" w:rsidRDefault="00E713B0" w:rsidP="00E713B0">
      <w:pPr>
        <w:pStyle w:val="BRL-Standard"/>
      </w:pPr>
      <w:r w:rsidRPr="0009445C">
        <w:t>If the finalisation of the conveyor system barrier</w:t>
      </w:r>
      <w:r w:rsidRPr="0009445C">
        <w:rPr>
          <w:color w:val="FF0000"/>
        </w:rPr>
        <w:t xml:space="preserve"> </w:t>
      </w:r>
      <w:r w:rsidRPr="0009445C">
        <w:t>is already equipped with a locking device on the manufacturer’s side, it shall comply with the provisions of the type approval of the locking mechanism used.</w:t>
      </w:r>
    </w:p>
    <w:p w14:paraId="374425E5" w14:textId="77777777" w:rsidR="00E713B0" w:rsidRPr="0009445C" w:rsidRDefault="00E713B0" w:rsidP="00E713B0">
      <w:pPr>
        <w:pStyle w:val="BRL-Standard"/>
      </w:pPr>
    </w:p>
    <w:p w14:paraId="4C6E857A" w14:textId="77777777" w:rsidR="00E713B0" w:rsidRPr="0009445C" w:rsidRDefault="00E713B0" w:rsidP="00600F53">
      <w:pPr>
        <w:pStyle w:val="BRL-berschrift"/>
      </w:pPr>
      <w:r w:rsidRPr="0009445C">
        <w:t>2.</w:t>
      </w:r>
      <w:r w:rsidRPr="0009445C">
        <w:tab/>
        <w:t>Installation manual</w:t>
      </w:r>
    </w:p>
    <w:p w14:paraId="47037781" w14:textId="77777777" w:rsidR="00E713B0" w:rsidRPr="0009445C" w:rsidRDefault="00E713B0" w:rsidP="00E713B0">
      <w:pPr>
        <w:pStyle w:val="BRL-Standard"/>
        <w:spacing w:after="120"/>
      </w:pPr>
      <w:r w:rsidRPr="0009445C">
        <w:t>The manufacturer shall provide a written German-language installation manual that is based on the classification document. It shall contain at least the following information:</w:t>
      </w:r>
    </w:p>
    <w:p w14:paraId="6B0C7610" w14:textId="77777777" w:rsidR="00E713B0" w:rsidRPr="0009445C" w:rsidRDefault="00E713B0" w:rsidP="00E713B0">
      <w:pPr>
        <w:pStyle w:val="BRLAufzhlungAnstrich"/>
        <w:numPr>
          <w:ilvl w:val="0"/>
          <w:numId w:val="1"/>
        </w:numPr>
      </w:pPr>
      <w:r w:rsidRPr="0009445C">
        <w:t>Information on the installation of the fire barrier (e.g. adjacent structural elements, permitted fasteners, number and spacing of fixing points, joints),</w:t>
      </w:r>
    </w:p>
    <w:p w14:paraId="581A3AB9" w14:textId="77777777" w:rsidR="00E713B0" w:rsidRPr="0009445C" w:rsidRDefault="00E713B0" w:rsidP="00E713B0">
      <w:pPr>
        <w:pStyle w:val="BRLAufzhlungAnstrich"/>
        <w:numPr>
          <w:ilvl w:val="0"/>
          <w:numId w:val="1"/>
        </w:numPr>
      </w:pPr>
      <w:r w:rsidRPr="0009445C">
        <w:t>Instructions for any required welding work on the structure of the fire barrier,</w:t>
      </w:r>
    </w:p>
    <w:p w14:paraId="014BAF3E" w14:textId="77777777" w:rsidR="00E713B0" w:rsidRPr="0009445C" w:rsidRDefault="00E713B0" w:rsidP="00E713B0">
      <w:pPr>
        <w:pStyle w:val="BRLAufzhlungAnstrich"/>
        <w:numPr>
          <w:ilvl w:val="0"/>
          <w:numId w:val="1"/>
        </w:numPr>
      </w:pPr>
      <w:r w:rsidRPr="0009445C">
        <w:t>Information on permissible accessories for the fire protection barrier (e.g. damping devices),</w:t>
      </w:r>
    </w:p>
    <w:p w14:paraId="4F8E7D71" w14:textId="77777777" w:rsidR="00E713B0" w:rsidRPr="0009445C" w:rsidRDefault="00E713B0" w:rsidP="00E713B0">
      <w:pPr>
        <w:pStyle w:val="BRLAufzhlungAnstrich"/>
        <w:numPr>
          <w:ilvl w:val="0"/>
          <w:numId w:val="1"/>
        </w:numPr>
      </w:pPr>
      <w:r w:rsidRPr="0009445C">
        <w:t>Information on the functional interaction of all parts,</w:t>
      </w:r>
    </w:p>
    <w:p w14:paraId="286F406E" w14:textId="77777777" w:rsidR="00E713B0" w:rsidRPr="0009445C" w:rsidRDefault="00E713B0" w:rsidP="00E713B0">
      <w:pPr>
        <w:pStyle w:val="BRLAufzhlungAnstrich"/>
        <w:numPr>
          <w:ilvl w:val="0"/>
          <w:numId w:val="1"/>
        </w:numPr>
      </w:pPr>
      <w:r w:rsidRPr="0009445C">
        <w:t>Information on the order of working steps during installation,</w:t>
      </w:r>
    </w:p>
    <w:p w14:paraId="4F077BE0" w14:textId="77777777" w:rsidR="00E713B0" w:rsidRPr="0009445C" w:rsidRDefault="00E713B0" w:rsidP="00E713B0">
      <w:pPr>
        <w:pStyle w:val="BRLAufzhlungAnstrich"/>
        <w:numPr>
          <w:ilvl w:val="0"/>
          <w:numId w:val="1"/>
        </w:numPr>
      </w:pPr>
      <w:r w:rsidRPr="0009445C">
        <w:t>Information on setting the closing speed of the fire barrier</w:t>
      </w:r>
      <w:r w:rsidRPr="0009445C">
        <w:rPr>
          <w:i/>
        </w:rPr>
        <w:t>,</w:t>
      </w:r>
    </w:p>
    <w:p w14:paraId="6D2817E4" w14:textId="77777777" w:rsidR="00E713B0" w:rsidRPr="0009445C" w:rsidRDefault="00E713B0" w:rsidP="00E713B0">
      <w:pPr>
        <w:pStyle w:val="BRLAufzhlungAnstrich"/>
        <w:numPr>
          <w:ilvl w:val="0"/>
          <w:numId w:val="1"/>
        </w:numPr>
      </w:pPr>
      <w:r w:rsidRPr="0009445C">
        <w:t>Instructions regarding the application of locking mechanisms,</w:t>
      </w:r>
    </w:p>
    <w:p w14:paraId="362965AA" w14:textId="77777777" w:rsidR="00E713B0" w:rsidRPr="0009445C" w:rsidRDefault="00E713B0" w:rsidP="00E713B0">
      <w:pPr>
        <w:pStyle w:val="BRLAufzhlungAnstrich"/>
        <w:numPr>
          <w:ilvl w:val="0"/>
          <w:numId w:val="1"/>
        </w:numPr>
      </w:pPr>
      <w:r w:rsidRPr="0009445C">
        <w:t xml:space="preserve">Information on interfaces for closing the conveyor system barrier, </w:t>
      </w:r>
    </w:p>
    <w:p w14:paraId="6D2DEA85" w14:textId="77777777" w:rsidR="00E713B0" w:rsidRPr="0009445C" w:rsidRDefault="00E713B0" w:rsidP="00E713B0">
      <w:pPr>
        <w:pStyle w:val="BRLAufzhlungAnstrich"/>
        <w:numPr>
          <w:ilvl w:val="0"/>
          <w:numId w:val="1"/>
        </w:numPr>
      </w:pPr>
      <w:r w:rsidRPr="0009445C">
        <w:t>Information on service and maintenance.</w:t>
      </w:r>
    </w:p>
    <w:p w14:paraId="158AE043" w14:textId="77777777" w:rsidR="00E713B0" w:rsidRPr="0009445C" w:rsidRDefault="00E713B0" w:rsidP="00E713B0">
      <w:pPr>
        <w:pStyle w:val="BRL-Standard"/>
      </w:pPr>
    </w:p>
    <w:p w14:paraId="0BCA2C35" w14:textId="77777777" w:rsidR="00E713B0" w:rsidRPr="0009445C" w:rsidRDefault="00E713B0" w:rsidP="00E713B0">
      <w:pPr>
        <w:pStyle w:val="BRL-Standard"/>
      </w:pPr>
      <w:r w:rsidRPr="0009445C">
        <w:t>The user shall install the conveyor system barrier in accordance with this installation manual and give the installation manual to the client together with a statement confirming correct installation.</w:t>
      </w:r>
    </w:p>
    <w:p w14:paraId="660E93C4" w14:textId="77777777" w:rsidR="00E713B0" w:rsidRPr="0009445C" w:rsidRDefault="00E713B0" w:rsidP="00E713B0">
      <w:pPr>
        <w:pStyle w:val="BRL-Standard"/>
      </w:pPr>
    </w:p>
    <w:p w14:paraId="5847ADFA" w14:textId="77777777" w:rsidR="00E713B0" w:rsidRPr="0009445C" w:rsidRDefault="00E713B0" w:rsidP="00600F53">
      <w:pPr>
        <w:pStyle w:val="BRL-berschrift"/>
      </w:pPr>
      <w:r w:rsidRPr="0009445C">
        <w:t>3.</w:t>
      </w:r>
      <w:r w:rsidRPr="0009445C">
        <w:tab/>
        <w:t>Inspection of conveyor system barriers and conveyor systems in the closing area of the wall opening</w:t>
      </w:r>
    </w:p>
    <w:p w14:paraId="50EA3F9D" w14:textId="77777777" w:rsidR="00E713B0" w:rsidRPr="0009445C" w:rsidRDefault="00E713B0" w:rsidP="00E713B0">
      <w:pPr>
        <w:pStyle w:val="BRL-Standard"/>
      </w:pPr>
      <w:r w:rsidRPr="0009445C">
        <w:t xml:space="preserve">Through suitable measures agreed with the conveyor system manufacturer, care must be taken to ensure that when the fire alarm is triggered, the conveying process is interrupted, and the goods located within the opening area of the conveyor system barrier leave this area. </w:t>
      </w:r>
    </w:p>
    <w:p w14:paraId="4597442D" w14:textId="77777777" w:rsidR="00E713B0" w:rsidRPr="0009445C" w:rsidRDefault="00E713B0" w:rsidP="00E713B0">
      <w:pPr>
        <w:pStyle w:val="BRL-Standard"/>
      </w:pPr>
    </w:p>
    <w:p w14:paraId="571F3987" w14:textId="77777777" w:rsidR="00E713B0" w:rsidRPr="0009445C" w:rsidRDefault="00E713B0" w:rsidP="00600F53">
      <w:pPr>
        <w:pStyle w:val="BRL-berschrift"/>
      </w:pPr>
      <w:r w:rsidRPr="0009445C">
        <w:t>4.</w:t>
      </w:r>
      <w:r w:rsidRPr="0009445C">
        <w:tab/>
        <w:t>Maintenance and testing</w:t>
      </w:r>
    </w:p>
    <w:p w14:paraId="63EEDF4F" w14:textId="77777777" w:rsidR="00E713B0" w:rsidRPr="0009445C" w:rsidRDefault="00E713B0" w:rsidP="00E713B0">
      <w:pPr>
        <w:pStyle w:val="BRL-Standard"/>
      </w:pPr>
      <w:r w:rsidRPr="0009445C">
        <w:t>The operator shall undertake and document the necessary maintenance and tests in accordance with the installation instructions.</w:t>
      </w:r>
    </w:p>
    <w:p w14:paraId="5DF9CFC9" w14:textId="77777777" w:rsidR="00E713B0" w:rsidRPr="0009445C" w:rsidRDefault="00E713B0" w:rsidP="00E713B0">
      <w:pPr>
        <w:pStyle w:val="BRL-Anlage"/>
      </w:pPr>
    </w:p>
    <w:p w14:paraId="53A5360C" w14:textId="77777777" w:rsidR="00E713B0" w:rsidRPr="0009445C" w:rsidRDefault="00E713B0" w:rsidP="00E713B0">
      <w:pPr>
        <w:pStyle w:val="BRL-Anlage"/>
      </w:pPr>
      <w:r w:rsidRPr="0009445C">
        <w:t>Monthly check</w:t>
      </w:r>
    </w:p>
    <w:p w14:paraId="04175702" w14:textId="77777777" w:rsidR="00E713B0" w:rsidRPr="0009445C" w:rsidRDefault="00E713B0" w:rsidP="00E713B0">
      <w:pPr>
        <w:pStyle w:val="BRL-Standard"/>
      </w:pPr>
      <w:r w:rsidRPr="0009445C">
        <w:t>The conveyor system barrier must be kept permanently operational. It must be tested for operational readiness at least once a month by the operator under its own responsibility. This monthly test must be performed by a qualified technician or a specially trained person. The results must be recorded in an inspection log. The manufacturer of the conveyor system barrier must notify this requirement to the conveyor’s operator in writing.</w:t>
      </w:r>
    </w:p>
    <w:p w14:paraId="0E71A9BE" w14:textId="77777777" w:rsidR="00E713B0" w:rsidRPr="0009445C" w:rsidRDefault="00E713B0" w:rsidP="00E713B0">
      <w:pPr>
        <w:pStyle w:val="BRL-Standard"/>
      </w:pPr>
    </w:p>
    <w:p w14:paraId="39899279" w14:textId="77777777" w:rsidR="00E713B0" w:rsidRPr="0009445C" w:rsidRDefault="00E713B0" w:rsidP="00E713B0">
      <w:pPr>
        <w:pStyle w:val="BRL-Anlage"/>
      </w:pPr>
      <w:r w:rsidRPr="0009445C">
        <w:t>Annual testing and servicing</w:t>
      </w:r>
    </w:p>
    <w:p w14:paraId="6DC50B7D" w14:textId="77777777" w:rsidR="00E713B0" w:rsidRPr="0009445C" w:rsidRDefault="00E713B0" w:rsidP="00E713B0">
      <w:pPr>
        <w:pStyle w:val="BRL-Standard"/>
      </w:pPr>
      <w:r w:rsidRPr="0009445C">
        <w:t>The operator is also obliged to carry out an annual inspection for smooth operation of the conveyor system barrier in conjunction with the conveyor system and the locking mechanism as well as an appropriate maintenance regardless of the time limits of the installation instructions. The annual inspection and maintenance shall be carried out by a specialist or trained person. The results must be recorded in an inspection log.</w:t>
      </w:r>
    </w:p>
    <w:p w14:paraId="3B56AAF4" w14:textId="77777777" w:rsidR="00E713B0" w:rsidRPr="0009445C" w:rsidRDefault="00E713B0" w:rsidP="00E713B0">
      <w:pPr>
        <w:pStyle w:val="BRL-Standard"/>
      </w:pPr>
    </w:p>
    <w:p w14:paraId="06E925E4" w14:textId="77777777" w:rsidR="00E713B0" w:rsidRPr="0009445C" w:rsidRDefault="00E713B0" w:rsidP="00600F53">
      <w:pPr>
        <w:pStyle w:val="BRL-berschrift"/>
      </w:pPr>
      <w:r w:rsidRPr="0009445C">
        <w:t>5.3</w:t>
      </w:r>
      <w:r w:rsidRPr="0009445C">
        <w:tab/>
        <w:t>Landing doors for lifts</w:t>
      </w:r>
    </w:p>
    <w:p w14:paraId="395F47BD" w14:textId="1ABFFB39" w:rsidR="00E713B0" w:rsidRPr="0009445C" w:rsidRDefault="00E713B0" w:rsidP="00E713B0">
      <w:pPr>
        <w:pStyle w:val="BRL-Standard"/>
      </w:pPr>
      <w:r w:rsidRPr="0009445C">
        <w:t>Lift shaft doors according to Part C, Chapter C 2, ser. No C 2.6.2 to C 2.6.4, for lifts in shaft walls pursuant to A 2.1.13 of fire resistance class F 90 are deemed to fulfil the requirements of § 39 Para. 2 sentence 2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only if the following application rules have been observed:</w:t>
      </w:r>
    </w:p>
    <w:p w14:paraId="174FE213" w14:textId="77777777" w:rsidR="00E713B0" w:rsidRPr="0009445C" w:rsidRDefault="00E713B0" w:rsidP="00E713B0">
      <w:pPr>
        <w:pStyle w:val="BRL-Standard"/>
      </w:pPr>
    </w:p>
    <w:p w14:paraId="6EA0A028" w14:textId="77777777" w:rsidR="00E713B0" w:rsidRPr="0009445C" w:rsidRDefault="00E713B0" w:rsidP="00E713B0">
      <w:pPr>
        <w:pStyle w:val="BRLAufzhlungBuchstabe"/>
        <w:numPr>
          <w:ilvl w:val="0"/>
          <w:numId w:val="40"/>
        </w:numPr>
        <w:ind w:left="425" w:hanging="357"/>
      </w:pPr>
      <w:r w:rsidRPr="0009445C">
        <w:t>They are installed in solid enclosed masonry or concrete walls,</w:t>
      </w:r>
    </w:p>
    <w:p w14:paraId="232D13A5" w14:textId="77777777" w:rsidR="00E713B0" w:rsidRPr="0009445C" w:rsidRDefault="00E713B0" w:rsidP="00E713B0">
      <w:pPr>
        <w:pStyle w:val="BRLAufzhlungBuchstabe"/>
        <w:ind w:left="426"/>
      </w:pPr>
      <w:r w:rsidRPr="0009445C">
        <w:t>The lift cage is predominantly made of non-combustible building materials (this is the case if the load-bearing and reinforced parts of the lift cage are made of non-combustible building materials and the other parts of the lift cage (such as wall and ceiling cladding, flooring, ventilation and lighting covers) do not have more than 2.5 kg of combustible building materials, at least normal flammability building materials per m</w:t>
      </w:r>
      <w:r w:rsidRPr="0009445C">
        <w:rPr>
          <w:vertAlign w:val="superscript"/>
        </w:rPr>
        <w:t>2</w:t>
      </w:r>
      <w:r w:rsidRPr="0009445C">
        <w:t xml:space="preserve"> of the interior lift cage area),</w:t>
      </w:r>
    </w:p>
    <w:p w14:paraId="13577730" w14:textId="77777777" w:rsidR="00E713B0" w:rsidRPr="0009445C" w:rsidRDefault="00E713B0" w:rsidP="00E713B0">
      <w:pPr>
        <w:pStyle w:val="BRLAufzhlungBuchstabe"/>
        <w:ind w:left="426"/>
      </w:pPr>
      <w:r w:rsidRPr="0009445C">
        <w:lastRenderedPageBreak/>
        <w:t>The doors shall be controlled in such a way that they remain open only for as long as it is necessary to enter or leave the lift cage; When closed, two doors on top of each other prevent fire from spreading from the fire storey to the storey above,</w:t>
      </w:r>
    </w:p>
    <w:p w14:paraId="1D84228A" w14:textId="77777777" w:rsidR="00E713B0" w:rsidRPr="0009445C" w:rsidRDefault="00E713B0" w:rsidP="00E713B0">
      <w:pPr>
        <w:pStyle w:val="BRLAufzhlungBuchstabe"/>
        <w:ind w:left="426"/>
      </w:pPr>
      <w:r w:rsidRPr="0009445C">
        <w:t>Where several doors are positioned side by side, the doors shall be separated by fire-resistant structural elements and attached to these structural elements, and</w:t>
      </w:r>
    </w:p>
    <w:p w14:paraId="712DC127" w14:textId="26251998" w:rsidR="00E713B0" w:rsidRPr="0009445C" w:rsidRDefault="00E713B0" w:rsidP="00E713B0">
      <w:pPr>
        <w:pStyle w:val="BRLAufzhlungBuchstabe"/>
        <w:ind w:left="426"/>
      </w:pPr>
      <w:r w:rsidRPr="0009445C">
        <w:t>The lift shaft shall have an opening to remove smoke as per § 39(3)(1)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w:t>
      </w:r>
    </w:p>
    <w:p w14:paraId="0357D7C7" w14:textId="77777777" w:rsidR="00E713B0" w:rsidRPr="0009445C" w:rsidRDefault="00E713B0" w:rsidP="00E713B0">
      <w:pPr>
        <w:pStyle w:val="BRL-Standard"/>
      </w:pPr>
    </w:p>
    <w:p w14:paraId="5BFDA244" w14:textId="57F66285" w:rsidR="00E713B0" w:rsidRPr="0009445C" w:rsidRDefault="00E713B0" w:rsidP="00E713B0">
      <w:pPr>
        <w:pStyle w:val="BRL-Standard"/>
        <w:rPr>
          <w:i/>
        </w:rPr>
      </w:pPr>
      <w:r w:rsidRPr="0009445C">
        <w:t>Lift shaft doors with the classification “E 30/60/90” in accordance with DIN EN 81</w:t>
      </w:r>
      <w:r w:rsidRPr="0009445C">
        <w:noBreakHyphen/>
        <w:t>58:2018</w:t>
      </w:r>
      <w:r w:rsidR="003C5DAB" w:rsidRPr="0009445C">
        <w:rPr>
          <w:rStyle w:val="FootnoteReference"/>
        </w:rPr>
        <w:footnoteReference w:id="39"/>
      </w:r>
      <w:r w:rsidRPr="0009445C">
        <w:t xml:space="preserve"> for installation in fire-retardant, highly fire-retardant or fire-resistant casing walls in accordance with A 2.1.13 meet the requirements of § 39 Para. 2 sentence 2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only if the requirements of letters (b), (c) and (e) are met and the carriage shaft doors are arranged next to each other. The fire performance of the structural elements of the lift shaft door shall be demonstrated; they must be at least normal flammability.</w:t>
      </w:r>
    </w:p>
    <w:p w14:paraId="2C46F4A7" w14:textId="77777777" w:rsidR="00E713B0" w:rsidRPr="0009445C" w:rsidRDefault="00E713B0" w:rsidP="00E713B0">
      <w:pPr>
        <w:pStyle w:val="BRL-Standard"/>
      </w:pPr>
    </w:p>
    <w:p w14:paraId="39247E5D" w14:textId="77777777" w:rsidR="00E713B0" w:rsidRPr="0009445C" w:rsidRDefault="00E713B0" w:rsidP="00600F53">
      <w:pPr>
        <w:pStyle w:val="BRL-berschrift"/>
      </w:pPr>
      <w:r w:rsidRPr="0009445C">
        <w:t>5.4</w:t>
      </w:r>
      <w:r w:rsidRPr="0009445C">
        <w:tab/>
        <w:t>Sealing doors</w:t>
      </w:r>
    </w:p>
    <w:p w14:paraId="48108B81" w14:textId="77777777" w:rsidR="00E713B0" w:rsidRPr="0009445C" w:rsidRDefault="00E713B0" w:rsidP="00E713B0">
      <w:pPr>
        <w:pStyle w:val="BRL-Standard"/>
      </w:pPr>
      <w:r w:rsidRPr="0009445C">
        <w:t>Doors are sealed or tight-closing if they have stable door leaves and are equipped with three-sided continuous elastic seals, which, due to their shape (lip/hose seal) and the sealing path when closed, are attached to both the door frame and the door leaf after installation. Door leaves are dimensionally stable if they are closed and show deformations ≤ 4 mm relative to the door-leaf plane in the longitudinal direction (in the sense of RAL-GZ 426/1).</w:t>
      </w:r>
    </w:p>
    <w:p w14:paraId="3DC4A5E9" w14:textId="77777777" w:rsidR="00E713B0" w:rsidRPr="0009445C" w:rsidRDefault="00E713B0" w:rsidP="00E713B0">
      <w:pPr>
        <w:pStyle w:val="BRL-Standard"/>
      </w:pPr>
    </w:p>
    <w:p w14:paraId="3C1DB183" w14:textId="56E80491" w:rsidR="00E713B0" w:rsidRPr="0009445C" w:rsidRDefault="00E713B0" w:rsidP="00E713B0">
      <w:pPr>
        <w:pStyle w:val="BRL-Standard"/>
      </w:pPr>
      <w:r w:rsidRPr="0009445C">
        <w:t>For outdoor use, the differential climate according to EN 14351-1:2006+A2:2016</w:t>
      </w:r>
      <w:r w:rsidR="003C5DAB" w:rsidRPr="0009445C">
        <w:rPr>
          <w:vertAlign w:val="superscript"/>
        </w:rPr>
        <w:fldChar w:fldCharType="begin"/>
      </w:r>
      <w:r w:rsidR="003C5DAB" w:rsidRPr="0009445C">
        <w:rPr>
          <w:vertAlign w:val="superscript"/>
        </w:rPr>
        <w:instrText xml:space="preserve"> NOTEREF _Ref77260632 \f \h </w:instrText>
      </w:r>
      <w:r w:rsidR="003C5DAB" w:rsidRPr="0009445C">
        <w:rPr>
          <w:vertAlign w:val="superscript"/>
        </w:rPr>
      </w:r>
      <w:r w:rsidR="0009445C" w:rsidRPr="0009445C">
        <w:rPr>
          <w:vertAlign w:val="superscript"/>
        </w:rPr>
        <w:instrText xml:space="preserve"> \* MERGEFORMAT </w:instrText>
      </w:r>
      <w:r w:rsidR="003C5DAB" w:rsidRPr="0009445C">
        <w:rPr>
          <w:vertAlign w:val="superscript"/>
        </w:rPr>
        <w:fldChar w:fldCharType="separate"/>
      </w:r>
      <w:r w:rsidR="0009445C" w:rsidRPr="0009445C">
        <w:rPr>
          <w:rStyle w:val="FootnoteReference"/>
        </w:rPr>
        <w:t>23</w:t>
      </w:r>
      <w:r w:rsidR="003C5DAB" w:rsidRPr="0009445C">
        <w:rPr>
          <w:vertAlign w:val="superscript"/>
        </w:rPr>
        <w:fldChar w:fldCharType="end"/>
      </w:r>
      <w:r w:rsidRPr="0009445C">
        <w:t xml:space="preserve"> and the deformation class according to EN 12219:1999</w:t>
      </w:r>
      <w:r w:rsidR="003C5DAB" w:rsidRPr="0009445C">
        <w:rPr>
          <w:rStyle w:val="FootnoteReference"/>
        </w:rPr>
        <w:footnoteReference w:id="40"/>
      </w:r>
      <w:r w:rsidRPr="0009445C">
        <w:t xml:space="preserve"> must also be demonstrated. At least classes 2(d) and 2(e) are required to comply with the building approval requirements.</w:t>
      </w:r>
    </w:p>
    <w:p w14:paraId="6A9D33FC" w14:textId="77777777" w:rsidR="00E713B0" w:rsidRPr="0009445C" w:rsidRDefault="00E713B0" w:rsidP="00E713B0">
      <w:pPr>
        <w:pStyle w:val="BRL-Standard"/>
      </w:pPr>
    </w:p>
    <w:p w14:paraId="2BE034DF" w14:textId="5E908717" w:rsidR="00E713B0" w:rsidRPr="0009445C" w:rsidRDefault="00E713B0" w:rsidP="00E713B0">
      <w:pPr>
        <w:pStyle w:val="BRL-Standard"/>
      </w:pPr>
      <w:r w:rsidRPr="0009445C">
        <w:t>For outdoor use DIN 18055:2020-09 must be observed.</w:t>
      </w:r>
    </w:p>
    <w:p w14:paraId="53591F2F" w14:textId="575C235B" w:rsidR="00E713B0" w:rsidRPr="0009445C" w:rsidRDefault="00E713B0" w:rsidP="00E713B0">
      <w:pPr>
        <w:pStyle w:val="BRL-Standard"/>
      </w:pPr>
    </w:p>
    <w:p w14:paraId="04C52BCF" w14:textId="488C403E" w:rsidR="00682A9B" w:rsidRPr="0009445C" w:rsidRDefault="00682A9B" w:rsidP="00600F53">
      <w:pPr>
        <w:pStyle w:val="BRL-berschrift"/>
      </w:pPr>
      <w:r w:rsidRPr="0009445C">
        <w:t>5.5</w:t>
      </w:r>
      <w:r w:rsidRPr="0009445C">
        <w:tab/>
        <w:t>Other closures as doors</w:t>
      </w:r>
    </w:p>
    <w:p w14:paraId="4789553A" w14:textId="5EB6729C" w:rsidR="00682A9B" w:rsidRPr="0009445C" w:rsidRDefault="00682A9B" w:rsidP="00600F53">
      <w:pPr>
        <w:pStyle w:val="BRL-berschrift"/>
      </w:pPr>
      <w:r w:rsidRPr="0009445C">
        <w:t>5.5.1</w:t>
      </w:r>
      <w:r w:rsidRPr="0009445C">
        <w:tab/>
        <w:t>Sealing and self-closing degrees</w:t>
      </w:r>
    </w:p>
    <w:p w14:paraId="1857C57B" w14:textId="30DCFD35" w:rsidR="00682A9B" w:rsidRPr="0009445C" w:rsidRDefault="00682A9B" w:rsidP="00E713B0">
      <w:pPr>
        <w:pStyle w:val="BRL-Standard"/>
      </w:pPr>
      <w:r w:rsidRPr="0009445C">
        <w:t>Doors which must be sealed and self-closing as closures shall comply with the requirements of Section 5.4. The barriers are self-closing if they have suitable closing devices that automatically close the barrier by means of mechanically stored energy.</w:t>
      </w:r>
    </w:p>
    <w:p w14:paraId="28EA9B5E" w14:textId="4B573911" w:rsidR="00682A9B" w:rsidRPr="0009445C" w:rsidRDefault="00682A9B" w:rsidP="00E713B0">
      <w:pPr>
        <w:pStyle w:val="BRL-Standard"/>
      </w:pPr>
    </w:p>
    <w:p w14:paraId="5C08A082" w14:textId="77777777" w:rsidR="00007636" w:rsidRPr="0009445C" w:rsidRDefault="00007636">
      <w:pPr>
        <w:spacing w:after="200" w:line="276" w:lineRule="auto"/>
        <w:rPr>
          <w:b/>
          <w:bCs/>
          <w:szCs w:val="16"/>
        </w:rPr>
      </w:pPr>
      <w:r w:rsidRPr="0009445C">
        <w:br w:type="page"/>
      </w:r>
    </w:p>
    <w:p w14:paraId="6C352BCC" w14:textId="7B9D441C" w:rsidR="00682A9B" w:rsidRPr="0009445C" w:rsidRDefault="00682A9B" w:rsidP="00600F53">
      <w:pPr>
        <w:pStyle w:val="BRL-berschrift"/>
      </w:pPr>
      <w:r w:rsidRPr="0009445C">
        <w:lastRenderedPageBreak/>
        <w:t>5.5.2</w:t>
      </w:r>
      <w:r w:rsidRPr="0009445C">
        <w:tab/>
        <w:t>Construction products according to EN 16034:2014</w:t>
      </w:r>
      <w:r w:rsidRPr="0009445C">
        <w:fldChar w:fldCharType="begin"/>
      </w:r>
      <w:r w:rsidRPr="0009445C">
        <w:instrText xml:space="preserve"> NOTEREF _Ref77260488 \f \h  \* MERGEFORMAT </w:instrText>
      </w:r>
      <w:r w:rsidRPr="0009445C">
        <w:fldChar w:fldCharType="separate"/>
      </w:r>
      <w:r w:rsidR="0009445C" w:rsidRPr="0009445C">
        <w:rPr>
          <w:rStyle w:val="FootnoteReference"/>
        </w:rPr>
        <w:t>27</w:t>
      </w:r>
      <w:r w:rsidRPr="0009445C">
        <w:fldChar w:fldCharType="end"/>
      </w:r>
      <w:r w:rsidRPr="0009445C">
        <w:t xml:space="preserve"> in conjunction with EN 14531-1:2016</w:t>
      </w:r>
      <w:r w:rsidRPr="0009445C">
        <w:fldChar w:fldCharType="begin"/>
      </w:r>
      <w:r w:rsidRPr="0009445C">
        <w:instrText xml:space="preserve"> NOTEREF _Ref77260632 \f \h  \* MERGEFORMAT </w:instrText>
      </w:r>
      <w:r w:rsidRPr="0009445C">
        <w:fldChar w:fldCharType="separate"/>
      </w:r>
      <w:r w:rsidR="0009445C" w:rsidRPr="0009445C">
        <w:rPr>
          <w:rStyle w:val="FootnoteReference"/>
        </w:rPr>
        <w:t>23</w:t>
      </w:r>
      <w:r w:rsidRPr="0009445C">
        <w:fldChar w:fldCharType="end"/>
      </w:r>
      <w:r w:rsidRPr="0009445C">
        <w:t xml:space="preserve"> or EN 13241:2003+A2:2016</w:t>
      </w:r>
      <w:r w:rsidRPr="0009445C">
        <w:fldChar w:fldCharType="begin"/>
      </w:r>
      <w:r w:rsidRPr="0009445C">
        <w:instrText xml:space="preserve"> NOTEREF _Ref77260521 \f \h  \* MERGEFORMAT </w:instrText>
      </w:r>
      <w:r w:rsidRPr="0009445C">
        <w:fldChar w:fldCharType="separate"/>
      </w:r>
      <w:r w:rsidR="0009445C" w:rsidRPr="0009445C">
        <w:rPr>
          <w:rStyle w:val="FootnoteReference"/>
        </w:rPr>
        <w:t>28</w:t>
      </w:r>
      <w:r w:rsidRPr="0009445C">
        <w:fldChar w:fldCharType="end"/>
      </w:r>
      <w:r w:rsidRPr="0009445C">
        <w:t xml:space="preserve"> and EEAS No 020029-00-1102 and EEAS No 020062-00-1102 for use as seal and self-closing financial statements</w:t>
      </w:r>
    </w:p>
    <w:p w14:paraId="22ED5287" w14:textId="43DCFC36" w:rsidR="0052710C" w:rsidRPr="0009445C" w:rsidRDefault="0052710C" w:rsidP="0052710C">
      <w:pPr>
        <w:pStyle w:val="BRLTabelleberschrift"/>
        <w:spacing w:after="120"/>
      </w:pPr>
      <w:r w:rsidRPr="0009445C">
        <w:t>Table 5.5.2:</w:t>
      </w:r>
      <w:r w:rsidRPr="0009445C">
        <w:tab/>
        <w:t>Building approval requirements and at least required services and other features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439"/>
        <w:gridCol w:w="2044"/>
        <w:gridCol w:w="4024"/>
        <w:gridCol w:w="2565"/>
      </w:tblGrid>
      <w:tr w:rsidR="0052710C" w:rsidRPr="0009445C" w14:paraId="22C300B3" w14:textId="77777777" w:rsidTr="00E07C4A">
        <w:trPr>
          <w:trHeight w:val="384"/>
          <w:tblHeader/>
        </w:trPr>
        <w:tc>
          <w:tcPr>
            <w:tcW w:w="439" w:type="dxa"/>
            <w:vMerge w:val="restart"/>
          </w:tcPr>
          <w:p w14:paraId="0583BC0B" w14:textId="77777777" w:rsidR="0052710C" w:rsidRPr="0009445C" w:rsidRDefault="0052710C" w:rsidP="00600F53">
            <w:pPr>
              <w:pStyle w:val="BRL-Tabelleberschrift"/>
              <w:rPr>
                <w:rFonts w:eastAsia="Calibri"/>
              </w:rPr>
            </w:pPr>
          </w:p>
        </w:tc>
        <w:tc>
          <w:tcPr>
            <w:tcW w:w="2044" w:type="dxa"/>
            <w:vMerge w:val="restart"/>
            <w:shd w:val="clear" w:color="auto" w:fill="auto"/>
          </w:tcPr>
          <w:p w14:paraId="29D1B1E9" w14:textId="77777777" w:rsidR="0052710C" w:rsidRPr="0009445C" w:rsidRDefault="0052710C" w:rsidP="00600F53">
            <w:pPr>
              <w:pStyle w:val="BRL-Tabelleberschrift"/>
              <w:rPr>
                <w:rFonts w:eastAsia="Calibri"/>
              </w:rPr>
            </w:pPr>
            <w:r w:rsidRPr="0009445C">
              <w:t>Building approval requirement</w:t>
            </w:r>
          </w:p>
        </w:tc>
        <w:tc>
          <w:tcPr>
            <w:tcW w:w="4024" w:type="dxa"/>
            <w:vMerge w:val="restart"/>
            <w:shd w:val="clear" w:color="auto" w:fill="auto"/>
          </w:tcPr>
          <w:p w14:paraId="6CA30F29" w14:textId="77777777" w:rsidR="0052710C" w:rsidRPr="0009445C" w:rsidRDefault="0052710C" w:rsidP="00600F53">
            <w:pPr>
              <w:pStyle w:val="BRL-Tabelleberschrift"/>
              <w:rPr>
                <w:rFonts w:eastAsia="Calibri"/>
              </w:rPr>
            </w:pPr>
            <w:r w:rsidRPr="0009445C">
              <w:t>Minimum required performances</w:t>
            </w:r>
          </w:p>
        </w:tc>
        <w:tc>
          <w:tcPr>
            <w:tcW w:w="2565" w:type="dxa"/>
            <w:shd w:val="clear" w:color="auto" w:fill="auto"/>
          </w:tcPr>
          <w:p w14:paraId="468977BA" w14:textId="67588C1A" w:rsidR="0052710C" w:rsidRPr="0009445C" w:rsidRDefault="0052710C" w:rsidP="00600F53">
            <w:pPr>
              <w:pStyle w:val="BRL-Tabelleberschrift"/>
              <w:rPr>
                <w:rFonts w:eastAsia="Calibri"/>
              </w:rPr>
            </w:pPr>
            <w:r w:rsidRPr="0009445C">
              <w:t>Other feature</w:t>
            </w:r>
          </w:p>
        </w:tc>
      </w:tr>
      <w:tr w:rsidR="0052710C" w:rsidRPr="0009445C" w14:paraId="613632DE" w14:textId="77777777" w:rsidTr="00E07C4A">
        <w:trPr>
          <w:trHeight w:val="535"/>
          <w:tblHeader/>
        </w:trPr>
        <w:tc>
          <w:tcPr>
            <w:tcW w:w="439" w:type="dxa"/>
            <w:vMerge/>
          </w:tcPr>
          <w:p w14:paraId="2DFE9C9C" w14:textId="77777777" w:rsidR="0052710C" w:rsidRPr="0009445C" w:rsidRDefault="0052710C" w:rsidP="00600F53">
            <w:pPr>
              <w:pStyle w:val="BRL-Tabelleberschrift"/>
              <w:rPr>
                <w:rFonts w:eastAsia="Calibri"/>
              </w:rPr>
            </w:pPr>
          </w:p>
        </w:tc>
        <w:tc>
          <w:tcPr>
            <w:tcW w:w="2044" w:type="dxa"/>
            <w:vMerge/>
            <w:shd w:val="clear" w:color="auto" w:fill="auto"/>
          </w:tcPr>
          <w:p w14:paraId="1BCACE63" w14:textId="77777777" w:rsidR="0052710C" w:rsidRPr="0009445C" w:rsidRDefault="0052710C" w:rsidP="00600F53">
            <w:pPr>
              <w:pStyle w:val="BRL-Tabelleberschrift"/>
              <w:rPr>
                <w:rFonts w:eastAsia="Calibri"/>
              </w:rPr>
            </w:pPr>
          </w:p>
        </w:tc>
        <w:tc>
          <w:tcPr>
            <w:tcW w:w="4024" w:type="dxa"/>
            <w:vMerge/>
            <w:shd w:val="clear" w:color="auto" w:fill="auto"/>
            <w:vAlign w:val="center"/>
          </w:tcPr>
          <w:p w14:paraId="4E5C6AE7" w14:textId="3F816C30" w:rsidR="0052710C" w:rsidRPr="0009445C" w:rsidRDefault="0052710C" w:rsidP="00600F53">
            <w:pPr>
              <w:pStyle w:val="BRL-Tabelleberschrift"/>
              <w:rPr>
                <w:rFonts w:eastAsia="Calibri"/>
              </w:rPr>
            </w:pPr>
          </w:p>
        </w:tc>
        <w:tc>
          <w:tcPr>
            <w:tcW w:w="2565" w:type="dxa"/>
            <w:shd w:val="clear" w:color="auto" w:fill="auto"/>
          </w:tcPr>
          <w:p w14:paraId="4A7E0FEF" w14:textId="77777777" w:rsidR="0052710C" w:rsidRPr="0009445C" w:rsidRDefault="0052710C" w:rsidP="00600F53">
            <w:pPr>
              <w:pStyle w:val="BRL-Tabelleberschrift"/>
              <w:rPr>
                <w:rFonts w:eastAsia="Calibri"/>
              </w:rPr>
            </w:pPr>
            <w:r w:rsidRPr="0009445C">
              <w:t>Fire performance</w:t>
            </w:r>
          </w:p>
        </w:tc>
      </w:tr>
      <w:tr w:rsidR="0052710C" w:rsidRPr="0009445C" w14:paraId="76D919C7" w14:textId="77777777" w:rsidTr="00E07C4A">
        <w:trPr>
          <w:trHeight w:val="386"/>
          <w:tblHeader/>
        </w:trPr>
        <w:tc>
          <w:tcPr>
            <w:tcW w:w="439" w:type="dxa"/>
          </w:tcPr>
          <w:p w14:paraId="774A4FD4" w14:textId="77777777" w:rsidR="0052710C" w:rsidRPr="0009445C" w:rsidRDefault="0052710C" w:rsidP="00600F53">
            <w:pPr>
              <w:pStyle w:val="BRL-Tabelleberschrift"/>
              <w:rPr>
                <w:rFonts w:eastAsia="Calibri"/>
              </w:rPr>
            </w:pPr>
          </w:p>
        </w:tc>
        <w:tc>
          <w:tcPr>
            <w:tcW w:w="2044" w:type="dxa"/>
            <w:shd w:val="clear" w:color="auto" w:fill="auto"/>
            <w:vAlign w:val="center"/>
          </w:tcPr>
          <w:p w14:paraId="78E56868" w14:textId="77777777" w:rsidR="0052710C" w:rsidRPr="0009445C" w:rsidRDefault="0052710C" w:rsidP="00600F53">
            <w:pPr>
              <w:pStyle w:val="BRL-Tabelleberschrift"/>
              <w:rPr>
                <w:rFonts w:eastAsia="Calibri"/>
              </w:rPr>
            </w:pPr>
            <w:r w:rsidRPr="0009445C">
              <w:t>1</w:t>
            </w:r>
          </w:p>
        </w:tc>
        <w:tc>
          <w:tcPr>
            <w:tcW w:w="4024" w:type="dxa"/>
            <w:shd w:val="clear" w:color="auto" w:fill="auto"/>
            <w:vAlign w:val="center"/>
          </w:tcPr>
          <w:p w14:paraId="13E3494E" w14:textId="77777777" w:rsidR="0052710C" w:rsidRPr="0009445C" w:rsidRDefault="0052710C" w:rsidP="00600F53">
            <w:pPr>
              <w:pStyle w:val="BRL-Tabelleberschrift"/>
              <w:rPr>
                <w:rFonts w:eastAsia="Calibri"/>
              </w:rPr>
            </w:pPr>
            <w:r w:rsidRPr="0009445C">
              <w:t>2</w:t>
            </w:r>
          </w:p>
        </w:tc>
        <w:tc>
          <w:tcPr>
            <w:tcW w:w="2565" w:type="dxa"/>
            <w:shd w:val="clear" w:color="auto" w:fill="auto"/>
            <w:vAlign w:val="center"/>
          </w:tcPr>
          <w:p w14:paraId="118001FE" w14:textId="77777777" w:rsidR="0052710C" w:rsidRPr="0009445C" w:rsidRDefault="0052710C" w:rsidP="00600F53">
            <w:pPr>
              <w:pStyle w:val="BRL-Tabelleberschrift"/>
              <w:rPr>
                <w:rFonts w:eastAsia="Calibri"/>
              </w:rPr>
            </w:pPr>
            <w:r w:rsidRPr="0009445C">
              <w:t>3</w:t>
            </w:r>
          </w:p>
        </w:tc>
      </w:tr>
      <w:tr w:rsidR="0052710C" w:rsidRPr="0009445C" w14:paraId="3313C7F7" w14:textId="77777777" w:rsidTr="00E07C4A">
        <w:trPr>
          <w:trHeight w:val="556"/>
        </w:trPr>
        <w:tc>
          <w:tcPr>
            <w:tcW w:w="439" w:type="dxa"/>
          </w:tcPr>
          <w:p w14:paraId="01BEE374" w14:textId="77777777" w:rsidR="0052710C" w:rsidRPr="0009445C" w:rsidRDefault="0052710C" w:rsidP="00E07C4A">
            <w:pPr>
              <w:pStyle w:val="BRL-Tabelle"/>
              <w:spacing w:before="60" w:after="40"/>
              <w:jc w:val="center"/>
              <w:rPr>
                <w:rFonts w:eastAsia="Calibri"/>
                <w:b/>
              </w:rPr>
            </w:pPr>
            <w:r w:rsidRPr="0009445C">
              <w:rPr>
                <w:b/>
              </w:rPr>
              <w:t>1</w:t>
            </w:r>
          </w:p>
        </w:tc>
        <w:tc>
          <w:tcPr>
            <w:tcW w:w="2044" w:type="dxa"/>
            <w:shd w:val="clear" w:color="auto" w:fill="auto"/>
          </w:tcPr>
          <w:p w14:paraId="13288BDF" w14:textId="50856652" w:rsidR="0052710C" w:rsidRPr="0009445C" w:rsidRDefault="0052710C" w:rsidP="00E07C4A">
            <w:pPr>
              <w:pStyle w:val="BRL-Tabelle"/>
              <w:spacing w:before="60" w:after="40"/>
              <w:rPr>
                <w:rFonts w:eastAsia="Calibri"/>
              </w:rPr>
            </w:pPr>
            <w:r w:rsidRPr="0009445C">
              <w:t>Tightly closing and self-closing</w:t>
            </w:r>
          </w:p>
        </w:tc>
        <w:tc>
          <w:tcPr>
            <w:tcW w:w="4024" w:type="dxa"/>
            <w:shd w:val="clear" w:color="auto" w:fill="auto"/>
          </w:tcPr>
          <w:p w14:paraId="019D8F07" w14:textId="77777777" w:rsidR="0052710C" w:rsidRPr="0009445C" w:rsidRDefault="0052710C" w:rsidP="00E07C4A">
            <w:pPr>
              <w:pStyle w:val="BRL-Tabelle"/>
              <w:spacing w:before="60" w:after="40"/>
              <w:rPr>
                <w:rFonts w:eastAsia="Calibri"/>
                <w:vertAlign w:val="subscript"/>
              </w:rPr>
            </w:pPr>
            <w:r w:rsidRPr="0009445C">
              <w:t>S</w:t>
            </w:r>
            <w:r w:rsidRPr="0009445C">
              <w:rPr>
                <w:vertAlign w:val="subscript"/>
              </w:rPr>
              <w:t>a</w:t>
            </w:r>
          </w:p>
          <w:p w14:paraId="1484C0F5" w14:textId="6BDAB3EF" w:rsidR="0052710C" w:rsidRPr="0009445C" w:rsidRDefault="0052710C" w:rsidP="00E07C4A">
            <w:pPr>
              <w:pStyle w:val="BRL-Tabelle"/>
              <w:spacing w:before="60" w:after="40"/>
              <w:rPr>
                <w:rFonts w:eastAsia="Calibri"/>
              </w:rPr>
            </w:pPr>
            <w:r w:rsidRPr="0009445C">
              <w:t>C</w:t>
            </w:r>
            <w:r w:rsidRPr="0009445C">
              <w:rPr>
                <w:vertAlign w:val="superscript"/>
              </w:rPr>
              <w:br/>
            </w:r>
            <w:r w:rsidRPr="0009445C">
              <w:t>Continuous Function Check</w:t>
            </w:r>
            <w:r w:rsidRPr="0009445C">
              <w:rPr>
                <w:vertAlign w:val="superscript"/>
              </w:rPr>
              <w:t>1</w:t>
            </w:r>
          </w:p>
        </w:tc>
        <w:tc>
          <w:tcPr>
            <w:tcW w:w="2565" w:type="dxa"/>
            <w:shd w:val="clear" w:color="auto" w:fill="auto"/>
            <w:vAlign w:val="center"/>
          </w:tcPr>
          <w:p w14:paraId="43EB406F" w14:textId="6A407239" w:rsidR="0052710C" w:rsidRPr="0009445C" w:rsidRDefault="0052710C" w:rsidP="00E07C4A">
            <w:pPr>
              <w:pStyle w:val="BRL-Tabelle"/>
              <w:spacing w:before="60" w:after="40"/>
              <w:jc w:val="center"/>
              <w:rPr>
                <w:rFonts w:eastAsia="Calibri"/>
              </w:rPr>
            </w:pPr>
            <w:r w:rsidRPr="0009445C">
              <w:t>E – d2**</w:t>
            </w:r>
          </w:p>
        </w:tc>
      </w:tr>
      <w:tr w:rsidR="0052710C" w:rsidRPr="0009445C" w14:paraId="12BEA7C0" w14:textId="77777777" w:rsidTr="00E07C4A">
        <w:trPr>
          <w:trHeight w:val="556"/>
        </w:trPr>
        <w:tc>
          <w:tcPr>
            <w:tcW w:w="439" w:type="dxa"/>
          </w:tcPr>
          <w:p w14:paraId="6F21F278" w14:textId="57161637" w:rsidR="0052710C" w:rsidRPr="0009445C" w:rsidRDefault="0052710C" w:rsidP="00E07C4A">
            <w:pPr>
              <w:pStyle w:val="BRL-Tabelle"/>
              <w:spacing w:before="60" w:after="40"/>
              <w:jc w:val="center"/>
              <w:rPr>
                <w:rFonts w:eastAsia="Calibri"/>
                <w:b/>
              </w:rPr>
            </w:pPr>
            <w:r w:rsidRPr="0009445C">
              <w:rPr>
                <w:b/>
              </w:rPr>
              <w:t>2</w:t>
            </w:r>
          </w:p>
        </w:tc>
        <w:tc>
          <w:tcPr>
            <w:tcW w:w="2044" w:type="dxa"/>
            <w:shd w:val="clear" w:color="auto" w:fill="auto"/>
          </w:tcPr>
          <w:p w14:paraId="045FE7C0" w14:textId="798598E7" w:rsidR="0052710C" w:rsidRPr="0009445C" w:rsidRDefault="0052710C" w:rsidP="00E07C4A">
            <w:pPr>
              <w:pStyle w:val="BRL-Tabelle"/>
              <w:spacing w:before="60" w:after="40"/>
              <w:rPr>
                <w:rFonts w:eastAsia="Calibri"/>
              </w:rPr>
            </w:pPr>
            <w:r w:rsidRPr="0009445C">
              <w:t>Tight-sealing and self-closing, made of non-combustible* building materials</w:t>
            </w:r>
          </w:p>
        </w:tc>
        <w:tc>
          <w:tcPr>
            <w:tcW w:w="4024" w:type="dxa"/>
            <w:shd w:val="clear" w:color="auto" w:fill="auto"/>
          </w:tcPr>
          <w:p w14:paraId="333286F2" w14:textId="77777777" w:rsidR="0052710C" w:rsidRPr="0009445C" w:rsidRDefault="0052710C" w:rsidP="0052710C">
            <w:pPr>
              <w:pStyle w:val="BRL-Tabelle"/>
              <w:spacing w:before="60" w:after="40"/>
              <w:rPr>
                <w:rFonts w:eastAsia="Calibri"/>
                <w:vertAlign w:val="subscript"/>
              </w:rPr>
            </w:pPr>
            <w:r w:rsidRPr="0009445C">
              <w:t>S</w:t>
            </w:r>
            <w:r w:rsidRPr="0009445C">
              <w:rPr>
                <w:vertAlign w:val="subscript"/>
              </w:rPr>
              <w:t>a</w:t>
            </w:r>
          </w:p>
          <w:p w14:paraId="6E4A517E" w14:textId="346FBE1E" w:rsidR="0052710C" w:rsidRPr="0009445C" w:rsidRDefault="0052710C" w:rsidP="0052710C">
            <w:pPr>
              <w:pStyle w:val="BRL-Tabelle"/>
              <w:spacing w:before="60" w:after="40"/>
              <w:rPr>
                <w:rFonts w:eastAsia="Calibri"/>
              </w:rPr>
            </w:pPr>
            <w:r w:rsidRPr="0009445C">
              <w:t>C</w:t>
            </w:r>
            <w:r w:rsidRPr="0009445C">
              <w:rPr>
                <w:vertAlign w:val="superscript"/>
              </w:rPr>
              <w:br/>
            </w:r>
            <w:r w:rsidRPr="0009445C">
              <w:t>Continuous Function Check</w:t>
            </w:r>
            <w:r w:rsidRPr="0009445C">
              <w:rPr>
                <w:vertAlign w:val="superscript"/>
              </w:rPr>
              <w:t>1</w:t>
            </w:r>
          </w:p>
        </w:tc>
        <w:tc>
          <w:tcPr>
            <w:tcW w:w="2565" w:type="dxa"/>
            <w:shd w:val="clear" w:color="auto" w:fill="auto"/>
            <w:vAlign w:val="center"/>
          </w:tcPr>
          <w:p w14:paraId="34253713" w14:textId="78927E66" w:rsidR="0052710C" w:rsidRPr="0009445C" w:rsidRDefault="0052710C" w:rsidP="00E07C4A">
            <w:pPr>
              <w:pStyle w:val="BRL-Tabelle"/>
              <w:spacing w:before="60" w:after="40"/>
              <w:jc w:val="center"/>
              <w:rPr>
                <w:rFonts w:eastAsia="Calibri"/>
              </w:rPr>
            </w:pPr>
            <w:r w:rsidRPr="0009445C">
              <w:t>A 2-s1,d0**</w:t>
            </w:r>
          </w:p>
        </w:tc>
      </w:tr>
      <w:tr w:rsidR="0052710C" w:rsidRPr="0009445C" w14:paraId="603B1EB6" w14:textId="77777777" w:rsidTr="00E07C4A">
        <w:trPr>
          <w:trHeight w:val="556"/>
        </w:trPr>
        <w:tc>
          <w:tcPr>
            <w:tcW w:w="439" w:type="dxa"/>
          </w:tcPr>
          <w:p w14:paraId="74A96D63" w14:textId="77777777" w:rsidR="0052710C" w:rsidRPr="0009445C" w:rsidRDefault="0052710C" w:rsidP="00E07C4A">
            <w:pPr>
              <w:pStyle w:val="BRL-Tabelle"/>
              <w:spacing w:before="60" w:after="40"/>
              <w:jc w:val="center"/>
              <w:rPr>
                <w:rFonts w:eastAsia="Calibri"/>
                <w:b/>
              </w:rPr>
            </w:pPr>
          </w:p>
        </w:tc>
        <w:tc>
          <w:tcPr>
            <w:tcW w:w="8633" w:type="dxa"/>
            <w:gridSpan w:val="3"/>
            <w:shd w:val="clear" w:color="auto" w:fill="auto"/>
          </w:tcPr>
          <w:p w14:paraId="32CBA7E7" w14:textId="77777777" w:rsidR="00563079" w:rsidRDefault="0052710C" w:rsidP="0052710C">
            <w:pPr>
              <w:pStyle w:val="BRL-Funote"/>
              <w:jc w:val="left"/>
            </w:pPr>
            <w:r w:rsidRPr="0009445C">
              <w:t>2</w:t>
            </w:r>
            <w:r w:rsidRPr="0009445C">
              <w:tab/>
              <w:t>Continuous function testing:</w:t>
            </w:r>
            <w:r w:rsidRPr="0009445C">
              <w:br/>
              <w:t>-</w:t>
            </w:r>
            <w:r w:rsidRPr="0009445C">
              <w:tab/>
              <w:t xml:space="preserve">Class 5 for doors (rotated wings), sliding doors in gates and construction products according to EN 13241:2003 + A2:2016, which are considered as doors in accordance with Section A 2.1.6 </w:t>
            </w:r>
          </w:p>
          <w:p w14:paraId="19B7738A" w14:textId="795C1E44" w:rsidR="0052710C" w:rsidRPr="0009445C" w:rsidRDefault="00563079" w:rsidP="00563079">
            <w:pPr>
              <w:pStyle w:val="BRL-Funote"/>
              <w:ind w:firstLine="29"/>
              <w:jc w:val="left"/>
              <w:rPr>
                <w:rFonts w:eastAsia="Calibri"/>
              </w:rPr>
            </w:pPr>
            <w:r>
              <w:t>-</w:t>
            </w:r>
            <w:r>
              <w:tab/>
            </w:r>
            <w:r w:rsidR="0052710C" w:rsidRPr="0009445C">
              <w:t>min. class 2 for other sealing and self-closing closures (gates)</w:t>
            </w:r>
          </w:p>
          <w:p w14:paraId="2DD8229E" w14:textId="597FFA56" w:rsidR="0052710C" w:rsidRPr="0009445C" w:rsidRDefault="0052710C" w:rsidP="00563079">
            <w:pPr>
              <w:pStyle w:val="BRL-Funote"/>
              <w:tabs>
                <w:tab w:val="clear" w:pos="425"/>
              </w:tabs>
              <w:spacing w:before="60"/>
              <w:rPr>
                <w:rFonts w:eastAsia="Calibri"/>
              </w:rPr>
            </w:pPr>
            <w:r w:rsidRPr="0009445C">
              <w:t>*</w:t>
            </w:r>
            <w:r w:rsidRPr="0009445C">
              <w:tab/>
              <w:t>Table 1.1 applies to the requirements</w:t>
            </w:r>
          </w:p>
          <w:p w14:paraId="43243CBE" w14:textId="5B919A0B" w:rsidR="0052710C" w:rsidRPr="0009445C" w:rsidRDefault="0052710C" w:rsidP="0052710C">
            <w:pPr>
              <w:pStyle w:val="BRL-Funote"/>
              <w:spacing w:before="60"/>
              <w:rPr>
                <w:rFonts w:eastAsia="Calibri"/>
              </w:rPr>
            </w:pPr>
            <w:r w:rsidRPr="0009445C">
              <w:t>**</w:t>
            </w:r>
            <w:r w:rsidRPr="0009445C">
              <w:tab/>
              <w:t>Regarding fire performance requirements, Table 1.2 applies. Section 1.3 shall apply where necessary.</w:t>
            </w:r>
          </w:p>
        </w:tc>
      </w:tr>
    </w:tbl>
    <w:p w14:paraId="5CE06E44" w14:textId="549C7F27" w:rsidR="00682A9B" w:rsidRPr="0009445C" w:rsidRDefault="00682A9B" w:rsidP="00E713B0">
      <w:pPr>
        <w:pStyle w:val="BRL-Standard"/>
      </w:pPr>
    </w:p>
    <w:p w14:paraId="12C6DF80" w14:textId="73863601" w:rsidR="00682A9B" w:rsidRPr="0009445C" w:rsidRDefault="0088747B" w:rsidP="00600F53">
      <w:pPr>
        <w:pStyle w:val="BRL-berschrift"/>
      </w:pPr>
      <w:r w:rsidRPr="0009445C">
        <w:t>5.5.3</w:t>
      </w:r>
      <w:r w:rsidRPr="0009445C">
        <w:tab/>
        <w:t>Terms of use and execution for financial statements in accordance with 5.5.2</w:t>
      </w:r>
    </w:p>
    <w:p w14:paraId="1F6F7BBF" w14:textId="79F45E9C" w:rsidR="00FB478B" w:rsidRPr="0009445C" w:rsidRDefault="00FB478B" w:rsidP="00FB478B">
      <w:pPr>
        <w:pStyle w:val="BRL-StandardAufzhlungNr"/>
        <w:numPr>
          <w:ilvl w:val="0"/>
          <w:numId w:val="42"/>
        </w:numPr>
      </w:pPr>
      <w:r w:rsidRPr="0009445C">
        <w:t>DIN 18093:2017-10 applies mutatis mutandis to the use of construction products as seal and self-closing financial statements.</w:t>
      </w:r>
    </w:p>
    <w:p w14:paraId="5CA4ED9A" w14:textId="0B899FCF" w:rsidR="00FB478B" w:rsidRPr="0009445C" w:rsidRDefault="00FB478B" w:rsidP="00FB478B">
      <w:pPr>
        <w:pStyle w:val="BRL-StandardAufzhlungNr"/>
      </w:pPr>
      <w:r w:rsidRPr="0009445C">
        <w:t xml:space="preserve">The use in escape and rescue routes shall only be permitted if, in the case of sliding, lifting or rolling barriers, including those considered doors in accordance with A 2.1.6, and fire and smoke protection curtains which do not open in the direction of escape, a door that can be opened in the direction of escape is located in the immediate vicinity. </w:t>
      </w:r>
    </w:p>
    <w:p w14:paraId="3E3C1AF1" w14:textId="1E041674" w:rsidR="00FB478B" w:rsidRPr="0009445C" w:rsidRDefault="00FB478B" w:rsidP="00FB478B">
      <w:pPr>
        <w:pStyle w:val="BRL-StandardAufzhlungNr"/>
      </w:pPr>
      <w:r w:rsidRPr="0009445C">
        <w:t>So-called side and/or fall flaps in connection with construction products as sealing and self-closing closures are not covered by EN 16034:2014</w:t>
      </w:r>
      <w:r w:rsidRPr="0009445C">
        <w:fldChar w:fldCharType="begin"/>
      </w:r>
      <w:r w:rsidRPr="0009445C">
        <w:instrText xml:space="preserve"> NOTEREF _Ref77260488 \f \h </w:instrText>
      </w:r>
      <w:r w:rsidR="0009445C" w:rsidRPr="0009445C">
        <w:instrText xml:space="preserve"> \* MERGEFORMAT </w:instrText>
      </w:r>
      <w:r w:rsidRPr="0009445C">
        <w:fldChar w:fldCharType="separate"/>
      </w:r>
      <w:r w:rsidR="0009445C" w:rsidRPr="0009445C">
        <w:rPr>
          <w:rStyle w:val="FootnoteReference"/>
        </w:rPr>
        <w:t>27</w:t>
      </w:r>
      <w:r w:rsidRPr="0009445C">
        <w:fldChar w:fldCharType="end"/>
      </w:r>
      <w:r w:rsidRPr="0009445C">
        <w:t>. For the planning, designing and execution there are no technical best practices, and proof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val="0"/>
          <w:lang w:val="en-US"/>
        </w:rPr>
        <w:t>Error! Bookmark not defined.</w:t>
      </w:r>
      <w:r w:rsidRPr="0009445C">
        <w:rPr>
          <w:rStyle w:val="FootnoteReference"/>
        </w:rPr>
        <w:fldChar w:fldCharType="end"/>
      </w:r>
      <w:r w:rsidRPr="0009445C">
        <w:t xml:space="preserve"> is required.</w:t>
      </w:r>
    </w:p>
    <w:p w14:paraId="22E25BE8" w14:textId="7A2BB55D" w:rsidR="00FB478B" w:rsidRPr="0009445C" w:rsidRDefault="00FB478B" w:rsidP="00FB478B">
      <w:pPr>
        <w:pStyle w:val="BRL-StandardAufzhlungNr"/>
      </w:pPr>
      <w:r w:rsidRPr="0009445C">
        <w:t>The use of construction products as sealing and self-closing closures for non-floor-equivalent installation (height &gt; 500 mm above OKF of the room) is only permitted if this is tested and specified in the installation instructions.</w:t>
      </w:r>
    </w:p>
    <w:p w14:paraId="60EC8A47" w14:textId="2596B377" w:rsidR="00FB478B" w:rsidRPr="0009445C" w:rsidRDefault="00FB478B" w:rsidP="00FB478B">
      <w:pPr>
        <w:pStyle w:val="BRL-StandardAufzhlungNr"/>
      </w:pPr>
      <w:r w:rsidRPr="0009445C">
        <w:t xml:space="preserve">The fall/component over a construction product as a sealing and self-closing finish must be statically and dimensioned in such a way that the construction product does not receive any additional load (except for its own weight). </w:t>
      </w:r>
    </w:p>
    <w:p w14:paraId="6D81AC11" w14:textId="033108CA" w:rsidR="00FB478B" w:rsidRPr="0009445C" w:rsidRDefault="00FB478B" w:rsidP="00FB478B">
      <w:pPr>
        <w:pStyle w:val="BRL-StandardAufzhlungNr"/>
      </w:pPr>
      <w:r w:rsidRPr="0009445C">
        <w:t xml:space="preserve">Visible instructions shall be affixed to both sides of sliding, lifting and rolling barriers, reminding that the closing area must be kept free at all times from any objects that could obstruct the closing of the barrier. Sliding, lifting and rolling barriers shall be equipped with an audio-visual warning system that announces the closing. Once initiated, the closing process may only be interrupted for personal safety purposes. The closing process must continue automatically from each opening position after the closing area has been released. </w:t>
      </w:r>
    </w:p>
    <w:p w14:paraId="22B3060F" w14:textId="17289C8D" w:rsidR="00FB478B" w:rsidRPr="0009445C" w:rsidRDefault="00FB478B" w:rsidP="00FB478B">
      <w:pPr>
        <w:pStyle w:val="BRL-StandardAufzhlungNr"/>
      </w:pPr>
      <w:r w:rsidRPr="0009445C">
        <w:t>A construction product for use as a sealing and self-closing closure may be carried out with a locking system suitable for sealing and self-closing closure inside construction installations, the applicability of which is demonstrated at this conclusion by a type-approval.</w:t>
      </w:r>
    </w:p>
    <w:p w14:paraId="48FC26EB" w14:textId="3EB4304D" w:rsidR="00FB478B" w:rsidRPr="0009445C" w:rsidRDefault="00FB478B" w:rsidP="00FB478B">
      <w:pPr>
        <w:pStyle w:val="BRL-StandardAufzhlungNr"/>
      </w:pPr>
      <w:r w:rsidRPr="0009445C">
        <w:t>The indication ‘released’ for the ‘ability to release’ characteristic in the declaration of performance only means that a locking device is present, not a locking mechanism.</w:t>
      </w:r>
    </w:p>
    <w:p w14:paraId="0C6DEB6D" w14:textId="0D613CA1" w:rsidR="00FB478B" w:rsidRPr="0009445C" w:rsidRDefault="00FB478B" w:rsidP="00FB478B">
      <w:pPr>
        <w:pStyle w:val="BRL-StandardAufzhlungNr"/>
      </w:pPr>
      <w:r w:rsidRPr="0009445C">
        <w:t>The decision to use a sealing and self-closing curtain can only be made taking into account the following criteria:</w:t>
      </w:r>
    </w:p>
    <w:p w14:paraId="6FED7735" w14:textId="77777777" w:rsidR="00FB478B" w:rsidRPr="0009445C" w:rsidRDefault="00FB478B" w:rsidP="00FB478B">
      <w:pPr>
        <w:pStyle w:val="BRLAufzhlungAnstrich"/>
        <w:numPr>
          <w:ilvl w:val="3"/>
          <w:numId w:val="12"/>
        </w:numPr>
      </w:pPr>
      <w:r w:rsidRPr="0009445C">
        <w:t>Expected air flows, e.g. through natural thermals or artificial ventilation systems, which would affect safe closing,</w:t>
      </w:r>
    </w:p>
    <w:p w14:paraId="04031874" w14:textId="77777777" w:rsidR="00FB478B" w:rsidRPr="0009445C" w:rsidRDefault="00FB478B" w:rsidP="00FB478B">
      <w:pPr>
        <w:pStyle w:val="BRLAufzhlungAnstrich"/>
        <w:numPr>
          <w:ilvl w:val="3"/>
          <w:numId w:val="12"/>
        </w:numPr>
      </w:pPr>
      <w:r w:rsidRPr="0009445C">
        <w:t>Existing dimensional stability when faced with falling debris, structural elements or objects.</w:t>
      </w:r>
    </w:p>
    <w:p w14:paraId="05CDD8B6" w14:textId="77777777" w:rsidR="00FB478B" w:rsidRPr="0009445C" w:rsidRDefault="00FB478B" w:rsidP="00FB478B">
      <w:pPr>
        <w:pStyle w:val="BRL-StandardAufzhlungNr"/>
        <w:numPr>
          <w:ilvl w:val="0"/>
          <w:numId w:val="0"/>
        </w:numPr>
        <w:ind w:left="928"/>
      </w:pPr>
      <w:r w:rsidRPr="0009445C">
        <w:t>Sealing and self-closing curtains may only be used and installed in the dimensions for which a test has also been carried out. A sequence of two or more sealing and self-closing curtains, including one with separation by supporting elements, is not permitted.</w:t>
      </w:r>
    </w:p>
    <w:p w14:paraId="44FF64EE" w14:textId="57B5AC6E" w:rsidR="00FB478B" w:rsidRPr="0009445C" w:rsidRDefault="00FB478B" w:rsidP="00FB478B">
      <w:pPr>
        <w:pStyle w:val="BRL-StandardAufzhlungNr"/>
      </w:pPr>
      <w:r w:rsidRPr="0009445C">
        <w:lastRenderedPageBreak/>
        <w:t>Use shall be permitted only if the installation instructions indicate that the requirements for fire from both sides are complied with in the essential smoke protection feature for the closure.</w:t>
      </w:r>
    </w:p>
    <w:p w14:paraId="14CFDBC0" w14:textId="59CCEA2B" w:rsidR="00FB478B" w:rsidRPr="0009445C" w:rsidRDefault="00FB478B" w:rsidP="00FB478B">
      <w:pPr>
        <w:pStyle w:val="BRL-StandardAufzhlungNr"/>
        <w:numPr>
          <w:ilvl w:val="0"/>
          <w:numId w:val="0"/>
        </w:numPr>
        <w:ind w:left="928"/>
      </w:pPr>
      <w:r w:rsidRPr="0009445C">
        <w:t>Use in escape routes is only permitted if the installation manual states that the requirements with regard to the closing devices and the possibility of manual opening according to A 2.1.6 are met.</w:t>
      </w:r>
    </w:p>
    <w:p w14:paraId="799EB820" w14:textId="52027EF5" w:rsidR="0088747B" w:rsidRPr="0009445C" w:rsidRDefault="0088747B" w:rsidP="00E713B0">
      <w:pPr>
        <w:pStyle w:val="BRL-Standard"/>
      </w:pPr>
    </w:p>
    <w:p w14:paraId="44CD4DC7" w14:textId="77777777" w:rsidR="00007636" w:rsidRPr="0009445C" w:rsidRDefault="00007636" w:rsidP="00E713B0">
      <w:pPr>
        <w:pStyle w:val="BRL-Standard"/>
      </w:pPr>
    </w:p>
    <w:p w14:paraId="1D0E358D" w14:textId="77777777" w:rsidR="00E713B0" w:rsidRPr="0009445C" w:rsidRDefault="00E713B0" w:rsidP="00E713B0">
      <w:pPr>
        <w:pStyle w:val="BRL-berschrift-Kopf"/>
      </w:pPr>
      <w:r w:rsidRPr="0009445C">
        <w:t>6</w:t>
      </w:r>
      <w:r w:rsidRPr="0009445C">
        <w:tab/>
        <w:t>Preventive measures for cable and/or pipe passages in fire-resistant structural elements</w:t>
      </w:r>
    </w:p>
    <w:p w14:paraId="45293624" w14:textId="6EC295D9" w:rsidR="00E713B0" w:rsidRPr="0009445C" w:rsidRDefault="00E713B0" w:rsidP="00E713B0">
      <w:pPr>
        <w:pStyle w:val="BRL-Standard"/>
      </w:pPr>
      <w:r w:rsidRPr="0009445C">
        <w:t>If, in order to fulfil the structural requirements in A 2.1.15 and A 2.2.1.8 for preventive measures for cable and pipe passages, proof of the suitability of designs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is required, the minimum required classes shall be as given in Table 6.</w:t>
      </w:r>
    </w:p>
    <w:p w14:paraId="590EEDB3" w14:textId="77777777" w:rsidR="00E713B0" w:rsidRPr="0009445C" w:rsidRDefault="00E713B0" w:rsidP="00E713B0">
      <w:pPr>
        <w:pStyle w:val="BRL-Standard"/>
      </w:pPr>
    </w:p>
    <w:p w14:paraId="2CC1D813" w14:textId="59EC088F" w:rsidR="00E713B0" w:rsidRPr="0009445C" w:rsidRDefault="00E713B0" w:rsidP="00E713B0">
      <w:pPr>
        <w:pStyle w:val="BRLTabelleberschrift"/>
        <w:tabs>
          <w:tab w:val="clear" w:pos="851"/>
          <w:tab w:val="left" w:pos="1418"/>
        </w:tabs>
        <w:spacing w:after="120"/>
      </w:pPr>
      <w:r w:rsidRPr="0009445C">
        <w:t>Table 6:</w:t>
      </w:r>
      <w:r w:rsidRPr="0009445C">
        <w:tab/>
        <w:t>Building approval requirements and classification of classes according to DIN 4102</w:t>
      </w:r>
      <w:r w:rsidRPr="0009445C">
        <w:noBreakHyphen/>
        <w:t xml:space="preserve"> 9:1990-05 or DIN 4102</w:t>
      </w:r>
      <w:r w:rsidRPr="0009445C">
        <w:noBreakHyphen/>
        <w:t xml:space="preserve"> 11:1985</w:t>
      </w:r>
      <w:r w:rsidRPr="0009445C">
        <w:noBreakHyphen/>
        <w:t xml:space="preserve"> 12</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443"/>
        <w:gridCol w:w="3370"/>
        <w:gridCol w:w="2562"/>
        <w:gridCol w:w="2697"/>
      </w:tblGrid>
      <w:tr w:rsidR="00E713B0" w:rsidRPr="0009445C" w14:paraId="668F999B" w14:textId="77777777" w:rsidTr="00E713B0">
        <w:tc>
          <w:tcPr>
            <w:tcW w:w="454" w:type="dxa"/>
            <w:vMerge w:val="restart"/>
          </w:tcPr>
          <w:p w14:paraId="238B27E5" w14:textId="77777777" w:rsidR="00E713B0" w:rsidRPr="0009445C" w:rsidRDefault="00E713B0" w:rsidP="00E713B0">
            <w:pPr>
              <w:pStyle w:val="BRL-TabelleberschriftAnhang"/>
              <w:ind w:left="0" w:right="0"/>
              <w:jc w:val="center"/>
              <w:rPr>
                <w:rFonts w:eastAsia="Calibri"/>
              </w:rPr>
            </w:pPr>
          </w:p>
        </w:tc>
        <w:tc>
          <w:tcPr>
            <w:tcW w:w="3547" w:type="dxa"/>
            <w:vMerge w:val="restart"/>
            <w:shd w:val="clear" w:color="auto" w:fill="auto"/>
          </w:tcPr>
          <w:p w14:paraId="2C86519C" w14:textId="77777777" w:rsidR="00E713B0" w:rsidRPr="0009445C" w:rsidRDefault="00E713B0" w:rsidP="00E713B0">
            <w:pPr>
              <w:pStyle w:val="BRL-TabelleberschriftAnhang"/>
              <w:ind w:left="0" w:right="0"/>
              <w:rPr>
                <w:rFonts w:eastAsia="Calibri"/>
              </w:rPr>
            </w:pPr>
            <w:r w:rsidRPr="0009445C">
              <w:t>Building approval requirement</w:t>
            </w:r>
          </w:p>
        </w:tc>
        <w:tc>
          <w:tcPr>
            <w:tcW w:w="5529" w:type="dxa"/>
            <w:gridSpan w:val="2"/>
            <w:shd w:val="clear" w:color="auto" w:fill="auto"/>
          </w:tcPr>
          <w:p w14:paraId="37F5AA36" w14:textId="77777777" w:rsidR="00E713B0" w:rsidRPr="0009445C" w:rsidRDefault="00E713B0" w:rsidP="00E713B0">
            <w:pPr>
              <w:pStyle w:val="BRL-TabelleberschriftAnhang"/>
              <w:ind w:left="0" w:right="0"/>
              <w:rPr>
                <w:rFonts w:eastAsia="Calibri"/>
              </w:rPr>
            </w:pPr>
            <w:r w:rsidRPr="0009445C">
              <w:t>Minimum required classes pursuant to</w:t>
            </w:r>
          </w:p>
        </w:tc>
      </w:tr>
      <w:tr w:rsidR="00E713B0" w:rsidRPr="0009445C" w14:paraId="74E4D999" w14:textId="77777777" w:rsidTr="00E713B0">
        <w:tc>
          <w:tcPr>
            <w:tcW w:w="454" w:type="dxa"/>
            <w:vMerge/>
          </w:tcPr>
          <w:p w14:paraId="2E04ADCB" w14:textId="77777777" w:rsidR="00E713B0" w:rsidRPr="0009445C" w:rsidRDefault="00E713B0" w:rsidP="00E713B0">
            <w:pPr>
              <w:pStyle w:val="BRL-TabelleberschriftAnhang"/>
              <w:ind w:left="0" w:right="0"/>
              <w:jc w:val="center"/>
              <w:rPr>
                <w:rFonts w:eastAsia="Calibri"/>
              </w:rPr>
            </w:pPr>
          </w:p>
        </w:tc>
        <w:tc>
          <w:tcPr>
            <w:tcW w:w="3547" w:type="dxa"/>
            <w:vMerge/>
            <w:shd w:val="clear" w:color="auto" w:fill="auto"/>
          </w:tcPr>
          <w:p w14:paraId="048C2076" w14:textId="77777777" w:rsidR="00E713B0" w:rsidRPr="0009445C" w:rsidRDefault="00E713B0" w:rsidP="00E713B0">
            <w:pPr>
              <w:pStyle w:val="BRL-TabelleberschriftAnhang"/>
              <w:ind w:left="0" w:right="0"/>
              <w:rPr>
                <w:rFonts w:eastAsia="Calibri"/>
              </w:rPr>
            </w:pPr>
          </w:p>
        </w:tc>
        <w:tc>
          <w:tcPr>
            <w:tcW w:w="2693" w:type="dxa"/>
            <w:shd w:val="clear" w:color="auto" w:fill="auto"/>
          </w:tcPr>
          <w:p w14:paraId="0EC60EEF" w14:textId="77777777" w:rsidR="00E713B0" w:rsidRPr="0009445C" w:rsidRDefault="00E713B0" w:rsidP="00E713B0">
            <w:pPr>
              <w:pStyle w:val="BRL-TabelleberschriftAnhang"/>
              <w:ind w:left="0" w:right="0"/>
              <w:rPr>
                <w:rFonts w:eastAsia="Calibri"/>
              </w:rPr>
            </w:pPr>
            <w:r w:rsidRPr="0009445C">
              <w:t>DIN 4102-9:1990-05</w:t>
            </w:r>
            <w:r w:rsidRPr="0009445C">
              <w:br/>
              <w:t>for cable sealing</w:t>
            </w:r>
          </w:p>
        </w:tc>
        <w:tc>
          <w:tcPr>
            <w:tcW w:w="2836" w:type="dxa"/>
            <w:shd w:val="clear" w:color="auto" w:fill="auto"/>
          </w:tcPr>
          <w:p w14:paraId="5F37A5EA" w14:textId="77777777" w:rsidR="00E713B0" w:rsidRPr="0009445C" w:rsidRDefault="00E713B0" w:rsidP="00E713B0">
            <w:pPr>
              <w:pStyle w:val="BRL-TabelleberschriftAnhang"/>
              <w:ind w:left="0" w:right="0"/>
              <w:rPr>
                <w:rFonts w:eastAsia="Calibri"/>
              </w:rPr>
            </w:pPr>
            <w:r w:rsidRPr="0009445C">
              <w:t>DIN 4102-11:1985-12</w:t>
            </w:r>
            <w:r w:rsidRPr="0009445C">
              <w:br/>
              <w:t>for pipe sealing</w:t>
            </w:r>
            <w:r w:rsidRPr="0009445C">
              <w:rPr>
                <w:vertAlign w:val="superscript"/>
              </w:rPr>
              <w:t>1</w:t>
            </w:r>
          </w:p>
        </w:tc>
      </w:tr>
      <w:tr w:rsidR="00E713B0" w:rsidRPr="0009445C" w14:paraId="3136C173" w14:textId="77777777" w:rsidTr="00E713B0">
        <w:tc>
          <w:tcPr>
            <w:tcW w:w="454" w:type="dxa"/>
          </w:tcPr>
          <w:p w14:paraId="0A7CA963" w14:textId="77777777" w:rsidR="00E713B0" w:rsidRPr="0009445C" w:rsidRDefault="00E713B0" w:rsidP="00E713B0">
            <w:pPr>
              <w:pStyle w:val="BRL-TabelleberschriftAnhang"/>
              <w:ind w:left="0" w:right="0"/>
              <w:jc w:val="center"/>
              <w:rPr>
                <w:rFonts w:eastAsia="Calibri"/>
              </w:rPr>
            </w:pPr>
          </w:p>
        </w:tc>
        <w:tc>
          <w:tcPr>
            <w:tcW w:w="3547" w:type="dxa"/>
            <w:shd w:val="clear" w:color="auto" w:fill="auto"/>
          </w:tcPr>
          <w:p w14:paraId="6B7AF688" w14:textId="77777777" w:rsidR="00E713B0" w:rsidRPr="0009445C" w:rsidRDefault="00E713B0" w:rsidP="00E713B0">
            <w:pPr>
              <w:pStyle w:val="BRL-TabelleberschriftAnhang"/>
              <w:ind w:left="0" w:right="0"/>
              <w:jc w:val="center"/>
              <w:rPr>
                <w:rFonts w:eastAsia="Calibri"/>
              </w:rPr>
            </w:pPr>
            <w:r w:rsidRPr="0009445C">
              <w:t>1</w:t>
            </w:r>
          </w:p>
        </w:tc>
        <w:tc>
          <w:tcPr>
            <w:tcW w:w="2693" w:type="dxa"/>
            <w:shd w:val="clear" w:color="auto" w:fill="auto"/>
          </w:tcPr>
          <w:p w14:paraId="6750A8C1" w14:textId="77777777" w:rsidR="00E713B0" w:rsidRPr="0009445C" w:rsidRDefault="00E713B0" w:rsidP="00E713B0">
            <w:pPr>
              <w:pStyle w:val="BRL-TabelleberschriftAnhang"/>
              <w:ind w:left="0" w:right="0"/>
              <w:jc w:val="center"/>
              <w:rPr>
                <w:rFonts w:eastAsia="Calibri"/>
              </w:rPr>
            </w:pPr>
            <w:r w:rsidRPr="0009445C">
              <w:t>2</w:t>
            </w:r>
          </w:p>
        </w:tc>
        <w:tc>
          <w:tcPr>
            <w:tcW w:w="2836" w:type="dxa"/>
            <w:shd w:val="clear" w:color="auto" w:fill="auto"/>
          </w:tcPr>
          <w:p w14:paraId="1C66DCF1" w14:textId="77777777" w:rsidR="00E713B0" w:rsidRPr="0009445C" w:rsidRDefault="00E713B0" w:rsidP="00E713B0">
            <w:pPr>
              <w:pStyle w:val="BRL-TabelleberschriftAnhang"/>
              <w:ind w:left="0" w:right="0"/>
              <w:jc w:val="center"/>
              <w:rPr>
                <w:rFonts w:eastAsia="Calibri"/>
              </w:rPr>
            </w:pPr>
            <w:r w:rsidRPr="0009445C">
              <w:t>3</w:t>
            </w:r>
          </w:p>
        </w:tc>
      </w:tr>
      <w:tr w:rsidR="00E713B0" w:rsidRPr="0009445C" w14:paraId="113063EA" w14:textId="77777777" w:rsidTr="00E713B0">
        <w:tc>
          <w:tcPr>
            <w:tcW w:w="454" w:type="dxa"/>
          </w:tcPr>
          <w:p w14:paraId="1CA81F96" w14:textId="77777777" w:rsidR="00E713B0" w:rsidRPr="0009445C" w:rsidRDefault="00E713B0" w:rsidP="00E713B0">
            <w:pPr>
              <w:pStyle w:val="BRL-Tabelle"/>
              <w:spacing w:before="60" w:after="40"/>
              <w:jc w:val="center"/>
              <w:rPr>
                <w:rFonts w:eastAsia="Calibri"/>
                <w:b/>
              </w:rPr>
            </w:pPr>
            <w:r w:rsidRPr="0009445C">
              <w:rPr>
                <w:b/>
              </w:rPr>
              <w:t>1</w:t>
            </w:r>
          </w:p>
        </w:tc>
        <w:tc>
          <w:tcPr>
            <w:tcW w:w="3547" w:type="dxa"/>
            <w:shd w:val="clear" w:color="auto" w:fill="auto"/>
          </w:tcPr>
          <w:p w14:paraId="78D089EA" w14:textId="77777777" w:rsidR="00E713B0" w:rsidRPr="0009445C" w:rsidRDefault="00E713B0" w:rsidP="00E713B0">
            <w:pPr>
              <w:pStyle w:val="BRL-Tabelle"/>
              <w:spacing w:before="60" w:after="40"/>
              <w:rPr>
                <w:rFonts w:eastAsia="Calibri"/>
              </w:rPr>
            </w:pPr>
            <w:r w:rsidRPr="0009445C">
              <w:t>Fire-retardant</w:t>
            </w:r>
          </w:p>
        </w:tc>
        <w:tc>
          <w:tcPr>
            <w:tcW w:w="2693" w:type="dxa"/>
            <w:shd w:val="clear" w:color="auto" w:fill="auto"/>
          </w:tcPr>
          <w:p w14:paraId="7347E0B3" w14:textId="77777777" w:rsidR="00E713B0" w:rsidRPr="0009445C" w:rsidRDefault="00E713B0" w:rsidP="00E713B0">
            <w:pPr>
              <w:pStyle w:val="BRL-Tabelle-Spalte-mittig"/>
              <w:spacing w:before="60" w:after="40"/>
              <w:rPr>
                <w:rFonts w:eastAsia="Calibri"/>
              </w:rPr>
            </w:pPr>
            <w:r w:rsidRPr="0009445C">
              <w:t>S 30</w:t>
            </w:r>
          </w:p>
        </w:tc>
        <w:tc>
          <w:tcPr>
            <w:tcW w:w="2836" w:type="dxa"/>
            <w:shd w:val="clear" w:color="auto" w:fill="auto"/>
          </w:tcPr>
          <w:p w14:paraId="27841543" w14:textId="77777777" w:rsidR="00E713B0" w:rsidRPr="0009445C" w:rsidRDefault="00E713B0" w:rsidP="00E713B0">
            <w:pPr>
              <w:pStyle w:val="BRL-Tabelle-Spalte-mittig"/>
              <w:spacing w:before="60" w:after="40"/>
              <w:rPr>
                <w:rFonts w:eastAsia="Calibri"/>
              </w:rPr>
            </w:pPr>
            <w:r w:rsidRPr="0009445C">
              <w:t>R 30</w:t>
            </w:r>
          </w:p>
        </w:tc>
      </w:tr>
      <w:tr w:rsidR="00E713B0" w:rsidRPr="0009445C" w14:paraId="0AFCFE22" w14:textId="77777777" w:rsidTr="00E713B0">
        <w:tc>
          <w:tcPr>
            <w:tcW w:w="454" w:type="dxa"/>
          </w:tcPr>
          <w:p w14:paraId="0875C0CF" w14:textId="77777777" w:rsidR="00E713B0" w:rsidRPr="0009445C" w:rsidRDefault="00E713B0" w:rsidP="00E713B0">
            <w:pPr>
              <w:pStyle w:val="BRL-Tabelle"/>
              <w:spacing w:before="60" w:after="40"/>
              <w:jc w:val="center"/>
              <w:rPr>
                <w:rFonts w:eastAsia="Calibri"/>
                <w:b/>
              </w:rPr>
            </w:pPr>
            <w:r w:rsidRPr="0009445C">
              <w:rPr>
                <w:b/>
              </w:rPr>
              <w:t>2</w:t>
            </w:r>
          </w:p>
        </w:tc>
        <w:tc>
          <w:tcPr>
            <w:tcW w:w="3547" w:type="dxa"/>
            <w:shd w:val="clear" w:color="auto" w:fill="auto"/>
          </w:tcPr>
          <w:p w14:paraId="28726C8A" w14:textId="77777777" w:rsidR="00E713B0" w:rsidRPr="0009445C" w:rsidRDefault="00E713B0" w:rsidP="00E713B0">
            <w:pPr>
              <w:pStyle w:val="BRL-Tabelle"/>
              <w:spacing w:before="60" w:after="40"/>
              <w:rPr>
                <w:rFonts w:eastAsia="Calibri"/>
              </w:rPr>
            </w:pPr>
            <w:r w:rsidRPr="0009445C">
              <w:t>Highly fire-retardant</w:t>
            </w:r>
          </w:p>
        </w:tc>
        <w:tc>
          <w:tcPr>
            <w:tcW w:w="2693" w:type="dxa"/>
            <w:shd w:val="clear" w:color="auto" w:fill="auto"/>
          </w:tcPr>
          <w:p w14:paraId="48BAAB78" w14:textId="77777777" w:rsidR="00E713B0" w:rsidRPr="0009445C" w:rsidRDefault="00E713B0" w:rsidP="00E713B0">
            <w:pPr>
              <w:pStyle w:val="BRL-Tabelle-Spalte-mittig"/>
              <w:spacing w:before="60" w:after="40"/>
              <w:rPr>
                <w:rFonts w:eastAsia="Calibri"/>
              </w:rPr>
            </w:pPr>
            <w:r w:rsidRPr="0009445C">
              <w:t>S 60</w:t>
            </w:r>
          </w:p>
        </w:tc>
        <w:tc>
          <w:tcPr>
            <w:tcW w:w="2836" w:type="dxa"/>
            <w:shd w:val="clear" w:color="auto" w:fill="auto"/>
          </w:tcPr>
          <w:p w14:paraId="3C51036B" w14:textId="77777777" w:rsidR="00E713B0" w:rsidRPr="0009445C" w:rsidRDefault="00E713B0" w:rsidP="00E713B0">
            <w:pPr>
              <w:pStyle w:val="BRL-Tabelle-Spalte-mittig"/>
              <w:spacing w:before="60" w:after="40"/>
              <w:rPr>
                <w:rFonts w:eastAsia="Calibri"/>
              </w:rPr>
            </w:pPr>
            <w:r w:rsidRPr="0009445C">
              <w:t>R 60</w:t>
            </w:r>
          </w:p>
        </w:tc>
      </w:tr>
      <w:tr w:rsidR="00E713B0" w:rsidRPr="0009445C" w14:paraId="70364CFA" w14:textId="77777777" w:rsidTr="00E713B0">
        <w:tc>
          <w:tcPr>
            <w:tcW w:w="454" w:type="dxa"/>
          </w:tcPr>
          <w:p w14:paraId="26AE2529" w14:textId="77777777" w:rsidR="00E713B0" w:rsidRPr="0009445C" w:rsidRDefault="00E713B0" w:rsidP="00E713B0">
            <w:pPr>
              <w:pStyle w:val="BRL-Tabelle"/>
              <w:spacing w:before="60" w:after="40"/>
              <w:jc w:val="center"/>
              <w:rPr>
                <w:rFonts w:eastAsia="Calibri"/>
                <w:b/>
              </w:rPr>
            </w:pPr>
            <w:r w:rsidRPr="0009445C">
              <w:rPr>
                <w:b/>
              </w:rPr>
              <w:t>3</w:t>
            </w:r>
          </w:p>
        </w:tc>
        <w:tc>
          <w:tcPr>
            <w:tcW w:w="3547" w:type="dxa"/>
            <w:shd w:val="clear" w:color="auto" w:fill="auto"/>
          </w:tcPr>
          <w:p w14:paraId="01D46253" w14:textId="77777777" w:rsidR="00E713B0" w:rsidRPr="0009445C" w:rsidRDefault="00E713B0" w:rsidP="00E713B0">
            <w:pPr>
              <w:pStyle w:val="BRL-Tabelle"/>
              <w:spacing w:before="60" w:after="40"/>
              <w:rPr>
                <w:rFonts w:eastAsia="Calibri"/>
              </w:rPr>
            </w:pPr>
            <w:r w:rsidRPr="0009445C">
              <w:t>Fire-resistant</w:t>
            </w:r>
          </w:p>
        </w:tc>
        <w:tc>
          <w:tcPr>
            <w:tcW w:w="2693" w:type="dxa"/>
            <w:shd w:val="clear" w:color="auto" w:fill="auto"/>
          </w:tcPr>
          <w:p w14:paraId="4BCCC81E" w14:textId="77777777" w:rsidR="00E713B0" w:rsidRPr="0009445C" w:rsidRDefault="00E713B0" w:rsidP="00E713B0">
            <w:pPr>
              <w:pStyle w:val="BRL-Tabelle-Spalte-mittig"/>
              <w:spacing w:before="60" w:after="40"/>
              <w:rPr>
                <w:rFonts w:eastAsia="Calibri"/>
              </w:rPr>
            </w:pPr>
            <w:r w:rsidRPr="0009445C">
              <w:t>S 90</w:t>
            </w:r>
          </w:p>
        </w:tc>
        <w:tc>
          <w:tcPr>
            <w:tcW w:w="2836" w:type="dxa"/>
            <w:shd w:val="clear" w:color="auto" w:fill="auto"/>
          </w:tcPr>
          <w:p w14:paraId="0A26090F" w14:textId="77777777" w:rsidR="00E713B0" w:rsidRPr="0009445C" w:rsidRDefault="00E713B0" w:rsidP="00E713B0">
            <w:pPr>
              <w:pStyle w:val="BRL-Tabelle-Spalte-mittig"/>
              <w:spacing w:before="60" w:after="40"/>
              <w:rPr>
                <w:rFonts w:eastAsia="Calibri"/>
              </w:rPr>
            </w:pPr>
            <w:r w:rsidRPr="0009445C">
              <w:t>R 90</w:t>
            </w:r>
          </w:p>
        </w:tc>
      </w:tr>
      <w:tr w:rsidR="00E713B0" w:rsidRPr="0009445C" w14:paraId="2A87F238" w14:textId="77777777" w:rsidTr="00E713B0">
        <w:tc>
          <w:tcPr>
            <w:tcW w:w="454" w:type="dxa"/>
          </w:tcPr>
          <w:p w14:paraId="6E340C6D" w14:textId="77777777" w:rsidR="00E713B0" w:rsidRPr="0009445C" w:rsidRDefault="00E713B0" w:rsidP="00E713B0">
            <w:pPr>
              <w:pStyle w:val="BRL-Tabelle"/>
              <w:spacing w:before="60" w:after="40"/>
              <w:jc w:val="center"/>
              <w:rPr>
                <w:rFonts w:eastAsia="Calibri"/>
                <w:b/>
              </w:rPr>
            </w:pPr>
            <w:r w:rsidRPr="0009445C">
              <w:rPr>
                <w:b/>
              </w:rPr>
              <w:t>4</w:t>
            </w:r>
          </w:p>
        </w:tc>
        <w:tc>
          <w:tcPr>
            <w:tcW w:w="3547" w:type="dxa"/>
            <w:shd w:val="clear" w:color="auto" w:fill="auto"/>
          </w:tcPr>
          <w:p w14:paraId="5DCDAA4E" w14:textId="77777777" w:rsidR="00E713B0" w:rsidRPr="0009445C" w:rsidRDefault="00E713B0" w:rsidP="00E713B0">
            <w:pPr>
              <w:pStyle w:val="BRL-Tabelle"/>
              <w:spacing w:before="60" w:after="40"/>
              <w:rPr>
                <w:rFonts w:eastAsia="Calibri"/>
              </w:rPr>
            </w:pPr>
            <w:r w:rsidRPr="0009445C">
              <w:t>Fire resistance of 120 minutes</w:t>
            </w:r>
          </w:p>
        </w:tc>
        <w:tc>
          <w:tcPr>
            <w:tcW w:w="2693" w:type="dxa"/>
            <w:shd w:val="clear" w:color="auto" w:fill="auto"/>
          </w:tcPr>
          <w:p w14:paraId="360B6427" w14:textId="77777777" w:rsidR="00E713B0" w:rsidRPr="0009445C" w:rsidRDefault="00E713B0" w:rsidP="00E713B0">
            <w:pPr>
              <w:pStyle w:val="BRL-Tabelle-Spalte-mittig"/>
              <w:spacing w:before="60" w:after="40"/>
              <w:rPr>
                <w:rFonts w:eastAsia="Calibri"/>
              </w:rPr>
            </w:pPr>
            <w:r w:rsidRPr="0009445C">
              <w:t>S 120</w:t>
            </w:r>
          </w:p>
        </w:tc>
        <w:tc>
          <w:tcPr>
            <w:tcW w:w="2836" w:type="dxa"/>
            <w:shd w:val="clear" w:color="auto" w:fill="auto"/>
          </w:tcPr>
          <w:p w14:paraId="6E0E02A2" w14:textId="77777777" w:rsidR="00E713B0" w:rsidRPr="0009445C" w:rsidRDefault="00E713B0" w:rsidP="00E713B0">
            <w:pPr>
              <w:pStyle w:val="BRL-Tabelle-Spalte-mittig"/>
              <w:spacing w:before="60" w:after="40"/>
              <w:rPr>
                <w:rFonts w:eastAsia="Calibri"/>
              </w:rPr>
            </w:pPr>
            <w:r w:rsidRPr="0009445C">
              <w:t>R 120</w:t>
            </w:r>
          </w:p>
        </w:tc>
      </w:tr>
      <w:tr w:rsidR="00E713B0" w:rsidRPr="0009445C" w14:paraId="6B184EDB" w14:textId="77777777" w:rsidTr="00E713B0">
        <w:tc>
          <w:tcPr>
            <w:tcW w:w="454" w:type="dxa"/>
          </w:tcPr>
          <w:p w14:paraId="3C642171" w14:textId="77777777" w:rsidR="00E713B0" w:rsidRPr="0009445C" w:rsidRDefault="00E713B0" w:rsidP="00E713B0">
            <w:pPr>
              <w:pStyle w:val="BRL-Funote"/>
              <w:spacing w:before="120"/>
              <w:jc w:val="center"/>
              <w:rPr>
                <w:rFonts w:eastAsia="Calibri"/>
                <w:b/>
              </w:rPr>
            </w:pPr>
          </w:p>
        </w:tc>
        <w:tc>
          <w:tcPr>
            <w:tcW w:w="9076" w:type="dxa"/>
            <w:gridSpan w:val="3"/>
            <w:shd w:val="clear" w:color="auto" w:fill="auto"/>
          </w:tcPr>
          <w:p w14:paraId="6863B062" w14:textId="77777777" w:rsidR="00E713B0" w:rsidRPr="0009445C" w:rsidRDefault="00E713B0" w:rsidP="00E713B0">
            <w:pPr>
              <w:pStyle w:val="BRL-Funote"/>
              <w:spacing w:before="120"/>
              <w:rPr>
                <w:rFonts w:eastAsia="Calibri"/>
              </w:rPr>
            </w:pPr>
            <w:r w:rsidRPr="0009445C">
              <w:t>1</w:t>
            </w:r>
            <w:r w:rsidRPr="0009445C">
              <w:tab/>
              <w:t>Classification is permitted only if the fire test of the following is performed:</w:t>
            </w:r>
          </w:p>
          <w:p w14:paraId="5372929E" w14:textId="77777777" w:rsidR="00E713B0" w:rsidRPr="0009445C" w:rsidRDefault="00E713B0" w:rsidP="00E713B0">
            <w:pPr>
              <w:pStyle w:val="BRL-Funote"/>
              <w:rPr>
                <w:rFonts w:eastAsia="Calibri"/>
              </w:rPr>
            </w:pPr>
            <w:r w:rsidRPr="0009445C">
              <w:t>a)</w:t>
            </w:r>
            <w:r w:rsidRPr="0009445C">
              <w:tab/>
              <w:t xml:space="preserve">Preventative measures for flammable pipe passages and pipes with a melting point </w:t>
            </w:r>
            <w:r w:rsidRPr="0009445C">
              <w:sym w:font="Symbol" w:char="F03C"/>
            </w:r>
            <w:r w:rsidRPr="0009445C">
              <w:t xml:space="preserve"> 1000 °C where the pipe ends are open inside and outside of the test furnace. If the preventive measures are intended only for drinking water, heating and cooling pipes with diameters </w:t>
            </w:r>
            <w:r w:rsidRPr="0009445C">
              <w:sym w:font="Symbol" w:char="F0A3"/>
            </w:r>
            <w:r w:rsidRPr="0009445C">
              <w:t xml:space="preserve"> 110 mm, the pipe may optionally be closed outside the test furnace. </w:t>
            </w:r>
          </w:p>
          <w:p w14:paraId="6D6F8A44" w14:textId="77777777" w:rsidR="00E713B0" w:rsidRPr="0009445C" w:rsidRDefault="00E713B0" w:rsidP="00E713B0">
            <w:pPr>
              <w:pStyle w:val="BRL-Funote"/>
              <w:spacing w:after="120"/>
              <w:rPr>
                <w:rFonts w:eastAsia="Calibri"/>
              </w:rPr>
            </w:pPr>
            <w:r w:rsidRPr="0009445C">
              <w:t>b)</w:t>
            </w:r>
            <w:r w:rsidRPr="0009445C">
              <w:tab/>
              <w:t xml:space="preserve">Preventive measures for passages of non-combustible pipes with a melting point </w:t>
            </w:r>
            <w:r w:rsidRPr="0009445C">
              <w:sym w:font="Symbol" w:char="F0B3"/>
            </w:r>
            <w:r w:rsidRPr="0009445C">
              <w:t> 1000 °C (piping designed without connections of combustible pipes), the pipe ends used in the fire test are closed inside the test furnace and open outside (or optionally open on both sides).</w:t>
            </w:r>
          </w:p>
        </w:tc>
      </w:tr>
    </w:tbl>
    <w:p w14:paraId="1E962704" w14:textId="77777777" w:rsidR="00E713B0" w:rsidRPr="0009445C" w:rsidRDefault="00E713B0" w:rsidP="00E713B0">
      <w:pPr>
        <w:pStyle w:val="BRL-Standard"/>
      </w:pPr>
    </w:p>
    <w:p w14:paraId="016376E2" w14:textId="77777777" w:rsidR="00E713B0" w:rsidRPr="0009445C" w:rsidRDefault="00E713B0" w:rsidP="00E713B0">
      <w:pPr>
        <w:pStyle w:val="BRL-Standard"/>
      </w:pPr>
      <w:r w:rsidRPr="0009445C">
        <w:t xml:space="preserve">Note: </w:t>
      </w:r>
    </w:p>
    <w:p w14:paraId="5FD478F1" w14:textId="2730E1F0" w:rsidR="00E713B0" w:rsidRPr="0009445C" w:rsidRDefault="00E713B0" w:rsidP="00E713B0">
      <w:pPr>
        <w:pStyle w:val="BRL-Standard"/>
      </w:pPr>
      <w:r w:rsidRPr="0009445C">
        <w:t>In the absence of a technical best practice for the planning, designing and execution of preventive measures for cable and/or pipe passages using construction products based on harmonised technical specifications, proof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is required. </w:t>
      </w:r>
    </w:p>
    <w:p w14:paraId="7530A245" w14:textId="77777777" w:rsidR="00E713B0" w:rsidRPr="0009445C" w:rsidRDefault="00E713B0" w:rsidP="00E713B0">
      <w:pPr>
        <w:pStyle w:val="BRL-Standard"/>
      </w:pPr>
    </w:p>
    <w:p w14:paraId="65CE2BDF" w14:textId="77777777" w:rsidR="00E713B0" w:rsidRPr="0009445C" w:rsidRDefault="00E713B0" w:rsidP="00E713B0">
      <w:pPr>
        <w:pStyle w:val="BRL-Standard"/>
      </w:pPr>
      <w:r w:rsidRPr="0009445C">
        <w:t>Simplifications under the Technical Rule included in ser. No A 2.2.1.8 are not affected.</w:t>
      </w:r>
    </w:p>
    <w:p w14:paraId="3175FF20" w14:textId="77777777" w:rsidR="00E713B0" w:rsidRPr="0009445C" w:rsidRDefault="00E713B0" w:rsidP="00E713B0">
      <w:pPr>
        <w:pStyle w:val="BRL-Standard"/>
      </w:pPr>
    </w:p>
    <w:p w14:paraId="16C944CC" w14:textId="77777777" w:rsidR="00E713B0" w:rsidRPr="0009445C" w:rsidRDefault="00E713B0" w:rsidP="00600F53">
      <w:pPr>
        <w:pStyle w:val="BRL-berschrift"/>
      </w:pPr>
      <w:r w:rsidRPr="0009445C">
        <w:t>7</w:t>
      </w:r>
      <w:r w:rsidRPr="0009445C">
        <w:tab/>
        <w:t>Heat extraction devices in accordance with EN 12101-2:2003</w:t>
      </w:r>
      <w:bookmarkStart w:id="32" w:name="_Ref77317554"/>
      <w:r w:rsidRPr="0009445C">
        <w:rPr>
          <w:rStyle w:val="FootnoteReference"/>
        </w:rPr>
        <w:footnoteReference w:id="41"/>
      </w:r>
      <w:bookmarkEnd w:id="32"/>
      <w:r w:rsidRPr="0009445C">
        <w:t xml:space="preserve"> for use in roofs in shopping streets pursuant to the Model Retail Outlet Regulation [Muster-</w:t>
      </w:r>
      <w:proofErr w:type="spellStart"/>
      <w:r w:rsidRPr="0009445C">
        <w:t>Verkaufsstättenverordnung</w:t>
      </w:r>
      <w:proofErr w:type="spellEnd"/>
      <w:r w:rsidRPr="0009445C">
        <w:t>] and provisions on application and execution</w:t>
      </w:r>
    </w:p>
    <w:p w14:paraId="4260F53D" w14:textId="77777777" w:rsidR="00E713B0" w:rsidRPr="0009445C" w:rsidRDefault="00E713B0" w:rsidP="00E713B0">
      <w:pPr>
        <w:pStyle w:val="BRL-Anlage"/>
      </w:pPr>
      <w:r w:rsidRPr="0009445C">
        <w:t>Provisions on application and execution</w:t>
      </w:r>
    </w:p>
    <w:p w14:paraId="1CAD08AB" w14:textId="77777777" w:rsidR="00E713B0" w:rsidRPr="0009445C" w:rsidRDefault="00E713B0" w:rsidP="00E713B0">
      <w:pPr>
        <w:pStyle w:val="BRL-Standard"/>
      </w:pPr>
    </w:p>
    <w:p w14:paraId="353243FD" w14:textId="2A44065F" w:rsidR="00E713B0" w:rsidRPr="0009445C" w:rsidRDefault="00E713B0" w:rsidP="00E713B0">
      <w:pPr>
        <w:pStyle w:val="BRL-Standard"/>
      </w:pPr>
      <w:r w:rsidRPr="0009445C">
        <w:t>A 2.1.9 must be observed in respect of position and arrangement for the use of heat extraction devices as transparent areas in roof covering if the performance requirement under Section 7.5.2 of EN 12101</w:t>
      </w:r>
      <w:r w:rsidRPr="0009445C">
        <w:noBreakHyphen/>
        <w:t>2:2003</w:t>
      </w:r>
      <w:r w:rsidRPr="0009445C">
        <w:rPr>
          <w:rStyle w:val="FootnoteReference"/>
        </w:rPr>
        <w:fldChar w:fldCharType="begin"/>
      </w:r>
      <w:r w:rsidRPr="0009445C">
        <w:rPr>
          <w:rStyle w:val="FootnoteReference"/>
        </w:rPr>
        <w:instrText xml:space="preserve"> NOTEREF _Ref77317554 \h  \* MERGEFORMAT </w:instrText>
      </w:r>
      <w:r w:rsidRPr="0009445C">
        <w:rPr>
          <w:rStyle w:val="FootnoteReference"/>
        </w:rPr>
      </w:r>
      <w:r w:rsidRPr="0009445C">
        <w:rPr>
          <w:rStyle w:val="FootnoteReference"/>
        </w:rPr>
        <w:fldChar w:fldCharType="separate"/>
      </w:r>
      <w:r w:rsidR="0009445C" w:rsidRPr="0009445C">
        <w:rPr>
          <w:rStyle w:val="FootnoteReference"/>
        </w:rPr>
        <w:t>34</w:t>
      </w:r>
      <w:r w:rsidRPr="0009445C">
        <w:rPr>
          <w:rStyle w:val="FootnoteReference"/>
        </w:rPr>
        <w:fldChar w:fldCharType="end"/>
      </w:r>
      <w:r w:rsidRPr="0009445C">
        <w:t xml:space="preserve"> is not declared as being at least A2 – s1,d0; otherwise, proof must be provided pursuant to A. 2.1.9 for roof covering resistant to flying sparks and radiating heat (see Section 3, Table 3.2), or the building structure must observe the distances set out in § 32(2)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Use in transparent roof coverings that are permitted to be flame-resistant and that do not shed burning droplets is permitted if the performance requirement of Section 7.5.2 of EN 12101</w:t>
      </w:r>
      <w:r w:rsidRPr="0009445C">
        <w:noBreakHyphen/>
        <w:t>2:2003</w:t>
      </w:r>
      <w:r w:rsidRPr="0009445C">
        <w:rPr>
          <w:rStyle w:val="FootnoteReference"/>
        </w:rPr>
        <w:fldChar w:fldCharType="begin"/>
      </w:r>
      <w:r w:rsidRPr="0009445C">
        <w:rPr>
          <w:rStyle w:val="FootnoteReference"/>
        </w:rPr>
        <w:instrText xml:space="preserve"> NOTEREF _Ref77317554 \h  \* MERGEFORMAT </w:instrText>
      </w:r>
      <w:r w:rsidRPr="0009445C">
        <w:rPr>
          <w:rStyle w:val="FootnoteReference"/>
        </w:rPr>
      </w:r>
      <w:r w:rsidRPr="0009445C">
        <w:rPr>
          <w:rStyle w:val="FootnoteReference"/>
        </w:rPr>
        <w:fldChar w:fldCharType="separate"/>
      </w:r>
      <w:r w:rsidR="0009445C" w:rsidRPr="0009445C">
        <w:rPr>
          <w:rStyle w:val="FootnoteReference"/>
        </w:rPr>
        <w:t>34</w:t>
      </w:r>
      <w:r w:rsidRPr="0009445C">
        <w:rPr>
          <w:rStyle w:val="FootnoteReference"/>
        </w:rPr>
        <w:fldChar w:fldCharType="end"/>
      </w:r>
      <w:r w:rsidRPr="0009445C">
        <w:t xml:space="preserve"> is declared as being at least C – s2,d0.</w:t>
      </w:r>
    </w:p>
    <w:p w14:paraId="64671FC4" w14:textId="77777777" w:rsidR="00E713B0" w:rsidRPr="0009445C" w:rsidRDefault="00E713B0" w:rsidP="00E713B0">
      <w:pPr>
        <w:pStyle w:val="BRL-Standard"/>
      </w:pPr>
    </w:p>
    <w:p w14:paraId="633AA0C1" w14:textId="77777777" w:rsidR="00E713B0" w:rsidRPr="0009445C" w:rsidRDefault="00E713B0" w:rsidP="00600F53">
      <w:pPr>
        <w:pStyle w:val="BRL-Tabelleberschrift"/>
      </w:pPr>
      <w:r w:rsidRPr="0009445C">
        <w:lastRenderedPageBreak/>
        <w:t>Table 7:</w:t>
      </w:r>
      <w:r w:rsidRPr="0009445C">
        <w:tab/>
        <w:t>Minimum required performances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454"/>
        <w:gridCol w:w="3261"/>
        <w:gridCol w:w="5809"/>
      </w:tblGrid>
      <w:tr w:rsidR="00E713B0" w:rsidRPr="0009445C" w14:paraId="69B83B7C" w14:textId="77777777" w:rsidTr="00E713B0">
        <w:trPr>
          <w:cantSplit/>
          <w:trHeight w:val="362"/>
        </w:trPr>
        <w:tc>
          <w:tcPr>
            <w:tcW w:w="454" w:type="dxa"/>
            <w:vMerge w:val="restart"/>
            <w:shd w:val="clear" w:color="auto" w:fill="FFFFFF"/>
          </w:tcPr>
          <w:p w14:paraId="5B36044C" w14:textId="77777777" w:rsidR="00E713B0" w:rsidRPr="0009445C" w:rsidRDefault="00E713B0" w:rsidP="00600F53">
            <w:pPr>
              <w:pStyle w:val="BRL-Tabelleberschrift1Zeile"/>
            </w:pPr>
          </w:p>
        </w:tc>
        <w:tc>
          <w:tcPr>
            <w:tcW w:w="3261" w:type="dxa"/>
            <w:shd w:val="clear" w:color="auto" w:fill="FFFFFF"/>
          </w:tcPr>
          <w:p w14:paraId="424FBEF0" w14:textId="58AA9DC8" w:rsidR="00E713B0" w:rsidRPr="0009445C" w:rsidRDefault="00E713B0" w:rsidP="00600F53">
            <w:pPr>
              <w:pStyle w:val="BRL-Tabelleberschrift1Zeile"/>
            </w:pPr>
            <w:r w:rsidRPr="0009445C">
              <w:t>EN 12101-2:2003</w:t>
            </w:r>
            <w:r w:rsidRPr="0009445C">
              <w:rPr>
                <w:rStyle w:val="FootnoteReference"/>
              </w:rPr>
              <w:fldChar w:fldCharType="begin"/>
            </w:r>
            <w:r w:rsidRPr="0009445C">
              <w:rPr>
                <w:rStyle w:val="FootnoteReference"/>
              </w:rPr>
              <w:instrText xml:space="preserve"> NOTEREF _Ref77317554 \h  \* MERGEFORMAT </w:instrText>
            </w:r>
            <w:r w:rsidRPr="0009445C">
              <w:rPr>
                <w:rStyle w:val="FootnoteReference"/>
              </w:rPr>
            </w:r>
            <w:r w:rsidRPr="0009445C">
              <w:rPr>
                <w:rStyle w:val="FootnoteReference"/>
              </w:rPr>
              <w:fldChar w:fldCharType="separate"/>
            </w:r>
            <w:r w:rsidR="0009445C" w:rsidRPr="0009445C">
              <w:rPr>
                <w:rStyle w:val="FootnoteReference"/>
              </w:rPr>
              <w:t>34</w:t>
            </w:r>
            <w:r w:rsidRPr="0009445C">
              <w:rPr>
                <w:rStyle w:val="FootnoteReference"/>
              </w:rPr>
              <w:fldChar w:fldCharType="end"/>
            </w:r>
          </w:p>
        </w:tc>
        <w:tc>
          <w:tcPr>
            <w:tcW w:w="5809" w:type="dxa"/>
            <w:shd w:val="clear" w:color="auto" w:fill="FFFFFF"/>
          </w:tcPr>
          <w:p w14:paraId="085CC32D" w14:textId="77777777" w:rsidR="00E713B0" w:rsidRPr="0009445C" w:rsidRDefault="00E713B0" w:rsidP="00600F53">
            <w:pPr>
              <w:pStyle w:val="BRL-Tabelleberschrift1Zeile"/>
            </w:pPr>
            <w:r w:rsidRPr="0009445C">
              <w:t>Minimum required performances</w:t>
            </w:r>
          </w:p>
        </w:tc>
      </w:tr>
      <w:tr w:rsidR="00E713B0" w:rsidRPr="0009445C" w14:paraId="451EE847" w14:textId="77777777" w:rsidTr="00E713B0">
        <w:trPr>
          <w:cantSplit/>
        </w:trPr>
        <w:tc>
          <w:tcPr>
            <w:tcW w:w="454" w:type="dxa"/>
            <w:vMerge/>
            <w:shd w:val="clear" w:color="auto" w:fill="FFFFFF"/>
          </w:tcPr>
          <w:p w14:paraId="5BCEEF58" w14:textId="77777777" w:rsidR="00E713B0" w:rsidRPr="0009445C" w:rsidRDefault="00E713B0" w:rsidP="00600F53">
            <w:pPr>
              <w:pStyle w:val="BRL-Tabelleberschrift1Zeile"/>
            </w:pPr>
          </w:p>
        </w:tc>
        <w:tc>
          <w:tcPr>
            <w:tcW w:w="3261" w:type="dxa"/>
            <w:shd w:val="clear" w:color="auto" w:fill="FFFFFF"/>
          </w:tcPr>
          <w:p w14:paraId="2CC0E101" w14:textId="77777777" w:rsidR="00E713B0" w:rsidRPr="0009445C" w:rsidRDefault="00E713B0" w:rsidP="00600F53">
            <w:pPr>
              <w:pStyle w:val="BRL-Tabelleberschrift1Zeile"/>
            </w:pPr>
            <w:r w:rsidRPr="0009445C">
              <w:t>1</w:t>
            </w:r>
          </w:p>
        </w:tc>
        <w:tc>
          <w:tcPr>
            <w:tcW w:w="5809" w:type="dxa"/>
            <w:shd w:val="clear" w:color="auto" w:fill="FFFFFF"/>
          </w:tcPr>
          <w:p w14:paraId="7E84BBA0" w14:textId="77777777" w:rsidR="00E713B0" w:rsidRPr="0009445C" w:rsidRDefault="00E713B0" w:rsidP="00600F53">
            <w:pPr>
              <w:pStyle w:val="BRL-Tabelleberschrift1Zeile"/>
            </w:pPr>
            <w:r w:rsidRPr="0009445C">
              <w:t>2</w:t>
            </w:r>
          </w:p>
        </w:tc>
      </w:tr>
      <w:tr w:rsidR="00E713B0" w:rsidRPr="0009445C" w14:paraId="59722150" w14:textId="77777777" w:rsidTr="00E713B0">
        <w:trPr>
          <w:cantSplit/>
        </w:trPr>
        <w:tc>
          <w:tcPr>
            <w:tcW w:w="454" w:type="dxa"/>
            <w:shd w:val="clear" w:color="auto" w:fill="FFFFFF"/>
          </w:tcPr>
          <w:p w14:paraId="4DC1CF13" w14:textId="77777777" w:rsidR="00E713B0" w:rsidRPr="0009445C" w:rsidRDefault="00E713B0" w:rsidP="00E713B0">
            <w:pPr>
              <w:pStyle w:val="BRL-Tabelle"/>
              <w:spacing w:before="60" w:after="40"/>
              <w:ind w:left="113" w:right="113"/>
              <w:jc w:val="center"/>
              <w:rPr>
                <w:b/>
              </w:rPr>
            </w:pPr>
            <w:r w:rsidRPr="0009445C">
              <w:rPr>
                <w:b/>
              </w:rPr>
              <w:t>1</w:t>
            </w:r>
          </w:p>
        </w:tc>
        <w:tc>
          <w:tcPr>
            <w:tcW w:w="3261" w:type="dxa"/>
            <w:shd w:val="clear" w:color="auto" w:fill="FFFFFF"/>
          </w:tcPr>
          <w:p w14:paraId="1F31D93B" w14:textId="77777777" w:rsidR="00E713B0" w:rsidRPr="0009445C" w:rsidRDefault="00E713B0" w:rsidP="00E713B0">
            <w:pPr>
              <w:pStyle w:val="BRL-Tabelle"/>
              <w:spacing w:before="60" w:after="40"/>
              <w:ind w:left="113" w:right="113"/>
            </w:pPr>
            <w:r w:rsidRPr="0009445C">
              <w:t>4.1</w:t>
            </w:r>
          </w:p>
        </w:tc>
        <w:tc>
          <w:tcPr>
            <w:tcW w:w="5809" w:type="dxa"/>
            <w:shd w:val="clear" w:color="auto" w:fill="FFFFFF"/>
          </w:tcPr>
          <w:p w14:paraId="5667714B" w14:textId="77777777" w:rsidR="00E713B0" w:rsidRPr="0009445C" w:rsidRDefault="00E713B0" w:rsidP="00E713B0">
            <w:pPr>
              <w:pStyle w:val="BRL-Tabelle"/>
              <w:spacing w:before="60" w:after="40"/>
              <w:ind w:left="113" w:right="113"/>
            </w:pPr>
            <w:r w:rsidRPr="0009445C">
              <w:t>Thermocouple pursuant to 4.1.1 a) and manual release pursuant to 4.1.1 d)</w:t>
            </w:r>
          </w:p>
        </w:tc>
      </w:tr>
      <w:tr w:rsidR="00E713B0" w:rsidRPr="0009445C" w14:paraId="3B897E02" w14:textId="77777777" w:rsidTr="00E713B0">
        <w:trPr>
          <w:cantSplit/>
        </w:trPr>
        <w:tc>
          <w:tcPr>
            <w:tcW w:w="454" w:type="dxa"/>
            <w:shd w:val="clear" w:color="auto" w:fill="FFFFFF"/>
          </w:tcPr>
          <w:p w14:paraId="0A74D674" w14:textId="77777777" w:rsidR="00E713B0" w:rsidRPr="0009445C" w:rsidRDefault="00E713B0" w:rsidP="00E713B0">
            <w:pPr>
              <w:pStyle w:val="BRL-Tabelle"/>
              <w:spacing w:before="60" w:after="40"/>
              <w:ind w:left="113" w:right="113"/>
              <w:jc w:val="center"/>
              <w:rPr>
                <w:b/>
              </w:rPr>
            </w:pPr>
            <w:r w:rsidRPr="0009445C">
              <w:rPr>
                <w:b/>
              </w:rPr>
              <w:t>2</w:t>
            </w:r>
          </w:p>
        </w:tc>
        <w:tc>
          <w:tcPr>
            <w:tcW w:w="3261" w:type="dxa"/>
            <w:shd w:val="clear" w:color="auto" w:fill="FFFFFF"/>
          </w:tcPr>
          <w:p w14:paraId="3F53D231" w14:textId="77777777" w:rsidR="00E713B0" w:rsidRPr="0009445C" w:rsidRDefault="00E713B0" w:rsidP="00E713B0">
            <w:pPr>
              <w:pStyle w:val="BRL-Tabelle"/>
              <w:spacing w:before="60" w:after="40"/>
              <w:ind w:left="113" w:right="113"/>
            </w:pPr>
            <w:r w:rsidRPr="0009445C">
              <w:t>4.2</w:t>
            </w:r>
          </w:p>
        </w:tc>
        <w:tc>
          <w:tcPr>
            <w:tcW w:w="5809" w:type="dxa"/>
            <w:shd w:val="clear" w:color="auto" w:fill="FFFFFF"/>
          </w:tcPr>
          <w:p w14:paraId="0DB38888" w14:textId="77777777" w:rsidR="00E713B0" w:rsidRPr="0009445C" w:rsidRDefault="00E713B0" w:rsidP="00E713B0">
            <w:pPr>
              <w:pStyle w:val="BRL-Tabelle"/>
              <w:spacing w:before="60" w:after="40"/>
              <w:ind w:left="113" w:right="113"/>
            </w:pPr>
            <w:r w:rsidRPr="0009445C">
              <w:t>Fulfilled</w:t>
            </w:r>
          </w:p>
        </w:tc>
      </w:tr>
      <w:tr w:rsidR="00E713B0" w:rsidRPr="0009445C" w14:paraId="2D7ECFBE" w14:textId="77777777" w:rsidTr="00E713B0">
        <w:trPr>
          <w:cantSplit/>
        </w:trPr>
        <w:tc>
          <w:tcPr>
            <w:tcW w:w="454" w:type="dxa"/>
            <w:shd w:val="clear" w:color="auto" w:fill="FFFFFF"/>
          </w:tcPr>
          <w:p w14:paraId="24B3D9D6" w14:textId="77777777" w:rsidR="00E713B0" w:rsidRPr="0009445C" w:rsidRDefault="00E713B0" w:rsidP="00E713B0">
            <w:pPr>
              <w:pStyle w:val="BRL-Tabelle"/>
              <w:spacing w:before="60" w:after="40"/>
              <w:ind w:left="113" w:right="113"/>
              <w:jc w:val="center"/>
              <w:rPr>
                <w:b/>
              </w:rPr>
            </w:pPr>
            <w:r w:rsidRPr="0009445C">
              <w:rPr>
                <w:b/>
              </w:rPr>
              <w:t>3</w:t>
            </w:r>
          </w:p>
        </w:tc>
        <w:tc>
          <w:tcPr>
            <w:tcW w:w="3261" w:type="dxa"/>
            <w:shd w:val="clear" w:color="auto" w:fill="FFFFFF"/>
          </w:tcPr>
          <w:p w14:paraId="22B8A8AE" w14:textId="77777777" w:rsidR="00E713B0" w:rsidRPr="0009445C" w:rsidRDefault="00E713B0" w:rsidP="00E713B0">
            <w:pPr>
              <w:pStyle w:val="BRL-Tabelle"/>
              <w:spacing w:before="60" w:after="40"/>
              <w:ind w:left="113" w:right="113"/>
            </w:pPr>
            <w:r w:rsidRPr="0009445C">
              <w:t>4.4</w:t>
            </w:r>
          </w:p>
        </w:tc>
        <w:tc>
          <w:tcPr>
            <w:tcW w:w="5809" w:type="dxa"/>
            <w:shd w:val="clear" w:color="auto" w:fill="FFFFFF"/>
          </w:tcPr>
          <w:p w14:paraId="212BEF0F" w14:textId="77777777" w:rsidR="00E713B0" w:rsidRPr="0009445C" w:rsidRDefault="00E713B0" w:rsidP="00E713B0">
            <w:pPr>
              <w:pStyle w:val="BRL-Tabelle"/>
              <w:spacing w:before="60" w:after="40"/>
              <w:ind w:left="113" w:right="113"/>
            </w:pPr>
            <w:r w:rsidRPr="0009445C">
              <w:t>Specifications (m²), width ≥1.0 m</w:t>
            </w:r>
          </w:p>
        </w:tc>
      </w:tr>
      <w:tr w:rsidR="00E713B0" w:rsidRPr="0009445C" w14:paraId="16E47587" w14:textId="77777777" w:rsidTr="00E713B0">
        <w:trPr>
          <w:cantSplit/>
        </w:trPr>
        <w:tc>
          <w:tcPr>
            <w:tcW w:w="454" w:type="dxa"/>
            <w:shd w:val="clear" w:color="auto" w:fill="FFFFFF"/>
          </w:tcPr>
          <w:p w14:paraId="74F475D3" w14:textId="77777777" w:rsidR="00E713B0" w:rsidRPr="0009445C" w:rsidRDefault="00E713B0" w:rsidP="00E713B0">
            <w:pPr>
              <w:pStyle w:val="BRL-Tabelle"/>
              <w:spacing w:before="60" w:after="40"/>
              <w:ind w:left="113" w:right="113"/>
              <w:jc w:val="center"/>
              <w:rPr>
                <w:b/>
              </w:rPr>
            </w:pPr>
            <w:r w:rsidRPr="0009445C">
              <w:rPr>
                <w:b/>
              </w:rPr>
              <w:t>4</w:t>
            </w:r>
          </w:p>
        </w:tc>
        <w:tc>
          <w:tcPr>
            <w:tcW w:w="3261" w:type="dxa"/>
            <w:shd w:val="clear" w:color="auto" w:fill="FFFFFF"/>
          </w:tcPr>
          <w:p w14:paraId="61591CA2" w14:textId="77777777" w:rsidR="00E713B0" w:rsidRPr="0009445C" w:rsidRDefault="00E713B0" w:rsidP="00E713B0">
            <w:pPr>
              <w:pStyle w:val="BRL-Tabelle"/>
              <w:spacing w:before="60" w:after="40"/>
              <w:ind w:left="113" w:right="113"/>
            </w:pPr>
            <w:r w:rsidRPr="0009445C">
              <w:t>7.1.1</w:t>
            </w:r>
          </w:p>
        </w:tc>
        <w:tc>
          <w:tcPr>
            <w:tcW w:w="5809" w:type="dxa"/>
            <w:shd w:val="clear" w:color="auto" w:fill="FFFFFF"/>
          </w:tcPr>
          <w:p w14:paraId="32AC4BCB" w14:textId="77777777" w:rsidR="00E713B0" w:rsidRPr="0009445C" w:rsidRDefault="00E713B0" w:rsidP="00E713B0">
            <w:pPr>
              <w:pStyle w:val="BRL-Tabelle"/>
              <w:spacing w:before="60" w:after="40"/>
              <w:ind w:left="113" w:right="113"/>
            </w:pPr>
            <w:r w:rsidRPr="0009445C">
              <w:t>Re 50</w:t>
            </w:r>
          </w:p>
        </w:tc>
      </w:tr>
      <w:tr w:rsidR="00E713B0" w:rsidRPr="0009445C" w14:paraId="7BB3CDFD" w14:textId="77777777" w:rsidTr="00E713B0">
        <w:trPr>
          <w:cantSplit/>
        </w:trPr>
        <w:tc>
          <w:tcPr>
            <w:tcW w:w="454" w:type="dxa"/>
            <w:shd w:val="clear" w:color="auto" w:fill="FFFFFF"/>
          </w:tcPr>
          <w:p w14:paraId="557D7A28" w14:textId="77777777" w:rsidR="00E713B0" w:rsidRPr="0009445C" w:rsidRDefault="00E713B0" w:rsidP="00E713B0">
            <w:pPr>
              <w:pStyle w:val="BRL-Tabelle"/>
              <w:spacing w:before="60" w:after="40"/>
              <w:ind w:left="113" w:right="113"/>
              <w:jc w:val="center"/>
              <w:rPr>
                <w:b/>
              </w:rPr>
            </w:pPr>
            <w:r w:rsidRPr="0009445C">
              <w:rPr>
                <w:b/>
              </w:rPr>
              <w:t>5</w:t>
            </w:r>
          </w:p>
        </w:tc>
        <w:tc>
          <w:tcPr>
            <w:tcW w:w="3261" w:type="dxa"/>
            <w:shd w:val="clear" w:color="auto" w:fill="FFFFFF"/>
          </w:tcPr>
          <w:p w14:paraId="49C440A0" w14:textId="77777777" w:rsidR="00E713B0" w:rsidRPr="0009445C" w:rsidRDefault="00E713B0" w:rsidP="00E713B0">
            <w:pPr>
              <w:pStyle w:val="BRL-Tabelle"/>
              <w:spacing w:before="60" w:after="40"/>
              <w:ind w:left="113" w:right="113"/>
            </w:pPr>
            <w:r w:rsidRPr="0009445C">
              <w:t>7.1.3</w:t>
            </w:r>
          </w:p>
        </w:tc>
        <w:tc>
          <w:tcPr>
            <w:tcW w:w="5809" w:type="dxa"/>
            <w:shd w:val="clear" w:color="auto" w:fill="FFFFFF"/>
          </w:tcPr>
          <w:p w14:paraId="08F009C7" w14:textId="77777777" w:rsidR="00E713B0" w:rsidRPr="0009445C" w:rsidRDefault="00E713B0" w:rsidP="00E713B0">
            <w:pPr>
              <w:pStyle w:val="BRL-Tabelle"/>
              <w:spacing w:before="60" w:after="40"/>
              <w:ind w:left="113" w:right="113"/>
            </w:pPr>
            <w:r w:rsidRPr="0009445C">
              <w:t>Yes, if additional ventilation function</w:t>
            </w:r>
          </w:p>
        </w:tc>
      </w:tr>
      <w:tr w:rsidR="00E713B0" w:rsidRPr="0009445C" w14:paraId="331CB34A" w14:textId="77777777" w:rsidTr="00E713B0">
        <w:trPr>
          <w:cantSplit/>
        </w:trPr>
        <w:tc>
          <w:tcPr>
            <w:tcW w:w="454" w:type="dxa"/>
            <w:shd w:val="clear" w:color="auto" w:fill="FFFFFF"/>
          </w:tcPr>
          <w:p w14:paraId="3BF253AE" w14:textId="77777777" w:rsidR="00E713B0" w:rsidRPr="0009445C" w:rsidRDefault="00E713B0" w:rsidP="00E713B0">
            <w:pPr>
              <w:pStyle w:val="BRL-Tabelle"/>
              <w:spacing w:before="60" w:after="40"/>
              <w:ind w:left="113" w:right="113"/>
              <w:jc w:val="center"/>
              <w:rPr>
                <w:b/>
              </w:rPr>
            </w:pPr>
            <w:r w:rsidRPr="0009445C">
              <w:rPr>
                <w:b/>
              </w:rPr>
              <w:t>6</w:t>
            </w:r>
          </w:p>
        </w:tc>
        <w:tc>
          <w:tcPr>
            <w:tcW w:w="3261" w:type="dxa"/>
            <w:shd w:val="clear" w:color="auto" w:fill="FFFFFF"/>
          </w:tcPr>
          <w:p w14:paraId="5A80FBEC" w14:textId="77777777" w:rsidR="00E713B0" w:rsidRPr="0009445C" w:rsidRDefault="00E713B0" w:rsidP="00E713B0">
            <w:pPr>
              <w:pStyle w:val="BRL-Tabelle"/>
              <w:spacing w:before="60" w:after="40"/>
              <w:ind w:left="113" w:right="113"/>
            </w:pPr>
            <w:r w:rsidRPr="0009445C">
              <w:t>7.2.1.1</w:t>
            </w:r>
          </w:p>
        </w:tc>
        <w:tc>
          <w:tcPr>
            <w:tcW w:w="5809" w:type="dxa"/>
            <w:shd w:val="clear" w:color="auto" w:fill="FFFFFF"/>
          </w:tcPr>
          <w:p w14:paraId="214D720A" w14:textId="77777777" w:rsidR="00E713B0" w:rsidRPr="0009445C" w:rsidRDefault="00E713B0" w:rsidP="00E713B0">
            <w:pPr>
              <w:pStyle w:val="BRL-Tabelle"/>
              <w:spacing w:before="60" w:after="40"/>
              <w:ind w:left="113" w:right="113"/>
            </w:pPr>
            <w:r w:rsidRPr="0009445C">
              <w:t>SL 500</w:t>
            </w:r>
          </w:p>
        </w:tc>
      </w:tr>
      <w:tr w:rsidR="00E713B0" w:rsidRPr="0009445C" w14:paraId="5962BBA6" w14:textId="77777777" w:rsidTr="00E713B0">
        <w:trPr>
          <w:cantSplit/>
        </w:trPr>
        <w:tc>
          <w:tcPr>
            <w:tcW w:w="454" w:type="dxa"/>
            <w:shd w:val="clear" w:color="auto" w:fill="FFFFFF"/>
          </w:tcPr>
          <w:p w14:paraId="6F16E690" w14:textId="77777777" w:rsidR="00E713B0" w:rsidRPr="0009445C" w:rsidRDefault="00E713B0" w:rsidP="00E713B0">
            <w:pPr>
              <w:pStyle w:val="BRL-Tabelle"/>
              <w:spacing w:before="60" w:after="40"/>
              <w:ind w:left="113" w:right="113"/>
              <w:jc w:val="center"/>
              <w:rPr>
                <w:b/>
              </w:rPr>
            </w:pPr>
            <w:r w:rsidRPr="0009445C">
              <w:rPr>
                <w:b/>
              </w:rPr>
              <w:t>7</w:t>
            </w:r>
          </w:p>
        </w:tc>
        <w:tc>
          <w:tcPr>
            <w:tcW w:w="3261" w:type="dxa"/>
            <w:shd w:val="clear" w:color="auto" w:fill="FFFFFF"/>
          </w:tcPr>
          <w:p w14:paraId="5C98037E" w14:textId="77777777" w:rsidR="00E713B0" w:rsidRPr="0009445C" w:rsidRDefault="00E713B0" w:rsidP="00E713B0">
            <w:pPr>
              <w:pStyle w:val="BRL-Tabelle"/>
              <w:spacing w:before="60" w:after="40"/>
              <w:ind w:left="113" w:right="113"/>
            </w:pPr>
            <w:r w:rsidRPr="0009445C">
              <w:t>7.3.1</w:t>
            </w:r>
          </w:p>
        </w:tc>
        <w:tc>
          <w:tcPr>
            <w:tcW w:w="5809" w:type="dxa"/>
            <w:shd w:val="clear" w:color="auto" w:fill="FFFFFF"/>
          </w:tcPr>
          <w:p w14:paraId="4ECAE93D" w14:textId="77777777" w:rsidR="00E713B0" w:rsidRPr="0009445C" w:rsidRDefault="00E713B0" w:rsidP="00E713B0">
            <w:pPr>
              <w:pStyle w:val="BRL-Tabelle"/>
              <w:spacing w:before="60" w:after="40"/>
              <w:ind w:left="113" w:right="113"/>
            </w:pPr>
            <w:r w:rsidRPr="0009445C">
              <w:t>T (0)</w:t>
            </w:r>
          </w:p>
        </w:tc>
      </w:tr>
      <w:tr w:rsidR="00E713B0" w:rsidRPr="0009445C" w14:paraId="2E252A19" w14:textId="77777777" w:rsidTr="00E713B0">
        <w:trPr>
          <w:cantSplit/>
        </w:trPr>
        <w:tc>
          <w:tcPr>
            <w:tcW w:w="454" w:type="dxa"/>
            <w:shd w:val="clear" w:color="auto" w:fill="FFFFFF"/>
          </w:tcPr>
          <w:p w14:paraId="3BC5BE20" w14:textId="77777777" w:rsidR="00E713B0" w:rsidRPr="0009445C" w:rsidRDefault="00E713B0" w:rsidP="00E713B0">
            <w:pPr>
              <w:pStyle w:val="BRL-Tabelle"/>
              <w:spacing w:before="60" w:after="40"/>
              <w:ind w:left="113" w:right="113"/>
              <w:jc w:val="center"/>
              <w:rPr>
                <w:b/>
              </w:rPr>
            </w:pPr>
            <w:r w:rsidRPr="0009445C">
              <w:rPr>
                <w:b/>
              </w:rPr>
              <w:t>8</w:t>
            </w:r>
          </w:p>
        </w:tc>
        <w:tc>
          <w:tcPr>
            <w:tcW w:w="3261" w:type="dxa"/>
            <w:shd w:val="clear" w:color="auto" w:fill="FFFFFF"/>
          </w:tcPr>
          <w:p w14:paraId="2C1B9DE7" w14:textId="77777777" w:rsidR="00E713B0" w:rsidRPr="0009445C" w:rsidRDefault="00E713B0" w:rsidP="00E713B0">
            <w:pPr>
              <w:pStyle w:val="BRL-Tabelle"/>
              <w:spacing w:before="60" w:after="40"/>
              <w:ind w:left="113" w:right="113"/>
            </w:pPr>
            <w:r w:rsidRPr="0009445C">
              <w:t>7.4.1</w:t>
            </w:r>
          </w:p>
        </w:tc>
        <w:tc>
          <w:tcPr>
            <w:tcW w:w="5809" w:type="dxa"/>
            <w:shd w:val="clear" w:color="auto" w:fill="FFFFFF"/>
          </w:tcPr>
          <w:p w14:paraId="3A857D50" w14:textId="77777777" w:rsidR="00E713B0" w:rsidRPr="0009445C" w:rsidRDefault="00E713B0" w:rsidP="00E713B0">
            <w:pPr>
              <w:pStyle w:val="BRL-Tabelle"/>
              <w:spacing w:before="60" w:after="40"/>
              <w:ind w:left="113" w:right="113"/>
            </w:pPr>
            <w:r w:rsidRPr="0009445C">
              <w:t>WL 1 500</w:t>
            </w:r>
          </w:p>
        </w:tc>
      </w:tr>
      <w:tr w:rsidR="00E713B0" w:rsidRPr="0009445C" w14:paraId="58FE9AE9" w14:textId="77777777" w:rsidTr="00E713B0">
        <w:trPr>
          <w:cantSplit/>
        </w:trPr>
        <w:tc>
          <w:tcPr>
            <w:tcW w:w="454" w:type="dxa"/>
            <w:shd w:val="clear" w:color="auto" w:fill="FFFFFF"/>
          </w:tcPr>
          <w:p w14:paraId="62CCD839" w14:textId="77777777" w:rsidR="00E713B0" w:rsidRPr="0009445C" w:rsidRDefault="00E713B0" w:rsidP="00E713B0">
            <w:pPr>
              <w:pStyle w:val="BRL-Tabelle"/>
              <w:spacing w:before="60" w:after="40"/>
              <w:ind w:left="113" w:right="113"/>
              <w:jc w:val="center"/>
              <w:rPr>
                <w:b/>
              </w:rPr>
            </w:pPr>
            <w:r w:rsidRPr="0009445C">
              <w:rPr>
                <w:b/>
              </w:rPr>
              <w:t>9</w:t>
            </w:r>
          </w:p>
        </w:tc>
        <w:tc>
          <w:tcPr>
            <w:tcW w:w="3261" w:type="dxa"/>
            <w:shd w:val="clear" w:color="auto" w:fill="FFFFFF"/>
          </w:tcPr>
          <w:p w14:paraId="678FE60F" w14:textId="77777777" w:rsidR="00E713B0" w:rsidRPr="0009445C" w:rsidRDefault="00E713B0" w:rsidP="00E713B0">
            <w:pPr>
              <w:pStyle w:val="BRL-Tabelle"/>
              <w:spacing w:before="60" w:after="40"/>
              <w:ind w:left="113" w:right="113"/>
            </w:pPr>
            <w:r w:rsidRPr="0009445C">
              <w:t>7.5.1</w:t>
            </w:r>
          </w:p>
        </w:tc>
        <w:tc>
          <w:tcPr>
            <w:tcW w:w="5809" w:type="dxa"/>
            <w:shd w:val="clear" w:color="auto" w:fill="FFFFFF"/>
          </w:tcPr>
          <w:p w14:paraId="1679C81C" w14:textId="77777777" w:rsidR="00E713B0" w:rsidRPr="0009445C" w:rsidRDefault="00E713B0" w:rsidP="00E713B0">
            <w:pPr>
              <w:pStyle w:val="BRL-Tabelle"/>
              <w:spacing w:before="60" w:after="40"/>
              <w:ind w:left="113" w:right="113"/>
            </w:pPr>
            <w:r w:rsidRPr="0009445C">
              <w:t>B 300</w:t>
            </w:r>
          </w:p>
        </w:tc>
      </w:tr>
      <w:tr w:rsidR="00E713B0" w:rsidRPr="0009445C" w14:paraId="6018A588" w14:textId="77777777" w:rsidTr="00E713B0">
        <w:trPr>
          <w:cantSplit/>
        </w:trPr>
        <w:tc>
          <w:tcPr>
            <w:tcW w:w="454" w:type="dxa"/>
            <w:shd w:val="clear" w:color="auto" w:fill="FFFFFF"/>
          </w:tcPr>
          <w:p w14:paraId="3A89B416" w14:textId="77777777" w:rsidR="00E713B0" w:rsidRPr="0009445C" w:rsidRDefault="00E713B0" w:rsidP="00E713B0">
            <w:pPr>
              <w:pStyle w:val="BRL-Tabelle"/>
              <w:spacing w:before="60" w:after="40"/>
              <w:ind w:left="113" w:right="113"/>
              <w:jc w:val="center"/>
              <w:rPr>
                <w:b/>
              </w:rPr>
            </w:pPr>
            <w:r w:rsidRPr="0009445C">
              <w:rPr>
                <w:b/>
              </w:rPr>
              <w:t>10</w:t>
            </w:r>
          </w:p>
        </w:tc>
        <w:tc>
          <w:tcPr>
            <w:tcW w:w="3261" w:type="dxa"/>
            <w:shd w:val="clear" w:color="auto" w:fill="FFFFFF"/>
          </w:tcPr>
          <w:p w14:paraId="4FCE88DB" w14:textId="77777777" w:rsidR="00E713B0" w:rsidRPr="0009445C" w:rsidRDefault="00E713B0" w:rsidP="00E713B0">
            <w:pPr>
              <w:pStyle w:val="BRL-Tabelle"/>
              <w:spacing w:before="60" w:after="40"/>
              <w:ind w:left="113" w:right="113"/>
              <w:rPr>
                <w:b/>
              </w:rPr>
            </w:pPr>
            <w:r w:rsidRPr="0009445C">
              <w:t>7.5.2</w:t>
            </w:r>
          </w:p>
        </w:tc>
        <w:tc>
          <w:tcPr>
            <w:tcW w:w="5809" w:type="dxa"/>
            <w:shd w:val="clear" w:color="auto" w:fill="FFFFFF"/>
          </w:tcPr>
          <w:p w14:paraId="416523BB" w14:textId="77777777" w:rsidR="00E713B0" w:rsidRPr="0009445C" w:rsidRDefault="00E713B0" w:rsidP="00E713B0">
            <w:pPr>
              <w:pStyle w:val="BRL-Tabelle"/>
              <w:spacing w:before="60" w:after="40"/>
              <w:ind w:left="113" w:right="113"/>
            </w:pPr>
            <w:r w:rsidRPr="0009445C">
              <w:t>E – d2</w:t>
            </w:r>
          </w:p>
        </w:tc>
      </w:tr>
    </w:tbl>
    <w:p w14:paraId="2C934220" w14:textId="77777777" w:rsidR="00E713B0" w:rsidRPr="0009445C" w:rsidRDefault="00E713B0" w:rsidP="00E713B0"/>
    <w:p w14:paraId="285C98CC" w14:textId="77777777" w:rsidR="00E713B0" w:rsidRPr="0009445C" w:rsidRDefault="00E713B0" w:rsidP="00600F53">
      <w:pPr>
        <w:pStyle w:val="BRL-berschrift"/>
      </w:pPr>
      <w:r w:rsidRPr="0009445C">
        <w:t>8</w:t>
      </w:r>
      <w:r w:rsidRPr="0009445C">
        <w:tab/>
        <w:t>Service ducts and shafts, including their opening barriers</w:t>
      </w:r>
    </w:p>
    <w:p w14:paraId="035E956B" w14:textId="73DAEC28" w:rsidR="00E713B0" w:rsidRPr="0009445C" w:rsidRDefault="00E713B0" w:rsidP="00E713B0">
      <w:pPr>
        <w:pStyle w:val="BRL-Standard"/>
      </w:pPr>
      <w:r w:rsidRPr="0009445C">
        <w:t>In order to fulfil the structural requirements in A 2.1.14 when using construction products for installation shafts and ducts, including their openings, proof of the suitability of designs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the minimum required classes shall be as given in Section 8.1.</w:t>
      </w:r>
    </w:p>
    <w:p w14:paraId="5E96CC09" w14:textId="77777777" w:rsidR="00E713B0" w:rsidRPr="0009445C" w:rsidRDefault="00E713B0" w:rsidP="00E713B0">
      <w:pPr>
        <w:pStyle w:val="BRL-Standard"/>
      </w:pPr>
    </w:p>
    <w:p w14:paraId="5A1E6EE0" w14:textId="77777777" w:rsidR="00E713B0" w:rsidRPr="0009445C" w:rsidRDefault="00E713B0" w:rsidP="00E713B0">
      <w:pPr>
        <w:pStyle w:val="BRL-Standard"/>
      </w:pPr>
      <w:r w:rsidRPr="0009445C">
        <w:t>In order to comply with the building requirements in A 2.1.14, where construction products are used as service ducts for which harmonised technical specifications are available, the minimum required performance is set out in Section 8.2.</w:t>
      </w:r>
    </w:p>
    <w:p w14:paraId="5C908002" w14:textId="77777777" w:rsidR="00E713B0" w:rsidRPr="0009445C" w:rsidRDefault="00E713B0" w:rsidP="00E713B0">
      <w:pPr>
        <w:pStyle w:val="BRL-Standard"/>
      </w:pPr>
    </w:p>
    <w:p w14:paraId="2E8BB780" w14:textId="77777777" w:rsidR="00E713B0" w:rsidRPr="0009445C" w:rsidRDefault="00E713B0" w:rsidP="00600F53">
      <w:pPr>
        <w:pStyle w:val="BRL-berschrift"/>
        <w:rPr>
          <w:strike/>
        </w:rPr>
      </w:pPr>
      <w:r w:rsidRPr="0009445C">
        <w:t>8.1</w:t>
      </w:r>
      <w:r w:rsidRPr="0009445C">
        <w:tab/>
        <w:t xml:space="preserve">Service ducts and </w:t>
      </w:r>
      <w:r w:rsidRPr="0009445C">
        <w:noBreakHyphen/>
        <w:t>shafts, including their opening barriers</w:t>
      </w:r>
    </w:p>
    <w:p w14:paraId="410B7D1F" w14:textId="32218103" w:rsidR="00E713B0" w:rsidRPr="0009445C" w:rsidRDefault="00E713B0" w:rsidP="00E713B0">
      <w:pPr>
        <w:pStyle w:val="BRLTabelleberschrift"/>
        <w:spacing w:before="0" w:after="120"/>
      </w:pPr>
      <w:r w:rsidRPr="0009445C">
        <w:t>Table 8.1:</w:t>
      </w:r>
      <w:r w:rsidRPr="0009445C">
        <w:tab/>
        <w:t>Building approval requirements and classification of classes according to DIN 4102-11:1985-12</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449"/>
        <w:gridCol w:w="5245"/>
        <w:gridCol w:w="3378"/>
      </w:tblGrid>
      <w:tr w:rsidR="00E713B0" w:rsidRPr="0009445C" w14:paraId="74D275D6" w14:textId="77777777" w:rsidTr="00E713B0">
        <w:trPr>
          <w:cantSplit/>
        </w:trPr>
        <w:tc>
          <w:tcPr>
            <w:tcW w:w="454" w:type="dxa"/>
            <w:shd w:val="clear" w:color="auto" w:fill="FFFFFF"/>
          </w:tcPr>
          <w:p w14:paraId="70CBDD02" w14:textId="77777777" w:rsidR="00E713B0" w:rsidRPr="0009445C" w:rsidRDefault="00E713B0" w:rsidP="00E713B0">
            <w:pPr>
              <w:pStyle w:val="BRL-TabelleberschriftAnhang"/>
              <w:jc w:val="center"/>
            </w:pPr>
          </w:p>
        </w:tc>
        <w:tc>
          <w:tcPr>
            <w:tcW w:w="5529" w:type="dxa"/>
            <w:shd w:val="clear" w:color="auto" w:fill="FFFFFF"/>
          </w:tcPr>
          <w:p w14:paraId="57EA9242" w14:textId="77777777" w:rsidR="00E713B0" w:rsidRPr="0009445C" w:rsidRDefault="00E713B0" w:rsidP="00E713B0">
            <w:pPr>
              <w:pStyle w:val="BRL-TabelleberschriftAnhang"/>
            </w:pPr>
            <w:r w:rsidRPr="0009445C">
              <w:t>Building approval requirement</w:t>
            </w:r>
          </w:p>
        </w:tc>
        <w:tc>
          <w:tcPr>
            <w:tcW w:w="3541" w:type="dxa"/>
            <w:shd w:val="clear" w:color="auto" w:fill="FFFFFF"/>
          </w:tcPr>
          <w:p w14:paraId="5CF9C39E" w14:textId="77777777" w:rsidR="00E713B0" w:rsidRPr="0009445C" w:rsidRDefault="00E713B0" w:rsidP="00E713B0">
            <w:pPr>
              <w:pStyle w:val="BRL-TabelleberschriftAnhang"/>
            </w:pPr>
            <w:r w:rsidRPr="0009445C">
              <w:t>Minimum required classes according to DIN 4102-11:1985-12</w:t>
            </w:r>
          </w:p>
        </w:tc>
      </w:tr>
      <w:tr w:rsidR="00E713B0" w:rsidRPr="0009445C" w14:paraId="584D349F" w14:textId="77777777" w:rsidTr="00E713B0">
        <w:trPr>
          <w:cantSplit/>
        </w:trPr>
        <w:tc>
          <w:tcPr>
            <w:tcW w:w="454" w:type="dxa"/>
            <w:shd w:val="clear" w:color="auto" w:fill="FFFFFF"/>
          </w:tcPr>
          <w:p w14:paraId="48FF9318" w14:textId="77777777" w:rsidR="00E713B0" w:rsidRPr="0009445C" w:rsidRDefault="00E713B0" w:rsidP="00E713B0">
            <w:pPr>
              <w:pStyle w:val="BRL-TabelleberschriftAnhang"/>
              <w:jc w:val="center"/>
            </w:pPr>
          </w:p>
        </w:tc>
        <w:tc>
          <w:tcPr>
            <w:tcW w:w="5529" w:type="dxa"/>
            <w:shd w:val="clear" w:color="auto" w:fill="FFFFFF"/>
          </w:tcPr>
          <w:p w14:paraId="0FBADF68" w14:textId="77777777" w:rsidR="00E713B0" w:rsidRPr="0009445C" w:rsidRDefault="00E713B0" w:rsidP="00E713B0">
            <w:pPr>
              <w:pStyle w:val="BRL-TabelleberschriftAnhang"/>
              <w:jc w:val="center"/>
            </w:pPr>
            <w:r w:rsidRPr="0009445C">
              <w:t>1</w:t>
            </w:r>
          </w:p>
        </w:tc>
        <w:tc>
          <w:tcPr>
            <w:tcW w:w="3541" w:type="dxa"/>
            <w:shd w:val="clear" w:color="auto" w:fill="FFFFFF"/>
          </w:tcPr>
          <w:p w14:paraId="0F194A89" w14:textId="77777777" w:rsidR="00E713B0" w:rsidRPr="0009445C" w:rsidRDefault="00E713B0" w:rsidP="00E713B0">
            <w:pPr>
              <w:pStyle w:val="BRL-TabelleberschriftAnhang"/>
              <w:jc w:val="center"/>
            </w:pPr>
            <w:r w:rsidRPr="0009445C">
              <w:t>2</w:t>
            </w:r>
          </w:p>
        </w:tc>
      </w:tr>
      <w:tr w:rsidR="00E713B0" w:rsidRPr="0009445C" w14:paraId="01740343" w14:textId="77777777" w:rsidTr="00E713B0">
        <w:trPr>
          <w:cantSplit/>
        </w:trPr>
        <w:tc>
          <w:tcPr>
            <w:tcW w:w="454" w:type="dxa"/>
            <w:shd w:val="clear" w:color="auto" w:fill="FFFFFF"/>
          </w:tcPr>
          <w:p w14:paraId="24E8A336" w14:textId="77777777" w:rsidR="00E713B0" w:rsidRPr="0009445C" w:rsidRDefault="00E713B0" w:rsidP="00E713B0">
            <w:pPr>
              <w:pStyle w:val="BRL-Tabelle"/>
              <w:spacing w:before="60" w:after="40"/>
              <w:ind w:left="153" w:right="113"/>
              <w:jc w:val="center"/>
              <w:rPr>
                <w:b/>
              </w:rPr>
            </w:pPr>
            <w:r w:rsidRPr="0009445C">
              <w:rPr>
                <w:b/>
              </w:rPr>
              <w:t>1</w:t>
            </w:r>
          </w:p>
        </w:tc>
        <w:tc>
          <w:tcPr>
            <w:tcW w:w="5529" w:type="dxa"/>
            <w:shd w:val="clear" w:color="auto" w:fill="FFFFFF"/>
          </w:tcPr>
          <w:p w14:paraId="0BCA143B" w14:textId="77777777" w:rsidR="00E713B0" w:rsidRPr="0009445C" w:rsidRDefault="00E713B0" w:rsidP="00E713B0">
            <w:pPr>
              <w:pStyle w:val="BRL-Tabelle"/>
              <w:spacing w:before="60" w:after="40"/>
              <w:ind w:left="153" w:right="113"/>
            </w:pPr>
            <w:r w:rsidRPr="0009445C">
              <w:t>Fire-retardant and made of non-combustible building materials</w:t>
            </w:r>
          </w:p>
        </w:tc>
        <w:tc>
          <w:tcPr>
            <w:tcW w:w="3541" w:type="dxa"/>
            <w:shd w:val="clear" w:color="auto" w:fill="FFFFFF"/>
          </w:tcPr>
          <w:p w14:paraId="6276C518" w14:textId="77777777" w:rsidR="00E713B0" w:rsidRPr="0009445C" w:rsidRDefault="00E713B0" w:rsidP="00E713B0">
            <w:pPr>
              <w:pStyle w:val="BRL-Tabelle-Spalte-mittig"/>
              <w:spacing w:before="60" w:after="40"/>
              <w:ind w:left="153" w:right="113"/>
              <w:jc w:val="left"/>
            </w:pPr>
            <w:r w:rsidRPr="0009445C">
              <w:t>I 30</w:t>
            </w:r>
          </w:p>
        </w:tc>
      </w:tr>
      <w:tr w:rsidR="00E713B0" w:rsidRPr="0009445C" w14:paraId="060E2E2F" w14:textId="77777777" w:rsidTr="00E713B0">
        <w:trPr>
          <w:cantSplit/>
        </w:trPr>
        <w:tc>
          <w:tcPr>
            <w:tcW w:w="454" w:type="dxa"/>
            <w:shd w:val="clear" w:color="auto" w:fill="FFFFFF"/>
          </w:tcPr>
          <w:p w14:paraId="5AADD723" w14:textId="77777777" w:rsidR="00E713B0" w:rsidRPr="0009445C" w:rsidRDefault="00E713B0" w:rsidP="00E713B0">
            <w:pPr>
              <w:pStyle w:val="BRL-Tabelle"/>
              <w:spacing w:before="60" w:after="40"/>
              <w:ind w:left="153" w:right="113"/>
              <w:jc w:val="center"/>
              <w:rPr>
                <w:b/>
              </w:rPr>
            </w:pPr>
            <w:r w:rsidRPr="0009445C">
              <w:rPr>
                <w:b/>
              </w:rPr>
              <w:t>2</w:t>
            </w:r>
          </w:p>
        </w:tc>
        <w:tc>
          <w:tcPr>
            <w:tcW w:w="5529" w:type="dxa"/>
            <w:shd w:val="clear" w:color="auto" w:fill="FFFFFF"/>
          </w:tcPr>
          <w:p w14:paraId="5A234397" w14:textId="77777777" w:rsidR="00E713B0" w:rsidRPr="0009445C" w:rsidRDefault="00E713B0" w:rsidP="00E713B0">
            <w:pPr>
              <w:pStyle w:val="BRL-Tabelle"/>
              <w:spacing w:before="60" w:after="40"/>
              <w:ind w:left="153" w:right="113"/>
            </w:pPr>
            <w:r w:rsidRPr="0009445C">
              <w:t>Highly fire-retardant and made of non-combustible building materials</w:t>
            </w:r>
          </w:p>
        </w:tc>
        <w:tc>
          <w:tcPr>
            <w:tcW w:w="3541" w:type="dxa"/>
            <w:shd w:val="clear" w:color="auto" w:fill="FFFFFF"/>
          </w:tcPr>
          <w:p w14:paraId="15E4D00D" w14:textId="77777777" w:rsidR="00E713B0" w:rsidRPr="0009445C" w:rsidRDefault="00E713B0" w:rsidP="00E713B0">
            <w:pPr>
              <w:pStyle w:val="BRL-Tabelle-Spalte-mittig"/>
              <w:spacing w:before="60" w:after="40"/>
              <w:ind w:left="153" w:right="113"/>
              <w:jc w:val="left"/>
            </w:pPr>
            <w:r w:rsidRPr="0009445C">
              <w:t>I 60</w:t>
            </w:r>
          </w:p>
        </w:tc>
      </w:tr>
      <w:tr w:rsidR="00E713B0" w:rsidRPr="0009445C" w14:paraId="2C630EEE" w14:textId="77777777" w:rsidTr="00E713B0">
        <w:trPr>
          <w:cantSplit/>
        </w:trPr>
        <w:tc>
          <w:tcPr>
            <w:tcW w:w="454" w:type="dxa"/>
            <w:shd w:val="clear" w:color="auto" w:fill="FFFFFF"/>
          </w:tcPr>
          <w:p w14:paraId="690E8209" w14:textId="77777777" w:rsidR="00E713B0" w:rsidRPr="0009445C" w:rsidRDefault="00E713B0" w:rsidP="00E713B0">
            <w:pPr>
              <w:pStyle w:val="BRL-Tabelle"/>
              <w:spacing w:before="60" w:after="40"/>
              <w:ind w:left="153" w:right="113"/>
              <w:jc w:val="center"/>
              <w:rPr>
                <w:b/>
              </w:rPr>
            </w:pPr>
            <w:r w:rsidRPr="0009445C">
              <w:rPr>
                <w:b/>
              </w:rPr>
              <w:t>3</w:t>
            </w:r>
          </w:p>
        </w:tc>
        <w:tc>
          <w:tcPr>
            <w:tcW w:w="5529" w:type="dxa"/>
            <w:shd w:val="clear" w:color="auto" w:fill="FFFFFF"/>
          </w:tcPr>
          <w:p w14:paraId="6C9F7F9D" w14:textId="77777777" w:rsidR="00E713B0" w:rsidRPr="0009445C" w:rsidRDefault="00E713B0" w:rsidP="00E713B0">
            <w:pPr>
              <w:pStyle w:val="BRL-Tabelle"/>
              <w:spacing w:before="60" w:after="40"/>
              <w:ind w:left="153" w:right="113"/>
            </w:pPr>
            <w:r w:rsidRPr="0009445C">
              <w:t>Fire-resistant and made of non-combustible building materials</w:t>
            </w:r>
          </w:p>
        </w:tc>
        <w:tc>
          <w:tcPr>
            <w:tcW w:w="3541" w:type="dxa"/>
            <w:shd w:val="clear" w:color="auto" w:fill="FFFFFF"/>
          </w:tcPr>
          <w:p w14:paraId="3DEF9CE7" w14:textId="77777777" w:rsidR="00E713B0" w:rsidRPr="0009445C" w:rsidRDefault="00E713B0" w:rsidP="00E713B0">
            <w:pPr>
              <w:pStyle w:val="BRL-Tabelle-Spalte-mittig"/>
              <w:spacing w:before="60" w:after="40"/>
              <w:ind w:left="153" w:right="113"/>
              <w:jc w:val="left"/>
            </w:pPr>
            <w:r w:rsidRPr="0009445C">
              <w:t>I 90</w:t>
            </w:r>
          </w:p>
        </w:tc>
      </w:tr>
      <w:tr w:rsidR="00E713B0" w:rsidRPr="0009445C" w14:paraId="17408D60" w14:textId="77777777" w:rsidTr="00E713B0">
        <w:trPr>
          <w:cantSplit/>
        </w:trPr>
        <w:tc>
          <w:tcPr>
            <w:tcW w:w="454" w:type="dxa"/>
            <w:shd w:val="clear" w:color="auto" w:fill="FFFFFF"/>
          </w:tcPr>
          <w:p w14:paraId="6F407F19" w14:textId="77777777" w:rsidR="00E713B0" w:rsidRPr="0009445C" w:rsidRDefault="00E713B0" w:rsidP="00E713B0">
            <w:pPr>
              <w:pStyle w:val="BRL-Tabelle"/>
              <w:spacing w:before="60" w:after="40"/>
              <w:ind w:left="153" w:right="113"/>
              <w:jc w:val="center"/>
              <w:rPr>
                <w:b/>
              </w:rPr>
            </w:pPr>
            <w:r w:rsidRPr="0009445C">
              <w:rPr>
                <w:b/>
              </w:rPr>
              <w:t>4</w:t>
            </w:r>
          </w:p>
        </w:tc>
        <w:tc>
          <w:tcPr>
            <w:tcW w:w="5529" w:type="dxa"/>
            <w:shd w:val="clear" w:color="auto" w:fill="FFFFFF"/>
          </w:tcPr>
          <w:p w14:paraId="1858DC98" w14:textId="77777777" w:rsidR="00E713B0" w:rsidRPr="0009445C" w:rsidRDefault="00E713B0" w:rsidP="00E713B0">
            <w:pPr>
              <w:pStyle w:val="BRL-Tabelle"/>
              <w:spacing w:before="60" w:after="40"/>
              <w:ind w:left="153" w:right="113"/>
              <w:rPr>
                <w:b/>
              </w:rPr>
            </w:pPr>
            <w:r w:rsidRPr="0009445C">
              <w:t>Fire resistance of 120 minutes and made of non-combustible building materials</w:t>
            </w:r>
          </w:p>
        </w:tc>
        <w:tc>
          <w:tcPr>
            <w:tcW w:w="3541" w:type="dxa"/>
            <w:shd w:val="clear" w:color="auto" w:fill="FFFFFF"/>
          </w:tcPr>
          <w:p w14:paraId="24136619" w14:textId="77777777" w:rsidR="00E713B0" w:rsidRPr="0009445C" w:rsidRDefault="00E713B0" w:rsidP="00E713B0">
            <w:pPr>
              <w:pStyle w:val="BRL-Tabelle-Spalte-mittig"/>
              <w:spacing w:before="60" w:after="40"/>
              <w:ind w:left="153" w:right="113"/>
              <w:jc w:val="left"/>
              <w:rPr>
                <w:b/>
              </w:rPr>
            </w:pPr>
            <w:r w:rsidRPr="0009445C">
              <w:t>I 120</w:t>
            </w:r>
          </w:p>
        </w:tc>
      </w:tr>
    </w:tbl>
    <w:p w14:paraId="227C4982" w14:textId="77777777" w:rsidR="00E713B0" w:rsidRPr="0009445C" w:rsidRDefault="00E713B0" w:rsidP="00E713B0"/>
    <w:p w14:paraId="580B27B2" w14:textId="77777777" w:rsidR="00007636" w:rsidRPr="0009445C" w:rsidRDefault="00007636">
      <w:pPr>
        <w:spacing w:after="200" w:line="276" w:lineRule="auto"/>
        <w:rPr>
          <w:b/>
          <w:bCs/>
          <w:szCs w:val="16"/>
        </w:rPr>
      </w:pPr>
      <w:r w:rsidRPr="0009445C">
        <w:br w:type="page"/>
      </w:r>
    </w:p>
    <w:p w14:paraId="151CCB75" w14:textId="132D9DCB" w:rsidR="00E713B0" w:rsidRPr="0009445C" w:rsidRDefault="00E713B0" w:rsidP="00600F53">
      <w:pPr>
        <w:pStyle w:val="BRL-berschrift"/>
      </w:pPr>
      <w:r w:rsidRPr="0009445C">
        <w:lastRenderedPageBreak/>
        <w:t>8.2</w:t>
      </w:r>
      <w:r w:rsidRPr="0009445C">
        <w:tab/>
        <w:t>Construction products for service shafts made of prefabricated fittings and accessories according to EAD 350003-00</w:t>
      </w:r>
      <w:r w:rsidRPr="0009445C">
        <w:noBreakHyphen/>
        <w:t>1109</w:t>
      </w:r>
    </w:p>
    <w:p w14:paraId="0CB60912" w14:textId="7C143DD7" w:rsidR="00E713B0" w:rsidRPr="0009445C" w:rsidRDefault="00E713B0" w:rsidP="00E713B0">
      <w:pPr>
        <w:pStyle w:val="BRLTabelleberschrift"/>
        <w:spacing w:before="0" w:after="120"/>
      </w:pPr>
      <w:r w:rsidRPr="0009445C">
        <w:t>Table 8.2:</w:t>
      </w:r>
      <w:r w:rsidRPr="0009445C">
        <w:tab/>
        <w:t>Building approval requirements and minimum required performances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510"/>
        <w:gridCol w:w="2915"/>
        <w:gridCol w:w="3471"/>
        <w:gridCol w:w="2176"/>
      </w:tblGrid>
      <w:tr w:rsidR="00E713B0" w:rsidRPr="0009445C" w14:paraId="7BDF5BFC" w14:textId="77777777" w:rsidTr="00E713B0">
        <w:trPr>
          <w:cantSplit/>
          <w:tblHeader/>
          <w:jc w:val="center"/>
        </w:trPr>
        <w:tc>
          <w:tcPr>
            <w:tcW w:w="510" w:type="dxa"/>
            <w:vMerge w:val="restart"/>
            <w:shd w:val="clear" w:color="auto" w:fill="FFFFFF"/>
          </w:tcPr>
          <w:p w14:paraId="3E86A88B" w14:textId="77777777" w:rsidR="00E713B0" w:rsidRPr="0009445C" w:rsidRDefault="00E713B0" w:rsidP="00E713B0">
            <w:pPr>
              <w:pStyle w:val="BRL-TabelleberschriftAnhang"/>
              <w:jc w:val="center"/>
            </w:pPr>
          </w:p>
        </w:tc>
        <w:tc>
          <w:tcPr>
            <w:tcW w:w="2915" w:type="dxa"/>
            <w:vMerge w:val="restart"/>
            <w:shd w:val="clear" w:color="auto" w:fill="FFFFFF"/>
          </w:tcPr>
          <w:p w14:paraId="4EFCAE64" w14:textId="77777777" w:rsidR="00E713B0" w:rsidRPr="0009445C" w:rsidDel="00123E69" w:rsidRDefault="00E713B0" w:rsidP="00E713B0">
            <w:pPr>
              <w:pStyle w:val="BRL-TabelleberschriftAnhang"/>
            </w:pPr>
            <w:r w:rsidRPr="0009445C">
              <w:t>Building approval requirement</w:t>
            </w:r>
          </w:p>
        </w:tc>
        <w:tc>
          <w:tcPr>
            <w:tcW w:w="5647" w:type="dxa"/>
            <w:gridSpan w:val="2"/>
            <w:shd w:val="clear" w:color="auto" w:fill="FFFFFF"/>
          </w:tcPr>
          <w:p w14:paraId="4EBB209F" w14:textId="77777777" w:rsidR="00E713B0" w:rsidRPr="0009445C" w:rsidRDefault="00E713B0" w:rsidP="00E713B0">
            <w:pPr>
              <w:pStyle w:val="BRL-TabelleberschriftAnhang"/>
            </w:pPr>
            <w:r w:rsidRPr="0009445C">
              <w:t>Minimum required performances</w:t>
            </w:r>
          </w:p>
        </w:tc>
      </w:tr>
      <w:tr w:rsidR="00E713B0" w:rsidRPr="0009445C" w14:paraId="340AB305" w14:textId="77777777" w:rsidTr="00E713B0">
        <w:trPr>
          <w:cantSplit/>
          <w:tblHeader/>
          <w:jc w:val="center"/>
        </w:trPr>
        <w:tc>
          <w:tcPr>
            <w:tcW w:w="510" w:type="dxa"/>
            <w:vMerge/>
            <w:shd w:val="clear" w:color="auto" w:fill="FFFFFF"/>
          </w:tcPr>
          <w:p w14:paraId="42D8C5C9" w14:textId="77777777" w:rsidR="00E713B0" w:rsidRPr="0009445C" w:rsidRDefault="00E713B0" w:rsidP="00E713B0">
            <w:pPr>
              <w:pStyle w:val="BRL-TabelleberschriftAnhang"/>
              <w:jc w:val="center"/>
            </w:pPr>
          </w:p>
        </w:tc>
        <w:tc>
          <w:tcPr>
            <w:tcW w:w="2915" w:type="dxa"/>
            <w:vMerge/>
            <w:shd w:val="clear" w:color="auto" w:fill="FFFFFF"/>
          </w:tcPr>
          <w:p w14:paraId="112897F3" w14:textId="77777777" w:rsidR="00E713B0" w:rsidRPr="0009445C" w:rsidRDefault="00E713B0" w:rsidP="00E713B0">
            <w:pPr>
              <w:pStyle w:val="BRL-TabelleberschriftAnhang"/>
            </w:pPr>
          </w:p>
        </w:tc>
        <w:tc>
          <w:tcPr>
            <w:tcW w:w="3471" w:type="dxa"/>
            <w:shd w:val="clear" w:color="auto" w:fill="FFFFFF"/>
          </w:tcPr>
          <w:p w14:paraId="5D59F647" w14:textId="77777777" w:rsidR="00E713B0" w:rsidRPr="0009445C" w:rsidRDefault="00E713B0" w:rsidP="00E713B0">
            <w:pPr>
              <w:pStyle w:val="BRL-TabelleberschriftAnhang"/>
            </w:pPr>
            <w:r w:rsidRPr="0009445C">
              <w:t>Fire resistance</w:t>
            </w:r>
          </w:p>
        </w:tc>
        <w:tc>
          <w:tcPr>
            <w:tcW w:w="2176" w:type="dxa"/>
            <w:shd w:val="clear" w:color="auto" w:fill="FFFFFF"/>
          </w:tcPr>
          <w:p w14:paraId="5F49FA0D" w14:textId="77777777" w:rsidR="00E713B0" w:rsidRPr="0009445C" w:rsidRDefault="00E713B0" w:rsidP="00E713B0">
            <w:pPr>
              <w:pStyle w:val="BRL-TabelleberschriftAnhang"/>
            </w:pPr>
            <w:r w:rsidRPr="0009445C">
              <w:t>Fire performance</w:t>
            </w:r>
          </w:p>
        </w:tc>
      </w:tr>
      <w:tr w:rsidR="00E713B0" w:rsidRPr="0009445C" w14:paraId="628FD9C6" w14:textId="77777777" w:rsidTr="00E713B0">
        <w:trPr>
          <w:cantSplit/>
          <w:tblHeader/>
          <w:jc w:val="center"/>
        </w:trPr>
        <w:tc>
          <w:tcPr>
            <w:tcW w:w="510" w:type="dxa"/>
            <w:shd w:val="clear" w:color="auto" w:fill="FFFFFF"/>
          </w:tcPr>
          <w:p w14:paraId="198288AE" w14:textId="77777777" w:rsidR="00E713B0" w:rsidRPr="0009445C" w:rsidRDefault="00E713B0" w:rsidP="00E713B0">
            <w:pPr>
              <w:pStyle w:val="BRL-TabelleberschriftAnhang"/>
              <w:jc w:val="center"/>
            </w:pPr>
          </w:p>
        </w:tc>
        <w:tc>
          <w:tcPr>
            <w:tcW w:w="2915" w:type="dxa"/>
            <w:shd w:val="clear" w:color="auto" w:fill="FFFFFF"/>
          </w:tcPr>
          <w:p w14:paraId="3FC24816" w14:textId="77777777" w:rsidR="00E713B0" w:rsidRPr="0009445C" w:rsidRDefault="00E713B0" w:rsidP="00E713B0">
            <w:pPr>
              <w:pStyle w:val="BRL-TabelleberschriftAnhang"/>
              <w:jc w:val="center"/>
            </w:pPr>
            <w:r w:rsidRPr="0009445C">
              <w:t>1</w:t>
            </w:r>
          </w:p>
        </w:tc>
        <w:tc>
          <w:tcPr>
            <w:tcW w:w="3471" w:type="dxa"/>
            <w:shd w:val="clear" w:color="auto" w:fill="FFFFFF"/>
          </w:tcPr>
          <w:p w14:paraId="1B545BC5" w14:textId="77777777" w:rsidR="00E713B0" w:rsidRPr="0009445C" w:rsidRDefault="00E713B0" w:rsidP="00E713B0">
            <w:pPr>
              <w:pStyle w:val="BRL-TabelleberschriftAnhang"/>
              <w:jc w:val="center"/>
            </w:pPr>
            <w:r w:rsidRPr="0009445C">
              <w:t>2</w:t>
            </w:r>
          </w:p>
        </w:tc>
        <w:tc>
          <w:tcPr>
            <w:tcW w:w="2176" w:type="dxa"/>
            <w:shd w:val="clear" w:color="auto" w:fill="FFFFFF"/>
          </w:tcPr>
          <w:p w14:paraId="0E515E00" w14:textId="77777777" w:rsidR="00E713B0" w:rsidRPr="0009445C" w:rsidRDefault="00E713B0" w:rsidP="00E713B0">
            <w:pPr>
              <w:pStyle w:val="BRL-TabelleberschriftAnhang"/>
              <w:jc w:val="center"/>
            </w:pPr>
            <w:r w:rsidRPr="0009445C">
              <w:t>3</w:t>
            </w:r>
          </w:p>
        </w:tc>
      </w:tr>
      <w:tr w:rsidR="00E713B0" w:rsidRPr="0009445C" w14:paraId="2CC2EE94" w14:textId="77777777" w:rsidTr="00E713B0">
        <w:trPr>
          <w:cantSplit/>
          <w:tblHeader/>
          <w:jc w:val="center"/>
        </w:trPr>
        <w:tc>
          <w:tcPr>
            <w:tcW w:w="510" w:type="dxa"/>
            <w:shd w:val="clear" w:color="auto" w:fill="FFFFFF"/>
          </w:tcPr>
          <w:p w14:paraId="43A26E7A" w14:textId="77777777" w:rsidR="00E713B0" w:rsidRPr="0009445C" w:rsidRDefault="00E713B0" w:rsidP="00E713B0">
            <w:pPr>
              <w:pStyle w:val="BRL-Tabelle"/>
              <w:spacing w:before="100"/>
              <w:ind w:left="113" w:right="113"/>
              <w:jc w:val="center"/>
              <w:rPr>
                <w:b/>
              </w:rPr>
            </w:pPr>
            <w:r w:rsidRPr="0009445C">
              <w:rPr>
                <w:b/>
              </w:rPr>
              <w:t>1</w:t>
            </w:r>
          </w:p>
        </w:tc>
        <w:tc>
          <w:tcPr>
            <w:tcW w:w="2915" w:type="dxa"/>
            <w:shd w:val="clear" w:color="auto" w:fill="FFFFFF"/>
          </w:tcPr>
          <w:p w14:paraId="4975073A" w14:textId="2F95594B" w:rsidR="00E713B0" w:rsidRPr="0009445C" w:rsidRDefault="00E713B0" w:rsidP="00E713B0">
            <w:pPr>
              <w:pStyle w:val="BRL-Tabelle"/>
              <w:spacing w:before="100"/>
              <w:ind w:left="113" w:right="113"/>
            </w:pPr>
            <w:r w:rsidRPr="0009445C">
              <w:t>Fire-retardant and made of non-combustible* materials</w:t>
            </w:r>
          </w:p>
        </w:tc>
        <w:tc>
          <w:tcPr>
            <w:tcW w:w="3471" w:type="dxa"/>
            <w:shd w:val="clear" w:color="auto" w:fill="FFFFFF"/>
          </w:tcPr>
          <w:p w14:paraId="29A30BCC" w14:textId="77777777" w:rsidR="00E713B0" w:rsidRPr="0009445C" w:rsidRDefault="00E713B0" w:rsidP="00E713B0">
            <w:pPr>
              <w:pStyle w:val="BRL-Tabelle"/>
              <w:spacing w:before="100"/>
              <w:ind w:left="113" w:right="113"/>
            </w:pPr>
            <w:r w:rsidRPr="0009445C">
              <w:t>EI 30(</w:t>
            </w:r>
            <w:proofErr w:type="spellStart"/>
            <w:r w:rsidRPr="0009445C">
              <w:t>v</w:t>
            </w:r>
            <w:r w:rsidRPr="0009445C">
              <w:rPr>
                <w:vertAlign w:val="subscript"/>
              </w:rPr>
              <w:t>e</w:t>
            </w:r>
            <w:r w:rsidRPr="0009445C">
              <w:t>h</w:t>
            </w:r>
            <w:r w:rsidRPr="0009445C">
              <w:rPr>
                <w:vertAlign w:val="subscript"/>
              </w:rPr>
              <w:t>o</w:t>
            </w:r>
            <w:proofErr w:type="spellEnd"/>
            <w:r w:rsidRPr="0009445C">
              <w:t xml:space="preserve"> </w:t>
            </w:r>
            <w:proofErr w:type="spellStart"/>
            <w:r w:rsidRPr="0009445C">
              <w:t>i</w:t>
            </w:r>
            <w:proofErr w:type="spellEnd"/>
            <w:r w:rsidRPr="0009445C">
              <w:sym w:font="Symbol" w:char="F0AB"/>
            </w:r>
            <w:r w:rsidRPr="0009445C">
              <w:t>o)</w:t>
            </w:r>
          </w:p>
        </w:tc>
        <w:tc>
          <w:tcPr>
            <w:tcW w:w="2176" w:type="dxa"/>
            <w:vMerge w:val="restart"/>
            <w:shd w:val="clear" w:color="auto" w:fill="FFFFFF"/>
            <w:vAlign w:val="center"/>
          </w:tcPr>
          <w:p w14:paraId="6F084EC6" w14:textId="7F555472" w:rsidR="00E713B0" w:rsidRPr="0009445C" w:rsidRDefault="00E713B0" w:rsidP="00E713B0">
            <w:pPr>
              <w:pStyle w:val="BRL-Tabelle"/>
              <w:spacing w:before="100"/>
              <w:ind w:left="113" w:right="113"/>
            </w:pPr>
            <w:r w:rsidRPr="0009445C">
              <w:t>A2 – s1,d0**</w:t>
            </w:r>
          </w:p>
        </w:tc>
      </w:tr>
      <w:tr w:rsidR="00E713B0" w:rsidRPr="0009445C" w14:paraId="55915EA3" w14:textId="77777777" w:rsidTr="00E713B0">
        <w:trPr>
          <w:cantSplit/>
          <w:tblHeader/>
          <w:jc w:val="center"/>
        </w:trPr>
        <w:tc>
          <w:tcPr>
            <w:tcW w:w="510" w:type="dxa"/>
            <w:shd w:val="clear" w:color="auto" w:fill="FFFFFF"/>
          </w:tcPr>
          <w:p w14:paraId="4D4765ED" w14:textId="77777777" w:rsidR="00E713B0" w:rsidRPr="0009445C" w:rsidRDefault="00E713B0" w:rsidP="00E713B0">
            <w:pPr>
              <w:pStyle w:val="BRL-Tabelle"/>
              <w:spacing w:before="100"/>
              <w:ind w:left="113" w:right="113"/>
              <w:jc w:val="center"/>
              <w:rPr>
                <w:b/>
              </w:rPr>
            </w:pPr>
            <w:r w:rsidRPr="0009445C">
              <w:rPr>
                <w:b/>
              </w:rPr>
              <w:t>2</w:t>
            </w:r>
          </w:p>
        </w:tc>
        <w:tc>
          <w:tcPr>
            <w:tcW w:w="2915" w:type="dxa"/>
            <w:shd w:val="clear" w:color="auto" w:fill="FFFFFF"/>
          </w:tcPr>
          <w:p w14:paraId="471E1DD9" w14:textId="0F8F5336" w:rsidR="00E713B0" w:rsidRPr="0009445C" w:rsidRDefault="00E713B0" w:rsidP="00E713B0">
            <w:pPr>
              <w:pStyle w:val="BRL-Tabelle"/>
              <w:spacing w:before="100"/>
              <w:ind w:left="113" w:right="113"/>
            </w:pPr>
            <w:r w:rsidRPr="0009445C">
              <w:t>Highly fire-retardant and made of non-combustible materials</w:t>
            </w:r>
          </w:p>
        </w:tc>
        <w:tc>
          <w:tcPr>
            <w:tcW w:w="3471" w:type="dxa"/>
            <w:shd w:val="clear" w:color="auto" w:fill="FFFFFF"/>
          </w:tcPr>
          <w:p w14:paraId="696BE51F" w14:textId="77777777" w:rsidR="00E713B0" w:rsidRPr="0009445C" w:rsidRDefault="00E713B0" w:rsidP="00E713B0">
            <w:pPr>
              <w:pStyle w:val="BRL-Tabelle"/>
              <w:spacing w:before="100"/>
              <w:ind w:left="113" w:right="113"/>
            </w:pPr>
            <w:r w:rsidRPr="0009445C">
              <w:t>EI</w:t>
            </w:r>
            <w:r w:rsidRPr="0009445C">
              <w:rPr>
                <w:vertAlign w:val="subscript"/>
              </w:rPr>
              <w:t> </w:t>
            </w:r>
            <w:r w:rsidRPr="0009445C">
              <w:t>60(</w:t>
            </w:r>
            <w:proofErr w:type="spellStart"/>
            <w:r w:rsidRPr="0009445C">
              <w:t>v</w:t>
            </w:r>
            <w:r w:rsidRPr="0009445C">
              <w:rPr>
                <w:vertAlign w:val="subscript"/>
              </w:rPr>
              <w:t>e</w:t>
            </w:r>
            <w:r w:rsidRPr="0009445C">
              <w:t>h</w:t>
            </w:r>
            <w:r w:rsidRPr="0009445C">
              <w:rPr>
                <w:vertAlign w:val="subscript"/>
              </w:rPr>
              <w:t>o</w:t>
            </w:r>
            <w:proofErr w:type="spellEnd"/>
            <w:r w:rsidRPr="0009445C">
              <w:t xml:space="preserve"> </w:t>
            </w:r>
            <w:proofErr w:type="spellStart"/>
            <w:r w:rsidRPr="0009445C">
              <w:t>i</w:t>
            </w:r>
            <w:proofErr w:type="spellEnd"/>
            <w:r w:rsidRPr="0009445C">
              <w:sym w:font="Symbol" w:char="F0AB"/>
            </w:r>
            <w:r w:rsidRPr="0009445C">
              <w:t>o)</w:t>
            </w:r>
          </w:p>
        </w:tc>
        <w:tc>
          <w:tcPr>
            <w:tcW w:w="2176" w:type="dxa"/>
            <w:vMerge/>
            <w:shd w:val="clear" w:color="auto" w:fill="FFFFFF"/>
          </w:tcPr>
          <w:p w14:paraId="6B41C78D" w14:textId="77777777" w:rsidR="00E713B0" w:rsidRPr="0009445C" w:rsidRDefault="00E713B0" w:rsidP="00E713B0">
            <w:pPr>
              <w:pStyle w:val="BRL-Tabelle"/>
              <w:spacing w:before="100"/>
              <w:ind w:left="113" w:right="113"/>
            </w:pPr>
          </w:p>
        </w:tc>
      </w:tr>
      <w:tr w:rsidR="00E713B0" w:rsidRPr="0009445C" w14:paraId="3CD42280" w14:textId="77777777" w:rsidTr="00E713B0">
        <w:trPr>
          <w:cantSplit/>
          <w:tblHeader/>
          <w:jc w:val="center"/>
        </w:trPr>
        <w:tc>
          <w:tcPr>
            <w:tcW w:w="510" w:type="dxa"/>
            <w:shd w:val="clear" w:color="auto" w:fill="FFFFFF"/>
          </w:tcPr>
          <w:p w14:paraId="44E87B24" w14:textId="77777777" w:rsidR="00E713B0" w:rsidRPr="0009445C" w:rsidRDefault="00E713B0" w:rsidP="00E713B0">
            <w:pPr>
              <w:pStyle w:val="BRL-Tabelle"/>
              <w:spacing w:before="100"/>
              <w:ind w:left="113" w:right="113"/>
              <w:jc w:val="center"/>
              <w:rPr>
                <w:b/>
              </w:rPr>
            </w:pPr>
            <w:r w:rsidRPr="0009445C">
              <w:rPr>
                <w:b/>
              </w:rPr>
              <w:t>3</w:t>
            </w:r>
          </w:p>
        </w:tc>
        <w:tc>
          <w:tcPr>
            <w:tcW w:w="2915" w:type="dxa"/>
            <w:shd w:val="clear" w:color="auto" w:fill="FFFFFF"/>
          </w:tcPr>
          <w:p w14:paraId="25C8EB72" w14:textId="77777777" w:rsidR="00E713B0" w:rsidRPr="0009445C" w:rsidRDefault="00E713B0" w:rsidP="00E713B0">
            <w:pPr>
              <w:pStyle w:val="BRL-Tabelle"/>
              <w:spacing w:before="100"/>
              <w:ind w:left="113" w:right="113"/>
            </w:pPr>
            <w:r w:rsidRPr="0009445C">
              <w:t>Fire-resistant and made of non-combustible building materials</w:t>
            </w:r>
          </w:p>
        </w:tc>
        <w:tc>
          <w:tcPr>
            <w:tcW w:w="3471" w:type="dxa"/>
            <w:shd w:val="clear" w:color="auto" w:fill="FFFFFF"/>
          </w:tcPr>
          <w:p w14:paraId="27FD4650" w14:textId="77777777" w:rsidR="00E713B0" w:rsidRPr="0009445C" w:rsidRDefault="00E713B0" w:rsidP="00E713B0">
            <w:pPr>
              <w:pStyle w:val="BRL-Tabelle"/>
              <w:spacing w:before="100"/>
              <w:ind w:left="113" w:right="113"/>
            </w:pPr>
            <w:r w:rsidRPr="0009445C">
              <w:t>EI</w:t>
            </w:r>
            <w:r w:rsidRPr="0009445C">
              <w:rPr>
                <w:vertAlign w:val="subscript"/>
              </w:rPr>
              <w:t> </w:t>
            </w:r>
            <w:r w:rsidRPr="0009445C">
              <w:t>90(</w:t>
            </w:r>
            <w:proofErr w:type="spellStart"/>
            <w:r w:rsidRPr="0009445C">
              <w:t>v</w:t>
            </w:r>
            <w:r w:rsidRPr="0009445C">
              <w:rPr>
                <w:vertAlign w:val="subscript"/>
              </w:rPr>
              <w:t>e</w:t>
            </w:r>
            <w:r w:rsidRPr="0009445C">
              <w:t>h</w:t>
            </w:r>
            <w:r w:rsidRPr="0009445C">
              <w:rPr>
                <w:vertAlign w:val="subscript"/>
              </w:rPr>
              <w:t>o</w:t>
            </w:r>
            <w:proofErr w:type="spellEnd"/>
            <w:r w:rsidRPr="0009445C">
              <w:t xml:space="preserve"> </w:t>
            </w:r>
            <w:proofErr w:type="spellStart"/>
            <w:r w:rsidRPr="0009445C">
              <w:t>i</w:t>
            </w:r>
            <w:proofErr w:type="spellEnd"/>
            <w:r w:rsidRPr="0009445C">
              <w:sym w:font="Symbol" w:char="F0AB"/>
            </w:r>
            <w:r w:rsidRPr="0009445C">
              <w:t>o)</w:t>
            </w:r>
          </w:p>
        </w:tc>
        <w:tc>
          <w:tcPr>
            <w:tcW w:w="2176" w:type="dxa"/>
            <w:vMerge/>
            <w:shd w:val="clear" w:color="auto" w:fill="FFFFFF"/>
          </w:tcPr>
          <w:p w14:paraId="3A7F32FF" w14:textId="77777777" w:rsidR="00E713B0" w:rsidRPr="0009445C" w:rsidRDefault="00E713B0" w:rsidP="00E713B0">
            <w:pPr>
              <w:pStyle w:val="BRL-Tabelle"/>
              <w:spacing w:before="100"/>
              <w:ind w:left="113" w:right="113"/>
            </w:pPr>
          </w:p>
        </w:tc>
      </w:tr>
      <w:tr w:rsidR="00E713B0" w:rsidRPr="0009445C" w14:paraId="41E00DE4" w14:textId="77777777" w:rsidTr="00E713B0">
        <w:trPr>
          <w:cantSplit/>
          <w:tblHeader/>
          <w:jc w:val="center"/>
        </w:trPr>
        <w:tc>
          <w:tcPr>
            <w:tcW w:w="510" w:type="dxa"/>
            <w:shd w:val="clear" w:color="auto" w:fill="FFFFFF"/>
          </w:tcPr>
          <w:p w14:paraId="313C5561" w14:textId="77777777" w:rsidR="00E713B0" w:rsidRPr="0009445C" w:rsidRDefault="00E713B0" w:rsidP="00E713B0">
            <w:pPr>
              <w:pStyle w:val="BRL-Tabelle"/>
              <w:spacing w:before="100"/>
              <w:ind w:left="113" w:right="113"/>
              <w:jc w:val="center"/>
              <w:rPr>
                <w:b/>
              </w:rPr>
            </w:pPr>
            <w:r w:rsidRPr="0009445C">
              <w:rPr>
                <w:b/>
              </w:rPr>
              <w:t>4</w:t>
            </w:r>
          </w:p>
        </w:tc>
        <w:tc>
          <w:tcPr>
            <w:tcW w:w="2915" w:type="dxa"/>
            <w:shd w:val="clear" w:color="auto" w:fill="FFFFFF"/>
          </w:tcPr>
          <w:p w14:paraId="72A42BA6" w14:textId="77777777" w:rsidR="00E713B0" w:rsidRPr="0009445C" w:rsidRDefault="00E713B0" w:rsidP="00E713B0">
            <w:pPr>
              <w:pStyle w:val="BRL-Tabelle"/>
              <w:spacing w:before="100"/>
              <w:ind w:left="113" w:right="113"/>
              <w:rPr>
                <w:b/>
              </w:rPr>
            </w:pPr>
            <w:r w:rsidRPr="0009445C">
              <w:t>Fire resistance of 120 minutes</w:t>
            </w:r>
          </w:p>
        </w:tc>
        <w:tc>
          <w:tcPr>
            <w:tcW w:w="3471" w:type="dxa"/>
            <w:shd w:val="clear" w:color="auto" w:fill="FFFFFF"/>
          </w:tcPr>
          <w:p w14:paraId="1F2B6F1A" w14:textId="77777777" w:rsidR="00E713B0" w:rsidRPr="0009445C" w:rsidRDefault="00E713B0" w:rsidP="00E713B0">
            <w:pPr>
              <w:pStyle w:val="BRL-Tabelle"/>
              <w:spacing w:before="100"/>
              <w:ind w:left="113" w:right="113"/>
              <w:rPr>
                <w:b/>
              </w:rPr>
            </w:pPr>
            <w:r w:rsidRPr="0009445C">
              <w:t>EI 120(</w:t>
            </w:r>
            <w:proofErr w:type="spellStart"/>
            <w:r w:rsidRPr="0009445C">
              <w:t>v</w:t>
            </w:r>
            <w:r w:rsidRPr="0009445C">
              <w:rPr>
                <w:vertAlign w:val="subscript"/>
              </w:rPr>
              <w:t>e</w:t>
            </w:r>
            <w:r w:rsidRPr="0009445C">
              <w:t>h</w:t>
            </w:r>
            <w:r w:rsidRPr="0009445C">
              <w:rPr>
                <w:vertAlign w:val="subscript"/>
              </w:rPr>
              <w:t>o</w:t>
            </w:r>
            <w:proofErr w:type="spellEnd"/>
            <w:r w:rsidRPr="0009445C">
              <w:t xml:space="preserve"> </w:t>
            </w:r>
            <w:proofErr w:type="spellStart"/>
            <w:r w:rsidRPr="0009445C">
              <w:t>i</w:t>
            </w:r>
            <w:proofErr w:type="spellEnd"/>
            <w:r w:rsidRPr="0009445C">
              <w:sym w:font="Symbol" w:char="F0AB"/>
            </w:r>
            <w:r w:rsidRPr="0009445C">
              <w:t>o)</w:t>
            </w:r>
          </w:p>
        </w:tc>
        <w:tc>
          <w:tcPr>
            <w:tcW w:w="2176" w:type="dxa"/>
            <w:vMerge/>
            <w:shd w:val="clear" w:color="auto" w:fill="FFFFFF"/>
          </w:tcPr>
          <w:p w14:paraId="6051EC38" w14:textId="77777777" w:rsidR="00E713B0" w:rsidRPr="0009445C" w:rsidRDefault="00E713B0" w:rsidP="00E713B0">
            <w:pPr>
              <w:pStyle w:val="BRL-Tabelle"/>
              <w:spacing w:before="100"/>
              <w:ind w:left="113" w:right="113"/>
              <w:rPr>
                <w:b/>
              </w:rPr>
            </w:pPr>
          </w:p>
        </w:tc>
      </w:tr>
      <w:tr w:rsidR="000B2082" w:rsidRPr="0009445C" w14:paraId="696D3F32" w14:textId="77777777" w:rsidTr="00E07C4A">
        <w:trPr>
          <w:cantSplit/>
          <w:tblHeader/>
          <w:jc w:val="center"/>
        </w:trPr>
        <w:tc>
          <w:tcPr>
            <w:tcW w:w="510" w:type="dxa"/>
            <w:shd w:val="clear" w:color="auto" w:fill="FFFFFF"/>
          </w:tcPr>
          <w:p w14:paraId="1BBA92BE" w14:textId="77777777" w:rsidR="000B2082" w:rsidRPr="0009445C" w:rsidRDefault="000B2082" w:rsidP="00E713B0">
            <w:pPr>
              <w:pStyle w:val="BRL-Tabelle"/>
              <w:spacing w:before="100"/>
              <w:ind w:left="113" w:right="113"/>
              <w:jc w:val="center"/>
              <w:rPr>
                <w:b/>
              </w:rPr>
            </w:pPr>
          </w:p>
        </w:tc>
        <w:tc>
          <w:tcPr>
            <w:tcW w:w="8562" w:type="dxa"/>
            <w:gridSpan w:val="3"/>
            <w:shd w:val="clear" w:color="auto" w:fill="FFFFFF"/>
          </w:tcPr>
          <w:p w14:paraId="0115844D" w14:textId="77777777" w:rsidR="000B2082" w:rsidRPr="0009445C" w:rsidRDefault="000B2082" w:rsidP="000B2082">
            <w:pPr>
              <w:pStyle w:val="BRL-Funote"/>
              <w:spacing w:before="60"/>
              <w:rPr>
                <w:rFonts w:eastAsia="Calibri"/>
              </w:rPr>
            </w:pPr>
            <w:r w:rsidRPr="0009445C">
              <w:rPr>
                <w:color w:val="7F7F7F" w:themeColor="text1" w:themeTint="80"/>
              </w:rPr>
              <w:t>*</w:t>
            </w:r>
            <w:r w:rsidRPr="0009445C">
              <w:tab/>
              <w:t>Table 1.1 applies to the requirements</w:t>
            </w:r>
          </w:p>
          <w:p w14:paraId="728813D1" w14:textId="5D5F58C6" w:rsidR="000B2082" w:rsidRPr="0009445C" w:rsidRDefault="000B2082" w:rsidP="000B2082">
            <w:pPr>
              <w:pStyle w:val="BRL-Funote"/>
              <w:rPr>
                <w:b/>
              </w:rPr>
            </w:pPr>
            <w:r w:rsidRPr="0009445C">
              <w:t>**</w:t>
            </w:r>
            <w:r w:rsidRPr="0009445C">
              <w:tab/>
              <w:t>Regarding fire performance requirements, Table 1.2 applies. Section 1.3 shall apply where necessary.</w:t>
            </w:r>
          </w:p>
        </w:tc>
      </w:tr>
    </w:tbl>
    <w:p w14:paraId="4B81ACBC" w14:textId="77777777" w:rsidR="00E713B0" w:rsidRPr="0009445C" w:rsidRDefault="00E713B0" w:rsidP="00E713B0">
      <w:pPr>
        <w:pStyle w:val="BRL-Tabelle"/>
      </w:pPr>
    </w:p>
    <w:p w14:paraId="48CC7805" w14:textId="77777777" w:rsidR="00E713B0" w:rsidRPr="0009445C" w:rsidRDefault="00E713B0" w:rsidP="00600F53">
      <w:pPr>
        <w:pStyle w:val="BRL-berschrift"/>
      </w:pPr>
      <w:r w:rsidRPr="0009445C">
        <w:t>8.3</w:t>
      </w:r>
      <w:r w:rsidRPr="0009445C">
        <w:tab/>
        <w:t>Conditions of use and execution for construction products according to 8.2</w:t>
      </w:r>
    </w:p>
    <w:p w14:paraId="67253BD8" w14:textId="77777777" w:rsidR="00E713B0" w:rsidRPr="0009445C" w:rsidRDefault="00E713B0" w:rsidP="00E713B0">
      <w:pPr>
        <w:pStyle w:val="BRL-Standard"/>
      </w:pPr>
      <w:r w:rsidRPr="0009445C">
        <w:t>If the construction product used for the service shaft is described conclusively in the ETA based on the EAD, the manufacturer shall provide a written German-language installation manual based on the classification document, which must contain at least the following information:</w:t>
      </w:r>
    </w:p>
    <w:p w14:paraId="1A75BA1E" w14:textId="77777777" w:rsidR="00E713B0" w:rsidRPr="0009445C" w:rsidRDefault="00E713B0" w:rsidP="00E713B0">
      <w:pPr>
        <w:pStyle w:val="ListParagraph"/>
        <w:widowControl w:val="0"/>
        <w:ind w:left="0"/>
        <w:rPr>
          <w:sz w:val="20"/>
        </w:rPr>
      </w:pPr>
    </w:p>
    <w:p w14:paraId="3171D2E9" w14:textId="77777777" w:rsidR="00E713B0" w:rsidRPr="0009445C" w:rsidRDefault="00E713B0" w:rsidP="00E713B0">
      <w:pPr>
        <w:pStyle w:val="BRLAufzhlungAnstrich"/>
        <w:numPr>
          <w:ilvl w:val="0"/>
          <w:numId w:val="1"/>
        </w:numPr>
      </w:pPr>
      <w:r w:rsidRPr="0009445C">
        <w:t xml:space="preserve">description of the combination of the permitted structural elements, </w:t>
      </w:r>
    </w:p>
    <w:p w14:paraId="76B50F74" w14:textId="77777777" w:rsidR="00E713B0" w:rsidRPr="0009445C" w:rsidRDefault="00E713B0" w:rsidP="00E713B0">
      <w:pPr>
        <w:pStyle w:val="BRLAufzhlungAnstrich"/>
        <w:numPr>
          <w:ilvl w:val="0"/>
          <w:numId w:val="1"/>
        </w:numPr>
      </w:pPr>
      <w:r w:rsidRPr="0009445C">
        <w:t>description of the installation in adjacent structural elements (including permitted fasteners and their distances),</w:t>
      </w:r>
    </w:p>
    <w:p w14:paraId="1B1EDB0A" w14:textId="77777777" w:rsidR="00E713B0" w:rsidRPr="0009445C" w:rsidRDefault="00E713B0" w:rsidP="00E713B0">
      <w:pPr>
        <w:pStyle w:val="BRLAufzhlungAnstrich"/>
        <w:numPr>
          <w:ilvl w:val="0"/>
          <w:numId w:val="1"/>
        </w:numPr>
      </w:pPr>
      <w:r w:rsidRPr="0009445C">
        <w:t>description of permissible execution variants.</w:t>
      </w:r>
    </w:p>
    <w:p w14:paraId="09C5D8E4" w14:textId="77777777" w:rsidR="00E713B0" w:rsidRPr="0009445C" w:rsidRDefault="00E713B0" w:rsidP="00E713B0">
      <w:pPr>
        <w:pStyle w:val="BRL-Standard"/>
      </w:pPr>
    </w:p>
    <w:p w14:paraId="061E5688" w14:textId="77777777" w:rsidR="00E713B0" w:rsidRPr="0009445C" w:rsidRDefault="00E713B0" w:rsidP="00E713B0">
      <w:pPr>
        <w:pStyle w:val="BRL-Standard"/>
      </w:pPr>
      <w:r w:rsidRPr="0009445C">
        <w:t xml:space="preserve">Use is permitted only if the structural elements adjacent to the construction product that are described in the manufacturer’s installation manual are in compliance with the fire resistance requirements for the building structure and the space barrier pursuant to A 2.1.3.3. is not affected. </w:t>
      </w:r>
    </w:p>
    <w:p w14:paraId="54EA5F9E" w14:textId="77777777" w:rsidR="00E713B0" w:rsidRPr="0009445C" w:rsidRDefault="00E713B0" w:rsidP="00E713B0">
      <w:pPr>
        <w:pStyle w:val="BRL-Standard"/>
      </w:pPr>
    </w:p>
    <w:p w14:paraId="3E6323CA" w14:textId="77777777" w:rsidR="00E713B0" w:rsidRPr="0009445C" w:rsidRDefault="00E713B0" w:rsidP="00E713B0">
      <w:pPr>
        <w:pStyle w:val="BRL-Standard"/>
      </w:pPr>
      <w:r w:rsidRPr="0009445C">
        <w:t xml:space="preserve">The user shall install the construction product in accordance with this installation manual and give the installation manual to the client together with a statement confirming correct installation. </w:t>
      </w:r>
    </w:p>
    <w:p w14:paraId="7C60CBBA" w14:textId="77777777" w:rsidR="00E713B0" w:rsidRPr="0009445C" w:rsidRDefault="00E713B0" w:rsidP="00E713B0">
      <w:pPr>
        <w:pStyle w:val="BRL-Standard"/>
        <w:tabs>
          <w:tab w:val="left" w:pos="416"/>
        </w:tabs>
      </w:pPr>
    </w:p>
    <w:p w14:paraId="2874AC7C" w14:textId="77777777" w:rsidR="00E713B0" w:rsidRPr="0009445C" w:rsidRDefault="00E713B0" w:rsidP="00600F53">
      <w:pPr>
        <w:pStyle w:val="BRL-berschrift"/>
      </w:pPr>
      <w:r w:rsidRPr="0009445C">
        <w:t>9</w:t>
      </w:r>
      <w:r w:rsidRPr="0009445C">
        <w:tab/>
        <w:t>Fire-resistant glazing</w:t>
      </w:r>
    </w:p>
    <w:p w14:paraId="1F09EC16" w14:textId="2949DF40" w:rsidR="00E713B0" w:rsidRPr="0009445C" w:rsidRDefault="00E713B0" w:rsidP="00E713B0">
      <w:pPr>
        <w:pStyle w:val="BRL-Standard"/>
      </w:pPr>
      <w:r w:rsidRPr="0009445C">
        <w:t xml:space="preserve">In order to fulfil the structural requirements in A 2.1.6, A 2.1.7, A 2.1.8, A 2.1.9 and A 2.1.12 when using construction products for fire-resistant </w:t>
      </w:r>
      <w:proofErr w:type="spellStart"/>
      <w:r w:rsidRPr="0009445C">
        <w:t>glazings</w:t>
      </w:r>
      <w:proofErr w:type="spellEnd"/>
      <w:r w:rsidRPr="0009445C">
        <w:t xml:space="preserve"> with proof of fitness for purpose in accordance with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xml:space="preserve"> or proof of the suitability of designs according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w:t>
      </w:r>
      <w:r w:rsidRPr="0009445C">
        <w:rPr>
          <w:vertAlign w:val="superscript"/>
        </w:rPr>
        <w:t xml:space="preserve"> </w:t>
      </w:r>
      <w:r w:rsidRPr="0009445C">
        <w:t>the minimum required classes shall be as given in Section 9.1.</w:t>
      </w:r>
    </w:p>
    <w:p w14:paraId="5AB2D611" w14:textId="77777777" w:rsidR="00E713B0" w:rsidRPr="0009445C" w:rsidRDefault="00E713B0" w:rsidP="00E713B0">
      <w:pPr>
        <w:pStyle w:val="BRL-Standard"/>
      </w:pPr>
    </w:p>
    <w:p w14:paraId="19CB2E5C" w14:textId="77777777" w:rsidR="00E713B0" w:rsidRPr="0009445C" w:rsidRDefault="00E713B0" w:rsidP="00E713B0">
      <w:pPr>
        <w:pStyle w:val="BRL-Standard"/>
      </w:pPr>
      <w:r w:rsidRPr="0009445C">
        <w:t xml:space="preserve">In order to fulfil the building requirements in A 2.1.6, A 2.1.7, A 2.1.8, A 2.1.9 and A 2.1.12 when using construction products as fire-resistant </w:t>
      </w:r>
      <w:proofErr w:type="spellStart"/>
      <w:r w:rsidRPr="0009445C">
        <w:t>glazings</w:t>
      </w:r>
      <w:proofErr w:type="spellEnd"/>
      <w:r w:rsidRPr="0009445C">
        <w:t xml:space="preserve"> if there are harmonised technical specifications for them, the minimum required performance shall be as given in Section 9.2.</w:t>
      </w:r>
    </w:p>
    <w:p w14:paraId="22BE2D48" w14:textId="77777777" w:rsidR="00E713B0" w:rsidRPr="0009445C" w:rsidRDefault="00E713B0" w:rsidP="00E713B0">
      <w:pPr>
        <w:pStyle w:val="BRL-Standard"/>
      </w:pPr>
    </w:p>
    <w:p w14:paraId="4EE35164" w14:textId="77777777" w:rsidR="00007636" w:rsidRPr="0009445C" w:rsidRDefault="00007636">
      <w:pPr>
        <w:spacing w:after="200" w:line="276" w:lineRule="auto"/>
        <w:rPr>
          <w:b/>
          <w:bCs/>
          <w:szCs w:val="16"/>
        </w:rPr>
      </w:pPr>
      <w:r w:rsidRPr="0009445C">
        <w:br w:type="page"/>
      </w:r>
    </w:p>
    <w:p w14:paraId="74DBDCEC" w14:textId="3EFEC549" w:rsidR="00E713B0" w:rsidRPr="0009445C" w:rsidRDefault="00E713B0" w:rsidP="00600F53">
      <w:pPr>
        <w:pStyle w:val="BRL-berschrift"/>
      </w:pPr>
      <w:r w:rsidRPr="0009445C">
        <w:lastRenderedPageBreak/>
        <w:t>9.1</w:t>
      </w:r>
      <w:r w:rsidRPr="0009445C">
        <w:tab/>
        <w:t>Fire-resistant glazing</w:t>
      </w:r>
    </w:p>
    <w:p w14:paraId="31B74BA9" w14:textId="5E1D23C6" w:rsidR="00E713B0" w:rsidRPr="0009445C" w:rsidRDefault="00E713B0" w:rsidP="00E713B0">
      <w:pPr>
        <w:pStyle w:val="BRLTabelleberschrift"/>
        <w:spacing w:before="0" w:after="120"/>
      </w:pPr>
      <w:r w:rsidRPr="0009445C">
        <w:t xml:space="preserve">Table 9: </w:t>
      </w:r>
      <w:r w:rsidRPr="0009445C">
        <w:tab/>
        <w:t>Building approval requirements and classification of classes according to DIN 4102</w:t>
      </w:r>
      <w:r w:rsidRPr="0009445C">
        <w:noBreakHyphen/>
        <w:t xml:space="preserve"> 13:1990</w:t>
      </w:r>
      <w:r w:rsidRPr="0009445C">
        <w:noBreakHyphen/>
        <w:t xml:space="preserve"> 05</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E0" w:firstRow="1" w:lastRow="1" w:firstColumn="1" w:lastColumn="0" w:noHBand="0" w:noVBand="1"/>
      </w:tblPr>
      <w:tblGrid>
        <w:gridCol w:w="454"/>
        <w:gridCol w:w="4536"/>
        <w:gridCol w:w="4534"/>
      </w:tblGrid>
      <w:tr w:rsidR="00E713B0" w:rsidRPr="0009445C" w14:paraId="4AC3359A" w14:textId="77777777" w:rsidTr="00E713B0">
        <w:trPr>
          <w:cantSplit/>
        </w:trPr>
        <w:tc>
          <w:tcPr>
            <w:tcW w:w="454" w:type="dxa"/>
            <w:shd w:val="clear" w:color="auto" w:fill="FFFFFF"/>
          </w:tcPr>
          <w:p w14:paraId="5FDE6B08" w14:textId="77777777" w:rsidR="00E713B0" w:rsidRPr="0009445C" w:rsidRDefault="00E713B0" w:rsidP="00E713B0">
            <w:pPr>
              <w:pStyle w:val="BRL-TabelleberschriftAnhang"/>
              <w:jc w:val="center"/>
            </w:pPr>
          </w:p>
        </w:tc>
        <w:tc>
          <w:tcPr>
            <w:tcW w:w="4536" w:type="dxa"/>
            <w:shd w:val="clear" w:color="auto" w:fill="FFFFFF"/>
          </w:tcPr>
          <w:p w14:paraId="72BD0D89" w14:textId="77777777" w:rsidR="00E713B0" w:rsidRPr="0009445C" w:rsidRDefault="00E713B0" w:rsidP="00E713B0">
            <w:pPr>
              <w:pStyle w:val="BRL-TabelleberschriftAnhang"/>
            </w:pPr>
            <w:r w:rsidRPr="0009445C">
              <w:t>Building approval requirement</w:t>
            </w:r>
          </w:p>
        </w:tc>
        <w:tc>
          <w:tcPr>
            <w:tcW w:w="4534" w:type="dxa"/>
            <w:shd w:val="clear" w:color="auto" w:fill="FFFFFF"/>
          </w:tcPr>
          <w:p w14:paraId="59BD35BB" w14:textId="77777777" w:rsidR="00E713B0" w:rsidRPr="0009445C" w:rsidRDefault="00E713B0" w:rsidP="00E713B0">
            <w:pPr>
              <w:pStyle w:val="BRL-TabelleberschriftAnhang"/>
            </w:pPr>
            <w:r w:rsidRPr="0009445C">
              <w:t>Minimum required classes according to DIN 4102</w:t>
            </w:r>
            <w:r w:rsidRPr="0009445C">
              <w:noBreakHyphen/>
              <w:t>13:1990-05</w:t>
            </w:r>
          </w:p>
        </w:tc>
      </w:tr>
      <w:tr w:rsidR="00E713B0" w:rsidRPr="0009445C" w14:paraId="6A3B9AED" w14:textId="77777777" w:rsidTr="00E713B0">
        <w:trPr>
          <w:cantSplit/>
        </w:trPr>
        <w:tc>
          <w:tcPr>
            <w:tcW w:w="454" w:type="dxa"/>
            <w:shd w:val="clear" w:color="auto" w:fill="FFFFFF"/>
          </w:tcPr>
          <w:p w14:paraId="3DEC39A6" w14:textId="77777777" w:rsidR="00E713B0" w:rsidRPr="0009445C" w:rsidRDefault="00E713B0" w:rsidP="00E713B0">
            <w:pPr>
              <w:pStyle w:val="BRL-TabelleberschriftAnhang"/>
              <w:jc w:val="center"/>
            </w:pPr>
          </w:p>
        </w:tc>
        <w:tc>
          <w:tcPr>
            <w:tcW w:w="4536" w:type="dxa"/>
            <w:shd w:val="clear" w:color="auto" w:fill="FFFFFF"/>
          </w:tcPr>
          <w:p w14:paraId="2A6C73F1" w14:textId="77777777" w:rsidR="00E713B0" w:rsidRPr="0009445C" w:rsidRDefault="00E713B0" w:rsidP="00E713B0">
            <w:pPr>
              <w:pStyle w:val="BRL-TabelleberschriftAnhang"/>
              <w:jc w:val="center"/>
            </w:pPr>
            <w:r w:rsidRPr="0009445C">
              <w:t>1</w:t>
            </w:r>
          </w:p>
        </w:tc>
        <w:tc>
          <w:tcPr>
            <w:tcW w:w="4534" w:type="dxa"/>
            <w:shd w:val="clear" w:color="auto" w:fill="FFFFFF"/>
          </w:tcPr>
          <w:p w14:paraId="1DA8A7D7" w14:textId="77777777" w:rsidR="00E713B0" w:rsidRPr="0009445C" w:rsidRDefault="00E713B0" w:rsidP="00E713B0">
            <w:pPr>
              <w:pStyle w:val="BRL-TabelleberschriftAnhang"/>
              <w:jc w:val="center"/>
            </w:pPr>
            <w:r w:rsidRPr="0009445C">
              <w:t>2</w:t>
            </w:r>
          </w:p>
        </w:tc>
      </w:tr>
      <w:tr w:rsidR="00E713B0" w:rsidRPr="0009445C" w14:paraId="6A20FCE4" w14:textId="77777777" w:rsidTr="00E713B0">
        <w:trPr>
          <w:cantSplit/>
        </w:trPr>
        <w:tc>
          <w:tcPr>
            <w:tcW w:w="454" w:type="dxa"/>
            <w:shd w:val="clear" w:color="auto" w:fill="FFFFFF"/>
          </w:tcPr>
          <w:p w14:paraId="0BB35C4E" w14:textId="77777777" w:rsidR="00E713B0" w:rsidRPr="0009445C" w:rsidRDefault="00E713B0" w:rsidP="00E713B0">
            <w:pPr>
              <w:pStyle w:val="BRL-Tabelle"/>
              <w:spacing w:before="60" w:after="40"/>
              <w:ind w:left="113" w:right="113"/>
              <w:jc w:val="center"/>
              <w:rPr>
                <w:b/>
              </w:rPr>
            </w:pPr>
            <w:r w:rsidRPr="0009445C">
              <w:rPr>
                <w:b/>
              </w:rPr>
              <w:t>1</w:t>
            </w:r>
          </w:p>
        </w:tc>
        <w:tc>
          <w:tcPr>
            <w:tcW w:w="4536" w:type="dxa"/>
            <w:shd w:val="clear" w:color="auto" w:fill="FFFFFF"/>
          </w:tcPr>
          <w:p w14:paraId="7AE8C684" w14:textId="77777777" w:rsidR="00E713B0" w:rsidRPr="0009445C" w:rsidRDefault="00E713B0" w:rsidP="00E713B0">
            <w:pPr>
              <w:pStyle w:val="BRL-Tabelle"/>
              <w:spacing w:before="60" w:after="40"/>
              <w:ind w:left="113" w:right="113"/>
            </w:pPr>
            <w:r w:rsidRPr="0009445C">
              <w:t>Fire-retardant</w:t>
            </w:r>
          </w:p>
        </w:tc>
        <w:tc>
          <w:tcPr>
            <w:tcW w:w="4534" w:type="dxa"/>
            <w:shd w:val="clear" w:color="auto" w:fill="FFFFFF"/>
          </w:tcPr>
          <w:p w14:paraId="4F14C045" w14:textId="77777777" w:rsidR="00E713B0" w:rsidRPr="0009445C" w:rsidRDefault="00E713B0" w:rsidP="00E713B0">
            <w:pPr>
              <w:pStyle w:val="BRL-Tabelle"/>
              <w:spacing w:before="60" w:after="40"/>
              <w:ind w:left="113" w:right="113"/>
            </w:pPr>
            <w:r w:rsidRPr="0009445C">
              <w:t>F 30</w:t>
            </w:r>
          </w:p>
        </w:tc>
      </w:tr>
      <w:tr w:rsidR="00E713B0" w:rsidRPr="0009445C" w14:paraId="7BACEF24" w14:textId="77777777" w:rsidTr="00E713B0">
        <w:trPr>
          <w:cantSplit/>
        </w:trPr>
        <w:tc>
          <w:tcPr>
            <w:tcW w:w="454" w:type="dxa"/>
            <w:shd w:val="clear" w:color="auto" w:fill="FFFFFF"/>
          </w:tcPr>
          <w:p w14:paraId="0E92B144" w14:textId="77777777" w:rsidR="00E713B0" w:rsidRPr="0009445C" w:rsidRDefault="00E713B0" w:rsidP="00E713B0">
            <w:pPr>
              <w:pStyle w:val="BRL-Tabelle"/>
              <w:spacing w:before="60" w:after="40"/>
              <w:ind w:left="113" w:right="113"/>
              <w:jc w:val="center"/>
              <w:rPr>
                <w:b/>
              </w:rPr>
            </w:pPr>
            <w:r w:rsidRPr="0009445C">
              <w:rPr>
                <w:b/>
              </w:rPr>
              <w:t>2</w:t>
            </w:r>
          </w:p>
        </w:tc>
        <w:tc>
          <w:tcPr>
            <w:tcW w:w="4536" w:type="dxa"/>
            <w:shd w:val="clear" w:color="auto" w:fill="FFFFFF"/>
          </w:tcPr>
          <w:p w14:paraId="2CA7298A" w14:textId="77777777" w:rsidR="00E713B0" w:rsidRPr="0009445C" w:rsidRDefault="00E713B0" w:rsidP="00E713B0">
            <w:pPr>
              <w:pStyle w:val="BRL-Tabelle"/>
              <w:spacing w:before="60" w:after="40"/>
              <w:ind w:left="113" w:right="113"/>
            </w:pPr>
            <w:r w:rsidRPr="0009445C">
              <w:t>Highly fire-retardant</w:t>
            </w:r>
          </w:p>
        </w:tc>
        <w:tc>
          <w:tcPr>
            <w:tcW w:w="4534" w:type="dxa"/>
            <w:shd w:val="clear" w:color="auto" w:fill="FFFFFF"/>
          </w:tcPr>
          <w:p w14:paraId="23F15093" w14:textId="77777777" w:rsidR="00E713B0" w:rsidRPr="0009445C" w:rsidRDefault="00E713B0" w:rsidP="00E713B0">
            <w:pPr>
              <w:pStyle w:val="BRL-Tabelle"/>
              <w:spacing w:before="60" w:after="40"/>
              <w:ind w:left="113" w:right="113"/>
            </w:pPr>
            <w:r w:rsidRPr="0009445C">
              <w:t>F 60</w:t>
            </w:r>
          </w:p>
        </w:tc>
      </w:tr>
      <w:tr w:rsidR="00E713B0" w:rsidRPr="0009445C" w14:paraId="674A79C3" w14:textId="77777777" w:rsidTr="00E713B0">
        <w:trPr>
          <w:cantSplit/>
        </w:trPr>
        <w:tc>
          <w:tcPr>
            <w:tcW w:w="454" w:type="dxa"/>
            <w:shd w:val="clear" w:color="auto" w:fill="FFFFFF"/>
          </w:tcPr>
          <w:p w14:paraId="345F2CD1" w14:textId="77777777" w:rsidR="00E713B0" w:rsidRPr="0009445C" w:rsidRDefault="00E713B0" w:rsidP="00E713B0">
            <w:pPr>
              <w:pStyle w:val="BRL-Tabelle"/>
              <w:spacing w:before="60" w:after="40"/>
              <w:ind w:left="113" w:right="113"/>
              <w:jc w:val="center"/>
              <w:rPr>
                <w:b/>
              </w:rPr>
            </w:pPr>
            <w:r w:rsidRPr="0009445C">
              <w:rPr>
                <w:b/>
              </w:rPr>
              <w:t>3</w:t>
            </w:r>
          </w:p>
        </w:tc>
        <w:tc>
          <w:tcPr>
            <w:tcW w:w="4536" w:type="dxa"/>
            <w:shd w:val="clear" w:color="auto" w:fill="FFFFFF"/>
          </w:tcPr>
          <w:p w14:paraId="424727C4" w14:textId="77777777" w:rsidR="00E713B0" w:rsidRPr="0009445C" w:rsidRDefault="00E713B0" w:rsidP="00E713B0">
            <w:pPr>
              <w:pStyle w:val="BRL-Tabelle"/>
              <w:spacing w:before="60" w:after="40"/>
              <w:ind w:left="113" w:right="113"/>
            </w:pPr>
            <w:r w:rsidRPr="0009445C">
              <w:t>Fire-resistant</w:t>
            </w:r>
          </w:p>
        </w:tc>
        <w:tc>
          <w:tcPr>
            <w:tcW w:w="4534" w:type="dxa"/>
            <w:shd w:val="clear" w:color="auto" w:fill="FFFFFF"/>
          </w:tcPr>
          <w:p w14:paraId="3ECD5BE0" w14:textId="77777777" w:rsidR="00E713B0" w:rsidRPr="0009445C" w:rsidRDefault="00E713B0" w:rsidP="00E713B0">
            <w:pPr>
              <w:pStyle w:val="BRL-Tabelle"/>
              <w:spacing w:before="60" w:after="40"/>
              <w:ind w:left="113" w:right="113"/>
            </w:pPr>
            <w:r w:rsidRPr="0009445C">
              <w:t>F 90</w:t>
            </w:r>
          </w:p>
        </w:tc>
      </w:tr>
      <w:tr w:rsidR="00E713B0" w:rsidRPr="0009445C" w14:paraId="4DE92A63" w14:textId="77777777" w:rsidTr="00E713B0">
        <w:trPr>
          <w:cantSplit/>
        </w:trPr>
        <w:tc>
          <w:tcPr>
            <w:tcW w:w="454" w:type="dxa"/>
            <w:shd w:val="clear" w:color="auto" w:fill="FFFFFF"/>
          </w:tcPr>
          <w:p w14:paraId="2F2E226E" w14:textId="77777777" w:rsidR="00E713B0" w:rsidRPr="0009445C" w:rsidRDefault="00E713B0" w:rsidP="00E713B0">
            <w:pPr>
              <w:pStyle w:val="BRL-Tabelle"/>
              <w:spacing w:before="60" w:after="40"/>
              <w:ind w:left="113" w:right="113"/>
              <w:jc w:val="center"/>
              <w:rPr>
                <w:b/>
              </w:rPr>
            </w:pPr>
            <w:r w:rsidRPr="0009445C">
              <w:rPr>
                <w:b/>
              </w:rPr>
              <w:t>4</w:t>
            </w:r>
          </w:p>
        </w:tc>
        <w:tc>
          <w:tcPr>
            <w:tcW w:w="4536" w:type="dxa"/>
            <w:shd w:val="clear" w:color="auto" w:fill="FFFFFF"/>
          </w:tcPr>
          <w:p w14:paraId="17EBA1B7" w14:textId="77777777" w:rsidR="00E713B0" w:rsidRPr="0009445C" w:rsidRDefault="00E713B0" w:rsidP="00E713B0">
            <w:pPr>
              <w:pStyle w:val="BRL-Tabelle"/>
              <w:spacing w:before="60" w:after="40"/>
              <w:ind w:left="113" w:right="113"/>
              <w:rPr>
                <w:b/>
              </w:rPr>
            </w:pPr>
            <w:r w:rsidRPr="0009445C">
              <w:t>Fire resistance of 120 minutes</w:t>
            </w:r>
          </w:p>
        </w:tc>
        <w:tc>
          <w:tcPr>
            <w:tcW w:w="4534" w:type="dxa"/>
            <w:shd w:val="clear" w:color="auto" w:fill="FFFFFF"/>
          </w:tcPr>
          <w:p w14:paraId="45A7B575" w14:textId="77777777" w:rsidR="00E713B0" w:rsidRPr="0009445C" w:rsidRDefault="00E713B0" w:rsidP="00E713B0">
            <w:pPr>
              <w:pStyle w:val="BRL-Tabelle"/>
              <w:spacing w:before="60" w:after="40"/>
              <w:ind w:left="113" w:right="113"/>
              <w:rPr>
                <w:b/>
              </w:rPr>
            </w:pPr>
            <w:r w:rsidRPr="0009445C">
              <w:t>F 120</w:t>
            </w:r>
          </w:p>
        </w:tc>
      </w:tr>
    </w:tbl>
    <w:p w14:paraId="050BEC7D" w14:textId="77777777" w:rsidR="00E713B0" w:rsidRPr="0009445C" w:rsidRDefault="00E713B0" w:rsidP="00E713B0">
      <w:pPr>
        <w:pStyle w:val="BRL-Standard"/>
      </w:pPr>
    </w:p>
    <w:p w14:paraId="357C26B1" w14:textId="77777777" w:rsidR="00E713B0" w:rsidRPr="0009445C" w:rsidRDefault="00E713B0" w:rsidP="00E713B0">
      <w:pPr>
        <w:pStyle w:val="BRL-Standard"/>
      </w:pPr>
      <w:r w:rsidRPr="0009445C">
        <w:t xml:space="preserve">Fire-resistant </w:t>
      </w:r>
      <w:proofErr w:type="spellStart"/>
      <w:r w:rsidRPr="0009445C">
        <w:t>glazings</w:t>
      </w:r>
      <w:proofErr w:type="spellEnd"/>
      <w:r w:rsidRPr="0009445C">
        <w:t xml:space="preserve"> that do not meet these requirements (such as G-glazing according to DIN 4102</w:t>
      </w:r>
      <w:r w:rsidRPr="0009445C">
        <w:noBreakHyphen/>
        <w:t>13:1990</w:t>
      </w:r>
      <w:r w:rsidRPr="0009445C">
        <w:noBreakHyphen/>
        <w:t>05) are specified under A 2.1.3.3.1.</w:t>
      </w:r>
    </w:p>
    <w:p w14:paraId="76E51F60" w14:textId="77777777" w:rsidR="00E713B0" w:rsidRPr="0009445C" w:rsidRDefault="00E713B0" w:rsidP="00E713B0">
      <w:pPr>
        <w:pStyle w:val="BRL-Standard"/>
      </w:pPr>
    </w:p>
    <w:p w14:paraId="4EF1A63A" w14:textId="0AFC21D8" w:rsidR="00E713B0" w:rsidRPr="0009445C" w:rsidRDefault="00E713B0" w:rsidP="00600F53">
      <w:pPr>
        <w:pStyle w:val="BRL-berschrift"/>
      </w:pPr>
      <w:r w:rsidRPr="0009445C">
        <w:t>9.2</w:t>
      </w:r>
      <w:r w:rsidRPr="0009445C">
        <w:tab/>
        <w:t>Construction products for fire protection glazing according to ETAG 003 or EAD 210005-00-0505</w:t>
      </w:r>
    </w:p>
    <w:p w14:paraId="2782DEC1" w14:textId="77777777" w:rsidR="00E713B0" w:rsidRPr="0009445C" w:rsidRDefault="00E713B0" w:rsidP="00E713B0">
      <w:pPr>
        <w:pStyle w:val="BRL-Standard"/>
      </w:pPr>
      <w:r w:rsidRPr="0009445C">
        <w:t xml:space="preserve">To meet the building requirements in A 2.1.6, A 2.1.7, A 2.1.8, A 2.1.9 and A 2.1.12 when using construction products for fire-resistant </w:t>
      </w:r>
      <w:proofErr w:type="spellStart"/>
      <w:r w:rsidRPr="0009445C">
        <w:t>glazings</w:t>
      </w:r>
      <w:proofErr w:type="spellEnd"/>
      <w:r w:rsidRPr="0009445C">
        <w:t xml:space="preserve"> that are used as construction products for non-loadbearing interior partitions, the minimum required performances in Section 4.3 and Table 4.3.2 apply. According to A 2.1.6 or A 2.1.12, barriers to necessary openings in such dividing walls must have the same fire resistance as the non-load-bearing interior dividing wall. The minimum required performance of the barriers is set out in Section 5.1.4.</w:t>
      </w:r>
    </w:p>
    <w:p w14:paraId="62A86A3A" w14:textId="77777777" w:rsidR="00E713B0" w:rsidRPr="0009445C" w:rsidRDefault="00E713B0" w:rsidP="00E713B0">
      <w:pPr>
        <w:pStyle w:val="BRL-Standard"/>
      </w:pPr>
    </w:p>
    <w:p w14:paraId="72002449" w14:textId="77777777" w:rsidR="00E713B0" w:rsidRPr="0009445C" w:rsidRDefault="00E713B0" w:rsidP="00600F53">
      <w:pPr>
        <w:pStyle w:val="BRL-berschrift"/>
      </w:pPr>
      <w:r w:rsidRPr="0009445C">
        <w:t>9.3 Provisions on application and execution of construction products pursuant to 9.2</w:t>
      </w:r>
    </w:p>
    <w:p w14:paraId="0A7CEFF8" w14:textId="77777777" w:rsidR="00E713B0" w:rsidRPr="0009445C" w:rsidRDefault="00E713B0" w:rsidP="00E713B0">
      <w:pPr>
        <w:pStyle w:val="BRL-Standard"/>
      </w:pPr>
      <w:r w:rsidRPr="0009445C">
        <w:t>If the construction product used for the dividing wall is described conclusively in the ETA, the manufacturer shall provide a written German-language installation manual based on the classification document, which must contain at least the following information:</w:t>
      </w:r>
    </w:p>
    <w:p w14:paraId="760EC2D9" w14:textId="77777777" w:rsidR="00E713B0" w:rsidRPr="0009445C" w:rsidRDefault="00E713B0" w:rsidP="00E713B0">
      <w:pPr>
        <w:pStyle w:val="BRLAufzhlungAnstrich"/>
        <w:numPr>
          <w:ilvl w:val="0"/>
          <w:numId w:val="1"/>
        </w:numPr>
      </w:pPr>
      <w:r w:rsidRPr="0009445C">
        <w:t>description of the combination of the permitted structural elements,</w:t>
      </w:r>
    </w:p>
    <w:p w14:paraId="2F560328" w14:textId="77777777" w:rsidR="00E713B0" w:rsidRPr="0009445C" w:rsidRDefault="00E713B0" w:rsidP="00E713B0">
      <w:pPr>
        <w:pStyle w:val="BRLAufzhlungAnstrich"/>
        <w:numPr>
          <w:ilvl w:val="0"/>
          <w:numId w:val="1"/>
        </w:numPr>
      </w:pPr>
      <w:r w:rsidRPr="0009445C">
        <w:t>description of the installation in adjacent structural elements (including permitted fasteners and their distances),</w:t>
      </w:r>
    </w:p>
    <w:p w14:paraId="11C3E6FB" w14:textId="77777777" w:rsidR="00E713B0" w:rsidRPr="0009445C" w:rsidRDefault="00E713B0" w:rsidP="00E713B0">
      <w:pPr>
        <w:pStyle w:val="BRLAufzhlungAnstrich"/>
        <w:numPr>
          <w:ilvl w:val="0"/>
          <w:numId w:val="1"/>
        </w:numPr>
      </w:pPr>
      <w:r w:rsidRPr="0009445C">
        <w:t>description of permissible execution variants.</w:t>
      </w:r>
    </w:p>
    <w:p w14:paraId="2380EFAC" w14:textId="77777777" w:rsidR="00E713B0" w:rsidRPr="0009445C" w:rsidRDefault="00E713B0" w:rsidP="00E713B0">
      <w:pPr>
        <w:pStyle w:val="BRL-Standard"/>
      </w:pPr>
    </w:p>
    <w:p w14:paraId="24774DB6" w14:textId="77777777" w:rsidR="00E713B0" w:rsidRPr="0009445C" w:rsidRDefault="00E713B0" w:rsidP="00E713B0">
      <w:pPr>
        <w:pStyle w:val="BRL-Standard"/>
      </w:pPr>
      <w:r w:rsidRPr="0009445C">
        <w:t>Use is permitted only if the structural elements adjacent to the construction product that are described in the manufacturer’s installation manual are in compliance with the fire resistance requirements for the building structure and the space barrier pursuant to A 2.1.3.3. is not affected.</w:t>
      </w:r>
    </w:p>
    <w:p w14:paraId="0FED09C0" w14:textId="77777777" w:rsidR="00E713B0" w:rsidRPr="0009445C" w:rsidRDefault="00E713B0" w:rsidP="00E713B0"/>
    <w:p w14:paraId="139BBAEF" w14:textId="77777777" w:rsidR="00E713B0" w:rsidRPr="0009445C" w:rsidRDefault="00E713B0" w:rsidP="00E713B0">
      <w:pPr>
        <w:pStyle w:val="BRL-Standard"/>
      </w:pPr>
      <w:r w:rsidRPr="0009445C">
        <w:t>The user shall install the construction product in accordance with this installation manual and present the installation manual to the client together with a statement confirming correct installation.</w:t>
      </w:r>
    </w:p>
    <w:p w14:paraId="585F0E6E" w14:textId="77777777" w:rsidR="00E713B0" w:rsidRPr="0009445C" w:rsidRDefault="00E713B0" w:rsidP="00E713B0">
      <w:pPr>
        <w:pStyle w:val="BRL-Standard"/>
      </w:pPr>
    </w:p>
    <w:p w14:paraId="51B98739" w14:textId="77777777" w:rsidR="00E713B0" w:rsidRPr="0009445C" w:rsidRDefault="00E713B0" w:rsidP="00600F53">
      <w:pPr>
        <w:pStyle w:val="BRL-berschrift"/>
      </w:pPr>
      <w:r w:rsidRPr="0009445C">
        <w:t>10</w:t>
      </w:r>
      <w:r w:rsidRPr="0009445C">
        <w:tab/>
        <w:t>Special fire protection products</w:t>
      </w:r>
    </w:p>
    <w:p w14:paraId="558579CF" w14:textId="77777777" w:rsidR="00E713B0" w:rsidRPr="0009445C" w:rsidRDefault="00E713B0" w:rsidP="00600F53">
      <w:pPr>
        <w:pStyle w:val="BRL-berschrift"/>
      </w:pPr>
      <w:r w:rsidRPr="0009445C">
        <w:t>10.1</w:t>
      </w:r>
      <w:r w:rsidRPr="0009445C">
        <w:tab/>
        <w:t>fire-retardant agent</w:t>
      </w:r>
    </w:p>
    <w:p w14:paraId="7C9EEDCF" w14:textId="77777777" w:rsidR="00E713B0" w:rsidRPr="0009445C" w:rsidRDefault="00E713B0" w:rsidP="00600F53">
      <w:pPr>
        <w:pStyle w:val="BRL-berschrift"/>
      </w:pPr>
      <w:r w:rsidRPr="0009445C">
        <w:t>10.1.1</w:t>
      </w:r>
      <w:r w:rsidRPr="0009445C">
        <w:tab/>
        <w:t>General information</w:t>
      </w:r>
    </w:p>
    <w:p w14:paraId="781628D0" w14:textId="613C4F75" w:rsidR="00E713B0" w:rsidRPr="0009445C" w:rsidRDefault="00E713B0" w:rsidP="00E713B0">
      <w:pPr>
        <w:pStyle w:val="BRL-Standard"/>
      </w:pPr>
      <w:r w:rsidRPr="0009445C">
        <w:t>In order to fulfil the structural requirements in A 2.1.2 when using fire protective devices in based on proofs of fitness for purpose in accordance with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the minimum required classes and designations shall be as given in Section 1.1.</w:t>
      </w:r>
    </w:p>
    <w:p w14:paraId="0528B544" w14:textId="77777777" w:rsidR="00E713B0" w:rsidRPr="0009445C" w:rsidRDefault="00E713B0" w:rsidP="00E713B0">
      <w:pPr>
        <w:pStyle w:val="BRL-Standard"/>
      </w:pPr>
    </w:p>
    <w:p w14:paraId="05BEB55E" w14:textId="77777777" w:rsidR="00E713B0" w:rsidRPr="0009445C" w:rsidRDefault="00E713B0" w:rsidP="00E713B0">
      <w:pPr>
        <w:pStyle w:val="BRL-Standard"/>
      </w:pPr>
      <w:r w:rsidRPr="0009445C">
        <w:t>For the fulfilment of the building requirements in A 2.1.2 when using fire-retardant agents for which there are harmonised technical specifications, the minimum required performance shall be as given in Section 1.2.</w:t>
      </w:r>
    </w:p>
    <w:p w14:paraId="00408B74" w14:textId="77777777" w:rsidR="00E713B0" w:rsidRPr="0009445C" w:rsidRDefault="00E713B0" w:rsidP="00E713B0">
      <w:pPr>
        <w:pStyle w:val="BRL-Standard"/>
      </w:pPr>
    </w:p>
    <w:p w14:paraId="4BD930A6" w14:textId="77777777" w:rsidR="00007636" w:rsidRPr="0009445C" w:rsidRDefault="00007636">
      <w:pPr>
        <w:spacing w:after="200" w:line="276" w:lineRule="auto"/>
        <w:rPr>
          <w:b/>
          <w:bCs/>
          <w:szCs w:val="16"/>
        </w:rPr>
      </w:pPr>
      <w:r w:rsidRPr="0009445C">
        <w:br w:type="page"/>
      </w:r>
    </w:p>
    <w:p w14:paraId="47328C60" w14:textId="01B65B4C" w:rsidR="00E713B0" w:rsidRPr="0009445C" w:rsidRDefault="00E713B0" w:rsidP="00600F53">
      <w:pPr>
        <w:pStyle w:val="BRL-berschrift"/>
      </w:pPr>
      <w:r w:rsidRPr="0009445C">
        <w:lastRenderedPageBreak/>
        <w:t>10.1.2</w:t>
      </w:r>
      <w:r w:rsidRPr="0009445C">
        <w:tab/>
        <w:t>Rules for use and implementation of construction products with fire-retardant agents according to harmonised technical specifications</w:t>
      </w:r>
    </w:p>
    <w:p w14:paraId="7940114B" w14:textId="7E4EE5DC" w:rsidR="00E713B0" w:rsidRPr="0009445C" w:rsidRDefault="00E713B0" w:rsidP="00E713B0">
      <w:pPr>
        <w:pStyle w:val="BRL-Standard"/>
      </w:pPr>
      <w:r w:rsidRPr="0009445C">
        <w:t>If the construction product is described in the ETA according to ETAG 028 or EAD 350865-00-1106, the manufacturer shall provide a written installation instruction in German based on the classification document, which shall contain at least the following information:</w:t>
      </w:r>
    </w:p>
    <w:p w14:paraId="29E47158" w14:textId="77777777" w:rsidR="00E713B0" w:rsidRPr="0009445C" w:rsidRDefault="00E713B0" w:rsidP="00E713B0">
      <w:pPr>
        <w:pStyle w:val="BRL-Standard"/>
      </w:pPr>
    </w:p>
    <w:p w14:paraId="3BDD03A0" w14:textId="77777777" w:rsidR="00E713B0" w:rsidRPr="0009445C" w:rsidRDefault="00E713B0" w:rsidP="00E713B0">
      <w:pPr>
        <w:pStyle w:val="BRLAufzhlungAnstrich"/>
        <w:numPr>
          <w:ilvl w:val="0"/>
          <w:numId w:val="1"/>
        </w:numPr>
      </w:pPr>
      <w:r w:rsidRPr="0009445C">
        <w:t>description of the processing of the construction product,</w:t>
      </w:r>
    </w:p>
    <w:p w14:paraId="28E0F5FB" w14:textId="77777777" w:rsidR="00E713B0" w:rsidRPr="0009445C" w:rsidRDefault="00E713B0" w:rsidP="00E713B0">
      <w:pPr>
        <w:pStyle w:val="BRLAufzhlungAnstrich"/>
        <w:numPr>
          <w:ilvl w:val="0"/>
          <w:numId w:val="1"/>
        </w:numPr>
      </w:pPr>
      <w:r w:rsidRPr="0009445C">
        <w:t>description of the minimum applied quantity,</w:t>
      </w:r>
    </w:p>
    <w:p w14:paraId="59496464" w14:textId="77777777" w:rsidR="00E713B0" w:rsidRPr="0009445C" w:rsidRDefault="00E713B0" w:rsidP="00E713B0">
      <w:pPr>
        <w:pStyle w:val="BRLAufzhlungAnstrich"/>
        <w:numPr>
          <w:ilvl w:val="0"/>
          <w:numId w:val="1"/>
        </w:numPr>
      </w:pPr>
      <w:r w:rsidRPr="0009445C">
        <w:t>description of the installation of building materials finished with the construction product.</w:t>
      </w:r>
    </w:p>
    <w:p w14:paraId="6F9D31BB" w14:textId="77777777" w:rsidR="00E713B0" w:rsidRPr="0009445C" w:rsidRDefault="00E713B0" w:rsidP="00E713B0">
      <w:pPr>
        <w:pStyle w:val="BRL-Standard"/>
      </w:pPr>
    </w:p>
    <w:p w14:paraId="7C89D83A" w14:textId="77777777" w:rsidR="00E713B0" w:rsidRPr="0009445C" w:rsidRDefault="00E713B0" w:rsidP="00E713B0">
      <w:pPr>
        <w:pStyle w:val="BRL-Standard"/>
      </w:pPr>
      <w:r w:rsidRPr="0009445C">
        <w:t>fire-retardant agents are not verified for use on floorings and/or substrates subject to continuous moisture and/or UV</w:t>
      </w:r>
      <w:r w:rsidRPr="0009445C">
        <w:noBreakHyphen/>
        <w:t>radiation.</w:t>
      </w:r>
    </w:p>
    <w:p w14:paraId="4F392EAB" w14:textId="77777777" w:rsidR="00E713B0" w:rsidRPr="0009445C" w:rsidRDefault="00E713B0" w:rsidP="00E713B0"/>
    <w:p w14:paraId="5FC02ADD" w14:textId="77777777" w:rsidR="00E713B0" w:rsidRPr="0009445C" w:rsidRDefault="00E713B0" w:rsidP="00600F53">
      <w:pPr>
        <w:pStyle w:val="BRL-berschrift"/>
      </w:pPr>
      <w:r w:rsidRPr="0009445C">
        <w:t>10.2</w:t>
      </w:r>
      <w:r w:rsidRPr="0009445C">
        <w:tab/>
        <w:t>Reactive fire protection coating on steel structural elements</w:t>
      </w:r>
    </w:p>
    <w:p w14:paraId="6A394AD5" w14:textId="14DEF9D3" w:rsidR="00E713B0" w:rsidRPr="0009445C" w:rsidRDefault="00E713B0" w:rsidP="00E713B0">
      <w:pPr>
        <w:pStyle w:val="BRL-Standard"/>
      </w:pPr>
      <w:r w:rsidRPr="0009445C">
        <w:t>In order to fulfil the structural requirements in A 2.1.4 when using reactive fire protective coatings on steel structural elements based on proofs of fitness for purpose in accordance with § 17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 the minimum required classes and designations shall be as given in Section 4.3.</w:t>
      </w:r>
    </w:p>
    <w:p w14:paraId="32F8B275" w14:textId="77777777" w:rsidR="00E713B0" w:rsidRPr="0009445C" w:rsidRDefault="00E713B0" w:rsidP="00E713B0">
      <w:pPr>
        <w:pStyle w:val="BRL-Standard"/>
      </w:pPr>
    </w:p>
    <w:p w14:paraId="09E30D9F" w14:textId="77777777" w:rsidR="00E713B0" w:rsidRPr="0009445C" w:rsidRDefault="00E713B0" w:rsidP="00E713B0">
      <w:pPr>
        <w:pStyle w:val="BRL-Standard"/>
      </w:pPr>
      <w:r w:rsidRPr="0009445C">
        <w:t>In order to fulfil the building requirements in A 2.1.4 when using reactive fire protection coatings on steel structural elements for ETA according to ETAG 018-1 and -2/EAD 350402-00-1101, the minimum required performance shall be as given in Section 4.3 and the designations as given in Table 4.3.1, footnote 1.</w:t>
      </w:r>
    </w:p>
    <w:p w14:paraId="668E3B71" w14:textId="77777777" w:rsidR="00E713B0" w:rsidRPr="0009445C" w:rsidRDefault="00E713B0" w:rsidP="00E713B0"/>
    <w:p w14:paraId="798B3E1B" w14:textId="77777777" w:rsidR="00E713B0" w:rsidRPr="0009445C" w:rsidRDefault="00E713B0" w:rsidP="00600F53">
      <w:pPr>
        <w:pStyle w:val="BRL-berschrift"/>
      </w:pPr>
      <w:r w:rsidRPr="0009445C">
        <w:t>Provisions on application and execution</w:t>
      </w:r>
    </w:p>
    <w:p w14:paraId="6DDA8CC3" w14:textId="31EAA818" w:rsidR="00E713B0" w:rsidRPr="0009445C" w:rsidRDefault="00E713B0" w:rsidP="00E713B0">
      <w:pPr>
        <w:pStyle w:val="BRL-Standard"/>
      </w:pPr>
      <w:r w:rsidRPr="0009445C">
        <w:t>In the absence of a technical best practice for the planning, designing and execution, the use of reactive fire protective coatings on steel structural elements pursuant to ETAG 018-1 and -2 or EAD 350402-00-1101 requires proof pursuant to § 16a MBO</w:t>
      </w:r>
      <w:r w:rsidRPr="0009445C">
        <w:rPr>
          <w:rStyle w:val="FootnoteReference"/>
        </w:rPr>
        <w:fldChar w:fldCharType="begin"/>
      </w:r>
      <w:r w:rsidRPr="0009445C">
        <w:rPr>
          <w:rStyle w:val="FootnoteReference"/>
        </w:rPr>
        <w:instrText xml:space="preserve"> NOTEREF _Ref77255283 \h  \* MERGEFORMAT </w:instrText>
      </w:r>
      <w:r w:rsidRPr="0009445C">
        <w:rPr>
          <w:rStyle w:val="FootnoteReference"/>
        </w:rPr>
        <w:fldChar w:fldCharType="separate"/>
      </w:r>
      <w:r w:rsidR="0009445C" w:rsidRPr="0009445C">
        <w:rPr>
          <w:rStyle w:val="FootnoteReference"/>
          <w:b/>
          <w:bCs/>
          <w:lang w:val="en-US"/>
        </w:rPr>
        <w:t>Error! Bookmark not defined.</w:t>
      </w:r>
      <w:r w:rsidRPr="0009445C">
        <w:rPr>
          <w:rStyle w:val="FootnoteReference"/>
        </w:rPr>
        <w:fldChar w:fldCharType="end"/>
      </w:r>
      <w:r w:rsidRPr="0009445C">
        <w:t>.</w:t>
      </w:r>
    </w:p>
    <w:p w14:paraId="745717E3" w14:textId="77777777" w:rsidR="00E713B0" w:rsidRPr="0009445C" w:rsidRDefault="00E713B0" w:rsidP="00E713B0">
      <w:pPr>
        <w:pStyle w:val="BRL-Standard"/>
      </w:pPr>
    </w:p>
    <w:p w14:paraId="4C3C53D4" w14:textId="77777777" w:rsidR="00E713B0" w:rsidRPr="0009445C" w:rsidRDefault="00E713B0" w:rsidP="00600F53">
      <w:pPr>
        <w:pStyle w:val="BRL-berschrift"/>
      </w:pPr>
      <w:r w:rsidRPr="0009445C">
        <w:t>10.3</w:t>
      </w:r>
      <w:r w:rsidRPr="0009445C">
        <w:tab/>
        <w:t>Linear joint seals</w:t>
      </w:r>
    </w:p>
    <w:p w14:paraId="4168C94D" w14:textId="77777777" w:rsidR="00E713B0" w:rsidRPr="0009445C" w:rsidRDefault="00E713B0" w:rsidP="00E713B0">
      <w:pPr>
        <w:pStyle w:val="BRL-Standard"/>
      </w:pPr>
      <w:r w:rsidRPr="0009445C">
        <w:t>Joint seals pursuant to EAD 350141-00-1106 are suitable for closing structurally defined horizontal and vertical linear joints (connection, structural and expansion joints) in or between fire-resistant space-enclosing structural elements.</w:t>
      </w:r>
    </w:p>
    <w:p w14:paraId="6BFF6E47" w14:textId="77777777" w:rsidR="00E713B0" w:rsidRPr="0009445C" w:rsidRDefault="00E713B0" w:rsidP="00E713B0">
      <w:pPr>
        <w:pStyle w:val="BRL-Standard"/>
      </w:pPr>
    </w:p>
    <w:p w14:paraId="41369BCB" w14:textId="77777777" w:rsidR="00E713B0" w:rsidRPr="0009445C" w:rsidRDefault="00E713B0" w:rsidP="00E713B0">
      <w:pPr>
        <w:pStyle w:val="BRL-Standard"/>
      </w:pPr>
      <w:r w:rsidRPr="0009445C">
        <w:t>Joints are not independently considered under the building regulations.</w:t>
      </w:r>
    </w:p>
    <w:p w14:paraId="67039A47" w14:textId="77777777" w:rsidR="00E713B0" w:rsidRPr="0009445C" w:rsidRDefault="00E713B0" w:rsidP="00E713B0">
      <w:pPr>
        <w:pStyle w:val="BRL-Standard"/>
      </w:pPr>
      <w:r w:rsidRPr="0009445C">
        <w:t>Declaration of the ‘fire resistance’ performance characteristic for joint seals as per EAD 350141-00-1106 is not a substitute for the required proof of fire resistance of the overall component including joint(s).</w:t>
      </w:r>
    </w:p>
    <w:p w14:paraId="10428657" w14:textId="77777777" w:rsidR="00E713B0" w:rsidRPr="0009445C" w:rsidRDefault="00E713B0" w:rsidP="00E713B0">
      <w:pPr>
        <w:pStyle w:val="BRL-Standard"/>
      </w:pPr>
    </w:p>
    <w:p w14:paraId="63286456" w14:textId="77777777" w:rsidR="00E713B0" w:rsidRPr="0009445C" w:rsidRDefault="00E713B0" w:rsidP="00E713B0">
      <w:pPr>
        <w:spacing w:line="240" w:lineRule="auto"/>
        <w:rPr>
          <w:b/>
          <w:szCs w:val="22"/>
        </w:rPr>
      </w:pPr>
      <w:r w:rsidRPr="0009445C">
        <w:br w:type="page"/>
      </w:r>
    </w:p>
    <w:p w14:paraId="1F9E21F1" w14:textId="418EB24B" w:rsidR="00E713B0" w:rsidRPr="0009445C" w:rsidRDefault="00E713B0" w:rsidP="00E713B0">
      <w:pPr>
        <w:pStyle w:val="BRLTabelleberschrift"/>
        <w:spacing w:before="0" w:after="120"/>
      </w:pPr>
      <w:r w:rsidRPr="0009445C">
        <w:lastRenderedPageBreak/>
        <w:t xml:space="preserve">Appendix to Annex 4: </w:t>
      </w:r>
      <w:r w:rsidRPr="0009445C">
        <w:tab/>
        <w:t>Explanations of the classification criteria and additional information on classification in Annex 4</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454"/>
        <w:gridCol w:w="2296"/>
        <w:gridCol w:w="3240"/>
        <w:gridCol w:w="3078"/>
      </w:tblGrid>
      <w:tr w:rsidR="00E713B0" w:rsidRPr="0009445C" w14:paraId="4A66DF44" w14:textId="77777777" w:rsidTr="00E713B0">
        <w:trPr>
          <w:cantSplit/>
          <w:trHeight w:val="580"/>
          <w:tblHeader/>
        </w:trPr>
        <w:tc>
          <w:tcPr>
            <w:tcW w:w="454" w:type="dxa"/>
            <w:shd w:val="clear" w:color="auto" w:fill="FFFFFF"/>
          </w:tcPr>
          <w:p w14:paraId="1088E735" w14:textId="77777777" w:rsidR="00E713B0" w:rsidRPr="0009445C" w:rsidRDefault="00E713B0" w:rsidP="00E713B0">
            <w:pPr>
              <w:pStyle w:val="BRL-TabelleberschriftAnhang"/>
              <w:jc w:val="center"/>
            </w:pPr>
          </w:p>
        </w:tc>
        <w:tc>
          <w:tcPr>
            <w:tcW w:w="2296" w:type="dxa"/>
            <w:shd w:val="clear" w:color="auto" w:fill="FFFFFF"/>
          </w:tcPr>
          <w:p w14:paraId="6F1A88C2" w14:textId="77777777" w:rsidR="00E713B0" w:rsidRPr="0009445C" w:rsidRDefault="00E713B0" w:rsidP="00E713B0">
            <w:pPr>
              <w:pStyle w:val="BRL-TabelleberschriftAnhang"/>
            </w:pPr>
            <w:r w:rsidRPr="0009445C">
              <w:t>Derivation of the abbreviation</w:t>
            </w:r>
          </w:p>
        </w:tc>
        <w:tc>
          <w:tcPr>
            <w:tcW w:w="3240" w:type="dxa"/>
            <w:shd w:val="clear" w:color="auto" w:fill="FFFFFF"/>
          </w:tcPr>
          <w:p w14:paraId="67FD76A1" w14:textId="77777777" w:rsidR="00E713B0" w:rsidRPr="0009445C" w:rsidRDefault="00E713B0" w:rsidP="00E713B0">
            <w:pPr>
              <w:pStyle w:val="BRL-TabelleberschriftAnhang"/>
            </w:pPr>
            <w:r w:rsidRPr="0009445C">
              <w:t>Criterion</w:t>
            </w:r>
          </w:p>
        </w:tc>
        <w:tc>
          <w:tcPr>
            <w:tcW w:w="3078" w:type="dxa"/>
            <w:shd w:val="clear" w:color="auto" w:fill="FFFFFF"/>
          </w:tcPr>
          <w:p w14:paraId="01BCFDF2" w14:textId="77777777" w:rsidR="00E713B0" w:rsidRPr="0009445C" w:rsidRDefault="00E713B0" w:rsidP="00E713B0">
            <w:pPr>
              <w:pStyle w:val="BRL-TabelleberschriftAnhang"/>
            </w:pPr>
            <w:r w:rsidRPr="0009445C">
              <w:t>Scope</w:t>
            </w:r>
          </w:p>
        </w:tc>
      </w:tr>
      <w:tr w:rsidR="00E713B0" w:rsidRPr="0009445C" w14:paraId="69E1643C" w14:textId="77777777" w:rsidTr="00E713B0">
        <w:trPr>
          <w:cantSplit/>
          <w:trHeight w:val="285"/>
          <w:tblHeader/>
        </w:trPr>
        <w:tc>
          <w:tcPr>
            <w:tcW w:w="454" w:type="dxa"/>
            <w:shd w:val="clear" w:color="auto" w:fill="FFFFFF"/>
          </w:tcPr>
          <w:p w14:paraId="67900FF1" w14:textId="77777777" w:rsidR="00E713B0" w:rsidRPr="0009445C" w:rsidRDefault="00E713B0" w:rsidP="00E713B0">
            <w:pPr>
              <w:pStyle w:val="BRL-TabelleberschriftAnhang"/>
              <w:jc w:val="center"/>
            </w:pPr>
          </w:p>
        </w:tc>
        <w:tc>
          <w:tcPr>
            <w:tcW w:w="2296" w:type="dxa"/>
            <w:shd w:val="clear" w:color="auto" w:fill="FFFFFF"/>
          </w:tcPr>
          <w:p w14:paraId="1CC07209" w14:textId="77777777" w:rsidR="00E713B0" w:rsidRPr="0009445C" w:rsidRDefault="00E713B0" w:rsidP="00E713B0">
            <w:pPr>
              <w:pStyle w:val="BRL-TabelleberschriftAnhang"/>
              <w:jc w:val="center"/>
            </w:pPr>
            <w:r w:rsidRPr="0009445C">
              <w:t>1</w:t>
            </w:r>
          </w:p>
        </w:tc>
        <w:tc>
          <w:tcPr>
            <w:tcW w:w="3240" w:type="dxa"/>
            <w:shd w:val="clear" w:color="auto" w:fill="FFFFFF"/>
          </w:tcPr>
          <w:p w14:paraId="1DE382D0" w14:textId="77777777" w:rsidR="00E713B0" w:rsidRPr="0009445C" w:rsidRDefault="00E713B0" w:rsidP="00E713B0">
            <w:pPr>
              <w:pStyle w:val="BRL-TabelleberschriftAnhang"/>
              <w:jc w:val="center"/>
            </w:pPr>
            <w:r w:rsidRPr="0009445C">
              <w:t>2</w:t>
            </w:r>
          </w:p>
        </w:tc>
        <w:tc>
          <w:tcPr>
            <w:tcW w:w="3078" w:type="dxa"/>
            <w:shd w:val="clear" w:color="auto" w:fill="FFFFFF"/>
          </w:tcPr>
          <w:p w14:paraId="3C1E1A3D" w14:textId="77777777" w:rsidR="00E713B0" w:rsidRPr="0009445C" w:rsidRDefault="00E713B0" w:rsidP="00E713B0">
            <w:pPr>
              <w:pStyle w:val="BRL-TabelleberschriftAnhang"/>
              <w:jc w:val="center"/>
            </w:pPr>
            <w:r w:rsidRPr="0009445C">
              <w:t>3</w:t>
            </w:r>
          </w:p>
        </w:tc>
      </w:tr>
      <w:tr w:rsidR="00E713B0" w:rsidRPr="0009445C" w14:paraId="2A999CB2" w14:textId="77777777" w:rsidTr="00E713B0">
        <w:trPr>
          <w:cantSplit/>
        </w:trPr>
        <w:tc>
          <w:tcPr>
            <w:tcW w:w="454" w:type="dxa"/>
            <w:shd w:val="clear" w:color="auto" w:fill="FFFFFF"/>
          </w:tcPr>
          <w:p w14:paraId="06CF35FB" w14:textId="77777777" w:rsidR="00E713B0" w:rsidRPr="0009445C" w:rsidRDefault="00E713B0" w:rsidP="00E713B0">
            <w:pPr>
              <w:pStyle w:val="BRL-Tabelle"/>
              <w:spacing w:before="60" w:after="40"/>
              <w:ind w:left="113" w:right="113"/>
              <w:jc w:val="center"/>
              <w:rPr>
                <w:b/>
              </w:rPr>
            </w:pPr>
            <w:r w:rsidRPr="0009445C">
              <w:rPr>
                <w:b/>
              </w:rPr>
              <w:t>1</w:t>
            </w:r>
          </w:p>
        </w:tc>
        <w:tc>
          <w:tcPr>
            <w:tcW w:w="2296" w:type="dxa"/>
            <w:shd w:val="clear" w:color="auto" w:fill="FFFFFF"/>
          </w:tcPr>
          <w:p w14:paraId="56568C0A" w14:textId="77777777" w:rsidR="00E713B0" w:rsidRPr="0009445C" w:rsidRDefault="00E713B0" w:rsidP="00E713B0">
            <w:pPr>
              <w:pStyle w:val="BRL-Tabelle"/>
              <w:spacing w:before="60" w:after="40"/>
              <w:ind w:left="113" w:right="113"/>
            </w:pPr>
            <w:r w:rsidRPr="0009445C">
              <w:t>R (</w:t>
            </w:r>
            <w:proofErr w:type="spellStart"/>
            <w:r w:rsidRPr="0009445C">
              <w:t>Résistance</w:t>
            </w:r>
            <w:proofErr w:type="spellEnd"/>
            <w:r w:rsidRPr="0009445C">
              <w:t xml:space="preserve"> [resistance])</w:t>
            </w:r>
          </w:p>
        </w:tc>
        <w:tc>
          <w:tcPr>
            <w:tcW w:w="3240" w:type="dxa"/>
            <w:shd w:val="clear" w:color="auto" w:fill="FFFFFF"/>
          </w:tcPr>
          <w:p w14:paraId="51473BC4" w14:textId="77777777" w:rsidR="00E713B0" w:rsidRPr="0009445C" w:rsidRDefault="00E713B0" w:rsidP="00E713B0">
            <w:pPr>
              <w:pStyle w:val="BRL-Tabelle"/>
              <w:spacing w:before="60" w:after="40"/>
              <w:ind w:left="113" w:right="113"/>
            </w:pPr>
            <w:r w:rsidRPr="0009445C">
              <w:t>Load-bearing capacity</w:t>
            </w:r>
          </w:p>
        </w:tc>
        <w:tc>
          <w:tcPr>
            <w:tcW w:w="3078" w:type="dxa"/>
            <w:vMerge w:val="restart"/>
            <w:shd w:val="clear" w:color="auto" w:fill="FFFFFF"/>
            <w:vAlign w:val="center"/>
          </w:tcPr>
          <w:p w14:paraId="34CCA9C4" w14:textId="77777777" w:rsidR="00E713B0" w:rsidRPr="0009445C" w:rsidRDefault="00E713B0" w:rsidP="00E713B0">
            <w:pPr>
              <w:pStyle w:val="BRL-Tabelle"/>
              <w:spacing w:before="60" w:after="40"/>
              <w:ind w:left="113" w:right="113"/>
            </w:pPr>
            <w:r w:rsidRPr="0009445C">
              <w:t>for the description of fire resistance</w:t>
            </w:r>
          </w:p>
        </w:tc>
      </w:tr>
      <w:tr w:rsidR="00E713B0" w:rsidRPr="0009445C" w14:paraId="3CECA4DF" w14:textId="77777777" w:rsidTr="00E713B0">
        <w:trPr>
          <w:cantSplit/>
        </w:trPr>
        <w:tc>
          <w:tcPr>
            <w:tcW w:w="454" w:type="dxa"/>
            <w:shd w:val="clear" w:color="auto" w:fill="FFFFFF"/>
          </w:tcPr>
          <w:p w14:paraId="621D1FFE" w14:textId="77777777" w:rsidR="00E713B0" w:rsidRPr="0009445C" w:rsidRDefault="00E713B0" w:rsidP="00E713B0">
            <w:pPr>
              <w:pStyle w:val="BRL-Tabelle"/>
              <w:spacing w:before="60" w:after="40"/>
              <w:ind w:left="113" w:right="113"/>
              <w:jc w:val="center"/>
              <w:rPr>
                <w:b/>
              </w:rPr>
            </w:pPr>
            <w:r w:rsidRPr="0009445C">
              <w:rPr>
                <w:b/>
              </w:rPr>
              <w:t>2</w:t>
            </w:r>
          </w:p>
        </w:tc>
        <w:tc>
          <w:tcPr>
            <w:tcW w:w="2296" w:type="dxa"/>
            <w:shd w:val="clear" w:color="auto" w:fill="FFFFFF"/>
          </w:tcPr>
          <w:p w14:paraId="1261507B" w14:textId="77777777" w:rsidR="00E713B0" w:rsidRPr="0009445C" w:rsidRDefault="00E713B0" w:rsidP="00E713B0">
            <w:pPr>
              <w:pStyle w:val="BRL-Tabelle"/>
              <w:spacing w:before="60" w:after="40"/>
              <w:ind w:left="113" w:right="113"/>
            </w:pPr>
            <w:r w:rsidRPr="0009445C">
              <w:t>E (</w:t>
            </w:r>
            <w:proofErr w:type="spellStart"/>
            <w:r w:rsidRPr="0009445C">
              <w:t>Étanchéité</w:t>
            </w:r>
            <w:proofErr w:type="spellEnd"/>
            <w:r w:rsidRPr="0009445C">
              <w:t xml:space="preserve"> [leak sealant])</w:t>
            </w:r>
          </w:p>
        </w:tc>
        <w:tc>
          <w:tcPr>
            <w:tcW w:w="3240" w:type="dxa"/>
            <w:shd w:val="clear" w:color="auto" w:fill="FFFFFF"/>
          </w:tcPr>
          <w:p w14:paraId="3A59462A" w14:textId="77777777" w:rsidR="00E713B0" w:rsidRPr="0009445C" w:rsidRDefault="00E713B0" w:rsidP="00E713B0">
            <w:pPr>
              <w:pStyle w:val="BRL-Tabelle"/>
              <w:spacing w:before="60" w:after="40"/>
              <w:ind w:left="113" w:right="113"/>
            </w:pPr>
            <w:r w:rsidRPr="0009445C">
              <w:t>Space barrier</w:t>
            </w:r>
          </w:p>
        </w:tc>
        <w:tc>
          <w:tcPr>
            <w:tcW w:w="3078" w:type="dxa"/>
            <w:vMerge/>
            <w:shd w:val="clear" w:color="auto" w:fill="FFFFFF"/>
          </w:tcPr>
          <w:p w14:paraId="0DE59E0A" w14:textId="77777777" w:rsidR="00E713B0" w:rsidRPr="0009445C" w:rsidRDefault="00E713B0" w:rsidP="00E713B0">
            <w:pPr>
              <w:pStyle w:val="BRL-Tabelle"/>
              <w:spacing w:before="60" w:after="40"/>
              <w:ind w:left="113" w:right="113"/>
            </w:pPr>
          </w:p>
        </w:tc>
      </w:tr>
      <w:tr w:rsidR="00E713B0" w:rsidRPr="0009445C" w14:paraId="18954C3E" w14:textId="77777777" w:rsidTr="00E713B0">
        <w:trPr>
          <w:cantSplit/>
        </w:trPr>
        <w:tc>
          <w:tcPr>
            <w:tcW w:w="454" w:type="dxa"/>
            <w:shd w:val="clear" w:color="auto" w:fill="FFFFFF"/>
          </w:tcPr>
          <w:p w14:paraId="5D7DE48A" w14:textId="77777777" w:rsidR="00E713B0" w:rsidRPr="0009445C" w:rsidRDefault="00E713B0" w:rsidP="00E713B0">
            <w:pPr>
              <w:pStyle w:val="BRL-Tabelle"/>
              <w:spacing w:before="60" w:after="40"/>
              <w:ind w:left="113" w:right="113"/>
              <w:jc w:val="center"/>
              <w:rPr>
                <w:b/>
              </w:rPr>
            </w:pPr>
            <w:r w:rsidRPr="0009445C">
              <w:rPr>
                <w:b/>
              </w:rPr>
              <w:t>3</w:t>
            </w:r>
          </w:p>
        </w:tc>
        <w:tc>
          <w:tcPr>
            <w:tcW w:w="2296" w:type="dxa"/>
            <w:shd w:val="clear" w:color="auto" w:fill="FFFFFF"/>
          </w:tcPr>
          <w:p w14:paraId="41B560B1" w14:textId="77777777" w:rsidR="00E713B0" w:rsidRPr="0009445C" w:rsidRDefault="00E713B0" w:rsidP="00E713B0">
            <w:pPr>
              <w:pStyle w:val="BRL-Tabelle"/>
              <w:spacing w:before="60" w:after="40"/>
              <w:ind w:left="113" w:right="113"/>
            </w:pPr>
            <w:r w:rsidRPr="0009445C">
              <w:t>I (Isolation)</w:t>
            </w:r>
          </w:p>
        </w:tc>
        <w:tc>
          <w:tcPr>
            <w:tcW w:w="3240" w:type="dxa"/>
            <w:shd w:val="clear" w:color="auto" w:fill="FFFFFF"/>
          </w:tcPr>
          <w:p w14:paraId="664B48FB" w14:textId="77777777" w:rsidR="00E713B0" w:rsidRPr="0009445C" w:rsidRDefault="00E713B0" w:rsidP="00E713B0">
            <w:pPr>
              <w:pStyle w:val="BRL-Tabelle"/>
              <w:spacing w:before="60" w:after="40"/>
              <w:ind w:left="113" w:right="113"/>
            </w:pPr>
            <w:r w:rsidRPr="0009445C">
              <w:t>Thermal insulation (under fire exposure)</w:t>
            </w:r>
          </w:p>
        </w:tc>
        <w:tc>
          <w:tcPr>
            <w:tcW w:w="3078" w:type="dxa"/>
            <w:vMerge/>
            <w:shd w:val="clear" w:color="auto" w:fill="FFFFFF"/>
          </w:tcPr>
          <w:p w14:paraId="713BA77D" w14:textId="77777777" w:rsidR="00E713B0" w:rsidRPr="0009445C" w:rsidRDefault="00E713B0" w:rsidP="00E713B0">
            <w:pPr>
              <w:pStyle w:val="BRL-Tabelle"/>
              <w:spacing w:before="60" w:after="40"/>
              <w:ind w:left="113" w:right="113"/>
            </w:pPr>
          </w:p>
        </w:tc>
      </w:tr>
      <w:tr w:rsidR="00E713B0" w:rsidRPr="0009445C" w14:paraId="6CC4F886" w14:textId="77777777" w:rsidTr="00E713B0">
        <w:trPr>
          <w:cantSplit/>
        </w:trPr>
        <w:tc>
          <w:tcPr>
            <w:tcW w:w="454" w:type="dxa"/>
            <w:shd w:val="clear" w:color="auto" w:fill="FFFFFF"/>
          </w:tcPr>
          <w:p w14:paraId="329A944E" w14:textId="77777777" w:rsidR="00E713B0" w:rsidRPr="0009445C" w:rsidRDefault="00E713B0" w:rsidP="00E713B0">
            <w:pPr>
              <w:pStyle w:val="BRL-Tabelle"/>
              <w:spacing w:before="60" w:after="40"/>
              <w:ind w:left="113" w:right="113"/>
              <w:jc w:val="center"/>
              <w:rPr>
                <w:b/>
              </w:rPr>
            </w:pPr>
            <w:r w:rsidRPr="0009445C">
              <w:rPr>
                <w:b/>
              </w:rPr>
              <w:t>4</w:t>
            </w:r>
          </w:p>
        </w:tc>
        <w:tc>
          <w:tcPr>
            <w:tcW w:w="2296" w:type="dxa"/>
            <w:shd w:val="clear" w:color="auto" w:fill="FFFFFF"/>
          </w:tcPr>
          <w:p w14:paraId="6F384D80" w14:textId="77777777" w:rsidR="00E713B0" w:rsidRPr="0009445C" w:rsidRDefault="00E713B0" w:rsidP="00E713B0">
            <w:pPr>
              <w:pStyle w:val="BRL-Tabelle"/>
              <w:spacing w:before="60" w:after="40"/>
              <w:ind w:left="113" w:right="113"/>
            </w:pPr>
            <w:r w:rsidRPr="0009445C">
              <w:t>W (Radiation)</w:t>
            </w:r>
          </w:p>
        </w:tc>
        <w:tc>
          <w:tcPr>
            <w:tcW w:w="3240" w:type="dxa"/>
            <w:shd w:val="clear" w:color="auto" w:fill="FFFFFF"/>
          </w:tcPr>
          <w:p w14:paraId="5E02072F" w14:textId="77777777" w:rsidR="00E713B0" w:rsidRPr="0009445C" w:rsidRDefault="00E713B0" w:rsidP="00E713B0">
            <w:pPr>
              <w:pStyle w:val="BRL-Tabelle"/>
              <w:spacing w:before="60" w:after="40"/>
              <w:ind w:left="113" w:right="113"/>
            </w:pPr>
            <w:r w:rsidRPr="0009445C">
              <w:t>Limiting radiation passage</w:t>
            </w:r>
          </w:p>
        </w:tc>
        <w:tc>
          <w:tcPr>
            <w:tcW w:w="3078" w:type="dxa"/>
            <w:vMerge/>
            <w:shd w:val="clear" w:color="auto" w:fill="FFFFFF"/>
          </w:tcPr>
          <w:p w14:paraId="0EDA6E45" w14:textId="77777777" w:rsidR="00E713B0" w:rsidRPr="0009445C" w:rsidRDefault="00E713B0" w:rsidP="00E713B0">
            <w:pPr>
              <w:pStyle w:val="BRL-Tabelle"/>
              <w:spacing w:before="60" w:after="40"/>
              <w:ind w:left="113" w:right="113"/>
            </w:pPr>
          </w:p>
        </w:tc>
      </w:tr>
      <w:tr w:rsidR="00E713B0" w:rsidRPr="0009445C" w14:paraId="262BE2FB" w14:textId="77777777" w:rsidTr="00E713B0">
        <w:tblPrEx>
          <w:tblLook w:val="04A0" w:firstRow="1" w:lastRow="0" w:firstColumn="1" w:lastColumn="0" w:noHBand="0" w:noVBand="1"/>
        </w:tblPrEx>
        <w:trPr>
          <w:cantSplit/>
        </w:trPr>
        <w:tc>
          <w:tcPr>
            <w:tcW w:w="454" w:type="dxa"/>
            <w:shd w:val="clear" w:color="auto" w:fill="FFFFFF"/>
          </w:tcPr>
          <w:p w14:paraId="5B7F1401" w14:textId="77777777" w:rsidR="00E713B0" w:rsidRPr="0009445C" w:rsidRDefault="00E713B0" w:rsidP="00E713B0">
            <w:pPr>
              <w:pStyle w:val="BRL-Tabelle"/>
              <w:spacing w:before="60" w:after="40"/>
              <w:ind w:left="113" w:right="113"/>
              <w:jc w:val="center"/>
              <w:rPr>
                <w:b/>
              </w:rPr>
            </w:pPr>
            <w:r w:rsidRPr="0009445C">
              <w:rPr>
                <w:b/>
              </w:rPr>
              <w:t>5</w:t>
            </w:r>
          </w:p>
        </w:tc>
        <w:tc>
          <w:tcPr>
            <w:tcW w:w="2296" w:type="dxa"/>
            <w:shd w:val="clear" w:color="auto" w:fill="FFFFFF"/>
          </w:tcPr>
          <w:p w14:paraId="352F56C9" w14:textId="77777777" w:rsidR="00E713B0" w:rsidRPr="0009445C" w:rsidRDefault="00E713B0" w:rsidP="00E713B0">
            <w:pPr>
              <w:pStyle w:val="BRL-Tabelle"/>
              <w:spacing w:before="60" w:after="40"/>
              <w:ind w:left="113" w:right="113"/>
            </w:pPr>
            <w:r w:rsidRPr="0009445C">
              <w:t>M (Mechanical)</w:t>
            </w:r>
          </w:p>
        </w:tc>
        <w:tc>
          <w:tcPr>
            <w:tcW w:w="3240" w:type="dxa"/>
            <w:shd w:val="clear" w:color="auto" w:fill="FFFFFF"/>
          </w:tcPr>
          <w:p w14:paraId="7421307D" w14:textId="77777777" w:rsidR="00E713B0" w:rsidRPr="0009445C" w:rsidRDefault="00E713B0" w:rsidP="00E713B0">
            <w:pPr>
              <w:pStyle w:val="BRL-Tabelle"/>
              <w:spacing w:before="60" w:after="40"/>
              <w:ind w:left="113" w:right="113"/>
            </w:pPr>
            <w:r w:rsidRPr="0009445C">
              <w:t>Mechanical effect on walls (impact stress)</w:t>
            </w:r>
          </w:p>
        </w:tc>
        <w:tc>
          <w:tcPr>
            <w:tcW w:w="3078" w:type="dxa"/>
            <w:vMerge/>
            <w:shd w:val="clear" w:color="auto" w:fill="FFFFFF"/>
          </w:tcPr>
          <w:p w14:paraId="384E1296" w14:textId="77777777" w:rsidR="00E713B0" w:rsidRPr="0009445C" w:rsidRDefault="00E713B0" w:rsidP="00E713B0">
            <w:pPr>
              <w:pStyle w:val="BRL-Tabelle"/>
              <w:spacing w:before="60" w:after="40"/>
              <w:ind w:left="113" w:right="113"/>
            </w:pPr>
          </w:p>
        </w:tc>
      </w:tr>
      <w:tr w:rsidR="00E713B0" w:rsidRPr="0009445C" w14:paraId="1512B3A9" w14:textId="77777777" w:rsidTr="00E713B0">
        <w:tblPrEx>
          <w:tblLook w:val="04A0" w:firstRow="1" w:lastRow="0" w:firstColumn="1" w:lastColumn="0" w:noHBand="0" w:noVBand="1"/>
        </w:tblPrEx>
        <w:trPr>
          <w:cantSplit/>
        </w:trPr>
        <w:tc>
          <w:tcPr>
            <w:tcW w:w="454" w:type="dxa"/>
            <w:shd w:val="clear" w:color="auto" w:fill="FFFFFF"/>
          </w:tcPr>
          <w:p w14:paraId="7CAF6C87" w14:textId="77777777" w:rsidR="00E713B0" w:rsidRPr="0009445C" w:rsidRDefault="00E713B0" w:rsidP="00E713B0">
            <w:pPr>
              <w:pStyle w:val="BRL-Tabelle"/>
              <w:spacing w:before="60" w:after="40"/>
              <w:ind w:left="113" w:right="113"/>
              <w:jc w:val="center"/>
              <w:rPr>
                <w:b/>
              </w:rPr>
            </w:pPr>
            <w:r w:rsidRPr="0009445C">
              <w:rPr>
                <w:b/>
              </w:rPr>
              <w:t>6</w:t>
            </w:r>
          </w:p>
        </w:tc>
        <w:tc>
          <w:tcPr>
            <w:tcW w:w="2296" w:type="dxa"/>
            <w:shd w:val="clear" w:color="auto" w:fill="FFFFFF"/>
          </w:tcPr>
          <w:p w14:paraId="70E383D5" w14:textId="77777777" w:rsidR="00E713B0" w:rsidRPr="0009445C" w:rsidRDefault="00E713B0" w:rsidP="00E713B0">
            <w:pPr>
              <w:pStyle w:val="BRL-Tabelle"/>
              <w:spacing w:before="60" w:after="40"/>
              <w:ind w:left="113" w:right="113"/>
            </w:pPr>
            <w:r w:rsidRPr="0009445C">
              <w:t>S</w:t>
            </w:r>
            <w:r w:rsidRPr="0009445C">
              <w:rPr>
                <w:vertAlign w:val="subscript"/>
              </w:rPr>
              <w:t>a</w:t>
            </w:r>
            <w:r w:rsidRPr="0009445C">
              <w:t xml:space="preserve"> (Smoke)</w:t>
            </w:r>
          </w:p>
        </w:tc>
        <w:tc>
          <w:tcPr>
            <w:tcW w:w="3240" w:type="dxa"/>
            <w:shd w:val="clear" w:color="auto" w:fill="FFFFFF"/>
          </w:tcPr>
          <w:p w14:paraId="634567E8" w14:textId="77777777" w:rsidR="00E713B0" w:rsidRPr="0009445C" w:rsidRDefault="00E713B0" w:rsidP="00E713B0">
            <w:pPr>
              <w:pStyle w:val="BRL-Tabelle"/>
              <w:spacing w:before="60" w:after="40"/>
              <w:ind w:left="113" w:right="113"/>
            </w:pPr>
            <w:r w:rsidRPr="0009445C">
              <w:t>Limit of smoke permeability (sealing, leakage rate), meets the requirements at ambient temperature</w:t>
            </w:r>
          </w:p>
        </w:tc>
        <w:tc>
          <w:tcPr>
            <w:tcW w:w="3078" w:type="dxa"/>
            <w:shd w:val="clear" w:color="auto" w:fill="FFFFFF"/>
          </w:tcPr>
          <w:p w14:paraId="78B00DEA" w14:textId="77777777" w:rsidR="00E713B0" w:rsidRPr="0009445C" w:rsidRDefault="00E713B0" w:rsidP="00E713B0">
            <w:pPr>
              <w:pStyle w:val="BRL-Tabelle"/>
              <w:spacing w:before="60" w:after="40"/>
              <w:ind w:left="113" w:right="113"/>
            </w:pPr>
            <w:r w:rsidRPr="0009445C">
              <w:t>tightly sealing barriers</w:t>
            </w:r>
          </w:p>
        </w:tc>
      </w:tr>
      <w:tr w:rsidR="00E713B0" w:rsidRPr="0009445C" w14:paraId="3FF9D4E5" w14:textId="77777777" w:rsidTr="00E713B0">
        <w:tblPrEx>
          <w:tblLook w:val="04A0" w:firstRow="1" w:lastRow="0" w:firstColumn="1" w:lastColumn="0" w:noHBand="0" w:noVBand="1"/>
        </w:tblPrEx>
        <w:trPr>
          <w:cantSplit/>
        </w:trPr>
        <w:tc>
          <w:tcPr>
            <w:tcW w:w="454" w:type="dxa"/>
            <w:shd w:val="clear" w:color="auto" w:fill="FFFFFF"/>
          </w:tcPr>
          <w:p w14:paraId="0983125F" w14:textId="77777777" w:rsidR="00E713B0" w:rsidRPr="0009445C" w:rsidRDefault="00E713B0" w:rsidP="00E713B0">
            <w:pPr>
              <w:pStyle w:val="BRL-Tabelle"/>
              <w:spacing w:before="60" w:after="40"/>
              <w:ind w:left="113" w:right="113"/>
              <w:jc w:val="center"/>
              <w:rPr>
                <w:b/>
              </w:rPr>
            </w:pPr>
            <w:r w:rsidRPr="0009445C">
              <w:rPr>
                <w:b/>
              </w:rPr>
              <w:t>7</w:t>
            </w:r>
          </w:p>
        </w:tc>
        <w:tc>
          <w:tcPr>
            <w:tcW w:w="2296" w:type="dxa"/>
            <w:shd w:val="clear" w:color="auto" w:fill="FFFFFF"/>
          </w:tcPr>
          <w:p w14:paraId="04646DEE" w14:textId="77777777" w:rsidR="00E713B0" w:rsidRPr="0009445C" w:rsidRDefault="00E713B0" w:rsidP="00E713B0">
            <w:pPr>
              <w:pStyle w:val="BRL-Tabelle"/>
              <w:spacing w:before="60" w:after="40"/>
              <w:ind w:left="113" w:right="113"/>
            </w:pPr>
            <w:r w:rsidRPr="0009445C">
              <w:t>S</w:t>
            </w:r>
            <w:r w:rsidRPr="0009445C">
              <w:rPr>
                <w:vertAlign w:val="subscript"/>
              </w:rPr>
              <w:t>200</w:t>
            </w:r>
            <w:r w:rsidRPr="0009445C">
              <w:t xml:space="preserve"> (</w:t>
            </w:r>
            <w:proofErr w:type="spellStart"/>
            <w:r w:rsidRPr="0009445C">
              <w:t>Smoke</w:t>
            </w:r>
            <w:r w:rsidRPr="0009445C">
              <w:rPr>
                <w:vertAlign w:val="subscript"/>
              </w:rPr>
              <w:t>max</w:t>
            </w:r>
            <w:proofErr w:type="spellEnd"/>
            <w:r w:rsidRPr="0009445C">
              <w:rPr>
                <w:vertAlign w:val="subscript"/>
              </w:rPr>
              <w:t>. leakage rate</w:t>
            </w:r>
            <w:r w:rsidRPr="0009445C">
              <w:t>)</w:t>
            </w:r>
          </w:p>
        </w:tc>
        <w:tc>
          <w:tcPr>
            <w:tcW w:w="3240" w:type="dxa"/>
            <w:shd w:val="clear" w:color="auto" w:fill="FFFFFF"/>
          </w:tcPr>
          <w:p w14:paraId="1BD9E568" w14:textId="77777777" w:rsidR="00E713B0" w:rsidRPr="0009445C" w:rsidRDefault="00E713B0" w:rsidP="00E713B0">
            <w:pPr>
              <w:pStyle w:val="BRL-Tabelle"/>
              <w:spacing w:before="60" w:after="40"/>
              <w:ind w:left="113" w:right="113"/>
            </w:pPr>
            <w:r w:rsidRPr="0009445C">
              <w:t>Limit of smoke permeability (sealing, leakage rate), meets the requirements at ambient temperature and at 200 °C</w:t>
            </w:r>
          </w:p>
        </w:tc>
        <w:tc>
          <w:tcPr>
            <w:tcW w:w="3078" w:type="dxa"/>
            <w:shd w:val="clear" w:color="auto" w:fill="FFFFFF"/>
          </w:tcPr>
          <w:p w14:paraId="11428520" w14:textId="77777777" w:rsidR="00E713B0" w:rsidRPr="0009445C" w:rsidRDefault="00E713B0" w:rsidP="00E713B0">
            <w:pPr>
              <w:pStyle w:val="BRL-Tabelle"/>
              <w:spacing w:before="60" w:after="40"/>
              <w:ind w:left="113" w:right="113"/>
            </w:pPr>
            <w:r w:rsidRPr="0009445C">
              <w:t>Smoke protection barriers (including for fire protection barriers as an additional requirement)</w:t>
            </w:r>
          </w:p>
        </w:tc>
      </w:tr>
      <w:tr w:rsidR="00E713B0" w:rsidRPr="0009445C" w14:paraId="1FF7D8FB" w14:textId="77777777" w:rsidTr="00E713B0">
        <w:tblPrEx>
          <w:tblLook w:val="04A0" w:firstRow="1" w:lastRow="0" w:firstColumn="1" w:lastColumn="0" w:noHBand="0" w:noVBand="1"/>
        </w:tblPrEx>
        <w:trPr>
          <w:cantSplit/>
        </w:trPr>
        <w:tc>
          <w:tcPr>
            <w:tcW w:w="454" w:type="dxa"/>
            <w:shd w:val="clear" w:color="auto" w:fill="FFFFFF"/>
          </w:tcPr>
          <w:p w14:paraId="6E693ED6" w14:textId="77777777" w:rsidR="00E713B0" w:rsidRPr="0009445C" w:rsidRDefault="00E713B0" w:rsidP="00E713B0">
            <w:pPr>
              <w:pStyle w:val="BRL-Tabelle"/>
              <w:spacing w:before="60" w:after="40"/>
              <w:ind w:left="113" w:right="113"/>
              <w:jc w:val="center"/>
              <w:rPr>
                <w:b/>
              </w:rPr>
            </w:pPr>
            <w:r w:rsidRPr="0009445C">
              <w:rPr>
                <w:b/>
              </w:rPr>
              <w:t>8</w:t>
            </w:r>
          </w:p>
        </w:tc>
        <w:tc>
          <w:tcPr>
            <w:tcW w:w="2296" w:type="dxa"/>
            <w:shd w:val="clear" w:color="auto" w:fill="FFFFFF"/>
          </w:tcPr>
          <w:p w14:paraId="569C9C4A" w14:textId="77777777" w:rsidR="00E713B0" w:rsidRPr="0009445C" w:rsidRDefault="00E713B0" w:rsidP="00E713B0">
            <w:pPr>
              <w:pStyle w:val="BRL-Tabelle"/>
              <w:spacing w:before="60" w:after="40"/>
              <w:ind w:left="113" w:right="113"/>
            </w:pPr>
            <w:r w:rsidRPr="0009445C">
              <w:t>C... (Closing)</w:t>
            </w:r>
          </w:p>
        </w:tc>
        <w:tc>
          <w:tcPr>
            <w:tcW w:w="3240" w:type="dxa"/>
            <w:shd w:val="clear" w:color="auto" w:fill="FFFFFF"/>
          </w:tcPr>
          <w:p w14:paraId="5124A929" w14:textId="77777777" w:rsidR="00E713B0" w:rsidRPr="0009445C" w:rsidRDefault="00E713B0" w:rsidP="00E713B0">
            <w:pPr>
              <w:pStyle w:val="BRL-Tabelle"/>
              <w:spacing w:before="60" w:after="40"/>
              <w:ind w:left="113" w:right="113"/>
            </w:pPr>
            <w:r w:rsidRPr="0009445C">
              <w:t>Self-closing property (where applicable with number of loading cycles) including permanent functionality</w:t>
            </w:r>
          </w:p>
        </w:tc>
        <w:tc>
          <w:tcPr>
            <w:tcW w:w="3078" w:type="dxa"/>
            <w:shd w:val="clear" w:color="auto" w:fill="FFFFFF"/>
          </w:tcPr>
          <w:p w14:paraId="067A616A" w14:textId="77777777" w:rsidR="00E713B0" w:rsidRPr="0009445C" w:rsidRDefault="00E713B0" w:rsidP="00E713B0">
            <w:pPr>
              <w:pStyle w:val="BRL-Tabelle"/>
              <w:spacing w:before="60" w:after="40"/>
              <w:ind w:left="113" w:right="113"/>
            </w:pPr>
            <w:r w:rsidRPr="0009445C">
              <w:t>Smoke protection doors, fire protection barriers (including conveyor system barriers)</w:t>
            </w:r>
          </w:p>
        </w:tc>
      </w:tr>
      <w:tr w:rsidR="00E713B0" w:rsidRPr="0009445C" w14:paraId="7B6AB91C" w14:textId="77777777" w:rsidTr="00E713B0">
        <w:tblPrEx>
          <w:tblLook w:val="04A0" w:firstRow="1" w:lastRow="0" w:firstColumn="1" w:lastColumn="0" w:noHBand="0" w:noVBand="1"/>
        </w:tblPrEx>
        <w:trPr>
          <w:cantSplit/>
        </w:trPr>
        <w:tc>
          <w:tcPr>
            <w:tcW w:w="454" w:type="dxa"/>
            <w:shd w:val="clear" w:color="auto" w:fill="FFFFFF"/>
          </w:tcPr>
          <w:p w14:paraId="024BD4E0" w14:textId="77777777" w:rsidR="00E713B0" w:rsidRPr="0009445C" w:rsidRDefault="00E713B0" w:rsidP="00E713B0">
            <w:pPr>
              <w:pStyle w:val="BRL-Tabelle"/>
              <w:spacing w:before="60" w:after="40"/>
              <w:ind w:left="113" w:right="113"/>
              <w:jc w:val="center"/>
              <w:rPr>
                <w:b/>
              </w:rPr>
            </w:pPr>
            <w:r w:rsidRPr="0009445C">
              <w:rPr>
                <w:b/>
              </w:rPr>
              <w:t>9</w:t>
            </w:r>
          </w:p>
        </w:tc>
        <w:tc>
          <w:tcPr>
            <w:tcW w:w="2296" w:type="dxa"/>
            <w:shd w:val="clear" w:color="auto" w:fill="FFFFFF"/>
          </w:tcPr>
          <w:p w14:paraId="323257FD" w14:textId="77777777" w:rsidR="00E713B0" w:rsidRPr="0009445C" w:rsidRDefault="00E713B0" w:rsidP="00E713B0">
            <w:pPr>
              <w:pStyle w:val="BRL-Tabelle"/>
              <w:spacing w:before="60" w:after="40"/>
              <w:ind w:left="113" w:right="113"/>
            </w:pPr>
            <w:r w:rsidRPr="0009445C">
              <w:t>P</w:t>
            </w:r>
          </w:p>
        </w:tc>
        <w:tc>
          <w:tcPr>
            <w:tcW w:w="3240" w:type="dxa"/>
            <w:shd w:val="clear" w:color="auto" w:fill="FFFFFF"/>
          </w:tcPr>
          <w:p w14:paraId="50664ABF" w14:textId="77777777" w:rsidR="00E713B0" w:rsidRPr="0009445C" w:rsidRDefault="00E713B0" w:rsidP="00E713B0">
            <w:pPr>
              <w:pStyle w:val="BRL-Tabelle"/>
              <w:spacing w:before="60" w:after="40"/>
              <w:ind w:left="113" w:right="113"/>
            </w:pPr>
            <w:r w:rsidRPr="0009445C">
              <w:t>Maintenance of energy supply and/or signal transmission</w:t>
            </w:r>
          </w:p>
        </w:tc>
        <w:tc>
          <w:tcPr>
            <w:tcW w:w="3078" w:type="dxa"/>
            <w:shd w:val="clear" w:color="auto" w:fill="FFFFFF"/>
          </w:tcPr>
          <w:p w14:paraId="7F4E56F4" w14:textId="77777777" w:rsidR="00E713B0" w:rsidRPr="0009445C" w:rsidRDefault="00E713B0" w:rsidP="00E713B0">
            <w:pPr>
              <w:pStyle w:val="BRL-Tabelle"/>
              <w:spacing w:before="60" w:after="40"/>
              <w:ind w:left="113" w:right="113"/>
            </w:pPr>
            <w:r w:rsidRPr="0009445C">
              <w:t>Electrical cable systems in general</w:t>
            </w:r>
          </w:p>
        </w:tc>
      </w:tr>
      <w:tr w:rsidR="00E713B0" w:rsidRPr="0009445C" w14:paraId="04096FC2" w14:textId="77777777" w:rsidTr="00E713B0">
        <w:tblPrEx>
          <w:tblLook w:val="04A0" w:firstRow="1" w:lastRow="0" w:firstColumn="1" w:lastColumn="0" w:noHBand="0" w:noVBand="1"/>
        </w:tblPrEx>
        <w:trPr>
          <w:cantSplit/>
        </w:trPr>
        <w:tc>
          <w:tcPr>
            <w:tcW w:w="454" w:type="dxa"/>
            <w:shd w:val="clear" w:color="auto" w:fill="FFFFFF"/>
          </w:tcPr>
          <w:p w14:paraId="484C6BB8" w14:textId="77777777" w:rsidR="00E713B0" w:rsidRPr="0009445C" w:rsidRDefault="00E713B0" w:rsidP="00E713B0">
            <w:pPr>
              <w:pStyle w:val="BRL-Tabelle"/>
              <w:spacing w:before="60" w:after="40"/>
              <w:ind w:left="113" w:right="113"/>
              <w:jc w:val="center"/>
              <w:rPr>
                <w:b/>
              </w:rPr>
            </w:pPr>
            <w:r w:rsidRPr="0009445C">
              <w:rPr>
                <w:b/>
              </w:rPr>
              <w:t>10</w:t>
            </w:r>
          </w:p>
        </w:tc>
        <w:tc>
          <w:tcPr>
            <w:tcW w:w="2296" w:type="dxa"/>
            <w:shd w:val="clear" w:color="auto" w:fill="FFFFFF"/>
          </w:tcPr>
          <w:p w14:paraId="36CD581F" w14:textId="77777777" w:rsidR="00E713B0" w:rsidRPr="0009445C" w:rsidRDefault="00E713B0" w:rsidP="00E713B0">
            <w:pPr>
              <w:pStyle w:val="BRL-Tabelle"/>
              <w:spacing w:before="60" w:after="40"/>
              <w:ind w:left="113" w:right="113"/>
            </w:pPr>
            <w:r w:rsidRPr="0009445C">
              <w:t>K</w:t>
            </w:r>
            <w:r w:rsidRPr="0009445C">
              <w:rPr>
                <w:vertAlign w:val="subscript"/>
              </w:rPr>
              <w:t>1</w:t>
            </w:r>
            <w:r w:rsidRPr="0009445C">
              <w:t>, K</w:t>
            </w:r>
            <w:r w:rsidRPr="0009445C">
              <w:rPr>
                <w:vertAlign w:val="subscript"/>
              </w:rPr>
              <w:t>2</w:t>
            </w:r>
          </w:p>
        </w:tc>
        <w:tc>
          <w:tcPr>
            <w:tcW w:w="3240" w:type="dxa"/>
            <w:shd w:val="clear" w:color="auto" w:fill="FFFFFF"/>
          </w:tcPr>
          <w:p w14:paraId="7EBA74C6" w14:textId="77777777" w:rsidR="00E713B0" w:rsidRPr="0009445C" w:rsidRDefault="00E713B0" w:rsidP="00E713B0">
            <w:pPr>
              <w:pStyle w:val="BRL-Tabelle"/>
              <w:spacing w:before="60" w:after="40"/>
              <w:ind w:left="113" w:right="113"/>
            </w:pPr>
            <w:r w:rsidRPr="0009445C">
              <w:t>Fire protection assets</w:t>
            </w:r>
          </w:p>
        </w:tc>
        <w:tc>
          <w:tcPr>
            <w:tcW w:w="3078" w:type="dxa"/>
            <w:shd w:val="clear" w:color="auto" w:fill="FFFFFF"/>
          </w:tcPr>
          <w:p w14:paraId="521ED620" w14:textId="77777777" w:rsidR="00E713B0" w:rsidRPr="0009445C" w:rsidRDefault="00E713B0" w:rsidP="00E713B0">
            <w:pPr>
              <w:pStyle w:val="BRL-Tabelle"/>
              <w:spacing w:before="60" w:after="40"/>
              <w:ind w:left="113" w:right="113"/>
            </w:pPr>
            <w:r w:rsidRPr="0009445C">
              <w:t>Wall and ceiling cladding (fire protection cladding)</w:t>
            </w:r>
          </w:p>
        </w:tc>
      </w:tr>
      <w:tr w:rsidR="00E713B0" w:rsidRPr="0009445C" w14:paraId="20C3B4B9" w14:textId="77777777" w:rsidTr="00E713B0">
        <w:tblPrEx>
          <w:tblLook w:val="04A0" w:firstRow="1" w:lastRow="0" w:firstColumn="1" w:lastColumn="0" w:noHBand="0" w:noVBand="1"/>
        </w:tblPrEx>
        <w:trPr>
          <w:cantSplit/>
        </w:trPr>
        <w:tc>
          <w:tcPr>
            <w:tcW w:w="454" w:type="dxa"/>
            <w:shd w:val="clear" w:color="auto" w:fill="FFFFFF"/>
          </w:tcPr>
          <w:p w14:paraId="791108B1" w14:textId="77777777" w:rsidR="00E713B0" w:rsidRPr="0009445C" w:rsidRDefault="00E713B0" w:rsidP="00E713B0">
            <w:pPr>
              <w:pStyle w:val="BRL-Tabelle"/>
              <w:spacing w:before="60" w:after="40"/>
              <w:ind w:left="113" w:right="113"/>
              <w:jc w:val="center"/>
              <w:rPr>
                <w:b/>
              </w:rPr>
            </w:pPr>
            <w:r w:rsidRPr="0009445C">
              <w:rPr>
                <w:b/>
              </w:rPr>
              <w:t>11</w:t>
            </w:r>
          </w:p>
        </w:tc>
        <w:tc>
          <w:tcPr>
            <w:tcW w:w="2296" w:type="dxa"/>
            <w:shd w:val="clear" w:color="auto" w:fill="FFFFFF"/>
          </w:tcPr>
          <w:p w14:paraId="1D875661" w14:textId="77777777" w:rsidR="00E713B0" w:rsidRPr="0009445C" w:rsidRDefault="00E713B0" w:rsidP="00E713B0">
            <w:pPr>
              <w:pStyle w:val="BRL-Tabelle"/>
              <w:spacing w:before="60" w:after="40"/>
              <w:ind w:left="113" w:right="113"/>
            </w:pPr>
            <w:r w:rsidRPr="0009445C">
              <w:t>I</w:t>
            </w:r>
            <w:r w:rsidRPr="0009445C">
              <w:rPr>
                <w:vertAlign w:val="subscript"/>
              </w:rPr>
              <w:t>1</w:t>
            </w:r>
            <w:r w:rsidRPr="0009445C">
              <w:t>, I</w:t>
            </w:r>
            <w:r w:rsidRPr="0009445C">
              <w:rPr>
                <w:vertAlign w:val="subscript"/>
              </w:rPr>
              <w:t>2</w:t>
            </w:r>
          </w:p>
        </w:tc>
        <w:tc>
          <w:tcPr>
            <w:tcW w:w="3240" w:type="dxa"/>
            <w:shd w:val="clear" w:color="auto" w:fill="FFFFFF"/>
          </w:tcPr>
          <w:p w14:paraId="6C098640" w14:textId="77777777" w:rsidR="00E713B0" w:rsidRPr="0009445C" w:rsidRDefault="00E713B0" w:rsidP="00E713B0">
            <w:pPr>
              <w:pStyle w:val="BRL-Tabelle"/>
              <w:spacing w:before="60" w:after="40"/>
              <w:ind w:left="113" w:right="113"/>
            </w:pPr>
            <w:r w:rsidRPr="0009445C">
              <w:t>different thermal insulation criteria</w:t>
            </w:r>
          </w:p>
        </w:tc>
        <w:tc>
          <w:tcPr>
            <w:tcW w:w="3078" w:type="dxa"/>
            <w:shd w:val="clear" w:color="auto" w:fill="FFFFFF"/>
          </w:tcPr>
          <w:p w14:paraId="44703C3C" w14:textId="77777777" w:rsidR="00E713B0" w:rsidRPr="0009445C" w:rsidRDefault="00E713B0" w:rsidP="00E713B0">
            <w:pPr>
              <w:pStyle w:val="BRL-Tabelle"/>
              <w:spacing w:before="60" w:after="40"/>
              <w:ind w:left="113" w:right="113"/>
            </w:pPr>
            <w:r w:rsidRPr="0009445C">
              <w:t>Fire protection barriers (including conveyor system barriers)</w:t>
            </w:r>
          </w:p>
        </w:tc>
      </w:tr>
      <w:tr w:rsidR="00E713B0" w:rsidRPr="0009445C" w14:paraId="2FF1E952" w14:textId="77777777" w:rsidTr="00E713B0">
        <w:tblPrEx>
          <w:tblLook w:val="04A0" w:firstRow="1" w:lastRow="0" w:firstColumn="1" w:lastColumn="0" w:noHBand="0" w:noVBand="1"/>
        </w:tblPrEx>
        <w:trPr>
          <w:cantSplit/>
        </w:trPr>
        <w:tc>
          <w:tcPr>
            <w:tcW w:w="454" w:type="dxa"/>
            <w:shd w:val="clear" w:color="auto" w:fill="FFFFFF"/>
          </w:tcPr>
          <w:p w14:paraId="0EF8D867" w14:textId="77777777" w:rsidR="00E713B0" w:rsidRPr="0009445C" w:rsidRDefault="00E713B0" w:rsidP="00E713B0">
            <w:pPr>
              <w:pStyle w:val="BRL-Tabelle"/>
              <w:spacing w:before="60" w:after="40"/>
              <w:ind w:left="113" w:right="113"/>
              <w:jc w:val="center"/>
              <w:rPr>
                <w:b/>
              </w:rPr>
            </w:pPr>
            <w:r w:rsidRPr="0009445C">
              <w:rPr>
                <w:b/>
              </w:rPr>
              <w:t>12</w:t>
            </w:r>
          </w:p>
        </w:tc>
        <w:tc>
          <w:tcPr>
            <w:tcW w:w="2296" w:type="dxa"/>
            <w:shd w:val="clear" w:color="auto" w:fill="FFFFFF"/>
          </w:tcPr>
          <w:p w14:paraId="7B92ADEC" w14:textId="77777777" w:rsidR="00E713B0" w:rsidRPr="0009445C" w:rsidRDefault="00E713B0" w:rsidP="00E713B0">
            <w:pPr>
              <w:pStyle w:val="BRL-Tabelle"/>
              <w:spacing w:before="60" w:after="40"/>
              <w:ind w:left="113" w:right="113"/>
            </w:pPr>
            <w:proofErr w:type="spellStart"/>
            <w:r w:rsidRPr="0009445C">
              <w:t>i</w:t>
            </w:r>
            <w:proofErr w:type="spellEnd"/>
            <w:r w:rsidRPr="0009445C">
              <w:sym w:font="Symbol" w:char="F0AE"/>
            </w:r>
            <w:r w:rsidRPr="0009445C">
              <w:t>o</w:t>
            </w:r>
          </w:p>
          <w:p w14:paraId="45273404" w14:textId="77777777" w:rsidR="00E713B0" w:rsidRPr="0009445C" w:rsidRDefault="00E713B0" w:rsidP="00E713B0">
            <w:pPr>
              <w:pStyle w:val="BRL-Tabelle"/>
              <w:spacing w:before="60" w:after="40"/>
              <w:ind w:left="113" w:right="113"/>
            </w:pPr>
            <w:proofErr w:type="spellStart"/>
            <w:r w:rsidRPr="0009445C">
              <w:t>i</w:t>
            </w:r>
            <w:proofErr w:type="spellEnd"/>
            <w:r w:rsidRPr="0009445C">
              <w:sym w:font="Symbol" w:char="F0AC"/>
            </w:r>
            <w:r w:rsidRPr="0009445C">
              <w:t>o</w:t>
            </w:r>
          </w:p>
          <w:p w14:paraId="0C034BE8" w14:textId="77777777" w:rsidR="00E713B0" w:rsidRPr="0009445C" w:rsidRDefault="00E713B0" w:rsidP="00E713B0">
            <w:pPr>
              <w:pStyle w:val="BRL-Tabelle"/>
              <w:spacing w:before="60" w:after="40"/>
              <w:ind w:left="113" w:right="113"/>
            </w:pPr>
            <w:proofErr w:type="spellStart"/>
            <w:r w:rsidRPr="0009445C">
              <w:t>i</w:t>
            </w:r>
            <w:proofErr w:type="spellEnd"/>
            <w:r w:rsidRPr="0009445C">
              <w:sym w:font="Symbol" w:char="F0AB"/>
            </w:r>
            <w:r w:rsidRPr="0009445C">
              <w:t>o (in - out)</w:t>
            </w:r>
          </w:p>
        </w:tc>
        <w:tc>
          <w:tcPr>
            <w:tcW w:w="3240" w:type="dxa"/>
            <w:shd w:val="clear" w:color="auto" w:fill="FFFFFF"/>
          </w:tcPr>
          <w:p w14:paraId="7583BD93" w14:textId="77777777" w:rsidR="00E713B0" w:rsidRPr="0009445C" w:rsidRDefault="00E713B0" w:rsidP="00E713B0">
            <w:pPr>
              <w:pStyle w:val="BRL-Tabelle"/>
              <w:spacing w:before="60" w:after="40"/>
              <w:ind w:left="113" w:right="113"/>
            </w:pPr>
            <w:r w:rsidRPr="0009445C">
              <w:t>Direction of classified fire resistance time</w:t>
            </w:r>
          </w:p>
        </w:tc>
        <w:tc>
          <w:tcPr>
            <w:tcW w:w="3078" w:type="dxa"/>
            <w:shd w:val="clear" w:color="auto" w:fill="FFFFFF"/>
          </w:tcPr>
          <w:p w14:paraId="5A0C9661" w14:textId="77777777" w:rsidR="00E713B0" w:rsidRPr="0009445C" w:rsidRDefault="00E713B0" w:rsidP="00E713B0">
            <w:pPr>
              <w:pStyle w:val="BRL-Tabelle"/>
              <w:spacing w:before="60" w:after="40"/>
              <w:ind w:left="113" w:right="113"/>
            </w:pPr>
            <w:r w:rsidRPr="0009445C">
              <w:t xml:space="preserve">Non-load-bearing external walls, service shafts/ducts, see Table 8.2 </w:t>
            </w:r>
          </w:p>
        </w:tc>
      </w:tr>
      <w:tr w:rsidR="00E713B0" w:rsidRPr="0009445C" w14:paraId="7B632E1E" w14:textId="77777777" w:rsidTr="00E713B0">
        <w:tblPrEx>
          <w:tblLook w:val="04A0" w:firstRow="1" w:lastRow="0" w:firstColumn="1" w:lastColumn="0" w:noHBand="0" w:noVBand="1"/>
        </w:tblPrEx>
        <w:trPr>
          <w:cantSplit/>
        </w:trPr>
        <w:tc>
          <w:tcPr>
            <w:tcW w:w="454" w:type="dxa"/>
            <w:shd w:val="clear" w:color="auto" w:fill="FFFFFF"/>
          </w:tcPr>
          <w:p w14:paraId="6E90BFB6" w14:textId="77777777" w:rsidR="00E713B0" w:rsidRPr="0009445C" w:rsidRDefault="00E713B0" w:rsidP="00E713B0">
            <w:pPr>
              <w:pStyle w:val="BRL-Tabelle"/>
              <w:spacing w:before="60" w:after="40"/>
              <w:ind w:left="113" w:right="113"/>
              <w:jc w:val="center"/>
              <w:rPr>
                <w:b/>
              </w:rPr>
            </w:pPr>
            <w:r w:rsidRPr="0009445C">
              <w:rPr>
                <w:b/>
              </w:rPr>
              <w:t>13</w:t>
            </w:r>
          </w:p>
        </w:tc>
        <w:tc>
          <w:tcPr>
            <w:tcW w:w="2296" w:type="dxa"/>
            <w:shd w:val="clear" w:color="auto" w:fill="FFFFFF"/>
          </w:tcPr>
          <w:p w14:paraId="4217898D" w14:textId="77777777" w:rsidR="00E713B0" w:rsidRPr="0009445C" w:rsidRDefault="00E713B0" w:rsidP="00E713B0">
            <w:pPr>
              <w:pStyle w:val="BRL-Tabelle"/>
              <w:spacing w:before="60" w:after="40"/>
              <w:ind w:left="113" w:right="113"/>
            </w:pPr>
            <w:r w:rsidRPr="0009445C">
              <w:t>a</w:t>
            </w:r>
            <w:r w:rsidRPr="0009445C">
              <w:sym w:font="Symbol" w:char="F0AB"/>
            </w:r>
            <w:r w:rsidRPr="0009445C">
              <w:t>b (above - below)</w:t>
            </w:r>
          </w:p>
        </w:tc>
        <w:tc>
          <w:tcPr>
            <w:tcW w:w="3240" w:type="dxa"/>
            <w:shd w:val="clear" w:color="auto" w:fill="FFFFFF"/>
          </w:tcPr>
          <w:p w14:paraId="1C04B75F" w14:textId="77777777" w:rsidR="00E713B0" w:rsidRPr="0009445C" w:rsidRDefault="00E713B0" w:rsidP="00E713B0">
            <w:pPr>
              <w:pStyle w:val="BRL-Tabelle"/>
              <w:spacing w:before="60" w:after="40"/>
              <w:ind w:left="113" w:right="113"/>
            </w:pPr>
            <w:r w:rsidRPr="0009445C">
              <w:t>Direction of classified fire resistance time</w:t>
            </w:r>
          </w:p>
        </w:tc>
        <w:tc>
          <w:tcPr>
            <w:tcW w:w="3078" w:type="dxa"/>
            <w:shd w:val="clear" w:color="auto" w:fill="FFFFFF"/>
          </w:tcPr>
          <w:p w14:paraId="7BFB867C" w14:textId="77777777" w:rsidR="00E713B0" w:rsidRPr="0009445C" w:rsidRDefault="00E713B0" w:rsidP="00E713B0">
            <w:pPr>
              <w:pStyle w:val="BRL-Tabelle"/>
              <w:spacing w:before="60" w:after="40"/>
              <w:ind w:left="113" w:right="113"/>
            </w:pPr>
            <w:r w:rsidRPr="0009445C">
              <w:t>Subceilings</w:t>
            </w:r>
          </w:p>
        </w:tc>
      </w:tr>
      <w:tr w:rsidR="00E713B0" w:rsidRPr="0009445C" w14:paraId="3C6BAB36" w14:textId="77777777" w:rsidTr="00E713B0">
        <w:tblPrEx>
          <w:tblLook w:val="04A0" w:firstRow="1" w:lastRow="0" w:firstColumn="1" w:lastColumn="0" w:noHBand="0" w:noVBand="1"/>
        </w:tblPrEx>
        <w:trPr>
          <w:cantSplit/>
        </w:trPr>
        <w:tc>
          <w:tcPr>
            <w:tcW w:w="454" w:type="dxa"/>
            <w:shd w:val="clear" w:color="auto" w:fill="FFFFFF"/>
          </w:tcPr>
          <w:p w14:paraId="26ED2478" w14:textId="77777777" w:rsidR="00E713B0" w:rsidRPr="0009445C" w:rsidRDefault="00E713B0" w:rsidP="00E713B0">
            <w:pPr>
              <w:pStyle w:val="BRL-Tabelle"/>
              <w:spacing w:before="60" w:after="40"/>
              <w:ind w:left="113" w:right="113"/>
              <w:jc w:val="center"/>
              <w:rPr>
                <w:b/>
              </w:rPr>
            </w:pPr>
            <w:r w:rsidRPr="0009445C">
              <w:rPr>
                <w:b/>
              </w:rPr>
              <w:t>14</w:t>
            </w:r>
          </w:p>
        </w:tc>
        <w:tc>
          <w:tcPr>
            <w:tcW w:w="2296" w:type="dxa"/>
            <w:shd w:val="clear" w:color="auto" w:fill="FFFFFF"/>
          </w:tcPr>
          <w:p w14:paraId="729CD4E6" w14:textId="77777777" w:rsidR="00E713B0" w:rsidRPr="0009445C" w:rsidRDefault="00E713B0" w:rsidP="00E713B0">
            <w:pPr>
              <w:pStyle w:val="BRL-Tabelle"/>
              <w:spacing w:before="60" w:after="40"/>
              <w:ind w:left="113" w:right="113"/>
            </w:pPr>
            <w:r w:rsidRPr="0009445C">
              <w:t xml:space="preserve">ca (cable) </w:t>
            </w:r>
          </w:p>
        </w:tc>
        <w:tc>
          <w:tcPr>
            <w:tcW w:w="3240" w:type="dxa"/>
            <w:shd w:val="clear" w:color="auto" w:fill="FFFFFF"/>
          </w:tcPr>
          <w:p w14:paraId="05A07C6F" w14:textId="77777777" w:rsidR="00E713B0" w:rsidRPr="0009445C" w:rsidRDefault="00E713B0" w:rsidP="00E713B0">
            <w:pPr>
              <w:pStyle w:val="BRL-Tabelle"/>
              <w:spacing w:before="60" w:after="40"/>
              <w:ind w:left="113" w:right="113"/>
            </w:pPr>
            <w:r w:rsidRPr="0009445C">
              <w:t>Fire performance class</w:t>
            </w:r>
          </w:p>
        </w:tc>
        <w:tc>
          <w:tcPr>
            <w:tcW w:w="3078" w:type="dxa"/>
            <w:shd w:val="clear" w:color="auto" w:fill="FFFFFF"/>
          </w:tcPr>
          <w:p w14:paraId="78D271FB" w14:textId="77777777" w:rsidR="00E713B0" w:rsidRPr="0009445C" w:rsidRDefault="00E713B0" w:rsidP="00E713B0">
            <w:pPr>
              <w:pStyle w:val="BRL-Tabelle"/>
              <w:spacing w:before="60" w:after="40"/>
              <w:ind w:left="113" w:right="113"/>
            </w:pPr>
            <w:r w:rsidRPr="0009445C">
              <w:t>Cables</w:t>
            </w:r>
          </w:p>
        </w:tc>
      </w:tr>
      <w:tr w:rsidR="00E713B0" w:rsidRPr="0009445C" w14:paraId="7A19F55D" w14:textId="77777777" w:rsidTr="00E713B0">
        <w:tblPrEx>
          <w:tblLook w:val="04A0" w:firstRow="1" w:lastRow="0" w:firstColumn="1" w:lastColumn="0" w:noHBand="0" w:noVBand="1"/>
        </w:tblPrEx>
        <w:trPr>
          <w:cantSplit/>
        </w:trPr>
        <w:tc>
          <w:tcPr>
            <w:tcW w:w="454" w:type="dxa"/>
            <w:shd w:val="clear" w:color="auto" w:fill="FFFFFF"/>
          </w:tcPr>
          <w:p w14:paraId="0994085E" w14:textId="77777777" w:rsidR="00E713B0" w:rsidRPr="0009445C" w:rsidRDefault="00E713B0" w:rsidP="00E713B0">
            <w:pPr>
              <w:pStyle w:val="BRL-Tabelle"/>
              <w:spacing w:before="60" w:after="40"/>
              <w:ind w:left="113" w:right="113"/>
              <w:jc w:val="center"/>
              <w:rPr>
                <w:rFonts w:eastAsia="Calibri"/>
                <w:b/>
              </w:rPr>
            </w:pPr>
            <w:r w:rsidRPr="0009445C">
              <w:rPr>
                <w:b/>
              </w:rPr>
              <w:t>15</w:t>
            </w:r>
          </w:p>
        </w:tc>
        <w:tc>
          <w:tcPr>
            <w:tcW w:w="2296" w:type="dxa"/>
            <w:shd w:val="clear" w:color="auto" w:fill="FFFFFF"/>
          </w:tcPr>
          <w:p w14:paraId="0F11B825" w14:textId="77777777" w:rsidR="00E713B0" w:rsidRPr="0009445C" w:rsidRDefault="00E713B0" w:rsidP="00E713B0">
            <w:pPr>
              <w:pStyle w:val="BRL-Tabelle"/>
              <w:spacing w:before="60" w:after="40"/>
              <w:ind w:left="113" w:right="113"/>
            </w:pPr>
            <w:r w:rsidRPr="0009445C">
              <w:t xml:space="preserve">ROOF </w:t>
            </w:r>
          </w:p>
        </w:tc>
        <w:tc>
          <w:tcPr>
            <w:tcW w:w="3240" w:type="dxa"/>
            <w:shd w:val="clear" w:color="auto" w:fill="FFFFFF"/>
          </w:tcPr>
          <w:p w14:paraId="35D22D8C" w14:textId="77777777" w:rsidR="00E713B0" w:rsidRPr="0009445C" w:rsidRDefault="00E713B0" w:rsidP="00E713B0">
            <w:pPr>
              <w:pStyle w:val="BRL-Tabelle"/>
              <w:spacing w:before="60" w:after="40"/>
              <w:ind w:left="113" w:right="113"/>
            </w:pPr>
            <w:r w:rsidRPr="0009445C">
              <w:t>Fire performance</w:t>
            </w:r>
          </w:p>
        </w:tc>
        <w:tc>
          <w:tcPr>
            <w:tcW w:w="3078" w:type="dxa"/>
            <w:shd w:val="clear" w:color="auto" w:fill="FFFFFF"/>
          </w:tcPr>
          <w:p w14:paraId="5B2A1FFC" w14:textId="77777777" w:rsidR="00E713B0" w:rsidRPr="0009445C" w:rsidRDefault="00E713B0" w:rsidP="00E713B0">
            <w:pPr>
              <w:pStyle w:val="BRL-Tabelle"/>
              <w:spacing w:before="60" w:after="40"/>
              <w:ind w:left="113" w:right="113"/>
            </w:pPr>
            <w:r w:rsidRPr="0009445C">
              <w:t>Roofing</w:t>
            </w:r>
          </w:p>
        </w:tc>
      </w:tr>
    </w:tbl>
    <w:p w14:paraId="549B1A1F" w14:textId="69EAAB05" w:rsidR="0057446E" w:rsidRPr="0009445C" w:rsidRDefault="0057446E" w:rsidP="00ED2FDA">
      <w:pPr>
        <w:sectPr w:rsidR="0057446E" w:rsidRPr="0009445C" w:rsidSect="004C2C77">
          <w:headerReference w:type="first" r:id="rId77"/>
          <w:pgSz w:w="11906" w:h="16838" w:code="9"/>
          <w:pgMar w:top="1134" w:right="1418" w:bottom="1134" w:left="1418" w:header="709" w:footer="652" w:gutter="0"/>
          <w:cols w:space="708"/>
          <w:titlePg/>
          <w:docGrid w:linePitch="360"/>
        </w:sectPr>
      </w:pPr>
    </w:p>
    <w:p w14:paraId="3D906B2B" w14:textId="3DC4E49C" w:rsidR="00E07C4A" w:rsidRPr="0009445C" w:rsidRDefault="00E07C4A" w:rsidP="00BA2FAB">
      <w:pPr>
        <w:pStyle w:val="Heading2"/>
      </w:pPr>
      <w:bookmarkStart w:id="33" w:name="_Ref24536542"/>
      <w:r w:rsidRPr="0009445C">
        <w:lastRenderedPageBreak/>
        <w:t>Annex 6</w:t>
      </w:r>
      <w:bookmarkEnd w:id="33"/>
    </w:p>
    <w:p w14:paraId="686C1DDF" w14:textId="77777777" w:rsidR="00E07C4A" w:rsidRPr="0009445C" w:rsidRDefault="00E07C4A" w:rsidP="00E07C4A">
      <w:pPr>
        <w:pStyle w:val="berschriftnichtnummeriert"/>
      </w:pPr>
      <w:bookmarkStart w:id="34" w:name="_Ref91695419"/>
      <w:r w:rsidRPr="0009445C">
        <w:t>Rear-ventilated, external-wall cladding</w:t>
      </w:r>
      <w:bookmarkEnd w:id="34"/>
    </w:p>
    <w:bookmarkStart w:id="35" w:name="Anhang_06_Stand"/>
    <w:p w14:paraId="16C2D845" w14:textId="3B7CC546" w:rsidR="00E07C4A" w:rsidRPr="0009445C" w:rsidRDefault="00375ADF" w:rsidP="00E07C4A">
      <w:sdt>
        <w:sdtPr>
          <w:alias w:val="Version — Annex 6"/>
          <w:tag w:val="S_Anhang6"/>
          <w:id w:val="-406921874"/>
          <w:placeholder>
            <w:docPart w:val="635C0C19CBE24DF0B82D5C1D68FE7826"/>
          </w:placeholder>
          <w:text/>
        </w:sdtPr>
        <w:sdtEndPr/>
        <w:sdtContent>
          <w:r w:rsidRPr="0009445C">
            <w:t>Last updated: October 2021</w:t>
          </w:r>
        </w:sdtContent>
      </w:sdt>
      <w:bookmarkEnd w:id="35"/>
    </w:p>
    <w:p w14:paraId="4BEF83E4" w14:textId="77777777" w:rsidR="00E07C4A" w:rsidRPr="0009445C" w:rsidRDefault="00E07C4A" w:rsidP="00E07C4A">
      <w:pPr>
        <w:rPr>
          <w:b/>
        </w:rPr>
      </w:pPr>
    </w:p>
    <w:p w14:paraId="3EA39DD7" w14:textId="77777777" w:rsidR="00E07C4A" w:rsidRPr="0009445C" w:rsidRDefault="00E07C4A" w:rsidP="00E07C4A">
      <w:pPr>
        <w:rPr>
          <w:b/>
        </w:rPr>
      </w:pPr>
    </w:p>
    <w:p w14:paraId="25EB1D0B" w14:textId="77777777" w:rsidR="00E07C4A" w:rsidRPr="0009445C" w:rsidRDefault="00E07C4A" w:rsidP="00E07C4A">
      <w:pPr>
        <w:pStyle w:val="BRL-Standard"/>
        <w:rPr>
          <w:b/>
          <w:bCs/>
          <w:caps/>
        </w:rPr>
      </w:pPr>
      <w:r w:rsidRPr="0009445C">
        <w:rPr>
          <w:b/>
          <w:caps/>
        </w:rPr>
        <w:t>Contents</w:t>
      </w:r>
    </w:p>
    <w:p w14:paraId="47C603F7" w14:textId="77777777" w:rsidR="00E07C4A" w:rsidRPr="0009445C" w:rsidRDefault="00E07C4A" w:rsidP="00E07C4A"/>
    <w:p w14:paraId="1292F3D3" w14:textId="77777777" w:rsidR="00E07C4A" w:rsidRPr="0009445C" w:rsidRDefault="00E07C4A" w:rsidP="00E07C4A">
      <w:pPr>
        <w:spacing w:before="100"/>
        <w:rPr>
          <w:caps/>
        </w:rPr>
      </w:pPr>
      <w:r w:rsidRPr="0009445C">
        <w:rPr>
          <w:caps/>
        </w:rPr>
        <w:t>1</w:t>
      </w:r>
      <w:r w:rsidRPr="0009445C">
        <w:rPr>
          <w:caps/>
        </w:rPr>
        <w:tab/>
        <w:t>Scope</w:t>
      </w:r>
    </w:p>
    <w:p w14:paraId="2AA09801" w14:textId="77777777" w:rsidR="00E07C4A" w:rsidRPr="0009445C" w:rsidRDefault="00E07C4A" w:rsidP="00E07C4A">
      <w:pPr>
        <w:spacing w:before="100"/>
        <w:rPr>
          <w:caps/>
        </w:rPr>
      </w:pPr>
      <w:r w:rsidRPr="0009445C">
        <w:rPr>
          <w:caps/>
        </w:rPr>
        <w:t>2</w:t>
      </w:r>
      <w:r w:rsidRPr="0009445C">
        <w:rPr>
          <w:caps/>
        </w:rPr>
        <w:tab/>
        <w:t>Terms</w:t>
      </w:r>
    </w:p>
    <w:p w14:paraId="6DF43A99" w14:textId="77777777" w:rsidR="00E07C4A" w:rsidRPr="0009445C" w:rsidRDefault="00E07C4A" w:rsidP="00E07C4A">
      <w:pPr>
        <w:spacing w:before="100"/>
        <w:rPr>
          <w:caps/>
        </w:rPr>
      </w:pPr>
      <w:r w:rsidRPr="0009445C">
        <w:rPr>
          <w:caps/>
        </w:rPr>
        <w:t>3</w:t>
      </w:r>
      <w:r w:rsidRPr="0009445C">
        <w:rPr>
          <w:caps/>
        </w:rPr>
        <w:tab/>
        <w:t>Insulating materials, substructures, rear-ventilation gap</w:t>
      </w:r>
    </w:p>
    <w:p w14:paraId="4D78F06C" w14:textId="77777777" w:rsidR="00E07C4A" w:rsidRPr="0009445C" w:rsidRDefault="00E07C4A" w:rsidP="00E07C4A">
      <w:pPr>
        <w:spacing w:before="100"/>
        <w:rPr>
          <w:caps/>
        </w:rPr>
      </w:pPr>
      <w:r w:rsidRPr="0009445C">
        <w:rPr>
          <w:caps/>
        </w:rPr>
        <w:t>4</w:t>
      </w:r>
      <w:r w:rsidRPr="0009445C">
        <w:rPr>
          <w:caps/>
        </w:rPr>
        <w:tab/>
        <w:t>Horizontal fire barriers</w:t>
      </w:r>
    </w:p>
    <w:p w14:paraId="33AC4E5B" w14:textId="07EB78A2" w:rsidR="00E07C4A" w:rsidRPr="0009445C" w:rsidRDefault="00E07C4A" w:rsidP="00E07C4A">
      <w:pPr>
        <w:spacing w:before="100"/>
        <w:rPr>
          <w:caps/>
        </w:rPr>
      </w:pPr>
      <w:r w:rsidRPr="0009445C">
        <w:rPr>
          <w:caps/>
        </w:rPr>
        <w:t>5</w:t>
      </w:r>
      <w:r w:rsidRPr="0009445C">
        <w:rPr>
          <w:caps/>
        </w:rPr>
        <w:tab/>
        <w:t>Vertical fire barriers</w:t>
      </w:r>
    </w:p>
    <w:p w14:paraId="7446BAD8" w14:textId="77777777" w:rsidR="00E07C4A" w:rsidRPr="0009445C" w:rsidRDefault="00E07C4A" w:rsidP="00600F53">
      <w:pPr>
        <w:pStyle w:val="BRL-berschrift"/>
      </w:pPr>
    </w:p>
    <w:p w14:paraId="587ADCBD" w14:textId="77777777" w:rsidR="00E07C4A" w:rsidRPr="0009445C" w:rsidRDefault="00E07C4A" w:rsidP="00E07C4A">
      <w:pPr>
        <w:pStyle w:val="BRL-Standard"/>
        <w:sectPr w:rsidR="00E07C4A" w:rsidRPr="0009445C" w:rsidSect="00E07C4A">
          <w:headerReference w:type="even" r:id="rId78"/>
          <w:headerReference w:type="default" r:id="rId79"/>
          <w:footerReference w:type="default" r:id="rId80"/>
          <w:headerReference w:type="first" r:id="rId81"/>
          <w:footerReference w:type="first" r:id="rId82"/>
          <w:pgSz w:w="11906" w:h="16838" w:code="9"/>
          <w:pgMar w:top="1134" w:right="1418" w:bottom="1134" w:left="1418" w:header="709" w:footer="652" w:gutter="0"/>
          <w:cols w:space="720"/>
          <w:titlePg/>
        </w:sectPr>
      </w:pPr>
    </w:p>
    <w:p w14:paraId="7C732AA1" w14:textId="77777777" w:rsidR="00E07C4A" w:rsidRPr="0009445C" w:rsidRDefault="00E07C4A" w:rsidP="00600F53">
      <w:pPr>
        <w:pStyle w:val="BRL-berschrift"/>
      </w:pPr>
      <w:r w:rsidRPr="0009445C">
        <w:lastRenderedPageBreak/>
        <w:t>1</w:t>
      </w:r>
      <w:r w:rsidRPr="0009445C">
        <w:tab/>
        <w:t>Scope</w:t>
      </w:r>
    </w:p>
    <w:p w14:paraId="693758DF" w14:textId="77777777" w:rsidR="00E07C4A" w:rsidRPr="0009445C" w:rsidRDefault="00E07C4A" w:rsidP="00E07C4A">
      <w:pPr>
        <w:pStyle w:val="BRL-Standard"/>
      </w:pPr>
      <w:r w:rsidRPr="0009445C">
        <w:t>In the case of rear-ventilated external wall cladding that</w:t>
      </w:r>
    </w:p>
    <w:p w14:paraId="0B5962EB" w14:textId="77777777" w:rsidR="00E07C4A" w:rsidRPr="0009445C" w:rsidRDefault="00E07C4A" w:rsidP="00E07C4A">
      <w:pPr>
        <w:pStyle w:val="BRL-Standard"/>
      </w:pPr>
    </w:p>
    <w:p w14:paraId="7F34872B" w14:textId="77777777" w:rsidR="00E07C4A" w:rsidRPr="0009445C" w:rsidRDefault="00E07C4A" w:rsidP="00E07C4A">
      <w:pPr>
        <w:pStyle w:val="BRLAufzhlungAnstrich"/>
        <w:numPr>
          <w:ilvl w:val="0"/>
          <w:numId w:val="1"/>
        </w:numPr>
      </w:pPr>
      <w:r w:rsidRPr="0009445C">
        <w:t>has hollow or air spaces across storeys</w:t>
      </w:r>
    </w:p>
    <w:p w14:paraId="1D32667F" w14:textId="77777777" w:rsidR="00E07C4A" w:rsidRPr="0009445C" w:rsidRDefault="00E07C4A" w:rsidP="00E07C4A">
      <w:pPr>
        <w:pStyle w:val="BRL-Standard"/>
      </w:pPr>
    </w:p>
    <w:p w14:paraId="3192E2F0" w14:textId="77777777" w:rsidR="00E07C4A" w:rsidRPr="0009445C" w:rsidRDefault="00E07C4A" w:rsidP="00E07C4A">
      <w:pPr>
        <w:pStyle w:val="BRL-Standard"/>
      </w:pPr>
      <w:r w:rsidRPr="0009445C">
        <w:t>or</w:t>
      </w:r>
    </w:p>
    <w:p w14:paraId="6B18F1FE" w14:textId="77777777" w:rsidR="00E07C4A" w:rsidRPr="0009445C" w:rsidRDefault="00E07C4A" w:rsidP="00E07C4A">
      <w:pPr>
        <w:pStyle w:val="BRL-Standard"/>
      </w:pPr>
    </w:p>
    <w:p w14:paraId="37089130" w14:textId="77777777" w:rsidR="00E07C4A" w:rsidRPr="0009445C" w:rsidRDefault="00E07C4A" w:rsidP="00E07C4A">
      <w:pPr>
        <w:pStyle w:val="BRLAufzhlungAnstrich"/>
        <w:numPr>
          <w:ilvl w:val="0"/>
          <w:numId w:val="1"/>
        </w:numPr>
      </w:pPr>
      <w:r w:rsidRPr="0009445C">
        <w:t>extends above firewalls,</w:t>
      </w:r>
    </w:p>
    <w:p w14:paraId="5EB6B846" w14:textId="77777777" w:rsidR="00E07C4A" w:rsidRPr="0009445C" w:rsidRDefault="00E07C4A" w:rsidP="00E07C4A">
      <w:pPr>
        <w:pStyle w:val="BRL-Standard"/>
      </w:pPr>
    </w:p>
    <w:p w14:paraId="22C84D78" w14:textId="6F7F9E03" w:rsidR="00E07C4A" w:rsidRPr="0009445C" w:rsidRDefault="00E07C4A" w:rsidP="00E07C4A">
      <w:pPr>
        <w:pStyle w:val="BRL-Standard"/>
      </w:pPr>
      <w:r w:rsidRPr="0009445C">
        <w:t>special precautions must be taken against the spread of fire in accordance with § 28(4), in conjunction with (5), as well as in accordance with § 30 Para. 7 MBO</w:t>
      </w:r>
      <w:bookmarkStart w:id="36" w:name="_Ref77324107"/>
      <w:r w:rsidRPr="0009445C">
        <w:rPr>
          <w:rStyle w:val="FootnoteReference"/>
        </w:rPr>
        <w:footnoteReference w:id="42"/>
      </w:r>
      <w:bookmarkEnd w:id="36"/>
      <w:r w:rsidRPr="0009445C">
        <w:t>. This is considered to be fulfilled if the design of the ventilated outer wall covering is carried out in accordance with this Technical Rule.</w:t>
      </w:r>
    </w:p>
    <w:p w14:paraId="7950A79E" w14:textId="77777777" w:rsidR="00E07C4A" w:rsidRPr="0009445C" w:rsidRDefault="00E07C4A" w:rsidP="00E07C4A">
      <w:pPr>
        <w:pStyle w:val="BRL-Standard"/>
      </w:pPr>
    </w:p>
    <w:p w14:paraId="263B4CFD" w14:textId="77777777" w:rsidR="00E07C4A" w:rsidRPr="0009445C" w:rsidRDefault="00E07C4A" w:rsidP="00600F53">
      <w:pPr>
        <w:pStyle w:val="BRL-berschrift"/>
      </w:pPr>
      <w:r w:rsidRPr="0009445C">
        <w:t>2</w:t>
      </w:r>
      <w:r w:rsidRPr="0009445C">
        <w:tab/>
        <w:t>Terms</w:t>
      </w:r>
    </w:p>
    <w:p w14:paraId="4C0551AA" w14:textId="77777777" w:rsidR="00E07C4A" w:rsidRPr="0009445C" w:rsidRDefault="00E07C4A" w:rsidP="00600F53">
      <w:pPr>
        <w:pStyle w:val="BRL-berschrift"/>
      </w:pPr>
      <w:r w:rsidRPr="0009445C">
        <w:t>2.1</w:t>
      </w:r>
      <w:r w:rsidRPr="0009445C">
        <w:tab/>
        <w:t>Rear-ventilated external wall cladding consisting of:</w:t>
      </w:r>
    </w:p>
    <w:p w14:paraId="031AB2BD" w14:textId="0DA91AB7" w:rsidR="00E07C4A" w:rsidRPr="0009445C" w:rsidRDefault="00E07C4A" w:rsidP="00E07C4A">
      <w:pPr>
        <w:pStyle w:val="BRLAufzhlungAnstrich"/>
        <w:numPr>
          <w:ilvl w:val="0"/>
          <w:numId w:val="1"/>
        </w:numPr>
      </w:pPr>
      <w:r w:rsidRPr="0009445C">
        <w:t>cladding elements with open or closed joints, covering elements or impacts</w:t>
      </w:r>
    </w:p>
    <w:p w14:paraId="3247B72E" w14:textId="77777777" w:rsidR="00E07C4A" w:rsidRPr="0009445C" w:rsidRDefault="00E07C4A" w:rsidP="00E07C4A">
      <w:pPr>
        <w:pStyle w:val="BRLAufzhlungAnstrich"/>
        <w:numPr>
          <w:ilvl w:val="0"/>
          <w:numId w:val="1"/>
        </w:numPr>
      </w:pPr>
      <w:r w:rsidRPr="0009445C">
        <w:t xml:space="preserve">substructures (e.g. load-bearing profiles and, where appropriate, wall profiles made of metal, wooden battens (load-bearing battens), counter-battens (basic battens)) </w:t>
      </w:r>
    </w:p>
    <w:p w14:paraId="044B343D" w14:textId="77777777" w:rsidR="00E07C4A" w:rsidRPr="0009445C" w:rsidRDefault="00E07C4A" w:rsidP="00E07C4A">
      <w:pPr>
        <w:pStyle w:val="BRLAufzhlungAnstrich"/>
        <w:numPr>
          <w:ilvl w:val="0"/>
          <w:numId w:val="1"/>
        </w:numPr>
      </w:pPr>
      <w:r w:rsidRPr="0009445C">
        <w:t>holding supports (anchoring, connecting and fastening elements)</w:t>
      </w:r>
    </w:p>
    <w:p w14:paraId="541FA814" w14:textId="77777777" w:rsidR="00E07C4A" w:rsidRPr="0009445C" w:rsidRDefault="00E07C4A" w:rsidP="00E07C4A">
      <w:pPr>
        <w:pStyle w:val="BRLAufzhlungAnstrich"/>
        <w:numPr>
          <w:ilvl w:val="0"/>
          <w:numId w:val="1"/>
        </w:numPr>
      </w:pPr>
      <w:r w:rsidRPr="0009445C">
        <w:t>accessories (e.g. connecting profiles, sealing strips, thermal separating elements)</w:t>
      </w:r>
    </w:p>
    <w:p w14:paraId="5D7FEFA4" w14:textId="77777777" w:rsidR="00E07C4A" w:rsidRPr="0009445C" w:rsidRDefault="00E07C4A" w:rsidP="00E07C4A">
      <w:pPr>
        <w:pStyle w:val="BRLAufzhlungAnstrich"/>
        <w:numPr>
          <w:ilvl w:val="0"/>
          <w:numId w:val="1"/>
        </w:numPr>
      </w:pPr>
      <w:r w:rsidRPr="0009445C">
        <w:t>rear-ventilation gap</w:t>
      </w:r>
    </w:p>
    <w:p w14:paraId="10194165" w14:textId="77777777" w:rsidR="00E07C4A" w:rsidRPr="0009445C" w:rsidRDefault="00E07C4A" w:rsidP="00E07C4A">
      <w:pPr>
        <w:pStyle w:val="BRLAufzhlungAnstrich"/>
        <w:numPr>
          <w:ilvl w:val="0"/>
          <w:numId w:val="1"/>
        </w:numPr>
      </w:pPr>
      <w:r w:rsidRPr="0009445C">
        <w:t>if necessary, thermal insulation with insulating material supports.</w:t>
      </w:r>
    </w:p>
    <w:p w14:paraId="33EE78DD" w14:textId="77777777" w:rsidR="00E07C4A" w:rsidRPr="0009445C" w:rsidRDefault="00E07C4A" w:rsidP="00E07C4A">
      <w:pPr>
        <w:pStyle w:val="BRL-Standard"/>
      </w:pPr>
    </w:p>
    <w:p w14:paraId="5E9F8076" w14:textId="77777777" w:rsidR="00E07C4A" w:rsidRPr="0009445C" w:rsidRDefault="00E07C4A" w:rsidP="00E07C4A">
      <w:pPr>
        <w:rPr>
          <w:rStyle w:val="BRL-StandardZchn"/>
        </w:rPr>
      </w:pPr>
      <w:r w:rsidRPr="0009445C">
        <w:rPr>
          <w:b/>
        </w:rPr>
        <w:t>2.2</w:t>
      </w:r>
      <w:r w:rsidRPr="0009445C">
        <w:rPr>
          <w:b/>
        </w:rPr>
        <w:tab/>
      </w:r>
      <w:r w:rsidRPr="0009445C">
        <w:rPr>
          <w:rStyle w:val="BRL-StandardZchn"/>
        </w:rPr>
        <w:t>The rear-ventilation gap is the air space between the cladding and the thermal insulation or between the cladding and the wall, if provision is not made for any external thermal insulation.</w:t>
      </w:r>
    </w:p>
    <w:p w14:paraId="28102854" w14:textId="77777777" w:rsidR="00E07C4A" w:rsidRPr="0009445C" w:rsidRDefault="00E07C4A" w:rsidP="00E07C4A"/>
    <w:p w14:paraId="0EE7E2DB" w14:textId="77777777" w:rsidR="00E07C4A" w:rsidRPr="0009445C" w:rsidRDefault="00E07C4A" w:rsidP="00E07C4A">
      <w:r w:rsidRPr="0009445C">
        <w:rPr>
          <w:b/>
        </w:rPr>
        <w:t>2.3</w:t>
      </w:r>
      <w:r w:rsidRPr="0009445C">
        <w:rPr>
          <w:b/>
        </w:rPr>
        <w:tab/>
      </w:r>
      <w:r w:rsidRPr="0009445C">
        <w:rPr>
          <w:rStyle w:val="BRL-StandardZchn"/>
        </w:rPr>
        <w:t>Fire barriers assist in limiting the spread of fire in the rear-ventilation gap for a sufficiently long period of time by interrupting or partially reducing the clear cross-section of the rear-ventilation gap.</w:t>
      </w:r>
    </w:p>
    <w:p w14:paraId="70F691D8" w14:textId="77777777" w:rsidR="00E07C4A" w:rsidRPr="0009445C" w:rsidRDefault="00E07C4A" w:rsidP="00E07C4A"/>
    <w:p w14:paraId="3E4604B4" w14:textId="77777777" w:rsidR="00E07C4A" w:rsidRPr="0009445C" w:rsidRDefault="00E07C4A" w:rsidP="00600F53">
      <w:pPr>
        <w:pStyle w:val="BRL-berschrift"/>
      </w:pPr>
      <w:r w:rsidRPr="0009445C">
        <w:t>3</w:t>
      </w:r>
      <w:r w:rsidRPr="0009445C">
        <w:tab/>
        <w:t>Insulating materials, substructures, rear-ventilation gap</w:t>
      </w:r>
    </w:p>
    <w:p w14:paraId="1F2F4356" w14:textId="7541C00F" w:rsidR="00E07C4A" w:rsidRPr="0009445C" w:rsidRDefault="00E07C4A" w:rsidP="00E07C4A">
      <w:r w:rsidRPr="0009445C">
        <w:rPr>
          <w:b/>
        </w:rPr>
        <w:t>3.1</w:t>
      </w:r>
      <w:r w:rsidRPr="0009445C">
        <w:rPr>
          <w:b/>
        </w:rPr>
        <w:tab/>
      </w:r>
      <w:r w:rsidRPr="0009445C">
        <w:rPr>
          <w:rStyle w:val="BRL-StandardZchn"/>
        </w:rPr>
        <w:t>In deviation from § 28 Para. 3 sentence 1 MBO</w:t>
      </w:r>
      <w:r w:rsidRPr="0009445C">
        <w:rPr>
          <w:rStyle w:val="FootnoteReference"/>
        </w:rPr>
        <w:fldChar w:fldCharType="begin"/>
      </w:r>
      <w:r w:rsidRPr="0009445C">
        <w:rPr>
          <w:rStyle w:val="FootnoteReference"/>
        </w:rPr>
        <w:instrText xml:space="preserve"> NOTEREF _Ref77324107 \h  \* MERGEFORMAT </w:instrText>
      </w:r>
      <w:r w:rsidRPr="0009445C">
        <w:rPr>
          <w:rStyle w:val="FootnoteReference"/>
        </w:rPr>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rPr>
          <w:rStyle w:val="BRL-StandardZchn"/>
        </w:rPr>
        <w:t>, the thermal insulation must be non-combustible. The insulating materials shall be attached to the substrate either mechanically or with an adhesive mortar that is flame-resistant or does not contain more than 7.5% organic structural elements. Rod-shaped timber substructures are permitted (§ 28 Para. 3 sentence 1 Clause 2 MBO</w:t>
      </w:r>
      <w:r w:rsidRPr="0009445C">
        <w:rPr>
          <w:rStyle w:val="FootnoteReference"/>
        </w:rPr>
        <w:fldChar w:fldCharType="begin"/>
      </w:r>
      <w:r w:rsidRPr="0009445C">
        <w:rPr>
          <w:rStyle w:val="FootnoteReference"/>
        </w:rPr>
        <w:instrText xml:space="preserve"> NOTEREF _Ref77324107 \h  \* MERGEFORMAT </w:instrText>
      </w:r>
      <w:r w:rsidRPr="0009445C">
        <w:rPr>
          <w:rStyle w:val="FootnoteReference"/>
        </w:rPr>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rPr>
          <w:rStyle w:val="BRL-StandardZchn"/>
        </w:rPr>
        <w:t>).</w:t>
      </w:r>
    </w:p>
    <w:p w14:paraId="7336FAD4" w14:textId="77777777" w:rsidR="00E07C4A" w:rsidRPr="0009445C" w:rsidRDefault="00E07C4A" w:rsidP="00E07C4A"/>
    <w:p w14:paraId="1F4186E3" w14:textId="77777777" w:rsidR="00E07C4A" w:rsidRPr="0009445C" w:rsidRDefault="00E07C4A" w:rsidP="00E07C4A">
      <w:r w:rsidRPr="0009445C">
        <w:rPr>
          <w:b/>
        </w:rPr>
        <w:t>3.2</w:t>
      </w:r>
      <w:r w:rsidRPr="0009445C">
        <w:rPr>
          <w:b/>
        </w:rPr>
        <w:tab/>
      </w:r>
      <w:r w:rsidRPr="0009445C">
        <w:rPr>
          <w:rStyle w:val="BRL-StandardZchn"/>
        </w:rPr>
        <w:t>The depth of the rear ventilation gap shall not be greater than</w:t>
      </w:r>
    </w:p>
    <w:p w14:paraId="2FE06D49" w14:textId="77777777" w:rsidR="00E07C4A" w:rsidRPr="0009445C" w:rsidRDefault="00E07C4A" w:rsidP="00E07C4A"/>
    <w:p w14:paraId="4FCD538C" w14:textId="77777777" w:rsidR="00E07C4A" w:rsidRPr="0009445C" w:rsidRDefault="00E07C4A" w:rsidP="00E07C4A">
      <w:pPr>
        <w:pStyle w:val="BRLAufzhlungAnstrich"/>
        <w:numPr>
          <w:ilvl w:val="0"/>
          <w:numId w:val="1"/>
        </w:numPr>
      </w:pPr>
      <w:r w:rsidRPr="0009445C">
        <w:t>50mm with a timber substructure and</w:t>
      </w:r>
    </w:p>
    <w:p w14:paraId="130B0D62" w14:textId="0DDDDE04" w:rsidR="00E07C4A" w:rsidRPr="0009445C" w:rsidRDefault="00E07C4A" w:rsidP="00E07C4A">
      <w:pPr>
        <w:pStyle w:val="BRLAufzhlungAnstrich"/>
        <w:numPr>
          <w:ilvl w:val="0"/>
          <w:numId w:val="1"/>
        </w:numPr>
      </w:pPr>
      <w:r w:rsidRPr="0009445C">
        <w:t>300 mm when using a linear or selective metal substructure.</w:t>
      </w:r>
    </w:p>
    <w:p w14:paraId="2A0D352E" w14:textId="77777777" w:rsidR="00E07C4A" w:rsidRPr="0009445C" w:rsidRDefault="00E07C4A" w:rsidP="00E07C4A">
      <w:pPr>
        <w:pStyle w:val="BRLAufzhlungAnstrich"/>
        <w:numPr>
          <w:ilvl w:val="0"/>
          <w:numId w:val="0"/>
        </w:numPr>
        <w:ind w:left="284"/>
      </w:pPr>
    </w:p>
    <w:p w14:paraId="57BDF19D" w14:textId="77777777" w:rsidR="00E07C4A" w:rsidRPr="0009445C" w:rsidRDefault="00E07C4A" w:rsidP="00E07C4A">
      <w:pPr>
        <w:pStyle w:val="BRLAufzhlungAnstrich"/>
        <w:numPr>
          <w:ilvl w:val="0"/>
          <w:numId w:val="0"/>
        </w:numPr>
        <w:ind w:left="284"/>
      </w:pPr>
      <w:r w:rsidRPr="0009445C">
        <w:br w:type="page"/>
      </w:r>
    </w:p>
    <w:p w14:paraId="2CEAEDF3" w14:textId="77777777" w:rsidR="00E07C4A" w:rsidRPr="0009445C" w:rsidRDefault="00E07C4A" w:rsidP="00600F53">
      <w:pPr>
        <w:pStyle w:val="BRL-berschrift"/>
      </w:pPr>
      <w:r w:rsidRPr="0009445C">
        <w:lastRenderedPageBreak/>
        <w:t>4</w:t>
      </w:r>
      <w:r w:rsidRPr="0009445C">
        <w:tab/>
        <w:t>Horizontal fire barriers</w:t>
      </w:r>
    </w:p>
    <w:p w14:paraId="4BB75BEB" w14:textId="6FFFE0A1" w:rsidR="00E07C4A" w:rsidRPr="0009445C" w:rsidRDefault="00E07C4A" w:rsidP="00E07C4A">
      <w:pPr>
        <w:widowControl w:val="0"/>
        <w:rPr>
          <w:rStyle w:val="BRL-StandardZchn"/>
        </w:rPr>
      </w:pPr>
      <w:r w:rsidRPr="0009445C">
        <w:rPr>
          <w:b/>
        </w:rPr>
        <w:t>4.1</w:t>
      </w:r>
      <w:r w:rsidRPr="0009445C">
        <w:rPr>
          <w:b/>
        </w:rPr>
        <w:tab/>
      </w:r>
      <w:r w:rsidRPr="0009445C">
        <w:rPr>
          <w:rStyle w:val="BRL-StandardZchn"/>
        </w:rPr>
        <w:t>On every second floor, horizontal fire barriers shall be positioned in the rear-ventilation gap. The fire barriers shall be installed between the wall and the cladding. In the case of external thermal insulation, installation between the insulating material of the external thermal insulation and the cladding is sufficient with a ventilation gap depth of up to a maximum of 150 mm if the insulating material is dimensionally stable in the event of fire and has a melting point of &gt; 1 000 °C. The fire barrier shall be integrated into the insulation material up to a depth of at least 40 mm.</w:t>
      </w:r>
    </w:p>
    <w:p w14:paraId="1170E999" w14:textId="33BE4F33" w:rsidR="00E07C4A" w:rsidRPr="0009445C" w:rsidRDefault="00E07C4A" w:rsidP="00E07C4A">
      <w:pPr>
        <w:widowControl w:val="0"/>
      </w:pPr>
    </w:p>
    <w:p w14:paraId="26F12F58" w14:textId="49A41B63" w:rsidR="00E07C4A" w:rsidRPr="0009445C" w:rsidRDefault="00E07C4A" w:rsidP="00E07C4A">
      <w:pPr>
        <w:widowControl w:val="0"/>
      </w:pPr>
      <w:r w:rsidRPr="0009445C">
        <w:t>For external wall coverings with a depth of the back ventilation gap &gt; 150 mm to a maximum of 300 mm, the fire barrier must always be installed between the wall and the cladding.</w:t>
      </w:r>
    </w:p>
    <w:p w14:paraId="544E1BA3" w14:textId="77777777" w:rsidR="00E07C4A" w:rsidRPr="0009445C" w:rsidRDefault="00E07C4A" w:rsidP="00E07C4A"/>
    <w:p w14:paraId="5387312D" w14:textId="77777777" w:rsidR="00E07C4A" w:rsidRPr="0009445C" w:rsidRDefault="00E07C4A" w:rsidP="00E07C4A">
      <w:r w:rsidRPr="0009445C">
        <w:rPr>
          <w:b/>
        </w:rPr>
        <w:t>4.2</w:t>
      </w:r>
      <w:r w:rsidRPr="0009445C">
        <w:rPr>
          <w:b/>
        </w:rPr>
        <w:tab/>
      </w:r>
      <w:r w:rsidRPr="0009445C">
        <w:rPr>
          <w:rStyle w:val="BRL-StandardZchn"/>
        </w:rPr>
        <w:t>Substructures made of combustible building materials must be completely interrupted in the area of horizontal fire barriers.</w:t>
      </w:r>
    </w:p>
    <w:p w14:paraId="047679F2" w14:textId="77777777" w:rsidR="00E07C4A" w:rsidRPr="0009445C" w:rsidRDefault="00E07C4A" w:rsidP="00E07C4A">
      <w:pPr>
        <w:pStyle w:val="BRL-Standard"/>
      </w:pPr>
    </w:p>
    <w:p w14:paraId="5030F049" w14:textId="77777777" w:rsidR="00E07C4A" w:rsidRPr="0009445C" w:rsidRDefault="00E07C4A" w:rsidP="00E07C4A">
      <w:r w:rsidRPr="0009445C">
        <w:rPr>
          <w:b/>
        </w:rPr>
        <w:t>4.3</w:t>
      </w:r>
      <w:r w:rsidRPr="0009445C">
        <w:rPr>
          <w:b/>
        </w:rPr>
        <w:tab/>
      </w:r>
      <w:r w:rsidRPr="0009445C">
        <w:rPr>
          <w:rStyle w:val="BRL-StandardZchn"/>
        </w:rPr>
        <w:t>The total size of the openings in the horizontal fire barriers shall be limited to 100 cm² per linear metre of wall. The openings may be positioned as evenly distributed individual openings or as a continuous gap</w:t>
      </w:r>
      <w:r w:rsidRPr="0009445C">
        <w:t>.</w:t>
      </w:r>
    </w:p>
    <w:p w14:paraId="007F0347" w14:textId="77777777" w:rsidR="00E07C4A" w:rsidRPr="0009445C" w:rsidRDefault="00E07C4A" w:rsidP="00E07C4A">
      <w:pPr>
        <w:pStyle w:val="BRL-Standard"/>
      </w:pPr>
    </w:p>
    <w:p w14:paraId="23AD7DB5" w14:textId="366AA29F" w:rsidR="00E07C4A" w:rsidRPr="0009445C" w:rsidRDefault="00E07C4A" w:rsidP="00E07C4A">
      <w:r w:rsidRPr="0009445C">
        <w:rPr>
          <w:b/>
        </w:rPr>
        <w:t>4.4</w:t>
      </w:r>
      <w:r w:rsidRPr="0009445C">
        <w:rPr>
          <w:b/>
        </w:rPr>
        <w:tab/>
      </w:r>
      <w:r w:rsidRPr="0009445C">
        <w:rPr>
          <w:rStyle w:val="BRL-StandardZchn"/>
        </w:rPr>
        <w:t>The horizontal fire barriers shall be sufficiently stable for at least 30 minutes. This is considered to be fulfilled when the fire barriers are made of sheet steel with a thickness of d ≥ 1 mm. They shall be anchored in the outer wall at intervals of ≤ 0.6 m. The steel sheets shall overlap the joints by at least 30 mm.</w:t>
      </w:r>
    </w:p>
    <w:p w14:paraId="51BC4419" w14:textId="5CBB6517" w:rsidR="00E07C4A" w:rsidRPr="0009445C" w:rsidRDefault="00E07C4A" w:rsidP="00E07C4A">
      <w:pPr>
        <w:pStyle w:val="BRL-Standard"/>
      </w:pPr>
    </w:p>
    <w:p w14:paraId="706969FC" w14:textId="77777777" w:rsidR="00964528" w:rsidRPr="0009445C" w:rsidRDefault="00964528" w:rsidP="00964528">
      <w:pPr>
        <w:pStyle w:val="BRL-Standard"/>
      </w:pPr>
      <w:r w:rsidRPr="0009445C">
        <w:t>In the case of ventilated outer wall coverings with a depth of the back ventilation gap not exceeding 100 mm, horizontal fire barriers may consist of a non-combustible insulation material with a melting point &gt; 1 000 °C which is dimensionally stable in the event of fire, if the following boundary conditions are met:</w:t>
      </w:r>
    </w:p>
    <w:p w14:paraId="1713DCC3" w14:textId="2A1ACCDA" w:rsidR="00964528" w:rsidRPr="0009445C" w:rsidRDefault="00964528" w:rsidP="00964528">
      <w:pPr>
        <w:pStyle w:val="AufzhlungTabelle"/>
      </w:pPr>
      <w:r w:rsidRPr="0009445C">
        <w:t xml:space="preserve">The fire barrier shall be at least 150 mm high. </w:t>
      </w:r>
    </w:p>
    <w:p w14:paraId="7008F430" w14:textId="457AA4C8" w:rsidR="00964528" w:rsidRPr="0009445C" w:rsidRDefault="00964528" w:rsidP="00964528">
      <w:pPr>
        <w:pStyle w:val="AufzhlungTabelle"/>
      </w:pPr>
      <w:r w:rsidRPr="0009445C">
        <w:t>The fixing of the fire barrier shall be carried out as follows:</w:t>
      </w:r>
    </w:p>
    <w:p w14:paraId="228CBCFE" w14:textId="636B2AD0" w:rsidR="00964528" w:rsidRPr="0009445C" w:rsidRDefault="00964528" w:rsidP="00964528">
      <w:pPr>
        <w:pStyle w:val="BRLAufzhlungPunkt"/>
      </w:pPr>
      <w:r w:rsidRPr="0009445C">
        <w:t xml:space="preserve">mechanically anchored with non-combustible fasteners in the outer wall at intervals of ≤ 0.6 m </w:t>
      </w:r>
    </w:p>
    <w:p w14:paraId="0C3B10F4" w14:textId="77777777" w:rsidR="00964528" w:rsidRPr="0009445C" w:rsidRDefault="00964528" w:rsidP="00964528">
      <w:pPr>
        <w:pStyle w:val="BRL-Standard"/>
        <w:ind w:left="357"/>
      </w:pPr>
      <w:r w:rsidRPr="0009445C">
        <w:t>or</w:t>
      </w:r>
    </w:p>
    <w:p w14:paraId="5106085A" w14:textId="12FF17DC" w:rsidR="00964528" w:rsidRPr="0009445C" w:rsidRDefault="00964528" w:rsidP="00964528">
      <w:pPr>
        <w:pStyle w:val="BRLAufzhlungPunkt"/>
      </w:pPr>
      <w:r w:rsidRPr="0009445C">
        <w:t>fully glued to the outer wall with non-combustible adhesive mortar</w:t>
      </w:r>
    </w:p>
    <w:p w14:paraId="6F7B48DF" w14:textId="77777777" w:rsidR="00964528" w:rsidRPr="0009445C" w:rsidRDefault="00964528" w:rsidP="00964528">
      <w:pPr>
        <w:pStyle w:val="BRL-Standard"/>
        <w:ind w:left="357"/>
      </w:pPr>
      <w:r w:rsidRPr="0009445C">
        <w:t>or</w:t>
      </w:r>
    </w:p>
    <w:p w14:paraId="67A78D98" w14:textId="2AC09890" w:rsidR="00964528" w:rsidRPr="0009445C" w:rsidRDefault="00964528" w:rsidP="00964528">
      <w:pPr>
        <w:pStyle w:val="BRLAufzhlungPunkt"/>
      </w:pPr>
      <w:r w:rsidRPr="0009445C">
        <w:t>clamped into an external thermal insulation of an insulating material that is stable in the event of fire with a melting point &gt; 1 000 °C, wherein the thickness of the thermal insulation shall be at least twice as large as the depth of the back ventilation gap and the clamping depth of the fire barrier shall correspond to the thickness of the thermal insulation.</w:t>
      </w:r>
    </w:p>
    <w:p w14:paraId="21EFE05B" w14:textId="77777777" w:rsidR="00964528" w:rsidRPr="0009445C" w:rsidRDefault="00964528" w:rsidP="00964528">
      <w:pPr>
        <w:pStyle w:val="BRL-Standard"/>
      </w:pPr>
    </w:p>
    <w:p w14:paraId="1C221879" w14:textId="0A7EB843" w:rsidR="00964528" w:rsidRPr="0009445C" w:rsidRDefault="00964528" w:rsidP="00964528">
      <w:pPr>
        <w:pStyle w:val="BRL-Standard"/>
      </w:pPr>
      <w:r w:rsidRPr="0009445C">
        <w:t>In the case of ventilated outer wall cladding with a depth of the back ventilation gap &gt; 150 mm to a maximum of 300 mm, horizontal fire barriers shall be made of sheet steel (thickness d ≥ 1 mm) and shall be attached to the supporting profiles of the metal substructure above the fire barriers with steel angles. The need for any necessary measures to prevent contact corrosion when fixing fire barriers to the supporting profiles of the metal substructure is indicated.</w:t>
      </w:r>
    </w:p>
    <w:p w14:paraId="32DED356" w14:textId="77777777" w:rsidR="00964528" w:rsidRPr="0009445C" w:rsidRDefault="00964528" w:rsidP="00E07C4A">
      <w:pPr>
        <w:pStyle w:val="BRL-Standard"/>
      </w:pPr>
    </w:p>
    <w:p w14:paraId="3E8D5307" w14:textId="77777777" w:rsidR="00E07C4A" w:rsidRPr="0009445C" w:rsidRDefault="00E07C4A" w:rsidP="00E07C4A">
      <w:pPr>
        <w:pStyle w:val="BRL-Standard"/>
      </w:pPr>
      <w:r w:rsidRPr="0009445C">
        <w:rPr>
          <w:b/>
        </w:rPr>
        <w:t>4.5</w:t>
      </w:r>
      <w:r w:rsidRPr="0009445C">
        <w:rPr>
          <w:b/>
        </w:rPr>
        <w:tab/>
      </w:r>
      <w:r w:rsidRPr="0009445C">
        <w:t>Reveals of exterior wall openings (doors, windows) may be an integral part of fire barriers, provided that the rear ventilation gap is closed by cladding the reveals and lintels of the outer wall openings; the cladding shall comply with the requirements of point 4.4, substructures and any existing thermal insulation shall be made of non-combustible building materials.</w:t>
      </w:r>
    </w:p>
    <w:p w14:paraId="4EB710E7" w14:textId="77777777" w:rsidR="00E07C4A" w:rsidRPr="0009445C" w:rsidRDefault="00E07C4A" w:rsidP="00E07C4A">
      <w:pPr>
        <w:pStyle w:val="BRL-Standard"/>
      </w:pPr>
    </w:p>
    <w:p w14:paraId="60105432" w14:textId="77777777" w:rsidR="00E07C4A" w:rsidRPr="0009445C" w:rsidRDefault="00E07C4A" w:rsidP="00E07C4A">
      <w:pPr>
        <w:rPr>
          <w:rStyle w:val="BRL-StandardZchn"/>
        </w:rPr>
      </w:pPr>
      <w:r w:rsidRPr="0009445C">
        <w:rPr>
          <w:b/>
        </w:rPr>
        <w:t>4.6</w:t>
      </w:r>
      <w:r w:rsidRPr="0009445C">
        <w:rPr>
          <w:b/>
        </w:rPr>
        <w:tab/>
      </w:r>
      <w:r w:rsidRPr="0009445C">
        <w:rPr>
          <w:rStyle w:val="BRL-StandardZchn"/>
        </w:rPr>
        <w:t>Horizontal fire barriers are not required.</w:t>
      </w:r>
    </w:p>
    <w:p w14:paraId="6D7AD9AE" w14:textId="77777777" w:rsidR="00E07C4A" w:rsidRPr="0009445C" w:rsidRDefault="00E07C4A" w:rsidP="00E07C4A"/>
    <w:p w14:paraId="1CFDC80C" w14:textId="77777777" w:rsidR="00E07C4A" w:rsidRPr="0009445C" w:rsidRDefault="00E07C4A" w:rsidP="00E07C4A">
      <w:pPr>
        <w:pStyle w:val="BRL-Standard"/>
        <w:ind w:left="709" w:hanging="709"/>
      </w:pPr>
      <w:r w:rsidRPr="0009445C">
        <w:t>1.</w:t>
      </w:r>
      <w:r w:rsidRPr="0009445C">
        <w:tab/>
        <w:t>in the case of external walls with no openings,</w:t>
      </w:r>
    </w:p>
    <w:p w14:paraId="4EF0341F" w14:textId="45931B54" w:rsidR="00E07C4A" w:rsidRPr="0009445C" w:rsidRDefault="00E07C4A" w:rsidP="00E07C4A">
      <w:pPr>
        <w:pStyle w:val="BRL-Standard"/>
        <w:ind w:left="709" w:hanging="709"/>
      </w:pPr>
      <w:r w:rsidRPr="0009445C">
        <w:t>2.</w:t>
      </w:r>
      <w:r w:rsidRPr="0009445C">
        <w:tab/>
        <w:t>if the spread of fire in the rear-ventilation gap is prevented as a result of the type of window placement (e.g. continuous hinge plates, window elements which extend over several storeys) and</w:t>
      </w:r>
    </w:p>
    <w:p w14:paraId="700C7934" w14:textId="21636633" w:rsidR="00E07C4A" w:rsidRPr="0009445C" w:rsidRDefault="00E07C4A" w:rsidP="00E07C4A">
      <w:pPr>
        <w:pStyle w:val="BRL-Standard"/>
        <w:ind w:left="709" w:hanging="709"/>
      </w:pPr>
      <w:r w:rsidRPr="0009445C">
        <w:t>3.</w:t>
      </w:r>
      <w:r w:rsidRPr="0009445C">
        <w:tab/>
        <w:t>in the case of external walls with a depth of the back ventilation gap not exceeding 150 mm and with ventilated garments, including their substructures, thermal insulation and brackets, made of non-combustible building materials, if the rear ventilation gap is dimensionally stable in the area of the adjacent friction (sided and in the fall of) of apertures in the event of a fire for at least 30 minutes (e.g. by sheet steel with a thickness of d ≥ 1 mm).</w:t>
      </w:r>
    </w:p>
    <w:p w14:paraId="2992A7F8" w14:textId="77777777" w:rsidR="00E07C4A" w:rsidRPr="0009445C" w:rsidRDefault="00E07C4A" w:rsidP="00E07C4A">
      <w:pPr>
        <w:pStyle w:val="BRL-Standard"/>
      </w:pPr>
    </w:p>
    <w:p w14:paraId="7A42941B" w14:textId="33ED8295" w:rsidR="00E07C4A" w:rsidRPr="0009445C" w:rsidRDefault="00E07C4A" w:rsidP="00600F53">
      <w:pPr>
        <w:pStyle w:val="BRL-berschrift"/>
      </w:pPr>
      <w:r w:rsidRPr="0009445C">
        <w:lastRenderedPageBreak/>
        <w:t>5</w:t>
      </w:r>
      <w:r w:rsidRPr="0009445C">
        <w:tab/>
        <w:t>Vertical fire barriers</w:t>
      </w:r>
    </w:p>
    <w:p w14:paraId="6738C6CB" w14:textId="49E9001D" w:rsidR="00E07C4A" w:rsidRPr="0009445C" w:rsidRDefault="00964528" w:rsidP="00E07C4A">
      <w:pPr>
        <w:pStyle w:val="BRL-Standard"/>
      </w:pPr>
      <w:r w:rsidRPr="0009445C">
        <w:t>5.1</w:t>
      </w:r>
      <w:r w:rsidRPr="0009445C">
        <w:tab/>
        <w:t xml:space="preserve">The rear ventilation gap must not be passed over fire walls. The rear ventilation gap shall be filled in at least in firewall thickness with a vertical fire barrier from an insulating material that is stable in the event of fire with a melting point of &gt; 1.000 °C. The vertical fire barrier shall be anchored with non-combustible mechanical fasteners in the outer wall at intervals of ≤ 0.6 m or </w:t>
      </w:r>
      <w:r w:rsidRPr="0009445C">
        <w:rPr>
          <w:u w:val="single"/>
        </w:rPr>
        <w:t>shall be fully fixed to the outer wall with a non-combustible adhesive mortar.</w:t>
      </w:r>
    </w:p>
    <w:p w14:paraId="082F44AC" w14:textId="77777777" w:rsidR="00E07C4A" w:rsidRPr="0009445C" w:rsidRDefault="00E07C4A" w:rsidP="00E07C4A">
      <w:pPr>
        <w:pStyle w:val="BRL-Standard"/>
      </w:pPr>
    </w:p>
    <w:p w14:paraId="186A35AE" w14:textId="0C6412B2" w:rsidR="00E07C4A" w:rsidRPr="0009445C" w:rsidRDefault="00E07C4A" w:rsidP="00E07C4A">
      <w:pPr>
        <w:pStyle w:val="BRL-Standard"/>
      </w:pPr>
      <w:r w:rsidRPr="0009445C">
        <w:t>§ 30 Para. 7 sentence 1 MBO</w:t>
      </w:r>
      <w:r w:rsidRPr="0009445C">
        <w:rPr>
          <w:rStyle w:val="FootnoteReference"/>
        </w:rPr>
        <w:fldChar w:fldCharType="begin"/>
      </w:r>
      <w:r w:rsidRPr="0009445C">
        <w:rPr>
          <w:rStyle w:val="FootnoteReference"/>
        </w:rPr>
        <w:instrText xml:space="preserve"> NOTEREF _Ref77324107 \h  \* MERGEFORMAT </w:instrText>
      </w:r>
      <w:r w:rsidRPr="0009445C">
        <w:rPr>
          <w:rStyle w:val="FootnoteReference"/>
        </w:rPr>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xml:space="preserve"> remains unaffected.</w:t>
      </w:r>
    </w:p>
    <w:p w14:paraId="63A1720D" w14:textId="43A13FC7" w:rsidR="00964528" w:rsidRPr="0009445C" w:rsidRDefault="00964528" w:rsidP="00E07C4A">
      <w:pPr>
        <w:pStyle w:val="BRL-Standard"/>
      </w:pPr>
    </w:p>
    <w:p w14:paraId="1C189414" w14:textId="739C6C53" w:rsidR="00964528" w:rsidRPr="0009445C" w:rsidRDefault="00964528" w:rsidP="00E07C4A">
      <w:pPr>
        <w:pStyle w:val="BRL-Standard"/>
      </w:pPr>
      <w:r w:rsidRPr="0009445C">
        <w:t>5.2</w:t>
      </w:r>
      <w:r w:rsidRPr="0009445C">
        <w:tab/>
        <w:t>Vertical fire locks are also required</w:t>
      </w:r>
    </w:p>
    <w:p w14:paraId="52F491D4" w14:textId="0B8B5E97" w:rsidR="00964528" w:rsidRPr="0009445C" w:rsidRDefault="00964528" w:rsidP="00E07C4A">
      <w:pPr>
        <w:pStyle w:val="BRL-Standard"/>
      </w:pPr>
    </w:p>
    <w:p w14:paraId="116EA6E9" w14:textId="339B2466" w:rsidR="00964528" w:rsidRPr="0009445C" w:rsidRDefault="00964528" w:rsidP="00964528">
      <w:pPr>
        <w:pStyle w:val="AufzhlungTabelle"/>
      </w:pPr>
      <w:r w:rsidRPr="0009445C">
        <w:t>on building corners with a transition to outside walls without openings in accordance with Section 4.6 No. 1; and</w:t>
      </w:r>
    </w:p>
    <w:p w14:paraId="5D05E0BB" w14:textId="5D57E7A6" w:rsidR="00964528" w:rsidRPr="0009445C" w:rsidRDefault="00964528" w:rsidP="00964528">
      <w:pPr>
        <w:pStyle w:val="AufzhlungTabelle"/>
      </w:pPr>
      <w:r w:rsidRPr="0009445C">
        <w:t>on transitions to other exterior wall coverings.</w:t>
      </w:r>
    </w:p>
    <w:p w14:paraId="7CB881E5" w14:textId="458B4697" w:rsidR="00964528" w:rsidRPr="0009445C" w:rsidRDefault="00964528" w:rsidP="00964528">
      <w:pPr>
        <w:pStyle w:val="BRL-Standard"/>
      </w:pPr>
      <w:r w:rsidRPr="0009445C">
        <w:t>The vertical fire locks shall be executed as described in Section 5.1.</w:t>
      </w:r>
    </w:p>
    <w:p w14:paraId="694E555A" w14:textId="77777777" w:rsidR="00964528" w:rsidRPr="0009445C" w:rsidRDefault="00964528" w:rsidP="00E07C4A">
      <w:pPr>
        <w:pStyle w:val="BRL-Standard"/>
      </w:pPr>
    </w:p>
    <w:p w14:paraId="5D45E88F" w14:textId="28644259" w:rsidR="00DE0321" w:rsidRPr="0009445C" w:rsidRDefault="00DE0321" w:rsidP="00ED2FDA">
      <w:pPr>
        <w:sectPr w:rsidR="00DE0321" w:rsidRPr="0009445C" w:rsidSect="004C2C77">
          <w:headerReference w:type="first" r:id="rId83"/>
          <w:footnotePr>
            <w:numRestart w:val="eachSect"/>
          </w:footnotePr>
          <w:pgSz w:w="11906" w:h="16838" w:code="9"/>
          <w:pgMar w:top="1134" w:right="1418" w:bottom="1134" w:left="1418" w:header="709" w:footer="652" w:gutter="0"/>
          <w:cols w:space="708"/>
          <w:titlePg/>
          <w:docGrid w:linePitch="360"/>
        </w:sectPr>
      </w:pPr>
    </w:p>
    <w:p w14:paraId="5DF792DC" w14:textId="3A9029FA" w:rsidR="00DE0321" w:rsidRPr="0009445C" w:rsidRDefault="00DE0321" w:rsidP="00BA2FAB">
      <w:pPr>
        <w:pStyle w:val="Heading2"/>
      </w:pPr>
      <w:bookmarkStart w:id="37" w:name="_Ref24536550"/>
      <w:r w:rsidRPr="0009445C">
        <w:lastRenderedPageBreak/>
        <w:t>Annex 8</w:t>
      </w:r>
      <w:bookmarkEnd w:id="37"/>
    </w:p>
    <w:p w14:paraId="7DC9E4C0" w14:textId="77777777" w:rsidR="00DE0321" w:rsidRPr="0009445C" w:rsidRDefault="00DE0321" w:rsidP="00DE0321">
      <w:pPr>
        <w:pStyle w:val="berschriftnichtnummeriert"/>
      </w:pPr>
      <w:bookmarkStart w:id="38" w:name="_Ref91695503"/>
      <w:r w:rsidRPr="0009445C">
        <w:t xml:space="preserve">Health protection requirements for structural works (Anlagen </w:t>
      </w:r>
      <w:proofErr w:type="spellStart"/>
      <w:r w:rsidRPr="0009445C">
        <w:t>bezüglich</w:t>
      </w:r>
      <w:proofErr w:type="spellEnd"/>
      <w:r w:rsidRPr="0009445C">
        <w:t xml:space="preserve"> des </w:t>
      </w:r>
      <w:proofErr w:type="spellStart"/>
      <w:r w:rsidRPr="0009445C">
        <w:t>Gesundheitsschutzes</w:t>
      </w:r>
      <w:proofErr w:type="spellEnd"/>
      <w:r w:rsidRPr="0009445C">
        <w:t xml:space="preserve"> [ABG])</w:t>
      </w:r>
      <w:bookmarkEnd w:id="38"/>
    </w:p>
    <w:bookmarkStart w:id="39" w:name="Anhang_08_Stand"/>
    <w:p w14:paraId="455989FE" w14:textId="0AB63407" w:rsidR="00DE0321" w:rsidRPr="0009445C" w:rsidRDefault="00375ADF" w:rsidP="00DE0321">
      <w:sdt>
        <w:sdtPr>
          <w:alias w:val="Version — Annex 8"/>
          <w:tag w:val="S_Anhang8"/>
          <w:id w:val="1531754215"/>
          <w:placeholder>
            <w:docPart w:val="7548AA62921440E38DFA10707A25A923"/>
          </w:placeholder>
          <w:text/>
        </w:sdtPr>
        <w:sdtEndPr/>
        <w:sdtContent>
          <w:r w:rsidRPr="0009445C">
            <w:t>Last updated: April 2022</w:t>
          </w:r>
        </w:sdtContent>
      </w:sdt>
      <w:bookmarkEnd w:id="39"/>
    </w:p>
    <w:p w14:paraId="170FB303" w14:textId="77777777" w:rsidR="00DE0321" w:rsidRPr="0009445C" w:rsidRDefault="00DE0321" w:rsidP="00DE0321">
      <w:pPr>
        <w:rPr>
          <w:b/>
          <w:caps/>
        </w:rPr>
      </w:pPr>
    </w:p>
    <w:p w14:paraId="5053367B" w14:textId="77777777" w:rsidR="00DE0321" w:rsidRPr="0009445C" w:rsidRDefault="00DE0321" w:rsidP="00DE0321">
      <w:pPr>
        <w:rPr>
          <w:b/>
          <w:caps/>
        </w:rPr>
      </w:pPr>
    </w:p>
    <w:p w14:paraId="235DF5F6" w14:textId="77777777" w:rsidR="00DE0321" w:rsidRPr="0009445C" w:rsidRDefault="00DE0321" w:rsidP="00DE0321">
      <w:pPr>
        <w:rPr>
          <w:b/>
          <w:caps/>
        </w:rPr>
      </w:pPr>
      <w:r w:rsidRPr="0009445C">
        <w:rPr>
          <w:b/>
          <w:caps/>
        </w:rPr>
        <w:t>Contents</w:t>
      </w:r>
    </w:p>
    <w:p w14:paraId="66B199B5" w14:textId="77777777" w:rsidR="00DE0321" w:rsidRPr="0009445C" w:rsidRDefault="00DE0321" w:rsidP="00DE0321"/>
    <w:p w14:paraId="4662AF90" w14:textId="77777777" w:rsidR="00DE0321" w:rsidRPr="0009445C" w:rsidRDefault="00DE0321" w:rsidP="00DE0321">
      <w:pPr>
        <w:spacing w:before="100"/>
        <w:rPr>
          <w:caps/>
        </w:rPr>
      </w:pPr>
      <w:r w:rsidRPr="0009445C">
        <w:rPr>
          <w:caps/>
        </w:rPr>
        <w:t>1</w:t>
      </w:r>
      <w:r w:rsidRPr="0009445C">
        <w:rPr>
          <w:caps/>
        </w:rPr>
        <w:tab/>
        <w:t>Subject matter and scope</w:t>
      </w:r>
    </w:p>
    <w:p w14:paraId="52F5F5FD" w14:textId="77777777" w:rsidR="00DE0321" w:rsidRPr="0009445C" w:rsidRDefault="00DE0321" w:rsidP="00DE0321">
      <w:pPr>
        <w:spacing w:before="100"/>
        <w:rPr>
          <w:caps/>
        </w:rPr>
      </w:pPr>
      <w:r w:rsidRPr="0009445C">
        <w:rPr>
          <w:caps/>
        </w:rPr>
        <w:t>2</w:t>
      </w:r>
      <w:r w:rsidRPr="0009445C">
        <w:rPr>
          <w:caps/>
        </w:rPr>
        <w:tab/>
        <w:t>Requirements</w:t>
      </w:r>
    </w:p>
    <w:p w14:paraId="40EABA1C" w14:textId="77777777" w:rsidR="00DE0321" w:rsidRPr="0009445C" w:rsidRDefault="00DE0321" w:rsidP="00DE0321">
      <w:pPr>
        <w:spacing w:before="100"/>
        <w:rPr>
          <w:caps/>
        </w:rPr>
      </w:pPr>
    </w:p>
    <w:p w14:paraId="07F29DCA" w14:textId="77777777" w:rsidR="00DE0321" w:rsidRPr="0009445C" w:rsidRDefault="00DE0321" w:rsidP="00DE0321">
      <w:pPr>
        <w:spacing w:before="100"/>
        <w:rPr>
          <w:caps/>
        </w:rPr>
      </w:pPr>
      <w:r w:rsidRPr="0009445C">
        <w:rPr>
          <w:caps/>
        </w:rPr>
        <w:t>Appendix 1</w:t>
      </w:r>
      <w:r w:rsidRPr="0009445C">
        <w:rPr>
          <w:caps/>
        </w:rPr>
        <w:tab/>
        <w:t>References</w:t>
      </w:r>
    </w:p>
    <w:p w14:paraId="019C0B27" w14:textId="77777777" w:rsidR="00DE0321" w:rsidRPr="0009445C" w:rsidRDefault="00DE0321" w:rsidP="00DE0321">
      <w:pPr>
        <w:spacing w:before="100"/>
        <w:rPr>
          <w:caps/>
        </w:rPr>
      </w:pPr>
      <w:r w:rsidRPr="0009445C">
        <w:rPr>
          <w:caps/>
        </w:rPr>
        <w:t>Appendix 2</w:t>
      </w:r>
      <w:r w:rsidRPr="0009445C">
        <w:rPr>
          <w:caps/>
        </w:rPr>
        <w:tab/>
        <w:t>LCI values (target compounds)</w:t>
      </w:r>
    </w:p>
    <w:p w14:paraId="5A64968E" w14:textId="77777777" w:rsidR="00DE0321" w:rsidRPr="0009445C" w:rsidRDefault="00DE0321" w:rsidP="00DE0321">
      <w:pPr>
        <w:spacing w:before="100"/>
        <w:rPr>
          <w:caps/>
        </w:rPr>
      </w:pPr>
      <w:r w:rsidRPr="0009445C">
        <w:rPr>
          <w:caps/>
        </w:rPr>
        <w:t>Appendix 3</w:t>
      </w:r>
      <w:r w:rsidRPr="0009445C">
        <w:rPr>
          <w:caps/>
        </w:rPr>
        <w:tab/>
        <w:t>16 PAH in accordance with EPA</w:t>
      </w:r>
    </w:p>
    <w:p w14:paraId="5FF0B90D" w14:textId="77777777" w:rsidR="00DE0321" w:rsidRPr="0009445C" w:rsidRDefault="00DE0321" w:rsidP="00DE0321">
      <w:pPr>
        <w:spacing w:before="100"/>
        <w:rPr>
          <w:caps/>
        </w:rPr>
        <w:sectPr w:rsidR="00DE0321" w:rsidRPr="0009445C" w:rsidSect="00B409DD">
          <w:headerReference w:type="first" r:id="rId84"/>
          <w:footerReference w:type="first" r:id="rId85"/>
          <w:pgSz w:w="11906" w:h="16838" w:code="9"/>
          <w:pgMar w:top="1134" w:right="1418" w:bottom="1134" w:left="1418" w:header="709" w:footer="652" w:gutter="0"/>
          <w:cols w:space="708"/>
          <w:titlePg/>
          <w:docGrid w:linePitch="360"/>
        </w:sectPr>
      </w:pPr>
    </w:p>
    <w:p w14:paraId="30F80981" w14:textId="77777777" w:rsidR="00DE0321" w:rsidRPr="0009445C" w:rsidRDefault="00DE0321" w:rsidP="00600F53">
      <w:pPr>
        <w:pStyle w:val="BRL-berschrift"/>
      </w:pPr>
      <w:r w:rsidRPr="0009445C">
        <w:lastRenderedPageBreak/>
        <w:t>1</w:t>
      </w:r>
      <w:r w:rsidRPr="0009445C">
        <w:tab/>
        <w:t>Subject matter and scope</w:t>
      </w:r>
    </w:p>
    <w:p w14:paraId="36917547" w14:textId="77777777" w:rsidR="00DE0321" w:rsidRPr="0009445C" w:rsidRDefault="00DE0321" w:rsidP="00DE0321">
      <w:pPr>
        <w:pStyle w:val="BRL-Standard"/>
      </w:pPr>
      <w:r w:rsidRPr="0009445C">
        <w:t xml:space="preserve">The ABG elaborate the general requirements for structural works with regard to health protection. </w:t>
      </w:r>
    </w:p>
    <w:p w14:paraId="054CEF5A" w14:textId="77777777" w:rsidR="00DE0321" w:rsidRPr="0009445C" w:rsidRDefault="00DE0321" w:rsidP="00DE0321">
      <w:pPr>
        <w:pStyle w:val="BRL-Standard"/>
      </w:pPr>
    </w:p>
    <w:p w14:paraId="7386F8E7" w14:textId="77777777" w:rsidR="00DE0321" w:rsidRPr="0009445C" w:rsidRDefault="00DE0321" w:rsidP="00DE0321">
      <w:pPr>
        <w:pStyle w:val="BRL-Standard"/>
      </w:pPr>
      <w:r w:rsidRPr="0009445C">
        <w:t xml:space="preserve">Indoor air quality plays an important role in human health and well-being. Numerous scientific studies have shown that the development of respiratory and inflammatory diseases and respiratory and eye irritation, systemic damage, sensitisation/allergies as well as a number of nonspecific symptoms (unwellness, headaches, nausea, central nervous system disorders, dizziness etc.) are directly related to indoor air quality and air pollution. Among the adverse health effects, carcinogenic, mutagenic and reproductively toxic effects require special attention. </w:t>
      </w:r>
    </w:p>
    <w:p w14:paraId="1C07B260" w14:textId="77777777" w:rsidR="00DE0321" w:rsidRPr="0009445C" w:rsidRDefault="00DE0321" w:rsidP="00DE0321">
      <w:pPr>
        <w:pStyle w:val="BRL-Standard"/>
      </w:pPr>
    </w:p>
    <w:p w14:paraId="6E52DB79" w14:textId="77777777" w:rsidR="00DE0321" w:rsidRPr="0009445C" w:rsidRDefault="00DE0321" w:rsidP="00DE0321">
      <w:pPr>
        <w:pStyle w:val="BRL-Standard"/>
      </w:pPr>
      <w:r w:rsidRPr="0009445C">
        <w:t xml:space="preserve">The health and hygiene requirements for structural works are derived from the health-relevant properties of the structural elements, kits and building materials used. These can contribute to indoor air pollution through emissions and cause significant health effects. These include potential emissions of volatile inorganic and organic compounds as well as particles. </w:t>
      </w:r>
    </w:p>
    <w:p w14:paraId="7BBA9F8C" w14:textId="77777777" w:rsidR="00DE0321" w:rsidRPr="0009445C" w:rsidRDefault="00DE0321" w:rsidP="00DE0321">
      <w:pPr>
        <w:pStyle w:val="BRL-Standard"/>
      </w:pPr>
    </w:p>
    <w:p w14:paraId="4187C1F5" w14:textId="77777777" w:rsidR="00DE0321" w:rsidRPr="0009445C" w:rsidRDefault="00DE0321" w:rsidP="00DE0321">
      <w:pPr>
        <w:pStyle w:val="BRL-Standard"/>
      </w:pPr>
      <w:r w:rsidRPr="0009445C">
        <w:t>Structural works, structural elements and building materials with direct or indirect contact to the interior are to be taken into account, i.e. products that are covered or covered with other products but which are not sealed off diffusion-proof. Also, the proportion of substances of zero or low volatility is important for assessments of their health impact since they may be released e.g. from the processing of the products in particulate or dust form, made available to the human body, or absorbed through direct skin contact.</w:t>
      </w:r>
    </w:p>
    <w:p w14:paraId="1028B6D6" w14:textId="77777777" w:rsidR="00DE0321" w:rsidRPr="0009445C" w:rsidRDefault="00DE0321" w:rsidP="00DE0321">
      <w:pPr>
        <w:pStyle w:val="BRL-Standard"/>
      </w:pPr>
    </w:p>
    <w:p w14:paraId="04FAF9A0" w14:textId="77777777" w:rsidR="00DE0321" w:rsidRPr="0009445C" w:rsidRDefault="00DE0321" w:rsidP="00600F53">
      <w:pPr>
        <w:pStyle w:val="BRL-berschrift"/>
      </w:pPr>
      <w:r w:rsidRPr="0009445C">
        <w:t>2</w:t>
      </w:r>
      <w:r w:rsidRPr="0009445C">
        <w:tab/>
        <w:t>Requirements</w:t>
      </w:r>
    </w:p>
    <w:p w14:paraId="2B472659" w14:textId="77777777" w:rsidR="00DE0321" w:rsidRPr="0009445C" w:rsidRDefault="00DE0321" w:rsidP="00DE0321">
      <w:pPr>
        <w:pStyle w:val="BRL-Standard"/>
      </w:pPr>
      <w:r w:rsidRPr="0009445C">
        <w:t>Other legislative instruments (e.g. the REACH Regulation (EC) No 1907/2006, the Biocides Regulation (EU) No 528/2012, the POP Regulation (EC) No 850/2004, the Chemicals Prohibition Ordinance [</w:t>
      </w:r>
      <w:proofErr w:type="spellStart"/>
      <w:r w:rsidRPr="0009445C">
        <w:t>Chemikalien-Verbotsverordnung</w:t>
      </w:r>
      <w:proofErr w:type="spellEnd"/>
      <w:r w:rsidRPr="0009445C">
        <w:t>]) and the Closed Substance Cycle Act (</w:t>
      </w:r>
      <w:proofErr w:type="spellStart"/>
      <w:r w:rsidRPr="0009445C">
        <w:t>Kreislaufwirtschaftsgesetz</w:t>
      </w:r>
      <w:proofErr w:type="spellEnd"/>
      <w:r w:rsidRPr="0009445C">
        <w:t xml:space="preserve"> [</w:t>
      </w:r>
      <w:proofErr w:type="spellStart"/>
      <w:r w:rsidRPr="0009445C">
        <w:t>KrWG</w:t>
      </w:r>
      <w:proofErr w:type="spellEnd"/>
      <w:r w:rsidRPr="0009445C">
        <w:t>]) are not affected.</w:t>
      </w:r>
    </w:p>
    <w:p w14:paraId="6396F926" w14:textId="77777777" w:rsidR="00DE0321" w:rsidRPr="0009445C" w:rsidRDefault="00DE0321" w:rsidP="00DE0321">
      <w:pPr>
        <w:pStyle w:val="BRL-Standard"/>
      </w:pPr>
    </w:p>
    <w:p w14:paraId="31E11852" w14:textId="77777777" w:rsidR="00DE0321" w:rsidRPr="0009445C" w:rsidRDefault="00DE0321" w:rsidP="00600F53">
      <w:pPr>
        <w:pStyle w:val="BRL-berschrift"/>
      </w:pPr>
      <w:r w:rsidRPr="0009445C">
        <w:t>2.1</w:t>
      </w:r>
      <w:r w:rsidRPr="0009445C">
        <w:tab/>
        <w:t>General requirements for construction products</w:t>
      </w:r>
    </w:p>
    <w:p w14:paraId="236EE2C0" w14:textId="77777777" w:rsidR="00DE0321" w:rsidRPr="0009445C" w:rsidRDefault="00DE0321" w:rsidP="00DE0321">
      <w:pPr>
        <w:pStyle w:val="BRL-Standard"/>
      </w:pPr>
      <w:r w:rsidRPr="0009445C">
        <w:t>Otherwise, any construction product shall not be used as a part of buildings if the individual concentration of an active substance</w:t>
      </w:r>
      <w:bookmarkStart w:id="40" w:name="_Ref77327041"/>
      <w:r w:rsidRPr="0009445C">
        <w:rPr>
          <w:rStyle w:val="FootnoteReference"/>
        </w:rPr>
        <w:footnoteReference w:id="43"/>
      </w:r>
      <w:bookmarkEnd w:id="40"/>
      <w:r w:rsidRPr="0009445C">
        <w:t xml:space="preserve"> classified as </w:t>
      </w:r>
      <w:proofErr w:type="spellStart"/>
      <w:r w:rsidRPr="0009445C">
        <w:t>Carc</w:t>
      </w:r>
      <w:proofErr w:type="spellEnd"/>
      <w:r w:rsidRPr="0009445C">
        <w:t xml:space="preserve">. (H350; H350i) of category 1A or 1B and/or </w:t>
      </w:r>
      <w:proofErr w:type="spellStart"/>
      <w:r w:rsidRPr="0009445C">
        <w:t>muta</w:t>
      </w:r>
      <w:proofErr w:type="spellEnd"/>
      <w:r w:rsidRPr="0009445C">
        <w:t>. (H340) of category 1A or 1B in accordance with Regulation (EC) No 1272/2008 reaches or exceeds the following values:</w:t>
      </w:r>
    </w:p>
    <w:p w14:paraId="6FFD94DF" w14:textId="77777777" w:rsidR="00DE0321" w:rsidRPr="0009445C" w:rsidRDefault="00DE0321" w:rsidP="00DE0321">
      <w:pPr>
        <w:pStyle w:val="BRL-Standard"/>
      </w:pPr>
    </w:p>
    <w:p w14:paraId="6E4526E5" w14:textId="77777777" w:rsidR="00DE0321" w:rsidRPr="0009445C" w:rsidRDefault="00DE0321" w:rsidP="00DE0321">
      <w:pPr>
        <w:pStyle w:val="BRLAufzhlungAnstrich"/>
        <w:numPr>
          <w:ilvl w:val="0"/>
          <w:numId w:val="1"/>
        </w:numPr>
      </w:pPr>
      <w:r w:rsidRPr="0009445C">
        <w:t>the specific concentration limits set out in Part 3 of Annex VI to Regulation (EC) No 1272/2008; or</w:t>
      </w:r>
    </w:p>
    <w:p w14:paraId="6DF21101" w14:textId="77777777" w:rsidR="00DE0321" w:rsidRPr="0009445C" w:rsidRDefault="00DE0321" w:rsidP="00DE0321">
      <w:pPr>
        <w:pStyle w:val="BRLAufzhlungAnstrich"/>
        <w:numPr>
          <w:ilvl w:val="0"/>
          <w:numId w:val="1"/>
        </w:numPr>
      </w:pPr>
      <w:r w:rsidRPr="0009445C">
        <w:t>the respective general concentration limits set out in Part 3 of Annex I to Regulation (EC) No 1272/2008.</w:t>
      </w:r>
    </w:p>
    <w:p w14:paraId="7A835044" w14:textId="77777777" w:rsidR="00DE0321" w:rsidRPr="0009445C" w:rsidRDefault="00DE0321" w:rsidP="00DE0321">
      <w:pPr>
        <w:spacing w:line="260" w:lineRule="exact"/>
      </w:pPr>
    </w:p>
    <w:p w14:paraId="1AAB391E" w14:textId="77777777" w:rsidR="00DE0321" w:rsidRPr="0009445C" w:rsidRDefault="00DE0321" w:rsidP="00DE0321">
      <w:pPr>
        <w:spacing w:line="260" w:lineRule="exact"/>
        <w:rPr>
          <w:szCs w:val="18"/>
        </w:rPr>
      </w:pPr>
      <w:r w:rsidRPr="0009445C">
        <w:t>The stated requirements for structural elements of construction products or kits relating to carcinogenic and mutagenic substances do not apply if it is demonstrated that they pose no potential hazard to human health when installed</w:t>
      </w:r>
      <w:r w:rsidRPr="00C96297">
        <w:rPr>
          <w:rStyle w:val="FootnoteReference"/>
          <w:sz w:val="18"/>
          <w:szCs w:val="18"/>
          <w:vertAlign w:val="superscript"/>
        </w:rPr>
        <w:footnoteReference w:id="44"/>
      </w:r>
      <w:r w:rsidRPr="0009445C">
        <w:t>.</w:t>
      </w:r>
    </w:p>
    <w:p w14:paraId="35BAE37B" w14:textId="77777777" w:rsidR="00DE0321" w:rsidRPr="0009445C" w:rsidRDefault="00DE0321" w:rsidP="00DE0321">
      <w:pPr>
        <w:spacing w:line="260" w:lineRule="exact"/>
        <w:rPr>
          <w:szCs w:val="18"/>
        </w:rPr>
      </w:pPr>
    </w:p>
    <w:p w14:paraId="5DB5A645" w14:textId="77777777" w:rsidR="00DE0321" w:rsidRPr="0009445C" w:rsidRDefault="00DE0321" w:rsidP="00DE0321">
      <w:pPr>
        <w:spacing w:line="240" w:lineRule="auto"/>
        <w:rPr>
          <w:b/>
          <w:bCs/>
          <w:szCs w:val="16"/>
        </w:rPr>
      </w:pPr>
      <w:r w:rsidRPr="0009445C">
        <w:br w:type="page"/>
      </w:r>
    </w:p>
    <w:p w14:paraId="1CB894F0" w14:textId="77777777" w:rsidR="00DE0321" w:rsidRPr="0009445C" w:rsidRDefault="00DE0321" w:rsidP="00600F53">
      <w:pPr>
        <w:pStyle w:val="BRL-berschrift"/>
      </w:pPr>
      <w:r w:rsidRPr="0009445C">
        <w:lastRenderedPageBreak/>
        <w:t>2.2</w:t>
      </w:r>
      <w:r w:rsidRPr="0009445C">
        <w:tab/>
        <w:t>Special requirements for building products in lounges and not separate rooms</w:t>
      </w:r>
    </w:p>
    <w:p w14:paraId="703675EE" w14:textId="5D679720" w:rsidR="00DE0321" w:rsidRPr="0009445C" w:rsidRDefault="00DE0321" w:rsidP="00DE0321">
      <w:pPr>
        <w:pStyle w:val="BRL-Standard"/>
      </w:pPr>
      <w:r w:rsidRPr="0009445C">
        <w:t>In addition to the general requirements for construction products as referred to in 2.1, the active</w:t>
      </w:r>
      <w:r w:rsidRPr="0009445C">
        <w:rPr>
          <w:rStyle w:val="FootnoteReference"/>
        </w:rPr>
        <w:fldChar w:fldCharType="begin"/>
      </w:r>
      <w:r w:rsidRPr="0009445C">
        <w:rPr>
          <w:rStyle w:val="FootnoteReference"/>
        </w:rPr>
        <w:instrText xml:space="preserve"> NOTEREF _Ref77327041 \h  \* MERGEFORMAT </w:instrText>
      </w:r>
      <w:r w:rsidRPr="0009445C">
        <w:rPr>
          <w:rStyle w:val="FootnoteReference"/>
        </w:rPr>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xml:space="preserve"> use of substances classified under the CLP Regulation (EC) No 1272/2008, in the relevant current version, as acute tox. 1, 2 or 3 (H300, H301, H310, H311, H330 or H331), </w:t>
      </w:r>
      <w:proofErr w:type="spellStart"/>
      <w:r w:rsidRPr="0009445C">
        <w:t>repr</w:t>
      </w:r>
      <w:proofErr w:type="spellEnd"/>
      <w:r w:rsidRPr="0009445C">
        <w:t xml:space="preserve"> 1A or 1B (H360, H360F, H360D, H360FD) and STOT SE 1 (H370) or STOT RE 1 (H372), in construction products that are used in human occupancy areas and in areas not structurally separate from them, shall be avoided. If this is not possible, it must be ensured that exposure of building users to health hazards is excluded.</w:t>
      </w:r>
    </w:p>
    <w:p w14:paraId="745714E2" w14:textId="77777777" w:rsidR="00DE0321" w:rsidRPr="0009445C" w:rsidRDefault="00DE0321" w:rsidP="00DE0321">
      <w:pPr>
        <w:pStyle w:val="BRL-Standard"/>
      </w:pPr>
    </w:p>
    <w:p w14:paraId="4BC911D2" w14:textId="77777777" w:rsidR="00DE0321" w:rsidRPr="0009445C" w:rsidRDefault="00DE0321" w:rsidP="00600F53">
      <w:pPr>
        <w:pStyle w:val="BRL-berschrift"/>
      </w:pPr>
      <w:r w:rsidRPr="0009445C">
        <w:t>2.2.1</w:t>
      </w:r>
      <w:r w:rsidRPr="0009445C">
        <w:tab/>
        <w:t>Emissions</w:t>
      </w:r>
    </w:p>
    <w:p w14:paraId="7BBD7888" w14:textId="77777777" w:rsidR="00DE0321" w:rsidRPr="0009445C" w:rsidRDefault="00DE0321" w:rsidP="00DE0321">
      <w:pPr>
        <w:pStyle w:val="BRL-Standard"/>
      </w:pPr>
      <w:r w:rsidRPr="0009445C">
        <w:t>For the construction products listed below, there are requirements with respect to emissions of volatile organic compounds if they are used in human occupancy areas and in areas not structurally separate from those:</w:t>
      </w:r>
    </w:p>
    <w:p w14:paraId="2EC5F20B" w14:textId="77777777" w:rsidR="00DE0321" w:rsidRPr="0009445C" w:rsidRDefault="00DE0321" w:rsidP="00DE0321">
      <w:pPr>
        <w:pStyle w:val="BRL-Standard"/>
      </w:pPr>
    </w:p>
    <w:p w14:paraId="7AE3548D" w14:textId="77777777" w:rsidR="00DE0321" w:rsidRPr="0009445C" w:rsidRDefault="00DE0321" w:rsidP="00DE0321">
      <w:pPr>
        <w:pStyle w:val="BRLAufzhlungAnstrich"/>
        <w:numPr>
          <w:ilvl w:val="0"/>
          <w:numId w:val="1"/>
        </w:numPr>
      </w:pPr>
      <w:r w:rsidRPr="0009445C">
        <w:t>Floor coverings</w:t>
      </w:r>
      <w:r w:rsidRPr="0009445C">
        <w:rPr>
          <w:rStyle w:val="FootnoteReference"/>
        </w:rPr>
        <w:footnoteReference w:id="45"/>
      </w:r>
      <w:r w:rsidRPr="0009445C">
        <w:t>, floor covering constructions and their structural elements,</w:t>
      </w:r>
    </w:p>
    <w:p w14:paraId="7E2FAD24" w14:textId="77777777" w:rsidR="00DE0321" w:rsidRPr="0009445C" w:rsidRDefault="00DE0321" w:rsidP="00DE0321">
      <w:pPr>
        <w:pStyle w:val="BRLAufzhlungAnstrich"/>
        <w:numPr>
          <w:ilvl w:val="0"/>
          <w:numId w:val="1"/>
        </w:numPr>
      </w:pPr>
      <w:r w:rsidRPr="0009445C">
        <w:t>Adhesives</w:t>
      </w:r>
      <w:r w:rsidRPr="0009445C">
        <w:rPr>
          <w:rStyle w:val="FootnoteReference"/>
        </w:rPr>
        <w:footnoteReference w:id="46"/>
      </w:r>
      <w:r w:rsidRPr="0009445C">
        <w:t>,</w:t>
      </w:r>
    </w:p>
    <w:p w14:paraId="06122B1A" w14:textId="77777777" w:rsidR="00DE0321" w:rsidRPr="0009445C" w:rsidRDefault="00DE0321" w:rsidP="00DE0321">
      <w:pPr>
        <w:pStyle w:val="BRLAufzhlungAnstrich"/>
        <w:numPr>
          <w:ilvl w:val="0"/>
          <w:numId w:val="1"/>
        </w:numPr>
      </w:pPr>
      <w:r w:rsidRPr="0009445C">
        <w:t>reactive fire protection coating systems on steel structural elements,</w:t>
      </w:r>
    </w:p>
    <w:p w14:paraId="020C4304" w14:textId="77777777" w:rsidR="00DE0321" w:rsidRPr="0009445C" w:rsidRDefault="00DE0321" w:rsidP="00DE0321">
      <w:pPr>
        <w:pStyle w:val="BRLAufzhlungAnstrich"/>
        <w:numPr>
          <w:ilvl w:val="0"/>
          <w:numId w:val="1"/>
        </w:numPr>
      </w:pPr>
      <w:r w:rsidRPr="0009445C">
        <w:t>Insulating materials (phenolic foams and UF in-situ foams),</w:t>
      </w:r>
    </w:p>
    <w:p w14:paraId="2B739744" w14:textId="77777777" w:rsidR="00DE0321" w:rsidRPr="0009445C" w:rsidRDefault="00DE0321" w:rsidP="00DE0321">
      <w:pPr>
        <w:pStyle w:val="BRLAufzhlungAnstrich"/>
        <w:numPr>
          <w:ilvl w:val="0"/>
          <w:numId w:val="1"/>
        </w:numPr>
      </w:pPr>
      <w:r w:rsidRPr="0009445C">
        <w:t>Decorative wall coverings and thick-layered plastic-based wall coatings,</w:t>
      </w:r>
    </w:p>
    <w:p w14:paraId="0C7EE8FF" w14:textId="77777777" w:rsidR="00DE0321" w:rsidRPr="0009445C" w:rsidRDefault="00DE0321" w:rsidP="00DE0321">
      <w:pPr>
        <w:pStyle w:val="BRLAufzhlungAnstrich"/>
        <w:numPr>
          <w:ilvl w:val="0"/>
          <w:numId w:val="1"/>
        </w:numPr>
      </w:pPr>
      <w:r w:rsidRPr="0009445C">
        <w:t>Ceiling coverings and ceiling constructions based on plastics,</w:t>
      </w:r>
    </w:p>
    <w:p w14:paraId="7BBD2838" w14:textId="77777777" w:rsidR="00DE0321" w:rsidRPr="0009445C" w:rsidRDefault="00DE0321" w:rsidP="00DE0321">
      <w:pPr>
        <w:pStyle w:val="BRLAufzhlungAnstrich"/>
        <w:numPr>
          <w:ilvl w:val="0"/>
          <w:numId w:val="1"/>
        </w:numPr>
      </w:pPr>
      <w:r w:rsidRPr="0009445C">
        <w:t>Wood materials in the form of slender aligned chips (OSB) and resin-bound chipboard,</w:t>
      </w:r>
    </w:p>
    <w:p w14:paraId="22BCE548" w14:textId="77777777" w:rsidR="00DE0321" w:rsidRPr="0009445C" w:rsidRDefault="00DE0321" w:rsidP="00DE0321">
      <w:pPr>
        <w:pStyle w:val="BRLAufzhlungAnstrich"/>
        <w:numPr>
          <w:ilvl w:val="0"/>
          <w:numId w:val="1"/>
        </w:numPr>
      </w:pPr>
      <w:r w:rsidRPr="0009445C">
        <w:t>High-pressure decorative laminated sheets (HPL),</w:t>
      </w:r>
    </w:p>
    <w:p w14:paraId="43B4B53A" w14:textId="77777777" w:rsidR="00DE0321" w:rsidRPr="0009445C" w:rsidRDefault="00DE0321" w:rsidP="00DE0321">
      <w:pPr>
        <w:pStyle w:val="BRLAufzhlungAnstrich"/>
        <w:numPr>
          <w:ilvl w:val="0"/>
          <w:numId w:val="1"/>
        </w:numPr>
      </w:pPr>
      <w:r w:rsidRPr="0009445C">
        <w:t>organic fire-protection agents applied subsequently</w:t>
      </w:r>
    </w:p>
    <w:p w14:paraId="06994326" w14:textId="77777777" w:rsidR="00DE0321" w:rsidRPr="0009445C" w:rsidRDefault="00DE0321" w:rsidP="00DE0321">
      <w:pPr>
        <w:pStyle w:val="BRL-Standard"/>
      </w:pPr>
    </w:p>
    <w:p w14:paraId="40B1AA73" w14:textId="77777777" w:rsidR="00DE0321" w:rsidRPr="0009445C" w:rsidRDefault="00DE0321" w:rsidP="00600F53">
      <w:pPr>
        <w:pStyle w:val="BRL-berschrift"/>
      </w:pPr>
      <w:r w:rsidRPr="0009445C">
        <w:t>2.2.1.1</w:t>
      </w:r>
      <w:r w:rsidRPr="0009445C">
        <w:tab/>
        <w:t>VOC emissions</w:t>
      </w:r>
    </w:p>
    <w:p w14:paraId="7AE4C69B" w14:textId="77777777" w:rsidR="00DE0321" w:rsidRPr="0009445C" w:rsidRDefault="00DE0321" w:rsidP="00DE0321">
      <w:pPr>
        <w:pStyle w:val="BRL-Standard"/>
      </w:pPr>
      <w:r w:rsidRPr="0009445C">
        <w:t>The terms used are defined as follows:</w:t>
      </w:r>
    </w:p>
    <w:p w14:paraId="35A4176E" w14:textId="77777777" w:rsidR="00DE0321" w:rsidRPr="0009445C" w:rsidRDefault="00DE0321" w:rsidP="00DE0321">
      <w:pPr>
        <w:pStyle w:val="BRL-Standard"/>
      </w:pPr>
    </w:p>
    <w:p w14:paraId="732398D2" w14:textId="77777777" w:rsidR="00DE0321" w:rsidRPr="0009445C" w:rsidRDefault="00DE0321" w:rsidP="00DE0321">
      <w:pPr>
        <w:pStyle w:val="BRLAufzhlungAnstrich"/>
        <w:numPr>
          <w:ilvl w:val="0"/>
          <w:numId w:val="1"/>
        </w:numPr>
        <w:spacing w:after="60"/>
      </w:pPr>
      <w:r w:rsidRPr="0009445C">
        <w:t xml:space="preserve">VVOC (retention area &lt; C6): Volatile organic compound eluted before n-hexane from a gas-chromatographic separation column defined as a 5% phenyl/95% methyl </w:t>
      </w:r>
      <w:proofErr w:type="spellStart"/>
      <w:r w:rsidRPr="0009445C">
        <w:t>polysiloxane</w:t>
      </w:r>
      <w:proofErr w:type="spellEnd"/>
      <w:r w:rsidRPr="0009445C">
        <w:t xml:space="preserve"> capillary column.</w:t>
      </w:r>
    </w:p>
    <w:p w14:paraId="37AAA388" w14:textId="77777777" w:rsidR="00DE0321" w:rsidRPr="0009445C" w:rsidRDefault="00DE0321" w:rsidP="00DE0321">
      <w:pPr>
        <w:pStyle w:val="BRLAufzhlungAnstrich"/>
        <w:numPr>
          <w:ilvl w:val="0"/>
          <w:numId w:val="1"/>
        </w:numPr>
        <w:spacing w:after="60"/>
      </w:pPr>
      <w:r w:rsidRPr="0009445C">
        <w:t xml:space="preserve">VOC (retention range C6 to C16): volatile organic compound eluting from a gas chromatographic separation column established as 5 % phenyl/95 % methyl </w:t>
      </w:r>
      <w:proofErr w:type="spellStart"/>
      <w:r w:rsidRPr="0009445C">
        <w:t>polysiloxane</w:t>
      </w:r>
      <w:proofErr w:type="spellEnd"/>
      <w:r w:rsidRPr="0009445C">
        <w:t xml:space="preserve"> capillary column between n-hexane and including n-</w:t>
      </w:r>
      <w:proofErr w:type="spellStart"/>
      <w:r w:rsidRPr="0009445C">
        <w:t>hexadecan</w:t>
      </w:r>
      <w:proofErr w:type="spellEnd"/>
      <w:r w:rsidRPr="0009445C">
        <w:t>.</w:t>
      </w:r>
    </w:p>
    <w:p w14:paraId="285059F8" w14:textId="77777777" w:rsidR="00DE0321" w:rsidRPr="0009445C" w:rsidRDefault="00DE0321" w:rsidP="00DE0321">
      <w:pPr>
        <w:pStyle w:val="BRLAufzhlungAnstrich"/>
        <w:numPr>
          <w:ilvl w:val="0"/>
          <w:numId w:val="1"/>
        </w:numPr>
        <w:spacing w:after="60"/>
      </w:pPr>
      <w:r w:rsidRPr="0009445C">
        <w:t>SVOC (retention area &gt; C16 to C22): semi-volatile organic compound eluted between n</w:t>
      </w:r>
      <w:r w:rsidRPr="0009445C">
        <w:noBreakHyphen/>
        <w:t>hexadecane and n-</w:t>
      </w:r>
      <w:proofErr w:type="spellStart"/>
      <w:r w:rsidRPr="0009445C">
        <w:t>docosane</w:t>
      </w:r>
      <w:proofErr w:type="spellEnd"/>
      <w:r w:rsidRPr="0009445C">
        <w:t xml:space="preserve"> and from a gas-chromatographic separation column defined as a 5% phenyl/95% methyl </w:t>
      </w:r>
      <w:proofErr w:type="spellStart"/>
      <w:r w:rsidRPr="0009445C">
        <w:t>polysiloxane</w:t>
      </w:r>
      <w:proofErr w:type="spellEnd"/>
      <w:r w:rsidRPr="0009445C">
        <w:t xml:space="preserve"> capillary column.</w:t>
      </w:r>
    </w:p>
    <w:p w14:paraId="2D985676" w14:textId="77777777" w:rsidR="00DE0321" w:rsidRPr="0009445C" w:rsidRDefault="00DE0321" w:rsidP="00DE0321">
      <w:pPr>
        <w:pStyle w:val="BRLAufzhlungAnstrich"/>
        <w:numPr>
          <w:ilvl w:val="0"/>
          <w:numId w:val="1"/>
        </w:numPr>
        <w:spacing w:after="60"/>
      </w:pPr>
      <w:proofErr w:type="spellStart"/>
      <w:r w:rsidRPr="0009445C">
        <w:t>TVOC</w:t>
      </w:r>
      <w:r w:rsidRPr="0009445C">
        <w:rPr>
          <w:vertAlign w:val="subscript"/>
        </w:rPr>
        <w:t>spec</w:t>
      </w:r>
      <w:proofErr w:type="spellEnd"/>
      <w:r w:rsidRPr="0009445C">
        <w:t xml:space="preserve"> (total volatile organic compounds): Total of the volatile organic compounds. Sum of concentrations of identified and unidentified volatile organic compounds calculated by summing up the concentrations of all substances (target compounds and non-target compounds, identified and unidentified compounds) in the air of the reference space; these are substances that elute between n-hexane and including n-</w:t>
      </w:r>
      <w:proofErr w:type="spellStart"/>
      <w:r w:rsidRPr="0009445C">
        <w:t>hexadecan</w:t>
      </w:r>
      <w:proofErr w:type="spellEnd"/>
      <w:r w:rsidRPr="0009445C">
        <w:t xml:space="preserve"> using a defined separation column, each with a concentration of 5 µg/m³. Target compounds shall be quantified substance-specifically, whereas non-target compounds, identified and unidentified compounds shall be quantified as a toluene equivalent.</w:t>
      </w:r>
      <w:r w:rsidRPr="0009445C">
        <w:rPr>
          <w:color w:val="0070C0"/>
        </w:rPr>
        <w:t xml:space="preserve"> </w:t>
      </w:r>
    </w:p>
    <w:p w14:paraId="4839BEC3" w14:textId="77777777" w:rsidR="00DE0321" w:rsidRPr="0009445C" w:rsidRDefault="00DE0321" w:rsidP="00DE0321">
      <w:pPr>
        <w:pStyle w:val="BRLAufzhlungAnstrich"/>
        <w:numPr>
          <w:ilvl w:val="0"/>
          <w:numId w:val="1"/>
        </w:numPr>
        <w:spacing w:after="60"/>
      </w:pPr>
      <w:r w:rsidRPr="0009445C">
        <w:t>TSVOC (total concentrations of semi-volatile organic compounds): Sum of volatile organic compounds. Sum of concentrations of identified and unidentified heavy volatile organic compounds calculated by summing up the concentrations of all substances (target compounds and non-target compounds, identified and unidentified compounds) in the air of the reference space; these are substances that elute according to n-</w:t>
      </w:r>
      <w:proofErr w:type="spellStart"/>
      <w:r w:rsidRPr="0009445C">
        <w:t>hexadecan</w:t>
      </w:r>
      <w:proofErr w:type="spellEnd"/>
      <w:r w:rsidRPr="0009445C">
        <w:t xml:space="preserve"> up to and including n-</w:t>
      </w:r>
      <w:proofErr w:type="spellStart"/>
      <w:r w:rsidRPr="0009445C">
        <w:t>docosan</w:t>
      </w:r>
      <w:proofErr w:type="spellEnd"/>
      <w:r w:rsidRPr="0009445C">
        <w:t xml:space="preserve"> using a defined separation column calculated by the TIC response factor for toluene, each with a concentration of 5 µg/m³. </w:t>
      </w:r>
    </w:p>
    <w:p w14:paraId="6A582D22" w14:textId="77777777" w:rsidR="00DE0321" w:rsidRPr="0009445C" w:rsidRDefault="00DE0321" w:rsidP="00DE0321">
      <w:pPr>
        <w:pStyle w:val="BRLAufzhlungAnstrich"/>
        <w:numPr>
          <w:ilvl w:val="0"/>
          <w:numId w:val="1"/>
        </w:numPr>
        <w:spacing w:after="60"/>
      </w:pPr>
      <w:r w:rsidRPr="0009445C">
        <w:t>R value</w:t>
      </w:r>
      <w:r w:rsidRPr="0009445C">
        <w:br/>
        <w:t xml:space="preserve">total of all </w:t>
      </w:r>
      <w:proofErr w:type="spellStart"/>
      <w:r w:rsidRPr="0009445C">
        <w:t>R</w:t>
      </w:r>
      <w:r w:rsidRPr="0009445C">
        <w:rPr>
          <w:vertAlign w:val="subscript"/>
        </w:rPr>
        <w:t>i</w:t>
      </w:r>
      <w:r w:rsidRPr="0009445C">
        <w:t>values</w:t>
      </w:r>
      <w:proofErr w:type="spellEnd"/>
      <w:r w:rsidRPr="0009445C">
        <w:t xml:space="preserve"> determined</w:t>
      </w:r>
      <w:r w:rsidRPr="0009445C">
        <w:rPr>
          <w:rStyle w:val="FootnoteReference"/>
        </w:rPr>
        <w:footnoteReference w:id="47"/>
      </w:r>
      <w:r w:rsidRPr="0009445C">
        <w:t xml:space="preserve"> in a particular test.</w:t>
      </w:r>
    </w:p>
    <w:p w14:paraId="53C85993" w14:textId="77777777" w:rsidR="00DE0321" w:rsidRPr="0009445C" w:rsidRDefault="00DE0321" w:rsidP="00DE0321">
      <w:pPr>
        <w:pStyle w:val="BRL-Standard"/>
      </w:pPr>
    </w:p>
    <w:p w14:paraId="48214FA4" w14:textId="77777777" w:rsidR="00DE0321" w:rsidRPr="0009445C" w:rsidRDefault="00DE0321" w:rsidP="00DE0321">
      <w:pPr>
        <w:pStyle w:val="BRL-Standard"/>
      </w:pPr>
      <w:r w:rsidRPr="0009445C">
        <w:lastRenderedPageBreak/>
        <w:t>The following requirements regarding emissions of volatile organic compounds – for the construction products listed in Section 2.2.1 – in accordance with DIN EN 16516:2020-10</w:t>
      </w:r>
      <w:r w:rsidRPr="0009445C">
        <w:rPr>
          <w:rStyle w:val="FootnoteReference"/>
        </w:rPr>
        <w:footnoteReference w:id="48"/>
      </w:r>
      <w:r w:rsidRPr="0009445C">
        <w:t xml:space="preserve">, apply to the specified parameters: </w:t>
      </w:r>
    </w:p>
    <w:p w14:paraId="40F92E5B" w14:textId="77777777" w:rsidR="00DE0321" w:rsidRPr="0009445C" w:rsidRDefault="00DE0321" w:rsidP="00DE0321">
      <w:pPr>
        <w:pStyle w:val="BRL-Standard"/>
      </w:pPr>
    </w:p>
    <w:p w14:paraId="3274227D" w14:textId="77777777" w:rsidR="00DE0321" w:rsidRPr="0009445C" w:rsidRDefault="00DE0321" w:rsidP="00DE0321">
      <w:pPr>
        <w:pStyle w:val="BRL-Standard"/>
      </w:pPr>
      <w:r w:rsidRPr="0009445C">
        <w:t>All compounds whose concentration is at least 1 µg/m³ are identified, listed with their CAS numbers and quantified by category.</w:t>
      </w:r>
    </w:p>
    <w:p w14:paraId="2C5BEF8D" w14:textId="77777777" w:rsidR="00DE0321" w:rsidRPr="0009445C" w:rsidRDefault="00DE0321" w:rsidP="00DE0321">
      <w:pPr>
        <w:pStyle w:val="BRL-Standard"/>
      </w:pPr>
    </w:p>
    <w:p w14:paraId="097B1C06" w14:textId="77777777" w:rsidR="00C55BAD" w:rsidRPr="0009445C" w:rsidRDefault="00DE0321" w:rsidP="00DE0321">
      <w:pPr>
        <w:pStyle w:val="BRLAufzhlungAnstrich"/>
        <w:numPr>
          <w:ilvl w:val="0"/>
          <w:numId w:val="1"/>
        </w:numPr>
      </w:pPr>
      <w:r w:rsidRPr="0009445C">
        <w:rPr>
          <w:b/>
        </w:rPr>
        <w:t>Carcinogenic substances (categories 1A and 1B)</w:t>
      </w:r>
    </w:p>
    <w:p w14:paraId="5E01BB67" w14:textId="30466B7E" w:rsidR="00DE0321" w:rsidRPr="0009445C" w:rsidRDefault="00DE0321" w:rsidP="00C55BAD">
      <w:pPr>
        <w:pStyle w:val="BRLAufzhlungAnstrich"/>
        <w:numPr>
          <w:ilvl w:val="0"/>
          <w:numId w:val="0"/>
        </w:numPr>
        <w:ind w:left="284"/>
      </w:pPr>
      <w:r w:rsidRPr="0009445C">
        <w:t>No carcinogen of category 1A and 1B under CLP Regulation (EC) No 1272/2008 shall exceed the emission values set out in Table 1. Excluded from this Regulation are defined substances classified as carcinogen 1A or 1B, for which a threshold can be derived from the most sensitive endpoint, since it is no longer possible to assume carcinogenic potential. Substances for which an LCI (Lowest Concentration of Interest) value has been derived on this basis and listed in Annex 2 shall be treated in the same manner as other VOCs with LCI values (see R value).</w:t>
      </w:r>
    </w:p>
    <w:p w14:paraId="037F4DB1" w14:textId="77777777" w:rsidR="00DE0321" w:rsidRPr="0009445C" w:rsidRDefault="00DE0321" w:rsidP="00DE0321">
      <w:pPr>
        <w:pStyle w:val="BRLAufzhlungAnstrich"/>
        <w:numPr>
          <w:ilvl w:val="0"/>
          <w:numId w:val="0"/>
        </w:numPr>
        <w:ind w:left="284"/>
      </w:pPr>
    </w:p>
    <w:p w14:paraId="643210A7" w14:textId="77777777" w:rsidR="00C55BAD" w:rsidRPr="0009445C" w:rsidRDefault="00DE0321" w:rsidP="00DE0321">
      <w:pPr>
        <w:pStyle w:val="BRLAufzhlungAnstrich"/>
        <w:numPr>
          <w:ilvl w:val="0"/>
          <w:numId w:val="1"/>
        </w:numPr>
      </w:pPr>
      <w:proofErr w:type="spellStart"/>
      <w:r w:rsidRPr="0009445C">
        <w:rPr>
          <w:b/>
        </w:rPr>
        <w:t>TVOC</w:t>
      </w:r>
      <w:r w:rsidRPr="0009445C">
        <w:rPr>
          <w:b/>
          <w:vertAlign w:val="subscript"/>
        </w:rPr>
        <w:t>spec</w:t>
      </w:r>
      <w:proofErr w:type="spellEnd"/>
    </w:p>
    <w:p w14:paraId="45D428A9" w14:textId="6FB5D42C" w:rsidR="00DE0321" w:rsidRPr="0009445C" w:rsidRDefault="00DE0321" w:rsidP="00C55BAD">
      <w:pPr>
        <w:pStyle w:val="BRLAufzhlungAnstrich"/>
        <w:numPr>
          <w:ilvl w:val="0"/>
          <w:numId w:val="0"/>
        </w:numPr>
        <w:ind w:left="284"/>
      </w:pPr>
      <w:r w:rsidRPr="0009445C">
        <w:t xml:space="preserve">The </w:t>
      </w:r>
      <w:proofErr w:type="spellStart"/>
      <w:r w:rsidRPr="0009445C">
        <w:t>TVOC</w:t>
      </w:r>
      <w:r w:rsidRPr="0009445C">
        <w:rPr>
          <w:vertAlign w:val="subscript"/>
        </w:rPr>
        <w:t>spec</w:t>
      </w:r>
      <w:proofErr w:type="spellEnd"/>
      <w:r w:rsidRPr="0009445C">
        <w:t xml:space="preserve"> values shall not exceed the values specified in Table 1. </w:t>
      </w:r>
    </w:p>
    <w:p w14:paraId="7728BF6C" w14:textId="77777777" w:rsidR="00DE0321" w:rsidRPr="0009445C" w:rsidRDefault="00DE0321" w:rsidP="00DE0321">
      <w:pPr>
        <w:pStyle w:val="BRLAufzhlungAnstrich"/>
        <w:numPr>
          <w:ilvl w:val="0"/>
          <w:numId w:val="0"/>
        </w:numPr>
        <w:ind w:left="284"/>
      </w:pPr>
    </w:p>
    <w:p w14:paraId="71447EE1" w14:textId="77777777" w:rsidR="00DE0321" w:rsidRPr="0009445C" w:rsidRDefault="00DE0321" w:rsidP="00DE0321">
      <w:pPr>
        <w:pStyle w:val="BRLAufzhlungAnstrich"/>
        <w:numPr>
          <w:ilvl w:val="0"/>
          <w:numId w:val="1"/>
        </w:numPr>
        <w:rPr>
          <w:b/>
        </w:rPr>
      </w:pPr>
      <w:r w:rsidRPr="0009445C">
        <w:rPr>
          <w:b/>
        </w:rPr>
        <w:t>TSVOC total semi-volatile organic compounds</w:t>
      </w:r>
    </w:p>
    <w:p w14:paraId="6BC46643" w14:textId="77777777" w:rsidR="00DE0321" w:rsidRPr="0009445C" w:rsidRDefault="00DE0321" w:rsidP="00DE0321">
      <w:pPr>
        <w:pStyle w:val="BRLAufzhlungAnstrich"/>
        <w:numPr>
          <w:ilvl w:val="0"/>
          <w:numId w:val="0"/>
        </w:numPr>
        <w:ind w:left="284"/>
      </w:pPr>
      <w:r w:rsidRPr="0009445C">
        <w:t>The total SVOCs in the chamber air after 28 days must not exceed the concentration given in Table 1. In individual cases, LCI values are derived for SVOCs.</w:t>
      </w:r>
    </w:p>
    <w:p w14:paraId="6894012A" w14:textId="77777777" w:rsidR="00DE0321" w:rsidRPr="0009445C" w:rsidRDefault="00DE0321" w:rsidP="00DE0321">
      <w:pPr>
        <w:pStyle w:val="BRLAufzhlungAnstrich"/>
        <w:numPr>
          <w:ilvl w:val="0"/>
          <w:numId w:val="0"/>
        </w:numPr>
        <w:ind w:left="284"/>
      </w:pPr>
      <w:r w:rsidRPr="0009445C">
        <w:t>The SVOCs for which NIC values have been set shall be included in the R-values (see below) and in the TVOC values and are no longer subject to the sum value SVOC of 0.1 mg/m³ after 28 days.</w:t>
      </w:r>
    </w:p>
    <w:p w14:paraId="10FD8699" w14:textId="77777777" w:rsidR="00DE0321" w:rsidRPr="0009445C" w:rsidRDefault="00DE0321" w:rsidP="00DE0321">
      <w:pPr>
        <w:pStyle w:val="BRLAufzhlungAnstrich"/>
        <w:numPr>
          <w:ilvl w:val="0"/>
          <w:numId w:val="0"/>
        </w:numPr>
        <w:ind w:left="284"/>
      </w:pPr>
    </w:p>
    <w:p w14:paraId="692142FE" w14:textId="77777777" w:rsidR="00DE0321" w:rsidRPr="0009445C" w:rsidRDefault="00DE0321" w:rsidP="00DE0321">
      <w:pPr>
        <w:pStyle w:val="BRLAufzhlungAnstrich"/>
        <w:numPr>
          <w:ilvl w:val="0"/>
          <w:numId w:val="1"/>
        </w:numPr>
        <w:rPr>
          <w:b/>
        </w:rPr>
      </w:pPr>
      <w:r w:rsidRPr="0009445C">
        <w:rPr>
          <w:b/>
        </w:rPr>
        <w:t>R value (evaluation of the individual substance)</w:t>
      </w:r>
    </w:p>
    <w:p w14:paraId="3C13F8F1" w14:textId="77777777" w:rsidR="00DE0321" w:rsidRPr="0009445C" w:rsidRDefault="00DE0321" w:rsidP="00DE0321">
      <w:pPr>
        <w:pStyle w:val="BRLAufzhlungAnstrich"/>
        <w:numPr>
          <w:ilvl w:val="0"/>
          <w:numId w:val="0"/>
        </w:numPr>
        <w:ind w:left="284"/>
      </w:pPr>
      <w:r w:rsidRPr="0009445C">
        <w:t>The sum of all R</w:t>
      </w:r>
      <w:r w:rsidRPr="0009445C">
        <w:rPr>
          <w:vertAlign w:val="subscript"/>
        </w:rPr>
        <w:t>i</w:t>
      </w:r>
      <w:r w:rsidRPr="0009445C">
        <w:t xml:space="preserve"> values must not exceed the value given in Table 1. </w:t>
      </w:r>
    </w:p>
    <w:p w14:paraId="65421A41" w14:textId="77777777" w:rsidR="00DE0321" w:rsidRPr="0009445C" w:rsidRDefault="00DE0321" w:rsidP="00DE0321">
      <w:pPr>
        <w:pStyle w:val="BRLAufzhlungAnstrich"/>
        <w:numPr>
          <w:ilvl w:val="0"/>
          <w:numId w:val="0"/>
        </w:numPr>
        <w:ind w:left="284"/>
      </w:pPr>
    </w:p>
    <w:p w14:paraId="33F60E40" w14:textId="77777777" w:rsidR="00DE0321" w:rsidRPr="0009445C" w:rsidRDefault="00DE0321" w:rsidP="00DE0321">
      <w:pPr>
        <w:pStyle w:val="BRLAufzhlungAnstrich"/>
        <w:numPr>
          <w:ilvl w:val="0"/>
          <w:numId w:val="0"/>
        </w:numPr>
        <w:ind w:left="284"/>
      </w:pPr>
      <w:r w:rsidRPr="0009445C">
        <w:t>R = sum of all R</w:t>
      </w:r>
      <w:r w:rsidRPr="0009445C">
        <w:rPr>
          <w:vertAlign w:val="subscript"/>
        </w:rPr>
        <w:t>i</w:t>
      </w:r>
      <w:r w:rsidRPr="0009445C">
        <w:t xml:space="preserve"> = sum of all quotients (C</w:t>
      </w:r>
      <w:r w:rsidRPr="0009445C">
        <w:rPr>
          <w:vertAlign w:val="subscript"/>
        </w:rPr>
        <w:t>i</w:t>
      </w:r>
      <w:r w:rsidRPr="0009445C">
        <w:t xml:space="preserve"> / </w:t>
      </w:r>
      <w:proofErr w:type="spellStart"/>
      <w:r w:rsidRPr="0009445C">
        <w:t>NIK</w:t>
      </w:r>
      <w:r w:rsidRPr="0009445C">
        <w:rPr>
          <w:vertAlign w:val="subscript"/>
        </w:rPr>
        <w:t>i</w:t>
      </w:r>
      <w:proofErr w:type="spellEnd"/>
      <w:r w:rsidRPr="0009445C">
        <w:t>) ≤ 1</w:t>
      </w:r>
    </w:p>
    <w:p w14:paraId="018D708A" w14:textId="77777777" w:rsidR="00DE0321" w:rsidRPr="0009445C" w:rsidRDefault="00DE0321" w:rsidP="00DE0321">
      <w:pPr>
        <w:pStyle w:val="BRLAufzhlungAnstrich"/>
        <w:numPr>
          <w:ilvl w:val="0"/>
          <w:numId w:val="0"/>
        </w:numPr>
        <w:ind w:left="284"/>
        <w:rPr>
          <w:lang w:val="fr-FR"/>
        </w:rPr>
      </w:pPr>
    </w:p>
    <w:p w14:paraId="2A2315F5" w14:textId="77777777" w:rsidR="00DE0321" w:rsidRPr="0009445C" w:rsidRDefault="00DE0321" w:rsidP="00DE0321">
      <w:pPr>
        <w:pStyle w:val="BRLAufzhlungAnstrich"/>
        <w:numPr>
          <w:ilvl w:val="0"/>
          <w:numId w:val="0"/>
        </w:numPr>
        <w:ind w:left="284"/>
      </w:pPr>
      <w:r w:rsidRPr="0009445C">
        <w:t xml:space="preserve">The evaluation shall be based on calculating </w:t>
      </w:r>
      <w:proofErr w:type="spellStart"/>
      <w:r w:rsidRPr="0009445C">
        <w:rPr>
          <w:vertAlign w:val="subscript"/>
        </w:rPr>
        <w:t>i</w:t>
      </w:r>
      <w:proofErr w:type="spellEnd"/>
      <w:r w:rsidRPr="0009445C">
        <w:t xml:space="preserve"> the ratio R</w:t>
      </w:r>
      <w:r w:rsidRPr="0009445C">
        <w:rPr>
          <w:vertAlign w:val="subscript"/>
        </w:rPr>
        <w:t>i</w:t>
      </w:r>
      <w:r w:rsidRPr="0009445C">
        <w:t xml:space="preserve"> for each compound, as defined in the following equation.</w:t>
      </w:r>
    </w:p>
    <w:p w14:paraId="1F0E17D9" w14:textId="77777777" w:rsidR="00DE0321" w:rsidRPr="0009445C" w:rsidRDefault="00DE0321" w:rsidP="00DE0321">
      <w:pPr>
        <w:pStyle w:val="BRLAufzhlungAnstrich"/>
        <w:numPr>
          <w:ilvl w:val="0"/>
          <w:numId w:val="0"/>
        </w:numPr>
        <w:ind w:left="284"/>
      </w:pPr>
    </w:p>
    <w:p w14:paraId="7AB59584" w14:textId="77777777" w:rsidR="00DE0321" w:rsidRPr="0009445C" w:rsidRDefault="00DE0321" w:rsidP="00DE0321">
      <w:pPr>
        <w:pStyle w:val="BRLAufzhlungAnstrich"/>
        <w:numPr>
          <w:ilvl w:val="0"/>
          <w:numId w:val="0"/>
        </w:numPr>
        <w:ind w:left="284"/>
      </w:pPr>
      <w:r w:rsidRPr="0009445C">
        <w:tab/>
        <w:t>R</w:t>
      </w:r>
      <w:r w:rsidRPr="0009445C">
        <w:rPr>
          <w:vertAlign w:val="subscript"/>
        </w:rPr>
        <w:t>i</w:t>
      </w:r>
      <w:r w:rsidRPr="0009445C">
        <w:t xml:space="preserve"> = C</w:t>
      </w:r>
      <w:r w:rsidRPr="0009445C">
        <w:rPr>
          <w:vertAlign w:val="subscript"/>
        </w:rPr>
        <w:t>i</w:t>
      </w:r>
      <w:r w:rsidRPr="0009445C">
        <w:t xml:space="preserve"> /</w:t>
      </w:r>
      <w:proofErr w:type="spellStart"/>
      <w:r w:rsidRPr="0009445C">
        <w:t>LCI</w:t>
      </w:r>
      <w:r w:rsidRPr="0009445C">
        <w:rPr>
          <w:vertAlign w:val="subscript"/>
        </w:rPr>
        <w:t>i</w:t>
      </w:r>
      <w:proofErr w:type="spellEnd"/>
      <w:r w:rsidRPr="0009445C">
        <w:t xml:space="preserve"> .</w:t>
      </w:r>
    </w:p>
    <w:p w14:paraId="2335DB8F" w14:textId="77777777" w:rsidR="00DE0321" w:rsidRPr="0009445C" w:rsidRDefault="00DE0321" w:rsidP="00DE0321">
      <w:pPr>
        <w:pStyle w:val="BRLAufzhlungAnstrich"/>
        <w:numPr>
          <w:ilvl w:val="0"/>
          <w:numId w:val="0"/>
        </w:numPr>
        <w:ind w:left="284"/>
      </w:pPr>
    </w:p>
    <w:p w14:paraId="6434BCB6" w14:textId="77777777" w:rsidR="00DE0321" w:rsidRPr="0009445C" w:rsidRDefault="00DE0321" w:rsidP="00DE0321">
      <w:pPr>
        <w:pStyle w:val="BRLAufzhlungAnstrich"/>
        <w:numPr>
          <w:ilvl w:val="0"/>
          <w:numId w:val="0"/>
        </w:numPr>
        <w:ind w:left="284"/>
      </w:pPr>
      <w:r w:rsidRPr="0009445C">
        <w:t>Here C</w:t>
      </w:r>
      <w:r w:rsidRPr="0009445C">
        <w:rPr>
          <w:vertAlign w:val="subscript"/>
        </w:rPr>
        <w:t>i</w:t>
      </w:r>
      <w:r w:rsidRPr="0009445C">
        <w:t xml:space="preserve"> is the substance concentration in the chamber air.</w:t>
      </w:r>
    </w:p>
    <w:p w14:paraId="5638820F" w14:textId="77777777" w:rsidR="00DE0321" w:rsidRPr="0009445C" w:rsidRDefault="00DE0321" w:rsidP="00DE0321">
      <w:pPr>
        <w:pStyle w:val="BRLAufzhlungAnstrich"/>
        <w:numPr>
          <w:ilvl w:val="0"/>
          <w:numId w:val="0"/>
        </w:numPr>
        <w:ind w:left="284"/>
      </w:pPr>
    </w:p>
    <w:p w14:paraId="50E26186" w14:textId="77777777" w:rsidR="00DE0321" w:rsidRPr="0009445C" w:rsidRDefault="00DE0321" w:rsidP="00DE0321">
      <w:pPr>
        <w:pStyle w:val="BRLAufzhlungAnstrich"/>
        <w:numPr>
          <w:ilvl w:val="0"/>
          <w:numId w:val="0"/>
        </w:numPr>
        <w:ind w:left="284"/>
      </w:pPr>
      <w:r w:rsidRPr="0009445C">
        <w:t xml:space="preserve">For a variety of internally relevant volatile organic compounds (VVOC, VOC and SVOC) NIC values are listed in Appendix 2. They are quantified in a substance-specific manner. All individual substances with a concentration of 5 </w:t>
      </w:r>
      <w:proofErr w:type="spellStart"/>
      <w:r w:rsidRPr="0009445C">
        <w:t>μg</w:t>
      </w:r>
      <w:proofErr w:type="spellEnd"/>
      <w:r w:rsidRPr="0009445C">
        <w:t>/m³ or more shall be taken into account in the evaluation of the individual substance.</w:t>
      </w:r>
    </w:p>
    <w:p w14:paraId="17C436FC" w14:textId="77777777" w:rsidR="00DE0321" w:rsidRPr="0009445C" w:rsidRDefault="00DE0321" w:rsidP="00DE0321">
      <w:pPr>
        <w:pStyle w:val="BRLAufzhlungAnstrich"/>
        <w:numPr>
          <w:ilvl w:val="0"/>
          <w:numId w:val="0"/>
        </w:numPr>
        <w:ind w:left="284"/>
      </w:pPr>
    </w:p>
    <w:p w14:paraId="5D7E2B33" w14:textId="77777777" w:rsidR="00DE0321" w:rsidRPr="0009445C" w:rsidRDefault="00DE0321" w:rsidP="00DE0321">
      <w:pPr>
        <w:pStyle w:val="BRLAufzhlungAnstrich"/>
        <w:numPr>
          <w:ilvl w:val="0"/>
          <w:numId w:val="1"/>
        </w:numPr>
        <w:rPr>
          <w:b/>
        </w:rPr>
      </w:pPr>
      <w:r w:rsidRPr="0009445C">
        <w:rPr>
          <w:b/>
        </w:rPr>
        <w:t>VOCs without assessment criteria according to LCI</w:t>
      </w:r>
    </w:p>
    <w:p w14:paraId="4C4C3292" w14:textId="77777777" w:rsidR="00DE0321" w:rsidRPr="0009445C" w:rsidRDefault="00DE0321" w:rsidP="00DE0321">
      <w:pPr>
        <w:pStyle w:val="BRLAufzhlungAnstrich"/>
        <w:numPr>
          <w:ilvl w:val="0"/>
          <w:numId w:val="0"/>
        </w:numPr>
        <w:ind w:left="284"/>
      </w:pPr>
      <w:r w:rsidRPr="0009445C">
        <w:t xml:space="preserve">The total of the VOC that cannot be evaluated, with a concentration of ≥ 5 </w:t>
      </w:r>
      <w:proofErr w:type="spellStart"/>
      <w:r w:rsidRPr="0009445C">
        <w:t>μg</w:t>
      </w:r>
      <w:proofErr w:type="spellEnd"/>
      <w:r w:rsidRPr="0009445C">
        <w:t>/m³, must not exceed the value given in Table 1.</w:t>
      </w:r>
    </w:p>
    <w:p w14:paraId="223CEC39" w14:textId="77777777" w:rsidR="00DE0321" w:rsidRPr="0009445C" w:rsidRDefault="00DE0321" w:rsidP="00DE0321">
      <w:pPr>
        <w:pStyle w:val="BRLAufzhlungAnstrich"/>
        <w:numPr>
          <w:ilvl w:val="0"/>
          <w:numId w:val="0"/>
        </w:numPr>
        <w:ind w:left="284"/>
      </w:pPr>
    </w:p>
    <w:p w14:paraId="163F10BD" w14:textId="77777777" w:rsidR="00DE0321" w:rsidRPr="0009445C" w:rsidRDefault="00DE0321" w:rsidP="00DE0321">
      <w:pPr>
        <w:pStyle w:val="BRLAufzhlungAnstrich"/>
        <w:numPr>
          <w:ilvl w:val="0"/>
          <w:numId w:val="1"/>
        </w:numPr>
        <w:rPr>
          <w:b/>
        </w:rPr>
      </w:pPr>
      <w:r w:rsidRPr="0009445C">
        <w:rPr>
          <w:b/>
        </w:rPr>
        <w:t>Volatile organic compounds (VVOC)</w:t>
      </w:r>
    </w:p>
    <w:p w14:paraId="0C71E7D3" w14:textId="77777777" w:rsidR="00DE0321" w:rsidRPr="0009445C" w:rsidRDefault="00DE0321" w:rsidP="00DE0321">
      <w:pPr>
        <w:pStyle w:val="BRLAufzhlungAnstrich"/>
        <w:numPr>
          <w:ilvl w:val="0"/>
          <w:numId w:val="0"/>
        </w:numPr>
        <w:ind w:left="284"/>
      </w:pPr>
      <w:r w:rsidRPr="0009445C">
        <w:t>The VVOCs for which the LCI values were determined shall be mathematically included in the R value formation but are not taken into account when forming the TVOC value.</w:t>
      </w:r>
    </w:p>
    <w:p w14:paraId="08D72FDF" w14:textId="77777777" w:rsidR="00DE0321" w:rsidRPr="0009445C" w:rsidRDefault="00DE0321" w:rsidP="00DE0321">
      <w:pPr>
        <w:pStyle w:val="BRLAufzhlungAnstrich"/>
        <w:numPr>
          <w:ilvl w:val="0"/>
          <w:numId w:val="0"/>
        </w:numPr>
        <w:ind w:left="284"/>
      </w:pPr>
    </w:p>
    <w:p w14:paraId="4254238D" w14:textId="77777777" w:rsidR="00DE0321" w:rsidRPr="0009445C" w:rsidRDefault="00DE0321" w:rsidP="00DE0321">
      <w:pPr>
        <w:pStyle w:val="BRLAufzhlungAnstrich"/>
        <w:numPr>
          <w:ilvl w:val="0"/>
          <w:numId w:val="0"/>
        </w:numPr>
        <w:ind w:left="284"/>
      </w:pPr>
    </w:p>
    <w:p w14:paraId="30E4B223" w14:textId="77777777" w:rsidR="00B409DD" w:rsidRPr="0009445C" w:rsidRDefault="00B409DD">
      <w:pPr>
        <w:spacing w:after="200" w:line="276" w:lineRule="auto"/>
        <w:rPr>
          <w:b/>
          <w:bCs/>
        </w:rPr>
      </w:pPr>
      <w:r w:rsidRPr="0009445C">
        <w:br w:type="page"/>
      </w:r>
    </w:p>
    <w:p w14:paraId="5092C15B" w14:textId="77777777" w:rsidR="00DE0321" w:rsidRPr="0009445C" w:rsidRDefault="00DE0321" w:rsidP="00600F53">
      <w:pPr>
        <w:pStyle w:val="BRL-Tabelleberschrift"/>
      </w:pPr>
      <w:r w:rsidRPr="0009445C">
        <w:lastRenderedPageBreak/>
        <w:t>Table 1:</w:t>
      </w:r>
      <w:r w:rsidRPr="0009445C">
        <w:tab/>
        <w:t>Requirements for VOC emissions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223"/>
        <w:gridCol w:w="2410"/>
        <w:gridCol w:w="1978"/>
      </w:tblGrid>
      <w:tr w:rsidR="00DE0321" w:rsidRPr="0009445C" w14:paraId="003A2BF7" w14:textId="77777777" w:rsidTr="00303D9D">
        <w:trPr>
          <w:trHeight w:val="420"/>
        </w:trPr>
        <w:tc>
          <w:tcPr>
            <w:tcW w:w="1401" w:type="pct"/>
            <w:shd w:val="clear" w:color="auto" w:fill="auto"/>
            <w:vAlign w:val="center"/>
          </w:tcPr>
          <w:p w14:paraId="29109554" w14:textId="77777777" w:rsidR="00DE0321" w:rsidRPr="0009445C" w:rsidRDefault="00DE0321" w:rsidP="00600F53">
            <w:pPr>
              <w:pStyle w:val="BRL-Tabelleberschrift1Zeile"/>
            </w:pPr>
            <w:r w:rsidRPr="0009445C">
              <w:t>Type of issue</w:t>
            </w:r>
          </w:p>
        </w:tc>
        <w:tc>
          <w:tcPr>
            <w:tcW w:w="1210" w:type="pct"/>
            <w:shd w:val="clear" w:color="auto" w:fill="auto"/>
            <w:vAlign w:val="center"/>
          </w:tcPr>
          <w:p w14:paraId="7C3D861D" w14:textId="77777777" w:rsidR="00DE0321" w:rsidRPr="0009445C" w:rsidRDefault="00DE0321" w:rsidP="00600F53">
            <w:pPr>
              <w:pStyle w:val="BRL-Tabelleberschrift1Zeile"/>
            </w:pPr>
            <w:r w:rsidRPr="0009445C">
              <w:t>Value after 3 days</w:t>
            </w:r>
          </w:p>
        </w:tc>
        <w:tc>
          <w:tcPr>
            <w:tcW w:w="1312" w:type="pct"/>
            <w:shd w:val="clear" w:color="auto" w:fill="auto"/>
            <w:vAlign w:val="center"/>
          </w:tcPr>
          <w:p w14:paraId="5F4EF521" w14:textId="77777777" w:rsidR="00DE0321" w:rsidRPr="0009445C" w:rsidRDefault="00DE0321" w:rsidP="00600F53">
            <w:pPr>
              <w:pStyle w:val="BRL-Tabelleberschrift1Zeile"/>
            </w:pPr>
            <w:r w:rsidRPr="0009445C">
              <w:t>Value after 28 days</w:t>
            </w:r>
          </w:p>
        </w:tc>
        <w:tc>
          <w:tcPr>
            <w:tcW w:w="1078" w:type="pct"/>
            <w:shd w:val="clear" w:color="auto" w:fill="auto"/>
            <w:vAlign w:val="center"/>
          </w:tcPr>
          <w:p w14:paraId="731ED0B9" w14:textId="77777777" w:rsidR="00DE0321" w:rsidRPr="0009445C" w:rsidRDefault="00DE0321" w:rsidP="00600F53">
            <w:pPr>
              <w:pStyle w:val="BRL-Tabelleberschrift1Zeile"/>
            </w:pPr>
            <w:r w:rsidRPr="0009445C">
              <w:t>Section of ABG</w:t>
            </w:r>
          </w:p>
        </w:tc>
      </w:tr>
      <w:tr w:rsidR="00DE0321" w:rsidRPr="0009445C" w14:paraId="0CAD6ABB" w14:textId="77777777" w:rsidTr="00303D9D">
        <w:trPr>
          <w:trHeight w:val="420"/>
        </w:trPr>
        <w:tc>
          <w:tcPr>
            <w:tcW w:w="1401" w:type="pct"/>
            <w:shd w:val="clear" w:color="auto" w:fill="auto"/>
            <w:vAlign w:val="center"/>
          </w:tcPr>
          <w:p w14:paraId="52B565CA" w14:textId="77777777" w:rsidR="00DE0321" w:rsidRPr="0009445C" w:rsidRDefault="00DE0321" w:rsidP="00B409DD">
            <w:pPr>
              <w:pStyle w:val="BRL-Tabelle"/>
            </w:pPr>
            <w:r w:rsidRPr="0009445C">
              <w:t>Carcinogen</w:t>
            </w:r>
            <w:r w:rsidRPr="0009445C">
              <w:br/>
              <w:t>(category 1A/1B)</w:t>
            </w:r>
          </w:p>
        </w:tc>
        <w:tc>
          <w:tcPr>
            <w:tcW w:w="1210" w:type="pct"/>
            <w:shd w:val="clear" w:color="auto" w:fill="auto"/>
            <w:vAlign w:val="center"/>
          </w:tcPr>
          <w:p w14:paraId="140EE608" w14:textId="77777777" w:rsidR="00DE0321" w:rsidRPr="0009445C" w:rsidRDefault="00DE0321" w:rsidP="00B409DD">
            <w:pPr>
              <w:pStyle w:val="BRL-Tabelle"/>
            </w:pPr>
            <w:r w:rsidRPr="0009445C">
              <w:t>≤ 0.01 mg/m</w:t>
            </w:r>
            <w:r w:rsidRPr="0009445C">
              <w:rPr>
                <w:vertAlign w:val="superscript"/>
              </w:rPr>
              <w:t>3</w:t>
            </w:r>
          </w:p>
        </w:tc>
        <w:tc>
          <w:tcPr>
            <w:tcW w:w="1312" w:type="pct"/>
            <w:shd w:val="clear" w:color="auto" w:fill="auto"/>
            <w:vAlign w:val="center"/>
          </w:tcPr>
          <w:p w14:paraId="1A9B7522" w14:textId="5E30C991" w:rsidR="00DE0321" w:rsidRPr="0009445C" w:rsidRDefault="00DE0321" w:rsidP="00B409DD">
            <w:pPr>
              <w:pStyle w:val="BRL-Tabelle"/>
            </w:pPr>
            <w:r w:rsidRPr="0009445C">
              <w:t>≤ 0.001 mg/m</w:t>
            </w:r>
            <w:r w:rsidRPr="0009445C">
              <w:rPr>
                <w:vertAlign w:val="superscript"/>
              </w:rPr>
              <w:t>3</w:t>
            </w:r>
          </w:p>
        </w:tc>
        <w:tc>
          <w:tcPr>
            <w:tcW w:w="1078" w:type="pct"/>
            <w:vMerge w:val="restart"/>
            <w:shd w:val="clear" w:color="auto" w:fill="auto"/>
            <w:vAlign w:val="center"/>
          </w:tcPr>
          <w:p w14:paraId="58E963FB" w14:textId="77777777" w:rsidR="00DE0321" w:rsidRPr="0009445C" w:rsidRDefault="00DE0321" w:rsidP="00B409DD">
            <w:pPr>
              <w:pStyle w:val="BRL-Tabelle"/>
              <w:jc w:val="center"/>
            </w:pPr>
            <w:r w:rsidRPr="0009445C">
              <w:t>2.2.1.1</w:t>
            </w:r>
          </w:p>
        </w:tc>
      </w:tr>
      <w:tr w:rsidR="00DE0321" w:rsidRPr="0009445C" w14:paraId="417E2291" w14:textId="77777777" w:rsidTr="00303D9D">
        <w:trPr>
          <w:trHeight w:val="420"/>
        </w:trPr>
        <w:tc>
          <w:tcPr>
            <w:tcW w:w="1401" w:type="pct"/>
            <w:shd w:val="clear" w:color="auto" w:fill="auto"/>
            <w:vAlign w:val="center"/>
          </w:tcPr>
          <w:p w14:paraId="73E4338A" w14:textId="77777777" w:rsidR="00DE0321" w:rsidRPr="0009445C" w:rsidRDefault="00DE0321" w:rsidP="00B409DD">
            <w:pPr>
              <w:pStyle w:val="BRL-Tabelle"/>
            </w:pPr>
            <w:proofErr w:type="spellStart"/>
            <w:r w:rsidRPr="0009445C">
              <w:t>TVOC</w:t>
            </w:r>
            <w:r w:rsidRPr="0009445C">
              <w:rPr>
                <w:vertAlign w:val="subscript"/>
              </w:rPr>
              <w:t>spec</w:t>
            </w:r>
            <w:proofErr w:type="spellEnd"/>
          </w:p>
        </w:tc>
        <w:tc>
          <w:tcPr>
            <w:tcW w:w="1210" w:type="pct"/>
            <w:shd w:val="clear" w:color="auto" w:fill="auto"/>
            <w:vAlign w:val="center"/>
          </w:tcPr>
          <w:p w14:paraId="149A2A66" w14:textId="77777777" w:rsidR="00DE0321" w:rsidRPr="0009445C" w:rsidRDefault="00DE0321" w:rsidP="00B409DD">
            <w:pPr>
              <w:pStyle w:val="BRL-Tabelle"/>
            </w:pPr>
            <w:r w:rsidRPr="0009445C">
              <w:t>≤ 10 mg/m</w:t>
            </w:r>
            <w:r w:rsidRPr="0009445C">
              <w:rPr>
                <w:vertAlign w:val="superscript"/>
              </w:rPr>
              <w:t>3</w:t>
            </w:r>
          </w:p>
        </w:tc>
        <w:tc>
          <w:tcPr>
            <w:tcW w:w="1312" w:type="pct"/>
            <w:shd w:val="clear" w:color="auto" w:fill="auto"/>
            <w:vAlign w:val="center"/>
          </w:tcPr>
          <w:p w14:paraId="795948DE" w14:textId="77777777" w:rsidR="00DE0321" w:rsidRPr="0009445C" w:rsidRDefault="00DE0321" w:rsidP="00B409DD">
            <w:pPr>
              <w:pStyle w:val="BRL-Tabelle"/>
            </w:pPr>
            <w:r w:rsidRPr="0009445C">
              <w:t>≤ 1.0 mg/m</w:t>
            </w:r>
            <w:r w:rsidRPr="0009445C">
              <w:rPr>
                <w:vertAlign w:val="superscript"/>
              </w:rPr>
              <w:t>3</w:t>
            </w:r>
          </w:p>
        </w:tc>
        <w:tc>
          <w:tcPr>
            <w:tcW w:w="1078" w:type="pct"/>
            <w:vMerge/>
            <w:shd w:val="clear" w:color="auto" w:fill="auto"/>
          </w:tcPr>
          <w:p w14:paraId="714D673A" w14:textId="77777777" w:rsidR="00DE0321" w:rsidRPr="0009445C" w:rsidRDefault="00DE0321" w:rsidP="00B409DD">
            <w:pPr>
              <w:keepNext/>
              <w:keepLines/>
              <w:spacing w:after="120" w:line="240" w:lineRule="auto"/>
              <w:ind w:firstLine="601"/>
              <w:contextualSpacing/>
              <w:rPr>
                <w:rFonts w:cs="Arial"/>
                <w:color w:val="0070C0"/>
                <w:szCs w:val="24"/>
                <w:lang w:val="en-US"/>
              </w:rPr>
            </w:pPr>
          </w:p>
        </w:tc>
      </w:tr>
      <w:tr w:rsidR="00DE0321" w:rsidRPr="0009445C" w14:paraId="61A26C52" w14:textId="77777777" w:rsidTr="00303D9D">
        <w:trPr>
          <w:trHeight w:val="420"/>
        </w:trPr>
        <w:tc>
          <w:tcPr>
            <w:tcW w:w="1401" w:type="pct"/>
            <w:shd w:val="clear" w:color="auto" w:fill="auto"/>
            <w:vAlign w:val="center"/>
          </w:tcPr>
          <w:p w14:paraId="1F00F051" w14:textId="77777777" w:rsidR="00DE0321" w:rsidRPr="0009445C" w:rsidRDefault="00DE0321" w:rsidP="00B409DD">
            <w:pPr>
              <w:pStyle w:val="BRL-Tabelle"/>
            </w:pPr>
            <w:r w:rsidRPr="0009445C">
              <w:t>TSVOC</w:t>
            </w:r>
          </w:p>
        </w:tc>
        <w:tc>
          <w:tcPr>
            <w:tcW w:w="1210" w:type="pct"/>
            <w:shd w:val="clear" w:color="auto" w:fill="auto"/>
            <w:vAlign w:val="center"/>
          </w:tcPr>
          <w:p w14:paraId="02100C86" w14:textId="77777777" w:rsidR="00DE0321" w:rsidRPr="0009445C" w:rsidRDefault="00DE0321" w:rsidP="00B409DD">
            <w:pPr>
              <w:pStyle w:val="BRL-Tabelle"/>
            </w:pPr>
          </w:p>
        </w:tc>
        <w:tc>
          <w:tcPr>
            <w:tcW w:w="1312" w:type="pct"/>
            <w:shd w:val="clear" w:color="auto" w:fill="auto"/>
            <w:vAlign w:val="center"/>
          </w:tcPr>
          <w:p w14:paraId="3CBD33E4" w14:textId="77777777" w:rsidR="00DE0321" w:rsidRPr="0009445C" w:rsidRDefault="00DE0321" w:rsidP="00B409DD">
            <w:pPr>
              <w:pStyle w:val="BRL-Tabelle"/>
            </w:pPr>
            <w:r w:rsidRPr="0009445C">
              <w:t>≤ 0.1 mg/m</w:t>
            </w:r>
            <w:r w:rsidRPr="0009445C">
              <w:rPr>
                <w:vertAlign w:val="superscript"/>
              </w:rPr>
              <w:t>3</w:t>
            </w:r>
          </w:p>
        </w:tc>
        <w:tc>
          <w:tcPr>
            <w:tcW w:w="1078" w:type="pct"/>
            <w:vMerge/>
            <w:shd w:val="clear" w:color="auto" w:fill="auto"/>
          </w:tcPr>
          <w:p w14:paraId="417C890C" w14:textId="77777777" w:rsidR="00DE0321" w:rsidRPr="0009445C" w:rsidRDefault="00DE0321" w:rsidP="00B409DD">
            <w:pPr>
              <w:keepNext/>
              <w:keepLines/>
              <w:spacing w:after="120" w:line="240" w:lineRule="auto"/>
              <w:ind w:firstLine="601"/>
              <w:contextualSpacing/>
              <w:rPr>
                <w:rFonts w:cs="Arial"/>
                <w:color w:val="0070C0"/>
                <w:szCs w:val="24"/>
              </w:rPr>
            </w:pPr>
          </w:p>
        </w:tc>
      </w:tr>
      <w:tr w:rsidR="00DE0321" w:rsidRPr="0009445C" w14:paraId="151A92D2" w14:textId="77777777" w:rsidTr="00303D9D">
        <w:trPr>
          <w:trHeight w:val="420"/>
        </w:trPr>
        <w:tc>
          <w:tcPr>
            <w:tcW w:w="1401" w:type="pct"/>
            <w:shd w:val="clear" w:color="auto" w:fill="auto"/>
            <w:vAlign w:val="center"/>
          </w:tcPr>
          <w:p w14:paraId="2F227343" w14:textId="77777777" w:rsidR="00DE0321" w:rsidRPr="0009445C" w:rsidRDefault="00DE0321" w:rsidP="00B409DD">
            <w:pPr>
              <w:pStyle w:val="BRL-Tabelle"/>
            </w:pPr>
            <w:r w:rsidRPr="0009445C">
              <w:t>TVOC without NIK</w:t>
            </w:r>
          </w:p>
        </w:tc>
        <w:tc>
          <w:tcPr>
            <w:tcW w:w="1210" w:type="pct"/>
            <w:shd w:val="clear" w:color="auto" w:fill="auto"/>
            <w:vAlign w:val="center"/>
          </w:tcPr>
          <w:p w14:paraId="57AC9347" w14:textId="77777777" w:rsidR="00DE0321" w:rsidRPr="0009445C" w:rsidRDefault="00DE0321" w:rsidP="00B409DD">
            <w:pPr>
              <w:pStyle w:val="BRL-Tabelle"/>
            </w:pPr>
          </w:p>
        </w:tc>
        <w:tc>
          <w:tcPr>
            <w:tcW w:w="1312" w:type="pct"/>
            <w:shd w:val="clear" w:color="auto" w:fill="auto"/>
            <w:vAlign w:val="center"/>
          </w:tcPr>
          <w:p w14:paraId="129ADEA4" w14:textId="77777777" w:rsidR="00DE0321" w:rsidRPr="0009445C" w:rsidRDefault="00DE0321" w:rsidP="00B409DD">
            <w:pPr>
              <w:pStyle w:val="BRL-Tabelle"/>
            </w:pPr>
            <w:r w:rsidRPr="0009445C">
              <w:t>≤ 0.1 mg/m</w:t>
            </w:r>
            <w:r w:rsidRPr="0009445C">
              <w:rPr>
                <w:vertAlign w:val="superscript"/>
              </w:rPr>
              <w:t>3</w:t>
            </w:r>
          </w:p>
        </w:tc>
        <w:tc>
          <w:tcPr>
            <w:tcW w:w="1078" w:type="pct"/>
            <w:vMerge/>
            <w:shd w:val="clear" w:color="auto" w:fill="auto"/>
          </w:tcPr>
          <w:p w14:paraId="5A5BF6DE" w14:textId="77777777" w:rsidR="00DE0321" w:rsidRPr="0009445C" w:rsidRDefault="00DE0321" w:rsidP="00B409DD">
            <w:pPr>
              <w:keepNext/>
              <w:keepLines/>
              <w:spacing w:after="120" w:line="240" w:lineRule="auto"/>
              <w:ind w:firstLine="601"/>
              <w:contextualSpacing/>
              <w:rPr>
                <w:rFonts w:cs="Arial"/>
                <w:color w:val="0070C0"/>
                <w:szCs w:val="24"/>
              </w:rPr>
            </w:pPr>
          </w:p>
        </w:tc>
      </w:tr>
      <w:tr w:rsidR="00DE0321" w:rsidRPr="0009445C" w14:paraId="7B4CE2D8" w14:textId="77777777" w:rsidTr="00303D9D">
        <w:trPr>
          <w:trHeight w:val="420"/>
        </w:trPr>
        <w:tc>
          <w:tcPr>
            <w:tcW w:w="1401" w:type="pct"/>
            <w:shd w:val="clear" w:color="auto" w:fill="auto"/>
            <w:vAlign w:val="center"/>
          </w:tcPr>
          <w:p w14:paraId="377F328B" w14:textId="77777777" w:rsidR="00DE0321" w:rsidRPr="0009445C" w:rsidRDefault="00DE0321" w:rsidP="00B409DD">
            <w:pPr>
              <w:pStyle w:val="BRL-Tabelle"/>
            </w:pPr>
            <w:r w:rsidRPr="0009445C">
              <w:t>R value</w:t>
            </w:r>
          </w:p>
        </w:tc>
        <w:tc>
          <w:tcPr>
            <w:tcW w:w="1210" w:type="pct"/>
            <w:shd w:val="clear" w:color="auto" w:fill="auto"/>
            <w:vAlign w:val="center"/>
          </w:tcPr>
          <w:p w14:paraId="25C2D770" w14:textId="77777777" w:rsidR="00DE0321" w:rsidRPr="0009445C" w:rsidRDefault="00DE0321" w:rsidP="00B409DD">
            <w:pPr>
              <w:pStyle w:val="BRL-Tabelle"/>
            </w:pPr>
          </w:p>
        </w:tc>
        <w:tc>
          <w:tcPr>
            <w:tcW w:w="1312" w:type="pct"/>
            <w:shd w:val="clear" w:color="auto" w:fill="auto"/>
            <w:vAlign w:val="center"/>
          </w:tcPr>
          <w:p w14:paraId="3ECFAE77" w14:textId="77777777" w:rsidR="00DE0321" w:rsidRPr="0009445C" w:rsidRDefault="00DE0321" w:rsidP="00B409DD">
            <w:pPr>
              <w:pStyle w:val="BRL-Tabelle"/>
            </w:pPr>
            <w:r w:rsidRPr="0009445C">
              <w:t>≤ 1</w:t>
            </w:r>
            <w:r w:rsidRPr="0009445C">
              <w:rPr>
                <w:vertAlign w:val="superscript"/>
              </w:rPr>
              <w:t>*</w:t>
            </w:r>
          </w:p>
        </w:tc>
        <w:tc>
          <w:tcPr>
            <w:tcW w:w="1078" w:type="pct"/>
            <w:vMerge/>
            <w:shd w:val="clear" w:color="auto" w:fill="auto"/>
          </w:tcPr>
          <w:p w14:paraId="4064EFB6" w14:textId="77777777" w:rsidR="00DE0321" w:rsidRPr="0009445C" w:rsidRDefault="00DE0321" w:rsidP="00B409DD">
            <w:pPr>
              <w:keepNext/>
              <w:keepLines/>
              <w:spacing w:after="120"/>
              <w:ind w:firstLine="601"/>
              <w:contextualSpacing/>
              <w:rPr>
                <w:rFonts w:cs="Arial"/>
                <w:color w:val="0070C0"/>
                <w:szCs w:val="24"/>
              </w:rPr>
            </w:pPr>
          </w:p>
        </w:tc>
      </w:tr>
      <w:tr w:rsidR="00303D9D" w:rsidRPr="0009445C" w14:paraId="654641D1" w14:textId="77777777" w:rsidTr="00303D9D">
        <w:trPr>
          <w:trHeight w:val="420"/>
        </w:trPr>
        <w:tc>
          <w:tcPr>
            <w:tcW w:w="5000" w:type="pct"/>
            <w:gridSpan w:val="4"/>
            <w:shd w:val="clear" w:color="auto" w:fill="auto"/>
            <w:vAlign w:val="center"/>
          </w:tcPr>
          <w:p w14:paraId="4FA76E7B" w14:textId="77777777" w:rsidR="00303D9D" w:rsidRPr="0009445C" w:rsidRDefault="00303D9D" w:rsidP="00303D9D">
            <w:pPr>
              <w:pStyle w:val="FootnoteText"/>
            </w:pPr>
            <w:r w:rsidRPr="0009445C">
              <w:t xml:space="preserve">* The requirement does not apply to wood-based materials in the form of slim aligned chips (OSB) and resin-bound clamping boards. </w:t>
            </w:r>
          </w:p>
        </w:tc>
      </w:tr>
    </w:tbl>
    <w:p w14:paraId="5357E6A9" w14:textId="77777777" w:rsidR="00DE0321" w:rsidRPr="0009445C" w:rsidRDefault="00DE0321" w:rsidP="00DE0321"/>
    <w:p w14:paraId="6E38C545" w14:textId="77777777" w:rsidR="00DE0321" w:rsidRPr="0009445C" w:rsidRDefault="00DE0321" w:rsidP="00600F53">
      <w:pPr>
        <w:pStyle w:val="BRL-berschrift"/>
      </w:pPr>
      <w:r w:rsidRPr="0009445C">
        <w:t>2.2.1.2</w:t>
      </w:r>
      <w:r w:rsidRPr="0009445C">
        <w:tab/>
        <w:t>Ammonia emissions</w:t>
      </w:r>
    </w:p>
    <w:p w14:paraId="12F4ED24" w14:textId="77777777" w:rsidR="00DE0321" w:rsidRPr="0009445C" w:rsidRDefault="00DE0321" w:rsidP="00DE0321">
      <w:pPr>
        <w:pStyle w:val="BRL-Standard"/>
        <w:jc w:val="left"/>
      </w:pPr>
      <w:r w:rsidRPr="0009445C">
        <w:t>In the case of parquets and wooden floors made of smoked wood, the ammonia value shall not exceed the value set out in Table 2 after 28 days.</w:t>
      </w:r>
    </w:p>
    <w:p w14:paraId="593A4855" w14:textId="77777777" w:rsidR="00DE0321" w:rsidRPr="0009445C" w:rsidRDefault="00DE0321" w:rsidP="00DE0321">
      <w:pPr>
        <w:pStyle w:val="BRL-Standard"/>
        <w:jc w:val="left"/>
      </w:pPr>
    </w:p>
    <w:p w14:paraId="2BF5BEF2" w14:textId="77777777" w:rsidR="00DE0321" w:rsidRPr="0009445C" w:rsidRDefault="00DE0321" w:rsidP="00DE0321">
      <w:pPr>
        <w:pStyle w:val="BRL-Standard"/>
        <w:jc w:val="left"/>
      </w:pPr>
      <w:r w:rsidRPr="0009445C">
        <w:t>Ammonia emissions shall be determined under the same conditions as for VOC emissions (test chamber and chamber conditions as per DIN EN 16516:2020-10).</w:t>
      </w:r>
    </w:p>
    <w:p w14:paraId="0DAB0A22" w14:textId="77777777" w:rsidR="00DE0321" w:rsidRPr="0009445C" w:rsidRDefault="00DE0321" w:rsidP="00DE0321">
      <w:pPr>
        <w:pStyle w:val="BRL-Standard"/>
      </w:pPr>
    </w:p>
    <w:p w14:paraId="75B06103" w14:textId="77777777" w:rsidR="00DE0321" w:rsidRPr="0009445C" w:rsidRDefault="00DE0321" w:rsidP="00600F53">
      <w:pPr>
        <w:pStyle w:val="BRL-berschrift"/>
      </w:pPr>
      <w:r w:rsidRPr="0009445C">
        <w:t>2.2.1.3</w:t>
      </w:r>
      <w:r w:rsidRPr="0009445C">
        <w:tab/>
        <w:t>Requirements for nitrosamine emissions</w:t>
      </w:r>
    </w:p>
    <w:p w14:paraId="0A86A5CE" w14:textId="77777777" w:rsidR="00DE0321" w:rsidRPr="0009445C" w:rsidRDefault="00DE0321" w:rsidP="00DE0321">
      <w:pPr>
        <w:pStyle w:val="BRL-Standard"/>
      </w:pPr>
      <w:r w:rsidRPr="0009445C">
        <w:t xml:space="preserve">For products referred to in Section 2.2.1, containing amounts of rubber/gum containing vulcanising agents with nitrosamine splitters and/or recycled structural elements of rubber, the nitrosamine value shall not exceed the value set out in Table 2 after 28 days. </w:t>
      </w:r>
    </w:p>
    <w:p w14:paraId="6A939119" w14:textId="77777777" w:rsidR="00DE0321" w:rsidRPr="0009445C" w:rsidRDefault="00DE0321" w:rsidP="00DE0321">
      <w:pPr>
        <w:pStyle w:val="BRL-Standard"/>
      </w:pPr>
    </w:p>
    <w:p w14:paraId="3A324DF0" w14:textId="77777777" w:rsidR="00DE0321" w:rsidRPr="0009445C" w:rsidRDefault="00DE0321" w:rsidP="00DE0321">
      <w:pPr>
        <w:pStyle w:val="BRL-Standard"/>
      </w:pPr>
      <w:r w:rsidRPr="0009445C">
        <w:t>The nitrosamine emissions shall be determined based on the analytic method for the determination of N</w:t>
      </w:r>
      <w:r w:rsidRPr="0009445C">
        <w:noBreakHyphen/>
        <w:t>nitrosamines, DGUV Information 213-523 (formerly BGI/GUV-I 505-23 or ZH1/120.23).</w:t>
      </w:r>
    </w:p>
    <w:p w14:paraId="36E4D292" w14:textId="77777777" w:rsidR="00DE0321" w:rsidRPr="0009445C" w:rsidRDefault="00DE0321" w:rsidP="00DE0321">
      <w:pPr>
        <w:pStyle w:val="BRL-Standard"/>
      </w:pPr>
    </w:p>
    <w:p w14:paraId="036EF17A" w14:textId="77777777" w:rsidR="00DE0321" w:rsidRPr="0009445C" w:rsidRDefault="00DE0321" w:rsidP="00600F53">
      <w:pPr>
        <w:pStyle w:val="BRL-Tabelleberschrift"/>
      </w:pPr>
      <w:r w:rsidRPr="0009445C">
        <w:t>Table 2:</w:t>
      </w:r>
      <w:r w:rsidRPr="0009445C">
        <w:tab/>
        <w:t>Requirements for other emissions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3211"/>
        <w:gridCol w:w="3352"/>
      </w:tblGrid>
      <w:tr w:rsidR="00DE0321" w:rsidRPr="0009445C" w14:paraId="08D3ECE6" w14:textId="77777777" w:rsidTr="00B409DD">
        <w:tc>
          <w:tcPr>
            <w:tcW w:w="2502" w:type="dxa"/>
            <w:shd w:val="clear" w:color="auto" w:fill="auto"/>
            <w:vAlign w:val="center"/>
          </w:tcPr>
          <w:p w14:paraId="52327EE8" w14:textId="77777777" w:rsidR="00DE0321" w:rsidRPr="0009445C" w:rsidRDefault="00DE0321" w:rsidP="00600F53">
            <w:pPr>
              <w:pStyle w:val="BRL-Tabelleberschrift1Zeile"/>
              <w:rPr>
                <w:rFonts w:eastAsia="Calibri"/>
              </w:rPr>
            </w:pPr>
            <w:r w:rsidRPr="0009445C">
              <w:t>Type of issue</w:t>
            </w:r>
          </w:p>
        </w:tc>
        <w:tc>
          <w:tcPr>
            <w:tcW w:w="3211" w:type="dxa"/>
            <w:shd w:val="clear" w:color="auto" w:fill="auto"/>
            <w:vAlign w:val="center"/>
          </w:tcPr>
          <w:p w14:paraId="763B5CD9" w14:textId="77777777" w:rsidR="00DE0321" w:rsidRPr="0009445C" w:rsidRDefault="00DE0321" w:rsidP="00600F53">
            <w:pPr>
              <w:pStyle w:val="BRL-Tabelleberschrift1Zeile"/>
              <w:rPr>
                <w:rFonts w:eastAsia="Calibri"/>
              </w:rPr>
            </w:pPr>
            <w:r w:rsidRPr="0009445C">
              <w:t>Value after 28 days [mg/m</w:t>
            </w:r>
            <w:r w:rsidRPr="0009445C">
              <w:rPr>
                <w:vertAlign w:val="superscript"/>
              </w:rPr>
              <w:t>3</w:t>
            </w:r>
            <w:r w:rsidRPr="0009445C">
              <w:t>]</w:t>
            </w:r>
          </w:p>
        </w:tc>
        <w:tc>
          <w:tcPr>
            <w:tcW w:w="3352" w:type="dxa"/>
            <w:shd w:val="clear" w:color="auto" w:fill="auto"/>
          </w:tcPr>
          <w:p w14:paraId="5E65F77A" w14:textId="77777777" w:rsidR="00DE0321" w:rsidRPr="0009445C" w:rsidRDefault="00DE0321" w:rsidP="00600F53">
            <w:pPr>
              <w:pStyle w:val="BRL-Tabelleberschrift1Zeile"/>
              <w:rPr>
                <w:rFonts w:eastAsia="Calibri"/>
              </w:rPr>
            </w:pPr>
            <w:r w:rsidRPr="0009445C">
              <w:t>Section of ABG</w:t>
            </w:r>
          </w:p>
        </w:tc>
      </w:tr>
      <w:tr w:rsidR="00DE0321" w:rsidRPr="0009445C" w14:paraId="14D807D0" w14:textId="77777777" w:rsidTr="00B409DD">
        <w:trPr>
          <w:trHeight w:val="420"/>
        </w:trPr>
        <w:tc>
          <w:tcPr>
            <w:tcW w:w="2502" w:type="dxa"/>
            <w:shd w:val="clear" w:color="auto" w:fill="auto"/>
            <w:vAlign w:val="center"/>
          </w:tcPr>
          <w:p w14:paraId="4533E468" w14:textId="77777777" w:rsidR="00DE0321" w:rsidRPr="0009445C" w:rsidRDefault="00DE0321" w:rsidP="00B409DD">
            <w:pPr>
              <w:pStyle w:val="BRL-Tabelle"/>
              <w:spacing w:before="60" w:after="40"/>
              <w:ind w:left="174"/>
              <w:rPr>
                <w:rFonts w:eastAsia="Calibri"/>
              </w:rPr>
            </w:pPr>
            <w:r w:rsidRPr="0009445C">
              <w:t>Ammonia</w:t>
            </w:r>
            <w:r w:rsidRPr="0009445C">
              <w:rPr>
                <w:rStyle w:val="FootnoteReference"/>
                <w:rFonts w:eastAsia="Calibri"/>
              </w:rPr>
              <w:footnoteReference w:id="49"/>
            </w:r>
          </w:p>
        </w:tc>
        <w:tc>
          <w:tcPr>
            <w:tcW w:w="3211" w:type="dxa"/>
            <w:shd w:val="clear" w:color="auto" w:fill="auto"/>
            <w:vAlign w:val="center"/>
          </w:tcPr>
          <w:p w14:paraId="72CE541A" w14:textId="77777777" w:rsidR="00DE0321" w:rsidRPr="0009445C" w:rsidRDefault="00DE0321" w:rsidP="00B409DD">
            <w:pPr>
              <w:pStyle w:val="BRL-Tabelle"/>
              <w:spacing w:before="60" w:after="40"/>
              <w:ind w:left="174"/>
              <w:rPr>
                <w:rFonts w:eastAsia="Calibri"/>
              </w:rPr>
            </w:pPr>
            <w:r w:rsidRPr="0009445C">
              <w:t>≤ 0.1</w:t>
            </w:r>
          </w:p>
        </w:tc>
        <w:tc>
          <w:tcPr>
            <w:tcW w:w="3352" w:type="dxa"/>
            <w:shd w:val="clear" w:color="auto" w:fill="auto"/>
            <w:vAlign w:val="center"/>
          </w:tcPr>
          <w:p w14:paraId="707D5FFB" w14:textId="77777777" w:rsidR="00DE0321" w:rsidRPr="0009445C" w:rsidRDefault="00DE0321" w:rsidP="00B409DD">
            <w:pPr>
              <w:pStyle w:val="BRL-Tabelle"/>
              <w:spacing w:before="60" w:after="40"/>
              <w:ind w:left="174"/>
              <w:rPr>
                <w:rFonts w:eastAsia="Calibri"/>
              </w:rPr>
            </w:pPr>
            <w:r w:rsidRPr="0009445C">
              <w:t>2.2.1.2</w:t>
            </w:r>
          </w:p>
        </w:tc>
      </w:tr>
      <w:tr w:rsidR="00DE0321" w:rsidRPr="0009445C" w14:paraId="24E6F3B2" w14:textId="77777777" w:rsidTr="00B409DD">
        <w:trPr>
          <w:trHeight w:val="420"/>
        </w:trPr>
        <w:tc>
          <w:tcPr>
            <w:tcW w:w="2502" w:type="dxa"/>
            <w:shd w:val="clear" w:color="auto" w:fill="auto"/>
            <w:vAlign w:val="center"/>
          </w:tcPr>
          <w:p w14:paraId="3EB07222" w14:textId="77777777" w:rsidR="00DE0321" w:rsidRPr="0009445C" w:rsidRDefault="00DE0321" w:rsidP="00B409DD">
            <w:pPr>
              <w:pStyle w:val="BRL-Tabelle"/>
              <w:spacing w:before="60" w:after="40"/>
              <w:ind w:left="174"/>
              <w:rPr>
                <w:rFonts w:eastAsia="Calibri"/>
              </w:rPr>
            </w:pPr>
            <w:r w:rsidRPr="0009445C">
              <w:t>Nitrosamines</w:t>
            </w:r>
            <w:bookmarkStart w:id="41" w:name="_Ref77328324"/>
            <w:r w:rsidRPr="0009445C">
              <w:rPr>
                <w:rStyle w:val="FootnoteReference"/>
                <w:rFonts w:eastAsia="Calibri"/>
              </w:rPr>
              <w:footnoteReference w:id="50"/>
            </w:r>
            <w:bookmarkEnd w:id="41"/>
          </w:p>
        </w:tc>
        <w:tc>
          <w:tcPr>
            <w:tcW w:w="3211" w:type="dxa"/>
            <w:shd w:val="clear" w:color="auto" w:fill="auto"/>
            <w:vAlign w:val="center"/>
          </w:tcPr>
          <w:p w14:paraId="12174557" w14:textId="77777777" w:rsidR="00DE0321" w:rsidRPr="0009445C" w:rsidRDefault="00DE0321" w:rsidP="00B409DD">
            <w:pPr>
              <w:pStyle w:val="BRL-Tabelle"/>
              <w:spacing w:before="60" w:after="40"/>
              <w:ind w:left="174"/>
              <w:rPr>
                <w:rFonts w:eastAsia="Calibri"/>
              </w:rPr>
            </w:pPr>
            <w:r w:rsidRPr="0009445C">
              <w:t>≤ 0.0002</w:t>
            </w:r>
          </w:p>
        </w:tc>
        <w:tc>
          <w:tcPr>
            <w:tcW w:w="3352" w:type="dxa"/>
            <w:shd w:val="clear" w:color="auto" w:fill="auto"/>
            <w:vAlign w:val="center"/>
          </w:tcPr>
          <w:p w14:paraId="21CBDCEB" w14:textId="77777777" w:rsidR="00DE0321" w:rsidRPr="0009445C" w:rsidRDefault="00DE0321" w:rsidP="00B409DD">
            <w:pPr>
              <w:pStyle w:val="BRL-Tabelle"/>
              <w:spacing w:before="60" w:after="40"/>
              <w:ind w:left="174"/>
              <w:rPr>
                <w:rFonts w:eastAsia="Calibri"/>
              </w:rPr>
            </w:pPr>
            <w:r w:rsidRPr="0009445C">
              <w:t>2.2.1.3</w:t>
            </w:r>
          </w:p>
        </w:tc>
      </w:tr>
    </w:tbl>
    <w:p w14:paraId="4B1FC2B7" w14:textId="77777777" w:rsidR="00DE0321" w:rsidRPr="0009445C" w:rsidRDefault="00DE0321" w:rsidP="00DE0321">
      <w:pPr>
        <w:pStyle w:val="BRL-Standard"/>
      </w:pPr>
    </w:p>
    <w:p w14:paraId="1C7DB229" w14:textId="77777777" w:rsidR="00DE0321" w:rsidRPr="0009445C" w:rsidRDefault="00DE0321" w:rsidP="00600F53">
      <w:pPr>
        <w:pStyle w:val="BRL-berschrift"/>
      </w:pPr>
      <w:r w:rsidRPr="0009445C">
        <w:t>2.2.2</w:t>
      </w:r>
      <w:r w:rsidRPr="0009445C">
        <w:tab/>
        <w:t>Content</w:t>
      </w:r>
    </w:p>
    <w:p w14:paraId="1D2893E8" w14:textId="77777777" w:rsidR="00DE0321" w:rsidRPr="0009445C" w:rsidRDefault="00DE0321" w:rsidP="00600F53">
      <w:pPr>
        <w:pStyle w:val="BRL-berschrift"/>
      </w:pPr>
      <w:r w:rsidRPr="0009445C">
        <w:t>2.2.2.1</w:t>
      </w:r>
      <w:r w:rsidRPr="0009445C">
        <w:tab/>
        <w:t>PAH</w:t>
      </w:r>
    </w:p>
    <w:p w14:paraId="38BEE9EC" w14:textId="77777777" w:rsidR="00DE0321" w:rsidRPr="0009445C" w:rsidRDefault="00DE0321" w:rsidP="00DE0321">
      <w:pPr>
        <w:spacing w:line="260" w:lineRule="exact"/>
        <w:rPr>
          <w:szCs w:val="18"/>
        </w:rPr>
      </w:pPr>
      <w:r w:rsidRPr="0009445C">
        <w:t>For products that are delivered to the general public (consumer-related uses), the requirements in accordance with the REACH Regulation must be complied with; this also includes floor coverings and impact wall constructions for sports halls and lounges, even if these are only supplied to professional users and installed by them.</w:t>
      </w:r>
    </w:p>
    <w:p w14:paraId="0F20D6E2" w14:textId="77777777" w:rsidR="00DE0321" w:rsidRPr="0009445C" w:rsidRDefault="00DE0321" w:rsidP="00DE0321">
      <w:pPr>
        <w:rPr>
          <w:szCs w:val="18"/>
        </w:rPr>
      </w:pPr>
    </w:p>
    <w:p w14:paraId="79E04EE6" w14:textId="77777777" w:rsidR="00DE0321" w:rsidRPr="0009445C" w:rsidRDefault="00DE0321" w:rsidP="00DE0321">
      <w:pPr>
        <w:rPr>
          <w:szCs w:val="18"/>
        </w:rPr>
      </w:pPr>
      <w:r w:rsidRPr="0009445C">
        <w:t>For products referred to in Section 2.2.1, even without direct contact with the building user, which contain secondary raw materials made of rubber or raw materials with the use of plasticiser oils containing PAH or soot containing PAH, the content of benzo(a)pyrene (</w:t>
      </w:r>
      <w:proofErr w:type="spellStart"/>
      <w:r w:rsidRPr="0009445C">
        <w:t>BaP</w:t>
      </w:r>
      <w:proofErr w:type="spellEnd"/>
      <w:r w:rsidRPr="0009445C">
        <w:t>) as a guide substance and the content of 16 PAH (see Appendix 3) according to EPA (US-Environmental Protection Agency) shall not exceed the values set out in Table 3.</w:t>
      </w:r>
    </w:p>
    <w:p w14:paraId="2D3FD39A" w14:textId="77777777" w:rsidR="00DE0321" w:rsidRPr="0009445C" w:rsidRDefault="00DE0321" w:rsidP="00DE0321">
      <w:pPr>
        <w:spacing w:line="260" w:lineRule="exact"/>
      </w:pPr>
    </w:p>
    <w:p w14:paraId="04A59324" w14:textId="77777777" w:rsidR="00DE0321" w:rsidRPr="0009445C" w:rsidRDefault="00DE0321" w:rsidP="00DE0321">
      <w:pPr>
        <w:pStyle w:val="BRL-Standard"/>
      </w:pPr>
      <w:r w:rsidRPr="0009445C">
        <w:lastRenderedPageBreak/>
        <w:t xml:space="preserve">Analytical demonstration of PAHs shall be done for 16 PAHs based on the method of </w:t>
      </w:r>
      <w:proofErr w:type="spellStart"/>
      <w:r w:rsidRPr="0009445C">
        <w:t>AfPS</w:t>
      </w:r>
      <w:proofErr w:type="spellEnd"/>
      <w:r w:rsidRPr="0009445C">
        <w:t xml:space="preserve"> GS 2019:01</w:t>
      </w:r>
      <w:r w:rsidRPr="0009445C">
        <w:rPr>
          <w:rStyle w:val="FootnoteReference"/>
        </w:rPr>
        <w:footnoteReference w:id="51"/>
      </w:r>
      <w:r w:rsidRPr="0009445C">
        <w:t>.</w:t>
      </w:r>
    </w:p>
    <w:p w14:paraId="5F0A7789" w14:textId="77777777" w:rsidR="00DE0321" w:rsidRPr="0009445C" w:rsidRDefault="00DE0321" w:rsidP="00DE0321">
      <w:pPr>
        <w:pStyle w:val="BRL-Standard"/>
      </w:pPr>
    </w:p>
    <w:p w14:paraId="2F98AA19" w14:textId="77777777" w:rsidR="00DE0321" w:rsidRPr="0009445C" w:rsidRDefault="00DE0321" w:rsidP="00DE0321">
      <w:pPr>
        <w:pStyle w:val="BRL-Standard"/>
      </w:pPr>
      <w:r w:rsidRPr="0009445C">
        <w:t>Excluded from this are products which are used according to their installation situation and use, related to a possible release of particulate-bound PAH into the lounge. The long-term protective effect of such constructive measures shall be ensured by:</w:t>
      </w:r>
    </w:p>
    <w:p w14:paraId="0EC24712" w14:textId="77777777" w:rsidR="00DE0321" w:rsidRPr="0009445C" w:rsidRDefault="00DE0321" w:rsidP="00DE0321">
      <w:pPr>
        <w:pStyle w:val="BRL-Standard"/>
      </w:pPr>
    </w:p>
    <w:p w14:paraId="4E2D23AD" w14:textId="77777777" w:rsidR="00DE0321" w:rsidRPr="0009445C" w:rsidRDefault="00DE0321" w:rsidP="00DE0321">
      <w:pPr>
        <w:pStyle w:val="BRLAufzhlungAnstrich"/>
        <w:numPr>
          <w:ilvl w:val="0"/>
          <w:numId w:val="1"/>
        </w:numPr>
        <w:jc w:val="both"/>
      </w:pPr>
      <w:r w:rsidRPr="0009445C">
        <w:t>Use of diffusion seals as well as</w:t>
      </w:r>
    </w:p>
    <w:p w14:paraId="34BE8F25" w14:textId="77777777" w:rsidR="00DE0321" w:rsidRPr="0009445C" w:rsidRDefault="00DE0321" w:rsidP="00DE0321">
      <w:pPr>
        <w:pStyle w:val="BRLAufzhlungAnstrich"/>
        <w:numPr>
          <w:ilvl w:val="0"/>
          <w:numId w:val="1"/>
        </w:numPr>
        <w:jc w:val="both"/>
      </w:pPr>
      <w:r w:rsidRPr="0009445C">
        <w:t>Use under an effective cover layer made of other materials, e.g. seals such as screed coverings, in combination with foils and covers with edge seals in edge areas or floor coverings used over the entire surface</w:t>
      </w:r>
    </w:p>
    <w:p w14:paraId="0D865C7B" w14:textId="77777777" w:rsidR="00DE0321" w:rsidRPr="0009445C" w:rsidRDefault="00DE0321" w:rsidP="00DE0321">
      <w:pPr>
        <w:pStyle w:val="BRL-Standard"/>
      </w:pPr>
    </w:p>
    <w:p w14:paraId="76968C95" w14:textId="77777777" w:rsidR="00DE0321" w:rsidRPr="0009445C" w:rsidRDefault="00DE0321" w:rsidP="00DE0321">
      <w:pPr>
        <w:pStyle w:val="BRL-Standard"/>
      </w:pPr>
      <w:r w:rsidRPr="0009445C">
        <w:t>This regulation does not affect existing levels for pollutants, in particular according to the Closed Substance Cycle Act (</w:t>
      </w:r>
      <w:proofErr w:type="spellStart"/>
      <w:r w:rsidRPr="0009445C">
        <w:t>Kreislaufwirtschaftsgesetz</w:t>
      </w:r>
      <w:proofErr w:type="spellEnd"/>
      <w:r w:rsidRPr="0009445C">
        <w:t xml:space="preserve"> [</w:t>
      </w:r>
      <w:proofErr w:type="spellStart"/>
      <w:r w:rsidRPr="0009445C">
        <w:t>KrWG</w:t>
      </w:r>
      <w:proofErr w:type="spellEnd"/>
      <w:r w:rsidRPr="0009445C">
        <w:t>]) and Landfill Ordinance (</w:t>
      </w:r>
      <w:proofErr w:type="spellStart"/>
      <w:r w:rsidRPr="0009445C">
        <w:t>Deponieverordnung</w:t>
      </w:r>
      <w:proofErr w:type="spellEnd"/>
      <w:r w:rsidRPr="0009445C">
        <w:t xml:space="preserve"> [</w:t>
      </w:r>
      <w:proofErr w:type="spellStart"/>
      <w:r w:rsidRPr="0009445C">
        <w:t>DepV</w:t>
      </w:r>
      <w:proofErr w:type="spellEnd"/>
      <w:r w:rsidRPr="0009445C">
        <w:t>]).</w:t>
      </w:r>
    </w:p>
    <w:p w14:paraId="089C2F49" w14:textId="77777777" w:rsidR="00DE0321" w:rsidRPr="0009445C" w:rsidRDefault="00DE0321" w:rsidP="00DE0321">
      <w:pPr>
        <w:pStyle w:val="BRL-Standard"/>
      </w:pPr>
    </w:p>
    <w:p w14:paraId="6ACEC06F" w14:textId="77777777" w:rsidR="00DE0321" w:rsidRPr="0009445C" w:rsidRDefault="00DE0321" w:rsidP="00600F53">
      <w:pPr>
        <w:pStyle w:val="BRL-berschrift"/>
      </w:pPr>
      <w:r w:rsidRPr="0009445C">
        <w:t>2.2.2.2</w:t>
      </w:r>
      <w:r w:rsidRPr="0009445C">
        <w:tab/>
        <w:t>Nitrosamines</w:t>
      </w:r>
    </w:p>
    <w:p w14:paraId="18B95604" w14:textId="77777777" w:rsidR="00DE0321" w:rsidRPr="0009445C" w:rsidRDefault="00DE0321" w:rsidP="00DE0321">
      <w:pPr>
        <w:spacing w:line="260" w:lineRule="exact"/>
        <w:rPr>
          <w:szCs w:val="18"/>
        </w:rPr>
      </w:pPr>
      <w:r w:rsidRPr="0009445C">
        <w:t>For products pursuant to Section 2.2.1 that contain vulcanised or unvulcanised rubber with nitrosamine release agents and/or recycled rubber, the content of nitrosamines as given in Table 3 shall not be exceeded.</w:t>
      </w:r>
    </w:p>
    <w:p w14:paraId="19259C51" w14:textId="77777777" w:rsidR="00DE0321" w:rsidRPr="0009445C" w:rsidRDefault="00DE0321" w:rsidP="00DE0321">
      <w:pPr>
        <w:spacing w:line="260" w:lineRule="exact"/>
        <w:rPr>
          <w:szCs w:val="18"/>
        </w:rPr>
      </w:pPr>
    </w:p>
    <w:p w14:paraId="52EA8021" w14:textId="77777777" w:rsidR="00DE0321" w:rsidRPr="0009445C" w:rsidRDefault="00DE0321" w:rsidP="00DE0321">
      <w:pPr>
        <w:rPr>
          <w:szCs w:val="18"/>
        </w:rPr>
      </w:pPr>
      <w:r w:rsidRPr="0009445C">
        <w:t>Analytical determination of nitrosamine (pursuant to TRGS 552) is done in line with the DIK method (</w:t>
      </w:r>
      <w:proofErr w:type="spellStart"/>
      <w:r w:rsidRPr="0009445C">
        <w:t>Deutsches</w:t>
      </w:r>
      <w:proofErr w:type="spellEnd"/>
      <w:r w:rsidRPr="0009445C">
        <w:t xml:space="preserve"> </w:t>
      </w:r>
      <w:proofErr w:type="spellStart"/>
      <w:r w:rsidRPr="0009445C">
        <w:t>Institut</w:t>
      </w:r>
      <w:proofErr w:type="spellEnd"/>
      <w:r w:rsidRPr="0009445C">
        <w:t xml:space="preserve"> für </w:t>
      </w:r>
      <w:proofErr w:type="spellStart"/>
      <w:r w:rsidRPr="0009445C">
        <w:t>Kautschuktechnologie</w:t>
      </w:r>
      <w:proofErr w:type="spellEnd"/>
      <w:r w:rsidRPr="0009445C">
        <w:t xml:space="preserve"> </w:t>
      </w:r>
      <w:proofErr w:type="spellStart"/>
      <w:r w:rsidRPr="0009445C">
        <w:t>e.V.</w:t>
      </w:r>
      <w:proofErr w:type="spellEnd"/>
      <w:r w:rsidRPr="0009445C">
        <w:t xml:space="preserve"> [German Institute of Rubber Technology]), published in ‘</w:t>
      </w:r>
      <w:proofErr w:type="spellStart"/>
      <w:r w:rsidRPr="0009445C">
        <w:t>Kautschuk</w:t>
      </w:r>
      <w:proofErr w:type="spellEnd"/>
      <w:r w:rsidRPr="0009445C">
        <w:t xml:space="preserve"> Gummi </w:t>
      </w:r>
      <w:proofErr w:type="spellStart"/>
      <w:r w:rsidRPr="0009445C">
        <w:t>Kunststoffe</w:t>
      </w:r>
      <w:proofErr w:type="spellEnd"/>
      <w:r w:rsidRPr="0009445C">
        <w:t>’, No 6/91, pp. 514-521).</w:t>
      </w:r>
    </w:p>
    <w:p w14:paraId="09424E61" w14:textId="77777777" w:rsidR="00DE0321" w:rsidRPr="0009445C" w:rsidRDefault="00DE0321" w:rsidP="00DE0321"/>
    <w:p w14:paraId="4FC5914A" w14:textId="77777777" w:rsidR="00DE0321" w:rsidRPr="0009445C" w:rsidRDefault="00DE0321" w:rsidP="00600F53">
      <w:pPr>
        <w:pStyle w:val="BRL-Tabelleberschrift"/>
      </w:pPr>
      <w:r w:rsidRPr="0009445C">
        <w:t>Table 3:</w:t>
      </w:r>
      <w:r w:rsidRPr="0009445C">
        <w:tab/>
        <w:t>Salary requirements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693"/>
        <w:gridCol w:w="3402"/>
      </w:tblGrid>
      <w:tr w:rsidR="00DE0321" w:rsidRPr="0009445C" w14:paraId="1B18BB18" w14:textId="77777777" w:rsidTr="00B409DD">
        <w:trPr>
          <w:trHeight w:val="420"/>
        </w:trPr>
        <w:tc>
          <w:tcPr>
            <w:tcW w:w="1682" w:type="pct"/>
            <w:shd w:val="clear" w:color="auto" w:fill="auto"/>
            <w:vAlign w:val="center"/>
          </w:tcPr>
          <w:p w14:paraId="6963AA9B" w14:textId="77777777" w:rsidR="00DE0321" w:rsidRPr="0009445C" w:rsidRDefault="00DE0321" w:rsidP="00600F53">
            <w:pPr>
              <w:pStyle w:val="BRL-Tabelleberschrift1Zeile"/>
            </w:pPr>
            <w:r w:rsidRPr="0009445C">
              <w:t>Material/material group</w:t>
            </w:r>
          </w:p>
        </w:tc>
        <w:tc>
          <w:tcPr>
            <w:tcW w:w="1466" w:type="pct"/>
            <w:shd w:val="clear" w:color="auto" w:fill="auto"/>
            <w:vAlign w:val="center"/>
          </w:tcPr>
          <w:p w14:paraId="2F94FDA3" w14:textId="77777777" w:rsidR="00DE0321" w:rsidRPr="0009445C" w:rsidRDefault="00DE0321" w:rsidP="00600F53">
            <w:pPr>
              <w:pStyle w:val="BRL-Tabelleberschrift1Zeile"/>
            </w:pPr>
            <w:r w:rsidRPr="0009445C">
              <w:t>Content [mg/kg]</w:t>
            </w:r>
          </w:p>
        </w:tc>
        <w:tc>
          <w:tcPr>
            <w:tcW w:w="1852" w:type="pct"/>
            <w:shd w:val="clear" w:color="auto" w:fill="auto"/>
            <w:vAlign w:val="center"/>
          </w:tcPr>
          <w:p w14:paraId="01D31D53" w14:textId="77777777" w:rsidR="00DE0321" w:rsidRPr="0009445C" w:rsidRDefault="00DE0321" w:rsidP="00600F53">
            <w:pPr>
              <w:pStyle w:val="BRL-Tabelleberschrift1Zeile"/>
            </w:pPr>
            <w:r w:rsidRPr="0009445C">
              <w:t>Section of ABG</w:t>
            </w:r>
          </w:p>
        </w:tc>
      </w:tr>
      <w:tr w:rsidR="00DE0321" w:rsidRPr="0009445C" w14:paraId="67415FC9" w14:textId="77777777" w:rsidTr="00B409DD">
        <w:trPr>
          <w:trHeight w:val="420"/>
        </w:trPr>
        <w:tc>
          <w:tcPr>
            <w:tcW w:w="1682" w:type="pct"/>
            <w:shd w:val="clear" w:color="auto" w:fill="auto"/>
            <w:vAlign w:val="center"/>
          </w:tcPr>
          <w:p w14:paraId="1ECE3534" w14:textId="77777777" w:rsidR="00DE0321" w:rsidRPr="0009445C" w:rsidRDefault="00DE0321" w:rsidP="00B409DD">
            <w:pPr>
              <w:pStyle w:val="BRL-Tabelle"/>
            </w:pPr>
            <w:r w:rsidRPr="0009445C">
              <w:t>B(a)P</w:t>
            </w:r>
            <w:bookmarkStart w:id="42" w:name="_Ref77328275"/>
            <w:r w:rsidRPr="0009445C">
              <w:rPr>
                <w:rStyle w:val="FootnoteReference"/>
              </w:rPr>
              <w:footnoteReference w:id="52"/>
            </w:r>
            <w:bookmarkEnd w:id="42"/>
          </w:p>
        </w:tc>
        <w:tc>
          <w:tcPr>
            <w:tcW w:w="1466" w:type="pct"/>
            <w:shd w:val="clear" w:color="auto" w:fill="auto"/>
            <w:vAlign w:val="center"/>
          </w:tcPr>
          <w:p w14:paraId="67DBE02F" w14:textId="77777777" w:rsidR="00DE0321" w:rsidRPr="0009445C" w:rsidRDefault="00DE0321" w:rsidP="00B409DD">
            <w:pPr>
              <w:pStyle w:val="BRL-Tabelle"/>
            </w:pPr>
            <w:r w:rsidRPr="0009445C">
              <w:t>≤ 5</w:t>
            </w:r>
          </w:p>
        </w:tc>
        <w:tc>
          <w:tcPr>
            <w:tcW w:w="1852" w:type="pct"/>
            <w:shd w:val="clear" w:color="auto" w:fill="auto"/>
            <w:vAlign w:val="center"/>
          </w:tcPr>
          <w:p w14:paraId="7934522C" w14:textId="77777777" w:rsidR="00DE0321" w:rsidRPr="0009445C" w:rsidRDefault="00DE0321" w:rsidP="00B409DD">
            <w:pPr>
              <w:pStyle w:val="BRL-Tabelle"/>
            </w:pPr>
            <w:r w:rsidRPr="0009445C">
              <w:t>2.2.2.1</w:t>
            </w:r>
          </w:p>
        </w:tc>
      </w:tr>
      <w:tr w:rsidR="00DE0321" w:rsidRPr="0009445C" w14:paraId="48682C48" w14:textId="77777777" w:rsidTr="00B409DD">
        <w:trPr>
          <w:trHeight w:val="420"/>
        </w:trPr>
        <w:tc>
          <w:tcPr>
            <w:tcW w:w="1682" w:type="pct"/>
            <w:tcBorders>
              <w:bottom w:val="single" w:sz="4" w:space="0" w:color="auto"/>
            </w:tcBorders>
            <w:shd w:val="clear" w:color="auto" w:fill="auto"/>
            <w:vAlign w:val="center"/>
          </w:tcPr>
          <w:p w14:paraId="5204A152" w14:textId="093222C4" w:rsidR="00DE0321" w:rsidRPr="0009445C" w:rsidRDefault="00DE0321" w:rsidP="00B409DD">
            <w:pPr>
              <w:pStyle w:val="BRL-Tabelle"/>
            </w:pPr>
            <w:r w:rsidRPr="0009445C">
              <w:t>16 PAH</w:t>
            </w:r>
            <w:r w:rsidRPr="0009445C">
              <w:rPr>
                <w:rStyle w:val="FootnoteReference"/>
              </w:rPr>
              <w:fldChar w:fldCharType="begin"/>
            </w:r>
            <w:r w:rsidRPr="0009445C">
              <w:rPr>
                <w:rStyle w:val="FootnoteReference"/>
              </w:rPr>
              <w:instrText xml:space="preserve"> NOTEREF _Ref77328275 \h  \* MERGEFORMAT </w:instrText>
            </w:r>
            <w:r w:rsidRPr="0009445C">
              <w:rPr>
                <w:rStyle w:val="FootnoteReference"/>
              </w:rPr>
            </w:r>
            <w:r w:rsidRPr="0009445C">
              <w:rPr>
                <w:rStyle w:val="FootnoteReference"/>
              </w:rPr>
              <w:fldChar w:fldCharType="separate"/>
            </w:r>
            <w:r w:rsidR="0009445C" w:rsidRPr="0009445C">
              <w:rPr>
                <w:rStyle w:val="FootnoteReference"/>
              </w:rPr>
              <w:t>10</w:t>
            </w:r>
            <w:r w:rsidRPr="0009445C">
              <w:rPr>
                <w:rStyle w:val="FootnoteReference"/>
              </w:rPr>
              <w:fldChar w:fldCharType="end"/>
            </w:r>
          </w:p>
        </w:tc>
        <w:tc>
          <w:tcPr>
            <w:tcW w:w="1466" w:type="pct"/>
            <w:tcBorders>
              <w:bottom w:val="single" w:sz="4" w:space="0" w:color="auto"/>
            </w:tcBorders>
            <w:shd w:val="clear" w:color="auto" w:fill="auto"/>
            <w:vAlign w:val="center"/>
          </w:tcPr>
          <w:p w14:paraId="16ADB7EF" w14:textId="77777777" w:rsidR="00DE0321" w:rsidRPr="0009445C" w:rsidRDefault="00DE0321" w:rsidP="00B409DD">
            <w:pPr>
              <w:pStyle w:val="BRL-Tabelle"/>
            </w:pPr>
            <w:r w:rsidRPr="0009445C">
              <w:t>≤ 50</w:t>
            </w:r>
          </w:p>
        </w:tc>
        <w:tc>
          <w:tcPr>
            <w:tcW w:w="1852" w:type="pct"/>
            <w:tcBorders>
              <w:bottom w:val="single" w:sz="4" w:space="0" w:color="auto"/>
            </w:tcBorders>
            <w:shd w:val="clear" w:color="auto" w:fill="auto"/>
            <w:vAlign w:val="center"/>
          </w:tcPr>
          <w:p w14:paraId="217609F1" w14:textId="77777777" w:rsidR="00DE0321" w:rsidRPr="0009445C" w:rsidRDefault="00DE0321" w:rsidP="00B409DD">
            <w:pPr>
              <w:pStyle w:val="BRL-Tabelle"/>
            </w:pPr>
            <w:r w:rsidRPr="0009445C">
              <w:t>2.2.2.1</w:t>
            </w:r>
          </w:p>
        </w:tc>
      </w:tr>
      <w:tr w:rsidR="00DE0321" w:rsidRPr="0009445C" w14:paraId="3B24F801" w14:textId="77777777" w:rsidTr="00B409DD">
        <w:trPr>
          <w:trHeight w:val="420"/>
        </w:trPr>
        <w:tc>
          <w:tcPr>
            <w:tcW w:w="1682" w:type="pct"/>
            <w:tcBorders>
              <w:bottom w:val="single" w:sz="4" w:space="0" w:color="auto"/>
            </w:tcBorders>
            <w:shd w:val="clear" w:color="auto" w:fill="auto"/>
            <w:vAlign w:val="center"/>
          </w:tcPr>
          <w:p w14:paraId="5F7795CE" w14:textId="1DDE2993" w:rsidR="00DE0321" w:rsidRPr="0009445C" w:rsidRDefault="00DE0321" w:rsidP="00B409DD">
            <w:pPr>
              <w:pStyle w:val="BRL-Tabelle"/>
            </w:pPr>
            <w:r w:rsidRPr="0009445C">
              <w:t>Nitrosamines</w:t>
            </w:r>
            <w:r w:rsidRPr="0009445C">
              <w:rPr>
                <w:rStyle w:val="FootnoteReference"/>
              </w:rPr>
              <w:fldChar w:fldCharType="begin"/>
            </w:r>
            <w:r w:rsidRPr="0009445C">
              <w:rPr>
                <w:rStyle w:val="FootnoteReference"/>
              </w:rPr>
              <w:instrText xml:space="preserve"> NOTEREF _Ref77328324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8</w:t>
            </w:r>
            <w:r w:rsidRPr="0009445C">
              <w:rPr>
                <w:rStyle w:val="FootnoteReference"/>
              </w:rPr>
              <w:fldChar w:fldCharType="end"/>
            </w:r>
          </w:p>
        </w:tc>
        <w:tc>
          <w:tcPr>
            <w:tcW w:w="1466" w:type="pct"/>
            <w:tcBorders>
              <w:bottom w:val="single" w:sz="4" w:space="0" w:color="auto"/>
            </w:tcBorders>
            <w:shd w:val="clear" w:color="auto" w:fill="auto"/>
            <w:vAlign w:val="center"/>
          </w:tcPr>
          <w:p w14:paraId="09BADCE7" w14:textId="77777777" w:rsidR="00DE0321" w:rsidRPr="0009445C" w:rsidRDefault="00DE0321" w:rsidP="00B409DD">
            <w:pPr>
              <w:pStyle w:val="BRL-Tabelle"/>
            </w:pPr>
            <w:r w:rsidRPr="0009445C">
              <w:t>≤ 0.011</w:t>
            </w:r>
          </w:p>
        </w:tc>
        <w:tc>
          <w:tcPr>
            <w:tcW w:w="1852" w:type="pct"/>
            <w:tcBorders>
              <w:bottom w:val="single" w:sz="4" w:space="0" w:color="auto"/>
            </w:tcBorders>
            <w:shd w:val="clear" w:color="auto" w:fill="auto"/>
            <w:vAlign w:val="center"/>
          </w:tcPr>
          <w:p w14:paraId="60B92DF5" w14:textId="77777777" w:rsidR="00DE0321" w:rsidRPr="0009445C" w:rsidRDefault="00DE0321" w:rsidP="00B409DD">
            <w:pPr>
              <w:pStyle w:val="BRL-Tabelle"/>
            </w:pPr>
            <w:r w:rsidRPr="0009445C">
              <w:t>2.2.2.2</w:t>
            </w:r>
          </w:p>
        </w:tc>
      </w:tr>
    </w:tbl>
    <w:p w14:paraId="144B1CB3" w14:textId="77777777" w:rsidR="00DE0321" w:rsidRPr="0009445C" w:rsidRDefault="00DE0321" w:rsidP="00DE0321">
      <w:pPr>
        <w:sectPr w:rsidR="00DE0321" w:rsidRPr="0009445C" w:rsidSect="00B409DD">
          <w:headerReference w:type="default" r:id="rId86"/>
          <w:headerReference w:type="first" r:id="rId87"/>
          <w:footerReference w:type="first" r:id="rId88"/>
          <w:footnotePr>
            <w:numRestart w:val="eachSect"/>
          </w:footnotePr>
          <w:pgSz w:w="11906" w:h="16838" w:code="9"/>
          <w:pgMar w:top="1134" w:right="1418" w:bottom="1134" w:left="1418" w:header="709" w:footer="652" w:gutter="0"/>
          <w:cols w:space="708"/>
          <w:docGrid w:linePitch="360"/>
        </w:sectPr>
      </w:pPr>
    </w:p>
    <w:p w14:paraId="2098CCCE" w14:textId="77777777" w:rsidR="00DE0321" w:rsidRPr="0009445C" w:rsidRDefault="00DE0321" w:rsidP="00DE0321">
      <w:pPr>
        <w:rPr>
          <w:b/>
        </w:rPr>
      </w:pPr>
      <w:r w:rsidRPr="0009445C">
        <w:rPr>
          <w:b/>
        </w:rPr>
        <w:lastRenderedPageBreak/>
        <w:t>Annex 1 – References</w:t>
      </w:r>
    </w:p>
    <w:p w14:paraId="20F5C325" w14:textId="77777777" w:rsidR="00DE0321" w:rsidRPr="0009445C" w:rsidRDefault="00DE0321" w:rsidP="00DE0321"/>
    <w:p w14:paraId="0F4C20C9" w14:textId="77777777" w:rsidR="00DE0321" w:rsidRPr="0009445C" w:rsidRDefault="00DE0321" w:rsidP="00DE0321">
      <w:pPr>
        <w:tabs>
          <w:tab w:val="left" w:pos="3261"/>
        </w:tabs>
        <w:ind w:left="3261" w:hanging="3261"/>
        <w:rPr>
          <w:rStyle w:val="BRL-StandardZchn"/>
        </w:rPr>
      </w:pPr>
      <w:r w:rsidRPr="0009445C">
        <w:rPr>
          <w:rStyle w:val="BRL-StandardZchn"/>
        </w:rPr>
        <w:t>DIN EN 16516: 2020-10</w:t>
      </w:r>
      <w:r w:rsidRPr="0009445C">
        <w:rPr>
          <w:rStyle w:val="BRL-StandardZchn"/>
        </w:rPr>
        <w:tab/>
        <w:t>Construction products: Assessment of release of dangerous substances - Determination of emissions into indoor air; German version EN 16516:2017</w:t>
      </w:r>
    </w:p>
    <w:p w14:paraId="7692774A" w14:textId="77777777" w:rsidR="00DE0321" w:rsidRPr="0009445C" w:rsidRDefault="00DE0321" w:rsidP="00DE0321">
      <w:pPr>
        <w:tabs>
          <w:tab w:val="left" w:pos="3261"/>
        </w:tabs>
        <w:ind w:left="3261" w:hanging="3261"/>
      </w:pPr>
    </w:p>
    <w:p w14:paraId="6BF73B88" w14:textId="77777777" w:rsidR="00DE0321" w:rsidRPr="0009445C" w:rsidRDefault="00DE0321" w:rsidP="00DE0321">
      <w:pPr>
        <w:spacing w:line="260" w:lineRule="exact"/>
        <w:ind w:left="3261" w:hanging="3261"/>
      </w:pPr>
      <w:r w:rsidRPr="0009445C">
        <w:t>DIN ISO 18287:2006-05</w:t>
      </w:r>
      <w:r w:rsidRPr="0009445C">
        <w:tab/>
        <w:t>Soil quality - Determination of polycyclic aromatic hydrocarbons (PAH) - Gas chromatographic method with mass spectrometric detection (GC-MS)</w:t>
      </w:r>
    </w:p>
    <w:p w14:paraId="06B3AEBF" w14:textId="77777777" w:rsidR="00DE0321" w:rsidRPr="0009445C" w:rsidRDefault="00DE0321" w:rsidP="00DE0321">
      <w:pPr>
        <w:spacing w:line="260" w:lineRule="exact"/>
        <w:ind w:left="3261" w:hanging="3261"/>
      </w:pPr>
    </w:p>
    <w:p w14:paraId="36437CE0" w14:textId="77777777" w:rsidR="00DE0321" w:rsidRPr="0009445C" w:rsidRDefault="00DE0321" w:rsidP="00DE0321">
      <w:pPr>
        <w:spacing w:line="260" w:lineRule="exact"/>
        <w:ind w:left="3261" w:hanging="3261"/>
      </w:pPr>
      <w:r w:rsidRPr="0009445C">
        <w:t>TRGS 552</w:t>
      </w:r>
      <w:r w:rsidRPr="0009445C">
        <w:tab/>
        <w:t xml:space="preserve">Technical Rule for hazardous substance 'N-nitrosamines'; GMBI 2018 </w:t>
      </w:r>
      <w:r w:rsidRPr="0009445C">
        <w:br/>
        <w:t>PP 913-934</w:t>
      </w:r>
    </w:p>
    <w:p w14:paraId="561A6CA6" w14:textId="77777777" w:rsidR="00DE0321" w:rsidRPr="0009445C" w:rsidRDefault="00DE0321" w:rsidP="00DE0321">
      <w:pPr>
        <w:spacing w:line="260" w:lineRule="exact"/>
        <w:ind w:left="3261" w:hanging="3261"/>
      </w:pPr>
    </w:p>
    <w:p w14:paraId="4EC6FCE3" w14:textId="77777777" w:rsidR="00DE0321" w:rsidRPr="0009445C" w:rsidRDefault="00DE0321" w:rsidP="00DE0321">
      <w:pPr>
        <w:spacing w:line="260" w:lineRule="exact"/>
        <w:ind w:left="3261" w:hanging="3261"/>
      </w:pPr>
      <w:r w:rsidRPr="0009445C">
        <w:t>DIK process specification</w:t>
      </w:r>
      <w:r w:rsidRPr="0009445C">
        <w:tab/>
        <w:t>DIK (</w:t>
      </w:r>
      <w:proofErr w:type="spellStart"/>
      <w:r w:rsidRPr="0009445C">
        <w:t>Deutsches</w:t>
      </w:r>
      <w:proofErr w:type="spellEnd"/>
      <w:r w:rsidRPr="0009445C">
        <w:t xml:space="preserve"> </w:t>
      </w:r>
      <w:proofErr w:type="spellStart"/>
      <w:r w:rsidRPr="0009445C">
        <w:t>Institut</w:t>
      </w:r>
      <w:proofErr w:type="spellEnd"/>
      <w:r w:rsidRPr="0009445C">
        <w:t xml:space="preserve"> für </w:t>
      </w:r>
      <w:proofErr w:type="spellStart"/>
      <w:r w:rsidRPr="0009445C">
        <w:t>Kautschuktechnologie</w:t>
      </w:r>
      <w:proofErr w:type="spellEnd"/>
      <w:r w:rsidRPr="0009445C">
        <w:t> </w:t>
      </w:r>
      <w:proofErr w:type="spellStart"/>
      <w:r w:rsidRPr="0009445C">
        <w:t>e.V.</w:t>
      </w:r>
      <w:proofErr w:type="spellEnd"/>
      <w:r w:rsidRPr="0009445C">
        <w:t xml:space="preserve"> [German Institute of Rubber Technology]), ‘Methods to determine N</w:t>
      </w:r>
      <w:r w:rsidRPr="0009445C">
        <w:noBreakHyphen/>
        <w:t xml:space="preserve">nitrosamines in air, </w:t>
      </w:r>
      <w:proofErr w:type="spellStart"/>
      <w:r w:rsidRPr="0009445C">
        <w:t>vulcanisates</w:t>
      </w:r>
      <w:proofErr w:type="spellEnd"/>
      <w:r w:rsidRPr="0009445C">
        <w:t xml:space="preserve"> and vulcanisation vapours’, </w:t>
      </w:r>
      <w:proofErr w:type="spellStart"/>
      <w:r w:rsidRPr="0009445C">
        <w:t>Liekefeld</w:t>
      </w:r>
      <w:proofErr w:type="spellEnd"/>
      <w:r w:rsidRPr="0009445C">
        <w:t xml:space="preserve"> et. al., published in </w:t>
      </w:r>
      <w:proofErr w:type="spellStart"/>
      <w:r w:rsidRPr="0009445C">
        <w:t>Kautschuk</w:t>
      </w:r>
      <w:proofErr w:type="spellEnd"/>
      <w:r w:rsidRPr="0009445C">
        <w:t xml:space="preserve"> Gummi </w:t>
      </w:r>
      <w:proofErr w:type="spellStart"/>
      <w:r w:rsidRPr="0009445C">
        <w:t>Kunststoffe</w:t>
      </w:r>
      <w:proofErr w:type="spellEnd"/>
      <w:r w:rsidRPr="0009445C">
        <w:t>, point 6/91, pp. 514-521).</w:t>
      </w:r>
    </w:p>
    <w:p w14:paraId="42E06F79" w14:textId="77777777" w:rsidR="00DE0321" w:rsidRPr="0009445C" w:rsidRDefault="00DE0321" w:rsidP="00DE0321">
      <w:pPr>
        <w:spacing w:line="260" w:lineRule="exact"/>
        <w:ind w:left="3261" w:hanging="3261"/>
      </w:pPr>
    </w:p>
    <w:p w14:paraId="37215B16" w14:textId="77777777" w:rsidR="00DE0321" w:rsidRPr="0009445C" w:rsidRDefault="00DE0321" w:rsidP="00DE0321">
      <w:pPr>
        <w:spacing w:line="260" w:lineRule="exact"/>
        <w:ind w:left="3261" w:hanging="3261"/>
      </w:pPr>
      <w:r w:rsidRPr="0009445C">
        <w:t>AFPs GS 2019:01 PAH</w:t>
      </w:r>
      <w:r w:rsidRPr="0009445C">
        <w:tab/>
        <w:t>GS specification 'Testing and evaluation of polycyclic aromatic hydrocarbons (PAHs) when awarding the GS</w:t>
      </w:r>
      <w:r w:rsidRPr="0009445C">
        <w:noBreakHyphen/>
        <w:t xml:space="preserve"> mark of the Committee on Product Safety (</w:t>
      </w:r>
      <w:proofErr w:type="spellStart"/>
      <w:r w:rsidRPr="0009445C">
        <w:t>AfPS</w:t>
      </w:r>
      <w:proofErr w:type="spellEnd"/>
      <w:r w:rsidRPr="0009445C">
        <w:t>); Annex Test instruction Harmonised method for the determination of polycyclic aromatic hydrocarbons (PAHs) in polymers</w:t>
      </w:r>
    </w:p>
    <w:p w14:paraId="15B02493" w14:textId="77777777" w:rsidR="00DE0321" w:rsidRPr="0009445C" w:rsidRDefault="00DE0321" w:rsidP="00DE0321">
      <w:pPr>
        <w:spacing w:line="260" w:lineRule="exact"/>
        <w:ind w:left="3261" w:hanging="3261"/>
      </w:pPr>
    </w:p>
    <w:p w14:paraId="2177DD1E" w14:textId="77777777" w:rsidR="00DE0321" w:rsidRPr="0009445C" w:rsidRDefault="00DE0321" w:rsidP="00DE0321">
      <w:pPr>
        <w:spacing w:line="260" w:lineRule="exact"/>
        <w:ind w:left="3261" w:hanging="3261"/>
      </w:pPr>
      <w:r w:rsidRPr="0009445C">
        <w:t>DGUV information 213-523</w:t>
      </w:r>
      <w:r w:rsidRPr="0009445C">
        <w:tab/>
        <w:t>Analytical methods for the determination of N-nitrosamines</w:t>
      </w:r>
    </w:p>
    <w:p w14:paraId="0E6A86D7" w14:textId="77777777" w:rsidR="00DE0321" w:rsidRPr="0009445C" w:rsidRDefault="00DE0321" w:rsidP="00DE0321"/>
    <w:p w14:paraId="27C3AFC3" w14:textId="77777777" w:rsidR="00DE0321" w:rsidRPr="0009445C" w:rsidRDefault="00DE0321" w:rsidP="00DE0321">
      <w:pPr>
        <w:sectPr w:rsidR="00DE0321" w:rsidRPr="0009445C" w:rsidSect="00B409DD">
          <w:footerReference w:type="first" r:id="rId89"/>
          <w:pgSz w:w="11906" w:h="16838" w:code="9"/>
          <w:pgMar w:top="1134" w:right="1418" w:bottom="1134" w:left="1418" w:header="709" w:footer="652" w:gutter="0"/>
          <w:cols w:space="708"/>
          <w:titlePg/>
          <w:docGrid w:linePitch="360"/>
        </w:sectPr>
      </w:pPr>
    </w:p>
    <w:p w14:paraId="193A9486" w14:textId="77777777" w:rsidR="00DE0321" w:rsidRPr="0009445C" w:rsidRDefault="00DE0321" w:rsidP="00DE0321">
      <w:pPr>
        <w:rPr>
          <w:b/>
        </w:rPr>
      </w:pPr>
      <w:r w:rsidRPr="0009445C">
        <w:rPr>
          <w:b/>
        </w:rPr>
        <w:lastRenderedPageBreak/>
        <w:t>Annex 2 – LCI</w:t>
      </w:r>
      <w:r w:rsidRPr="0009445C">
        <w:rPr>
          <w:b/>
        </w:rPr>
        <w:noBreakHyphen/>
        <w:t>values (target compounds)</w:t>
      </w:r>
    </w:p>
    <w:p w14:paraId="7760937F" w14:textId="77777777" w:rsidR="00DE0321" w:rsidRPr="0009445C" w:rsidRDefault="00DE0321" w:rsidP="00DE0321">
      <w:pPr>
        <w:pStyle w:val="BRL-Standard"/>
        <w:widowControl w:val="0"/>
      </w:pPr>
      <w:r w:rsidRPr="0009445C">
        <w:t xml:space="preserve">The LCI values in force pursuant to building legislation are listed in Table 4. </w:t>
      </w:r>
    </w:p>
    <w:p w14:paraId="4F075F87" w14:textId="77777777" w:rsidR="00DE0321" w:rsidRPr="0009445C" w:rsidRDefault="00DE0321" w:rsidP="00DE0321">
      <w:pPr>
        <w:widowControl w:val="0"/>
      </w:pPr>
    </w:p>
    <w:p w14:paraId="68E8A990" w14:textId="77777777" w:rsidR="00DE0321" w:rsidRPr="0009445C" w:rsidRDefault="00DE0321" w:rsidP="00600F53">
      <w:pPr>
        <w:pStyle w:val="BRL-berschrift"/>
      </w:pPr>
      <w:r w:rsidRPr="0009445C">
        <w:t>Table 4:</w:t>
      </w:r>
      <w:r w:rsidRPr="0009445C">
        <w:tab/>
        <w:t>LCI values list 2020</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3"/>
        <w:gridCol w:w="2679"/>
        <w:gridCol w:w="1277"/>
        <w:gridCol w:w="993"/>
        <w:gridCol w:w="3265"/>
      </w:tblGrid>
      <w:tr w:rsidR="00DE0321" w:rsidRPr="0009445C" w14:paraId="5D7F81A3" w14:textId="77777777" w:rsidTr="00B409DD">
        <w:trPr>
          <w:cantSplit/>
          <w:trHeight w:val="510"/>
          <w:tblHeader/>
        </w:trPr>
        <w:tc>
          <w:tcPr>
            <w:tcW w:w="850" w:type="dxa"/>
            <w:shd w:val="clear" w:color="auto" w:fill="auto"/>
          </w:tcPr>
          <w:p w14:paraId="40BDEC41" w14:textId="77777777" w:rsidR="00DE0321" w:rsidRPr="0009445C" w:rsidRDefault="00DE0321" w:rsidP="00600F53">
            <w:pPr>
              <w:pStyle w:val="BRL-berschrift"/>
            </w:pPr>
          </w:p>
        </w:tc>
        <w:tc>
          <w:tcPr>
            <w:tcW w:w="2692" w:type="dxa"/>
            <w:gridSpan w:val="2"/>
            <w:shd w:val="clear" w:color="auto" w:fill="auto"/>
          </w:tcPr>
          <w:p w14:paraId="511D4584" w14:textId="77777777" w:rsidR="00DE0321" w:rsidRPr="0009445C" w:rsidRDefault="00DE0321" w:rsidP="00600F53">
            <w:pPr>
              <w:pStyle w:val="BRL-berschrift"/>
            </w:pPr>
            <w:r w:rsidRPr="0009445C">
              <w:t xml:space="preserve">Substance </w:t>
            </w:r>
          </w:p>
        </w:tc>
        <w:tc>
          <w:tcPr>
            <w:tcW w:w="1277" w:type="dxa"/>
            <w:shd w:val="clear" w:color="auto" w:fill="auto"/>
          </w:tcPr>
          <w:p w14:paraId="6B00B2DD" w14:textId="77777777" w:rsidR="00DE0321" w:rsidRPr="0009445C" w:rsidRDefault="00DE0321" w:rsidP="00600F53">
            <w:pPr>
              <w:pStyle w:val="BRL-berschrift"/>
            </w:pPr>
            <w:r w:rsidRPr="0009445C">
              <w:t>CAS Number</w:t>
            </w:r>
          </w:p>
        </w:tc>
        <w:tc>
          <w:tcPr>
            <w:tcW w:w="993" w:type="dxa"/>
            <w:shd w:val="clear" w:color="auto" w:fill="auto"/>
          </w:tcPr>
          <w:p w14:paraId="14DAC74B" w14:textId="77777777" w:rsidR="00DE0321" w:rsidRPr="0009445C" w:rsidRDefault="00DE0321" w:rsidP="00600F53">
            <w:pPr>
              <w:pStyle w:val="BRL-berschrift"/>
            </w:pPr>
            <w:r w:rsidRPr="0009445C">
              <w:t>LCI [µg/m³]</w:t>
            </w:r>
          </w:p>
        </w:tc>
        <w:tc>
          <w:tcPr>
            <w:tcW w:w="3265" w:type="dxa"/>
            <w:shd w:val="clear" w:color="auto" w:fill="auto"/>
          </w:tcPr>
          <w:p w14:paraId="281C373A" w14:textId="77777777" w:rsidR="00DE0321" w:rsidRPr="0009445C" w:rsidRDefault="00DE0321" w:rsidP="00600F53">
            <w:pPr>
              <w:pStyle w:val="BRL-berschrift"/>
            </w:pPr>
            <w:r w:rsidRPr="0009445C">
              <w:t xml:space="preserve">Comments </w:t>
            </w:r>
          </w:p>
        </w:tc>
      </w:tr>
      <w:tr w:rsidR="00DE0321" w:rsidRPr="0009445C" w14:paraId="59560598" w14:textId="77777777" w:rsidTr="00B409DD">
        <w:trPr>
          <w:cantSplit/>
          <w:trHeight w:val="283"/>
        </w:trPr>
        <w:tc>
          <w:tcPr>
            <w:tcW w:w="850" w:type="dxa"/>
            <w:shd w:val="clear" w:color="auto" w:fill="auto"/>
          </w:tcPr>
          <w:p w14:paraId="7F9D34AF" w14:textId="77777777" w:rsidR="00DE0321" w:rsidRPr="0009445C" w:rsidRDefault="00DE0321" w:rsidP="00B409DD">
            <w:pPr>
              <w:pStyle w:val="BRL-TabelleAnlageberschriftFett"/>
              <w:spacing w:before="60" w:after="40"/>
              <w:jc w:val="center"/>
            </w:pPr>
            <w:r w:rsidRPr="0009445C">
              <w:t>1</w:t>
            </w:r>
          </w:p>
        </w:tc>
        <w:tc>
          <w:tcPr>
            <w:tcW w:w="8227" w:type="dxa"/>
            <w:gridSpan w:val="5"/>
            <w:shd w:val="clear" w:color="auto" w:fill="auto"/>
          </w:tcPr>
          <w:p w14:paraId="4CFB220C" w14:textId="77777777" w:rsidR="00DE0321" w:rsidRPr="0009445C" w:rsidRDefault="00DE0321" w:rsidP="00B409DD">
            <w:pPr>
              <w:pStyle w:val="BRL-TabelleAnlageberschriftFett"/>
              <w:spacing w:before="60" w:after="40"/>
            </w:pPr>
            <w:r w:rsidRPr="0009445C">
              <w:t>Aromatic hydrocarbons</w:t>
            </w:r>
          </w:p>
        </w:tc>
      </w:tr>
      <w:tr w:rsidR="00DE0321" w:rsidRPr="0009445C" w14:paraId="21B78880" w14:textId="77777777" w:rsidTr="00B409DD">
        <w:trPr>
          <w:cantSplit/>
          <w:trHeight w:val="174"/>
        </w:trPr>
        <w:tc>
          <w:tcPr>
            <w:tcW w:w="850" w:type="dxa"/>
            <w:shd w:val="clear" w:color="auto" w:fill="auto"/>
          </w:tcPr>
          <w:p w14:paraId="54216CE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w:t>
            </w:r>
          </w:p>
        </w:tc>
        <w:tc>
          <w:tcPr>
            <w:tcW w:w="2692" w:type="dxa"/>
            <w:gridSpan w:val="2"/>
            <w:shd w:val="clear" w:color="auto" w:fill="auto"/>
          </w:tcPr>
          <w:p w14:paraId="215B240C"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Toluene </w:t>
            </w:r>
          </w:p>
        </w:tc>
        <w:tc>
          <w:tcPr>
            <w:tcW w:w="1277" w:type="dxa"/>
            <w:shd w:val="clear" w:color="auto" w:fill="auto"/>
          </w:tcPr>
          <w:p w14:paraId="4082A332"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108-88-3</w:t>
            </w:r>
          </w:p>
        </w:tc>
        <w:tc>
          <w:tcPr>
            <w:tcW w:w="993" w:type="dxa"/>
            <w:shd w:val="clear" w:color="auto" w:fill="auto"/>
          </w:tcPr>
          <w:p w14:paraId="6EBB8FE6"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2 900</w:t>
            </w:r>
          </w:p>
        </w:tc>
        <w:tc>
          <w:tcPr>
            <w:tcW w:w="3265" w:type="dxa"/>
            <w:shd w:val="clear" w:color="auto" w:fill="auto"/>
          </w:tcPr>
          <w:p w14:paraId="2C8C697C"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tc>
      </w:tr>
      <w:tr w:rsidR="00DE0321" w:rsidRPr="0009445C" w14:paraId="4388B1CF" w14:textId="77777777" w:rsidTr="00B409DD">
        <w:trPr>
          <w:cantSplit/>
          <w:trHeight w:val="207"/>
        </w:trPr>
        <w:tc>
          <w:tcPr>
            <w:tcW w:w="850" w:type="dxa"/>
            <w:shd w:val="clear" w:color="auto" w:fill="auto"/>
          </w:tcPr>
          <w:p w14:paraId="18FC50CC"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w:t>
            </w:r>
          </w:p>
        </w:tc>
        <w:tc>
          <w:tcPr>
            <w:tcW w:w="2692" w:type="dxa"/>
            <w:gridSpan w:val="2"/>
            <w:shd w:val="clear" w:color="auto" w:fill="auto"/>
          </w:tcPr>
          <w:p w14:paraId="22B461BA"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Ethylbenzene </w:t>
            </w:r>
          </w:p>
        </w:tc>
        <w:tc>
          <w:tcPr>
            <w:tcW w:w="1277" w:type="dxa"/>
            <w:shd w:val="clear" w:color="auto" w:fill="auto"/>
          </w:tcPr>
          <w:p w14:paraId="7D15D836"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100-41-4</w:t>
            </w:r>
          </w:p>
        </w:tc>
        <w:tc>
          <w:tcPr>
            <w:tcW w:w="993" w:type="dxa"/>
            <w:shd w:val="clear" w:color="auto" w:fill="auto"/>
          </w:tcPr>
          <w:p w14:paraId="4A147FE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850</w:t>
            </w:r>
          </w:p>
        </w:tc>
        <w:tc>
          <w:tcPr>
            <w:tcW w:w="3265" w:type="dxa"/>
            <w:shd w:val="clear" w:color="auto" w:fill="auto"/>
          </w:tcPr>
          <w:p w14:paraId="0F7CD875"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58BC312B" w14:textId="77777777" w:rsidTr="00B409DD">
        <w:trPr>
          <w:cantSplit/>
          <w:trHeight w:val="390"/>
        </w:trPr>
        <w:tc>
          <w:tcPr>
            <w:tcW w:w="850" w:type="dxa"/>
            <w:shd w:val="clear" w:color="auto" w:fill="auto"/>
          </w:tcPr>
          <w:p w14:paraId="6E1A199A"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1-3</w:t>
            </w:r>
          </w:p>
        </w:tc>
        <w:tc>
          <w:tcPr>
            <w:tcW w:w="2692" w:type="dxa"/>
            <w:gridSpan w:val="2"/>
            <w:shd w:val="clear" w:color="auto" w:fill="auto"/>
          </w:tcPr>
          <w:p w14:paraId="7A552D1E"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Xylol, mixture of isomers o-, m- and p-xylol </w:t>
            </w:r>
          </w:p>
        </w:tc>
        <w:tc>
          <w:tcPr>
            <w:tcW w:w="1277" w:type="dxa"/>
            <w:shd w:val="clear" w:color="auto" w:fill="auto"/>
          </w:tcPr>
          <w:p w14:paraId="30B0C1A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1330-20-7</w:t>
            </w:r>
          </w:p>
        </w:tc>
        <w:tc>
          <w:tcPr>
            <w:tcW w:w="993" w:type="dxa"/>
            <w:shd w:val="clear" w:color="auto" w:fill="auto"/>
          </w:tcPr>
          <w:p w14:paraId="0800D5FE"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500</w:t>
            </w:r>
          </w:p>
        </w:tc>
        <w:tc>
          <w:tcPr>
            <w:tcW w:w="3265" w:type="dxa"/>
            <w:shd w:val="clear" w:color="auto" w:fill="auto"/>
          </w:tcPr>
          <w:p w14:paraId="231E33F6"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0ABB6455" w14:textId="77777777" w:rsidTr="00B409DD">
        <w:trPr>
          <w:cantSplit/>
          <w:trHeight w:val="207"/>
        </w:trPr>
        <w:tc>
          <w:tcPr>
            <w:tcW w:w="850" w:type="dxa"/>
            <w:shd w:val="clear" w:color="auto" w:fill="auto"/>
          </w:tcPr>
          <w:p w14:paraId="46B71F6E"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1-4</w:t>
            </w:r>
          </w:p>
        </w:tc>
        <w:tc>
          <w:tcPr>
            <w:tcW w:w="2692" w:type="dxa"/>
            <w:gridSpan w:val="2"/>
            <w:shd w:val="clear" w:color="auto" w:fill="auto"/>
          </w:tcPr>
          <w:p w14:paraId="7A3D8C82"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p-xylene </w:t>
            </w:r>
          </w:p>
        </w:tc>
        <w:tc>
          <w:tcPr>
            <w:tcW w:w="1277" w:type="dxa"/>
            <w:shd w:val="clear" w:color="auto" w:fill="auto"/>
          </w:tcPr>
          <w:p w14:paraId="2644575B"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106-42-3</w:t>
            </w:r>
          </w:p>
        </w:tc>
        <w:tc>
          <w:tcPr>
            <w:tcW w:w="993" w:type="dxa"/>
            <w:shd w:val="clear" w:color="auto" w:fill="auto"/>
          </w:tcPr>
          <w:p w14:paraId="26D808EA"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500</w:t>
            </w:r>
          </w:p>
        </w:tc>
        <w:tc>
          <w:tcPr>
            <w:tcW w:w="3265" w:type="dxa"/>
            <w:shd w:val="clear" w:color="auto" w:fill="auto"/>
          </w:tcPr>
          <w:p w14:paraId="48DABE17"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507E5482" w14:textId="77777777" w:rsidTr="00B409DD">
        <w:trPr>
          <w:cantSplit/>
          <w:trHeight w:val="207"/>
        </w:trPr>
        <w:tc>
          <w:tcPr>
            <w:tcW w:w="850" w:type="dxa"/>
            <w:shd w:val="clear" w:color="auto" w:fill="auto"/>
          </w:tcPr>
          <w:p w14:paraId="5204BA8A"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1-5</w:t>
            </w:r>
          </w:p>
        </w:tc>
        <w:tc>
          <w:tcPr>
            <w:tcW w:w="2692" w:type="dxa"/>
            <w:gridSpan w:val="2"/>
            <w:shd w:val="clear" w:color="auto" w:fill="auto"/>
          </w:tcPr>
          <w:p w14:paraId="1A7519A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m-xylene </w:t>
            </w:r>
          </w:p>
        </w:tc>
        <w:tc>
          <w:tcPr>
            <w:tcW w:w="1277" w:type="dxa"/>
            <w:shd w:val="clear" w:color="auto" w:fill="auto"/>
          </w:tcPr>
          <w:p w14:paraId="1966B7A6"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108-38-3</w:t>
            </w:r>
          </w:p>
        </w:tc>
        <w:tc>
          <w:tcPr>
            <w:tcW w:w="993" w:type="dxa"/>
            <w:shd w:val="clear" w:color="auto" w:fill="auto"/>
          </w:tcPr>
          <w:p w14:paraId="14A01ED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500</w:t>
            </w:r>
          </w:p>
        </w:tc>
        <w:tc>
          <w:tcPr>
            <w:tcW w:w="3265" w:type="dxa"/>
            <w:shd w:val="clear" w:color="auto" w:fill="auto"/>
          </w:tcPr>
          <w:p w14:paraId="5DCB04A7"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2C5CE8F1" w14:textId="77777777" w:rsidTr="00B409DD">
        <w:trPr>
          <w:cantSplit/>
          <w:trHeight w:val="207"/>
        </w:trPr>
        <w:tc>
          <w:tcPr>
            <w:tcW w:w="850" w:type="dxa"/>
            <w:shd w:val="clear" w:color="auto" w:fill="auto"/>
          </w:tcPr>
          <w:p w14:paraId="197CD0E7"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1-6</w:t>
            </w:r>
          </w:p>
        </w:tc>
        <w:tc>
          <w:tcPr>
            <w:tcW w:w="2692" w:type="dxa"/>
            <w:gridSpan w:val="2"/>
            <w:shd w:val="clear" w:color="auto" w:fill="auto"/>
          </w:tcPr>
          <w:p w14:paraId="6466E0F1"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o-xylene </w:t>
            </w:r>
          </w:p>
        </w:tc>
        <w:tc>
          <w:tcPr>
            <w:tcW w:w="1277" w:type="dxa"/>
            <w:shd w:val="clear" w:color="auto" w:fill="auto"/>
          </w:tcPr>
          <w:p w14:paraId="59D0722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95-47-6</w:t>
            </w:r>
          </w:p>
        </w:tc>
        <w:tc>
          <w:tcPr>
            <w:tcW w:w="993" w:type="dxa"/>
            <w:shd w:val="clear" w:color="auto" w:fill="auto"/>
          </w:tcPr>
          <w:p w14:paraId="2CB79AD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500</w:t>
            </w:r>
          </w:p>
        </w:tc>
        <w:tc>
          <w:tcPr>
            <w:tcW w:w="3265" w:type="dxa"/>
            <w:shd w:val="clear" w:color="auto" w:fill="auto"/>
          </w:tcPr>
          <w:p w14:paraId="1ABBA95C"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4E8F6618" w14:textId="77777777" w:rsidTr="00B409DD">
        <w:trPr>
          <w:cantSplit/>
          <w:trHeight w:val="207"/>
        </w:trPr>
        <w:tc>
          <w:tcPr>
            <w:tcW w:w="850" w:type="dxa"/>
            <w:shd w:val="clear" w:color="auto" w:fill="auto"/>
          </w:tcPr>
          <w:p w14:paraId="03613A1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1-7</w:t>
            </w:r>
          </w:p>
        </w:tc>
        <w:tc>
          <w:tcPr>
            <w:tcW w:w="2692" w:type="dxa"/>
            <w:gridSpan w:val="2"/>
            <w:shd w:val="clear" w:color="auto" w:fill="auto"/>
          </w:tcPr>
          <w:p w14:paraId="43FD9A2F"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proofErr w:type="spellStart"/>
            <w:r w:rsidRPr="0009445C">
              <w:rPr>
                <w:color w:val="000000"/>
              </w:rPr>
              <w:t>Isopropylbenzene</w:t>
            </w:r>
            <w:proofErr w:type="spellEnd"/>
            <w:r w:rsidRPr="0009445C">
              <w:rPr>
                <w:color w:val="000000"/>
              </w:rPr>
              <w:t xml:space="preserve"> </w:t>
            </w:r>
          </w:p>
        </w:tc>
        <w:tc>
          <w:tcPr>
            <w:tcW w:w="1277" w:type="dxa"/>
            <w:shd w:val="clear" w:color="auto" w:fill="auto"/>
          </w:tcPr>
          <w:p w14:paraId="7310C826"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98-82-8</w:t>
            </w:r>
          </w:p>
        </w:tc>
        <w:tc>
          <w:tcPr>
            <w:tcW w:w="993" w:type="dxa"/>
            <w:shd w:val="clear" w:color="auto" w:fill="auto"/>
          </w:tcPr>
          <w:p w14:paraId="65DB5A28"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1 700</w:t>
            </w:r>
          </w:p>
        </w:tc>
        <w:tc>
          <w:tcPr>
            <w:tcW w:w="3265" w:type="dxa"/>
            <w:shd w:val="clear" w:color="auto" w:fill="auto"/>
          </w:tcPr>
          <w:p w14:paraId="2B1E9037"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66998502" w14:textId="77777777" w:rsidTr="00B409DD">
        <w:trPr>
          <w:cantSplit/>
          <w:trHeight w:val="216"/>
        </w:trPr>
        <w:tc>
          <w:tcPr>
            <w:tcW w:w="850" w:type="dxa"/>
            <w:shd w:val="clear" w:color="auto" w:fill="auto"/>
          </w:tcPr>
          <w:p w14:paraId="6E4C97E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1-8</w:t>
            </w:r>
          </w:p>
        </w:tc>
        <w:tc>
          <w:tcPr>
            <w:tcW w:w="2692" w:type="dxa"/>
            <w:gridSpan w:val="2"/>
            <w:shd w:val="clear" w:color="auto" w:fill="auto"/>
          </w:tcPr>
          <w:p w14:paraId="0B6D9746"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N-</w:t>
            </w:r>
            <w:proofErr w:type="spellStart"/>
            <w:r w:rsidRPr="0009445C">
              <w:rPr>
                <w:color w:val="000000"/>
              </w:rPr>
              <w:t>propylbenzene</w:t>
            </w:r>
            <w:proofErr w:type="spellEnd"/>
            <w:r w:rsidRPr="0009445C">
              <w:rPr>
                <w:color w:val="000000"/>
              </w:rPr>
              <w:t xml:space="preserve"> </w:t>
            </w:r>
          </w:p>
        </w:tc>
        <w:tc>
          <w:tcPr>
            <w:tcW w:w="1277" w:type="dxa"/>
            <w:shd w:val="clear" w:color="auto" w:fill="auto"/>
          </w:tcPr>
          <w:p w14:paraId="06511E3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103-65-1</w:t>
            </w:r>
          </w:p>
        </w:tc>
        <w:tc>
          <w:tcPr>
            <w:tcW w:w="993" w:type="dxa"/>
            <w:shd w:val="clear" w:color="auto" w:fill="auto"/>
          </w:tcPr>
          <w:p w14:paraId="70FFF56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950</w:t>
            </w:r>
          </w:p>
        </w:tc>
        <w:tc>
          <w:tcPr>
            <w:tcW w:w="3265" w:type="dxa"/>
            <w:shd w:val="clear" w:color="auto" w:fill="auto"/>
          </w:tcPr>
          <w:p w14:paraId="26761B5B"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1C0428AF"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ethylbenzene</w:t>
            </w:r>
          </w:p>
        </w:tc>
      </w:tr>
      <w:tr w:rsidR="00DE0321" w:rsidRPr="0009445C" w14:paraId="79208C9C" w14:textId="77777777" w:rsidTr="00B409DD">
        <w:trPr>
          <w:cantSplit/>
          <w:trHeight w:val="390"/>
        </w:trPr>
        <w:tc>
          <w:tcPr>
            <w:tcW w:w="850" w:type="dxa"/>
            <w:shd w:val="clear" w:color="auto" w:fill="auto"/>
          </w:tcPr>
          <w:p w14:paraId="2A9089DA"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1-9</w:t>
            </w:r>
          </w:p>
        </w:tc>
        <w:tc>
          <w:tcPr>
            <w:tcW w:w="2692" w:type="dxa"/>
            <w:gridSpan w:val="2"/>
            <w:shd w:val="clear" w:color="auto" w:fill="auto"/>
          </w:tcPr>
          <w:p w14:paraId="060527CC"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1-propenylbenzene </w:t>
            </w:r>
          </w:p>
          <w:p w14:paraId="0ED4680C"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(ß-</w:t>
            </w:r>
            <w:proofErr w:type="spellStart"/>
            <w:r w:rsidRPr="0009445C">
              <w:rPr>
                <w:color w:val="000000"/>
              </w:rPr>
              <w:t>methylstyrene</w:t>
            </w:r>
            <w:proofErr w:type="spellEnd"/>
            <w:r w:rsidRPr="0009445C">
              <w:rPr>
                <w:color w:val="000000"/>
              </w:rPr>
              <w:t xml:space="preserve">) </w:t>
            </w:r>
          </w:p>
        </w:tc>
        <w:tc>
          <w:tcPr>
            <w:tcW w:w="1277" w:type="dxa"/>
            <w:shd w:val="clear" w:color="auto" w:fill="auto"/>
          </w:tcPr>
          <w:p w14:paraId="05A84AE9"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637-50-3</w:t>
            </w:r>
          </w:p>
        </w:tc>
        <w:tc>
          <w:tcPr>
            <w:tcW w:w="993" w:type="dxa"/>
            <w:shd w:val="clear" w:color="auto" w:fill="auto"/>
          </w:tcPr>
          <w:p w14:paraId="244E891D"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1 200</w:t>
            </w:r>
          </w:p>
        </w:tc>
        <w:tc>
          <w:tcPr>
            <w:tcW w:w="3265" w:type="dxa"/>
            <w:shd w:val="clear" w:color="auto" w:fill="auto"/>
          </w:tcPr>
          <w:p w14:paraId="73EEE769"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2F30AB18"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2-phenylpropene</w:t>
            </w:r>
          </w:p>
        </w:tc>
      </w:tr>
      <w:tr w:rsidR="00DE0321" w:rsidRPr="0009445C" w14:paraId="3FCC7EFB" w14:textId="77777777" w:rsidTr="00B409DD">
        <w:trPr>
          <w:cantSplit/>
          <w:trHeight w:val="207"/>
        </w:trPr>
        <w:tc>
          <w:tcPr>
            <w:tcW w:w="850" w:type="dxa"/>
            <w:shd w:val="clear" w:color="auto" w:fill="auto"/>
          </w:tcPr>
          <w:p w14:paraId="70BF3527"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1-10</w:t>
            </w:r>
          </w:p>
        </w:tc>
        <w:tc>
          <w:tcPr>
            <w:tcW w:w="2692" w:type="dxa"/>
            <w:gridSpan w:val="2"/>
            <w:shd w:val="clear" w:color="auto" w:fill="auto"/>
          </w:tcPr>
          <w:p w14:paraId="72671C5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1,3,5-trimethylbenzene </w:t>
            </w:r>
          </w:p>
        </w:tc>
        <w:tc>
          <w:tcPr>
            <w:tcW w:w="1277" w:type="dxa"/>
            <w:shd w:val="clear" w:color="auto" w:fill="auto"/>
          </w:tcPr>
          <w:p w14:paraId="78B81E1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108-67-8</w:t>
            </w:r>
          </w:p>
        </w:tc>
        <w:tc>
          <w:tcPr>
            <w:tcW w:w="993" w:type="dxa"/>
            <w:shd w:val="clear" w:color="auto" w:fill="auto"/>
          </w:tcPr>
          <w:p w14:paraId="4A670709"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450</w:t>
            </w:r>
          </w:p>
        </w:tc>
        <w:tc>
          <w:tcPr>
            <w:tcW w:w="3265" w:type="dxa"/>
            <w:shd w:val="clear" w:color="auto" w:fill="auto"/>
          </w:tcPr>
          <w:p w14:paraId="6D85C466"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5784AD0E" w14:textId="77777777" w:rsidTr="00B409DD">
        <w:trPr>
          <w:cantSplit/>
          <w:trHeight w:val="207"/>
        </w:trPr>
        <w:tc>
          <w:tcPr>
            <w:tcW w:w="850" w:type="dxa"/>
            <w:shd w:val="clear" w:color="auto" w:fill="auto"/>
          </w:tcPr>
          <w:p w14:paraId="23303BD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1-11</w:t>
            </w:r>
          </w:p>
        </w:tc>
        <w:tc>
          <w:tcPr>
            <w:tcW w:w="2692" w:type="dxa"/>
            <w:gridSpan w:val="2"/>
            <w:shd w:val="clear" w:color="auto" w:fill="auto"/>
          </w:tcPr>
          <w:p w14:paraId="0C73E2E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1,2,4-trimethylbenzene </w:t>
            </w:r>
          </w:p>
        </w:tc>
        <w:tc>
          <w:tcPr>
            <w:tcW w:w="1277" w:type="dxa"/>
            <w:shd w:val="clear" w:color="auto" w:fill="auto"/>
          </w:tcPr>
          <w:p w14:paraId="54D5465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95-63-6</w:t>
            </w:r>
          </w:p>
        </w:tc>
        <w:tc>
          <w:tcPr>
            <w:tcW w:w="993" w:type="dxa"/>
            <w:shd w:val="clear" w:color="auto" w:fill="auto"/>
          </w:tcPr>
          <w:p w14:paraId="14F8197A"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450</w:t>
            </w:r>
          </w:p>
        </w:tc>
        <w:tc>
          <w:tcPr>
            <w:tcW w:w="3265" w:type="dxa"/>
            <w:shd w:val="clear" w:color="auto" w:fill="auto"/>
          </w:tcPr>
          <w:p w14:paraId="0CF614B2"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2A7DA238" w14:textId="77777777" w:rsidTr="00B409DD">
        <w:trPr>
          <w:cantSplit/>
          <w:trHeight w:val="207"/>
        </w:trPr>
        <w:tc>
          <w:tcPr>
            <w:tcW w:w="850" w:type="dxa"/>
            <w:shd w:val="clear" w:color="auto" w:fill="auto"/>
          </w:tcPr>
          <w:p w14:paraId="17EFDB5D"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1-12</w:t>
            </w:r>
          </w:p>
        </w:tc>
        <w:tc>
          <w:tcPr>
            <w:tcW w:w="2692" w:type="dxa"/>
            <w:gridSpan w:val="2"/>
            <w:shd w:val="clear" w:color="auto" w:fill="auto"/>
          </w:tcPr>
          <w:p w14:paraId="67BF3A20"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1,2,3-trimethylbenzene </w:t>
            </w:r>
          </w:p>
        </w:tc>
        <w:tc>
          <w:tcPr>
            <w:tcW w:w="1277" w:type="dxa"/>
            <w:shd w:val="clear" w:color="auto" w:fill="auto"/>
          </w:tcPr>
          <w:p w14:paraId="2E25D86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526-73-8</w:t>
            </w:r>
          </w:p>
        </w:tc>
        <w:tc>
          <w:tcPr>
            <w:tcW w:w="993" w:type="dxa"/>
            <w:shd w:val="clear" w:color="auto" w:fill="auto"/>
          </w:tcPr>
          <w:p w14:paraId="7CECE8F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450</w:t>
            </w:r>
          </w:p>
        </w:tc>
        <w:tc>
          <w:tcPr>
            <w:tcW w:w="3265" w:type="dxa"/>
            <w:shd w:val="clear" w:color="auto" w:fill="auto"/>
          </w:tcPr>
          <w:p w14:paraId="27B37433"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423A2745" w14:textId="77777777" w:rsidTr="00B409DD">
        <w:trPr>
          <w:cantSplit/>
          <w:trHeight w:val="164"/>
        </w:trPr>
        <w:tc>
          <w:tcPr>
            <w:tcW w:w="850" w:type="dxa"/>
            <w:shd w:val="clear" w:color="auto" w:fill="auto"/>
          </w:tcPr>
          <w:p w14:paraId="30C5021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1-13</w:t>
            </w:r>
          </w:p>
        </w:tc>
        <w:tc>
          <w:tcPr>
            <w:tcW w:w="2692" w:type="dxa"/>
            <w:gridSpan w:val="2"/>
            <w:shd w:val="clear" w:color="auto" w:fill="auto"/>
          </w:tcPr>
          <w:p w14:paraId="10ED9AE6"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2-ethyltoluene </w:t>
            </w:r>
          </w:p>
        </w:tc>
        <w:tc>
          <w:tcPr>
            <w:tcW w:w="1277" w:type="dxa"/>
            <w:shd w:val="clear" w:color="auto" w:fill="auto"/>
          </w:tcPr>
          <w:p w14:paraId="065C3709"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611-14-3</w:t>
            </w:r>
          </w:p>
        </w:tc>
        <w:tc>
          <w:tcPr>
            <w:tcW w:w="993" w:type="dxa"/>
            <w:shd w:val="clear" w:color="auto" w:fill="auto"/>
          </w:tcPr>
          <w:p w14:paraId="1AB800B4"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550</w:t>
            </w:r>
          </w:p>
        </w:tc>
        <w:tc>
          <w:tcPr>
            <w:tcW w:w="3265" w:type="dxa"/>
            <w:shd w:val="clear" w:color="auto" w:fill="auto"/>
          </w:tcPr>
          <w:p w14:paraId="1FFFC838"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32B0C31E"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xylene</w:t>
            </w:r>
          </w:p>
        </w:tc>
      </w:tr>
      <w:tr w:rsidR="00DE0321" w:rsidRPr="0009445C" w14:paraId="425266CD" w14:textId="77777777" w:rsidTr="00B409DD">
        <w:trPr>
          <w:cantSplit/>
          <w:trHeight w:val="380"/>
        </w:trPr>
        <w:tc>
          <w:tcPr>
            <w:tcW w:w="850" w:type="dxa"/>
            <w:shd w:val="clear" w:color="auto" w:fill="auto"/>
          </w:tcPr>
          <w:p w14:paraId="4C0165F2"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1-14</w:t>
            </w:r>
          </w:p>
        </w:tc>
        <w:tc>
          <w:tcPr>
            <w:tcW w:w="2692" w:type="dxa"/>
            <w:gridSpan w:val="2"/>
            <w:shd w:val="clear" w:color="auto" w:fill="auto"/>
          </w:tcPr>
          <w:p w14:paraId="6CB0D39F"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1-isopropyl-2-methylbenzene </w:t>
            </w:r>
          </w:p>
          <w:p w14:paraId="56B36B61"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(o-cymene) </w:t>
            </w:r>
          </w:p>
        </w:tc>
        <w:tc>
          <w:tcPr>
            <w:tcW w:w="1277" w:type="dxa"/>
            <w:shd w:val="clear" w:color="auto" w:fill="auto"/>
          </w:tcPr>
          <w:p w14:paraId="3C2B426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527-84-4</w:t>
            </w:r>
          </w:p>
        </w:tc>
        <w:tc>
          <w:tcPr>
            <w:tcW w:w="993" w:type="dxa"/>
            <w:shd w:val="clear" w:color="auto" w:fill="auto"/>
          </w:tcPr>
          <w:p w14:paraId="629E4A6B"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1 000</w:t>
            </w:r>
          </w:p>
        </w:tc>
        <w:tc>
          <w:tcPr>
            <w:tcW w:w="3265" w:type="dxa"/>
            <w:shd w:val="clear" w:color="auto" w:fill="auto"/>
          </w:tcPr>
          <w:p w14:paraId="6D99DA23"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tc>
      </w:tr>
      <w:tr w:rsidR="00DE0321" w:rsidRPr="0009445C" w14:paraId="4F55C401" w14:textId="77777777" w:rsidTr="00B409DD">
        <w:trPr>
          <w:cantSplit/>
          <w:trHeight w:val="400"/>
        </w:trPr>
        <w:tc>
          <w:tcPr>
            <w:tcW w:w="850" w:type="dxa"/>
            <w:shd w:val="clear" w:color="auto" w:fill="auto"/>
          </w:tcPr>
          <w:p w14:paraId="6E3EAA8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1-15</w:t>
            </w:r>
          </w:p>
        </w:tc>
        <w:tc>
          <w:tcPr>
            <w:tcW w:w="2692" w:type="dxa"/>
            <w:gridSpan w:val="2"/>
            <w:shd w:val="clear" w:color="auto" w:fill="auto"/>
          </w:tcPr>
          <w:p w14:paraId="751FDD25"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1-isopropyl-3-methylbenzene </w:t>
            </w:r>
          </w:p>
          <w:p w14:paraId="6273BCF7"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(m-cymene) </w:t>
            </w:r>
          </w:p>
        </w:tc>
        <w:tc>
          <w:tcPr>
            <w:tcW w:w="1277" w:type="dxa"/>
            <w:shd w:val="clear" w:color="auto" w:fill="auto"/>
          </w:tcPr>
          <w:p w14:paraId="0D25388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535-77-3</w:t>
            </w:r>
          </w:p>
        </w:tc>
        <w:tc>
          <w:tcPr>
            <w:tcW w:w="993" w:type="dxa"/>
            <w:shd w:val="clear" w:color="auto" w:fill="auto"/>
          </w:tcPr>
          <w:p w14:paraId="67F77DD8"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1 000</w:t>
            </w:r>
          </w:p>
        </w:tc>
        <w:tc>
          <w:tcPr>
            <w:tcW w:w="3265" w:type="dxa"/>
            <w:shd w:val="clear" w:color="auto" w:fill="auto"/>
          </w:tcPr>
          <w:p w14:paraId="1CA3B4A4"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tc>
      </w:tr>
      <w:tr w:rsidR="00DE0321" w:rsidRPr="0009445C" w14:paraId="342476F3" w14:textId="77777777" w:rsidTr="00B409DD">
        <w:trPr>
          <w:cantSplit/>
          <w:trHeight w:val="420"/>
        </w:trPr>
        <w:tc>
          <w:tcPr>
            <w:tcW w:w="850" w:type="dxa"/>
            <w:shd w:val="clear" w:color="auto" w:fill="auto"/>
          </w:tcPr>
          <w:p w14:paraId="284D3EB2"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1-16</w:t>
            </w:r>
          </w:p>
        </w:tc>
        <w:tc>
          <w:tcPr>
            <w:tcW w:w="2692" w:type="dxa"/>
            <w:gridSpan w:val="2"/>
            <w:shd w:val="clear" w:color="auto" w:fill="auto"/>
          </w:tcPr>
          <w:p w14:paraId="366AEE75"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1-isopropyl-4-methylbenzene </w:t>
            </w:r>
          </w:p>
          <w:p w14:paraId="3F4AD665"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(p-</w:t>
            </w:r>
            <w:proofErr w:type="spellStart"/>
            <w:r w:rsidRPr="0009445C">
              <w:rPr>
                <w:color w:val="000000"/>
              </w:rPr>
              <w:t>cymol</w:t>
            </w:r>
            <w:proofErr w:type="spellEnd"/>
            <w:r w:rsidRPr="0009445C">
              <w:rPr>
                <w:color w:val="000000"/>
              </w:rPr>
              <w:t xml:space="preserve">) </w:t>
            </w:r>
          </w:p>
        </w:tc>
        <w:tc>
          <w:tcPr>
            <w:tcW w:w="1277" w:type="dxa"/>
            <w:shd w:val="clear" w:color="auto" w:fill="auto"/>
          </w:tcPr>
          <w:p w14:paraId="350FBD0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99-87-6</w:t>
            </w:r>
          </w:p>
        </w:tc>
        <w:tc>
          <w:tcPr>
            <w:tcW w:w="993" w:type="dxa"/>
            <w:shd w:val="clear" w:color="auto" w:fill="auto"/>
          </w:tcPr>
          <w:p w14:paraId="37D2A0D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1 000</w:t>
            </w:r>
          </w:p>
        </w:tc>
        <w:tc>
          <w:tcPr>
            <w:tcW w:w="3265" w:type="dxa"/>
            <w:shd w:val="clear" w:color="auto" w:fill="auto"/>
          </w:tcPr>
          <w:p w14:paraId="2670100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tc>
      </w:tr>
      <w:tr w:rsidR="00DE0321" w:rsidRPr="0009445C" w14:paraId="1B253531" w14:textId="77777777" w:rsidTr="00B409DD">
        <w:trPr>
          <w:cantSplit/>
          <w:trHeight w:val="256"/>
        </w:trPr>
        <w:tc>
          <w:tcPr>
            <w:tcW w:w="850" w:type="dxa"/>
            <w:shd w:val="clear" w:color="auto" w:fill="auto"/>
          </w:tcPr>
          <w:p w14:paraId="75F412E7"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1-17</w:t>
            </w:r>
          </w:p>
        </w:tc>
        <w:tc>
          <w:tcPr>
            <w:tcW w:w="2692" w:type="dxa"/>
            <w:gridSpan w:val="2"/>
            <w:shd w:val="clear" w:color="auto" w:fill="auto"/>
          </w:tcPr>
          <w:p w14:paraId="2F8624D3"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1,2,4,5-tetramethylbenzene </w:t>
            </w:r>
          </w:p>
        </w:tc>
        <w:tc>
          <w:tcPr>
            <w:tcW w:w="1277" w:type="dxa"/>
            <w:shd w:val="clear" w:color="auto" w:fill="auto"/>
          </w:tcPr>
          <w:p w14:paraId="483F84B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95-93-2</w:t>
            </w:r>
          </w:p>
        </w:tc>
        <w:tc>
          <w:tcPr>
            <w:tcW w:w="993" w:type="dxa"/>
            <w:shd w:val="clear" w:color="auto" w:fill="auto"/>
          </w:tcPr>
          <w:p w14:paraId="47D29CE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250</w:t>
            </w:r>
          </w:p>
        </w:tc>
        <w:tc>
          <w:tcPr>
            <w:tcW w:w="3265" w:type="dxa"/>
            <w:shd w:val="clear" w:color="auto" w:fill="auto"/>
          </w:tcPr>
          <w:p w14:paraId="75D9DD2C"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4206D4F9"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trimethylbenzene</w:t>
            </w:r>
          </w:p>
        </w:tc>
      </w:tr>
      <w:tr w:rsidR="00DE0321" w:rsidRPr="0009445C" w14:paraId="5F8969EF" w14:textId="77777777" w:rsidTr="00B409DD">
        <w:trPr>
          <w:cantSplit/>
          <w:trHeight w:val="259"/>
        </w:trPr>
        <w:tc>
          <w:tcPr>
            <w:tcW w:w="850" w:type="dxa"/>
            <w:shd w:val="clear" w:color="auto" w:fill="auto"/>
          </w:tcPr>
          <w:p w14:paraId="7D765F6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1-18</w:t>
            </w:r>
          </w:p>
        </w:tc>
        <w:tc>
          <w:tcPr>
            <w:tcW w:w="2692" w:type="dxa"/>
            <w:gridSpan w:val="2"/>
            <w:shd w:val="clear" w:color="auto" w:fill="auto"/>
          </w:tcPr>
          <w:p w14:paraId="4136107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N-butylbenzene </w:t>
            </w:r>
          </w:p>
        </w:tc>
        <w:tc>
          <w:tcPr>
            <w:tcW w:w="1277" w:type="dxa"/>
            <w:shd w:val="clear" w:color="auto" w:fill="auto"/>
          </w:tcPr>
          <w:p w14:paraId="522355D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104-51-8</w:t>
            </w:r>
          </w:p>
        </w:tc>
        <w:tc>
          <w:tcPr>
            <w:tcW w:w="993" w:type="dxa"/>
            <w:shd w:val="clear" w:color="auto" w:fill="auto"/>
          </w:tcPr>
          <w:p w14:paraId="309FF49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b/>
                <w:bCs/>
                <w:color w:val="000000"/>
              </w:rPr>
            </w:pPr>
            <w:r w:rsidRPr="0009445C">
              <w:rPr>
                <w:b/>
                <w:color w:val="000000"/>
              </w:rPr>
              <w:t>1 100</w:t>
            </w:r>
          </w:p>
        </w:tc>
        <w:tc>
          <w:tcPr>
            <w:tcW w:w="3265" w:type="dxa"/>
            <w:shd w:val="clear" w:color="auto" w:fill="auto"/>
          </w:tcPr>
          <w:p w14:paraId="037616A7"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644FAC14"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ethylbenzene</w:t>
            </w:r>
          </w:p>
        </w:tc>
      </w:tr>
      <w:tr w:rsidR="00DE0321" w:rsidRPr="0009445C" w14:paraId="336E42D4" w14:textId="77777777" w:rsidTr="00B409DD">
        <w:trPr>
          <w:cantSplit/>
          <w:trHeight w:val="264"/>
        </w:trPr>
        <w:tc>
          <w:tcPr>
            <w:tcW w:w="850" w:type="dxa"/>
            <w:shd w:val="clear" w:color="auto" w:fill="auto"/>
          </w:tcPr>
          <w:p w14:paraId="35B1DA87"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1-19</w:t>
            </w:r>
          </w:p>
        </w:tc>
        <w:tc>
          <w:tcPr>
            <w:tcW w:w="2692" w:type="dxa"/>
            <w:gridSpan w:val="2"/>
            <w:shd w:val="clear" w:color="auto" w:fill="auto"/>
          </w:tcPr>
          <w:p w14:paraId="03194BAE"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1,3-diisopropylbenzene </w:t>
            </w:r>
          </w:p>
        </w:tc>
        <w:tc>
          <w:tcPr>
            <w:tcW w:w="1277" w:type="dxa"/>
            <w:shd w:val="clear" w:color="auto" w:fill="auto"/>
          </w:tcPr>
          <w:p w14:paraId="7C79157E"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99-62-7</w:t>
            </w:r>
          </w:p>
        </w:tc>
        <w:tc>
          <w:tcPr>
            <w:tcW w:w="993" w:type="dxa"/>
            <w:shd w:val="clear" w:color="auto" w:fill="auto"/>
          </w:tcPr>
          <w:p w14:paraId="4C3A875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750</w:t>
            </w:r>
          </w:p>
        </w:tc>
        <w:tc>
          <w:tcPr>
            <w:tcW w:w="3265" w:type="dxa"/>
            <w:shd w:val="clear" w:color="auto" w:fill="auto"/>
          </w:tcPr>
          <w:p w14:paraId="7C6651FE"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7C646B1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xylene</w:t>
            </w:r>
          </w:p>
        </w:tc>
      </w:tr>
      <w:tr w:rsidR="00DE0321" w:rsidRPr="0009445C" w14:paraId="18D2CBB0" w14:textId="77777777" w:rsidTr="00B409DD">
        <w:trPr>
          <w:cantSplit/>
          <w:trHeight w:val="267"/>
        </w:trPr>
        <w:tc>
          <w:tcPr>
            <w:tcW w:w="850" w:type="dxa"/>
            <w:shd w:val="clear" w:color="auto" w:fill="auto"/>
          </w:tcPr>
          <w:p w14:paraId="28068C4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1-20</w:t>
            </w:r>
          </w:p>
        </w:tc>
        <w:tc>
          <w:tcPr>
            <w:tcW w:w="2692" w:type="dxa"/>
            <w:gridSpan w:val="2"/>
            <w:shd w:val="clear" w:color="auto" w:fill="auto"/>
          </w:tcPr>
          <w:p w14:paraId="1E3FF0F6"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1,4-diisopropylbenzene </w:t>
            </w:r>
          </w:p>
        </w:tc>
        <w:tc>
          <w:tcPr>
            <w:tcW w:w="1277" w:type="dxa"/>
            <w:shd w:val="clear" w:color="auto" w:fill="auto"/>
          </w:tcPr>
          <w:p w14:paraId="160BC232"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100-18-5</w:t>
            </w:r>
          </w:p>
        </w:tc>
        <w:tc>
          <w:tcPr>
            <w:tcW w:w="993" w:type="dxa"/>
            <w:shd w:val="clear" w:color="auto" w:fill="auto"/>
          </w:tcPr>
          <w:p w14:paraId="5C25ADD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750</w:t>
            </w:r>
          </w:p>
        </w:tc>
        <w:tc>
          <w:tcPr>
            <w:tcW w:w="3265" w:type="dxa"/>
            <w:shd w:val="clear" w:color="auto" w:fill="auto"/>
          </w:tcPr>
          <w:p w14:paraId="2C89E080"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40766378"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xylene</w:t>
            </w:r>
          </w:p>
        </w:tc>
      </w:tr>
      <w:tr w:rsidR="00DE0321" w:rsidRPr="0009445C" w14:paraId="0034725C" w14:textId="77777777" w:rsidTr="00B409DD">
        <w:trPr>
          <w:cantSplit/>
          <w:trHeight w:val="116"/>
        </w:trPr>
        <w:tc>
          <w:tcPr>
            <w:tcW w:w="850" w:type="dxa"/>
            <w:shd w:val="clear" w:color="auto" w:fill="auto"/>
          </w:tcPr>
          <w:p w14:paraId="69DCD149"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1-21</w:t>
            </w:r>
          </w:p>
        </w:tc>
        <w:tc>
          <w:tcPr>
            <w:tcW w:w="2692" w:type="dxa"/>
            <w:gridSpan w:val="2"/>
            <w:shd w:val="clear" w:color="auto" w:fill="auto"/>
          </w:tcPr>
          <w:p w14:paraId="5755E01E"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proofErr w:type="spellStart"/>
            <w:r w:rsidRPr="0009445C">
              <w:rPr>
                <w:color w:val="000000"/>
              </w:rPr>
              <w:t>Phenyloctane</w:t>
            </w:r>
            <w:proofErr w:type="spellEnd"/>
            <w:r w:rsidRPr="0009445C">
              <w:rPr>
                <w:color w:val="000000"/>
              </w:rPr>
              <w:t xml:space="preserve"> and isomers </w:t>
            </w:r>
          </w:p>
        </w:tc>
        <w:tc>
          <w:tcPr>
            <w:tcW w:w="1277" w:type="dxa"/>
            <w:shd w:val="clear" w:color="auto" w:fill="auto"/>
          </w:tcPr>
          <w:p w14:paraId="1483CFBE"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2189-60-8</w:t>
            </w:r>
          </w:p>
        </w:tc>
        <w:tc>
          <w:tcPr>
            <w:tcW w:w="993" w:type="dxa"/>
            <w:shd w:val="clear" w:color="auto" w:fill="auto"/>
          </w:tcPr>
          <w:p w14:paraId="1FC574A2"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1 100</w:t>
            </w:r>
          </w:p>
        </w:tc>
        <w:tc>
          <w:tcPr>
            <w:tcW w:w="3265" w:type="dxa"/>
            <w:shd w:val="clear" w:color="auto" w:fill="auto"/>
          </w:tcPr>
          <w:p w14:paraId="75181EB3"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p w14:paraId="395EAD8B"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ethylbenzene</w:t>
            </w:r>
          </w:p>
        </w:tc>
      </w:tr>
      <w:tr w:rsidR="00DE0321" w:rsidRPr="0009445C" w14:paraId="146E6B88" w14:textId="77777777" w:rsidTr="00B409DD">
        <w:trPr>
          <w:cantSplit/>
          <w:trHeight w:val="134"/>
        </w:trPr>
        <w:tc>
          <w:tcPr>
            <w:tcW w:w="850" w:type="dxa"/>
            <w:shd w:val="clear" w:color="auto" w:fill="auto"/>
          </w:tcPr>
          <w:p w14:paraId="7713E41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1-22</w:t>
            </w:r>
          </w:p>
        </w:tc>
        <w:tc>
          <w:tcPr>
            <w:tcW w:w="2692" w:type="dxa"/>
            <w:gridSpan w:val="2"/>
            <w:shd w:val="clear" w:color="auto" w:fill="auto"/>
          </w:tcPr>
          <w:p w14:paraId="51237C03"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1-phenyldecane and isomers </w:t>
            </w:r>
          </w:p>
        </w:tc>
        <w:tc>
          <w:tcPr>
            <w:tcW w:w="1277" w:type="dxa"/>
            <w:shd w:val="clear" w:color="auto" w:fill="auto"/>
          </w:tcPr>
          <w:p w14:paraId="595965F7"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104-72-3</w:t>
            </w:r>
          </w:p>
        </w:tc>
        <w:tc>
          <w:tcPr>
            <w:tcW w:w="993" w:type="dxa"/>
            <w:shd w:val="clear" w:color="auto" w:fill="auto"/>
          </w:tcPr>
          <w:p w14:paraId="55A99DA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highlight w:val="yellow"/>
              </w:rPr>
            </w:pPr>
            <w:r w:rsidRPr="0009445C">
              <w:rPr>
                <w:b/>
                <w:color w:val="000000"/>
              </w:rPr>
              <w:t>1 100</w:t>
            </w:r>
          </w:p>
        </w:tc>
        <w:tc>
          <w:tcPr>
            <w:tcW w:w="3265" w:type="dxa"/>
            <w:shd w:val="clear" w:color="auto" w:fill="auto"/>
          </w:tcPr>
          <w:p w14:paraId="67110EB7"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Read across of ethylbenzene </w:t>
            </w:r>
          </w:p>
        </w:tc>
      </w:tr>
      <w:tr w:rsidR="00DE0321" w:rsidRPr="0009445C" w14:paraId="3DAB1713" w14:textId="77777777" w:rsidTr="00B409DD">
        <w:trPr>
          <w:cantSplit/>
          <w:trHeight w:val="278"/>
        </w:trPr>
        <w:tc>
          <w:tcPr>
            <w:tcW w:w="850" w:type="dxa"/>
            <w:shd w:val="clear" w:color="auto" w:fill="auto"/>
          </w:tcPr>
          <w:p w14:paraId="6B200D3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1-23</w:t>
            </w:r>
          </w:p>
        </w:tc>
        <w:tc>
          <w:tcPr>
            <w:tcW w:w="2692" w:type="dxa"/>
            <w:gridSpan w:val="2"/>
            <w:shd w:val="clear" w:color="auto" w:fill="auto"/>
          </w:tcPr>
          <w:p w14:paraId="47A78B10"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1-phenylundecane and isomers </w:t>
            </w:r>
          </w:p>
        </w:tc>
        <w:tc>
          <w:tcPr>
            <w:tcW w:w="1277" w:type="dxa"/>
            <w:shd w:val="clear" w:color="auto" w:fill="auto"/>
          </w:tcPr>
          <w:p w14:paraId="018EB25E"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6742-54-7</w:t>
            </w:r>
          </w:p>
        </w:tc>
        <w:tc>
          <w:tcPr>
            <w:tcW w:w="993" w:type="dxa"/>
            <w:shd w:val="clear" w:color="auto" w:fill="auto"/>
          </w:tcPr>
          <w:p w14:paraId="5A5D738C"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b/>
                <w:bCs/>
                <w:color w:val="000000"/>
              </w:rPr>
            </w:pPr>
            <w:r w:rsidRPr="0009445C">
              <w:rPr>
                <w:b/>
                <w:color w:val="000000"/>
              </w:rPr>
              <w:t>1 100</w:t>
            </w:r>
          </w:p>
        </w:tc>
        <w:tc>
          <w:tcPr>
            <w:tcW w:w="3265" w:type="dxa"/>
            <w:shd w:val="clear" w:color="auto" w:fill="auto"/>
          </w:tcPr>
          <w:p w14:paraId="4E26B2E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Read across of ethylbenzene </w:t>
            </w:r>
          </w:p>
        </w:tc>
      </w:tr>
      <w:tr w:rsidR="00DE0321" w:rsidRPr="0009445C" w14:paraId="26096DE3" w14:textId="77777777" w:rsidTr="00B409DD">
        <w:trPr>
          <w:cantSplit/>
          <w:trHeight w:val="184"/>
        </w:trPr>
        <w:tc>
          <w:tcPr>
            <w:tcW w:w="850" w:type="dxa"/>
            <w:shd w:val="clear" w:color="auto" w:fill="auto"/>
          </w:tcPr>
          <w:p w14:paraId="67A0F9BC"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1-24</w:t>
            </w:r>
          </w:p>
        </w:tc>
        <w:tc>
          <w:tcPr>
            <w:tcW w:w="2692" w:type="dxa"/>
            <w:gridSpan w:val="2"/>
            <w:shd w:val="clear" w:color="auto" w:fill="auto"/>
          </w:tcPr>
          <w:p w14:paraId="2599863A"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4-phenylcyclohexene (4-PCH) </w:t>
            </w:r>
          </w:p>
        </w:tc>
        <w:tc>
          <w:tcPr>
            <w:tcW w:w="1277" w:type="dxa"/>
            <w:shd w:val="clear" w:color="auto" w:fill="auto"/>
          </w:tcPr>
          <w:p w14:paraId="0DBF2C4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4994-16-5</w:t>
            </w:r>
          </w:p>
        </w:tc>
        <w:tc>
          <w:tcPr>
            <w:tcW w:w="993" w:type="dxa"/>
            <w:shd w:val="clear" w:color="auto" w:fill="auto"/>
          </w:tcPr>
          <w:p w14:paraId="7A114A2B"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300</w:t>
            </w:r>
          </w:p>
        </w:tc>
        <w:tc>
          <w:tcPr>
            <w:tcW w:w="3265" w:type="dxa"/>
            <w:shd w:val="clear" w:color="auto" w:fill="auto"/>
          </w:tcPr>
          <w:p w14:paraId="0457594C"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Read across of styrene </w:t>
            </w:r>
          </w:p>
        </w:tc>
      </w:tr>
      <w:tr w:rsidR="00DE0321" w:rsidRPr="0009445C" w14:paraId="43F07A1A" w14:textId="77777777" w:rsidTr="00B409DD">
        <w:trPr>
          <w:cantSplit/>
          <w:trHeight w:val="207"/>
        </w:trPr>
        <w:tc>
          <w:tcPr>
            <w:tcW w:w="850" w:type="dxa"/>
            <w:shd w:val="clear" w:color="auto" w:fill="auto"/>
          </w:tcPr>
          <w:p w14:paraId="52C9568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1-25</w:t>
            </w:r>
          </w:p>
        </w:tc>
        <w:tc>
          <w:tcPr>
            <w:tcW w:w="2692" w:type="dxa"/>
            <w:gridSpan w:val="2"/>
            <w:shd w:val="clear" w:color="auto" w:fill="auto"/>
          </w:tcPr>
          <w:p w14:paraId="110A9587"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Styrene </w:t>
            </w:r>
          </w:p>
        </w:tc>
        <w:tc>
          <w:tcPr>
            <w:tcW w:w="1277" w:type="dxa"/>
            <w:shd w:val="clear" w:color="auto" w:fill="auto"/>
          </w:tcPr>
          <w:p w14:paraId="5E170CE5"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100-42-5</w:t>
            </w:r>
          </w:p>
        </w:tc>
        <w:tc>
          <w:tcPr>
            <w:tcW w:w="993" w:type="dxa"/>
            <w:shd w:val="clear" w:color="auto" w:fill="auto"/>
          </w:tcPr>
          <w:p w14:paraId="35569784"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250</w:t>
            </w:r>
          </w:p>
        </w:tc>
        <w:tc>
          <w:tcPr>
            <w:tcW w:w="3265" w:type="dxa"/>
            <w:shd w:val="clear" w:color="auto" w:fill="auto"/>
          </w:tcPr>
          <w:p w14:paraId="55FF7320"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584E3C41" w14:textId="77777777" w:rsidTr="00B409DD">
        <w:trPr>
          <w:cantSplit/>
          <w:trHeight w:val="150"/>
        </w:trPr>
        <w:tc>
          <w:tcPr>
            <w:tcW w:w="850" w:type="dxa"/>
            <w:shd w:val="clear" w:color="auto" w:fill="auto"/>
          </w:tcPr>
          <w:p w14:paraId="7B890B5D"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1-26</w:t>
            </w:r>
          </w:p>
        </w:tc>
        <w:tc>
          <w:tcPr>
            <w:tcW w:w="2692" w:type="dxa"/>
            <w:gridSpan w:val="2"/>
            <w:shd w:val="clear" w:color="auto" w:fill="auto"/>
          </w:tcPr>
          <w:p w14:paraId="5385D968"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Phenylacetylene </w:t>
            </w:r>
          </w:p>
        </w:tc>
        <w:tc>
          <w:tcPr>
            <w:tcW w:w="1277" w:type="dxa"/>
            <w:shd w:val="clear" w:color="auto" w:fill="auto"/>
          </w:tcPr>
          <w:p w14:paraId="50F256E7"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536-74-3</w:t>
            </w:r>
          </w:p>
        </w:tc>
        <w:tc>
          <w:tcPr>
            <w:tcW w:w="993" w:type="dxa"/>
            <w:shd w:val="clear" w:color="auto" w:fill="auto"/>
          </w:tcPr>
          <w:p w14:paraId="7BFCB9E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200</w:t>
            </w:r>
          </w:p>
        </w:tc>
        <w:tc>
          <w:tcPr>
            <w:tcW w:w="3265" w:type="dxa"/>
            <w:shd w:val="clear" w:color="auto" w:fill="auto"/>
          </w:tcPr>
          <w:p w14:paraId="2973BE0A"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styrene</w:t>
            </w:r>
          </w:p>
        </w:tc>
      </w:tr>
      <w:tr w:rsidR="00DE0321" w:rsidRPr="0009445C" w14:paraId="168CDF7A" w14:textId="77777777" w:rsidTr="00B409DD">
        <w:trPr>
          <w:cantSplit/>
          <w:trHeight w:val="390"/>
        </w:trPr>
        <w:tc>
          <w:tcPr>
            <w:tcW w:w="850" w:type="dxa"/>
            <w:shd w:val="clear" w:color="auto" w:fill="auto"/>
          </w:tcPr>
          <w:p w14:paraId="4C6A7369"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1-27</w:t>
            </w:r>
          </w:p>
        </w:tc>
        <w:tc>
          <w:tcPr>
            <w:tcW w:w="2692" w:type="dxa"/>
            <w:gridSpan w:val="2"/>
            <w:shd w:val="clear" w:color="auto" w:fill="auto"/>
          </w:tcPr>
          <w:p w14:paraId="2ADA6F45"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2-phenylpropene</w:t>
            </w:r>
          </w:p>
          <w:p w14:paraId="18EB61AA"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(α-</w:t>
            </w:r>
            <w:proofErr w:type="spellStart"/>
            <w:r w:rsidRPr="0009445C">
              <w:rPr>
                <w:color w:val="000000"/>
              </w:rPr>
              <w:t>methylstyrene</w:t>
            </w:r>
            <w:proofErr w:type="spellEnd"/>
            <w:r w:rsidRPr="0009445C">
              <w:rPr>
                <w:color w:val="000000"/>
              </w:rPr>
              <w:t xml:space="preserve">) </w:t>
            </w:r>
          </w:p>
        </w:tc>
        <w:tc>
          <w:tcPr>
            <w:tcW w:w="1277" w:type="dxa"/>
            <w:shd w:val="clear" w:color="auto" w:fill="auto"/>
          </w:tcPr>
          <w:p w14:paraId="190E880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98-83-9</w:t>
            </w:r>
          </w:p>
        </w:tc>
        <w:tc>
          <w:tcPr>
            <w:tcW w:w="993" w:type="dxa"/>
            <w:shd w:val="clear" w:color="auto" w:fill="auto"/>
          </w:tcPr>
          <w:p w14:paraId="5D865DF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1 200</w:t>
            </w:r>
          </w:p>
        </w:tc>
        <w:tc>
          <w:tcPr>
            <w:tcW w:w="3265" w:type="dxa"/>
            <w:shd w:val="clear" w:color="auto" w:fill="auto"/>
          </w:tcPr>
          <w:p w14:paraId="06D0E279"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3BD831E4" w14:textId="77777777" w:rsidTr="00B409DD">
        <w:trPr>
          <w:cantSplit/>
          <w:trHeight w:val="390"/>
        </w:trPr>
        <w:tc>
          <w:tcPr>
            <w:tcW w:w="850" w:type="dxa"/>
            <w:shd w:val="clear" w:color="auto" w:fill="auto"/>
          </w:tcPr>
          <w:p w14:paraId="3566028B"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1-28</w:t>
            </w:r>
          </w:p>
        </w:tc>
        <w:tc>
          <w:tcPr>
            <w:tcW w:w="2692" w:type="dxa"/>
            <w:gridSpan w:val="2"/>
            <w:shd w:val="clear" w:color="auto" w:fill="auto"/>
          </w:tcPr>
          <w:p w14:paraId="257C6351"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Vinyl toluene (all isomers: </w:t>
            </w:r>
          </w:p>
          <w:p w14:paraId="2FFAE595"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o-, m-, p-</w:t>
            </w:r>
            <w:proofErr w:type="spellStart"/>
            <w:r w:rsidRPr="0009445C">
              <w:rPr>
                <w:color w:val="000000"/>
              </w:rPr>
              <w:t>methylstyrenes</w:t>
            </w:r>
            <w:proofErr w:type="spellEnd"/>
            <w:r w:rsidRPr="0009445C">
              <w:rPr>
                <w:color w:val="000000"/>
              </w:rPr>
              <w:t xml:space="preserve">) </w:t>
            </w:r>
          </w:p>
        </w:tc>
        <w:tc>
          <w:tcPr>
            <w:tcW w:w="1277" w:type="dxa"/>
            <w:shd w:val="clear" w:color="auto" w:fill="auto"/>
          </w:tcPr>
          <w:p w14:paraId="47463FB9"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25013-15-4</w:t>
            </w:r>
          </w:p>
        </w:tc>
        <w:tc>
          <w:tcPr>
            <w:tcW w:w="993" w:type="dxa"/>
            <w:shd w:val="clear" w:color="auto" w:fill="auto"/>
          </w:tcPr>
          <w:p w14:paraId="6D0777B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1 200</w:t>
            </w:r>
          </w:p>
        </w:tc>
        <w:tc>
          <w:tcPr>
            <w:tcW w:w="3265" w:type="dxa"/>
            <w:shd w:val="clear" w:color="auto" w:fill="auto"/>
          </w:tcPr>
          <w:p w14:paraId="5287B92F" w14:textId="77777777" w:rsidR="00DE0321" w:rsidRPr="0009445C" w:rsidRDefault="00DE0321" w:rsidP="00B409DD">
            <w:pPr>
              <w:widowControl w:val="0"/>
              <w:autoSpaceDE w:val="0"/>
              <w:autoSpaceDN w:val="0"/>
              <w:adjustRightInd w:val="0"/>
              <w:spacing w:before="60" w:after="40" w:line="240" w:lineRule="auto"/>
              <w:contextualSpacing/>
              <w:rPr>
                <w:rFonts w:cs="Arial"/>
              </w:rPr>
            </w:pPr>
            <w:r w:rsidRPr="0009445C">
              <w:rPr>
                <w:color w:val="000000"/>
              </w:rPr>
              <w:t>Adoption of EU LCI value</w:t>
            </w:r>
          </w:p>
        </w:tc>
      </w:tr>
      <w:tr w:rsidR="00DE0321" w:rsidRPr="0009445C" w14:paraId="64CA31B9" w14:textId="77777777" w:rsidTr="00B409DD">
        <w:trPr>
          <w:cantSplit/>
          <w:trHeight w:val="575"/>
        </w:trPr>
        <w:tc>
          <w:tcPr>
            <w:tcW w:w="850" w:type="dxa"/>
            <w:shd w:val="clear" w:color="auto" w:fill="auto"/>
          </w:tcPr>
          <w:p w14:paraId="6FFECE4B"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1-29</w:t>
            </w:r>
          </w:p>
        </w:tc>
        <w:tc>
          <w:tcPr>
            <w:tcW w:w="2692" w:type="dxa"/>
            <w:gridSpan w:val="2"/>
            <w:shd w:val="clear" w:color="auto" w:fill="auto"/>
          </w:tcPr>
          <w:p w14:paraId="1D3D049D"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Other </w:t>
            </w:r>
            <w:proofErr w:type="spellStart"/>
            <w:r w:rsidRPr="0009445C">
              <w:rPr>
                <w:color w:val="000000"/>
              </w:rPr>
              <w:t>alkylbenenes</w:t>
            </w:r>
            <w:proofErr w:type="spellEnd"/>
            <w:r w:rsidRPr="0009445C">
              <w:rPr>
                <w:color w:val="000000"/>
              </w:rPr>
              <w:t xml:space="preserve">, unless individual isomers shall be assessed differently </w:t>
            </w:r>
          </w:p>
        </w:tc>
        <w:tc>
          <w:tcPr>
            <w:tcW w:w="1277" w:type="dxa"/>
            <w:shd w:val="clear" w:color="auto" w:fill="auto"/>
          </w:tcPr>
          <w:p w14:paraId="48E6CE2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rPr>
            </w:pPr>
          </w:p>
        </w:tc>
        <w:tc>
          <w:tcPr>
            <w:tcW w:w="993" w:type="dxa"/>
            <w:shd w:val="clear" w:color="auto" w:fill="auto"/>
          </w:tcPr>
          <w:p w14:paraId="597EB2AF"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450</w:t>
            </w:r>
          </w:p>
        </w:tc>
        <w:tc>
          <w:tcPr>
            <w:tcW w:w="3265" w:type="dxa"/>
            <w:shd w:val="clear" w:color="auto" w:fill="auto"/>
          </w:tcPr>
          <w:p w14:paraId="6C99D696"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Read across of trimethylbenzene</w:t>
            </w:r>
          </w:p>
        </w:tc>
      </w:tr>
      <w:tr w:rsidR="00DE0321" w:rsidRPr="0009445C" w14:paraId="66A652F7" w14:textId="77777777" w:rsidTr="00B409DD">
        <w:trPr>
          <w:cantSplit/>
          <w:trHeight w:val="207"/>
        </w:trPr>
        <w:tc>
          <w:tcPr>
            <w:tcW w:w="850" w:type="dxa"/>
            <w:shd w:val="clear" w:color="auto" w:fill="auto"/>
          </w:tcPr>
          <w:p w14:paraId="3BE28283"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1-30</w:t>
            </w:r>
          </w:p>
        </w:tc>
        <w:tc>
          <w:tcPr>
            <w:tcW w:w="2692" w:type="dxa"/>
            <w:gridSpan w:val="2"/>
            <w:shd w:val="clear" w:color="auto" w:fill="auto"/>
          </w:tcPr>
          <w:p w14:paraId="7BB5C28A"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Naphthalene </w:t>
            </w:r>
          </w:p>
        </w:tc>
        <w:tc>
          <w:tcPr>
            <w:tcW w:w="1277" w:type="dxa"/>
            <w:shd w:val="clear" w:color="auto" w:fill="auto"/>
          </w:tcPr>
          <w:p w14:paraId="06F51801"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91-20-3</w:t>
            </w:r>
          </w:p>
        </w:tc>
        <w:tc>
          <w:tcPr>
            <w:tcW w:w="993" w:type="dxa"/>
            <w:shd w:val="clear" w:color="auto" w:fill="auto"/>
          </w:tcPr>
          <w:p w14:paraId="03A6993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10</w:t>
            </w:r>
          </w:p>
        </w:tc>
        <w:tc>
          <w:tcPr>
            <w:tcW w:w="3265" w:type="dxa"/>
            <w:shd w:val="clear" w:color="auto" w:fill="auto"/>
          </w:tcPr>
          <w:p w14:paraId="294F6A1B"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tc>
      </w:tr>
      <w:tr w:rsidR="00DE0321" w:rsidRPr="0009445C" w14:paraId="552BBCB2" w14:textId="77777777" w:rsidTr="00B409DD">
        <w:trPr>
          <w:cantSplit/>
          <w:trHeight w:val="149"/>
        </w:trPr>
        <w:tc>
          <w:tcPr>
            <w:tcW w:w="850" w:type="dxa"/>
            <w:shd w:val="clear" w:color="auto" w:fill="auto"/>
          </w:tcPr>
          <w:p w14:paraId="15C9C0AC"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1-31</w:t>
            </w:r>
          </w:p>
        </w:tc>
        <w:tc>
          <w:tcPr>
            <w:tcW w:w="2692" w:type="dxa"/>
            <w:gridSpan w:val="2"/>
            <w:shd w:val="clear" w:color="auto" w:fill="auto"/>
          </w:tcPr>
          <w:p w14:paraId="77F15262"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 xml:space="preserve">Indene </w:t>
            </w:r>
          </w:p>
        </w:tc>
        <w:tc>
          <w:tcPr>
            <w:tcW w:w="1277" w:type="dxa"/>
            <w:shd w:val="clear" w:color="auto" w:fill="auto"/>
          </w:tcPr>
          <w:p w14:paraId="7FF279E0"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color w:val="000000"/>
              </w:rPr>
              <w:t>95-13-6</w:t>
            </w:r>
          </w:p>
        </w:tc>
        <w:tc>
          <w:tcPr>
            <w:tcW w:w="993" w:type="dxa"/>
            <w:shd w:val="clear" w:color="auto" w:fill="auto"/>
          </w:tcPr>
          <w:p w14:paraId="143A8562" w14:textId="77777777" w:rsidR="00DE0321" w:rsidRPr="0009445C" w:rsidRDefault="00DE0321" w:rsidP="00B409DD">
            <w:pPr>
              <w:widowControl w:val="0"/>
              <w:autoSpaceDE w:val="0"/>
              <w:autoSpaceDN w:val="0"/>
              <w:adjustRightInd w:val="0"/>
              <w:spacing w:before="60" w:after="40" w:line="240" w:lineRule="auto"/>
              <w:contextualSpacing/>
              <w:jc w:val="center"/>
              <w:rPr>
                <w:rFonts w:cs="Arial"/>
                <w:color w:val="000000"/>
              </w:rPr>
            </w:pPr>
            <w:r w:rsidRPr="0009445C">
              <w:rPr>
                <w:b/>
                <w:color w:val="000000"/>
              </w:rPr>
              <w:t>450</w:t>
            </w:r>
          </w:p>
        </w:tc>
        <w:tc>
          <w:tcPr>
            <w:tcW w:w="3265" w:type="dxa"/>
            <w:shd w:val="clear" w:color="auto" w:fill="auto"/>
          </w:tcPr>
          <w:p w14:paraId="241BAF95" w14:textId="77777777" w:rsidR="00DE0321" w:rsidRPr="0009445C" w:rsidRDefault="00DE0321" w:rsidP="00B409DD">
            <w:pPr>
              <w:widowControl w:val="0"/>
              <w:autoSpaceDE w:val="0"/>
              <w:autoSpaceDN w:val="0"/>
              <w:adjustRightInd w:val="0"/>
              <w:spacing w:before="60" w:after="40" w:line="240" w:lineRule="auto"/>
              <w:contextualSpacing/>
              <w:rPr>
                <w:rFonts w:cs="Arial"/>
                <w:color w:val="000000"/>
              </w:rPr>
            </w:pPr>
            <w:r w:rsidRPr="0009445C">
              <w:rPr>
                <w:color w:val="000000"/>
              </w:rPr>
              <w:t>Adoption of EU LCI value</w:t>
            </w:r>
          </w:p>
        </w:tc>
      </w:tr>
      <w:tr w:rsidR="00DE0321" w:rsidRPr="0009445C" w14:paraId="1F33E4E3" w14:textId="77777777" w:rsidTr="00B409DD">
        <w:trPr>
          <w:cantSplit/>
          <w:trHeight w:val="283"/>
        </w:trPr>
        <w:tc>
          <w:tcPr>
            <w:tcW w:w="850" w:type="dxa"/>
            <w:shd w:val="clear" w:color="auto" w:fill="auto"/>
          </w:tcPr>
          <w:p w14:paraId="09F2E324" w14:textId="77777777" w:rsidR="00DE0321" w:rsidRPr="0009445C" w:rsidRDefault="00DE0321" w:rsidP="00B409DD">
            <w:pPr>
              <w:pStyle w:val="BRL-TabelleAnlageberschriftFett"/>
              <w:pageBreakBefore/>
              <w:spacing w:before="60" w:after="40"/>
              <w:jc w:val="center"/>
            </w:pPr>
            <w:r w:rsidRPr="0009445C">
              <w:lastRenderedPageBreak/>
              <w:t>2</w:t>
            </w:r>
          </w:p>
        </w:tc>
        <w:tc>
          <w:tcPr>
            <w:tcW w:w="8227" w:type="dxa"/>
            <w:gridSpan w:val="5"/>
            <w:shd w:val="clear" w:color="auto" w:fill="auto"/>
          </w:tcPr>
          <w:p w14:paraId="460093D3" w14:textId="77777777" w:rsidR="00DE0321" w:rsidRPr="0009445C" w:rsidRDefault="00DE0321" w:rsidP="00B409DD">
            <w:pPr>
              <w:pStyle w:val="BRL-TabelleAnlageberschriftFett"/>
              <w:spacing w:before="60" w:after="40"/>
            </w:pPr>
            <w:r w:rsidRPr="0009445C">
              <w:t>Aliphatic hydrocarbons (n-, iso- and cyclo-)</w:t>
            </w:r>
          </w:p>
        </w:tc>
      </w:tr>
      <w:tr w:rsidR="00DE0321" w:rsidRPr="0009445C" w14:paraId="7FC65DAC" w14:textId="77777777" w:rsidTr="00B409DD">
        <w:trPr>
          <w:cantSplit/>
          <w:trHeight w:val="207"/>
        </w:trPr>
        <w:tc>
          <w:tcPr>
            <w:tcW w:w="850" w:type="dxa"/>
            <w:shd w:val="clear" w:color="auto" w:fill="auto"/>
          </w:tcPr>
          <w:p w14:paraId="24E0AD2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2-1</w:t>
            </w:r>
          </w:p>
        </w:tc>
        <w:tc>
          <w:tcPr>
            <w:tcW w:w="2692" w:type="dxa"/>
            <w:gridSpan w:val="2"/>
            <w:shd w:val="clear" w:color="auto" w:fill="auto"/>
          </w:tcPr>
          <w:p w14:paraId="5A5ED4E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3-methylpentane </w:t>
            </w:r>
          </w:p>
        </w:tc>
        <w:tc>
          <w:tcPr>
            <w:tcW w:w="1277" w:type="dxa"/>
            <w:shd w:val="clear" w:color="auto" w:fill="auto"/>
          </w:tcPr>
          <w:p w14:paraId="031B97A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96-14-0</w:t>
            </w:r>
          </w:p>
        </w:tc>
        <w:tc>
          <w:tcPr>
            <w:tcW w:w="993" w:type="dxa"/>
            <w:shd w:val="clear" w:color="auto" w:fill="auto"/>
          </w:tcPr>
          <w:p w14:paraId="54960922"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1AE935E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VVOC </w:t>
            </w:r>
          </w:p>
        </w:tc>
      </w:tr>
      <w:tr w:rsidR="00DE0321" w:rsidRPr="0009445C" w14:paraId="205EEEBA" w14:textId="77777777" w:rsidTr="00B409DD">
        <w:trPr>
          <w:cantSplit/>
          <w:trHeight w:val="207"/>
        </w:trPr>
        <w:tc>
          <w:tcPr>
            <w:tcW w:w="850" w:type="dxa"/>
            <w:shd w:val="clear" w:color="auto" w:fill="auto"/>
          </w:tcPr>
          <w:p w14:paraId="78047F8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2-2</w:t>
            </w:r>
          </w:p>
        </w:tc>
        <w:tc>
          <w:tcPr>
            <w:tcW w:w="2692" w:type="dxa"/>
            <w:gridSpan w:val="2"/>
            <w:shd w:val="clear" w:color="auto" w:fill="auto"/>
          </w:tcPr>
          <w:p w14:paraId="5F9C409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Hexane </w:t>
            </w:r>
          </w:p>
        </w:tc>
        <w:tc>
          <w:tcPr>
            <w:tcW w:w="1277" w:type="dxa"/>
            <w:shd w:val="clear" w:color="auto" w:fill="auto"/>
          </w:tcPr>
          <w:p w14:paraId="0867D5A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110-54-3</w:t>
            </w:r>
          </w:p>
        </w:tc>
        <w:tc>
          <w:tcPr>
            <w:tcW w:w="993" w:type="dxa"/>
            <w:shd w:val="clear" w:color="auto" w:fill="auto"/>
          </w:tcPr>
          <w:p w14:paraId="127B280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4 300</w:t>
            </w:r>
          </w:p>
        </w:tc>
        <w:tc>
          <w:tcPr>
            <w:tcW w:w="3265" w:type="dxa"/>
            <w:shd w:val="clear" w:color="auto" w:fill="auto"/>
          </w:tcPr>
          <w:p w14:paraId="19BA6FC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64E7D125" w14:textId="77777777" w:rsidTr="00B409DD">
        <w:trPr>
          <w:cantSplit/>
          <w:trHeight w:val="207"/>
        </w:trPr>
        <w:tc>
          <w:tcPr>
            <w:tcW w:w="850" w:type="dxa"/>
            <w:shd w:val="clear" w:color="auto" w:fill="auto"/>
          </w:tcPr>
          <w:p w14:paraId="74F9095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2-3</w:t>
            </w:r>
          </w:p>
        </w:tc>
        <w:tc>
          <w:tcPr>
            <w:tcW w:w="2692" w:type="dxa"/>
            <w:gridSpan w:val="2"/>
            <w:shd w:val="clear" w:color="auto" w:fill="auto"/>
          </w:tcPr>
          <w:p w14:paraId="10E8628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Cyclohexane </w:t>
            </w:r>
          </w:p>
        </w:tc>
        <w:tc>
          <w:tcPr>
            <w:tcW w:w="1277" w:type="dxa"/>
            <w:shd w:val="clear" w:color="auto" w:fill="auto"/>
          </w:tcPr>
          <w:p w14:paraId="3E182B0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110-82-7</w:t>
            </w:r>
          </w:p>
        </w:tc>
        <w:tc>
          <w:tcPr>
            <w:tcW w:w="993" w:type="dxa"/>
            <w:shd w:val="clear" w:color="auto" w:fill="auto"/>
          </w:tcPr>
          <w:p w14:paraId="4036C96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6 000</w:t>
            </w:r>
          </w:p>
        </w:tc>
        <w:tc>
          <w:tcPr>
            <w:tcW w:w="3265" w:type="dxa"/>
            <w:shd w:val="clear" w:color="auto" w:fill="auto"/>
          </w:tcPr>
          <w:p w14:paraId="10D8B6C1"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0E608E33" w14:textId="77777777" w:rsidTr="00B409DD">
        <w:trPr>
          <w:cantSplit/>
          <w:trHeight w:val="207"/>
        </w:trPr>
        <w:tc>
          <w:tcPr>
            <w:tcW w:w="850" w:type="dxa"/>
            <w:shd w:val="clear" w:color="auto" w:fill="auto"/>
          </w:tcPr>
          <w:p w14:paraId="2C4F59C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2-4</w:t>
            </w:r>
          </w:p>
        </w:tc>
        <w:tc>
          <w:tcPr>
            <w:tcW w:w="2692" w:type="dxa"/>
            <w:gridSpan w:val="2"/>
            <w:shd w:val="clear" w:color="auto" w:fill="auto"/>
          </w:tcPr>
          <w:p w14:paraId="7B33D8E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Methylcyclohexane </w:t>
            </w:r>
          </w:p>
        </w:tc>
        <w:tc>
          <w:tcPr>
            <w:tcW w:w="1277" w:type="dxa"/>
            <w:shd w:val="clear" w:color="auto" w:fill="auto"/>
          </w:tcPr>
          <w:p w14:paraId="0F14AC7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108-87-2</w:t>
            </w:r>
          </w:p>
        </w:tc>
        <w:tc>
          <w:tcPr>
            <w:tcW w:w="993" w:type="dxa"/>
            <w:shd w:val="clear" w:color="auto" w:fill="auto"/>
          </w:tcPr>
          <w:p w14:paraId="27296B5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8 100</w:t>
            </w:r>
          </w:p>
        </w:tc>
        <w:tc>
          <w:tcPr>
            <w:tcW w:w="3265" w:type="dxa"/>
            <w:shd w:val="clear" w:color="auto" w:fill="auto"/>
          </w:tcPr>
          <w:p w14:paraId="7B08743F"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508EE614" w14:textId="77777777" w:rsidTr="00B409DD">
        <w:trPr>
          <w:cantSplit/>
          <w:trHeight w:val="210"/>
        </w:trPr>
        <w:tc>
          <w:tcPr>
            <w:tcW w:w="850" w:type="dxa"/>
            <w:shd w:val="clear" w:color="auto" w:fill="auto"/>
          </w:tcPr>
          <w:p w14:paraId="293BF10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2-5</w:t>
            </w:r>
          </w:p>
        </w:tc>
        <w:tc>
          <w:tcPr>
            <w:tcW w:w="2692" w:type="dxa"/>
            <w:gridSpan w:val="2"/>
            <w:shd w:val="clear" w:color="auto" w:fill="auto"/>
          </w:tcPr>
          <w:p w14:paraId="7B9968D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w:t>
            </w:r>
          </w:p>
        </w:tc>
        <w:tc>
          <w:tcPr>
            <w:tcW w:w="1277" w:type="dxa"/>
            <w:shd w:val="clear" w:color="auto" w:fill="auto"/>
          </w:tcPr>
          <w:p w14:paraId="4758B449"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310931CE"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48C88B25" w14:textId="77777777" w:rsidR="00DE0321" w:rsidRPr="0009445C" w:rsidRDefault="00DE0321" w:rsidP="00B409DD">
            <w:pPr>
              <w:widowControl w:val="0"/>
              <w:autoSpaceDE w:val="0"/>
              <w:autoSpaceDN w:val="0"/>
              <w:adjustRightInd w:val="0"/>
              <w:spacing w:before="60" w:after="40" w:line="240" w:lineRule="auto"/>
              <w:rPr>
                <w:rFonts w:cs="Arial"/>
                <w:color w:val="000000"/>
                <w:vertAlign w:val="superscript"/>
              </w:rPr>
            </w:pPr>
            <w:r w:rsidRPr="0009445C">
              <w:rPr>
                <w:color w:val="000000"/>
                <w:vertAlign w:val="superscript"/>
              </w:rPr>
              <w:t xml:space="preserve">1) </w:t>
            </w:r>
          </w:p>
        </w:tc>
      </w:tr>
      <w:tr w:rsidR="00DE0321" w:rsidRPr="0009445C" w14:paraId="269BD723" w14:textId="77777777" w:rsidTr="00B409DD">
        <w:trPr>
          <w:cantSplit/>
          <w:trHeight w:val="207"/>
        </w:trPr>
        <w:tc>
          <w:tcPr>
            <w:tcW w:w="850" w:type="dxa"/>
            <w:shd w:val="clear" w:color="auto" w:fill="auto"/>
          </w:tcPr>
          <w:p w14:paraId="151D6CB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2-6</w:t>
            </w:r>
          </w:p>
        </w:tc>
        <w:tc>
          <w:tcPr>
            <w:tcW w:w="2692" w:type="dxa"/>
            <w:gridSpan w:val="2"/>
            <w:shd w:val="clear" w:color="auto" w:fill="auto"/>
          </w:tcPr>
          <w:p w14:paraId="24E0DEC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w:t>
            </w:r>
          </w:p>
        </w:tc>
        <w:tc>
          <w:tcPr>
            <w:tcW w:w="1277" w:type="dxa"/>
            <w:shd w:val="clear" w:color="auto" w:fill="auto"/>
          </w:tcPr>
          <w:p w14:paraId="61CF75DF"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6EE9D655"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1BD0716B" w14:textId="77777777" w:rsidR="00DE0321" w:rsidRPr="0009445C" w:rsidRDefault="00DE0321" w:rsidP="00B409DD">
            <w:pPr>
              <w:widowControl w:val="0"/>
              <w:autoSpaceDE w:val="0"/>
              <w:autoSpaceDN w:val="0"/>
              <w:adjustRightInd w:val="0"/>
              <w:spacing w:before="60" w:after="40" w:line="240" w:lineRule="auto"/>
              <w:rPr>
                <w:rFonts w:cs="Arial"/>
                <w:color w:val="000000"/>
                <w:vertAlign w:val="superscript"/>
              </w:rPr>
            </w:pPr>
            <w:r w:rsidRPr="0009445C">
              <w:rPr>
                <w:color w:val="000000"/>
                <w:vertAlign w:val="superscript"/>
              </w:rPr>
              <w:t xml:space="preserve">1) </w:t>
            </w:r>
          </w:p>
        </w:tc>
      </w:tr>
      <w:tr w:rsidR="00DE0321" w:rsidRPr="0009445C" w14:paraId="02C91E5C" w14:textId="77777777" w:rsidTr="00B409DD">
        <w:trPr>
          <w:cantSplit/>
          <w:trHeight w:val="207"/>
        </w:trPr>
        <w:tc>
          <w:tcPr>
            <w:tcW w:w="850" w:type="dxa"/>
            <w:shd w:val="clear" w:color="auto" w:fill="auto"/>
          </w:tcPr>
          <w:p w14:paraId="4399153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2-7</w:t>
            </w:r>
          </w:p>
        </w:tc>
        <w:tc>
          <w:tcPr>
            <w:tcW w:w="2692" w:type="dxa"/>
            <w:gridSpan w:val="2"/>
            <w:shd w:val="clear" w:color="auto" w:fill="auto"/>
          </w:tcPr>
          <w:p w14:paraId="62CF74A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w:t>
            </w:r>
          </w:p>
        </w:tc>
        <w:tc>
          <w:tcPr>
            <w:tcW w:w="1277" w:type="dxa"/>
            <w:shd w:val="clear" w:color="auto" w:fill="auto"/>
          </w:tcPr>
          <w:p w14:paraId="4BBA57A6"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46C14B41"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0070CF30" w14:textId="77777777" w:rsidR="00DE0321" w:rsidRPr="0009445C" w:rsidRDefault="00DE0321" w:rsidP="00B409DD">
            <w:pPr>
              <w:widowControl w:val="0"/>
              <w:autoSpaceDE w:val="0"/>
              <w:autoSpaceDN w:val="0"/>
              <w:adjustRightInd w:val="0"/>
              <w:spacing w:before="60" w:after="40" w:line="240" w:lineRule="auto"/>
              <w:rPr>
                <w:rFonts w:cs="Arial"/>
                <w:color w:val="000000"/>
                <w:vertAlign w:val="superscript"/>
              </w:rPr>
            </w:pPr>
            <w:r w:rsidRPr="0009445C">
              <w:rPr>
                <w:color w:val="000000"/>
                <w:vertAlign w:val="superscript"/>
              </w:rPr>
              <w:t xml:space="preserve">1) </w:t>
            </w:r>
          </w:p>
        </w:tc>
      </w:tr>
      <w:tr w:rsidR="00DE0321" w:rsidRPr="0009445C" w14:paraId="47489244" w14:textId="77777777" w:rsidTr="00B409DD">
        <w:trPr>
          <w:cantSplit/>
          <w:trHeight w:val="207"/>
        </w:trPr>
        <w:tc>
          <w:tcPr>
            <w:tcW w:w="850" w:type="dxa"/>
            <w:shd w:val="clear" w:color="auto" w:fill="auto"/>
          </w:tcPr>
          <w:p w14:paraId="789E728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2-8</w:t>
            </w:r>
          </w:p>
        </w:tc>
        <w:tc>
          <w:tcPr>
            <w:tcW w:w="2692" w:type="dxa"/>
            <w:gridSpan w:val="2"/>
            <w:shd w:val="clear" w:color="auto" w:fill="auto"/>
          </w:tcPr>
          <w:p w14:paraId="719DB3B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n-heptane </w:t>
            </w:r>
          </w:p>
        </w:tc>
        <w:tc>
          <w:tcPr>
            <w:tcW w:w="1277" w:type="dxa"/>
            <w:shd w:val="clear" w:color="auto" w:fill="auto"/>
          </w:tcPr>
          <w:p w14:paraId="4A0399C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142-82-5</w:t>
            </w:r>
          </w:p>
        </w:tc>
        <w:tc>
          <w:tcPr>
            <w:tcW w:w="993" w:type="dxa"/>
            <w:shd w:val="clear" w:color="auto" w:fill="auto"/>
          </w:tcPr>
          <w:p w14:paraId="072FCA6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15 000</w:t>
            </w:r>
          </w:p>
        </w:tc>
        <w:tc>
          <w:tcPr>
            <w:tcW w:w="3265" w:type="dxa"/>
            <w:shd w:val="clear" w:color="auto" w:fill="auto"/>
          </w:tcPr>
          <w:p w14:paraId="4F749A19"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13C2993B" w14:textId="77777777" w:rsidTr="00B409DD">
        <w:trPr>
          <w:cantSplit/>
          <w:trHeight w:val="137"/>
        </w:trPr>
        <w:tc>
          <w:tcPr>
            <w:tcW w:w="850" w:type="dxa"/>
            <w:shd w:val="clear" w:color="auto" w:fill="auto"/>
          </w:tcPr>
          <w:p w14:paraId="462004B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2-9</w:t>
            </w:r>
          </w:p>
        </w:tc>
        <w:tc>
          <w:tcPr>
            <w:tcW w:w="2692" w:type="dxa"/>
            <w:gridSpan w:val="2"/>
            <w:shd w:val="clear" w:color="auto" w:fill="auto"/>
          </w:tcPr>
          <w:p w14:paraId="5562657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Other saturated aliphatic hydrocarbons C6 to C8 </w:t>
            </w:r>
          </w:p>
        </w:tc>
        <w:tc>
          <w:tcPr>
            <w:tcW w:w="1277" w:type="dxa"/>
            <w:shd w:val="clear" w:color="auto" w:fill="auto"/>
          </w:tcPr>
          <w:p w14:paraId="3ADB0615"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7F851F8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14 000</w:t>
            </w:r>
          </w:p>
        </w:tc>
        <w:tc>
          <w:tcPr>
            <w:tcW w:w="3265" w:type="dxa"/>
            <w:shd w:val="clear" w:color="auto" w:fill="auto"/>
          </w:tcPr>
          <w:p w14:paraId="31177E5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6D55E86D" w14:textId="77777777" w:rsidR="00DE0321" w:rsidRPr="0009445C" w:rsidRDefault="00DE0321" w:rsidP="00B409DD">
            <w:pPr>
              <w:widowControl w:val="0"/>
              <w:autoSpaceDE w:val="0"/>
              <w:autoSpaceDN w:val="0"/>
              <w:adjustRightInd w:val="0"/>
              <w:spacing w:before="60" w:after="40" w:line="240" w:lineRule="auto"/>
              <w:rPr>
                <w:rFonts w:cs="Arial"/>
              </w:rPr>
            </w:pPr>
            <w:r w:rsidRPr="0009445C">
              <w:t>Read across of 2-methylpentane</w:t>
            </w:r>
          </w:p>
        </w:tc>
      </w:tr>
      <w:tr w:rsidR="00DE0321" w:rsidRPr="0009445C" w14:paraId="3CAD278C" w14:textId="77777777" w:rsidTr="00B409DD">
        <w:trPr>
          <w:cantSplit/>
          <w:trHeight w:val="460"/>
        </w:trPr>
        <w:tc>
          <w:tcPr>
            <w:tcW w:w="850" w:type="dxa"/>
            <w:shd w:val="clear" w:color="auto" w:fill="auto"/>
          </w:tcPr>
          <w:p w14:paraId="2B7D3B2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2-10</w:t>
            </w:r>
          </w:p>
        </w:tc>
        <w:tc>
          <w:tcPr>
            <w:tcW w:w="2692" w:type="dxa"/>
            <w:gridSpan w:val="2"/>
            <w:shd w:val="clear" w:color="auto" w:fill="auto"/>
          </w:tcPr>
          <w:p w14:paraId="7E54503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Other saturated aliphatic hydrocarbons C9 to C16</w:t>
            </w:r>
          </w:p>
        </w:tc>
        <w:tc>
          <w:tcPr>
            <w:tcW w:w="1277" w:type="dxa"/>
            <w:shd w:val="clear" w:color="auto" w:fill="auto"/>
          </w:tcPr>
          <w:p w14:paraId="03973005"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5A19ED0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6 000</w:t>
            </w:r>
          </w:p>
        </w:tc>
        <w:tc>
          <w:tcPr>
            <w:tcW w:w="3265" w:type="dxa"/>
            <w:shd w:val="clear" w:color="auto" w:fill="auto"/>
          </w:tcPr>
          <w:p w14:paraId="2FA7351B"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30CDAE1A" w14:textId="77777777" w:rsidTr="00B409DD">
        <w:trPr>
          <w:cantSplit/>
          <w:trHeight w:val="572"/>
        </w:trPr>
        <w:tc>
          <w:tcPr>
            <w:tcW w:w="850" w:type="dxa"/>
            <w:shd w:val="clear" w:color="auto" w:fill="auto"/>
          </w:tcPr>
          <w:p w14:paraId="59D2FE6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2-11</w:t>
            </w:r>
          </w:p>
        </w:tc>
        <w:tc>
          <w:tcPr>
            <w:tcW w:w="2692" w:type="dxa"/>
            <w:gridSpan w:val="2"/>
            <w:shd w:val="clear" w:color="auto" w:fill="auto"/>
          </w:tcPr>
          <w:p w14:paraId="0E7769E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Other saturated aliphatic hydrocarbons C17 to C22</w:t>
            </w:r>
          </w:p>
        </w:tc>
        <w:tc>
          <w:tcPr>
            <w:tcW w:w="1277" w:type="dxa"/>
            <w:shd w:val="clear" w:color="auto" w:fill="auto"/>
          </w:tcPr>
          <w:p w14:paraId="16266F47"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5B87BEA6"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1 000</w:t>
            </w:r>
          </w:p>
        </w:tc>
        <w:tc>
          <w:tcPr>
            <w:tcW w:w="3265" w:type="dxa"/>
            <w:shd w:val="clear" w:color="auto" w:fill="auto"/>
          </w:tcPr>
          <w:p w14:paraId="01A9C79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SVOC</w:t>
            </w:r>
          </w:p>
          <w:p w14:paraId="6959B04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2CD68E3D" w14:textId="77777777" w:rsidTr="00B409DD">
        <w:trPr>
          <w:cantSplit/>
          <w:trHeight w:val="572"/>
        </w:trPr>
        <w:tc>
          <w:tcPr>
            <w:tcW w:w="850" w:type="dxa"/>
            <w:shd w:val="clear" w:color="auto" w:fill="auto"/>
          </w:tcPr>
          <w:p w14:paraId="5D9CF3D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2-12</w:t>
            </w:r>
          </w:p>
        </w:tc>
        <w:tc>
          <w:tcPr>
            <w:tcW w:w="2692" w:type="dxa"/>
            <w:gridSpan w:val="2"/>
            <w:shd w:val="clear" w:color="auto" w:fill="auto"/>
          </w:tcPr>
          <w:p w14:paraId="694425A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1-dodecene</w:t>
            </w:r>
          </w:p>
        </w:tc>
        <w:tc>
          <w:tcPr>
            <w:tcW w:w="1277" w:type="dxa"/>
            <w:shd w:val="clear" w:color="auto" w:fill="auto"/>
          </w:tcPr>
          <w:p w14:paraId="76652C44"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t>112-41-4</w:t>
            </w:r>
          </w:p>
        </w:tc>
        <w:tc>
          <w:tcPr>
            <w:tcW w:w="993" w:type="dxa"/>
            <w:shd w:val="clear" w:color="auto" w:fill="auto"/>
          </w:tcPr>
          <w:p w14:paraId="22601A2D"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750</w:t>
            </w:r>
          </w:p>
        </w:tc>
        <w:tc>
          <w:tcPr>
            <w:tcW w:w="3265" w:type="dxa"/>
            <w:shd w:val="clear" w:color="auto" w:fill="auto"/>
          </w:tcPr>
          <w:p w14:paraId="5BD8F25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11D3688C" w14:textId="77777777" w:rsidTr="00B409DD">
        <w:trPr>
          <w:cantSplit/>
          <w:trHeight w:val="283"/>
        </w:trPr>
        <w:tc>
          <w:tcPr>
            <w:tcW w:w="850" w:type="dxa"/>
            <w:shd w:val="clear" w:color="auto" w:fill="auto"/>
          </w:tcPr>
          <w:p w14:paraId="3E1B7355" w14:textId="77777777" w:rsidR="00DE0321" w:rsidRPr="0009445C" w:rsidRDefault="00DE0321" w:rsidP="00B409DD">
            <w:pPr>
              <w:pStyle w:val="BRL-TabelleAnlageberschriftFett"/>
              <w:spacing w:before="60" w:after="40"/>
              <w:jc w:val="center"/>
            </w:pPr>
            <w:r w:rsidRPr="0009445C">
              <w:t>3</w:t>
            </w:r>
          </w:p>
        </w:tc>
        <w:tc>
          <w:tcPr>
            <w:tcW w:w="8227" w:type="dxa"/>
            <w:gridSpan w:val="5"/>
            <w:shd w:val="clear" w:color="auto" w:fill="auto"/>
          </w:tcPr>
          <w:p w14:paraId="3E244E0F" w14:textId="77777777" w:rsidR="00DE0321" w:rsidRPr="0009445C" w:rsidRDefault="00DE0321" w:rsidP="00B409DD">
            <w:pPr>
              <w:pStyle w:val="BRL-TabelleAnlageberschriftFett"/>
              <w:spacing w:before="60" w:after="40"/>
            </w:pPr>
            <w:r w:rsidRPr="0009445C">
              <w:t>Terpene</w:t>
            </w:r>
          </w:p>
        </w:tc>
      </w:tr>
      <w:tr w:rsidR="00DE0321" w:rsidRPr="0009445C" w14:paraId="3B57C8C6" w14:textId="77777777" w:rsidTr="00B409DD">
        <w:trPr>
          <w:cantSplit/>
          <w:trHeight w:val="222"/>
        </w:trPr>
        <w:tc>
          <w:tcPr>
            <w:tcW w:w="850" w:type="dxa"/>
            <w:shd w:val="clear" w:color="auto" w:fill="auto"/>
          </w:tcPr>
          <w:p w14:paraId="765E873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3-1</w:t>
            </w:r>
          </w:p>
        </w:tc>
        <w:tc>
          <w:tcPr>
            <w:tcW w:w="2692" w:type="dxa"/>
            <w:gridSpan w:val="2"/>
            <w:shd w:val="clear" w:color="auto" w:fill="auto"/>
          </w:tcPr>
          <w:p w14:paraId="237555D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3-carene</w:t>
            </w:r>
          </w:p>
        </w:tc>
        <w:tc>
          <w:tcPr>
            <w:tcW w:w="1277" w:type="dxa"/>
            <w:shd w:val="clear" w:color="auto" w:fill="auto"/>
          </w:tcPr>
          <w:p w14:paraId="676A05D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498-15-7</w:t>
            </w:r>
          </w:p>
        </w:tc>
        <w:tc>
          <w:tcPr>
            <w:tcW w:w="993" w:type="dxa"/>
            <w:shd w:val="clear" w:color="auto" w:fill="auto"/>
          </w:tcPr>
          <w:p w14:paraId="697018C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1 500</w:t>
            </w:r>
          </w:p>
        </w:tc>
        <w:tc>
          <w:tcPr>
            <w:tcW w:w="3265" w:type="dxa"/>
            <w:shd w:val="clear" w:color="auto" w:fill="auto"/>
          </w:tcPr>
          <w:p w14:paraId="0C7338D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04E974A5" w14:textId="77777777" w:rsidTr="00B409DD">
        <w:trPr>
          <w:cantSplit/>
          <w:trHeight w:val="207"/>
        </w:trPr>
        <w:tc>
          <w:tcPr>
            <w:tcW w:w="850" w:type="dxa"/>
            <w:shd w:val="clear" w:color="auto" w:fill="auto"/>
          </w:tcPr>
          <w:p w14:paraId="31BE30C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3-2</w:t>
            </w:r>
          </w:p>
        </w:tc>
        <w:tc>
          <w:tcPr>
            <w:tcW w:w="2692" w:type="dxa"/>
            <w:gridSpan w:val="2"/>
            <w:shd w:val="clear" w:color="auto" w:fill="auto"/>
          </w:tcPr>
          <w:p w14:paraId="6861AB1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α-pines </w:t>
            </w:r>
          </w:p>
        </w:tc>
        <w:tc>
          <w:tcPr>
            <w:tcW w:w="1277" w:type="dxa"/>
            <w:shd w:val="clear" w:color="auto" w:fill="auto"/>
          </w:tcPr>
          <w:p w14:paraId="05EC792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80-56-8</w:t>
            </w:r>
          </w:p>
        </w:tc>
        <w:tc>
          <w:tcPr>
            <w:tcW w:w="993" w:type="dxa"/>
            <w:shd w:val="clear" w:color="auto" w:fill="auto"/>
          </w:tcPr>
          <w:p w14:paraId="5BF1908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2 500</w:t>
            </w:r>
          </w:p>
        </w:tc>
        <w:tc>
          <w:tcPr>
            <w:tcW w:w="3265" w:type="dxa"/>
            <w:shd w:val="clear" w:color="auto" w:fill="auto"/>
          </w:tcPr>
          <w:p w14:paraId="5D43964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3E197484" w14:textId="77777777" w:rsidTr="00B409DD">
        <w:trPr>
          <w:cantSplit/>
          <w:trHeight w:val="207"/>
        </w:trPr>
        <w:tc>
          <w:tcPr>
            <w:tcW w:w="850" w:type="dxa"/>
            <w:shd w:val="clear" w:color="auto" w:fill="auto"/>
          </w:tcPr>
          <w:p w14:paraId="0B2C96A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3-3</w:t>
            </w:r>
          </w:p>
        </w:tc>
        <w:tc>
          <w:tcPr>
            <w:tcW w:w="2692" w:type="dxa"/>
            <w:gridSpan w:val="2"/>
            <w:shd w:val="clear" w:color="auto" w:fill="auto"/>
          </w:tcPr>
          <w:p w14:paraId="489CBE7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ß-pinene </w:t>
            </w:r>
          </w:p>
        </w:tc>
        <w:tc>
          <w:tcPr>
            <w:tcW w:w="1277" w:type="dxa"/>
            <w:shd w:val="clear" w:color="auto" w:fill="auto"/>
          </w:tcPr>
          <w:p w14:paraId="4044AD3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127-91-3</w:t>
            </w:r>
          </w:p>
        </w:tc>
        <w:tc>
          <w:tcPr>
            <w:tcW w:w="993" w:type="dxa"/>
            <w:shd w:val="clear" w:color="auto" w:fill="auto"/>
          </w:tcPr>
          <w:p w14:paraId="25B698E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1 400</w:t>
            </w:r>
          </w:p>
        </w:tc>
        <w:tc>
          <w:tcPr>
            <w:tcW w:w="3265" w:type="dxa"/>
            <w:shd w:val="clear" w:color="auto" w:fill="auto"/>
          </w:tcPr>
          <w:p w14:paraId="6913F7E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4C34756E" w14:textId="77777777" w:rsidTr="00B409DD">
        <w:trPr>
          <w:cantSplit/>
          <w:trHeight w:val="207"/>
        </w:trPr>
        <w:tc>
          <w:tcPr>
            <w:tcW w:w="850" w:type="dxa"/>
            <w:shd w:val="clear" w:color="auto" w:fill="auto"/>
          </w:tcPr>
          <w:p w14:paraId="7197B68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3-4</w:t>
            </w:r>
          </w:p>
        </w:tc>
        <w:tc>
          <w:tcPr>
            <w:tcW w:w="2692" w:type="dxa"/>
            <w:gridSpan w:val="2"/>
            <w:shd w:val="clear" w:color="auto" w:fill="auto"/>
          </w:tcPr>
          <w:p w14:paraId="644168C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Limonene </w:t>
            </w:r>
          </w:p>
        </w:tc>
        <w:tc>
          <w:tcPr>
            <w:tcW w:w="1277" w:type="dxa"/>
            <w:shd w:val="clear" w:color="auto" w:fill="auto"/>
          </w:tcPr>
          <w:p w14:paraId="3C5E56B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138-86-3</w:t>
            </w:r>
          </w:p>
        </w:tc>
        <w:tc>
          <w:tcPr>
            <w:tcW w:w="993" w:type="dxa"/>
            <w:shd w:val="clear" w:color="auto" w:fill="auto"/>
          </w:tcPr>
          <w:p w14:paraId="0A3186F2" w14:textId="77777777" w:rsidR="00DE0321" w:rsidRPr="0009445C" w:rsidRDefault="00DE0321" w:rsidP="00B409DD">
            <w:pPr>
              <w:widowControl w:val="0"/>
              <w:autoSpaceDE w:val="0"/>
              <w:autoSpaceDN w:val="0"/>
              <w:adjustRightInd w:val="0"/>
              <w:spacing w:before="60" w:after="40" w:line="240" w:lineRule="auto"/>
              <w:jc w:val="center"/>
              <w:rPr>
                <w:rFonts w:cs="Arial"/>
                <w:b/>
                <w:color w:val="000000"/>
              </w:rPr>
            </w:pPr>
            <w:r w:rsidRPr="0009445C">
              <w:rPr>
                <w:b/>
                <w:color w:val="000000"/>
              </w:rPr>
              <w:t>5 000</w:t>
            </w:r>
          </w:p>
        </w:tc>
        <w:tc>
          <w:tcPr>
            <w:tcW w:w="3265" w:type="dxa"/>
            <w:shd w:val="clear" w:color="auto" w:fill="auto"/>
          </w:tcPr>
          <w:p w14:paraId="2912AAF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620996EB" w14:textId="77777777" w:rsidTr="00B409DD">
        <w:trPr>
          <w:cantSplit/>
          <w:trHeight w:val="760"/>
        </w:trPr>
        <w:tc>
          <w:tcPr>
            <w:tcW w:w="850" w:type="dxa"/>
            <w:shd w:val="clear" w:color="auto" w:fill="auto"/>
          </w:tcPr>
          <w:p w14:paraId="1389D84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3-5</w:t>
            </w:r>
          </w:p>
        </w:tc>
        <w:tc>
          <w:tcPr>
            <w:tcW w:w="2692" w:type="dxa"/>
            <w:gridSpan w:val="2"/>
            <w:shd w:val="clear" w:color="auto" w:fill="auto"/>
          </w:tcPr>
          <w:p w14:paraId="2A3BC58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Terpenes, other</w:t>
            </w:r>
          </w:p>
        </w:tc>
        <w:tc>
          <w:tcPr>
            <w:tcW w:w="1277" w:type="dxa"/>
            <w:shd w:val="clear" w:color="auto" w:fill="auto"/>
          </w:tcPr>
          <w:p w14:paraId="5216D2A5"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509BD9A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1 400</w:t>
            </w:r>
          </w:p>
        </w:tc>
        <w:tc>
          <w:tcPr>
            <w:tcW w:w="3265" w:type="dxa"/>
            <w:shd w:val="clear" w:color="auto" w:fill="auto"/>
          </w:tcPr>
          <w:p w14:paraId="05F9FA7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 (all monoterpenes and sesquiterpenes and their oxygen derivatives belong to the group)</w:t>
            </w:r>
          </w:p>
        </w:tc>
      </w:tr>
      <w:tr w:rsidR="00DE0321" w:rsidRPr="0009445C" w14:paraId="6C7EC74E" w14:textId="77777777" w:rsidTr="00B409DD">
        <w:trPr>
          <w:cantSplit/>
          <w:trHeight w:val="283"/>
        </w:trPr>
        <w:tc>
          <w:tcPr>
            <w:tcW w:w="850" w:type="dxa"/>
            <w:shd w:val="clear" w:color="auto" w:fill="auto"/>
          </w:tcPr>
          <w:p w14:paraId="24EF955B" w14:textId="77777777" w:rsidR="00DE0321" w:rsidRPr="0009445C" w:rsidRDefault="00DE0321" w:rsidP="00B409DD">
            <w:pPr>
              <w:pStyle w:val="BRL-TabelleAnlageberschriftFett"/>
              <w:spacing w:before="60" w:after="40"/>
              <w:jc w:val="center"/>
            </w:pPr>
            <w:r w:rsidRPr="0009445C">
              <w:t>4</w:t>
            </w:r>
          </w:p>
        </w:tc>
        <w:tc>
          <w:tcPr>
            <w:tcW w:w="8227" w:type="dxa"/>
            <w:gridSpan w:val="5"/>
            <w:shd w:val="clear" w:color="auto" w:fill="auto"/>
          </w:tcPr>
          <w:p w14:paraId="164191B0" w14:textId="77777777" w:rsidR="00DE0321" w:rsidRPr="0009445C" w:rsidRDefault="00DE0321" w:rsidP="00B409DD">
            <w:pPr>
              <w:pStyle w:val="BRL-TabelleAnlageberschriftFett"/>
              <w:spacing w:before="60" w:after="40"/>
            </w:pPr>
            <w:r w:rsidRPr="0009445C">
              <w:t xml:space="preserve">Aliphatic mono alcohols (n-, iso- and cyclo-) and </w:t>
            </w:r>
            <w:proofErr w:type="spellStart"/>
            <w:r w:rsidRPr="0009445C">
              <w:t>dialcohols</w:t>
            </w:r>
            <w:proofErr w:type="spellEnd"/>
          </w:p>
        </w:tc>
      </w:tr>
      <w:tr w:rsidR="00DE0321" w:rsidRPr="0009445C" w14:paraId="7852AF8B" w14:textId="77777777" w:rsidTr="00B409DD">
        <w:trPr>
          <w:cantSplit/>
          <w:trHeight w:val="207"/>
        </w:trPr>
        <w:tc>
          <w:tcPr>
            <w:tcW w:w="850" w:type="dxa"/>
            <w:shd w:val="clear" w:color="auto" w:fill="auto"/>
          </w:tcPr>
          <w:p w14:paraId="56B0E84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w:t>
            </w:r>
          </w:p>
        </w:tc>
        <w:tc>
          <w:tcPr>
            <w:tcW w:w="2692" w:type="dxa"/>
            <w:gridSpan w:val="2"/>
            <w:shd w:val="clear" w:color="auto" w:fill="auto"/>
          </w:tcPr>
          <w:p w14:paraId="5BCBF03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Ethanol </w:t>
            </w:r>
          </w:p>
        </w:tc>
        <w:tc>
          <w:tcPr>
            <w:tcW w:w="1277" w:type="dxa"/>
            <w:shd w:val="clear" w:color="auto" w:fill="auto"/>
          </w:tcPr>
          <w:p w14:paraId="39CA601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64-17-5</w:t>
            </w:r>
          </w:p>
        </w:tc>
        <w:tc>
          <w:tcPr>
            <w:tcW w:w="993" w:type="dxa"/>
            <w:shd w:val="clear" w:color="auto" w:fill="auto"/>
          </w:tcPr>
          <w:p w14:paraId="23D444F8"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21669AF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VVOC </w:t>
            </w:r>
          </w:p>
        </w:tc>
      </w:tr>
      <w:tr w:rsidR="00DE0321" w:rsidRPr="0009445C" w14:paraId="1D2F4A83" w14:textId="77777777" w:rsidTr="00B409DD">
        <w:trPr>
          <w:cantSplit/>
          <w:trHeight w:val="207"/>
        </w:trPr>
        <w:tc>
          <w:tcPr>
            <w:tcW w:w="850" w:type="dxa"/>
            <w:shd w:val="clear" w:color="auto" w:fill="auto"/>
          </w:tcPr>
          <w:p w14:paraId="172556D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4-2</w:t>
            </w:r>
          </w:p>
        </w:tc>
        <w:tc>
          <w:tcPr>
            <w:tcW w:w="2692" w:type="dxa"/>
            <w:gridSpan w:val="2"/>
            <w:shd w:val="clear" w:color="auto" w:fill="auto"/>
          </w:tcPr>
          <w:p w14:paraId="0E814CF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1-Propanol </w:t>
            </w:r>
          </w:p>
        </w:tc>
        <w:tc>
          <w:tcPr>
            <w:tcW w:w="1277" w:type="dxa"/>
            <w:shd w:val="clear" w:color="auto" w:fill="auto"/>
          </w:tcPr>
          <w:p w14:paraId="1171CD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71-23-8</w:t>
            </w:r>
          </w:p>
        </w:tc>
        <w:tc>
          <w:tcPr>
            <w:tcW w:w="993" w:type="dxa"/>
            <w:shd w:val="clear" w:color="auto" w:fill="auto"/>
          </w:tcPr>
          <w:p w14:paraId="55EF7041"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5DB2533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VVOC </w:t>
            </w:r>
          </w:p>
        </w:tc>
      </w:tr>
      <w:tr w:rsidR="00DE0321" w:rsidRPr="0009445C" w14:paraId="643CC2CB" w14:textId="77777777" w:rsidTr="00B409DD">
        <w:trPr>
          <w:cantSplit/>
          <w:trHeight w:val="207"/>
        </w:trPr>
        <w:tc>
          <w:tcPr>
            <w:tcW w:w="850" w:type="dxa"/>
            <w:shd w:val="clear" w:color="auto" w:fill="auto"/>
          </w:tcPr>
          <w:p w14:paraId="3A4A3BC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4-3</w:t>
            </w:r>
          </w:p>
        </w:tc>
        <w:tc>
          <w:tcPr>
            <w:tcW w:w="2692" w:type="dxa"/>
            <w:gridSpan w:val="2"/>
            <w:shd w:val="clear" w:color="auto" w:fill="auto"/>
          </w:tcPr>
          <w:p w14:paraId="4CE470B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2-Propanol </w:t>
            </w:r>
          </w:p>
        </w:tc>
        <w:tc>
          <w:tcPr>
            <w:tcW w:w="1277" w:type="dxa"/>
            <w:shd w:val="clear" w:color="auto" w:fill="auto"/>
          </w:tcPr>
          <w:p w14:paraId="72C4655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67-63-0</w:t>
            </w:r>
          </w:p>
        </w:tc>
        <w:tc>
          <w:tcPr>
            <w:tcW w:w="993" w:type="dxa"/>
            <w:shd w:val="clear" w:color="auto" w:fill="auto"/>
          </w:tcPr>
          <w:p w14:paraId="737053B4"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37481AE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VVOC </w:t>
            </w:r>
          </w:p>
        </w:tc>
      </w:tr>
      <w:tr w:rsidR="00DE0321" w:rsidRPr="0009445C" w14:paraId="7B5A0BBE" w14:textId="77777777" w:rsidTr="00B409DD">
        <w:trPr>
          <w:cantSplit/>
          <w:trHeight w:val="390"/>
        </w:trPr>
        <w:tc>
          <w:tcPr>
            <w:tcW w:w="850" w:type="dxa"/>
            <w:shd w:val="clear" w:color="auto" w:fill="auto"/>
          </w:tcPr>
          <w:p w14:paraId="0A09CC6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4-4</w:t>
            </w:r>
          </w:p>
        </w:tc>
        <w:tc>
          <w:tcPr>
            <w:tcW w:w="2692" w:type="dxa"/>
            <w:gridSpan w:val="2"/>
            <w:shd w:val="clear" w:color="auto" w:fill="auto"/>
          </w:tcPr>
          <w:p w14:paraId="34F3390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tert-butanol, 2-methyl-2-propanol </w:t>
            </w:r>
          </w:p>
        </w:tc>
        <w:tc>
          <w:tcPr>
            <w:tcW w:w="1277" w:type="dxa"/>
            <w:shd w:val="clear" w:color="auto" w:fill="auto"/>
          </w:tcPr>
          <w:p w14:paraId="71E072F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75-65-0</w:t>
            </w:r>
          </w:p>
        </w:tc>
        <w:tc>
          <w:tcPr>
            <w:tcW w:w="993" w:type="dxa"/>
            <w:shd w:val="clear" w:color="auto" w:fill="auto"/>
          </w:tcPr>
          <w:p w14:paraId="4AA6BC3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620</w:t>
            </w:r>
          </w:p>
        </w:tc>
        <w:tc>
          <w:tcPr>
            <w:tcW w:w="3265" w:type="dxa"/>
            <w:shd w:val="clear" w:color="auto" w:fill="auto"/>
          </w:tcPr>
          <w:p w14:paraId="798EEE54"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74EB6163" w14:textId="77777777" w:rsidTr="00B409DD">
        <w:trPr>
          <w:cantSplit/>
          <w:trHeight w:val="207"/>
        </w:trPr>
        <w:tc>
          <w:tcPr>
            <w:tcW w:w="850" w:type="dxa"/>
            <w:shd w:val="clear" w:color="auto" w:fill="auto"/>
          </w:tcPr>
          <w:p w14:paraId="4881625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4-5</w:t>
            </w:r>
          </w:p>
        </w:tc>
        <w:tc>
          <w:tcPr>
            <w:tcW w:w="2692" w:type="dxa"/>
            <w:gridSpan w:val="2"/>
            <w:shd w:val="clear" w:color="auto" w:fill="auto"/>
          </w:tcPr>
          <w:p w14:paraId="26A6C09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2-methyl-1-propanol </w:t>
            </w:r>
          </w:p>
        </w:tc>
        <w:tc>
          <w:tcPr>
            <w:tcW w:w="1277" w:type="dxa"/>
            <w:shd w:val="clear" w:color="auto" w:fill="auto"/>
          </w:tcPr>
          <w:p w14:paraId="6636DC3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78-83-1</w:t>
            </w:r>
          </w:p>
        </w:tc>
        <w:tc>
          <w:tcPr>
            <w:tcW w:w="993" w:type="dxa"/>
            <w:shd w:val="clear" w:color="auto" w:fill="auto"/>
          </w:tcPr>
          <w:p w14:paraId="61AAD36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11 000</w:t>
            </w:r>
          </w:p>
        </w:tc>
        <w:tc>
          <w:tcPr>
            <w:tcW w:w="3265" w:type="dxa"/>
            <w:shd w:val="clear" w:color="auto" w:fill="auto"/>
          </w:tcPr>
          <w:p w14:paraId="717D7481"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3C6E9460" w14:textId="77777777" w:rsidTr="00B409DD">
        <w:trPr>
          <w:cantSplit/>
          <w:trHeight w:val="207"/>
        </w:trPr>
        <w:tc>
          <w:tcPr>
            <w:tcW w:w="850" w:type="dxa"/>
            <w:shd w:val="clear" w:color="auto" w:fill="auto"/>
          </w:tcPr>
          <w:p w14:paraId="0503FBC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4-6</w:t>
            </w:r>
          </w:p>
        </w:tc>
        <w:tc>
          <w:tcPr>
            <w:tcW w:w="2692" w:type="dxa"/>
            <w:gridSpan w:val="2"/>
            <w:shd w:val="clear" w:color="auto" w:fill="auto"/>
          </w:tcPr>
          <w:p w14:paraId="04DF52B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1-butanol </w:t>
            </w:r>
          </w:p>
        </w:tc>
        <w:tc>
          <w:tcPr>
            <w:tcW w:w="1277" w:type="dxa"/>
            <w:shd w:val="clear" w:color="auto" w:fill="auto"/>
          </w:tcPr>
          <w:p w14:paraId="06752AA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71-36-3</w:t>
            </w:r>
          </w:p>
        </w:tc>
        <w:tc>
          <w:tcPr>
            <w:tcW w:w="993" w:type="dxa"/>
            <w:shd w:val="clear" w:color="auto" w:fill="auto"/>
          </w:tcPr>
          <w:p w14:paraId="57F0DE1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3 000</w:t>
            </w:r>
          </w:p>
        </w:tc>
        <w:tc>
          <w:tcPr>
            <w:tcW w:w="3265" w:type="dxa"/>
            <w:shd w:val="clear" w:color="auto" w:fill="auto"/>
          </w:tcPr>
          <w:p w14:paraId="4E8416E1"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78B8CE0A" w14:textId="77777777" w:rsidTr="00B409DD">
        <w:trPr>
          <w:cantSplit/>
          <w:trHeight w:val="1862"/>
        </w:trPr>
        <w:tc>
          <w:tcPr>
            <w:tcW w:w="850" w:type="dxa"/>
            <w:shd w:val="clear" w:color="auto" w:fill="auto"/>
          </w:tcPr>
          <w:p w14:paraId="793EEA2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4-7</w:t>
            </w:r>
          </w:p>
        </w:tc>
        <w:tc>
          <w:tcPr>
            <w:tcW w:w="2692" w:type="dxa"/>
            <w:gridSpan w:val="2"/>
            <w:shd w:val="clear" w:color="auto" w:fill="auto"/>
          </w:tcPr>
          <w:p w14:paraId="7DAA051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Pentanol (all isomers) </w:t>
            </w:r>
          </w:p>
        </w:tc>
        <w:tc>
          <w:tcPr>
            <w:tcW w:w="1277" w:type="dxa"/>
            <w:shd w:val="clear" w:color="auto" w:fill="auto"/>
          </w:tcPr>
          <w:p w14:paraId="7E91B68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71-41-0 30899-19-5 94624-12-1 6032-29-7 584-02-1 137-32-6 123-51-3 598-75-4</w:t>
            </w:r>
          </w:p>
          <w:p w14:paraId="3714CA1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75-85-4</w:t>
            </w:r>
          </w:p>
          <w:p w14:paraId="339994D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75-84-3</w:t>
            </w:r>
          </w:p>
        </w:tc>
        <w:tc>
          <w:tcPr>
            <w:tcW w:w="993" w:type="dxa"/>
            <w:shd w:val="clear" w:color="auto" w:fill="auto"/>
          </w:tcPr>
          <w:p w14:paraId="25F0F18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730</w:t>
            </w:r>
          </w:p>
        </w:tc>
        <w:tc>
          <w:tcPr>
            <w:tcW w:w="3265" w:type="dxa"/>
            <w:shd w:val="clear" w:color="auto" w:fill="auto"/>
          </w:tcPr>
          <w:p w14:paraId="276F6D1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1A8F1EC" w14:textId="77777777" w:rsidTr="00B409DD">
        <w:trPr>
          <w:cantSplit/>
          <w:trHeight w:val="210"/>
        </w:trPr>
        <w:tc>
          <w:tcPr>
            <w:tcW w:w="850" w:type="dxa"/>
            <w:shd w:val="clear" w:color="auto" w:fill="auto"/>
          </w:tcPr>
          <w:p w14:paraId="64C548C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4-8</w:t>
            </w:r>
          </w:p>
        </w:tc>
        <w:tc>
          <w:tcPr>
            <w:tcW w:w="2692" w:type="dxa"/>
            <w:gridSpan w:val="2"/>
            <w:shd w:val="clear" w:color="auto" w:fill="auto"/>
          </w:tcPr>
          <w:p w14:paraId="7F869AF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1-hexanol </w:t>
            </w:r>
          </w:p>
        </w:tc>
        <w:tc>
          <w:tcPr>
            <w:tcW w:w="1277" w:type="dxa"/>
            <w:shd w:val="clear" w:color="auto" w:fill="auto"/>
          </w:tcPr>
          <w:p w14:paraId="69F4D6C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111-27-3</w:t>
            </w:r>
          </w:p>
        </w:tc>
        <w:tc>
          <w:tcPr>
            <w:tcW w:w="993" w:type="dxa"/>
            <w:shd w:val="clear" w:color="auto" w:fill="auto"/>
          </w:tcPr>
          <w:p w14:paraId="70E0FF6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2 100</w:t>
            </w:r>
          </w:p>
        </w:tc>
        <w:tc>
          <w:tcPr>
            <w:tcW w:w="3265" w:type="dxa"/>
            <w:shd w:val="clear" w:color="auto" w:fill="auto"/>
          </w:tcPr>
          <w:p w14:paraId="02B26A69"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47417AC" w14:textId="77777777" w:rsidTr="00B409DD">
        <w:trPr>
          <w:cantSplit/>
          <w:trHeight w:val="207"/>
        </w:trPr>
        <w:tc>
          <w:tcPr>
            <w:tcW w:w="850" w:type="dxa"/>
            <w:shd w:val="clear" w:color="auto" w:fill="auto"/>
          </w:tcPr>
          <w:p w14:paraId="1955B1E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4-9</w:t>
            </w:r>
          </w:p>
        </w:tc>
        <w:tc>
          <w:tcPr>
            <w:tcW w:w="2692" w:type="dxa"/>
            <w:gridSpan w:val="2"/>
            <w:shd w:val="clear" w:color="auto" w:fill="auto"/>
          </w:tcPr>
          <w:p w14:paraId="0797644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Cyclohexanol </w:t>
            </w:r>
          </w:p>
        </w:tc>
        <w:tc>
          <w:tcPr>
            <w:tcW w:w="1277" w:type="dxa"/>
            <w:shd w:val="clear" w:color="auto" w:fill="auto"/>
          </w:tcPr>
          <w:p w14:paraId="55EEE4D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108-93-0</w:t>
            </w:r>
          </w:p>
        </w:tc>
        <w:tc>
          <w:tcPr>
            <w:tcW w:w="993" w:type="dxa"/>
            <w:shd w:val="clear" w:color="auto" w:fill="auto"/>
          </w:tcPr>
          <w:p w14:paraId="48CCE46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2 000</w:t>
            </w:r>
          </w:p>
        </w:tc>
        <w:tc>
          <w:tcPr>
            <w:tcW w:w="3265" w:type="dxa"/>
            <w:shd w:val="clear" w:color="auto" w:fill="auto"/>
          </w:tcPr>
          <w:p w14:paraId="7763A31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9755A8F" w14:textId="77777777" w:rsidTr="00B409DD">
        <w:trPr>
          <w:cantSplit/>
          <w:trHeight w:val="207"/>
        </w:trPr>
        <w:tc>
          <w:tcPr>
            <w:tcW w:w="850" w:type="dxa"/>
            <w:shd w:val="clear" w:color="auto" w:fill="auto"/>
          </w:tcPr>
          <w:p w14:paraId="34BD006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4-10</w:t>
            </w:r>
          </w:p>
        </w:tc>
        <w:tc>
          <w:tcPr>
            <w:tcW w:w="2692" w:type="dxa"/>
            <w:gridSpan w:val="2"/>
            <w:shd w:val="clear" w:color="auto" w:fill="auto"/>
          </w:tcPr>
          <w:p w14:paraId="51C5E80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2-ethyl-1-hexanol </w:t>
            </w:r>
          </w:p>
        </w:tc>
        <w:tc>
          <w:tcPr>
            <w:tcW w:w="1277" w:type="dxa"/>
            <w:shd w:val="clear" w:color="auto" w:fill="auto"/>
          </w:tcPr>
          <w:p w14:paraId="3063489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104-76-7</w:t>
            </w:r>
          </w:p>
        </w:tc>
        <w:tc>
          <w:tcPr>
            <w:tcW w:w="993" w:type="dxa"/>
            <w:shd w:val="clear" w:color="auto" w:fill="auto"/>
          </w:tcPr>
          <w:p w14:paraId="6BE54A0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300</w:t>
            </w:r>
          </w:p>
        </w:tc>
        <w:tc>
          <w:tcPr>
            <w:tcW w:w="3265" w:type="dxa"/>
            <w:shd w:val="clear" w:color="auto" w:fill="auto"/>
          </w:tcPr>
          <w:p w14:paraId="5655178D"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D655905" w14:textId="77777777" w:rsidTr="00B409DD">
        <w:trPr>
          <w:cantSplit/>
          <w:trHeight w:val="207"/>
        </w:trPr>
        <w:tc>
          <w:tcPr>
            <w:tcW w:w="850" w:type="dxa"/>
            <w:shd w:val="clear" w:color="auto" w:fill="auto"/>
          </w:tcPr>
          <w:p w14:paraId="461FEDB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4-11</w:t>
            </w:r>
          </w:p>
        </w:tc>
        <w:tc>
          <w:tcPr>
            <w:tcW w:w="2692" w:type="dxa"/>
            <w:gridSpan w:val="2"/>
            <w:shd w:val="clear" w:color="auto" w:fill="auto"/>
          </w:tcPr>
          <w:p w14:paraId="51EFC0E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1-octanol </w:t>
            </w:r>
          </w:p>
        </w:tc>
        <w:tc>
          <w:tcPr>
            <w:tcW w:w="1277" w:type="dxa"/>
            <w:shd w:val="clear" w:color="auto" w:fill="auto"/>
          </w:tcPr>
          <w:p w14:paraId="75C7361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111-87-5</w:t>
            </w:r>
          </w:p>
        </w:tc>
        <w:tc>
          <w:tcPr>
            <w:tcW w:w="993" w:type="dxa"/>
            <w:shd w:val="clear" w:color="auto" w:fill="auto"/>
          </w:tcPr>
          <w:p w14:paraId="76727BE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1 700</w:t>
            </w:r>
          </w:p>
        </w:tc>
        <w:tc>
          <w:tcPr>
            <w:tcW w:w="3265" w:type="dxa"/>
            <w:shd w:val="clear" w:color="auto" w:fill="auto"/>
          </w:tcPr>
          <w:p w14:paraId="21081048"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0B47548C" w14:textId="77777777" w:rsidTr="00B409DD">
        <w:trPr>
          <w:cantSplit/>
          <w:trHeight w:val="390"/>
        </w:trPr>
        <w:tc>
          <w:tcPr>
            <w:tcW w:w="850" w:type="dxa"/>
            <w:shd w:val="clear" w:color="auto" w:fill="auto"/>
          </w:tcPr>
          <w:p w14:paraId="4414FDD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lastRenderedPageBreak/>
              <w:t>4-12</w:t>
            </w:r>
          </w:p>
        </w:tc>
        <w:tc>
          <w:tcPr>
            <w:tcW w:w="2692" w:type="dxa"/>
            <w:gridSpan w:val="2"/>
            <w:shd w:val="clear" w:color="auto" w:fill="auto"/>
          </w:tcPr>
          <w:p w14:paraId="745BFA7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4-hydroxy-4-methylpentan-2-one (diacetone alcohol) </w:t>
            </w:r>
          </w:p>
        </w:tc>
        <w:tc>
          <w:tcPr>
            <w:tcW w:w="1277" w:type="dxa"/>
            <w:shd w:val="clear" w:color="auto" w:fill="auto"/>
          </w:tcPr>
          <w:p w14:paraId="07A3EE9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123-42-2</w:t>
            </w:r>
          </w:p>
        </w:tc>
        <w:tc>
          <w:tcPr>
            <w:tcW w:w="993" w:type="dxa"/>
            <w:shd w:val="clear" w:color="auto" w:fill="auto"/>
          </w:tcPr>
          <w:p w14:paraId="3704BE0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960</w:t>
            </w:r>
          </w:p>
        </w:tc>
        <w:tc>
          <w:tcPr>
            <w:tcW w:w="3265" w:type="dxa"/>
            <w:shd w:val="clear" w:color="auto" w:fill="auto"/>
          </w:tcPr>
          <w:p w14:paraId="4BFB85C3"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19CF850A" w14:textId="77777777" w:rsidTr="00B409DD">
        <w:trPr>
          <w:cantSplit/>
          <w:trHeight w:val="390"/>
        </w:trPr>
        <w:tc>
          <w:tcPr>
            <w:tcW w:w="850" w:type="dxa"/>
            <w:shd w:val="clear" w:color="auto" w:fill="auto"/>
          </w:tcPr>
          <w:p w14:paraId="4A83360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4-13</w:t>
            </w:r>
          </w:p>
        </w:tc>
        <w:tc>
          <w:tcPr>
            <w:tcW w:w="2692" w:type="dxa"/>
            <w:gridSpan w:val="2"/>
            <w:shd w:val="clear" w:color="auto" w:fill="auto"/>
          </w:tcPr>
          <w:p w14:paraId="26BBB89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other C4-C10 saturated n- and iso alcohols</w:t>
            </w:r>
          </w:p>
        </w:tc>
        <w:tc>
          <w:tcPr>
            <w:tcW w:w="1277" w:type="dxa"/>
            <w:shd w:val="clear" w:color="auto" w:fill="auto"/>
          </w:tcPr>
          <w:p w14:paraId="0AA4D50B"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708DC13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p>
        </w:tc>
        <w:tc>
          <w:tcPr>
            <w:tcW w:w="3265" w:type="dxa"/>
            <w:shd w:val="clear" w:color="auto" w:fill="auto"/>
          </w:tcPr>
          <w:p w14:paraId="093A39F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Reassessment, see 4-16 and 4-17 </w:t>
            </w:r>
          </w:p>
        </w:tc>
      </w:tr>
      <w:tr w:rsidR="00DE0321" w:rsidRPr="0009445C" w14:paraId="583CEC53" w14:textId="77777777" w:rsidTr="00B409DD">
        <w:trPr>
          <w:cantSplit/>
          <w:trHeight w:val="390"/>
        </w:trPr>
        <w:tc>
          <w:tcPr>
            <w:tcW w:w="850" w:type="dxa"/>
            <w:shd w:val="clear" w:color="auto" w:fill="auto"/>
          </w:tcPr>
          <w:p w14:paraId="492F9A3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4-14</w:t>
            </w:r>
          </w:p>
        </w:tc>
        <w:tc>
          <w:tcPr>
            <w:tcW w:w="2692" w:type="dxa"/>
            <w:gridSpan w:val="2"/>
            <w:shd w:val="clear" w:color="auto" w:fill="auto"/>
          </w:tcPr>
          <w:p w14:paraId="423BF1B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Other C11-C13 saturated n- and iso-alcohols</w:t>
            </w:r>
          </w:p>
        </w:tc>
        <w:tc>
          <w:tcPr>
            <w:tcW w:w="1277" w:type="dxa"/>
            <w:shd w:val="clear" w:color="auto" w:fill="auto"/>
          </w:tcPr>
          <w:p w14:paraId="10B3F89B"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63551BF6"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p>
        </w:tc>
        <w:tc>
          <w:tcPr>
            <w:tcW w:w="3265" w:type="dxa"/>
            <w:shd w:val="clear" w:color="auto" w:fill="auto"/>
          </w:tcPr>
          <w:p w14:paraId="531E9B6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Reassessment, see 4-16 and 4-17</w:t>
            </w:r>
          </w:p>
        </w:tc>
      </w:tr>
      <w:tr w:rsidR="00DE0321" w:rsidRPr="0009445C" w14:paraId="28B293F0" w14:textId="77777777" w:rsidTr="00B409DD">
        <w:trPr>
          <w:cantSplit/>
          <w:trHeight w:val="232"/>
        </w:trPr>
        <w:tc>
          <w:tcPr>
            <w:tcW w:w="850" w:type="dxa"/>
            <w:shd w:val="clear" w:color="auto" w:fill="auto"/>
          </w:tcPr>
          <w:p w14:paraId="34431C8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4-15</w:t>
            </w:r>
          </w:p>
        </w:tc>
        <w:tc>
          <w:tcPr>
            <w:tcW w:w="2692" w:type="dxa"/>
            <w:gridSpan w:val="2"/>
            <w:shd w:val="clear" w:color="auto" w:fill="auto"/>
          </w:tcPr>
          <w:p w14:paraId="0DAAEC0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1,4-cyclohexandimethanol</w:t>
            </w:r>
          </w:p>
        </w:tc>
        <w:tc>
          <w:tcPr>
            <w:tcW w:w="1277" w:type="dxa"/>
            <w:shd w:val="clear" w:color="auto" w:fill="auto"/>
          </w:tcPr>
          <w:p w14:paraId="712D486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105-08-8</w:t>
            </w:r>
          </w:p>
        </w:tc>
        <w:tc>
          <w:tcPr>
            <w:tcW w:w="993" w:type="dxa"/>
            <w:shd w:val="clear" w:color="auto" w:fill="auto"/>
          </w:tcPr>
          <w:p w14:paraId="713F1697"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1 600</w:t>
            </w:r>
          </w:p>
        </w:tc>
        <w:tc>
          <w:tcPr>
            <w:tcW w:w="3265" w:type="dxa"/>
            <w:shd w:val="clear" w:color="auto" w:fill="auto"/>
          </w:tcPr>
          <w:p w14:paraId="1C529F3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0D35ED61" w14:textId="77777777" w:rsidTr="00B409DD">
        <w:trPr>
          <w:cantSplit/>
          <w:trHeight w:val="232"/>
        </w:trPr>
        <w:tc>
          <w:tcPr>
            <w:tcW w:w="850" w:type="dxa"/>
            <w:tcBorders>
              <w:bottom w:val="single" w:sz="4" w:space="0" w:color="auto"/>
            </w:tcBorders>
            <w:shd w:val="clear" w:color="auto" w:fill="auto"/>
          </w:tcPr>
          <w:p w14:paraId="65E2364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4-16</w:t>
            </w:r>
          </w:p>
        </w:tc>
        <w:tc>
          <w:tcPr>
            <w:tcW w:w="2692" w:type="dxa"/>
            <w:gridSpan w:val="2"/>
            <w:tcBorders>
              <w:bottom w:val="single" w:sz="4" w:space="0" w:color="auto"/>
            </w:tcBorders>
            <w:shd w:val="clear" w:color="auto" w:fill="auto"/>
          </w:tcPr>
          <w:p w14:paraId="324A193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Other C7-C13 saturated</w:t>
            </w:r>
          </w:p>
          <w:p w14:paraId="5FB531E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N-alcohols</w:t>
            </w:r>
          </w:p>
        </w:tc>
        <w:tc>
          <w:tcPr>
            <w:tcW w:w="1277" w:type="dxa"/>
            <w:tcBorders>
              <w:bottom w:val="single" w:sz="4" w:space="0" w:color="auto"/>
            </w:tcBorders>
            <w:shd w:val="clear" w:color="auto" w:fill="auto"/>
          </w:tcPr>
          <w:p w14:paraId="4547971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p>
        </w:tc>
        <w:tc>
          <w:tcPr>
            <w:tcW w:w="993" w:type="dxa"/>
            <w:tcBorders>
              <w:bottom w:val="single" w:sz="4" w:space="0" w:color="auto"/>
            </w:tcBorders>
            <w:shd w:val="clear" w:color="auto" w:fill="auto"/>
          </w:tcPr>
          <w:p w14:paraId="667B83EC"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1 700</w:t>
            </w:r>
          </w:p>
        </w:tc>
        <w:tc>
          <w:tcPr>
            <w:tcW w:w="3265" w:type="dxa"/>
            <w:tcBorders>
              <w:bottom w:val="single" w:sz="4" w:space="0" w:color="auto"/>
            </w:tcBorders>
            <w:shd w:val="clear" w:color="auto" w:fill="auto"/>
          </w:tcPr>
          <w:p w14:paraId="2B80F4A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Read across of 1-octanol, except for cyclical compounds</w:t>
            </w:r>
          </w:p>
        </w:tc>
      </w:tr>
      <w:tr w:rsidR="00DE0321" w:rsidRPr="0009445C" w14:paraId="72DBB867" w14:textId="77777777" w:rsidTr="00B409DD">
        <w:trPr>
          <w:cantSplit/>
          <w:trHeight w:val="232"/>
        </w:trPr>
        <w:tc>
          <w:tcPr>
            <w:tcW w:w="850" w:type="dxa"/>
            <w:tcBorders>
              <w:bottom w:val="single" w:sz="4" w:space="0" w:color="auto"/>
            </w:tcBorders>
            <w:shd w:val="clear" w:color="auto" w:fill="auto"/>
          </w:tcPr>
          <w:p w14:paraId="68E065B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4-17</w:t>
            </w:r>
          </w:p>
        </w:tc>
        <w:tc>
          <w:tcPr>
            <w:tcW w:w="2692" w:type="dxa"/>
            <w:gridSpan w:val="2"/>
            <w:tcBorders>
              <w:bottom w:val="single" w:sz="4" w:space="0" w:color="auto"/>
            </w:tcBorders>
            <w:shd w:val="clear" w:color="auto" w:fill="auto"/>
          </w:tcPr>
          <w:p w14:paraId="03AC437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Other C6-C13 saturated iso-alcohols</w:t>
            </w:r>
          </w:p>
        </w:tc>
        <w:tc>
          <w:tcPr>
            <w:tcW w:w="1277" w:type="dxa"/>
            <w:tcBorders>
              <w:bottom w:val="single" w:sz="4" w:space="0" w:color="auto"/>
            </w:tcBorders>
            <w:shd w:val="clear" w:color="auto" w:fill="auto"/>
          </w:tcPr>
          <w:p w14:paraId="02A5792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p>
        </w:tc>
        <w:tc>
          <w:tcPr>
            <w:tcW w:w="993" w:type="dxa"/>
            <w:tcBorders>
              <w:bottom w:val="single" w:sz="4" w:space="0" w:color="auto"/>
            </w:tcBorders>
            <w:shd w:val="clear" w:color="auto" w:fill="auto"/>
          </w:tcPr>
          <w:p w14:paraId="2125EB92"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300</w:t>
            </w:r>
          </w:p>
        </w:tc>
        <w:tc>
          <w:tcPr>
            <w:tcW w:w="3265" w:type="dxa"/>
            <w:tcBorders>
              <w:bottom w:val="single" w:sz="4" w:space="0" w:color="auto"/>
            </w:tcBorders>
            <w:shd w:val="clear" w:color="auto" w:fill="auto"/>
          </w:tcPr>
          <w:p w14:paraId="46CAF31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Read across of 2-ethyl-1-hexanol, except for cyclical compounds</w:t>
            </w:r>
          </w:p>
        </w:tc>
      </w:tr>
      <w:tr w:rsidR="00DE0321" w:rsidRPr="0009445C" w14:paraId="73441B50" w14:textId="77777777" w:rsidTr="00B409DD">
        <w:trPr>
          <w:cantSplit/>
          <w:trHeight w:val="283"/>
        </w:trPr>
        <w:tc>
          <w:tcPr>
            <w:tcW w:w="850" w:type="dxa"/>
            <w:shd w:val="clear" w:color="auto" w:fill="auto"/>
          </w:tcPr>
          <w:p w14:paraId="723E3077" w14:textId="77777777" w:rsidR="00DE0321" w:rsidRPr="0009445C" w:rsidRDefault="00DE0321" w:rsidP="00B409DD">
            <w:pPr>
              <w:pStyle w:val="BRL-TabelleAnlageberschriftFett"/>
              <w:spacing w:before="60" w:after="40"/>
              <w:jc w:val="center"/>
            </w:pPr>
            <w:r w:rsidRPr="0009445C">
              <w:t>5</w:t>
            </w:r>
          </w:p>
        </w:tc>
        <w:tc>
          <w:tcPr>
            <w:tcW w:w="8227" w:type="dxa"/>
            <w:gridSpan w:val="5"/>
            <w:shd w:val="clear" w:color="auto" w:fill="auto"/>
          </w:tcPr>
          <w:p w14:paraId="56D6388B" w14:textId="77777777" w:rsidR="00DE0321" w:rsidRPr="0009445C" w:rsidRDefault="00DE0321" w:rsidP="00B409DD">
            <w:pPr>
              <w:pStyle w:val="BRL-TabelleAnlageberschriftFett"/>
              <w:spacing w:before="60" w:after="40"/>
            </w:pPr>
            <w:r w:rsidRPr="0009445C">
              <w:t>Aromatic alcohols (phenols)</w:t>
            </w:r>
          </w:p>
        </w:tc>
      </w:tr>
      <w:tr w:rsidR="00DE0321" w:rsidRPr="0009445C" w14:paraId="313F60A2" w14:textId="77777777" w:rsidTr="00B409DD">
        <w:trPr>
          <w:cantSplit/>
          <w:trHeight w:val="380"/>
        </w:trPr>
        <w:tc>
          <w:tcPr>
            <w:tcW w:w="850" w:type="dxa"/>
            <w:shd w:val="clear" w:color="auto" w:fill="auto"/>
          </w:tcPr>
          <w:p w14:paraId="16D8BEB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5-1</w:t>
            </w:r>
          </w:p>
        </w:tc>
        <w:tc>
          <w:tcPr>
            <w:tcW w:w="2692" w:type="dxa"/>
            <w:gridSpan w:val="2"/>
            <w:shd w:val="clear" w:color="auto" w:fill="auto"/>
          </w:tcPr>
          <w:p w14:paraId="1418D5F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Phenol </w:t>
            </w:r>
          </w:p>
        </w:tc>
        <w:tc>
          <w:tcPr>
            <w:tcW w:w="1277" w:type="dxa"/>
            <w:shd w:val="clear" w:color="auto" w:fill="auto"/>
          </w:tcPr>
          <w:p w14:paraId="17D403C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108-95-2</w:t>
            </w:r>
          </w:p>
        </w:tc>
        <w:tc>
          <w:tcPr>
            <w:tcW w:w="993" w:type="dxa"/>
            <w:shd w:val="clear" w:color="auto" w:fill="auto"/>
          </w:tcPr>
          <w:p w14:paraId="3BA2780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70</w:t>
            </w:r>
          </w:p>
        </w:tc>
        <w:tc>
          <w:tcPr>
            <w:tcW w:w="3265" w:type="dxa"/>
            <w:shd w:val="clear" w:color="auto" w:fill="auto"/>
          </w:tcPr>
          <w:p w14:paraId="62E2C8D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C3C18C5" w14:textId="77777777" w:rsidTr="00B409DD">
        <w:trPr>
          <w:cantSplit/>
          <w:trHeight w:val="360"/>
        </w:trPr>
        <w:tc>
          <w:tcPr>
            <w:tcW w:w="850" w:type="dxa"/>
            <w:shd w:val="clear" w:color="auto" w:fill="auto"/>
          </w:tcPr>
          <w:p w14:paraId="676AE4B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5-2</w:t>
            </w:r>
          </w:p>
        </w:tc>
        <w:tc>
          <w:tcPr>
            <w:tcW w:w="2692" w:type="dxa"/>
            <w:gridSpan w:val="2"/>
            <w:shd w:val="clear" w:color="auto" w:fill="auto"/>
          </w:tcPr>
          <w:p w14:paraId="0AD6283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2,6-di-tert-butyl-4-methylphenol (BHT) </w:t>
            </w:r>
          </w:p>
        </w:tc>
        <w:tc>
          <w:tcPr>
            <w:tcW w:w="1277" w:type="dxa"/>
            <w:shd w:val="clear" w:color="auto" w:fill="auto"/>
          </w:tcPr>
          <w:p w14:paraId="54D17BA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128-37-0</w:t>
            </w:r>
          </w:p>
        </w:tc>
        <w:tc>
          <w:tcPr>
            <w:tcW w:w="993" w:type="dxa"/>
            <w:shd w:val="clear" w:color="auto" w:fill="auto"/>
          </w:tcPr>
          <w:p w14:paraId="0380AB6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100</w:t>
            </w:r>
          </w:p>
        </w:tc>
        <w:tc>
          <w:tcPr>
            <w:tcW w:w="3265" w:type="dxa"/>
            <w:shd w:val="clear" w:color="auto" w:fill="auto"/>
          </w:tcPr>
          <w:p w14:paraId="7A3D499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2D978793" w14:textId="77777777" w:rsidTr="00B409DD">
        <w:trPr>
          <w:cantSplit/>
          <w:trHeight w:val="380"/>
        </w:trPr>
        <w:tc>
          <w:tcPr>
            <w:tcW w:w="850" w:type="dxa"/>
            <w:shd w:val="clear" w:color="auto" w:fill="auto"/>
          </w:tcPr>
          <w:p w14:paraId="488EEFF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5-3</w:t>
            </w:r>
          </w:p>
        </w:tc>
        <w:tc>
          <w:tcPr>
            <w:tcW w:w="2692" w:type="dxa"/>
            <w:gridSpan w:val="2"/>
            <w:shd w:val="clear" w:color="auto" w:fill="auto"/>
          </w:tcPr>
          <w:p w14:paraId="2E99C67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Benzyl alcohol </w:t>
            </w:r>
          </w:p>
        </w:tc>
        <w:tc>
          <w:tcPr>
            <w:tcW w:w="1277" w:type="dxa"/>
            <w:shd w:val="clear" w:color="auto" w:fill="auto"/>
          </w:tcPr>
          <w:p w14:paraId="5C60230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100-51-6</w:t>
            </w:r>
          </w:p>
        </w:tc>
        <w:tc>
          <w:tcPr>
            <w:tcW w:w="993" w:type="dxa"/>
            <w:shd w:val="clear" w:color="auto" w:fill="auto"/>
          </w:tcPr>
          <w:p w14:paraId="6F2D25F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440</w:t>
            </w:r>
          </w:p>
        </w:tc>
        <w:tc>
          <w:tcPr>
            <w:tcW w:w="3265" w:type="dxa"/>
            <w:shd w:val="clear" w:color="auto" w:fill="auto"/>
          </w:tcPr>
          <w:p w14:paraId="3216BE8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7B5C635F" w14:textId="77777777" w:rsidTr="00B409DD">
        <w:trPr>
          <w:cantSplit/>
          <w:trHeight w:val="283"/>
        </w:trPr>
        <w:tc>
          <w:tcPr>
            <w:tcW w:w="850" w:type="dxa"/>
            <w:shd w:val="clear" w:color="auto" w:fill="auto"/>
          </w:tcPr>
          <w:p w14:paraId="2938E008" w14:textId="77777777" w:rsidR="00DE0321" w:rsidRPr="0009445C" w:rsidRDefault="00DE0321" w:rsidP="00B409DD">
            <w:pPr>
              <w:pStyle w:val="BRL-TabelleAnlageberschriftFett"/>
              <w:spacing w:before="60" w:after="40"/>
              <w:jc w:val="center"/>
            </w:pPr>
            <w:r w:rsidRPr="0009445C">
              <w:t>6</w:t>
            </w:r>
          </w:p>
        </w:tc>
        <w:tc>
          <w:tcPr>
            <w:tcW w:w="8227" w:type="dxa"/>
            <w:gridSpan w:val="5"/>
            <w:shd w:val="clear" w:color="auto" w:fill="auto"/>
          </w:tcPr>
          <w:p w14:paraId="05F74D47" w14:textId="77777777" w:rsidR="00DE0321" w:rsidRPr="0009445C" w:rsidRDefault="00DE0321" w:rsidP="00B409DD">
            <w:pPr>
              <w:pStyle w:val="BRL-TabelleAnlageberschriftFett"/>
              <w:spacing w:before="60" w:after="40"/>
            </w:pPr>
            <w:r w:rsidRPr="0009445C">
              <w:t>Glycols, Glycol ethers, glycol esters</w:t>
            </w:r>
          </w:p>
        </w:tc>
      </w:tr>
      <w:tr w:rsidR="00DE0321" w:rsidRPr="0009445C" w14:paraId="31CB905D" w14:textId="77777777" w:rsidTr="00B409DD">
        <w:trPr>
          <w:cantSplit/>
          <w:trHeight w:val="390"/>
        </w:trPr>
        <w:tc>
          <w:tcPr>
            <w:tcW w:w="850" w:type="dxa"/>
            <w:shd w:val="clear" w:color="auto" w:fill="auto"/>
          </w:tcPr>
          <w:p w14:paraId="225D37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w:t>
            </w:r>
          </w:p>
        </w:tc>
        <w:tc>
          <w:tcPr>
            <w:tcW w:w="2692" w:type="dxa"/>
            <w:gridSpan w:val="2"/>
            <w:shd w:val="clear" w:color="auto" w:fill="auto"/>
          </w:tcPr>
          <w:p w14:paraId="6D30FE3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Propylene glycol </w:t>
            </w:r>
          </w:p>
          <w:p w14:paraId="0B96788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1,2-dihydroxypropane </w:t>
            </w:r>
          </w:p>
        </w:tc>
        <w:tc>
          <w:tcPr>
            <w:tcW w:w="1277" w:type="dxa"/>
            <w:shd w:val="clear" w:color="auto" w:fill="auto"/>
          </w:tcPr>
          <w:p w14:paraId="269A8B0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57-55-6</w:t>
            </w:r>
          </w:p>
        </w:tc>
        <w:tc>
          <w:tcPr>
            <w:tcW w:w="993" w:type="dxa"/>
            <w:shd w:val="clear" w:color="auto" w:fill="auto"/>
          </w:tcPr>
          <w:p w14:paraId="11D3E63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2 100</w:t>
            </w:r>
          </w:p>
        </w:tc>
        <w:tc>
          <w:tcPr>
            <w:tcW w:w="3265" w:type="dxa"/>
            <w:shd w:val="clear" w:color="auto" w:fill="auto"/>
          </w:tcPr>
          <w:p w14:paraId="09342DB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776BE824" w14:textId="77777777" w:rsidTr="00B409DD">
        <w:trPr>
          <w:cantSplit/>
          <w:trHeight w:val="207"/>
        </w:trPr>
        <w:tc>
          <w:tcPr>
            <w:tcW w:w="850" w:type="dxa"/>
            <w:shd w:val="clear" w:color="auto" w:fill="auto"/>
          </w:tcPr>
          <w:p w14:paraId="696E1E6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w:t>
            </w:r>
          </w:p>
        </w:tc>
        <w:tc>
          <w:tcPr>
            <w:tcW w:w="2692" w:type="dxa"/>
            <w:gridSpan w:val="2"/>
            <w:shd w:val="clear" w:color="auto" w:fill="auto"/>
          </w:tcPr>
          <w:p w14:paraId="4091D88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Ethylene glycol (ethanediol) </w:t>
            </w:r>
          </w:p>
        </w:tc>
        <w:tc>
          <w:tcPr>
            <w:tcW w:w="1277" w:type="dxa"/>
            <w:shd w:val="clear" w:color="auto" w:fill="auto"/>
          </w:tcPr>
          <w:p w14:paraId="362C448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107-21-1</w:t>
            </w:r>
          </w:p>
        </w:tc>
        <w:tc>
          <w:tcPr>
            <w:tcW w:w="993" w:type="dxa"/>
            <w:shd w:val="clear" w:color="auto" w:fill="auto"/>
          </w:tcPr>
          <w:p w14:paraId="5B4CC8B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3 400</w:t>
            </w:r>
          </w:p>
        </w:tc>
        <w:tc>
          <w:tcPr>
            <w:tcW w:w="3265" w:type="dxa"/>
            <w:shd w:val="clear" w:color="auto" w:fill="auto"/>
          </w:tcPr>
          <w:p w14:paraId="2BBC71F1"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1467A697" w14:textId="77777777" w:rsidTr="00B409DD">
        <w:trPr>
          <w:cantSplit/>
          <w:trHeight w:val="210"/>
        </w:trPr>
        <w:tc>
          <w:tcPr>
            <w:tcW w:w="850" w:type="dxa"/>
            <w:shd w:val="clear" w:color="auto" w:fill="auto"/>
          </w:tcPr>
          <w:p w14:paraId="01B592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w:t>
            </w:r>
          </w:p>
        </w:tc>
        <w:tc>
          <w:tcPr>
            <w:tcW w:w="2692" w:type="dxa"/>
            <w:gridSpan w:val="2"/>
            <w:shd w:val="clear" w:color="auto" w:fill="auto"/>
          </w:tcPr>
          <w:p w14:paraId="2DCBE2B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Ethylene glycol </w:t>
            </w:r>
            <w:proofErr w:type="spellStart"/>
            <w:r w:rsidRPr="0009445C">
              <w:rPr>
                <w:color w:val="000000"/>
              </w:rPr>
              <w:t>monobutyl</w:t>
            </w:r>
            <w:proofErr w:type="spellEnd"/>
            <w:r w:rsidRPr="0009445C">
              <w:rPr>
                <w:color w:val="000000"/>
              </w:rPr>
              <w:t xml:space="preserve"> ether </w:t>
            </w:r>
          </w:p>
        </w:tc>
        <w:tc>
          <w:tcPr>
            <w:tcW w:w="1277" w:type="dxa"/>
            <w:shd w:val="clear" w:color="auto" w:fill="auto"/>
          </w:tcPr>
          <w:p w14:paraId="01C434F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111-76-2</w:t>
            </w:r>
          </w:p>
        </w:tc>
        <w:tc>
          <w:tcPr>
            <w:tcW w:w="993" w:type="dxa"/>
            <w:shd w:val="clear" w:color="auto" w:fill="auto"/>
          </w:tcPr>
          <w:p w14:paraId="5F31771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1 600</w:t>
            </w:r>
          </w:p>
        </w:tc>
        <w:tc>
          <w:tcPr>
            <w:tcW w:w="3265" w:type="dxa"/>
            <w:shd w:val="clear" w:color="auto" w:fill="auto"/>
          </w:tcPr>
          <w:p w14:paraId="07B3B65C"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05CA3C48" w14:textId="77777777" w:rsidTr="00B409DD">
        <w:trPr>
          <w:cantSplit/>
          <w:trHeight w:val="207"/>
        </w:trPr>
        <w:tc>
          <w:tcPr>
            <w:tcW w:w="850" w:type="dxa"/>
            <w:shd w:val="clear" w:color="auto" w:fill="auto"/>
          </w:tcPr>
          <w:p w14:paraId="676EA70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6-4</w:t>
            </w:r>
          </w:p>
        </w:tc>
        <w:tc>
          <w:tcPr>
            <w:tcW w:w="2692" w:type="dxa"/>
            <w:gridSpan w:val="2"/>
            <w:shd w:val="clear" w:color="auto" w:fill="auto"/>
          </w:tcPr>
          <w:p w14:paraId="1B0B8068"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Diethyleneglycol</w:t>
            </w:r>
            <w:proofErr w:type="spellEnd"/>
            <w:r w:rsidRPr="0009445C">
              <w:rPr>
                <w:color w:val="000000"/>
              </w:rPr>
              <w:t xml:space="preserve"> </w:t>
            </w:r>
          </w:p>
        </w:tc>
        <w:tc>
          <w:tcPr>
            <w:tcW w:w="1277" w:type="dxa"/>
            <w:shd w:val="clear" w:color="auto" w:fill="auto"/>
          </w:tcPr>
          <w:p w14:paraId="2349D1B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111-46-6</w:t>
            </w:r>
          </w:p>
        </w:tc>
        <w:tc>
          <w:tcPr>
            <w:tcW w:w="993" w:type="dxa"/>
            <w:shd w:val="clear" w:color="auto" w:fill="auto"/>
          </w:tcPr>
          <w:p w14:paraId="61FF8C0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5 700</w:t>
            </w:r>
          </w:p>
        </w:tc>
        <w:tc>
          <w:tcPr>
            <w:tcW w:w="3265" w:type="dxa"/>
            <w:shd w:val="clear" w:color="auto" w:fill="auto"/>
          </w:tcPr>
          <w:p w14:paraId="23AC095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19EF20CE" w14:textId="77777777" w:rsidR="00DE0321" w:rsidRPr="0009445C" w:rsidRDefault="00DE0321" w:rsidP="00B409DD">
            <w:pPr>
              <w:widowControl w:val="0"/>
              <w:autoSpaceDE w:val="0"/>
              <w:autoSpaceDN w:val="0"/>
              <w:adjustRightInd w:val="0"/>
              <w:spacing w:before="60" w:after="40" w:line="240" w:lineRule="auto"/>
              <w:rPr>
                <w:rFonts w:cs="Arial"/>
              </w:rPr>
            </w:pPr>
            <w:r w:rsidRPr="0009445C">
              <w:t>Read across of ethylene glycol</w:t>
            </w:r>
          </w:p>
        </w:tc>
      </w:tr>
      <w:tr w:rsidR="00DE0321" w:rsidRPr="0009445C" w14:paraId="5ACAC699" w14:textId="77777777" w:rsidTr="00B409DD">
        <w:trPr>
          <w:cantSplit/>
          <w:trHeight w:val="390"/>
        </w:trPr>
        <w:tc>
          <w:tcPr>
            <w:tcW w:w="850" w:type="dxa"/>
            <w:shd w:val="clear" w:color="auto" w:fill="auto"/>
          </w:tcPr>
          <w:p w14:paraId="3A774789" w14:textId="5824A791"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5*</w:t>
            </w:r>
          </w:p>
        </w:tc>
        <w:tc>
          <w:tcPr>
            <w:tcW w:w="2692" w:type="dxa"/>
            <w:gridSpan w:val="2"/>
            <w:shd w:val="clear" w:color="auto" w:fill="auto"/>
          </w:tcPr>
          <w:p w14:paraId="0D00212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Diethylene glycol </w:t>
            </w:r>
            <w:proofErr w:type="spellStart"/>
            <w:r w:rsidRPr="0009445C">
              <w:rPr>
                <w:color w:val="000000"/>
              </w:rPr>
              <w:t>monobutyl</w:t>
            </w:r>
            <w:proofErr w:type="spellEnd"/>
            <w:r w:rsidRPr="0009445C">
              <w:rPr>
                <w:color w:val="000000"/>
              </w:rPr>
              <w:t xml:space="preserve"> ether </w:t>
            </w:r>
          </w:p>
        </w:tc>
        <w:tc>
          <w:tcPr>
            <w:tcW w:w="1277" w:type="dxa"/>
            <w:shd w:val="clear" w:color="auto" w:fill="auto"/>
          </w:tcPr>
          <w:p w14:paraId="5904622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112-34-5</w:t>
            </w:r>
          </w:p>
        </w:tc>
        <w:tc>
          <w:tcPr>
            <w:tcW w:w="993" w:type="dxa"/>
            <w:shd w:val="clear" w:color="auto" w:fill="auto"/>
          </w:tcPr>
          <w:p w14:paraId="1835761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350</w:t>
            </w:r>
          </w:p>
        </w:tc>
        <w:tc>
          <w:tcPr>
            <w:tcW w:w="3265" w:type="dxa"/>
            <w:shd w:val="clear" w:color="auto" w:fill="auto"/>
          </w:tcPr>
          <w:p w14:paraId="56000B9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726FF12D" w14:textId="77777777" w:rsidTr="00B409DD">
        <w:trPr>
          <w:cantSplit/>
          <w:trHeight w:val="207"/>
        </w:trPr>
        <w:tc>
          <w:tcPr>
            <w:tcW w:w="850" w:type="dxa"/>
            <w:shd w:val="clear" w:color="auto" w:fill="auto"/>
          </w:tcPr>
          <w:p w14:paraId="3031D4B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6-6</w:t>
            </w:r>
          </w:p>
        </w:tc>
        <w:tc>
          <w:tcPr>
            <w:tcW w:w="2692" w:type="dxa"/>
            <w:gridSpan w:val="2"/>
            <w:shd w:val="clear" w:color="auto" w:fill="auto"/>
          </w:tcPr>
          <w:p w14:paraId="02BB4BD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2-phenoxyethanol </w:t>
            </w:r>
          </w:p>
        </w:tc>
        <w:tc>
          <w:tcPr>
            <w:tcW w:w="1277" w:type="dxa"/>
            <w:shd w:val="clear" w:color="auto" w:fill="auto"/>
          </w:tcPr>
          <w:p w14:paraId="6659A0F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122-99-6</w:t>
            </w:r>
          </w:p>
        </w:tc>
        <w:tc>
          <w:tcPr>
            <w:tcW w:w="993" w:type="dxa"/>
            <w:shd w:val="clear" w:color="auto" w:fill="auto"/>
          </w:tcPr>
          <w:p w14:paraId="17811B7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60</w:t>
            </w:r>
          </w:p>
        </w:tc>
        <w:tc>
          <w:tcPr>
            <w:tcW w:w="3265" w:type="dxa"/>
            <w:shd w:val="clear" w:color="auto" w:fill="auto"/>
          </w:tcPr>
          <w:p w14:paraId="4F079F1D"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6BB7A4B5" w14:textId="77777777" w:rsidTr="00B409DD">
        <w:trPr>
          <w:cantSplit/>
          <w:trHeight w:val="203"/>
        </w:trPr>
        <w:tc>
          <w:tcPr>
            <w:tcW w:w="850" w:type="dxa"/>
            <w:shd w:val="clear" w:color="auto" w:fill="auto"/>
          </w:tcPr>
          <w:p w14:paraId="4B843CC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6-7</w:t>
            </w:r>
          </w:p>
        </w:tc>
        <w:tc>
          <w:tcPr>
            <w:tcW w:w="2692" w:type="dxa"/>
            <w:gridSpan w:val="2"/>
            <w:shd w:val="clear" w:color="auto" w:fill="auto"/>
          </w:tcPr>
          <w:p w14:paraId="2B1CEB8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Ethylene carbonate </w:t>
            </w:r>
          </w:p>
        </w:tc>
        <w:tc>
          <w:tcPr>
            <w:tcW w:w="1277" w:type="dxa"/>
            <w:shd w:val="clear" w:color="auto" w:fill="auto"/>
          </w:tcPr>
          <w:p w14:paraId="0F843AD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96-49-1</w:t>
            </w:r>
          </w:p>
        </w:tc>
        <w:tc>
          <w:tcPr>
            <w:tcW w:w="993" w:type="dxa"/>
            <w:shd w:val="clear" w:color="auto" w:fill="auto"/>
          </w:tcPr>
          <w:p w14:paraId="5ED2F93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4 800</w:t>
            </w:r>
          </w:p>
        </w:tc>
        <w:tc>
          <w:tcPr>
            <w:tcW w:w="3265" w:type="dxa"/>
            <w:shd w:val="clear" w:color="auto" w:fill="auto"/>
          </w:tcPr>
          <w:p w14:paraId="5EAE9C8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ethylene glycol </w:t>
            </w:r>
          </w:p>
        </w:tc>
      </w:tr>
      <w:tr w:rsidR="00DE0321" w:rsidRPr="0009445C" w14:paraId="0340AD13" w14:textId="77777777" w:rsidTr="00B409DD">
        <w:trPr>
          <w:cantSplit/>
          <w:trHeight w:val="207"/>
        </w:trPr>
        <w:tc>
          <w:tcPr>
            <w:tcW w:w="850" w:type="dxa"/>
            <w:shd w:val="clear" w:color="auto" w:fill="auto"/>
          </w:tcPr>
          <w:p w14:paraId="7F36A06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6-8</w:t>
            </w:r>
          </w:p>
        </w:tc>
        <w:tc>
          <w:tcPr>
            <w:tcW w:w="2692" w:type="dxa"/>
            <w:gridSpan w:val="2"/>
            <w:shd w:val="clear" w:color="auto" w:fill="auto"/>
          </w:tcPr>
          <w:p w14:paraId="6DB4519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1-methoxy-2-propanol </w:t>
            </w:r>
          </w:p>
        </w:tc>
        <w:tc>
          <w:tcPr>
            <w:tcW w:w="1277" w:type="dxa"/>
            <w:shd w:val="clear" w:color="auto" w:fill="auto"/>
          </w:tcPr>
          <w:p w14:paraId="39AA839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107-98-2</w:t>
            </w:r>
          </w:p>
        </w:tc>
        <w:tc>
          <w:tcPr>
            <w:tcW w:w="993" w:type="dxa"/>
            <w:shd w:val="clear" w:color="auto" w:fill="auto"/>
          </w:tcPr>
          <w:p w14:paraId="5D87163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7 900</w:t>
            </w:r>
          </w:p>
        </w:tc>
        <w:tc>
          <w:tcPr>
            <w:tcW w:w="3265" w:type="dxa"/>
            <w:shd w:val="clear" w:color="auto" w:fill="auto"/>
          </w:tcPr>
          <w:p w14:paraId="226B2394"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16171F91" w14:textId="77777777" w:rsidTr="00B409DD">
        <w:trPr>
          <w:cantSplit/>
          <w:trHeight w:val="339"/>
        </w:trPr>
        <w:tc>
          <w:tcPr>
            <w:tcW w:w="850" w:type="dxa"/>
            <w:shd w:val="clear" w:color="auto" w:fill="auto"/>
          </w:tcPr>
          <w:p w14:paraId="633C703E" w14:textId="74BAA822"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9*</w:t>
            </w:r>
          </w:p>
        </w:tc>
        <w:tc>
          <w:tcPr>
            <w:tcW w:w="2692" w:type="dxa"/>
            <w:gridSpan w:val="2"/>
            <w:shd w:val="clear" w:color="auto" w:fill="auto"/>
          </w:tcPr>
          <w:p w14:paraId="20AAD92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2,2,4-Trimethyl-1,3 </w:t>
            </w:r>
            <w:proofErr w:type="spellStart"/>
            <w:r w:rsidRPr="0009445C">
              <w:rPr>
                <w:color w:val="000000"/>
              </w:rPr>
              <w:t>pentandiol</w:t>
            </w:r>
            <w:proofErr w:type="spellEnd"/>
            <w:r w:rsidRPr="0009445C">
              <w:rPr>
                <w:color w:val="000000"/>
              </w:rPr>
              <w:t xml:space="preserve"> </w:t>
            </w:r>
            <w:proofErr w:type="spellStart"/>
            <w:r w:rsidRPr="0009445C">
              <w:rPr>
                <w:color w:val="000000"/>
              </w:rPr>
              <w:t>monobutyrate</w:t>
            </w:r>
            <w:proofErr w:type="spellEnd"/>
            <w:r w:rsidRPr="0009445C">
              <w:rPr>
                <w:color w:val="000000"/>
              </w:rPr>
              <w:t xml:space="preserve"> </w:t>
            </w:r>
          </w:p>
        </w:tc>
        <w:tc>
          <w:tcPr>
            <w:tcW w:w="1277" w:type="dxa"/>
            <w:shd w:val="clear" w:color="auto" w:fill="auto"/>
          </w:tcPr>
          <w:p w14:paraId="5559D42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25265-77-4</w:t>
            </w:r>
          </w:p>
        </w:tc>
        <w:tc>
          <w:tcPr>
            <w:tcW w:w="993" w:type="dxa"/>
            <w:shd w:val="clear" w:color="auto" w:fill="auto"/>
          </w:tcPr>
          <w:p w14:paraId="722DE43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850</w:t>
            </w:r>
          </w:p>
        </w:tc>
        <w:tc>
          <w:tcPr>
            <w:tcW w:w="3265" w:type="dxa"/>
            <w:shd w:val="clear" w:color="auto" w:fill="auto"/>
          </w:tcPr>
          <w:p w14:paraId="659812D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4501E27B" w14:textId="77777777" w:rsidTr="00B409DD">
        <w:trPr>
          <w:cantSplit/>
          <w:trHeight w:val="388"/>
        </w:trPr>
        <w:tc>
          <w:tcPr>
            <w:tcW w:w="850" w:type="dxa"/>
            <w:shd w:val="clear" w:color="auto" w:fill="auto"/>
          </w:tcPr>
          <w:p w14:paraId="1022BB45" w14:textId="6A42B721"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10*</w:t>
            </w:r>
          </w:p>
        </w:tc>
        <w:tc>
          <w:tcPr>
            <w:tcW w:w="2692" w:type="dxa"/>
            <w:gridSpan w:val="2"/>
            <w:shd w:val="clear" w:color="auto" w:fill="auto"/>
          </w:tcPr>
          <w:p w14:paraId="1F77056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Glycolic acid butyl ester (</w:t>
            </w:r>
            <w:proofErr w:type="spellStart"/>
            <w:r w:rsidRPr="0009445C">
              <w:rPr>
                <w:color w:val="000000"/>
              </w:rPr>
              <w:t>hydroxyacetic</w:t>
            </w:r>
            <w:proofErr w:type="spellEnd"/>
            <w:r w:rsidRPr="0009445C">
              <w:rPr>
                <w:color w:val="000000"/>
              </w:rPr>
              <w:t xml:space="preserve"> acid butyl ester) </w:t>
            </w:r>
          </w:p>
        </w:tc>
        <w:tc>
          <w:tcPr>
            <w:tcW w:w="1277" w:type="dxa"/>
            <w:shd w:val="clear" w:color="auto" w:fill="auto"/>
          </w:tcPr>
          <w:p w14:paraId="341646B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7397-62-8</w:t>
            </w:r>
          </w:p>
        </w:tc>
        <w:tc>
          <w:tcPr>
            <w:tcW w:w="993" w:type="dxa"/>
            <w:shd w:val="clear" w:color="auto" w:fill="auto"/>
          </w:tcPr>
          <w:p w14:paraId="55A474B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900</w:t>
            </w:r>
          </w:p>
        </w:tc>
        <w:tc>
          <w:tcPr>
            <w:tcW w:w="3265" w:type="dxa"/>
            <w:shd w:val="clear" w:color="auto" w:fill="auto"/>
          </w:tcPr>
          <w:p w14:paraId="211F335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6FD3EC06" w14:textId="77777777" w:rsidTr="00B409DD">
        <w:trPr>
          <w:cantSplit/>
          <w:trHeight w:val="422"/>
        </w:trPr>
        <w:tc>
          <w:tcPr>
            <w:tcW w:w="850" w:type="dxa"/>
            <w:shd w:val="clear" w:color="auto" w:fill="auto"/>
          </w:tcPr>
          <w:p w14:paraId="745A59E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6-11</w:t>
            </w:r>
          </w:p>
        </w:tc>
        <w:tc>
          <w:tcPr>
            <w:tcW w:w="2692" w:type="dxa"/>
            <w:gridSpan w:val="2"/>
            <w:shd w:val="clear" w:color="auto" w:fill="auto"/>
          </w:tcPr>
          <w:p w14:paraId="4937EF39"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Butyldiglycol</w:t>
            </w:r>
            <w:proofErr w:type="spellEnd"/>
            <w:r w:rsidRPr="0009445C">
              <w:rPr>
                <w:color w:val="000000"/>
              </w:rPr>
              <w:t xml:space="preserve"> acetate (ethanol, 2-(2-butoxyethoxy)acetate, BDGA)  </w:t>
            </w:r>
          </w:p>
        </w:tc>
        <w:tc>
          <w:tcPr>
            <w:tcW w:w="1277" w:type="dxa"/>
            <w:shd w:val="clear" w:color="auto" w:fill="auto"/>
          </w:tcPr>
          <w:p w14:paraId="01E144B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124-17-4</w:t>
            </w:r>
          </w:p>
        </w:tc>
        <w:tc>
          <w:tcPr>
            <w:tcW w:w="993" w:type="dxa"/>
            <w:shd w:val="clear" w:color="auto" w:fill="auto"/>
          </w:tcPr>
          <w:p w14:paraId="3A16B0C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850</w:t>
            </w:r>
          </w:p>
        </w:tc>
        <w:tc>
          <w:tcPr>
            <w:tcW w:w="3265" w:type="dxa"/>
            <w:shd w:val="clear" w:color="auto" w:fill="auto"/>
          </w:tcPr>
          <w:p w14:paraId="1388528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585645DD" w14:textId="77777777" w:rsidTr="00B409DD">
        <w:trPr>
          <w:cantSplit/>
          <w:trHeight w:val="390"/>
        </w:trPr>
        <w:tc>
          <w:tcPr>
            <w:tcW w:w="850" w:type="dxa"/>
            <w:shd w:val="clear" w:color="auto" w:fill="auto"/>
          </w:tcPr>
          <w:p w14:paraId="3012853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6-12</w:t>
            </w:r>
          </w:p>
        </w:tc>
        <w:tc>
          <w:tcPr>
            <w:tcW w:w="2692" w:type="dxa"/>
            <w:gridSpan w:val="2"/>
            <w:shd w:val="clear" w:color="auto" w:fill="auto"/>
          </w:tcPr>
          <w:p w14:paraId="518E2DBB"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Dipropylene</w:t>
            </w:r>
            <w:proofErr w:type="spellEnd"/>
            <w:r w:rsidRPr="0009445C">
              <w:rPr>
                <w:color w:val="000000"/>
              </w:rPr>
              <w:t xml:space="preserve"> glycol monomethyl ether </w:t>
            </w:r>
          </w:p>
        </w:tc>
        <w:tc>
          <w:tcPr>
            <w:tcW w:w="1277" w:type="dxa"/>
            <w:shd w:val="clear" w:color="auto" w:fill="auto"/>
          </w:tcPr>
          <w:p w14:paraId="567D3E1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34590-94-8</w:t>
            </w:r>
          </w:p>
        </w:tc>
        <w:tc>
          <w:tcPr>
            <w:tcW w:w="993" w:type="dxa"/>
            <w:shd w:val="clear" w:color="auto" w:fill="auto"/>
          </w:tcPr>
          <w:p w14:paraId="1DC3EC6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3 100</w:t>
            </w:r>
          </w:p>
        </w:tc>
        <w:tc>
          <w:tcPr>
            <w:tcW w:w="3265" w:type="dxa"/>
            <w:shd w:val="clear" w:color="auto" w:fill="auto"/>
          </w:tcPr>
          <w:p w14:paraId="0051AC93"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30A7233B" w14:textId="77777777" w:rsidTr="00B409DD">
        <w:trPr>
          <w:cantSplit/>
          <w:trHeight w:val="207"/>
        </w:trPr>
        <w:tc>
          <w:tcPr>
            <w:tcW w:w="850" w:type="dxa"/>
            <w:shd w:val="clear" w:color="auto" w:fill="auto"/>
          </w:tcPr>
          <w:p w14:paraId="00C30D8D" w14:textId="51DF6F89"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13*</w:t>
            </w:r>
          </w:p>
        </w:tc>
        <w:tc>
          <w:tcPr>
            <w:tcW w:w="2692" w:type="dxa"/>
            <w:gridSpan w:val="2"/>
            <w:shd w:val="clear" w:color="auto" w:fill="auto"/>
          </w:tcPr>
          <w:p w14:paraId="55EB890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2-methoxyethanol </w:t>
            </w:r>
          </w:p>
        </w:tc>
        <w:tc>
          <w:tcPr>
            <w:tcW w:w="1277" w:type="dxa"/>
            <w:shd w:val="clear" w:color="auto" w:fill="auto"/>
          </w:tcPr>
          <w:p w14:paraId="47F5A5B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109-86-4</w:t>
            </w:r>
          </w:p>
        </w:tc>
        <w:tc>
          <w:tcPr>
            <w:tcW w:w="993" w:type="dxa"/>
            <w:shd w:val="clear" w:color="auto" w:fill="auto"/>
          </w:tcPr>
          <w:p w14:paraId="35E35BA9" w14:textId="77777777" w:rsidR="00DE0321" w:rsidRPr="0009445C" w:rsidRDefault="00DE0321" w:rsidP="00B409DD">
            <w:pPr>
              <w:widowControl w:val="0"/>
              <w:autoSpaceDE w:val="0"/>
              <w:autoSpaceDN w:val="0"/>
              <w:adjustRightInd w:val="0"/>
              <w:spacing w:before="60" w:after="40" w:line="240" w:lineRule="auto"/>
              <w:jc w:val="center"/>
              <w:rPr>
                <w:rFonts w:cs="Arial"/>
                <w:b/>
                <w:color w:val="000000"/>
              </w:rPr>
            </w:pPr>
            <w:r w:rsidRPr="0009445C">
              <w:rPr>
                <w:b/>
                <w:color w:val="000000"/>
              </w:rPr>
              <w:t>100</w:t>
            </w:r>
          </w:p>
        </w:tc>
        <w:tc>
          <w:tcPr>
            <w:tcW w:w="3265" w:type="dxa"/>
            <w:shd w:val="clear" w:color="auto" w:fill="auto"/>
          </w:tcPr>
          <w:p w14:paraId="6E4037B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6AEBA0C1" w14:textId="77777777" w:rsidTr="00B409DD">
        <w:trPr>
          <w:cantSplit/>
          <w:trHeight w:val="207"/>
        </w:trPr>
        <w:tc>
          <w:tcPr>
            <w:tcW w:w="850" w:type="dxa"/>
            <w:shd w:val="clear" w:color="auto" w:fill="auto"/>
          </w:tcPr>
          <w:p w14:paraId="16FF52B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6-14</w:t>
            </w:r>
          </w:p>
        </w:tc>
        <w:tc>
          <w:tcPr>
            <w:tcW w:w="2692" w:type="dxa"/>
            <w:gridSpan w:val="2"/>
            <w:shd w:val="clear" w:color="auto" w:fill="auto"/>
          </w:tcPr>
          <w:p w14:paraId="5C143C5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2-ethoxyethanol </w:t>
            </w:r>
          </w:p>
        </w:tc>
        <w:tc>
          <w:tcPr>
            <w:tcW w:w="1277" w:type="dxa"/>
            <w:shd w:val="clear" w:color="auto" w:fill="auto"/>
          </w:tcPr>
          <w:p w14:paraId="0F5BF95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110-80-5</w:t>
            </w:r>
          </w:p>
        </w:tc>
        <w:tc>
          <w:tcPr>
            <w:tcW w:w="993" w:type="dxa"/>
            <w:shd w:val="clear" w:color="auto" w:fill="auto"/>
          </w:tcPr>
          <w:p w14:paraId="5678BA9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8</w:t>
            </w:r>
          </w:p>
        </w:tc>
        <w:tc>
          <w:tcPr>
            <w:tcW w:w="3265" w:type="dxa"/>
            <w:shd w:val="clear" w:color="auto" w:fill="auto"/>
          </w:tcPr>
          <w:p w14:paraId="709A4F9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EU-OEL: 8 000 µg/m³ Adoption of the EU LCI value is still under discussion</w:t>
            </w:r>
          </w:p>
        </w:tc>
      </w:tr>
      <w:tr w:rsidR="00DE0321" w:rsidRPr="0009445C" w14:paraId="45065385" w14:textId="77777777" w:rsidTr="00B409DD">
        <w:trPr>
          <w:cantSplit/>
          <w:trHeight w:val="207"/>
        </w:trPr>
        <w:tc>
          <w:tcPr>
            <w:tcW w:w="850" w:type="dxa"/>
            <w:shd w:val="clear" w:color="auto" w:fill="auto"/>
          </w:tcPr>
          <w:p w14:paraId="6C82EAB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6-15</w:t>
            </w:r>
          </w:p>
        </w:tc>
        <w:tc>
          <w:tcPr>
            <w:tcW w:w="2692" w:type="dxa"/>
            <w:gridSpan w:val="2"/>
            <w:shd w:val="clear" w:color="auto" w:fill="auto"/>
          </w:tcPr>
          <w:p w14:paraId="75748B1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2-propoxyethanol </w:t>
            </w:r>
          </w:p>
        </w:tc>
        <w:tc>
          <w:tcPr>
            <w:tcW w:w="1277" w:type="dxa"/>
            <w:shd w:val="clear" w:color="auto" w:fill="auto"/>
          </w:tcPr>
          <w:p w14:paraId="1309966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2807-30-9</w:t>
            </w:r>
          </w:p>
        </w:tc>
        <w:tc>
          <w:tcPr>
            <w:tcW w:w="993" w:type="dxa"/>
            <w:shd w:val="clear" w:color="auto" w:fill="auto"/>
          </w:tcPr>
          <w:p w14:paraId="71DBB02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860</w:t>
            </w:r>
          </w:p>
        </w:tc>
        <w:tc>
          <w:tcPr>
            <w:tcW w:w="3265" w:type="dxa"/>
            <w:shd w:val="clear" w:color="auto" w:fill="auto"/>
          </w:tcPr>
          <w:p w14:paraId="1402A87C"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63B9CBA8" w14:textId="77777777" w:rsidTr="00B409DD">
        <w:trPr>
          <w:cantSplit/>
          <w:trHeight w:val="207"/>
        </w:trPr>
        <w:tc>
          <w:tcPr>
            <w:tcW w:w="850" w:type="dxa"/>
            <w:shd w:val="clear" w:color="auto" w:fill="auto"/>
          </w:tcPr>
          <w:p w14:paraId="1EBEF12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6-16</w:t>
            </w:r>
          </w:p>
        </w:tc>
        <w:tc>
          <w:tcPr>
            <w:tcW w:w="2692" w:type="dxa"/>
            <w:gridSpan w:val="2"/>
            <w:shd w:val="clear" w:color="auto" w:fill="auto"/>
          </w:tcPr>
          <w:p w14:paraId="1E373FB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2-methylethoxyethanol </w:t>
            </w:r>
          </w:p>
        </w:tc>
        <w:tc>
          <w:tcPr>
            <w:tcW w:w="1277" w:type="dxa"/>
            <w:shd w:val="clear" w:color="auto" w:fill="auto"/>
          </w:tcPr>
          <w:p w14:paraId="4894065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109-59-1</w:t>
            </w:r>
          </w:p>
        </w:tc>
        <w:tc>
          <w:tcPr>
            <w:tcW w:w="993" w:type="dxa"/>
            <w:shd w:val="clear" w:color="auto" w:fill="auto"/>
          </w:tcPr>
          <w:p w14:paraId="71C39CD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220</w:t>
            </w:r>
          </w:p>
        </w:tc>
        <w:tc>
          <w:tcPr>
            <w:tcW w:w="3265" w:type="dxa"/>
            <w:shd w:val="clear" w:color="auto" w:fill="auto"/>
          </w:tcPr>
          <w:p w14:paraId="78655D50"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719EF2FC" w14:textId="77777777" w:rsidTr="00B409DD">
        <w:trPr>
          <w:cantSplit/>
          <w:trHeight w:val="198"/>
        </w:trPr>
        <w:tc>
          <w:tcPr>
            <w:tcW w:w="850" w:type="dxa"/>
            <w:shd w:val="clear" w:color="auto" w:fill="auto"/>
          </w:tcPr>
          <w:p w14:paraId="69C6E723" w14:textId="40FEA1F8"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17*</w:t>
            </w:r>
          </w:p>
        </w:tc>
        <w:tc>
          <w:tcPr>
            <w:tcW w:w="2692" w:type="dxa"/>
            <w:gridSpan w:val="2"/>
            <w:shd w:val="clear" w:color="auto" w:fill="auto"/>
          </w:tcPr>
          <w:p w14:paraId="0E9E144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2-hexoxyethanol </w:t>
            </w:r>
          </w:p>
        </w:tc>
        <w:tc>
          <w:tcPr>
            <w:tcW w:w="1277" w:type="dxa"/>
            <w:shd w:val="clear" w:color="auto" w:fill="auto"/>
          </w:tcPr>
          <w:p w14:paraId="617C336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112-25-4</w:t>
            </w:r>
          </w:p>
        </w:tc>
        <w:tc>
          <w:tcPr>
            <w:tcW w:w="993" w:type="dxa"/>
            <w:shd w:val="clear" w:color="auto" w:fill="auto"/>
          </w:tcPr>
          <w:p w14:paraId="74CD6AF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900</w:t>
            </w:r>
          </w:p>
        </w:tc>
        <w:tc>
          <w:tcPr>
            <w:tcW w:w="3265" w:type="dxa"/>
            <w:shd w:val="clear" w:color="auto" w:fill="auto"/>
          </w:tcPr>
          <w:p w14:paraId="078E1A9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287FD19F" w14:textId="77777777" w:rsidTr="00B409DD">
        <w:trPr>
          <w:cantSplit/>
          <w:trHeight w:val="274"/>
        </w:trPr>
        <w:tc>
          <w:tcPr>
            <w:tcW w:w="850" w:type="dxa"/>
            <w:shd w:val="clear" w:color="auto" w:fill="auto"/>
          </w:tcPr>
          <w:p w14:paraId="79DCAF78" w14:textId="0A60DBFA"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18*</w:t>
            </w:r>
          </w:p>
        </w:tc>
        <w:tc>
          <w:tcPr>
            <w:tcW w:w="2692" w:type="dxa"/>
            <w:gridSpan w:val="2"/>
            <w:shd w:val="clear" w:color="auto" w:fill="auto"/>
          </w:tcPr>
          <w:p w14:paraId="22448D9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1,2-dimethoxyethane </w:t>
            </w:r>
          </w:p>
        </w:tc>
        <w:tc>
          <w:tcPr>
            <w:tcW w:w="1277" w:type="dxa"/>
            <w:shd w:val="clear" w:color="auto" w:fill="auto"/>
          </w:tcPr>
          <w:p w14:paraId="3AF8FBE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110-71-4</w:t>
            </w:r>
          </w:p>
        </w:tc>
        <w:tc>
          <w:tcPr>
            <w:tcW w:w="993" w:type="dxa"/>
            <w:shd w:val="clear" w:color="auto" w:fill="auto"/>
          </w:tcPr>
          <w:p w14:paraId="7CE588A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vertAlign w:val="superscript"/>
              </w:rPr>
            </w:pPr>
            <w:r w:rsidRPr="0009445C">
              <w:rPr>
                <w:b/>
                <w:color w:val="000000"/>
              </w:rPr>
              <w:t>100</w:t>
            </w:r>
          </w:p>
        </w:tc>
        <w:tc>
          <w:tcPr>
            <w:tcW w:w="3265" w:type="dxa"/>
            <w:shd w:val="clear" w:color="auto" w:fill="auto"/>
          </w:tcPr>
          <w:p w14:paraId="0CB8CC3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from 2-methoxyethanol </w:t>
            </w:r>
          </w:p>
        </w:tc>
      </w:tr>
      <w:tr w:rsidR="00DE0321" w:rsidRPr="0009445C" w14:paraId="23B550F9" w14:textId="77777777" w:rsidTr="00B409DD">
        <w:trPr>
          <w:cantSplit/>
          <w:trHeight w:val="180"/>
        </w:trPr>
        <w:tc>
          <w:tcPr>
            <w:tcW w:w="850" w:type="dxa"/>
            <w:shd w:val="clear" w:color="auto" w:fill="auto"/>
          </w:tcPr>
          <w:p w14:paraId="4A99809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6-19</w:t>
            </w:r>
          </w:p>
        </w:tc>
        <w:tc>
          <w:tcPr>
            <w:tcW w:w="2692" w:type="dxa"/>
            <w:gridSpan w:val="2"/>
            <w:shd w:val="clear" w:color="auto" w:fill="auto"/>
          </w:tcPr>
          <w:p w14:paraId="7DE7647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1,2-diethoxyethane </w:t>
            </w:r>
          </w:p>
        </w:tc>
        <w:tc>
          <w:tcPr>
            <w:tcW w:w="1277" w:type="dxa"/>
            <w:shd w:val="clear" w:color="auto" w:fill="auto"/>
          </w:tcPr>
          <w:p w14:paraId="310719B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629-14-1</w:t>
            </w:r>
          </w:p>
        </w:tc>
        <w:tc>
          <w:tcPr>
            <w:tcW w:w="993" w:type="dxa"/>
            <w:shd w:val="clear" w:color="auto" w:fill="auto"/>
          </w:tcPr>
          <w:p w14:paraId="7872DA6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10</w:t>
            </w:r>
          </w:p>
        </w:tc>
        <w:tc>
          <w:tcPr>
            <w:tcW w:w="3265" w:type="dxa"/>
            <w:shd w:val="clear" w:color="auto" w:fill="auto"/>
          </w:tcPr>
          <w:p w14:paraId="69314F1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2-ethoxyethanol </w:t>
            </w:r>
          </w:p>
        </w:tc>
      </w:tr>
      <w:tr w:rsidR="00DE0321" w:rsidRPr="0009445C" w14:paraId="7B8F6FA8" w14:textId="77777777" w:rsidTr="00B409DD">
        <w:trPr>
          <w:cantSplit/>
          <w:trHeight w:val="207"/>
        </w:trPr>
        <w:tc>
          <w:tcPr>
            <w:tcW w:w="850" w:type="dxa"/>
            <w:shd w:val="clear" w:color="auto" w:fill="auto"/>
          </w:tcPr>
          <w:p w14:paraId="7DF02BD5" w14:textId="7C25C052"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lastRenderedPageBreak/>
              <w:t>6</w:t>
            </w:r>
            <w:r w:rsidR="00C96297">
              <w:rPr>
                <w:color w:val="000000"/>
              </w:rPr>
              <w:t>-</w:t>
            </w:r>
            <w:r w:rsidRPr="0009445C">
              <w:rPr>
                <w:color w:val="000000"/>
              </w:rPr>
              <w:t>20*</w:t>
            </w:r>
          </w:p>
        </w:tc>
        <w:tc>
          <w:tcPr>
            <w:tcW w:w="2692" w:type="dxa"/>
            <w:gridSpan w:val="2"/>
            <w:shd w:val="clear" w:color="auto" w:fill="auto"/>
          </w:tcPr>
          <w:p w14:paraId="01CE803F" w14:textId="77777777" w:rsidR="00DE0321" w:rsidRPr="0009445C" w:rsidRDefault="00DE0321" w:rsidP="00B409DD">
            <w:pPr>
              <w:widowControl w:val="0"/>
              <w:autoSpaceDE w:val="0"/>
              <w:autoSpaceDN w:val="0"/>
              <w:adjustRightInd w:val="0"/>
              <w:spacing w:before="60" w:after="40" w:line="240" w:lineRule="auto"/>
              <w:rPr>
                <w:rFonts w:cs="Arial"/>
                <w:color w:val="000000"/>
              </w:rPr>
            </w:pPr>
            <w:bookmarkStart w:id="43" w:name="_Hlk38286743"/>
            <w:r w:rsidRPr="0009445C">
              <w:rPr>
                <w:color w:val="000000"/>
              </w:rPr>
              <w:t xml:space="preserve">2-methoxyethyl acetate </w:t>
            </w:r>
            <w:bookmarkEnd w:id="43"/>
          </w:p>
        </w:tc>
        <w:tc>
          <w:tcPr>
            <w:tcW w:w="1277" w:type="dxa"/>
            <w:shd w:val="clear" w:color="auto" w:fill="auto"/>
          </w:tcPr>
          <w:p w14:paraId="6A1A99B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110-49-6</w:t>
            </w:r>
          </w:p>
        </w:tc>
        <w:tc>
          <w:tcPr>
            <w:tcW w:w="993" w:type="dxa"/>
            <w:shd w:val="clear" w:color="auto" w:fill="auto"/>
          </w:tcPr>
          <w:p w14:paraId="198827D4" w14:textId="77777777" w:rsidR="00DE0321" w:rsidRPr="0009445C" w:rsidRDefault="00DE0321" w:rsidP="00B409DD">
            <w:pPr>
              <w:widowControl w:val="0"/>
              <w:autoSpaceDE w:val="0"/>
              <w:autoSpaceDN w:val="0"/>
              <w:adjustRightInd w:val="0"/>
              <w:spacing w:before="60" w:after="40" w:line="240" w:lineRule="auto"/>
              <w:jc w:val="center"/>
              <w:rPr>
                <w:rFonts w:cs="Arial"/>
                <w:b/>
                <w:color w:val="000000"/>
              </w:rPr>
            </w:pPr>
            <w:r w:rsidRPr="0009445C">
              <w:rPr>
                <w:b/>
                <w:color w:val="000000"/>
              </w:rPr>
              <w:t>150</w:t>
            </w:r>
          </w:p>
        </w:tc>
        <w:tc>
          <w:tcPr>
            <w:tcW w:w="3265" w:type="dxa"/>
            <w:shd w:val="clear" w:color="auto" w:fill="auto"/>
          </w:tcPr>
          <w:p w14:paraId="176C9D6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3CE014EC" w14:textId="77777777" w:rsidR="00DE0321" w:rsidRPr="0009445C" w:rsidRDefault="00DE0321" w:rsidP="00B409DD">
            <w:pPr>
              <w:widowControl w:val="0"/>
              <w:autoSpaceDE w:val="0"/>
              <w:autoSpaceDN w:val="0"/>
              <w:adjustRightInd w:val="0"/>
              <w:spacing w:before="60" w:after="40" w:line="240" w:lineRule="auto"/>
              <w:rPr>
                <w:rFonts w:cs="Arial"/>
              </w:rPr>
            </w:pPr>
            <w:r w:rsidRPr="0009445C">
              <w:t xml:space="preserve">Read across from </w:t>
            </w:r>
            <w:r w:rsidRPr="0009445C">
              <w:rPr>
                <w:color w:val="000000"/>
              </w:rPr>
              <w:t>2-methoxyethanol</w:t>
            </w:r>
          </w:p>
        </w:tc>
      </w:tr>
      <w:tr w:rsidR="00DE0321" w:rsidRPr="0009445C" w14:paraId="3D5A0869" w14:textId="77777777" w:rsidTr="00B409DD">
        <w:trPr>
          <w:cantSplit/>
          <w:trHeight w:val="207"/>
        </w:trPr>
        <w:tc>
          <w:tcPr>
            <w:tcW w:w="850" w:type="dxa"/>
            <w:shd w:val="clear" w:color="auto" w:fill="auto"/>
          </w:tcPr>
          <w:p w14:paraId="48BB7CA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6-21</w:t>
            </w:r>
          </w:p>
        </w:tc>
        <w:tc>
          <w:tcPr>
            <w:tcW w:w="2692" w:type="dxa"/>
            <w:gridSpan w:val="2"/>
            <w:shd w:val="clear" w:color="auto" w:fill="auto"/>
          </w:tcPr>
          <w:p w14:paraId="5BA955C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2-ethoxyethyl acetate </w:t>
            </w:r>
          </w:p>
        </w:tc>
        <w:tc>
          <w:tcPr>
            <w:tcW w:w="1277" w:type="dxa"/>
            <w:shd w:val="clear" w:color="auto" w:fill="auto"/>
          </w:tcPr>
          <w:p w14:paraId="0A4B8D1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111-15-9</w:t>
            </w:r>
          </w:p>
        </w:tc>
        <w:tc>
          <w:tcPr>
            <w:tcW w:w="993" w:type="dxa"/>
            <w:shd w:val="clear" w:color="auto" w:fill="auto"/>
          </w:tcPr>
          <w:p w14:paraId="0F70FCE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11</w:t>
            </w:r>
          </w:p>
        </w:tc>
        <w:tc>
          <w:tcPr>
            <w:tcW w:w="3265" w:type="dxa"/>
            <w:shd w:val="clear" w:color="auto" w:fill="auto"/>
          </w:tcPr>
          <w:p w14:paraId="7CA4122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EU-OEL: 11 000 µg/m³ Adoption of the EU LCI value is still under discussion</w:t>
            </w:r>
          </w:p>
        </w:tc>
      </w:tr>
      <w:tr w:rsidR="00DE0321" w:rsidRPr="0009445C" w14:paraId="18E90DD3" w14:textId="77777777" w:rsidTr="00B409DD">
        <w:trPr>
          <w:cantSplit/>
          <w:trHeight w:val="207"/>
        </w:trPr>
        <w:tc>
          <w:tcPr>
            <w:tcW w:w="850" w:type="dxa"/>
            <w:shd w:val="clear" w:color="auto" w:fill="auto"/>
          </w:tcPr>
          <w:p w14:paraId="420189A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6-22</w:t>
            </w:r>
          </w:p>
        </w:tc>
        <w:tc>
          <w:tcPr>
            <w:tcW w:w="2692" w:type="dxa"/>
            <w:gridSpan w:val="2"/>
            <w:shd w:val="clear" w:color="auto" w:fill="auto"/>
          </w:tcPr>
          <w:p w14:paraId="500B6A0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2-butoxyethylacetate </w:t>
            </w:r>
          </w:p>
        </w:tc>
        <w:tc>
          <w:tcPr>
            <w:tcW w:w="1277" w:type="dxa"/>
            <w:shd w:val="clear" w:color="auto" w:fill="auto"/>
          </w:tcPr>
          <w:p w14:paraId="60F00AA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112-07-2</w:t>
            </w:r>
          </w:p>
        </w:tc>
        <w:tc>
          <w:tcPr>
            <w:tcW w:w="993" w:type="dxa"/>
            <w:shd w:val="clear" w:color="auto" w:fill="auto"/>
          </w:tcPr>
          <w:p w14:paraId="73D6712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2 200</w:t>
            </w:r>
          </w:p>
        </w:tc>
        <w:tc>
          <w:tcPr>
            <w:tcW w:w="3265" w:type="dxa"/>
            <w:shd w:val="clear" w:color="auto" w:fill="auto"/>
          </w:tcPr>
          <w:p w14:paraId="04BFCB0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4CDB6CC8" w14:textId="77777777" w:rsidR="00DE0321" w:rsidRPr="0009445C" w:rsidRDefault="00DE0321" w:rsidP="00B409DD">
            <w:pPr>
              <w:widowControl w:val="0"/>
              <w:autoSpaceDE w:val="0"/>
              <w:autoSpaceDN w:val="0"/>
              <w:adjustRightInd w:val="0"/>
              <w:spacing w:before="60" w:after="40" w:line="240" w:lineRule="auto"/>
              <w:rPr>
                <w:rFonts w:cs="Arial"/>
              </w:rPr>
            </w:pPr>
            <w:r w:rsidRPr="0009445C">
              <w:t xml:space="preserve">Read across of </w:t>
            </w:r>
            <w:r w:rsidRPr="0009445C">
              <w:rPr>
                <w:color w:val="000000"/>
              </w:rPr>
              <w:t>ethylene glycol butyl ether</w:t>
            </w:r>
          </w:p>
        </w:tc>
      </w:tr>
      <w:tr w:rsidR="00DE0321" w:rsidRPr="0009445C" w14:paraId="437D5A63" w14:textId="77777777" w:rsidTr="00B409DD">
        <w:trPr>
          <w:cantSplit/>
          <w:trHeight w:val="273"/>
        </w:trPr>
        <w:tc>
          <w:tcPr>
            <w:tcW w:w="850" w:type="dxa"/>
            <w:shd w:val="clear" w:color="auto" w:fill="auto"/>
          </w:tcPr>
          <w:p w14:paraId="3FC410F9" w14:textId="4AFB59D9"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23*</w:t>
            </w:r>
          </w:p>
        </w:tc>
        <w:tc>
          <w:tcPr>
            <w:tcW w:w="2692" w:type="dxa"/>
            <w:gridSpan w:val="2"/>
            <w:shd w:val="clear" w:color="auto" w:fill="auto"/>
          </w:tcPr>
          <w:p w14:paraId="5FCBF89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2-(2-hexoxyethoxy)-ethanol </w:t>
            </w:r>
          </w:p>
        </w:tc>
        <w:tc>
          <w:tcPr>
            <w:tcW w:w="1277" w:type="dxa"/>
            <w:shd w:val="clear" w:color="auto" w:fill="auto"/>
          </w:tcPr>
          <w:p w14:paraId="2F0BEA4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112-59-4</w:t>
            </w:r>
          </w:p>
        </w:tc>
        <w:tc>
          <w:tcPr>
            <w:tcW w:w="993" w:type="dxa"/>
            <w:shd w:val="clear" w:color="auto" w:fill="auto"/>
          </w:tcPr>
          <w:p w14:paraId="7726AB0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400</w:t>
            </w:r>
          </w:p>
        </w:tc>
        <w:tc>
          <w:tcPr>
            <w:tcW w:w="3265" w:type="dxa"/>
            <w:shd w:val="clear" w:color="auto" w:fill="auto"/>
          </w:tcPr>
          <w:p w14:paraId="217D4A6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5E9CE15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diethylene glycol </w:t>
            </w:r>
            <w:proofErr w:type="spellStart"/>
            <w:r w:rsidRPr="0009445C">
              <w:rPr>
                <w:color w:val="000000"/>
              </w:rPr>
              <w:t>monobutyl</w:t>
            </w:r>
            <w:proofErr w:type="spellEnd"/>
            <w:r w:rsidRPr="0009445C">
              <w:rPr>
                <w:color w:val="000000"/>
              </w:rPr>
              <w:t xml:space="preserve"> ether</w:t>
            </w:r>
          </w:p>
        </w:tc>
      </w:tr>
      <w:tr w:rsidR="00DE0321" w:rsidRPr="0009445C" w14:paraId="7FE482F5" w14:textId="77777777" w:rsidTr="00B409DD">
        <w:trPr>
          <w:cantSplit/>
          <w:trHeight w:val="390"/>
        </w:trPr>
        <w:tc>
          <w:tcPr>
            <w:tcW w:w="850" w:type="dxa"/>
            <w:shd w:val="clear" w:color="auto" w:fill="auto"/>
          </w:tcPr>
          <w:p w14:paraId="3B01600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6-24</w:t>
            </w:r>
          </w:p>
        </w:tc>
        <w:tc>
          <w:tcPr>
            <w:tcW w:w="2692" w:type="dxa"/>
            <w:gridSpan w:val="2"/>
            <w:shd w:val="clear" w:color="auto" w:fill="auto"/>
          </w:tcPr>
          <w:p w14:paraId="3ECCF09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1-methoxy-2-(2-methoxyethoxy)-ethane </w:t>
            </w:r>
          </w:p>
        </w:tc>
        <w:tc>
          <w:tcPr>
            <w:tcW w:w="1277" w:type="dxa"/>
            <w:shd w:val="clear" w:color="auto" w:fill="auto"/>
          </w:tcPr>
          <w:p w14:paraId="5737803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111-96-6</w:t>
            </w:r>
          </w:p>
        </w:tc>
        <w:tc>
          <w:tcPr>
            <w:tcW w:w="993" w:type="dxa"/>
            <w:shd w:val="clear" w:color="auto" w:fill="auto"/>
          </w:tcPr>
          <w:p w14:paraId="073F8F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28</w:t>
            </w:r>
          </w:p>
        </w:tc>
        <w:tc>
          <w:tcPr>
            <w:tcW w:w="3265" w:type="dxa"/>
            <w:shd w:val="clear" w:color="auto" w:fill="auto"/>
          </w:tcPr>
          <w:p w14:paraId="2C7AD90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637D51F8" w14:textId="77777777" w:rsidTr="00B409DD">
        <w:trPr>
          <w:cantSplit/>
          <w:trHeight w:val="207"/>
        </w:trPr>
        <w:tc>
          <w:tcPr>
            <w:tcW w:w="850" w:type="dxa"/>
            <w:shd w:val="clear" w:color="auto" w:fill="auto"/>
          </w:tcPr>
          <w:p w14:paraId="7C80F1A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6-25</w:t>
            </w:r>
          </w:p>
        </w:tc>
        <w:tc>
          <w:tcPr>
            <w:tcW w:w="2692" w:type="dxa"/>
            <w:gridSpan w:val="2"/>
            <w:shd w:val="clear" w:color="auto" w:fill="auto"/>
          </w:tcPr>
          <w:p w14:paraId="79C38F3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2-methoxy-1-propanol </w:t>
            </w:r>
          </w:p>
        </w:tc>
        <w:tc>
          <w:tcPr>
            <w:tcW w:w="1277" w:type="dxa"/>
            <w:shd w:val="clear" w:color="auto" w:fill="auto"/>
          </w:tcPr>
          <w:p w14:paraId="5E5A6BC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1589-47-5</w:t>
            </w:r>
          </w:p>
        </w:tc>
        <w:tc>
          <w:tcPr>
            <w:tcW w:w="993" w:type="dxa"/>
            <w:shd w:val="clear" w:color="auto" w:fill="auto"/>
          </w:tcPr>
          <w:p w14:paraId="4DE584B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19</w:t>
            </w:r>
          </w:p>
        </w:tc>
        <w:tc>
          <w:tcPr>
            <w:tcW w:w="3265" w:type="dxa"/>
            <w:shd w:val="clear" w:color="auto" w:fill="auto"/>
          </w:tcPr>
          <w:p w14:paraId="7920342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D156EFE" w14:textId="77777777" w:rsidTr="00B409DD">
        <w:trPr>
          <w:cantSplit/>
          <w:trHeight w:val="210"/>
        </w:trPr>
        <w:tc>
          <w:tcPr>
            <w:tcW w:w="850" w:type="dxa"/>
            <w:shd w:val="clear" w:color="auto" w:fill="auto"/>
          </w:tcPr>
          <w:p w14:paraId="59BE91E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6-26</w:t>
            </w:r>
          </w:p>
        </w:tc>
        <w:tc>
          <w:tcPr>
            <w:tcW w:w="2692" w:type="dxa"/>
            <w:gridSpan w:val="2"/>
            <w:shd w:val="clear" w:color="auto" w:fill="auto"/>
          </w:tcPr>
          <w:p w14:paraId="7EF0199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2-methoxy-1-propyl acetate </w:t>
            </w:r>
          </w:p>
        </w:tc>
        <w:tc>
          <w:tcPr>
            <w:tcW w:w="1277" w:type="dxa"/>
            <w:shd w:val="clear" w:color="auto" w:fill="auto"/>
          </w:tcPr>
          <w:p w14:paraId="5C12AB6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70657-70-4</w:t>
            </w:r>
          </w:p>
        </w:tc>
        <w:tc>
          <w:tcPr>
            <w:tcW w:w="993" w:type="dxa"/>
            <w:shd w:val="clear" w:color="auto" w:fill="auto"/>
          </w:tcPr>
          <w:p w14:paraId="5347018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28</w:t>
            </w:r>
          </w:p>
        </w:tc>
        <w:tc>
          <w:tcPr>
            <w:tcW w:w="3265" w:type="dxa"/>
            <w:shd w:val="clear" w:color="auto" w:fill="auto"/>
          </w:tcPr>
          <w:p w14:paraId="6613B50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A6E6157" w14:textId="77777777" w:rsidTr="00B409DD">
        <w:trPr>
          <w:cantSplit/>
          <w:trHeight w:val="254"/>
        </w:trPr>
        <w:tc>
          <w:tcPr>
            <w:tcW w:w="850" w:type="dxa"/>
            <w:shd w:val="clear" w:color="auto" w:fill="auto"/>
          </w:tcPr>
          <w:p w14:paraId="5A4FD3B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6-27</w:t>
            </w:r>
          </w:p>
        </w:tc>
        <w:tc>
          <w:tcPr>
            <w:tcW w:w="2692" w:type="dxa"/>
            <w:gridSpan w:val="2"/>
            <w:shd w:val="clear" w:color="auto" w:fill="auto"/>
          </w:tcPr>
          <w:p w14:paraId="437B3F8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Propylene glycol diacetate </w:t>
            </w:r>
          </w:p>
        </w:tc>
        <w:tc>
          <w:tcPr>
            <w:tcW w:w="1277" w:type="dxa"/>
            <w:shd w:val="clear" w:color="auto" w:fill="auto"/>
          </w:tcPr>
          <w:p w14:paraId="6A41ACA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623-84-7</w:t>
            </w:r>
          </w:p>
        </w:tc>
        <w:tc>
          <w:tcPr>
            <w:tcW w:w="993" w:type="dxa"/>
            <w:shd w:val="clear" w:color="auto" w:fill="auto"/>
          </w:tcPr>
          <w:p w14:paraId="748A92B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1 600</w:t>
            </w:r>
          </w:p>
        </w:tc>
        <w:tc>
          <w:tcPr>
            <w:tcW w:w="3265" w:type="dxa"/>
            <w:shd w:val="clear" w:color="auto" w:fill="auto"/>
          </w:tcPr>
          <w:p w14:paraId="032B217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28B09C7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Read across of acetic acid</w:t>
            </w:r>
          </w:p>
        </w:tc>
      </w:tr>
      <w:tr w:rsidR="00DE0321" w:rsidRPr="0009445C" w14:paraId="4084067A" w14:textId="77777777" w:rsidTr="00B409DD">
        <w:trPr>
          <w:cantSplit/>
          <w:trHeight w:val="390"/>
        </w:trPr>
        <w:tc>
          <w:tcPr>
            <w:tcW w:w="850" w:type="dxa"/>
            <w:shd w:val="clear" w:color="auto" w:fill="auto"/>
          </w:tcPr>
          <w:p w14:paraId="1798F94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6-28</w:t>
            </w:r>
          </w:p>
        </w:tc>
        <w:tc>
          <w:tcPr>
            <w:tcW w:w="2692" w:type="dxa"/>
            <w:gridSpan w:val="2"/>
            <w:shd w:val="clear" w:color="auto" w:fill="auto"/>
          </w:tcPr>
          <w:p w14:paraId="629F2AB9"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Dipropylene</w:t>
            </w:r>
            <w:proofErr w:type="spellEnd"/>
            <w:r w:rsidRPr="0009445C">
              <w:rPr>
                <w:color w:val="000000"/>
              </w:rPr>
              <w:t xml:space="preserve"> glycol </w:t>
            </w:r>
          </w:p>
        </w:tc>
        <w:tc>
          <w:tcPr>
            <w:tcW w:w="1277" w:type="dxa"/>
            <w:shd w:val="clear" w:color="auto" w:fill="auto"/>
          </w:tcPr>
          <w:p w14:paraId="0F36DB9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110-98-5 25265-71-8</w:t>
            </w:r>
          </w:p>
        </w:tc>
        <w:tc>
          <w:tcPr>
            <w:tcW w:w="993" w:type="dxa"/>
            <w:shd w:val="clear" w:color="auto" w:fill="auto"/>
          </w:tcPr>
          <w:p w14:paraId="469213C8"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rPr>
                <w:b/>
              </w:rPr>
              <w:t>670</w:t>
            </w:r>
          </w:p>
        </w:tc>
        <w:tc>
          <w:tcPr>
            <w:tcW w:w="3265" w:type="dxa"/>
            <w:shd w:val="clear" w:color="auto" w:fill="auto"/>
          </w:tcPr>
          <w:p w14:paraId="6D0DABC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0705F052" w14:textId="77777777" w:rsidTr="00B409DD">
        <w:trPr>
          <w:cantSplit/>
          <w:trHeight w:val="408"/>
        </w:trPr>
        <w:tc>
          <w:tcPr>
            <w:tcW w:w="850" w:type="dxa"/>
            <w:shd w:val="clear" w:color="auto" w:fill="auto"/>
          </w:tcPr>
          <w:p w14:paraId="23F942AD" w14:textId="0D3943F2"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29*</w:t>
            </w:r>
          </w:p>
        </w:tc>
        <w:tc>
          <w:tcPr>
            <w:tcW w:w="2692" w:type="dxa"/>
            <w:gridSpan w:val="2"/>
            <w:shd w:val="clear" w:color="auto" w:fill="auto"/>
          </w:tcPr>
          <w:p w14:paraId="2C7F9DD9" w14:textId="77777777" w:rsidR="00DE0321" w:rsidRPr="0009445C" w:rsidRDefault="00DE0321" w:rsidP="00B409DD">
            <w:pPr>
              <w:widowControl w:val="0"/>
              <w:autoSpaceDE w:val="0"/>
              <w:autoSpaceDN w:val="0"/>
              <w:adjustRightInd w:val="0"/>
              <w:spacing w:before="60" w:after="40" w:line="240" w:lineRule="auto"/>
              <w:rPr>
                <w:rFonts w:cs="Arial"/>
                <w:color w:val="000000"/>
              </w:rPr>
            </w:pPr>
            <w:bookmarkStart w:id="44" w:name="_Hlk38289076"/>
            <w:proofErr w:type="spellStart"/>
            <w:r w:rsidRPr="0009445C">
              <w:rPr>
                <w:color w:val="000000"/>
              </w:rPr>
              <w:t>Dipropylene</w:t>
            </w:r>
            <w:proofErr w:type="spellEnd"/>
            <w:r w:rsidRPr="0009445C">
              <w:rPr>
                <w:color w:val="000000"/>
              </w:rPr>
              <w:t xml:space="preserve"> glycol monomethyl ether acetate </w:t>
            </w:r>
            <w:bookmarkEnd w:id="44"/>
          </w:p>
        </w:tc>
        <w:tc>
          <w:tcPr>
            <w:tcW w:w="1277" w:type="dxa"/>
            <w:shd w:val="clear" w:color="auto" w:fill="auto"/>
          </w:tcPr>
          <w:p w14:paraId="36D74DB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88917-22-0</w:t>
            </w:r>
          </w:p>
        </w:tc>
        <w:tc>
          <w:tcPr>
            <w:tcW w:w="993" w:type="dxa"/>
            <w:shd w:val="clear" w:color="auto" w:fill="auto"/>
          </w:tcPr>
          <w:p w14:paraId="7CCE6FE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950</w:t>
            </w:r>
          </w:p>
        </w:tc>
        <w:tc>
          <w:tcPr>
            <w:tcW w:w="3265" w:type="dxa"/>
            <w:shd w:val="clear" w:color="auto" w:fill="auto"/>
          </w:tcPr>
          <w:p w14:paraId="16A7D0C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3F003BE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Read across 2-methoxy-1-methylethyl acetate</w:t>
            </w:r>
          </w:p>
        </w:tc>
      </w:tr>
      <w:tr w:rsidR="00DE0321" w:rsidRPr="0009445C" w14:paraId="2552513C" w14:textId="77777777" w:rsidTr="00B409DD">
        <w:trPr>
          <w:cantSplit/>
          <w:trHeight w:val="413"/>
        </w:trPr>
        <w:tc>
          <w:tcPr>
            <w:tcW w:w="850" w:type="dxa"/>
            <w:shd w:val="clear" w:color="auto" w:fill="auto"/>
          </w:tcPr>
          <w:p w14:paraId="09E13B81" w14:textId="65C58675"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30*</w:t>
            </w:r>
          </w:p>
        </w:tc>
        <w:tc>
          <w:tcPr>
            <w:tcW w:w="2692" w:type="dxa"/>
            <w:gridSpan w:val="2"/>
            <w:shd w:val="clear" w:color="auto" w:fill="auto"/>
          </w:tcPr>
          <w:p w14:paraId="20B482CE"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Dipropylene</w:t>
            </w:r>
            <w:proofErr w:type="spellEnd"/>
            <w:r w:rsidRPr="0009445C">
              <w:rPr>
                <w:color w:val="000000"/>
              </w:rPr>
              <w:t xml:space="preserve"> glycol mono-n-propyl ether</w:t>
            </w:r>
          </w:p>
        </w:tc>
        <w:tc>
          <w:tcPr>
            <w:tcW w:w="1277" w:type="dxa"/>
            <w:shd w:val="clear" w:color="auto" w:fill="auto"/>
          </w:tcPr>
          <w:p w14:paraId="480AE27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29911-27-1</w:t>
            </w:r>
          </w:p>
        </w:tc>
        <w:tc>
          <w:tcPr>
            <w:tcW w:w="993" w:type="dxa"/>
            <w:shd w:val="clear" w:color="auto" w:fill="auto"/>
          </w:tcPr>
          <w:p w14:paraId="649FC47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200</w:t>
            </w:r>
          </w:p>
        </w:tc>
        <w:tc>
          <w:tcPr>
            <w:tcW w:w="3265" w:type="dxa"/>
            <w:shd w:val="clear" w:color="auto" w:fill="auto"/>
          </w:tcPr>
          <w:p w14:paraId="6040775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242E752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w:t>
            </w:r>
            <w:proofErr w:type="spellStart"/>
            <w:r w:rsidRPr="0009445C">
              <w:rPr>
                <w:color w:val="000000"/>
              </w:rPr>
              <w:t>dipropylene</w:t>
            </w:r>
            <w:proofErr w:type="spellEnd"/>
            <w:r w:rsidRPr="0009445C">
              <w:rPr>
                <w:color w:val="000000"/>
              </w:rPr>
              <w:t xml:space="preserve"> </w:t>
            </w:r>
            <w:proofErr w:type="spellStart"/>
            <w:r w:rsidRPr="0009445C">
              <w:rPr>
                <w:color w:val="000000"/>
              </w:rPr>
              <w:t>glycolmono</w:t>
            </w:r>
            <w:proofErr w:type="spellEnd"/>
            <w:r w:rsidRPr="0009445C">
              <w:rPr>
                <w:color w:val="000000"/>
              </w:rPr>
              <w:t>-n-butyl ether</w:t>
            </w:r>
          </w:p>
        </w:tc>
      </w:tr>
      <w:tr w:rsidR="00DE0321" w:rsidRPr="0009445C" w14:paraId="7BDFF177" w14:textId="77777777" w:rsidTr="00B409DD">
        <w:trPr>
          <w:cantSplit/>
          <w:trHeight w:val="391"/>
        </w:trPr>
        <w:tc>
          <w:tcPr>
            <w:tcW w:w="850" w:type="dxa"/>
            <w:shd w:val="clear" w:color="auto" w:fill="auto"/>
          </w:tcPr>
          <w:p w14:paraId="6203375F" w14:textId="2DDEEFB4"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31*</w:t>
            </w:r>
          </w:p>
        </w:tc>
        <w:tc>
          <w:tcPr>
            <w:tcW w:w="2692" w:type="dxa"/>
            <w:gridSpan w:val="2"/>
            <w:shd w:val="clear" w:color="auto" w:fill="auto"/>
          </w:tcPr>
          <w:p w14:paraId="307029C7"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Dipropylene</w:t>
            </w:r>
            <w:proofErr w:type="spellEnd"/>
            <w:r w:rsidRPr="0009445C">
              <w:rPr>
                <w:color w:val="000000"/>
              </w:rPr>
              <w:t xml:space="preserve"> glycol mono-n-butyl ether </w:t>
            </w:r>
          </w:p>
        </w:tc>
        <w:tc>
          <w:tcPr>
            <w:tcW w:w="1277" w:type="dxa"/>
            <w:shd w:val="clear" w:color="auto" w:fill="auto"/>
          </w:tcPr>
          <w:p w14:paraId="59FF913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29911-28-2 35884-42-5</w:t>
            </w:r>
          </w:p>
        </w:tc>
        <w:tc>
          <w:tcPr>
            <w:tcW w:w="993" w:type="dxa"/>
            <w:shd w:val="clear" w:color="auto" w:fill="auto"/>
          </w:tcPr>
          <w:p w14:paraId="3C7276E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250</w:t>
            </w:r>
          </w:p>
        </w:tc>
        <w:tc>
          <w:tcPr>
            <w:tcW w:w="3265" w:type="dxa"/>
            <w:shd w:val="clear" w:color="auto" w:fill="auto"/>
          </w:tcPr>
          <w:p w14:paraId="0E48047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0673028A" w14:textId="77777777" w:rsidTr="00B409DD">
        <w:trPr>
          <w:cantSplit/>
          <w:trHeight w:val="412"/>
        </w:trPr>
        <w:tc>
          <w:tcPr>
            <w:tcW w:w="850" w:type="dxa"/>
            <w:shd w:val="clear" w:color="auto" w:fill="auto"/>
          </w:tcPr>
          <w:p w14:paraId="593F50D3" w14:textId="49C7005C"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32*</w:t>
            </w:r>
          </w:p>
        </w:tc>
        <w:tc>
          <w:tcPr>
            <w:tcW w:w="2692" w:type="dxa"/>
            <w:gridSpan w:val="2"/>
            <w:shd w:val="clear" w:color="auto" w:fill="auto"/>
          </w:tcPr>
          <w:p w14:paraId="6D0C8C63"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Dipropylene</w:t>
            </w:r>
            <w:proofErr w:type="spellEnd"/>
            <w:r w:rsidRPr="0009445C">
              <w:rPr>
                <w:color w:val="000000"/>
              </w:rPr>
              <w:t xml:space="preserve"> </w:t>
            </w:r>
            <w:proofErr w:type="spellStart"/>
            <w:r w:rsidRPr="0009445C">
              <w:rPr>
                <w:color w:val="000000"/>
              </w:rPr>
              <w:t>glycolmono</w:t>
            </w:r>
            <w:proofErr w:type="spellEnd"/>
            <w:r w:rsidRPr="0009445C">
              <w:rPr>
                <w:color w:val="000000"/>
              </w:rPr>
              <w:t xml:space="preserve">-t-butyl ether </w:t>
            </w:r>
          </w:p>
        </w:tc>
        <w:tc>
          <w:tcPr>
            <w:tcW w:w="1277" w:type="dxa"/>
            <w:shd w:val="clear" w:color="auto" w:fill="auto"/>
          </w:tcPr>
          <w:p w14:paraId="157294B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132739-31-2 (mixture)</w:t>
            </w:r>
          </w:p>
        </w:tc>
        <w:tc>
          <w:tcPr>
            <w:tcW w:w="993" w:type="dxa"/>
            <w:shd w:val="clear" w:color="auto" w:fill="auto"/>
          </w:tcPr>
          <w:p w14:paraId="67C0404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250</w:t>
            </w:r>
          </w:p>
        </w:tc>
        <w:tc>
          <w:tcPr>
            <w:tcW w:w="3265" w:type="dxa"/>
            <w:shd w:val="clear" w:color="auto" w:fill="auto"/>
          </w:tcPr>
          <w:p w14:paraId="556E605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404EC06E" w14:textId="77777777" w:rsidTr="00B409DD">
        <w:trPr>
          <w:cantSplit/>
          <w:trHeight w:val="207"/>
        </w:trPr>
        <w:tc>
          <w:tcPr>
            <w:tcW w:w="850" w:type="dxa"/>
            <w:shd w:val="clear" w:color="auto" w:fill="auto"/>
          </w:tcPr>
          <w:p w14:paraId="0535113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6-33</w:t>
            </w:r>
          </w:p>
        </w:tc>
        <w:tc>
          <w:tcPr>
            <w:tcW w:w="2692" w:type="dxa"/>
            <w:gridSpan w:val="2"/>
            <w:shd w:val="clear" w:color="auto" w:fill="auto"/>
          </w:tcPr>
          <w:p w14:paraId="5FE1735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1,4-butanediol </w:t>
            </w:r>
          </w:p>
        </w:tc>
        <w:tc>
          <w:tcPr>
            <w:tcW w:w="1277" w:type="dxa"/>
            <w:shd w:val="clear" w:color="auto" w:fill="auto"/>
          </w:tcPr>
          <w:p w14:paraId="6711E78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110-63-4</w:t>
            </w:r>
          </w:p>
        </w:tc>
        <w:tc>
          <w:tcPr>
            <w:tcW w:w="993" w:type="dxa"/>
            <w:shd w:val="clear" w:color="auto" w:fill="auto"/>
          </w:tcPr>
          <w:p w14:paraId="34ED197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2 000</w:t>
            </w:r>
          </w:p>
        </w:tc>
        <w:tc>
          <w:tcPr>
            <w:tcW w:w="3265" w:type="dxa"/>
            <w:shd w:val="clear" w:color="auto" w:fill="auto"/>
          </w:tcPr>
          <w:p w14:paraId="06F6ACC5"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DA4BDCC" w14:textId="77777777" w:rsidTr="00B409DD">
        <w:trPr>
          <w:cantSplit/>
          <w:trHeight w:val="390"/>
        </w:trPr>
        <w:tc>
          <w:tcPr>
            <w:tcW w:w="850" w:type="dxa"/>
            <w:shd w:val="clear" w:color="auto" w:fill="auto"/>
          </w:tcPr>
          <w:p w14:paraId="2839250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6-34</w:t>
            </w:r>
          </w:p>
        </w:tc>
        <w:tc>
          <w:tcPr>
            <w:tcW w:w="2692" w:type="dxa"/>
            <w:gridSpan w:val="2"/>
            <w:shd w:val="clear" w:color="auto" w:fill="auto"/>
          </w:tcPr>
          <w:p w14:paraId="334DB0E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Tri(propylene glycol) methyl ether </w:t>
            </w:r>
          </w:p>
        </w:tc>
        <w:tc>
          <w:tcPr>
            <w:tcW w:w="1277" w:type="dxa"/>
            <w:shd w:val="clear" w:color="auto" w:fill="auto"/>
          </w:tcPr>
          <w:p w14:paraId="4687FBA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20324-33-8 25498-49-1</w:t>
            </w:r>
          </w:p>
        </w:tc>
        <w:tc>
          <w:tcPr>
            <w:tcW w:w="993" w:type="dxa"/>
            <w:shd w:val="clear" w:color="auto" w:fill="auto"/>
          </w:tcPr>
          <w:p w14:paraId="69CD69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1 200</w:t>
            </w:r>
          </w:p>
        </w:tc>
        <w:tc>
          <w:tcPr>
            <w:tcW w:w="3265" w:type="dxa"/>
            <w:shd w:val="clear" w:color="auto" w:fill="auto"/>
          </w:tcPr>
          <w:p w14:paraId="085F5DF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75389C62" w14:textId="77777777" w:rsidTr="00B409DD">
        <w:trPr>
          <w:cantSplit/>
          <w:trHeight w:val="382"/>
        </w:trPr>
        <w:tc>
          <w:tcPr>
            <w:tcW w:w="850" w:type="dxa"/>
            <w:shd w:val="clear" w:color="auto" w:fill="auto"/>
          </w:tcPr>
          <w:p w14:paraId="4412189F" w14:textId="41ADA212"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35*</w:t>
            </w:r>
          </w:p>
        </w:tc>
        <w:tc>
          <w:tcPr>
            <w:tcW w:w="2692" w:type="dxa"/>
            <w:gridSpan w:val="2"/>
            <w:shd w:val="clear" w:color="auto" w:fill="auto"/>
          </w:tcPr>
          <w:p w14:paraId="0547599E"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Triethylene</w:t>
            </w:r>
            <w:proofErr w:type="spellEnd"/>
            <w:r w:rsidRPr="0009445C">
              <w:rPr>
                <w:color w:val="000000"/>
              </w:rPr>
              <w:t xml:space="preserve"> glycol dimethyl ether </w:t>
            </w:r>
          </w:p>
        </w:tc>
        <w:tc>
          <w:tcPr>
            <w:tcW w:w="1277" w:type="dxa"/>
            <w:shd w:val="clear" w:color="auto" w:fill="auto"/>
          </w:tcPr>
          <w:p w14:paraId="1D45AB5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112-49-2</w:t>
            </w:r>
          </w:p>
        </w:tc>
        <w:tc>
          <w:tcPr>
            <w:tcW w:w="993" w:type="dxa"/>
            <w:shd w:val="clear" w:color="auto" w:fill="auto"/>
          </w:tcPr>
          <w:p w14:paraId="14C9D64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150</w:t>
            </w:r>
          </w:p>
        </w:tc>
        <w:tc>
          <w:tcPr>
            <w:tcW w:w="3265" w:type="dxa"/>
            <w:shd w:val="clear" w:color="auto" w:fill="auto"/>
          </w:tcPr>
          <w:p w14:paraId="1E2E672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42F732C2" w14:textId="77777777" w:rsidTr="00B409DD">
        <w:trPr>
          <w:cantSplit/>
          <w:trHeight w:val="352"/>
        </w:trPr>
        <w:tc>
          <w:tcPr>
            <w:tcW w:w="850" w:type="dxa"/>
            <w:shd w:val="clear" w:color="auto" w:fill="auto"/>
          </w:tcPr>
          <w:p w14:paraId="17D44B8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6-36</w:t>
            </w:r>
          </w:p>
        </w:tc>
        <w:tc>
          <w:tcPr>
            <w:tcW w:w="2692" w:type="dxa"/>
            <w:gridSpan w:val="2"/>
            <w:shd w:val="clear" w:color="auto" w:fill="auto"/>
          </w:tcPr>
          <w:p w14:paraId="4662FBB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1.2-propylene glycol dimethyl ether </w:t>
            </w:r>
          </w:p>
        </w:tc>
        <w:tc>
          <w:tcPr>
            <w:tcW w:w="1277" w:type="dxa"/>
            <w:shd w:val="clear" w:color="auto" w:fill="auto"/>
          </w:tcPr>
          <w:p w14:paraId="5E5FB51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7778-85-0</w:t>
            </w:r>
          </w:p>
        </w:tc>
        <w:tc>
          <w:tcPr>
            <w:tcW w:w="993" w:type="dxa"/>
            <w:shd w:val="clear" w:color="auto" w:fill="auto"/>
          </w:tcPr>
          <w:p w14:paraId="18B2CE6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25</w:t>
            </w:r>
          </w:p>
        </w:tc>
        <w:tc>
          <w:tcPr>
            <w:tcW w:w="3265" w:type="dxa"/>
            <w:shd w:val="clear" w:color="auto" w:fill="auto"/>
          </w:tcPr>
          <w:p w14:paraId="1EA5353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2-methoxy-1-propanol </w:t>
            </w:r>
          </w:p>
        </w:tc>
      </w:tr>
      <w:tr w:rsidR="00DE0321" w:rsidRPr="0009445C" w14:paraId="6E120649" w14:textId="77777777" w:rsidTr="00B409DD">
        <w:trPr>
          <w:cantSplit/>
          <w:trHeight w:val="207"/>
        </w:trPr>
        <w:tc>
          <w:tcPr>
            <w:tcW w:w="850" w:type="dxa"/>
            <w:shd w:val="clear" w:color="auto" w:fill="auto"/>
          </w:tcPr>
          <w:p w14:paraId="206303A9" w14:textId="5DFEAE5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w:t>
            </w:r>
            <w:r w:rsidR="00C96297">
              <w:rPr>
                <w:color w:val="000000"/>
              </w:rPr>
              <w:t>-</w:t>
            </w:r>
            <w:r w:rsidRPr="0009445C">
              <w:rPr>
                <w:color w:val="000000"/>
              </w:rPr>
              <w:t>37*</w:t>
            </w:r>
          </w:p>
        </w:tc>
        <w:tc>
          <w:tcPr>
            <w:tcW w:w="2692" w:type="dxa"/>
            <w:gridSpan w:val="2"/>
            <w:shd w:val="clear" w:color="auto" w:fill="auto"/>
          </w:tcPr>
          <w:p w14:paraId="1190334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2,2,4-Trimethyl-1,3-pentanediol </w:t>
            </w:r>
            <w:proofErr w:type="spellStart"/>
            <w:r w:rsidRPr="0009445C">
              <w:rPr>
                <w:color w:val="000000"/>
              </w:rPr>
              <w:t>diisobutyrate</w:t>
            </w:r>
            <w:proofErr w:type="spellEnd"/>
          </w:p>
        </w:tc>
        <w:tc>
          <w:tcPr>
            <w:tcW w:w="1277" w:type="dxa"/>
            <w:shd w:val="clear" w:color="auto" w:fill="auto"/>
          </w:tcPr>
          <w:p w14:paraId="640CE0B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6846-50-0</w:t>
            </w:r>
          </w:p>
        </w:tc>
        <w:tc>
          <w:tcPr>
            <w:tcW w:w="993" w:type="dxa"/>
            <w:shd w:val="clear" w:color="auto" w:fill="auto"/>
          </w:tcPr>
          <w:p w14:paraId="5D14F0B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1 300</w:t>
            </w:r>
          </w:p>
        </w:tc>
        <w:tc>
          <w:tcPr>
            <w:tcW w:w="3265" w:type="dxa"/>
            <w:shd w:val="clear" w:color="auto" w:fill="auto"/>
          </w:tcPr>
          <w:p w14:paraId="0762A2F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4DDFA80F" w14:textId="77777777" w:rsidTr="00B409DD">
        <w:trPr>
          <w:cantSplit/>
          <w:trHeight w:val="207"/>
        </w:trPr>
        <w:tc>
          <w:tcPr>
            <w:tcW w:w="850" w:type="dxa"/>
            <w:shd w:val="clear" w:color="auto" w:fill="auto"/>
          </w:tcPr>
          <w:p w14:paraId="44881FB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6-38</w:t>
            </w:r>
          </w:p>
        </w:tc>
        <w:tc>
          <w:tcPr>
            <w:tcW w:w="2692" w:type="dxa"/>
            <w:gridSpan w:val="2"/>
            <w:shd w:val="clear" w:color="auto" w:fill="auto"/>
          </w:tcPr>
          <w:p w14:paraId="3534CF33"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Ethyldiglycol</w:t>
            </w:r>
            <w:proofErr w:type="spellEnd"/>
            <w:r w:rsidRPr="0009445C">
              <w:rPr>
                <w:color w:val="000000"/>
              </w:rPr>
              <w:t xml:space="preserve"> </w:t>
            </w:r>
          </w:p>
        </w:tc>
        <w:tc>
          <w:tcPr>
            <w:tcW w:w="1277" w:type="dxa"/>
            <w:shd w:val="clear" w:color="auto" w:fill="auto"/>
          </w:tcPr>
          <w:p w14:paraId="45FDA1B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111-90-0</w:t>
            </w:r>
          </w:p>
        </w:tc>
        <w:tc>
          <w:tcPr>
            <w:tcW w:w="993" w:type="dxa"/>
            <w:shd w:val="clear" w:color="auto" w:fill="auto"/>
          </w:tcPr>
          <w:p w14:paraId="2E316FD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350</w:t>
            </w:r>
          </w:p>
        </w:tc>
        <w:tc>
          <w:tcPr>
            <w:tcW w:w="3265" w:type="dxa"/>
            <w:shd w:val="clear" w:color="auto" w:fill="auto"/>
          </w:tcPr>
          <w:p w14:paraId="399CC288"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965D037" w14:textId="77777777" w:rsidTr="00B409DD">
        <w:trPr>
          <w:cantSplit/>
          <w:trHeight w:val="575"/>
        </w:trPr>
        <w:tc>
          <w:tcPr>
            <w:tcW w:w="850" w:type="dxa"/>
            <w:shd w:val="clear" w:color="auto" w:fill="auto"/>
          </w:tcPr>
          <w:p w14:paraId="183F1A5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6-39</w:t>
            </w:r>
          </w:p>
        </w:tc>
        <w:tc>
          <w:tcPr>
            <w:tcW w:w="2692" w:type="dxa"/>
            <w:gridSpan w:val="2"/>
            <w:shd w:val="clear" w:color="auto" w:fill="auto"/>
          </w:tcPr>
          <w:p w14:paraId="47E1919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Di(propylene glycol) methyl ether </w:t>
            </w:r>
          </w:p>
        </w:tc>
        <w:tc>
          <w:tcPr>
            <w:tcW w:w="1277" w:type="dxa"/>
            <w:shd w:val="clear" w:color="auto" w:fill="auto"/>
          </w:tcPr>
          <w:p w14:paraId="339ADA2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63019-84-1 89399-28-0 111109-77-4</w:t>
            </w:r>
          </w:p>
        </w:tc>
        <w:tc>
          <w:tcPr>
            <w:tcW w:w="993" w:type="dxa"/>
            <w:shd w:val="clear" w:color="auto" w:fill="auto"/>
          </w:tcPr>
          <w:p w14:paraId="56AF8F3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1 300</w:t>
            </w:r>
          </w:p>
        </w:tc>
        <w:tc>
          <w:tcPr>
            <w:tcW w:w="3265" w:type="dxa"/>
            <w:shd w:val="clear" w:color="auto" w:fill="auto"/>
          </w:tcPr>
          <w:p w14:paraId="281504C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22F4B68B" w14:textId="77777777" w:rsidTr="00B409DD">
        <w:trPr>
          <w:cantSplit/>
          <w:trHeight w:val="223"/>
        </w:trPr>
        <w:tc>
          <w:tcPr>
            <w:tcW w:w="850" w:type="dxa"/>
            <w:shd w:val="clear" w:color="auto" w:fill="auto"/>
          </w:tcPr>
          <w:p w14:paraId="61F19A1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6-40</w:t>
            </w:r>
          </w:p>
        </w:tc>
        <w:tc>
          <w:tcPr>
            <w:tcW w:w="2692" w:type="dxa"/>
            <w:gridSpan w:val="2"/>
            <w:shd w:val="clear" w:color="auto" w:fill="auto"/>
          </w:tcPr>
          <w:p w14:paraId="0CB1ECA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Propylene carbonate*</w:t>
            </w:r>
          </w:p>
        </w:tc>
        <w:tc>
          <w:tcPr>
            <w:tcW w:w="1277" w:type="dxa"/>
            <w:shd w:val="clear" w:color="auto" w:fill="auto"/>
          </w:tcPr>
          <w:p w14:paraId="20CFA8C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108-32-7</w:t>
            </w:r>
          </w:p>
        </w:tc>
        <w:tc>
          <w:tcPr>
            <w:tcW w:w="993" w:type="dxa"/>
            <w:shd w:val="clear" w:color="auto" w:fill="auto"/>
          </w:tcPr>
          <w:p w14:paraId="598A3D98"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1 000</w:t>
            </w:r>
          </w:p>
        </w:tc>
        <w:tc>
          <w:tcPr>
            <w:tcW w:w="3265" w:type="dxa"/>
            <w:shd w:val="clear" w:color="auto" w:fill="auto"/>
          </w:tcPr>
          <w:p w14:paraId="2769DA9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1278E12E" w14:textId="77777777" w:rsidTr="00B409DD">
        <w:trPr>
          <w:cantSplit/>
          <w:trHeight w:val="223"/>
        </w:trPr>
        <w:tc>
          <w:tcPr>
            <w:tcW w:w="850" w:type="dxa"/>
            <w:shd w:val="clear" w:color="auto" w:fill="auto"/>
          </w:tcPr>
          <w:p w14:paraId="210BAF7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t>6-41</w:t>
            </w:r>
          </w:p>
        </w:tc>
        <w:tc>
          <w:tcPr>
            <w:tcW w:w="2692" w:type="dxa"/>
            <w:gridSpan w:val="2"/>
            <w:shd w:val="clear" w:color="auto" w:fill="auto"/>
          </w:tcPr>
          <w:p w14:paraId="585822B4" w14:textId="77777777" w:rsidR="00DE0321" w:rsidRPr="0009445C" w:rsidRDefault="00DE0321" w:rsidP="00B409DD">
            <w:pPr>
              <w:widowControl w:val="0"/>
              <w:autoSpaceDE w:val="0"/>
              <w:autoSpaceDN w:val="0"/>
              <w:adjustRightInd w:val="0"/>
              <w:spacing w:before="60" w:after="40" w:line="240" w:lineRule="auto"/>
              <w:rPr>
                <w:rFonts w:cs="Arial"/>
              </w:rPr>
            </w:pPr>
            <w:proofErr w:type="spellStart"/>
            <w:r w:rsidRPr="0009445C">
              <w:t>Hexylene</w:t>
            </w:r>
            <w:proofErr w:type="spellEnd"/>
            <w:r w:rsidRPr="0009445C">
              <w:t xml:space="preserve"> glycol </w:t>
            </w:r>
          </w:p>
          <w:p w14:paraId="48383A7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t>(2-methyl-2,4-pentanediol)</w:t>
            </w:r>
          </w:p>
        </w:tc>
        <w:tc>
          <w:tcPr>
            <w:tcW w:w="1277" w:type="dxa"/>
            <w:shd w:val="clear" w:color="auto" w:fill="auto"/>
          </w:tcPr>
          <w:p w14:paraId="3028CB3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t>107-41-5</w:t>
            </w:r>
          </w:p>
        </w:tc>
        <w:tc>
          <w:tcPr>
            <w:tcW w:w="993" w:type="dxa"/>
            <w:shd w:val="clear" w:color="auto" w:fill="auto"/>
          </w:tcPr>
          <w:p w14:paraId="2808D5D9" w14:textId="77777777" w:rsidR="00DE0321" w:rsidRPr="0009445C" w:rsidDel="00730A37" w:rsidRDefault="00DE0321" w:rsidP="00B409DD">
            <w:pPr>
              <w:widowControl w:val="0"/>
              <w:autoSpaceDE w:val="0"/>
              <w:autoSpaceDN w:val="0"/>
              <w:adjustRightInd w:val="0"/>
              <w:spacing w:before="60" w:after="40" w:line="240" w:lineRule="auto"/>
              <w:jc w:val="center"/>
              <w:rPr>
                <w:rFonts w:cs="Arial"/>
                <w:b/>
                <w:bCs/>
                <w:color w:val="000000"/>
              </w:rPr>
            </w:pPr>
            <w:r w:rsidRPr="0009445C">
              <w:rPr>
                <w:b/>
              </w:rPr>
              <w:t>3 500</w:t>
            </w:r>
          </w:p>
        </w:tc>
        <w:tc>
          <w:tcPr>
            <w:tcW w:w="3265" w:type="dxa"/>
            <w:shd w:val="clear" w:color="auto" w:fill="auto"/>
          </w:tcPr>
          <w:p w14:paraId="7600A9A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5F6BCD03" w14:textId="77777777" w:rsidTr="00B409DD">
        <w:trPr>
          <w:cantSplit/>
          <w:trHeight w:val="223"/>
        </w:trPr>
        <w:tc>
          <w:tcPr>
            <w:tcW w:w="850" w:type="dxa"/>
            <w:shd w:val="clear" w:color="auto" w:fill="auto"/>
          </w:tcPr>
          <w:p w14:paraId="42636B11"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t>6-42</w:t>
            </w:r>
          </w:p>
        </w:tc>
        <w:tc>
          <w:tcPr>
            <w:tcW w:w="2692" w:type="dxa"/>
            <w:gridSpan w:val="2"/>
            <w:shd w:val="clear" w:color="auto" w:fill="auto"/>
          </w:tcPr>
          <w:p w14:paraId="7B0F3E58" w14:textId="77777777" w:rsidR="00DE0321" w:rsidRPr="0009445C" w:rsidRDefault="00DE0321" w:rsidP="00B409DD">
            <w:pPr>
              <w:widowControl w:val="0"/>
              <w:autoSpaceDE w:val="0"/>
              <w:autoSpaceDN w:val="0"/>
              <w:adjustRightInd w:val="0"/>
              <w:spacing w:before="60" w:after="40" w:line="240" w:lineRule="auto"/>
              <w:rPr>
                <w:rFonts w:cs="Arial"/>
              </w:rPr>
            </w:pPr>
            <w:r w:rsidRPr="0009445C">
              <w:t>3-methoxy-1-butanol</w:t>
            </w:r>
          </w:p>
        </w:tc>
        <w:tc>
          <w:tcPr>
            <w:tcW w:w="1277" w:type="dxa"/>
            <w:shd w:val="clear" w:color="auto" w:fill="auto"/>
          </w:tcPr>
          <w:p w14:paraId="12D7A7A3" w14:textId="77777777" w:rsidR="00DE0321" w:rsidRPr="0009445C" w:rsidRDefault="00DE0321" w:rsidP="00B409DD">
            <w:pPr>
              <w:spacing w:before="60" w:after="40" w:line="240" w:lineRule="auto"/>
              <w:jc w:val="center"/>
              <w:rPr>
                <w:rFonts w:cs="Arial"/>
              </w:rPr>
            </w:pPr>
            <w:r w:rsidRPr="0009445C">
              <w:t>2517-43-3</w:t>
            </w:r>
          </w:p>
        </w:tc>
        <w:tc>
          <w:tcPr>
            <w:tcW w:w="993" w:type="dxa"/>
            <w:shd w:val="clear" w:color="auto" w:fill="auto"/>
          </w:tcPr>
          <w:p w14:paraId="7646E0D1" w14:textId="77777777" w:rsidR="00DE0321" w:rsidRPr="0009445C" w:rsidRDefault="00DE0321" w:rsidP="00B409DD">
            <w:pPr>
              <w:widowControl w:val="0"/>
              <w:autoSpaceDE w:val="0"/>
              <w:autoSpaceDN w:val="0"/>
              <w:adjustRightInd w:val="0"/>
              <w:spacing w:before="60" w:after="40" w:line="240" w:lineRule="auto"/>
              <w:jc w:val="center"/>
              <w:rPr>
                <w:rFonts w:cs="Arial"/>
                <w:b/>
                <w:bCs/>
              </w:rPr>
            </w:pPr>
            <w:r w:rsidRPr="0009445C">
              <w:rPr>
                <w:b/>
              </w:rPr>
              <w:t>500</w:t>
            </w:r>
          </w:p>
        </w:tc>
        <w:tc>
          <w:tcPr>
            <w:tcW w:w="3265" w:type="dxa"/>
            <w:shd w:val="clear" w:color="auto" w:fill="auto"/>
          </w:tcPr>
          <w:p w14:paraId="182BB281" w14:textId="77777777" w:rsidR="00DE0321" w:rsidRPr="0009445C" w:rsidRDefault="00DE0321" w:rsidP="00B409DD">
            <w:pPr>
              <w:widowControl w:val="0"/>
              <w:autoSpaceDE w:val="0"/>
              <w:autoSpaceDN w:val="0"/>
              <w:adjustRightInd w:val="0"/>
              <w:spacing w:before="60" w:after="40" w:line="240" w:lineRule="auto"/>
              <w:rPr>
                <w:rFonts w:cs="Arial"/>
              </w:rPr>
            </w:pPr>
            <w:r w:rsidRPr="0009445C">
              <w:t>Individual substances</w:t>
            </w:r>
          </w:p>
        </w:tc>
      </w:tr>
      <w:tr w:rsidR="00DE0321" w:rsidRPr="0009445C" w14:paraId="224F399A" w14:textId="77777777" w:rsidTr="00B409DD">
        <w:trPr>
          <w:cantSplit/>
          <w:trHeight w:val="223"/>
        </w:trPr>
        <w:tc>
          <w:tcPr>
            <w:tcW w:w="850" w:type="dxa"/>
            <w:shd w:val="clear" w:color="auto" w:fill="auto"/>
          </w:tcPr>
          <w:p w14:paraId="45A4D73D"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t>6-43</w:t>
            </w:r>
          </w:p>
        </w:tc>
        <w:tc>
          <w:tcPr>
            <w:tcW w:w="2692" w:type="dxa"/>
            <w:gridSpan w:val="2"/>
            <w:shd w:val="clear" w:color="auto" w:fill="auto"/>
          </w:tcPr>
          <w:p w14:paraId="5FE20F42" w14:textId="77777777" w:rsidR="00DE0321" w:rsidRPr="0009445C" w:rsidRDefault="00DE0321" w:rsidP="00B409DD">
            <w:pPr>
              <w:widowControl w:val="0"/>
              <w:autoSpaceDE w:val="0"/>
              <w:autoSpaceDN w:val="0"/>
              <w:adjustRightInd w:val="0"/>
              <w:spacing w:before="60" w:after="40" w:line="240" w:lineRule="auto"/>
              <w:rPr>
                <w:rFonts w:cs="Arial"/>
              </w:rPr>
            </w:pPr>
            <w:r w:rsidRPr="0009445C">
              <w:t>1,2-propylene glycol n-propyl ether</w:t>
            </w:r>
          </w:p>
        </w:tc>
        <w:tc>
          <w:tcPr>
            <w:tcW w:w="1277" w:type="dxa"/>
            <w:shd w:val="clear" w:color="auto" w:fill="auto"/>
          </w:tcPr>
          <w:p w14:paraId="7E70377B" w14:textId="77777777" w:rsidR="00DE0321" w:rsidRPr="0009445C" w:rsidRDefault="00DE0321" w:rsidP="00B409DD">
            <w:pPr>
              <w:spacing w:before="60" w:after="40" w:line="240" w:lineRule="auto"/>
              <w:jc w:val="center"/>
              <w:rPr>
                <w:rFonts w:cs="Arial"/>
              </w:rPr>
            </w:pPr>
            <w:r w:rsidRPr="0009445C">
              <w:t>1569-01-3 30136-13-1</w:t>
            </w:r>
          </w:p>
        </w:tc>
        <w:tc>
          <w:tcPr>
            <w:tcW w:w="993" w:type="dxa"/>
            <w:shd w:val="clear" w:color="auto" w:fill="auto"/>
          </w:tcPr>
          <w:p w14:paraId="320D6817" w14:textId="77777777" w:rsidR="00DE0321" w:rsidRPr="0009445C" w:rsidRDefault="00DE0321" w:rsidP="00B409DD">
            <w:pPr>
              <w:widowControl w:val="0"/>
              <w:autoSpaceDE w:val="0"/>
              <w:autoSpaceDN w:val="0"/>
              <w:adjustRightInd w:val="0"/>
              <w:spacing w:before="60" w:after="40" w:line="240" w:lineRule="auto"/>
              <w:jc w:val="center"/>
              <w:rPr>
                <w:rFonts w:cs="Arial"/>
                <w:b/>
                <w:bCs/>
              </w:rPr>
            </w:pPr>
            <w:r w:rsidRPr="0009445C">
              <w:rPr>
                <w:b/>
              </w:rPr>
              <w:t>1 400</w:t>
            </w:r>
          </w:p>
        </w:tc>
        <w:tc>
          <w:tcPr>
            <w:tcW w:w="3265" w:type="dxa"/>
            <w:shd w:val="clear" w:color="auto" w:fill="auto"/>
          </w:tcPr>
          <w:p w14:paraId="475EFE51" w14:textId="77777777" w:rsidR="00DE0321" w:rsidRPr="0009445C" w:rsidRDefault="00DE0321" w:rsidP="00B409DD">
            <w:pPr>
              <w:widowControl w:val="0"/>
              <w:autoSpaceDE w:val="0"/>
              <w:autoSpaceDN w:val="0"/>
              <w:adjustRightInd w:val="0"/>
              <w:spacing w:before="60" w:after="40" w:line="240" w:lineRule="auto"/>
              <w:rPr>
                <w:rFonts w:cs="Arial"/>
              </w:rPr>
            </w:pPr>
            <w:r w:rsidRPr="0009445C">
              <w:t>Individual substances</w:t>
            </w:r>
          </w:p>
        </w:tc>
      </w:tr>
      <w:tr w:rsidR="00DE0321" w:rsidRPr="0009445C" w14:paraId="091705F7" w14:textId="77777777" w:rsidTr="00B409DD">
        <w:trPr>
          <w:cantSplit/>
          <w:trHeight w:val="223"/>
        </w:trPr>
        <w:tc>
          <w:tcPr>
            <w:tcW w:w="850" w:type="dxa"/>
            <w:shd w:val="clear" w:color="auto" w:fill="auto"/>
          </w:tcPr>
          <w:p w14:paraId="54618A0F" w14:textId="7383DAFA" w:rsidR="00DE0321" w:rsidRPr="0009445C" w:rsidRDefault="00DE0321" w:rsidP="00B409DD">
            <w:pPr>
              <w:widowControl w:val="0"/>
              <w:autoSpaceDE w:val="0"/>
              <w:autoSpaceDN w:val="0"/>
              <w:adjustRightInd w:val="0"/>
              <w:spacing w:before="60" w:after="40" w:line="240" w:lineRule="auto"/>
              <w:jc w:val="center"/>
              <w:rPr>
                <w:rFonts w:cs="Arial"/>
              </w:rPr>
            </w:pPr>
            <w:r w:rsidRPr="0009445C">
              <w:lastRenderedPageBreak/>
              <w:t>6</w:t>
            </w:r>
            <w:r w:rsidR="00C96297">
              <w:t>-</w:t>
            </w:r>
            <w:r w:rsidRPr="0009445C">
              <w:t>44*</w:t>
            </w:r>
          </w:p>
        </w:tc>
        <w:tc>
          <w:tcPr>
            <w:tcW w:w="2692" w:type="dxa"/>
            <w:gridSpan w:val="2"/>
            <w:shd w:val="clear" w:color="auto" w:fill="auto"/>
          </w:tcPr>
          <w:p w14:paraId="3CFA355F" w14:textId="77777777" w:rsidR="00DE0321" w:rsidRPr="0009445C" w:rsidRDefault="00DE0321" w:rsidP="00B409DD">
            <w:pPr>
              <w:widowControl w:val="0"/>
              <w:autoSpaceDE w:val="0"/>
              <w:autoSpaceDN w:val="0"/>
              <w:adjustRightInd w:val="0"/>
              <w:spacing w:before="60" w:after="40" w:line="240" w:lineRule="auto"/>
              <w:rPr>
                <w:rFonts w:cs="Arial"/>
              </w:rPr>
            </w:pPr>
            <w:r w:rsidRPr="0009445C">
              <w:t>1,2-propylene glycol n-butyl ether</w:t>
            </w:r>
          </w:p>
        </w:tc>
        <w:tc>
          <w:tcPr>
            <w:tcW w:w="1277" w:type="dxa"/>
            <w:shd w:val="clear" w:color="auto" w:fill="auto"/>
          </w:tcPr>
          <w:p w14:paraId="65DE41C5" w14:textId="77777777" w:rsidR="00DE0321" w:rsidRPr="0009445C" w:rsidRDefault="00DE0321" w:rsidP="00B409DD">
            <w:pPr>
              <w:spacing w:before="60" w:after="40" w:line="240" w:lineRule="auto"/>
              <w:jc w:val="center"/>
              <w:rPr>
                <w:rFonts w:cs="Arial"/>
              </w:rPr>
            </w:pPr>
            <w:r w:rsidRPr="0009445C">
              <w:t>5131-66-8</w:t>
            </w:r>
            <w:r w:rsidRPr="0009445C">
              <w:br/>
              <w:t>29387-86-8</w:t>
            </w:r>
            <w:r w:rsidRPr="0009445C">
              <w:br/>
              <w:t>15821-83-7</w:t>
            </w:r>
            <w:r w:rsidRPr="0009445C">
              <w:br/>
              <w:t>63716-40-5</w:t>
            </w:r>
          </w:p>
        </w:tc>
        <w:tc>
          <w:tcPr>
            <w:tcW w:w="993" w:type="dxa"/>
            <w:shd w:val="clear" w:color="auto" w:fill="auto"/>
          </w:tcPr>
          <w:p w14:paraId="1A8E0E9E" w14:textId="77777777" w:rsidR="00DE0321" w:rsidRPr="0009445C" w:rsidRDefault="00DE0321" w:rsidP="00B409DD">
            <w:pPr>
              <w:widowControl w:val="0"/>
              <w:autoSpaceDE w:val="0"/>
              <w:autoSpaceDN w:val="0"/>
              <w:adjustRightInd w:val="0"/>
              <w:spacing w:before="60" w:after="40" w:line="240" w:lineRule="auto"/>
              <w:jc w:val="center"/>
              <w:rPr>
                <w:rFonts w:cs="Arial"/>
                <w:b/>
                <w:bCs/>
              </w:rPr>
            </w:pPr>
            <w:r w:rsidRPr="0009445C">
              <w:rPr>
                <w:b/>
              </w:rPr>
              <w:t>650</w:t>
            </w:r>
          </w:p>
        </w:tc>
        <w:tc>
          <w:tcPr>
            <w:tcW w:w="3265" w:type="dxa"/>
            <w:shd w:val="clear" w:color="auto" w:fill="auto"/>
          </w:tcPr>
          <w:p w14:paraId="56D37407"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B6E4AED" w14:textId="77777777" w:rsidTr="00B409DD">
        <w:trPr>
          <w:cantSplit/>
          <w:trHeight w:val="223"/>
        </w:trPr>
        <w:tc>
          <w:tcPr>
            <w:tcW w:w="850" w:type="dxa"/>
            <w:shd w:val="clear" w:color="auto" w:fill="auto"/>
          </w:tcPr>
          <w:p w14:paraId="534C8AE7"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t>6-45</w:t>
            </w:r>
          </w:p>
        </w:tc>
        <w:tc>
          <w:tcPr>
            <w:tcW w:w="2692" w:type="dxa"/>
            <w:gridSpan w:val="2"/>
            <w:shd w:val="clear" w:color="auto" w:fill="auto"/>
          </w:tcPr>
          <w:p w14:paraId="3A79A645" w14:textId="77777777" w:rsidR="00DE0321" w:rsidRPr="0009445C" w:rsidRDefault="00DE0321" w:rsidP="00B409DD">
            <w:pPr>
              <w:widowControl w:val="0"/>
              <w:autoSpaceDE w:val="0"/>
              <w:autoSpaceDN w:val="0"/>
              <w:adjustRightInd w:val="0"/>
              <w:spacing w:before="60" w:after="40" w:line="240" w:lineRule="auto"/>
              <w:rPr>
                <w:rFonts w:cs="Arial"/>
              </w:rPr>
            </w:pPr>
            <w:r w:rsidRPr="0009445C">
              <w:t>Diethylene glycol-phenyl ether</w:t>
            </w:r>
          </w:p>
        </w:tc>
        <w:tc>
          <w:tcPr>
            <w:tcW w:w="1277" w:type="dxa"/>
            <w:shd w:val="clear" w:color="auto" w:fill="auto"/>
          </w:tcPr>
          <w:p w14:paraId="67EC838D" w14:textId="77777777" w:rsidR="00DE0321" w:rsidRPr="0009445C" w:rsidRDefault="00DE0321" w:rsidP="00B409DD">
            <w:pPr>
              <w:spacing w:before="60" w:after="40" w:line="240" w:lineRule="auto"/>
              <w:jc w:val="center"/>
              <w:rPr>
                <w:rFonts w:cs="Arial"/>
                <w:iCs/>
              </w:rPr>
            </w:pPr>
            <w:r w:rsidRPr="0009445C">
              <w:t>104-68-7</w:t>
            </w:r>
          </w:p>
        </w:tc>
        <w:tc>
          <w:tcPr>
            <w:tcW w:w="993" w:type="dxa"/>
            <w:shd w:val="clear" w:color="auto" w:fill="auto"/>
          </w:tcPr>
          <w:p w14:paraId="777F93EF" w14:textId="77777777" w:rsidR="00DE0321" w:rsidRPr="0009445C" w:rsidRDefault="00DE0321" w:rsidP="00B409DD">
            <w:pPr>
              <w:widowControl w:val="0"/>
              <w:autoSpaceDE w:val="0"/>
              <w:autoSpaceDN w:val="0"/>
              <w:adjustRightInd w:val="0"/>
              <w:spacing w:before="60" w:after="40" w:line="240" w:lineRule="auto"/>
              <w:jc w:val="center"/>
              <w:rPr>
                <w:rFonts w:cs="Arial"/>
                <w:b/>
                <w:bCs/>
              </w:rPr>
            </w:pPr>
            <w:r w:rsidRPr="0009445C">
              <w:rPr>
                <w:b/>
              </w:rPr>
              <w:t>80</w:t>
            </w:r>
          </w:p>
        </w:tc>
        <w:tc>
          <w:tcPr>
            <w:tcW w:w="3265" w:type="dxa"/>
            <w:shd w:val="clear" w:color="auto" w:fill="auto"/>
          </w:tcPr>
          <w:p w14:paraId="745B1E4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66A462C7" w14:textId="77777777" w:rsidR="00DE0321" w:rsidRPr="0009445C" w:rsidRDefault="00DE0321" w:rsidP="00B409DD">
            <w:pPr>
              <w:widowControl w:val="0"/>
              <w:autoSpaceDE w:val="0"/>
              <w:autoSpaceDN w:val="0"/>
              <w:adjustRightInd w:val="0"/>
              <w:spacing w:before="60" w:after="40" w:line="240" w:lineRule="auto"/>
              <w:rPr>
                <w:rFonts w:cs="Arial"/>
              </w:rPr>
            </w:pPr>
            <w:r w:rsidRPr="0009445C">
              <w:t xml:space="preserve">Read across from </w:t>
            </w:r>
            <w:r w:rsidRPr="0009445C">
              <w:rPr>
                <w:color w:val="000000"/>
              </w:rPr>
              <w:t>2-phenoxyethanol</w:t>
            </w:r>
          </w:p>
        </w:tc>
      </w:tr>
      <w:tr w:rsidR="00DE0321" w:rsidRPr="0009445C" w14:paraId="6F6D8B73" w14:textId="77777777" w:rsidTr="00B409DD">
        <w:trPr>
          <w:cantSplit/>
          <w:trHeight w:val="223"/>
        </w:trPr>
        <w:tc>
          <w:tcPr>
            <w:tcW w:w="850" w:type="dxa"/>
            <w:shd w:val="clear" w:color="auto" w:fill="auto"/>
          </w:tcPr>
          <w:p w14:paraId="613D4FBF"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t>6-46</w:t>
            </w:r>
          </w:p>
        </w:tc>
        <w:tc>
          <w:tcPr>
            <w:tcW w:w="2692" w:type="dxa"/>
            <w:gridSpan w:val="2"/>
            <w:shd w:val="clear" w:color="auto" w:fill="auto"/>
          </w:tcPr>
          <w:p w14:paraId="08293093" w14:textId="77777777" w:rsidR="00DE0321" w:rsidRPr="0009445C" w:rsidRDefault="00DE0321" w:rsidP="00B409DD">
            <w:pPr>
              <w:widowControl w:val="0"/>
              <w:autoSpaceDE w:val="0"/>
              <w:autoSpaceDN w:val="0"/>
              <w:adjustRightInd w:val="0"/>
              <w:spacing w:before="60" w:after="40" w:line="240" w:lineRule="auto"/>
              <w:rPr>
                <w:rFonts w:cs="Arial"/>
              </w:rPr>
            </w:pPr>
            <w:proofErr w:type="spellStart"/>
            <w:r w:rsidRPr="0009445C">
              <w:rPr>
                <w:color w:val="000000"/>
              </w:rPr>
              <w:t>Neopentylglykol</w:t>
            </w:r>
            <w:proofErr w:type="spellEnd"/>
            <w:r w:rsidRPr="0009445C">
              <w:rPr>
                <w:color w:val="000000"/>
              </w:rPr>
              <w:t xml:space="preserve"> (2.2-dimethyl-1.3-propanediol)</w:t>
            </w:r>
          </w:p>
        </w:tc>
        <w:tc>
          <w:tcPr>
            <w:tcW w:w="1277" w:type="dxa"/>
            <w:shd w:val="clear" w:color="auto" w:fill="auto"/>
          </w:tcPr>
          <w:p w14:paraId="2F39373E" w14:textId="77777777" w:rsidR="00DE0321" w:rsidRPr="0009445C" w:rsidRDefault="00DE0321" w:rsidP="00B409DD">
            <w:pPr>
              <w:spacing w:before="60" w:after="40" w:line="240" w:lineRule="auto"/>
              <w:jc w:val="center"/>
              <w:rPr>
                <w:rFonts w:cs="Arial"/>
                <w:iCs/>
              </w:rPr>
            </w:pPr>
            <w:r w:rsidRPr="0009445C">
              <w:t>126-30-7</w:t>
            </w:r>
          </w:p>
        </w:tc>
        <w:tc>
          <w:tcPr>
            <w:tcW w:w="993" w:type="dxa"/>
            <w:shd w:val="clear" w:color="auto" w:fill="auto"/>
          </w:tcPr>
          <w:p w14:paraId="41091612" w14:textId="77777777" w:rsidR="00DE0321" w:rsidRPr="0009445C" w:rsidRDefault="00DE0321" w:rsidP="00B409DD">
            <w:pPr>
              <w:widowControl w:val="0"/>
              <w:autoSpaceDE w:val="0"/>
              <w:autoSpaceDN w:val="0"/>
              <w:adjustRightInd w:val="0"/>
              <w:spacing w:before="60" w:after="40" w:line="240" w:lineRule="auto"/>
              <w:jc w:val="center"/>
              <w:rPr>
                <w:rFonts w:cs="Arial"/>
                <w:b/>
                <w:bCs/>
              </w:rPr>
            </w:pPr>
            <w:r w:rsidRPr="0009445C">
              <w:rPr>
                <w:b/>
              </w:rPr>
              <w:t>1 000</w:t>
            </w:r>
          </w:p>
        </w:tc>
        <w:tc>
          <w:tcPr>
            <w:tcW w:w="3265" w:type="dxa"/>
            <w:shd w:val="clear" w:color="auto" w:fill="auto"/>
          </w:tcPr>
          <w:p w14:paraId="14A0947F" w14:textId="77777777" w:rsidR="00DE0321" w:rsidRPr="0009445C" w:rsidRDefault="00DE0321" w:rsidP="00B409DD">
            <w:pPr>
              <w:widowControl w:val="0"/>
              <w:autoSpaceDE w:val="0"/>
              <w:autoSpaceDN w:val="0"/>
              <w:adjustRightInd w:val="0"/>
              <w:spacing w:before="60" w:after="40" w:line="240" w:lineRule="auto"/>
              <w:rPr>
                <w:rFonts w:cs="Arial"/>
              </w:rPr>
            </w:pPr>
            <w:r w:rsidRPr="0009445C">
              <w:t>Individual substances</w:t>
            </w:r>
          </w:p>
        </w:tc>
      </w:tr>
      <w:tr w:rsidR="00DE0321" w:rsidRPr="0009445C" w14:paraId="2283E1B5" w14:textId="77777777" w:rsidTr="00B409DD">
        <w:trPr>
          <w:cantSplit/>
          <w:trHeight w:val="283"/>
        </w:trPr>
        <w:tc>
          <w:tcPr>
            <w:tcW w:w="850" w:type="dxa"/>
            <w:shd w:val="clear" w:color="auto" w:fill="auto"/>
          </w:tcPr>
          <w:p w14:paraId="588BA746" w14:textId="77777777" w:rsidR="00DE0321" w:rsidRPr="0009445C" w:rsidRDefault="00DE0321" w:rsidP="00B409DD">
            <w:pPr>
              <w:pStyle w:val="BRL-TabelleAnlageberschriftFett"/>
              <w:widowControl w:val="0"/>
              <w:spacing w:before="60" w:after="40"/>
              <w:jc w:val="center"/>
            </w:pPr>
            <w:r w:rsidRPr="0009445C">
              <w:t>7</w:t>
            </w:r>
          </w:p>
        </w:tc>
        <w:tc>
          <w:tcPr>
            <w:tcW w:w="8227" w:type="dxa"/>
            <w:gridSpan w:val="5"/>
            <w:shd w:val="clear" w:color="auto" w:fill="auto"/>
          </w:tcPr>
          <w:p w14:paraId="009D02DF" w14:textId="77777777" w:rsidR="00DE0321" w:rsidRPr="0009445C" w:rsidRDefault="00DE0321" w:rsidP="00B409DD">
            <w:pPr>
              <w:pStyle w:val="BRL-TabelleAnlageberschriftFett"/>
              <w:spacing w:before="60" w:after="40"/>
            </w:pPr>
            <w:r w:rsidRPr="0009445C">
              <w:t>Aldehyde</w:t>
            </w:r>
          </w:p>
        </w:tc>
      </w:tr>
      <w:tr w:rsidR="00DE0321" w:rsidRPr="0009445C" w14:paraId="18984AA9" w14:textId="77777777" w:rsidTr="00B409DD">
        <w:trPr>
          <w:cantSplit/>
          <w:trHeight w:val="390"/>
        </w:trPr>
        <w:tc>
          <w:tcPr>
            <w:tcW w:w="850" w:type="dxa"/>
            <w:shd w:val="clear" w:color="auto" w:fill="auto"/>
          </w:tcPr>
          <w:p w14:paraId="3876952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w:t>
            </w:r>
          </w:p>
        </w:tc>
        <w:tc>
          <w:tcPr>
            <w:tcW w:w="2692" w:type="dxa"/>
            <w:gridSpan w:val="2"/>
            <w:shd w:val="clear" w:color="auto" w:fill="auto"/>
          </w:tcPr>
          <w:p w14:paraId="3845BC12"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Butanal </w:t>
            </w:r>
          </w:p>
        </w:tc>
        <w:tc>
          <w:tcPr>
            <w:tcW w:w="1277" w:type="dxa"/>
            <w:shd w:val="clear" w:color="auto" w:fill="auto"/>
          </w:tcPr>
          <w:p w14:paraId="664CE317"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123-72-8</w:t>
            </w:r>
          </w:p>
        </w:tc>
        <w:tc>
          <w:tcPr>
            <w:tcW w:w="993" w:type="dxa"/>
            <w:shd w:val="clear" w:color="auto" w:fill="auto"/>
          </w:tcPr>
          <w:p w14:paraId="2EB0E06B" w14:textId="77777777" w:rsidR="00DE0321" w:rsidRPr="0009445C" w:rsidRDefault="00DE0321" w:rsidP="00B409DD">
            <w:pPr>
              <w:widowControl w:val="0"/>
              <w:autoSpaceDE w:val="0"/>
              <w:autoSpaceDN w:val="0"/>
              <w:adjustRightInd w:val="0"/>
              <w:spacing w:line="240" w:lineRule="auto"/>
              <w:jc w:val="center"/>
              <w:rPr>
                <w:rFonts w:cs="Arial"/>
                <w:b/>
              </w:rPr>
            </w:pPr>
            <w:r w:rsidRPr="0009445C">
              <w:rPr>
                <w:b/>
              </w:rPr>
              <w:t>650</w:t>
            </w:r>
          </w:p>
        </w:tc>
        <w:tc>
          <w:tcPr>
            <w:tcW w:w="3265" w:type="dxa"/>
            <w:shd w:val="clear" w:color="auto" w:fill="auto"/>
          </w:tcPr>
          <w:p w14:paraId="529E3466"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VVOC</w:t>
            </w:r>
          </w:p>
          <w:p w14:paraId="1A4D0A7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Adoption of EU LCI value </w:t>
            </w:r>
          </w:p>
        </w:tc>
      </w:tr>
      <w:tr w:rsidR="00DE0321" w:rsidRPr="0009445C" w14:paraId="285568BE" w14:textId="77777777" w:rsidTr="00B409DD">
        <w:trPr>
          <w:cantSplit/>
          <w:trHeight w:val="216"/>
        </w:trPr>
        <w:tc>
          <w:tcPr>
            <w:tcW w:w="850" w:type="dxa"/>
            <w:shd w:val="clear" w:color="auto" w:fill="auto"/>
          </w:tcPr>
          <w:p w14:paraId="2574E26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7-2</w:t>
            </w:r>
          </w:p>
        </w:tc>
        <w:tc>
          <w:tcPr>
            <w:tcW w:w="2692" w:type="dxa"/>
            <w:gridSpan w:val="2"/>
            <w:shd w:val="clear" w:color="auto" w:fill="auto"/>
          </w:tcPr>
          <w:p w14:paraId="101F4FCF"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Pentanal </w:t>
            </w:r>
          </w:p>
        </w:tc>
        <w:tc>
          <w:tcPr>
            <w:tcW w:w="1277" w:type="dxa"/>
            <w:shd w:val="clear" w:color="auto" w:fill="auto"/>
          </w:tcPr>
          <w:p w14:paraId="1C45745F"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110-62-3</w:t>
            </w:r>
          </w:p>
        </w:tc>
        <w:tc>
          <w:tcPr>
            <w:tcW w:w="993" w:type="dxa"/>
            <w:shd w:val="clear" w:color="auto" w:fill="auto"/>
          </w:tcPr>
          <w:p w14:paraId="2F8E0E85"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800</w:t>
            </w:r>
          </w:p>
        </w:tc>
        <w:tc>
          <w:tcPr>
            <w:tcW w:w="3265" w:type="dxa"/>
            <w:shd w:val="clear" w:color="auto" w:fill="auto"/>
          </w:tcPr>
          <w:p w14:paraId="77CFCC0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79D2D57F"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4ECCB20D" w14:textId="77777777" w:rsidTr="00B409DD">
        <w:trPr>
          <w:cantSplit/>
          <w:trHeight w:val="120"/>
        </w:trPr>
        <w:tc>
          <w:tcPr>
            <w:tcW w:w="850" w:type="dxa"/>
            <w:shd w:val="clear" w:color="auto" w:fill="auto"/>
          </w:tcPr>
          <w:p w14:paraId="6FA00162"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7-3</w:t>
            </w:r>
          </w:p>
        </w:tc>
        <w:tc>
          <w:tcPr>
            <w:tcW w:w="2692" w:type="dxa"/>
            <w:gridSpan w:val="2"/>
            <w:shd w:val="clear" w:color="auto" w:fill="auto"/>
          </w:tcPr>
          <w:p w14:paraId="68620DED"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Hexanal </w:t>
            </w:r>
          </w:p>
        </w:tc>
        <w:tc>
          <w:tcPr>
            <w:tcW w:w="1277" w:type="dxa"/>
            <w:shd w:val="clear" w:color="auto" w:fill="auto"/>
          </w:tcPr>
          <w:p w14:paraId="14BD2AB9"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66-25-1</w:t>
            </w:r>
          </w:p>
        </w:tc>
        <w:tc>
          <w:tcPr>
            <w:tcW w:w="993" w:type="dxa"/>
            <w:shd w:val="clear" w:color="auto" w:fill="auto"/>
          </w:tcPr>
          <w:p w14:paraId="381CA4B8"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900</w:t>
            </w:r>
          </w:p>
        </w:tc>
        <w:tc>
          <w:tcPr>
            <w:tcW w:w="3265" w:type="dxa"/>
            <w:shd w:val="clear" w:color="auto" w:fill="auto"/>
          </w:tcPr>
          <w:p w14:paraId="3DE7F272"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064CE3D2"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0D71CFCD" w14:textId="77777777" w:rsidTr="00B409DD">
        <w:trPr>
          <w:cantSplit/>
          <w:trHeight w:val="195"/>
        </w:trPr>
        <w:tc>
          <w:tcPr>
            <w:tcW w:w="850" w:type="dxa"/>
            <w:shd w:val="clear" w:color="auto" w:fill="auto"/>
          </w:tcPr>
          <w:p w14:paraId="1DD7707F"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7-4</w:t>
            </w:r>
          </w:p>
        </w:tc>
        <w:tc>
          <w:tcPr>
            <w:tcW w:w="2692" w:type="dxa"/>
            <w:gridSpan w:val="2"/>
            <w:shd w:val="clear" w:color="auto" w:fill="auto"/>
          </w:tcPr>
          <w:p w14:paraId="6D036E7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Heptanal </w:t>
            </w:r>
          </w:p>
        </w:tc>
        <w:tc>
          <w:tcPr>
            <w:tcW w:w="1277" w:type="dxa"/>
            <w:shd w:val="clear" w:color="auto" w:fill="auto"/>
          </w:tcPr>
          <w:p w14:paraId="37B172C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111-71-7</w:t>
            </w:r>
          </w:p>
        </w:tc>
        <w:tc>
          <w:tcPr>
            <w:tcW w:w="993" w:type="dxa"/>
            <w:shd w:val="clear" w:color="auto" w:fill="auto"/>
          </w:tcPr>
          <w:p w14:paraId="2D8DABF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900</w:t>
            </w:r>
          </w:p>
        </w:tc>
        <w:tc>
          <w:tcPr>
            <w:tcW w:w="3265" w:type="dxa"/>
            <w:shd w:val="clear" w:color="auto" w:fill="auto"/>
          </w:tcPr>
          <w:p w14:paraId="2F0BE55F"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766B4CE4"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2E275145" w14:textId="77777777" w:rsidTr="00B409DD">
        <w:trPr>
          <w:cantSplit/>
          <w:trHeight w:val="126"/>
        </w:trPr>
        <w:tc>
          <w:tcPr>
            <w:tcW w:w="850" w:type="dxa"/>
            <w:shd w:val="clear" w:color="auto" w:fill="auto"/>
          </w:tcPr>
          <w:p w14:paraId="623DA072"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7-5</w:t>
            </w:r>
          </w:p>
        </w:tc>
        <w:tc>
          <w:tcPr>
            <w:tcW w:w="2692" w:type="dxa"/>
            <w:gridSpan w:val="2"/>
            <w:shd w:val="clear" w:color="auto" w:fill="auto"/>
          </w:tcPr>
          <w:p w14:paraId="71411F5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2-Ethylhexanal </w:t>
            </w:r>
          </w:p>
        </w:tc>
        <w:tc>
          <w:tcPr>
            <w:tcW w:w="1277" w:type="dxa"/>
            <w:shd w:val="clear" w:color="auto" w:fill="auto"/>
          </w:tcPr>
          <w:p w14:paraId="6A5D067A"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123-05-7</w:t>
            </w:r>
          </w:p>
        </w:tc>
        <w:tc>
          <w:tcPr>
            <w:tcW w:w="993" w:type="dxa"/>
            <w:shd w:val="clear" w:color="auto" w:fill="auto"/>
          </w:tcPr>
          <w:p w14:paraId="0DCE727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900</w:t>
            </w:r>
          </w:p>
        </w:tc>
        <w:tc>
          <w:tcPr>
            <w:tcW w:w="3265" w:type="dxa"/>
            <w:shd w:val="clear" w:color="auto" w:fill="auto"/>
          </w:tcPr>
          <w:p w14:paraId="440A8B56"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639033FD"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658E5377" w14:textId="77777777" w:rsidTr="00B409DD">
        <w:trPr>
          <w:cantSplit/>
          <w:trHeight w:val="72"/>
        </w:trPr>
        <w:tc>
          <w:tcPr>
            <w:tcW w:w="850" w:type="dxa"/>
            <w:shd w:val="clear" w:color="auto" w:fill="auto"/>
          </w:tcPr>
          <w:p w14:paraId="35658E2C"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7-6</w:t>
            </w:r>
          </w:p>
        </w:tc>
        <w:tc>
          <w:tcPr>
            <w:tcW w:w="2692" w:type="dxa"/>
            <w:gridSpan w:val="2"/>
            <w:shd w:val="clear" w:color="auto" w:fill="auto"/>
          </w:tcPr>
          <w:p w14:paraId="140BFA1D"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Octanal </w:t>
            </w:r>
          </w:p>
        </w:tc>
        <w:tc>
          <w:tcPr>
            <w:tcW w:w="1277" w:type="dxa"/>
            <w:shd w:val="clear" w:color="auto" w:fill="auto"/>
          </w:tcPr>
          <w:p w14:paraId="2A86F2F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124-13-0</w:t>
            </w:r>
          </w:p>
        </w:tc>
        <w:tc>
          <w:tcPr>
            <w:tcW w:w="993" w:type="dxa"/>
            <w:shd w:val="clear" w:color="auto" w:fill="auto"/>
          </w:tcPr>
          <w:p w14:paraId="1624C68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900</w:t>
            </w:r>
          </w:p>
        </w:tc>
        <w:tc>
          <w:tcPr>
            <w:tcW w:w="3265" w:type="dxa"/>
            <w:shd w:val="clear" w:color="auto" w:fill="auto"/>
          </w:tcPr>
          <w:p w14:paraId="1BE1E59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4432A26F"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5BFFE3B1" w14:textId="77777777" w:rsidTr="00B409DD">
        <w:trPr>
          <w:cantSplit/>
          <w:trHeight w:val="147"/>
        </w:trPr>
        <w:tc>
          <w:tcPr>
            <w:tcW w:w="850" w:type="dxa"/>
            <w:shd w:val="clear" w:color="auto" w:fill="auto"/>
          </w:tcPr>
          <w:p w14:paraId="2024DF9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7-7</w:t>
            </w:r>
          </w:p>
        </w:tc>
        <w:tc>
          <w:tcPr>
            <w:tcW w:w="2692" w:type="dxa"/>
            <w:gridSpan w:val="2"/>
            <w:shd w:val="clear" w:color="auto" w:fill="auto"/>
          </w:tcPr>
          <w:p w14:paraId="41A251C9"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Nonanal </w:t>
            </w:r>
          </w:p>
        </w:tc>
        <w:tc>
          <w:tcPr>
            <w:tcW w:w="1277" w:type="dxa"/>
            <w:shd w:val="clear" w:color="auto" w:fill="auto"/>
          </w:tcPr>
          <w:p w14:paraId="0B287320"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124-19-6</w:t>
            </w:r>
          </w:p>
        </w:tc>
        <w:tc>
          <w:tcPr>
            <w:tcW w:w="993" w:type="dxa"/>
            <w:shd w:val="clear" w:color="auto" w:fill="auto"/>
          </w:tcPr>
          <w:p w14:paraId="29D543B4" w14:textId="77777777" w:rsidR="00DE0321" w:rsidRPr="0009445C" w:rsidRDefault="00DE0321" w:rsidP="00B409DD">
            <w:pPr>
              <w:widowControl w:val="0"/>
              <w:autoSpaceDE w:val="0"/>
              <w:autoSpaceDN w:val="0"/>
              <w:adjustRightInd w:val="0"/>
              <w:spacing w:line="240" w:lineRule="auto"/>
              <w:jc w:val="center"/>
              <w:rPr>
                <w:rFonts w:cs="Arial"/>
                <w:b/>
                <w:bCs/>
                <w:color w:val="000000"/>
              </w:rPr>
            </w:pPr>
            <w:r w:rsidRPr="0009445C">
              <w:rPr>
                <w:b/>
                <w:color w:val="000000"/>
              </w:rPr>
              <w:t>900</w:t>
            </w:r>
          </w:p>
        </w:tc>
        <w:tc>
          <w:tcPr>
            <w:tcW w:w="3265" w:type="dxa"/>
            <w:shd w:val="clear" w:color="auto" w:fill="auto"/>
          </w:tcPr>
          <w:p w14:paraId="7593294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29A28CCA"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0543546D" w14:textId="77777777" w:rsidTr="00B409DD">
        <w:trPr>
          <w:cantSplit/>
          <w:trHeight w:val="78"/>
        </w:trPr>
        <w:tc>
          <w:tcPr>
            <w:tcW w:w="850" w:type="dxa"/>
            <w:shd w:val="clear" w:color="auto" w:fill="auto"/>
          </w:tcPr>
          <w:p w14:paraId="02CEF3F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7-8</w:t>
            </w:r>
          </w:p>
        </w:tc>
        <w:tc>
          <w:tcPr>
            <w:tcW w:w="2692" w:type="dxa"/>
            <w:gridSpan w:val="2"/>
            <w:shd w:val="clear" w:color="auto" w:fill="auto"/>
          </w:tcPr>
          <w:p w14:paraId="5872FFF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Decanal </w:t>
            </w:r>
          </w:p>
        </w:tc>
        <w:tc>
          <w:tcPr>
            <w:tcW w:w="1277" w:type="dxa"/>
            <w:shd w:val="clear" w:color="auto" w:fill="auto"/>
          </w:tcPr>
          <w:p w14:paraId="4ED24C0C"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112-31-2</w:t>
            </w:r>
          </w:p>
        </w:tc>
        <w:tc>
          <w:tcPr>
            <w:tcW w:w="993" w:type="dxa"/>
            <w:shd w:val="clear" w:color="auto" w:fill="auto"/>
          </w:tcPr>
          <w:p w14:paraId="74BC445E" w14:textId="77777777" w:rsidR="00DE0321" w:rsidRPr="0009445C" w:rsidRDefault="00DE0321" w:rsidP="00B409DD">
            <w:pPr>
              <w:widowControl w:val="0"/>
              <w:autoSpaceDE w:val="0"/>
              <w:autoSpaceDN w:val="0"/>
              <w:adjustRightInd w:val="0"/>
              <w:spacing w:line="240" w:lineRule="auto"/>
              <w:jc w:val="center"/>
              <w:rPr>
                <w:rFonts w:cs="Arial"/>
                <w:b/>
                <w:bCs/>
                <w:color w:val="000000"/>
              </w:rPr>
            </w:pPr>
            <w:r w:rsidRPr="0009445C">
              <w:rPr>
                <w:b/>
                <w:color w:val="000000"/>
              </w:rPr>
              <w:t>900</w:t>
            </w:r>
          </w:p>
        </w:tc>
        <w:tc>
          <w:tcPr>
            <w:tcW w:w="3265" w:type="dxa"/>
            <w:shd w:val="clear" w:color="auto" w:fill="auto"/>
          </w:tcPr>
          <w:p w14:paraId="7597CC72"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5B8B2CD2"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by Butanal</w:t>
            </w:r>
          </w:p>
        </w:tc>
      </w:tr>
      <w:tr w:rsidR="00DE0321" w:rsidRPr="0009445C" w14:paraId="634582E0" w14:textId="77777777" w:rsidTr="00B409DD">
        <w:trPr>
          <w:cantSplit/>
          <w:trHeight w:val="435"/>
        </w:trPr>
        <w:tc>
          <w:tcPr>
            <w:tcW w:w="850" w:type="dxa"/>
            <w:shd w:val="clear" w:color="auto" w:fill="auto"/>
          </w:tcPr>
          <w:p w14:paraId="030A8EC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7-9</w:t>
            </w:r>
          </w:p>
        </w:tc>
        <w:tc>
          <w:tcPr>
            <w:tcW w:w="2692" w:type="dxa"/>
            <w:gridSpan w:val="2"/>
            <w:shd w:val="clear" w:color="auto" w:fill="auto"/>
          </w:tcPr>
          <w:p w14:paraId="47150099"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2-butenal (crotonaldehyde, mixture of cis and trans) </w:t>
            </w:r>
          </w:p>
        </w:tc>
        <w:tc>
          <w:tcPr>
            <w:tcW w:w="1277" w:type="dxa"/>
            <w:shd w:val="clear" w:color="auto" w:fill="auto"/>
          </w:tcPr>
          <w:p w14:paraId="0BC4DB48"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4170-30-3 123-73-9 15798-64-8</w:t>
            </w:r>
          </w:p>
        </w:tc>
        <w:tc>
          <w:tcPr>
            <w:tcW w:w="993" w:type="dxa"/>
            <w:shd w:val="clear" w:color="auto" w:fill="auto"/>
          </w:tcPr>
          <w:p w14:paraId="1A1D20A4" w14:textId="77777777" w:rsidR="00DE0321" w:rsidRPr="0009445C" w:rsidRDefault="00DE0321" w:rsidP="00B409DD">
            <w:pPr>
              <w:widowControl w:val="0"/>
              <w:autoSpaceDE w:val="0"/>
              <w:autoSpaceDN w:val="0"/>
              <w:adjustRightInd w:val="0"/>
              <w:spacing w:line="240" w:lineRule="auto"/>
              <w:jc w:val="center"/>
              <w:rPr>
                <w:rFonts w:cs="Arial"/>
                <w:color w:val="000000"/>
                <w:vertAlign w:val="superscript"/>
              </w:rPr>
            </w:pPr>
            <w:r w:rsidRPr="0009445C">
              <w:rPr>
                <w:b/>
                <w:color w:val="000000"/>
              </w:rPr>
              <w:t>1</w:t>
            </w:r>
            <w:r w:rsidRPr="0009445C">
              <w:rPr>
                <w:b/>
                <w:color w:val="000000"/>
                <w:vertAlign w:val="superscript"/>
              </w:rPr>
              <w:t>#</w:t>
            </w:r>
          </w:p>
        </w:tc>
        <w:tc>
          <w:tcPr>
            <w:tcW w:w="3265" w:type="dxa"/>
            <w:shd w:val="clear" w:color="auto" w:fill="auto"/>
          </w:tcPr>
          <w:p w14:paraId="6A79F1F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Individual considerations; Adoption of the EU LCI value is still under discussion</w:t>
            </w:r>
          </w:p>
        </w:tc>
      </w:tr>
      <w:tr w:rsidR="00DE0321" w:rsidRPr="0009445C" w14:paraId="4EC6B2BB" w14:textId="77777777" w:rsidTr="00B409DD">
        <w:trPr>
          <w:cantSplit/>
          <w:trHeight w:val="575"/>
        </w:trPr>
        <w:tc>
          <w:tcPr>
            <w:tcW w:w="850" w:type="dxa"/>
            <w:shd w:val="clear" w:color="auto" w:fill="auto"/>
          </w:tcPr>
          <w:p w14:paraId="7CBAB0E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7-10</w:t>
            </w:r>
          </w:p>
        </w:tc>
        <w:tc>
          <w:tcPr>
            <w:tcW w:w="2692" w:type="dxa"/>
            <w:gridSpan w:val="2"/>
            <w:shd w:val="clear" w:color="auto" w:fill="auto"/>
          </w:tcPr>
          <w:p w14:paraId="21216C7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2-pentenal </w:t>
            </w:r>
          </w:p>
        </w:tc>
        <w:tc>
          <w:tcPr>
            <w:tcW w:w="1277" w:type="dxa"/>
            <w:shd w:val="clear" w:color="auto" w:fill="auto"/>
          </w:tcPr>
          <w:p w14:paraId="1A4B6727"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1576-87-0 764-39-6 31424-04-1</w:t>
            </w:r>
          </w:p>
        </w:tc>
        <w:tc>
          <w:tcPr>
            <w:tcW w:w="993" w:type="dxa"/>
            <w:shd w:val="clear" w:color="auto" w:fill="auto"/>
          </w:tcPr>
          <w:p w14:paraId="59C10D0C"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12</w:t>
            </w:r>
          </w:p>
        </w:tc>
        <w:tc>
          <w:tcPr>
            <w:tcW w:w="3265" w:type="dxa"/>
            <w:shd w:val="clear" w:color="auto" w:fill="auto"/>
          </w:tcPr>
          <w:p w14:paraId="5E1E62F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2-Butenal, but no EU mutagenicity classification Adoption of the EU LCI value is still under discussion</w:t>
            </w:r>
          </w:p>
        </w:tc>
      </w:tr>
      <w:tr w:rsidR="00DE0321" w:rsidRPr="0009445C" w14:paraId="47578D64" w14:textId="77777777" w:rsidTr="00B409DD">
        <w:trPr>
          <w:cantSplit/>
          <w:trHeight w:val="757"/>
        </w:trPr>
        <w:tc>
          <w:tcPr>
            <w:tcW w:w="850" w:type="dxa"/>
            <w:shd w:val="clear" w:color="auto" w:fill="auto"/>
          </w:tcPr>
          <w:p w14:paraId="37C3A173"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7-11</w:t>
            </w:r>
          </w:p>
        </w:tc>
        <w:tc>
          <w:tcPr>
            <w:tcW w:w="2692" w:type="dxa"/>
            <w:gridSpan w:val="2"/>
            <w:shd w:val="clear" w:color="auto" w:fill="auto"/>
          </w:tcPr>
          <w:p w14:paraId="671599B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2-Hexenal </w:t>
            </w:r>
          </w:p>
        </w:tc>
        <w:tc>
          <w:tcPr>
            <w:tcW w:w="1277" w:type="dxa"/>
            <w:shd w:val="clear" w:color="auto" w:fill="auto"/>
          </w:tcPr>
          <w:p w14:paraId="42B79CC9"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16635-54-4 6728-26-3 505-57-7 1335-39-3</w:t>
            </w:r>
          </w:p>
          <w:p w14:paraId="19069C8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73543-95-0</w:t>
            </w:r>
          </w:p>
        </w:tc>
        <w:tc>
          <w:tcPr>
            <w:tcW w:w="993" w:type="dxa"/>
            <w:shd w:val="clear" w:color="auto" w:fill="auto"/>
          </w:tcPr>
          <w:p w14:paraId="2DB04BF3"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14</w:t>
            </w:r>
          </w:p>
        </w:tc>
        <w:tc>
          <w:tcPr>
            <w:tcW w:w="3265" w:type="dxa"/>
            <w:shd w:val="clear" w:color="auto" w:fill="auto"/>
          </w:tcPr>
          <w:p w14:paraId="5F5E7FB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2-pentenal; Adoption of the EU LCI value is still under discussion</w:t>
            </w:r>
          </w:p>
        </w:tc>
      </w:tr>
      <w:tr w:rsidR="00DE0321" w:rsidRPr="0009445C" w14:paraId="1CCEC5CC" w14:textId="77777777" w:rsidTr="00B409DD">
        <w:trPr>
          <w:cantSplit/>
          <w:trHeight w:val="572"/>
        </w:trPr>
        <w:tc>
          <w:tcPr>
            <w:tcW w:w="850" w:type="dxa"/>
            <w:shd w:val="clear" w:color="auto" w:fill="auto"/>
          </w:tcPr>
          <w:p w14:paraId="04D8085A"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7-12</w:t>
            </w:r>
          </w:p>
        </w:tc>
        <w:tc>
          <w:tcPr>
            <w:tcW w:w="2692" w:type="dxa"/>
            <w:gridSpan w:val="2"/>
            <w:shd w:val="clear" w:color="auto" w:fill="auto"/>
          </w:tcPr>
          <w:p w14:paraId="6EC5220F"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2-heptenal </w:t>
            </w:r>
          </w:p>
        </w:tc>
        <w:tc>
          <w:tcPr>
            <w:tcW w:w="1277" w:type="dxa"/>
            <w:shd w:val="clear" w:color="auto" w:fill="auto"/>
          </w:tcPr>
          <w:p w14:paraId="1BB8909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2463-63-0 18829-55-5 29381-66-6</w:t>
            </w:r>
          </w:p>
          <w:p w14:paraId="128F9D24"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57266-86-1</w:t>
            </w:r>
          </w:p>
        </w:tc>
        <w:tc>
          <w:tcPr>
            <w:tcW w:w="993" w:type="dxa"/>
            <w:shd w:val="clear" w:color="auto" w:fill="auto"/>
          </w:tcPr>
          <w:p w14:paraId="2A8C2EF8"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16</w:t>
            </w:r>
          </w:p>
        </w:tc>
        <w:tc>
          <w:tcPr>
            <w:tcW w:w="3265" w:type="dxa"/>
            <w:shd w:val="clear" w:color="auto" w:fill="auto"/>
          </w:tcPr>
          <w:p w14:paraId="5EF29F1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2-pentenal; Adoption of the EU LCI value is still under discussion</w:t>
            </w:r>
          </w:p>
        </w:tc>
      </w:tr>
      <w:tr w:rsidR="00DE0321" w:rsidRPr="0009445C" w14:paraId="51CE5C8A" w14:textId="77777777" w:rsidTr="00B409DD">
        <w:trPr>
          <w:cantSplit/>
          <w:trHeight w:val="760"/>
        </w:trPr>
        <w:tc>
          <w:tcPr>
            <w:tcW w:w="850" w:type="dxa"/>
            <w:shd w:val="clear" w:color="auto" w:fill="auto"/>
          </w:tcPr>
          <w:p w14:paraId="4386E7A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7-13</w:t>
            </w:r>
          </w:p>
        </w:tc>
        <w:tc>
          <w:tcPr>
            <w:tcW w:w="2692" w:type="dxa"/>
            <w:gridSpan w:val="2"/>
            <w:shd w:val="clear" w:color="auto" w:fill="auto"/>
          </w:tcPr>
          <w:p w14:paraId="29726CA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2-octenal </w:t>
            </w:r>
          </w:p>
        </w:tc>
        <w:tc>
          <w:tcPr>
            <w:tcW w:w="1277" w:type="dxa"/>
            <w:shd w:val="clear" w:color="auto" w:fill="auto"/>
          </w:tcPr>
          <w:p w14:paraId="25C015B8"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2363-89-5 25447-69-2 20664-46-4 2548-87-0</w:t>
            </w:r>
          </w:p>
        </w:tc>
        <w:tc>
          <w:tcPr>
            <w:tcW w:w="993" w:type="dxa"/>
            <w:shd w:val="clear" w:color="auto" w:fill="auto"/>
          </w:tcPr>
          <w:p w14:paraId="550E0AC2"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18</w:t>
            </w:r>
          </w:p>
        </w:tc>
        <w:tc>
          <w:tcPr>
            <w:tcW w:w="3265" w:type="dxa"/>
            <w:shd w:val="clear" w:color="auto" w:fill="auto"/>
          </w:tcPr>
          <w:p w14:paraId="16BFA94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2-pentenal; Adoption of the EU LCI value is still under discussion</w:t>
            </w:r>
          </w:p>
        </w:tc>
      </w:tr>
      <w:tr w:rsidR="00DE0321" w:rsidRPr="0009445C" w14:paraId="041D055F" w14:textId="77777777" w:rsidTr="00B409DD">
        <w:trPr>
          <w:cantSplit/>
          <w:trHeight w:val="209"/>
        </w:trPr>
        <w:tc>
          <w:tcPr>
            <w:tcW w:w="850" w:type="dxa"/>
            <w:shd w:val="clear" w:color="auto" w:fill="auto"/>
          </w:tcPr>
          <w:p w14:paraId="74C1001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7-14</w:t>
            </w:r>
          </w:p>
        </w:tc>
        <w:tc>
          <w:tcPr>
            <w:tcW w:w="2692" w:type="dxa"/>
            <w:gridSpan w:val="2"/>
            <w:shd w:val="clear" w:color="auto" w:fill="auto"/>
          </w:tcPr>
          <w:p w14:paraId="2B2E142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2-nonenal </w:t>
            </w:r>
          </w:p>
        </w:tc>
        <w:tc>
          <w:tcPr>
            <w:tcW w:w="1277" w:type="dxa"/>
            <w:shd w:val="clear" w:color="auto" w:fill="auto"/>
          </w:tcPr>
          <w:p w14:paraId="21C8F2A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2463-53-8 30551-15-6 18829-56-6 60784-31-8</w:t>
            </w:r>
          </w:p>
        </w:tc>
        <w:tc>
          <w:tcPr>
            <w:tcW w:w="993" w:type="dxa"/>
            <w:shd w:val="clear" w:color="auto" w:fill="auto"/>
          </w:tcPr>
          <w:p w14:paraId="35124850"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20</w:t>
            </w:r>
          </w:p>
        </w:tc>
        <w:tc>
          <w:tcPr>
            <w:tcW w:w="3265" w:type="dxa"/>
            <w:shd w:val="clear" w:color="auto" w:fill="auto"/>
          </w:tcPr>
          <w:p w14:paraId="196CF5C3"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2-pentenal; Adoption of the EU LCI value is still under discussion</w:t>
            </w:r>
          </w:p>
        </w:tc>
      </w:tr>
      <w:tr w:rsidR="00DE0321" w:rsidRPr="0009445C" w14:paraId="3F91F6BD" w14:textId="77777777" w:rsidTr="00B409DD">
        <w:trPr>
          <w:cantSplit/>
          <w:trHeight w:val="572"/>
        </w:trPr>
        <w:tc>
          <w:tcPr>
            <w:tcW w:w="850" w:type="dxa"/>
            <w:shd w:val="clear" w:color="auto" w:fill="auto"/>
          </w:tcPr>
          <w:p w14:paraId="6863C495"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7-15</w:t>
            </w:r>
          </w:p>
        </w:tc>
        <w:tc>
          <w:tcPr>
            <w:tcW w:w="2692" w:type="dxa"/>
            <w:gridSpan w:val="2"/>
            <w:shd w:val="clear" w:color="auto" w:fill="auto"/>
          </w:tcPr>
          <w:p w14:paraId="56797560"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2-Decenal </w:t>
            </w:r>
          </w:p>
        </w:tc>
        <w:tc>
          <w:tcPr>
            <w:tcW w:w="1277" w:type="dxa"/>
            <w:shd w:val="clear" w:color="auto" w:fill="auto"/>
          </w:tcPr>
          <w:p w14:paraId="0C98B74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3913-71-1 2497-25-8 3913-81-3</w:t>
            </w:r>
          </w:p>
        </w:tc>
        <w:tc>
          <w:tcPr>
            <w:tcW w:w="993" w:type="dxa"/>
            <w:shd w:val="clear" w:color="auto" w:fill="auto"/>
          </w:tcPr>
          <w:p w14:paraId="59BBB24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22</w:t>
            </w:r>
          </w:p>
        </w:tc>
        <w:tc>
          <w:tcPr>
            <w:tcW w:w="3265" w:type="dxa"/>
            <w:shd w:val="clear" w:color="auto" w:fill="auto"/>
          </w:tcPr>
          <w:p w14:paraId="10B309F7"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2-pentenal; Adoption of the EU LCI value is still under discussion</w:t>
            </w:r>
          </w:p>
        </w:tc>
      </w:tr>
      <w:tr w:rsidR="00DE0321" w:rsidRPr="0009445C" w14:paraId="289DEE39" w14:textId="77777777" w:rsidTr="00B409DD">
        <w:trPr>
          <w:cantSplit/>
          <w:trHeight w:val="390"/>
        </w:trPr>
        <w:tc>
          <w:tcPr>
            <w:tcW w:w="850" w:type="dxa"/>
            <w:shd w:val="clear" w:color="auto" w:fill="auto"/>
          </w:tcPr>
          <w:p w14:paraId="5DB3785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7-16</w:t>
            </w:r>
          </w:p>
        </w:tc>
        <w:tc>
          <w:tcPr>
            <w:tcW w:w="2692" w:type="dxa"/>
            <w:gridSpan w:val="2"/>
            <w:shd w:val="clear" w:color="auto" w:fill="auto"/>
          </w:tcPr>
          <w:p w14:paraId="491D8178"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2-undecenal </w:t>
            </w:r>
          </w:p>
        </w:tc>
        <w:tc>
          <w:tcPr>
            <w:tcW w:w="1277" w:type="dxa"/>
            <w:shd w:val="clear" w:color="auto" w:fill="auto"/>
          </w:tcPr>
          <w:p w14:paraId="0BFCB1D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2463-77-6 53448-07-0</w:t>
            </w:r>
          </w:p>
        </w:tc>
        <w:tc>
          <w:tcPr>
            <w:tcW w:w="993" w:type="dxa"/>
            <w:shd w:val="clear" w:color="auto" w:fill="auto"/>
          </w:tcPr>
          <w:p w14:paraId="783F1F07"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24</w:t>
            </w:r>
          </w:p>
        </w:tc>
        <w:tc>
          <w:tcPr>
            <w:tcW w:w="3265" w:type="dxa"/>
            <w:shd w:val="clear" w:color="auto" w:fill="auto"/>
          </w:tcPr>
          <w:p w14:paraId="289649E7"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from 2-pentenal; Adoption of the EU LCI value is still under discussion</w:t>
            </w:r>
          </w:p>
        </w:tc>
      </w:tr>
      <w:tr w:rsidR="00DE0321" w:rsidRPr="0009445C" w14:paraId="23B1992D" w14:textId="77777777" w:rsidTr="00B409DD">
        <w:trPr>
          <w:cantSplit/>
          <w:trHeight w:val="390"/>
        </w:trPr>
        <w:tc>
          <w:tcPr>
            <w:tcW w:w="850" w:type="dxa"/>
            <w:shd w:val="clear" w:color="auto" w:fill="auto"/>
          </w:tcPr>
          <w:p w14:paraId="4DC8C93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7-17</w:t>
            </w:r>
          </w:p>
        </w:tc>
        <w:tc>
          <w:tcPr>
            <w:tcW w:w="2692" w:type="dxa"/>
            <w:gridSpan w:val="2"/>
            <w:shd w:val="clear" w:color="auto" w:fill="auto"/>
          </w:tcPr>
          <w:p w14:paraId="2ADCFC68"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Furfural </w:t>
            </w:r>
          </w:p>
        </w:tc>
        <w:tc>
          <w:tcPr>
            <w:tcW w:w="1277" w:type="dxa"/>
            <w:shd w:val="clear" w:color="auto" w:fill="auto"/>
          </w:tcPr>
          <w:p w14:paraId="7ACBF40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98-01-1</w:t>
            </w:r>
          </w:p>
        </w:tc>
        <w:tc>
          <w:tcPr>
            <w:tcW w:w="993" w:type="dxa"/>
            <w:shd w:val="clear" w:color="auto" w:fill="auto"/>
          </w:tcPr>
          <w:p w14:paraId="7D5E817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10</w:t>
            </w:r>
          </w:p>
        </w:tc>
        <w:tc>
          <w:tcPr>
            <w:tcW w:w="3265" w:type="dxa"/>
            <w:shd w:val="clear" w:color="auto" w:fill="auto"/>
          </w:tcPr>
          <w:p w14:paraId="2D9AB8D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tc>
      </w:tr>
      <w:tr w:rsidR="00DE0321" w:rsidRPr="0009445C" w14:paraId="52ECAA93" w14:textId="77777777" w:rsidTr="00B409DD">
        <w:trPr>
          <w:cantSplit/>
          <w:trHeight w:val="207"/>
        </w:trPr>
        <w:tc>
          <w:tcPr>
            <w:tcW w:w="850" w:type="dxa"/>
            <w:shd w:val="clear" w:color="auto" w:fill="auto"/>
          </w:tcPr>
          <w:p w14:paraId="6F4E05FF"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7-18</w:t>
            </w:r>
          </w:p>
        </w:tc>
        <w:tc>
          <w:tcPr>
            <w:tcW w:w="2692" w:type="dxa"/>
            <w:gridSpan w:val="2"/>
            <w:shd w:val="clear" w:color="auto" w:fill="auto"/>
          </w:tcPr>
          <w:p w14:paraId="1F48FFC0"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Glutaraldehyde </w:t>
            </w:r>
          </w:p>
        </w:tc>
        <w:tc>
          <w:tcPr>
            <w:tcW w:w="1277" w:type="dxa"/>
            <w:shd w:val="clear" w:color="auto" w:fill="auto"/>
          </w:tcPr>
          <w:p w14:paraId="4E8822D2"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111-30-8</w:t>
            </w:r>
          </w:p>
        </w:tc>
        <w:tc>
          <w:tcPr>
            <w:tcW w:w="993" w:type="dxa"/>
            <w:shd w:val="clear" w:color="auto" w:fill="auto"/>
          </w:tcPr>
          <w:p w14:paraId="57ACA35C" w14:textId="77777777" w:rsidR="00DE0321" w:rsidRPr="0009445C" w:rsidRDefault="00DE0321" w:rsidP="00B409DD">
            <w:pPr>
              <w:widowControl w:val="0"/>
              <w:autoSpaceDE w:val="0"/>
              <w:autoSpaceDN w:val="0"/>
              <w:adjustRightInd w:val="0"/>
              <w:spacing w:line="240" w:lineRule="auto"/>
              <w:jc w:val="center"/>
              <w:rPr>
                <w:rFonts w:cs="Arial"/>
                <w:color w:val="000000"/>
                <w:vertAlign w:val="superscript"/>
              </w:rPr>
            </w:pPr>
            <w:r w:rsidRPr="0009445C">
              <w:rPr>
                <w:b/>
                <w:color w:val="000000"/>
              </w:rPr>
              <w:t>1</w:t>
            </w:r>
            <w:r w:rsidRPr="0009445C">
              <w:rPr>
                <w:b/>
                <w:color w:val="000000"/>
                <w:vertAlign w:val="superscript"/>
              </w:rPr>
              <w:t>#</w:t>
            </w:r>
          </w:p>
        </w:tc>
        <w:tc>
          <w:tcPr>
            <w:tcW w:w="3265" w:type="dxa"/>
            <w:shd w:val="clear" w:color="auto" w:fill="auto"/>
          </w:tcPr>
          <w:p w14:paraId="1503EEC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tc>
      </w:tr>
      <w:tr w:rsidR="00DE0321" w:rsidRPr="0009445C" w14:paraId="76E2D6D5" w14:textId="77777777" w:rsidTr="00B409DD">
        <w:trPr>
          <w:cantSplit/>
          <w:trHeight w:val="207"/>
        </w:trPr>
        <w:tc>
          <w:tcPr>
            <w:tcW w:w="863" w:type="dxa"/>
            <w:gridSpan w:val="2"/>
            <w:shd w:val="clear" w:color="auto" w:fill="auto"/>
          </w:tcPr>
          <w:p w14:paraId="5C58B885"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7-19</w:t>
            </w:r>
          </w:p>
        </w:tc>
        <w:tc>
          <w:tcPr>
            <w:tcW w:w="2679" w:type="dxa"/>
            <w:shd w:val="clear" w:color="auto" w:fill="auto"/>
          </w:tcPr>
          <w:p w14:paraId="52ABAE77"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Benzaldehyde </w:t>
            </w:r>
          </w:p>
        </w:tc>
        <w:tc>
          <w:tcPr>
            <w:tcW w:w="1277" w:type="dxa"/>
            <w:shd w:val="clear" w:color="auto" w:fill="auto"/>
          </w:tcPr>
          <w:p w14:paraId="1F50F781"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100-52-7</w:t>
            </w:r>
          </w:p>
        </w:tc>
        <w:tc>
          <w:tcPr>
            <w:tcW w:w="993" w:type="dxa"/>
            <w:shd w:val="clear" w:color="auto" w:fill="auto"/>
          </w:tcPr>
          <w:p w14:paraId="0033D567"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90</w:t>
            </w:r>
          </w:p>
        </w:tc>
        <w:tc>
          <w:tcPr>
            <w:tcW w:w="3265" w:type="dxa"/>
            <w:shd w:val="clear" w:color="auto" w:fill="auto"/>
          </w:tcPr>
          <w:p w14:paraId="5F8E731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WEEL (AIHA): 8 800 µg/m³</w:t>
            </w:r>
          </w:p>
        </w:tc>
      </w:tr>
      <w:tr w:rsidR="00DE0321" w:rsidRPr="0009445C" w14:paraId="28E014AA" w14:textId="77777777" w:rsidTr="00B409DD">
        <w:trPr>
          <w:cantSplit/>
          <w:trHeight w:val="207"/>
        </w:trPr>
        <w:tc>
          <w:tcPr>
            <w:tcW w:w="863" w:type="dxa"/>
            <w:gridSpan w:val="2"/>
            <w:shd w:val="clear" w:color="auto" w:fill="auto"/>
          </w:tcPr>
          <w:p w14:paraId="7758938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7-20*</w:t>
            </w:r>
          </w:p>
        </w:tc>
        <w:tc>
          <w:tcPr>
            <w:tcW w:w="2679" w:type="dxa"/>
            <w:shd w:val="clear" w:color="auto" w:fill="auto"/>
          </w:tcPr>
          <w:p w14:paraId="1C2170E6"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Acetaldehyde </w:t>
            </w:r>
          </w:p>
        </w:tc>
        <w:tc>
          <w:tcPr>
            <w:tcW w:w="1277" w:type="dxa"/>
            <w:shd w:val="clear" w:color="auto" w:fill="auto"/>
          </w:tcPr>
          <w:p w14:paraId="49F4F7F4"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75-07-0</w:t>
            </w:r>
          </w:p>
        </w:tc>
        <w:tc>
          <w:tcPr>
            <w:tcW w:w="993" w:type="dxa"/>
            <w:shd w:val="clear" w:color="auto" w:fill="auto"/>
          </w:tcPr>
          <w:p w14:paraId="55D921A8" w14:textId="77777777" w:rsidR="00DE0321" w:rsidRPr="0009445C" w:rsidRDefault="00DE0321" w:rsidP="00B409DD">
            <w:pPr>
              <w:framePr w:w="1766" w:wrap="auto" w:vAnchor="page" w:hAnchor="page" w:x="5492" w:y="10707"/>
              <w:widowControl w:val="0"/>
              <w:autoSpaceDE w:val="0"/>
              <w:autoSpaceDN w:val="0"/>
              <w:adjustRightInd w:val="0"/>
              <w:spacing w:line="240" w:lineRule="auto"/>
              <w:jc w:val="center"/>
              <w:rPr>
                <w:rFonts w:cs="Arial"/>
                <w:b/>
              </w:rPr>
            </w:pPr>
            <w:r w:rsidRPr="0009445C">
              <w:rPr>
                <w:b/>
              </w:rPr>
              <w:t>300</w:t>
            </w:r>
          </w:p>
        </w:tc>
        <w:tc>
          <w:tcPr>
            <w:tcW w:w="3265" w:type="dxa"/>
            <w:shd w:val="clear" w:color="auto" w:fill="auto"/>
          </w:tcPr>
          <w:p w14:paraId="05ED17F4"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VVOC</w:t>
            </w:r>
          </w:p>
          <w:p w14:paraId="73BCB105" w14:textId="77777777" w:rsidR="00DE0321" w:rsidRPr="0009445C" w:rsidRDefault="00DE0321" w:rsidP="00B409DD">
            <w:pPr>
              <w:widowControl w:val="0"/>
              <w:autoSpaceDE w:val="0"/>
              <w:autoSpaceDN w:val="0"/>
              <w:adjustRightInd w:val="0"/>
              <w:spacing w:line="240" w:lineRule="auto"/>
              <w:rPr>
                <w:rFonts w:cs="Arial"/>
                <w:color w:val="000000"/>
              </w:rPr>
            </w:pPr>
            <w:r w:rsidRPr="0009445C">
              <w:t>Individual substances</w:t>
            </w:r>
          </w:p>
        </w:tc>
      </w:tr>
      <w:tr w:rsidR="00DE0321" w:rsidRPr="0009445C" w14:paraId="0B297021" w14:textId="77777777" w:rsidTr="00B409DD">
        <w:trPr>
          <w:cantSplit/>
          <w:trHeight w:val="210"/>
        </w:trPr>
        <w:tc>
          <w:tcPr>
            <w:tcW w:w="863" w:type="dxa"/>
            <w:gridSpan w:val="2"/>
            <w:shd w:val="clear" w:color="auto" w:fill="auto"/>
          </w:tcPr>
          <w:p w14:paraId="37857D5F"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7-21*</w:t>
            </w:r>
          </w:p>
        </w:tc>
        <w:tc>
          <w:tcPr>
            <w:tcW w:w="2679" w:type="dxa"/>
            <w:shd w:val="clear" w:color="auto" w:fill="auto"/>
          </w:tcPr>
          <w:p w14:paraId="1727878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Propane </w:t>
            </w:r>
          </w:p>
        </w:tc>
        <w:tc>
          <w:tcPr>
            <w:tcW w:w="1277" w:type="dxa"/>
            <w:shd w:val="clear" w:color="auto" w:fill="auto"/>
          </w:tcPr>
          <w:p w14:paraId="6286C345"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123-38-6</w:t>
            </w:r>
          </w:p>
        </w:tc>
        <w:tc>
          <w:tcPr>
            <w:tcW w:w="993" w:type="dxa"/>
            <w:shd w:val="clear" w:color="auto" w:fill="auto"/>
          </w:tcPr>
          <w:p w14:paraId="66FE129E" w14:textId="77777777" w:rsidR="00DE0321" w:rsidRPr="0009445C" w:rsidRDefault="00DE0321" w:rsidP="00B409DD">
            <w:pPr>
              <w:framePr w:w="1766" w:wrap="auto" w:vAnchor="page" w:hAnchor="page" w:x="5492" w:y="10956"/>
              <w:widowControl w:val="0"/>
              <w:autoSpaceDE w:val="0"/>
              <w:autoSpaceDN w:val="0"/>
              <w:adjustRightInd w:val="0"/>
              <w:spacing w:line="240" w:lineRule="auto"/>
              <w:jc w:val="center"/>
              <w:rPr>
                <w:rFonts w:cs="Arial"/>
              </w:rPr>
            </w:pPr>
            <w:r w:rsidRPr="0009445C">
              <w:rPr>
                <w:b/>
              </w:rPr>
              <w:t>650</w:t>
            </w:r>
          </w:p>
        </w:tc>
        <w:tc>
          <w:tcPr>
            <w:tcW w:w="3265" w:type="dxa"/>
            <w:shd w:val="clear" w:color="auto" w:fill="auto"/>
          </w:tcPr>
          <w:p w14:paraId="3C1D2E76"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VVOC</w:t>
            </w:r>
          </w:p>
          <w:p w14:paraId="468C306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Adoption of EU LCI value </w:t>
            </w:r>
          </w:p>
        </w:tc>
      </w:tr>
      <w:tr w:rsidR="00DE0321" w:rsidRPr="0009445C" w14:paraId="2BC478F3" w14:textId="77777777" w:rsidTr="00B409DD">
        <w:trPr>
          <w:cantSplit/>
          <w:trHeight w:val="210"/>
        </w:trPr>
        <w:tc>
          <w:tcPr>
            <w:tcW w:w="863" w:type="dxa"/>
            <w:gridSpan w:val="2"/>
            <w:shd w:val="clear" w:color="auto" w:fill="auto"/>
          </w:tcPr>
          <w:p w14:paraId="4FBF68DF"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lastRenderedPageBreak/>
              <w:t>7-22</w:t>
            </w:r>
          </w:p>
        </w:tc>
        <w:tc>
          <w:tcPr>
            <w:tcW w:w="2679" w:type="dxa"/>
            <w:shd w:val="clear" w:color="auto" w:fill="auto"/>
          </w:tcPr>
          <w:p w14:paraId="7D270667"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Formaldehyde</w:t>
            </w:r>
          </w:p>
        </w:tc>
        <w:tc>
          <w:tcPr>
            <w:tcW w:w="1277" w:type="dxa"/>
            <w:shd w:val="clear" w:color="auto" w:fill="auto"/>
          </w:tcPr>
          <w:p w14:paraId="5D2DA3F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50-00-0</w:t>
            </w:r>
          </w:p>
        </w:tc>
        <w:tc>
          <w:tcPr>
            <w:tcW w:w="993" w:type="dxa"/>
            <w:shd w:val="clear" w:color="auto" w:fill="auto"/>
          </w:tcPr>
          <w:p w14:paraId="3AF90371" w14:textId="77777777" w:rsidR="00DE0321" w:rsidRPr="0009445C" w:rsidRDefault="00DE0321" w:rsidP="00B409DD">
            <w:pPr>
              <w:framePr w:w="1766" w:wrap="auto" w:vAnchor="page" w:hAnchor="page" w:x="5492" w:y="10956"/>
              <w:widowControl w:val="0"/>
              <w:autoSpaceDE w:val="0"/>
              <w:autoSpaceDN w:val="0"/>
              <w:adjustRightInd w:val="0"/>
              <w:spacing w:line="240" w:lineRule="auto"/>
              <w:jc w:val="center"/>
              <w:rPr>
                <w:rFonts w:cs="Arial"/>
                <w:b/>
              </w:rPr>
            </w:pPr>
            <w:r w:rsidRPr="0009445C">
              <w:rPr>
                <w:b/>
              </w:rPr>
              <w:t>100</w:t>
            </w:r>
          </w:p>
        </w:tc>
        <w:tc>
          <w:tcPr>
            <w:tcW w:w="3265" w:type="dxa"/>
            <w:shd w:val="clear" w:color="auto" w:fill="auto"/>
          </w:tcPr>
          <w:p w14:paraId="7E05DA6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VVOC</w:t>
            </w:r>
          </w:p>
          <w:p w14:paraId="419928F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tc>
      </w:tr>
      <w:tr w:rsidR="00DE0321" w:rsidRPr="0009445C" w14:paraId="131A653A" w14:textId="77777777" w:rsidTr="00B409DD">
        <w:trPr>
          <w:cantSplit/>
          <w:trHeight w:val="210"/>
        </w:trPr>
        <w:tc>
          <w:tcPr>
            <w:tcW w:w="863" w:type="dxa"/>
            <w:gridSpan w:val="2"/>
            <w:shd w:val="clear" w:color="auto" w:fill="auto"/>
          </w:tcPr>
          <w:p w14:paraId="2B60BC20"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7-23</w:t>
            </w:r>
          </w:p>
        </w:tc>
        <w:tc>
          <w:tcPr>
            <w:tcW w:w="2679" w:type="dxa"/>
            <w:shd w:val="clear" w:color="auto" w:fill="auto"/>
          </w:tcPr>
          <w:p w14:paraId="391DD3C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Propenal</w:t>
            </w:r>
          </w:p>
        </w:tc>
        <w:tc>
          <w:tcPr>
            <w:tcW w:w="1277" w:type="dxa"/>
            <w:shd w:val="clear" w:color="auto" w:fill="auto"/>
          </w:tcPr>
          <w:p w14:paraId="4852E71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107-02-8</w:t>
            </w:r>
          </w:p>
        </w:tc>
        <w:tc>
          <w:tcPr>
            <w:tcW w:w="993" w:type="dxa"/>
            <w:shd w:val="clear" w:color="auto" w:fill="auto"/>
          </w:tcPr>
          <w:p w14:paraId="2F79319B" w14:textId="77777777" w:rsidR="00DE0321" w:rsidRPr="0009445C" w:rsidRDefault="00DE0321" w:rsidP="00B409DD">
            <w:pPr>
              <w:framePr w:w="1766" w:wrap="auto" w:vAnchor="page" w:hAnchor="page" w:x="5492" w:y="10956"/>
              <w:widowControl w:val="0"/>
              <w:autoSpaceDE w:val="0"/>
              <w:autoSpaceDN w:val="0"/>
              <w:adjustRightInd w:val="0"/>
              <w:spacing w:line="240" w:lineRule="auto"/>
              <w:jc w:val="center"/>
              <w:rPr>
                <w:rFonts w:cs="Arial"/>
                <w:b/>
              </w:rPr>
            </w:pPr>
            <w:r w:rsidRPr="0009445C">
              <w:rPr>
                <w:b/>
              </w:rPr>
              <w:t>14</w:t>
            </w:r>
          </w:p>
        </w:tc>
        <w:tc>
          <w:tcPr>
            <w:tcW w:w="3265" w:type="dxa"/>
            <w:shd w:val="clear" w:color="auto" w:fill="auto"/>
          </w:tcPr>
          <w:p w14:paraId="5770DAA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VVOC</w:t>
            </w:r>
          </w:p>
          <w:p w14:paraId="1F802BBB" w14:textId="77777777" w:rsidR="00DE0321" w:rsidRPr="0009445C" w:rsidRDefault="00DE0321" w:rsidP="00B409DD">
            <w:pPr>
              <w:widowControl w:val="0"/>
              <w:autoSpaceDE w:val="0"/>
              <w:autoSpaceDN w:val="0"/>
              <w:adjustRightInd w:val="0"/>
              <w:spacing w:line="240" w:lineRule="auto"/>
              <w:rPr>
                <w:rFonts w:cs="Arial"/>
                <w:color w:val="000000"/>
              </w:rPr>
            </w:pPr>
            <w:r w:rsidRPr="0009445C">
              <w:t>Individual substances</w:t>
            </w:r>
          </w:p>
        </w:tc>
      </w:tr>
      <w:tr w:rsidR="00DE0321" w:rsidRPr="0009445C" w14:paraId="49479053" w14:textId="77777777" w:rsidTr="00B409DD">
        <w:trPr>
          <w:cantSplit/>
          <w:trHeight w:val="283"/>
        </w:trPr>
        <w:tc>
          <w:tcPr>
            <w:tcW w:w="863" w:type="dxa"/>
            <w:gridSpan w:val="2"/>
            <w:shd w:val="clear" w:color="auto" w:fill="auto"/>
          </w:tcPr>
          <w:p w14:paraId="76AA0FB3" w14:textId="77777777" w:rsidR="00DE0321" w:rsidRPr="0009445C" w:rsidRDefault="00DE0321" w:rsidP="00B409DD">
            <w:pPr>
              <w:pStyle w:val="BRL-TabelleAnlageberschriftFett"/>
              <w:spacing w:before="60" w:after="40"/>
              <w:jc w:val="center"/>
            </w:pPr>
            <w:r w:rsidRPr="0009445C">
              <w:t>8</w:t>
            </w:r>
          </w:p>
        </w:tc>
        <w:tc>
          <w:tcPr>
            <w:tcW w:w="8214" w:type="dxa"/>
            <w:gridSpan w:val="4"/>
            <w:shd w:val="clear" w:color="auto" w:fill="auto"/>
          </w:tcPr>
          <w:p w14:paraId="7529379E" w14:textId="77777777" w:rsidR="00DE0321" w:rsidRPr="0009445C" w:rsidRDefault="00DE0321" w:rsidP="00B409DD">
            <w:pPr>
              <w:pStyle w:val="BRL-TabelleAnlageberschriftFett"/>
              <w:spacing w:before="60" w:after="40"/>
            </w:pPr>
            <w:r w:rsidRPr="0009445C">
              <w:t>Ketone</w:t>
            </w:r>
          </w:p>
        </w:tc>
      </w:tr>
      <w:tr w:rsidR="00DE0321" w:rsidRPr="0009445C" w14:paraId="62672871" w14:textId="77777777" w:rsidTr="00B409DD">
        <w:trPr>
          <w:cantSplit/>
          <w:trHeight w:val="207"/>
        </w:trPr>
        <w:tc>
          <w:tcPr>
            <w:tcW w:w="863" w:type="dxa"/>
            <w:gridSpan w:val="2"/>
            <w:shd w:val="clear" w:color="auto" w:fill="auto"/>
          </w:tcPr>
          <w:p w14:paraId="5978979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8-1</w:t>
            </w:r>
          </w:p>
        </w:tc>
        <w:tc>
          <w:tcPr>
            <w:tcW w:w="2679" w:type="dxa"/>
            <w:shd w:val="clear" w:color="auto" w:fill="auto"/>
          </w:tcPr>
          <w:p w14:paraId="025C7B1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Ethyl methyl ketone </w:t>
            </w:r>
          </w:p>
        </w:tc>
        <w:tc>
          <w:tcPr>
            <w:tcW w:w="1277" w:type="dxa"/>
            <w:shd w:val="clear" w:color="auto" w:fill="auto"/>
          </w:tcPr>
          <w:p w14:paraId="30EABEC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78-93-3</w:t>
            </w:r>
          </w:p>
        </w:tc>
        <w:tc>
          <w:tcPr>
            <w:tcW w:w="993" w:type="dxa"/>
            <w:shd w:val="clear" w:color="auto" w:fill="auto"/>
          </w:tcPr>
          <w:p w14:paraId="38A6A71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20 000</w:t>
            </w:r>
          </w:p>
        </w:tc>
        <w:tc>
          <w:tcPr>
            <w:tcW w:w="3265" w:type="dxa"/>
            <w:shd w:val="clear" w:color="auto" w:fill="auto"/>
          </w:tcPr>
          <w:p w14:paraId="6C646442"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ED38748" w14:textId="77777777" w:rsidTr="00B409DD">
        <w:trPr>
          <w:cantSplit/>
          <w:trHeight w:val="98"/>
        </w:trPr>
        <w:tc>
          <w:tcPr>
            <w:tcW w:w="863" w:type="dxa"/>
            <w:gridSpan w:val="2"/>
            <w:shd w:val="clear" w:color="auto" w:fill="auto"/>
          </w:tcPr>
          <w:p w14:paraId="2A87699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8-2</w:t>
            </w:r>
          </w:p>
        </w:tc>
        <w:tc>
          <w:tcPr>
            <w:tcW w:w="2679" w:type="dxa"/>
            <w:shd w:val="clear" w:color="auto" w:fill="auto"/>
          </w:tcPr>
          <w:p w14:paraId="27EBA1D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3-methyl-2-butanone </w:t>
            </w:r>
          </w:p>
        </w:tc>
        <w:tc>
          <w:tcPr>
            <w:tcW w:w="1277" w:type="dxa"/>
            <w:shd w:val="clear" w:color="auto" w:fill="auto"/>
          </w:tcPr>
          <w:p w14:paraId="15ABE3D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563-80-4</w:t>
            </w:r>
          </w:p>
        </w:tc>
        <w:tc>
          <w:tcPr>
            <w:tcW w:w="993" w:type="dxa"/>
            <w:shd w:val="clear" w:color="auto" w:fill="auto"/>
          </w:tcPr>
          <w:p w14:paraId="7E4F52F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7 000</w:t>
            </w:r>
          </w:p>
        </w:tc>
        <w:tc>
          <w:tcPr>
            <w:tcW w:w="3265" w:type="dxa"/>
            <w:shd w:val="clear" w:color="auto" w:fill="auto"/>
          </w:tcPr>
          <w:p w14:paraId="442EB49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0239231B" w14:textId="77777777" w:rsidTr="00B409DD">
        <w:trPr>
          <w:cantSplit/>
          <w:trHeight w:val="207"/>
        </w:trPr>
        <w:tc>
          <w:tcPr>
            <w:tcW w:w="863" w:type="dxa"/>
            <w:gridSpan w:val="2"/>
            <w:shd w:val="clear" w:color="auto" w:fill="auto"/>
          </w:tcPr>
          <w:p w14:paraId="23F9C15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8-3</w:t>
            </w:r>
          </w:p>
        </w:tc>
        <w:tc>
          <w:tcPr>
            <w:tcW w:w="2679" w:type="dxa"/>
            <w:shd w:val="clear" w:color="auto" w:fill="auto"/>
          </w:tcPr>
          <w:p w14:paraId="3F7B7EA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Methyl isobutyl ketone </w:t>
            </w:r>
          </w:p>
        </w:tc>
        <w:tc>
          <w:tcPr>
            <w:tcW w:w="1277" w:type="dxa"/>
            <w:shd w:val="clear" w:color="auto" w:fill="auto"/>
          </w:tcPr>
          <w:p w14:paraId="7FB58D4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108-10-1</w:t>
            </w:r>
          </w:p>
        </w:tc>
        <w:tc>
          <w:tcPr>
            <w:tcW w:w="993" w:type="dxa"/>
            <w:shd w:val="clear" w:color="auto" w:fill="auto"/>
          </w:tcPr>
          <w:p w14:paraId="72FAA04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1 000</w:t>
            </w:r>
          </w:p>
        </w:tc>
        <w:tc>
          <w:tcPr>
            <w:tcW w:w="3265" w:type="dxa"/>
            <w:shd w:val="clear" w:color="auto" w:fill="auto"/>
          </w:tcPr>
          <w:p w14:paraId="13E2E35D"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6FE73327" w14:textId="77777777" w:rsidTr="00B409DD">
        <w:trPr>
          <w:cantSplit/>
          <w:trHeight w:val="207"/>
        </w:trPr>
        <w:tc>
          <w:tcPr>
            <w:tcW w:w="863" w:type="dxa"/>
            <w:gridSpan w:val="2"/>
            <w:shd w:val="clear" w:color="auto" w:fill="auto"/>
          </w:tcPr>
          <w:p w14:paraId="65047EC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8-4</w:t>
            </w:r>
          </w:p>
        </w:tc>
        <w:tc>
          <w:tcPr>
            <w:tcW w:w="2679" w:type="dxa"/>
            <w:shd w:val="clear" w:color="auto" w:fill="auto"/>
          </w:tcPr>
          <w:p w14:paraId="787F719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Cyclopentanone </w:t>
            </w:r>
          </w:p>
        </w:tc>
        <w:tc>
          <w:tcPr>
            <w:tcW w:w="1277" w:type="dxa"/>
            <w:shd w:val="clear" w:color="auto" w:fill="auto"/>
          </w:tcPr>
          <w:p w14:paraId="4C3525D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120-92-3</w:t>
            </w:r>
          </w:p>
        </w:tc>
        <w:tc>
          <w:tcPr>
            <w:tcW w:w="993" w:type="dxa"/>
            <w:shd w:val="clear" w:color="auto" w:fill="auto"/>
          </w:tcPr>
          <w:p w14:paraId="2DF9725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900</w:t>
            </w:r>
          </w:p>
        </w:tc>
        <w:tc>
          <w:tcPr>
            <w:tcW w:w="3265" w:type="dxa"/>
            <w:shd w:val="clear" w:color="auto" w:fill="auto"/>
          </w:tcPr>
          <w:p w14:paraId="55A32C4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1F46B63E" w14:textId="77777777" w:rsidTr="00B409DD">
        <w:trPr>
          <w:cantSplit/>
          <w:trHeight w:val="207"/>
        </w:trPr>
        <w:tc>
          <w:tcPr>
            <w:tcW w:w="863" w:type="dxa"/>
            <w:gridSpan w:val="2"/>
            <w:shd w:val="clear" w:color="auto" w:fill="auto"/>
          </w:tcPr>
          <w:p w14:paraId="13A24D5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8-5</w:t>
            </w:r>
          </w:p>
        </w:tc>
        <w:tc>
          <w:tcPr>
            <w:tcW w:w="2679" w:type="dxa"/>
            <w:shd w:val="clear" w:color="auto" w:fill="auto"/>
          </w:tcPr>
          <w:p w14:paraId="547CD08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Cyclohexanone </w:t>
            </w:r>
          </w:p>
        </w:tc>
        <w:tc>
          <w:tcPr>
            <w:tcW w:w="1277" w:type="dxa"/>
            <w:shd w:val="clear" w:color="auto" w:fill="auto"/>
          </w:tcPr>
          <w:p w14:paraId="5357A18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108-94-1</w:t>
            </w:r>
          </w:p>
        </w:tc>
        <w:tc>
          <w:tcPr>
            <w:tcW w:w="993" w:type="dxa"/>
            <w:shd w:val="clear" w:color="auto" w:fill="auto"/>
          </w:tcPr>
          <w:p w14:paraId="63DDA35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410</w:t>
            </w:r>
          </w:p>
        </w:tc>
        <w:tc>
          <w:tcPr>
            <w:tcW w:w="3265" w:type="dxa"/>
            <w:shd w:val="clear" w:color="auto" w:fill="auto"/>
          </w:tcPr>
          <w:p w14:paraId="48D144BC"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C3BEDD6" w14:textId="77777777" w:rsidTr="00B409DD">
        <w:trPr>
          <w:cantSplit/>
          <w:trHeight w:val="146"/>
        </w:trPr>
        <w:tc>
          <w:tcPr>
            <w:tcW w:w="863" w:type="dxa"/>
            <w:gridSpan w:val="2"/>
            <w:shd w:val="clear" w:color="auto" w:fill="auto"/>
          </w:tcPr>
          <w:p w14:paraId="76CA291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8-6</w:t>
            </w:r>
          </w:p>
        </w:tc>
        <w:tc>
          <w:tcPr>
            <w:tcW w:w="2679" w:type="dxa"/>
            <w:shd w:val="clear" w:color="auto" w:fill="auto"/>
          </w:tcPr>
          <w:p w14:paraId="4498070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2-methylcyclopentanone </w:t>
            </w:r>
          </w:p>
        </w:tc>
        <w:tc>
          <w:tcPr>
            <w:tcW w:w="1277" w:type="dxa"/>
            <w:shd w:val="clear" w:color="auto" w:fill="auto"/>
          </w:tcPr>
          <w:p w14:paraId="1752EBD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1120-72-5</w:t>
            </w:r>
          </w:p>
        </w:tc>
        <w:tc>
          <w:tcPr>
            <w:tcW w:w="993" w:type="dxa"/>
            <w:shd w:val="clear" w:color="auto" w:fill="auto"/>
          </w:tcPr>
          <w:p w14:paraId="632D7AF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1 000</w:t>
            </w:r>
          </w:p>
        </w:tc>
        <w:tc>
          <w:tcPr>
            <w:tcW w:w="3265" w:type="dxa"/>
            <w:shd w:val="clear" w:color="auto" w:fill="auto"/>
          </w:tcPr>
          <w:p w14:paraId="62D2CE2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Cyclopentanone </w:t>
            </w:r>
          </w:p>
        </w:tc>
      </w:tr>
      <w:tr w:rsidR="00DE0321" w:rsidRPr="0009445C" w14:paraId="2057025A" w14:textId="77777777" w:rsidTr="00B409DD">
        <w:trPr>
          <w:cantSplit/>
          <w:trHeight w:val="121"/>
        </w:trPr>
        <w:tc>
          <w:tcPr>
            <w:tcW w:w="863" w:type="dxa"/>
            <w:gridSpan w:val="2"/>
            <w:shd w:val="clear" w:color="auto" w:fill="auto"/>
          </w:tcPr>
          <w:p w14:paraId="321FF6A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8-7</w:t>
            </w:r>
          </w:p>
        </w:tc>
        <w:tc>
          <w:tcPr>
            <w:tcW w:w="2679" w:type="dxa"/>
            <w:shd w:val="clear" w:color="auto" w:fill="auto"/>
          </w:tcPr>
          <w:p w14:paraId="0F45F1D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2-methylcyclohexanon </w:t>
            </w:r>
          </w:p>
        </w:tc>
        <w:tc>
          <w:tcPr>
            <w:tcW w:w="1277" w:type="dxa"/>
            <w:shd w:val="clear" w:color="auto" w:fill="auto"/>
          </w:tcPr>
          <w:p w14:paraId="095C373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583-60-8</w:t>
            </w:r>
          </w:p>
        </w:tc>
        <w:tc>
          <w:tcPr>
            <w:tcW w:w="993" w:type="dxa"/>
            <w:shd w:val="clear" w:color="auto" w:fill="auto"/>
          </w:tcPr>
          <w:p w14:paraId="31BE74C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2 300</w:t>
            </w:r>
          </w:p>
        </w:tc>
        <w:tc>
          <w:tcPr>
            <w:tcW w:w="3265" w:type="dxa"/>
            <w:shd w:val="clear" w:color="auto" w:fill="auto"/>
          </w:tcPr>
          <w:p w14:paraId="729384B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210E10C4" w14:textId="77777777" w:rsidTr="00B409DD">
        <w:trPr>
          <w:cantSplit/>
          <w:trHeight w:val="207"/>
        </w:trPr>
        <w:tc>
          <w:tcPr>
            <w:tcW w:w="863" w:type="dxa"/>
            <w:gridSpan w:val="2"/>
            <w:shd w:val="clear" w:color="auto" w:fill="auto"/>
          </w:tcPr>
          <w:p w14:paraId="4501EE1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8-8</w:t>
            </w:r>
          </w:p>
        </w:tc>
        <w:tc>
          <w:tcPr>
            <w:tcW w:w="2679" w:type="dxa"/>
            <w:shd w:val="clear" w:color="auto" w:fill="auto"/>
          </w:tcPr>
          <w:p w14:paraId="7616E4E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Acetophenone </w:t>
            </w:r>
          </w:p>
        </w:tc>
        <w:tc>
          <w:tcPr>
            <w:tcW w:w="1277" w:type="dxa"/>
            <w:shd w:val="clear" w:color="auto" w:fill="auto"/>
          </w:tcPr>
          <w:p w14:paraId="675967B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98-86-2</w:t>
            </w:r>
          </w:p>
        </w:tc>
        <w:tc>
          <w:tcPr>
            <w:tcW w:w="993" w:type="dxa"/>
            <w:shd w:val="clear" w:color="auto" w:fill="auto"/>
          </w:tcPr>
          <w:p w14:paraId="6BED791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490</w:t>
            </w:r>
          </w:p>
        </w:tc>
        <w:tc>
          <w:tcPr>
            <w:tcW w:w="3265" w:type="dxa"/>
            <w:shd w:val="clear" w:color="auto" w:fill="auto"/>
          </w:tcPr>
          <w:p w14:paraId="104ACFA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64F9F417" w14:textId="77777777" w:rsidTr="00B409DD">
        <w:trPr>
          <w:cantSplit/>
          <w:trHeight w:val="298"/>
        </w:trPr>
        <w:tc>
          <w:tcPr>
            <w:tcW w:w="863" w:type="dxa"/>
            <w:gridSpan w:val="2"/>
            <w:shd w:val="clear" w:color="auto" w:fill="auto"/>
          </w:tcPr>
          <w:p w14:paraId="33A5FEC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8-9</w:t>
            </w:r>
          </w:p>
        </w:tc>
        <w:tc>
          <w:tcPr>
            <w:tcW w:w="2679" w:type="dxa"/>
            <w:shd w:val="clear" w:color="auto" w:fill="auto"/>
          </w:tcPr>
          <w:p w14:paraId="022BEE6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1-hydroxyacetone </w:t>
            </w:r>
          </w:p>
          <w:p w14:paraId="6A651A7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(1-hydroxy-2-propanone) </w:t>
            </w:r>
          </w:p>
        </w:tc>
        <w:tc>
          <w:tcPr>
            <w:tcW w:w="1277" w:type="dxa"/>
            <w:shd w:val="clear" w:color="auto" w:fill="auto"/>
          </w:tcPr>
          <w:p w14:paraId="43B6150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116-09-6</w:t>
            </w:r>
          </w:p>
        </w:tc>
        <w:tc>
          <w:tcPr>
            <w:tcW w:w="993" w:type="dxa"/>
            <w:shd w:val="clear" w:color="auto" w:fill="auto"/>
          </w:tcPr>
          <w:p w14:paraId="3B51F32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2 100</w:t>
            </w:r>
          </w:p>
        </w:tc>
        <w:tc>
          <w:tcPr>
            <w:tcW w:w="3265" w:type="dxa"/>
            <w:shd w:val="clear" w:color="auto" w:fill="auto"/>
          </w:tcPr>
          <w:p w14:paraId="51E9124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75700197"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Read across of propylene glycol</w:t>
            </w:r>
          </w:p>
        </w:tc>
      </w:tr>
      <w:tr w:rsidR="00DE0321" w:rsidRPr="0009445C" w14:paraId="2D602F0B" w14:textId="77777777" w:rsidTr="00B409DD">
        <w:trPr>
          <w:cantSplit/>
          <w:trHeight w:val="222"/>
        </w:trPr>
        <w:tc>
          <w:tcPr>
            <w:tcW w:w="863" w:type="dxa"/>
            <w:gridSpan w:val="2"/>
            <w:shd w:val="clear" w:color="auto" w:fill="auto"/>
          </w:tcPr>
          <w:p w14:paraId="6416087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8-10*</w:t>
            </w:r>
          </w:p>
        </w:tc>
        <w:tc>
          <w:tcPr>
            <w:tcW w:w="2679" w:type="dxa"/>
            <w:shd w:val="clear" w:color="auto" w:fill="auto"/>
          </w:tcPr>
          <w:p w14:paraId="3C4FD5E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Acetone </w:t>
            </w:r>
          </w:p>
        </w:tc>
        <w:tc>
          <w:tcPr>
            <w:tcW w:w="1277" w:type="dxa"/>
            <w:shd w:val="clear" w:color="auto" w:fill="auto"/>
          </w:tcPr>
          <w:p w14:paraId="5DCF12B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67-64-1</w:t>
            </w:r>
          </w:p>
        </w:tc>
        <w:tc>
          <w:tcPr>
            <w:tcW w:w="993" w:type="dxa"/>
            <w:shd w:val="clear" w:color="auto" w:fill="auto"/>
          </w:tcPr>
          <w:p w14:paraId="6C0D7E45" w14:textId="77777777" w:rsidR="00DE0321" w:rsidRPr="0009445C" w:rsidRDefault="00DE0321" w:rsidP="00B409DD">
            <w:pPr>
              <w:framePr w:w="1766" w:wrap="auto" w:vAnchor="page" w:hAnchor="page" w:x="5492" w:y="14746"/>
              <w:widowControl w:val="0"/>
              <w:autoSpaceDE w:val="0"/>
              <w:autoSpaceDN w:val="0"/>
              <w:adjustRightInd w:val="0"/>
              <w:spacing w:before="60" w:after="40" w:line="240" w:lineRule="auto"/>
              <w:jc w:val="center"/>
              <w:rPr>
                <w:rFonts w:cs="Arial"/>
                <w:b/>
              </w:rPr>
            </w:pPr>
            <w:r w:rsidRPr="0009445C">
              <w:rPr>
                <w:b/>
              </w:rPr>
              <w:t>120 000</w:t>
            </w:r>
          </w:p>
        </w:tc>
        <w:tc>
          <w:tcPr>
            <w:tcW w:w="3265" w:type="dxa"/>
            <w:shd w:val="clear" w:color="auto" w:fill="auto"/>
          </w:tcPr>
          <w:p w14:paraId="5CB2191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VVOC</w:t>
            </w:r>
          </w:p>
          <w:p w14:paraId="3778B90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5E7EE7F" w14:textId="77777777" w:rsidTr="00B409DD">
        <w:trPr>
          <w:cantSplit/>
          <w:trHeight w:val="283"/>
        </w:trPr>
        <w:tc>
          <w:tcPr>
            <w:tcW w:w="863" w:type="dxa"/>
            <w:gridSpan w:val="2"/>
            <w:shd w:val="clear" w:color="auto" w:fill="auto"/>
          </w:tcPr>
          <w:p w14:paraId="5DF9947B" w14:textId="77777777" w:rsidR="00DE0321" w:rsidRPr="0009445C" w:rsidRDefault="00DE0321" w:rsidP="00B409DD">
            <w:pPr>
              <w:pStyle w:val="BRL-TabelleAnlageberschriftFett"/>
              <w:spacing w:before="60" w:after="40"/>
              <w:jc w:val="center"/>
            </w:pPr>
            <w:r w:rsidRPr="0009445C">
              <w:t>9</w:t>
            </w:r>
          </w:p>
        </w:tc>
        <w:tc>
          <w:tcPr>
            <w:tcW w:w="8214" w:type="dxa"/>
            <w:gridSpan w:val="4"/>
            <w:shd w:val="clear" w:color="auto" w:fill="auto"/>
          </w:tcPr>
          <w:p w14:paraId="4AC22A92" w14:textId="77777777" w:rsidR="00DE0321" w:rsidRPr="0009445C" w:rsidRDefault="00DE0321" w:rsidP="00B409DD">
            <w:pPr>
              <w:pStyle w:val="BRL-TabelleAnlageberschriftFett"/>
              <w:spacing w:before="60" w:after="40"/>
            </w:pPr>
            <w:r w:rsidRPr="0009445C">
              <w:t>Acids</w:t>
            </w:r>
          </w:p>
        </w:tc>
      </w:tr>
      <w:tr w:rsidR="00DE0321" w:rsidRPr="0009445C" w14:paraId="2D92C843" w14:textId="77777777" w:rsidTr="00B409DD">
        <w:trPr>
          <w:cantSplit/>
          <w:trHeight w:val="207"/>
        </w:trPr>
        <w:tc>
          <w:tcPr>
            <w:tcW w:w="863" w:type="dxa"/>
            <w:gridSpan w:val="2"/>
            <w:shd w:val="clear" w:color="auto" w:fill="auto"/>
          </w:tcPr>
          <w:p w14:paraId="7DB52E3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9-1</w:t>
            </w:r>
          </w:p>
        </w:tc>
        <w:tc>
          <w:tcPr>
            <w:tcW w:w="2679" w:type="dxa"/>
            <w:shd w:val="clear" w:color="auto" w:fill="auto"/>
          </w:tcPr>
          <w:p w14:paraId="2ABBCB87"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Acetic acid </w:t>
            </w:r>
          </w:p>
        </w:tc>
        <w:tc>
          <w:tcPr>
            <w:tcW w:w="1277" w:type="dxa"/>
            <w:shd w:val="clear" w:color="auto" w:fill="auto"/>
          </w:tcPr>
          <w:p w14:paraId="017BCD25"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64-19-7</w:t>
            </w:r>
          </w:p>
        </w:tc>
        <w:tc>
          <w:tcPr>
            <w:tcW w:w="993" w:type="dxa"/>
            <w:shd w:val="clear" w:color="auto" w:fill="auto"/>
          </w:tcPr>
          <w:p w14:paraId="0579A26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1 200</w:t>
            </w:r>
          </w:p>
        </w:tc>
        <w:tc>
          <w:tcPr>
            <w:tcW w:w="3265" w:type="dxa"/>
            <w:shd w:val="clear" w:color="auto" w:fill="auto"/>
          </w:tcPr>
          <w:p w14:paraId="2658892A"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tc>
      </w:tr>
      <w:tr w:rsidR="00DE0321" w:rsidRPr="0009445C" w14:paraId="11A5FE93" w14:textId="77777777" w:rsidTr="00B409DD">
        <w:trPr>
          <w:cantSplit/>
          <w:trHeight w:val="207"/>
        </w:trPr>
        <w:tc>
          <w:tcPr>
            <w:tcW w:w="863" w:type="dxa"/>
            <w:gridSpan w:val="2"/>
            <w:shd w:val="clear" w:color="auto" w:fill="auto"/>
          </w:tcPr>
          <w:p w14:paraId="73198F23"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9-2</w:t>
            </w:r>
          </w:p>
        </w:tc>
        <w:tc>
          <w:tcPr>
            <w:tcW w:w="2679" w:type="dxa"/>
            <w:shd w:val="clear" w:color="auto" w:fill="auto"/>
          </w:tcPr>
          <w:p w14:paraId="36951D46"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Propionic acid </w:t>
            </w:r>
          </w:p>
        </w:tc>
        <w:tc>
          <w:tcPr>
            <w:tcW w:w="1277" w:type="dxa"/>
            <w:shd w:val="clear" w:color="auto" w:fill="auto"/>
          </w:tcPr>
          <w:p w14:paraId="1190E9B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79-09-4</w:t>
            </w:r>
          </w:p>
        </w:tc>
        <w:tc>
          <w:tcPr>
            <w:tcW w:w="993" w:type="dxa"/>
            <w:shd w:val="clear" w:color="auto" w:fill="auto"/>
          </w:tcPr>
          <w:p w14:paraId="7F62B871" w14:textId="77777777" w:rsidR="00DE0321" w:rsidRPr="0009445C" w:rsidRDefault="00DE0321" w:rsidP="00B409DD">
            <w:pPr>
              <w:widowControl w:val="0"/>
              <w:autoSpaceDE w:val="0"/>
              <w:autoSpaceDN w:val="0"/>
              <w:adjustRightInd w:val="0"/>
              <w:spacing w:line="240" w:lineRule="auto"/>
              <w:jc w:val="center"/>
              <w:rPr>
                <w:rFonts w:cs="Arial"/>
                <w:color w:val="000000"/>
                <w:highlight w:val="yellow"/>
              </w:rPr>
            </w:pPr>
            <w:r w:rsidRPr="0009445C">
              <w:rPr>
                <w:b/>
                <w:color w:val="000000"/>
              </w:rPr>
              <w:t>1 500</w:t>
            </w:r>
          </w:p>
        </w:tc>
        <w:tc>
          <w:tcPr>
            <w:tcW w:w="3265" w:type="dxa"/>
            <w:shd w:val="clear" w:color="auto" w:fill="auto"/>
          </w:tcPr>
          <w:p w14:paraId="094AB247" w14:textId="77777777" w:rsidR="00DE0321" w:rsidRPr="0009445C" w:rsidRDefault="00DE0321" w:rsidP="00B409DD">
            <w:pPr>
              <w:widowControl w:val="0"/>
              <w:autoSpaceDE w:val="0"/>
              <w:autoSpaceDN w:val="0"/>
              <w:adjustRightInd w:val="0"/>
              <w:spacing w:line="240" w:lineRule="auto"/>
              <w:rPr>
                <w:rFonts w:cs="Arial"/>
              </w:rPr>
            </w:pPr>
            <w:r w:rsidRPr="0009445C">
              <w:rPr>
                <w:color w:val="000000"/>
              </w:rPr>
              <w:t>Adoption of EU LCI value</w:t>
            </w:r>
          </w:p>
        </w:tc>
      </w:tr>
      <w:tr w:rsidR="00DE0321" w:rsidRPr="0009445C" w14:paraId="283E41D6" w14:textId="77777777" w:rsidTr="00B409DD">
        <w:trPr>
          <w:cantSplit/>
          <w:trHeight w:val="150"/>
        </w:trPr>
        <w:tc>
          <w:tcPr>
            <w:tcW w:w="863" w:type="dxa"/>
            <w:gridSpan w:val="2"/>
            <w:shd w:val="clear" w:color="auto" w:fill="auto"/>
          </w:tcPr>
          <w:p w14:paraId="28240A65"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9-3</w:t>
            </w:r>
          </w:p>
        </w:tc>
        <w:tc>
          <w:tcPr>
            <w:tcW w:w="2679" w:type="dxa"/>
            <w:shd w:val="clear" w:color="auto" w:fill="auto"/>
          </w:tcPr>
          <w:p w14:paraId="09AF98FD" w14:textId="77777777" w:rsidR="00DE0321" w:rsidRPr="0009445C" w:rsidRDefault="00DE0321" w:rsidP="00B409DD">
            <w:pPr>
              <w:widowControl w:val="0"/>
              <w:autoSpaceDE w:val="0"/>
              <w:autoSpaceDN w:val="0"/>
              <w:adjustRightInd w:val="0"/>
              <w:spacing w:line="240" w:lineRule="auto"/>
              <w:rPr>
                <w:rFonts w:cs="Arial"/>
                <w:color w:val="000000"/>
              </w:rPr>
            </w:pPr>
            <w:proofErr w:type="spellStart"/>
            <w:r w:rsidRPr="0009445C">
              <w:rPr>
                <w:color w:val="000000"/>
              </w:rPr>
              <w:t>Isobutyric</w:t>
            </w:r>
            <w:proofErr w:type="spellEnd"/>
            <w:r w:rsidRPr="0009445C">
              <w:rPr>
                <w:color w:val="000000"/>
              </w:rPr>
              <w:t xml:space="preserve"> acid </w:t>
            </w:r>
          </w:p>
        </w:tc>
        <w:tc>
          <w:tcPr>
            <w:tcW w:w="1277" w:type="dxa"/>
            <w:shd w:val="clear" w:color="auto" w:fill="auto"/>
          </w:tcPr>
          <w:p w14:paraId="308CE2A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79-31-2</w:t>
            </w:r>
          </w:p>
        </w:tc>
        <w:tc>
          <w:tcPr>
            <w:tcW w:w="993" w:type="dxa"/>
            <w:shd w:val="clear" w:color="auto" w:fill="auto"/>
          </w:tcPr>
          <w:p w14:paraId="27DFD1BF"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1 800</w:t>
            </w:r>
          </w:p>
        </w:tc>
        <w:tc>
          <w:tcPr>
            <w:tcW w:w="3265" w:type="dxa"/>
            <w:shd w:val="clear" w:color="auto" w:fill="auto"/>
          </w:tcPr>
          <w:p w14:paraId="507E6540"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1BFF326D"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3D9EFB8E" w14:textId="77777777" w:rsidTr="00B409DD">
        <w:trPr>
          <w:cantSplit/>
          <w:trHeight w:val="224"/>
        </w:trPr>
        <w:tc>
          <w:tcPr>
            <w:tcW w:w="863" w:type="dxa"/>
            <w:gridSpan w:val="2"/>
            <w:shd w:val="clear" w:color="auto" w:fill="auto"/>
          </w:tcPr>
          <w:p w14:paraId="77707818"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9-4</w:t>
            </w:r>
          </w:p>
        </w:tc>
        <w:tc>
          <w:tcPr>
            <w:tcW w:w="2679" w:type="dxa"/>
            <w:shd w:val="clear" w:color="auto" w:fill="auto"/>
          </w:tcPr>
          <w:p w14:paraId="30BC2A4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Butyric acid </w:t>
            </w:r>
          </w:p>
        </w:tc>
        <w:tc>
          <w:tcPr>
            <w:tcW w:w="1277" w:type="dxa"/>
            <w:shd w:val="clear" w:color="auto" w:fill="auto"/>
          </w:tcPr>
          <w:p w14:paraId="3DADCB11"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107-92-6</w:t>
            </w:r>
          </w:p>
        </w:tc>
        <w:tc>
          <w:tcPr>
            <w:tcW w:w="993" w:type="dxa"/>
            <w:shd w:val="clear" w:color="auto" w:fill="auto"/>
          </w:tcPr>
          <w:p w14:paraId="4F5421A4"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1 800</w:t>
            </w:r>
          </w:p>
        </w:tc>
        <w:tc>
          <w:tcPr>
            <w:tcW w:w="3265" w:type="dxa"/>
            <w:shd w:val="clear" w:color="auto" w:fill="auto"/>
          </w:tcPr>
          <w:p w14:paraId="699B81F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0DD4F3F0"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37A2A034" w14:textId="77777777" w:rsidTr="00B409DD">
        <w:trPr>
          <w:cantSplit/>
          <w:trHeight w:val="128"/>
        </w:trPr>
        <w:tc>
          <w:tcPr>
            <w:tcW w:w="863" w:type="dxa"/>
            <w:gridSpan w:val="2"/>
            <w:shd w:val="clear" w:color="auto" w:fill="auto"/>
          </w:tcPr>
          <w:p w14:paraId="1725475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9-5</w:t>
            </w:r>
          </w:p>
        </w:tc>
        <w:tc>
          <w:tcPr>
            <w:tcW w:w="2679" w:type="dxa"/>
            <w:shd w:val="clear" w:color="auto" w:fill="auto"/>
          </w:tcPr>
          <w:p w14:paraId="0C2F66E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Pivalic acid </w:t>
            </w:r>
          </w:p>
        </w:tc>
        <w:tc>
          <w:tcPr>
            <w:tcW w:w="1277" w:type="dxa"/>
            <w:shd w:val="clear" w:color="auto" w:fill="auto"/>
          </w:tcPr>
          <w:p w14:paraId="118C1EB0"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75-98-9</w:t>
            </w:r>
          </w:p>
        </w:tc>
        <w:tc>
          <w:tcPr>
            <w:tcW w:w="993" w:type="dxa"/>
            <w:shd w:val="clear" w:color="auto" w:fill="auto"/>
          </w:tcPr>
          <w:p w14:paraId="47820D32"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2 100</w:t>
            </w:r>
          </w:p>
        </w:tc>
        <w:tc>
          <w:tcPr>
            <w:tcW w:w="3265" w:type="dxa"/>
            <w:shd w:val="clear" w:color="auto" w:fill="auto"/>
          </w:tcPr>
          <w:p w14:paraId="63410709"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50B7D63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67D7ADAC" w14:textId="77777777" w:rsidTr="00B409DD">
        <w:trPr>
          <w:cantSplit/>
          <w:trHeight w:val="202"/>
        </w:trPr>
        <w:tc>
          <w:tcPr>
            <w:tcW w:w="863" w:type="dxa"/>
            <w:gridSpan w:val="2"/>
            <w:shd w:val="clear" w:color="auto" w:fill="auto"/>
          </w:tcPr>
          <w:p w14:paraId="74E8ADA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9-6</w:t>
            </w:r>
          </w:p>
        </w:tc>
        <w:tc>
          <w:tcPr>
            <w:tcW w:w="2679" w:type="dxa"/>
            <w:shd w:val="clear" w:color="auto" w:fill="auto"/>
          </w:tcPr>
          <w:p w14:paraId="1D5AB37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n-Valeric acid </w:t>
            </w:r>
          </w:p>
        </w:tc>
        <w:tc>
          <w:tcPr>
            <w:tcW w:w="1277" w:type="dxa"/>
            <w:shd w:val="clear" w:color="auto" w:fill="auto"/>
          </w:tcPr>
          <w:p w14:paraId="3BA2AC86"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109-52-4</w:t>
            </w:r>
          </w:p>
        </w:tc>
        <w:tc>
          <w:tcPr>
            <w:tcW w:w="993" w:type="dxa"/>
            <w:shd w:val="clear" w:color="auto" w:fill="auto"/>
          </w:tcPr>
          <w:p w14:paraId="6AC16C8A"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2 100</w:t>
            </w:r>
          </w:p>
        </w:tc>
        <w:tc>
          <w:tcPr>
            <w:tcW w:w="3265" w:type="dxa"/>
            <w:shd w:val="clear" w:color="auto" w:fill="auto"/>
          </w:tcPr>
          <w:p w14:paraId="196DDE80"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26FD8B59"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32769DA1" w14:textId="77777777" w:rsidTr="00B409DD">
        <w:trPr>
          <w:cantSplit/>
          <w:trHeight w:val="120"/>
        </w:trPr>
        <w:tc>
          <w:tcPr>
            <w:tcW w:w="863" w:type="dxa"/>
            <w:gridSpan w:val="2"/>
            <w:shd w:val="clear" w:color="auto" w:fill="auto"/>
          </w:tcPr>
          <w:p w14:paraId="582E7F3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9-7</w:t>
            </w:r>
          </w:p>
        </w:tc>
        <w:tc>
          <w:tcPr>
            <w:tcW w:w="2679" w:type="dxa"/>
            <w:shd w:val="clear" w:color="auto" w:fill="auto"/>
          </w:tcPr>
          <w:p w14:paraId="0AD44C9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n-</w:t>
            </w:r>
            <w:proofErr w:type="spellStart"/>
            <w:r w:rsidRPr="0009445C">
              <w:rPr>
                <w:color w:val="000000"/>
              </w:rPr>
              <w:t>Capronic</w:t>
            </w:r>
            <w:proofErr w:type="spellEnd"/>
            <w:r w:rsidRPr="0009445C">
              <w:rPr>
                <w:color w:val="000000"/>
              </w:rPr>
              <w:t xml:space="preserve"> acid </w:t>
            </w:r>
          </w:p>
        </w:tc>
        <w:tc>
          <w:tcPr>
            <w:tcW w:w="1277" w:type="dxa"/>
            <w:shd w:val="clear" w:color="auto" w:fill="auto"/>
          </w:tcPr>
          <w:p w14:paraId="0D8BC368"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142-62-1</w:t>
            </w:r>
          </w:p>
        </w:tc>
        <w:tc>
          <w:tcPr>
            <w:tcW w:w="993" w:type="dxa"/>
            <w:shd w:val="clear" w:color="auto" w:fill="auto"/>
          </w:tcPr>
          <w:p w14:paraId="45D4323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2 100</w:t>
            </w:r>
          </w:p>
        </w:tc>
        <w:tc>
          <w:tcPr>
            <w:tcW w:w="3265" w:type="dxa"/>
            <w:shd w:val="clear" w:color="auto" w:fill="auto"/>
          </w:tcPr>
          <w:p w14:paraId="7898369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0273E07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0E488696" w14:textId="77777777" w:rsidTr="00B409DD">
        <w:trPr>
          <w:cantSplit/>
          <w:trHeight w:val="195"/>
        </w:trPr>
        <w:tc>
          <w:tcPr>
            <w:tcW w:w="863" w:type="dxa"/>
            <w:gridSpan w:val="2"/>
            <w:shd w:val="clear" w:color="auto" w:fill="auto"/>
          </w:tcPr>
          <w:p w14:paraId="0B89FB04"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9-8</w:t>
            </w:r>
          </w:p>
        </w:tc>
        <w:tc>
          <w:tcPr>
            <w:tcW w:w="2679" w:type="dxa"/>
            <w:shd w:val="clear" w:color="auto" w:fill="auto"/>
          </w:tcPr>
          <w:p w14:paraId="476F848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n-Heptanoic acid </w:t>
            </w:r>
          </w:p>
        </w:tc>
        <w:tc>
          <w:tcPr>
            <w:tcW w:w="1277" w:type="dxa"/>
            <w:shd w:val="clear" w:color="auto" w:fill="auto"/>
          </w:tcPr>
          <w:p w14:paraId="1C3CBC43"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111-14-8</w:t>
            </w:r>
          </w:p>
        </w:tc>
        <w:tc>
          <w:tcPr>
            <w:tcW w:w="993" w:type="dxa"/>
            <w:shd w:val="clear" w:color="auto" w:fill="auto"/>
          </w:tcPr>
          <w:p w14:paraId="610F222A"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2 100</w:t>
            </w:r>
          </w:p>
        </w:tc>
        <w:tc>
          <w:tcPr>
            <w:tcW w:w="3265" w:type="dxa"/>
            <w:shd w:val="clear" w:color="auto" w:fill="auto"/>
          </w:tcPr>
          <w:p w14:paraId="1C9E9E92"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0C35FD71"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7167B38D" w14:textId="77777777" w:rsidTr="00B409DD">
        <w:trPr>
          <w:cantSplit/>
          <w:trHeight w:val="126"/>
        </w:trPr>
        <w:tc>
          <w:tcPr>
            <w:tcW w:w="863" w:type="dxa"/>
            <w:gridSpan w:val="2"/>
            <w:shd w:val="clear" w:color="auto" w:fill="auto"/>
          </w:tcPr>
          <w:p w14:paraId="0F5FD441"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9-9</w:t>
            </w:r>
          </w:p>
        </w:tc>
        <w:tc>
          <w:tcPr>
            <w:tcW w:w="2679" w:type="dxa"/>
            <w:shd w:val="clear" w:color="auto" w:fill="auto"/>
          </w:tcPr>
          <w:p w14:paraId="6A5E7815"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n-</w:t>
            </w:r>
            <w:proofErr w:type="spellStart"/>
            <w:r w:rsidRPr="0009445C">
              <w:rPr>
                <w:color w:val="000000"/>
              </w:rPr>
              <w:t>Octanic</w:t>
            </w:r>
            <w:proofErr w:type="spellEnd"/>
            <w:r w:rsidRPr="0009445C">
              <w:rPr>
                <w:color w:val="000000"/>
              </w:rPr>
              <w:t xml:space="preserve"> acid </w:t>
            </w:r>
          </w:p>
        </w:tc>
        <w:tc>
          <w:tcPr>
            <w:tcW w:w="1277" w:type="dxa"/>
            <w:shd w:val="clear" w:color="auto" w:fill="auto"/>
          </w:tcPr>
          <w:p w14:paraId="4531BFDB"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124-07-2</w:t>
            </w:r>
          </w:p>
        </w:tc>
        <w:tc>
          <w:tcPr>
            <w:tcW w:w="993" w:type="dxa"/>
            <w:shd w:val="clear" w:color="auto" w:fill="auto"/>
          </w:tcPr>
          <w:p w14:paraId="209A0290"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2 100</w:t>
            </w:r>
          </w:p>
        </w:tc>
        <w:tc>
          <w:tcPr>
            <w:tcW w:w="3265" w:type="dxa"/>
            <w:shd w:val="clear" w:color="auto" w:fill="auto"/>
          </w:tcPr>
          <w:p w14:paraId="4F610529"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p w14:paraId="580FCE3C"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Read across of propionic acid</w:t>
            </w:r>
          </w:p>
        </w:tc>
      </w:tr>
      <w:tr w:rsidR="00DE0321" w:rsidRPr="0009445C" w14:paraId="17BE90BD" w14:textId="77777777" w:rsidTr="00B409DD">
        <w:trPr>
          <w:cantSplit/>
          <w:trHeight w:val="214"/>
        </w:trPr>
        <w:tc>
          <w:tcPr>
            <w:tcW w:w="863" w:type="dxa"/>
            <w:gridSpan w:val="2"/>
            <w:shd w:val="clear" w:color="auto" w:fill="auto"/>
          </w:tcPr>
          <w:p w14:paraId="32602DAC"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9-10</w:t>
            </w:r>
          </w:p>
        </w:tc>
        <w:tc>
          <w:tcPr>
            <w:tcW w:w="2679" w:type="dxa"/>
            <w:shd w:val="clear" w:color="auto" w:fill="auto"/>
          </w:tcPr>
          <w:p w14:paraId="2EC4E64B"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 xml:space="preserve">2-ethylhexanic acid </w:t>
            </w:r>
          </w:p>
        </w:tc>
        <w:tc>
          <w:tcPr>
            <w:tcW w:w="1277" w:type="dxa"/>
            <w:shd w:val="clear" w:color="auto" w:fill="auto"/>
          </w:tcPr>
          <w:p w14:paraId="52C397AC"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149-57-5</w:t>
            </w:r>
          </w:p>
        </w:tc>
        <w:tc>
          <w:tcPr>
            <w:tcW w:w="993" w:type="dxa"/>
            <w:shd w:val="clear" w:color="auto" w:fill="auto"/>
          </w:tcPr>
          <w:p w14:paraId="349E85D0"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b/>
                <w:color w:val="000000"/>
              </w:rPr>
              <w:t>150</w:t>
            </w:r>
          </w:p>
        </w:tc>
        <w:tc>
          <w:tcPr>
            <w:tcW w:w="3265" w:type="dxa"/>
            <w:shd w:val="clear" w:color="auto" w:fill="auto"/>
          </w:tcPr>
          <w:p w14:paraId="40805EB8"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Adoption of EU LCI value</w:t>
            </w:r>
          </w:p>
        </w:tc>
      </w:tr>
      <w:tr w:rsidR="00DE0321" w:rsidRPr="0009445C" w14:paraId="7D6FE730" w14:textId="77777777" w:rsidTr="00B409DD">
        <w:trPr>
          <w:cantSplit/>
          <w:trHeight w:val="214"/>
        </w:trPr>
        <w:tc>
          <w:tcPr>
            <w:tcW w:w="863" w:type="dxa"/>
            <w:gridSpan w:val="2"/>
            <w:shd w:val="clear" w:color="auto" w:fill="auto"/>
          </w:tcPr>
          <w:p w14:paraId="04C3589D"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9-11*</w:t>
            </w:r>
          </w:p>
        </w:tc>
        <w:tc>
          <w:tcPr>
            <w:tcW w:w="2679" w:type="dxa"/>
            <w:shd w:val="clear" w:color="auto" w:fill="auto"/>
          </w:tcPr>
          <w:p w14:paraId="552B2A1E"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Neodecanoic acid</w:t>
            </w:r>
          </w:p>
        </w:tc>
        <w:tc>
          <w:tcPr>
            <w:tcW w:w="1277" w:type="dxa"/>
            <w:shd w:val="clear" w:color="auto" w:fill="auto"/>
          </w:tcPr>
          <w:p w14:paraId="73FBABBE"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26896-20-8</w:t>
            </w:r>
          </w:p>
        </w:tc>
        <w:tc>
          <w:tcPr>
            <w:tcW w:w="993" w:type="dxa"/>
            <w:shd w:val="clear" w:color="auto" w:fill="auto"/>
          </w:tcPr>
          <w:p w14:paraId="18F898FA" w14:textId="77777777" w:rsidR="00DE0321" w:rsidRPr="0009445C" w:rsidRDefault="00DE0321" w:rsidP="00B409DD">
            <w:pPr>
              <w:widowControl w:val="0"/>
              <w:autoSpaceDE w:val="0"/>
              <w:autoSpaceDN w:val="0"/>
              <w:adjustRightInd w:val="0"/>
              <w:spacing w:line="240" w:lineRule="auto"/>
              <w:jc w:val="center"/>
              <w:rPr>
                <w:rFonts w:cs="Arial"/>
                <w:color w:val="000000"/>
              </w:rPr>
            </w:pPr>
            <w:r w:rsidRPr="0009445C">
              <w:rPr>
                <w:color w:val="000000"/>
              </w:rPr>
              <w:t>750</w:t>
            </w:r>
          </w:p>
        </w:tc>
        <w:tc>
          <w:tcPr>
            <w:tcW w:w="3265" w:type="dxa"/>
            <w:shd w:val="clear" w:color="auto" w:fill="auto"/>
          </w:tcPr>
          <w:p w14:paraId="14117987" w14:textId="77777777" w:rsidR="00DE0321" w:rsidRPr="0009445C" w:rsidRDefault="00DE0321" w:rsidP="00B409DD">
            <w:pPr>
              <w:widowControl w:val="0"/>
              <w:autoSpaceDE w:val="0"/>
              <w:autoSpaceDN w:val="0"/>
              <w:adjustRightInd w:val="0"/>
              <w:spacing w:line="240" w:lineRule="auto"/>
              <w:rPr>
                <w:rFonts w:cs="Arial"/>
                <w:color w:val="000000"/>
              </w:rPr>
            </w:pPr>
            <w:r w:rsidRPr="0009445C">
              <w:rPr>
                <w:color w:val="000000"/>
              </w:rPr>
              <w:t>Individual substances</w:t>
            </w:r>
          </w:p>
        </w:tc>
      </w:tr>
      <w:tr w:rsidR="00DE0321" w:rsidRPr="0009445C" w14:paraId="1759CF02" w14:textId="77777777" w:rsidTr="00B409DD">
        <w:trPr>
          <w:cantSplit/>
          <w:trHeight w:val="283"/>
        </w:trPr>
        <w:tc>
          <w:tcPr>
            <w:tcW w:w="863" w:type="dxa"/>
            <w:gridSpan w:val="2"/>
            <w:shd w:val="clear" w:color="auto" w:fill="auto"/>
          </w:tcPr>
          <w:p w14:paraId="490510A7" w14:textId="77777777" w:rsidR="00DE0321" w:rsidRPr="0009445C" w:rsidRDefault="00DE0321" w:rsidP="00B409DD">
            <w:pPr>
              <w:pStyle w:val="BRL-TabelleAnlageberschriftFett"/>
              <w:spacing w:before="60" w:after="40"/>
              <w:jc w:val="center"/>
            </w:pPr>
            <w:r w:rsidRPr="0009445C">
              <w:t>10</w:t>
            </w:r>
          </w:p>
        </w:tc>
        <w:tc>
          <w:tcPr>
            <w:tcW w:w="8214" w:type="dxa"/>
            <w:gridSpan w:val="4"/>
            <w:shd w:val="clear" w:color="auto" w:fill="auto"/>
          </w:tcPr>
          <w:p w14:paraId="625CA604" w14:textId="77777777" w:rsidR="00DE0321" w:rsidRPr="0009445C" w:rsidRDefault="00DE0321" w:rsidP="00B409DD">
            <w:pPr>
              <w:pStyle w:val="BRL-TabelleAnlageberschriftFett"/>
              <w:spacing w:before="60" w:after="40"/>
            </w:pPr>
            <w:r w:rsidRPr="0009445C">
              <w:t>Ester and lactone</w:t>
            </w:r>
          </w:p>
        </w:tc>
      </w:tr>
      <w:tr w:rsidR="00DE0321" w:rsidRPr="0009445C" w14:paraId="7AB69EB9" w14:textId="77777777" w:rsidTr="00B409DD">
        <w:trPr>
          <w:cantSplit/>
          <w:trHeight w:val="207"/>
        </w:trPr>
        <w:tc>
          <w:tcPr>
            <w:tcW w:w="863" w:type="dxa"/>
            <w:gridSpan w:val="2"/>
            <w:shd w:val="clear" w:color="auto" w:fill="auto"/>
          </w:tcPr>
          <w:p w14:paraId="6B67344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w:t>
            </w:r>
          </w:p>
        </w:tc>
        <w:tc>
          <w:tcPr>
            <w:tcW w:w="2679" w:type="dxa"/>
            <w:shd w:val="clear" w:color="auto" w:fill="auto"/>
          </w:tcPr>
          <w:p w14:paraId="714C61C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Methyl acetate </w:t>
            </w:r>
          </w:p>
        </w:tc>
        <w:tc>
          <w:tcPr>
            <w:tcW w:w="1277" w:type="dxa"/>
            <w:shd w:val="clear" w:color="auto" w:fill="auto"/>
          </w:tcPr>
          <w:p w14:paraId="1A4EEF2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79-20-9</w:t>
            </w:r>
          </w:p>
        </w:tc>
        <w:tc>
          <w:tcPr>
            <w:tcW w:w="993" w:type="dxa"/>
            <w:shd w:val="clear" w:color="auto" w:fill="auto"/>
          </w:tcPr>
          <w:p w14:paraId="613A3E87" w14:textId="77777777" w:rsidR="00DE0321" w:rsidRPr="0009445C" w:rsidRDefault="00DE0321" w:rsidP="00B409DD">
            <w:pPr>
              <w:framePr w:w="1766" w:wrap="auto" w:vAnchor="page" w:hAnchor="page" w:x="5492" w:y="6569"/>
              <w:widowControl w:val="0"/>
              <w:autoSpaceDE w:val="0"/>
              <w:autoSpaceDN w:val="0"/>
              <w:adjustRightInd w:val="0"/>
              <w:spacing w:before="60" w:after="40" w:line="240" w:lineRule="auto"/>
              <w:jc w:val="center"/>
              <w:rPr>
                <w:rFonts w:cs="Arial"/>
              </w:rPr>
            </w:pPr>
          </w:p>
        </w:tc>
        <w:tc>
          <w:tcPr>
            <w:tcW w:w="3265" w:type="dxa"/>
            <w:shd w:val="clear" w:color="auto" w:fill="auto"/>
          </w:tcPr>
          <w:p w14:paraId="127DAF3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VVOC </w:t>
            </w:r>
          </w:p>
        </w:tc>
      </w:tr>
      <w:tr w:rsidR="00DE0321" w:rsidRPr="0009445C" w14:paraId="39A1AE1B" w14:textId="77777777" w:rsidTr="00B409DD">
        <w:trPr>
          <w:cantSplit/>
          <w:trHeight w:val="98"/>
        </w:trPr>
        <w:tc>
          <w:tcPr>
            <w:tcW w:w="863" w:type="dxa"/>
            <w:gridSpan w:val="2"/>
            <w:shd w:val="clear" w:color="auto" w:fill="auto"/>
          </w:tcPr>
          <w:p w14:paraId="4AF41AB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w:t>
            </w:r>
          </w:p>
        </w:tc>
        <w:tc>
          <w:tcPr>
            <w:tcW w:w="2679" w:type="dxa"/>
            <w:shd w:val="clear" w:color="auto" w:fill="auto"/>
          </w:tcPr>
          <w:p w14:paraId="11B0B8F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Ethyl acetate</w:t>
            </w:r>
          </w:p>
        </w:tc>
        <w:tc>
          <w:tcPr>
            <w:tcW w:w="1277" w:type="dxa"/>
            <w:shd w:val="clear" w:color="auto" w:fill="auto"/>
          </w:tcPr>
          <w:p w14:paraId="43B4AC3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141-78-6</w:t>
            </w:r>
          </w:p>
        </w:tc>
        <w:tc>
          <w:tcPr>
            <w:tcW w:w="993" w:type="dxa"/>
            <w:shd w:val="clear" w:color="auto" w:fill="auto"/>
          </w:tcPr>
          <w:p w14:paraId="053F23E1"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3265" w:type="dxa"/>
            <w:shd w:val="clear" w:color="auto" w:fill="auto"/>
          </w:tcPr>
          <w:p w14:paraId="6250322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VVOC</w:t>
            </w:r>
          </w:p>
        </w:tc>
      </w:tr>
      <w:tr w:rsidR="00DE0321" w:rsidRPr="0009445C" w14:paraId="039CD58B" w14:textId="77777777" w:rsidTr="00B409DD">
        <w:trPr>
          <w:cantSplit/>
          <w:trHeight w:val="130"/>
        </w:trPr>
        <w:tc>
          <w:tcPr>
            <w:tcW w:w="863" w:type="dxa"/>
            <w:gridSpan w:val="2"/>
            <w:shd w:val="clear" w:color="auto" w:fill="auto"/>
          </w:tcPr>
          <w:p w14:paraId="0AA11FC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10-3</w:t>
            </w:r>
          </w:p>
        </w:tc>
        <w:tc>
          <w:tcPr>
            <w:tcW w:w="2679" w:type="dxa"/>
            <w:shd w:val="clear" w:color="auto" w:fill="auto"/>
          </w:tcPr>
          <w:p w14:paraId="624C99D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Vinyl acetate </w:t>
            </w:r>
          </w:p>
        </w:tc>
        <w:tc>
          <w:tcPr>
            <w:tcW w:w="1277" w:type="dxa"/>
            <w:shd w:val="clear" w:color="auto" w:fill="auto"/>
          </w:tcPr>
          <w:p w14:paraId="2FB7903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108-05-4</w:t>
            </w:r>
          </w:p>
        </w:tc>
        <w:tc>
          <w:tcPr>
            <w:tcW w:w="993" w:type="dxa"/>
            <w:shd w:val="clear" w:color="auto" w:fill="auto"/>
          </w:tcPr>
          <w:p w14:paraId="3023B0FF" w14:textId="77777777" w:rsidR="00DE0321" w:rsidRPr="0009445C" w:rsidRDefault="00DE0321" w:rsidP="00B409DD">
            <w:pPr>
              <w:framePr w:w="1766" w:wrap="auto" w:vAnchor="page" w:hAnchor="page" w:x="5492" w:y="7068"/>
              <w:widowControl w:val="0"/>
              <w:autoSpaceDE w:val="0"/>
              <w:autoSpaceDN w:val="0"/>
              <w:adjustRightInd w:val="0"/>
              <w:spacing w:before="60" w:after="40" w:line="240" w:lineRule="auto"/>
              <w:jc w:val="center"/>
              <w:rPr>
                <w:rFonts w:cs="Arial"/>
              </w:rPr>
            </w:pPr>
          </w:p>
        </w:tc>
        <w:tc>
          <w:tcPr>
            <w:tcW w:w="3265" w:type="dxa"/>
            <w:shd w:val="clear" w:color="auto" w:fill="auto"/>
          </w:tcPr>
          <w:p w14:paraId="6449F08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VVOC</w:t>
            </w:r>
          </w:p>
        </w:tc>
      </w:tr>
      <w:tr w:rsidR="00DE0321" w:rsidRPr="0009445C" w14:paraId="19ACB073" w14:textId="77777777" w:rsidTr="00B409DD">
        <w:trPr>
          <w:cantSplit/>
          <w:trHeight w:val="188"/>
        </w:trPr>
        <w:tc>
          <w:tcPr>
            <w:tcW w:w="863" w:type="dxa"/>
            <w:gridSpan w:val="2"/>
            <w:shd w:val="clear" w:color="auto" w:fill="auto"/>
          </w:tcPr>
          <w:p w14:paraId="32B8E3F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10-4</w:t>
            </w:r>
          </w:p>
        </w:tc>
        <w:tc>
          <w:tcPr>
            <w:tcW w:w="2679" w:type="dxa"/>
            <w:shd w:val="clear" w:color="auto" w:fill="auto"/>
          </w:tcPr>
          <w:p w14:paraId="7A0DD2C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Isopropyl acetate </w:t>
            </w:r>
          </w:p>
        </w:tc>
        <w:tc>
          <w:tcPr>
            <w:tcW w:w="1277" w:type="dxa"/>
            <w:shd w:val="clear" w:color="auto" w:fill="auto"/>
          </w:tcPr>
          <w:p w14:paraId="7F5C96B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108-21-4</w:t>
            </w:r>
          </w:p>
        </w:tc>
        <w:tc>
          <w:tcPr>
            <w:tcW w:w="993" w:type="dxa"/>
            <w:shd w:val="clear" w:color="auto" w:fill="auto"/>
          </w:tcPr>
          <w:p w14:paraId="1E0E530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4 200</w:t>
            </w:r>
          </w:p>
        </w:tc>
        <w:tc>
          <w:tcPr>
            <w:tcW w:w="3265" w:type="dxa"/>
            <w:shd w:val="clear" w:color="auto" w:fill="auto"/>
          </w:tcPr>
          <w:p w14:paraId="2694131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5FDDDA99" w14:textId="77777777" w:rsidTr="00B409DD">
        <w:trPr>
          <w:cantSplit/>
          <w:trHeight w:val="121"/>
        </w:trPr>
        <w:tc>
          <w:tcPr>
            <w:tcW w:w="863" w:type="dxa"/>
            <w:gridSpan w:val="2"/>
            <w:shd w:val="clear" w:color="auto" w:fill="auto"/>
          </w:tcPr>
          <w:p w14:paraId="10F9D88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10-5</w:t>
            </w:r>
          </w:p>
        </w:tc>
        <w:tc>
          <w:tcPr>
            <w:tcW w:w="2679" w:type="dxa"/>
            <w:shd w:val="clear" w:color="auto" w:fill="auto"/>
          </w:tcPr>
          <w:p w14:paraId="5BF3DDE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Propyl acetate </w:t>
            </w:r>
          </w:p>
        </w:tc>
        <w:tc>
          <w:tcPr>
            <w:tcW w:w="1277" w:type="dxa"/>
            <w:shd w:val="clear" w:color="auto" w:fill="auto"/>
          </w:tcPr>
          <w:p w14:paraId="359599C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109-60-4</w:t>
            </w:r>
          </w:p>
        </w:tc>
        <w:tc>
          <w:tcPr>
            <w:tcW w:w="993" w:type="dxa"/>
            <w:shd w:val="clear" w:color="auto" w:fill="auto"/>
          </w:tcPr>
          <w:p w14:paraId="47382D9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4 200</w:t>
            </w:r>
          </w:p>
        </w:tc>
        <w:tc>
          <w:tcPr>
            <w:tcW w:w="3265" w:type="dxa"/>
            <w:shd w:val="clear" w:color="auto" w:fill="auto"/>
          </w:tcPr>
          <w:p w14:paraId="513B028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5EAAAB5C" w14:textId="77777777" w:rsidTr="00B409DD">
        <w:trPr>
          <w:cantSplit/>
          <w:trHeight w:val="208"/>
        </w:trPr>
        <w:tc>
          <w:tcPr>
            <w:tcW w:w="863" w:type="dxa"/>
            <w:gridSpan w:val="2"/>
            <w:shd w:val="clear" w:color="auto" w:fill="auto"/>
          </w:tcPr>
          <w:p w14:paraId="5D1817B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10-6*</w:t>
            </w:r>
          </w:p>
        </w:tc>
        <w:tc>
          <w:tcPr>
            <w:tcW w:w="2679" w:type="dxa"/>
            <w:shd w:val="clear" w:color="auto" w:fill="auto"/>
          </w:tcPr>
          <w:p w14:paraId="0051C1A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2-methoxy-1-methylethyl acetate  </w:t>
            </w:r>
          </w:p>
        </w:tc>
        <w:tc>
          <w:tcPr>
            <w:tcW w:w="1277" w:type="dxa"/>
            <w:shd w:val="clear" w:color="auto" w:fill="auto"/>
          </w:tcPr>
          <w:p w14:paraId="5B7F3A7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108-65-6</w:t>
            </w:r>
          </w:p>
        </w:tc>
        <w:tc>
          <w:tcPr>
            <w:tcW w:w="993" w:type="dxa"/>
            <w:shd w:val="clear" w:color="auto" w:fill="auto"/>
          </w:tcPr>
          <w:p w14:paraId="3AF40CA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650</w:t>
            </w:r>
          </w:p>
        </w:tc>
        <w:tc>
          <w:tcPr>
            <w:tcW w:w="3265" w:type="dxa"/>
            <w:shd w:val="clear" w:color="auto" w:fill="auto"/>
          </w:tcPr>
          <w:p w14:paraId="3F955355"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0A612960" w14:textId="77777777" w:rsidTr="00B409DD">
        <w:trPr>
          <w:cantSplit/>
          <w:trHeight w:val="240"/>
        </w:trPr>
        <w:tc>
          <w:tcPr>
            <w:tcW w:w="863" w:type="dxa"/>
            <w:gridSpan w:val="2"/>
            <w:shd w:val="clear" w:color="auto" w:fill="auto"/>
          </w:tcPr>
          <w:p w14:paraId="547CCD3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10-7</w:t>
            </w:r>
          </w:p>
        </w:tc>
        <w:tc>
          <w:tcPr>
            <w:tcW w:w="2679" w:type="dxa"/>
            <w:shd w:val="clear" w:color="auto" w:fill="auto"/>
          </w:tcPr>
          <w:p w14:paraId="52D9032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n-Butyl </w:t>
            </w:r>
            <w:proofErr w:type="spellStart"/>
            <w:r w:rsidRPr="0009445C">
              <w:rPr>
                <w:color w:val="000000"/>
              </w:rPr>
              <w:t>formate</w:t>
            </w:r>
            <w:proofErr w:type="spellEnd"/>
            <w:r w:rsidRPr="0009445C">
              <w:rPr>
                <w:color w:val="000000"/>
              </w:rPr>
              <w:t xml:space="preserve"> </w:t>
            </w:r>
          </w:p>
        </w:tc>
        <w:tc>
          <w:tcPr>
            <w:tcW w:w="1277" w:type="dxa"/>
            <w:shd w:val="clear" w:color="auto" w:fill="auto"/>
          </w:tcPr>
          <w:p w14:paraId="6A59EE8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592-84-7</w:t>
            </w:r>
          </w:p>
        </w:tc>
        <w:tc>
          <w:tcPr>
            <w:tcW w:w="993" w:type="dxa"/>
            <w:shd w:val="clear" w:color="auto" w:fill="auto"/>
          </w:tcPr>
          <w:p w14:paraId="17201C8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2 000</w:t>
            </w:r>
          </w:p>
        </w:tc>
        <w:tc>
          <w:tcPr>
            <w:tcW w:w="3265" w:type="dxa"/>
            <w:shd w:val="clear" w:color="auto" w:fill="auto"/>
          </w:tcPr>
          <w:p w14:paraId="45F2B04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methyl </w:t>
            </w:r>
            <w:proofErr w:type="spellStart"/>
            <w:r w:rsidRPr="0009445C">
              <w:rPr>
                <w:color w:val="000000"/>
              </w:rPr>
              <w:t>formate</w:t>
            </w:r>
            <w:proofErr w:type="spellEnd"/>
            <w:r w:rsidRPr="0009445C">
              <w:rPr>
                <w:color w:val="000000"/>
              </w:rPr>
              <w:t xml:space="preserve"> (AGW: 120 000 µg/m³) </w:t>
            </w:r>
          </w:p>
        </w:tc>
      </w:tr>
      <w:tr w:rsidR="00DE0321" w:rsidRPr="0009445C" w14:paraId="5502FA3F" w14:textId="77777777" w:rsidTr="00B409DD">
        <w:trPr>
          <w:cantSplit/>
          <w:trHeight w:val="207"/>
        </w:trPr>
        <w:tc>
          <w:tcPr>
            <w:tcW w:w="863" w:type="dxa"/>
            <w:gridSpan w:val="2"/>
            <w:shd w:val="clear" w:color="auto" w:fill="auto"/>
          </w:tcPr>
          <w:p w14:paraId="4C7D075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10-8</w:t>
            </w:r>
          </w:p>
        </w:tc>
        <w:tc>
          <w:tcPr>
            <w:tcW w:w="2679" w:type="dxa"/>
            <w:shd w:val="clear" w:color="auto" w:fill="auto"/>
          </w:tcPr>
          <w:p w14:paraId="738F68A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Methyl methacrylate </w:t>
            </w:r>
          </w:p>
        </w:tc>
        <w:tc>
          <w:tcPr>
            <w:tcW w:w="1277" w:type="dxa"/>
            <w:shd w:val="clear" w:color="auto" w:fill="auto"/>
          </w:tcPr>
          <w:p w14:paraId="5FAF870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80-62-6</w:t>
            </w:r>
          </w:p>
        </w:tc>
        <w:tc>
          <w:tcPr>
            <w:tcW w:w="993" w:type="dxa"/>
            <w:shd w:val="clear" w:color="auto" w:fill="auto"/>
          </w:tcPr>
          <w:p w14:paraId="6BDC94E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750</w:t>
            </w:r>
          </w:p>
        </w:tc>
        <w:tc>
          <w:tcPr>
            <w:tcW w:w="3265" w:type="dxa"/>
            <w:shd w:val="clear" w:color="auto" w:fill="auto"/>
          </w:tcPr>
          <w:p w14:paraId="08483417"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 xml:space="preserve">Adoption of EU LCI value </w:t>
            </w:r>
          </w:p>
        </w:tc>
      </w:tr>
      <w:tr w:rsidR="00DE0321" w:rsidRPr="0009445C" w14:paraId="4B353E32" w14:textId="77777777" w:rsidTr="00B409DD">
        <w:trPr>
          <w:cantSplit/>
          <w:trHeight w:val="210"/>
        </w:trPr>
        <w:tc>
          <w:tcPr>
            <w:tcW w:w="863" w:type="dxa"/>
            <w:gridSpan w:val="2"/>
            <w:shd w:val="clear" w:color="auto" w:fill="auto"/>
          </w:tcPr>
          <w:p w14:paraId="6E471CF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10-9</w:t>
            </w:r>
          </w:p>
        </w:tc>
        <w:tc>
          <w:tcPr>
            <w:tcW w:w="2679" w:type="dxa"/>
            <w:shd w:val="clear" w:color="auto" w:fill="auto"/>
          </w:tcPr>
          <w:p w14:paraId="392E7CD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Other </w:t>
            </w:r>
            <w:proofErr w:type="spellStart"/>
            <w:r w:rsidRPr="0009445C">
              <w:rPr>
                <w:color w:val="000000"/>
              </w:rPr>
              <w:t>methacrylates</w:t>
            </w:r>
            <w:proofErr w:type="spellEnd"/>
            <w:r w:rsidRPr="0009445C">
              <w:rPr>
                <w:color w:val="000000"/>
              </w:rPr>
              <w:t xml:space="preserve"> </w:t>
            </w:r>
          </w:p>
        </w:tc>
        <w:tc>
          <w:tcPr>
            <w:tcW w:w="1277" w:type="dxa"/>
            <w:shd w:val="clear" w:color="auto" w:fill="auto"/>
          </w:tcPr>
          <w:p w14:paraId="4778AAA9"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7B37EBB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750</w:t>
            </w:r>
          </w:p>
        </w:tc>
        <w:tc>
          <w:tcPr>
            <w:tcW w:w="3265" w:type="dxa"/>
            <w:shd w:val="clear" w:color="auto" w:fill="auto"/>
          </w:tcPr>
          <w:p w14:paraId="2B5A888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methyl methacrylate </w:t>
            </w:r>
          </w:p>
        </w:tc>
      </w:tr>
      <w:tr w:rsidR="00DE0321" w:rsidRPr="0009445C" w14:paraId="0FF568D2" w14:textId="77777777" w:rsidTr="00B409DD">
        <w:trPr>
          <w:cantSplit/>
          <w:trHeight w:val="207"/>
        </w:trPr>
        <w:tc>
          <w:tcPr>
            <w:tcW w:w="863" w:type="dxa"/>
            <w:gridSpan w:val="2"/>
            <w:shd w:val="clear" w:color="auto" w:fill="auto"/>
          </w:tcPr>
          <w:p w14:paraId="549FEE1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10-10</w:t>
            </w:r>
          </w:p>
        </w:tc>
        <w:tc>
          <w:tcPr>
            <w:tcW w:w="2679" w:type="dxa"/>
            <w:shd w:val="clear" w:color="auto" w:fill="auto"/>
          </w:tcPr>
          <w:p w14:paraId="167EA23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Isobutyl acetate </w:t>
            </w:r>
          </w:p>
        </w:tc>
        <w:tc>
          <w:tcPr>
            <w:tcW w:w="1277" w:type="dxa"/>
            <w:shd w:val="clear" w:color="auto" w:fill="auto"/>
          </w:tcPr>
          <w:p w14:paraId="1322872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110-19-0</w:t>
            </w:r>
          </w:p>
        </w:tc>
        <w:tc>
          <w:tcPr>
            <w:tcW w:w="993" w:type="dxa"/>
            <w:shd w:val="clear" w:color="auto" w:fill="auto"/>
          </w:tcPr>
          <w:p w14:paraId="2EA7B53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4 800</w:t>
            </w:r>
          </w:p>
        </w:tc>
        <w:tc>
          <w:tcPr>
            <w:tcW w:w="3265" w:type="dxa"/>
            <w:shd w:val="clear" w:color="auto" w:fill="auto"/>
          </w:tcPr>
          <w:p w14:paraId="72DFD4D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235D3A9E" w14:textId="77777777" w:rsidTr="00B409DD">
        <w:trPr>
          <w:cantSplit/>
          <w:trHeight w:val="207"/>
        </w:trPr>
        <w:tc>
          <w:tcPr>
            <w:tcW w:w="863" w:type="dxa"/>
            <w:gridSpan w:val="2"/>
            <w:shd w:val="clear" w:color="auto" w:fill="auto"/>
          </w:tcPr>
          <w:p w14:paraId="54C2E7A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10-11</w:t>
            </w:r>
          </w:p>
        </w:tc>
        <w:tc>
          <w:tcPr>
            <w:tcW w:w="2679" w:type="dxa"/>
            <w:shd w:val="clear" w:color="auto" w:fill="auto"/>
          </w:tcPr>
          <w:p w14:paraId="543CCCD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1-butyl acetate </w:t>
            </w:r>
          </w:p>
        </w:tc>
        <w:tc>
          <w:tcPr>
            <w:tcW w:w="1277" w:type="dxa"/>
            <w:shd w:val="clear" w:color="auto" w:fill="auto"/>
          </w:tcPr>
          <w:p w14:paraId="3B8AA37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123-86-4</w:t>
            </w:r>
          </w:p>
        </w:tc>
        <w:tc>
          <w:tcPr>
            <w:tcW w:w="993" w:type="dxa"/>
            <w:shd w:val="clear" w:color="auto" w:fill="auto"/>
          </w:tcPr>
          <w:p w14:paraId="50AE5D9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4 800</w:t>
            </w:r>
          </w:p>
        </w:tc>
        <w:tc>
          <w:tcPr>
            <w:tcW w:w="3265" w:type="dxa"/>
            <w:shd w:val="clear" w:color="auto" w:fill="auto"/>
          </w:tcPr>
          <w:p w14:paraId="4C48E3F0"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305B55BF" w14:textId="77777777" w:rsidTr="00B409DD">
        <w:trPr>
          <w:cantSplit/>
          <w:trHeight w:val="390"/>
        </w:trPr>
        <w:tc>
          <w:tcPr>
            <w:tcW w:w="863" w:type="dxa"/>
            <w:gridSpan w:val="2"/>
            <w:shd w:val="clear" w:color="auto" w:fill="auto"/>
          </w:tcPr>
          <w:p w14:paraId="4A9E7D5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10-12</w:t>
            </w:r>
          </w:p>
        </w:tc>
        <w:tc>
          <w:tcPr>
            <w:tcW w:w="2679" w:type="dxa"/>
            <w:shd w:val="clear" w:color="auto" w:fill="auto"/>
          </w:tcPr>
          <w:p w14:paraId="3D3C3AF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2-ethylhexyl acetate </w:t>
            </w:r>
          </w:p>
        </w:tc>
        <w:tc>
          <w:tcPr>
            <w:tcW w:w="1277" w:type="dxa"/>
            <w:shd w:val="clear" w:color="auto" w:fill="auto"/>
          </w:tcPr>
          <w:p w14:paraId="4AAE077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bookmarkStart w:id="45" w:name="_Hlk37925426"/>
            <w:r w:rsidRPr="0009445C">
              <w:rPr>
                <w:color w:val="000000"/>
              </w:rPr>
              <w:t>103-09-3</w:t>
            </w:r>
            <w:bookmarkEnd w:id="45"/>
          </w:p>
        </w:tc>
        <w:tc>
          <w:tcPr>
            <w:tcW w:w="993" w:type="dxa"/>
            <w:shd w:val="clear" w:color="auto" w:fill="auto"/>
          </w:tcPr>
          <w:p w14:paraId="1160565E"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350</w:t>
            </w:r>
          </w:p>
        </w:tc>
        <w:tc>
          <w:tcPr>
            <w:tcW w:w="3265" w:type="dxa"/>
            <w:shd w:val="clear" w:color="auto" w:fill="auto"/>
          </w:tcPr>
          <w:p w14:paraId="37DDFF3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p w14:paraId="5A95654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Read across of 2-ethyl-1-hexanol </w:t>
            </w:r>
          </w:p>
        </w:tc>
      </w:tr>
      <w:tr w:rsidR="00DE0321" w:rsidRPr="0009445C" w14:paraId="21A4DA7A" w14:textId="77777777" w:rsidTr="00B409DD">
        <w:trPr>
          <w:cantSplit/>
          <w:trHeight w:val="207"/>
        </w:trPr>
        <w:tc>
          <w:tcPr>
            <w:tcW w:w="863" w:type="dxa"/>
            <w:gridSpan w:val="2"/>
            <w:shd w:val="clear" w:color="auto" w:fill="auto"/>
          </w:tcPr>
          <w:p w14:paraId="3AF54B0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lastRenderedPageBreak/>
              <w:t>10-13</w:t>
            </w:r>
          </w:p>
        </w:tc>
        <w:tc>
          <w:tcPr>
            <w:tcW w:w="2679" w:type="dxa"/>
            <w:shd w:val="clear" w:color="auto" w:fill="auto"/>
          </w:tcPr>
          <w:p w14:paraId="6F4BAEFE"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Methylacrylate</w:t>
            </w:r>
            <w:proofErr w:type="spellEnd"/>
            <w:r w:rsidRPr="0009445C">
              <w:rPr>
                <w:color w:val="000000"/>
              </w:rPr>
              <w:t xml:space="preserve"> </w:t>
            </w:r>
          </w:p>
        </w:tc>
        <w:tc>
          <w:tcPr>
            <w:tcW w:w="1277" w:type="dxa"/>
            <w:shd w:val="clear" w:color="auto" w:fill="auto"/>
          </w:tcPr>
          <w:p w14:paraId="45853E9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96-33-3</w:t>
            </w:r>
          </w:p>
        </w:tc>
        <w:tc>
          <w:tcPr>
            <w:tcW w:w="993" w:type="dxa"/>
            <w:shd w:val="clear" w:color="auto" w:fill="auto"/>
          </w:tcPr>
          <w:p w14:paraId="23BFB5B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180</w:t>
            </w:r>
          </w:p>
        </w:tc>
        <w:tc>
          <w:tcPr>
            <w:tcW w:w="3265" w:type="dxa"/>
            <w:shd w:val="clear" w:color="auto" w:fill="auto"/>
          </w:tcPr>
          <w:p w14:paraId="0CAB45E3"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A5B1BEC" w14:textId="77777777" w:rsidTr="00B409DD">
        <w:trPr>
          <w:cantSplit/>
          <w:trHeight w:val="207"/>
        </w:trPr>
        <w:tc>
          <w:tcPr>
            <w:tcW w:w="863" w:type="dxa"/>
            <w:gridSpan w:val="2"/>
            <w:shd w:val="clear" w:color="auto" w:fill="auto"/>
          </w:tcPr>
          <w:p w14:paraId="4C5E38F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10-14</w:t>
            </w:r>
          </w:p>
        </w:tc>
        <w:tc>
          <w:tcPr>
            <w:tcW w:w="2679" w:type="dxa"/>
            <w:shd w:val="clear" w:color="auto" w:fill="auto"/>
          </w:tcPr>
          <w:p w14:paraId="55BC098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Ethyl acrylate </w:t>
            </w:r>
          </w:p>
        </w:tc>
        <w:tc>
          <w:tcPr>
            <w:tcW w:w="1277" w:type="dxa"/>
            <w:shd w:val="clear" w:color="auto" w:fill="auto"/>
          </w:tcPr>
          <w:p w14:paraId="29C5BFC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140-88-5</w:t>
            </w:r>
          </w:p>
        </w:tc>
        <w:tc>
          <w:tcPr>
            <w:tcW w:w="993" w:type="dxa"/>
            <w:shd w:val="clear" w:color="auto" w:fill="auto"/>
          </w:tcPr>
          <w:p w14:paraId="225A2EC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200</w:t>
            </w:r>
          </w:p>
        </w:tc>
        <w:tc>
          <w:tcPr>
            <w:tcW w:w="3265" w:type="dxa"/>
            <w:shd w:val="clear" w:color="auto" w:fill="auto"/>
          </w:tcPr>
          <w:p w14:paraId="78C22039"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071B16E9" w14:textId="77777777" w:rsidTr="00B409DD">
        <w:trPr>
          <w:cantSplit/>
          <w:trHeight w:val="207"/>
        </w:trPr>
        <w:tc>
          <w:tcPr>
            <w:tcW w:w="863" w:type="dxa"/>
            <w:gridSpan w:val="2"/>
            <w:shd w:val="clear" w:color="auto" w:fill="auto"/>
          </w:tcPr>
          <w:p w14:paraId="244B184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10-15</w:t>
            </w:r>
          </w:p>
        </w:tc>
        <w:tc>
          <w:tcPr>
            <w:tcW w:w="2679" w:type="dxa"/>
            <w:shd w:val="clear" w:color="auto" w:fill="auto"/>
          </w:tcPr>
          <w:p w14:paraId="6FEE688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n-butyl acrylate </w:t>
            </w:r>
          </w:p>
        </w:tc>
        <w:tc>
          <w:tcPr>
            <w:tcW w:w="1277" w:type="dxa"/>
            <w:shd w:val="clear" w:color="auto" w:fill="auto"/>
          </w:tcPr>
          <w:p w14:paraId="282DDB7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141-32-2</w:t>
            </w:r>
          </w:p>
        </w:tc>
        <w:tc>
          <w:tcPr>
            <w:tcW w:w="993" w:type="dxa"/>
            <w:shd w:val="clear" w:color="auto" w:fill="auto"/>
          </w:tcPr>
          <w:p w14:paraId="024A246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110</w:t>
            </w:r>
          </w:p>
        </w:tc>
        <w:tc>
          <w:tcPr>
            <w:tcW w:w="3265" w:type="dxa"/>
            <w:shd w:val="clear" w:color="auto" w:fill="auto"/>
          </w:tcPr>
          <w:p w14:paraId="71633CA9"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4ADD988C" w14:textId="77777777" w:rsidTr="00B409DD">
        <w:trPr>
          <w:cantSplit/>
          <w:trHeight w:val="207"/>
        </w:trPr>
        <w:tc>
          <w:tcPr>
            <w:tcW w:w="863" w:type="dxa"/>
            <w:gridSpan w:val="2"/>
            <w:shd w:val="clear" w:color="auto" w:fill="auto"/>
          </w:tcPr>
          <w:p w14:paraId="354AA84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10-16</w:t>
            </w:r>
          </w:p>
        </w:tc>
        <w:tc>
          <w:tcPr>
            <w:tcW w:w="2679" w:type="dxa"/>
            <w:shd w:val="clear" w:color="auto" w:fill="auto"/>
          </w:tcPr>
          <w:p w14:paraId="0C25CDF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2-ethylhexyl acrylate </w:t>
            </w:r>
          </w:p>
        </w:tc>
        <w:tc>
          <w:tcPr>
            <w:tcW w:w="1277" w:type="dxa"/>
            <w:shd w:val="clear" w:color="auto" w:fill="auto"/>
          </w:tcPr>
          <w:p w14:paraId="215C068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103-11-7</w:t>
            </w:r>
          </w:p>
        </w:tc>
        <w:tc>
          <w:tcPr>
            <w:tcW w:w="993" w:type="dxa"/>
            <w:shd w:val="clear" w:color="auto" w:fill="auto"/>
          </w:tcPr>
          <w:p w14:paraId="6272410D"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rPr>
                <w:b/>
              </w:rPr>
              <w:t>380</w:t>
            </w:r>
          </w:p>
        </w:tc>
        <w:tc>
          <w:tcPr>
            <w:tcW w:w="3265" w:type="dxa"/>
            <w:shd w:val="clear" w:color="auto" w:fill="auto"/>
          </w:tcPr>
          <w:p w14:paraId="543686C8"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0DEABD25" w14:textId="77777777" w:rsidTr="00B409DD">
        <w:trPr>
          <w:cantSplit/>
          <w:trHeight w:val="390"/>
        </w:trPr>
        <w:tc>
          <w:tcPr>
            <w:tcW w:w="863" w:type="dxa"/>
            <w:gridSpan w:val="2"/>
            <w:shd w:val="clear" w:color="auto" w:fill="auto"/>
          </w:tcPr>
          <w:p w14:paraId="3232104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10-17</w:t>
            </w:r>
          </w:p>
        </w:tc>
        <w:tc>
          <w:tcPr>
            <w:tcW w:w="2679" w:type="dxa"/>
            <w:shd w:val="clear" w:color="auto" w:fill="auto"/>
          </w:tcPr>
          <w:p w14:paraId="45A7FA7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Other acrylates </w:t>
            </w:r>
          </w:p>
          <w:p w14:paraId="5841872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(acrylic acid esters) </w:t>
            </w:r>
          </w:p>
        </w:tc>
        <w:tc>
          <w:tcPr>
            <w:tcW w:w="1277" w:type="dxa"/>
            <w:shd w:val="clear" w:color="auto" w:fill="auto"/>
          </w:tcPr>
          <w:p w14:paraId="64EB5CD4" w14:textId="77777777" w:rsidR="00DE0321" w:rsidRPr="0009445C" w:rsidRDefault="00DE0321" w:rsidP="00B409DD">
            <w:pPr>
              <w:widowControl w:val="0"/>
              <w:autoSpaceDE w:val="0"/>
              <w:autoSpaceDN w:val="0"/>
              <w:adjustRightInd w:val="0"/>
              <w:spacing w:before="60" w:after="40" w:line="240" w:lineRule="auto"/>
              <w:jc w:val="center"/>
              <w:rPr>
                <w:rFonts w:cs="Arial"/>
              </w:rPr>
            </w:pPr>
          </w:p>
        </w:tc>
        <w:tc>
          <w:tcPr>
            <w:tcW w:w="993" w:type="dxa"/>
            <w:shd w:val="clear" w:color="auto" w:fill="auto"/>
          </w:tcPr>
          <w:p w14:paraId="3455138C" w14:textId="77777777" w:rsidR="00DE0321" w:rsidRPr="0009445C" w:rsidRDefault="00DE0321" w:rsidP="00B409DD">
            <w:pPr>
              <w:widowControl w:val="0"/>
              <w:autoSpaceDE w:val="0"/>
              <w:autoSpaceDN w:val="0"/>
              <w:adjustRightInd w:val="0"/>
              <w:spacing w:before="60" w:after="40" w:line="240" w:lineRule="auto"/>
              <w:jc w:val="center"/>
              <w:rPr>
                <w:rFonts w:cs="Arial"/>
              </w:rPr>
            </w:pPr>
            <w:r w:rsidRPr="0009445C">
              <w:rPr>
                <w:b/>
              </w:rPr>
              <w:t>110</w:t>
            </w:r>
          </w:p>
        </w:tc>
        <w:tc>
          <w:tcPr>
            <w:tcW w:w="3265" w:type="dxa"/>
            <w:shd w:val="clear" w:color="auto" w:fill="auto"/>
          </w:tcPr>
          <w:p w14:paraId="3EDBB63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55FFC9F9" w14:textId="77777777" w:rsidTr="00B409DD">
        <w:trPr>
          <w:cantSplit/>
          <w:trHeight w:val="118"/>
        </w:trPr>
        <w:tc>
          <w:tcPr>
            <w:tcW w:w="863" w:type="dxa"/>
            <w:gridSpan w:val="2"/>
            <w:shd w:val="clear" w:color="auto" w:fill="auto"/>
          </w:tcPr>
          <w:p w14:paraId="0166E16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10-18</w:t>
            </w:r>
          </w:p>
        </w:tc>
        <w:tc>
          <w:tcPr>
            <w:tcW w:w="2679" w:type="dxa"/>
            <w:shd w:val="clear" w:color="auto" w:fill="auto"/>
          </w:tcPr>
          <w:p w14:paraId="62E1DF4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Adipic acid diethyl ester</w:t>
            </w:r>
          </w:p>
        </w:tc>
        <w:tc>
          <w:tcPr>
            <w:tcW w:w="1277" w:type="dxa"/>
            <w:shd w:val="clear" w:color="auto" w:fill="auto"/>
          </w:tcPr>
          <w:p w14:paraId="0E4026E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627-93-0</w:t>
            </w:r>
          </w:p>
        </w:tc>
        <w:tc>
          <w:tcPr>
            <w:tcW w:w="993" w:type="dxa"/>
            <w:shd w:val="clear" w:color="auto" w:fill="auto"/>
          </w:tcPr>
          <w:p w14:paraId="4E21250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50</w:t>
            </w:r>
          </w:p>
        </w:tc>
        <w:tc>
          <w:tcPr>
            <w:tcW w:w="3265" w:type="dxa"/>
            <w:shd w:val="clear" w:color="auto" w:fill="auto"/>
          </w:tcPr>
          <w:p w14:paraId="6895CDA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4BB10DC8" w14:textId="77777777" w:rsidTr="00B409DD">
        <w:trPr>
          <w:cantSplit/>
          <w:trHeight w:val="206"/>
        </w:trPr>
        <w:tc>
          <w:tcPr>
            <w:tcW w:w="863" w:type="dxa"/>
            <w:gridSpan w:val="2"/>
            <w:shd w:val="clear" w:color="auto" w:fill="auto"/>
          </w:tcPr>
          <w:p w14:paraId="50F43FC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10-19</w:t>
            </w:r>
          </w:p>
        </w:tc>
        <w:tc>
          <w:tcPr>
            <w:tcW w:w="2679" w:type="dxa"/>
            <w:shd w:val="clear" w:color="auto" w:fill="auto"/>
          </w:tcPr>
          <w:p w14:paraId="453FABD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Fumaric acid dibutyl ester</w:t>
            </w:r>
          </w:p>
        </w:tc>
        <w:tc>
          <w:tcPr>
            <w:tcW w:w="1277" w:type="dxa"/>
            <w:shd w:val="clear" w:color="auto" w:fill="auto"/>
          </w:tcPr>
          <w:p w14:paraId="36AFCB7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105-75-9</w:t>
            </w:r>
          </w:p>
        </w:tc>
        <w:tc>
          <w:tcPr>
            <w:tcW w:w="993" w:type="dxa"/>
            <w:shd w:val="clear" w:color="auto" w:fill="auto"/>
          </w:tcPr>
          <w:p w14:paraId="111E74B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50</w:t>
            </w:r>
          </w:p>
        </w:tc>
        <w:tc>
          <w:tcPr>
            <w:tcW w:w="3265" w:type="dxa"/>
            <w:shd w:val="clear" w:color="auto" w:fill="auto"/>
          </w:tcPr>
          <w:p w14:paraId="586F94E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089A2EF4" w14:textId="77777777" w:rsidTr="00B409DD">
        <w:trPr>
          <w:cantSplit/>
          <w:trHeight w:val="124"/>
        </w:trPr>
        <w:tc>
          <w:tcPr>
            <w:tcW w:w="863" w:type="dxa"/>
            <w:gridSpan w:val="2"/>
            <w:shd w:val="clear" w:color="auto" w:fill="auto"/>
          </w:tcPr>
          <w:p w14:paraId="626A88A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10-20</w:t>
            </w:r>
          </w:p>
        </w:tc>
        <w:tc>
          <w:tcPr>
            <w:tcW w:w="2679" w:type="dxa"/>
            <w:shd w:val="clear" w:color="auto" w:fill="auto"/>
          </w:tcPr>
          <w:p w14:paraId="2C091DB9"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Succinic dimethyl ester</w:t>
            </w:r>
          </w:p>
        </w:tc>
        <w:tc>
          <w:tcPr>
            <w:tcW w:w="1277" w:type="dxa"/>
            <w:shd w:val="clear" w:color="auto" w:fill="auto"/>
          </w:tcPr>
          <w:p w14:paraId="74C61EB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106-65-0</w:t>
            </w:r>
          </w:p>
        </w:tc>
        <w:tc>
          <w:tcPr>
            <w:tcW w:w="993" w:type="dxa"/>
            <w:shd w:val="clear" w:color="auto" w:fill="auto"/>
          </w:tcPr>
          <w:p w14:paraId="6F96455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50</w:t>
            </w:r>
          </w:p>
        </w:tc>
        <w:tc>
          <w:tcPr>
            <w:tcW w:w="3265" w:type="dxa"/>
            <w:shd w:val="clear" w:color="auto" w:fill="auto"/>
          </w:tcPr>
          <w:p w14:paraId="72F0528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2188448F" w14:textId="77777777" w:rsidTr="00B409DD">
        <w:trPr>
          <w:cantSplit/>
          <w:trHeight w:val="198"/>
        </w:trPr>
        <w:tc>
          <w:tcPr>
            <w:tcW w:w="863" w:type="dxa"/>
            <w:gridSpan w:val="2"/>
            <w:shd w:val="clear" w:color="auto" w:fill="auto"/>
          </w:tcPr>
          <w:p w14:paraId="1E08058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10-21</w:t>
            </w:r>
          </w:p>
        </w:tc>
        <w:tc>
          <w:tcPr>
            <w:tcW w:w="2679" w:type="dxa"/>
            <w:shd w:val="clear" w:color="auto" w:fill="auto"/>
          </w:tcPr>
          <w:p w14:paraId="34C80EE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Glutaric acid dimethyl ester </w:t>
            </w:r>
          </w:p>
        </w:tc>
        <w:tc>
          <w:tcPr>
            <w:tcW w:w="1277" w:type="dxa"/>
            <w:shd w:val="clear" w:color="auto" w:fill="auto"/>
          </w:tcPr>
          <w:p w14:paraId="79F0F3C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1119-40-0</w:t>
            </w:r>
          </w:p>
        </w:tc>
        <w:tc>
          <w:tcPr>
            <w:tcW w:w="993" w:type="dxa"/>
            <w:shd w:val="clear" w:color="auto" w:fill="auto"/>
          </w:tcPr>
          <w:p w14:paraId="2BC62D02"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50</w:t>
            </w:r>
          </w:p>
        </w:tc>
        <w:tc>
          <w:tcPr>
            <w:tcW w:w="3265" w:type="dxa"/>
            <w:shd w:val="clear" w:color="auto" w:fill="auto"/>
          </w:tcPr>
          <w:p w14:paraId="6CB9734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7FC721B9" w14:textId="77777777" w:rsidTr="00B409DD">
        <w:trPr>
          <w:cantSplit/>
          <w:trHeight w:val="210"/>
        </w:trPr>
        <w:tc>
          <w:tcPr>
            <w:tcW w:w="863" w:type="dxa"/>
            <w:gridSpan w:val="2"/>
            <w:shd w:val="clear" w:color="auto" w:fill="auto"/>
          </w:tcPr>
          <w:p w14:paraId="03BAECC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10-22</w:t>
            </w:r>
          </w:p>
        </w:tc>
        <w:tc>
          <w:tcPr>
            <w:tcW w:w="2679" w:type="dxa"/>
            <w:shd w:val="clear" w:color="auto" w:fill="auto"/>
          </w:tcPr>
          <w:p w14:paraId="351B5FE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Hexanediol diacrylate </w:t>
            </w:r>
          </w:p>
        </w:tc>
        <w:tc>
          <w:tcPr>
            <w:tcW w:w="1277" w:type="dxa"/>
            <w:shd w:val="clear" w:color="auto" w:fill="auto"/>
          </w:tcPr>
          <w:p w14:paraId="763BA65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13048-33-4</w:t>
            </w:r>
          </w:p>
        </w:tc>
        <w:tc>
          <w:tcPr>
            <w:tcW w:w="993" w:type="dxa"/>
            <w:shd w:val="clear" w:color="auto" w:fill="auto"/>
          </w:tcPr>
          <w:p w14:paraId="69694DF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10</w:t>
            </w:r>
          </w:p>
        </w:tc>
        <w:tc>
          <w:tcPr>
            <w:tcW w:w="3265" w:type="dxa"/>
            <w:shd w:val="clear" w:color="auto" w:fill="auto"/>
          </w:tcPr>
          <w:p w14:paraId="07E1E2D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426FFC77" w14:textId="77777777" w:rsidTr="00B409DD">
        <w:trPr>
          <w:cantSplit/>
          <w:trHeight w:val="207"/>
        </w:trPr>
        <w:tc>
          <w:tcPr>
            <w:tcW w:w="863" w:type="dxa"/>
            <w:gridSpan w:val="2"/>
            <w:shd w:val="clear" w:color="auto" w:fill="auto"/>
          </w:tcPr>
          <w:p w14:paraId="1565A01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10-23</w:t>
            </w:r>
          </w:p>
        </w:tc>
        <w:tc>
          <w:tcPr>
            <w:tcW w:w="2679" w:type="dxa"/>
            <w:shd w:val="clear" w:color="auto" w:fill="auto"/>
          </w:tcPr>
          <w:p w14:paraId="76BB126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Maleic dibutyl ester </w:t>
            </w:r>
          </w:p>
        </w:tc>
        <w:tc>
          <w:tcPr>
            <w:tcW w:w="1277" w:type="dxa"/>
            <w:shd w:val="clear" w:color="auto" w:fill="auto"/>
          </w:tcPr>
          <w:p w14:paraId="01BEE6C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105-76-0</w:t>
            </w:r>
          </w:p>
        </w:tc>
        <w:tc>
          <w:tcPr>
            <w:tcW w:w="993" w:type="dxa"/>
            <w:shd w:val="clear" w:color="auto" w:fill="auto"/>
          </w:tcPr>
          <w:p w14:paraId="13A7E11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50</w:t>
            </w:r>
          </w:p>
        </w:tc>
        <w:tc>
          <w:tcPr>
            <w:tcW w:w="3265" w:type="dxa"/>
            <w:shd w:val="clear" w:color="auto" w:fill="auto"/>
          </w:tcPr>
          <w:p w14:paraId="2A7415A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1A7E0B68" w14:textId="77777777" w:rsidTr="00B409DD">
        <w:trPr>
          <w:cantSplit/>
          <w:trHeight w:val="220"/>
        </w:trPr>
        <w:tc>
          <w:tcPr>
            <w:tcW w:w="863" w:type="dxa"/>
            <w:gridSpan w:val="2"/>
            <w:shd w:val="clear" w:color="auto" w:fill="auto"/>
          </w:tcPr>
          <w:p w14:paraId="5D3535A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10-24</w:t>
            </w:r>
          </w:p>
        </w:tc>
        <w:tc>
          <w:tcPr>
            <w:tcW w:w="2679" w:type="dxa"/>
            <w:shd w:val="clear" w:color="auto" w:fill="auto"/>
          </w:tcPr>
          <w:p w14:paraId="5D58FC8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Butyrolactone </w:t>
            </w:r>
          </w:p>
        </w:tc>
        <w:tc>
          <w:tcPr>
            <w:tcW w:w="1277" w:type="dxa"/>
            <w:shd w:val="clear" w:color="auto" w:fill="auto"/>
          </w:tcPr>
          <w:p w14:paraId="39DC6FE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96-48-0</w:t>
            </w:r>
          </w:p>
        </w:tc>
        <w:tc>
          <w:tcPr>
            <w:tcW w:w="993" w:type="dxa"/>
            <w:shd w:val="clear" w:color="auto" w:fill="auto"/>
          </w:tcPr>
          <w:p w14:paraId="58BCE45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2 800</w:t>
            </w:r>
          </w:p>
        </w:tc>
        <w:tc>
          <w:tcPr>
            <w:tcW w:w="3265" w:type="dxa"/>
            <w:shd w:val="clear" w:color="auto" w:fill="auto"/>
          </w:tcPr>
          <w:p w14:paraId="619133D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3810B41C" w14:textId="77777777" w:rsidTr="00B409DD">
        <w:trPr>
          <w:cantSplit/>
          <w:trHeight w:val="220"/>
        </w:trPr>
        <w:tc>
          <w:tcPr>
            <w:tcW w:w="863" w:type="dxa"/>
            <w:gridSpan w:val="2"/>
            <w:shd w:val="clear" w:color="auto" w:fill="auto"/>
          </w:tcPr>
          <w:p w14:paraId="708861E1"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10-25</w:t>
            </w:r>
          </w:p>
        </w:tc>
        <w:tc>
          <w:tcPr>
            <w:tcW w:w="2679" w:type="dxa"/>
            <w:shd w:val="clear" w:color="auto" w:fill="auto"/>
          </w:tcPr>
          <w:p w14:paraId="3B1FF16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Glutaric acid </w:t>
            </w:r>
            <w:proofErr w:type="spellStart"/>
            <w:r w:rsidRPr="0009445C">
              <w:rPr>
                <w:color w:val="000000"/>
              </w:rPr>
              <w:t>diisobutyl</w:t>
            </w:r>
            <w:proofErr w:type="spellEnd"/>
            <w:r w:rsidRPr="0009445C">
              <w:rPr>
                <w:color w:val="000000"/>
              </w:rPr>
              <w:t xml:space="preserve"> ester</w:t>
            </w:r>
          </w:p>
        </w:tc>
        <w:tc>
          <w:tcPr>
            <w:tcW w:w="1277" w:type="dxa"/>
            <w:shd w:val="clear" w:color="auto" w:fill="auto"/>
          </w:tcPr>
          <w:p w14:paraId="537D794D" w14:textId="77777777" w:rsidR="00DE0321" w:rsidRPr="0009445C" w:rsidRDefault="00DE0321" w:rsidP="00B409DD">
            <w:pPr>
              <w:spacing w:before="60" w:after="40" w:line="240" w:lineRule="auto"/>
              <w:jc w:val="center"/>
              <w:rPr>
                <w:rFonts w:cs="Arial"/>
              </w:rPr>
            </w:pPr>
            <w:r w:rsidRPr="0009445C">
              <w:t>71195-64-7</w:t>
            </w:r>
          </w:p>
        </w:tc>
        <w:tc>
          <w:tcPr>
            <w:tcW w:w="993" w:type="dxa"/>
            <w:shd w:val="clear" w:color="auto" w:fill="auto"/>
          </w:tcPr>
          <w:p w14:paraId="0FA35A3D"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100</w:t>
            </w:r>
          </w:p>
        </w:tc>
        <w:tc>
          <w:tcPr>
            <w:tcW w:w="3265" w:type="dxa"/>
            <w:shd w:val="clear" w:color="auto" w:fill="auto"/>
          </w:tcPr>
          <w:p w14:paraId="08C992C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7C82CDDF" w14:textId="77777777" w:rsidTr="00B409DD">
        <w:trPr>
          <w:cantSplit/>
          <w:trHeight w:val="220"/>
        </w:trPr>
        <w:tc>
          <w:tcPr>
            <w:tcW w:w="863" w:type="dxa"/>
            <w:gridSpan w:val="2"/>
            <w:shd w:val="clear" w:color="auto" w:fill="auto"/>
          </w:tcPr>
          <w:p w14:paraId="73DA6B8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10-26</w:t>
            </w:r>
          </w:p>
        </w:tc>
        <w:tc>
          <w:tcPr>
            <w:tcW w:w="2679" w:type="dxa"/>
            <w:shd w:val="clear" w:color="auto" w:fill="auto"/>
          </w:tcPr>
          <w:p w14:paraId="1D5B7C86"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Succinic acid </w:t>
            </w:r>
            <w:proofErr w:type="spellStart"/>
            <w:r w:rsidRPr="0009445C">
              <w:rPr>
                <w:color w:val="000000"/>
              </w:rPr>
              <w:t>diisobutyl</w:t>
            </w:r>
            <w:proofErr w:type="spellEnd"/>
            <w:r w:rsidRPr="0009445C">
              <w:rPr>
                <w:color w:val="000000"/>
              </w:rPr>
              <w:t xml:space="preserve"> ester</w:t>
            </w:r>
          </w:p>
        </w:tc>
        <w:tc>
          <w:tcPr>
            <w:tcW w:w="1277" w:type="dxa"/>
            <w:shd w:val="clear" w:color="auto" w:fill="auto"/>
          </w:tcPr>
          <w:p w14:paraId="59C4E4F0" w14:textId="77777777" w:rsidR="00DE0321" w:rsidRPr="0009445C" w:rsidRDefault="00DE0321" w:rsidP="00B409DD">
            <w:pPr>
              <w:spacing w:before="60" w:after="40" w:line="240" w:lineRule="auto"/>
              <w:jc w:val="center"/>
              <w:rPr>
                <w:rFonts w:cs="Arial"/>
              </w:rPr>
            </w:pPr>
            <w:r w:rsidRPr="0009445C">
              <w:t>925-06-4</w:t>
            </w:r>
          </w:p>
        </w:tc>
        <w:tc>
          <w:tcPr>
            <w:tcW w:w="993" w:type="dxa"/>
            <w:shd w:val="clear" w:color="auto" w:fill="auto"/>
          </w:tcPr>
          <w:p w14:paraId="718FB73B"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100</w:t>
            </w:r>
          </w:p>
        </w:tc>
        <w:tc>
          <w:tcPr>
            <w:tcW w:w="3265" w:type="dxa"/>
            <w:shd w:val="clear" w:color="auto" w:fill="auto"/>
          </w:tcPr>
          <w:p w14:paraId="31754FCA"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2AA8B2F4" w14:textId="77777777" w:rsidTr="00B409DD">
        <w:trPr>
          <w:cantSplit/>
          <w:trHeight w:val="283"/>
        </w:trPr>
        <w:tc>
          <w:tcPr>
            <w:tcW w:w="850" w:type="dxa"/>
            <w:shd w:val="clear" w:color="auto" w:fill="auto"/>
          </w:tcPr>
          <w:p w14:paraId="4120EDE1" w14:textId="77777777" w:rsidR="00DE0321" w:rsidRPr="0009445C" w:rsidRDefault="00DE0321" w:rsidP="00B409DD">
            <w:pPr>
              <w:pStyle w:val="BRL-TabelleAnlageberschriftFett"/>
              <w:spacing w:before="60" w:after="40"/>
              <w:jc w:val="center"/>
            </w:pPr>
            <w:r w:rsidRPr="0009445C">
              <w:t>11</w:t>
            </w:r>
          </w:p>
        </w:tc>
        <w:tc>
          <w:tcPr>
            <w:tcW w:w="8227" w:type="dxa"/>
            <w:gridSpan w:val="5"/>
            <w:shd w:val="clear" w:color="auto" w:fill="auto"/>
          </w:tcPr>
          <w:p w14:paraId="2752B2F9" w14:textId="77777777" w:rsidR="00DE0321" w:rsidRPr="0009445C" w:rsidRDefault="00DE0321" w:rsidP="00B409DD">
            <w:pPr>
              <w:pStyle w:val="BRL-TabelleAnlageberschriftFett"/>
              <w:spacing w:before="60" w:after="40"/>
            </w:pPr>
            <w:r w:rsidRPr="0009445C">
              <w:t>Chlorinated hydrocarbons</w:t>
            </w:r>
          </w:p>
        </w:tc>
      </w:tr>
      <w:tr w:rsidR="00DE0321" w:rsidRPr="0009445C" w14:paraId="605156DA" w14:textId="77777777" w:rsidTr="00B409DD">
        <w:trPr>
          <w:cantSplit/>
          <w:trHeight w:val="213"/>
        </w:trPr>
        <w:tc>
          <w:tcPr>
            <w:tcW w:w="850" w:type="dxa"/>
            <w:shd w:val="clear" w:color="auto" w:fill="auto"/>
          </w:tcPr>
          <w:p w14:paraId="24E612D5" w14:textId="77777777" w:rsidR="00DE0321" w:rsidRPr="0009445C" w:rsidRDefault="00DE0321" w:rsidP="00B409DD">
            <w:pPr>
              <w:spacing w:before="60" w:after="40" w:line="240" w:lineRule="auto"/>
              <w:jc w:val="center"/>
            </w:pPr>
          </w:p>
        </w:tc>
        <w:tc>
          <w:tcPr>
            <w:tcW w:w="8227" w:type="dxa"/>
            <w:gridSpan w:val="5"/>
            <w:shd w:val="clear" w:color="auto" w:fill="auto"/>
          </w:tcPr>
          <w:p w14:paraId="296D4734" w14:textId="77777777" w:rsidR="00DE0321" w:rsidRPr="0009445C" w:rsidRDefault="00DE0321" w:rsidP="00B409DD">
            <w:pPr>
              <w:spacing w:before="60" w:after="40" w:line="240" w:lineRule="auto"/>
            </w:pPr>
            <w:r w:rsidRPr="0009445C">
              <w:t>Not used at present</w:t>
            </w:r>
          </w:p>
        </w:tc>
      </w:tr>
      <w:tr w:rsidR="00DE0321" w:rsidRPr="0009445C" w14:paraId="6B377EEF" w14:textId="77777777" w:rsidTr="00B409DD">
        <w:trPr>
          <w:cantSplit/>
          <w:trHeight w:val="283"/>
        </w:trPr>
        <w:tc>
          <w:tcPr>
            <w:tcW w:w="850" w:type="dxa"/>
            <w:shd w:val="clear" w:color="auto" w:fill="auto"/>
          </w:tcPr>
          <w:p w14:paraId="2B7DD58B" w14:textId="77777777" w:rsidR="00DE0321" w:rsidRPr="0009445C" w:rsidRDefault="00DE0321" w:rsidP="00B409DD">
            <w:pPr>
              <w:pStyle w:val="BRL-TabelleAnlageberschriftFett"/>
              <w:spacing w:before="60" w:after="40"/>
              <w:jc w:val="center"/>
            </w:pPr>
            <w:r w:rsidRPr="0009445C">
              <w:t>12</w:t>
            </w:r>
          </w:p>
        </w:tc>
        <w:tc>
          <w:tcPr>
            <w:tcW w:w="8227" w:type="dxa"/>
            <w:gridSpan w:val="5"/>
            <w:shd w:val="clear" w:color="auto" w:fill="auto"/>
          </w:tcPr>
          <w:p w14:paraId="15760200" w14:textId="77777777" w:rsidR="00DE0321" w:rsidRPr="0009445C" w:rsidRDefault="00DE0321" w:rsidP="00B409DD">
            <w:pPr>
              <w:pStyle w:val="BRL-TabelleAnlageberschriftFett"/>
              <w:spacing w:before="60" w:after="40"/>
            </w:pPr>
            <w:r w:rsidRPr="0009445C">
              <w:t>Other</w:t>
            </w:r>
          </w:p>
        </w:tc>
      </w:tr>
      <w:tr w:rsidR="00DE0321" w:rsidRPr="0009445C" w14:paraId="52159484" w14:textId="77777777" w:rsidTr="00B409DD">
        <w:trPr>
          <w:cantSplit/>
          <w:trHeight w:val="207"/>
        </w:trPr>
        <w:tc>
          <w:tcPr>
            <w:tcW w:w="850" w:type="dxa"/>
            <w:shd w:val="clear" w:color="auto" w:fill="auto"/>
          </w:tcPr>
          <w:p w14:paraId="4B0D74DC"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w:t>
            </w:r>
          </w:p>
        </w:tc>
        <w:tc>
          <w:tcPr>
            <w:tcW w:w="2692" w:type="dxa"/>
            <w:gridSpan w:val="2"/>
            <w:shd w:val="clear" w:color="auto" w:fill="auto"/>
          </w:tcPr>
          <w:p w14:paraId="5E48F44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1,4-dioxane </w:t>
            </w:r>
          </w:p>
        </w:tc>
        <w:tc>
          <w:tcPr>
            <w:tcW w:w="1277" w:type="dxa"/>
            <w:shd w:val="clear" w:color="auto" w:fill="auto"/>
          </w:tcPr>
          <w:p w14:paraId="2FCF8E19"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123-91-1</w:t>
            </w:r>
          </w:p>
        </w:tc>
        <w:tc>
          <w:tcPr>
            <w:tcW w:w="993" w:type="dxa"/>
            <w:shd w:val="clear" w:color="auto" w:fill="auto"/>
          </w:tcPr>
          <w:p w14:paraId="488B342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400</w:t>
            </w:r>
          </w:p>
        </w:tc>
        <w:tc>
          <w:tcPr>
            <w:tcW w:w="3265" w:type="dxa"/>
            <w:shd w:val="clear" w:color="auto" w:fill="auto"/>
          </w:tcPr>
          <w:p w14:paraId="1F5D1C5B"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0A9D3CD9" w14:textId="77777777" w:rsidTr="00B409DD">
        <w:trPr>
          <w:cantSplit/>
          <w:trHeight w:val="207"/>
        </w:trPr>
        <w:tc>
          <w:tcPr>
            <w:tcW w:w="850" w:type="dxa"/>
            <w:shd w:val="clear" w:color="auto" w:fill="auto"/>
          </w:tcPr>
          <w:p w14:paraId="20EF746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12-2</w:t>
            </w:r>
          </w:p>
        </w:tc>
        <w:tc>
          <w:tcPr>
            <w:tcW w:w="2692" w:type="dxa"/>
            <w:gridSpan w:val="2"/>
            <w:shd w:val="clear" w:color="auto" w:fill="auto"/>
          </w:tcPr>
          <w:p w14:paraId="1D51753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Caprolactam </w:t>
            </w:r>
          </w:p>
        </w:tc>
        <w:tc>
          <w:tcPr>
            <w:tcW w:w="1277" w:type="dxa"/>
            <w:shd w:val="clear" w:color="auto" w:fill="auto"/>
          </w:tcPr>
          <w:p w14:paraId="590A00F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105-60-2</w:t>
            </w:r>
          </w:p>
        </w:tc>
        <w:tc>
          <w:tcPr>
            <w:tcW w:w="993" w:type="dxa"/>
            <w:shd w:val="clear" w:color="auto" w:fill="auto"/>
          </w:tcPr>
          <w:p w14:paraId="6FD2E81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300</w:t>
            </w:r>
          </w:p>
        </w:tc>
        <w:tc>
          <w:tcPr>
            <w:tcW w:w="3265" w:type="dxa"/>
            <w:shd w:val="clear" w:color="auto" w:fill="auto"/>
          </w:tcPr>
          <w:p w14:paraId="091F236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6C5B1BDD" w14:textId="77777777" w:rsidTr="00B409DD">
        <w:trPr>
          <w:cantSplit/>
          <w:trHeight w:val="207"/>
        </w:trPr>
        <w:tc>
          <w:tcPr>
            <w:tcW w:w="850" w:type="dxa"/>
            <w:shd w:val="clear" w:color="auto" w:fill="auto"/>
          </w:tcPr>
          <w:p w14:paraId="4D3406E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12-3</w:t>
            </w:r>
          </w:p>
        </w:tc>
        <w:tc>
          <w:tcPr>
            <w:tcW w:w="2692" w:type="dxa"/>
            <w:gridSpan w:val="2"/>
            <w:shd w:val="clear" w:color="auto" w:fill="auto"/>
          </w:tcPr>
          <w:p w14:paraId="5FFAB7D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N-methyl-2-pyrrolidone </w:t>
            </w:r>
          </w:p>
        </w:tc>
        <w:tc>
          <w:tcPr>
            <w:tcW w:w="1277" w:type="dxa"/>
            <w:shd w:val="clear" w:color="auto" w:fill="auto"/>
          </w:tcPr>
          <w:p w14:paraId="306BBC1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872-50-4</w:t>
            </w:r>
          </w:p>
        </w:tc>
        <w:tc>
          <w:tcPr>
            <w:tcW w:w="993" w:type="dxa"/>
            <w:shd w:val="clear" w:color="auto" w:fill="auto"/>
          </w:tcPr>
          <w:p w14:paraId="301B003E"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1 800</w:t>
            </w:r>
          </w:p>
        </w:tc>
        <w:tc>
          <w:tcPr>
            <w:tcW w:w="3265" w:type="dxa"/>
            <w:shd w:val="clear" w:color="auto" w:fill="auto"/>
          </w:tcPr>
          <w:p w14:paraId="16E50E1D"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72918E13" w14:textId="77777777" w:rsidTr="00B409DD">
        <w:trPr>
          <w:cantSplit/>
          <w:trHeight w:val="390"/>
        </w:trPr>
        <w:tc>
          <w:tcPr>
            <w:tcW w:w="850" w:type="dxa"/>
            <w:shd w:val="clear" w:color="auto" w:fill="auto"/>
          </w:tcPr>
          <w:p w14:paraId="7E48E95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12-4</w:t>
            </w:r>
          </w:p>
        </w:tc>
        <w:tc>
          <w:tcPr>
            <w:tcW w:w="2692" w:type="dxa"/>
            <w:gridSpan w:val="2"/>
            <w:shd w:val="clear" w:color="auto" w:fill="auto"/>
          </w:tcPr>
          <w:p w14:paraId="4E2D8D32"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Octamethylcyclotetrasiloxane</w:t>
            </w:r>
            <w:proofErr w:type="spellEnd"/>
            <w:r w:rsidRPr="0009445C">
              <w:rPr>
                <w:color w:val="000000"/>
              </w:rPr>
              <w:t xml:space="preserve"> (D4) </w:t>
            </w:r>
          </w:p>
        </w:tc>
        <w:tc>
          <w:tcPr>
            <w:tcW w:w="1277" w:type="dxa"/>
            <w:shd w:val="clear" w:color="auto" w:fill="auto"/>
          </w:tcPr>
          <w:p w14:paraId="448E8D1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556-67-2</w:t>
            </w:r>
          </w:p>
        </w:tc>
        <w:tc>
          <w:tcPr>
            <w:tcW w:w="993" w:type="dxa"/>
            <w:shd w:val="clear" w:color="auto" w:fill="auto"/>
          </w:tcPr>
          <w:p w14:paraId="2BC82B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1 200</w:t>
            </w:r>
          </w:p>
        </w:tc>
        <w:tc>
          <w:tcPr>
            <w:tcW w:w="3265" w:type="dxa"/>
            <w:shd w:val="clear" w:color="auto" w:fill="auto"/>
          </w:tcPr>
          <w:p w14:paraId="3943A158" w14:textId="77777777" w:rsidR="00DE0321" w:rsidRPr="0009445C" w:rsidRDefault="00DE0321" w:rsidP="00B409DD">
            <w:pPr>
              <w:widowControl w:val="0"/>
              <w:autoSpaceDE w:val="0"/>
              <w:autoSpaceDN w:val="0"/>
              <w:adjustRightInd w:val="0"/>
              <w:spacing w:before="60" w:after="40" w:line="240" w:lineRule="auto"/>
              <w:rPr>
                <w:rFonts w:cs="Arial"/>
                <w:color w:val="000000"/>
              </w:rPr>
            </w:pPr>
            <w:bookmarkStart w:id="46" w:name="OLE_LINK1"/>
            <w:bookmarkStart w:id="47" w:name="OLE_LINK2"/>
            <w:r w:rsidRPr="0009445C">
              <w:rPr>
                <w:color w:val="000000"/>
              </w:rPr>
              <w:t xml:space="preserve">Adoption of EU LCI value </w:t>
            </w:r>
            <w:bookmarkEnd w:id="46"/>
            <w:bookmarkEnd w:id="47"/>
          </w:p>
        </w:tc>
      </w:tr>
      <w:tr w:rsidR="00DE0321" w:rsidRPr="0009445C" w14:paraId="409A08D0" w14:textId="77777777" w:rsidTr="00B409DD">
        <w:trPr>
          <w:cantSplit/>
          <w:trHeight w:val="575"/>
        </w:trPr>
        <w:tc>
          <w:tcPr>
            <w:tcW w:w="850" w:type="dxa"/>
            <w:shd w:val="clear" w:color="auto" w:fill="auto"/>
          </w:tcPr>
          <w:p w14:paraId="5504585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12-5</w:t>
            </w:r>
          </w:p>
        </w:tc>
        <w:tc>
          <w:tcPr>
            <w:tcW w:w="2692" w:type="dxa"/>
            <w:gridSpan w:val="2"/>
            <w:shd w:val="clear" w:color="auto" w:fill="auto"/>
          </w:tcPr>
          <w:p w14:paraId="22BD57D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Methenamine, </w:t>
            </w:r>
            <w:proofErr w:type="spellStart"/>
            <w:r w:rsidRPr="0009445C">
              <w:rPr>
                <w:color w:val="000000"/>
              </w:rPr>
              <w:t>Hexamethylentetramine</w:t>
            </w:r>
            <w:proofErr w:type="spellEnd"/>
            <w:r w:rsidRPr="0009445C">
              <w:rPr>
                <w:color w:val="000000"/>
              </w:rPr>
              <w:t xml:space="preserve"> (formaldehyde releaser) </w:t>
            </w:r>
          </w:p>
        </w:tc>
        <w:tc>
          <w:tcPr>
            <w:tcW w:w="1277" w:type="dxa"/>
            <w:shd w:val="clear" w:color="auto" w:fill="auto"/>
          </w:tcPr>
          <w:p w14:paraId="54E0D92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100-97-0</w:t>
            </w:r>
          </w:p>
        </w:tc>
        <w:tc>
          <w:tcPr>
            <w:tcW w:w="993" w:type="dxa"/>
            <w:shd w:val="clear" w:color="auto" w:fill="auto"/>
          </w:tcPr>
          <w:p w14:paraId="50F8AB6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30</w:t>
            </w:r>
          </w:p>
        </w:tc>
        <w:tc>
          <w:tcPr>
            <w:tcW w:w="3265" w:type="dxa"/>
            <w:shd w:val="clear" w:color="auto" w:fill="auto"/>
          </w:tcPr>
          <w:p w14:paraId="6ED370C4"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0847DF33" w14:textId="77777777" w:rsidTr="00B409DD">
        <w:trPr>
          <w:cantSplit/>
          <w:trHeight w:val="186"/>
        </w:trPr>
        <w:tc>
          <w:tcPr>
            <w:tcW w:w="850" w:type="dxa"/>
            <w:shd w:val="clear" w:color="auto" w:fill="auto"/>
          </w:tcPr>
          <w:p w14:paraId="7050E5E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12-6</w:t>
            </w:r>
          </w:p>
        </w:tc>
        <w:tc>
          <w:tcPr>
            <w:tcW w:w="2692" w:type="dxa"/>
            <w:gridSpan w:val="2"/>
            <w:shd w:val="clear" w:color="auto" w:fill="auto"/>
          </w:tcPr>
          <w:p w14:paraId="6A90E705" w14:textId="77777777" w:rsidR="00DE0321" w:rsidRPr="0009445C" w:rsidRDefault="00DE0321" w:rsidP="00B409DD">
            <w:pPr>
              <w:widowControl w:val="0"/>
              <w:autoSpaceDE w:val="0"/>
              <w:autoSpaceDN w:val="0"/>
              <w:adjustRightInd w:val="0"/>
              <w:spacing w:before="60" w:after="40" w:line="240" w:lineRule="auto"/>
              <w:rPr>
                <w:rFonts w:cs="Arial"/>
                <w:color w:val="000000"/>
                <w:highlight w:val="yellow"/>
              </w:rPr>
            </w:pPr>
            <w:r w:rsidRPr="0009445C">
              <w:rPr>
                <w:color w:val="000000"/>
              </w:rPr>
              <w:t>2-butanonoxime</w:t>
            </w:r>
          </w:p>
        </w:tc>
        <w:tc>
          <w:tcPr>
            <w:tcW w:w="1277" w:type="dxa"/>
            <w:shd w:val="clear" w:color="auto" w:fill="auto"/>
          </w:tcPr>
          <w:p w14:paraId="53FBA0D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96-29-7</w:t>
            </w:r>
          </w:p>
        </w:tc>
        <w:tc>
          <w:tcPr>
            <w:tcW w:w="993" w:type="dxa"/>
            <w:shd w:val="clear" w:color="auto" w:fill="auto"/>
          </w:tcPr>
          <w:p w14:paraId="7755C21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15</w:t>
            </w:r>
          </w:p>
        </w:tc>
        <w:tc>
          <w:tcPr>
            <w:tcW w:w="3265" w:type="dxa"/>
            <w:shd w:val="clear" w:color="auto" w:fill="auto"/>
          </w:tcPr>
          <w:p w14:paraId="300343A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47F2930D" w14:textId="77777777" w:rsidTr="00B409DD">
        <w:trPr>
          <w:cantSplit/>
          <w:trHeight w:val="152"/>
        </w:trPr>
        <w:tc>
          <w:tcPr>
            <w:tcW w:w="850" w:type="dxa"/>
            <w:shd w:val="clear" w:color="auto" w:fill="auto"/>
          </w:tcPr>
          <w:p w14:paraId="484A667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12-7</w:t>
            </w:r>
          </w:p>
        </w:tc>
        <w:tc>
          <w:tcPr>
            <w:tcW w:w="2692" w:type="dxa"/>
            <w:gridSpan w:val="2"/>
            <w:shd w:val="clear" w:color="auto" w:fill="auto"/>
          </w:tcPr>
          <w:p w14:paraId="6949D33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Tributyl phosphate </w:t>
            </w:r>
          </w:p>
        </w:tc>
        <w:tc>
          <w:tcPr>
            <w:tcW w:w="1277" w:type="dxa"/>
            <w:shd w:val="clear" w:color="auto" w:fill="auto"/>
          </w:tcPr>
          <w:p w14:paraId="503A06E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126-73-8</w:t>
            </w:r>
          </w:p>
        </w:tc>
        <w:tc>
          <w:tcPr>
            <w:tcW w:w="993" w:type="dxa"/>
            <w:shd w:val="clear" w:color="auto" w:fill="auto"/>
          </w:tcPr>
          <w:p w14:paraId="5D28B9A4" w14:textId="77777777" w:rsidR="00DE0321" w:rsidRPr="0009445C" w:rsidRDefault="00DE0321" w:rsidP="00B409DD">
            <w:pPr>
              <w:widowControl w:val="0"/>
              <w:autoSpaceDE w:val="0"/>
              <w:autoSpaceDN w:val="0"/>
              <w:adjustRightInd w:val="0"/>
              <w:spacing w:before="60" w:after="40" w:line="240" w:lineRule="auto"/>
              <w:jc w:val="center"/>
              <w:rPr>
                <w:rFonts w:cs="Arial"/>
                <w:b/>
                <w:color w:val="000000"/>
              </w:rPr>
            </w:pPr>
            <w:r w:rsidRPr="0009445C">
              <w:rPr>
                <w:b/>
                <w:color w:val="000000"/>
              </w:rPr>
              <w:t>300</w:t>
            </w:r>
          </w:p>
        </w:tc>
        <w:tc>
          <w:tcPr>
            <w:tcW w:w="3265" w:type="dxa"/>
            <w:shd w:val="clear" w:color="auto" w:fill="auto"/>
          </w:tcPr>
          <w:p w14:paraId="7E66B8F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SVOC </w:t>
            </w:r>
          </w:p>
          <w:p w14:paraId="45D2ED9E"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Adoption of EU LCI value</w:t>
            </w:r>
          </w:p>
        </w:tc>
      </w:tr>
      <w:tr w:rsidR="00DE0321" w:rsidRPr="0009445C" w14:paraId="122602E4" w14:textId="77777777" w:rsidTr="00B409DD">
        <w:trPr>
          <w:cantSplit/>
          <w:trHeight w:val="207"/>
        </w:trPr>
        <w:tc>
          <w:tcPr>
            <w:tcW w:w="850" w:type="dxa"/>
            <w:shd w:val="clear" w:color="auto" w:fill="auto"/>
          </w:tcPr>
          <w:p w14:paraId="40002C9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12-8</w:t>
            </w:r>
          </w:p>
        </w:tc>
        <w:tc>
          <w:tcPr>
            <w:tcW w:w="2692" w:type="dxa"/>
            <w:gridSpan w:val="2"/>
            <w:shd w:val="clear" w:color="auto" w:fill="auto"/>
          </w:tcPr>
          <w:p w14:paraId="61BB990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Triethyl phosphate </w:t>
            </w:r>
          </w:p>
        </w:tc>
        <w:tc>
          <w:tcPr>
            <w:tcW w:w="1277" w:type="dxa"/>
            <w:shd w:val="clear" w:color="auto" w:fill="auto"/>
          </w:tcPr>
          <w:p w14:paraId="74E9E11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78-40-0</w:t>
            </w:r>
          </w:p>
        </w:tc>
        <w:tc>
          <w:tcPr>
            <w:tcW w:w="993" w:type="dxa"/>
            <w:shd w:val="clear" w:color="auto" w:fill="auto"/>
          </w:tcPr>
          <w:p w14:paraId="4B6D9A8E" w14:textId="77777777" w:rsidR="00DE0321" w:rsidRPr="0009445C" w:rsidRDefault="00DE0321" w:rsidP="00B409DD">
            <w:pPr>
              <w:widowControl w:val="0"/>
              <w:autoSpaceDE w:val="0"/>
              <w:autoSpaceDN w:val="0"/>
              <w:adjustRightInd w:val="0"/>
              <w:spacing w:before="60" w:after="40" w:line="240" w:lineRule="auto"/>
              <w:jc w:val="center"/>
              <w:rPr>
                <w:rFonts w:cs="Arial"/>
                <w:b/>
                <w:color w:val="000000"/>
              </w:rPr>
            </w:pPr>
            <w:r w:rsidRPr="0009445C">
              <w:rPr>
                <w:b/>
                <w:color w:val="000000"/>
              </w:rPr>
              <w:t>80</w:t>
            </w:r>
          </w:p>
        </w:tc>
        <w:tc>
          <w:tcPr>
            <w:tcW w:w="3265" w:type="dxa"/>
            <w:shd w:val="clear" w:color="auto" w:fill="auto"/>
          </w:tcPr>
          <w:p w14:paraId="46CF1A05"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substances</w:t>
            </w:r>
          </w:p>
        </w:tc>
      </w:tr>
      <w:tr w:rsidR="00DE0321" w:rsidRPr="0009445C" w14:paraId="08CED996" w14:textId="77777777" w:rsidTr="00B409DD">
        <w:trPr>
          <w:cantSplit/>
          <w:trHeight w:val="390"/>
        </w:trPr>
        <w:tc>
          <w:tcPr>
            <w:tcW w:w="850" w:type="dxa"/>
            <w:shd w:val="clear" w:color="auto" w:fill="auto"/>
          </w:tcPr>
          <w:p w14:paraId="5749ACD5"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12-9</w:t>
            </w:r>
          </w:p>
        </w:tc>
        <w:tc>
          <w:tcPr>
            <w:tcW w:w="2692" w:type="dxa"/>
            <w:gridSpan w:val="2"/>
            <w:shd w:val="clear" w:color="auto" w:fill="auto"/>
          </w:tcPr>
          <w:p w14:paraId="40785693"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5-chloro-2-methyl-4isothiazolin-3-on (CIT) </w:t>
            </w:r>
          </w:p>
        </w:tc>
        <w:tc>
          <w:tcPr>
            <w:tcW w:w="1277" w:type="dxa"/>
            <w:shd w:val="clear" w:color="auto" w:fill="auto"/>
          </w:tcPr>
          <w:p w14:paraId="639E0E2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26172-55-4</w:t>
            </w:r>
          </w:p>
        </w:tc>
        <w:tc>
          <w:tcPr>
            <w:tcW w:w="993" w:type="dxa"/>
            <w:shd w:val="clear" w:color="auto" w:fill="auto"/>
          </w:tcPr>
          <w:p w14:paraId="4191FCAF"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vertAlign w:val="superscript"/>
              </w:rPr>
            </w:pPr>
            <w:r w:rsidRPr="0009445C">
              <w:rPr>
                <w:b/>
                <w:color w:val="000000"/>
              </w:rPr>
              <w:t>1</w:t>
            </w:r>
            <w:r w:rsidRPr="0009445C">
              <w:rPr>
                <w:color w:val="000000"/>
                <w:vertAlign w:val="superscript"/>
              </w:rPr>
              <w:sym w:font="Symbol" w:char="F023"/>
            </w:r>
          </w:p>
        </w:tc>
        <w:tc>
          <w:tcPr>
            <w:tcW w:w="3265" w:type="dxa"/>
            <w:shd w:val="clear" w:color="auto" w:fill="auto"/>
          </w:tcPr>
          <w:p w14:paraId="18978B7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17B945FE" w14:textId="77777777" w:rsidTr="00B409DD">
        <w:trPr>
          <w:cantSplit/>
          <w:trHeight w:val="390"/>
        </w:trPr>
        <w:tc>
          <w:tcPr>
            <w:tcW w:w="850" w:type="dxa"/>
            <w:shd w:val="clear" w:color="auto" w:fill="auto"/>
          </w:tcPr>
          <w:p w14:paraId="027DF23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12-10</w:t>
            </w:r>
          </w:p>
        </w:tc>
        <w:tc>
          <w:tcPr>
            <w:tcW w:w="2692" w:type="dxa"/>
            <w:gridSpan w:val="2"/>
            <w:shd w:val="clear" w:color="auto" w:fill="auto"/>
          </w:tcPr>
          <w:p w14:paraId="34C0D2B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2-methyl-4-isothiazolin-3-one (MIT) </w:t>
            </w:r>
          </w:p>
        </w:tc>
        <w:tc>
          <w:tcPr>
            <w:tcW w:w="1277" w:type="dxa"/>
            <w:shd w:val="clear" w:color="auto" w:fill="auto"/>
          </w:tcPr>
          <w:p w14:paraId="6461521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2682-20-4</w:t>
            </w:r>
          </w:p>
        </w:tc>
        <w:tc>
          <w:tcPr>
            <w:tcW w:w="993" w:type="dxa"/>
            <w:shd w:val="clear" w:color="auto" w:fill="auto"/>
          </w:tcPr>
          <w:p w14:paraId="0496F408"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100</w:t>
            </w:r>
          </w:p>
        </w:tc>
        <w:tc>
          <w:tcPr>
            <w:tcW w:w="3265" w:type="dxa"/>
            <w:shd w:val="clear" w:color="auto" w:fill="auto"/>
          </w:tcPr>
          <w:p w14:paraId="2E1C88C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Adoption of EU LCI value </w:t>
            </w:r>
          </w:p>
        </w:tc>
      </w:tr>
      <w:tr w:rsidR="00DE0321" w:rsidRPr="0009445C" w14:paraId="2BB29610" w14:textId="77777777" w:rsidTr="00B409DD">
        <w:trPr>
          <w:cantSplit/>
          <w:trHeight w:val="220"/>
        </w:trPr>
        <w:tc>
          <w:tcPr>
            <w:tcW w:w="850" w:type="dxa"/>
            <w:shd w:val="clear" w:color="auto" w:fill="auto"/>
          </w:tcPr>
          <w:p w14:paraId="39BEDE1E"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12-11</w:t>
            </w:r>
          </w:p>
        </w:tc>
        <w:tc>
          <w:tcPr>
            <w:tcW w:w="2692" w:type="dxa"/>
            <w:gridSpan w:val="2"/>
            <w:shd w:val="clear" w:color="auto" w:fill="auto"/>
          </w:tcPr>
          <w:p w14:paraId="6A5BEB41"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 xml:space="preserve">Triethylamine </w:t>
            </w:r>
          </w:p>
        </w:tc>
        <w:tc>
          <w:tcPr>
            <w:tcW w:w="1277" w:type="dxa"/>
            <w:shd w:val="clear" w:color="auto" w:fill="auto"/>
          </w:tcPr>
          <w:p w14:paraId="635D0BF4"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121-44-8</w:t>
            </w:r>
          </w:p>
        </w:tc>
        <w:tc>
          <w:tcPr>
            <w:tcW w:w="993" w:type="dxa"/>
            <w:shd w:val="clear" w:color="auto" w:fill="auto"/>
          </w:tcPr>
          <w:p w14:paraId="03A08CB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b/>
                <w:color w:val="000000"/>
              </w:rPr>
              <w:t>60</w:t>
            </w:r>
          </w:p>
        </w:tc>
        <w:tc>
          <w:tcPr>
            <w:tcW w:w="3265" w:type="dxa"/>
            <w:shd w:val="clear" w:color="auto" w:fill="auto"/>
          </w:tcPr>
          <w:p w14:paraId="41426893"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 xml:space="preserve">Adoption of EU LCI value </w:t>
            </w:r>
          </w:p>
        </w:tc>
      </w:tr>
      <w:tr w:rsidR="00DE0321" w:rsidRPr="0009445C" w14:paraId="5D8A17F6" w14:textId="77777777" w:rsidTr="00B409DD">
        <w:trPr>
          <w:cantSplit/>
          <w:trHeight w:val="220"/>
        </w:trPr>
        <w:tc>
          <w:tcPr>
            <w:tcW w:w="850" w:type="dxa"/>
            <w:shd w:val="clear" w:color="auto" w:fill="auto"/>
          </w:tcPr>
          <w:p w14:paraId="7D33A24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12-12</w:t>
            </w:r>
          </w:p>
        </w:tc>
        <w:tc>
          <w:tcPr>
            <w:tcW w:w="2692" w:type="dxa"/>
            <w:gridSpan w:val="2"/>
            <w:shd w:val="clear" w:color="auto" w:fill="auto"/>
          </w:tcPr>
          <w:p w14:paraId="40E6508B"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Decamethylcyclopenta</w:t>
            </w:r>
            <w:proofErr w:type="spellEnd"/>
            <w:r w:rsidRPr="0009445C">
              <w:rPr>
                <w:color w:val="000000"/>
              </w:rPr>
              <w:t>-siloxane (D5)</w:t>
            </w:r>
          </w:p>
        </w:tc>
        <w:tc>
          <w:tcPr>
            <w:tcW w:w="1277" w:type="dxa"/>
            <w:shd w:val="clear" w:color="auto" w:fill="auto"/>
          </w:tcPr>
          <w:p w14:paraId="5EACC5FA"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541-02-6</w:t>
            </w:r>
          </w:p>
        </w:tc>
        <w:tc>
          <w:tcPr>
            <w:tcW w:w="993" w:type="dxa"/>
            <w:shd w:val="clear" w:color="auto" w:fill="auto"/>
          </w:tcPr>
          <w:p w14:paraId="2533EDBA"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1 500</w:t>
            </w:r>
          </w:p>
        </w:tc>
        <w:tc>
          <w:tcPr>
            <w:tcW w:w="3265" w:type="dxa"/>
            <w:shd w:val="clear" w:color="auto" w:fill="auto"/>
          </w:tcPr>
          <w:p w14:paraId="5433AD3E" w14:textId="77777777" w:rsidR="00DE0321" w:rsidRPr="0009445C" w:rsidRDefault="00DE0321" w:rsidP="00B409DD">
            <w:pPr>
              <w:widowControl w:val="0"/>
              <w:autoSpaceDE w:val="0"/>
              <w:autoSpaceDN w:val="0"/>
              <w:adjustRightInd w:val="0"/>
              <w:spacing w:before="60" w:after="40" w:line="240" w:lineRule="auto"/>
              <w:rPr>
                <w:rFonts w:cs="Arial"/>
              </w:rPr>
            </w:pPr>
            <w:r w:rsidRPr="0009445C">
              <w:t xml:space="preserve">Read across of </w:t>
            </w:r>
            <w:proofErr w:type="spellStart"/>
            <w:r w:rsidRPr="0009445C">
              <w:t>octamethylcyclotetrasiloxane</w:t>
            </w:r>
            <w:proofErr w:type="spellEnd"/>
            <w:r w:rsidRPr="0009445C">
              <w:t xml:space="preserve"> </w:t>
            </w:r>
          </w:p>
        </w:tc>
      </w:tr>
      <w:tr w:rsidR="00DE0321" w:rsidRPr="0009445C" w14:paraId="4586370D" w14:textId="77777777" w:rsidTr="00B409DD">
        <w:trPr>
          <w:cantSplit/>
          <w:trHeight w:val="220"/>
        </w:trPr>
        <w:tc>
          <w:tcPr>
            <w:tcW w:w="850" w:type="dxa"/>
            <w:shd w:val="clear" w:color="auto" w:fill="auto"/>
          </w:tcPr>
          <w:p w14:paraId="15C61C8D"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12-13</w:t>
            </w:r>
          </w:p>
        </w:tc>
        <w:tc>
          <w:tcPr>
            <w:tcW w:w="2692" w:type="dxa"/>
            <w:gridSpan w:val="2"/>
            <w:shd w:val="clear" w:color="auto" w:fill="auto"/>
          </w:tcPr>
          <w:p w14:paraId="6C41FB14"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Dodecamethylcyclopentasiloxane</w:t>
            </w:r>
            <w:proofErr w:type="spellEnd"/>
            <w:r w:rsidRPr="0009445C">
              <w:rPr>
                <w:color w:val="000000"/>
              </w:rPr>
              <w:t xml:space="preserve"> (D6)</w:t>
            </w:r>
          </w:p>
        </w:tc>
        <w:tc>
          <w:tcPr>
            <w:tcW w:w="1277" w:type="dxa"/>
            <w:shd w:val="clear" w:color="auto" w:fill="auto"/>
          </w:tcPr>
          <w:p w14:paraId="3A4A0E6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540-97-6</w:t>
            </w:r>
          </w:p>
        </w:tc>
        <w:tc>
          <w:tcPr>
            <w:tcW w:w="993" w:type="dxa"/>
            <w:shd w:val="clear" w:color="auto" w:fill="auto"/>
          </w:tcPr>
          <w:p w14:paraId="46173AB1"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1 200</w:t>
            </w:r>
          </w:p>
        </w:tc>
        <w:tc>
          <w:tcPr>
            <w:tcW w:w="3265" w:type="dxa"/>
            <w:shd w:val="clear" w:color="auto" w:fill="auto"/>
          </w:tcPr>
          <w:p w14:paraId="043377C3" w14:textId="77777777" w:rsidR="00DE0321" w:rsidRPr="0009445C" w:rsidRDefault="00DE0321" w:rsidP="00B409DD">
            <w:pPr>
              <w:widowControl w:val="0"/>
              <w:autoSpaceDE w:val="0"/>
              <w:autoSpaceDN w:val="0"/>
              <w:adjustRightInd w:val="0"/>
              <w:spacing w:before="60" w:after="40" w:line="240" w:lineRule="auto"/>
              <w:rPr>
                <w:rFonts w:cs="Arial"/>
              </w:rPr>
            </w:pPr>
            <w:r w:rsidRPr="0009445C">
              <w:t xml:space="preserve">Read across of </w:t>
            </w:r>
            <w:proofErr w:type="spellStart"/>
            <w:r w:rsidRPr="0009445C">
              <w:t>octamethylcyclotetrasiloxane</w:t>
            </w:r>
            <w:proofErr w:type="spellEnd"/>
            <w:r w:rsidRPr="0009445C">
              <w:t xml:space="preserve"> </w:t>
            </w:r>
          </w:p>
        </w:tc>
      </w:tr>
      <w:tr w:rsidR="00DE0321" w:rsidRPr="0009445C" w14:paraId="65F94F97" w14:textId="77777777" w:rsidTr="00B409DD">
        <w:trPr>
          <w:cantSplit/>
          <w:trHeight w:val="220"/>
        </w:trPr>
        <w:tc>
          <w:tcPr>
            <w:tcW w:w="850" w:type="dxa"/>
            <w:shd w:val="clear" w:color="auto" w:fill="auto"/>
          </w:tcPr>
          <w:p w14:paraId="48FAC4F0"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12-14*</w:t>
            </w:r>
          </w:p>
        </w:tc>
        <w:tc>
          <w:tcPr>
            <w:tcW w:w="2692" w:type="dxa"/>
            <w:gridSpan w:val="2"/>
            <w:shd w:val="clear" w:color="auto" w:fill="auto"/>
          </w:tcPr>
          <w:p w14:paraId="57621582"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Tetrahydrofuran</w:t>
            </w:r>
          </w:p>
        </w:tc>
        <w:tc>
          <w:tcPr>
            <w:tcW w:w="1277" w:type="dxa"/>
            <w:shd w:val="clear" w:color="auto" w:fill="auto"/>
          </w:tcPr>
          <w:p w14:paraId="68E012C3"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109-99-9</w:t>
            </w:r>
          </w:p>
        </w:tc>
        <w:tc>
          <w:tcPr>
            <w:tcW w:w="993" w:type="dxa"/>
            <w:shd w:val="clear" w:color="auto" w:fill="auto"/>
          </w:tcPr>
          <w:p w14:paraId="773CAA50"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500</w:t>
            </w:r>
          </w:p>
        </w:tc>
        <w:tc>
          <w:tcPr>
            <w:tcW w:w="3265" w:type="dxa"/>
            <w:shd w:val="clear" w:color="auto" w:fill="auto"/>
          </w:tcPr>
          <w:p w14:paraId="6D5EB958"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Adoption of EU LCI value</w:t>
            </w:r>
          </w:p>
        </w:tc>
      </w:tr>
      <w:tr w:rsidR="00DE0321" w:rsidRPr="0009445C" w14:paraId="344BBFF7" w14:textId="77777777" w:rsidTr="00B409DD">
        <w:trPr>
          <w:cantSplit/>
          <w:trHeight w:val="220"/>
        </w:trPr>
        <w:tc>
          <w:tcPr>
            <w:tcW w:w="850" w:type="dxa"/>
            <w:shd w:val="clear" w:color="auto" w:fill="auto"/>
          </w:tcPr>
          <w:p w14:paraId="286F3FFB"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12-15</w:t>
            </w:r>
          </w:p>
        </w:tc>
        <w:tc>
          <w:tcPr>
            <w:tcW w:w="2692" w:type="dxa"/>
            <w:gridSpan w:val="2"/>
            <w:shd w:val="clear" w:color="auto" w:fill="auto"/>
          </w:tcPr>
          <w:p w14:paraId="4EF637C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Dimethylformamide</w:t>
            </w:r>
          </w:p>
        </w:tc>
        <w:tc>
          <w:tcPr>
            <w:tcW w:w="1277" w:type="dxa"/>
            <w:shd w:val="clear" w:color="auto" w:fill="auto"/>
          </w:tcPr>
          <w:p w14:paraId="56C6C4F4" w14:textId="77777777" w:rsidR="00DE0321" w:rsidRPr="0009445C" w:rsidRDefault="00DE0321" w:rsidP="00B409DD">
            <w:pPr>
              <w:widowControl w:val="0"/>
              <w:autoSpaceDE w:val="0"/>
              <w:autoSpaceDN w:val="0"/>
              <w:adjustRightInd w:val="0"/>
              <w:spacing w:before="60" w:after="40" w:line="240" w:lineRule="auto"/>
              <w:jc w:val="center"/>
              <w:rPr>
                <w:rFonts w:cs="Arial"/>
                <w:iCs/>
                <w:color w:val="000000"/>
              </w:rPr>
            </w:pPr>
            <w:r w:rsidRPr="0009445C">
              <w:rPr>
                <w:color w:val="000000"/>
              </w:rPr>
              <w:t>68-12-2</w:t>
            </w:r>
          </w:p>
        </w:tc>
        <w:tc>
          <w:tcPr>
            <w:tcW w:w="993" w:type="dxa"/>
            <w:shd w:val="clear" w:color="auto" w:fill="auto"/>
          </w:tcPr>
          <w:p w14:paraId="227EA18E"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15</w:t>
            </w:r>
          </w:p>
        </w:tc>
        <w:tc>
          <w:tcPr>
            <w:tcW w:w="3265" w:type="dxa"/>
            <w:shd w:val="clear" w:color="auto" w:fill="auto"/>
          </w:tcPr>
          <w:p w14:paraId="6F08810D" w14:textId="77777777" w:rsidR="00DE0321" w:rsidRPr="0009445C" w:rsidRDefault="00DE0321" w:rsidP="00B409DD">
            <w:pPr>
              <w:widowControl w:val="0"/>
              <w:autoSpaceDE w:val="0"/>
              <w:autoSpaceDN w:val="0"/>
              <w:adjustRightInd w:val="0"/>
              <w:spacing w:before="60" w:after="40" w:line="240" w:lineRule="auto"/>
              <w:rPr>
                <w:rFonts w:cs="Arial"/>
              </w:rPr>
            </w:pPr>
            <w:r w:rsidRPr="0009445C">
              <w:t>AGW: 15 000 µg/m³</w:t>
            </w:r>
          </w:p>
        </w:tc>
      </w:tr>
      <w:tr w:rsidR="00DE0321" w:rsidRPr="0009445C" w14:paraId="6AD48B4E" w14:textId="77777777" w:rsidTr="00B409DD">
        <w:trPr>
          <w:cantSplit/>
          <w:trHeight w:val="220"/>
        </w:trPr>
        <w:tc>
          <w:tcPr>
            <w:tcW w:w="850" w:type="dxa"/>
            <w:shd w:val="clear" w:color="auto" w:fill="auto"/>
          </w:tcPr>
          <w:p w14:paraId="59104477"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12-16</w:t>
            </w:r>
          </w:p>
        </w:tc>
        <w:tc>
          <w:tcPr>
            <w:tcW w:w="2692" w:type="dxa"/>
            <w:gridSpan w:val="2"/>
            <w:shd w:val="clear" w:color="auto" w:fill="auto"/>
          </w:tcPr>
          <w:p w14:paraId="601F6BFC" w14:textId="77777777" w:rsidR="00DE0321" w:rsidRPr="0009445C" w:rsidRDefault="00DE0321" w:rsidP="00B409DD">
            <w:pPr>
              <w:widowControl w:val="0"/>
              <w:autoSpaceDE w:val="0"/>
              <w:autoSpaceDN w:val="0"/>
              <w:adjustRightInd w:val="0"/>
              <w:spacing w:before="60" w:after="40" w:line="240" w:lineRule="auto"/>
              <w:rPr>
                <w:rFonts w:cs="Arial"/>
                <w:color w:val="000000"/>
              </w:rPr>
            </w:pPr>
            <w:proofErr w:type="spellStart"/>
            <w:r w:rsidRPr="0009445C">
              <w:rPr>
                <w:color w:val="000000"/>
              </w:rPr>
              <w:t>Tetradecamethylcycloheptasiloxane</w:t>
            </w:r>
            <w:proofErr w:type="spellEnd"/>
            <w:r w:rsidRPr="0009445C">
              <w:rPr>
                <w:color w:val="000000"/>
              </w:rPr>
              <w:t xml:space="preserve"> (D7)</w:t>
            </w:r>
          </w:p>
        </w:tc>
        <w:tc>
          <w:tcPr>
            <w:tcW w:w="1277" w:type="dxa"/>
            <w:shd w:val="clear" w:color="auto" w:fill="auto"/>
          </w:tcPr>
          <w:p w14:paraId="307E8BD3" w14:textId="77777777" w:rsidR="00DE0321" w:rsidRPr="0009445C" w:rsidRDefault="00DE0321" w:rsidP="00B409DD">
            <w:pPr>
              <w:widowControl w:val="0"/>
              <w:autoSpaceDE w:val="0"/>
              <w:autoSpaceDN w:val="0"/>
              <w:adjustRightInd w:val="0"/>
              <w:spacing w:before="60" w:after="40" w:line="240" w:lineRule="auto"/>
              <w:jc w:val="center"/>
              <w:rPr>
                <w:rFonts w:cs="Arial"/>
                <w:iCs/>
                <w:color w:val="000000"/>
              </w:rPr>
            </w:pPr>
            <w:r w:rsidRPr="0009445C">
              <w:rPr>
                <w:color w:val="000000"/>
              </w:rPr>
              <w:t>107-50-6</w:t>
            </w:r>
          </w:p>
        </w:tc>
        <w:tc>
          <w:tcPr>
            <w:tcW w:w="993" w:type="dxa"/>
            <w:shd w:val="clear" w:color="auto" w:fill="auto"/>
          </w:tcPr>
          <w:p w14:paraId="01C6D900"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1 200</w:t>
            </w:r>
          </w:p>
        </w:tc>
        <w:tc>
          <w:tcPr>
            <w:tcW w:w="3265" w:type="dxa"/>
            <w:shd w:val="clear" w:color="auto" w:fill="auto"/>
          </w:tcPr>
          <w:p w14:paraId="447F8315" w14:textId="77777777" w:rsidR="00DE0321" w:rsidRPr="0009445C" w:rsidRDefault="00DE0321" w:rsidP="00B409DD">
            <w:pPr>
              <w:widowControl w:val="0"/>
              <w:autoSpaceDE w:val="0"/>
              <w:autoSpaceDN w:val="0"/>
              <w:adjustRightInd w:val="0"/>
              <w:spacing w:before="60" w:after="40" w:line="240" w:lineRule="auto"/>
              <w:rPr>
                <w:rFonts w:cs="Arial"/>
              </w:rPr>
            </w:pPr>
            <w:r w:rsidRPr="0009445C">
              <w:t xml:space="preserve">Read across of </w:t>
            </w:r>
            <w:proofErr w:type="spellStart"/>
            <w:r w:rsidRPr="0009445C">
              <w:t>octamethylcyclotetrasiloxane</w:t>
            </w:r>
            <w:proofErr w:type="spellEnd"/>
            <w:r w:rsidRPr="0009445C">
              <w:t xml:space="preserve"> </w:t>
            </w:r>
          </w:p>
        </w:tc>
      </w:tr>
      <w:tr w:rsidR="00DE0321" w:rsidRPr="0009445C" w14:paraId="540FAF2C" w14:textId="77777777" w:rsidTr="00B409DD">
        <w:trPr>
          <w:cantSplit/>
          <w:trHeight w:val="220"/>
        </w:trPr>
        <w:tc>
          <w:tcPr>
            <w:tcW w:w="850" w:type="dxa"/>
            <w:shd w:val="clear" w:color="auto" w:fill="auto"/>
          </w:tcPr>
          <w:p w14:paraId="76F11589" w14:textId="77777777" w:rsidR="00DE0321" w:rsidRPr="0009445C" w:rsidRDefault="00DE0321" w:rsidP="00B409DD">
            <w:pPr>
              <w:pageBreakBefore/>
              <w:widowControl w:val="0"/>
              <w:autoSpaceDE w:val="0"/>
              <w:autoSpaceDN w:val="0"/>
              <w:adjustRightInd w:val="0"/>
              <w:spacing w:before="60" w:after="40" w:line="240" w:lineRule="auto"/>
              <w:jc w:val="center"/>
              <w:rPr>
                <w:rFonts w:cs="Arial"/>
                <w:color w:val="000000"/>
              </w:rPr>
            </w:pPr>
            <w:r w:rsidRPr="0009445C">
              <w:rPr>
                <w:color w:val="000000"/>
              </w:rPr>
              <w:lastRenderedPageBreak/>
              <w:t>12-17</w:t>
            </w:r>
          </w:p>
        </w:tc>
        <w:tc>
          <w:tcPr>
            <w:tcW w:w="2692" w:type="dxa"/>
            <w:gridSpan w:val="2"/>
            <w:shd w:val="clear" w:color="auto" w:fill="auto"/>
          </w:tcPr>
          <w:p w14:paraId="19D41FAF"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N-ethyl-2-pyrrolidone</w:t>
            </w:r>
          </w:p>
        </w:tc>
        <w:tc>
          <w:tcPr>
            <w:tcW w:w="1277" w:type="dxa"/>
            <w:shd w:val="clear" w:color="auto" w:fill="auto"/>
          </w:tcPr>
          <w:p w14:paraId="79D03A3D" w14:textId="77777777" w:rsidR="00DE0321" w:rsidRPr="0009445C" w:rsidRDefault="00DE0321" w:rsidP="00B409DD">
            <w:pPr>
              <w:widowControl w:val="0"/>
              <w:autoSpaceDE w:val="0"/>
              <w:autoSpaceDN w:val="0"/>
              <w:adjustRightInd w:val="0"/>
              <w:spacing w:before="60" w:after="40" w:line="240" w:lineRule="auto"/>
              <w:jc w:val="center"/>
              <w:rPr>
                <w:rFonts w:cs="Arial"/>
                <w:iCs/>
                <w:color w:val="000000"/>
              </w:rPr>
            </w:pPr>
            <w:r w:rsidRPr="0009445C">
              <w:rPr>
                <w:color w:val="000000"/>
              </w:rPr>
              <w:t>2687-91-4</w:t>
            </w:r>
          </w:p>
        </w:tc>
        <w:tc>
          <w:tcPr>
            <w:tcW w:w="993" w:type="dxa"/>
            <w:shd w:val="clear" w:color="auto" w:fill="auto"/>
          </w:tcPr>
          <w:p w14:paraId="445722CE"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400</w:t>
            </w:r>
          </w:p>
        </w:tc>
        <w:tc>
          <w:tcPr>
            <w:tcW w:w="3265" w:type="dxa"/>
            <w:shd w:val="clear" w:color="auto" w:fill="auto"/>
          </w:tcPr>
          <w:p w14:paraId="5DDF215C" w14:textId="77777777" w:rsidR="00DE0321" w:rsidRPr="0009445C" w:rsidRDefault="00DE0321" w:rsidP="00B409DD">
            <w:pPr>
              <w:widowControl w:val="0"/>
              <w:autoSpaceDE w:val="0"/>
              <w:autoSpaceDN w:val="0"/>
              <w:adjustRightInd w:val="0"/>
              <w:spacing w:before="60" w:after="40" w:line="240" w:lineRule="auto"/>
              <w:rPr>
                <w:rFonts w:cs="Arial"/>
              </w:rPr>
            </w:pPr>
            <w:r w:rsidRPr="0009445C">
              <w:rPr>
                <w:color w:val="000000"/>
              </w:rPr>
              <w:t xml:space="preserve">Adoption of EU LCI value </w:t>
            </w:r>
          </w:p>
        </w:tc>
      </w:tr>
      <w:tr w:rsidR="00DE0321" w:rsidRPr="0009445C" w14:paraId="55C9C749" w14:textId="77777777" w:rsidTr="00B409DD">
        <w:trPr>
          <w:cantSplit/>
          <w:trHeight w:val="220"/>
        </w:trPr>
        <w:tc>
          <w:tcPr>
            <w:tcW w:w="850" w:type="dxa"/>
            <w:shd w:val="clear" w:color="auto" w:fill="auto"/>
          </w:tcPr>
          <w:p w14:paraId="78C00246" w14:textId="77777777" w:rsidR="00DE0321" w:rsidRPr="0009445C" w:rsidRDefault="00DE0321" w:rsidP="00B409DD">
            <w:pPr>
              <w:widowControl w:val="0"/>
              <w:autoSpaceDE w:val="0"/>
              <w:autoSpaceDN w:val="0"/>
              <w:adjustRightInd w:val="0"/>
              <w:spacing w:before="60" w:after="40" w:line="240" w:lineRule="auto"/>
              <w:jc w:val="center"/>
              <w:rPr>
                <w:rFonts w:cs="Arial"/>
                <w:color w:val="000000"/>
              </w:rPr>
            </w:pPr>
            <w:r w:rsidRPr="0009445C">
              <w:rPr>
                <w:color w:val="000000"/>
              </w:rPr>
              <w:t>12-18</w:t>
            </w:r>
          </w:p>
        </w:tc>
        <w:tc>
          <w:tcPr>
            <w:tcW w:w="2692" w:type="dxa"/>
            <w:gridSpan w:val="2"/>
            <w:shd w:val="clear" w:color="auto" w:fill="auto"/>
          </w:tcPr>
          <w:p w14:paraId="792428B8"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N-butyl-2-pyrrolidone</w:t>
            </w:r>
          </w:p>
        </w:tc>
        <w:tc>
          <w:tcPr>
            <w:tcW w:w="1277" w:type="dxa"/>
            <w:shd w:val="clear" w:color="auto" w:fill="auto"/>
          </w:tcPr>
          <w:p w14:paraId="7B3B0D42" w14:textId="77777777" w:rsidR="00DE0321" w:rsidRPr="0009445C" w:rsidRDefault="00DE0321" w:rsidP="00B409DD">
            <w:pPr>
              <w:widowControl w:val="0"/>
              <w:autoSpaceDE w:val="0"/>
              <w:autoSpaceDN w:val="0"/>
              <w:adjustRightInd w:val="0"/>
              <w:spacing w:before="60" w:after="40" w:line="240" w:lineRule="auto"/>
              <w:jc w:val="center"/>
              <w:rPr>
                <w:rFonts w:cs="Arial"/>
                <w:iCs/>
                <w:color w:val="000000"/>
              </w:rPr>
            </w:pPr>
            <w:r w:rsidRPr="0009445C">
              <w:rPr>
                <w:color w:val="000000"/>
              </w:rPr>
              <w:t>3470-98-2</w:t>
            </w:r>
          </w:p>
        </w:tc>
        <w:tc>
          <w:tcPr>
            <w:tcW w:w="993" w:type="dxa"/>
            <w:shd w:val="clear" w:color="auto" w:fill="auto"/>
          </w:tcPr>
          <w:p w14:paraId="237884E7" w14:textId="77777777" w:rsidR="00DE0321" w:rsidRPr="0009445C" w:rsidRDefault="00DE0321" w:rsidP="00B409DD">
            <w:pPr>
              <w:widowControl w:val="0"/>
              <w:autoSpaceDE w:val="0"/>
              <w:autoSpaceDN w:val="0"/>
              <w:adjustRightInd w:val="0"/>
              <w:spacing w:before="60" w:after="40" w:line="240" w:lineRule="auto"/>
              <w:jc w:val="center"/>
              <w:rPr>
                <w:rFonts w:cs="Arial"/>
                <w:b/>
                <w:bCs/>
                <w:color w:val="000000"/>
              </w:rPr>
            </w:pPr>
            <w:r w:rsidRPr="0009445C">
              <w:rPr>
                <w:b/>
                <w:color w:val="000000"/>
              </w:rPr>
              <w:t>500</w:t>
            </w:r>
          </w:p>
        </w:tc>
        <w:tc>
          <w:tcPr>
            <w:tcW w:w="3265" w:type="dxa"/>
            <w:shd w:val="clear" w:color="auto" w:fill="auto"/>
          </w:tcPr>
          <w:p w14:paraId="618F695C" w14:textId="77777777" w:rsidR="00DE0321" w:rsidRPr="0009445C" w:rsidRDefault="00DE0321" w:rsidP="00B409DD">
            <w:pPr>
              <w:widowControl w:val="0"/>
              <w:autoSpaceDE w:val="0"/>
              <w:autoSpaceDN w:val="0"/>
              <w:adjustRightInd w:val="0"/>
              <w:spacing w:before="60" w:after="40" w:line="240" w:lineRule="auto"/>
              <w:rPr>
                <w:rFonts w:cs="Arial"/>
                <w:color w:val="000000"/>
              </w:rPr>
            </w:pPr>
            <w:r w:rsidRPr="0009445C">
              <w:rPr>
                <w:color w:val="000000"/>
              </w:rPr>
              <w:t>Individual substance assessment</w:t>
            </w:r>
          </w:p>
        </w:tc>
      </w:tr>
    </w:tbl>
    <w:p w14:paraId="38EF25B2" w14:textId="77777777" w:rsidR="00DE0321" w:rsidRPr="0009445C" w:rsidRDefault="00DE0321" w:rsidP="00DE0321">
      <w:pPr>
        <w:spacing w:line="240" w:lineRule="auto"/>
        <w:rPr>
          <w:sz w:val="16"/>
          <w:szCs w:val="16"/>
        </w:rPr>
      </w:pPr>
      <w:bookmarkStart w:id="48" w:name="_Toc458604377"/>
      <w:bookmarkStart w:id="49" w:name="_Toc459022774"/>
    </w:p>
    <w:tbl>
      <w:tblPr>
        <w:tblW w:w="8931" w:type="dxa"/>
        <w:tblLayout w:type="fixed"/>
        <w:tblCellMar>
          <w:left w:w="0" w:type="dxa"/>
          <w:right w:w="0" w:type="dxa"/>
        </w:tblCellMar>
        <w:tblLook w:val="04A0" w:firstRow="1" w:lastRow="0" w:firstColumn="1" w:lastColumn="0" w:noHBand="0" w:noVBand="1"/>
      </w:tblPr>
      <w:tblGrid>
        <w:gridCol w:w="8931"/>
      </w:tblGrid>
      <w:tr w:rsidR="00DE0321" w:rsidRPr="0009445C" w14:paraId="35015FD9" w14:textId="77777777" w:rsidTr="00B409DD">
        <w:trPr>
          <w:cantSplit/>
        </w:trPr>
        <w:tc>
          <w:tcPr>
            <w:tcW w:w="8931" w:type="dxa"/>
            <w:shd w:val="clear" w:color="auto" w:fill="FFFFFF"/>
          </w:tcPr>
          <w:bookmarkEnd w:id="48"/>
          <w:bookmarkEnd w:id="49"/>
          <w:p w14:paraId="4985DFE7" w14:textId="77777777" w:rsidR="00DE0321" w:rsidRPr="0009445C" w:rsidRDefault="00DE0321" w:rsidP="00B409DD">
            <w:pPr>
              <w:spacing w:after="60" w:line="240" w:lineRule="auto"/>
              <w:rPr>
                <w:b/>
                <w:sz w:val="16"/>
                <w:szCs w:val="16"/>
              </w:rPr>
            </w:pPr>
            <w:r w:rsidRPr="0009445C">
              <w:rPr>
                <w:sz w:val="16"/>
              </w:rPr>
              <w:t>*</w:t>
            </w:r>
            <w:r w:rsidRPr="0009445C">
              <w:rPr>
                <w:sz w:val="16"/>
              </w:rPr>
              <w:tab/>
              <w:t>New inclusions/amendments 2020</w:t>
            </w:r>
          </w:p>
          <w:p w14:paraId="2FEB6A46" w14:textId="77777777" w:rsidR="00DE0321" w:rsidRPr="0009445C" w:rsidRDefault="00DE0321" w:rsidP="00B409DD">
            <w:pPr>
              <w:spacing w:after="60" w:line="240" w:lineRule="auto"/>
              <w:rPr>
                <w:b/>
                <w:sz w:val="16"/>
                <w:szCs w:val="16"/>
              </w:rPr>
            </w:pPr>
            <w:r w:rsidRPr="0009445C">
              <w:rPr>
                <w:sz w:val="16"/>
              </w:rPr>
              <w:t>#</w:t>
            </w:r>
            <w:r w:rsidRPr="0009445C">
              <w:rPr>
                <w:sz w:val="16"/>
              </w:rPr>
              <w:tab/>
              <w:t xml:space="preserve">LCI </w:t>
            </w:r>
            <w:r w:rsidRPr="0009445C">
              <w:rPr>
                <w:sz w:val="16"/>
              </w:rPr>
              <w:noBreakHyphen/>
              <w:t>value</w:t>
            </w:r>
            <w:r w:rsidRPr="0009445C">
              <w:rPr>
                <w:sz w:val="16"/>
              </w:rPr>
              <w:noBreakHyphen/>
              <w:t xml:space="preserve"> assessment only takes place from measured emissions of 5 µg/m³.</w:t>
            </w:r>
          </w:p>
          <w:p w14:paraId="7558D299" w14:textId="77777777" w:rsidR="00DE0321" w:rsidRPr="0009445C" w:rsidRDefault="00DE0321" w:rsidP="00B409DD">
            <w:pPr>
              <w:spacing w:after="60" w:line="240" w:lineRule="auto"/>
              <w:rPr>
                <w:b/>
                <w:sz w:val="16"/>
                <w:szCs w:val="16"/>
              </w:rPr>
            </w:pPr>
            <w:r w:rsidRPr="0009445C">
              <w:rPr>
                <w:sz w:val="16"/>
              </w:rPr>
              <w:t>VVOC</w:t>
            </w:r>
            <w:r w:rsidRPr="0009445C">
              <w:rPr>
                <w:sz w:val="16"/>
              </w:rPr>
              <w:tab/>
              <w:t>very volatile organic compounds)</w:t>
            </w:r>
          </w:p>
          <w:p w14:paraId="6B94293F" w14:textId="77777777" w:rsidR="00DE0321" w:rsidRPr="0009445C" w:rsidRDefault="00DE0321" w:rsidP="00B409DD">
            <w:pPr>
              <w:spacing w:after="60" w:line="240" w:lineRule="auto"/>
              <w:rPr>
                <w:b/>
                <w:sz w:val="16"/>
                <w:szCs w:val="16"/>
              </w:rPr>
            </w:pPr>
            <w:r w:rsidRPr="0009445C">
              <w:rPr>
                <w:sz w:val="16"/>
              </w:rPr>
              <w:t>SVOC</w:t>
            </w:r>
            <w:r w:rsidRPr="0009445C">
              <w:rPr>
                <w:sz w:val="16"/>
              </w:rPr>
              <w:tab/>
              <w:t>semi-volatile organic compounds</w:t>
            </w:r>
          </w:p>
          <w:p w14:paraId="2DFF44DB" w14:textId="77777777" w:rsidR="00DE0321" w:rsidRPr="0009445C" w:rsidRDefault="00DE0321" w:rsidP="00B409DD">
            <w:pPr>
              <w:spacing w:after="60" w:line="240" w:lineRule="auto"/>
              <w:ind w:left="709" w:hanging="709"/>
              <w:rPr>
                <w:b/>
                <w:sz w:val="16"/>
                <w:szCs w:val="16"/>
              </w:rPr>
            </w:pPr>
            <w:r w:rsidRPr="0009445C">
              <w:rPr>
                <w:sz w:val="16"/>
                <w:vertAlign w:val="superscript"/>
              </w:rPr>
              <w:t>1)</w:t>
            </w:r>
            <w:r w:rsidRPr="0009445C">
              <w:rPr>
                <w:sz w:val="16"/>
              </w:rPr>
              <w:tab/>
              <w:t>To ensure compatibility with the ADAM evaluation template, sequential numbers in the LCI list formerly used may not be re-used if substances or substance groups are discontinued or re-sorted.</w:t>
            </w:r>
          </w:p>
        </w:tc>
      </w:tr>
    </w:tbl>
    <w:p w14:paraId="10C6DCF4" w14:textId="77777777" w:rsidR="00DE0321" w:rsidRPr="0009445C" w:rsidRDefault="00DE0321" w:rsidP="00DE0321">
      <w:pPr>
        <w:spacing w:line="240" w:lineRule="auto"/>
        <w:rPr>
          <w:b/>
        </w:rPr>
      </w:pPr>
    </w:p>
    <w:p w14:paraId="38173D4E" w14:textId="77777777" w:rsidR="00DE0321" w:rsidRPr="0009445C" w:rsidRDefault="00DE0321" w:rsidP="00DE0321">
      <w:pPr>
        <w:spacing w:line="240" w:lineRule="auto"/>
        <w:rPr>
          <w:b/>
        </w:rPr>
      </w:pPr>
      <w:r w:rsidRPr="0009445C">
        <w:rPr>
          <w:b/>
        </w:rPr>
        <w:t>Notes:</w:t>
      </w:r>
    </w:p>
    <w:p w14:paraId="6E97A9CE" w14:textId="77777777" w:rsidR="00DE0321" w:rsidRPr="0009445C" w:rsidRDefault="00DE0321" w:rsidP="00DE0321">
      <w:pPr>
        <w:spacing w:line="240" w:lineRule="auto"/>
        <w:rPr>
          <w:b/>
        </w:rPr>
      </w:pPr>
      <w:r w:rsidRPr="0009445C">
        <w:rPr>
          <w:b/>
        </w:rPr>
        <w:t>I) Note on current lists of carcinogenic substances (EU category 1):</w:t>
      </w:r>
    </w:p>
    <w:p w14:paraId="4B5A472F" w14:textId="77777777" w:rsidR="00DE0321" w:rsidRPr="0009445C" w:rsidRDefault="00DE0321" w:rsidP="00DE0321">
      <w:pPr>
        <w:spacing w:line="240" w:lineRule="auto"/>
      </w:pPr>
      <w:r w:rsidRPr="0009445C">
        <w:t>I)</w:t>
      </w:r>
      <w:r w:rsidRPr="0009445C">
        <w:tab/>
        <w:t>The following links point to lists of substances classified as Category 1A or 1B carcinogens under EU Regulation 1272/2008, and for which testing and control under the scheme are required (version should be up to date):</w:t>
      </w:r>
    </w:p>
    <w:p w14:paraId="6169BFF2" w14:textId="77777777" w:rsidR="00DE0321" w:rsidRPr="0009445C" w:rsidRDefault="00DE0321" w:rsidP="00DE0321">
      <w:pPr>
        <w:pStyle w:val="BRLAufzhlungAnstrich"/>
        <w:numPr>
          <w:ilvl w:val="0"/>
          <w:numId w:val="1"/>
        </w:numPr>
        <w:jc w:val="both"/>
      </w:pPr>
      <w:r w:rsidRPr="0009445C">
        <w:t xml:space="preserve">IFA, Institute for Occupational Safety and Health of the German Social Accident Insurance (Deutsche </w:t>
      </w:r>
      <w:proofErr w:type="spellStart"/>
      <w:r w:rsidRPr="0009445C">
        <w:t>Gesetzliche</w:t>
      </w:r>
      <w:proofErr w:type="spellEnd"/>
      <w:r w:rsidRPr="0009445C">
        <w:t xml:space="preserve"> </w:t>
      </w:r>
      <w:proofErr w:type="spellStart"/>
      <w:r w:rsidRPr="0009445C">
        <w:t>Unfallversicherung</w:t>
      </w:r>
      <w:proofErr w:type="spellEnd"/>
      <w:r w:rsidRPr="0009445C">
        <w:t xml:space="preserve"> [DGUV]) </w:t>
      </w:r>
    </w:p>
    <w:p w14:paraId="30F59A01" w14:textId="59ADA42D" w:rsidR="00DE0321" w:rsidRPr="0009445C" w:rsidRDefault="00375ADF" w:rsidP="00DE0321">
      <w:pPr>
        <w:pStyle w:val="BRLAufzhlungAnstrich"/>
        <w:numPr>
          <w:ilvl w:val="0"/>
          <w:numId w:val="0"/>
        </w:numPr>
        <w:ind w:left="284"/>
      </w:pPr>
      <w:hyperlink r:id="rId90" w:history="1">
        <w:r w:rsidRPr="0009445C">
          <w:rPr>
            <w:rStyle w:val="Hyperlink"/>
            <w:color w:val="auto"/>
          </w:rPr>
          <w:t>http://www.dguv.de/ifa/fachinfos/kmr-liste/index.jsp</w:t>
        </w:r>
      </w:hyperlink>
    </w:p>
    <w:p w14:paraId="5921F233" w14:textId="77777777" w:rsidR="00DE0321" w:rsidRPr="0009445C" w:rsidRDefault="00DE0321" w:rsidP="00DE0321">
      <w:pPr>
        <w:pStyle w:val="BRLAufzhlungAnstrich"/>
        <w:numPr>
          <w:ilvl w:val="0"/>
          <w:numId w:val="1"/>
        </w:numPr>
        <w:jc w:val="both"/>
      </w:pPr>
      <w:r w:rsidRPr="0009445C">
        <w:t>ECHA, European Chemicals Agency</w:t>
      </w:r>
    </w:p>
    <w:p w14:paraId="06558691" w14:textId="55760DB5" w:rsidR="00DE0321" w:rsidRPr="0009445C" w:rsidRDefault="00375ADF" w:rsidP="00DE0321">
      <w:pPr>
        <w:pStyle w:val="BRLAufzhlungAnstrich"/>
        <w:numPr>
          <w:ilvl w:val="0"/>
          <w:numId w:val="0"/>
        </w:numPr>
        <w:ind w:left="284"/>
      </w:pPr>
      <w:hyperlink r:id="rId91" w:history="1">
        <w:r w:rsidRPr="0009445C">
          <w:rPr>
            <w:rStyle w:val="Hyperlink"/>
            <w:color w:val="auto"/>
          </w:rPr>
          <w:t>http://echa.europa.eu/web/guest/information-on-chemicals/cl-inventory-database</w:t>
        </w:r>
      </w:hyperlink>
    </w:p>
    <w:p w14:paraId="1A181BB4" w14:textId="77777777" w:rsidR="00DE0321" w:rsidRPr="0009445C" w:rsidRDefault="00DE0321" w:rsidP="00DE0321">
      <w:pPr>
        <w:pStyle w:val="BRLAufzhlungAnstrich"/>
        <w:numPr>
          <w:ilvl w:val="0"/>
          <w:numId w:val="0"/>
        </w:numPr>
        <w:ind w:left="284"/>
      </w:pPr>
    </w:p>
    <w:p w14:paraId="29EB969E" w14:textId="77777777" w:rsidR="00DE0321" w:rsidRPr="0009445C" w:rsidRDefault="00DE0321" w:rsidP="00DE0321">
      <w:pPr>
        <w:spacing w:line="240" w:lineRule="auto"/>
        <w:rPr>
          <w:b/>
        </w:rPr>
      </w:pPr>
      <w:r w:rsidRPr="0009445C">
        <w:rPr>
          <w:b/>
        </w:rPr>
        <w:t>Analysis of carbonyl compounds:</w:t>
      </w:r>
    </w:p>
    <w:p w14:paraId="4DFDF727" w14:textId="77777777" w:rsidR="00DE0321" w:rsidRPr="0009445C" w:rsidRDefault="00DE0321" w:rsidP="00DE0321">
      <w:pPr>
        <w:spacing w:line="240" w:lineRule="auto"/>
      </w:pPr>
      <w:r w:rsidRPr="0009445C">
        <w:t>For the following carbonyl compounds, in accordance with DIN EN 16516, the procedure described in DIN ISO 16000-3 shall be used: Formaldehyde, acetaldehyde, propane, butanal, acetone. Propenal shall be determined in accordance with ISO 16000-3.</w:t>
      </w:r>
    </w:p>
    <w:p w14:paraId="22FF5F26" w14:textId="77777777" w:rsidR="00DE0321" w:rsidRPr="0009445C" w:rsidRDefault="00DE0321" w:rsidP="00DE0321">
      <w:pPr>
        <w:spacing w:line="240" w:lineRule="auto"/>
      </w:pPr>
    </w:p>
    <w:p w14:paraId="39F1EF53" w14:textId="77777777" w:rsidR="00DE0321" w:rsidRPr="0009445C" w:rsidRDefault="00DE0321" w:rsidP="00DE0321">
      <w:pPr>
        <w:spacing w:line="240" w:lineRule="auto"/>
        <w:rPr>
          <w:b/>
        </w:rPr>
      </w:pPr>
      <w:r w:rsidRPr="0009445C">
        <w:rPr>
          <w:b/>
        </w:rPr>
        <w:t xml:space="preserve">III) </w:t>
      </w:r>
      <w:r w:rsidRPr="0009445C">
        <w:rPr>
          <w:b/>
        </w:rPr>
        <w:tab/>
        <w:t>Analysis of VVOC:</w:t>
      </w:r>
    </w:p>
    <w:p w14:paraId="117717AD" w14:textId="77777777" w:rsidR="00DE0321" w:rsidRPr="0009445C" w:rsidRDefault="00DE0321" w:rsidP="00DE0321">
      <w:pPr>
        <w:spacing w:line="240" w:lineRule="auto"/>
      </w:pPr>
      <w:r w:rsidRPr="0009445C">
        <w:t>For the determination of the VVOC formaldehyde, acetaldehyde, propane and acetone, the procedure described in DIN ISO 16000-3 shall be used. Propenal shall be determined in accordance with ISO 16000-3. For the other VVOCs listed in the NIK list, an appropriate test procedure must be used and demonstrated according to the current state of standardisation (see also DIN EN 16516, Annex C).</w:t>
      </w:r>
    </w:p>
    <w:p w14:paraId="20D3F721" w14:textId="77777777" w:rsidR="00DE0321" w:rsidRPr="0009445C" w:rsidRDefault="00DE0321" w:rsidP="00DE0321">
      <w:pPr>
        <w:spacing w:line="240" w:lineRule="auto"/>
      </w:pPr>
    </w:p>
    <w:p w14:paraId="7EBC7810" w14:textId="77777777" w:rsidR="00DE0321" w:rsidRPr="0009445C" w:rsidRDefault="00DE0321" w:rsidP="00DE0321">
      <w:pPr>
        <w:spacing w:line="240" w:lineRule="auto"/>
        <w:rPr>
          <w:b/>
        </w:rPr>
      </w:pPr>
      <w:r w:rsidRPr="0009445C">
        <w:rPr>
          <w:b/>
        </w:rPr>
        <w:t xml:space="preserve">IV) </w:t>
      </w:r>
      <w:r w:rsidRPr="0009445C">
        <w:rPr>
          <w:b/>
        </w:rPr>
        <w:tab/>
        <w:t>Analysis of groups of substances saturated aliphatic hydrocarbons (NIK 2-9/2-10):</w:t>
      </w:r>
    </w:p>
    <w:p w14:paraId="1F56FE2B" w14:textId="77777777" w:rsidR="00DE0321" w:rsidRPr="0009445C" w:rsidRDefault="00DE0321" w:rsidP="00DE0321">
      <w:pPr>
        <w:spacing w:line="240" w:lineRule="auto"/>
        <w:rPr>
          <w:color w:val="000000" w:themeColor="text1"/>
        </w:rPr>
      </w:pPr>
      <w:r w:rsidRPr="0009445C">
        <w:rPr>
          <w:color w:val="000000" w:themeColor="text1"/>
        </w:rPr>
        <w:t>The subdivision of the group of substances required by the different NIK values takes place when an 'alkane hump' occurs in the gas chromatogram at the retention time of n-</w:t>
      </w:r>
      <w:proofErr w:type="spellStart"/>
      <w:r w:rsidRPr="0009445C">
        <w:rPr>
          <w:color w:val="000000" w:themeColor="text1"/>
        </w:rPr>
        <w:t>Nonan</w:t>
      </w:r>
      <w:proofErr w:type="spellEnd"/>
      <w:r w:rsidRPr="0009445C">
        <w:rPr>
          <w:color w:val="000000" w:themeColor="text1"/>
        </w:rPr>
        <w:t>, i.e. for aliphatic KW with a smaller retention time such as n-</w:t>
      </w:r>
      <w:proofErr w:type="spellStart"/>
      <w:r w:rsidRPr="0009445C">
        <w:rPr>
          <w:color w:val="000000" w:themeColor="text1"/>
        </w:rPr>
        <w:t>Nonan</w:t>
      </w:r>
      <w:proofErr w:type="spellEnd"/>
      <w:r w:rsidRPr="0009445C">
        <w:rPr>
          <w:color w:val="000000" w:themeColor="text1"/>
        </w:rPr>
        <w:t>, the NIK value of 14 000 µg/m³ applies and for aliphatic KW with the same or greater retention time as n-</w:t>
      </w:r>
      <w:proofErr w:type="spellStart"/>
      <w:r w:rsidRPr="0009445C">
        <w:rPr>
          <w:color w:val="000000" w:themeColor="text1"/>
        </w:rPr>
        <w:t>Nonan</w:t>
      </w:r>
      <w:proofErr w:type="spellEnd"/>
      <w:r w:rsidRPr="0009445C">
        <w:rPr>
          <w:color w:val="000000" w:themeColor="text1"/>
        </w:rPr>
        <w:t>, the NIK value of 6 000 µg/m³ applies.</w:t>
      </w:r>
    </w:p>
    <w:p w14:paraId="676170F0" w14:textId="77777777" w:rsidR="00DE0321" w:rsidRPr="0009445C" w:rsidRDefault="00DE0321" w:rsidP="00DE0321">
      <w:pPr>
        <w:spacing w:line="240" w:lineRule="auto"/>
        <w:rPr>
          <w:color w:val="000000" w:themeColor="text1"/>
        </w:rPr>
      </w:pPr>
      <w:r w:rsidRPr="0009445C">
        <w:rPr>
          <w:color w:val="000000" w:themeColor="text1"/>
        </w:rPr>
        <w:t>The retention time of n-nonane should also be used to classify individual peaks of saturated aliphatic hydrocarbons which cannot be identified more accurately.</w:t>
      </w:r>
    </w:p>
    <w:p w14:paraId="2036A5AB" w14:textId="77777777" w:rsidR="00DE0321" w:rsidRPr="0009445C" w:rsidRDefault="00DE0321" w:rsidP="00DE0321">
      <w:pPr>
        <w:spacing w:line="240" w:lineRule="auto"/>
        <w:rPr>
          <w:color w:val="000000" w:themeColor="text1"/>
        </w:rPr>
      </w:pPr>
    </w:p>
    <w:p w14:paraId="6B7E5BF9" w14:textId="77777777" w:rsidR="00DE0321" w:rsidRPr="0009445C" w:rsidRDefault="00DE0321" w:rsidP="00DE0321">
      <w:pPr>
        <w:spacing w:line="240" w:lineRule="auto"/>
        <w:rPr>
          <w:b/>
          <w:color w:val="000000" w:themeColor="text1"/>
        </w:rPr>
      </w:pPr>
      <w:r w:rsidRPr="0009445C">
        <w:rPr>
          <w:b/>
          <w:color w:val="000000" w:themeColor="text1"/>
        </w:rPr>
        <w:t xml:space="preserve">V) </w:t>
      </w:r>
      <w:r w:rsidRPr="0009445C">
        <w:rPr>
          <w:b/>
          <w:color w:val="000000" w:themeColor="text1"/>
        </w:rPr>
        <w:tab/>
        <w:t>Published explanatory documents for the adopted EU LCI values</w:t>
      </w:r>
    </w:p>
    <w:p w14:paraId="699B4AE7" w14:textId="5BA345FE" w:rsidR="00DE0321" w:rsidRPr="0009445C" w:rsidRDefault="00DE0321" w:rsidP="00DE0321">
      <w:pPr>
        <w:spacing w:line="240" w:lineRule="auto"/>
      </w:pPr>
      <w:r w:rsidRPr="0009445C">
        <w:rPr>
          <w:color w:val="000000" w:themeColor="text1"/>
        </w:rPr>
        <w:t>The justification documents for the adopted EU-LCI values are published under</w:t>
      </w:r>
      <w:hyperlink r:id="rId92" w:history="1">
        <w:r w:rsidRPr="0009445C">
          <w:rPr>
            <w:rStyle w:val="Hyperlink"/>
            <w:color w:val="auto"/>
          </w:rPr>
          <w:t>https://ec.europa.eu/growth/sectors/construction/eu-lci/documents-glossary_en</w:t>
        </w:r>
      </w:hyperlink>
      <w:r w:rsidRPr="0009445C">
        <w:t>.</w:t>
      </w:r>
    </w:p>
    <w:p w14:paraId="05956C0B" w14:textId="77777777" w:rsidR="00DE0321" w:rsidRPr="0009445C" w:rsidRDefault="00DE0321" w:rsidP="00DE0321">
      <w:pPr>
        <w:spacing w:line="240" w:lineRule="auto"/>
        <w:rPr>
          <w:color w:val="000000" w:themeColor="text1"/>
        </w:rPr>
      </w:pPr>
    </w:p>
    <w:p w14:paraId="505E9998" w14:textId="77777777" w:rsidR="00DE0321" w:rsidRPr="0009445C" w:rsidRDefault="00DE0321" w:rsidP="00DE0321">
      <w:pPr>
        <w:spacing w:line="240" w:lineRule="auto"/>
        <w:rPr>
          <w:b/>
        </w:rPr>
      </w:pPr>
    </w:p>
    <w:p w14:paraId="58372D84" w14:textId="77777777" w:rsidR="00DE0321" w:rsidRPr="0009445C" w:rsidRDefault="00DE0321" w:rsidP="00DE0321">
      <w:pPr>
        <w:spacing w:line="240" w:lineRule="auto"/>
        <w:rPr>
          <w:b/>
        </w:rPr>
      </w:pPr>
    </w:p>
    <w:p w14:paraId="57D9FDDD" w14:textId="77777777" w:rsidR="00DE0321" w:rsidRPr="0009445C" w:rsidRDefault="00DE0321" w:rsidP="00600F53">
      <w:pPr>
        <w:pStyle w:val="BRL-berschrift"/>
        <w:sectPr w:rsidR="00DE0321" w:rsidRPr="0009445C" w:rsidSect="00B409DD">
          <w:footerReference w:type="first" r:id="rId93"/>
          <w:pgSz w:w="11906" w:h="16838" w:code="9"/>
          <w:pgMar w:top="1134" w:right="1418" w:bottom="1134" w:left="1418" w:header="709" w:footer="652" w:gutter="0"/>
          <w:cols w:space="708"/>
          <w:titlePg/>
          <w:docGrid w:linePitch="360"/>
        </w:sectPr>
      </w:pPr>
    </w:p>
    <w:p w14:paraId="60ECEA1D" w14:textId="77777777" w:rsidR="00DE0321" w:rsidRPr="0009445C" w:rsidRDefault="00DE0321" w:rsidP="00600F53">
      <w:pPr>
        <w:pStyle w:val="BRL-berschrift"/>
      </w:pPr>
      <w:r w:rsidRPr="0009445C">
        <w:lastRenderedPageBreak/>
        <w:t>Appendix 3</w:t>
      </w:r>
    </w:p>
    <w:p w14:paraId="7BDE4AC6" w14:textId="77777777" w:rsidR="00DE0321" w:rsidRPr="0009445C" w:rsidRDefault="00DE0321" w:rsidP="00DE0321">
      <w:pPr>
        <w:spacing w:after="120" w:line="260" w:lineRule="exact"/>
      </w:pPr>
      <w:r w:rsidRPr="0009445C">
        <w:t>List of 16 PAHs designated by the US Federal Environmental Protection Agency as lead substances for PAH analytics:</w:t>
      </w:r>
    </w:p>
    <w:p w14:paraId="19E791E2" w14:textId="77777777" w:rsidR="00DE0321" w:rsidRPr="0009445C" w:rsidRDefault="00DE0321" w:rsidP="00DE0321">
      <w:pPr>
        <w:pStyle w:val="BRLAufzhlungAnstrich"/>
        <w:numPr>
          <w:ilvl w:val="0"/>
          <w:numId w:val="1"/>
        </w:numPr>
      </w:pPr>
      <w:r w:rsidRPr="0009445C">
        <w:t>Benzo(a)pyrene</w:t>
      </w:r>
    </w:p>
    <w:p w14:paraId="63D439A1" w14:textId="77777777" w:rsidR="00DE0321" w:rsidRPr="0009445C" w:rsidRDefault="00DE0321" w:rsidP="00DE0321">
      <w:pPr>
        <w:pStyle w:val="BRLAufzhlungAnstrich"/>
        <w:numPr>
          <w:ilvl w:val="0"/>
          <w:numId w:val="1"/>
        </w:numPr>
      </w:pPr>
      <w:r w:rsidRPr="0009445C">
        <w:t>Benzo(a)anthracene</w:t>
      </w:r>
    </w:p>
    <w:p w14:paraId="5FB3CDF9" w14:textId="77777777" w:rsidR="00DE0321" w:rsidRPr="0009445C" w:rsidRDefault="00DE0321" w:rsidP="00DE0321">
      <w:pPr>
        <w:pStyle w:val="BRLAufzhlungAnstrich"/>
        <w:numPr>
          <w:ilvl w:val="0"/>
          <w:numId w:val="1"/>
        </w:numPr>
      </w:pPr>
      <w:r w:rsidRPr="0009445C">
        <w:t>Benzo(b)fluoranthene</w:t>
      </w:r>
    </w:p>
    <w:p w14:paraId="0FF1A64C" w14:textId="77777777" w:rsidR="00DE0321" w:rsidRPr="0009445C" w:rsidRDefault="00DE0321" w:rsidP="00DE0321">
      <w:pPr>
        <w:pStyle w:val="BRLAufzhlungAnstrich"/>
        <w:numPr>
          <w:ilvl w:val="0"/>
          <w:numId w:val="1"/>
        </w:numPr>
      </w:pPr>
      <w:r w:rsidRPr="0009445C">
        <w:t>Benzo(k)fluoranthene</w:t>
      </w:r>
    </w:p>
    <w:p w14:paraId="4485671C" w14:textId="77777777" w:rsidR="00DE0321" w:rsidRPr="0009445C" w:rsidRDefault="00DE0321" w:rsidP="00DE0321">
      <w:pPr>
        <w:pStyle w:val="BRLAufzhlungAnstrich"/>
        <w:numPr>
          <w:ilvl w:val="0"/>
          <w:numId w:val="1"/>
        </w:numPr>
      </w:pPr>
      <w:r w:rsidRPr="0009445C">
        <w:t>Benzo(</w:t>
      </w:r>
      <w:proofErr w:type="spellStart"/>
      <w:r w:rsidRPr="0009445C">
        <w:t>g,h,i</w:t>
      </w:r>
      <w:proofErr w:type="spellEnd"/>
      <w:r w:rsidRPr="0009445C">
        <w:t>)perylene</w:t>
      </w:r>
    </w:p>
    <w:p w14:paraId="4CD16B2C" w14:textId="77777777" w:rsidR="00DE0321" w:rsidRPr="0009445C" w:rsidRDefault="00DE0321" w:rsidP="00DE0321">
      <w:pPr>
        <w:pStyle w:val="BRLAufzhlungAnstrich"/>
        <w:numPr>
          <w:ilvl w:val="0"/>
          <w:numId w:val="1"/>
        </w:numPr>
      </w:pPr>
      <w:r w:rsidRPr="0009445C">
        <w:t>Chrysene</w:t>
      </w:r>
    </w:p>
    <w:p w14:paraId="19095433" w14:textId="77777777" w:rsidR="00DE0321" w:rsidRPr="0009445C" w:rsidRDefault="00DE0321" w:rsidP="00DE0321">
      <w:pPr>
        <w:pStyle w:val="BRLAufzhlungAnstrich"/>
        <w:numPr>
          <w:ilvl w:val="0"/>
          <w:numId w:val="1"/>
        </w:numPr>
      </w:pPr>
      <w:r w:rsidRPr="0009445C">
        <w:t>Dibenzo(</w:t>
      </w:r>
      <w:proofErr w:type="spellStart"/>
      <w:r w:rsidRPr="0009445C">
        <w:t>a,h</w:t>
      </w:r>
      <w:proofErr w:type="spellEnd"/>
      <w:r w:rsidRPr="0009445C">
        <w:t>)anthracene</w:t>
      </w:r>
    </w:p>
    <w:p w14:paraId="15EFDA82" w14:textId="77777777" w:rsidR="00DE0321" w:rsidRPr="0009445C" w:rsidRDefault="00DE0321" w:rsidP="00DE0321">
      <w:pPr>
        <w:pStyle w:val="BRLAufzhlungAnstrich"/>
        <w:numPr>
          <w:ilvl w:val="0"/>
          <w:numId w:val="1"/>
        </w:numPr>
      </w:pPr>
      <w:proofErr w:type="spellStart"/>
      <w:r w:rsidRPr="0009445C">
        <w:t>Indeno</w:t>
      </w:r>
      <w:proofErr w:type="spellEnd"/>
      <w:r w:rsidRPr="0009445C">
        <w:t>-(1,2,3-cd)-pyrene</w:t>
      </w:r>
    </w:p>
    <w:p w14:paraId="2D9E66A0" w14:textId="77777777" w:rsidR="00DE0321" w:rsidRPr="0009445C" w:rsidRDefault="00DE0321" w:rsidP="00DE0321">
      <w:pPr>
        <w:pStyle w:val="BRLAufzhlungAnstrich"/>
        <w:numPr>
          <w:ilvl w:val="0"/>
          <w:numId w:val="1"/>
        </w:numPr>
      </w:pPr>
      <w:r w:rsidRPr="0009445C">
        <w:t>Pyrene</w:t>
      </w:r>
    </w:p>
    <w:p w14:paraId="30D3C0D9" w14:textId="77777777" w:rsidR="00DE0321" w:rsidRPr="0009445C" w:rsidRDefault="00DE0321" w:rsidP="00DE0321">
      <w:pPr>
        <w:pStyle w:val="BRLAufzhlungAnstrich"/>
        <w:numPr>
          <w:ilvl w:val="0"/>
          <w:numId w:val="1"/>
        </w:numPr>
      </w:pPr>
      <w:r w:rsidRPr="0009445C">
        <w:t>Fluoranthene</w:t>
      </w:r>
    </w:p>
    <w:p w14:paraId="469A0B90" w14:textId="77777777" w:rsidR="00DE0321" w:rsidRPr="0009445C" w:rsidRDefault="00DE0321" w:rsidP="00DE0321">
      <w:pPr>
        <w:pStyle w:val="BRLAufzhlungAnstrich"/>
        <w:numPr>
          <w:ilvl w:val="0"/>
          <w:numId w:val="1"/>
        </w:numPr>
      </w:pPr>
      <w:r w:rsidRPr="0009445C">
        <w:t>Anthracene</w:t>
      </w:r>
    </w:p>
    <w:p w14:paraId="1EBA7F23" w14:textId="77777777" w:rsidR="00DE0321" w:rsidRPr="0009445C" w:rsidRDefault="00DE0321" w:rsidP="00DE0321">
      <w:pPr>
        <w:pStyle w:val="BRLAufzhlungAnstrich"/>
        <w:numPr>
          <w:ilvl w:val="0"/>
          <w:numId w:val="1"/>
        </w:numPr>
      </w:pPr>
      <w:r w:rsidRPr="0009445C">
        <w:t>Phenanthrene</w:t>
      </w:r>
    </w:p>
    <w:p w14:paraId="73AC23CC" w14:textId="77777777" w:rsidR="00DE0321" w:rsidRPr="0009445C" w:rsidRDefault="00DE0321" w:rsidP="00DE0321">
      <w:pPr>
        <w:pStyle w:val="BRLAufzhlungAnstrich"/>
        <w:numPr>
          <w:ilvl w:val="0"/>
          <w:numId w:val="1"/>
        </w:numPr>
      </w:pPr>
      <w:r w:rsidRPr="0009445C">
        <w:t>Fluorides</w:t>
      </w:r>
    </w:p>
    <w:p w14:paraId="2DE65141" w14:textId="77777777" w:rsidR="00DE0321" w:rsidRPr="0009445C" w:rsidRDefault="00DE0321" w:rsidP="00DE0321">
      <w:pPr>
        <w:pStyle w:val="BRLAufzhlungAnstrich"/>
        <w:numPr>
          <w:ilvl w:val="0"/>
          <w:numId w:val="1"/>
        </w:numPr>
      </w:pPr>
      <w:proofErr w:type="spellStart"/>
      <w:r w:rsidRPr="0009445C">
        <w:t>Acenaphtylene</w:t>
      </w:r>
      <w:proofErr w:type="spellEnd"/>
    </w:p>
    <w:p w14:paraId="77C80619" w14:textId="77777777" w:rsidR="00DE0321" w:rsidRPr="0009445C" w:rsidRDefault="00DE0321" w:rsidP="00DE0321">
      <w:pPr>
        <w:pStyle w:val="BRLAufzhlungAnstrich"/>
        <w:numPr>
          <w:ilvl w:val="0"/>
          <w:numId w:val="1"/>
        </w:numPr>
      </w:pPr>
      <w:proofErr w:type="spellStart"/>
      <w:r w:rsidRPr="0009445C">
        <w:t>Acenaphtene</w:t>
      </w:r>
      <w:proofErr w:type="spellEnd"/>
    </w:p>
    <w:p w14:paraId="4F9EE4F7" w14:textId="77777777" w:rsidR="00DE0321" w:rsidRPr="0009445C" w:rsidRDefault="00DE0321" w:rsidP="00DE0321">
      <w:pPr>
        <w:pStyle w:val="BRLAufzhlungAnstrich"/>
        <w:numPr>
          <w:ilvl w:val="0"/>
          <w:numId w:val="1"/>
        </w:numPr>
      </w:pPr>
      <w:r w:rsidRPr="0009445C">
        <w:t>Naphthalene.</w:t>
      </w:r>
    </w:p>
    <w:p w14:paraId="1DC2C98D" w14:textId="77777777" w:rsidR="00ED2FDA" w:rsidRPr="0009445C" w:rsidRDefault="00ED2FDA" w:rsidP="00ED2FDA">
      <w:pPr>
        <w:sectPr w:rsidR="00ED2FDA" w:rsidRPr="0009445C" w:rsidSect="004C2C77">
          <w:headerReference w:type="first" r:id="rId94"/>
          <w:footerReference w:type="first" r:id="rId95"/>
          <w:pgSz w:w="11906" w:h="16838" w:code="9"/>
          <w:pgMar w:top="1134" w:right="1418" w:bottom="1134" w:left="1418" w:header="709" w:footer="652" w:gutter="0"/>
          <w:cols w:space="708"/>
          <w:titlePg/>
          <w:docGrid w:linePitch="360"/>
        </w:sectPr>
      </w:pPr>
    </w:p>
    <w:p w14:paraId="54BAD653" w14:textId="4752717E" w:rsidR="004C2C77" w:rsidRPr="0009445C" w:rsidRDefault="004C2C77" w:rsidP="00BA2FAB">
      <w:pPr>
        <w:pStyle w:val="Heading2"/>
      </w:pPr>
      <w:bookmarkStart w:id="50" w:name="_Ref24536557"/>
      <w:r w:rsidRPr="0009445C">
        <w:lastRenderedPageBreak/>
        <w:t>Annex 10</w:t>
      </w:r>
      <w:bookmarkEnd w:id="50"/>
    </w:p>
    <w:p w14:paraId="1EBD1F85" w14:textId="77777777" w:rsidR="004C2C77" w:rsidRPr="0009445C" w:rsidRDefault="004C2C77" w:rsidP="004C2C77">
      <w:pPr>
        <w:pStyle w:val="berschrift2Titelseite"/>
        <w:rPr>
          <w:b/>
          <w:color w:val="auto"/>
          <w:lang w:val="de-DE"/>
        </w:rPr>
      </w:pPr>
      <w:bookmarkStart w:id="51" w:name="Anhang10"/>
      <w:r w:rsidRPr="0009445C">
        <w:rPr>
          <w:b/>
          <w:color w:val="auto"/>
          <w:lang w:val="de-DE"/>
        </w:rPr>
        <w:t>Requirements for structural works regarding effects on soil and water (Anforderungen an bauliche Anlagen bezüglich der Auswirkungen auf Boden und Gewässer [ABuG])</w:t>
      </w:r>
      <w:bookmarkEnd w:id="51"/>
    </w:p>
    <w:p w14:paraId="586F0456" w14:textId="46D994A2" w:rsidR="004C2C77" w:rsidRPr="0009445C" w:rsidRDefault="004C2C77" w:rsidP="004C2C77">
      <w:pPr>
        <w:rPr>
          <w:szCs w:val="18"/>
        </w:rPr>
      </w:pPr>
      <w:bookmarkStart w:id="52" w:name="Anhang10_Stand"/>
      <w:r w:rsidRPr="0009445C">
        <w:t xml:space="preserve">Last updated: </w:t>
      </w:r>
      <w:bookmarkEnd w:id="52"/>
      <w:r w:rsidRPr="0009445C">
        <w:t>April 2022</w:t>
      </w:r>
    </w:p>
    <w:p w14:paraId="36063AF9" w14:textId="77777777" w:rsidR="004C2C77" w:rsidRPr="0009445C" w:rsidRDefault="004C2C77" w:rsidP="004C2C77">
      <w:pPr>
        <w:rPr>
          <w:b/>
        </w:rPr>
      </w:pPr>
    </w:p>
    <w:p w14:paraId="2811333B" w14:textId="77777777" w:rsidR="004C2C77" w:rsidRPr="0009445C" w:rsidRDefault="004C2C77" w:rsidP="004C2C77">
      <w:pPr>
        <w:rPr>
          <w:b/>
          <w:szCs w:val="18"/>
        </w:rPr>
      </w:pPr>
    </w:p>
    <w:p w14:paraId="36E730EE" w14:textId="77777777" w:rsidR="004C2C77" w:rsidRPr="0009445C" w:rsidRDefault="004C2C77" w:rsidP="004C2C77">
      <w:pPr>
        <w:rPr>
          <w:b/>
          <w:szCs w:val="18"/>
        </w:rPr>
      </w:pPr>
    </w:p>
    <w:p w14:paraId="5E4CF3C6" w14:textId="77777777" w:rsidR="004C2C77" w:rsidRPr="0009445C" w:rsidRDefault="004C2C77" w:rsidP="004C2C77">
      <w:pPr>
        <w:rPr>
          <w:b/>
          <w:szCs w:val="18"/>
        </w:rPr>
      </w:pPr>
      <w:r w:rsidRPr="0009445C">
        <w:rPr>
          <w:b/>
        </w:rPr>
        <w:t>CONTENTS</w:t>
      </w:r>
    </w:p>
    <w:p w14:paraId="4930E08D" w14:textId="77777777" w:rsidR="004C2C77" w:rsidRPr="0009445C" w:rsidRDefault="004C2C77" w:rsidP="004C2C77">
      <w:pPr>
        <w:rPr>
          <w:szCs w:val="18"/>
        </w:rPr>
      </w:pPr>
    </w:p>
    <w:p w14:paraId="73235118" w14:textId="77777777" w:rsidR="004C2C77" w:rsidRPr="0009445C" w:rsidRDefault="004C2C77" w:rsidP="004C2C77">
      <w:pPr>
        <w:spacing w:before="100"/>
        <w:rPr>
          <w:caps/>
          <w:szCs w:val="18"/>
        </w:rPr>
      </w:pPr>
      <w:r w:rsidRPr="0009445C">
        <w:rPr>
          <w:caps/>
        </w:rPr>
        <w:t>1</w:t>
      </w:r>
      <w:r w:rsidRPr="0009445C">
        <w:rPr>
          <w:caps/>
        </w:rPr>
        <w:tab/>
        <w:t>Subject matter and scope</w:t>
      </w:r>
    </w:p>
    <w:p w14:paraId="2CEAF7B0" w14:textId="77777777" w:rsidR="004C2C77" w:rsidRPr="0009445C" w:rsidRDefault="004C2C77" w:rsidP="004C2C77">
      <w:pPr>
        <w:spacing w:before="100"/>
        <w:rPr>
          <w:caps/>
          <w:szCs w:val="18"/>
        </w:rPr>
      </w:pPr>
      <w:r w:rsidRPr="0009445C">
        <w:rPr>
          <w:caps/>
        </w:rPr>
        <w:t>2</w:t>
      </w:r>
      <w:r w:rsidRPr="0009445C">
        <w:rPr>
          <w:caps/>
        </w:rPr>
        <w:tab/>
        <w:t>Requirements for ingredients</w:t>
      </w:r>
    </w:p>
    <w:p w14:paraId="4D2CD90D" w14:textId="77777777" w:rsidR="004C2C77" w:rsidRPr="0009445C" w:rsidRDefault="004C2C77" w:rsidP="004C2C77">
      <w:pPr>
        <w:spacing w:before="100"/>
        <w:rPr>
          <w:caps/>
          <w:szCs w:val="18"/>
        </w:rPr>
      </w:pPr>
      <w:r w:rsidRPr="0009445C">
        <w:rPr>
          <w:caps/>
        </w:rPr>
        <w:t>3</w:t>
      </w:r>
      <w:r w:rsidRPr="0009445C">
        <w:rPr>
          <w:caps/>
        </w:rPr>
        <w:tab/>
        <w:t>Requirements on the release of hazardous substances</w:t>
      </w:r>
    </w:p>
    <w:p w14:paraId="4C8FB7D1" w14:textId="77777777" w:rsidR="004C2C77" w:rsidRPr="0009445C" w:rsidRDefault="004C2C77" w:rsidP="004C2C77">
      <w:pPr>
        <w:spacing w:before="100"/>
        <w:rPr>
          <w:caps/>
          <w:szCs w:val="18"/>
        </w:rPr>
      </w:pPr>
      <w:r w:rsidRPr="0009445C">
        <w:rPr>
          <w:caps/>
        </w:rPr>
        <w:t>4</w:t>
      </w:r>
      <w:r w:rsidRPr="0009445C">
        <w:rPr>
          <w:caps/>
        </w:rPr>
        <w:tab/>
        <w:t>Requirements for roof structural elements</w:t>
      </w:r>
    </w:p>
    <w:p w14:paraId="408B9C93" w14:textId="77777777" w:rsidR="004C2C77" w:rsidRPr="0009445C" w:rsidRDefault="004C2C77" w:rsidP="004C2C77">
      <w:pPr>
        <w:spacing w:before="100"/>
        <w:rPr>
          <w:caps/>
          <w:szCs w:val="18"/>
        </w:rPr>
      </w:pPr>
      <w:r w:rsidRPr="0009445C">
        <w:rPr>
          <w:caps/>
        </w:rPr>
        <w:t>5</w:t>
      </w:r>
      <w:r w:rsidRPr="0009445C">
        <w:rPr>
          <w:caps/>
        </w:rPr>
        <w:tab/>
        <w:t>Requirements for exterior walls (including beams and columns)</w:t>
      </w:r>
    </w:p>
    <w:p w14:paraId="47029077" w14:textId="77777777" w:rsidR="004C2C77" w:rsidRPr="0009445C" w:rsidRDefault="004C2C77" w:rsidP="004C2C77">
      <w:pPr>
        <w:spacing w:before="100"/>
        <w:rPr>
          <w:caps/>
          <w:szCs w:val="18"/>
        </w:rPr>
      </w:pPr>
      <w:r w:rsidRPr="0009445C">
        <w:rPr>
          <w:caps/>
        </w:rPr>
        <w:t>6</w:t>
      </w:r>
      <w:r w:rsidRPr="0009445C">
        <w:rPr>
          <w:caps/>
        </w:rPr>
        <w:tab/>
        <w:t>Requirements for surface coverings outdoors</w:t>
      </w:r>
    </w:p>
    <w:p w14:paraId="486CEFA2" w14:textId="77777777" w:rsidR="004C2C77" w:rsidRPr="0009445C" w:rsidRDefault="004C2C77" w:rsidP="004C2C77">
      <w:pPr>
        <w:spacing w:before="100"/>
        <w:rPr>
          <w:caps/>
          <w:szCs w:val="18"/>
        </w:rPr>
      </w:pPr>
      <w:r w:rsidRPr="0009445C">
        <w:rPr>
          <w:caps/>
        </w:rPr>
        <w:t>7</w:t>
      </w:r>
      <w:r w:rsidRPr="0009445C">
        <w:rPr>
          <w:caps/>
        </w:rPr>
        <w:tab/>
        <w:t>Requirements for foundations including piles</w:t>
      </w:r>
    </w:p>
    <w:p w14:paraId="163201DB" w14:textId="77777777" w:rsidR="004C2C77" w:rsidRPr="0009445C" w:rsidRDefault="004C2C77" w:rsidP="004C2C77">
      <w:pPr>
        <w:spacing w:before="100"/>
        <w:rPr>
          <w:caps/>
          <w:szCs w:val="18"/>
        </w:rPr>
      </w:pPr>
      <w:r w:rsidRPr="0009445C">
        <w:rPr>
          <w:caps/>
        </w:rPr>
        <w:t>8</w:t>
      </w:r>
      <w:r w:rsidRPr="0009445C">
        <w:rPr>
          <w:caps/>
        </w:rPr>
        <w:tab/>
        <w:t>Requirements for steel seals for the production of construction pits</w:t>
      </w:r>
    </w:p>
    <w:p w14:paraId="177DE688" w14:textId="77777777" w:rsidR="004C2C77" w:rsidRPr="0009445C" w:rsidRDefault="004C2C77" w:rsidP="004C2C77">
      <w:pPr>
        <w:spacing w:before="100"/>
        <w:rPr>
          <w:caps/>
          <w:szCs w:val="18"/>
        </w:rPr>
      </w:pPr>
      <w:r w:rsidRPr="0009445C">
        <w:rPr>
          <w:caps/>
        </w:rPr>
        <w:t>9</w:t>
      </w:r>
      <w:r w:rsidRPr="0009445C">
        <w:rPr>
          <w:caps/>
        </w:rPr>
        <w:tab/>
        <w:t>Requirements for backfill</w:t>
      </w:r>
    </w:p>
    <w:p w14:paraId="5401BD2E" w14:textId="77777777" w:rsidR="004C2C77" w:rsidRPr="0009445C" w:rsidRDefault="004C2C77" w:rsidP="004C2C77">
      <w:pPr>
        <w:spacing w:before="100"/>
        <w:rPr>
          <w:caps/>
          <w:szCs w:val="18"/>
        </w:rPr>
      </w:pPr>
      <w:r w:rsidRPr="0009445C">
        <w:rPr>
          <w:caps/>
        </w:rPr>
        <w:t>10</w:t>
      </w:r>
      <w:r w:rsidRPr="0009445C">
        <w:rPr>
          <w:caps/>
        </w:rPr>
        <w:tab/>
        <w:t>Requirements for underground containers and pipes</w:t>
      </w:r>
    </w:p>
    <w:p w14:paraId="61C37C61" w14:textId="77777777" w:rsidR="004C2C77" w:rsidRPr="0009445C" w:rsidRDefault="004C2C77" w:rsidP="004C2C77">
      <w:pPr>
        <w:spacing w:before="100"/>
        <w:rPr>
          <w:caps/>
          <w:szCs w:val="18"/>
        </w:rPr>
      </w:pPr>
    </w:p>
    <w:p w14:paraId="238779F2" w14:textId="77777777" w:rsidR="004C2C77" w:rsidRPr="0009445C" w:rsidRDefault="004C2C77" w:rsidP="004C2C77">
      <w:pPr>
        <w:spacing w:before="100"/>
        <w:rPr>
          <w:caps/>
          <w:szCs w:val="18"/>
        </w:rPr>
      </w:pPr>
      <w:r w:rsidRPr="0009445C">
        <w:rPr>
          <w:caps/>
        </w:rPr>
        <w:t>Annex A</w:t>
      </w:r>
      <w:r w:rsidRPr="0009445C">
        <w:rPr>
          <w:caps/>
        </w:rPr>
        <w:tab/>
        <w:t>Maximums</w:t>
      </w:r>
    </w:p>
    <w:p w14:paraId="1F5DF130" w14:textId="77777777" w:rsidR="004C2C77" w:rsidRPr="0009445C" w:rsidRDefault="004C2C77" w:rsidP="004C2C77">
      <w:pPr>
        <w:rPr>
          <w:szCs w:val="18"/>
        </w:rPr>
      </w:pPr>
    </w:p>
    <w:p w14:paraId="71FA81B8" w14:textId="77777777" w:rsidR="004C2C77" w:rsidRPr="0009445C" w:rsidRDefault="004C2C77" w:rsidP="004C2C77">
      <w:pPr>
        <w:rPr>
          <w:szCs w:val="18"/>
        </w:rPr>
      </w:pPr>
    </w:p>
    <w:p w14:paraId="324F7465" w14:textId="77777777" w:rsidR="004C2C77" w:rsidRPr="0009445C" w:rsidRDefault="004C2C77" w:rsidP="004C2C77">
      <w:pPr>
        <w:spacing w:line="240" w:lineRule="auto"/>
        <w:rPr>
          <w:b/>
          <w:bCs/>
          <w:szCs w:val="18"/>
        </w:rPr>
      </w:pPr>
      <w:r w:rsidRPr="0009445C">
        <w:br w:type="page"/>
      </w:r>
    </w:p>
    <w:p w14:paraId="2D31069B" w14:textId="77777777" w:rsidR="004C2C77" w:rsidRPr="0009445C" w:rsidRDefault="004C2C77" w:rsidP="00600F53">
      <w:pPr>
        <w:pStyle w:val="BRL-berschrift"/>
      </w:pPr>
      <w:r w:rsidRPr="0009445C">
        <w:lastRenderedPageBreak/>
        <w:t>1</w:t>
      </w:r>
      <w:r w:rsidRPr="0009445C">
        <w:tab/>
        <w:t>Subject matter and scope</w:t>
      </w:r>
    </w:p>
    <w:p w14:paraId="4CD73FD3" w14:textId="6EEDA02D" w:rsidR="004C2C77" w:rsidRPr="0009445C" w:rsidRDefault="004C2C77" w:rsidP="004C2C77">
      <w:pPr>
        <w:pStyle w:val="BRL-Standard"/>
      </w:pPr>
      <w:r w:rsidRPr="0009445C">
        <w:t>In § 3, the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xml:space="preserve"> specifies that installations must be placed, erected, modified and maintained so as to not endanger public safety and order, in particular life, health and natural resources.</w:t>
      </w:r>
    </w:p>
    <w:p w14:paraId="78B8617C" w14:textId="77777777" w:rsidR="004C2C77" w:rsidRPr="0009445C" w:rsidRDefault="004C2C77" w:rsidP="004C2C77">
      <w:pPr>
        <w:pStyle w:val="BRL-Standard"/>
      </w:pPr>
    </w:p>
    <w:p w14:paraId="5480B819" w14:textId="77777777" w:rsidR="004C2C77" w:rsidRPr="0009445C" w:rsidRDefault="004C2C77" w:rsidP="004C2C77">
      <w:pPr>
        <w:pStyle w:val="BRL-Standard"/>
      </w:pPr>
      <w:r w:rsidRPr="0009445C">
        <w:t>To meet the requirements set out in the MBO</w:t>
      </w:r>
      <w:bookmarkStart w:id="53" w:name="_Ref77333992"/>
      <w:r w:rsidRPr="0009445C">
        <w:rPr>
          <w:rStyle w:val="FootnoteReference"/>
        </w:rPr>
        <w:footnoteReference w:id="53"/>
      </w:r>
      <w:bookmarkEnd w:id="53"/>
      <w:r w:rsidRPr="0009445C">
        <w:t>, for structural works or structural elements thereof installed in the soil or groundwater or subject to precipitation, it must be ensured that the structural elements used do not cause any harmful soil changes or groundwater pollution.</w:t>
      </w:r>
    </w:p>
    <w:p w14:paraId="69238034" w14:textId="77777777" w:rsidR="004C2C77" w:rsidRPr="0009445C" w:rsidRDefault="004C2C77" w:rsidP="004C2C77">
      <w:pPr>
        <w:pStyle w:val="BRL-Standard"/>
      </w:pPr>
    </w:p>
    <w:p w14:paraId="11FA4507" w14:textId="77777777" w:rsidR="004C2C77" w:rsidRPr="0009445C" w:rsidRDefault="004C2C77" w:rsidP="004C2C77">
      <w:pPr>
        <w:pStyle w:val="BRL-Standard"/>
      </w:pPr>
      <w:r w:rsidRPr="0009445C">
        <w:t>This document sets out the general requirements for structural works in respect of their effects on soil and water.</w:t>
      </w:r>
    </w:p>
    <w:p w14:paraId="4936D3DE" w14:textId="77777777" w:rsidR="004C2C77" w:rsidRPr="0009445C" w:rsidRDefault="004C2C77" w:rsidP="004C2C77">
      <w:pPr>
        <w:pStyle w:val="BRL-Standard"/>
      </w:pPr>
    </w:p>
    <w:p w14:paraId="576AB993" w14:textId="77777777" w:rsidR="004C2C77" w:rsidRPr="0009445C" w:rsidRDefault="004C2C77" w:rsidP="004C2C77">
      <w:pPr>
        <w:pStyle w:val="BRL-Standard"/>
      </w:pPr>
      <w:r w:rsidRPr="0009445C">
        <w:t>buildings whose structural elements and construction products used therein that are installed in soil and groundwater or are subject to precipitation are of particular significance because of their effects on soil and water. On contact with water, substances can be washed out of them and enter the groundwater, seawater, surface water and/or the soil that could adversely affect the quality thereof and thereby contribute to endangering natural resources.</w:t>
      </w:r>
    </w:p>
    <w:p w14:paraId="345E12A5" w14:textId="77777777" w:rsidR="004C2C77" w:rsidRPr="0009445C" w:rsidRDefault="004C2C77" w:rsidP="004C2C77">
      <w:pPr>
        <w:pStyle w:val="BRL-Standard"/>
      </w:pPr>
    </w:p>
    <w:p w14:paraId="17FE2068" w14:textId="77777777" w:rsidR="004C2C77" w:rsidRPr="0009445C" w:rsidRDefault="004C2C77" w:rsidP="004C2C77">
      <w:pPr>
        <w:pStyle w:val="BRL-Standard"/>
      </w:pPr>
      <w:r w:rsidRPr="0009445C">
        <w:t>Structural works, their structural elements and the construction products used in them must therefore meet environmental protection requirements with respect to their constituents and the release of hazardous substances</w:t>
      </w:r>
      <w:r w:rsidRPr="0009445C">
        <w:rPr>
          <w:rStyle w:val="FootnoteReference"/>
        </w:rPr>
        <w:footnoteReference w:id="54"/>
      </w:r>
      <w:r w:rsidRPr="0009445C">
        <w:t>. In particular, an assessment of the release of inorganic and organic substances is relevant. The installation situation must also be taken into account (direct or indirect contact with the soil and groundwater). Where constructive measures exclude the release of hazardous substances, no proof need be provided regarding the release of hazardous substances.</w:t>
      </w:r>
    </w:p>
    <w:p w14:paraId="0B2DEECE" w14:textId="77777777" w:rsidR="004C2C77" w:rsidRPr="0009445C" w:rsidRDefault="004C2C77" w:rsidP="004C2C77">
      <w:pPr>
        <w:pStyle w:val="BRL-Standard"/>
      </w:pPr>
    </w:p>
    <w:p w14:paraId="7C2F1113" w14:textId="77777777" w:rsidR="004C2C77" w:rsidRPr="0009445C" w:rsidRDefault="004C2C77" w:rsidP="004C2C77">
      <w:pPr>
        <w:pStyle w:val="BRL-Standard"/>
      </w:pPr>
      <w:r w:rsidRPr="0009445C">
        <w:t xml:space="preserve">According to § 1 Federal </w:t>
      </w:r>
      <w:r w:rsidRPr="0009445C">
        <w:noBreakHyphen/>
        <w:t>Soil Protection Act (</w:t>
      </w:r>
      <w:proofErr w:type="spellStart"/>
      <w:r w:rsidRPr="0009445C">
        <w:t>BBodSchG</w:t>
      </w:r>
      <w:proofErr w:type="spellEnd"/>
      <w:r w:rsidRPr="0009445C">
        <w:t>), impacts on the soil, in this case due to structural works or parts of structural works, are to be avoided as far as possible by adverse effects on its natural functions as well as its function as an archive of natural and cultural history.</w:t>
      </w:r>
    </w:p>
    <w:p w14:paraId="34AF079B" w14:textId="77777777" w:rsidR="004C2C77" w:rsidRPr="0009445C" w:rsidRDefault="004C2C77" w:rsidP="004C2C77">
      <w:pPr>
        <w:pStyle w:val="BRL-Standard"/>
      </w:pPr>
    </w:p>
    <w:p w14:paraId="39C388F8" w14:textId="77777777" w:rsidR="004C2C77" w:rsidRPr="0009445C" w:rsidRDefault="004C2C77" w:rsidP="004C2C77">
      <w:pPr>
        <w:pStyle w:val="BRL-Standard"/>
      </w:pPr>
      <w:r w:rsidRPr="0009445C">
        <w:t xml:space="preserve">The provisions of the </w:t>
      </w:r>
      <w:proofErr w:type="spellStart"/>
      <w:r w:rsidRPr="0009445C">
        <w:t>ABuG</w:t>
      </w:r>
      <w:proofErr w:type="spellEnd"/>
      <w:r w:rsidRPr="0009445C">
        <w:t xml:space="preserve"> do not affect the competent water authorities’ right to reserve the granting of permission, particularly in water protection areas.</w:t>
      </w:r>
    </w:p>
    <w:p w14:paraId="1D6A6CC2" w14:textId="77777777" w:rsidR="004C2C77" w:rsidRPr="0009445C" w:rsidRDefault="004C2C77" w:rsidP="004C2C77">
      <w:pPr>
        <w:pStyle w:val="BRL-Standard"/>
      </w:pPr>
    </w:p>
    <w:p w14:paraId="16DB2014" w14:textId="547AA5F8" w:rsidR="004C2C77" w:rsidRPr="0009445C" w:rsidRDefault="004C2C77" w:rsidP="004C2C77">
      <w:pPr>
        <w:pStyle w:val="BRL-Standard"/>
      </w:pPr>
      <w:r w:rsidRPr="0009445C">
        <w:t>Table 1 lists the structural elements in contact with the soil, groundwater or precipitation for which environmental protection requirements under the MBO</w:t>
      </w:r>
      <w:r w:rsidRPr="0009445C">
        <w:rPr>
          <w:rStyle w:val="FootnoteReference"/>
        </w:rPr>
        <w:fldChar w:fldCharType="begin"/>
      </w:r>
      <w:r w:rsidRPr="0009445C">
        <w:rPr>
          <w:rStyle w:val="FootnoteReference"/>
        </w:rPr>
        <w:instrText xml:space="preserve"> NOTEREF _Ref77333992 \h  \* MERGEFORMAT </w:instrText>
      </w:r>
      <w:r w:rsidRPr="0009445C">
        <w:rPr>
          <w:rStyle w:val="FootnoteReference"/>
        </w:rPr>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xml:space="preserve"> must currently be fulfilled (environmentally relevant structural elements).</w:t>
      </w:r>
    </w:p>
    <w:p w14:paraId="6F6A4B52" w14:textId="77777777" w:rsidR="004C2C77" w:rsidRPr="0009445C" w:rsidRDefault="004C2C77" w:rsidP="004C2C77">
      <w:pPr>
        <w:pStyle w:val="BRL-Standard"/>
      </w:pPr>
    </w:p>
    <w:p w14:paraId="5BD8817F" w14:textId="77777777" w:rsidR="004C2C77" w:rsidRPr="0009445C" w:rsidRDefault="004C2C77" w:rsidP="004C2C77">
      <w:pPr>
        <w:pStyle w:val="BRLTabelleberschrift"/>
        <w:spacing w:before="0" w:after="120"/>
      </w:pPr>
      <w:r w:rsidRPr="0009445C">
        <w:t>Table 1:</w:t>
      </w:r>
      <w:r w:rsidRPr="0009445C">
        <w:tab/>
        <w:t>Environmentally relevant structural elements (structural elements in contact with the soil, groundwater or precipitation)</w:t>
      </w:r>
    </w:p>
    <w:tbl>
      <w:tblPr>
        <w:tblW w:w="0" w:type="auto"/>
        <w:tblBorders>
          <w:insideH w:val="single" w:sz="2" w:space="0" w:color="595959"/>
          <w:insideV w:val="single" w:sz="2" w:space="0" w:color="595959"/>
        </w:tblBorders>
        <w:tblCellMar>
          <w:left w:w="0" w:type="dxa"/>
          <w:right w:w="0" w:type="dxa"/>
        </w:tblCellMar>
        <w:tblLook w:val="04A0" w:firstRow="1" w:lastRow="0" w:firstColumn="1" w:lastColumn="0" w:noHBand="0" w:noVBand="1"/>
      </w:tblPr>
      <w:tblGrid>
        <w:gridCol w:w="2269"/>
        <w:gridCol w:w="5371"/>
        <w:gridCol w:w="1420"/>
      </w:tblGrid>
      <w:tr w:rsidR="004C2C77" w:rsidRPr="0009445C" w14:paraId="423F6E2D" w14:textId="77777777" w:rsidTr="004C2C77">
        <w:trPr>
          <w:cantSplit/>
          <w:tblHeader/>
        </w:trPr>
        <w:tc>
          <w:tcPr>
            <w:tcW w:w="7660" w:type="dxa"/>
            <w:gridSpan w:val="2"/>
            <w:tcBorders>
              <w:top w:val="single" w:sz="4" w:space="0" w:color="auto"/>
              <w:left w:val="single" w:sz="4" w:space="0" w:color="auto"/>
              <w:bottom w:val="single" w:sz="2" w:space="0" w:color="595959"/>
              <w:right w:val="single" w:sz="2" w:space="0" w:color="595959"/>
              <w:tl2br w:val="nil"/>
              <w:tr2bl w:val="nil"/>
            </w:tcBorders>
            <w:shd w:val="clear" w:color="auto" w:fill="FFFFFF"/>
          </w:tcPr>
          <w:p w14:paraId="1BECD6F5" w14:textId="77777777" w:rsidR="004C2C77" w:rsidRPr="0009445C" w:rsidRDefault="004C2C77" w:rsidP="004C2C77">
            <w:pPr>
              <w:pStyle w:val="BRL-TabelleberschriftAnhang"/>
            </w:pPr>
            <w:r w:rsidRPr="0009445C">
              <w:t>Structural elements</w:t>
            </w:r>
          </w:p>
        </w:tc>
        <w:tc>
          <w:tcPr>
            <w:tcW w:w="1420"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67FF251B" w14:textId="77777777" w:rsidR="004C2C77" w:rsidRPr="0009445C" w:rsidRDefault="004C2C77" w:rsidP="004C2C77">
            <w:pPr>
              <w:pStyle w:val="BRL-TabelleberschriftAnhang"/>
            </w:pPr>
            <w:r w:rsidRPr="0009445C">
              <w:t>For requirement, see Section</w:t>
            </w:r>
          </w:p>
        </w:tc>
      </w:tr>
      <w:tr w:rsidR="004C2C77" w:rsidRPr="0009445C" w14:paraId="0AEF0017" w14:textId="77777777" w:rsidTr="004C2C77">
        <w:trPr>
          <w:cantSplit/>
          <w:trHeight w:val="227"/>
        </w:trPr>
        <w:tc>
          <w:tcPr>
            <w:tcW w:w="2273" w:type="dxa"/>
            <w:vMerge w:val="restart"/>
            <w:tcBorders>
              <w:left w:val="single" w:sz="4" w:space="0" w:color="auto"/>
              <w:bottom w:val="nil"/>
            </w:tcBorders>
            <w:shd w:val="clear" w:color="auto" w:fill="FFFFFF"/>
          </w:tcPr>
          <w:p w14:paraId="1672875F" w14:textId="77777777" w:rsidR="004C2C77" w:rsidRPr="0009445C" w:rsidRDefault="004C2C77" w:rsidP="004C2C77">
            <w:pPr>
              <w:pStyle w:val="BRL-Tabelle"/>
              <w:keepNext/>
              <w:spacing w:before="60" w:after="40"/>
              <w:ind w:left="113" w:right="113"/>
            </w:pPr>
            <w:r w:rsidRPr="0009445C">
              <w:t>Roof</w:t>
            </w:r>
          </w:p>
        </w:tc>
        <w:tc>
          <w:tcPr>
            <w:tcW w:w="5387" w:type="dxa"/>
            <w:shd w:val="clear" w:color="auto" w:fill="FFFFFF"/>
          </w:tcPr>
          <w:p w14:paraId="42C004E1" w14:textId="77777777" w:rsidR="004C2C77" w:rsidRPr="0009445C" w:rsidRDefault="004C2C77" w:rsidP="004C2C77">
            <w:pPr>
              <w:pStyle w:val="BRL-Tabelle"/>
              <w:keepNext/>
              <w:spacing w:before="60" w:after="40"/>
              <w:ind w:left="113" w:right="113"/>
            </w:pPr>
            <w:r w:rsidRPr="0009445C">
              <w:t>Concrete roof structural elements</w:t>
            </w:r>
          </w:p>
        </w:tc>
        <w:tc>
          <w:tcPr>
            <w:tcW w:w="1420" w:type="dxa"/>
            <w:tcBorders>
              <w:right w:val="single" w:sz="4" w:space="0" w:color="auto"/>
            </w:tcBorders>
            <w:shd w:val="clear" w:color="auto" w:fill="FFFFFF"/>
          </w:tcPr>
          <w:p w14:paraId="5B87FC82" w14:textId="77777777" w:rsidR="004C2C77" w:rsidRPr="0009445C" w:rsidRDefault="004C2C77" w:rsidP="004C2C77">
            <w:pPr>
              <w:pStyle w:val="BRL-Tabelle"/>
              <w:keepNext/>
              <w:spacing w:before="60" w:after="40"/>
              <w:ind w:left="113" w:right="113"/>
              <w:jc w:val="center"/>
            </w:pPr>
            <w:r w:rsidRPr="0009445C">
              <w:t>4.1</w:t>
            </w:r>
          </w:p>
        </w:tc>
      </w:tr>
      <w:tr w:rsidR="004C2C77" w:rsidRPr="0009445C" w14:paraId="24A42F58" w14:textId="77777777" w:rsidTr="004C2C77">
        <w:trPr>
          <w:cantSplit/>
          <w:trHeight w:val="227"/>
        </w:trPr>
        <w:tc>
          <w:tcPr>
            <w:tcW w:w="2273" w:type="dxa"/>
            <w:vMerge/>
            <w:tcBorders>
              <w:left w:val="single" w:sz="4" w:space="0" w:color="auto"/>
              <w:bottom w:val="nil"/>
            </w:tcBorders>
            <w:shd w:val="clear" w:color="auto" w:fill="FFFFFF"/>
          </w:tcPr>
          <w:p w14:paraId="0DE3254F" w14:textId="77777777" w:rsidR="004C2C77" w:rsidRPr="0009445C" w:rsidRDefault="004C2C77" w:rsidP="004C2C77">
            <w:pPr>
              <w:pStyle w:val="BRL-Tabelle"/>
              <w:keepNext/>
              <w:spacing w:before="60" w:after="40"/>
              <w:ind w:left="113" w:right="113"/>
            </w:pPr>
          </w:p>
        </w:tc>
        <w:tc>
          <w:tcPr>
            <w:tcW w:w="5387" w:type="dxa"/>
            <w:tcBorders>
              <w:bottom w:val="single" w:sz="2" w:space="0" w:color="595959"/>
            </w:tcBorders>
            <w:shd w:val="clear" w:color="auto" w:fill="FFFFFF"/>
          </w:tcPr>
          <w:p w14:paraId="5E1B0EF4" w14:textId="77777777" w:rsidR="004C2C77" w:rsidRPr="0009445C" w:rsidRDefault="004C2C77" w:rsidP="004C2C77">
            <w:pPr>
              <w:pStyle w:val="BRL-Tabelle"/>
              <w:keepNext/>
              <w:spacing w:before="60" w:after="40"/>
              <w:ind w:left="113" w:right="113"/>
            </w:pPr>
            <w:r w:rsidRPr="0009445C">
              <w:t>Timber roof structural elements</w:t>
            </w:r>
          </w:p>
        </w:tc>
        <w:tc>
          <w:tcPr>
            <w:tcW w:w="1420" w:type="dxa"/>
            <w:tcBorders>
              <w:bottom w:val="single" w:sz="2" w:space="0" w:color="595959"/>
              <w:right w:val="single" w:sz="4" w:space="0" w:color="auto"/>
            </w:tcBorders>
            <w:shd w:val="clear" w:color="auto" w:fill="FFFFFF"/>
          </w:tcPr>
          <w:p w14:paraId="4F199CE0" w14:textId="77777777" w:rsidR="004C2C77" w:rsidRPr="0009445C" w:rsidRDefault="004C2C77" w:rsidP="004C2C77">
            <w:pPr>
              <w:pStyle w:val="BRL-Tabelle"/>
              <w:keepNext/>
              <w:spacing w:before="60" w:after="40"/>
              <w:ind w:left="113" w:right="113"/>
              <w:jc w:val="center"/>
            </w:pPr>
            <w:r w:rsidRPr="0009445C">
              <w:t>4.2</w:t>
            </w:r>
          </w:p>
        </w:tc>
      </w:tr>
      <w:tr w:rsidR="004C2C77" w:rsidRPr="0009445C" w14:paraId="1051486C" w14:textId="77777777" w:rsidTr="004C2C77">
        <w:trPr>
          <w:cantSplit/>
          <w:trHeight w:val="227"/>
        </w:trPr>
        <w:tc>
          <w:tcPr>
            <w:tcW w:w="2273" w:type="dxa"/>
            <w:vMerge/>
            <w:tcBorders>
              <w:left w:val="single" w:sz="4" w:space="0" w:color="auto"/>
              <w:bottom w:val="single" w:sz="4" w:space="0" w:color="auto"/>
            </w:tcBorders>
            <w:shd w:val="clear" w:color="auto" w:fill="FFFFFF"/>
          </w:tcPr>
          <w:p w14:paraId="49B90102" w14:textId="77777777" w:rsidR="004C2C77" w:rsidRPr="0009445C" w:rsidRDefault="004C2C77" w:rsidP="004C2C77">
            <w:pPr>
              <w:pStyle w:val="BRL-Tabelle"/>
              <w:keepNext/>
              <w:spacing w:before="60" w:after="40"/>
              <w:ind w:left="113" w:right="113"/>
            </w:pPr>
          </w:p>
        </w:tc>
        <w:tc>
          <w:tcPr>
            <w:tcW w:w="5387" w:type="dxa"/>
            <w:tcBorders>
              <w:top w:val="single" w:sz="2" w:space="0" w:color="595959"/>
              <w:bottom w:val="single" w:sz="4" w:space="0" w:color="auto"/>
            </w:tcBorders>
            <w:shd w:val="clear" w:color="auto" w:fill="FFFFFF"/>
          </w:tcPr>
          <w:p w14:paraId="596892DA" w14:textId="77777777" w:rsidR="004C2C77" w:rsidRPr="0009445C" w:rsidRDefault="004C2C77" w:rsidP="004C2C77">
            <w:pPr>
              <w:pStyle w:val="BRL-Tabelle"/>
              <w:keepNext/>
              <w:spacing w:before="60" w:after="40"/>
              <w:ind w:left="113" w:right="113"/>
            </w:pPr>
            <w:r w:rsidRPr="0009445C">
              <w:t>Waterproofing</w:t>
            </w:r>
          </w:p>
        </w:tc>
        <w:tc>
          <w:tcPr>
            <w:tcW w:w="1420" w:type="dxa"/>
            <w:tcBorders>
              <w:top w:val="single" w:sz="2" w:space="0" w:color="595959"/>
              <w:bottom w:val="single" w:sz="4" w:space="0" w:color="auto"/>
              <w:right w:val="single" w:sz="4" w:space="0" w:color="auto"/>
            </w:tcBorders>
            <w:shd w:val="clear" w:color="auto" w:fill="FFFFFF"/>
          </w:tcPr>
          <w:p w14:paraId="1BD688F8" w14:textId="77777777" w:rsidR="004C2C77" w:rsidRPr="0009445C" w:rsidRDefault="004C2C77" w:rsidP="004C2C77">
            <w:pPr>
              <w:pStyle w:val="BRL-Tabelle"/>
              <w:keepNext/>
              <w:spacing w:before="60" w:after="40"/>
              <w:ind w:left="113" w:right="113"/>
              <w:jc w:val="center"/>
            </w:pPr>
            <w:r w:rsidRPr="0009445C">
              <w:t>4.3</w:t>
            </w:r>
          </w:p>
        </w:tc>
      </w:tr>
      <w:tr w:rsidR="004C2C77" w:rsidRPr="0009445C" w14:paraId="4CCBD0EA" w14:textId="77777777" w:rsidTr="004C2C77">
        <w:trPr>
          <w:cantSplit/>
          <w:trHeight w:val="227"/>
        </w:trPr>
        <w:tc>
          <w:tcPr>
            <w:tcW w:w="2273" w:type="dxa"/>
            <w:vMerge w:val="restart"/>
            <w:tcBorders>
              <w:left w:val="single" w:sz="4" w:space="0" w:color="auto"/>
              <w:bottom w:val="nil"/>
            </w:tcBorders>
            <w:shd w:val="clear" w:color="auto" w:fill="FFFFFF"/>
          </w:tcPr>
          <w:p w14:paraId="1953FECD" w14:textId="77777777" w:rsidR="004C2C77" w:rsidRPr="0009445C" w:rsidRDefault="004C2C77" w:rsidP="004C2C77">
            <w:pPr>
              <w:pStyle w:val="BRL-Tabelle"/>
              <w:keepNext/>
              <w:spacing w:before="60" w:after="40"/>
              <w:ind w:left="113" w:right="113"/>
            </w:pPr>
            <w:r w:rsidRPr="0009445C">
              <w:t xml:space="preserve">Outer wall including beams and supports </w:t>
            </w:r>
          </w:p>
        </w:tc>
        <w:tc>
          <w:tcPr>
            <w:tcW w:w="5387" w:type="dxa"/>
            <w:shd w:val="clear" w:color="auto" w:fill="FFFFFF"/>
          </w:tcPr>
          <w:p w14:paraId="4662AE5A" w14:textId="77777777" w:rsidR="004C2C77" w:rsidRPr="0009445C" w:rsidRDefault="004C2C77" w:rsidP="004C2C77">
            <w:pPr>
              <w:pStyle w:val="BRL-Tabelle"/>
              <w:keepNext/>
              <w:spacing w:before="60" w:after="40"/>
              <w:ind w:left="113" w:right="113"/>
            </w:pPr>
            <w:r w:rsidRPr="0009445C">
              <w:t>Concrete exterior wall structural elements</w:t>
            </w:r>
          </w:p>
        </w:tc>
        <w:tc>
          <w:tcPr>
            <w:tcW w:w="1420" w:type="dxa"/>
            <w:tcBorders>
              <w:right w:val="single" w:sz="4" w:space="0" w:color="auto"/>
            </w:tcBorders>
            <w:shd w:val="clear" w:color="auto" w:fill="FFFFFF"/>
          </w:tcPr>
          <w:p w14:paraId="52C78F28" w14:textId="77777777" w:rsidR="004C2C77" w:rsidRPr="0009445C" w:rsidRDefault="004C2C77" w:rsidP="004C2C77">
            <w:pPr>
              <w:pStyle w:val="BRL-Tabelle"/>
              <w:keepNext/>
              <w:spacing w:before="60" w:after="40"/>
              <w:ind w:left="113" w:right="113"/>
              <w:jc w:val="center"/>
            </w:pPr>
            <w:r w:rsidRPr="0009445C">
              <w:t>5.1</w:t>
            </w:r>
          </w:p>
        </w:tc>
      </w:tr>
      <w:tr w:rsidR="004C2C77" w:rsidRPr="0009445C" w14:paraId="3F66D190" w14:textId="77777777" w:rsidTr="004C2C77">
        <w:trPr>
          <w:cantSplit/>
          <w:trHeight w:val="227"/>
        </w:trPr>
        <w:tc>
          <w:tcPr>
            <w:tcW w:w="2273" w:type="dxa"/>
            <w:vMerge/>
            <w:tcBorders>
              <w:left w:val="single" w:sz="4" w:space="0" w:color="auto"/>
              <w:bottom w:val="nil"/>
            </w:tcBorders>
            <w:shd w:val="clear" w:color="auto" w:fill="FFFFFF"/>
          </w:tcPr>
          <w:p w14:paraId="421A839D" w14:textId="77777777" w:rsidR="004C2C77" w:rsidRPr="0009445C" w:rsidRDefault="004C2C77" w:rsidP="004C2C77">
            <w:pPr>
              <w:pStyle w:val="BRL-Tabelle"/>
              <w:keepNext/>
              <w:spacing w:before="60" w:after="40"/>
              <w:ind w:left="113" w:right="113"/>
            </w:pPr>
          </w:p>
        </w:tc>
        <w:tc>
          <w:tcPr>
            <w:tcW w:w="5387" w:type="dxa"/>
            <w:tcBorders>
              <w:bottom w:val="single" w:sz="2" w:space="0" w:color="595959"/>
            </w:tcBorders>
            <w:shd w:val="clear" w:color="auto" w:fill="FFFFFF"/>
          </w:tcPr>
          <w:p w14:paraId="0E37F960" w14:textId="77777777" w:rsidR="004C2C77" w:rsidRPr="0009445C" w:rsidRDefault="004C2C77" w:rsidP="004C2C77">
            <w:pPr>
              <w:pStyle w:val="BRL-Tabelle"/>
              <w:keepNext/>
              <w:spacing w:before="60" w:after="40"/>
              <w:ind w:left="113" w:right="113"/>
            </w:pPr>
            <w:r w:rsidRPr="0009445C">
              <w:t>structural elements for external walls made of wood</w:t>
            </w:r>
          </w:p>
        </w:tc>
        <w:tc>
          <w:tcPr>
            <w:tcW w:w="1420" w:type="dxa"/>
            <w:tcBorders>
              <w:bottom w:val="single" w:sz="2" w:space="0" w:color="595959"/>
              <w:right w:val="single" w:sz="4" w:space="0" w:color="auto"/>
            </w:tcBorders>
            <w:shd w:val="clear" w:color="auto" w:fill="FFFFFF"/>
          </w:tcPr>
          <w:p w14:paraId="14669B77" w14:textId="77777777" w:rsidR="004C2C77" w:rsidRPr="0009445C" w:rsidRDefault="004C2C77" w:rsidP="004C2C77">
            <w:pPr>
              <w:pStyle w:val="BRL-Tabelle"/>
              <w:keepNext/>
              <w:spacing w:before="60" w:after="40"/>
              <w:ind w:left="113" w:right="113"/>
              <w:jc w:val="center"/>
            </w:pPr>
            <w:r w:rsidRPr="0009445C">
              <w:t>5.2</w:t>
            </w:r>
          </w:p>
        </w:tc>
      </w:tr>
      <w:tr w:rsidR="004C2C77" w:rsidRPr="0009445C" w14:paraId="6DAF4035" w14:textId="77777777" w:rsidTr="004C2C77">
        <w:trPr>
          <w:cantSplit/>
          <w:trHeight w:val="227"/>
        </w:trPr>
        <w:tc>
          <w:tcPr>
            <w:tcW w:w="2273" w:type="dxa"/>
            <w:vMerge/>
            <w:tcBorders>
              <w:left w:val="single" w:sz="4" w:space="0" w:color="auto"/>
              <w:bottom w:val="nil"/>
            </w:tcBorders>
            <w:shd w:val="clear" w:color="auto" w:fill="FFFFFF"/>
          </w:tcPr>
          <w:p w14:paraId="66825707" w14:textId="77777777" w:rsidR="004C2C77" w:rsidRPr="0009445C" w:rsidRDefault="004C2C77" w:rsidP="004C2C77">
            <w:pPr>
              <w:pStyle w:val="BRL-Tabelle"/>
              <w:keepNext/>
              <w:spacing w:before="60" w:after="40"/>
              <w:ind w:left="113" w:right="113"/>
            </w:pPr>
          </w:p>
        </w:tc>
        <w:tc>
          <w:tcPr>
            <w:tcW w:w="5387" w:type="dxa"/>
            <w:tcBorders>
              <w:top w:val="single" w:sz="2" w:space="0" w:color="595959"/>
              <w:bottom w:val="single" w:sz="4" w:space="0" w:color="auto"/>
            </w:tcBorders>
            <w:shd w:val="clear" w:color="auto" w:fill="FFFFFF"/>
          </w:tcPr>
          <w:p w14:paraId="31519FF4" w14:textId="77777777" w:rsidR="004C2C77" w:rsidRPr="0009445C" w:rsidRDefault="004C2C77" w:rsidP="004C2C77">
            <w:pPr>
              <w:pStyle w:val="BRL-Tabelle"/>
              <w:keepNext/>
              <w:spacing w:before="60" w:after="40"/>
              <w:ind w:left="113" w:right="113"/>
            </w:pPr>
            <w:r w:rsidRPr="0009445C">
              <w:t>Waterproofing</w:t>
            </w:r>
          </w:p>
        </w:tc>
        <w:tc>
          <w:tcPr>
            <w:tcW w:w="1420" w:type="dxa"/>
            <w:tcBorders>
              <w:top w:val="single" w:sz="2" w:space="0" w:color="595959"/>
              <w:bottom w:val="single" w:sz="4" w:space="0" w:color="auto"/>
              <w:right w:val="single" w:sz="4" w:space="0" w:color="auto"/>
            </w:tcBorders>
            <w:shd w:val="clear" w:color="auto" w:fill="FFFFFF"/>
          </w:tcPr>
          <w:p w14:paraId="23722983" w14:textId="77777777" w:rsidR="004C2C77" w:rsidRPr="0009445C" w:rsidRDefault="004C2C77" w:rsidP="004C2C77">
            <w:pPr>
              <w:pStyle w:val="BRL-Tabelle"/>
              <w:keepNext/>
              <w:spacing w:before="60" w:after="40"/>
              <w:ind w:left="113" w:right="113"/>
              <w:jc w:val="center"/>
            </w:pPr>
            <w:r w:rsidRPr="0009445C">
              <w:t>5.3</w:t>
            </w:r>
          </w:p>
        </w:tc>
      </w:tr>
      <w:tr w:rsidR="004C2C77" w:rsidRPr="0009445C" w14:paraId="2EE769B5" w14:textId="77777777" w:rsidTr="004C2C77">
        <w:trPr>
          <w:cantSplit/>
          <w:trHeight w:val="227"/>
        </w:trPr>
        <w:tc>
          <w:tcPr>
            <w:tcW w:w="2273" w:type="dxa"/>
            <w:vMerge/>
            <w:tcBorders>
              <w:left w:val="single" w:sz="4" w:space="0" w:color="auto"/>
              <w:bottom w:val="single" w:sz="2" w:space="0" w:color="595959"/>
            </w:tcBorders>
            <w:shd w:val="clear" w:color="auto" w:fill="FFFFFF"/>
          </w:tcPr>
          <w:p w14:paraId="773F253D" w14:textId="77777777" w:rsidR="004C2C77" w:rsidRPr="0009445C" w:rsidRDefault="004C2C77" w:rsidP="004C2C77">
            <w:pPr>
              <w:pStyle w:val="BRL-Tabelle"/>
              <w:keepNext/>
              <w:spacing w:before="60" w:after="40"/>
              <w:ind w:left="113" w:right="113"/>
            </w:pPr>
          </w:p>
        </w:tc>
        <w:tc>
          <w:tcPr>
            <w:tcW w:w="5387" w:type="dxa"/>
            <w:tcBorders>
              <w:bottom w:val="single" w:sz="2" w:space="0" w:color="595959"/>
            </w:tcBorders>
            <w:shd w:val="clear" w:color="auto" w:fill="FFFFFF"/>
          </w:tcPr>
          <w:p w14:paraId="4C849C41" w14:textId="77777777" w:rsidR="004C2C77" w:rsidRPr="0009445C" w:rsidRDefault="004C2C77" w:rsidP="004C2C77">
            <w:pPr>
              <w:pStyle w:val="BRL-Tabelle"/>
              <w:keepNext/>
              <w:spacing w:before="60" w:after="40"/>
              <w:ind w:left="113" w:right="113"/>
            </w:pPr>
            <w:r w:rsidRPr="0009445C">
              <w:t xml:space="preserve">Fire protection products for improving the fire resistance of structural elements </w:t>
            </w:r>
          </w:p>
        </w:tc>
        <w:tc>
          <w:tcPr>
            <w:tcW w:w="1420" w:type="dxa"/>
            <w:tcBorders>
              <w:bottom w:val="single" w:sz="2" w:space="0" w:color="595959"/>
              <w:right w:val="single" w:sz="4" w:space="0" w:color="auto"/>
            </w:tcBorders>
            <w:shd w:val="clear" w:color="auto" w:fill="FFFFFF"/>
          </w:tcPr>
          <w:p w14:paraId="166B56A3" w14:textId="77777777" w:rsidR="004C2C77" w:rsidRPr="0009445C" w:rsidRDefault="004C2C77" w:rsidP="004C2C77">
            <w:pPr>
              <w:pStyle w:val="BRL-Tabelle"/>
              <w:keepNext/>
              <w:spacing w:before="60" w:after="40"/>
              <w:ind w:left="113" w:right="113"/>
              <w:jc w:val="center"/>
            </w:pPr>
            <w:r w:rsidRPr="0009445C">
              <w:t>5.4</w:t>
            </w:r>
          </w:p>
        </w:tc>
      </w:tr>
      <w:tr w:rsidR="004C2C77" w:rsidRPr="0009445C" w14:paraId="174D7F72" w14:textId="77777777" w:rsidTr="004C2C77">
        <w:trPr>
          <w:cantSplit/>
          <w:trHeight w:val="227"/>
        </w:trPr>
        <w:tc>
          <w:tcPr>
            <w:tcW w:w="2273" w:type="dxa"/>
            <w:vMerge w:val="restart"/>
            <w:tcBorders>
              <w:top w:val="single" w:sz="2" w:space="0" w:color="595959"/>
              <w:left w:val="single" w:sz="4" w:space="0" w:color="auto"/>
              <w:bottom w:val="nil"/>
            </w:tcBorders>
            <w:shd w:val="clear" w:color="auto" w:fill="FFFFFF"/>
          </w:tcPr>
          <w:p w14:paraId="7ECF0AF5" w14:textId="77777777" w:rsidR="004C2C77" w:rsidRPr="0009445C" w:rsidRDefault="004C2C77" w:rsidP="004C2C77">
            <w:pPr>
              <w:pStyle w:val="BRL-Tabelle"/>
              <w:spacing w:before="60" w:after="40"/>
              <w:ind w:left="113" w:right="113"/>
            </w:pPr>
            <w:r w:rsidRPr="0009445C">
              <w:t>Surface coverings</w:t>
            </w:r>
          </w:p>
        </w:tc>
        <w:tc>
          <w:tcPr>
            <w:tcW w:w="5387" w:type="dxa"/>
            <w:tcBorders>
              <w:top w:val="single" w:sz="2" w:space="0" w:color="595959"/>
              <w:bottom w:val="single" w:sz="4" w:space="0" w:color="auto"/>
            </w:tcBorders>
            <w:shd w:val="clear" w:color="auto" w:fill="FFFFFF"/>
          </w:tcPr>
          <w:p w14:paraId="67E460C6" w14:textId="77777777" w:rsidR="004C2C77" w:rsidRPr="0009445C" w:rsidRDefault="004C2C77" w:rsidP="004C2C77">
            <w:pPr>
              <w:pStyle w:val="BRL-Tabelle"/>
              <w:spacing w:before="60" w:after="40"/>
              <w:ind w:left="113" w:right="113"/>
            </w:pPr>
            <w:r w:rsidRPr="0009445C">
              <w:t>Concrete surface coverings</w:t>
            </w:r>
          </w:p>
        </w:tc>
        <w:tc>
          <w:tcPr>
            <w:tcW w:w="1420" w:type="dxa"/>
            <w:tcBorders>
              <w:top w:val="single" w:sz="2" w:space="0" w:color="595959"/>
              <w:bottom w:val="single" w:sz="4" w:space="0" w:color="auto"/>
              <w:right w:val="single" w:sz="4" w:space="0" w:color="auto"/>
            </w:tcBorders>
            <w:shd w:val="clear" w:color="auto" w:fill="FFFFFF"/>
          </w:tcPr>
          <w:p w14:paraId="3F616ADD" w14:textId="77777777" w:rsidR="004C2C77" w:rsidRPr="0009445C" w:rsidRDefault="004C2C77" w:rsidP="004C2C77">
            <w:pPr>
              <w:pStyle w:val="BRL-Tabelle"/>
              <w:spacing w:before="60" w:after="40"/>
              <w:ind w:left="113" w:right="113"/>
              <w:jc w:val="center"/>
            </w:pPr>
            <w:r w:rsidRPr="0009445C">
              <w:t>6.1</w:t>
            </w:r>
          </w:p>
        </w:tc>
      </w:tr>
      <w:tr w:rsidR="004C2C77" w:rsidRPr="0009445C" w14:paraId="7D539E05" w14:textId="77777777" w:rsidTr="004C2C77">
        <w:trPr>
          <w:cantSplit/>
          <w:trHeight w:val="227"/>
        </w:trPr>
        <w:tc>
          <w:tcPr>
            <w:tcW w:w="2273" w:type="dxa"/>
            <w:vMerge/>
            <w:tcBorders>
              <w:left w:val="single" w:sz="4" w:space="0" w:color="auto"/>
              <w:bottom w:val="nil"/>
            </w:tcBorders>
            <w:shd w:val="clear" w:color="auto" w:fill="FFFFFF"/>
          </w:tcPr>
          <w:p w14:paraId="131F061E" w14:textId="77777777" w:rsidR="004C2C77" w:rsidRPr="0009445C" w:rsidRDefault="004C2C77" w:rsidP="004C2C77">
            <w:pPr>
              <w:pStyle w:val="BRL-Tabelle"/>
              <w:spacing w:before="60" w:after="40"/>
              <w:ind w:left="113" w:right="113"/>
            </w:pPr>
          </w:p>
        </w:tc>
        <w:tc>
          <w:tcPr>
            <w:tcW w:w="5387" w:type="dxa"/>
            <w:tcBorders>
              <w:bottom w:val="single" w:sz="2" w:space="0" w:color="595959"/>
            </w:tcBorders>
            <w:shd w:val="clear" w:color="auto" w:fill="FFFFFF"/>
          </w:tcPr>
          <w:p w14:paraId="283A6E3D" w14:textId="77777777" w:rsidR="004C2C77" w:rsidRPr="0009445C" w:rsidRDefault="004C2C77" w:rsidP="004C2C77">
            <w:pPr>
              <w:pStyle w:val="BRL-Tabelle"/>
              <w:spacing w:before="60" w:after="40"/>
              <w:ind w:left="113" w:right="113"/>
            </w:pPr>
            <w:r w:rsidRPr="0009445C">
              <w:t>Timber surface coverings</w:t>
            </w:r>
          </w:p>
        </w:tc>
        <w:tc>
          <w:tcPr>
            <w:tcW w:w="1420" w:type="dxa"/>
            <w:tcBorders>
              <w:bottom w:val="single" w:sz="2" w:space="0" w:color="595959"/>
              <w:right w:val="single" w:sz="4" w:space="0" w:color="auto"/>
            </w:tcBorders>
            <w:shd w:val="clear" w:color="auto" w:fill="FFFFFF"/>
          </w:tcPr>
          <w:p w14:paraId="64A3DC9F" w14:textId="77777777" w:rsidR="004C2C77" w:rsidRPr="0009445C" w:rsidRDefault="004C2C77" w:rsidP="004C2C77">
            <w:pPr>
              <w:pStyle w:val="BRL-Tabelle"/>
              <w:spacing w:before="60" w:after="40"/>
              <w:ind w:left="113" w:right="113"/>
              <w:jc w:val="center"/>
            </w:pPr>
            <w:r w:rsidRPr="0009445C">
              <w:t>6.2</w:t>
            </w:r>
          </w:p>
        </w:tc>
      </w:tr>
      <w:tr w:rsidR="004C2C77" w:rsidRPr="0009445C" w14:paraId="79F9B815" w14:textId="77777777" w:rsidTr="004C2C77">
        <w:trPr>
          <w:cantSplit/>
          <w:trHeight w:val="227"/>
        </w:trPr>
        <w:tc>
          <w:tcPr>
            <w:tcW w:w="2273" w:type="dxa"/>
            <w:vMerge/>
            <w:tcBorders>
              <w:left w:val="single" w:sz="4" w:space="0" w:color="auto"/>
              <w:bottom w:val="single" w:sz="4" w:space="0" w:color="auto"/>
            </w:tcBorders>
            <w:shd w:val="clear" w:color="auto" w:fill="FFFFFF"/>
          </w:tcPr>
          <w:p w14:paraId="0BE212FE" w14:textId="77777777" w:rsidR="004C2C77" w:rsidRPr="0009445C" w:rsidRDefault="004C2C77" w:rsidP="004C2C77">
            <w:pPr>
              <w:pStyle w:val="BRL-Tabelle"/>
              <w:spacing w:before="60" w:after="40"/>
              <w:ind w:left="113" w:right="113"/>
            </w:pPr>
          </w:p>
        </w:tc>
        <w:tc>
          <w:tcPr>
            <w:tcW w:w="5387" w:type="dxa"/>
            <w:tcBorders>
              <w:top w:val="single" w:sz="2" w:space="0" w:color="595959"/>
              <w:bottom w:val="single" w:sz="4" w:space="0" w:color="auto"/>
            </w:tcBorders>
            <w:shd w:val="clear" w:color="auto" w:fill="FFFFFF"/>
          </w:tcPr>
          <w:p w14:paraId="7AFF4069" w14:textId="77777777" w:rsidR="004C2C77" w:rsidRPr="0009445C" w:rsidRDefault="004C2C77" w:rsidP="004C2C77">
            <w:pPr>
              <w:pStyle w:val="BRL-Tabelle"/>
              <w:spacing w:before="60" w:after="40"/>
              <w:ind w:left="113" w:right="113"/>
            </w:pPr>
            <w:r w:rsidRPr="0009445C">
              <w:t>Surface coverings handling wastewater</w:t>
            </w:r>
          </w:p>
        </w:tc>
        <w:tc>
          <w:tcPr>
            <w:tcW w:w="1420" w:type="dxa"/>
            <w:tcBorders>
              <w:top w:val="single" w:sz="2" w:space="0" w:color="595959"/>
              <w:bottom w:val="single" w:sz="4" w:space="0" w:color="auto"/>
              <w:right w:val="single" w:sz="4" w:space="0" w:color="auto"/>
            </w:tcBorders>
            <w:shd w:val="clear" w:color="auto" w:fill="FFFFFF"/>
          </w:tcPr>
          <w:p w14:paraId="2D56E771" w14:textId="77777777" w:rsidR="004C2C77" w:rsidRPr="0009445C" w:rsidRDefault="004C2C77" w:rsidP="004C2C77">
            <w:pPr>
              <w:pStyle w:val="BRL-Tabelle"/>
              <w:spacing w:before="60" w:after="40"/>
              <w:ind w:left="113" w:right="113"/>
              <w:jc w:val="center"/>
            </w:pPr>
            <w:r w:rsidRPr="0009445C">
              <w:t>6.3</w:t>
            </w:r>
          </w:p>
        </w:tc>
      </w:tr>
      <w:tr w:rsidR="004C2C77" w:rsidRPr="0009445C" w14:paraId="4ACFB827" w14:textId="77777777" w:rsidTr="004C2C77">
        <w:trPr>
          <w:cantSplit/>
          <w:trHeight w:val="227"/>
        </w:trPr>
        <w:tc>
          <w:tcPr>
            <w:tcW w:w="2273" w:type="dxa"/>
            <w:vMerge w:val="restart"/>
            <w:tcBorders>
              <w:top w:val="single" w:sz="4" w:space="0" w:color="auto"/>
              <w:left w:val="single" w:sz="4" w:space="0" w:color="auto"/>
              <w:bottom w:val="single" w:sz="4" w:space="0" w:color="auto"/>
              <w:right w:val="single" w:sz="4" w:space="0" w:color="auto"/>
            </w:tcBorders>
            <w:shd w:val="clear" w:color="auto" w:fill="FFFFFF"/>
          </w:tcPr>
          <w:p w14:paraId="7C17FC41" w14:textId="77777777" w:rsidR="004C2C77" w:rsidRPr="0009445C" w:rsidRDefault="004C2C77" w:rsidP="004C2C77">
            <w:pPr>
              <w:pStyle w:val="BRL-Tabelle"/>
              <w:spacing w:before="60" w:after="40"/>
              <w:ind w:left="113" w:right="113"/>
            </w:pPr>
            <w:r w:rsidRPr="0009445C">
              <w:t>Foundations including piles</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3F3548EB" w14:textId="77777777" w:rsidR="004C2C77" w:rsidRPr="0009445C" w:rsidRDefault="004C2C77" w:rsidP="004C2C77">
            <w:pPr>
              <w:pStyle w:val="BRL-Tabelle"/>
              <w:spacing w:before="60" w:after="40"/>
              <w:ind w:left="113" w:right="113"/>
            </w:pPr>
            <w:r w:rsidRPr="0009445C">
              <w:t>Injection and grouting materials</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7A3B2A39" w14:textId="77777777" w:rsidR="004C2C77" w:rsidRPr="0009445C" w:rsidRDefault="004C2C77" w:rsidP="004C2C77">
            <w:pPr>
              <w:pStyle w:val="BRL-Tabelle"/>
              <w:spacing w:before="60" w:after="40"/>
              <w:ind w:left="113" w:right="113"/>
              <w:jc w:val="center"/>
            </w:pPr>
            <w:r w:rsidRPr="0009445C">
              <w:t>7.2</w:t>
            </w:r>
          </w:p>
        </w:tc>
      </w:tr>
      <w:tr w:rsidR="004C2C77" w:rsidRPr="0009445C" w14:paraId="139BEF1E" w14:textId="77777777" w:rsidTr="004C2C77">
        <w:trPr>
          <w:cantSplit/>
          <w:trHeight w:val="227"/>
        </w:trPr>
        <w:tc>
          <w:tcPr>
            <w:tcW w:w="2273" w:type="dxa"/>
            <w:vMerge/>
            <w:tcBorders>
              <w:top w:val="single" w:sz="4" w:space="0" w:color="auto"/>
              <w:left w:val="single" w:sz="4" w:space="0" w:color="auto"/>
              <w:bottom w:val="nil"/>
            </w:tcBorders>
            <w:shd w:val="clear" w:color="auto" w:fill="FFFFFF"/>
          </w:tcPr>
          <w:p w14:paraId="1DD89C4B" w14:textId="77777777" w:rsidR="004C2C77" w:rsidRPr="0009445C" w:rsidRDefault="004C2C77" w:rsidP="004C2C77">
            <w:pPr>
              <w:pStyle w:val="BRL-Tabelle"/>
              <w:spacing w:before="60" w:after="40"/>
              <w:ind w:left="113" w:right="113"/>
            </w:pPr>
          </w:p>
        </w:tc>
        <w:tc>
          <w:tcPr>
            <w:tcW w:w="5387" w:type="dxa"/>
            <w:tcBorders>
              <w:top w:val="single" w:sz="4" w:space="0" w:color="auto"/>
              <w:bottom w:val="single" w:sz="4" w:space="0" w:color="auto"/>
            </w:tcBorders>
            <w:shd w:val="clear" w:color="auto" w:fill="FFFFFF"/>
          </w:tcPr>
          <w:p w14:paraId="19F0A0D8" w14:textId="77777777" w:rsidR="004C2C77" w:rsidRPr="0009445C" w:rsidRDefault="004C2C77" w:rsidP="004C2C77">
            <w:pPr>
              <w:pStyle w:val="BRL-Tabelle"/>
              <w:spacing w:before="60" w:after="40"/>
              <w:ind w:left="113" w:right="113"/>
            </w:pPr>
            <w:r w:rsidRPr="0009445C">
              <w:t>structural elements of concrete</w:t>
            </w:r>
          </w:p>
        </w:tc>
        <w:tc>
          <w:tcPr>
            <w:tcW w:w="1420" w:type="dxa"/>
            <w:tcBorders>
              <w:top w:val="single" w:sz="4" w:space="0" w:color="auto"/>
              <w:bottom w:val="single" w:sz="4" w:space="0" w:color="auto"/>
              <w:right w:val="single" w:sz="4" w:space="0" w:color="auto"/>
            </w:tcBorders>
            <w:shd w:val="clear" w:color="auto" w:fill="FFFFFF"/>
          </w:tcPr>
          <w:p w14:paraId="3F574FC4" w14:textId="77777777" w:rsidR="004C2C77" w:rsidRPr="0009445C" w:rsidRDefault="004C2C77" w:rsidP="004C2C77">
            <w:pPr>
              <w:pStyle w:val="BRL-Tabelle"/>
              <w:spacing w:before="60" w:after="40"/>
              <w:ind w:left="113" w:right="113"/>
              <w:jc w:val="center"/>
            </w:pPr>
            <w:r w:rsidRPr="0009445C">
              <w:t>7.3</w:t>
            </w:r>
          </w:p>
        </w:tc>
      </w:tr>
      <w:tr w:rsidR="004C2C77" w:rsidRPr="0009445C" w14:paraId="7D3AEECE" w14:textId="77777777" w:rsidTr="004C2C77">
        <w:trPr>
          <w:cantSplit/>
          <w:trHeight w:val="227"/>
        </w:trPr>
        <w:tc>
          <w:tcPr>
            <w:tcW w:w="2273" w:type="dxa"/>
            <w:vMerge/>
            <w:tcBorders>
              <w:left w:val="single" w:sz="4" w:space="0" w:color="auto"/>
              <w:bottom w:val="single" w:sz="2" w:space="0" w:color="595959"/>
            </w:tcBorders>
            <w:shd w:val="clear" w:color="auto" w:fill="FFFFFF"/>
          </w:tcPr>
          <w:p w14:paraId="60310E5D" w14:textId="77777777" w:rsidR="004C2C77" w:rsidRPr="0009445C" w:rsidRDefault="004C2C77" w:rsidP="004C2C77">
            <w:pPr>
              <w:pStyle w:val="BRL-Tabelle"/>
              <w:spacing w:before="60" w:after="40"/>
              <w:ind w:left="113" w:right="113"/>
            </w:pPr>
          </w:p>
        </w:tc>
        <w:tc>
          <w:tcPr>
            <w:tcW w:w="5387" w:type="dxa"/>
            <w:tcBorders>
              <w:bottom w:val="single" w:sz="2" w:space="0" w:color="595959"/>
            </w:tcBorders>
            <w:shd w:val="clear" w:color="auto" w:fill="FFFFFF"/>
          </w:tcPr>
          <w:p w14:paraId="5500F607" w14:textId="77777777" w:rsidR="004C2C77" w:rsidRPr="0009445C" w:rsidRDefault="004C2C77" w:rsidP="004C2C77">
            <w:pPr>
              <w:pStyle w:val="BRL-Tabelle"/>
              <w:spacing w:before="60" w:after="40"/>
              <w:ind w:left="113" w:right="113"/>
            </w:pPr>
            <w:r w:rsidRPr="0009445C">
              <w:t>Waterproofing</w:t>
            </w:r>
          </w:p>
        </w:tc>
        <w:tc>
          <w:tcPr>
            <w:tcW w:w="1420" w:type="dxa"/>
            <w:tcBorders>
              <w:bottom w:val="single" w:sz="2" w:space="0" w:color="595959"/>
              <w:right w:val="single" w:sz="4" w:space="0" w:color="auto"/>
            </w:tcBorders>
            <w:shd w:val="clear" w:color="auto" w:fill="FFFFFF"/>
          </w:tcPr>
          <w:p w14:paraId="20EB4821" w14:textId="77777777" w:rsidR="004C2C77" w:rsidRPr="0009445C" w:rsidRDefault="004C2C77" w:rsidP="004C2C77">
            <w:pPr>
              <w:pStyle w:val="BRL-Tabelle"/>
              <w:spacing w:before="60" w:after="40"/>
              <w:ind w:left="113" w:right="113"/>
              <w:jc w:val="center"/>
            </w:pPr>
            <w:r w:rsidRPr="0009445C">
              <w:t>7.4</w:t>
            </w:r>
          </w:p>
        </w:tc>
      </w:tr>
      <w:tr w:rsidR="004C2C77" w:rsidRPr="0009445C" w14:paraId="0C3DB6F3" w14:textId="77777777" w:rsidTr="004C2C77">
        <w:trPr>
          <w:cantSplit/>
          <w:trHeight w:val="227"/>
        </w:trPr>
        <w:tc>
          <w:tcPr>
            <w:tcW w:w="2273" w:type="dxa"/>
            <w:vMerge w:val="restart"/>
            <w:tcBorders>
              <w:top w:val="single" w:sz="2" w:space="0" w:color="595959"/>
              <w:left w:val="single" w:sz="4" w:space="0" w:color="auto"/>
              <w:bottom w:val="nil"/>
            </w:tcBorders>
            <w:shd w:val="clear" w:color="auto" w:fill="FFFFFF"/>
          </w:tcPr>
          <w:p w14:paraId="58E8465A" w14:textId="77777777" w:rsidR="004C2C77" w:rsidRPr="0009445C" w:rsidRDefault="004C2C77" w:rsidP="004C2C77">
            <w:pPr>
              <w:pStyle w:val="BRL-Tabelle"/>
              <w:spacing w:before="60" w:after="40"/>
              <w:ind w:left="113" w:right="113"/>
            </w:pPr>
            <w:r w:rsidRPr="0009445C">
              <w:t>Excavation seals</w:t>
            </w:r>
          </w:p>
        </w:tc>
        <w:tc>
          <w:tcPr>
            <w:tcW w:w="5387" w:type="dxa"/>
            <w:tcBorders>
              <w:top w:val="single" w:sz="2" w:space="0" w:color="595959"/>
              <w:bottom w:val="single" w:sz="4" w:space="0" w:color="auto"/>
            </w:tcBorders>
            <w:shd w:val="clear" w:color="auto" w:fill="FFFFFF"/>
          </w:tcPr>
          <w:p w14:paraId="61DFCBBA" w14:textId="77777777" w:rsidR="004C2C77" w:rsidRPr="0009445C" w:rsidRDefault="004C2C77" w:rsidP="004C2C77">
            <w:pPr>
              <w:pStyle w:val="BRL-Tabelle"/>
              <w:spacing w:before="60" w:after="40"/>
              <w:ind w:left="113" w:right="113"/>
            </w:pPr>
            <w:r w:rsidRPr="0009445C">
              <w:t>Injection and pressing materials made of binder suspensions or grout</w:t>
            </w:r>
          </w:p>
        </w:tc>
        <w:tc>
          <w:tcPr>
            <w:tcW w:w="1420" w:type="dxa"/>
            <w:tcBorders>
              <w:top w:val="single" w:sz="2" w:space="0" w:color="595959"/>
              <w:bottom w:val="single" w:sz="4" w:space="0" w:color="auto"/>
              <w:right w:val="single" w:sz="4" w:space="0" w:color="auto"/>
            </w:tcBorders>
            <w:shd w:val="clear" w:color="auto" w:fill="FFFFFF"/>
          </w:tcPr>
          <w:p w14:paraId="61978106" w14:textId="77777777" w:rsidR="004C2C77" w:rsidRPr="0009445C" w:rsidRDefault="004C2C77" w:rsidP="004C2C77">
            <w:pPr>
              <w:pStyle w:val="BRL-Tabelle"/>
              <w:spacing w:before="60" w:after="40"/>
              <w:ind w:left="113" w:right="113"/>
              <w:jc w:val="center"/>
            </w:pPr>
            <w:r w:rsidRPr="0009445C">
              <w:t>8.2</w:t>
            </w:r>
          </w:p>
        </w:tc>
      </w:tr>
      <w:tr w:rsidR="004C2C77" w:rsidRPr="0009445C" w14:paraId="79519873" w14:textId="77777777" w:rsidTr="004C2C77">
        <w:trPr>
          <w:cantSplit/>
          <w:trHeight w:val="227"/>
        </w:trPr>
        <w:tc>
          <w:tcPr>
            <w:tcW w:w="2273" w:type="dxa"/>
            <w:vMerge/>
            <w:tcBorders>
              <w:left w:val="single" w:sz="4" w:space="0" w:color="auto"/>
              <w:bottom w:val="single" w:sz="4" w:space="0" w:color="auto"/>
            </w:tcBorders>
            <w:shd w:val="clear" w:color="auto" w:fill="FFFFFF"/>
          </w:tcPr>
          <w:p w14:paraId="36A02DBE" w14:textId="77777777" w:rsidR="004C2C77" w:rsidRPr="0009445C" w:rsidRDefault="004C2C77" w:rsidP="004C2C77">
            <w:pPr>
              <w:pStyle w:val="BRL-Tabelle"/>
              <w:spacing w:before="60" w:after="40"/>
              <w:ind w:left="113" w:right="113"/>
            </w:pPr>
          </w:p>
        </w:tc>
        <w:tc>
          <w:tcPr>
            <w:tcW w:w="5387" w:type="dxa"/>
            <w:tcBorders>
              <w:top w:val="single" w:sz="2" w:space="0" w:color="595959"/>
              <w:bottom w:val="single" w:sz="4" w:space="0" w:color="auto"/>
            </w:tcBorders>
            <w:shd w:val="clear" w:color="auto" w:fill="FFFFFF"/>
          </w:tcPr>
          <w:p w14:paraId="3A07A4F8" w14:textId="77777777" w:rsidR="004C2C77" w:rsidRPr="0009445C" w:rsidRDefault="004C2C77" w:rsidP="004C2C77">
            <w:pPr>
              <w:pStyle w:val="BRL-Tabelle"/>
              <w:spacing w:before="60" w:after="40"/>
              <w:ind w:left="113" w:right="113"/>
            </w:pPr>
            <w:r w:rsidRPr="0009445C">
              <w:t>Silicon-based injection and pressing materials</w:t>
            </w:r>
          </w:p>
        </w:tc>
        <w:tc>
          <w:tcPr>
            <w:tcW w:w="1420" w:type="dxa"/>
            <w:tcBorders>
              <w:top w:val="single" w:sz="2" w:space="0" w:color="595959"/>
              <w:bottom w:val="single" w:sz="4" w:space="0" w:color="auto"/>
              <w:right w:val="single" w:sz="4" w:space="0" w:color="auto"/>
            </w:tcBorders>
            <w:shd w:val="clear" w:color="auto" w:fill="FFFFFF"/>
          </w:tcPr>
          <w:p w14:paraId="52509ADB" w14:textId="77777777" w:rsidR="004C2C77" w:rsidRPr="0009445C" w:rsidRDefault="004C2C77" w:rsidP="004C2C77">
            <w:pPr>
              <w:pStyle w:val="BRL-Tabelle"/>
              <w:spacing w:before="60" w:after="40"/>
              <w:ind w:left="113" w:right="113"/>
              <w:jc w:val="center"/>
            </w:pPr>
            <w:r w:rsidRPr="0009445C">
              <w:t>8.3</w:t>
            </w:r>
          </w:p>
        </w:tc>
      </w:tr>
      <w:tr w:rsidR="004C2C77" w:rsidRPr="0009445C" w14:paraId="3C92529E" w14:textId="77777777" w:rsidTr="004C2C77">
        <w:trPr>
          <w:cantSplit/>
          <w:trHeight w:val="227"/>
        </w:trPr>
        <w:tc>
          <w:tcPr>
            <w:tcW w:w="2273" w:type="dxa"/>
            <w:vMerge w:val="restart"/>
            <w:tcBorders>
              <w:left w:val="single" w:sz="4" w:space="0" w:color="auto"/>
              <w:bottom w:val="nil"/>
            </w:tcBorders>
            <w:shd w:val="clear" w:color="auto" w:fill="FFFFFF"/>
          </w:tcPr>
          <w:p w14:paraId="4A526C43" w14:textId="77777777" w:rsidR="004C2C77" w:rsidRPr="0009445C" w:rsidRDefault="004C2C77" w:rsidP="004C2C77">
            <w:pPr>
              <w:pStyle w:val="BRL-Tabelle"/>
              <w:spacing w:before="60" w:after="40"/>
              <w:ind w:left="113" w:right="113"/>
            </w:pPr>
            <w:r w:rsidRPr="0009445C">
              <w:t>Granular fillings</w:t>
            </w:r>
          </w:p>
        </w:tc>
        <w:tc>
          <w:tcPr>
            <w:tcW w:w="5387" w:type="dxa"/>
            <w:shd w:val="clear" w:color="auto" w:fill="FFFFFF"/>
          </w:tcPr>
          <w:p w14:paraId="5710232D" w14:textId="77777777" w:rsidR="004C2C77" w:rsidRPr="0009445C" w:rsidRDefault="004C2C77" w:rsidP="004C2C77">
            <w:pPr>
              <w:pStyle w:val="BRL-Tabelle"/>
              <w:spacing w:before="60" w:after="40"/>
              <w:ind w:left="113" w:right="113"/>
            </w:pPr>
            <w:r w:rsidRPr="0009445C">
              <w:t>Foam glass gravel used to backfill foundation slabs</w:t>
            </w:r>
          </w:p>
        </w:tc>
        <w:tc>
          <w:tcPr>
            <w:tcW w:w="1420" w:type="dxa"/>
            <w:tcBorders>
              <w:right w:val="single" w:sz="4" w:space="0" w:color="auto"/>
            </w:tcBorders>
            <w:shd w:val="clear" w:color="auto" w:fill="FFFFFF"/>
          </w:tcPr>
          <w:p w14:paraId="21225136" w14:textId="77777777" w:rsidR="004C2C77" w:rsidRPr="0009445C" w:rsidRDefault="004C2C77" w:rsidP="004C2C77">
            <w:pPr>
              <w:pStyle w:val="BRL-Tabelle"/>
              <w:spacing w:before="60" w:after="40"/>
              <w:ind w:left="113" w:right="113"/>
              <w:jc w:val="center"/>
            </w:pPr>
            <w:r w:rsidRPr="0009445C">
              <w:t>9.1</w:t>
            </w:r>
          </w:p>
        </w:tc>
      </w:tr>
      <w:tr w:rsidR="004C2C77" w:rsidRPr="0009445C" w14:paraId="61AF92EA" w14:textId="77777777" w:rsidTr="004C2C77">
        <w:trPr>
          <w:cantSplit/>
          <w:trHeight w:val="227"/>
        </w:trPr>
        <w:tc>
          <w:tcPr>
            <w:tcW w:w="2273" w:type="dxa"/>
            <w:vMerge/>
            <w:tcBorders>
              <w:left w:val="single" w:sz="4" w:space="0" w:color="auto"/>
              <w:bottom w:val="single" w:sz="2" w:space="0" w:color="595959"/>
            </w:tcBorders>
            <w:shd w:val="clear" w:color="auto" w:fill="FFFFFF"/>
          </w:tcPr>
          <w:p w14:paraId="5478549C" w14:textId="77777777" w:rsidR="004C2C77" w:rsidRPr="0009445C" w:rsidRDefault="004C2C77" w:rsidP="004C2C77">
            <w:pPr>
              <w:pStyle w:val="BRL-Tabelle"/>
              <w:spacing w:before="60" w:after="40"/>
              <w:ind w:left="113" w:right="113"/>
            </w:pPr>
          </w:p>
        </w:tc>
        <w:tc>
          <w:tcPr>
            <w:tcW w:w="5387" w:type="dxa"/>
            <w:tcBorders>
              <w:bottom w:val="single" w:sz="2" w:space="0" w:color="595959"/>
            </w:tcBorders>
            <w:shd w:val="clear" w:color="auto" w:fill="FFFFFF"/>
          </w:tcPr>
          <w:p w14:paraId="2752BD04" w14:textId="77777777" w:rsidR="004C2C77" w:rsidRPr="0009445C" w:rsidRDefault="004C2C77" w:rsidP="004C2C77">
            <w:pPr>
              <w:pStyle w:val="BRL-Tabelle"/>
              <w:spacing w:before="60" w:after="40"/>
              <w:ind w:left="113" w:right="113"/>
            </w:pPr>
            <w:r w:rsidRPr="0009445C">
              <w:t>Filter materials for the treatment of precipitation wastewater to be leaked</w:t>
            </w:r>
          </w:p>
        </w:tc>
        <w:tc>
          <w:tcPr>
            <w:tcW w:w="1420" w:type="dxa"/>
            <w:tcBorders>
              <w:bottom w:val="single" w:sz="2" w:space="0" w:color="595959"/>
              <w:right w:val="single" w:sz="4" w:space="0" w:color="auto"/>
            </w:tcBorders>
            <w:shd w:val="clear" w:color="auto" w:fill="FFFFFF"/>
          </w:tcPr>
          <w:p w14:paraId="2C29FBDA" w14:textId="77777777" w:rsidR="004C2C77" w:rsidRPr="0009445C" w:rsidRDefault="004C2C77" w:rsidP="004C2C77">
            <w:pPr>
              <w:pStyle w:val="BRL-Tabelle"/>
              <w:spacing w:before="60" w:after="40"/>
              <w:ind w:left="113" w:right="113"/>
              <w:jc w:val="center"/>
            </w:pPr>
            <w:r w:rsidRPr="0009445C">
              <w:t>9.2</w:t>
            </w:r>
          </w:p>
        </w:tc>
      </w:tr>
      <w:tr w:rsidR="004C2C77" w:rsidRPr="0009445C" w14:paraId="7E220FF2" w14:textId="77777777" w:rsidTr="004C2C77">
        <w:trPr>
          <w:cantSplit/>
          <w:trHeight w:val="227"/>
        </w:trPr>
        <w:tc>
          <w:tcPr>
            <w:tcW w:w="2273" w:type="dxa"/>
            <w:vMerge w:val="restart"/>
            <w:tcBorders>
              <w:top w:val="single" w:sz="2" w:space="0" w:color="595959"/>
              <w:left w:val="single" w:sz="4" w:space="0" w:color="auto"/>
              <w:bottom w:val="nil"/>
            </w:tcBorders>
            <w:shd w:val="clear" w:color="auto" w:fill="FFFFFF"/>
          </w:tcPr>
          <w:p w14:paraId="27A4081B" w14:textId="77777777" w:rsidR="004C2C77" w:rsidRPr="0009445C" w:rsidRDefault="004C2C77" w:rsidP="004C2C77">
            <w:pPr>
              <w:pStyle w:val="BRL-Tabelle"/>
              <w:spacing w:before="60" w:after="40"/>
              <w:ind w:left="113" w:right="113"/>
            </w:pPr>
            <w:r w:rsidRPr="0009445C">
              <w:t>Underground pipes and containers</w:t>
            </w:r>
          </w:p>
        </w:tc>
        <w:tc>
          <w:tcPr>
            <w:tcW w:w="5387" w:type="dxa"/>
            <w:tcBorders>
              <w:top w:val="single" w:sz="2" w:space="0" w:color="595959"/>
              <w:bottom w:val="single" w:sz="4" w:space="0" w:color="auto"/>
            </w:tcBorders>
            <w:shd w:val="clear" w:color="auto" w:fill="FFFFFF"/>
          </w:tcPr>
          <w:p w14:paraId="5AD7B944" w14:textId="77777777" w:rsidR="004C2C77" w:rsidRPr="0009445C" w:rsidRDefault="004C2C77" w:rsidP="004C2C77">
            <w:pPr>
              <w:pStyle w:val="BRL-Tabelle"/>
              <w:spacing w:before="60" w:after="40"/>
              <w:ind w:left="113" w:right="113"/>
            </w:pPr>
            <w:r w:rsidRPr="0009445C">
              <w:t>Underground concrete containers and pipes</w:t>
            </w:r>
          </w:p>
        </w:tc>
        <w:tc>
          <w:tcPr>
            <w:tcW w:w="1420" w:type="dxa"/>
            <w:tcBorders>
              <w:top w:val="single" w:sz="2" w:space="0" w:color="595959"/>
              <w:bottom w:val="single" w:sz="4" w:space="0" w:color="auto"/>
              <w:right w:val="single" w:sz="4" w:space="0" w:color="auto"/>
            </w:tcBorders>
            <w:shd w:val="clear" w:color="auto" w:fill="FFFFFF"/>
          </w:tcPr>
          <w:p w14:paraId="20EB4E28" w14:textId="77777777" w:rsidR="004C2C77" w:rsidRPr="0009445C" w:rsidRDefault="004C2C77" w:rsidP="004C2C77">
            <w:pPr>
              <w:pStyle w:val="BRL-Tabelle"/>
              <w:spacing w:before="60" w:after="40"/>
              <w:ind w:left="113" w:right="113"/>
              <w:jc w:val="center"/>
            </w:pPr>
            <w:r w:rsidRPr="0009445C">
              <w:t>10.1</w:t>
            </w:r>
          </w:p>
        </w:tc>
      </w:tr>
      <w:tr w:rsidR="004C2C77" w:rsidRPr="0009445C" w14:paraId="3B31B351" w14:textId="77777777" w:rsidTr="004C2C77">
        <w:trPr>
          <w:cantSplit/>
          <w:trHeight w:val="227"/>
        </w:trPr>
        <w:tc>
          <w:tcPr>
            <w:tcW w:w="2273" w:type="dxa"/>
            <w:vMerge/>
            <w:tcBorders>
              <w:left w:val="single" w:sz="4" w:space="0" w:color="auto"/>
              <w:bottom w:val="single" w:sz="4" w:space="0" w:color="auto"/>
            </w:tcBorders>
            <w:shd w:val="clear" w:color="auto" w:fill="FFFFFF"/>
          </w:tcPr>
          <w:p w14:paraId="7BCAB8B0" w14:textId="77777777" w:rsidR="004C2C77" w:rsidRPr="0009445C" w:rsidRDefault="004C2C77" w:rsidP="004C2C77">
            <w:pPr>
              <w:pStyle w:val="BRL-Tabelle"/>
              <w:spacing w:before="60" w:after="40"/>
              <w:ind w:left="113" w:right="113"/>
            </w:pPr>
          </w:p>
        </w:tc>
        <w:tc>
          <w:tcPr>
            <w:tcW w:w="5387" w:type="dxa"/>
            <w:tcBorders>
              <w:top w:val="single" w:sz="2" w:space="0" w:color="595959"/>
              <w:bottom w:val="single" w:sz="4" w:space="0" w:color="auto"/>
            </w:tcBorders>
            <w:shd w:val="clear" w:color="auto" w:fill="FFFFFF"/>
          </w:tcPr>
          <w:p w14:paraId="2B1C28DB" w14:textId="77777777" w:rsidR="004C2C77" w:rsidRPr="0009445C" w:rsidRDefault="004C2C77" w:rsidP="004C2C77">
            <w:pPr>
              <w:pStyle w:val="BRL-Tabelle"/>
              <w:spacing w:before="60" w:after="40"/>
              <w:ind w:left="113" w:right="113"/>
            </w:pPr>
            <w:r w:rsidRPr="0009445C">
              <w:t>Sewer rehabilitation products</w:t>
            </w:r>
          </w:p>
        </w:tc>
        <w:tc>
          <w:tcPr>
            <w:tcW w:w="1420" w:type="dxa"/>
            <w:tcBorders>
              <w:top w:val="single" w:sz="2" w:space="0" w:color="595959"/>
              <w:bottom w:val="single" w:sz="4" w:space="0" w:color="auto"/>
              <w:right w:val="single" w:sz="4" w:space="0" w:color="auto"/>
            </w:tcBorders>
            <w:shd w:val="clear" w:color="auto" w:fill="FFFFFF"/>
          </w:tcPr>
          <w:p w14:paraId="72582934" w14:textId="77777777" w:rsidR="004C2C77" w:rsidRPr="0009445C" w:rsidRDefault="004C2C77" w:rsidP="004C2C77">
            <w:pPr>
              <w:pStyle w:val="BRL-Tabelle"/>
              <w:spacing w:before="60" w:after="40"/>
              <w:ind w:left="113" w:right="113"/>
              <w:jc w:val="center"/>
            </w:pPr>
            <w:r w:rsidRPr="0009445C">
              <w:t>10.2</w:t>
            </w:r>
          </w:p>
        </w:tc>
      </w:tr>
    </w:tbl>
    <w:p w14:paraId="7CB8F4FA" w14:textId="77777777" w:rsidR="004C2C77" w:rsidRPr="0009445C" w:rsidRDefault="004C2C77" w:rsidP="004C2C77">
      <w:pPr>
        <w:pStyle w:val="BRL-Standard"/>
      </w:pPr>
    </w:p>
    <w:p w14:paraId="5E9B10C2" w14:textId="77777777" w:rsidR="004C2C77" w:rsidRPr="0009445C" w:rsidRDefault="004C2C77" w:rsidP="00600F53">
      <w:pPr>
        <w:pStyle w:val="BRL-berschrift"/>
      </w:pPr>
      <w:r w:rsidRPr="0009445C">
        <w:t>2</w:t>
      </w:r>
      <w:r w:rsidRPr="0009445C">
        <w:tab/>
        <w:t>Requirements for ingredients</w:t>
      </w:r>
    </w:p>
    <w:p w14:paraId="7DDEB8B7" w14:textId="77777777" w:rsidR="004C2C77" w:rsidRPr="0009445C" w:rsidRDefault="004C2C77" w:rsidP="004C2C77">
      <w:pPr>
        <w:pStyle w:val="BRL-Standard"/>
      </w:pPr>
      <w:r w:rsidRPr="0009445C">
        <w:t>The legal regulations for substances such as REACH Regulation (EC) No. 1907/2006, the Biocidal Regulation (EU) No 528/2012, the POP Regulation (EC) No. 850/2004, the Chemicals Prohibition Ordinance and the Closed Substance Cycle Act (</w:t>
      </w:r>
      <w:proofErr w:type="spellStart"/>
      <w:r w:rsidRPr="0009445C">
        <w:t>Kreislaufwirtschaftsgesetz</w:t>
      </w:r>
      <w:proofErr w:type="spellEnd"/>
      <w:r w:rsidRPr="0009445C">
        <w:t xml:space="preserve"> [</w:t>
      </w:r>
      <w:proofErr w:type="spellStart"/>
      <w:r w:rsidRPr="0009445C">
        <w:t>KrWG</w:t>
      </w:r>
      <w:proofErr w:type="spellEnd"/>
      <w:r w:rsidRPr="0009445C">
        <w:t>]) apply.</w:t>
      </w:r>
    </w:p>
    <w:p w14:paraId="6461474E" w14:textId="77777777" w:rsidR="004C2C77" w:rsidRPr="0009445C" w:rsidRDefault="004C2C77" w:rsidP="004C2C77">
      <w:pPr>
        <w:pStyle w:val="BRL-Standard"/>
      </w:pPr>
    </w:p>
    <w:p w14:paraId="02F95AE0" w14:textId="77777777" w:rsidR="004C2C77" w:rsidRPr="0009445C" w:rsidRDefault="004C2C77" w:rsidP="004C2C77">
      <w:pPr>
        <w:pStyle w:val="BRL-Standard"/>
        <w:spacing w:after="120"/>
      </w:pPr>
      <w:r w:rsidRPr="0009445C">
        <w:t>In addition, any component of a construction product or kit may not be used as part of a building installation if the individual concentration of an active substance</w:t>
      </w:r>
      <w:bookmarkStart w:id="54" w:name="_Ref77335578"/>
      <w:r w:rsidRPr="0009445C">
        <w:rPr>
          <w:rStyle w:val="FootnoteReference"/>
        </w:rPr>
        <w:footnoteReference w:id="55"/>
      </w:r>
      <w:bookmarkEnd w:id="54"/>
      <w:r w:rsidRPr="0009445C">
        <w:t xml:space="preserve"> which is carcinogenic (H350; Of category 1A or 1B, mutagen (H340) of category 1A or 1B and/or toxic to reproduction (H360, H360F, H360D, H360FD) of category 1A or 1B in accordance with Regulation (EC) No 1272/2008, has reached or exceeds:</w:t>
      </w:r>
    </w:p>
    <w:p w14:paraId="331FE731" w14:textId="77777777" w:rsidR="004C2C77" w:rsidRPr="0009445C" w:rsidRDefault="004C2C77" w:rsidP="004C2C77">
      <w:pPr>
        <w:pStyle w:val="BRLAufzhlungAnstrich"/>
        <w:numPr>
          <w:ilvl w:val="0"/>
          <w:numId w:val="1"/>
        </w:numPr>
      </w:pPr>
      <w:r w:rsidRPr="0009445C">
        <w:t>the specific concentration limits set out in Part 3 of Annex VI to Regulation (EC) No 1272/2008; or</w:t>
      </w:r>
    </w:p>
    <w:p w14:paraId="69F515E5" w14:textId="77777777" w:rsidR="004C2C77" w:rsidRPr="0009445C" w:rsidRDefault="004C2C77" w:rsidP="004C2C77">
      <w:pPr>
        <w:pStyle w:val="BRLAufzhlungAnstrich"/>
        <w:numPr>
          <w:ilvl w:val="0"/>
          <w:numId w:val="1"/>
        </w:numPr>
      </w:pPr>
      <w:r w:rsidRPr="0009445C">
        <w:t>the respective concentrations set out in Part 3 of Annex I to Regulation (EC) No 1272/2008, unless a specific concentration limit is specified in Part 3 of Annex VI to Regulation (EC) No 1272/2008.</w:t>
      </w:r>
    </w:p>
    <w:p w14:paraId="7A55F3E4" w14:textId="77777777" w:rsidR="004C2C77" w:rsidRPr="0009445C" w:rsidRDefault="004C2C77" w:rsidP="004C2C77">
      <w:pPr>
        <w:pStyle w:val="BRL-StandardAufzhlungStrich"/>
        <w:numPr>
          <w:ilvl w:val="0"/>
          <w:numId w:val="0"/>
        </w:numPr>
        <w:ind w:left="66"/>
        <w:rPr>
          <w:lang w:eastAsia="en-US"/>
        </w:rPr>
      </w:pPr>
    </w:p>
    <w:p w14:paraId="4E7A5BC7" w14:textId="77777777" w:rsidR="004C2C77" w:rsidRPr="0009445C" w:rsidRDefault="004C2C77" w:rsidP="004C2C77">
      <w:pPr>
        <w:pStyle w:val="BRL-Standard"/>
      </w:pPr>
      <w:r w:rsidRPr="0009445C">
        <w:t>The above requirements for structural elements of construction products or kits with regard to carcinogenic, mutagenic and reprotoxic substances do not apply if it can be shown that they pose no potential hazard to soil or water when installed</w:t>
      </w:r>
      <w:r w:rsidRPr="0009445C">
        <w:rPr>
          <w:rStyle w:val="FootnoteReference"/>
          <w:lang w:eastAsia="en-US"/>
        </w:rPr>
        <w:footnoteReference w:id="56"/>
      </w:r>
      <w:r w:rsidRPr="0009445C">
        <w:t>.</w:t>
      </w:r>
    </w:p>
    <w:p w14:paraId="471FB523" w14:textId="77777777" w:rsidR="004C2C77" w:rsidRPr="0009445C" w:rsidRDefault="004C2C77" w:rsidP="004C2C77">
      <w:pPr>
        <w:pStyle w:val="BRL-Standard"/>
        <w:rPr>
          <w:lang w:eastAsia="en-US"/>
        </w:rPr>
      </w:pPr>
    </w:p>
    <w:p w14:paraId="2674E35F" w14:textId="77777777" w:rsidR="004C2C77" w:rsidRPr="0009445C" w:rsidRDefault="004C2C77" w:rsidP="004C2C77">
      <w:pPr>
        <w:pStyle w:val="BRL-Standard"/>
      </w:pPr>
      <w:r w:rsidRPr="0009445C">
        <w:t xml:space="preserve">Note: </w:t>
      </w:r>
    </w:p>
    <w:p w14:paraId="6D437D50" w14:textId="63FB85B8" w:rsidR="004C2C77" w:rsidRPr="0009445C" w:rsidRDefault="004C2C77" w:rsidP="004C2C77">
      <w:pPr>
        <w:pStyle w:val="BRL-Standard"/>
      </w:pPr>
      <w:r w:rsidRPr="0009445C">
        <w:t>The active</w:t>
      </w:r>
      <w:r w:rsidRPr="0009445C">
        <w:rPr>
          <w:rStyle w:val="FootnoteReference"/>
        </w:rPr>
        <w:fldChar w:fldCharType="begin"/>
      </w:r>
      <w:r w:rsidRPr="0009445C">
        <w:rPr>
          <w:rStyle w:val="FootnoteReference"/>
        </w:rPr>
        <w:instrText xml:space="preserve"> NOTEREF _Ref77335578 \h  \* MERGEFORMAT </w:instrText>
      </w:r>
      <w:r w:rsidRPr="0009445C">
        <w:rPr>
          <w:rStyle w:val="FootnoteReference"/>
        </w:rPr>
      </w:r>
      <w:r w:rsidRPr="0009445C">
        <w:rPr>
          <w:rStyle w:val="FootnoteReference"/>
        </w:rPr>
        <w:fldChar w:fldCharType="separate"/>
      </w:r>
      <w:r w:rsidR="0009445C" w:rsidRPr="0009445C">
        <w:rPr>
          <w:rStyle w:val="FootnoteReference"/>
        </w:rPr>
        <w:t>3</w:t>
      </w:r>
      <w:r w:rsidRPr="0009445C">
        <w:rPr>
          <w:rStyle w:val="FootnoteReference"/>
        </w:rPr>
        <w:fldChar w:fldCharType="end"/>
      </w:r>
      <w:r w:rsidRPr="0009445C">
        <w:t xml:space="preserve"> use of substances that must be marked H400, H410, H411, H300, H301, H310, H311, H341, H351, H361, H370 and H372 pursuant to the CLP</w:t>
      </w:r>
      <w:r w:rsidRPr="0009445C">
        <w:noBreakHyphen/>
        <w:t xml:space="preserve"> Regulation (EU) No 1272/2008, as amended, shall be avoided. If the use of a component cannot be avoided, it must not pose a risk when installed.</w:t>
      </w:r>
    </w:p>
    <w:p w14:paraId="512B630B" w14:textId="77777777" w:rsidR="004C2C77" w:rsidRPr="0009445C" w:rsidRDefault="004C2C77" w:rsidP="004C2C77">
      <w:pPr>
        <w:pStyle w:val="BRL-Standard"/>
      </w:pPr>
    </w:p>
    <w:p w14:paraId="088375F1" w14:textId="77777777" w:rsidR="004C2C77" w:rsidRPr="0009445C" w:rsidRDefault="004C2C77" w:rsidP="00600F53">
      <w:pPr>
        <w:pStyle w:val="BRL-berschrift"/>
      </w:pPr>
      <w:r w:rsidRPr="0009445C">
        <w:t>3</w:t>
      </w:r>
      <w:r w:rsidRPr="0009445C">
        <w:tab/>
        <w:t>Requirements on the release of hazardous substances</w:t>
      </w:r>
    </w:p>
    <w:p w14:paraId="365042F8" w14:textId="77777777" w:rsidR="004C2C77" w:rsidRPr="0009445C" w:rsidRDefault="004C2C77" w:rsidP="004C2C77">
      <w:pPr>
        <w:pStyle w:val="BRL-Standard"/>
        <w:spacing w:after="120"/>
      </w:pPr>
      <w:r w:rsidRPr="0009445C">
        <w:t>The concentration of hazardous substances released from construction installations may:</w:t>
      </w:r>
    </w:p>
    <w:p w14:paraId="4025E236" w14:textId="77777777" w:rsidR="004C2C77" w:rsidRPr="0009445C" w:rsidRDefault="004C2C77" w:rsidP="004C2C77">
      <w:pPr>
        <w:pStyle w:val="BRLAufzhlungAnstrich"/>
        <w:numPr>
          <w:ilvl w:val="0"/>
          <w:numId w:val="1"/>
        </w:numPr>
      </w:pPr>
      <w:r w:rsidRPr="0009445C">
        <w:t>Change the chemical composition of bodies of water to only a negligible extent,</w:t>
      </w:r>
    </w:p>
    <w:p w14:paraId="0863FB5A" w14:textId="77777777" w:rsidR="004C2C77" w:rsidRPr="0009445C" w:rsidRDefault="004C2C77" w:rsidP="004C2C77">
      <w:pPr>
        <w:pStyle w:val="BRLAufzhlungAnstrich"/>
        <w:numPr>
          <w:ilvl w:val="0"/>
          <w:numId w:val="1"/>
        </w:numPr>
      </w:pPr>
      <w:r w:rsidRPr="0009445C">
        <w:t>Have no relevant eco-toxicological effects on bodies of water and</w:t>
      </w:r>
    </w:p>
    <w:p w14:paraId="7EAE54FA" w14:textId="77777777" w:rsidR="004C2C77" w:rsidRPr="0009445C" w:rsidRDefault="004C2C77" w:rsidP="004C2C77">
      <w:pPr>
        <w:pStyle w:val="BRLAufzhlungAnstrich"/>
        <w:numPr>
          <w:ilvl w:val="0"/>
          <w:numId w:val="1"/>
        </w:numPr>
      </w:pPr>
      <w:r w:rsidRPr="0009445C">
        <w:t>Not adversely affect or overload the natural soil function, in particular the function of the soil as a decomposition, neutralisation and regeneration medium for material impacts by virtue of its filtering, buffering and substance conversion properties (filter and buffer function), and in particular for groundwater protection purposes.</w:t>
      </w:r>
    </w:p>
    <w:p w14:paraId="00FEFE40" w14:textId="77777777" w:rsidR="004C2C77" w:rsidRPr="0009445C" w:rsidRDefault="004C2C77" w:rsidP="004C2C77">
      <w:pPr>
        <w:pStyle w:val="BRL-Standard"/>
      </w:pPr>
    </w:p>
    <w:p w14:paraId="516C8171" w14:textId="77777777" w:rsidR="004C2C77" w:rsidRPr="0009445C" w:rsidRDefault="004C2C77" w:rsidP="004C2C77">
      <w:pPr>
        <w:pStyle w:val="BRL-Standard"/>
      </w:pPr>
      <w:r w:rsidRPr="0009445C">
        <w:t>This is deemed to have been satisfied if for example the de-minimis thresholds</w:t>
      </w:r>
      <w:r w:rsidRPr="0009445C">
        <w:rPr>
          <w:rStyle w:val="FootnoteReference"/>
        </w:rPr>
        <w:footnoteReference w:id="57"/>
      </w:r>
      <w:r w:rsidRPr="0009445C">
        <w:t xml:space="preserve"> and the requirements listed below in this section are met.</w:t>
      </w:r>
    </w:p>
    <w:p w14:paraId="4AAE9BA0" w14:textId="77777777" w:rsidR="004C2C77" w:rsidRPr="0009445C" w:rsidRDefault="004C2C77" w:rsidP="004C2C77">
      <w:pPr>
        <w:pStyle w:val="BRL-Standard"/>
      </w:pPr>
    </w:p>
    <w:p w14:paraId="27952AAF" w14:textId="77777777" w:rsidR="004C2C77" w:rsidRPr="0009445C" w:rsidRDefault="004C2C77" w:rsidP="004C2C77">
      <w:pPr>
        <w:pStyle w:val="BRL-Standard"/>
      </w:pPr>
      <w:r w:rsidRPr="0009445C">
        <w:t>Note:</w:t>
      </w:r>
    </w:p>
    <w:p w14:paraId="20934216" w14:textId="77777777" w:rsidR="004C2C77" w:rsidRPr="0009445C" w:rsidRDefault="004C2C77" w:rsidP="004C2C77">
      <w:pPr>
        <w:pStyle w:val="BRL-Standard"/>
      </w:pPr>
      <w:r w:rsidRPr="0009445C">
        <w:lastRenderedPageBreak/>
        <w:t>Eluate concentrations determined in laboratory tests are generally not directly comparable with the specification values at the place of assessment under real conditions. The installation situation and any transport pathways must be taken into account, for example with transfer functions</w:t>
      </w:r>
      <w:r w:rsidRPr="0009445C">
        <w:rPr>
          <w:rStyle w:val="FootnoteReference"/>
        </w:rPr>
        <w:footnoteReference w:id="58"/>
      </w:r>
      <w:r w:rsidRPr="0009445C">
        <w:t>.</w:t>
      </w:r>
    </w:p>
    <w:p w14:paraId="4C5AF68C" w14:textId="77777777" w:rsidR="004C2C77" w:rsidRPr="0009445C" w:rsidRDefault="004C2C77" w:rsidP="004C2C77">
      <w:pPr>
        <w:pStyle w:val="BRL-Standard"/>
      </w:pPr>
    </w:p>
    <w:p w14:paraId="58B1274F" w14:textId="77777777" w:rsidR="004C2C77" w:rsidRPr="0009445C" w:rsidRDefault="004C2C77" w:rsidP="004C2C77">
      <w:pPr>
        <w:pStyle w:val="BRL-Standard"/>
      </w:pPr>
      <w:r w:rsidRPr="0009445C">
        <w:t>The release of hazardous substances from structural works may not cause any lasting changes to electric conductivity or the pH</w:t>
      </w:r>
      <w:r w:rsidRPr="0009445C">
        <w:noBreakHyphen/>
        <w:t xml:space="preserve"> or any other changes in water such as discolouration, turbidity, foaming or smell.</w:t>
      </w:r>
    </w:p>
    <w:p w14:paraId="1F3DE25C" w14:textId="77777777" w:rsidR="004C2C77" w:rsidRPr="0009445C" w:rsidRDefault="004C2C77" w:rsidP="004C2C77">
      <w:pPr>
        <w:pStyle w:val="BRL-Standard"/>
      </w:pPr>
    </w:p>
    <w:p w14:paraId="2421A30A" w14:textId="77777777" w:rsidR="004C2C77" w:rsidRPr="0009445C" w:rsidRDefault="004C2C77" w:rsidP="004C2C77">
      <w:pPr>
        <w:pStyle w:val="BRL-Standard"/>
      </w:pPr>
      <w:r w:rsidRPr="0009445C">
        <w:t>If the requirement values (Annex A) for the release of hazardous substances from a specific component/construction product are complied with – insofar as these are explicitly specified – these requirements are deemed to have been met.</w:t>
      </w:r>
    </w:p>
    <w:p w14:paraId="39787247" w14:textId="77777777" w:rsidR="004C2C77" w:rsidRPr="0009445C" w:rsidRDefault="004C2C77" w:rsidP="004C2C77">
      <w:pPr>
        <w:pStyle w:val="BRL-Standard"/>
      </w:pPr>
    </w:p>
    <w:p w14:paraId="5CC4D7BF" w14:textId="77777777" w:rsidR="004C2C77" w:rsidRPr="0009445C" w:rsidRDefault="004C2C77" w:rsidP="004C2C77">
      <w:pPr>
        <w:pStyle w:val="BRL-Standard"/>
      </w:pPr>
      <w:r w:rsidRPr="0009445C">
        <w:t>Where organic substances are released from buildings for which no test values exist, the requirements as per Table 2 must also be met.</w:t>
      </w:r>
    </w:p>
    <w:p w14:paraId="06959EF2" w14:textId="77777777" w:rsidR="004C2C77" w:rsidRPr="0009445C" w:rsidRDefault="004C2C77" w:rsidP="004C2C77">
      <w:pPr>
        <w:pStyle w:val="BRL-Standard"/>
      </w:pPr>
    </w:p>
    <w:p w14:paraId="34FF5440" w14:textId="77777777" w:rsidR="004C2C77" w:rsidRPr="0009445C" w:rsidRDefault="004C2C77" w:rsidP="004C2C77">
      <w:pPr>
        <w:pStyle w:val="BRLTabelleberschrift"/>
        <w:spacing w:before="0" w:after="120"/>
      </w:pPr>
      <w:r w:rsidRPr="0009445C">
        <w:t>Table 2:</w:t>
      </w:r>
      <w:r w:rsidRPr="0009445C">
        <w:tab/>
      </w:r>
      <w:r w:rsidRPr="0009445C">
        <w:tab/>
        <w:t>Requirements for environmentally relevant structural elements of organic materials in respect of the biological effects in groundwater</w:t>
      </w:r>
    </w:p>
    <w:tbl>
      <w:tblPr>
        <w:tblW w:w="0" w:type="auto"/>
        <w:tblBorders>
          <w:insideH w:val="single" w:sz="2" w:space="0" w:color="595959"/>
          <w:insideV w:val="single" w:sz="2" w:space="0" w:color="595959"/>
        </w:tblBorders>
        <w:tblCellMar>
          <w:left w:w="0" w:type="dxa"/>
          <w:right w:w="0" w:type="dxa"/>
        </w:tblCellMar>
        <w:tblLook w:val="04A0" w:firstRow="1" w:lastRow="0" w:firstColumn="1" w:lastColumn="0" w:noHBand="0" w:noVBand="1"/>
      </w:tblPr>
      <w:tblGrid>
        <w:gridCol w:w="4106"/>
        <w:gridCol w:w="2547"/>
        <w:gridCol w:w="2407"/>
      </w:tblGrid>
      <w:tr w:rsidR="004C2C77" w:rsidRPr="0009445C" w14:paraId="393C2652" w14:textId="77777777" w:rsidTr="004C2C77">
        <w:trPr>
          <w:cantSplit/>
          <w:tblHeader/>
        </w:trPr>
        <w:tc>
          <w:tcPr>
            <w:tcW w:w="4116" w:type="dxa"/>
            <w:tcBorders>
              <w:top w:val="single" w:sz="4" w:space="0" w:color="auto"/>
              <w:left w:val="single" w:sz="4" w:space="0" w:color="auto"/>
              <w:bottom w:val="single" w:sz="2" w:space="0" w:color="595959"/>
              <w:right w:val="single" w:sz="2" w:space="0" w:color="595959"/>
              <w:tl2br w:val="nil"/>
              <w:tr2bl w:val="nil"/>
            </w:tcBorders>
            <w:shd w:val="clear" w:color="auto" w:fill="FFFFFF"/>
          </w:tcPr>
          <w:p w14:paraId="424FE6C7" w14:textId="77777777" w:rsidR="004C2C77" w:rsidRPr="0009445C" w:rsidRDefault="004C2C77" w:rsidP="004C2C77">
            <w:pPr>
              <w:spacing w:before="60" w:after="40" w:line="240" w:lineRule="auto"/>
              <w:ind w:left="113" w:right="113"/>
              <w:rPr>
                <w:b/>
                <w:szCs w:val="18"/>
              </w:rPr>
            </w:pPr>
            <w:r w:rsidRPr="0009445C">
              <w:rPr>
                <w:b/>
              </w:rPr>
              <w:t>Parameter</w:t>
            </w:r>
          </w:p>
        </w:tc>
        <w:tc>
          <w:tcPr>
            <w:tcW w:w="2552"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0E553DBB" w14:textId="77777777" w:rsidR="004C2C77" w:rsidRPr="0009445C" w:rsidRDefault="004C2C77" w:rsidP="004C2C77">
            <w:pPr>
              <w:spacing w:before="60" w:after="40" w:line="240" w:lineRule="auto"/>
              <w:ind w:left="113" w:right="113"/>
              <w:jc w:val="center"/>
              <w:rPr>
                <w:b/>
                <w:szCs w:val="18"/>
              </w:rPr>
            </w:pPr>
            <w:r w:rsidRPr="0009445C">
              <w:rPr>
                <w:b/>
              </w:rPr>
              <w:t>Test during the reaction of the materials*</w:t>
            </w:r>
          </w:p>
        </w:tc>
        <w:tc>
          <w:tcPr>
            <w:tcW w:w="2412"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772DF5D0" w14:textId="77777777" w:rsidR="004C2C77" w:rsidRPr="0009445C" w:rsidRDefault="004C2C77" w:rsidP="004C2C77">
            <w:pPr>
              <w:spacing w:before="60" w:after="40" w:line="240" w:lineRule="auto"/>
              <w:ind w:left="113" w:right="113"/>
              <w:jc w:val="center"/>
              <w:rPr>
                <w:b/>
                <w:szCs w:val="18"/>
              </w:rPr>
            </w:pPr>
            <w:r w:rsidRPr="0009445C">
              <w:rPr>
                <w:b/>
              </w:rPr>
              <w:t>Testing of fully cured materials*</w:t>
            </w:r>
          </w:p>
        </w:tc>
      </w:tr>
      <w:tr w:rsidR="004C2C77" w:rsidRPr="0009445C" w14:paraId="343BAD2F" w14:textId="77777777" w:rsidTr="004C2C77">
        <w:trPr>
          <w:cantSplit/>
        </w:trPr>
        <w:tc>
          <w:tcPr>
            <w:tcW w:w="4116" w:type="dxa"/>
            <w:tcBorders>
              <w:left w:val="single" w:sz="4" w:space="0" w:color="auto"/>
              <w:bottom w:val="single" w:sz="2" w:space="0" w:color="595959"/>
            </w:tcBorders>
            <w:shd w:val="clear" w:color="auto" w:fill="FFFFFF"/>
          </w:tcPr>
          <w:p w14:paraId="5396F812" w14:textId="77777777" w:rsidR="004C2C77" w:rsidRPr="0009445C" w:rsidRDefault="004C2C77" w:rsidP="004C2C77">
            <w:pPr>
              <w:spacing w:before="60" w:after="40" w:line="240" w:lineRule="auto"/>
              <w:ind w:left="113" w:right="113"/>
              <w:rPr>
                <w:szCs w:val="18"/>
              </w:rPr>
            </w:pPr>
            <w:r w:rsidRPr="0009445C">
              <w:t>TOC</w:t>
            </w:r>
          </w:p>
        </w:tc>
        <w:tc>
          <w:tcPr>
            <w:tcW w:w="2552" w:type="dxa"/>
            <w:tcBorders>
              <w:bottom w:val="single" w:sz="2" w:space="0" w:color="595959"/>
              <w:right w:val="single" w:sz="4" w:space="0" w:color="auto"/>
            </w:tcBorders>
            <w:shd w:val="clear" w:color="auto" w:fill="FFFFFF"/>
          </w:tcPr>
          <w:p w14:paraId="61B7B409" w14:textId="77777777" w:rsidR="004C2C77" w:rsidRPr="0009445C" w:rsidRDefault="004C2C77" w:rsidP="004C2C77">
            <w:pPr>
              <w:spacing w:before="60" w:after="40" w:line="240" w:lineRule="auto"/>
              <w:ind w:left="113" w:right="113"/>
              <w:jc w:val="center"/>
              <w:rPr>
                <w:szCs w:val="18"/>
              </w:rPr>
            </w:pPr>
            <w:r w:rsidRPr="0009445C">
              <w:t>Indication in mg/l</w:t>
            </w:r>
          </w:p>
        </w:tc>
        <w:tc>
          <w:tcPr>
            <w:tcW w:w="2412" w:type="dxa"/>
            <w:tcBorders>
              <w:bottom w:val="single" w:sz="2" w:space="0" w:color="595959"/>
              <w:right w:val="single" w:sz="4" w:space="0" w:color="auto"/>
            </w:tcBorders>
            <w:shd w:val="clear" w:color="auto" w:fill="FFFFFF"/>
          </w:tcPr>
          <w:p w14:paraId="5F82B3E1" w14:textId="77777777" w:rsidR="004C2C77" w:rsidRPr="0009445C" w:rsidRDefault="004C2C77" w:rsidP="004C2C77">
            <w:pPr>
              <w:spacing w:before="60" w:after="40" w:line="240" w:lineRule="auto"/>
              <w:ind w:left="113" w:right="113"/>
              <w:jc w:val="center"/>
              <w:rPr>
                <w:szCs w:val="18"/>
              </w:rPr>
            </w:pPr>
            <w:r w:rsidRPr="0009445C">
              <w:t>Indication in mg/l</w:t>
            </w:r>
          </w:p>
        </w:tc>
      </w:tr>
      <w:tr w:rsidR="004C2C77" w:rsidRPr="0009445C" w14:paraId="1AA6C601" w14:textId="77777777" w:rsidTr="004C2C77">
        <w:trPr>
          <w:cantSplit/>
        </w:trPr>
        <w:tc>
          <w:tcPr>
            <w:tcW w:w="4116" w:type="dxa"/>
            <w:tcBorders>
              <w:top w:val="single" w:sz="2" w:space="0" w:color="595959"/>
              <w:left w:val="single" w:sz="4" w:space="0" w:color="auto"/>
              <w:bottom w:val="single" w:sz="4" w:space="0" w:color="auto"/>
            </w:tcBorders>
            <w:shd w:val="clear" w:color="auto" w:fill="FFFFFF"/>
          </w:tcPr>
          <w:p w14:paraId="706FB3DF" w14:textId="77777777" w:rsidR="004C2C77" w:rsidRPr="0009445C" w:rsidRDefault="004C2C77" w:rsidP="004C2C77">
            <w:pPr>
              <w:spacing w:before="60" w:after="40" w:line="240" w:lineRule="auto"/>
              <w:ind w:left="113" w:right="113"/>
              <w:rPr>
                <w:szCs w:val="18"/>
              </w:rPr>
            </w:pPr>
            <w:r w:rsidRPr="0009445C">
              <w:t xml:space="preserve">Algae test with </w:t>
            </w:r>
            <w:proofErr w:type="spellStart"/>
            <w:r w:rsidRPr="0009445C">
              <w:rPr>
                <w:i/>
              </w:rPr>
              <w:t>Desmodesmus</w:t>
            </w:r>
            <w:proofErr w:type="spellEnd"/>
            <w:r w:rsidRPr="0009445C">
              <w:rPr>
                <w:i/>
              </w:rPr>
              <w:t xml:space="preserve"> </w:t>
            </w:r>
            <w:proofErr w:type="spellStart"/>
            <w:r w:rsidRPr="0009445C">
              <w:rPr>
                <w:i/>
              </w:rPr>
              <w:t>subspicatus</w:t>
            </w:r>
            <w:proofErr w:type="spellEnd"/>
            <w:r w:rsidRPr="0009445C">
              <w:t xml:space="preserve"> or </w:t>
            </w:r>
            <w:proofErr w:type="spellStart"/>
            <w:r w:rsidRPr="0009445C">
              <w:rPr>
                <w:i/>
              </w:rPr>
              <w:t>Pseudokirchneriella</w:t>
            </w:r>
            <w:proofErr w:type="spellEnd"/>
            <w:r w:rsidRPr="0009445C">
              <w:rPr>
                <w:i/>
              </w:rPr>
              <w:t xml:space="preserve"> </w:t>
            </w:r>
            <w:proofErr w:type="spellStart"/>
            <w:r w:rsidRPr="0009445C">
              <w:rPr>
                <w:i/>
              </w:rPr>
              <w:t>subcapitata</w:t>
            </w:r>
            <w:proofErr w:type="spellEnd"/>
            <w:r w:rsidRPr="0009445C">
              <w:rPr>
                <w:i/>
              </w:rPr>
              <w:t xml:space="preserve"> </w:t>
            </w:r>
            <w:r w:rsidRPr="0009445C">
              <w:t>according to DIN EN ISO 8692:2012-06</w:t>
            </w:r>
          </w:p>
        </w:tc>
        <w:tc>
          <w:tcPr>
            <w:tcW w:w="2552" w:type="dxa"/>
            <w:tcBorders>
              <w:top w:val="single" w:sz="2" w:space="0" w:color="595959"/>
              <w:bottom w:val="single" w:sz="4" w:space="0" w:color="auto"/>
              <w:right w:val="single" w:sz="4" w:space="0" w:color="auto"/>
            </w:tcBorders>
            <w:shd w:val="clear" w:color="auto" w:fill="FFFFFF"/>
          </w:tcPr>
          <w:p w14:paraId="08545D03"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A</w:t>
            </w:r>
            <w:r w:rsidRPr="0009445C">
              <w:rPr>
                <w:vertAlign w:val="superscript"/>
              </w:rPr>
              <w:t>**</w:t>
            </w:r>
            <w:r w:rsidRPr="0009445C">
              <w:t> ≤ 8</w:t>
            </w:r>
          </w:p>
        </w:tc>
        <w:tc>
          <w:tcPr>
            <w:tcW w:w="2412" w:type="dxa"/>
            <w:tcBorders>
              <w:top w:val="single" w:sz="2" w:space="0" w:color="595959"/>
              <w:bottom w:val="single" w:sz="4" w:space="0" w:color="auto"/>
              <w:right w:val="single" w:sz="4" w:space="0" w:color="auto"/>
            </w:tcBorders>
            <w:shd w:val="clear" w:color="auto" w:fill="FFFFFF"/>
          </w:tcPr>
          <w:p w14:paraId="2780FE41"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A</w:t>
            </w:r>
            <w:r w:rsidRPr="0009445C">
              <w:t> ≤ 4</w:t>
            </w:r>
          </w:p>
        </w:tc>
      </w:tr>
      <w:tr w:rsidR="004C2C77" w:rsidRPr="0009445C" w14:paraId="338173E8" w14:textId="77777777" w:rsidTr="004C2C77">
        <w:trPr>
          <w:cantSplit/>
        </w:trPr>
        <w:tc>
          <w:tcPr>
            <w:tcW w:w="4116" w:type="dxa"/>
            <w:tcBorders>
              <w:left w:val="single" w:sz="4" w:space="0" w:color="auto"/>
              <w:bottom w:val="single" w:sz="2" w:space="0" w:color="595959"/>
            </w:tcBorders>
            <w:shd w:val="clear" w:color="auto" w:fill="FFFFFF"/>
          </w:tcPr>
          <w:p w14:paraId="0B06C54C" w14:textId="77777777" w:rsidR="004C2C77" w:rsidRPr="0009445C" w:rsidRDefault="004C2C77" w:rsidP="004C2C77">
            <w:pPr>
              <w:spacing w:before="60" w:after="40" w:line="240" w:lineRule="auto"/>
              <w:ind w:left="113" w:right="113"/>
              <w:rPr>
                <w:szCs w:val="18"/>
              </w:rPr>
            </w:pPr>
            <w:r w:rsidRPr="0009445C">
              <w:rPr>
                <w:i/>
              </w:rPr>
              <w:t>Daphnia test</w:t>
            </w:r>
            <w:r w:rsidRPr="0009445C">
              <w:t xml:space="preserve"> with </w:t>
            </w:r>
            <w:r w:rsidRPr="0009445C">
              <w:rPr>
                <w:i/>
              </w:rPr>
              <w:t>Daphnia magna Straus</w:t>
            </w:r>
            <w:r w:rsidRPr="0009445C">
              <w:t xml:space="preserve"> according to DIN EN ISO 6341:2013-01</w:t>
            </w:r>
          </w:p>
        </w:tc>
        <w:tc>
          <w:tcPr>
            <w:tcW w:w="2552" w:type="dxa"/>
            <w:tcBorders>
              <w:bottom w:val="single" w:sz="2" w:space="0" w:color="595959"/>
              <w:right w:val="single" w:sz="4" w:space="0" w:color="auto"/>
            </w:tcBorders>
            <w:shd w:val="clear" w:color="auto" w:fill="FFFFFF"/>
          </w:tcPr>
          <w:p w14:paraId="1DCB992D"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D</w:t>
            </w:r>
            <w:r w:rsidRPr="0009445C">
              <w:t> ≤ 8 (after 24 h)</w:t>
            </w:r>
          </w:p>
        </w:tc>
        <w:tc>
          <w:tcPr>
            <w:tcW w:w="2412" w:type="dxa"/>
            <w:tcBorders>
              <w:bottom w:val="single" w:sz="2" w:space="0" w:color="595959"/>
              <w:right w:val="single" w:sz="4" w:space="0" w:color="auto"/>
            </w:tcBorders>
            <w:shd w:val="clear" w:color="auto" w:fill="FFFFFF"/>
          </w:tcPr>
          <w:p w14:paraId="26C01F67"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D</w:t>
            </w:r>
            <w:r w:rsidRPr="0009445C">
              <w:t> ≤ 4 (after 24 h)</w:t>
            </w:r>
          </w:p>
        </w:tc>
      </w:tr>
      <w:tr w:rsidR="004C2C77" w:rsidRPr="0009445C" w14:paraId="3B94F3A8" w14:textId="77777777" w:rsidTr="004C2C77">
        <w:trPr>
          <w:cantSplit/>
        </w:trPr>
        <w:tc>
          <w:tcPr>
            <w:tcW w:w="4116" w:type="dxa"/>
            <w:tcBorders>
              <w:top w:val="single" w:sz="2" w:space="0" w:color="595959"/>
              <w:left w:val="single" w:sz="4" w:space="0" w:color="auto"/>
              <w:bottom w:val="single" w:sz="4" w:space="0" w:color="auto"/>
            </w:tcBorders>
            <w:shd w:val="clear" w:color="auto" w:fill="FFFFFF"/>
          </w:tcPr>
          <w:p w14:paraId="08485BAF" w14:textId="77777777" w:rsidR="004C2C77" w:rsidRPr="0009445C" w:rsidRDefault="004C2C77" w:rsidP="004C2C77">
            <w:pPr>
              <w:spacing w:before="60" w:after="40" w:line="240" w:lineRule="auto"/>
              <w:ind w:left="113" w:right="113"/>
              <w:rPr>
                <w:szCs w:val="18"/>
              </w:rPr>
            </w:pPr>
            <w:r w:rsidRPr="0009445C">
              <w:t>Luminescent bacteria luminescence inhibition test with V</w:t>
            </w:r>
            <w:r w:rsidRPr="0009445C">
              <w:rPr>
                <w:i/>
              </w:rPr>
              <w:t xml:space="preserve">ibrio </w:t>
            </w:r>
            <w:proofErr w:type="spellStart"/>
            <w:r w:rsidRPr="0009445C">
              <w:rPr>
                <w:i/>
              </w:rPr>
              <w:t>fischeri</w:t>
            </w:r>
            <w:proofErr w:type="spellEnd"/>
            <w:r w:rsidRPr="0009445C">
              <w:t xml:space="preserve"> according to DIN EN ISO 11348</w:t>
            </w:r>
            <w:r w:rsidRPr="0009445C">
              <w:noBreakHyphen/>
              <w:t>1 to DIN EN ISO 11348</w:t>
            </w:r>
            <w:r w:rsidRPr="0009445C">
              <w:noBreakHyphen/>
              <w:t>3:2009-05</w:t>
            </w:r>
          </w:p>
        </w:tc>
        <w:tc>
          <w:tcPr>
            <w:tcW w:w="2552" w:type="dxa"/>
            <w:tcBorders>
              <w:top w:val="single" w:sz="2" w:space="0" w:color="595959"/>
              <w:bottom w:val="single" w:sz="4" w:space="0" w:color="auto"/>
              <w:right w:val="single" w:sz="4" w:space="0" w:color="auto"/>
            </w:tcBorders>
            <w:shd w:val="clear" w:color="auto" w:fill="FFFFFF"/>
          </w:tcPr>
          <w:p w14:paraId="5AF1F83A"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L</w:t>
            </w:r>
            <w:r w:rsidRPr="0009445C">
              <w:t> ≤ 8</w:t>
            </w:r>
            <w:r w:rsidRPr="0009445C">
              <w:br w:type="textWrapping" w:clear="all"/>
            </w:r>
          </w:p>
        </w:tc>
        <w:tc>
          <w:tcPr>
            <w:tcW w:w="2412" w:type="dxa"/>
            <w:tcBorders>
              <w:top w:val="single" w:sz="2" w:space="0" w:color="595959"/>
              <w:bottom w:val="single" w:sz="4" w:space="0" w:color="auto"/>
              <w:right w:val="single" w:sz="4" w:space="0" w:color="auto"/>
            </w:tcBorders>
            <w:shd w:val="clear" w:color="auto" w:fill="FFFFFF"/>
          </w:tcPr>
          <w:p w14:paraId="0FCCB6FE"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L</w:t>
            </w:r>
            <w:r w:rsidRPr="0009445C">
              <w:t> ≤ 8</w:t>
            </w:r>
            <w:r w:rsidRPr="0009445C">
              <w:br w:type="textWrapping" w:clear="all"/>
            </w:r>
          </w:p>
        </w:tc>
      </w:tr>
      <w:tr w:rsidR="004C2C77" w:rsidRPr="0009445C" w14:paraId="73DDEDA3" w14:textId="77777777" w:rsidTr="004C2C77">
        <w:trPr>
          <w:cantSplit/>
        </w:trPr>
        <w:tc>
          <w:tcPr>
            <w:tcW w:w="4116" w:type="dxa"/>
            <w:tcBorders>
              <w:top w:val="single" w:sz="2" w:space="0" w:color="595959"/>
              <w:left w:val="single" w:sz="4" w:space="0" w:color="auto"/>
              <w:bottom w:val="single" w:sz="4" w:space="0" w:color="auto"/>
            </w:tcBorders>
            <w:shd w:val="clear" w:color="auto" w:fill="FFFFFF"/>
          </w:tcPr>
          <w:p w14:paraId="5C545583" w14:textId="77777777" w:rsidR="004C2C77" w:rsidRPr="0009445C" w:rsidRDefault="004C2C77" w:rsidP="004C2C77">
            <w:pPr>
              <w:spacing w:before="60" w:after="40" w:line="240" w:lineRule="auto"/>
              <w:ind w:left="113" w:right="113"/>
              <w:rPr>
                <w:szCs w:val="18"/>
              </w:rPr>
            </w:pPr>
            <w:r w:rsidRPr="0009445C">
              <w:t xml:space="preserve">Luminescent cell proliferation inhibition test with </w:t>
            </w:r>
            <w:r w:rsidRPr="0009445C">
              <w:rPr>
                <w:i/>
              </w:rPr>
              <w:t xml:space="preserve">Photobacterium </w:t>
            </w:r>
            <w:proofErr w:type="spellStart"/>
            <w:r w:rsidRPr="0009445C">
              <w:rPr>
                <w:i/>
              </w:rPr>
              <w:t>phosphoreum</w:t>
            </w:r>
            <w:proofErr w:type="spellEnd"/>
            <w:r w:rsidRPr="0009445C">
              <w:t xml:space="preserve"> according to DIN 38412</w:t>
            </w:r>
            <w:r w:rsidRPr="0009445C">
              <w:noBreakHyphen/>
              <w:t>37:1999-04, if G</w:t>
            </w:r>
            <w:r w:rsidRPr="0009445C">
              <w:rPr>
                <w:vertAlign w:val="subscript"/>
              </w:rPr>
              <w:t>L</w:t>
            </w:r>
            <w:r w:rsidRPr="0009445C">
              <w:t> &gt; 8</w:t>
            </w:r>
          </w:p>
        </w:tc>
        <w:tc>
          <w:tcPr>
            <w:tcW w:w="2552" w:type="dxa"/>
            <w:tcBorders>
              <w:top w:val="single" w:sz="2" w:space="0" w:color="595959"/>
              <w:bottom w:val="single" w:sz="4" w:space="0" w:color="auto"/>
              <w:right w:val="single" w:sz="4" w:space="0" w:color="auto"/>
            </w:tcBorders>
            <w:shd w:val="clear" w:color="auto" w:fill="FFFFFF"/>
          </w:tcPr>
          <w:p w14:paraId="2A61687E"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LW</w:t>
            </w:r>
            <w:r w:rsidRPr="0009445C">
              <w:t> ≤ 2</w:t>
            </w:r>
          </w:p>
        </w:tc>
        <w:tc>
          <w:tcPr>
            <w:tcW w:w="2412" w:type="dxa"/>
            <w:tcBorders>
              <w:top w:val="single" w:sz="2" w:space="0" w:color="595959"/>
              <w:bottom w:val="single" w:sz="4" w:space="0" w:color="auto"/>
              <w:right w:val="single" w:sz="4" w:space="0" w:color="auto"/>
            </w:tcBorders>
            <w:shd w:val="clear" w:color="auto" w:fill="FFFFFF"/>
          </w:tcPr>
          <w:p w14:paraId="75F284CF"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LW</w:t>
            </w:r>
            <w:r w:rsidRPr="0009445C">
              <w:t> ≤ 2</w:t>
            </w:r>
          </w:p>
        </w:tc>
      </w:tr>
      <w:tr w:rsidR="004C2C77" w:rsidRPr="0009445C" w14:paraId="74805226" w14:textId="77777777" w:rsidTr="004C2C77">
        <w:trPr>
          <w:cantSplit/>
        </w:trPr>
        <w:tc>
          <w:tcPr>
            <w:tcW w:w="4116" w:type="dxa"/>
            <w:tcBorders>
              <w:top w:val="single" w:sz="4" w:space="0" w:color="auto"/>
              <w:left w:val="single" w:sz="4" w:space="0" w:color="auto"/>
              <w:bottom w:val="single" w:sz="4" w:space="0" w:color="auto"/>
            </w:tcBorders>
            <w:shd w:val="clear" w:color="auto" w:fill="FFFFFF"/>
          </w:tcPr>
          <w:p w14:paraId="23F26A8C" w14:textId="77777777" w:rsidR="004C2C77" w:rsidRPr="0009445C" w:rsidRDefault="004C2C77" w:rsidP="004C2C77">
            <w:pPr>
              <w:spacing w:before="60" w:after="40" w:line="240" w:lineRule="auto"/>
              <w:ind w:left="113" w:right="113"/>
              <w:rPr>
                <w:szCs w:val="18"/>
              </w:rPr>
            </w:pPr>
            <w:r w:rsidRPr="0009445C">
              <w:t xml:space="preserve">Fish egg test with </w:t>
            </w:r>
            <w:r w:rsidRPr="0009445C">
              <w:rPr>
                <w:i/>
              </w:rPr>
              <w:t>Danio rerio</w:t>
            </w:r>
            <w:r w:rsidRPr="0009445C">
              <w:t xml:space="preserve"> according to DIN EN ISO 15088:2009-06</w:t>
            </w:r>
          </w:p>
        </w:tc>
        <w:tc>
          <w:tcPr>
            <w:tcW w:w="2552" w:type="dxa"/>
            <w:tcBorders>
              <w:top w:val="single" w:sz="4" w:space="0" w:color="auto"/>
              <w:bottom w:val="single" w:sz="4" w:space="0" w:color="auto"/>
              <w:right w:val="single" w:sz="4" w:space="0" w:color="auto"/>
            </w:tcBorders>
            <w:shd w:val="clear" w:color="auto" w:fill="FFFFFF"/>
          </w:tcPr>
          <w:p w14:paraId="25EE38BB"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EI</w:t>
            </w:r>
            <w:r w:rsidRPr="0009445C">
              <w:t> ≤ 6</w:t>
            </w:r>
          </w:p>
        </w:tc>
        <w:tc>
          <w:tcPr>
            <w:tcW w:w="2412" w:type="dxa"/>
            <w:tcBorders>
              <w:top w:val="single" w:sz="4" w:space="0" w:color="auto"/>
              <w:bottom w:val="single" w:sz="4" w:space="0" w:color="auto"/>
              <w:right w:val="single" w:sz="4" w:space="0" w:color="auto"/>
            </w:tcBorders>
            <w:shd w:val="clear" w:color="auto" w:fill="FFFFFF"/>
          </w:tcPr>
          <w:p w14:paraId="3F03166E"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EI</w:t>
            </w:r>
            <w:r w:rsidRPr="0009445C">
              <w:t> ≤ 6</w:t>
            </w:r>
          </w:p>
        </w:tc>
      </w:tr>
      <w:tr w:rsidR="004C2C77" w:rsidRPr="0009445C" w14:paraId="652091D0" w14:textId="77777777" w:rsidTr="004C2C77">
        <w:trPr>
          <w:cantSplit/>
        </w:trPr>
        <w:tc>
          <w:tcPr>
            <w:tcW w:w="4116" w:type="dxa"/>
            <w:tcBorders>
              <w:top w:val="single" w:sz="4" w:space="0" w:color="auto"/>
              <w:left w:val="single" w:sz="4" w:space="0" w:color="auto"/>
              <w:bottom w:val="single" w:sz="4" w:space="0" w:color="auto"/>
            </w:tcBorders>
            <w:shd w:val="clear" w:color="auto" w:fill="FFFFFF"/>
          </w:tcPr>
          <w:p w14:paraId="79DC73FD" w14:textId="77777777" w:rsidR="004C2C77" w:rsidRPr="0009445C" w:rsidRDefault="004C2C77" w:rsidP="004C2C77">
            <w:pPr>
              <w:spacing w:before="60" w:after="40" w:line="240" w:lineRule="auto"/>
              <w:ind w:left="113" w:right="113"/>
              <w:rPr>
                <w:szCs w:val="18"/>
              </w:rPr>
            </w:pPr>
            <w:proofErr w:type="spellStart"/>
            <w:r w:rsidRPr="0009445C">
              <w:t>Umu</w:t>
            </w:r>
            <w:proofErr w:type="spellEnd"/>
            <w:r w:rsidRPr="0009445C">
              <w:noBreakHyphen/>
              <w:t xml:space="preserve"> test on mutagenic potential according to ISO 13829:2000-03</w:t>
            </w:r>
          </w:p>
        </w:tc>
        <w:tc>
          <w:tcPr>
            <w:tcW w:w="2552" w:type="dxa"/>
            <w:tcBorders>
              <w:top w:val="single" w:sz="4" w:space="0" w:color="auto"/>
              <w:bottom w:val="single" w:sz="4" w:space="0" w:color="auto"/>
              <w:right w:val="single" w:sz="4" w:space="0" w:color="auto"/>
            </w:tcBorders>
            <w:shd w:val="clear" w:color="auto" w:fill="FFFFFF"/>
          </w:tcPr>
          <w:p w14:paraId="195A983D"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EU</w:t>
            </w:r>
            <w:r w:rsidRPr="0009445C">
              <w:t> ≤ 1.5</w:t>
            </w:r>
          </w:p>
        </w:tc>
        <w:tc>
          <w:tcPr>
            <w:tcW w:w="2412" w:type="dxa"/>
            <w:tcBorders>
              <w:top w:val="single" w:sz="4" w:space="0" w:color="auto"/>
              <w:bottom w:val="single" w:sz="4" w:space="0" w:color="auto"/>
              <w:right w:val="single" w:sz="4" w:space="0" w:color="auto"/>
            </w:tcBorders>
            <w:shd w:val="clear" w:color="auto" w:fill="FFFFFF"/>
          </w:tcPr>
          <w:p w14:paraId="438F2238" w14:textId="77777777" w:rsidR="004C2C77" w:rsidRPr="0009445C" w:rsidRDefault="004C2C77" w:rsidP="004C2C77">
            <w:pPr>
              <w:spacing w:before="60" w:after="40" w:line="240" w:lineRule="auto"/>
              <w:ind w:left="113" w:right="113"/>
              <w:jc w:val="center"/>
              <w:rPr>
                <w:szCs w:val="18"/>
              </w:rPr>
            </w:pPr>
            <w:r w:rsidRPr="0009445C">
              <w:t>G</w:t>
            </w:r>
            <w:r w:rsidRPr="0009445C">
              <w:rPr>
                <w:vertAlign w:val="subscript"/>
              </w:rPr>
              <w:t>EU</w:t>
            </w:r>
            <w:r w:rsidRPr="0009445C">
              <w:t> ≤ 1.5</w:t>
            </w:r>
          </w:p>
        </w:tc>
      </w:tr>
      <w:tr w:rsidR="004C2C77" w:rsidRPr="0009445C" w14:paraId="1F23F3B5" w14:textId="77777777" w:rsidTr="004C2C77">
        <w:tblPrEx>
          <w:tblBorders>
            <w:top w:val="single" w:sz="2" w:space="0" w:color="595959"/>
            <w:left w:val="single" w:sz="2" w:space="0" w:color="595959"/>
            <w:bottom w:val="single" w:sz="2" w:space="0" w:color="595959"/>
            <w:right w:val="single" w:sz="2" w:space="0" w:color="595959"/>
          </w:tblBorders>
        </w:tblPrEx>
        <w:trPr>
          <w:cantSplit/>
        </w:trPr>
        <w:tc>
          <w:tcPr>
            <w:tcW w:w="4116" w:type="dxa"/>
            <w:tcBorders>
              <w:top w:val="single" w:sz="4" w:space="0" w:color="auto"/>
              <w:left w:val="single" w:sz="4" w:space="0" w:color="auto"/>
              <w:bottom w:val="single" w:sz="4" w:space="0" w:color="auto"/>
            </w:tcBorders>
            <w:shd w:val="clear" w:color="auto" w:fill="FFFFFF"/>
          </w:tcPr>
          <w:p w14:paraId="2D86BFBD" w14:textId="77777777" w:rsidR="004C2C77" w:rsidRPr="0009445C" w:rsidRDefault="004C2C77" w:rsidP="004C2C77">
            <w:pPr>
              <w:spacing w:before="60" w:after="40" w:line="240" w:lineRule="auto"/>
              <w:ind w:left="113" w:right="113"/>
              <w:rPr>
                <w:szCs w:val="18"/>
              </w:rPr>
            </w:pPr>
            <w:r w:rsidRPr="0009445C">
              <w:t>Biodegradability where TOC &gt; 10 mg/l</w:t>
            </w:r>
          </w:p>
        </w:tc>
        <w:tc>
          <w:tcPr>
            <w:tcW w:w="2552" w:type="dxa"/>
            <w:tcBorders>
              <w:top w:val="single" w:sz="4" w:space="0" w:color="auto"/>
              <w:bottom w:val="single" w:sz="4" w:space="0" w:color="auto"/>
              <w:right w:val="single" w:sz="4" w:space="0" w:color="auto"/>
            </w:tcBorders>
            <w:shd w:val="clear" w:color="auto" w:fill="FFFFFF"/>
          </w:tcPr>
          <w:p w14:paraId="25769412" w14:textId="77777777" w:rsidR="004C2C77" w:rsidRPr="0009445C" w:rsidRDefault="004C2C77" w:rsidP="004C2C77">
            <w:pPr>
              <w:spacing w:before="60" w:after="40" w:line="240" w:lineRule="auto"/>
              <w:ind w:left="113" w:right="113"/>
              <w:jc w:val="center"/>
              <w:rPr>
                <w:szCs w:val="18"/>
              </w:rPr>
            </w:pPr>
            <w:r w:rsidRPr="0009445C">
              <w:t xml:space="preserve">‘Readily biodegradable’ </w:t>
            </w:r>
            <w:r w:rsidRPr="0009445C">
              <w:br w:type="textWrapping" w:clear="all"/>
              <w:t>as per OECD 301:1992-07</w:t>
            </w:r>
          </w:p>
        </w:tc>
        <w:tc>
          <w:tcPr>
            <w:tcW w:w="2412" w:type="dxa"/>
            <w:tcBorders>
              <w:top w:val="single" w:sz="4" w:space="0" w:color="auto"/>
              <w:bottom w:val="single" w:sz="4" w:space="0" w:color="auto"/>
              <w:right w:val="single" w:sz="4" w:space="0" w:color="auto"/>
            </w:tcBorders>
            <w:shd w:val="clear" w:color="auto" w:fill="FFFFFF"/>
          </w:tcPr>
          <w:p w14:paraId="511B4B48" w14:textId="77777777" w:rsidR="004C2C77" w:rsidRPr="0009445C" w:rsidRDefault="004C2C77" w:rsidP="004C2C77">
            <w:pPr>
              <w:spacing w:before="60" w:after="40" w:line="240" w:lineRule="auto"/>
              <w:ind w:left="113" w:right="113"/>
              <w:jc w:val="center"/>
              <w:rPr>
                <w:szCs w:val="18"/>
              </w:rPr>
            </w:pPr>
            <w:r w:rsidRPr="0009445C">
              <w:t>‘Readily biodegradable’ as per OECD 301:1992-07</w:t>
            </w:r>
          </w:p>
        </w:tc>
      </w:tr>
      <w:tr w:rsidR="004C2C77" w:rsidRPr="0009445C" w14:paraId="66DEBFCC" w14:textId="77777777" w:rsidTr="004C2C77">
        <w:tblPrEx>
          <w:tblBorders>
            <w:top w:val="single" w:sz="2" w:space="0" w:color="595959"/>
            <w:left w:val="single" w:sz="2" w:space="0" w:color="595959"/>
            <w:bottom w:val="single" w:sz="2" w:space="0" w:color="595959"/>
            <w:right w:val="single" w:sz="2" w:space="0" w:color="595959"/>
          </w:tblBorders>
        </w:tblPrEx>
        <w:trPr>
          <w:cantSplit/>
        </w:trPr>
        <w:tc>
          <w:tcPr>
            <w:tcW w:w="9080" w:type="dxa"/>
            <w:gridSpan w:val="3"/>
            <w:tcBorders>
              <w:top w:val="single" w:sz="4" w:space="0" w:color="auto"/>
              <w:left w:val="single" w:sz="4" w:space="0" w:color="auto"/>
              <w:bottom w:val="single" w:sz="4" w:space="0" w:color="auto"/>
              <w:right w:val="single" w:sz="4" w:space="0" w:color="auto"/>
            </w:tcBorders>
            <w:shd w:val="clear" w:color="auto" w:fill="FFFFFF"/>
          </w:tcPr>
          <w:p w14:paraId="41492578" w14:textId="77777777" w:rsidR="004C2C77" w:rsidRPr="0009445C" w:rsidRDefault="004C2C77" w:rsidP="004C2C77">
            <w:pPr>
              <w:tabs>
                <w:tab w:val="left" w:pos="284"/>
                <w:tab w:val="left" w:pos="425"/>
              </w:tabs>
              <w:spacing w:before="120" w:line="240" w:lineRule="auto"/>
              <w:ind w:left="425" w:right="113" w:hanging="357"/>
              <w:rPr>
                <w:sz w:val="16"/>
                <w:szCs w:val="16"/>
              </w:rPr>
            </w:pPr>
            <w:r w:rsidRPr="0009445C">
              <w:rPr>
                <w:sz w:val="16"/>
              </w:rPr>
              <w:t xml:space="preserve">* </w:t>
            </w:r>
            <w:r w:rsidRPr="0009445C">
              <w:rPr>
                <w:sz w:val="16"/>
              </w:rPr>
              <w:tab/>
            </w:r>
            <w:r w:rsidRPr="0009445C">
              <w:rPr>
                <w:sz w:val="16"/>
              </w:rPr>
              <w:tab/>
              <w:t>The requirements relate to elution testing on the component/construction product.</w:t>
            </w:r>
          </w:p>
          <w:p w14:paraId="2E2F47B5" w14:textId="77777777" w:rsidR="004C2C77" w:rsidRPr="0009445C" w:rsidRDefault="004C2C77" w:rsidP="004C2C77">
            <w:pPr>
              <w:tabs>
                <w:tab w:val="left" w:pos="425"/>
              </w:tabs>
              <w:spacing w:before="60" w:after="120" w:line="240" w:lineRule="auto"/>
              <w:ind w:left="425" w:right="113" w:hanging="357"/>
              <w:rPr>
                <w:sz w:val="16"/>
                <w:szCs w:val="16"/>
              </w:rPr>
            </w:pPr>
            <w:r w:rsidRPr="0009445C">
              <w:rPr>
                <w:sz w:val="16"/>
              </w:rPr>
              <w:t>**</w:t>
            </w:r>
            <w:r w:rsidRPr="0009445C">
              <w:rPr>
                <w:sz w:val="16"/>
              </w:rPr>
              <w:tab/>
              <w:t>Under the test specifications, inhibition of cell reproduction of green algae of 5 % or more is classified as a toxic effect. The thinning level necessary for less than 5 % inhibition of the original eluate (thinning level G</w:t>
            </w:r>
            <w:r w:rsidRPr="0009445C">
              <w:rPr>
                <w:sz w:val="16"/>
                <w:vertAlign w:val="subscript"/>
              </w:rPr>
              <w:t>A</w:t>
            </w:r>
            <w:r w:rsidRPr="0009445C">
              <w:rPr>
                <w:sz w:val="16"/>
              </w:rPr>
              <w:t>) is determined. The other G</w:t>
            </w:r>
            <w:r w:rsidRPr="0009445C">
              <w:rPr>
                <w:sz w:val="16"/>
              </w:rPr>
              <w:noBreakHyphen/>
              <w:t xml:space="preserve"> values are defined analogously.</w:t>
            </w:r>
          </w:p>
        </w:tc>
      </w:tr>
    </w:tbl>
    <w:p w14:paraId="0A70D52C" w14:textId="77777777" w:rsidR="004C2C77" w:rsidRPr="0009445C" w:rsidRDefault="004C2C77" w:rsidP="004C2C77"/>
    <w:p w14:paraId="25AEA738" w14:textId="77777777" w:rsidR="004C2C77" w:rsidRPr="0009445C" w:rsidRDefault="004C2C77" w:rsidP="00600F53">
      <w:pPr>
        <w:pStyle w:val="BRL-berschrift"/>
      </w:pPr>
      <w:r w:rsidRPr="0009445C">
        <w:t>4</w:t>
      </w:r>
      <w:r w:rsidRPr="0009445C">
        <w:tab/>
        <w:t>Requirements for roof structural elements</w:t>
      </w:r>
    </w:p>
    <w:p w14:paraId="3851C598" w14:textId="29942AF1" w:rsidR="004C2C77" w:rsidRPr="0009445C" w:rsidRDefault="004C2C77" w:rsidP="004C2C77">
      <w:pPr>
        <w:pStyle w:val="BRL-Standard"/>
      </w:pPr>
      <w:r w:rsidRPr="0009445C">
        <w:t>No proof is required in respect of the release of hazardous substances for small-scale structural elements such as fastenings, lightning conductors.</w:t>
      </w:r>
    </w:p>
    <w:p w14:paraId="34161F2D" w14:textId="77777777" w:rsidR="004C2C77" w:rsidRPr="0009445C" w:rsidRDefault="004C2C77" w:rsidP="004C2C77">
      <w:pPr>
        <w:pStyle w:val="BRL-Standard"/>
        <w:rPr>
          <w:b/>
          <w:szCs w:val="16"/>
        </w:rPr>
      </w:pPr>
    </w:p>
    <w:p w14:paraId="4FB6DBB6" w14:textId="77777777" w:rsidR="004C2C77" w:rsidRPr="0009445C" w:rsidRDefault="004C2C77" w:rsidP="00600F53">
      <w:pPr>
        <w:pStyle w:val="BRL-berschrift"/>
      </w:pPr>
      <w:r w:rsidRPr="0009445C">
        <w:t>4.1</w:t>
      </w:r>
      <w:r w:rsidRPr="0009445C">
        <w:tab/>
        <w:t>Concrete roof structural elements</w:t>
      </w:r>
    </w:p>
    <w:p w14:paraId="3517B134" w14:textId="77777777" w:rsidR="004C2C77" w:rsidRPr="0009445C" w:rsidRDefault="004C2C77" w:rsidP="004C2C77">
      <w:pPr>
        <w:pStyle w:val="BRL-Standard"/>
      </w:pPr>
      <w:r w:rsidRPr="0009445C">
        <w:t xml:space="preserve">Concrete source materials used in roof structural elements must meet the requirements set out in the following Sections. </w:t>
      </w:r>
    </w:p>
    <w:p w14:paraId="68F5FACB" w14:textId="77777777" w:rsidR="004C2C77" w:rsidRPr="0009445C" w:rsidRDefault="004C2C77" w:rsidP="004C2C77">
      <w:pPr>
        <w:pStyle w:val="BRL-Standard"/>
      </w:pPr>
    </w:p>
    <w:p w14:paraId="3FA334F5" w14:textId="19E47CAF" w:rsidR="004C2C77" w:rsidRPr="0009445C" w:rsidRDefault="004C2C77" w:rsidP="004C2C77">
      <w:pPr>
        <w:pStyle w:val="BRL-Standard"/>
      </w:pPr>
      <w:r w:rsidRPr="0009445C">
        <w:t>In the case of the exclusive use of natural rock granules, no evidence of the substance content and the release of dangerous substances shall be provided.</w:t>
      </w:r>
    </w:p>
    <w:p w14:paraId="73337477" w14:textId="77777777" w:rsidR="004C2C77" w:rsidRPr="0009445C" w:rsidRDefault="004C2C77" w:rsidP="004C2C77">
      <w:pPr>
        <w:pStyle w:val="BRL-Standard"/>
      </w:pPr>
    </w:p>
    <w:p w14:paraId="1807F4CA" w14:textId="77777777" w:rsidR="004C2C77" w:rsidRPr="0009445C" w:rsidRDefault="004C2C77" w:rsidP="004C2C77">
      <w:pPr>
        <w:pStyle w:val="BRL-Standard"/>
      </w:pPr>
      <w:r w:rsidRPr="0009445C">
        <w:t>Construction products manufactured using display glass may not be used.</w:t>
      </w:r>
    </w:p>
    <w:p w14:paraId="0446B118" w14:textId="77777777" w:rsidR="004C2C77" w:rsidRPr="0009445C" w:rsidRDefault="004C2C77" w:rsidP="004C2C77">
      <w:pPr>
        <w:pStyle w:val="BRL-Standard"/>
      </w:pPr>
    </w:p>
    <w:p w14:paraId="270492AD" w14:textId="77777777" w:rsidR="004C2C77" w:rsidRPr="0009445C" w:rsidRDefault="004C2C77" w:rsidP="00600F53">
      <w:pPr>
        <w:pStyle w:val="BRL-berschrift"/>
      </w:pPr>
      <w:r w:rsidRPr="0009445C">
        <w:t>4.1.1</w:t>
      </w:r>
      <w:r w:rsidRPr="0009445C">
        <w:tab/>
        <w:t>Recycled granules of rock</w:t>
      </w:r>
    </w:p>
    <w:p w14:paraId="757BD016" w14:textId="77777777" w:rsidR="004C2C77" w:rsidRPr="0009445C" w:rsidRDefault="004C2C77" w:rsidP="004C2C77">
      <w:pPr>
        <w:pStyle w:val="BRL-Standard"/>
      </w:pPr>
      <w:r w:rsidRPr="0009445C">
        <w:t>Concrete roof structural elements manufactured using recycled aggregates may only be installed if the recycled roof structural elements meet the following requirements:</w:t>
      </w:r>
    </w:p>
    <w:p w14:paraId="29EAC2A5" w14:textId="77777777" w:rsidR="004C2C77" w:rsidRPr="0009445C" w:rsidRDefault="004C2C77" w:rsidP="004C2C77">
      <w:pPr>
        <w:pStyle w:val="BRL-Standard"/>
      </w:pPr>
    </w:p>
    <w:p w14:paraId="2E3A0816" w14:textId="2ACBB60E" w:rsidR="004C2C77" w:rsidRPr="0009445C" w:rsidRDefault="00C64802" w:rsidP="004C2C77">
      <w:pPr>
        <w:pStyle w:val="BRLAufzhlungAnstrich"/>
        <w:numPr>
          <w:ilvl w:val="0"/>
          <w:numId w:val="1"/>
        </w:numPr>
        <w:spacing w:after="60"/>
        <w:jc w:val="both"/>
      </w:pPr>
      <w:r w:rsidRPr="0009445C">
        <w:t>Only waste generated during construction activities (e.g. dismantling, demolition, conversion, expansion, new construction and maintenance of buildings and civil engineering, roads, paths, aerodromes and other traffic areas) may be used for the production of recycled rock granulation and were previously used as natural or artificial mineral building materials in bound or unbound form in civil engineering. The waste must correspond to the waste types mentioned in Table A</w:t>
      </w:r>
      <w:r w:rsidRPr="0009445C">
        <w:noBreakHyphen/>
        <w:t>1 (Annex A). Before rebuilding, dismantling or demolishing a building, it shall first be determined by viewing and analysing existing documents whether a pollutant load of the resulting material is to be expected. If a pollutant load could exist beyond the scope of parameters listed in Table A</w:t>
      </w:r>
      <w:r w:rsidRPr="0009445C">
        <w:noBreakHyphen/>
        <w:t xml:space="preserve"> 2 (Annex A), the material shall be assessed separately under waste legislation. Contaminated building materials and structural elements must be separated during the dismantling of a building and sent to an orderly disposal. This applies in particular to fire debris, structural elements with insulation and paints based on pitch, interior walls of industrial chimneys, substances containing asbestos and PCBs</w:t>
      </w:r>
      <w:r w:rsidRPr="0009445C">
        <w:noBreakHyphen/>
        <w:t>, parts of buildings contaminated with pollutants from gas works, filling stations, electroplating plants and chemical industry production facilities.</w:t>
      </w:r>
    </w:p>
    <w:p w14:paraId="03550D29" w14:textId="77777777" w:rsidR="004C2C77" w:rsidRPr="0009445C" w:rsidRDefault="004C2C77" w:rsidP="004C2C77">
      <w:pPr>
        <w:pStyle w:val="BRLAufzhlungAnstrich"/>
        <w:numPr>
          <w:ilvl w:val="0"/>
          <w:numId w:val="1"/>
        </w:numPr>
        <w:spacing w:after="60"/>
      </w:pPr>
      <w:r w:rsidRPr="0009445C">
        <w:t>Eluate concentrations under DIN EN 12457</w:t>
      </w:r>
      <w:r w:rsidRPr="0009445C">
        <w:noBreakHyphen/>
        <w:t>4:2003-01 in recycled aggregates must comply with the upper limits according to Table A</w:t>
      </w:r>
      <w:r w:rsidRPr="0009445C">
        <w:noBreakHyphen/>
        <w:t>2 (Annex A).</w:t>
      </w:r>
    </w:p>
    <w:p w14:paraId="70E69736" w14:textId="77777777" w:rsidR="004C2C77" w:rsidRPr="0009445C" w:rsidRDefault="004C2C77" w:rsidP="004C2C77">
      <w:pPr>
        <w:pStyle w:val="BRLAufzhlungAnstrich"/>
        <w:numPr>
          <w:ilvl w:val="0"/>
          <w:numId w:val="1"/>
        </w:numPr>
        <w:spacing w:after="60"/>
      </w:pPr>
      <w:r w:rsidRPr="0009445C">
        <w:t>Concentrations of solid matter in recycled aggregates must comply with the upper limits according to Table A</w:t>
      </w:r>
      <w:r w:rsidRPr="0009445C">
        <w:noBreakHyphen/>
        <w:t>2 (Annex A).</w:t>
      </w:r>
    </w:p>
    <w:p w14:paraId="5943F119" w14:textId="77777777" w:rsidR="004C2C77" w:rsidRPr="0009445C" w:rsidRDefault="004C2C77" w:rsidP="004C2C77">
      <w:pPr>
        <w:pStyle w:val="BRLAufzhlungAnstrich"/>
        <w:numPr>
          <w:ilvl w:val="0"/>
          <w:numId w:val="1"/>
        </w:numPr>
      </w:pPr>
      <w:r w:rsidRPr="0009445C">
        <w:t>For concrete as per DIN 1045</w:t>
      </w:r>
      <w:r w:rsidRPr="0009445C">
        <w:noBreakHyphen/>
        <w:t xml:space="preserve">2:2008-08, the material composition of the recycled aggregates must correspond to the delivery types under </w:t>
      </w:r>
      <w:proofErr w:type="spellStart"/>
      <w:r w:rsidRPr="0009445C">
        <w:t>DAfStb</w:t>
      </w:r>
      <w:proofErr w:type="spellEnd"/>
      <w:r w:rsidRPr="0009445C">
        <w:noBreakHyphen/>
        <w:t xml:space="preserve"> Guideline ‘Concrete pursuant to DIN EN 206</w:t>
      </w:r>
      <w:r w:rsidRPr="0009445C">
        <w:noBreakHyphen/>
        <w:t>1 and DIN 1045</w:t>
      </w:r>
      <w:r w:rsidRPr="0009445C">
        <w:noBreakHyphen/>
        <w:t>2 with recycled aggregates pursuant to DIN EN 12620:2010-09’.</w:t>
      </w:r>
    </w:p>
    <w:p w14:paraId="1E852E04" w14:textId="77777777" w:rsidR="004C2C77" w:rsidRPr="0009445C" w:rsidRDefault="004C2C77" w:rsidP="004C2C77">
      <w:pPr>
        <w:pStyle w:val="BRL-Standard"/>
      </w:pPr>
    </w:p>
    <w:p w14:paraId="76431270" w14:textId="6413F1E7" w:rsidR="004C2C77" w:rsidRPr="0009445C" w:rsidRDefault="004C2C77" w:rsidP="004C2C77">
      <w:pPr>
        <w:pStyle w:val="BRL-Standard"/>
      </w:pPr>
      <w:r w:rsidRPr="0009445C">
        <w:t>If reject batches from prefabricated concrete structural elements (including concrete residue in ready-mixed concrete construction) are used directly as recycled aggregates in the production plant, no proof is required regarding the substance content and the release of hazardous substances.</w:t>
      </w:r>
    </w:p>
    <w:p w14:paraId="06273B5E" w14:textId="77777777" w:rsidR="004C2C77" w:rsidRPr="0009445C" w:rsidRDefault="004C2C77" w:rsidP="004C2C77">
      <w:pPr>
        <w:pStyle w:val="BRL-Standard"/>
      </w:pPr>
    </w:p>
    <w:p w14:paraId="2A1D2F2F" w14:textId="77777777" w:rsidR="004C2C77" w:rsidRPr="0009445C" w:rsidRDefault="004C2C77" w:rsidP="00600F53">
      <w:pPr>
        <w:pStyle w:val="BRL-berschrift"/>
      </w:pPr>
      <w:r w:rsidRPr="0009445C">
        <w:t>4.1.2</w:t>
      </w:r>
      <w:r w:rsidRPr="0009445C">
        <w:tab/>
        <w:t>Industrially manufactured aggregates</w:t>
      </w:r>
    </w:p>
    <w:p w14:paraId="3CA7F418" w14:textId="77777777" w:rsidR="004C2C77" w:rsidRPr="0009445C" w:rsidRDefault="004C2C77" w:rsidP="004C2C77">
      <w:pPr>
        <w:pStyle w:val="BRL-Standard"/>
        <w:spacing w:after="120"/>
      </w:pPr>
      <w:r w:rsidRPr="0009445C">
        <w:t>Concrete roof structural elements manufactured using industrially manufactured aggregates may only be installed if the industrially manufactured aggregates meet the following requirements:</w:t>
      </w:r>
    </w:p>
    <w:p w14:paraId="124C0447" w14:textId="77777777" w:rsidR="004C2C77" w:rsidRPr="0009445C" w:rsidRDefault="004C2C77" w:rsidP="004C2C77">
      <w:pPr>
        <w:pStyle w:val="BRLAufzhlungAnstrich"/>
        <w:numPr>
          <w:ilvl w:val="0"/>
          <w:numId w:val="1"/>
        </w:numPr>
      </w:pPr>
      <w:r w:rsidRPr="0009445C">
        <w:t>Eluate concentrations under DIN EN 12457</w:t>
      </w:r>
      <w:r w:rsidRPr="0009445C">
        <w:noBreakHyphen/>
        <w:t>4:2003-01 in industrially manufactured aggregates must comply with the upper limits according to Table A</w:t>
      </w:r>
      <w:r w:rsidRPr="0009445C">
        <w:noBreakHyphen/>
        <w:t>3 (Annex A).</w:t>
      </w:r>
    </w:p>
    <w:p w14:paraId="094CDD2E" w14:textId="77777777" w:rsidR="004C2C77" w:rsidRPr="0009445C" w:rsidRDefault="004C2C77" w:rsidP="004C2C77">
      <w:pPr>
        <w:pStyle w:val="BRLAufzhlungAnstrich"/>
        <w:numPr>
          <w:ilvl w:val="0"/>
          <w:numId w:val="1"/>
        </w:numPr>
      </w:pPr>
      <w:r w:rsidRPr="0009445C">
        <w:t>The material content in the solid of the industrially produced grain shall comply with the upper limits set out in Table A</w:t>
      </w:r>
      <w:r w:rsidRPr="0009445C">
        <w:noBreakHyphen/>
        <w:t>3 (Annex A).</w:t>
      </w:r>
    </w:p>
    <w:p w14:paraId="64CDE8D4" w14:textId="77777777" w:rsidR="004C2C77" w:rsidRPr="0009445C" w:rsidRDefault="004C2C77" w:rsidP="004C2C77">
      <w:pPr>
        <w:pStyle w:val="BRL-Standard"/>
      </w:pPr>
    </w:p>
    <w:p w14:paraId="4A69F2EB" w14:textId="2D26CBE5" w:rsidR="004C2C77" w:rsidRPr="0009445C" w:rsidRDefault="004C2C77" w:rsidP="004C2C77">
      <w:pPr>
        <w:pStyle w:val="BRL-Standard"/>
      </w:pPr>
      <w:r w:rsidRPr="0009445C">
        <w:t>In the use of crystalline blast furnace slag, metallurgical sand, melt chamber granules, expanded mica (vermiculite), expanded perlite, wind shale, expanded clay and brick sprit from unused bricks as rock grain (or rock flour) in concrete, no evidence of the substance contents and the release of dangerous substances shall be provided. For the use of sintered coal fly ash and boiler ash (boiler sand) in concrete, no evidence of substance content and release of hazardous substances shall be provided if the rock grain (or rock meal) comes from thermal power plants in which only coal and no secondary fuels, except biomass in a proportion of up to 14 M.-% (dry mass), of virtually ash-free natural gas and municipal sewage sludge (waste key 19 08 05 according to AVV</w:t>
      </w:r>
      <w:r w:rsidR="00977C95" w:rsidRPr="0009445C">
        <w:fldChar w:fldCharType="begin"/>
      </w:r>
      <w:r w:rsidR="00977C95" w:rsidRPr="0009445C">
        <w:instrText xml:space="preserve"> NOTEREF _Ref90037115 \f \h </w:instrText>
      </w:r>
      <w:r w:rsidR="0009445C" w:rsidRPr="0009445C">
        <w:instrText xml:space="preserve"> \* MERGEFORMAT </w:instrText>
      </w:r>
      <w:r w:rsidR="00977C95" w:rsidRPr="0009445C">
        <w:fldChar w:fldCharType="separate"/>
      </w:r>
      <w:r w:rsidR="0009445C" w:rsidRPr="0009445C">
        <w:rPr>
          <w:rStyle w:val="FootnoteReference"/>
        </w:rPr>
        <w:t>7</w:t>
      </w:r>
      <w:r w:rsidR="00977C95" w:rsidRPr="0009445C">
        <w:fldChar w:fldCharType="end"/>
      </w:r>
      <w:r w:rsidRPr="0009445C">
        <w:t>) with a proportion of up to 5 M.-% (dry mass) based on dry coal. Biomass is understood as plant material. Waste wood or secondary material are not allowed.</w:t>
      </w:r>
    </w:p>
    <w:p w14:paraId="5D98FC68" w14:textId="77777777" w:rsidR="00C64802" w:rsidRPr="0009445C" w:rsidRDefault="00C64802" w:rsidP="004C2C77">
      <w:pPr>
        <w:pStyle w:val="BRL-Standard"/>
      </w:pPr>
    </w:p>
    <w:p w14:paraId="51181638" w14:textId="77777777" w:rsidR="004C2C77" w:rsidRPr="0009445C" w:rsidRDefault="004C2C77" w:rsidP="004C2C77">
      <w:pPr>
        <w:pStyle w:val="BRL-Standard"/>
      </w:pPr>
      <w:r w:rsidRPr="0009445C">
        <w:t>Industrially manufactured aggregates that are not listed in the above paragraph or in Table A</w:t>
      </w:r>
      <w:r w:rsidRPr="0009445C">
        <w:noBreakHyphen/>
        <w:t>3 may not be used in concrete.</w:t>
      </w:r>
    </w:p>
    <w:p w14:paraId="24194686" w14:textId="77777777" w:rsidR="004C2C77" w:rsidRPr="0009445C" w:rsidRDefault="004C2C77" w:rsidP="004C2C77">
      <w:pPr>
        <w:pStyle w:val="BRL-Standard"/>
      </w:pPr>
    </w:p>
    <w:p w14:paraId="78B356E5" w14:textId="77777777" w:rsidR="004C2C77" w:rsidRPr="0009445C" w:rsidRDefault="004C2C77" w:rsidP="00600F53">
      <w:pPr>
        <w:pStyle w:val="BRL-berschrift"/>
      </w:pPr>
      <w:r w:rsidRPr="0009445C">
        <w:t>4.1.3</w:t>
      </w:r>
      <w:r w:rsidRPr="0009445C">
        <w:tab/>
        <w:t>Fly ashes</w:t>
      </w:r>
    </w:p>
    <w:p w14:paraId="131995B1" w14:textId="77777777" w:rsidR="004C2C77" w:rsidRPr="0009445C" w:rsidRDefault="004C2C77" w:rsidP="004C2C77">
      <w:pPr>
        <w:pStyle w:val="BRL-Standard"/>
        <w:spacing w:after="120"/>
      </w:pPr>
      <w:r w:rsidRPr="0009445C">
        <w:t>Concrete roof structural elements manufactured using silicon-rich fly ash (generally hard coal fly ash) may only be installed if the silicon-rich fly ash meets the following requirements:</w:t>
      </w:r>
    </w:p>
    <w:p w14:paraId="57905C93" w14:textId="77777777" w:rsidR="004C2C77" w:rsidRPr="0009445C" w:rsidRDefault="004C2C77" w:rsidP="004C2C77">
      <w:pPr>
        <w:pStyle w:val="BRLAufzhlungAnstrich"/>
        <w:numPr>
          <w:ilvl w:val="0"/>
          <w:numId w:val="1"/>
        </w:numPr>
      </w:pPr>
      <w:r w:rsidRPr="0009445C">
        <w:t>Concentrations of solid matter in silicon-rich fly ash must comply with the upper limits of Table A</w:t>
      </w:r>
      <w:r w:rsidRPr="0009445C">
        <w:noBreakHyphen/>
        <w:t>4 (Annex A).</w:t>
      </w:r>
    </w:p>
    <w:p w14:paraId="583C52DC" w14:textId="77777777" w:rsidR="004C2C77" w:rsidRPr="0009445C" w:rsidRDefault="004C2C77" w:rsidP="004C2C77">
      <w:pPr>
        <w:pStyle w:val="BRL-Standard"/>
      </w:pPr>
    </w:p>
    <w:p w14:paraId="1D43AB80" w14:textId="36836E16" w:rsidR="004C2C77" w:rsidRPr="0009445C" w:rsidRDefault="004C2C77" w:rsidP="004C2C77">
      <w:pPr>
        <w:pStyle w:val="BRL-Standard"/>
      </w:pPr>
      <w:r w:rsidRPr="0009445C">
        <w:lastRenderedPageBreak/>
        <w:t>When using silicon-rich fly ash in concrete, no evidence of substance content and release of hazardous substances shall be provided if the ash comes from such thermal power plants where only coal and no secondary fuels, with the exception of biomass in a proportion of up to 14 M.-% (dry mass), of virtually ash-free natural gas and municipal sewage sludge (waste key 19 08 05 according to AVV</w:t>
      </w:r>
      <w:bookmarkStart w:id="56" w:name="_Ref90037115"/>
      <w:r w:rsidR="00C06E95" w:rsidRPr="0009445C">
        <w:rPr>
          <w:rStyle w:val="FootnoteReference"/>
        </w:rPr>
        <w:footnoteReference w:id="59"/>
      </w:r>
      <w:bookmarkEnd w:id="56"/>
      <w:r w:rsidRPr="0009445C">
        <w:t>) in a proportion of up to 5 M.</w:t>
      </w:r>
      <w:r w:rsidRPr="0009445C">
        <w:noBreakHyphen/>
        <w:t>% (dry mass), on the basis of dry coal, be co-burned. Biomass is understood as plant material. Waste wood or secondary material are not allowed.</w:t>
      </w:r>
    </w:p>
    <w:p w14:paraId="4816FE5A" w14:textId="77777777" w:rsidR="004C2C77" w:rsidRPr="0009445C" w:rsidRDefault="004C2C77" w:rsidP="004C2C77">
      <w:pPr>
        <w:pStyle w:val="BRL-Standard"/>
      </w:pPr>
    </w:p>
    <w:p w14:paraId="3528AD05" w14:textId="4468D93F" w:rsidR="004C2C77" w:rsidRPr="0009445C" w:rsidRDefault="004C2C77" w:rsidP="004C2C77">
      <w:pPr>
        <w:pStyle w:val="BRL-Standard"/>
      </w:pPr>
      <w:r w:rsidRPr="0009445C">
        <w:t>For calcium-rich fly ash (generally lignite fly ash) for roof components,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748268FD" w14:textId="77777777" w:rsidR="004C2C77" w:rsidRPr="0009445C" w:rsidRDefault="004C2C77" w:rsidP="004C2C77">
      <w:pPr>
        <w:pStyle w:val="BRL-Standard"/>
      </w:pPr>
    </w:p>
    <w:p w14:paraId="4A029963" w14:textId="77777777" w:rsidR="004C2C77" w:rsidRPr="0009445C" w:rsidRDefault="004C2C77" w:rsidP="00600F53">
      <w:pPr>
        <w:pStyle w:val="BRL-berschrift"/>
      </w:pPr>
      <w:r w:rsidRPr="0009445C">
        <w:t>4.2</w:t>
      </w:r>
      <w:r w:rsidRPr="0009445C">
        <w:tab/>
        <w:t>Timber roof structural elements</w:t>
      </w:r>
    </w:p>
    <w:p w14:paraId="60C33EF5" w14:textId="77777777" w:rsidR="004C2C77" w:rsidRPr="0009445C" w:rsidRDefault="004C2C77" w:rsidP="004C2C77">
      <w:pPr>
        <w:pStyle w:val="BRL-Standard"/>
      </w:pPr>
      <w:r w:rsidRPr="0009445C">
        <w:t xml:space="preserve">Note: </w:t>
      </w:r>
    </w:p>
    <w:p w14:paraId="3D532E98" w14:textId="77777777" w:rsidR="004C2C77" w:rsidRPr="0009445C" w:rsidRDefault="004C2C77" w:rsidP="004C2C77">
      <w:pPr>
        <w:pStyle w:val="BRL-Standard"/>
      </w:pPr>
      <w:r w:rsidRPr="0009445C">
        <w:t>Timber structural elements treated with wood preservative may only be used for roof structural elements (including windows) if the wood preservative (biocide products) meet the requirements of the Biocide Regulation (EU) No 528/2012. When using biocide products, the constraints listed in the approval under the Biocide Ordinance pursuant to Article 22(1) of the Biocide Ordinance and/or nationally applicable transitional provisions pursuant to the Ordinance on the reporting of biocidal products pursuant to the Chemicals Act (Biocide</w:t>
      </w:r>
      <w:r w:rsidRPr="0009445C">
        <w:noBreakHyphen/>
        <w:t>Reporting Ordinance [</w:t>
      </w:r>
      <w:proofErr w:type="spellStart"/>
      <w:r w:rsidRPr="0009445C">
        <w:t>ChemBiozidMeldeV</w:t>
      </w:r>
      <w:proofErr w:type="spellEnd"/>
      <w:r w:rsidRPr="0009445C">
        <w:t>]) must be met. Timber structural elements treated with preservatives to guard against biological infestation must be marked as per DIN EN 15228:2009-08, Section 6.</w:t>
      </w:r>
    </w:p>
    <w:p w14:paraId="3B2F6525" w14:textId="77777777" w:rsidR="004C2C77" w:rsidRPr="0009445C" w:rsidRDefault="004C2C77" w:rsidP="004C2C77">
      <w:pPr>
        <w:pStyle w:val="BRL-Standard"/>
      </w:pPr>
    </w:p>
    <w:p w14:paraId="244813CF" w14:textId="77777777" w:rsidR="004C2C77" w:rsidRPr="0009445C" w:rsidRDefault="004C2C77" w:rsidP="004C2C77">
      <w:pPr>
        <w:pStyle w:val="BRL-Standard"/>
      </w:pPr>
      <w:r w:rsidRPr="0009445C">
        <w:t>When using scrap timber roof structural elements, the requirements of the Scrap Timber Ordinance [</w:t>
      </w:r>
      <w:proofErr w:type="spellStart"/>
      <w:r w:rsidRPr="0009445C">
        <w:t>Altholzverordnung</w:t>
      </w:r>
      <w:proofErr w:type="spellEnd"/>
      <w:r w:rsidRPr="0009445C">
        <w:t>] must be met.</w:t>
      </w:r>
    </w:p>
    <w:p w14:paraId="7C2CBE18" w14:textId="77777777" w:rsidR="004C2C77" w:rsidRPr="0009445C" w:rsidRDefault="004C2C77" w:rsidP="004C2C77">
      <w:pPr>
        <w:pStyle w:val="BRL-Standard"/>
      </w:pPr>
    </w:p>
    <w:p w14:paraId="5B858D03" w14:textId="77777777" w:rsidR="004C2C77" w:rsidRPr="0009445C" w:rsidRDefault="004C2C77" w:rsidP="00600F53">
      <w:pPr>
        <w:pStyle w:val="BRL-berschrift"/>
      </w:pPr>
      <w:r w:rsidRPr="0009445C">
        <w:t>4.3</w:t>
      </w:r>
      <w:r w:rsidRPr="0009445C">
        <w:tab/>
        <w:t>Seals for roof structural elements</w:t>
      </w:r>
    </w:p>
    <w:p w14:paraId="2D7F9451" w14:textId="6B2324F8" w:rsidR="004C2C77" w:rsidRPr="0009445C" w:rsidRDefault="004C2C77" w:rsidP="004C2C77">
      <w:pPr>
        <w:pStyle w:val="BRL-Standard"/>
      </w:pPr>
      <w:r w:rsidRPr="0009445C">
        <w:t xml:space="preserve">Sealings for roof structural elements containing substances intended to inhibit or prevent rooting (root protectors) shall be installed only if the requirements set out in Section 2 and the concentration of the root preservative in the eluate are met with the requirements set out in Section 3. For </w:t>
      </w:r>
      <w:proofErr w:type="spellStart"/>
      <w:r w:rsidRPr="0009445C">
        <w:t>Mecoprop</w:t>
      </w:r>
      <w:proofErr w:type="spellEnd"/>
      <w:r w:rsidRPr="0009445C">
        <w:t>, the cumulated discharge determined according to DIN CEN/TS 16637-2:2014-11 must not exceed a value of 47 mg/m</w:t>
      </w:r>
      <w:r w:rsidRPr="0009445C">
        <w:rPr>
          <w:vertAlign w:val="superscript"/>
        </w:rPr>
        <w:t>2</w:t>
      </w:r>
      <w:r w:rsidRPr="0009445C">
        <w:t>. For MCPA, the cumulative discharge determined in accordance with DIN CEN/TS 16637-2:2014-11 shall not exceed 206 mg/m².</w:t>
      </w:r>
    </w:p>
    <w:p w14:paraId="1269B44E" w14:textId="77777777" w:rsidR="004C2C77" w:rsidRPr="0009445C" w:rsidRDefault="004C2C77" w:rsidP="004C2C77">
      <w:pPr>
        <w:pStyle w:val="BRL-Standard"/>
      </w:pPr>
    </w:p>
    <w:p w14:paraId="7C36D5BF" w14:textId="77777777" w:rsidR="004C2C77" w:rsidRPr="0009445C" w:rsidRDefault="004C2C77" w:rsidP="00600F53">
      <w:pPr>
        <w:pStyle w:val="BRL-berschrift"/>
      </w:pPr>
      <w:r w:rsidRPr="0009445C">
        <w:t>5</w:t>
      </w:r>
      <w:r w:rsidRPr="0009445C">
        <w:tab/>
        <w:t>Requirements for exterior walls (including beams and columns)</w:t>
      </w:r>
    </w:p>
    <w:p w14:paraId="5EB2F02E" w14:textId="5A88677F" w:rsidR="004C2C77" w:rsidRPr="0009445C" w:rsidRDefault="004C2C77" w:rsidP="004C2C77">
      <w:pPr>
        <w:pStyle w:val="BRL-Standard"/>
      </w:pPr>
      <w:r w:rsidRPr="0009445C">
        <w:t>No proof is required in respect of the release of hazardous substances for small-scale structural elements such as fastenings.</w:t>
      </w:r>
    </w:p>
    <w:p w14:paraId="11B4EEDA" w14:textId="77777777" w:rsidR="004C2C77" w:rsidRPr="0009445C" w:rsidRDefault="004C2C77" w:rsidP="004C2C77">
      <w:pPr>
        <w:pStyle w:val="BRL-Standard"/>
      </w:pPr>
    </w:p>
    <w:p w14:paraId="653BE860" w14:textId="3DF75D9C" w:rsidR="004C2C77" w:rsidRPr="0009445C" w:rsidRDefault="004C2C77" w:rsidP="004C2C77">
      <w:pPr>
        <w:pStyle w:val="BRL-Standard"/>
      </w:pPr>
      <w:r w:rsidRPr="0009445C">
        <w:t>Furthermore, for structural elements for external walls made of natural stone, glass or ceramics, no proof of the material content and release of dangerous substances is to be provided.</w:t>
      </w:r>
    </w:p>
    <w:p w14:paraId="464E9A25" w14:textId="77777777" w:rsidR="004C2C77" w:rsidRPr="0009445C" w:rsidRDefault="004C2C77" w:rsidP="004C2C77">
      <w:pPr>
        <w:pStyle w:val="BRL-Standard"/>
      </w:pPr>
    </w:p>
    <w:p w14:paraId="3870266E" w14:textId="77777777" w:rsidR="001215F7" w:rsidRPr="0009445C" w:rsidRDefault="001215F7">
      <w:pPr>
        <w:spacing w:after="200" w:line="276" w:lineRule="auto"/>
        <w:rPr>
          <w:b/>
          <w:bCs/>
          <w:szCs w:val="16"/>
        </w:rPr>
      </w:pPr>
      <w:r w:rsidRPr="0009445C">
        <w:br w:type="page"/>
      </w:r>
    </w:p>
    <w:p w14:paraId="507C4D2A" w14:textId="4FDBA5B0" w:rsidR="004C2C77" w:rsidRPr="0009445C" w:rsidRDefault="004C2C77" w:rsidP="00600F53">
      <w:pPr>
        <w:pStyle w:val="BRL-berschrift"/>
      </w:pPr>
      <w:r w:rsidRPr="0009445C">
        <w:lastRenderedPageBreak/>
        <w:t>5.1</w:t>
      </w:r>
      <w:r w:rsidRPr="0009445C">
        <w:tab/>
        <w:t>Concrete exterior wall structural elements</w:t>
      </w:r>
    </w:p>
    <w:p w14:paraId="4BA92849" w14:textId="77777777" w:rsidR="004C2C77" w:rsidRPr="0009445C" w:rsidRDefault="004C2C77" w:rsidP="004C2C77">
      <w:pPr>
        <w:pStyle w:val="BRL-Standard"/>
      </w:pPr>
      <w:r w:rsidRPr="0009445C">
        <w:t>Concrete starting materials used in external wall structural elements must meet the requirements set out in the following Sections.</w:t>
      </w:r>
    </w:p>
    <w:p w14:paraId="337B652B" w14:textId="77777777" w:rsidR="004C2C77" w:rsidRPr="0009445C" w:rsidRDefault="004C2C77" w:rsidP="004C2C77">
      <w:pPr>
        <w:pStyle w:val="BRL-Standard"/>
      </w:pPr>
    </w:p>
    <w:p w14:paraId="1FE4E4A3" w14:textId="55CF07C8" w:rsidR="004C2C77" w:rsidRPr="0009445C" w:rsidRDefault="004C2C77" w:rsidP="004C2C77">
      <w:pPr>
        <w:pStyle w:val="BRL-Standard"/>
      </w:pPr>
      <w:r w:rsidRPr="0009445C">
        <w:t>In the case of the exclusive use of natural rock granules, no evidence of the substance content and the release of dangerous substances shall be provided.</w:t>
      </w:r>
    </w:p>
    <w:p w14:paraId="2B23F5AB" w14:textId="77777777" w:rsidR="004C2C77" w:rsidRPr="0009445C" w:rsidRDefault="004C2C77" w:rsidP="004C2C77">
      <w:pPr>
        <w:pStyle w:val="BRL-Standard"/>
      </w:pPr>
    </w:p>
    <w:p w14:paraId="1D945A4B" w14:textId="77777777" w:rsidR="004C2C77" w:rsidRPr="0009445C" w:rsidRDefault="004C2C77" w:rsidP="004C2C77">
      <w:pPr>
        <w:pStyle w:val="BRL-Standard"/>
      </w:pPr>
      <w:r w:rsidRPr="0009445C">
        <w:t>Construction products manufactured using display glass may not be used.</w:t>
      </w:r>
    </w:p>
    <w:p w14:paraId="5F58B96C" w14:textId="77777777" w:rsidR="004C2C77" w:rsidRPr="0009445C" w:rsidRDefault="004C2C77" w:rsidP="004C2C77">
      <w:pPr>
        <w:pStyle w:val="BRL-Standard"/>
      </w:pPr>
    </w:p>
    <w:p w14:paraId="69CE5DB1" w14:textId="77777777" w:rsidR="004C2C77" w:rsidRPr="0009445C" w:rsidRDefault="004C2C77" w:rsidP="00600F53">
      <w:pPr>
        <w:pStyle w:val="BRL-berschrift"/>
      </w:pPr>
      <w:r w:rsidRPr="0009445C">
        <w:t>5.1.1</w:t>
      </w:r>
      <w:r w:rsidRPr="0009445C">
        <w:tab/>
        <w:t>Recycled granules of rock</w:t>
      </w:r>
    </w:p>
    <w:p w14:paraId="2CED3A00" w14:textId="77777777" w:rsidR="004C2C77" w:rsidRPr="0009445C" w:rsidRDefault="004C2C77" w:rsidP="004C2C77">
      <w:pPr>
        <w:pStyle w:val="BRL-Standard"/>
      </w:pPr>
      <w:r w:rsidRPr="0009445C">
        <w:t>structural elements for external walls of concrete produced using recycled rock grains may only be installed if the recycled grain of rock meets the following requirements:</w:t>
      </w:r>
    </w:p>
    <w:p w14:paraId="23D6DEA7" w14:textId="77777777" w:rsidR="004C2C77" w:rsidRPr="0009445C" w:rsidRDefault="004C2C77" w:rsidP="004C2C77">
      <w:pPr>
        <w:pStyle w:val="BRL-Standard"/>
      </w:pPr>
    </w:p>
    <w:p w14:paraId="05287F8B" w14:textId="6C6FECAE" w:rsidR="004C2C77" w:rsidRPr="0009445C" w:rsidRDefault="00C06E95" w:rsidP="004C2C77">
      <w:pPr>
        <w:pStyle w:val="BRLAufzhlungAnstrich"/>
        <w:numPr>
          <w:ilvl w:val="0"/>
          <w:numId w:val="1"/>
        </w:numPr>
        <w:spacing w:after="60"/>
        <w:jc w:val="both"/>
      </w:pPr>
      <w:r w:rsidRPr="0009445C">
        <w:t>Only waste generated during construction activities (e.g. dismantling, demolition, conversion, expansion, new construction and maintenance of buildings and civil engineering, roads, paths, aerodromes and other traffic areas) may be used for the production of recycled rock granulation and were previously used as natural or artificial mineral building materials in bound or unbound form in civil engineering. The waste must correspond to the waste types mentioned in Table A</w:t>
      </w:r>
      <w:r w:rsidRPr="0009445C">
        <w:noBreakHyphen/>
        <w:t>1 (Annex A). Before rebuilding, dismantling or demolishing a building, it shall first be determined by viewing and analysing existing documents whether a pollutant load of the resulting material is to be expected. If a pollutant load could exist beyond the scope of parameters listed in Table A</w:t>
      </w:r>
      <w:r w:rsidRPr="0009445C">
        <w:noBreakHyphen/>
        <w:t xml:space="preserve"> 2 (Annex A), the material shall be assessed separately under waste legislation. Contaminated building materials and structural elements must be separated during the dismantling of a building and sent to an orderly disposal. This applies in particular to fire debris, structural elements with insulation and paints based on pitch, interior walls of industrial chimneys, substances containing asbestos and PCBs, parts of buildings contaminated with pollutants from gas works, filling stations, electroplating plants and chemical industry production facilities.</w:t>
      </w:r>
    </w:p>
    <w:p w14:paraId="7DB1A6EC" w14:textId="77777777" w:rsidR="004C2C77" w:rsidRPr="0009445C" w:rsidRDefault="004C2C77" w:rsidP="004C2C77">
      <w:pPr>
        <w:pStyle w:val="BRLAufzhlungAnstrich"/>
        <w:numPr>
          <w:ilvl w:val="0"/>
          <w:numId w:val="1"/>
        </w:numPr>
        <w:spacing w:after="60"/>
        <w:jc w:val="both"/>
      </w:pPr>
      <w:r w:rsidRPr="0009445C">
        <w:t>Eluate concentrations under DIN EN 12457</w:t>
      </w:r>
      <w:r w:rsidRPr="0009445C">
        <w:noBreakHyphen/>
        <w:t>4:2003-01 in recycled aggregates must comply with the upper limits according to Table A</w:t>
      </w:r>
      <w:r w:rsidRPr="0009445C">
        <w:noBreakHyphen/>
        <w:t>2 (Annex A).</w:t>
      </w:r>
    </w:p>
    <w:p w14:paraId="235DAB1D" w14:textId="77777777" w:rsidR="004C2C77" w:rsidRPr="0009445C" w:rsidRDefault="004C2C77" w:rsidP="004C2C77">
      <w:pPr>
        <w:pStyle w:val="BRLAufzhlungAnstrich"/>
        <w:numPr>
          <w:ilvl w:val="0"/>
          <w:numId w:val="1"/>
        </w:numPr>
        <w:spacing w:after="60"/>
        <w:jc w:val="both"/>
      </w:pPr>
      <w:r w:rsidRPr="0009445C">
        <w:t>Concentrations of solid matter in recycled aggregates must comply with the upper limits according to Table A</w:t>
      </w:r>
      <w:r w:rsidRPr="0009445C">
        <w:noBreakHyphen/>
        <w:t>2 (Annex A).</w:t>
      </w:r>
    </w:p>
    <w:p w14:paraId="5B7A4948" w14:textId="77777777" w:rsidR="004C2C77" w:rsidRPr="0009445C" w:rsidRDefault="004C2C77" w:rsidP="004C2C77">
      <w:pPr>
        <w:pStyle w:val="BRLAufzhlungAnstrich"/>
        <w:numPr>
          <w:ilvl w:val="0"/>
          <w:numId w:val="1"/>
        </w:numPr>
        <w:spacing w:after="60"/>
        <w:jc w:val="both"/>
      </w:pPr>
      <w:r w:rsidRPr="0009445C">
        <w:t>For concrete as per DIN 1045</w:t>
      </w:r>
      <w:r w:rsidRPr="0009445C">
        <w:noBreakHyphen/>
        <w:t xml:space="preserve">2:2008-08, the material composition of the recycled aggregates must correspond to the delivery types under </w:t>
      </w:r>
      <w:proofErr w:type="spellStart"/>
      <w:r w:rsidRPr="0009445C">
        <w:t>DAfStb</w:t>
      </w:r>
      <w:proofErr w:type="spellEnd"/>
      <w:r w:rsidRPr="0009445C">
        <w:noBreakHyphen/>
        <w:t xml:space="preserve"> Guideline ‘Concrete pursuant to DIN EN 206</w:t>
      </w:r>
      <w:r w:rsidRPr="0009445C">
        <w:noBreakHyphen/>
        <w:t>1 and DIN 1045</w:t>
      </w:r>
      <w:r w:rsidRPr="0009445C">
        <w:noBreakHyphen/>
        <w:t>2 with recycled aggregates pursuant to DIN EN 12620:2010-09’.</w:t>
      </w:r>
    </w:p>
    <w:p w14:paraId="7D5A2F83" w14:textId="77777777" w:rsidR="004C2C77" w:rsidRPr="0009445C" w:rsidRDefault="004C2C77" w:rsidP="004C2C77">
      <w:pPr>
        <w:pStyle w:val="BRL-Standard"/>
      </w:pPr>
    </w:p>
    <w:p w14:paraId="07DDA510" w14:textId="1CD7C740" w:rsidR="004C2C77" w:rsidRPr="0009445C" w:rsidRDefault="004C2C77" w:rsidP="004C2C77">
      <w:pPr>
        <w:pStyle w:val="BRL-Standard"/>
      </w:pPr>
      <w:r w:rsidRPr="0009445C">
        <w:t>If reject batches from prefabricated concrete structural elements (including concrete residue in ready-mixed concrete construction) are used directly as recycled aggregates in the production plant, no proof is required regarding the substance content and the release of hazardous substances.</w:t>
      </w:r>
    </w:p>
    <w:p w14:paraId="5D11FCA6" w14:textId="77777777" w:rsidR="004C2C77" w:rsidRPr="0009445C" w:rsidRDefault="004C2C77" w:rsidP="004C2C77">
      <w:pPr>
        <w:pStyle w:val="BRL-Standard"/>
      </w:pPr>
    </w:p>
    <w:p w14:paraId="16166218" w14:textId="77777777" w:rsidR="004C2C77" w:rsidRPr="0009445C" w:rsidRDefault="004C2C77" w:rsidP="00600F53">
      <w:pPr>
        <w:pStyle w:val="BRL-berschrift"/>
      </w:pPr>
      <w:r w:rsidRPr="0009445C">
        <w:t>5.1.2</w:t>
      </w:r>
      <w:r w:rsidRPr="0009445C">
        <w:tab/>
        <w:t>Industrially manufactured aggregates</w:t>
      </w:r>
    </w:p>
    <w:p w14:paraId="73BDFADF" w14:textId="77777777" w:rsidR="004C2C77" w:rsidRPr="0009445C" w:rsidRDefault="004C2C77" w:rsidP="004C2C77">
      <w:pPr>
        <w:pStyle w:val="BRL-Standard"/>
        <w:spacing w:after="120"/>
      </w:pPr>
      <w:r w:rsidRPr="0009445C">
        <w:t>Concrete exterior wall structural elements manufactured using industrially manufactured aggregates may only be installed if the industrially manufactured aggregates meet the following requirements:</w:t>
      </w:r>
    </w:p>
    <w:p w14:paraId="5A4E3A24" w14:textId="77777777" w:rsidR="004C2C77" w:rsidRPr="0009445C" w:rsidRDefault="004C2C77" w:rsidP="004C2C77">
      <w:pPr>
        <w:pStyle w:val="BRLAufzhlungAnstrich"/>
        <w:numPr>
          <w:ilvl w:val="0"/>
          <w:numId w:val="1"/>
        </w:numPr>
      </w:pPr>
      <w:r w:rsidRPr="0009445C">
        <w:t>Eluate concentrations under DIN EN 12457</w:t>
      </w:r>
      <w:r w:rsidRPr="0009445C">
        <w:noBreakHyphen/>
        <w:t>4:2003-01 in industrially manufactured aggregates must comply with the upper limits according to Table A</w:t>
      </w:r>
      <w:r w:rsidRPr="0009445C">
        <w:noBreakHyphen/>
        <w:t>3 (Annex A).</w:t>
      </w:r>
    </w:p>
    <w:p w14:paraId="06195E1C" w14:textId="77777777" w:rsidR="004C2C77" w:rsidRPr="0009445C" w:rsidRDefault="004C2C77" w:rsidP="004C2C77">
      <w:pPr>
        <w:pStyle w:val="BRLAufzhlungAnstrich"/>
        <w:numPr>
          <w:ilvl w:val="0"/>
          <w:numId w:val="1"/>
        </w:numPr>
      </w:pPr>
      <w:r w:rsidRPr="0009445C">
        <w:t>The material content in the solid of the industrially produced grain shall comply with the upper limits set out in Table A</w:t>
      </w:r>
      <w:r w:rsidRPr="0009445C">
        <w:noBreakHyphen/>
        <w:t>3 (Annex A).</w:t>
      </w:r>
    </w:p>
    <w:p w14:paraId="163C0249" w14:textId="77777777" w:rsidR="004C2C77" w:rsidRPr="0009445C" w:rsidRDefault="004C2C77" w:rsidP="004C2C77">
      <w:pPr>
        <w:pStyle w:val="BRL-Standard"/>
      </w:pPr>
    </w:p>
    <w:p w14:paraId="17306125" w14:textId="1D03AC5B" w:rsidR="004C2C77" w:rsidRPr="0009445C" w:rsidRDefault="004C2C77" w:rsidP="004C2C77">
      <w:pPr>
        <w:pStyle w:val="BRL-Standard"/>
      </w:pPr>
      <w:r w:rsidRPr="0009445C">
        <w:t>For exterior walls of concrete produced using industrially produced rock granules, where used in contact with soil or groundwater, the concentrations of substances in eluate in accordance with DIN CEN/TS 16637</w:t>
      </w:r>
      <w:r w:rsidRPr="0009445C">
        <w:noBreakHyphen/>
        <w:t xml:space="preserve"> 2:2014-11 (for hardened concrete test specimens of a model concrete) must comply with the limits set out in Table A</w:t>
      </w:r>
      <w:r w:rsidRPr="0009445C">
        <w:noBreakHyphen/>
        <w:t xml:space="preserve"> 6 (Annex A) or, in the case of boiler ash, the ceilings set out in Table A</w:t>
      </w:r>
      <w:r w:rsidRPr="0009445C">
        <w:noBreakHyphen/>
        <w:t xml:space="preserve"> 5 (Annex A).</w:t>
      </w:r>
    </w:p>
    <w:p w14:paraId="360B8BE1" w14:textId="77777777" w:rsidR="004C2C77" w:rsidRPr="0009445C" w:rsidRDefault="004C2C77" w:rsidP="004C2C77">
      <w:pPr>
        <w:pStyle w:val="BRL-Standard"/>
      </w:pPr>
    </w:p>
    <w:p w14:paraId="7401FC7E" w14:textId="77777777" w:rsidR="004C2C77" w:rsidRPr="0009445C" w:rsidRDefault="004C2C77" w:rsidP="004C2C77">
      <w:pPr>
        <w:pStyle w:val="BRL-Standard"/>
      </w:pPr>
      <w:r w:rsidRPr="0009445C">
        <w:t>Proof that the concentrations of substances in the eluate in accordance with DIN CEN/TS 16637</w:t>
      </w:r>
      <w:r w:rsidRPr="0009445C">
        <w:noBreakHyphen/>
        <w:t xml:space="preserve"> 2:2014-11 comply with the limits set out in Table A</w:t>
      </w:r>
      <w:r w:rsidRPr="0009445C">
        <w:noBreakHyphen/>
        <w:t xml:space="preserve"> 5 or Table A</w:t>
      </w:r>
      <w:r w:rsidRPr="0009445C">
        <w:noBreakHyphen/>
        <w:t xml:space="preserve"> 6(Annex A) shall be omitted if structural measures prevent direct contact of the component with soil or groundwater.</w:t>
      </w:r>
    </w:p>
    <w:p w14:paraId="0B40721A" w14:textId="77777777" w:rsidR="004C2C77" w:rsidRPr="0009445C" w:rsidRDefault="004C2C77" w:rsidP="004C2C77">
      <w:pPr>
        <w:pStyle w:val="BRL-Standard"/>
      </w:pPr>
    </w:p>
    <w:p w14:paraId="4265FA87" w14:textId="0563238D" w:rsidR="004C2C77" w:rsidRPr="0009445C" w:rsidRDefault="004C2C77" w:rsidP="004C2C77">
      <w:pPr>
        <w:pStyle w:val="BRL-Standard"/>
      </w:pPr>
      <w:r w:rsidRPr="0009445C">
        <w:t xml:space="preserve">In the use of crystalline blast furnace slag, metallurgical sand, melt chamber granules, expanded mica (vermiculite), expanded perlite, wind shale, expanded clay and brick sprit from unused bricks as rock grain (or rock flour) in </w:t>
      </w:r>
      <w:r w:rsidRPr="0009445C">
        <w:lastRenderedPageBreak/>
        <w:t>concrete, no evidence of the substance contents and the release of dangerous substances shall be provided. For the use of sintered coal fly ash and boiler ash (boiler sand) in concrete, no evidence of substance content and release of hazardous substances shall be provided if the rock grain (or rock meal) comes from thermal power plants in which only coal and no secondary fuels, except biomass in a proportion of up to 14 M.-% (dry mass), of virtually ash-free natural gas and municipal sewage sludge (waste key 19 08 05 according to AVV</w:t>
      </w:r>
      <w:r w:rsidR="00802FD9" w:rsidRPr="0009445C">
        <w:fldChar w:fldCharType="begin"/>
      </w:r>
      <w:r w:rsidR="00802FD9" w:rsidRPr="0009445C">
        <w:instrText xml:space="preserve"> NOTEREF _Ref90037115 \f \h </w:instrText>
      </w:r>
      <w:r w:rsidR="0009445C" w:rsidRPr="0009445C">
        <w:instrText xml:space="preserve"> \* MERGEFORMAT </w:instrText>
      </w:r>
      <w:r w:rsidR="00802FD9" w:rsidRPr="0009445C">
        <w:fldChar w:fldCharType="separate"/>
      </w:r>
      <w:r w:rsidR="0009445C" w:rsidRPr="0009445C">
        <w:rPr>
          <w:rStyle w:val="FootnoteReference"/>
        </w:rPr>
        <w:t>7</w:t>
      </w:r>
      <w:r w:rsidR="00802FD9" w:rsidRPr="0009445C">
        <w:fldChar w:fldCharType="end"/>
      </w:r>
      <w:r w:rsidRPr="0009445C">
        <w:t>) with a proportion of up to 5 M.-% (dry mass) based on dry coal. Biomass is understood as plant material. Waste wood or secondary material are not allowed.</w:t>
      </w:r>
    </w:p>
    <w:p w14:paraId="5D48F7E4" w14:textId="77777777" w:rsidR="004C2C77" w:rsidRPr="0009445C" w:rsidRDefault="004C2C77" w:rsidP="004C2C77">
      <w:pPr>
        <w:pStyle w:val="BRL-Standard"/>
      </w:pPr>
    </w:p>
    <w:p w14:paraId="535AC06A" w14:textId="77777777" w:rsidR="004C2C77" w:rsidRPr="0009445C" w:rsidRDefault="004C2C77" w:rsidP="004C2C77">
      <w:pPr>
        <w:pStyle w:val="BRL-Standard"/>
      </w:pPr>
      <w:r w:rsidRPr="0009445C">
        <w:t>Industrially manufactured aggregates that are not listed in the above paragraph or in Table A</w:t>
      </w:r>
      <w:r w:rsidRPr="0009445C">
        <w:noBreakHyphen/>
        <w:t>3 may not be used in concrete.</w:t>
      </w:r>
    </w:p>
    <w:p w14:paraId="5B949380" w14:textId="77777777" w:rsidR="004C2C77" w:rsidRPr="0009445C" w:rsidRDefault="004C2C77" w:rsidP="004C2C77">
      <w:pPr>
        <w:pStyle w:val="BRL-Standard"/>
      </w:pPr>
    </w:p>
    <w:p w14:paraId="6DEB6C0A" w14:textId="77777777" w:rsidR="004C2C77" w:rsidRPr="0009445C" w:rsidRDefault="004C2C77" w:rsidP="00600F53">
      <w:pPr>
        <w:pStyle w:val="BRL-berschrift"/>
      </w:pPr>
      <w:r w:rsidRPr="0009445C">
        <w:t>5.1.3</w:t>
      </w:r>
      <w:r w:rsidRPr="0009445C">
        <w:tab/>
        <w:t>Fly ashes</w:t>
      </w:r>
    </w:p>
    <w:p w14:paraId="7B9CB3F7" w14:textId="77777777" w:rsidR="004C2C77" w:rsidRPr="0009445C" w:rsidRDefault="004C2C77" w:rsidP="004C2C77">
      <w:pPr>
        <w:pStyle w:val="BRL-Standard"/>
      </w:pPr>
      <w:r w:rsidRPr="0009445C">
        <w:t>structural elements for external walls of concrete produced using silicon-rich fly ash (typically hard coal ash) shall not be installed unless the silicon-rich fly ash meets the following requirement:</w:t>
      </w:r>
    </w:p>
    <w:p w14:paraId="45B10025" w14:textId="77777777" w:rsidR="004C2C77" w:rsidRPr="0009445C" w:rsidRDefault="004C2C77" w:rsidP="004C2C77">
      <w:pPr>
        <w:pStyle w:val="BRL-Standard"/>
      </w:pPr>
    </w:p>
    <w:p w14:paraId="325F5732" w14:textId="77777777" w:rsidR="004C2C77" w:rsidRPr="0009445C" w:rsidRDefault="004C2C77" w:rsidP="004C2C77">
      <w:pPr>
        <w:pStyle w:val="BRLAufzhlungAnstrich"/>
        <w:numPr>
          <w:ilvl w:val="0"/>
          <w:numId w:val="0"/>
        </w:numPr>
      </w:pPr>
      <w:r w:rsidRPr="0009445C">
        <w:t>Concentrations of solid matter in silicon-rich fly ash must comply with the upper limits of Table A</w:t>
      </w:r>
      <w:r w:rsidRPr="0009445C">
        <w:noBreakHyphen/>
        <w:t>4 (Annex A).</w:t>
      </w:r>
    </w:p>
    <w:p w14:paraId="0EA0E525" w14:textId="77777777" w:rsidR="004C2C77" w:rsidRPr="0009445C" w:rsidRDefault="004C2C77" w:rsidP="004C2C77">
      <w:pPr>
        <w:pStyle w:val="BRLAufzhlungAnstrich"/>
        <w:numPr>
          <w:ilvl w:val="0"/>
          <w:numId w:val="0"/>
        </w:numPr>
        <w:ind w:left="284" w:hanging="284"/>
      </w:pPr>
    </w:p>
    <w:p w14:paraId="4D8376F6" w14:textId="77777777" w:rsidR="004C2C77" w:rsidRPr="0009445C" w:rsidRDefault="004C2C77" w:rsidP="004C2C77">
      <w:pPr>
        <w:pStyle w:val="BRL-Standard"/>
      </w:pPr>
      <w:r w:rsidRPr="0009445C">
        <w:t>For exterior walls made of concrete produced using silicon-rich fly ash and used in contact with soil and groundwater, the eluate concentrations as per DIN CEN/TS 16637</w:t>
      </w:r>
      <w:r w:rsidRPr="0009445C">
        <w:noBreakHyphen/>
        <w:t>2:2014-11 (for hardened concrete test specimens of a model concrete) must comply with the upper limits given in Table A</w:t>
      </w:r>
      <w:r w:rsidRPr="0009445C">
        <w:noBreakHyphen/>
        <w:t>5 (Annex A).</w:t>
      </w:r>
    </w:p>
    <w:p w14:paraId="47778FE3" w14:textId="77777777" w:rsidR="004C2C77" w:rsidRPr="0009445C" w:rsidRDefault="004C2C77" w:rsidP="004C2C77">
      <w:pPr>
        <w:pStyle w:val="BRL-Standard"/>
      </w:pPr>
    </w:p>
    <w:p w14:paraId="50D7CD1B" w14:textId="77777777" w:rsidR="004C2C77" w:rsidRPr="0009445C" w:rsidRDefault="004C2C77" w:rsidP="004C2C77">
      <w:pPr>
        <w:pStyle w:val="BRL-Standard"/>
      </w:pPr>
      <w:r w:rsidRPr="0009445C">
        <w:t>Proof that the eluate concentrations as per DIN CEN/TS 16637</w:t>
      </w:r>
      <w:r w:rsidRPr="0009445C">
        <w:noBreakHyphen/>
        <w:t>2:2014-11 comply with the upper limits given in Table A</w:t>
      </w:r>
      <w:r w:rsidRPr="0009445C">
        <w:noBreakHyphen/>
        <w:t>5 (Annex A) is not required if direct contact between the component and soil or groundwater is excluded through constructive measures.</w:t>
      </w:r>
    </w:p>
    <w:p w14:paraId="01E47641" w14:textId="77777777" w:rsidR="004C2C77" w:rsidRPr="0009445C" w:rsidRDefault="004C2C77" w:rsidP="004C2C77">
      <w:pPr>
        <w:pStyle w:val="BRL-Standard"/>
      </w:pPr>
    </w:p>
    <w:p w14:paraId="34994F3D" w14:textId="47578DA5" w:rsidR="004C2C77" w:rsidRPr="0009445C" w:rsidRDefault="004C2C77" w:rsidP="004C2C77">
      <w:pPr>
        <w:pStyle w:val="BRL-Standard"/>
      </w:pPr>
      <w:r w:rsidRPr="0009445C">
        <w:t>In the case of the use of silicon-rich fly ash in concrete, no evidence of substance content and release of hazardous substances shall be provided if the ash originates from thermal power plants in which only coal and no secondary fuels, except biomass in a proportion of up to 14 M.</w:t>
      </w:r>
      <w:r w:rsidRPr="0009445C">
        <w:noBreakHyphen/>
        <w:t>% (dry mass), of virtually ash-free natural gas and municipal sewage sludge (waste key 19 08 05 according to AVV</w:t>
      </w:r>
      <w:r w:rsidR="00B77E7D" w:rsidRPr="0009445C">
        <w:fldChar w:fldCharType="begin"/>
      </w:r>
      <w:r w:rsidR="00B77E7D" w:rsidRPr="0009445C">
        <w:instrText xml:space="preserve"> NOTEREF _Ref90037115 \f \h </w:instrText>
      </w:r>
      <w:r w:rsidR="0009445C" w:rsidRPr="0009445C">
        <w:instrText xml:space="preserve"> \* MERGEFORMAT </w:instrText>
      </w:r>
      <w:r w:rsidR="00B77E7D" w:rsidRPr="0009445C">
        <w:fldChar w:fldCharType="separate"/>
      </w:r>
      <w:r w:rsidR="0009445C" w:rsidRPr="0009445C">
        <w:rPr>
          <w:rStyle w:val="FootnoteReference"/>
        </w:rPr>
        <w:t>7</w:t>
      </w:r>
      <w:r w:rsidR="00B77E7D" w:rsidRPr="0009445C">
        <w:fldChar w:fldCharType="end"/>
      </w:r>
      <w:r w:rsidRPr="0009445C">
        <w:t>) are used in a proportion of up to 5 M.-% (dry mass) based on dry coal. Biomass is understood as plant material. Waste wood or secondary material are not allowed.</w:t>
      </w:r>
    </w:p>
    <w:p w14:paraId="7881B6C5" w14:textId="77777777" w:rsidR="004C2C77" w:rsidRPr="0009445C" w:rsidRDefault="004C2C77" w:rsidP="004C2C77">
      <w:pPr>
        <w:pStyle w:val="BRL-Standard"/>
      </w:pPr>
    </w:p>
    <w:p w14:paraId="234D8BB8" w14:textId="04E1E057" w:rsidR="004C2C77" w:rsidRPr="0009445C" w:rsidRDefault="004C2C77" w:rsidP="004C2C77">
      <w:pPr>
        <w:pStyle w:val="BRL-Standard"/>
      </w:pPr>
      <w:r w:rsidRPr="0009445C">
        <w:t>For calcium-rich fly ash (generally lignite fly ash) for concrete exterior wall structural elements,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70F5D7E6" w14:textId="77777777" w:rsidR="004C2C77" w:rsidRPr="0009445C" w:rsidRDefault="004C2C77" w:rsidP="004C2C77">
      <w:pPr>
        <w:pStyle w:val="BRL-Standard"/>
      </w:pPr>
    </w:p>
    <w:p w14:paraId="22688C64" w14:textId="77777777" w:rsidR="004C2C77" w:rsidRPr="0009445C" w:rsidRDefault="004C2C77" w:rsidP="00600F53">
      <w:pPr>
        <w:pStyle w:val="BRL-berschrift"/>
      </w:pPr>
      <w:r w:rsidRPr="0009445C">
        <w:t>5.1.4</w:t>
      </w:r>
      <w:r w:rsidRPr="0009445C">
        <w:tab/>
        <w:t xml:space="preserve">Sulphate hut cement and calcium aluminate </w:t>
      </w:r>
      <w:proofErr w:type="spellStart"/>
      <w:r w:rsidRPr="0009445C">
        <w:t>sulfate</w:t>
      </w:r>
      <w:proofErr w:type="spellEnd"/>
      <w:r w:rsidRPr="0009445C">
        <w:t xml:space="preserve"> cement</w:t>
      </w:r>
    </w:p>
    <w:p w14:paraId="1FDE994B" w14:textId="26BF0CF5" w:rsidR="004C2C77" w:rsidRPr="0009445C" w:rsidRDefault="004C2C77" w:rsidP="004C2C77">
      <w:pPr>
        <w:pStyle w:val="BRL-Standard"/>
      </w:pPr>
      <w:r w:rsidRPr="0009445C">
        <w:t xml:space="preserve">Structural elements for concrete exterior walls manufactured using </w:t>
      </w:r>
      <w:proofErr w:type="spellStart"/>
      <w:r w:rsidRPr="0009445C">
        <w:t>supersulphated</w:t>
      </w:r>
      <w:proofErr w:type="spellEnd"/>
      <w:r w:rsidRPr="0009445C">
        <w:t xml:space="preserve"> cement or calcium aluminate sulphate cement may only be installed in contact with soil and groundwater if the eluate concentrations as per DIN CEN/TS 16637</w:t>
      </w:r>
      <w:r w:rsidRPr="0009445C">
        <w:noBreakHyphen/>
        <w:t>2:2014-11 (for hardened concrete test specimens of a model concrete) comply with the upper limits according to Table A</w:t>
      </w:r>
      <w:r w:rsidRPr="0009445C">
        <w:noBreakHyphen/>
        <w:t>6 (Annex A).</w:t>
      </w:r>
    </w:p>
    <w:p w14:paraId="39AB983B" w14:textId="77777777" w:rsidR="004C2C77" w:rsidRPr="0009445C" w:rsidRDefault="004C2C77" w:rsidP="004C2C77">
      <w:pPr>
        <w:pStyle w:val="BRL-Standard"/>
      </w:pPr>
    </w:p>
    <w:p w14:paraId="06FBDBF0" w14:textId="77777777" w:rsidR="004C2C77" w:rsidRPr="0009445C" w:rsidRDefault="004C2C77" w:rsidP="004C2C77">
      <w:pPr>
        <w:pStyle w:val="BRL-Standard"/>
      </w:pPr>
      <w:r w:rsidRPr="0009445C">
        <w:t>Proof of compliance with these requirements is not required if direct contact of the component with soil or groundwater is prevented through constructive measures.</w:t>
      </w:r>
    </w:p>
    <w:p w14:paraId="07314B20" w14:textId="77777777" w:rsidR="004C2C77" w:rsidRPr="0009445C" w:rsidRDefault="004C2C77" w:rsidP="004C2C77">
      <w:pPr>
        <w:pStyle w:val="BRL-Standard"/>
      </w:pPr>
    </w:p>
    <w:p w14:paraId="091BC24D" w14:textId="77777777" w:rsidR="004C2C77" w:rsidRPr="0009445C" w:rsidRDefault="004C2C77" w:rsidP="00600F53">
      <w:pPr>
        <w:pStyle w:val="BRL-berschrift"/>
      </w:pPr>
      <w:r w:rsidRPr="0009445C">
        <w:t>5.1.5</w:t>
      </w:r>
      <w:r w:rsidRPr="0009445C">
        <w:tab/>
        <w:t>Concrete admixtures for external concrete walls</w:t>
      </w:r>
    </w:p>
    <w:p w14:paraId="08F9B5E1" w14:textId="68682492" w:rsidR="004C2C77" w:rsidRPr="0009445C" w:rsidRDefault="004C2C77" w:rsidP="004C2C77">
      <w:pPr>
        <w:pStyle w:val="BRL-Standard"/>
      </w:pPr>
      <w:r w:rsidRPr="0009445C">
        <w:t>Concrete admixtures used in concrete for exterior walls in contact with soil or groundwater and for which there are no Technical Building Regulations or technical best practice are of significance for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6EC32B2A" w14:textId="77777777" w:rsidR="004C2C77" w:rsidRPr="0009445C" w:rsidRDefault="004C2C77" w:rsidP="004C2C77">
      <w:pPr>
        <w:pStyle w:val="BRL-Standard"/>
      </w:pPr>
    </w:p>
    <w:p w14:paraId="505BCD76" w14:textId="77777777" w:rsidR="004C2C77" w:rsidRPr="0009445C" w:rsidRDefault="004C2C77" w:rsidP="00600F53">
      <w:pPr>
        <w:pStyle w:val="BRL-berschrift"/>
      </w:pPr>
      <w:r w:rsidRPr="0009445C">
        <w:t>5.2</w:t>
      </w:r>
      <w:r w:rsidRPr="0009445C">
        <w:tab/>
        <w:t>structural elements for external walls made of wood</w:t>
      </w:r>
    </w:p>
    <w:p w14:paraId="6CE61496" w14:textId="77777777" w:rsidR="004C2C77" w:rsidRPr="0009445C" w:rsidRDefault="004C2C77" w:rsidP="004C2C77">
      <w:pPr>
        <w:pStyle w:val="BRL-Standard"/>
      </w:pPr>
      <w:r w:rsidRPr="0009445C">
        <w:t>Note:</w:t>
      </w:r>
    </w:p>
    <w:p w14:paraId="51B0ADD6" w14:textId="77777777" w:rsidR="004C2C77" w:rsidRPr="0009445C" w:rsidRDefault="004C2C77" w:rsidP="004C2C77">
      <w:pPr>
        <w:pStyle w:val="BRL-Standard"/>
      </w:pPr>
      <w:r w:rsidRPr="0009445C">
        <w:t>Timber structural elements treated with wood preservative may only be used on exterior walls (including windows and doors) if the wood preservative (biocide products) meet the requirements of the Biocide Regulation (EU) No 528/2012. When using biocide products, the constraints listed in the approval under the Biocide Ordinance pursuant to Article 22(1) of the Biocide</w:t>
      </w:r>
      <w:r w:rsidRPr="0009445C">
        <w:noBreakHyphen/>
        <w:t xml:space="preserve"> Ordinance and/or nationally applicable transitional provisions pursuant to the Ordinance on the reporting of biocide products pursuant to the Chemicals Act (Biocide</w:t>
      </w:r>
      <w:r w:rsidRPr="0009445C">
        <w:noBreakHyphen/>
        <w:t xml:space="preserve"> Reporting Ordinance </w:t>
      </w:r>
      <w:r w:rsidRPr="0009445C">
        <w:lastRenderedPageBreak/>
        <w:t>[</w:t>
      </w:r>
      <w:proofErr w:type="spellStart"/>
      <w:r w:rsidRPr="0009445C">
        <w:t>ChemBiozidMeldeV</w:t>
      </w:r>
      <w:proofErr w:type="spellEnd"/>
      <w:r w:rsidRPr="0009445C">
        <w:t>]) must be met. Timber structural elements treated with preservatives to guard against biological infestation must be marked as per DIN EN 15228:2009-08, Section 6.</w:t>
      </w:r>
    </w:p>
    <w:p w14:paraId="0209C197" w14:textId="77777777" w:rsidR="004C2C77" w:rsidRPr="0009445C" w:rsidRDefault="004C2C77" w:rsidP="004C2C77">
      <w:pPr>
        <w:pStyle w:val="BRL-Standard"/>
      </w:pPr>
    </w:p>
    <w:p w14:paraId="4B545EF9" w14:textId="77777777" w:rsidR="004C2C77" w:rsidRPr="0009445C" w:rsidRDefault="004C2C77" w:rsidP="004C2C77">
      <w:pPr>
        <w:pStyle w:val="BRL-Standard"/>
      </w:pPr>
      <w:r w:rsidRPr="0009445C">
        <w:t>When using scrap timber for exterior wall structural elements, the requirements of the Waste Wood Ordinance must be met.</w:t>
      </w:r>
    </w:p>
    <w:p w14:paraId="7ECC5B3C" w14:textId="77777777" w:rsidR="004C2C77" w:rsidRPr="0009445C" w:rsidRDefault="004C2C77" w:rsidP="004C2C77">
      <w:pPr>
        <w:pStyle w:val="BRL-Standard"/>
      </w:pPr>
    </w:p>
    <w:p w14:paraId="00D50968" w14:textId="77777777" w:rsidR="004C2C77" w:rsidRPr="0009445C" w:rsidRDefault="004C2C77" w:rsidP="00600F53">
      <w:pPr>
        <w:pStyle w:val="BRL-berschrift"/>
      </w:pPr>
      <w:r w:rsidRPr="0009445C">
        <w:t>5.3</w:t>
      </w:r>
      <w:r w:rsidRPr="0009445C">
        <w:tab/>
        <w:t>Seals for external walls</w:t>
      </w:r>
    </w:p>
    <w:p w14:paraId="07D690F5" w14:textId="7E4FF35D" w:rsidR="004C2C77" w:rsidRPr="0009445C" w:rsidRDefault="004C2C77" w:rsidP="004C2C77">
      <w:pPr>
        <w:pStyle w:val="BRL-Standard"/>
      </w:pPr>
      <w:r w:rsidRPr="0009445C">
        <w:t>There are no Technical Building Regulations or technical best practice for assessing the impact on soil and water of curtain injections as subsequent waterproofing for buildings.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4D83C6FE" w14:textId="77777777" w:rsidR="004C2C77" w:rsidRPr="0009445C" w:rsidRDefault="004C2C77" w:rsidP="004C2C77">
      <w:pPr>
        <w:pStyle w:val="BRL-Standard"/>
      </w:pPr>
    </w:p>
    <w:p w14:paraId="5375E842" w14:textId="77777777" w:rsidR="004C2C77" w:rsidRPr="0009445C" w:rsidRDefault="004C2C77" w:rsidP="00600F53">
      <w:pPr>
        <w:pStyle w:val="BRL-berschrift"/>
      </w:pPr>
      <w:r w:rsidRPr="0009445C">
        <w:t>5.4</w:t>
      </w:r>
      <w:r w:rsidRPr="0009445C">
        <w:tab/>
        <w:t xml:space="preserve">Fire protection products for improving the fire resistance of structural elements </w:t>
      </w:r>
    </w:p>
    <w:p w14:paraId="6D5C165F" w14:textId="77777777" w:rsidR="004C2C77" w:rsidRPr="0009445C" w:rsidRDefault="004C2C77" w:rsidP="004C2C77">
      <w:pPr>
        <w:pStyle w:val="BRL-Standard"/>
      </w:pPr>
      <w:r w:rsidRPr="0009445C">
        <w:t>Reactive fire protection coatings, fire-protection plaster cladding and line-shaped joint sealing shall comply with the requirements of Section 2 concerning the content of hazardous substances. Hazardous substances contained in the product must be declared.</w:t>
      </w:r>
    </w:p>
    <w:p w14:paraId="00D33805" w14:textId="77777777" w:rsidR="004C2C77" w:rsidRPr="0009445C" w:rsidRDefault="004C2C77" w:rsidP="004C2C77">
      <w:pPr>
        <w:pStyle w:val="BRL-Standard"/>
      </w:pPr>
    </w:p>
    <w:p w14:paraId="4218D4E2" w14:textId="77777777" w:rsidR="004C2C77" w:rsidRPr="0009445C" w:rsidRDefault="004C2C77" w:rsidP="00600F53">
      <w:pPr>
        <w:pStyle w:val="BRL-berschrift"/>
      </w:pPr>
      <w:r w:rsidRPr="0009445C">
        <w:t>6</w:t>
      </w:r>
      <w:r w:rsidRPr="0009445C">
        <w:tab/>
        <w:t>Requirements for surface coverings outdoors</w:t>
      </w:r>
    </w:p>
    <w:p w14:paraId="4DABBD5D" w14:textId="0A60CA01" w:rsidR="004C2C77" w:rsidRPr="0009445C" w:rsidRDefault="004C2C77" w:rsidP="004C2C77">
      <w:pPr>
        <w:pStyle w:val="BRL-Standard"/>
      </w:pPr>
      <w:r w:rsidRPr="0009445C">
        <w:t>No proof is required in respect of the release of hazardous substances for small-scale structural elements such as fastenings.</w:t>
      </w:r>
    </w:p>
    <w:p w14:paraId="508C873B" w14:textId="77777777" w:rsidR="004C2C77" w:rsidRPr="0009445C" w:rsidRDefault="004C2C77" w:rsidP="004C2C77">
      <w:pPr>
        <w:pStyle w:val="BRL-Standard"/>
      </w:pPr>
    </w:p>
    <w:p w14:paraId="3A2CB23C" w14:textId="77777777" w:rsidR="004C2C77" w:rsidRPr="0009445C" w:rsidRDefault="004C2C77" w:rsidP="00600F53">
      <w:pPr>
        <w:pStyle w:val="BRL-berschrift"/>
      </w:pPr>
      <w:r w:rsidRPr="0009445C">
        <w:t>6.1</w:t>
      </w:r>
      <w:r w:rsidRPr="0009445C">
        <w:tab/>
        <w:t>structural elements for outdoor surface coverings made of concrete</w:t>
      </w:r>
    </w:p>
    <w:p w14:paraId="5FBE6C6E" w14:textId="77777777" w:rsidR="004C2C77" w:rsidRPr="0009445C" w:rsidRDefault="004C2C77" w:rsidP="004C2C77">
      <w:pPr>
        <w:pStyle w:val="BRL-Standard"/>
      </w:pPr>
      <w:r w:rsidRPr="0009445C">
        <w:t>Concrete source materials used in floorings or staircase coverings must meet the requirements set out in the following Sections.</w:t>
      </w:r>
    </w:p>
    <w:p w14:paraId="2752A07D" w14:textId="77777777" w:rsidR="004C2C77" w:rsidRPr="0009445C" w:rsidRDefault="004C2C77" w:rsidP="004C2C77">
      <w:pPr>
        <w:pStyle w:val="BRL-Standard"/>
      </w:pPr>
    </w:p>
    <w:p w14:paraId="27E39DCC" w14:textId="3E324847" w:rsidR="004C2C77" w:rsidRPr="0009445C" w:rsidRDefault="004C2C77" w:rsidP="004C2C77">
      <w:pPr>
        <w:pStyle w:val="BRL-Standard"/>
      </w:pPr>
      <w:r w:rsidRPr="0009445C">
        <w:t>In the case of the exclusive use of natural rock granules, no evidence of the substance content and the release of dangerous substances shall be provided.</w:t>
      </w:r>
    </w:p>
    <w:p w14:paraId="62297266" w14:textId="77777777" w:rsidR="004C2C77" w:rsidRPr="0009445C" w:rsidRDefault="004C2C77" w:rsidP="004C2C77">
      <w:pPr>
        <w:pStyle w:val="BRL-Standard"/>
      </w:pPr>
    </w:p>
    <w:p w14:paraId="6B16A458" w14:textId="77777777" w:rsidR="004C2C77" w:rsidRPr="0009445C" w:rsidRDefault="004C2C77" w:rsidP="004C2C77">
      <w:pPr>
        <w:pStyle w:val="BRL-Standard"/>
      </w:pPr>
      <w:r w:rsidRPr="0009445C">
        <w:t>Construction products manufactured using display glass may not be used.</w:t>
      </w:r>
    </w:p>
    <w:p w14:paraId="5EABB662" w14:textId="77777777" w:rsidR="004C2C77" w:rsidRPr="0009445C" w:rsidRDefault="004C2C77" w:rsidP="004C2C77">
      <w:pPr>
        <w:pStyle w:val="BRL-Standard"/>
      </w:pPr>
    </w:p>
    <w:p w14:paraId="7C80B586" w14:textId="77777777" w:rsidR="004C2C77" w:rsidRPr="0009445C" w:rsidRDefault="004C2C77" w:rsidP="00600F53">
      <w:pPr>
        <w:pStyle w:val="BRL-berschrift"/>
      </w:pPr>
      <w:r w:rsidRPr="0009445C">
        <w:t>6.1.1</w:t>
      </w:r>
      <w:r w:rsidRPr="0009445C">
        <w:tab/>
        <w:t>Recycled granules of rock</w:t>
      </w:r>
    </w:p>
    <w:p w14:paraId="70C0D368" w14:textId="77777777" w:rsidR="004C2C77" w:rsidRPr="0009445C" w:rsidRDefault="004C2C77" w:rsidP="004C2C77">
      <w:pPr>
        <w:pStyle w:val="BRL-Standard"/>
        <w:spacing w:after="120"/>
      </w:pPr>
      <w:r w:rsidRPr="0009445C">
        <w:t>Concrete surfaces manufactured using recycled aggregates may only be installed if the recycled aggregates meet the following requirements:</w:t>
      </w:r>
    </w:p>
    <w:p w14:paraId="307B3531" w14:textId="55996075" w:rsidR="004C2C77" w:rsidRPr="0009445C" w:rsidRDefault="00A70317" w:rsidP="004C2C77">
      <w:pPr>
        <w:pStyle w:val="BRLAufzhlungAnstrich"/>
        <w:numPr>
          <w:ilvl w:val="0"/>
          <w:numId w:val="1"/>
        </w:numPr>
        <w:spacing w:after="60"/>
        <w:jc w:val="both"/>
      </w:pPr>
      <w:r w:rsidRPr="0009445C">
        <w:t>Only waste generated during construction activities (e.g. dismantling, demolition, conversion, expansion, new construction and maintenance of buildings and civil engineering, roads, paths, aerodromes and other traffic areas) may be used for the production of recycled rock granulation and were previously used as natural or artificial mineral building materials in bound or unbound form in civil engineering. The waste must correspond to the waste types mentioned in Table A</w:t>
      </w:r>
      <w:r w:rsidRPr="0009445C">
        <w:noBreakHyphen/>
        <w:t>1 (Annex A). Before rebuilding, dismantling or demolishing a building, it shall first be determined by viewing and analysing existing documents whether a pollutant load of the resulting material is to be expected. If a pollutant load could exist beyond the scope of parameters listed in Table A</w:t>
      </w:r>
      <w:r w:rsidRPr="0009445C">
        <w:noBreakHyphen/>
        <w:t xml:space="preserve"> 2 (Annex A), the material shall be assessed separately under waste legislation. Contaminated building materials and structural elements must be separated during the dismantling of a building and sent to an orderly disposal. This applies in particular to fire debris, structural elements with insulation and paints based on pitch, interior walls of industrial chimneys, substances containing asbestos and PCBs, parts of buildings contaminated with pollutants from gas works, filling stations, electroplating plants and chemical industry production facilities.</w:t>
      </w:r>
    </w:p>
    <w:p w14:paraId="01B46EBF" w14:textId="77777777" w:rsidR="004C2C77" w:rsidRPr="0009445C" w:rsidRDefault="004C2C77" w:rsidP="004C2C77">
      <w:pPr>
        <w:pStyle w:val="BRLAufzhlungAnstrich"/>
        <w:numPr>
          <w:ilvl w:val="0"/>
          <w:numId w:val="1"/>
        </w:numPr>
        <w:spacing w:after="60"/>
        <w:jc w:val="both"/>
      </w:pPr>
      <w:r w:rsidRPr="0009445C">
        <w:t>Eluate concentrations under DIN EN 12457</w:t>
      </w:r>
      <w:r w:rsidRPr="0009445C">
        <w:noBreakHyphen/>
        <w:t>4:2003-01 in recycled aggregates must comply with the upper limits according to Table A</w:t>
      </w:r>
      <w:r w:rsidRPr="0009445C">
        <w:noBreakHyphen/>
        <w:t>2 (Annex A).</w:t>
      </w:r>
    </w:p>
    <w:p w14:paraId="020955FB" w14:textId="77777777" w:rsidR="004C2C77" w:rsidRPr="0009445C" w:rsidRDefault="004C2C77" w:rsidP="004C2C77">
      <w:pPr>
        <w:pStyle w:val="BRLAufzhlungAnstrich"/>
        <w:numPr>
          <w:ilvl w:val="0"/>
          <w:numId w:val="1"/>
        </w:numPr>
        <w:spacing w:after="60"/>
        <w:jc w:val="both"/>
      </w:pPr>
      <w:r w:rsidRPr="0009445C">
        <w:t>Concentrations of solid matter in recycled aggregates must comply with the upper limits according to Table A</w:t>
      </w:r>
      <w:r w:rsidRPr="0009445C">
        <w:noBreakHyphen/>
        <w:t xml:space="preserve">2 (Annex A). </w:t>
      </w:r>
    </w:p>
    <w:p w14:paraId="3B342154" w14:textId="77777777" w:rsidR="004C2C77" w:rsidRPr="0009445C" w:rsidRDefault="004C2C77" w:rsidP="004C2C77">
      <w:pPr>
        <w:pStyle w:val="BRLAufzhlungAnstrich"/>
        <w:numPr>
          <w:ilvl w:val="0"/>
          <w:numId w:val="1"/>
        </w:numPr>
        <w:spacing w:after="60"/>
        <w:jc w:val="both"/>
      </w:pPr>
      <w:r w:rsidRPr="0009445C">
        <w:t>For concrete as per DIN 1045</w:t>
      </w:r>
      <w:r w:rsidRPr="0009445C">
        <w:noBreakHyphen/>
        <w:t xml:space="preserve">2:2008-08, the material composition of the recycled aggregates must correspond to the delivery types under </w:t>
      </w:r>
      <w:proofErr w:type="spellStart"/>
      <w:r w:rsidRPr="0009445C">
        <w:t>DAfStb</w:t>
      </w:r>
      <w:proofErr w:type="spellEnd"/>
      <w:r w:rsidRPr="0009445C">
        <w:noBreakHyphen/>
        <w:t xml:space="preserve"> Guideline ‘Concrete pursuant to DIN EN 206</w:t>
      </w:r>
      <w:r w:rsidRPr="0009445C">
        <w:noBreakHyphen/>
        <w:t>1 and DIN 1045</w:t>
      </w:r>
      <w:r w:rsidRPr="0009445C">
        <w:noBreakHyphen/>
        <w:t>2 with recycled aggregates pursuant to DIN EN 12620:2010-09’.</w:t>
      </w:r>
    </w:p>
    <w:p w14:paraId="59EF6542" w14:textId="77777777" w:rsidR="004C2C77" w:rsidRPr="0009445C" w:rsidRDefault="004C2C77" w:rsidP="004C2C77">
      <w:pPr>
        <w:pStyle w:val="BRL-Standard"/>
      </w:pPr>
    </w:p>
    <w:p w14:paraId="500C6DB1" w14:textId="7816517A" w:rsidR="004C2C77" w:rsidRPr="0009445C" w:rsidRDefault="004C2C77" w:rsidP="004C2C77">
      <w:pPr>
        <w:pStyle w:val="BRL-Standard"/>
      </w:pPr>
      <w:r w:rsidRPr="0009445C">
        <w:t>If reject batches from prefabricated concrete structural elements (including concrete residue in ready-mixed concrete construction) are used directly as recycled aggregates in the production plant, no proof is required regarding the substance content and the release of hazardous substances.</w:t>
      </w:r>
    </w:p>
    <w:p w14:paraId="07D8FB8B" w14:textId="77777777" w:rsidR="004C2C77" w:rsidRPr="0009445C" w:rsidRDefault="004C2C77" w:rsidP="004C2C77">
      <w:pPr>
        <w:pStyle w:val="BRL-Standard"/>
      </w:pPr>
    </w:p>
    <w:p w14:paraId="2A36A79D" w14:textId="77777777" w:rsidR="004C2C77" w:rsidRPr="0009445C" w:rsidRDefault="004C2C77" w:rsidP="00600F53">
      <w:pPr>
        <w:pStyle w:val="BRL-berschrift"/>
      </w:pPr>
      <w:r w:rsidRPr="0009445C">
        <w:t>6.1.2</w:t>
      </w:r>
      <w:r w:rsidRPr="0009445C">
        <w:tab/>
        <w:t>Industrially manufactured aggregates</w:t>
      </w:r>
    </w:p>
    <w:p w14:paraId="0DC8FAA5" w14:textId="77777777" w:rsidR="004C2C77" w:rsidRPr="0009445C" w:rsidRDefault="004C2C77" w:rsidP="004C2C77">
      <w:pPr>
        <w:pStyle w:val="BRL-Standard"/>
        <w:spacing w:after="120"/>
      </w:pPr>
      <w:r w:rsidRPr="0009445C">
        <w:t>Concrete surface coverings manufactured using industrially manufactured aggregates may only be installed if the industrially manufactured aggregates meet the following requirements:</w:t>
      </w:r>
    </w:p>
    <w:p w14:paraId="72443FCA" w14:textId="0B40A185" w:rsidR="004C2C77" w:rsidRPr="0009445C" w:rsidRDefault="004C2C77" w:rsidP="004C2C77">
      <w:pPr>
        <w:pStyle w:val="BRLAufzhlungAnstrich"/>
        <w:numPr>
          <w:ilvl w:val="0"/>
          <w:numId w:val="1"/>
        </w:numPr>
      </w:pPr>
      <w:r w:rsidRPr="0009445C">
        <w:t>Eluate concentrations under DIN EN 12457</w:t>
      </w:r>
      <w:r w:rsidRPr="0009445C">
        <w:noBreakHyphen/>
        <w:t>4:2003-01 in industrially manufactured aggregates must comply with the upper limits according to Table A</w:t>
      </w:r>
      <w:r w:rsidRPr="0009445C">
        <w:noBreakHyphen/>
        <w:t>3 (Annex A).</w:t>
      </w:r>
    </w:p>
    <w:p w14:paraId="3F501CE6" w14:textId="77777777" w:rsidR="004C2C77" w:rsidRPr="0009445C" w:rsidRDefault="004C2C77" w:rsidP="004C2C77">
      <w:pPr>
        <w:pStyle w:val="BRLAufzhlungAnstrich"/>
        <w:numPr>
          <w:ilvl w:val="0"/>
          <w:numId w:val="1"/>
        </w:numPr>
      </w:pPr>
      <w:r w:rsidRPr="0009445C">
        <w:t>The material content in the solid of the industrially produced grain shall comply with the upper limits set out in Table A</w:t>
      </w:r>
      <w:r w:rsidRPr="0009445C">
        <w:noBreakHyphen/>
        <w:t>3 (Annex A).</w:t>
      </w:r>
    </w:p>
    <w:p w14:paraId="7F716869" w14:textId="77777777" w:rsidR="004C2C77" w:rsidRPr="0009445C" w:rsidRDefault="004C2C77" w:rsidP="004C2C77">
      <w:pPr>
        <w:pStyle w:val="BRL-Standard"/>
      </w:pPr>
    </w:p>
    <w:p w14:paraId="3CBF8193" w14:textId="5C38406D" w:rsidR="004C2C77" w:rsidRPr="0009445C" w:rsidRDefault="004C2C77" w:rsidP="004C2C77">
      <w:pPr>
        <w:pStyle w:val="BRL-Standard"/>
      </w:pPr>
      <w:r w:rsidRPr="0009445C">
        <w:t>In the use of crystalline blast furnace slag, metallurgical sand, melt chamber granules, expanded mica (vermiculite), expanded perlite, wind shale, expanded clay and brick sprit from unused bricks as rock grain (or rock flour) in concrete, no evidence of the substance contents and the release of dangerous substances shall be provided. For the use of sintered coal fly ash and boiler ash (boiler sand) as a rock grain (or rock meal) in concrete, no evidence of the substance content and release of hazardous substances shall be provided if the sintered coal fly ash and the boiler ash originate from such thermal power plants where only coal and no secondary fuels, excluding biomass in a proportion of up to 14 M.-% (dry mass), of virtually ash-free natural gas and municipal sewage sludge (waste key 19 08 05 according to AVV</w:t>
      </w:r>
      <w:r w:rsidR="00802FD9" w:rsidRPr="0009445C">
        <w:fldChar w:fldCharType="begin"/>
      </w:r>
      <w:r w:rsidR="00802FD9" w:rsidRPr="0009445C">
        <w:instrText xml:space="preserve"> NOTEREF _Ref90037115 \f \h </w:instrText>
      </w:r>
      <w:r w:rsidR="0009445C" w:rsidRPr="0009445C">
        <w:instrText xml:space="preserve"> \* MERGEFORMAT </w:instrText>
      </w:r>
      <w:r w:rsidR="00802FD9" w:rsidRPr="0009445C">
        <w:fldChar w:fldCharType="separate"/>
      </w:r>
      <w:r w:rsidR="0009445C" w:rsidRPr="0009445C">
        <w:rPr>
          <w:rStyle w:val="FootnoteReference"/>
        </w:rPr>
        <w:t>7</w:t>
      </w:r>
      <w:r w:rsidR="00802FD9" w:rsidRPr="0009445C">
        <w:fldChar w:fldCharType="end"/>
      </w:r>
      <w:r w:rsidRPr="0009445C">
        <w:t>) with a proportion of up to 5 M.-% (dry mass) based on dry coal. Biomass is understood as plant material. Waste wood or secondary material are not allowed.</w:t>
      </w:r>
    </w:p>
    <w:p w14:paraId="19DAC0F1" w14:textId="77777777" w:rsidR="004C2C77" w:rsidRPr="0009445C" w:rsidRDefault="004C2C77" w:rsidP="004C2C77">
      <w:pPr>
        <w:pStyle w:val="BRL-Standard"/>
      </w:pPr>
    </w:p>
    <w:p w14:paraId="78289D89" w14:textId="77777777" w:rsidR="004C2C77" w:rsidRPr="0009445C" w:rsidRDefault="004C2C77" w:rsidP="004C2C77">
      <w:pPr>
        <w:pStyle w:val="BRL-Standard"/>
      </w:pPr>
      <w:r w:rsidRPr="0009445C">
        <w:t>Industrially manufactured aggregates that are not listed in the above paragraph or in Table A</w:t>
      </w:r>
      <w:r w:rsidRPr="0009445C">
        <w:noBreakHyphen/>
        <w:t>3 may not be used in concrete.</w:t>
      </w:r>
    </w:p>
    <w:p w14:paraId="4930959E" w14:textId="77777777" w:rsidR="004C2C77" w:rsidRPr="0009445C" w:rsidRDefault="004C2C77" w:rsidP="004C2C77">
      <w:pPr>
        <w:pStyle w:val="BRL-Standard"/>
      </w:pPr>
    </w:p>
    <w:p w14:paraId="67E8AA2F" w14:textId="77777777" w:rsidR="004C2C77" w:rsidRPr="0009445C" w:rsidRDefault="004C2C77" w:rsidP="00600F53">
      <w:pPr>
        <w:pStyle w:val="BRL-berschrift"/>
      </w:pPr>
      <w:r w:rsidRPr="0009445C">
        <w:t>6.1.3</w:t>
      </w:r>
      <w:r w:rsidRPr="0009445C">
        <w:tab/>
        <w:t>Fly ashes</w:t>
      </w:r>
    </w:p>
    <w:p w14:paraId="63D5BA78" w14:textId="77777777" w:rsidR="004C2C77" w:rsidRPr="0009445C" w:rsidRDefault="004C2C77" w:rsidP="004C2C77">
      <w:pPr>
        <w:pStyle w:val="BRL-Standard"/>
        <w:spacing w:after="120"/>
      </w:pPr>
      <w:r w:rsidRPr="0009445C">
        <w:t>Concrete surface coverings manufactured using silicon-rich fly ash (generally hard coal fly ash) may only be installed if the silicon-rich fly ash meets the following requirements:</w:t>
      </w:r>
    </w:p>
    <w:p w14:paraId="195F6EEE" w14:textId="77777777" w:rsidR="004C2C77" w:rsidRPr="0009445C" w:rsidRDefault="004C2C77" w:rsidP="004C2C77">
      <w:pPr>
        <w:pStyle w:val="BRLAufzhlungAnstrich"/>
        <w:numPr>
          <w:ilvl w:val="0"/>
          <w:numId w:val="1"/>
        </w:numPr>
      </w:pPr>
      <w:r w:rsidRPr="0009445C">
        <w:t>Concentrations of solid matter in silicon-rich fly ash must comply with the upper limits of Table A</w:t>
      </w:r>
      <w:r w:rsidRPr="0009445C">
        <w:noBreakHyphen/>
        <w:t>4 (Annex A).</w:t>
      </w:r>
    </w:p>
    <w:p w14:paraId="7D2F520F" w14:textId="77777777" w:rsidR="004C2C77" w:rsidRPr="0009445C" w:rsidRDefault="004C2C77" w:rsidP="004C2C77">
      <w:pPr>
        <w:pStyle w:val="BRL-Standard"/>
      </w:pPr>
    </w:p>
    <w:p w14:paraId="1B6C1318" w14:textId="750C895C" w:rsidR="004C2C77" w:rsidRPr="0009445C" w:rsidRDefault="004C2C77" w:rsidP="004C2C77">
      <w:pPr>
        <w:pStyle w:val="BRL-Standard"/>
      </w:pPr>
      <w:r w:rsidRPr="0009445C">
        <w:t>In the case of the use of silicon-rich fly ash in concrete, no evidence of substance content and release of hazardous substances shall be provided if the ash comes from such thermal power plants where only coal and no secondary fuels, with the exception of biomass in a proportion of up to 14 M.</w:t>
      </w:r>
      <w:r w:rsidRPr="0009445C">
        <w:noBreakHyphen/>
        <w:t>% (dry mass), of virtually ash-free natural gas and municipal sewage sludge (waste key 19 08 05 according to AVV</w:t>
      </w:r>
      <w:r w:rsidR="009D76E3" w:rsidRPr="0009445C">
        <w:fldChar w:fldCharType="begin"/>
      </w:r>
      <w:r w:rsidR="009D76E3" w:rsidRPr="0009445C">
        <w:instrText xml:space="preserve"> NOTEREF _Ref90037115 \f \h </w:instrText>
      </w:r>
      <w:r w:rsidR="0009445C" w:rsidRPr="0009445C">
        <w:instrText xml:space="preserve"> \* MERGEFORMAT </w:instrText>
      </w:r>
      <w:r w:rsidR="009D76E3" w:rsidRPr="0009445C">
        <w:fldChar w:fldCharType="separate"/>
      </w:r>
      <w:r w:rsidR="0009445C" w:rsidRPr="0009445C">
        <w:rPr>
          <w:rStyle w:val="FootnoteReference"/>
        </w:rPr>
        <w:t>7</w:t>
      </w:r>
      <w:r w:rsidR="009D76E3" w:rsidRPr="0009445C">
        <w:fldChar w:fldCharType="end"/>
      </w:r>
      <w:r w:rsidRPr="0009445C">
        <w:t>) are used in a proportion of up to 5 M.</w:t>
      </w:r>
      <w:r w:rsidRPr="0009445C">
        <w:noBreakHyphen/>
        <w:t>% (dry mass) in relation to dry coal. Biomass is understood as plant material. Waste wood or secondary material are not allowed.</w:t>
      </w:r>
    </w:p>
    <w:p w14:paraId="1C254D1F" w14:textId="77777777" w:rsidR="004C2C77" w:rsidRPr="0009445C" w:rsidRDefault="004C2C77" w:rsidP="004C2C77">
      <w:pPr>
        <w:pStyle w:val="BRL-Standard"/>
      </w:pPr>
    </w:p>
    <w:p w14:paraId="5E0C6A16" w14:textId="7CFE809C" w:rsidR="004C2C77" w:rsidRPr="0009445C" w:rsidRDefault="004C2C77" w:rsidP="004C2C77">
      <w:pPr>
        <w:pStyle w:val="BRL-Standard"/>
      </w:pPr>
      <w:r w:rsidRPr="0009445C">
        <w:t>For calcium-rich fly ash (generally lignite fly ash) for concrete surfaces,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1D4EC74E" w14:textId="77777777" w:rsidR="004C2C77" w:rsidRPr="0009445C" w:rsidRDefault="004C2C77" w:rsidP="004C2C77">
      <w:pPr>
        <w:pStyle w:val="BRL-Standard"/>
      </w:pPr>
    </w:p>
    <w:p w14:paraId="64D102AF" w14:textId="77777777" w:rsidR="00AA3064" w:rsidRPr="0009445C" w:rsidRDefault="00AA3064">
      <w:pPr>
        <w:spacing w:after="200" w:line="276" w:lineRule="auto"/>
        <w:rPr>
          <w:b/>
          <w:bCs/>
          <w:szCs w:val="16"/>
        </w:rPr>
      </w:pPr>
      <w:r w:rsidRPr="0009445C">
        <w:br w:type="page"/>
      </w:r>
    </w:p>
    <w:p w14:paraId="7240B1BB" w14:textId="1E0299BF" w:rsidR="004C2C77" w:rsidRPr="0009445C" w:rsidRDefault="004C2C77" w:rsidP="00600F53">
      <w:pPr>
        <w:pStyle w:val="BRL-berschrift"/>
      </w:pPr>
      <w:r w:rsidRPr="0009445C">
        <w:lastRenderedPageBreak/>
        <w:t>6.2</w:t>
      </w:r>
      <w:r w:rsidRPr="0009445C">
        <w:tab/>
        <w:t>Floor coverings of wooden structural elements</w:t>
      </w:r>
    </w:p>
    <w:p w14:paraId="36EF4E31" w14:textId="77777777" w:rsidR="004C2C77" w:rsidRPr="0009445C" w:rsidRDefault="004C2C77" w:rsidP="004C2C77">
      <w:pPr>
        <w:pStyle w:val="BRL-Standard"/>
        <w:keepNext/>
        <w:keepLines/>
      </w:pPr>
      <w:r w:rsidRPr="0009445C">
        <w:t>Note:</w:t>
      </w:r>
    </w:p>
    <w:p w14:paraId="15978000" w14:textId="77777777" w:rsidR="004C2C77" w:rsidRPr="0009445C" w:rsidRDefault="004C2C77" w:rsidP="004C2C77">
      <w:pPr>
        <w:pStyle w:val="BRL-Standard"/>
        <w:keepNext/>
        <w:keepLines/>
      </w:pPr>
      <w:r w:rsidRPr="0009445C">
        <w:t>Timber structural elements treated with wood preservative may only be used as surface coverings (including windows) if the wood preservative (biocide products) meet the requirements of the Biocide</w:t>
      </w:r>
      <w:r w:rsidRPr="0009445C">
        <w:noBreakHyphen/>
        <w:t>Regulation (EU) No 528/2012. When using biocide products, the constraints listed in the approval under the Biocide Ordinance pursuant to Article 22(1) of the Biocide</w:t>
      </w:r>
      <w:r w:rsidRPr="0009445C">
        <w:noBreakHyphen/>
        <w:t xml:space="preserve"> Ordinance and/or nationally applicable transitional provisions pursuant to the Ordinance on the reporting of biocidal</w:t>
      </w:r>
      <w:r w:rsidRPr="0009445C">
        <w:noBreakHyphen/>
        <w:t xml:space="preserve"> products pursuant to the Chemicals Act (Biocide</w:t>
      </w:r>
      <w:r w:rsidRPr="0009445C">
        <w:noBreakHyphen/>
        <w:t xml:space="preserve"> Reporting Ordinance [</w:t>
      </w:r>
      <w:proofErr w:type="spellStart"/>
      <w:r w:rsidRPr="0009445C">
        <w:t>ChemBiozidMeldeV</w:t>
      </w:r>
      <w:proofErr w:type="spellEnd"/>
      <w:r w:rsidRPr="0009445C">
        <w:t>]) must be met. Timber structural elements treated with protective agents to guard against biological infestation must be marked as per DIN EN 15228:2009</w:t>
      </w:r>
      <w:r w:rsidRPr="0009445C">
        <w:noBreakHyphen/>
        <w:t>08, Section 6.</w:t>
      </w:r>
    </w:p>
    <w:p w14:paraId="70163D70" w14:textId="77777777" w:rsidR="004C2C77" w:rsidRPr="0009445C" w:rsidRDefault="004C2C77" w:rsidP="004C2C77">
      <w:pPr>
        <w:pStyle w:val="BRL-Standard"/>
      </w:pPr>
    </w:p>
    <w:p w14:paraId="203FEFCB" w14:textId="77777777" w:rsidR="004C2C77" w:rsidRPr="0009445C" w:rsidRDefault="004C2C77" w:rsidP="004C2C77">
      <w:pPr>
        <w:pStyle w:val="BRL-Standard"/>
      </w:pPr>
      <w:r w:rsidRPr="0009445C">
        <w:t>When using waste wood for surface coverings, the requirements of the Waste Timber Regulation must be complied with.</w:t>
      </w:r>
    </w:p>
    <w:p w14:paraId="4FDF0D32" w14:textId="77777777" w:rsidR="004C2C77" w:rsidRPr="0009445C" w:rsidRDefault="004C2C77" w:rsidP="004C2C77">
      <w:pPr>
        <w:pStyle w:val="BRL-Standard"/>
      </w:pPr>
    </w:p>
    <w:p w14:paraId="3B0A17D2" w14:textId="77777777" w:rsidR="004C2C77" w:rsidRPr="0009445C" w:rsidRDefault="004C2C77" w:rsidP="00600F53">
      <w:pPr>
        <w:pStyle w:val="BRL-berschrift"/>
      </w:pPr>
      <w:r w:rsidRPr="0009445C">
        <w:t>6.3</w:t>
      </w:r>
      <w:r w:rsidRPr="0009445C">
        <w:tab/>
        <w:t>Surface coverings handling wastewater</w:t>
      </w:r>
    </w:p>
    <w:p w14:paraId="0D40B945" w14:textId="4A98D9FB" w:rsidR="004C2C77" w:rsidRPr="0009445C" w:rsidRDefault="004C2C77" w:rsidP="004C2C77">
      <w:pPr>
        <w:pStyle w:val="BRL-Standard"/>
      </w:pPr>
      <w:r w:rsidRPr="0009445C">
        <w:t>There are no Technical Building Regulations or technical best practices for assessing the impact on soil and water of water-permeable coverings for motor vehicle</w:t>
      </w:r>
      <w:r w:rsidRPr="0009445C">
        <w:noBreakHyphen/>
        <w:t xml:space="preserve"> traffic areas used for treating wastewater for subsequent percolation.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071047B7" w14:textId="77777777" w:rsidR="004C2C77" w:rsidRPr="0009445C" w:rsidRDefault="004C2C77" w:rsidP="004C2C77">
      <w:pPr>
        <w:pStyle w:val="BRL-Standard"/>
      </w:pPr>
    </w:p>
    <w:p w14:paraId="169BDB13" w14:textId="77777777" w:rsidR="004C2C77" w:rsidRPr="0009445C" w:rsidRDefault="004C2C77" w:rsidP="00600F53">
      <w:pPr>
        <w:pStyle w:val="BRL-berschrift"/>
      </w:pPr>
      <w:r w:rsidRPr="0009445C">
        <w:t>7</w:t>
      </w:r>
      <w:r w:rsidRPr="0009445C">
        <w:tab/>
        <w:t>Requirements for foundations including piles</w:t>
      </w:r>
    </w:p>
    <w:p w14:paraId="74302617" w14:textId="77777777" w:rsidR="004C2C77" w:rsidRPr="0009445C" w:rsidRDefault="004C2C77" w:rsidP="00600F53">
      <w:pPr>
        <w:pStyle w:val="BRL-berschrift"/>
      </w:pPr>
      <w:r w:rsidRPr="0009445C">
        <w:t>7.1</w:t>
      </w:r>
      <w:r w:rsidRPr="0009445C">
        <w:tab/>
        <w:t>General information</w:t>
      </w:r>
    </w:p>
    <w:p w14:paraId="7632376A" w14:textId="77777777" w:rsidR="004C2C77" w:rsidRPr="0009445C" w:rsidRDefault="004C2C77" w:rsidP="004C2C77">
      <w:pPr>
        <w:pStyle w:val="BRL-Standard"/>
      </w:pPr>
      <w:r w:rsidRPr="0009445C">
        <w:t>No recycled or industrially produced grains of rock shall be used in injections and pressing materials used for foundations and piles directly in groundwater.</w:t>
      </w:r>
    </w:p>
    <w:p w14:paraId="7F84CF78" w14:textId="77777777" w:rsidR="004C2C77" w:rsidRPr="0009445C" w:rsidRDefault="004C2C77" w:rsidP="004C2C77">
      <w:pPr>
        <w:pStyle w:val="BRL-Standard"/>
      </w:pPr>
    </w:p>
    <w:p w14:paraId="25183970" w14:textId="77777777" w:rsidR="004C2C77" w:rsidRPr="0009445C" w:rsidRDefault="004C2C77" w:rsidP="00600F53">
      <w:pPr>
        <w:pStyle w:val="BRL-berschrift"/>
      </w:pPr>
      <w:r w:rsidRPr="0009445C">
        <w:t>7.2</w:t>
      </w:r>
      <w:r w:rsidRPr="0009445C">
        <w:tab/>
        <w:t>Injection and pressing materials for foundations including piles</w:t>
      </w:r>
    </w:p>
    <w:p w14:paraId="2D60477E" w14:textId="77777777" w:rsidR="004C2C77" w:rsidRPr="0009445C" w:rsidRDefault="004C2C77" w:rsidP="00600F53">
      <w:pPr>
        <w:pStyle w:val="BRL-berschrift"/>
      </w:pPr>
      <w:r w:rsidRPr="0009445C">
        <w:t>7.2.1</w:t>
      </w:r>
      <w:r w:rsidRPr="0009445C">
        <w:tab/>
        <w:t>Fly ash</w:t>
      </w:r>
    </w:p>
    <w:p w14:paraId="61A38364" w14:textId="77777777" w:rsidR="004C2C77" w:rsidRPr="0009445C" w:rsidRDefault="004C2C77" w:rsidP="004C2C77">
      <w:pPr>
        <w:pStyle w:val="BRL-Standard"/>
        <w:spacing w:after="120"/>
      </w:pPr>
      <w:r w:rsidRPr="0009445C">
        <w:t>Foundations including piles made of binder suspension, grout (cement mortar) or concrete manufactured using silicon-rich fly ash (generally hard coal fly ash) may only be installed if the silicon-rich fly ash meets the following requirements:</w:t>
      </w:r>
    </w:p>
    <w:p w14:paraId="58F46C44" w14:textId="77777777" w:rsidR="004C2C77" w:rsidRPr="0009445C" w:rsidRDefault="004C2C77" w:rsidP="004C2C77">
      <w:pPr>
        <w:pStyle w:val="BRLAufzhlungAnstrich"/>
        <w:numPr>
          <w:ilvl w:val="0"/>
          <w:numId w:val="1"/>
        </w:numPr>
      </w:pPr>
      <w:r w:rsidRPr="0009445C">
        <w:t>Concentrations of solid matter in silicon-rich fly ash must comply with the upper limits given in Table A</w:t>
      </w:r>
      <w:r w:rsidRPr="0009445C">
        <w:noBreakHyphen/>
        <w:t>4 (Annex A).</w:t>
      </w:r>
    </w:p>
    <w:p w14:paraId="33EA5DD9" w14:textId="12773DF2" w:rsidR="004C2C77" w:rsidRPr="0009445C" w:rsidRDefault="004C2C77" w:rsidP="004C2C77">
      <w:pPr>
        <w:pStyle w:val="BRLAufzhlungAnstrich"/>
        <w:numPr>
          <w:ilvl w:val="0"/>
          <w:numId w:val="1"/>
        </w:numPr>
      </w:pPr>
      <w:r w:rsidRPr="0009445C">
        <w:t>The concentrations in eluate in accordance with DIN CEN/TS 16637</w:t>
      </w:r>
      <w:r w:rsidRPr="0009445C">
        <w:noBreakHyphen/>
        <w:t xml:space="preserve"> 2:2014-11 (for mortar or hardened concrete specimens of a model concrete) shall comply with the limits set out in Table A</w:t>
      </w:r>
      <w:r w:rsidRPr="0009445C">
        <w:noBreakHyphen/>
        <w:t xml:space="preserve"> 5 (Annex A).</w:t>
      </w:r>
    </w:p>
    <w:p w14:paraId="411F0BF3" w14:textId="77777777" w:rsidR="004C2C77" w:rsidRPr="0009445C" w:rsidRDefault="004C2C77" w:rsidP="004C2C77">
      <w:pPr>
        <w:pStyle w:val="BRL-Standard"/>
      </w:pPr>
    </w:p>
    <w:p w14:paraId="5F1A3301" w14:textId="4E92E755" w:rsidR="004C2C77" w:rsidRPr="0009445C" w:rsidRDefault="004C2C77" w:rsidP="004C2C77">
      <w:pPr>
        <w:pStyle w:val="BRL-Standard"/>
      </w:pPr>
      <w:r w:rsidRPr="0009445C">
        <w:t>Proof that the eluate concentrations as per DIN CEN/TS 16637</w:t>
      </w:r>
      <w:r w:rsidRPr="0009445C">
        <w:noBreakHyphen/>
        <w:t>2:2014-11 of mortar or concrete (based on a model formulation) manufactured using silicon-rich fly ash comply with the upper limits according to Table A</w:t>
      </w:r>
      <w:r w:rsidRPr="0009445C">
        <w:noBreakHyphen/>
        <w:t>5 (Annex A) is not required if construction measures are used to prevent direct contact with soil and/or groundwater.</w:t>
      </w:r>
    </w:p>
    <w:p w14:paraId="0B23A361" w14:textId="77777777" w:rsidR="004C2C77" w:rsidRPr="0009445C" w:rsidRDefault="004C2C77" w:rsidP="004C2C77">
      <w:pPr>
        <w:pStyle w:val="BRL-Standard"/>
      </w:pPr>
    </w:p>
    <w:p w14:paraId="713F76EF" w14:textId="64EF4F05" w:rsidR="004C2C77" w:rsidRPr="0009445C" w:rsidRDefault="004C2C77" w:rsidP="004C2C77">
      <w:pPr>
        <w:pStyle w:val="BRL-Standard"/>
      </w:pPr>
      <w:r w:rsidRPr="0009445C">
        <w:t>In the case of the use of silicon-rich fly ash in concrete or mortar, no evidence of the substance content and release of hazardous substances shall be provided if the ash originates from thermal power plants in which only coal and no secondary fuels, excluding biomass in a proportion of up to 14 M.</w:t>
      </w:r>
      <w:r w:rsidRPr="0009445C">
        <w:noBreakHyphen/>
        <w:t>% (dry mass), of virtually ash-free natural gas and municipal sewage sludge (waste key 19 08 05 according to AVV</w:t>
      </w:r>
      <w:r w:rsidR="009D76E3" w:rsidRPr="0009445C">
        <w:fldChar w:fldCharType="begin"/>
      </w:r>
      <w:r w:rsidR="009D76E3" w:rsidRPr="0009445C">
        <w:instrText xml:space="preserve"> NOTEREF _Ref90037115 \f \h </w:instrText>
      </w:r>
      <w:r w:rsidR="0009445C" w:rsidRPr="0009445C">
        <w:instrText xml:space="preserve"> \* MERGEFORMAT </w:instrText>
      </w:r>
      <w:r w:rsidR="009D76E3" w:rsidRPr="0009445C">
        <w:fldChar w:fldCharType="separate"/>
      </w:r>
      <w:r w:rsidR="0009445C" w:rsidRPr="0009445C">
        <w:rPr>
          <w:rStyle w:val="FootnoteReference"/>
        </w:rPr>
        <w:t>7</w:t>
      </w:r>
      <w:r w:rsidR="009D76E3" w:rsidRPr="0009445C">
        <w:fldChar w:fldCharType="end"/>
      </w:r>
      <w:r w:rsidRPr="0009445C">
        <w:t>) are used in a proportion of up to 5 M.-% (dry mass) in relation to dry coal. Biomass is understood as plant material. Waste wood or secondary material are not allowed.</w:t>
      </w:r>
    </w:p>
    <w:p w14:paraId="2AC29F98" w14:textId="77777777" w:rsidR="004C2C77" w:rsidRPr="0009445C" w:rsidRDefault="004C2C77" w:rsidP="004C2C77">
      <w:pPr>
        <w:pStyle w:val="BRL-Standard"/>
      </w:pPr>
    </w:p>
    <w:p w14:paraId="07714BEF" w14:textId="4BB74EAE" w:rsidR="004C2C77" w:rsidRPr="0009445C" w:rsidRDefault="004C2C77" w:rsidP="004C2C77">
      <w:pPr>
        <w:pStyle w:val="BRL-Standard"/>
      </w:pPr>
      <w:r w:rsidRPr="0009445C">
        <w:t>For calcium-rich fly ash (generally lignite fly ash) for foundations including piles made of binder suspensions, grout (cement mortar) or concrete,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207ACEC4" w14:textId="77777777" w:rsidR="004C2C77" w:rsidRPr="0009445C" w:rsidRDefault="004C2C77" w:rsidP="004C2C77">
      <w:pPr>
        <w:pStyle w:val="BRL-Standard"/>
      </w:pPr>
    </w:p>
    <w:p w14:paraId="225AFEDC" w14:textId="77777777" w:rsidR="004C2C77" w:rsidRPr="0009445C" w:rsidRDefault="004C2C77" w:rsidP="004C2C77">
      <w:pPr>
        <w:keepNext/>
        <w:tabs>
          <w:tab w:val="left" w:pos="709"/>
          <w:tab w:val="left" w:pos="851"/>
        </w:tabs>
        <w:spacing w:after="240"/>
        <w:rPr>
          <w:b/>
          <w:szCs w:val="18"/>
        </w:rPr>
      </w:pPr>
      <w:r w:rsidRPr="0009445C">
        <w:rPr>
          <w:b/>
        </w:rPr>
        <w:t>7.3</w:t>
      </w:r>
      <w:r w:rsidRPr="0009445C">
        <w:rPr>
          <w:b/>
        </w:rPr>
        <w:tab/>
        <w:t>Foundations of concrete</w:t>
      </w:r>
    </w:p>
    <w:p w14:paraId="17F0069B" w14:textId="77777777" w:rsidR="004C2C77" w:rsidRPr="0009445C" w:rsidRDefault="004C2C77" w:rsidP="004C2C77">
      <w:pPr>
        <w:pStyle w:val="BRL-Standard"/>
      </w:pPr>
      <w:r w:rsidRPr="0009445C">
        <w:t>Concrete feedstocks used in foundations having contact with groundwater or soil shall comply with the requirements set out in the following Sections.</w:t>
      </w:r>
    </w:p>
    <w:p w14:paraId="6E3A2320" w14:textId="77777777" w:rsidR="004C2C77" w:rsidRPr="0009445C" w:rsidRDefault="004C2C77" w:rsidP="004C2C77">
      <w:pPr>
        <w:pStyle w:val="BRL-Standard"/>
      </w:pPr>
    </w:p>
    <w:p w14:paraId="47627304" w14:textId="0A6A0474" w:rsidR="004C2C77" w:rsidRPr="0009445C" w:rsidRDefault="004C2C77" w:rsidP="004C2C77">
      <w:pPr>
        <w:pStyle w:val="BRL-Standard"/>
      </w:pPr>
      <w:r w:rsidRPr="0009445C">
        <w:lastRenderedPageBreak/>
        <w:t>In the case of the exclusive use of natural rock granules, no evidence of the substance content and the release of dangerous substances shall be provided.</w:t>
      </w:r>
    </w:p>
    <w:p w14:paraId="26E34BFA" w14:textId="77777777" w:rsidR="004C2C77" w:rsidRPr="0009445C" w:rsidRDefault="004C2C77" w:rsidP="004C2C77">
      <w:pPr>
        <w:pStyle w:val="BRL-Standard"/>
      </w:pPr>
    </w:p>
    <w:p w14:paraId="78E68265" w14:textId="77777777" w:rsidR="004C2C77" w:rsidRPr="0009445C" w:rsidRDefault="004C2C77" w:rsidP="00600F53">
      <w:pPr>
        <w:pStyle w:val="BRL-berschrift"/>
      </w:pPr>
      <w:r w:rsidRPr="0009445C">
        <w:t>7.3.1</w:t>
      </w:r>
      <w:r w:rsidRPr="0009445C">
        <w:tab/>
        <w:t>Recycled granules of rock</w:t>
      </w:r>
    </w:p>
    <w:p w14:paraId="3E254EF5" w14:textId="77777777" w:rsidR="004C2C77" w:rsidRPr="0009445C" w:rsidRDefault="004C2C77" w:rsidP="004C2C77">
      <w:pPr>
        <w:pStyle w:val="BRL-Standard"/>
      </w:pPr>
      <w:r w:rsidRPr="0009445C">
        <w:t>Concrete foundations manufactured using recycled aggregates may only be installed if the recycled aggregates meet the following requirements:</w:t>
      </w:r>
    </w:p>
    <w:p w14:paraId="3852E6FE" w14:textId="77777777" w:rsidR="004C2C77" w:rsidRPr="0009445C" w:rsidRDefault="004C2C77" w:rsidP="004C2C77">
      <w:pPr>
        <w:pStyle w:val="BRL-Standard"/>
      </w:pPr>
    </w:p>
    <w:p w14:paraId="5F747DE1" w14:textId="59B1EBF5" w:rsidR="004C2C77" w:rsidRPr="0009445C" w:rsidRDefault="009D76E3" w:rsidP="009D76E3">
      <w:pPr>
        <w:pStyle w:val="BRLAufzhlungAnstrich"/>
      </w:pPr>
      <w:r w:rsidRPr="0009445C">
        <w:t>Only waste generated during construction activities (e.g. dismantling, demolition, conversion, expansion, new construction and maintenance of buildings and civil engineering, roads, paths, aerodromes and other traffic areas) may be used for the production of recycled rock granulation and were previously used as natural or artificial mineral building materials in bound or unbound form in civil engineering. The waste must correspond to the waste types mentioned in Table A</w:t>
      </w:r>
      <w:r w:rsidRPr="0009445C">
        <w:noBreakHyphen/>
        <w:t>1 (Annex A). Before rebuilding, dismantling or demolishing a building, it shall first be determined by viewing and analysing existing documents whether a pollutant load of the resulting material is to be expected. If a pollutant load could exist beyond the scope of parameters listed in Table A</w:t>
      </w:r>
      <w:r w:rsidRPr="0009445C">
        <w:noBreakHyphen/>
        <w:t xml:space="preserve"> 2 (Annex A), the material shall be assessed separately under waste legislation. Contaminated building materials and structural elements must be separated during the dismantling of a building and sent to an orderly disposal. This applies in particular to fire debris, structural elements with insulation and paints based on pitch, interior walls of industrial chimneys, substances containing asbestos and PCBs</w:t>
      </w:r>
      <w:r w:rsidRPr="0009445C">
        <w:noBreakHyphen/>
        <w:t>, parts of buildings contaminated with pollutants from gas works, filling stations, electroplating plants and chemical industry production facilities.</w:t>
      </w:r>
    </w:p>
    <w:p w14:paraId="130E1841" w14:textId="77777777" w:rsidR="004C2C77" w:rsidRPr="0009445C" w:rsidRDefault="004C2C77" w:rsidP="004C2C77">
      <w:pPr>
        <w:pStyle w:val="BRLAufzhlungAnstrich"/>
        <w:numPr>
          <w:ilvl w:val="0"/>
          <w:numId w:val="1"/>
        </w:numPr>
        <w:spacing w:after="60"/>
      </w:pPr>
      <w:r w:rsidRPr="0009445C">
        <w:t>Eluate concentrations under DIN EN 12457</w:t>
      </w:r>
      <w:r w:rsidRPr="0009445C">
        <w:noBreakHyphen/>
        <w:t>4:2003-01 in recycled aggregates must comply with the upper limits according to Table A</w:t>
      </w:r>
      <w:r w:rsidRPr="0009445C">
        <w:noBreakHyphen/>
        <w:t>2 (Annex A).</w:t>
      </w:r>
    </w:p>
    <w:p w14:paraId="1EC51E3A" w14:textId="77777777" w:rsidR="004C2C77" w:rsidRPr="0009445C" w:rsidRDefault="004C2C77" w:rsidP="004C2C77">
      <w:pPr>
        <w:pStyle w:val="BRLAufzhlungAnstrich"/>
        <w:numPr>
          <w:ilvl w:val="0"/>
          <w:numId w:val="1"/>
        </w:numPr>
        <w:spacing w:after="60"/>
      </w:pPr>
      <w:r w:rsidRPr="0009445C">
        <w:t>Concentrations of solid matter in recycled aggregates must comply with the upper limits according to Table A</w:t>
      </w:r>
      <w:r w:rsidRPr="0009445C">
        <w:noBreakHyphen/>
        <w:t>2 (Annex A).</w:t>
      </w:r>
    </w:p>
    <w:p w14:paraId="0B255BC8" w14:textId="77777777" w:rsidR="004C2C77" w:rsidRPr="0009445C" w:rsidRDefault="004C2C77" w:rsidP="004C2C77">
      <w:pPr>
        <w:pStyle w:val="BRLAufzhlungAnstrich"/>
        <w:numPr>
          <w:ilvl w:val="0"/>
          <w:numId w:val="1"/>
        </w:numPr>
        <w:spacing w:after="60"/>
      </w:pPr>
      <w:r w:rsidRPr="0009445C">
        <w:t>For concrete as per DIN 1045</w:t>
      </w:r>
      <w:r w:rsidRPr="0009445C">
        <w:noBreakHyphen/>
        <w:t xml:space="preserve">2:2008-08, the material composition of the recycled aggregates must correspond to the delivery types under </w:t>
      </w:r>
      <w:proofErr w:type="spellStart"/>
      <w:r w:rsidRPr="0009445C">
        <w:t>DAfStb</w:t>
      </w:r>
      <w:proofErr w:type="spellEnd"/>
      <w:r w:rsidRPr="0009445C">
        <w:noBreakHyphen/>
        <w:t xml:space="preserve"> Guideline ‘Concrete pursuant to DIN EN 206</w:t>
      </w:r>
      <w:r w:rsidRPr="0009445C">
        <w:noBreakHyphen/>
        <w:t>1 and DIN 1045</w:t>
      </w:r>
      <w:r w:rsidRPr="0009445C">
        <w:noBreakHyphen/>
        <w:t>2 with recycled aggregates pursuant to DIN EN 12620:2010-09’.</w:t>
      </w:r>
    </w:p>
    <w:p w14:paraId="333ED0CA" w14:textId="77777777" w:rsidR="004C2C77" w:rsidRPr="0009445C" w:rsidRDefault="004C2C77" w:rsidP="004C2C77">
      <w:pPr>
        <w:pStyle w:val="BRL-Standard"/>
      </w:pPr>
    </w:p>
    <w:p w14:paraId="0BDC93A7" w14:textId="19B6049A" w:rsidR="004C2C77" w:rsidRPr="0009445C" w:rsidRDefault="004C2C77" w:rsidP="004C2C77">
      <w:pPr>
        <w:pStyle w:val="BRL-Standard"/>
      </w:pPr>
      <w:r w:rsidRPr="0009445C">
        <w:t>If reject batches from prefabricated concrete structural elements (including concrete residue in ready-mixed concrete construction) are used directly as recycled aggregates in the production plant, no proof is required regarding the substance content and the release of hazardous substances.</w:t>
      </w:r>
    </w:p>
    <w:p w14:paraId="28191EF9" w14:textId="77777777" w:rsidR="003A0178" w:rsidRPr="0009445C" w:rsidRDefault="003A0178">
      <w:pPr>
        <w:spacing w:after="200" w:line="276" w:lineRule="auto"/>
        <w:rPr>
          <w:szCs w:val="18"/>
        </w:rPr>
      </w:pPr>
      <w:r w:rsidRPr="0009445C">
        <w:br w:type="page"/>
      </w:r>
    </w:p>
    <w:p w14:paraId="66C5FDDD" w14:textId="77777777" w:rsidR="004C2C77" w:rsidRPr="0009445C" w:rsidRDefault="004C2C77" w:rsidP="00600F53">
      <w:pPr>
        <w:pStyle w:val="BRL-berschrift"/>
      </w:pPr>
      <w:r w:rsidRPr="0009445C">
        <w:lastRenderedPageBreak/>
        <w:t>7.3.2</w:t>
      </w:r>
      <w:r w:rsidRPr="0009445C">
        <w:tab/>
        <w:t>Industrially manufactured aggregates</w:t>
      </w:r>
    </w:p>
    <w:p w14:paraId="54A8E518" w14:textId="77777777" w:rsidR="004C2C77" w:rsidRPr="0009445C" w:rsidRDefault="004C2C77" w:rsidP="004C2C77">
      <w:pPr>
        <w:pStyle w:val="BRL-Standard"/>
      </w:pPr>
      <w:r w:rsidRPr="0009445C">
        <w:t>Concrete foundations manufactured using industrially manufactured aggregates may only be installed if the industrially manufactured aggregates meet the following requirements:</w:t>
      </w:r>
    </w:p>
    <w:p w14:paraId="6E69B371" w14:textId="77777777" w:rsidR="004C2C77" w:rsidRPr="0009445C" w:rsidRDefault="004C2C77" w:rsidP="004C2C77">
      <w:pPr>
        <w:pStyle w:val="BRL-Standard"/>
      </w:pPr>
    </w:p>
    <w:p w14:paraId="6815DB34" w14:textId="77777777" w:rsidR="004C2C77" w:rsidRPr="0009445C" w:rsidRDefault="004C2C77" w:rsidP="004C2C77">
      <w:pPr>
        <w:pStyle w:val="BRLAufzhlungAnstrich"/>
        <w:numPr>
          <w:ilvl w:val="0"/>
          <w:numId w:val="1"/>
        </w:numPr>
      </w:pPr>
      <w:r w:rsidRPr="0009445C">
        <w:t>Eluate concentrations under DIN EN 12457</w:t>
      </w:r>
      <w:r w:rsidRPr="0009445C">
        <w:noBreakHyphen/>
        <w:t>4:2003-01 in industrially manufactured aggregates must comply with the upper limits according to Table A</w:t>
      </w:r>
      <w:r w:rsidRPr="0009445C">
        <w:noBreakHyphen/>
        <w:t>3 (Annex A).</w:t>
      </w:r>
    </w:p>
    <w:p w14:paraId="29873C20" w14:textId="77777777" w:rsidR="004C2C77" w:rsidRPr="0009445C" w:rsidRDefault="004C2C77" w:rsidP="004C2C77">
      <w:pPr>
        <w:pStyle w:val="BRLAufzhlungAnstrich"/>
        <w:numPr>
          <w:ilvl w:val="0"/>
          <w:numId w:val="1"/>
        </w:numPr>
      </w:pPr>
      <w:r w:rsidRPr="0009445C">
        <w:t>The material content in the solid of the industrially produced grain shall comply with the upper limits set out in Table A</w:t>
      </w:r>
      <w:r w:rsidRPr="0009445C">
        <w:noBreakHyphen/>
        <w:t>3 (Annex A).</w:t>
      </w:r>
    </w:p>
    <w:p w14:paraId="441A501F" w14:textId="76DB3F50" w:rsidR="004C2C77" w:rsidRPr="0009445C" w:rsidRDefault="004C2C77" w:rsidP="004C2C77">
      <w:pPr>
        <w:pStyle w:val="BRLAufzhlungAnstrich"/>
        <w:numPr>
          <w:ilvl w:val="0"/>
          <w:numId w:val="1"/>
        </w:numPr>
      </w:pPr>
      <w:r w:rsidRPr="0009445C">
        <w:t>The concentrations of substances in the eluate in accordance with DIN CEN/TS 16637</w:t>
      </w:r>
      <w:r w:rsidRPr="0009445C">
        <w:noBreakHyphen/>
        <w:t xml:space="preserve"> 2:2014-11 (for hardened concrete test specimens of a model concrete) shall comply with the limits set out in Table A</w:t>
      </w:r>
      <w:r w:rsidRPr="0009445C">
        <w:noBreakHyphen/>
        <w:t xml:space="preserve"> 6(Annex A) or, for boiler sand, the upper limits of Table A</w:t>
      </w:r>
      <w:r w:rsidRPr="0009445C">
        <w:noBreakHyphen/>
        <w:t xml:space="preserve"> 5 (Annex A).</w:t>
      </w:r>
    </w:p>
    <w:p w14:paraId="40808D74" w14:textId="77777777" w:rsidR="004C2C77" w:rsidRPr="0009445C" w:rsidRDefault="004C2C77" w:rsidP="004C2C77">
      <w:pPr>
        <w:pStyle w:val="BRL-Standard"/>
      </w:pPr>
    </w:p>
    <w:p w14:paraId="1EBF6CF7" w14:textId="77777777" w:rsidR="004C2C77" w:rsidRPr="0009445C" w:rsidRDefault="004C2C77" w:rsidP="004C2C77">
      <w:pPr>
        <w:pStyle w:val="BRL-Standard"/>
      </w:pPr>
      <w:r w:rsidRPr="0009445C">
        <w:t>Proof that the concentrations of substances in the eluate in accordance with DIN CEN/TS 16637</w:t>
      </w:r>
      <w:r w:rsidRPr="0009445C">
        <w:noBreakHyphen/>
        <w:t xml:space="preserve"> 2:2014-11 comply with the limits set out in Table A</w:t>
      </w:r>
      <w:r w:rsidRPr="0009445C">
        <w:noBreakHyphen/>
        <w:t xml:space="preserve"> 5 or Table A</w:t>
      </w:r>
      <w:r w:rsidRPr="0009445C">
        <w:noBreakHyphen/>
        <w:t xml:space="preserve"> 6 (Annex A) shall be omitted if direct contact with soil or groundwater is excluded by constructive measures.</w:t>
      </w:r>
    </w:p>
    <w:p w14:paraId="30C400B2" w14:textId="77777777" w:rsidR="004C2C77" w:rsidRPr="0009445C" w:rsidRDefault="004C2C77" w:rsidP="004C2C77">
      <w:pPr>
        <w:pStyle w:val="BRL-Standard"/>
      </w:pPr>
    </w:p>
    <w:p w14:paraId="6A5B72A5" w14:textId="52523736" w:rsidR="004C2C77" w:rsidRPr="0009445C" w:rsidRDefault="004C2C77" w:rsidP="00802FD9">
      <w:pPr>
        <w:pStyle w:val="BRL-Standard"/>
      </w:pPr>
      <w:r w:rsidRPr="0009445C">
        <w:t>In the use of crystalline blast furnace slag, metallurgical sand, melt chamber granules, expanded mica (vermiculite), expanded perlite, wind shale, expanded clay and brick sprit from unused bricks as rock grain (or rock flour) in concrete, no evidence of the substance contents and the release of dangerous substances shall be provided. For the use of sintered coal fly ash and boiler ash (boiler sand) as a rock grain (or rock meal) in concrete, no evidence of the substance content and release of hazardous substances shall be provided if the sintered coal fly ash and the boiler ash originate from thermal power plants in which only coal and no secondary fuels (except biomass in a proportion of up to 14 M.-% (dry mass), of virtually ash-free natural gas and municipal sewage sludge (waste key 19 08 05 according to AVV</w:t>
      </w:r>
      <w:r w:rsidR="00802FD9" w:rsidRPr="0009445C">
        <w:fldChar w:fldCharType="begin"/>
      </w:r>
      <w:r w:rsidR="00802FD9" w:rsidRPr="0009445C">
        <w:instrText xml:space="preserve"> NOTEREF _Ref90037115 \f \h </w:instrText>
      </w:r>
      <w:r w:rsidR="0009445C" w:rsidRPr="0009445C">
        <w:instrText xml:space="preserve"> \* MERGEFORMAT </w:instrText>
      </w:r>
      <w:r w:rsidR="00802FD9" w:rsidRPr="0009445C">
        <w:fldChar w:fldCharType="separate"/>
      </w:r>
      <w:r w:rsidR="0009445C" w:rsidRPr="0009445C">
        <w:rPr>
          <w:rStyle w:val="FootnoteReference"/>
        </w:rPr>
        <w:t>7</w:t>
      </w:r>
      <w:r w:rsidR="00802FD9" w:rsidRPr="0009445C">
        <w:fldChar w:fldCharType="end"/>
      </w:r>
      <w:r w:rsidRPr="0009445C">
        <w:t>) with a proportion of up to 5 M.-% (dry mass), based on dry coal, are co-burned, biomass is understood as vegetable material. Waste wood or secondary material are not allowed.</w:t>
      </w:r>
    </w:p>
    <w:p w14:paraId="514A16CE" w14:textId="77777777" w:rsidR="004C2C77" w:rsidRPr="0009445C" w:rsidRDefault="004C2C77" w:rsidP="004C2C77">
      <w:pPr>
        <w:pStyle w:val="BRL-Standard"/>
      </w:pPr>
    </w:p>
    <w:p w14:paraId="2259C823" w14:textId="77777777" w:rsidR="004C2C77" w:rsidRPr="0009445C" w:rsidRDefault="004C2C77" w:rsidP="004C2C77">
      <w:pPr>
        <w:pStyle w:val="BRL-Standard"/>
      </w:pPr>
      <w:r w:rsidRPr="0009445C">
        <w:t>Industrially manufactured aggregates that are not listed in the above paragraph or in Table A</w:t>
      </w:r>
      <w:r w:rsidRPr="0009445C">
        <w:noBreakHyphen/>
        <w:t>3 may not be used in concrete.</w:t>
      </w:r>
    </w:p>
    <w:p w14:paraId="695F9E62" w14:textId="77777777" w:rsidR="004C2C77" w:rsidRPr="0009445C" w:rsidRDefault="004C2C77" w:rsidP="004C2C77">
      <w:pPr>
        <w:pStyle w:val="BRL-Standard"/>
      </w:pPr>
    </w:p>
    <w:p w14:paraId="144C143C" w14:textId="77777777" w:rsidR="004C2C77" w:rsidRPr="0009445C" w:rsidRDefault="004C2C77" w:rsidP="00600F53">
      <w:pPr>
        <w:pStyle w:val="BRL-berschrift"/>
      </w:pPr>
      <w:r w:rsidRPr="0009445C">
        <w:t>7.3.3</w:t>
      </w:r>
      <w:r w:rsidRPr="0009445C">
        <w:tab/>
        <w:t>Fly ashes</w:t>
      </w:r>
    </w:p>
    <w:p w14:paraId="45B0F439" w14:textId="77777777" w:rsidR="004C2C77" w:rsidRPr="0009445C" w:rsidRDefault="004C2C77" w:rsidP="004C2C77">
      <w:pPr>
        <w:pStyle w:val="BRL-Standard"/>
      </w:pPr>
      <w:r w:rsidRPr="0009445C">
        <w:t>Concrete foundations manufactured using silicon-rich fly ash (generally hard coal fly ash) may only be installed if the fly ash meets the following requirements:</w:t>
      </w:r>
    </w:p>
    <w:p w14:paraId="309611EA" w14:textId="77777777" w:rsidR="004C2C77" w:rsidRPr="0009445C" w:rsidRDefault="004C2C77" w:rsidP="004C2C77">
      <w:pPr>
        <w:pStyle w:val="BRL-Standard"/>
      </w:pPr>
    </w:p>
    <w:p w14:paraId="083A045F" w14:textId="77777777" w:rsidR="004C2C77" w:rsidRPr="0009445C" w:rsidRDefault="004C2C77" w:rsidP="004C2C77">
      <w:pPr>
        <w:pStyle w:val="BRLAufzhlungAnstrich"/>
        <w:numPr>
          <w:ilvl w:val="0"/>
          <w:numId w:val="1"/>
        </w:numPr>
      </w:pPr>
      <w:r w:rsidRPr="0009445C">
        <w:t>Concentrations of solid matter in silicon-rich fly ash must comply with the upper limits given in Table A</w:t>
      </w:r>
      <w:r w:rsidRPr="0009445C">
        <w:noBreakHyphen/>
        <w:t xml:space="preserve">4 (Annex A). </w:t>
      </w:r>
    </w:p>
    <w:p w14:paraId="34C65321" w14:textId="77777777" w:rsidR="004C2C77" w:rsidRPr="0009445C" w:rsidRDefault="004C2C77" w:rsidP="004C2C77">
      <w:pPr>
        <w:pStyle w:val="BRLAufzhlungAnstrich"/>
        <w:numPr>
          <w:ilvl w:val="0"/>
          <w:numId w:val="1"/>
        </w:numPr>
      </w:pPr>
      <w:r w:rsidRPr="0009445C">
        <w:t>The eluate concentrations pursuant to DIN CEN/TS 16637</w:t>
      </w:r>
      <w:r w:rsidRPr="0009445C">
        <w:noBreakHyphen/>
        <w:t>2:2014-11 (for hardened concrete test specimens of a model concrete) must comply with the upper limits according to Table A</w:t>
      </w:r>
      <w:r w:rsidRPr="0009445C">
        <w:noBreakHyphen/>
        <w:t xml:space="preserve">5 (Annex A). </w:t>
      </w:r>
    </w:p>
    <w:p w14:paraId="376FEFAE" w14:textId="77777777" w:rsidR="004C2C77" w:rsidRPr="0009445C" w:rsidRDefault="004C2C77" w:rsidP="004C2C77">
      <w:pPr>
        <w:pStyle w:val="BRL-Standard"/>
      </w:pPr>
    </w:p>
    <w:p w14:paraId="5C4AC61E" w14:textId="77777777" w:rsidR="004C2C77" w:rsidRPr="0009445C" w:rsidRDefault="004C2C77" w:rsidP="004C2C77">
      <w:pPr>
        <w:pStyle w:val="BRL-Standard"/>
      </w:pPr>
      <w:r w:rsidRPr="0009445C">
        <w:t>Proof that the eluate concentrations as per DIN CEN/TS 16637</w:t>
      </w:r>
      <w:r w:rsidRPr="0009445C">
        <w:noBreakHyphen/>
        <w:t>2:2014-11 comply with the upper limits given in Table A</w:t>
      </w:r>
      <w:r w:rsidRPr="0009445C">
        <w:noBreakHyphen/>
        <w:t>5 (Annex A) is not required if construction measures are used to prevent direct contact with soil or groundwater.</w:t>
      </w:r>
    </w:p>
    <w:p w14:paraId="3B9F59EB" w14:textId="77777777" w:rsidR="004C2C77" w:rsidRPr="0009445C" w:rsidRDefault="004C2C77" w:rsidP="004C2C77">
      <w:pPr>
        <w:pStyle w:val="BRL-Standard"/>
      </w:pPr>
    </w:p>
    <w:p w14:paraId="6B497139" w14:textId="371CEFD4" w:rsidR="004C2C77" w:rsidRPr="0009445C" w:rsidRDefault="004C2C77" w:rsidP="004C2C77">
      <w:pPr>
        <w:pStyle w:val="BRL-Standard"/>
      </w:pPr>
      <w:r w:rsidRPr="0009445C">
        <w:t>In the case of the use of silicon-rich fly ash in concrete, no evidence of the substance content and release of hazardous substances shall be provided if the ash originates from thermal power plants in which only coal and no secondary fuels, except biomass in a fraction of 14 M.</w:t>
      </w:r>
      <w:r w:rsidRPr="0009445C">
        <w:noBreakHyphen/>
        <w:t>% (dry mass), of virtually ash-free natural gas and municipal sewage sludge (waste key 19 08 05 according to AVV</w:t>
      </w:r>
      <w:r w:rsidR="00644D01" w:rsidRPr="0009445C">
        <w:fldChar w:fldCharType="begin"/>
      </w:r>
      <w:r w:rsidR="00644D01" w:rsidRPr="0009445C">
        <w:instrText xml:space="preserve"> NOTEREF _Ref90037115 \f \h </w:instrText>
      </w:r>
      <w:r w:rsidR="0009445C" w:rsidRPr="0009445C">
        <w:instrText xml:space="preserve"> \* MERGEFORMAT </w:instrText>
      </w:r>
      <w:r w:rsidR="00644D01" w:rsidRPr="0009445C">
        <w:fldChar w:fldCharType="separate"/>
      </w:r>
      <w:r w:rsidR="0009445C" w:rsidRPr="0009445C">
        <w:rPr>
          <w:rStyle w:val="FootnoteReference"/>
        </w:rPr>
        <w:t>7</w:t>
      </w:r>
      <w:r w:rsidR="00644D01" w:rsidRPr="0009445C">
        <w:fldChar w:fldCharType="end"/>
      </w:r>
      <w:r w:rsidRPr="0009445C">
        <w:t>) are used in a proportion of up to 5 M.</w:t>
      </w:r>
      <w:r w:rsidRPr="0009445C">
        <w:noBreakHyphen/>
        <w:t>% (dry mass) based on dry coal. Biomass is understood as plant material. Waste wood or secondary material are not allowed.</w:t>
      </w:r>
    </w:p>
    <w:p w14:paraId="7B898446" w14:textId="77777777" w:rsidR="004C2C77" w:rsidRPr="0009445C" w:rsidRDefault="004C2C77" w:rsidP="004C2C77">
      <w:pPr>
        <w:pStyle w:val="BRL-Standard"/>
      </w:pPr>
    </w:p>
    <w:p w14:paraId="65A47946" w14:textId="6C29705B" w:rsidR="004C2C77" w:rsidRPr="0009445C" w:rsidRDefault="004C2C77" w:rsidP="004C2C77">
      <w:pPr>
        <w:pStyle w:val="BRL-Standard"/>
      </w:pPr>
      <w:r w:rsidRPr="0009445C">
        <w:t>For calcium-rich fly ash (generally lignite fly ash) for concrete foundations,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71CD5868" w14:textId="77777777" w:rsidR="004C2C77" w:rsidRPr="0009445C" w:rsidRDefault="004C2C77" w:rsidP="004C2C77">
      <w:pPr>
        <w:pStyle w:val="BRL-Standard"/>
      </w:pPr>
    </w:p>
    <w:p w14:paraId="3E63D740" w14:textId="77777777" w:rsidR="00AA3064" w:rsidRPr="0009445C" w:rsidRDefault="00AA3064">
      <w:pPr>
        <w:spacing w:after="200" w:line="276" w:lineRule="auto"/>
        <w:rPr>
          <w:b/>
          <w:bCs/>
          <w:szCs w:val="16"/>
        </w:rPr>
      </w:pPr>
      <w:r w:rsidRPr="0009445C">
        <w:br w:type="page"/>
      </w:r>
    </w:p>
    <w:p w14:paraId="6DC56FC9" w14:textId="4160ECA9" w:rsidR="004C2C77" w:rsidRPr="0009445C" w:rsidRDefault="004C2C77" w:rsidP="00600F53">
      <w:pPr>
        <w:pStyle w:val="BRL-berschrift"/>
      </w:pPr>
      <w:r w:rsidRPr="0009445C">
        <w:lastRenderedPageBreak/>
        <w:t>7.3.4</w:t>
      </w:r>
      <w:r w:rsidRPr="0009445C">
        <w:tab/>
        <w:t xml:space="preserve">Sulphate hut cement and calcium aluminate </w:t>
      </w:r>
      <w:proofErr w:type="spellStart"/>
      <w:r w:rsidRPr="0009445C">
        <w:t>sulfate</w:t>
      </w:r>
      <w:proofErr w:type="spellEnd"/>
      <w:r w:rsidRPr="0009445C">
        <w:t xml:space="preserve"> cement</w:t>
      </w:r>
    </w:p>
    <w:p w14:paraId="4A5E6256" w14:textId="77777777" w:rsidR="004C2C77" w:rsidRPr="0009445C" w:rsidRDefault="004C2C77" w:rsidP="004C2C77">
      <w:pPr>
        <w:pStyle w:val="BRL-Standard"/>
      </w:pPr>
      <w:r w:rsidRPr="0009445C">
        <w:t xml:space="preserve">Concrete foundations manufactured using </w:t>
      </w:r>
      <w:proofErr w:type="spellStart"/>
      <w:r w:rsidRPr="0009445C">
        <w:t>supersulphated</w:t>
      </w:r>
      <w:proofErr w:type="spellEnd"/>
      <w:r w:rsidRPr="0009445C">
        <w:t xml:space="preserve"> cement or calcium aluminate sulphate cement may only be installed if the eluate concentrations as per DIN CEN/TS 16637</w:t>
      </w:r>
      <w:r w:rsidRPr="0009445C">
        <w:noBreakHyphen/>
        <w:t>2:2014-11 (for hardened concrete test specimens of a model concrete) comply with the upper limits according to Table A</w:t>
      </w:r>
      <w:r w:rsidRPr="0009445C">
        <w:noBreakHyphen/>
        <w:t>6 (Annex A).</w:t>
      </w:r>
    </w:p>
    <w:p w14:paraId="21EF61DF" w14:textId="77777777" w:rsidR="004C2C77" w:rsidRPr="0009445C" w:rsidRDefault="004C2C77" w:rsidP="004C2C77">
      <w:pPr>
        <w:pStyle w:val="BRL-Standard"/>
      </w:pPr>
    </w:p>
    <w:p w14:paraId="778A7FAD" w14:textId="77777777" w:rsidR="004C2C77" w:rsidRPr="0009445C" w:rsidRDefault="004C2C77" w:rsidP="004C2C77">
      <w:pPr>
        <w:pStyle w:val="BRL-Standard"/>
      </w:pPr>
      <w:r w:rsidRPr="0009445C">
        <w:t>Proof that the eluate concentrations as per DIN CEN/TS 16637</w:t>
      </w:r>
      <w:r w:rsidRPr="0009445C">
        <w:noBreakHyphen/>
        <w:t>2:2014-11 comply with the upper limits given in Table A</w:t>
      </w:r>
      <w:r w:rsidRPr="0009445C">
        <w:noBreakHyphen/>
        <w:t>6 (Annex A) is not required if construction measures are used to prevent direct contact with soil or groundwater.</w:t>
      </w:r>
    </w:p>
    <w:p w14:paraId="1750FD9F" w14:textId="77777777" w:rsidR="004C2C77" w:rsidRPr="0009445C" w:rsidRDefault="004C2C77" w:rsidP="004C2C77">
      <w:pPr>
        <w:pStyle w:val="BRL-Standard"/>
      </w:pPr>
    </w:p>
    <w:p w14:paraId="191E7449" w14:textId="77777777" w:rsidR="004C2C77" w:rsidRPr="0009445C" w:rsidRDefault="004C2C77" w:rsidP="00600F53">
      <w:pPr>
        <w:pStyle w:val="BRL-berschrift"/>
      </w:pPr>
      <w:r w:rsidRPr="0009445C">
        <w:t>7.3.5</w:t>
      </w:r>
      <w:r w:rsidRPr="0009445C">
        <w:tab/>
        <w:t>Concrete admixtures</w:t>
      </w:r>
    </w:p>
    <w:p w14:paraId="405FDED9" w14:textId="0CC832D2" w:rsidR="004C2C77" w:rsidRPr="0009445C" w:rsidRDefault="004C2C77" w:rsidP="004C2C77">
      <w:pPr>
        <w:pStyle w:val="BRL-Standard"/>
      </w:pPr>
      <w:r w:rsidRPr="0009445C">
        <w:t>Concrete admixtures used for concrete foundations and for which there are no Technical Building Regulations or technical best practice are of significance for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impact on soil and water.</w:t>
      </w:r>
    </w:p>
    <w:p w14:paraId="38F50BDD" w14:textId="77777777" w:rsidR="004C2C77" w:rsidRPr="0009445C" w:rsidRDefault="004C2C77" w:rsidP="004C2C77">
      <w:pPr>
        <w:pStyle w:val="BRL-Standard"/>
      </w:pPr>
    </w:p>
    <w:p w14:paraId="2BD4FFBE" w14:textId="77777777" w:rsidR="004C2C77" w:rsidRPr="0009445C" w:rsidRDefault="004C2C77" w:rsidP="004C2C77">
      <w:pPr>
        <w:keepNext/>
        <w:tabs>
          <w:tab w:val="left" w:pos="709"/>
          <w:tab w:val="left" w:pos="851"/>
        </w:tabs>
        <w:spacing w:after="240"/>
        <w:rPr>
          <w:b/>
          <w:szCs w:val="18"/>
        </w:rPr>
      </w:pPr>
      <w:r w:rsidRPr="0009445C">
        <w:rPr>
          <w:b/>
        </w:rPr>
        <w:t>7.4</w:t>
      </w:r>
      <w:r w:rsidRPr="0009445C">
        <w:rPr>
          <w:b/>
        </w:rPr>
        <w:tab/>
        <w:t>Seals for foundations</w:t>
      </w:r>
    </w:p>
    <w:p w14:paraId="2563E96D" w14:textId="77525B28" w:rsidR="004C2C77" w:rsidRPr="0009445C" w:rsidRDefault="004C2C77" w:rsidP="004C2C77">
      <w:pPr>
        <w:pStyle w:val="BRL-Standard"/>
      </w:pPr>
      <w:r w:rsidRPr="0009445C">
        <w:t>There are no Technical Building Regulations or technical best practice for assessing the impact on soil and water of curtain injections as subsequent waterproofing for buildings.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04FEC66E" w14:textId="77777777" w:rsidR="004C2C77" w:rsidRPr="0009445C" w:rsidRDefault="004C2C77" w:rsidP="004C2C77">
      <w:pPr>
        <w:pStyle w:val="BRL-Standard"/>
      </w:pPr>
    </w:p>
    <w:p w14:paraId="3D0F168B" w14:textId="77777777" w:rsidR="004C2C77" w:rsidRPr="0009445C" w:rsidRDefault="004C2C77" w:rsidP="00600F53">
      <w:pPr>
        <w:pStyle w:val="BRL-berschrift"/>
      </w:pPr>
      <w:r w:rsidRPr="0009445C">
        <w:t>8</w:t>
      </w:r>
      <w:r w:rsidRPr="0009445C">
        <w:tab/>
        <w:t>Requirements for steel seals for the production of construction pits</w:t>
      </w:r>
    </w:p>
    <w:p w14:paraId="06E0AF43" w14:textId="77777777" w:rsidR="004C2C77" w:rsidRPr="0009445C" w:rsidRDefault="004C2C77" w:rsidP="00600F53">
      <w:pPr>
        <w:pStyle w:val="BRL-berschrift"/>
      </w:pPr>
      <w:r w:rsidRPr="0009445C">
        <w:t>8.1</w:t>
      </w:r>
      <w:r w:rsidRPr="0009445C">
        <w:tab/>
        <w:t>General information</w:t>
      </w:r>
    </w:p>
    <w:p w14:paraId="74B04BDE" w14:textId="7D615D11" w:rsidR="004C2C77" w:rsidRPr="0009445C" w:rsidRDefault="004C2C77" w:rsidP="004C2C77">
      <w:pPr>
        <w:pStyle w:val="BRL-Standard"/>
      </w:pPr>
      <w:r w:rsidRPr="0009445C">
        <w:t xml:space="preserve">No recycled or industrially manufactured aggregates may be used in injection materials made of binder suspension or grout (cement mortar) installed directly in groundwater. </w:t>
      </w:r>
    </w:p>
    <w:p w14:paraId="2A5B7C23" w14:textId="77777777" w:rsidR="004C2C77" w:rsidRPr="0009445C" w:rsidRDefault="004C2C77" w:rsidP="004C2C77">
      <w:pPr>
        <w:pStyle w:val="BRL-Standard"/>
      </w:pPr>
    </w:p>
    <w:p w14:paraId="12B60131" w14:textId="77777777" w:rsidR="004C2C77" w:rsidRPr="0009445C" w:rsidRDefault="004C2C77" w:rsidP="00600F53">
      <w:pPr>
        <w:pStyle w:val="BRL-berschrift"/>
      </w:pPr>
      <w:r w:rsidRPr="0009445C">
        <w:t>8.2</w:t>
      </w:r>
      <w:r w:rsidRPr="0009445C">
        <w:tab/>
        <w:t>Injection and pressing materials for seals made of binder suspensions or press-in mortars</w:t>
      </w:r>
    </w:p>
    <w:p w14:paraId="6B586A4C" w14:textId="77777777" w:rsidR="004C2C77" w:rsidRPr="0009445C" w:rsidRDefault="004C2C77" w:rsidP="00600F53">
      <w:pPr>
        <w:pStyle w:val="BRL-berschrift"/>
      </w:pPr>
      <w:r w:rsidRPr="0009445C">
        <w:t>8.2.1</w:t>
      </w:r>
      <w:r w:rsidRPr="0009445C">
        <w:tab/>
        <w:t>Fly ash for cement-bound sole seals</w:t>
      </w:r>
    </w:p>
    <w:p w14:paraId="39F2D9F9" w14:textId="77777777" w:rsidR="004C2C77" w:rsidRPr="0009445C" w:rsidRDefault="004C2C77" w:rsidP="004C2C77">
      <w:pPr>
        <w:pStyle w:val="BRL-Standard"/>
      </w:pPr>
      <w:r w:rsidRPr="0009445C">
        <w:t>Injection materials made of binder suspension or grout (cement mortar) manufactured using silicon-rich fly ash (generally hard coal fly ash) may only be installed if the silicon-rich fly ash meets the following requirements:</w:t>
      </w:r>
    </w:p>
    <w:p w14:paraId="34A102BE" w14:textId="77777777" w:rsidR="004C2C77" w:rsidRPr="0009445C" w:rsidRDefault="004C2C77" w:rsidP="004C2C77">
      <w:pPr>
        <w:pStyle w:val="BRL-Standard"/>
      </w:pPr>
    </w:p>
    <w:p w14:paraId="1FF31256" w14:textId="77777777" w:rsidR="004C2C77" w:rsidRPr="0009445C" w:rsidRDefault="004C2C77" w:rsidP="004C2C77">
      <w:pPr>
        <w:pStyle w:val="BRLAufzhlungAnstrich"/>
        <w:numPr>
          <w:ilvl w:val="0"/>
          <w:numId w:val="1"/>
        </w:numPr>
      </w:pPr>
      <w:r w:rsidRPr="0009445C">
        <w:t>Concentrations of solid matter in silicon-rich fly ash must comply with the upper limits of Table A</w:t>
      </w:r>
      <w:r w:rsidRPr="0009445C">
        <w:noBreakHyphen/>
        <w:t xml:space="preserve">4 (Annex A). </w:t>
      </w:r>
    </w:p>
    <w:p w14:paraId="4B132284" w14:textId="77777777" w:rsidR="004C2C77" w:rsidRPr="0009445C" w:rsidRDefault="004C2C77" w:rsidP="004C2C77">
      <w:pPr>
        <w:pStyle w:val="BRLAufzhlungAnstrich"/>
        <w:numPr>
          <w:ilvl w:val="0"/>
          <w:numId w:val="1"/>
        </w:numPr>
      </w:pPr>
      <w:r w:rsidRPr="0009445C">
        <w:t>The eluate concentrations pursuant to DIN CEN/TS 16637</w:t>
      </w:r>
      <w:r w:rsidRPr="0009445C">
        <w:noBreakHyphen/>
        <w:t>2:2014-11 (on mortar or concrete test samples from a sample mortar or concrete) must comply with the upper limits according to Table A</w:t>
      </w:r>
      <w:r w:rsidRPr="0009445C">
        <w:noBreakHyphen/>
        <w:t>5 (Annex A).</w:t>
      </w:r>
    </w:p>
    <w:p w14:paraId="3820016A" w14:textId="77777777" w:rsidR="004C2C77" w:rsidRPr="0009445C" w:rsidRDefault="004C2C77" w:rsidP="004C2C77">
      <w:pPr>
        <w:pStyle w:val="BRL-Standard"/>
      </w:pPr>
    </w:p>
    <w:p w14:paraId="3EE302B8" w14:textId="2D800891" w:rsidR="004C2C77" w:rsidRPr="0009445C" w:rsidRDefault="004C2C77" w:rsidP="004C2C77">
      <w:pPr>
        <w:pStyle w:val="BRL-Standard"/>
      </w:pPr>
      <w:r w:rsidRPr="0009445C">
        <w:t>In the case of the use of silicon-rich fly ash in concrete or mortar, no evidence of the substance content and release of hazardous substances shall be provided if the ash originates from thermal power plants in which only coal and no secondary fuels, excluding biomass in a proportion of up to 14 M.</w:t>
      </w:r>
      <w:r w:rsidRPr="0009445C">
        <w:noBreakHyphen/>
        <w:t>% (dry mass), of virtually ash-free natural gas and municipal sewage sludge (waste key 19 08 05 according to AVV</w:t>
      </w:r>
      <w:r w:rsidR="00644D01" w:rsidRPr="0009445C">
        <w:fldChar w:fldCharType="begin"/>
      </w:r>
      <w:r w:rsidR="00644D01" w:rsidRPr="0009445C">
        <w:instrText xml:space="preserve"> NOTEREF _Ref90037115 \f \h </w:instrText>
      </w:r>
      <w:r w:rsidR="0009445C" w:rsidRPr="0009445C">
        <w:instrText xml:space="preserve"> \* MERGEFORMAT </w:instrText>
      </w:r>
      <w:r w:rsidR="00644D01" w:rsidRPr="0009445C">
        <w:fldChar w:fldCharType="separate"/>
      </w:r>
      <w:r w:rsidR="0009445C" w:rsidRPr="0009445C">
        <w:rPr>
          <w:rStyle w:val="FootnoteReference"/>
        </w:rPr>
        <w:t>7</w:t>
      </w:r>
      <w:r w:rsidR="00644D01" w:rsidRPr="0009445C">
        <w:fldChar w:fldCharType="end"/>
      </w:r>
      <w:r w:rsidRPr="0009445C">
        <w:t>) are used in a proportion of up to 5 M.-% (dry mass) in relation to dry coal. Biomass is understood as plant material. Waste wood or secondary material are not allowed.</w:t>
      </w:r>
    </w:p>
    <w:p w14:paraId="25EC2410" w14:textId="77777777" w:rsidR="004C2C77" w:rsidRPr="0009445C" w:rsidRDefault="004C2C77" w:rsidP="004C2C77">
      <w:pPr>
        <w:pStyle w:val="BRL-Standard"/>
      </w:pPr>
    </w:p>
    <w:p w14:paraId="6F303DC5" w14:textId="23D5600B" w:rsidR="004C2C77" w:rsidRPr="0009445C" w:rsidRDefault="004C2C77" w:rsidP="004C2C77">
      <w:pPr>
        <w:pStyle w:val="BRL-Standard"/>
      </w:pPr>
      <w:r w:rsidRPr="0009445C">
        <w:t>For calcium-rich fly ash (generally lignite fly ash) for injection materials made of binder suspensions or press-in mortars (cement mortar),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28BEA51B" w14:textId="77777777" w:rsidR="004C2C77" w:rsidRPr="0009445C" w:rsidRDefault="004C2C77" w:rsidP="004C2C77">
      <w:pPr>
        <w:pStyle w:val="BRL-Standard"/>
      </w:pPr>
    </w:p>
    <w:p w14:paraId="6338B339" w14:textId="77777777" w:rsidR="00AA3064" w:rsidRPr="0009445C" w:rsidRDefault="00AA3064">
      <w:pPr>
        <w:spacing w:after="200" w:line="276" w:lineRule="auto"/>
        <w:rPr>
          <w:b/>
          <w:bCs/>
          <w:szCs w:val="16"/>
        </w:rPr>
      </w:pPr>
      <w:r w:rsidRPr="0009445C">
        <w:br w:type="page"/>
      </w:r>
    </w:p>
    <w:p w14:paraId="34D0BE12" w14:textId="17459382" w:rsidR="004C2C77" w:rsidRPr="0009445C" w:rsidRDefault="004C2C77" w:rsidP="00600F53">
      <w:pPr>
        <w:pStyle w:val="BRL-berschrift"/>
      </w:pPr>
      <w:r w:rsidRPr="0009445C">
        <w:lastRenderedPageBreak/>
        <w:t>8.3</w:t>
      </w:r>
      <w:r w:rsidRPr="0009445C">
        <w:tab/>
        <w:t>Injection and pressing materials for silicate-based sole sealing</w:t>
      </w:r>
    </w:p>
    <w:p w14:paraId="47189A65" w14:textId="4BD256C5" w:rsidR="004C2C77" w:rsidRPr="0009445C" w:rsidRDefault="004C2C77" w:rsidP="004C2C77">
      <w:pPr>
        <w:pStyle w:val="BRL-Standard"/>
      </w:pPr>
      <w:r w:rsidRPr="0009445C">
        <w:t>There are no Technical Building Regulations or technical best practice for assessing the impact on soil and water of injection and pressing materials for silicon-based sealing bases.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15E7F713" w14:textId="77777777" w:rsidR="004C2C77" w:rsidRPr="0009445C" w:rsidRDefault="004C2C77" w:rsidP="004C2C77">
      <w:pPr>
        <w:pStyle w:val="BRL-Standard"/>
      </w:pPr>
    </w:p>
    <w:p w14:paraId="7EFE5A55" w14:textId="77777777" w:rsidR="004C2C77" w:rsidRPr="0009445C" w:rsidRDefault="004C2C77" w:rsidP="00600F53">
      <w:pPr>
        <w:pStyle w:val="BRL-berschrift"/>
      </w:pPr>
      <w:r w:rsidRPr="0009445C">
        <w:t>9</w:t>
      </w:r>
      <w:r w:rsidRPr="0009445C">
        <w:tab/>
        <w:t>Requirements for backfill</w:t>
      </w:r>
    </w:p>
    <w:p w14:paraId="7EDC6530" w14:textId="77777777" w:rsidR="004C2C77" w:rsidRPr="0009445C" w:rsidRDefault="004C2C77" w:rsidP="00600F53">
      <w:pPr>
        <w:pStyle w:val="BRL-berschrift"/>
      </w:pPr>
      <w:r w:rsidRPr="0009445C">
        <w:t>9.1</w:t>
      </w:r>
      <w:r w:rsidRPr="0009445C">
        <w:tab/>
        <w:t>Foam glass chippers as fillings under foundation plates</w:t>
      </w:r>
    </w:p>
    <w:p w14:paraId="6822DB72" w14:textId="77777777" w:rsidR="004C2C77" w:rsidRPr="0009445C" w:rsidRDefault="004C2C77" w:rsidP="004C2C77">
      <w:pPr>
        <w:pStyle w:val="BRL-Standard"/>
        <w:spacing w:after="120"/>
      </w:pPr>
      <w:r w:rsidRPr="0009445C">
        <w:t>Backfill made of foam glass gravel may be installed under foundation slabs if the foam glass gravel meets the following requirements, and the backfill is installed above the saturated soil zone and above the groundwater capillary fringe (generally 30 cm above the highest measured groundwater level):</w:t>
      </w:r>
    </w:p>
    <w:p w14:paraId="1C498BBE" w14:textId="77777777" w:rsidR="004C2C77" w:rsidRPr="0009445C" w:rsidRDefault="004C2C77" w:rsidP="004C2C77">
      <w:pPr>
        <w:pStyle w:val="BRLAufzhlungAnstrich"/>
        <w:numPr>
          <w:ilvl w:val="0"/>
          <w:numId w:val="1"/>
        </w:numPr>
        <w:spacing w:after="60"/>
      </w:pPr>
      <w:r w:rsidRPr="0009445C">
        <w:t>Eluate concentrations as per DIN EN 12457</w:t>
      </w:r>
      <w:r w:rsidRPr="0009445C">
        <w:noBreakHyphen/>
        <w:t>4:2003-01 in the glass powder manufactured from foam glass gravel must comply with the upper limits according to Table A</w:t>
      </w:r>
      <w:r w:rsidRPr="0009445C">
        <w:noBreakHyphen/>
        <w:t>7 (Annex A).</w:t>
      </w:r>
    </w:p>
    <w:p w14:paraId="4C82BE02" w14:textId="77777777" w:rsidR="004C2C77" w:rsidRPr="0009445C" w:rsidRDefault="004C2C77" w:rsidP="004C2C77">
      <w:pPr>
        <w:pStyle w:val="BRLAufzhlungAnstrich"/>
        <w:numPr>
          <w:ilvl w:val="0"/>
          <w:numId w:val="1"/>
        </w:numPr>
        <w:spacing w:after="60"/>
      </w:pPr>
      <w:r w:rsidRPr="0009445C">
        <w:t>The content of the material in the solid of glass flour from which foam glass chips are produced shall comply with the upper limits set out in Table A</w:t>
      </w:r>
      <w:r w:rsidRPr="0009445C">
        <w:noBreakHyphen/>
        <w:t>7 (Annex A).</w:t>
      </w:r>
    </w:p>
    <w:p w14:paraId="4EC01F3A" w14:textId="77777777" w:rsidR="004C2C77" w:rsidRPr="0009445C" w:rsidRDefault="004C2C77" w:rsidP="004C2C77">
      <w:pPr>
        <w:pStyle w:val="BRL-Standard"/>
      </w:pPr>
    </w:p>
    <w:p w14:paraId="3B7ADF5E" w14:textId="77777777" w:rsidR="004C2C77" w:rsidRPr="0009445C" w:rsidRDefault="004C2C77" w:rsidP="004C2C77">
      <w:pPr>
        <w:pStyle w:val="BRL-Standard"/>
      </w:pPr>
      <w:r w:rsidRPr="0009445C">
        <w:t>Construction products manufactured using display glass may not be used.</w:t>
      </w:r>
    </w:p>
    <w:p w14:paraId="73D7F72E" w14:textId="77777777" w:rsidR="004C2C77" w:rsidRPr="0009445C" w:rsidRDefault="004C2C77" w:rsidP="004C2C77">
      <w:pPr>
        <w:pStyle w:val="BRL-Standard"/>
      </w:pPr>
    </w:p>
    <w:p w14:paraId="3F329E57" w14:textId="77777777" w:rsidR="004C2C77" w:rsidRPr="0009445C" w:rsidRDefault="004C2C77" w:rsidP="00600F53">
      <w:pPr>
        <w:pStyle w:val="BRL-berschrift"/>
      </w:pPr>
      <w:r w:rsidRPr="0009445C">
        <w:t>9.2</w:t>
      </w:r>
      <w:r w:rsidRPr="0009445C">
        <w:tab/>
        <w:t>Filter materials for the treatment of precipitation wastewater to be leaked</w:t>
      </w:r>
    </w:p>
    <w:p w14:paraId="13F1488C" w14:textId="5F579610" w:rsidR="004C2C77" w:rsidRPr="0009445C" w:rsidRDefault="004C2C77" w:rsidP="004C2C77">
      <w:pPr>
        <w:pStyle w:val="BRL-Standard"/>
      </w:pPr>
      <w:r w:rsidRPr="0009445C">
        <w:t>For filter materials flowing through by precipitation water, there are no Technical Building Regulations or generally accepted technical rules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2A78EDA4" w14:textId="77777777" w:rsidR="004C2C77" w:rsidRPr="0009445C" w:rsidRDefault="004C2C77" w:rsidP="004C2C77">
      <w:pPr>
        <w:pStyle w:val="BRL-Standard"/>
      </w:pPr>
    </w:p>
    <w:p w14:paraId="7C416AB1" w14:textId="77777777" w:rsidR="004C2C77" w:rsidRPr="0009445C" w:rsidRDefault="004C2C77" w:rsidP="00600F53">
      <w:pPr>
        <w:pStyle w:val="BRL-berschrift"/>
      </w:pPr>
      <w:r w:rsidRPr="0009445C">
        <w:t>10</w:t>
      </w:r>
      <w:r w:rsidRPr="0009445C">
        <w:tab/>
        <w:t>Requirements for underground containers and pipes</w:t>
      </w:r>
    </w:p>
    <w:p w14:paraId="74A6F864" w14:textId="77777777" w:rsidR="004C2C77" w:rsidRPr="0009445C" w:rsidRDefault="004C2C77" w:rsidP="00600F53">
      <w:pPr>
        <w:pStyle w:val="BRL-berschrift"/>
      </w:pPr>
      <w:r w:rsidRPr="0009445C">
        <w:t>10.1</w:t>
      </w:r>
      <w:r w:rsidRPr="0009445C">
        <w:tab/>
        <w:t>Underground concrete containers and pipes</w:t>
      </w:r>
    </w:p>
    <w:p w14:paraId="44940A57" w14:textId="77777777" w:rsidR="004C2C77" w:rsidRPr="0009445C" w:rsidRDefault="004C2C77" w:rsidP="004C2C77">
      <w:pPr>
        <w:pStyle w:val="BRL-Standard"/>
      </w:pPr>
      <w:r w:rsidRPr="0009445C">
        <w:t xml:space="preserve">Concrete exit materials used in underground containers and pipes having contact with groundwater or soil shall comply with the requirements set out in the following Sections. </w:t>
      </w:r>
    </w:p>
    <w:p w14:paraId="7E5D88BD" w14:textId="77777777" w:rsidR="004C2C77" w:rsidRPr="0009445C" w:rsidRDefault="004C2C77" w:rsidP="004C2C77">
      <w:pPr>
        <w:pStyle w:val="BRL-Standard"/>
      </w:pPr>
    </w:p>
    <w:p w14:paraId="6553B265" w14:textId="05B61E22" w:rsidR="004C2C77" w:rsidRPr="0009445C" w:rsidRDefault="004C2C77" w:rsidP="004C2C77">
      <w:pPr>
        <w:pStyle w:val="BRL-Standard"/>
      </w:pPr>
      <w:r w:rsidRPr="0009445C">
        <w:t>In the case of the exclusive use of natural rock granules, no evidence of the substance content and the release of dangerous substances shall be provided.</w:t>
      </w:r>
    </w:p>
    <w:p w14:paraId="56EFB0B8" w14:textId="77777777" w:rsidR="004C2C77" w:rsidRPr="0009445C" w:rsidRDefault="004C2C77" w:rsidP="004C2C77">
      <w:pPr>
        <w:pStyle w:val="BRL-Standard"/>
      </w:pPr>
    </w:p>
    <w:p w14:paraId="445B6F7D" w14:textId="77777777" w:rsidR="004C2C77" w:rsidRPr="0009445C" w:rsidRDefault="004C2C77" w:rsidP="004C2C77">
      <w:pPr>
        <w:pStyle w:val="BRL-Standard"/>
      </w:pPr>
      <w:r w:rsidRPr="0009445C">
        <w:t>Construction products manufactured using display glass may not be used.</w:t>
      </w:r>
    </w:p>
    <w:p w14:paraId="02D0F6CA" w14:textId="77777777" w:rsidR="004C2C77" w:rsidRPr="0009445C" w:rsidRDefault="004C2C77" w:rsidP="004C2C77">
      <w:pPr>
        <w:pStyle w:val="BRL-Standard"/>
      </w:pPr>
    </w:p>
    <w:p w14:paraId="259857D6" w14:textId="77777777" w:rsidR="004C2C77" w:rsidRPr="0009445C" w:rsidRDefault="004C2C77" w:rsidP="00600F53">
      <w:pPr>
        <w:pStyle w:val="BRL-berschrift"/>
      </w:pPr>
      <w:r w:rsidRPr="0009445C">
        <w:t>10.1.1</w:t>
      </w:r>
      <w:r w:rsidRPr="0009445C">
        <w:tab/>
        <w:t>Recycled granules of rock</w:t>
      </w:r>
    </w:p>
    <w:p w14:paraId="606E65EA" w14:textId="77777777" w:rsidR="004C2C77" w:rsidRPr="0009445C" w:rsidRDefault="004C2C77" w:rsidP="004C2C77">
      <w:pPr>
        <w:pStyle w:val="BRL-Standard"/>
      </w:pPr>
      <w:r w:rsidRPr="0009445C">
        <w:t>Underground containers and pipes manufactured using recycled aggregates may only be installed if the recycled aggregates meet the following requirements:</w:t>
      </w:r>
    </w:p>
    <w:p w14:paraId="0648A332" w14:textId="77777777" w:rsidR="004C2C77" w:rsidRPr="0009445C" w:rsidRDefault="004C2C77" w:rsidP="004C2C77">
      <w:pPr>
        <w:pStyle w:val="BRL-Standard"/>
      </w:pPr>
    </w:p>
    <w:p w14:paraId="2BA958D5" w14:textId="650039AC" w:rsidR="004C2C77" w:rsidRPr="0009445C" w:rsidRDefault="004D605E" w:rsidP="004C2C77">
      <w:pPr>
        <w:pStyle w:val="BRLAufzhlungAnstrich"/>
        <w:numPr>
          <w:ilvl w:val="0"/>
          <w:numId w:val="1"/>
        </w:numPr>
        <w:spacing w:after="60"/>
      </w:pPr>
      <w:r w:rsidRPr="0009445C">
        <w:t>Only waste generated during construction activities (e.g. dismantling, demolition, conversion, expansion, new construction and maintenance of buildings and civil engineering, roads, paths, aerodromes and other traffic areas) may be used for the production of recycled rock granulation and were previously used as natural or artificial mineral building materials in bound or unbound form in civil engineering. The waste must correspond to the waste types mentioned in Table A</w:t>
      </w:r>
      <w:r w:rsidRPr="0009445C">
        <w:noBreakHyphen/>
        <w:t>1 (Annex A). Before rebuilding, dismantling or demolishing a building, it shall first be determined by viewing and analysing existing documents whether a pollutant load of the resulting material is to be expected. If a pollutant load could exist beyond the scope of parameters listed in Table A</w:t>
      </w:r>
      <w:r w:rsidRPr="0009445C">
        <w:noBreakHyphen/>
        <w:t xml:space="preserve"> 2 (Annex A), the material shall be assessed separately under waste legislation. Contaminated building materials and structural elements must be separated during the dismantling of a building and sent to an orderly disposal. This applies in particular to fire debris, structural elements with insulation and paints based on pitch, interior walls of industrial chimneys, substances containing asbestos and PCBs, parts of buildings contaminated with pollutants from gas works, filling stations, electroplating plants and chemical industry production facilities.</w:t>
      </w:r>
    </w:p>
    <w:p w14:paraId="1AC1A88A" w14:textId="77777777" w:rsidR="004C2C77" w:rsidRPr="0009445C" w:rsidRDefault="004C2C77" w:rsidP="004C2C77">
      <w:pPr>
        <w:pStyle w:val="BRLAufzhlungAnstrich"/>
        <w:numPr>
          <w:ilvl w:val="0"/>
          <w:numId w:val="1"/>
        </w:numPr>
        <w:spacing w:after="60"/>
      </w:pPr>
      <w:r w:rsidRPr="0009445C">
        <w:t>Eluate concentrations under DIN EN 12457</w:t>
      </w:r>
      <w:r w:rsidRPr="0009445C">
        <w:noBreakHyphen/>
        <w:t>4:2003-01 in recycled aggregates must comply with the upper limits according to Table A</w:t>
      </w:r>
      <w:r w:rsidRPr="0009445C">
        <w:noBreakHyphen/>
        <w:t>2 (Annex A).</w:t>
      </w:r>
    </w:p>
    <w:p w14:paraId="126B82B6" w14:textId="77777777" w:rsidR="004C2C77" w:rsidRPr="0009445C" w:rsidRDefault="004C2C77" w:rsidP="004C2C77">
      <w:pPr>
        <w:pStyle w:val="BRLAufzhlungAnstrich"/>
        <w:numPr>
          <w:ilvl w:val="0"/>
          <w:numId w:val="1"/>
        </w:numPr>
        <w:spacing w:after="60"/>
      </w:pPr>
      <w:r w:rsidRPr="0009445C">
        <w:lastRenderedPageBreak/>
        <w:t>Concentrations of solid matter in recycled aggregates must comply with the upper limits according to Table A</w:t>
      </w:r>
      <w:r w:rsidRPr="0009445C">
        <w:noBreakHyphen/>
        <w:t>2 (Annex A).</w:t>
      </w:r>
    </w:p>
    <w:p w14:paraId="41824C05" w14:textId="77777777" w:rsidR="004C2C77" w:rsidRPr="0009445C" w:rsidRDefault="004C2C77" w:rsidP="004C2C77">
      <w:pPr>
        <w:pStyle w:val="BRLAufzhlungAnstrich"/>
        <w:numPr>
          <w:ilvl w:val="0"/>
          <w:numId w:val="1"/>
        </w:numPr>
        <w:spacing w:after="60"/>
      </w:pPr>
      <w:r w:rsidRPr="0009445C">
        <w:t>For concrete as per DIN 1045</w:t>
      </w:r>
      <w:r w:rsidRPr="0009445C">
        <w:noBreakHyphen/>
        <w:t xml:space="preserve">2:2008-08, the material composition of the recycled aggregates must correspond to the delivery types under </w:t>
      </w:r>
      <w:proofErr w:type="spellStart"/>
      <w:r w:rsidRPr="0009445C">
        <w:t>DAfStb</w:t>
      </w:r>
      <w:proofErr w:type="spellEnd"/>
      <w:r w:rsidRPr="0009445C">
        <w:noBreakHyphen/>
        <w:t xml:space="preserve"> Guideline ‘Concrete pursuant to DIN EN 206</w:t>
      </w:r>
      <w:r w:rsidRPr="0009445C">
        <w:noBreakHyphen/>
        <w:t>1 and DIN 1045</w:t>
      </w:r>
      <w:r w:rsidRPr="0009445C">
        <w:noBreakHyphen/>
        <w:t>2 with recycled aggregates pursuant to DIN EN 12620:2010-09’.</w:t>
      </w:r>
    </w:p>
    <w:p w14:paraId="3EAB35BB" w14:textId="77777777" w:rsidR="004C2C77" w:rsidRPr="0009445C" w:rsidRDefault="004C2C77" w:rsidP="004C2C77">
      <w:pPr>
        <w:pStyle w:val="BRL-Standard"/>
      </w:pPr>
    </w:p>
    <w:p w14:paraId="49391F93" w14:textId="54B15EEA" w:rsidR="004C2C77" w:rsidRPr="0009445C" w:rsidRDefault="004C2C77" w:rsidP="004C2C77">
      <w:pPr>
        <w:pStyle w:val="BRL-Standard"/>
      </w:pPr>
      <w:r w:rsidRPr="0009445C">
        <w:t>If reject batches from prefabricated concrete structural elements (including concrete residue in ready-mixed concrete construction) are used directly as recycled aggregates in the production plant, no proof is required regarding the substance content and the release of hazardous substances.</w:t>
      </w:r>
    </w:p>
    <w:p w14:paraId="2F7D1FAC" w14:textId="77777777" w:rsidR="004C2C77" w:rsidRPr="0009445C" w:rsidRDefault="004C2C77" w:rsidP="004C2C77">
      <w:pPr>
        <w:pStyle w:val="BRL-Standard"/>
      </w:pPr>
    </w:p>
    <w:p w14:paraId="6E34D815" w14:textId="77777777" w:rsidR="004C2C77" w:rsidRPr="0009445C" w:rsidRDefault="004C2C77" w:rsidP="00600F53">
      <w:pPr>
        <w:pStyle w:val="BRL-berschrift"/>
      </w:pPr>
      <w:r w:rsidRPr="0009445C">
        <w:t>10.1.2</w:t>
      </w:r>
      <w:r w:rsidRPr="0009445C">
        <w:tab/>
        <w:t>Industrially manufactured aggregates</w:t>
      </w:r>
    </w:p>
    <w:p w14:paraId="7C528C38" w14:textId="77777777" w:rsidR="004C2C77" w:rsidRPr="0009445C" w:rsidRDefault="004C2C77" w:rsidP="004C2C77">
      <w:pPr>
        <w:pStyle w:val="BRL-Standard"/>
        <w:spacing w:after="120"/>
      </w:pPr>
      <w:r w:rsidRPr="0009445C">
        <w:t>Underground containers and pipes manufactured using industrially manufactured aggregates may only be installed if the industrially manufactured aggregates meet the following requirements:</w:t>
      </w:r>
    </w:p>
    <w:p w14:paraId="05DA4472" w14:textId="77777777" w:rsidR="004C2C77" w:rsidRPr="0009445C" w:rsidRDefault="004C2C77" w:rsidP="004C2C77">
      <w:pPr>
        <w:pStyle w:val="BRLAufzhlungAnstrich"/>
        <w:numPr>
          <w:ilvl w:val="0"/>
          <w:numId w:val="1"/>
        </w:numPr>
      </w:pPr>
      <w:r w:rsidRPr="0009445C">
        <w:t>Eluate concentrations under DIN EN 12457</w:t>
      </w:r>
      <w:r w:rsidRPr="0009445C">
        <w:noBreakHyphen/>
        <w:t>4:2003-01 in industrially manufactured aggregates must comply with the upper limits according to Table A</w:t>
      </w:r>
      <w:r w:rsidRPr="0009445C">
        <w:noBreakHyphen/>
        <w:t>3 (Annex A).</w:t>
      </w:r>
    </w:p>
    <w:p w14:paraId="218085E2" w14:textId="77777777" w:rsidR="004C2C77" w:rsidRPr="0009445C" w:rsidRDefault="004C2C77" w:rsidP="004C2C77">
      <w:pPr>
        <w:pStyle w:val="BRLAufzhlungAnstrich"/>
        <w:numPr>
          <w:ilvl w:val="0"/>
          <w:numId w:val="1"/>
        </w:numPr>
      </w:pPr>
      <w:r w:rsidRPr="0009445C">
        <w:t>Concentrations of solid matter in industrially manufactured aggregates must comply with the upper limits given in Table A</w:t>
      </w:r>
      <w:r w:rsidRPr="0009445C">
        <w:noBreakHyphen/>
        <w:t>3 (Annex A).</w:t>
      </w:r>
    </w:p>
    <w:p w14:paraId="5A9CF8FB" w14:textId="77777777" w:rsidR="004C2C77" w:rsidRPr="0009445C" w:rsidRDefault="004C2C77" w:rsidP="004C2C77">
      <w:pPr>
        <w:pStyle w:val="BRL-Standard"/>
      </w:pPr>
    </w:p>
    <w:p w14:paraId="530892C5" w14:textId="77777777" w:rsidR="004C2C77" w:rsidRPr="0009445C" w:rsidRDefault="004C2C77" w:rsidP="004C2C77">
      <w:pPr>
        <w:pStyle w:val="BRL-Standard"/>
        <w:spacing w:after="120"/>
      </w:pPr>
      <w:r w:rsidRPr="0009445C">
        <w:t xml:space="preserve">The following applies to structural elements for underground concrete containers and pipes in contact with groundwater: </w:t>
      </w:r>
    </w:p>
    <w:p w14:paraId="0AF36464" w14:textId="33931246" w:rsidR="004C2C77" w:rsidRPr="0009445C" w:rsidRDefault="004C2C77" w:rsidP="004C2C77">
      <w:pPr>
        <w:pStyle w:val="BRLAufzhlungAnstrich"/>
        <w:numPr>
          <w:ilvl w:val="0"/>
          <w:numId w:val="1"/>
        </w:numPr>
      </w:pPr>
      <w:r w:rsidRPr="0009445C">
        <w:t>The substance concentrations in the eluate in accordance with DIN CEN/TS 16637</w:t>
      </w:r>
      <w:r w:rsidRPr="0009445C">
        <w:noBreakHyphen/>
        <w:t xml:space="preserve"> 2:2014-11 (for hardened concrete test specimens of a model concrete) shall comply with the upper limits set out in Table A</w:t>
      </w:r>
      <w:r w:rsidRPr="0009445C">
        <w:noBreakHyphen/>
        <w:t xml:space="preserve"> 6 (Annex A) or, for boiler ash, the upper limit set out in Table A</w:t>
      </w:r>
      <w:r w:rsidRPr="0009445C">
        <w:noBreakHyphen/>
        <w:t xml:space="preserve"> 5 (Annex A).</w:t>
      </w:r>
    </w:p>
    <w:p w14:paraId="365EF51E" w14:textId="77777777" w:rsidR="004C2C77" w:rsidRPr="0009445C" w:rsidRDefault="004C2C77" w:rsidP="004C2C77">
      <w:pPr>
        <w:pStyle w:val="BRL-Standard"/>
      </w:pPr>
    </w:p>
    <w:p w14:paraId="73EE60DA" w14:textId="77777777" w:rsidR="004C2C77" w:rsidRPr="0009445C" w:rsidRDefault="004C2C77" w:rsidP="004C2C77">
      <w:pPr>
        <w:pStyle w:val="BRL-Standard"/>
      </w:pPr>
      <w:r w:rsidRPr="0009445C">
        <w:t>Proof that the concentrations of substances in the eluate in accordance with DIN CEN/TS 16637</w:t>
      </w:r>
      <w:r w:rsidRPr="0009445C">
        <w:noBreakHyphen/>
        <w:t xml:space="preserve"> 2:2014-11 comply with the limits set out in Table A</w:t>
      </w:r>
      <w:r w:rsidRPr="0009445C">
        <w:noBreakHyphen/>
        <w:t xml:space="preserve"> 5 or Table A</w:t>
      </w:r>
      <w:r w:rsidRPr="0009445C">
        <w:noBreakHyphen/>
        <w:t xml:space="preserve"> 6 (Annex A) shall be omitted if direct contact with groundwater is excluded by constructive measures.</w:t>
      </w:r>
    </w:p>
    <w:p w14:paraId="1B068D0C" w14:textId="77777777" w:rsidR="004C2C77" w:rsidRPr="0009445C" w:rsidRDefault="004C2C77" w:rsidP="004C2C77">
      <w:pPr>
        <w:pStyle w:val="BRL-Standard"/>
      </w:pPr>
    </w:p>
    <w:p w14:paraId="655DD6F4" w14:textId="3E24BD21" w:rsidR="004C2C77" w:rsidRPr="0009445C" w:rsidRDefault="004C2C77" w:rsidP="004C2C77">
      <w:pPr>
        <w:pStyle w:val="BRL-Standard"/>
      </w:pPr>
      <w:r w:rsidRPr="0009445C">
        <w:t>In the use of crystalline blast furnace slag, metallurgical sand, melt chamber granules, expanded mica (vermiculite), expanded perlite, wind shale, expanded clay and brick sprit from unused bricks as rock grain (or rock flour) in concrete, no evidence of the substance contents and the release of dangerous substances shall be provided. For the use of sintered coal fly ash and boiler ash (boiler sand) as a rock grain (or rock meal) in concrete, no evidence of the substance content and release of hazardous substances shall be provided if the sintered coal fly ash and the boiler ash originate from such thermal power plants where only coal and no secondary fuels, excluding biomass in a proportion of up to 14 M.-% (dry mass), of virtually ash-free natural gas and municipal sewage sludge (waste key 19 08 05 according to AVV</w:t>
      </w:r>
      <w:r w:rsidR="00E57565" w:rsidRPr="0009445C">
        <w:fldChar w:fldCharType="begin"/>
      </w:r>
      <w:r w:rsidR="00E57565" w:rsidRPr="0009445C">
        <w:instrText xml:space="preserve"> NOTEREF _Ref90037115 \f \h </w:instrText>
      </w:r>
      <w:r w:rsidR="0009445C" w:rsidRPr="0009445C">
        <w:instrText xml:space="preserve"> \* MERGEFORMAT </w:instrText>
      </w:r>
      <w:r w:rsidR="00E57565" w:rsidRPr="0009445C">
        <w:fldChar w:fldCharType="separate"/>
      </w:r>
      <w:r w:rsidR="0009445C" w:rsidRPr="0009445C">
        <w:rPr>
          <w:rStyle w:val="FootnoteReference"/>
        </w:rPr>
        <w:t>7</w:t>
      </w:r>
      <w:r w:rsidR="00E57565" w:rsidRPr="0009445C">
        <w:fldChar w:fldCharType="end"/>
      </w:r>
      <w:r w:rsidRPr="0009445C">
        <w:t>) with a proportion of up to 5 M.-% (dry mass) based on dry coal. Biomass is understood as plant material. Waste wood or secondary material are not allowed.</w:t>
      </w:r>
    </w:p>
    <w:p w14:paraId="5C0C476C" w14:textId="77777777" w:rsidR="004C2C77" w:rsidRPr="0009445C" w:rsidRDefault="004C2C77" w:rsidP="004C2C77">
      <w:pPr>
        <w:pStyle w:val="BRL-Standard"/>
      </w:pPr>
    </w:p>
    <w:p w14:paraId="5E1CF2F1" w14:textId="77777777" w:rsidR="004C2C77" w:rsidRPr="0009445C" w:rsidRDefault="004C2C77" w:rsidP="004C2C77">
      <w:pPr>
        <w:pStyle w:val="BRL-Standard"/>
      </w:pPr>
      <w:r w:rsidRPr="0009445C">
        <w:t>Industrially manufactured aggregates that are not listed in the above paragraph or in Table A</w:t>
      </w:r>
      <w:r w:rsidRPr="0009445C">
        <w:noBreakHyphen/>
        <w:t>3 may not be used in concrete.</w:t>
      </w:r>
    </w:p>
    <w:p w14:paraId="17A0F94B" w14:textId="77777777" w:rsidR="003A0178" w:rsidRPr="0009445C" w:rsidRDefault="003A0178">
      <w:pPr>
        <w:spacing w:after="200" w:line="276" w:lineRule="auto"/>
        <w:rPr>
          <w:szCs w:val="18"/>
        </w:rPr>
      </w:pPr>
      <w:r w:rsidRPr="0009445C">
        <w:br w:type="page"/>
      </w:r>
    </w:p>
    <w:p w14:paraId="158881BF" w14:textId="77777777" w:rsidR="004C2C77" w:rsidRPr="0009445C" w:rsidRDefault="004C2C77" w:rsidP="00600F53">
      <w:pPr>
        <w:pStyle w:val="BRL-berschrift"/>
      </w:pPr>
      <w:r w:rsidRPr="0009445C">
        <w:lastRenderedPageBreak/>
        <w:t>10.1.3</w:t>
      </w:r>
      <w:r w:rsidRPr="0009445C">
        <w:tab/>
        <w:t>Fly ashes</w:t>
      </w:r>
    </w:p>
    <w:p w14:paraId="30E64B83" w14:textId="77777777" w:rsidR="004C2C77" w:rsidRPr="0009445C" w:rsidRDefault="004C2C77" w:rsidP="004C2C77">
      <w:pPr>
        <w:pStyle w:val="BRL-Standard"/>
        <w:spacing w:after="120"/>
      </w:pPr>
      <w:r w:rsidRPr="0009445C">
        <w:t>Underground containers and concrete pipes produced using silicon-rich fly ash (typically hard coal ash) shall not be installed unless the silicon-rich fly ash complies with the following requirements:</w:t>
      </w:r>
    </w:p>
    <w:p w14:paraId="0DEBB33D" w14:textId="77777777" w:rsidR="004C2C77" w:rsidRPr="0009445C" w:rsidRDefault="004C2C77" w:rsidP="004C2C77">
      <w:pPr>
        <w:pStyle w:val="BRLAufzhlungAnstrich"/>
        <w:numPr>
          <w:ilvl w:val="0"/>
          <w:numId w:val="1"/>
        </w:numPr>
      </w:pPr>
      <w:r w:rsidRPr="0009445C">
        <w:t>Concentrations of solid matter in silicon-rich fly ash must comply with the upper limits of Table A</w:t>
      </w:r>
      <w:r w:rsidRPr="0009445C">
        <w:noBreakHyphen/>
        <w:t>4 (Annex A).</w:t>
      </w:r>
    </w:p>
    <w:p w14:paraId="2647EC0D" w14:textId="77777777" w:rsidR="004C2C77" w:rsidRPr="0009445C" w:rsidRDefault="004C2C77" w:rsidP="004C2C77">
      <w:pPr>
        <w:pStyle w:val="BRL-Standard"/>
      </w:pPr>
    </w:p>
    <w:p w14:paraId="30376DBD" w14:textId="77777777" w:rsidR="004C2C77" w:rsidRPr="0009445C" w:rsidRDefault="004C2C77" w:rsidP="004C2C77">
      <w:pPr>
        <w:pStyle w:val="BRL-Standard"/>
        <w:spacing w:after="120"/>
      </w:pPr>
      <w:r w:rsidRPr="0009445C">
        <w:t xml:space="preserve">The following applies to structural elements for underground concrete containers and pipes in contact with groundwater: </w:t>
      </w:r>
    </w:p>
    <w:p w14:paraId="5979BC48" w14:textId="0313E884" w:rsidR="004C2C77" w:rsidRPr="0009445C" w:rsidRDefault="004C2C77" w:rsidP="004C2C77">
      <w:pPr>
        <w:pStyle w:val="BRLAufzhlungAnstrich"/>
        <w:numPr>
          <w:ilvl w:val="0"/>
          <w:numId w:val="1"/>
        </w:numPr>
      </w:pPr>
      <w:r w:rsidRPr="0009445C">
        <w:t>The concentrations in the eluate in accordance with DIN CEN/TS 16637</w:t>
      </w:r>
      <w:r w:rsidRPr="0009445C">
        <w:noBreakHyphen/>
        <w:t xml:space="preserve"> 2:2014-11 of solid concrete (for hardened concrete test specimens of a model concrete) produced using silicon-rich fly ash shall comply with the limits set out in Table A</w:t>
      </w:r>
      <w:r w:rsidRPr="0009445C">
        <w:noBreakHyphen/>
        <w:t xml:space="preserve"> 5 (Annex A).</w:t>
      </w:r>
    </w:p>
    <w:p w14:paraId="2E390115" w14:textId="77777777" w:rsidR="004C2C77" w:rsidRPr="0009445C" w:rsidRDefault="004C2C77" w:rsidP="004C2C77">
      <w:pPr>
        <w:pStyle w:val="BRL-Standard"/>
      </w:pPr>
    </w:p>
    <w:p w14:paraId="5BEB3DD2" w14:textId="77777777" w:rsidR="004C2C77" w:rsidRPr="0009445C" w:rsidRDefault="004C2C77" w:rsidP="004C2C77">
      <w:pPr>
        <w:pStyle w:val="BRL-Standard"/>
      </w:pPr>
      <w:r w:rsidRPr="0009445C">
        <w:t>Proof that the eluate concentrations as per DIN CEN/TS 16637</w:t>
      </w:r>
      <w:r w:rsidRPr="0009445C">
        <w:noBreakHyphen/>
        <w:t>2:2014-11 comply with the upper limits given in Table A</w:t>
      </w:r>
      <w:r w:rsidRPr="0009445C">
        <w:noBreakHyphen/>
        <w:t>5 (Annex A) is not required if construction measures are used to prevent direct contact with groundwater.</w:t>
      </w:r>
    </w:p>
    <w:p w14:paraId="6AAF8E28" w14:textId="77777777" w:rsidR="004C2C77" w:rsidRPr="0009445C" w:rsidRDefault="004C2C77" w:rsidP="004C2C77">
      <w:pPr>
        <w:pStyle w:val="BRL-Standard"/>
      </w:pPr>
    </w:p>
    <w:p w14:paraId="6BED91CF" w14:textId="2278623F" w:rsidR="004C2C77" w:rsidRPr="0009445C" w:rsidRDefault="004C2C77" w:rsidP="004C2C77">
      <w:pPr>
        <w:pStyle w:val="BRL-Standard"/>
      </w:pPr>
      <w:r w:rsidRPr="0009445C">
        <w:t>In the case of the use of silicon-rich fly ash in concrete, no evidence of substance content and release of hazardous substances shall be provided if the ash originates from thermal power plants in which only coal and no secondary fuels, except biomass in a proportion of up to 14 M.</w:t>
      </w:r>
      <w:r w:rsidRPr="0009445C">
        <w:noBreakHyphen/>
        <w:t>% (dry mass), of virtually ash-free natural gas and municipal sewage sludge (waste key 19 08 05 according to AVV</w:t>
      </w:r>
      <w:r w:rsidR="004D605E" w:rsidRPr="0009445C">
        <w:fldChar w:fldCharType="begin"/>
      </w:r>
      <w:r w:rsidR="004D605E" w:rsidRPr="0009445C">
        <w:instrText xml:space="preserve"> NOTEREF _Ref90037115 \f \h </w:instrText>
      </w:r>
      <w:r w:rsidR="0009445C" w:rsidRPr="0009445C">
        <w:instrText xml:space="preserve"> \* MERGEFORMAT </w:instrText>
      </w:r>
      <w:r w:rsidR="004D605E" w:rsidRPr="0009445C">
        <w:fldChar w:fldCharType="separate"/>
      </w:r>
      <w:r w:rsidR="0009445C" w:rsidRPr="0009445C">
        <w:rPr>
          <w:rStyle w:val="FootnoteReference"/>
        </w:rPr>
        <w:t>7</w:t>
      </w:r>
      <w:r w:rsidR="004D605E" w:rsidRPr="0009445C">
        <w:fldChar w:fldCharType="end"/>
      </w:r>
      <w:r w:rsidRPr="0009445C">
        <w:t>) are used in a proportion of up to 5 M.-% (dry mass) based on dry coal. Biomass is understood as plant material. Waste wood or secondary material are not allowed.</w:t>
      </w:r>
    </w:p>
    <w:p w14:paraId="13FFA704" w14:textId="77777777" w:rsidR="004C2C77" w:rsidRPr="0009445C" w:rsidRDefault="004C2C77" w:rsidP="004C2C77">
      <w:pPr>
        <w:pStyle w:val="BRL-Standard"/>
      </w:pPr>
    </w:p>
    <w:p w14:paraId="51B6FED2" w14:textId="7F5DDAC2" w:rsidR="004C2C77" w:rsidRPr="0009445C" w:rsidRDefault="004C2C77" w:rsidP="004C2C77">
      <w:pPr>
        <w:pStyle w:val="BRL-Standard"/>
      </w:pPr>
      <w:r w:rsidRPr="0009445C">
        <w:t>For calcium-rich fly ash (generally lignite fly ash) for underground tanks and pipes, there are no Technical Building Regulations or generally recognised rules of technical construction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745AAB3B" w14:textId="77777777" w:rsidR="004C2C77" w:rsidRPr="0009445C" w:rsidRDefault="004C2C77" w:rsidP="004C2C77">
      <w:pPr>
        <w:pStyle w:val="BRL-Standard"/>
      </w:pPr>
    </w:p>
    <w:p w14:paraId="5567FAAE" w14:textId="77777777" w:rsidR="004C2C77" w:rsidRPr="0009445C" w:rsidRDefault="004C2C77" w:rsidP="00600F53">
      <w:pPr>
        <w:pStyle w:val="BRL-berschrift"/>
      </w:pPr>
      <w:r w:rsidRPr="0009445C">
        <w:t>10.1.4</w:t>
      </w:r>
      <w:r w:rsidRPr="0009445C">
        <w:tab/>
        <w:t xml:space="preserve">Sulphate hut cement and calcium aluminate </w:t>
      </w:r>
      <w:proofErr w:type="spellStart"/>
      <w:r w:rsidRPr="0009445C">
        <w:t>sulfate</w:t>
      </w:r>
      <w:proofErr w:type="spellEnd"/>
      <w:r w:rsidRPr="0009445C">
        <w:t xml:space="preserve"> cement</w:t>
      </w:r>
    </w:p>
    <w:p w14:paraId="1108D5FB" w14:textId="77777777" w:rsidR="004C2C77" w:rsidRPr="0009445C" w:rsidRDefault="004C2C77" w:rsidP="004C2C77">
      <w:pPr>
        <w:pStyle w:val="BRL-Standard"/>
      </w:pPr>
      <w:r w:rsidRPr="0009445C">
        <w:t xml:space="preserve">Underground containers and pipes made of concrete produced using </w:t>
      </w:r>
      <w:proofErr w:type="spellStart"/>
      <w:r w:rsidRPr="0009445C">
        <w:t>supersulphated</w:t>
      </w:r>
      <w:proofErr w:type="spellEnd"/>
      <w:r w:rsidRPr="0009445C">
        <w:t xml:space="preserve"> cement and calcium aluminate sulphate cement may only be installed in contact with soil or groundwater if the eluate concentrations as per DIN CEN/TS 16637</w:t>
      </w:r>
      <w:r w:rsidRPr="0009445C">
        <w:noBreakHyphen/>
        <w:t xml:space="preserve">2:2014-11 for hardened concrete (based on model concrete specimens) manufactured using </w:t>
      </w:r>
      <w:proofErr w:type="spellStart"/>
      <w:r w:rsidRPr="0009445C">
        <w:t>supersulphated</w:t>
      </w:r>
      <w:proofErr w:type="spellEnd"/>
      <w:r w:rsidRPr="0009445C">
        <w:t xml:space="preserve"> cement or calcium aluminate sulphate cement comply with the upper limits according to Table A</w:t>
      </w:r>
      <w:r w:rsidRPr="0009445C">
        <w:noBreakHyphen/>
        <w:t>6 (Annex A).</w:t>
      </w:r>
    </w:p>
    <w:p w14:paraId="1B05BFD3" w14:textId="77777777" w:rsidR="004C2C77" w:rsidRPr="0009445C" w:rsidRDefault="004C2C77" w:rsidP="004C2C77">
      <w:pPr>
        <w:pStyle w:val="BRL-Standard"/>
      </w:pPr>
    </w:p>
    <w:p w14:paraId="469CB9A0" w14:textId="77777777" w:rsidR="004C2C77" w:rsidRPr="0009445C" w:rsidRDefault="004C2C77" w:rsidP="004C2C77">
      <w:pPr>
        <w:pStyle w:val="BRL-Standard"/>
      </w:pPr>
      <w:r w:rsidRPr="0009445C">
        <w:t>Proof that the eluate concentrations as per DIN CEN/TS 16637</w:t>
      </w:r>
      <w:r w:rsidRPr="0009445C">
        <w:noBreakHyphen/>
        <w:t>2:2014-11 comply with the upper limits given in Table A</w:t>
      </w:r>
      <w:r w:rsidRPr="0009445C">
        <w:noBreakHyphen/>
        <w:t>6 (Annex A) is not required if construction measures are used to prevent direct contact with soil or groundwater.</w:t>
      </w:r>
    </w:p>
    <w:p w14:paraId="0589FCE8" w14:textId="77777777" w:rsidR="004C2C77" w:rsidRPr="0009445C" w:rsidRDefault="004C2C77" w:rsidP="004C2C77">
      <w:pPr>
        <w:pStyle w:val="BRL-Standard"/>
      </w:pPr>
    </w:p>
    <w:p w14:paraId="19B7F23A" w14:textId="77777777" w:rsidR="004C2C77" w:rsidRPr="0009445C" w:rsidRDefault="004C2C77" w:rsidP="00600F53">
      <w:pPr>
        <w:pStyle w:val="BRL-berschrift"/>
      </w:pPr>
      <w:r w:rsidRPr="0009445C">
        <w:t>10.1.5</w:t>
      </w:r>
      <w:r w:rsidRPr="0009445C">
        <w:tab/>
        <w:t>Concrete admixtures</w:t>
      </w:r>
    </w:p>
    <w:p w14:paraId="40D45969" w14:textId="4E9E3671" w:rsidR="004C2C77" w:rsidRPr="0009445C" w:rsidRDefault="004C2C77" w:rsidP="004C2C77">
      <w:pPr>
        <w:pStyle w:val="BRL-Standard"/>
      </w:pPr>
      <w:r w:rsidRPr="0009445C">
        <w:t>Concrete admixtures used in concrete underground containers and pipes in contact with soil or groundwater and for which there are no Technical Building Regulations or technical best practice are of significance for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impact on soil and water.</w:t>
      </w:r>
    </w:p>
    <w:p w14:paraId="2D76EFC8" w14:textId="77777777" w:rsidR="004C2C77" w:rsidRPr="0009445C" w:rsidRDefault="004C2C77" w:rsidP="004C2C77">
      <w:pPr>
        <w:pStyle w:val="BRL-Standard"/>
      </w:pPr>
    </w:p>
    <w:p w14:paraId="46D98EF1" w14:textId="77777777" w:rsidR="004C2C77" w:rsidRPr="0009445C" w:rsidRDefault="004C2C77" w:rsidP="00600F53">
      <w:pPr>
        <w:pStyle w:val="BRL-berschrift"/>
      </w:pPr>
      <w:r w:rsidRPr="0009445C">
        <w:t>10.2</w:t>
      </w:r>
      <w:r w:rsidRPr="0009445C">
        <w:tab/>
        <w:t>Sewer rehabilitation products</w:t>
      </w:r>
    </w:p>
    <w:p w14:paraId="234D91BD" w14:textId="269B7188" w:rsidR="004C2C77" w:rsidRPr="0009445C" w:rsidRDefault="004C2C77" w:rsidP="004C2C77">
      <w:pPr>
        <w:pStyle w:val="BRL-Standard"/>
      </w:pPr>
      <w:r w:rsidRPr="0009445C">
        <w:t>For sewer rehabilitation there are no Technical Building Regulations or generally accepted rules of technology according to which their effects on soil and water can be assessed. However, they are of significance when it comes to complying with the requirements of § 3 MBO</w:t>
      </w:r>
      <w:r w:rsidRPr="0009445C">
        <w:rPr>
          <w:rStyle w:val="FootnoteReference"/>
        </w:rPr>
        <w:fldChar w:fldCharType="begin"/>
      </w:r>
      <w:r w:rsidRPr="0009445C">
        <w:rPr>
          <w:rStyle w:val="FootnoteReference"/>
        </w:rPr>
        <w:instrText xml:space="preserve"> NOTEREF _Ref77333992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as well as in terms of their effects on soil and water.</w:t>
      </w:r>
    </w:p>
    <w:p w14:paraId="71DCBF7F" w14:textId="77777777" w:rsidR="004C2C77" w:rsidRPr="0009445C" w:rsidRDefault="004C2C77" w:rsidP="004C2C77"/>
    <w:p w14:paraId="3CAB620C" w14:textId="77777777" w:rsidR="00A9087E" w:rsidRPr="0009445C" w:rsidRDefault="00A9087E" w:rsidP="00600F53">
      <w:pPr>
        <w:pStyle w:val="BRL-berschrift"/>
      </w:pPr>
    </w:p>
    <w:p w14:paraId="7172F41F" w14:textId="77777777" w:rsidR="00AA3064" w:rsidRPr="0009445C" w:rsidRDefault="00AA3064">
      <w:pPr>
        <w:spacing w:after="200" w:line="276" w:lineRule="auto"/>
        <w:rPr>
          <w:b/>
          <w:bCs/>
          <w:szCs w:val="16"/>
        </w:rPr>
      </w:pPr>
      <w:r w:rsidRPr="0009445C">
        <w:br w:type="page"/>
      </w:r>
    </w:p>
    <w:p w14:paraId="15DD4A64" w14:textId="1140791C" w:rsidR="004C2C77" w:rsidRPr="0009445C" w:rsidRDefault="004C2C77" w:rsidP="00600F53">
      <w:pPr>
        <w:pStyle w:val="BRL-berschrift"/>
      </w:pPr>
      <w:r w:rsidRPr="0009445C">
        <w:lastRenderedPageBreak/>
        <w:t>Annex A – Maximums</w:t>
      </w:r>
    </w:p>
    <w:p w14:paraId="657BA49C" w14:textId="77777777" w:rsidR="004C2C77" w:rsidRPr="0009445C" w:rsidRDefault="004C2C77" w:rsidP="004C2C77">
      <w:pPr>
        <w:pStyle w:val="BRLTabelleberschrift"/>
        <w:spacing w:before="0" w:after="120"/>
      </w:pPr>
      <w:r w:rsidRPr="0009445C">
        <w:t>Table A-1:</w:t>
      </w:r>
      <w:r w:rsidRPr="0009445C">
        <w:tab/>
        <w:t>Permitted source materials in a rubble waste treatment facility for manufacturing recycled aggregates</w:t>
      </w:r>
    </w:p>
    <w:tbl>
      <w:tblPr>
        <w:tblW w:w="0" w:type="auto"/>
        <w:tblBorders>
          <w:insideH w:val="single" w:sz="2" w:space="0" w:color="595959"/>
          <w:insideV w:val="single" w:sz="2" w:space="0" w:color="595959"/>
        </w:tblBorders>
        <w:tblCellMar>
          <w:left w:w="0" w:type="dxa"/>
          <w:right w:w="0" w:type="dxa"/>
        </w:tblCellMar>
        <w:tblLook w:val="04A0" w:firstRow="1" w:lastRow="0" w:firstColumn="1" w:lastColumn="0" w:noHBand="0" w:noVBand="1"/>
      </w:tblPr>
      <w:tblGrid>
        <w:gridCol w:w="572"/>
        <w:gridCol w:w="8488"/>
      </w:tblGrid>
      <w:tr w:rsidR="004C2C77" w:rsidRPr="0009445C" w14:paraId="6C1CA784" w14:textId="77777777" w:rsidTr="004C2C77">
        <w:trPr>
          <w:cantSplit/>
        </w:trPr>
        <w:tc>
          <w:tcPr>
            <w:tcW w:w="572" w:type="dxa"/>
            <w:tcBorders>
              <w:top w:val="single" w:sz="4" w:space="0" w:color="auto"/>
              <w:left w:val="single" w:sz="4" w:space="0" w:color="auto"/>
              <w:bottom w:val="single" w:sz="2" w:space="0" w:color="595959"/>
              <w:right w:val="single" w:sz="2" w:space="0" w:color="595959"/>
              <w:tl2br w:val="nil"/>
              <w:tr2bl w:val="nil"/>
            </w:tcBorders>
            <w:shd w:val="clear" w:color="auto" w:fill="FFFFFF"/>
          </w:tcPr>
          <w:p w14:paraId="5366DD0C" w14:textId="77777777" w:rsidR="004C2C77" w:rsidRPr="0009445C" w:rsidRDefault="004C2C77" w:rsidP="004C2C77">
            <w:pPr>
              <w:spacing w:before="60" w:after="40" w:line="240" w:lineRule="auto"/>
              <w:ind w:left="113" w:right="113"/>
              <w:rPr>
                <w:b/>
                <w:szCs w:val="18"/>
              </w:rPr>
            </w:pPr>
            <w:r w:rsidRPr="0009445C">
              <w:t>1</w:t>
            </w:r>
          </w:p>
        </w:tc>
        <w:tc>
          <w:tcPr>
            <w:tcW w:w="8498" w:type="dxa"/>
            <w:tcBorders>
              <w:top w:val="single" w:sz="4" w:space="0" w:color="auto"/>
              <w:left w:val="single" w:sz="2" w:space="0" w:color="595959"/>
              <w:bottom w:val="single" w:sz="2" w:space="0" w:color="595959"/>
              <w:right w:val="single" w:sz="4" w:space="0" w:color="auto"/>
              <w:tl2br w:val="nil"/>
              <w:tr2bl w:val="nil"/>
            </w:tcBorders>
            <w:shd w:val="clear" w:color="auto" w:fill="auto"/>
          </w:tcPr>
          <w:p w14:paraId="2C3AF02D" w14:textId="77777777" w:rsidR="004C2C77" w:rsidRPr="0009445C" w:rsidRDefault="004C2C77" w:rsidP="004C2C77">
            <w:pPr>
              <w:spacing w:before="60" w:after="40" w:line="240" w:lineRule="auto"/>
              <w:ind w:left="113" w:right="113"/>
              <w:rPr>
                <w:b/>
                <w:szCs w:val="18"/>
              </w:rPr>
            </w:pPr>
            <w:r w:rsidRPr="0009445C">
              <w:t>Concrete (waste code 17 01 01 as per the EWC Ordinance</w:t>
            </w:r>
            <w:r w:rsidRPr="0009445C">
              <w:rPr>
                <w:vertAlign w:val="superscript"/>
              </w:rPr>
              <w:t>*</w:t>
            </w:r>
            <w:r w:rsidRPr="0009445C">
              <w:t>)</w:t>
            </w:r>
          </w:p>
        </w:tc>
      </w:tr>
      <w:tr w:rsidR="004C2C77" w:rsidRPr="0009445C" w14:paraId="10BFCBE0" w14:textId="77777777" w:rsidTr="004C2C77">
        <w:trPr>
          <w:cantSplit/>
        </w:trPr>
        <w:tc>
          <w:tcPr>
            <w:tcW w:w="572" w:type="dxa"/>
            <w:tcBorders>
              <w:left w:val="single" w:sz="4" w:space="0" w:color="auto"/>
              <w:bottom w:val="single" w:sz="2" w:space="0" w:color="595959"/>
            </w:tcBorders>
            <w:shd w:val="clear" w:color="auto" w:fill="FFFFFF"/>
          </w:tcPr>
          <w:p w14:paraId="2253637F" w14:textId="77777777" w:rsidR="004C2C77" w:rsidRPr="0009445C" w:rsidRDefault="004C2C77" w:rsidP="004C2C77">
            <w:pPr>
              <w:spacing w:before="60" w:after="40" w:line="240" w:lineRule="auto"/>
              <w:ind w:left="113" w:right="113"/>
              <w:rPr>
                <w:szCs w:val="18"/>
              </w:rPr>
            </w:pPr>
            <w:r w:rsidRPr="0009445C">
              <w:t>2</w:t>
            </w:r>
          </w:p>
        </w:tc>
        <w:tc>
          <w:tcPr>
            <w:tcW w:w="8498" w:type="dxa"/>
            <w:tcBorders>
              <w:bottom w:val="single" w:sz="2" w:space="0" w:color="595959"/>
              <w:right w:val="single" w:sz="4" w:space="0" w:color="auto"/>
            </w:tcBorders>
            <w:shd w:val="clear" w:color="auto" w:fill="auto"/>
          </w:tcPr>
          <w:p w14:paraId="741CD261" w14:textId="77777777" w:rsidR="004C2C77" w:rsidRPr="0009445C" w:rsidRDefault="004C2C77" w:rsidP="004C2C77">
            <w:pPr>
              <w:spacing w:before="60" w:after="40" w:line="240" w:lineRule="auto"/>
              <w:ind w:left="113" w:right="113"/>
              <w:rPr>
                <w:szCs w:val="18"/>
              </w:rPr>
            </w:pPr>
            <w:r w:rsidRPr="0009445C">
              <w:t>Bricks (waste code 17 01 02 as per the EWC Ordinance</w:t>
            </w:r>
            <w:r w:rsidRPr="0009445C">
              <w:rPr>
                <w:vertAlign w:val="superscript"/>
              </w:rPr>
              <w:t>*</w:t>
            </w:r>
            <w:r w:rsidRPr="0009445C">
              <w:t>)</w:t>
            </w:r>
          </w:p>
        </w:tc>
      </w:tr>
      <w:tr w:rsidR="004C2C77" w:rsidRPr="0009445C" w14:paraId="28B0D41C" w14:textId="77777777" w:rsidTr="004C2C77">
        <w:trPr>
          <w:cantSplit/>
        </w:trPr>
        <w:tc>
          <w:tcPr>
            <w:tcW w:w="572" w:type="dxa"/>
            <w:tcBorders>
              <w:top w:val="single" w:sz="2" w:space="0" w:color="595959"/>
              <w:left w:val="single" w:sz="4" w:space="0" w:color="auto"/>
              <w:bottom w:val="single" w:sz="4" w:space="0" w:color="auto"/>
            </w:tcBorders>
            <w:shd w:val="clear" w:color="auto" w:fill="FFFFFF"/>
          </w:tcPr>
          <w:p w14:paraId="28FD14F0" w14:textId="77777777" w:rsidR="004C2C77" w:rsidRPr="0009445C" w:rsidRDefault="004C2C77" w:rsidP="004C2C77">
            <w:pPr>
              <w:spacing w:before="60" w:after="40" w:line="240" w:lineRule="auto"/>
              <w:ind w:left="113" w:right="113"/>
              <w:rPr>
                <w:szCs w:val="18"/>
              </w:rPr>
            </w:pPr>
            <w:r w:rsidRPr="0009445C">
              <w:t>3</w:t>
            </w:r>
          </w:p>
        </w:tc>
        <w:tc>
          <w:tcPr>
            <w:tcW w:w="8498" w:type="dxa"/>
            <w:tcBorders>
              <w:top w:val="single" w:sz="2" w:space="0" w:color="595959"/>
              <w:bottom w:val="single" w:sz="4" w:space="0" w:color="auto"/>
              <w:right w:val="single" w:sz="4" w:space="0" w:color="auto"/>
            </w:tcBorders>
            <w:shd w:val="clear" w:color="auto" w:fill="auto"/>
          </w:tcPr>
          <w:p w14:paraId="1018F662" w14:textId="77777777" w:rsidR="004C2C77" w:rsidRPr="0009445C" w:rsidRDefault="004C2C77" w:rsidP="004C2C77">
            <w:pPr>
              <w:spacing w:before="60" w:after="40" w:line="240" w:lineRule="auto"/>
              <w:ind w:left="113" w:right="113"/>
              <w:rPr>
                <w:szCs w:val="18"/>
              </w:rPr>
            </w:pPr>
            <w:r w:rsidRPr="0009445C">
              <w:t>Tiles, bricks, ceramic (waste code 17 01 03 as per the EWC Ordinance</w:t>
            </w:r>
            <w:r w:rsidRPr="0009445C">
              <w:rPr>
                <w:vertAlign w:val="superscript"/>
              </w:rPr>
              <w:t>*</w:t>
            </w:r>
            <w:r w:rsidRPr="0009445C">
              <w:t>)</w:t>
            </w:r>
          </w:p>
        </w:tc>
      </w:tr>
      <w:tr w:rsidR="004C2C77" w:rsidRPr="0009445C" w14:paraId="11AC347F" w14:textId="77777777" w:rsidTr="004C2C77">
        <w:trPr>
          <w:cantSplit/>
        </w:trPr>
        <w:tc>
          <w:tcPr>
            <w:tcW w:w="572" w:type="dxa"/>
            <w:tcBorders>
              <w:left w:val="single" w:sz="4" w:space="0" w:color="auto"/>
              <w:bottom w:val="single" w:sz="2" w:space="0" w:color="595959"/>
            </w:tcBorders>
            <w:shd w:val="clear" w:color="auto" w:fill="FFFFFF"/>
          </w:tcPr>
          <w:p w14:paraId="22C60D17" w14:textId="77777777" w:rsidR="004C2C77" w:rsidRPr="0009445C" w:rsidRDefault="004C2C77" w:rsidP="004C2C77">
            <w:pPr>
              <w:spacing w:before="60" w:after="40" w:line="240" w:lineRule="auto"/>
              <w:ind w:left="113" w:right="113"/>
              <w:rPr>
                <w:szCs w:val="18"/>
              </w:rPr>
            </w:pPr>
            <w:r w:rsidRPr="0009445C">
              <w:t>4</w:t>
            </w:r>
          </w:p>
        </w:tc>
        <w:tc>
          <w:tcPr>
            <w:tcW w:w="8498" w:type="dxa"/>
            <w:tcBorders>
              <w:bottom w:val="single" w:sz="2" w:space="0" w:color="595959"/>
              <w:right w:val="single" w:sz="4" w:space="0" w:color="auto"/>
            </w:tcBorders>
            <w:shd w:val="clear" w:color="auto" w:fill="auto"/>
          </w:tcPr>
          <w:p w14:paraId="22F0F9CF" w14:textId="77777777" w:rsidR="004C2C77" w:rsidRPr="0009445C" w:rsidRDefault="004C2C77" w:rsidP="004C2C77">
            <w:pPr>
              <w:spacing w:before="60" w:after="40" w:line="240" w:lineRule="auto"/>
              <w:ind w:left="113" w:right="113"/>
              <w:rPr>
                <w:szCs w:val="18"/>
              </w:rPr>
            </w:pPr>
            <w:r w:rsidRPr="0009445C">
              <w:t>Mixtures of concrete, tiles, bricks and ceramic that do not contain any hazardous substances (waste code 17 01 07 as per the EWC Ordinance</w:t>
            </w:r>
            <w:r w:rsidRPr="0009445C">
              <w:rPr>
                <w:vertAlign w:val="superscript"/>
              </w:rPr>
              <w:t>*</w:t>
            </w:r>
            <w:r w:rsidRPr="0009445C">
              <w:t>)</w:t>
            </w:r>
          </w:p>
        </w:tc>
      </w:tr>
      <w:tr w:rsidR="004C2C77" w:rsidRPr="0009445C" w14:paraId="1FF0CA6F" w14:textId="77777777" w:rsidTr="004C2C77">
        <w:trPr>
          <w:cantSplit/>
        </w:trPr>
        <w:tc>
          <w:tcPr>
            <w:tcW w:w="572" w:type="dxa"/>
            <w:tcBorders>
              <w:top w:val="single" w:sz="2" w:space="0" w:color="595959"/>
              <w:left w:val="single" w:sz="4" w:space="0" w:color="auto"/>
              <w:bottom w:val="single" w:sz="4" w:space="0" w:color="auto"/>
            </w:tcBorders>
            <w:shd w:val="clear" w:color="auto" w:fill="FFFFFF"/>
          </w:tcPr>
          <w:p w14:paraId="1666ABC1" w14:textId="77777777" w:rsidR="004C2C77" w:rsidRPr="0009445C" w:rsidRDefault="004C2C77" w:rsidP="004C2C77">
            <w:pPr>
              <w:spacing w:before="60" w:after="40" w:line="240" w:lineRule="auto"/>
              <w:ind w:left="113" w:right="113"/>
              <w:rPr>
                <w:szCs w:val="18"/>
              </w:rPr>
            </w:pPr>
            <w:r w:rsidRPr="0009445C">
              <w:t>5</w:t>
            </w:r>
          </w:p>
        </w:tc>
        <w:tc>
          <w:tcPr>
            <w:tcW w:w="8498" w:type="dxa"/>
            <w:tcBorders>
              <w:top w:val="single" w:sz="2" w:space="0" w:color="595959"/>
              <w:bottom w:val="single" w:sz="4" w:space="0" w:color="auto"/>
              <w:right w:val="single" w:sz="4" w:space="0" w:color="auto"/>
            </w:tcBorders>
            <w:shd w:val="clear" w:color="auto" w:fill="auto"/>
          </w:tcPr>
          <w:p w14:paraId="7BD7C6C1" w14:textId="77777777" w:rsidR="004C2C77" w:rsidRPr="0009445C" w:rsidRDefault="004C2C77" w:rsidP="004C2C77">
            <w:pPr>
              <w:spacing w:before="60" w:after="40" w:line="240" w:lineRule="auto"/>
              <w:ind w:left="113" w:right="113"/>
              <w:rPr>
                <w:szCs w:val="18"/>
              </w:rPr>
            </w:pPr>
            <w:r w:rsidRPr="0009445C">
              <w:t>Bitumen mixes except for those under 17 03 01 (waste code 17 03 02 as per the EWC Ordinance</w:t>
            </w:r>
            <w:r w:rsidRPr="0009445C">
              <w:rPr>
                <w:vertAlign w:val="superscript"/>
              </w:rPr>
              <w:t>*</w:t>
            </w:r>
            <w:r w:rsidRPr="0009445C">
              <w:t>) (here: Asphalt, tar-free)</w:t>
            </w:r>
          </w:p>
        </w:tc>
      </w:tr>
      <w:tr w:rsidR="004C2C77" w:rsidRPr="0009445C" w14:paraId="1047C63D" w14:textId="77777777" w:rsidTr="004C2C77">
        <w:trPr>
          <w:cantSplit/>
        </w:trPr>
        <w:tc>
          <w:tcPr>
            <w:tcW w:w="572" w:type="dxa"/>
            <w:tcBorders>
              <w:left w:val="single" w:sz="4" w:space="0" w:color="auto"/>
              <w:bottom w:val="single" w:sz="2" w:space="0" w:color="595959"/>
            </w:tcBorders>
            <w:shd w:val="clear" w:color="auto" w:fill="FFFFFF"/>
          </w:tcPr>
          <w:p w14:paraId="7392C296" w14:textId="77777777" w:rsidR="004C2C77" w:rsidRPr="0009445C" w:rsidRDefault="004C2C77" w:rsidP="004C2C77">
            <w:pPr>
              <w:spacing w:before="60" w:after="40" w:line="240" w:lineRule="auto"/>
              <w:ind w:left="113" w:right="113"/>
              <w:rPr>
                <w:szCs w:val="18"/>
              </w:rPr>
            </w:pPr>
            <w:r w:rsidRPr="0009445C">
              <w:t>6</w:t>
            </w:r>
          </w:p>
        </w:tc>
        <w:tc>
          <w:tcPr>
            <w:tcW w:w="8498" w:type="dxa"/>
            <w:tcBorders>
              <w:bottom w:val="single" w:sz="2" w:space="0" w:color="595959"/>
              <w:right w:val="single" w:sz="4" w:space="0" w:color="auto"/>
            </w:tcBorders>
            <w:shd w:val="clear" w:color="auto" w:fill="auto"/>
          </w:tcPr>
          <w:p w14:paraId="603FF285" w14:textId="77777777" w:rsidR="004C2C77" w:rsidRPr="0009445C" w:rsidRDefault="004C2C77" w:rsidP="004C2C77">
            <w:pPr>
              <w:spacing w:before="60" w:after="40" w:line="240" w:lineRule="auto"/>
              <w:ind w:left="113" w:right="113"/>
              <w:rPr>
                <w:szCs w:val="18"/>
              </w:rPr>
            </w:pPr>
            <w:r w:rsidRPr="0009445C">
              <w:t>Concrete waste but without concrete sludge (waste code 10 13 14 as per the EWC Ordinance</w:t>
            </w:r>
            <w:r w:rsidRPr="0009445C">
              <w:rPr>
                <w:vertAlign w:val="superscript"/>
              </w:rPr>
              <w:t>*</w:t>
            </w:r>
            <w:r w:rsidRPr="0009445C">
              <w:t>)</w:t>
            </w:r>
          </w:p>
        </w:tc>
      </w:tr>
      <w:tr w:rsidR="004C2C77" w:rsidRPr="0009445C" w14:paraId="559EECB9" w14:textId="77777777" w:rsidTr="004C2C77">
        <w:trPr>
          <w:cantSplit/>
        </w:trPr>
        <w:tc>
          <w:tcPr>
            <w:tcW w:w="572" w:type="dxa"/>
            <w:tcBorders>
              <w:top w:val="single" w:sz="2" w:space="0" w:color="595959"/>
              <w:left w:val="single" w:sz="4" w:space="0" w:color="auto"/>
              <w:bottom w:val="single" w:sz="2" w:space="0" w:color="595959"/>
            </w:tcBorders>
            <w:shd w:val="clear" w:color="auto" w:fill="FFFFFF"/>
          </w:tcPr>
          <w:p w14:paraId="2C8CD78C" w14:textId="77777777" w:rsidR="004C2C77" w:rsidRPr="0009445C" w:rsidRDefault="004C2C77" w:rsidP="004C2C77">
            <w:pPr>
              <w:spacing w:before="60" w:after="40" w:line="240" w:lineRule="auto"/>
              <w:ind w:left="113" w:right="113"/>
              <w:rPr>
                <w:szCs w:val="18"/>
              </w:rPr>
            </w:pPr>
            <w:r w:rsidRPr="0009445C">
              <w:t>7</w:t>
            </w:r>
          </w:p>
        </w:tc>
        <w:tc>
          <w:tcPr>
            <w:tcW w:w="8498" w:type="dxa"/>
            <w:tcBorders>
              <w:top w:val="single" w:sz="2" w:space="0" w:color="595959"/>
              <w:bottom w:val="single" w:sz="2" w:space="0" w:color="595959"/>
              <w:right w:val="single" w:sz="4" w:space="0" w:color="auto"/>
            </w:tcBorders>
            <w:shd w:val="clear" w:color="auto" w:fill="auto"/>
          </w:tcPr>
          <w:p w14:paraId="3235D0FB" w14:textId="77777777" w:rsidR="004C2C77" w:rsidRPr="0009445C" w:rsidRDefault="004C2C77" w:rsidP="004C2C77">
            <w:pPr>
              <w:spacing w:before="60" w:after="40" w:line="240" w:lineRule="auto"/>
              <w:ind w:left="113" w:right="113"/>
              <w:rPr>
                <w:szCs w:val="18"/>
              </w:rPr>
            </w:pPr>
            <w:r w:rsidRPr="0009445C">
              <w:t>Soil and stones that do not contain dangerous substances (Waste code 17 05 04 according to AVV</w:t>
            </w:r>
            <w:r w:rsidRPr="0009445C">
              <w:rPr>
                <w:vertAlign w:val="superscript"/>
              </w:rPr>
              <w:t>*</w:t>
            </w:r>
            <w:r w:rsidRPr="0009445C">
              <w:t>)</w:t>
            </w:r>
          </w:p>
        </w:tc>
      </w:tr>
      <w:tr w:rsidR="004C2C77" w:rsidRPr="0009445C" w14:paraId="4C15178C" w14:textId="77777777" w:rsidTr="004C2C77">
        <w:trPr>
          <w:cantSplit/>
        </w:trPr>
        <w:tc>
          <w:tcPr>
            <w:tcW w:w="572" w:type="dxa"/>
            <w:tcBorders>
              <w:top w:val="single" w:sz="2" w:space="0" w:color="595959"/>
              <w:left w:val="single" w:sz="4" w:space="0" w:color="auto"/>
              <w:bottom w:val="single" w:sz="2" w:space="0" w:color="595959"/>
            </w:tcBorders>
            <w:shd w:val="clear" w:color="auto" w:fill="FFFFFF"/>
          </w:tcPr>
          <w:p w14:paraId="4CEC503F" w14:textId="77777777" w:rsidR="004C2C77" w:rsidRPr="0009445C" w:rsidRDefault="004C2C77" w:rsidP="004C2C77">
            <w:pPr>
              <w:spacing w:before="60" w:after="40" w:line="240" w:lineRule="auto"/>
              <w:ind w:left="113" w:right="113"/>
              <w:rPr>
                <w:szCs w:val="18"/>
              </w:rPr>
            </w:pPr>
            <w:r w:rsidRPr="0009445C">
              <w:t>8</w:t>
            </w:r>
          </w:p>
        </w:tc>
        <w:tc>
          <w:tcPr>
            <w:tcW w:w="8498" w:type="dxa"/>
            <w:tcBorders>
              <w:top w:val="single" w:sz="2" w:space="0" w:color="595959"/>
              <w:bottom w:val="single" w:sz="2" w:space="0" w:color="595959"/>
              <w:right w:val="single" w:sz="4" w:space="0" w:color="auto"/>
            </w:tcBorders>
            <w:shd w:val="clear" w:color="auto" w:fill="auto"/>
          </w:tcPr>
          <w:p w14:paraId="20CF4EF7" w14:textId="77777777" w:rsidR="004C2C77" w:rsidRPr="0009445C" w:rsidRDefault="004C2C77" w:rsidP="004C2C77">
            <w:pPr>
              <w:spacing w:before="60" w:after="40" w:line="240" w:lineRule="auto"/>
              <w:ind w:left="113" w:right="113"/>
              <w:rPr>
                <w:szCs w:val="18"/>
              </w:rPr>
            </w:pPr>
            <w:r w:rsidRPr="0009445C">
              <w:t>Track cotter which does not contain dangerous substances (waste key 17 05 08 according to AVV*)</w:t>
            </w:r>
          </w:p>
        </w:tc>
      </w:tr>
      <w:tr w:rsidR="004C2C77" w:rsidRPr="0009445C" w14:paraId="729C2165" w14:textId="77777777" w:rsidTr="004C2C77">
        <w:trPr>
          <w:cantSplit/>
        </w:trPr>
        <w:tc>
          <w:tcPr>
            <w:tcW w:w="9070" w:type="dxa"/>
            <w:gridSpan w:val="2"/>
            <w:tcBorders>
              <w:top w:val="single" w:sz="2" w:space="0" w:color="595959"/>
              <w:left w:val="single" w:sz="4" w:space="0" w:color="auto"/>
              <w:bottom w:val="single" w:sz="4" w:space="0" w:color="auto"/>
              <w:right w:val="single" w:sz="4" w:space="0" w:color="auto"/>
            </w:tcBorders>
            <w:shd w:val="clear" w:color="auto" w:fill="FFFFFF"/>
          </w:tcPr>
          <w:p w14:paraId="60352A14" w14:textId="77777777" w:rsidR="004C2C77" w:rsidRPr="0009445C" w:rsidRDefault="004C2C77" w:rsidP="004C2C77">
            <w:pPr>
              <w:spacing w:before="120" w:after="120" w:line="240" w:lineRule="auto"/>
              <w:ind w:left="431" w:right="113" w:hanging="289"/>
              <w:rPr>
                <w:sz w:val="16"/>
                <w:szCs w:val="16"/>
              </w:rPr>
            </w:pPr>
            <w:r w:rsidRPr="0009445C">
              <w:rPr>
                <w:sz w:val="16"/>
              </w:rPr>
              <w:t xml:space="preserve">* </w:t>
            </w:r>
            <w:r w:rsidRPr="0009445C">
              <w:rPr>
                <w:sz w:val="16"/>
              </w:rPr>
              <w:tab/>
              <w:t>Ordinance on the European Waste Catalogue (EWC Ordinance) of 10 December 2001, as amended.</w:t>
            </w:r>
          </w:p>
        </w:tc>
      </w:tr>
    </w:tbl>
    <w:p w14:paraId="6ABA219D" w14:textId="77777777" w:rsidR="003A0178" w:rsidRPr="0009445C" w:rsidRDefault="003A0178" w:rsidP="004C2C77"/>
    <w:p w14:paraId="01A8830B" w14:textId="77777777" w:rsidR="003A0178" w:rsidRPr="0009445C" w:rsidRDefault="003A0178">
      <w:pPr>
        <w:spacing w:after="200" w:line="276" w:lineRule="auto"/>
      </w:pPr>
      <w:r w:rsidRPr="0009445C">
        <w:br w:type="page"/>
      </w:r>
    </w:p>
    <w:p w14:paraId="38B7EBE7" w14:textId="77777777" w:rsidR="004C2C77" w:rsidRPr="0009445C" w:rsidRDefault="004C2C77" w:rsidP="004C2C77">
      <w:pPr>
        <w:pStyle w:val="BRLTabelleberschrift"/>
        <w:spacing w:before="0" w:after="120"/>
      </w:pPr>
      <w:r w:rsidRPr="0009445C">
        <w:lastRenderedPageBreak/>
        <w:t>Table A-2:</w:t>
      </w:r>
      <w:r w:rsidRPr="0009445C">
        <w:tab/>
        <w:t>Upper limits for eluate concentrations and solids content in recycled aggregates</w:t>
      </w:r>
    </w:p>
    <w:tbl>
      <w:tblPr>
        <w:tblW w:w="0" w:type="auto"/>
        <w:tblBorders>
          <w:insideH w:val="single" w:sz="2" w:space="0" w:color="595959"/>
          <w:insideV w:val="single" w:sz="2" w:space="0" w:color="595959"/>
        </w:tblBorders>
        <w:tblCellMar>
          <w:left w:w="0" w:type="dxa"/>
          <w:right w:w="0" w:type="dxa"/>
        </w:tblCellMar>
        <w:tblLook w:val="04A0" w:firstRow="1" w:lastRow="0" w:firstColumn="1" w:lastColumn="0" w:noHBand="0" w:noVBand="1"/>
      </w:tblPr>
      <w:tblGrid>
        <w:gridCol w:w="1418"/>
        <w:gridCol w:w="2908"/>
        <w:gridCol w:w="2367"/>
        <w:gridCol w:w="2367"/>
      </w:tblGrid>
      <w:tr w:rsidR="004C2C77" w:rsidRPr="0009445C" w14:paraId="5B2CE70D" w14:textId="77777777" w:rsidTr="004C2C77">
        <w:trPr>
          <w:cantSplit/>
        </w:trPr>
        <w:tc>
          <w:tcPr>
            <w:tcW w:w="1418" w:type="dxa"/>
            <w:tcBorders>
              <w:top w:val="single" w:sz="4" w:space="0" w:color="auto"/>
              <w:left w:val="single" w:sz="4" w:space="0" w:color="auto"/>
              <w:bottom w:val="single" w:sz="2" w:space="0" w:color="595959"/>
              <w:right w:val="single" w:sz="2" w:space="0" w:color="595959"/>
              <w:tl2br w:val="nil"/>
              <w:tr2bl w:val="nil"/>
            </w:tcBorders>
            <w:shd w:val="clear" w:color="auto" w:fill="FFFFFF"/>
          </w:tcPr>
          <w:p w14:paraId="02E1CB86" w14:textId="77777777" w:rsidR="004C2C77" w:rsidRPr="0009445C" w:rsidRDefault="004C2C77" w:rsidP="004C2C77">
            <w:pPr>
              <w:spacing w:before="100" w:line="240" w:lineRule="auto"/>
              <w:ind w:left="113" w:right="113"/>
              <w:rPr>
                <w:b/>
                <w:color w:val="000000"/>
                <w:szCs w:val="18"/>
              </w:rPr>
            </w:pPr>
          </w:p>
        </w:tc>
        <w:tc>
          <w:tcPr>
            <w:tcW w:w="2908"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2B498103" w14:textId="77777777" w:rsidR="004C2C77" w:rsidRPr="0009445C" w:rsidRDefault="004C2C77" w:rsidP="004C2C77">
            <w:pPr>
              <w:spacing w:before="60" w:after="40" w:line="240" w:lineRule="auto"/>
              <w:ind w:left="113" w:right="113"/>
              <w:rPr>
                <w:b/>
                <w:color w:val="000000"/>
                <w:szCs w:val="18"/>
              </w:rPr>
            </w:pPr>
            <w:r w:rsidRPr="0009445C">
              <w:rPr>
                <w:b/>
                <w:color w:val="000000"/>
              </w:rPr>
              <w:t>Parameter</w:t>
            </w:r>
          </w:p>
        </w:tc>
        <w:tc>
          <w:tcPr>
            <w:tcW w:w="2367"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3DE725D0" w14:textId="77777777" w:rsidR="004C2C77" w:rsidRPr="0009445C" w:rsidRDefault="004C2C77" w:rsidP="004C2C77">
            <w:pPr>
              <w:spacing w:before="60" w:after="40" w:line="240" w:lineRule="auto"/>
              <w:ind w:left="113" w:right="113"/>
              <w:rPr>
                <w:b/>
                <w:color w:val="000000"/>
                <w:szCs w:val="18"/>
              </w:rPr>
            </w:pPr>
            <w:r w:rsidRPr="0009445C">
              <w:rPr>
                <w:b/>
                <w:color w:val="000000"/>
              </w:rPr>
              <w:t>Dimension</w:t>
            </w:r>
          </w:p>
        </w:tc>
        <w:tc>
          <w:tcPr>
            <w:tcW w:w="2367"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67A25F3F" w14:textId="77777777" w:rsidR="004C2C77" w:rsidRPr="0009445C" w:rsidRDefault="004C2C77" w:rsidP="004C2C77">
            <w:pPr>
              <w:spacing w:before="60" w:after="40" w:line="240" w:lineRule="auto"/>
              <w:ind w:left="113" w:right="113"/>
              <w:rPr>
                <w:b/>
                <w:color w:val="000000"/>
                <w:szCs w:val="18"/>
              </w:rPr>
            </w:pPr>
            <w:r w:rsidRPr="0009445C">
              <w:rPr>
                <w:b/>
                <w:color w:val="000000"/>
              </w:rPr>
              <w:t>Upper limit</w:t>
            </w:r>
          </w:p>
        </w:tc>
      </w:tr>
      <w:tr w:rsidR="004C2C77" w:rsidRPr="0009445C" w14:paraId="525B5893" w14:textId="77777777" w:rsidTr="004C2C77">
        <w:trPr>
          <w:cantSplit/>
        </w:trPr>
        <w:tc>
          <w:tcPr>
            <w:tcW w:w="1418" w:type="dxa"/>
            <w:vMerge w:val="restart"/>
            <w:tcBorders>
              <w:left w:val="single" w:sz="4" w:space="0" w:color="auto"/>
              <w:bottom w:val="nil"/>
            </w:tcBorders>
            <w:shd w:val="clear" w:color="auto" w:fill="FFFFFF"/>
            <w:textDirection w:val="btLr"/>
          </w:tcPr>
          <w:p w14:paraId="64A8BE87" w14:textId="77777777" w:rsidR="004C2C77" w:rsidRPr="0009445C" w:rsidRDefault="004C2C77" w:rsidP="004C2C77">
            <w:pPr>
              <w:spacing w:before="100" w:line="240" w:lineRule="auto"/>
              <w:ind w:left="113" w:right="113"/>
              <w:rPr>
                <w:b/>
                <w:szCs w:val="18"/>
              </w:rPr>
            </w:pPr>
            <w:r w:rsidRPr="0009445C">
              <w:rPr>
                <w:b/>
              </w:rPr>
              <w:t>Eluate concentration</w:t>
            </w:r>
          </w:p>
        </w:tc>
        <w:tc>
          <w:tcPr>
            <w:tcW w:w="2908" w:type="dxa"/>
            <w:tcBorders>
              <w:bottom w:val="single" w:sz="2" w:space="0" w:color="595959"/>
              <w:right w:val="single" w:sz="4" w:space="0" w:color="auto"/>
            </w:tcBorders>
            <w:shd w:val="clear" w:color="auto" w:fill="auto"/>
          </w:tcPr>
          <w:p w14:paraId="38A234F5" w14:textId="77777777" w:rsidR="004C2C77" w:rsidRPr="0009445C" w:rsidRDefault="004C2C77" w:rsidP="004C2C77">
            <w:pPr>
              <w:spacing w:before="40" w:after="40" w:line="240" w:lineRule="auto"/>
              <w:ind w:left="113" w:right="113"/>
              <w:rPr>
                <w:szCs w:val="18"/>
              </w:rPr>
            </w:pPr>
            <w:r w:rsidRPr="0009445C">
              <w:t>Arsenic (As)</w:t>
            </w:r>
          </w:p>
        </w:tc>
        <w:tc>
          <w:tcPr>
            <w:tcW w:w="2367" w:type="dxa"/>
            <w:tcBorders>
              <w:bottom w:val="single" w:sz="2" w:space="0" w:color="595959"/>
              <w:right w:val="single" w:sz="4" w:space="0" w:color="auto"/>
            </w:tcBorders>
            <w:shd w:val="clear" w:color="auto" w:fill="auto"/>
          </w:tcPr>
          <w:p w14:paraId="41D674C5"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5B4A7445" w14:textId="77777777" w:rsidR="004C2C77" w:rsidRPr="0009445C" w:rsidRDefault="004C2C77" w:rsidP="004C2C77">
            <w:pPr>
              <w:spacing w:before="40" w:after="40" w:line="240" w:lineRule="auto"/>
              <w:ind w:left="113" w:right="113"/>
              <w:rPr>
                <w:szCs w:val="18"/>
              </w:rPr>
            </w:pPr>
            <w:r w:rsidRPr="0009445C">
              <w:t>50</w:t>
            </w:r>
          </w:p>
        </w:tc>
      </w:tr>
      <w:tr w:rsidR="004C2C77" w:rsidRPr="0009445C" w14:paraId="2786BE34" w14:textId="77777777" w:rsidTr="004C2C77">
        <w:trPr>
          <w:cantSplit/>
        </w:trPr>
        <w:tc>
          <w:tcPr>
            <w:tcW w:w="1418" w:type="dxa"/>
            <w:vMerge/>
            <w:tcBorders>
              <w:left w:val="single" w:sz="4" w:space="0" w:color="auto"/>
              <w:bottom w:val="nil"/>
            </w:tcBorders>
            <w:shd w:val="clear" w:color="auto" w:fill="FFFFFF"/>
          </w:tcPr>
          <w:p w14:paraId="1561F39E" w14:textId="77777777" w:rsidR="004C2C77" w:rsidRPr="0009445C" w:rsidRDefault="004C2C77" w:rsidP="004C2C77">
            <w:pPr>
              <w:spacing w:before="100" w:line="240" w:lineRule="auto"/>
              <w:ind w:left="113" w:right="113"/>
              <w:rPr>
                <w:szCs w:val="18"/>
              </w:rPr>
            </w:pPr>
          </w:p>
        </w:tc>
        <w:tc>
          <w:tcPr>
            <w:tcW w:w="2908" w:type="dxa"/>
            <w:tcBorders>
              <w:top w:val="single" w:sz="2" w:space="0" w:color="595959"/>
              <w:bottom w:val="single" w:sz="4" w:space="0" w:color="auto"/>
              <w:right w:val="single" w:sz="4" w:space="0" w:color="auto"/>
            </w:tcBorders>
            <w:shd w:val="clear" w:color="auto" w:fill="auto"/>
          </w:tcPr>
          <w:p w14:paraId="69CBC3AC" w14:textId="77777777" w:rsidR="004C2C77" w:rsidRPr="0009445C" w:rsidRDefault="004C2C77" w:rsidP="004C2C77">
            <w:pPr>
              <w:spacing w:before="40" w:after="40" w:line="240" w:lineRule="auto"/>
              <w:ind w:left="113" w:right="113"/>
              <w:rPr>
                <w:szCs w:val="18"/>
              </w:rPr>
            </w:pPr>
            <w:r w:rsidRPr="0009445C">
              <w:t>Lead (Pb)</w:t>
            </w:r>
          </w:p>
        </w:tc>
        <w:tc>
          <w:tcPr>
            <w:tcW w:w="2367" w:type="dxa"/>
            <w:tcBorders>
              <w:top w:val="single" w:sz="2" w:space="0" w:color="595959"/>
              <w:bottom w:val="single" w:sz="4" w:space="0" w:color="auto"/>
              <w:right w:val="single" w:sz="4" w:space="0" w:color="auto"/>
            </w:tcBorders>
            <w:shd w:val="clear" w:color="auto" w:fill="auto"/>
          </w:tcPr>
          <w:p w14:paraId="491E7E11" w14:textId="77777777" w:rsidR="004C2C77" w:rsidRPr="0009445C" w:rsidRDefault="004C2C77" w:rsidP="004C2C77">
            <w:pPr>
              <w:spacing w:before="40" w:after="40" w:line="240" w:lineRule="auto"/>
              <w:ind w:left="113" w:right="113"/>
              <w:rPr>
                <w:szCs w:val="18"/>
              </w:rPr>
            </w:pPr>
            <w:r w:rsidRPr="0009445C">
              <w:t>µg/l</w:t>
            </w:r>
          </w:p>
        </w:tc>
        <w:tc>
          <w:tcPr>
            <w:tcW w:w="2367" w:type="dxa"/>
            <w:tcBorders>
              <w:top w:val="single" w:sz="2" w:space="0" w:color="595959"/>
              <w:bottom w:val="single" w:sz="4" w:space="0" w:color="auto"/>
              <w:right w:val="single" w:sz="4" w:space="0" w:color="auto"/>
            </w:tcBorders>
            <w:shd w:val="clear" w:color="auto" w:fill="auto"/>
          </w:tcPr>
          <w:p w14:paraId="31D73130" w14:textId="77777777" w:rsidR="004C2C77" w:rsidRPr="0009445C" w:rsidRDefault="004C2C77" w:rsidP="004C2C77">
            <w:pPr>
              <w:spacing w:before="40" w:after="40" w:line="240" w:lineRule="auto"/>
              <w:ind w:left="113" w:right="113"/>
              <w:rPr>
                <w:szCs w:val="18"/>
              </w:rPr>
            </w:pPr>
            <w:r w:rsidRPr="0009445C">
              <w:t>100</w:t>
            </w:r>
          </w:p>
        </w:tc>
      </w:tr>
      <w:tr w:rsidR="004C2C77" w:rsidRPr="0009445C" w14:paraId="068BC930" w14:textId="77777777" w:rsidTr="004C2C77">
        <w:trPr>
          <w:cantSplit/>
        </w:trPr>
        <w:tc>
          <w:tcPr>
            <w:tcW w:w="1418" w:type="dxa"/>
            <w:vMerge/>
            <w:tcBorders>
              <w:left w:val="single" w:sz="4" w:space="0" w:color="auto"/>
              <w:bottom w:val="nil"/>
            </w:tcBorders>
            <w:shd w:val="clear" w:color="auto" w:fill="FFFFFF"/>
          </w:tcPr>
          <w:p w14:paraId="773B9A78"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44A1D5AB" w14:textId="77777777" w:rsidR="004C2C77" w:rsidRPr="0009445C" w:rsidRDefault="004C2C77" w:rsidP="004C2C77">
            <w:pPr>
              <w:spacing w:before="40" w:after="40" w:line="240" w:lineRule="auto"/>
              <w:ind w:left="113" w:right="113"/>
              <w:rPr>
                <w:szCs w:val="18"/>
              </w:rPr>
            </w:pPr>
            <w:r w:rsidRPr="0009445C">
              <w:t>Cadmium (Cd)</w:t>
            </w:r>
          </w:p>
        </w:tc>
        <w:tc>
          <w:tcPr>
            <w:tcW w:w="2367" w:type="dxa"/>
            <w:tcBorders>
              <w:bottom w:val="single" w:sz="2" w:space="0" w:color="595959"/>
              <w:right w:val="single" w:sz="4" w:space="0" w:color="auto"/>
            </w:tcBorders>
            <w:shd w:val="clear" w:color="auto" w:fill="auto"/>
          </w:tcPr>
          <w:p w14:paraId="0F8EE681"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782D8D1F" w14:textId="77777777" w:rsidR="004C2C77" w:rsidRPr="0009445C" w:rsidRDefault="004C2C77" w:rsidP="004C2C77">
            <w:pPr>
              <w:spacing w:before="40" w:after="40" w:line="240" w:lineRule="auto"/>
              <w:ind w:left="113" w:right="113"/>
              <w:rPr>
                <w:szCs w:val="18"/>
              </w:rPr>
            </w:pPr>
            <w:r w:rsidRPr="0009445C">
              <w:t>5</w:t>
            </w:r>
          </w:p>
        </w:tc>
      </w:tr>
      <w:tr w:rsidR="004C2C77" w:rsidRPr="0009445C" w14:paraId="4548EB1D" w14:textId="77777777" w:rsidTr="004C2C77">
        <w:trPr>
          <w:cantSplit/>
        </w:trPr>
        <w:tc>
          <w:tcPr>
            <w:tcW w:w="1418" w:type="dxa"/>
            <w:vMerge/>
            <w:tcBorders>
              <w:left w:val="single" w:sz="4" w:space="0" w:color="auto"/>
              <w:bottom w:val="nil"/>
            </w:tcBorders>
            <w:shd w:val="clear" w:color="auto" w:fill="FFFFFF"/>
          </w:tcPr>
          <w:p w14:paraId="3BB1F1B5" w14:textId="77777777" w:rsidR="004C2C77" w:rsidRPr="0009445C" w:rsidRDefault="004C2C77" w:rsidP="004C2C77">
            <w:pPr>
              <w:spacing w:before="100" w:line="240" w:lineRule="auto"/>
              <w:ind w:left="113" w:right="113"/>
              <w:rPr>
                <w:szCs w:val="18"/>
              </w:rPr>
            </w:pPr>
          </w:p>
        </w:tc>
        <w:tc>
          <w:tcPr>
            <w:tcW w:w="2908" w:type="dxa"/>
            <w:tcBorders>
              <w:top w:val="single" w:sz="2" w:space="0" w:color="595959"/>
              <w:bottom w:val="single" w:sz="4" w:space="0" w:color="auto"/>
              <w:right w:val="single" w:sz="4" w:space="0" w:color="auto"/>
            </w:tcBorders>
            <w:shd w:val="clear" w:color="auto" w:fill="auto"/>
          </w:tcPr>
          <w:p w14:paraId="34927A3B" w14:textId="77777777" w:rsidR="004C2C77" w:rsidRPr="0009445C" w:rsidRDefault="004C2C77" w:rsidP="004C2C77">
            <w:pPr>
              <w:spacing w:before="40" w:after="40" w:line="240" w:lineRule="auto"/>
              <w:ind w:left="113" w:right="113"/>
              <w:rPr>
                <w:szCs w:val="18"/>
              </w:rPr>
            </w:pPr>
            <w:r w:rsidRPr="0009445C">
              <w:t>Chromium, total (Cr)</w:t>
            </w:r>
          </w:p>
        </w:tc>
        <w:tc>
          <w:tcPr>
            <w:tcW w:w="2367" w:type="dxa"/>
            <w:tcBorders>
              <w:top w:val="single" w:sz="2" w:space="0" w:color="595959"/>
              <w:bottom w:val="single" w:sz="4" w:space="0" w:color="auto"/>
              <w:right w:val="single" w:sz="4" w:space="0" w:color="auto"/>
            </w:tcBorders>
            <w:shd w:val="clear" w:color="auto" w:fill="auto"/>
          </w:tcPr>
          <w:p w14:paraId="7267FC3A" w14:textId="77777777" w:rsidR="004C2C77" w:rsidRPr="0009445C" w:rsidRDefault="004C2C77" w:rsidP="004C2C77">
            <w:pPr>
              <w:spacing w:before="40" w:after="40" w:line="240" w:lineRule="auto"/>
              <w:ind w:left="113" w:right="113"/>
              <w:rPr>
                <w:szCs w:val="18"/>
              </w:rPr>
            </w:pPr>
            <w:r w:rsidRPr="0009445C">
              <w:t>µg/l</w:t>
            </w:r>
          </w:p>
        </w:tc>
        <w:tc>
          <w:tcPr>
            <w:tcW w:w="2367" w:type="dxa"/>
            <w:tcBorders>
              <w:top w:val="single" w:sz="2" w:space="0" w:color="595959"/>
              <w:bottom w:val="single" w:sz="4" w:space="0" w:color="auto"/>
              <w:right w:val="single" w:sz="4" w:space="0" w:color="auto"/>
            </w:tcBorders>
            <w:shd w:val="clear" w:color="auto" w:fill="auto"/>
          </w:tcPr>
          <w:p w14:paraId="1A443243" w14:textId="77777777" w:rsidR="004C2C77" w:rsidRPr="0009445C" w:rsidRDefault="004C2C77" w:rsidP="004C2C77">
            <w:pPr>
              <w:spacing w:before="40" w:after="40" w:line="240" w:lineRule="auto"/>
              <w:ind w:left="113" w:right="113"/>
              <w:rPr>
                <w:szCs w:val="18"/>
              </w:rPr>
            </w:pPr>
            <w:r w:rsidRPr="0009445C">
              <w:t>100</w:t>
            </w:r>
          </w:p>
        </w:tc>
      </w:tr>
      <w:tr w:rsidR="004C2C77" w:rsidRPr="0009445C" w14:paraId="1EB98D61" w14:textId="77777777" w:rsidTr="004C2C77">
        <w:trPr>
          <w:cantSplit/>
        </w:trPr>
        <w:tc>
          <w:tcPr>
            <w:tcW w:w="1418" w:type="dxa"/>
            <w:vMerge/>
            <w:tcBorders>
              <w:left w:val="single" w:sz="4" w:space="0" w:color="auto"/>
              <w:bottom w:val="nil"/>
            </w:tcBorders>
            <w:shd w:val="clear" w:color="auto" w:fill="FFFFFF"/>
          </w:tcPr>
          <w:p w14:paraId="197088E9"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0D41102A" w14:textId="77777777" w:rsidR="004C2C77" w:rsidRPr="0009445C" w:rsidRDefault="004C2C77" w:rsidP="004C2C77">
            <w:pPr>
              <w:spacing w:before="40" w:after="40" w:line="240" w:lineRule="auto"/>
              <w:ind w:left="113" w:right="113"/>
              <w:rPr>
                <w:szCs w:val="18"/>
              </w:rPr>
            </w:pPr>
            <w:r w:rsidRPr="0009445C">
              <w:t>Copper (Cu)</w:t>
            </w:r>
          </w:p>
        </w:tc>
        <w:tc>
          <w:tcPr>
            <w:tcW w:w="2367" w:type="dxa"/>
            <w:tcBorders>
              <w:bottom w:val="single" w:sz="2" w:space="0" w:color="595959"/>
              <w:right w:val="single" w:sz="4" w:space="0" w:color="auto"/>
            </w:tcBorders>
            <w:shd w:val="clear" w:color="auto" w:fill="auto"/>
          </w:tcPr>
          <w:p w14:paraId="1415D39B"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2463AB91" w14:textId="77777777" w:rsidR="004C2C77" w:rsidRPr="0009445C" w:rsidRDefault="004C2C77" w:rsidP="004C2C77">
            <w:pPr>
              <w:spacing w:before="40" w:after="40" w:line="240" w:lineRule="auto"/>
              <w:ind w:left="113" w:right="113"/>
              <w:rPr>
                <w:szCs w:val="18"/>
              </w:rPr>
            </w:pPr>
            <w:r w:rsidRPr="0009445C">
              <w:t>200</w:t>
            </w:r>
          </w:p>
        </w:tc>
      </w:tr>
      <w:tr w:rsidR="004C2C77" w:rsidRPr="0009445C" w14:paraId="43810ED4" w14:textId="77777777" w:rsidTr="004C2C77">
        <w:trPr>
          <w:cantSplit/>
        </w:trPr>
        <w:tc>
          <w:tcPr>
            <w:tcW w:w="1418" w:type="dxa"/>
            <w:vMerge/>
            <w:tcBorders>
              <w:left w:val="single" w:sz="4" w:space="0" w:color="auto"/>
              <w:bottom w:val="nil"/>
            </w:tcBorders>
            <w:shd w:val="clear" w:color="auto" w:fill="FFFFFF"/>
          </w:tcPr>
          <w:p w14:paraId="4F718274" w14:textId="77777777" w:rsidR="004C2C77" w:rsidRPr="0009445C" w:rsidRDefault="004C2C77" w:rsidP="004C2C77">
            <w:pPr>
              <w:spacing w:before="100" w:line="240" w:lineRule="auto"/>
              <w:ind w:left="113" w:right="113"/>
              <w:rPr>
                <w:szCs w:val="18"/>
              </w:rPr>
            </w:pPr>
          </w:p>
        </w:tc>
        <w:tc>
          <w:tcPr>
            <w:tcW w:w="2908" w:type="dxa"/>
            <w:tcBorders>
              <w:top w:val="single" w:sz="2" w:space="0" w:color="595959"/>
              <w:bottom w:val="single" w:sz="4" w:space="0" w:color="auto"/>
              <w:right w:val="single" w:sz="4" w:space="0" w:color="auto"/>
            </w:tcBorders>
            <w:shd w:val="clear" w:color="auto" w:fill="auto"/>
          </w:tcPr>
          <w:p w14:paraId="50A6692B" w14:textId="77777777" w:rsidR="004C2C77" w:rsidRPr="0009445C" w:rsidRDefault="004C2C77" w:rsidP="004C2C77">
            <w:pPr>
              <w:spacing w:before="40" w:after="40" w:line="240" w:lineRule="auto"/>
              <w:ind w:left="113" w:right="113"/>
              <w:rPr>
                <w:szCs w:val="18"/>
              </w:rPr>
            </w:pPr>
            <w:r w:rsidRPr="0009445C">
              <w:t>Nickel (Ni)</w:t>
            </w:r>
          </w:p>
        </w:tc>
        <w:tc>
          <w:tcPr>
            <w:tcW w:w="2367" w:type="dxa"/>
            <w:tcBorders>
              <w:top w:val="single" w:sz="2" w:space="0" w:color="595959"/>
              <w:bottom w:val="single" w:sz="4" w:space="0" w:color="auto"/>
              <w:right w:val="single" w:sz="4" w:space="0" w:color="auto"/>
            </w:tcBorders>
            <w:shd w:val="clear" w:color="auto" w:fill="auto"/>
          </w:tcPr>
          <w:p w14:paraId="1B1D65F9" w14:textId="77777777" w:rsidR="004C2C77" w:rsidRPr="0009445C" w:rsidRDefault="004C2C77" w:rsidP="004C2C77">
            <w:pPr>
              <w:spacing w:before="40" w:after="40" w:line="240" w:lineRule="auto"/>
              <w:ind w:left="113" w:right="113"/>
              <w:rPr>
                <w:szCs w:val="18"/>
              </w:rPr>
            </w:pPr>
            <w:r w:rsidRPr="0009445C">
              <w:t>µg/l</w:t>
            </w:r>
          </w:p>
        </w:tc>
        <w:tc>
          <w:tcPr>
            <w:tcW w:w="2367" w:type="dxa"/>
            <w:tcBorders>
              <w:top w:val="single" w:sz="2" w:space="0" w:color="595959"/>
              <w:bottom w:val="single" w:sz="4" w:space="0" w:color="auto"/>
              <w:right w:val="single" w:sz="4" w:space="0" w:color="auto"/>
            </w:tcBorders>
            <w:shd w:val="clear" w:color="auto" w:fill="auto"/>
          </w:tcPr>
          <w:p w14:paraId="51DDC2A5" w14:textId="77777777" w:rsidR="004C2C77" w:rsidRPr="0009445C" w:rsidRDefault="004C2C77" w:rsidP="004C2C77">
            <w:pPr>
              <w:spacing w:before="40" w:after="40" w:line="240" w:lineRule="auto"/>
              <w:ind w:left="113" w:right="113"/>
              <w:rPr>
                <w:szCs w:val="18"/>
              </w:rPr>
            </w:pPr>
            <w:r w:rsidRPr="0009445C">
              <w:t>100</w:t>
            </w:r>
          </w:p>
        </w:tc>
      </w:tr>
      <w:tr w:rsidR="004C2C77" w:rsidRPr="0009445C" w14:paraId="3D7C3FDA" w14:textId="77777777" w:rsidTr="004C2C77">
        <w:trPr>
          <w:cantSplit/>
        </w:trPr>
        <w:tc>
          <w:tcPr>
            <w:tcW w:w="1418" w:type="dxa"/>
            <w:vMerge/>
            <w:tcBorders>
              <w:left w:val="single" w:sz="4" w:space="0" w:color="auto"/>
              <w:bottom w:val="nil"/>
            </w:tcBorders>
            <w:shd w:val="clear" w:color="auto" w:fill="FFFFFF"/>
          </w:tcPr>
          <w:p w14:paraId="4922C184"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566D160" w14:textId="77777777" w:rsidR="004C2C77" w:rsidRPr="0009445C" w:rsidRDefault="004C2C77" w:rsidP="004C2C77">
            <w:pPr>
              <w:spacing w:before="40" w:after="40" w:line="240" w:lineRule="auto"/>
              <w:ind w:left="113" w:right="113"/>
              <w:rPr>
                <w:szCs w:val="18"/>
              </w:rPr>
            </w:pPr>
            <w:r w:rsidRPr="0009445C">
              <w:t>Mercury (Hg)</w:t>
            </w:r>
          </w:p>
        </w:tc>
        <w:tc>
          <w:tcPr>
            <w:tcW w:w="2367" w:type="dxa"/>
            <w:tcBorders>
              <w:bottom w:val="single" w:sz="2" w:space="0" w:color="595959"/>
              <w:right w:val="single" w:sz="4" w:space="0" w:color="auto"/>
            </w:tcBorders>
            <w:shd w:val="clear" w:color="auto" w:fill="auto"/>
          </w:tcPr>
          <w:p w14:paraId="647B2358"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6307CE25" w14:textId="77777777" w:rsidR="004C2C77" w:rsidRPr="0009445C" w:rsidRDefault="004C2C77" w:rsidP="004C2C77">
            <w:pPr>
              <w:spacing w:before="40" w:after="40" w:line="240" w:lineRule="auto"/>
              <w:ind w:left="113" w:right="113"/>
              <w:rPr>
                <w:szCs w:val="18"/>
              </w:rPr>
            </w:pPr>
            <w:r w:rsidRPr="0009445C">
              <w:t>2</w:t>
            </w:r>
          </w:p>
        </w:tc>
      </w:tr>
      <w:tr w:rsidR="004C2C77" w:rsidRPr="0009445C" w14:paraId="5835A7F4" w14:textId="77777777" w:rsidTr="004C2C77">
        <w:trPr>
          <w:cantSplit/>
        </w:trPr>
        <w:tc>
          <w:tcPr>
            <w:tcW w:w="1418" w:type="dxa"/>
            <w:vMerge/>
            <w:tcBorders>
              <w:left w:val="single" w:sz="4" w:space="0" w:color="auto"/>
              <w:bottom w:val="nil"/>
            </w:tcBorders>
            <w:shd w:val="clear" w:color="auto" w:fill="FFFFFF"/>
          </w:tcPr>
          <w:p w14:paraId="62AA62F0" w14:textId="77777777" w:rsidR="004C2C77" w:rsidRPr="0009445C" w:rsidRDefault="004C2C77" w:rsidP="004C2C77">
            <w:pPr>
              <w:spacing w:before="100" w:line="240" w:lineRule="auto"/>
              <w:ind w:left="113" w:right="113"/>
              <w:rPr>
                <w:szCs w:val="18"/>
              </w:rPr>
            </w:pPr>
          </w:p>
        </w:tc>
        <w:tc>
          <w:tcPr>
            <w:tcW w:w="2908" w:type="dxa"/>
            <w:tcBorders>
              <w:top w:val="single" w:sz="2" w:space="0" w:color="595959"/>
              <w:bottom w:val="single" w:sz="4" w:space="0" w:color="auto"/>
              <w:right w:val="single" w:sz="4" w:space="0" w:color="auto"/>
            </w:tcBorders>
            <w:shd w:val="clear" w:color="auto" w:fill="auto"/>
          </w:tcPr>
          <w:p w14:paraId="3DA27BBC" w14:textId="77777777" w:rsidR="004C2C77" w:rsidRPr="0009445C" w:rsidRDefault="004C2C77" w:rsidP="004C2C77">
            <w:pPr>
              <w:spacing w:before="40" w:after="40" w:line="240" w:lineRule="auto"/>
              <w:ind w:left="113" w:right="113"/>
              <w:rPr>
                <w:szCs w:val="18"/>
              </w:rPr>
            </w:pPr>
            <w:r w:rsidRPr="0009445C">
              <w:t>Zinc (Zn)</w:t>
            </w:r>
          </w:p>
        </w:tc>
        <w:tc>
          <w:tcPr>
            <w:tcW w:w="2367" w:type="dxa"/>
            <w:tcBorders>
              <w:top w:val="single" w:sz="2" w:space="0" w:color="595959"/>
              <w:bottom w:val="single" w:sz="4" w:space="0" w:color="auto"/>
              <w:right w:val="single" w:sz="4" w:space="0" w:color="auto"/>
            </w:tcBorders>
            <w:shd w:val="clear" w:color="auto" w:fill="auto"/>
          </w:tcPr>
          <w:p w14:paraId="1D71C061" w14:textId="77777777" w:rsidR="004C2C77" w:rsidRPr="0009445C" w:rsidRDefault="004C2C77" w:rsidP="004C2C77">
            <w:pPr>
              <w:spacing w:before="40" w:after="40" w:line="240" w:lineRule="auto"/>
              <w:ind w:left="113" w:right="113"/>
              <w:rPr>
                <w:szCs w:val="18"/>
              </w:rPr>
            </w:pPr>
            <w:r w:rsidRPr="0009445C">
              <w:t>µg/l</w:t>
            </w:r>
          </w:p>
        </w:tc>
        <w:tc>
          <w:tcPr>
            <w:tcW w:w="2367" w:type="dxa"/>
            <w:tcBorders>
              <w:top w:val="single" w:sz="2" w:space="0" w:color="595959"/>
              <w:bottom w:val="single" w:sz="4" w:space="0" w:color="auto"/>
              <w:right w:val="single" w:sz="4" w:space="0" w:color="auto"/>
            </w:tcBorders>
            <w:shd w:val="clear" w:color="auto" w:fill="auto"/>
          </w:tcPr>
          <w:p w14:paraId="2FEDFDFD" w14:textId="77777777" w:rsidR="004C2C77" w:rsidRPr="0009445C" w:rsidRDefault="004C2C77" w:rsidP="004C2C77">
            <w:pPr>
              <w:spacing w:before="40" w:after="40" w:line="240" w:lineRule="auto"/>
              <w:ind w:left="113" w:right="113"/>
              <w:rPr>
                <w:szCs w:val="18"/>
              </w:rPr>
            </w:pPr>
            <w:r w:rsidRPr="0009445C">
              <w:t>400</w:t>
            </w:r>
          </w:p>
        </w:tc>
      </w:tr>
      <w:tr w:rsidR="004C2C77" w:rsidRPr="0009445C" w14:paraId="02D928BF" w14:textId="77777777" w:rsidTr="004C2C77">
        <w:trPr>
          <w:cantSplit/>
        </w:trPr>
        <w:tc>
          <w:tcPr>
            <w:tcW w:w="1418" w:type="dxa"/>
            <w:vMerge/>
            <w:tcBorders>
              <w:left w:val="single" w:sz="4" w:space="0" w:color="auto"/>
              <w:bottom w:val="nil"/>
            </w:tcBorders>
            <w:shd w:val="clear" w:color="auto" w:fill="FFFFFF"/>
          </w:tcPr>
          <w:p w14:paraId="1D791BB3"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4A28769F" w14:textId="77777777" w:rsidR="004C2C77" w:rsidRPr="0009445C" w:rsidRDefault="004C2C77" w:rsidP="004C2C77">
            <w:pPr>
              <w:spacing w:before="40" w:after="40" w:line="240" w:lineRule="auto"/>
              <w:ind w:left="113" w:right="113"/>
              <w:rPr>
                <w:szCs w:val="18"/>
              </w:rPr>
            </w:pPr>
            <w:r w:rsidRPr="0009445C">
              <w:t>Chloride (Cl</w:t>
            </w:r>
            <w:r w:rsidRPr="0009445C">
              <w:rPr>
                <w:vertAlign w:val="superscript"/>
              </w:rPr>
              <w:t>-</w:t>
            </w:r>
            <w:r w:rsidRPr="0009445C">
              <w:t>)</w:t>
            </w:r>
          </w:p>
        </w:tc>
        <w:tc>
          <w:tcPr>
            <w:tcW w:w="2367" w:type="dxa"/>
            <w:tcBorders>
              <w:bottom w:val="single" w:sz="2" w:space="0" w:color="595959"/>
              <w:right w:val="single" w:sz="4" w:space="0" w:color="auto"/>
            </w:tcBorders>
            <w:shd w:val="clear" w:color="auto" w:fill="auto"/>
          </w:tcPr>
          <w:p w14:paraId="0D5B8E60" w14:textId="77777777" w:rsidR="004C2C77" w:rsidRPr="0009445C" w:rsidRDefault="004C2C77" w:rsidP="004C2C77">
            <w:pPr>
              <w:spacing w:before="40" w:after="40" w:line="240" w:lineRule="auto"/>
              <w:ind w:left="113" w:right="113"/>
              <w:rPr>
                <w:szCs w:val="18"/>
              </w:rPr>
            </w:pPr>
            <w:r w:rsidRPr="0009445C">
              <w:t>mg/l</w:t>
            </w:r>
          </w:p>
        </w:tc>
        <w:tc>
          <w:tcPr>
            <w:tcW w:w="2367" w:type="dxa"/>
            <w:tcBorders>
              <w:bottom w:val="single" w:sz="2" w:space="0" w:color="595959"/>
              <w:right w:val="single" w:sz="4" w:space="0" w:color="auto"/>
            </w:tcBorders>
            <w:shd w:val="clear" w:color="auto" w:fill="auto"/>
          </w:tcPr>
          <w:p w14:paraId="0C71BFD6" w14:textId="77777777" w:rsidR="004C2C77" w:rsidRPr="0009445C" w:rsidRDefault="004C2C77" w:rsidP="004C2C77">
            <w:pPr>
              <w:spacing w:before="40" w:after="40" w:line="240" w:lineRule="auto"/>
              <w:ind w:left="113" w:right="113"/>
              <w:rPr>
                <w:szCs w:val="18"/>
              </w:rPr>
            </w:pPr>
            <w:r w:rsidRPr="0009445C">
              <w:t>150</w:t>
            </w:r>
          </w:p>
        </w:tc>
      </w:tr>
      <w:tr w:rsidR="004C2C77" w:rsidRPr="0009445C" w14:paraId="413C38A1" w14:textId="77777777" w:rsidTr="004C2C77">
        <w:trPr>
          <w:cantSplit/>
        </w:trPr>
        <w:tc>
          <w:tcPr>
            <w:tcW w:w="1418" w:type="dxa"/>
            <w:vMerge/>
            <w:tcBorders>
              <w:left w:val="single" w:sz="4" w:space="0" w:color="auto"/>
              <w:bottom w:val="nil"/>
            </w:tcBorders>
            <w:shd w:val="clear" w:color="auto" w:fill="FFFFFF"/>
          </w:tcPr>
          <w:p w14:paraId="5FFCDD1C"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02BB5E15" w14:textId="77777777" w:rsidR="004C2C77" w:rsidRPr="0009445C" w:rsidRDefault="004C2C77" w:rsidP="004C2C77">
            <w:pPr>
              <w:spacing w:before="40" w:after="40" w:line="240" w:lineRule="auto"/>
              <w:ind w:left="113" w:right="113"/>
              <w:rPr>
                <w:szCs w:val="18"/>
              </w:rPr>
            </w:pPr>
            <w:r w:rsidRPr="0009445C">
              <w:t>Sulphate (SO</w:t>
            </w:r>
            <w:r w:rsidRPr="0009445C">
              <w:rPr>
                <w:vertAlign w:val="subscript"/>
              </w:rPr>
              <w:t>4</w:t>
            </w:r>
            <w:r w:rsidRPr="0009445C">
              <w:rPr>
                <w:vertAlign w:val="superscript"/>
              </w:rPr>
              <w:t>2-</w:t>
            </w:r>
            <w:r w:rsidRPr="0009445C">
              <w:t>)</w:t>
            </w:r>
          </w:p>
        </w:tc>
        <w:tc>
          <w:tcPr>
            <w:tcW w:w="2367" w:type="dxa"/>
            <w:tcBorders>
              <w:bottom w:val="single" w:sz="2" w:space="0" w:color="595959"/>
              <w:right w:val="single" w:sz="4" w:space="0" w:color="auto"/>
            </w:tcBorders>
            <w:shd w:val="clear" w:color="auto" w:fill="auto"/>
          </w:tcPr>
          <w:p w14:paraId="69150D1D" w14:textId="77777777" w:rsidR="004C2C77" w:rsidRPr="0009445C" w:rsidRDefault="004C2C77" w:rsidP="004C2C77">
            <w:pPr>
              <w:spacing w:before="40" w:after="40" w:line="240" w:lineRule="auto"/>
              <w:ind w:left="113" w:right="113"/>
              <w:rPr>
                <w:szCs w:val="18"/>
              </w:rPr>
            </w:pPr>
            <w:r w:rsidRPr="0009445C">
              <w:t>mg/l</w:t>
            </w:r>
          </w:p>
        </w:tc>
        <w:tc>
          <w:tcPr>
            <w:tcW w:w="2367" w:type="dxa"/>
            <w:tcBorders>
              <w:bottom w:val="single" w:sz="2" w:space="0" w:color="595959"/>
              <w:right w:val="single" w:sz="4" w:space="0" w:color="auto"/>
            </w:tcBorders>
            <w:shd w:val="clear" w:color="auto" w:fill="auto"/>
          </w:tcPr>
          <w:p w14:paraId="67A5084C" w14:textId="77777777" w:rsidR="004C2C77" w:rsidRPr="0009445C" w:rsidRDefault="004C2C77" w:rsidP="004C2C77">
            <w:pPr>
              <w:spacing w:before="40" w:after="40" w:line="240" w:lineRule="auto"/>
              <w:ind w:left="113" w:right="113"/>
              <w:rPr>
                <w:szCs w:val="18"/>
              </w:rPr>
            </w:pPr>
            <w:r w:rsidRPr="0009445C">
              <w:t>600</w:t>
            </w:r>
          </w:p>
        </w:tc>
      </w:tr>
      <w:tr w:rsidR="004C2C77" w:rsidRPr="0009445C" w14:paraId="7AF7FC84" w14:textId="77777777" w:rsidTr="004C2C77">
        <w:trPr>
          <w:cantSplit/>
        </w:trPr>
        <w:tc>
          <w:tcPr>
            <w:tcW w:w="1418" w:type="dxa"/>
            <w:vMerge/>
            <w:tcBorders>
              <w:left w:val="single" w:sz="4" w:space="0" w:color="auto"/>
              <w:bottom w:val="nil"/>
            </w:tcBorders>
            <w:shd w:val="clear" w:color="auto" w:fill="FFFFFF"/>
          </w:tcPr>
          <w:p w14:paraId="3E555D58"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6BEABF2D" w14:textId="77777777" w:rsidR="004C2C77" w:rsidRPr="0009445C" w:rsidRDefault="004C2C77" w:rsidP="004C2C77">
            <w:pPr>
              <w:spacing w:before="40" w:after="40" w:line="240" w:lineRule="auto"/>
              <w:ind w:left="113" w:right="113"/>
              <w:rPr>
                <w:szCs w:val="18"/>
              </w:rPr>
            </w:pPr>
            <w:r w:rsidRPr="0009445C">
              <w:t>Phenol index</w:t>
            </w:r>
          </w:p>
        </w:tc>
        <w:tc>
          <w:tcPr>
            <w:tcW w:w="2367" w:type="dxa"/>
            <w:tcBorders>
              <w:bottom w:val="single" w:sz="2" w:space="0" w:color="595959"/>
              <w:right w:val="single" w:sz="4" w:space="0" w:color="auto"/>
            </w:tcBorders>
            <w:shd w:val="clear" w:color="auto" w:fill="auto"/>
          </w:tcPr>
          <w:p w14:paraId="27B502C2"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6637850C" w14:textId="77777777" w:rsidR="004C2C77" w:rsidRPr="0009445C" w:rsidRDefault="004C2C77" w:rsidP="004C2C77">
            <w:pPr>
              <w:spacing w:before="40" w:after="40" w:line="240" w:lineRule="auto"/>
              <w:ind w:left="113" w:right="113"/>
              <w:rPr>
                <w:szCs w:val="18"/>
              </w:rPr>
            </w:pPr>
            <w:r w:rsidRPr="0009445C">
              <w:t>100</w:t>
            </w:r>
          </w:p>
        </w:tc>
      </w:tr>
      <w:tr w:rsidR="004C2C77" w:rsidRPr="0009445C" w14:paraId="5DC821C7" w14:textId="77777777" w:rsidTr="004C2C77">
        <w:trPr>
          <w:cantSplit/>
        </w:trPr>
        <w:tc>
          <w:tcPr>
            <w:tcW w:w="1418" w:type="dxa"/>
            <w:vMerge/>
            <w:tcBorders>
              <w:left w:val="single" w:sz="4" w:space="0" w:color="auto"/>
              <w:bottom w:val="nil"/>
            </w:tcBorders>
            <w:shd w:val="clear" w:color="auto" w:fill="FFFFFF"/>
          </w:tcPr>
          <w:p w14:paraId="169F4805"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779AA93A" w14:textId="77777777" w:rsidR="004C2C77" w:rsidRPr="0009445C" w:rsidRDefault="004C2C77" w:rsidP="004C2C77">
            <w:pPr>
              <w:spacing w:before="40" w:after="40" w:line="240" w:lineRule="auto"/>
              <w:ind w:left="113" w:right="113"/>
              <w:rPr>
                <w:szCs w:val="18"/>
              </w:rPr>
            </w:pPr>
            <w:r w:rsidRPr="0009445C">
              <w:t>Atrazine*</w:t>
            </w:r>
          </w:p>
        </w:tc>
        <w:tc>
          <w:tcPr>
            <w:tcW w:w="2367" w:type="dxa"/>
            <w:tcBorders>
              <w:bottom w:val="single" w:sz="2" w:space="0" w:color="595959"/>
              <w:right w:val="single" w:sz="4" w:space="0" w:color="auto"/>
            </w:tcBorders>
            <w:shd w:val="clear" w:color="auto" w:fill="auto"/>
          </w:tcPr>
          <w:p w14:paraId="035B05DE"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55FCC96C"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5EDFACFD" w14:textId="77777777" w:rsidTr="004C2C77">
        <w:trPr>
          <w:cantSplit/>
        </w:trPr>
        <w:tc>
          <w:tcPr>
            <w:tcW w:w="1418" w:type="dxa"/>
            <w:vMerge/>
            <w:tcBorders>
              <w:left w:val="single" w:sz="4" w:space="0" w:color="auto"/>
              <w:bottom w:val="nil"/>
            </w:tcBorders>
            <w:shd w:val="clear" w:color="auto" w:fill="FFFFFF"/>
          </w:tcPr>
          <w:p w14:paraId="61C4BE8F"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3CF6A09" w14:textId="77777777" w:rsidR="004C2C77" w:rsidRPr="0009445C" w:rsidRDefault="004C2C77" w:rsidP="004C2C77">
            <w:pPr>
              <w:spacing w:before="40" w:after="40" w:line="240" w:lineRule="auto"/>
              <w:ind w:left="113" w:right="113"/>
              <w:rPr>
                <w:szCs w:val="18"/>
              </w:rPr>
            </w:pPr>
            <w:proofErr w:type="spellStart"/>
            <w:r w:rsidRPr="0009445C">
              <w:t>Bromacil</w:t>
            </w:r>
            <w:proofErr w:type="spellEnd"/>
            <w:r w:rsidRPr="0009445C">
              <w:t>*</w:t>
            </w:r>
          </w:p>
        </w:tc>
        <w:tc>
          <w:tcPr>
            <w:tcW w:w="2367" w:type="dxa"/>
            <w:tcBorders>
              <w:bottom w:val="single" w:sz="2" w:space="0" w:color="595959"/>
              <w:right w:val="single" w:sz="4" w:space="0" w:color="auto"/>
            </w:tcBorders>
            <w:shd w:val="clear" w:color="auto" w:fill="auto"/>
          </w:tcPr>
          <w:p w14:paraId="5723BF4C"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116EB342"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6F1B4A0F" w14:textId="77777777" w:rsidTr="004C2C77">
        <w:trPr>
          <w:cantSplit/>
        </w:trPr>
        <w:tc>
          <w:tcPr>
            <w:tcW w:w="1418" w:type="dxa"/>
            <w:vMerge/>
            <w:tcBorders>
              <w:left w:val="single" w:sz="4" w:space="0" w:color="auto"/>
              <w:bottom w:val="nil"/>
            </w:tcBorders>
            <w:shd w:val="clear" w:color="auto" w:fill="FFFFFF"/>
          </w:tcPr>
          <w:p w14:paraId="45FC40B9"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794BD8BD" w14:textId="77777777" w:rsidR="004C2C77" w:rsidRPr="0009445C" w:rsidRDefault="004C2C77" w:rsidP="004C2C77">
            <w:pPr>
              <w:spacing w:before="40" w:after="40" w:line="240" w:lineRule="auto"/>
              <w:ind w:left="113" w:right="113"/>
              <w:rPr>
                <w:szCs w:val="18"/>
              </w:rPr>
            </w:pPr>
            <w:r w:rsidRPr="0009445C">
              <w:t>Diuron*</w:t>
            </w:r>
          </w:p>
        </w:tc>
        <w:tc>
          <w:tcPr>
            <w:tcW w:w="2367" w:type="dxa"/>
            <w:tcBorders>
              <w:bottom w:val="single" w:sz="2" w:space="0" w:color="595959"/>
              <w:right w:val="single" w:sz="4" w:space="0" w:color="auto"/>
            </w:tcBorders>
            <w:shd w:val="clear" w:color="auto" w:fill="auto"/>
          </w:tcPr>
          <w:p w14:paraId="6DC6BB33"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7C088D22"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0809C266" w14:textId="77777777" w:rsidTr="004C2C77">
        <w:trPr>
          <w:cantSplit/>
        </w:trPr>
        <w:tc>
          <w:tcPr>
            <w:tcW w:w="1418" w:type="dxa"/>
            <w:vMerge/>
            <w:tcBorders>
              <w:left w:val="single" w:sz="4" w:space="0" w:color="auto"/>
              <w:bottom w:val="nil"/>
            </w:tcBorders>
            <w:shd w:val="clear" w:color="auto" w:fill="FFFFFF"/>
          </w:tcPr>
          <w:p w14:paraId="04F51345"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48F0EE3F" w14:textId="77777777" w:rsidR="004C2C77" w:rsidRPr="0009445C" w:rsidRDefault="004C2C77" w:rsidP="004C2C77">
            <w:pPr>
              <w:spacing w:before="40" w:after="40" w:line="240" w:lineRule="auto"/>
              <w:ind w:left="113" w:right="113"/>
              <w:rPr>
                <w:szCs w:val="18"/>
              </w:rPr>
            </w:pPr>
            <w:r w:rsidRPr="0009445C">
              <w:t>Glyphosate*</w:t>
            </w:r>
          </w:p>
        </w:tc>
        <w:tc>
          <w:tcPr>
            <w:tcW w:w="2367" w:type="dxa"/>
            <w:tcBorders>
              <w:bottom w:val="single" w:sz="2" w:space="0" w:color="595959"/>
              <w:right w:val="single" w:sz="4" w:space="0" w:color="auto"/>
            </w:tcBorders>
            <w:shd w:val="clear" w:color="auto" w:fill="auto"/>
          </w:tcPr>
          <w:p w14:paraId="5DF0B8DB"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76F09ED1"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14484986" w14:textId="77777777" w:rsidTr="004C2C77">
        <w:trPr>
          <w:cantSplit/>
        </w:trPr>
        <w:tc>
          <w:tcPr>
            <w:tcW w:w="1418" w:type="dxa"/>
            <w:vMerge/>
            <w:tcBorders>
              <w:left w:val="single" w:sz="4" w:space="0" w:color="auto"/>
              <w:bottom w:val="nil"/>
            </w:tcBorders>
            <w:shd w:val="clear" w:color="auto" w:fill="FFFFFF"/>
          </w:tcPr>
          <w:p w14:paraId="797369F0"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BB426CE" w14:textId="77777777" w:rsidR="004C2C77" w:rsidRPr="0009445C" w:rsidRDefault="004C2C77" w:rsidP="004C2C77">
            <w:pPr>
              <w:spacing w:before="40" w:after="40" w:line="240" w:lineRule="auto"/>
              <w:ind w:left="113" w:right="113"/>
              <w:rPr>
                <w:szCs w:val="18"/>
              </w:rPr>
            </w:pPr>
            <w:r w:rsidRPr="0009445C">
              <w:t>AMPA*</w:t>
            </w:r>
          </w:p>
        </w:tc>
        <w:tc>
          <w:tcPr>
            <w:tcW w:w="2367" w:type="dxa"/>
            <w:tcBorders>
              <w:bottom w:val="single" w:sz="2" w:space="0" w:color="595959"/>
              <w:right w:val="single" w:sz="4" w:space="0" w:color="auto"/>
            </w:tcBorders>
            <w:shd w:val="clear" w:color="auto" w:fill="auto"/>
          </w:tcPr>
          <w:p w14:paraId="2941882D"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5211E9EF"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5D991F0F" w14:textId="77777777" w:rsidTr="004C2C77">
        <w:trPr>
          <w:cantSplit/>
        </w:trPr>
        <w:tc>
          <w:tcPr>
            <w:tcW w:w="1418" w:type="dxa"/>
            <w:vMerge/>
            <w:tcBorders>
              <w:left w:val="single" w:sz="4" w:space="0" w:color="auto"/>
              <w:bottom w:val="nil"/>
            </w:tcBorders>
            <w:shd w:val="clear" w:color="auto" w:fill="FFFFFF"/>
          </w:tcPr>
          <w:p w14:paraId="34394909"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14B3B052" w14:textId="77777777" w:rsidR="004C2C77" w:rsidRPr="0009445C" w:rsidRDefault="004C2C77" w:rsidP="004C2C77">
            <w:pPr>
              <w:spacing w:before="40" w:after="40" w:line="240" w:lineRule="auto"/>
              <w:ind w:left="113" w:right="113"/>
              <w:rPr>
                <w:szCs w:val="18"/>
              </w:rPr>
            </w:pPr>
            <w:r w:rsidRPr="0009445C">
              <w:t>Simazine*</w:t>
            </w:r>
          </w:p>
        </w:tc>
        <w:tc>
          <w:tcPr>
            <w:tcW w:w="2367" w:type="dxa"/>
            <w:tcBorders>
              <w:bottom w:val="single" w:sz="2" w:space="0" w:color="595959"/>
              <w:right w:val="single" w:sz="4" w:space="0" w:color="auto"/>
            </w:tcBorders>
            <w:shd w:val="clear" w:color="auto" w:fill="auto"/>
          </w:tcPr>
          <w:p w14:paraId="4C7FE94B"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6225C23A"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1667D310" w14:textId="77777777" w:rsidTr="004C2C77">
        <w:trPr>
          <w:cantSplit/>
        </w:trPr>
        <w:tc>
          <w:tcPr>
            <w:tcW w:w="1418" w:type="dxa"/>
            <w:vMerge/>
            <w:tcBorders>
              <w:left w:val="single" w:sz="4" w:space="0" w:color="auto"/>
              <w:bottom w:val="nil"/>
            </w:tcBorders>
            <w:shd w:val="clear" w:color="auto" w:fill="FFFFFF"/>
          </w:tcPr>
          <w:p w14:paraId="5649632E"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86EC8A8" w14:textId="77777777" w:rsidR="004C2C77" w:rsidRPr="0009445C" w:rsidRDefault="004C2C77" w:rsidP="004C2C77">
            <w:pPr>
              <w:spacing w:before="40" w:after="40" w:line="240" w:lineRule="auto"/>
              <w:ind w:left="113" w:right="113"/>
              <w:rPr>
                <w:szCs w:val="18"/>
              </w:rPr>
            </w:pPr>
            <w:proofErr w:type="spellStart"/>
            <w:r w:rsidRPr="0009445C">
              <w:t>Dimefurone</w:t>
            </w:r>
            <w:proofErr w:type="spellEnd"/>
            <w:r w:rsidRPr="0009445C">
              <w:t>*</w:t>
            </w:r>
          </w:p>
        </w:tc>
        <w:tc>
          <w:tcPr>
            <w:tcW w:w="2367" w:type="dxa"/>
            <w:tcBorders>
              <w:bottom w:val="single" w:sz="2" w:space="0" w:color="595959"/>
              <w:right w:val="single" w:sz="4" w:space="0" w:color="auto"/>
            </w:tcBorders>
            <w:shd w:val="clear" w:color="auto" w:fill="auto"/>
          </w:tcPr>
          <w:p w14:paraId="2D14B2EB"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0E20ABB4"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6A67D08B" w14:textId="77777777" w:rsidTr="004C2C77">
        <w:trPr>
          <w:cantSplit/>
        </w:trPr>
        <w:tc>
          <w:tcPr>
            <w:tcW w:w="1418" w:type="dxa"/>
            <w:vMerge/>
            <w:tcBorders>
              <w:left w:val="single" w:sz="4" w:space="0" w:color="auto"/>
              <w:bottom w:val="nil"/>
            </w:tcBorders>
            <w:shd w:val="clear" w:color="auto" w:fill="FFFFFF"/>
          </w:tcPr>
          <w:p w14:paraId="2818C8E8"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9E039AE" w14:textId="77777777" w:rsidR="004C2C77" w:rsidRPr="0009445C" w:rsidRDefault="004C2C77" w:rsidP="004C2C77">
            <w:pPr>
              <w:spacing w:before="40" w:after="40" w:line="240" w:lineRule="auto"/>
              <w:ind w:left="113" w:right="113"/>
              <w:rPr>
                <w:szCs w:val="18"/>
              </w:rPr>
            </w:pPr>
            <w:proofErr w:type="spellStart"/>
            <w:r w:rsidRPr="0009445C">
              <w:t>Flazasulfuron</w:t>
            </w:r>
            <w:proofErr w:type="spellEnd"/>
            <w:r w:rsidRPr="0009445C">
              <w:t>*</w:t>
            </w:r>
          </w:p>
        </w:tc>
        <w:tc>
          <w:tcPr>
            <w:tcW w:w="2367" w:type="dxa"/>
            <w:tcBorders>
              <w:bottom w:val="single" w:sz="2" w:space="0" w:color="595959"/>
              <w:right w:val="single" w:sz="4" w:space="0" w:color="auto"/>
            </w:tcBorders>
            <w:shd w:val="clear" w:color="auto" w:fill="auto"/>
          </w:tcPr>
          <w:p w14:paraId="0A11BA68"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6528D45D"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04CB03A2" w14:textId="77777777" w:rsidTr="004C2C77">
        <w:trPr>
          <w:cantSplit/>
        </w:trPr>
        <w:tc>
          <w:tcPr>
            <w:tcW w:w="1418" w:type="dxa"/>
            <w:vMerge/>
            <w:tcBorders>
              <w:left w:val="single" w:sz="4" w:space="0" w:color="auto"/>
              <w:bottom w:val="nil"/>
            </w:tcBorders>
            <w:shd w:val="clear" w:color="auto" w:fill="FFFFFF"/>
          </w:tcPr>
          <w:p w14:paraId="2BB85FC1"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B3E413C" w14:textId="77777777" w:rsidR="004C2C77" w:rsidRPr="0009445C" w:rsidRDefault="004C2C77" w:rsidP="004C2C77">
            <w:pPr>
              <w:spacing w:before="40" w:after="40" w:line="240" w:lineRule="auto"/>
              <w:ind w:left="113" w:right="113"/>
              <w:rPr>
                <w:szCs w:val="18"/>
              </w:rPr>
            </w:pPr>
            <w:proofErr w:type="spellStart"/>
            <w:r w:rsidRPr="0009445C">
              <w:t>Flumioxazine</w:t>
            </w:r>
            <w:proofErr w:type="spellEnd"/>
            <w:r w:rsidRPr="0009445C">
              <w:t>*</w:t>
            </w:r>
          </w:p>
        </w:tc>
        <w:tc>
          <w:tcPr>
            <w:tcW w:w="2367" w:type="dxa"/>
            <w:tcBorders>
              <w:bottom w:val="single" w:sz="2" w:space="0" w:color="595959"/>
              <w:right w:val="single" w:sz="4" w:space="0" w:color="auto"/>
            </w:tcBorders>
            <w:shd w:val="clear" w:color="auto" w:fill="auto"/>
          </w:tcPr>
          <w:p w14:paraId="7E5977A1"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494F5DB7"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784B0067" w14:textId="77777777" w:rsidTr="004C2C77">
        <w:trPr>
          <w:cantSplit/>
        </w:trPr>
        <w:tc>
          <w:tcPr>
            <w:tcW w:w="1418" w:type="dxa"/>
            <w:vMerge/>
            <w:tcBorders>
              <w:left w:val="single" w:sz="4" w:space="0" w:color="auto"/>
              <w:bottom w:val="nil"/>
            </w:tcBorders>
            <w:shd w:val="clear" w:color="auto" w:fill="FFFFFF"/>
          </w:tcPr>
          <w:p w14:paraId="7B5722A2"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58D89750" w14:textId="77777777" w:rsidR="004C2C77" w:rsidRPr="0009445C" w:rsidRDefault="004C2C77" w:rsidP="004C2C77">
            <w:pPr>
              <w:spacing w:before="40" w:after="40" w:line="240" w:lineRule="auto"/>
              <w:ind w:left="113" w:right="113"/>
              <w:rPr>
                <w:szCs w:val="18"/>
              </w:rPr>
            </w:pPr>
            <w:proofErr w:type="spellStart"/>
            <w:r w:rsidRPr="0009445C">
              <w:t>Ethidimuron</w:t>
            </w:r>
            <w:proofErr w:type="spellEnd"/>
            <w:r w:rsidRPr="0009445C">
              <w:t>*</w:t>
            </w:r>
          </w:p>
        </w:tc>
        <w:tc>
          <w:tcPr>
            <w:tcW w:w="2367" w:type="dxa"/>
            <w:tcBorders>
              <w:bottom w:val="single" w:sz="2" w:space="0" w:color="595959"/>
              <w:right w:val="single" w:sz="4" w:space="0" w:color="auto"/>
            </w:tcBorders>
            <w:shd w:val="clear" w:color="auto" w:fill="auto"/>
          </w:tcPr>
          <w:p w14:paraId="0831B8A6"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768570F3"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2A234AC5" w14:textId="77777777" w:rsidTr="004C2C77">
        <w:trPr>
          <w:cantSplit/>
        </w:trPr>
        <w:tc>
          <w:tcPr>
            <w:tcW w:w="1418" w:type="dxa"/>
            <w:vMerge/>
            <w:tcBorders>
              <w:left w:val="single" w:sz="4" w:space="0" w:color="auto"/>
              <w:bottom w:val="nil"/>
            </w:tcBorders>
            <w:shd w:val="clear" w:color="auto" w:fill="FFFFFF"/>
          </w:tcPr>
          <w:p w14:paraId="705B5F6F"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7C691471" w14:textId="77777777" w:rsidR="004C2C77" w:rsidRPr="0009445C" w:rsidRDefault="004C2C77" w:rsidP="004C2C77">
            <w:pPr>
              <w:spacing w:before="40" w:after="40" w:line="240" w:lineRule="auto"/>
              <w:ind w:left="113" w:right="113"/>
              <w:rPr>
                <w:szCs w:val="18"/>
              </w:rPr>
            </w:pPr>
            <w:proofErr w:type="spellStart"/>
            <w:r w:rsidRPr="0009445C">
              <w:t>Thiazafluron</w:t>
            </w:r>
            <w:proofErr w:type="spellEnd"/>
            <w:r w:rsidRPr="0009445C">
              <w:t>*</w:t>
            </w:r>
          </w:p>
        </w:tc>
        <w:tc>
          <w:tcPr>
            <w:tcW w:w="2367" w:type="dxa"/>
            <w:tcBorders>
              <w:bottom w:val="single" w:sz="2" w:space="0" w:color="595959"/>
              <w:right w:val="single" w:sz="4" w:space="0" w:color="auto"/>
            </w:tcBorders>
            <w:shd w:val="clear" w:color="auto" w:fill="auto"/>
          </w:tcPr>
          <w:p w14:paraId="66421B46"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111D3FBF"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5C2C097F" w14:textId="77777777" w:rsidTr="004C2C77">
        <w:trPr>
          <w:cantSplit/>
        </w:trPr>
        <w:tc>
          <w:tcPr>
            <w:tcW w:w="1418" w:type="dxa"/>
            <w:vMerge/>
            <w:tcBorders>
              <w:left w:val="single" w:sz="4" w:space="0" w:color="auto"/>
              <w:bottom w:val="nil"/>
            </w:tcBorders>
            <w:shd w:val="clear" w:color="auto" w:fill="FFFFFF"/>
          </w:tcPr>
          <w:p w14:paraId="26F82CE0"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19DE67E4" w14:textId="77777777" w:rsidR="004C2C77" w:rsidRPr="0009445C" w:rsidRDefault="004C2C77" w:rsidP="004C2C77">
            <w:pPr>
              <w:spacing w:before="40" w:after="40" w:line="240" w:lineRule="auto"/>
              <w:ind w:left="113" w:right="113"/>
              <w:rPr>
                <w:szCs w:val="18"/>
              </w:rPr>
            </w:pPr>
            <w:r w:rsidRPr="0009445C">
              <w:t>newly authorised active substances*</w:t>
            </w:r>
          </w:p>
        </w:tc>
        <w:tc>
          <w:tcPr>
            <w:tcW w:w="2367" w:type="dxa"/>
            <w:tcBorders>
              <w:bottom w:val="single" w:sz="2" w:space="0" w:color="595959"/>
              <w:right w:val="single" w:sz="4" w:space="0" w:color="auto"/>
            </w:tcBorders>
            <w:shd w:val="clear" w:color="auto" w:fill="auto"/>
          </w:tcPr>
          <w:p w14:paraId="0444597E" w14:textId="77777777" w:rsidR="004C2C77" w:rsidRPr="0009445C" w:rsidRDefault="004C2C77" w:rsidP="004C2C77">
            <w:pPr>
              <w:spacing w:before="40" w:after="40" w:line="240" w:lineRule="auto"/>
              <w:ind w:left="113" w:right="113"/>
              <w:rPr>
                <w:szCs w:val="18"/>
              </w:rPr>
            </w:pPr>
            <w:r w:rsidRPr="0009445C">
              <w:t>µg/l</w:t>
            </w:r>
          </w:p>
        </w:tc>
        <w:tc>
          <w:tcPr>
            <w:tcW w:w="2367" w:type="dxa"/>
            <w:tcBorders>
              <w:bottom w:val="single" w:sz="2" w:space="0" w:color="595959"/>
              <w:right w:val="single" w:sz="4" w:space="0" w:color="auto"/>
            </w:tcBorders>
            <w:shd w:val="clear" w:color="auto" w:fill="auto"/>
          </w:tcPr>
          <w:p w14:paraId="4D29EB13" w14:textId="77777777" w:rsidR="004C2C77" w:rsidRPr="0009445C" w:rsidRDefault="004C2C77" w:rsidP="004C2C77">
            <w:pPr>
              <w:spacing w:before="40" w:after="40" w:line="240" w:lineRule="auto"/>
              <w:ind w:left="113" w:right="113"/>
              <w:rPr>
                <w:szCs w:val="18"/>
              </w:rPr>
            </w:pPr>
            <w:r w:rsidRPr="0009445C">
              <w:t>0.1</w:t>
            </w:r>
          </w:p>
        </w:tc>
      </w:tr>
      <w:tr w:rsidR="004C2C77" w:rsidRPr="0009445C" w14:paraId="40632A32" w14:textId="77777777" w:rsidTr="004C2C77">
        <w:trPr>
          <w:cantSplit/>
        </w:trPr>
        <w:tc>
          <w:tcPr>
            <w:tcW w:w="1418" w:type="dxa"/>
            <w:vMerge/>
            <w:tcBorders>
              <w:left w:val="single" w:sz="4" w:space="0" w:color="auto"/>
              <w:bottom w:val="nil"/>
            </w:tcBorders>
            <w:shd w:val="clear" w:color="auto" w:fill="FFFFFF"/>
          </w:tcPr>
          <w:p w14:paraId="207545EC"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4E084114" w14:textId="77777777" w:rsidR="004C2C77" w:rsidRPr="0009445C" w:rsidRDefault="004C2C77" w:rsidP="004C2C77">
            <w:pPr>
              <w:spacing w:before="40" w:after="40" w:line="240" w:lineRule="auto"/>
              <w:ind w:left="113" w:right="113"/>
              <w:rPr>
                <w:szCs w:val="18"/>
              </w:rPr>
            </w:pPr>
            <w:r w:rsidRPr="0009445C">
              <w:t>pH value pH value*</w:t>
            </w:r>
          </w:p>
        </w:tc>
        <w:tc>
          <w:tcPr>
            <w:tcW w:w="2367" w:type="dxa"/>
            <w:tcBorders>
              <w:bottom w:val="single" w:sz="2" w:space="0" w:color="595959"/>
              <w:right w:val="single" w:sz="4" w:space="0" w:color="auto"/>
            </w:tcBorders>
            <w:shd w:val="clear" w:color="auto" w:fill="auto"/>
          </w:tcPr>
          <w:p w14:paraId="2DB58E02" w14:textId="77777777" w:rsidR="004C2C77" w:rsidRPr="0009445C" w:rsidRDefault="004C2C77" w:rsidP="004C2C77">
            <w:pPr>
              <w:spacing w:before="40" w:after="40" w:line="240" w:lineRule="auto"/>
              <w:ind w:left="113" w:right="113"/>
              <w:rPr>
                <w:szCs w:val="18"/>
              </w:rPr>
            </w:pPr>
            <w:r w:rsidRPr="0009445C">
              <w:t>-</w:t>
            </w:r>
          </w:p>
        </w:tc>
        <w:tc>
          <w:tcPr>
            <w:tcW w:w="2367" w:type="dxa"/>
            <w:tcBorders>
              <w:bottom w:val="single" w:sz="2" w:space="0" w:color="595959"/>
              <w:right w:val="single" w:sz="4" w:space="0" w:color="auto"/>
            </w:tcBorders>
            <w:shd w:val="clear" w:color="auto" w:fill="auto"/>
          </w:tcPr>
          <w:p w14:paraId="2915B23A" w14:textId="77777777" w:rsidR="004C2C77" w:rsidRPr="0009445C" w:rsidRDefault="004C2C77" w:rsidP="004C2C77">
            <w:pPr>
              <w:spacing w:before="40" w:after="40" w:line="240" w:lineRule="auto"/>
              <w:ind w:left="113" w:right="113"/>
              <w:rPr>
                <w:szCs w:val="18"/>
              </w:rPr>
            </w:pPr>
            <w:r w:rsidRPr="0009445C">
              <w:t>7.0-12**</w:t>
            </w:r>
            <w:r w:rsidRPr="0009445C">
              <w:br/>
              <w:t>6.5-10**</w:t>
            </w:r>
          </w:p>
        </w:tc>
      </w:tr>
      <w:tr w:rsidR="004C2C77" w:rsidRPr="0009445C" w14:paraId="024DAD18" w14:textId="77777777" w:rsidTr="004C2C77">
        <w:trPr>
          <w:cantSplit/>
        </w:trPr>
        <w:tc>
          <w:tcPr>
            <w:tcW w:w="1418" w:type="dxa"/>
            <w:vMerge/>
            <w:tcBorders>
              <w:left w:val="single" w:sz="4" w:space="0" w:color="auto"/>
              <w:bottom w:val="nil"/>
            </w:tcBorders>
            <w:shd w:val="clear" w:color="auto" w:fill="FFFFFF"/>
          </w:tcPr>
          <w:p w14:paraId="375692D0"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0F4AF674" w14:textId="77777777" w:rsidR="004C2C77" w:rsidRPr="0009445C" w:rsidRDefault="004C2C77" w:rsidP="004C2C77">
            <w:pPr>
              <w:spacing w:before="40" w:after="40" w:line="240" w:lineRule="auto"/>
              <w:ind w:left="113" w:right="113"/>
              <w:rPr>
                <w:szCs w:val="18"/>
              </w:rPr>
            </w:pPr>
            <w:r w:rsidRPr="0009445C">
              <w:t>Conductivity</w:t>
            </w:r>
            <w:r w:rsidRPr="0009445C">
              <w:br/>
              <w:t>Conductivity*</w:t>
            </w:r>
          </w:p>
        </w:tc>
        <w:tc>
          <w:tcPr>
            <w:tcW w:w="2367" w:type="dxa"/>
            <w:tcBorders>
              <w:bottom w:val="single" w:sz="2" w:space="0" w:color="595959"/>
              <w:right w:val="single" w:sz="4" w:space="0" w:color="auto"/>
            </w:tcBorders>
            <w:shd w:val="clear" w:color="auto" w:fill="auto"/>
          </w:tcPr>
          <w:p w14:paraId="49DD7F28" w14:textId="77777777" w:rsidR="004C2C77" w:rsidRPr="0009445C" w:rsidRDefault="004C2C77" w:rsidP="004C2C77">
            <w:pPr>
              <w:spacing w:before="40" w:after="40" w:line="240" w:lineRule="auto"/>
              <w:ind w:left="113" w:right="113"/>
              <w:rPr>
                <w:szCs w:val="18"/>
              </w:rPr>
            </w:pPr>
            <w:r w:rsidRPr="0009445C">
              <w:t>µS/cm</w:t>
            </w:r>
          </w:p>
        </w:tc>
        <w:tc>
          <w:tcPr>
            <w:tcW w:w="2367" w:type="dxa"/>
            <w:tcBorders>
              <w:bottom w:val="single" w:sz="2" w:space="0" w:color="595959"/>
              <w:right w:val="single" w:sz="4" w:space="0" w:color="auto"/>
            </w:tcBorders>
            <w:shd w:val="clear" w:color="auto" w:fill="auto"/>
          </w:tcPr>
          <w:p w14:paraId="5163F227" w14:textId="77777777" w:rsidR="004C2C77" w:rsidRPr="0009445C" w:rsidRDefault="004C2C77" w:rsidP="004C2C77">
            <w:pPr>
              <w:spacing w:before="40" w:after="40" w:line="240" w:lineRule="auto"/>
              <w:ind w:left="113" w:right="113"/>
              <w:rPr>
                <w:szCs w:val="18"/>
              </w:rPr>
            </w:pPr>
            <w:r w:rsidRPr="0009445C">
              <w:t>3 000**</w:t>
            </w:r>
            <w:r w:rsidRPr="0009445C">
              <w:br/>
              <w:t>500**</w:t>
            </w:r>
          </w:p>
        </w:tc>
      </w:tr>
      <w:tr w:rsidR="004C2C77" w:rsidRPr="0009445C" w14:paraId="42A76DF5" w14:textId="77777777" w:rsidTr="004C2C77">
        <w:trPr>
          <w:cantSplit/>
        </w:trPr>
        <w:tc>
          <w:tcPr>
            <w:tcW w:w="1418" w:type="dxa"/>
            <w:vMerge w:val="restart"/>
            <w:tcBorders>
              <w:left w:val="single" w:sz="4" w:space="0" w:color="auto"/>
              <w:bottom w:val="nil"/>
            </w:tcBorders>
            <w:shd w:val="clear" w:color="auto" w:fill="FFFFFF"/>
            <w:textDirection w:val="btLr"/>
          </w:tcPr>
          <w:p w14:paraId="78F62CE9" w14:textId="77777777" w:rsidR="004C2C77" w:rsidRPr="0009445C" w:rsidRDefault="004C2C77" w:rsidP="004C2C77">
            <w:pPr>
              <w:spacing w:before="100" w:line="240" w:lineRule="auto"/>
              <w:ind w:left="113" w:right="113"/>
              <w:rPr>
                <w:b/>
                <w:szCs w:val="18"/>
              </w:rPr>
            </w:pPr>
            <w:r w:rsidRPr="0009445C">
              <w:rPr>
                <w:b/>
              </w:rPr>
              <w:t>Solids content</w:t>
            </w:r>
          </w:p>
        </w:tc>
        <w:tc>
          <w:tcPr>
            <w:tcW w:w="2908" w:type="dxa"/>
            <w:tcBorders>
              <w:top w:val="single" w:sz="2" w:space="0" w:color="595959"/>
              <w:bottom w:val="single" w:sz="4" w:space="0" w:color="auto"/>
              <w:right w:val="single" w:sz="4" w:space="0" w:color="auto"/>
            </w:tcBorders>
            <w:shd w:val="clear" w:color="auto" w:fill="auto"/>
          </w:tcPr>
          <w:p w14:paraId="1725D385" w14:textId="77777777" w:rsidR="004C2C77" w:rsidRPr="0009445C" w:rsidRDefault="004C2C77" w:rsidP="004C2C77">
            <w:pPr>
              <w:spacing w:before="40" w:after="40" w:line="240" w:lineRule="auto"/>
              <w:ind w:left="113" w:right="113"/>
              <w:rPr>
                <w:szCs w:val="18"/>
              </w:rPr>
            </w:pPr>
            <w:r w:rsidRPr="0009445C">
              <w:t>Hydrocarbons</w:t>
            </w:r>
          </w:p>
        </w:tc>
        <w:tc>
          <w:tcPr>
            <w:tcW w:w="2367" w:type="dxa"/>
            <w:tcBorders>
              <w:top w:val="single" w:sz="2" w:space="0" w:color="595959"/>
              <w:bottom w:val="single" w:sz="4" w:space="0" w:color="auto"/>
              <w:right w:val="single" w:sz="4" w:space="0" w:color="auto"/>
            </w:tcBorders>
            <w:shd w:val="clear" w:color="auto" w:fill="auto"/>
          </w:tcPr>
          <w:p w14:paraId="21305CE0" w14:textId="77777777" w:rsidR="004C2C77" w:rsidRPr="0009445C" w:rsidRDefault="004C2C77" w:rsidP="004C2C77">
            <w:pPr>
              <w:spacing w:before="40" w:after="40" w:line="240" w:lineRule="auto"/>
              <w:ind w:left="113" w:right="113"/>
              <w:rPr>
                <w:szCs w:val="18"/>
              </w:rPr>
            </w:pPr>
            <w:r w:rsidRPr="0009445C">
              <w:t>[mg/kg]</w:t>
            </w:r>
          </w:p>
        </w:tc>
        <w:tc>
          <w:tcPr>
            <w:tcW w:w="2367" w:type="dxa"/>
            <w:tcBorders>
              <w:top w:val="single" w:sz="2" w:space="0" w:color="595959"/>
              <w:bottom w:val="single" w:sz="4" w:space="0" w:color="auto"/>
              <w:right w:val="single" w:sz="4" w:space="0" w:color="auto"/>
            </w:tcBorders>
            <w:shd w:val="clear" w:color="auto" w:fill="auto"/>
          </w:tcPr>
          <w:p w14:paraId="5767C2C2" w14:textId="77777777" w:rsidR="004C2C77" w:rsidRPr="0009445C" w:rsidRDefault="004C2C77" w:rsidP="004C2C77">
            <w:pPr>
              <w:spacing w:before="40" w:after="40" w:line="240" w:lineRule="auto"/>
              <w:ind w:left="113" w:right="113"/>
              <w:rPr>
                <w:szCs w:val="18"/>
              </w:rPr>
            </w:pPr>
            <w:r w:rsidRPr="0009445C">
              <w:t>1 000***</w:t>
            </w:r>
          </w:p>
        </w:tc>
      </w:tr>
      <w:tr w:rsidR="004C2C77" w:rsidRPr="0009445C" w14:paraId="7645D272" w14:textId="77777777" w:rsidTr="004C2C77">
        <w:trPr>
          <w:cantSplit/>
        </w:trPr>
        <w:tc>
          <w:tcPr>
            <w:tcW w:w="1418" w:type="dxa"/>
            <w:vMerge/>
            <w:tcBorders>
              <w:left w:val="single" w:sz="4" w:space="0" w:color="auto"/>
              <w:bottom w:val="nil"/>
            </w:tcBorders>
            <w:shd w:val="clear" w:color="auto" w:fill="FFFFFF"/>
          </w:tcPr>
          <w:p w14:paraId="2C3235E8" w14:textId="77777777" w:rsidR="004C2C77" w:rsidRPr="0009445C" w:rsidRDefault="004C2C77" w:rsidP="004C2C77">
            <w:pPr>
              <w:spacing w:before="100" w:line="240" w:lineRule="auto"/>
              <w:ind w:left="113" w:right="113"/>
              <w:rPr>
                <w:szCs w:val="18"/>
              </w:rPr>
            </w:pPr>
          </w:p>
        </w:tc>
        <w:tc>
          <w:tcPr>
            <w:tcW w:w="2908" w:type="dxa"/>
            <w:tcBorders>
              <w:bottom w:val="single" w:sz="2" w:space="0" w:color="595959"/>
              <w:right w:val="single" w:sz="4" w:space="0" w:color="auto"/>
            </w:tcBorders>
            <w:shd w:val="clear" w:color="auto" w:fill="auto"/>
          </w:tcPr>
          <w:p w14:paraId="1D4AE052" w14:textId="77777777" w:rsidR="004C2C77" w:rsidRPr="0009445C" w:rsidRDefault="004C2C77" w:rsidP="004C2C77">
            <w:pPr>
              <w:spacing w:before="40" w:after="40" w:line="240" w:lineRule="auto"/>
              <w:ind w:left="113" w:right="113"/>
              <w:rPr>
                <w:szCs w:val="18"/>
              </w:rPr>
            </w:pPr>
            <w:r w:rsidRPr="0009445C">
              <w:t>PAH</w:t>
            </w:r>
            <w:r w:rsidRPr="0009445C">
              <w:rPr>
                <w:vertAlign w:val="subscript"/>
              </w:rPr>
              <w:t>16</w:t>
            </w:r>
          </w:p>
        </w:tc>
        <w:tc>
          <w:tcPr>
            <w:tcW w:w="2367" w:type="dxa"/>
            <w:tcBorders>
              <w:bottom w:val="single" w:sz="2" w:space="0" w:color="595959"/>
              <w:right w:val="single" w:sz="4" w:space="0" w:color="auto"/>
            </w:tcBorders>
            <w:shd w:val="clear" w:color="auto" w:fill="auto"/>
          </w:tcPr>
          <w:p w14:paraId="5C8C77DD" w14:textId="77777777" w:rsidR="004C2C77" w:rsidRPr="0009445C" w:rsidRDefault="004C2C77" w:rsidP="004C2C77">
            <w:pPr>
              <w:spacing w:before="40" w:after="40" w:line="240" w:lineRule="auto"/>
              <w:ind w:left="113" w:right="113"/>
              <w:rPr>
                <w:szCs w:val="18"/>
              </w:rPr>
            </w:pPr>
            <w:r w:rsidRPr="0009445C">
              <w:t>[mg/kg]</w:t>
            </w:r>
          </w:p>
        </w:tc>
        <w:tc>
          <w:tcPr>
            <w:tcW w:w="2367" w:type="dxa"/>
            <w:tcBorders>
              <w:bottom w:val="single" w:sz="2" w:space="0" w:color="595959"/>
              <w:right w:val="single" w:sz="4" w:space="0" w:color="auto"/>
            </w:tcBorders>
            <w:shd w:val="clear" w:color="auto" w:fill="auto"/>
          </w:tcPr>
          <w:p w14:paraId="13DF3D78" w14:textId="77777777" w:rsidR="004C2C77" w:rsidRPr="0009445C" w:rsidRDefault="004C2C77" w:rsidP="004C2C77">
            <w:pPr>
              <w:spacing w:before="40" w:after="40" w:line="240" w:lineRule="auto"/>
              <w:ind w:left="113" w:right="113"/>
              <w:rPr>
                <w:szCs w:val="18"/>
              </w:rPr>
            </w:pPr>
            <w:r w:rsidRPr="0009445C">
              <w:t>25</w:t>
            </w:r>
          </w:p>
        </w:tc>
      </w:tr>
      <w:tr w:rsidR="004C2C77" w:rsidRPr="0009445C" w14:paraId="508B55C7" w14:textId="77777777" w:rsidTr="004C2C77">
        <w:trPr>
          <w:cantSplit/>
        </w:trPr>
        <w:tc>
          <w:tcPr>
            <w:tcW w:w="1418" w:type="dxa"/>
            <w:vMerge/>
            <w:tcBorders>
              <w:left w:val="single" w:sz="4" w:space="0" w:color="auto"/>
              <w:bottom w:val="single" w:sz="2" w:space="0" w:color="595959"/>
            </w:tcBorders>
            <w:shd w:val="clear" w:color="auto" w:fill="FFFFFF"/>
          </w:tcPr>
          <w:p w14:paraId="6FA765E8" w14:textId="77777777" w:rsidR="004C2C77" w:rsidRPr="0009445C" w:rsidRDefault="004C2C77" w:rsidP="004C2C77">
            <w:pPr>
              <w:spacing w:before="100" w:line="240" w:lineRule="auto"/>
              <w:ind w:left="113" w:right="113"/>
              <w:rPr>
                <w:szCs w:val="18"/>
              </w:rPr>
            </w:pPr>
          </w:p>
        </w:tc>
        <w:tc>
          <w:tcPr>
            <w:tcW w:w="2908" w:type="dxa"/>
            <w:tcBorders>
              <w:top w:val="single" w:sz="2" w:space="0" w:color="595959"/>
              <w:bottom w:val="single" w:sz="2" w:space="0" w:color="595959"/>
              <w:right w:val="single" w:sz="4" w:space="0" w:color="auto"/>
            </w:tcBorders>
            <w:shd w:val="clear" w:color="auto" w:fill="auto"/>
          </w:tcPr>
          <w:p w14:paraId="03FD7749" w14:textId="77777777" w:rsidR="004C2C77" w:rsidRPr="0009445C" w:rsidRDefault="004C2C77" w:rsidP="004C2C77">
            <w:pPr>
              <w:spacing w:before="40" w:after="40" w:line="240" w:lineRule="auto"/>
              <w:ind w:left="113" w:right="113"/>
              <w:rPr>
                <w:szCs w:val="18"/>
              </w:rPr>
            </w:pPr>
            <w:r w:rsidRPr="0009445C">
              <w:t>PCB</w:t>
            </w:r>
            <w:r w:rsidRPr="0009445C">
              <w:rPr>
                <w:vertAlign w:val="subscript"/>
              </w:rPr>
              <w:t>6</w:t>
            </w:r>
          </w:p>
        </w:tc>
        <w:tc>
          <w:tcPr>
            <w:tcW w:w="2367" w:type="dxa"/>
            <w:tcBorders>
              <w:top w:val="single" w:sz="2" w:space="0" w:color="595959"/>
              <w:bottom w:val="single" w:sz="2" w:space="0" w:color="595959"/>
              <w:right w:val="single" w:sz="4" w:space="0" w:color="auto"/>
            </w:tcBorders>
            <w:shd w:val="clear" w:color="auto" w:fill="auto"/>
          </w:tcPr>
          <w:p w14:paraId="2DD5E4B1" w14:textId="77777777" w:rsidR="004C2C77" w:rsidRPr="0009445C" w:rsidRDefault="004C2C77" w:rsidP="004C2C77">
            <w:pPr>
              <w:spacing w:before="40" w:after="40" w:line="240" w:lineRule="auto"/>
              <w:ind w:left="113" w:right="113"/>
              <w:rPr>
                <w:szCs w:val="18"/>
              </w:rPr>
            </w:pPr>
            <w:r w:rsidRPr="0009445C">
              <w:t>[mg/kg]</w:t>
            </w:r>
          </w:p>
        </w:tc>
        <w:tc>
          <w:tcPr>
            <w:tcW w:w="2367" w:type="dxa"/>
            <w:tcBorders>
              <w:top w:val="single" w:sz="2" w:space="0" w:color="595959"/>
              <w:bottom w:val="single" w:sz="2" w:space="0" w:color="595959"/>
              <w:right w:val="single" w:sz="4" w:space="0" w:color="auto"/>
            </w:tcBorders>
            <w:shd w:val="clear" w:color="auto" w:fill="auto"/>
          </w:tcPr>
          <w:p w14:paraId="01B3247C" w14:textId="77777777" w:rsidR="004C2C77" w:rsidRPr="0009445C" w:rsidRDefault="004C2C77" w:rsidP="004C2C77">
            <w:pPr>
              <w:spacing w:before="40" w:after="40" w:line="240" w:lineRule="auto"/>
              <w:ind w:left="113" w:right="113"/>
              <w:rPr>
                <w:szCs w:val="18"/>
              </w:rPr>
            </w:pPr>
            <w:r w:rsidRPr="0009445C">
              <w:t>1</w:t>
            </w:r>
          </w:p>
        </w:tc>
      </w:tr>
      <w:tr w:rsidR="004C2C77" w:rsidRPr="0009445C" w14:paraId="41FA0752" w14:textId="77777777" w:rsidTr="004C2C77">
        <w:trPr>
          <w:cantSplit/>
          <w:trHeight w:val="851"/>
        </w:trPr>
        <w:tc>
          <w:tcPr>
            <w:tcW w:w="9060" w:type="dxa"/>
            <w:gridSpan w:val="4"/>
            <w:tcBorders>
              <w:left w:val="single" w:sz="4" w:space="0" w:color="auto"/>
              <w:bottom w:val="single" w:sz="2" w:space="0" w:color="595959"/>
              <w:right w:val="single" w:sz="4" w:space="0" w:color="auto"/>
            </w:tcBorders>
            <w:shd w:val="clear" w:color="auto" w:fill="FFFFFF"/>
          </w:tcPr>
          <w:p w14:paraId="0C669DFF" w14:textId="06091F5A" w:rsidR="004C2C77" w:rsidRPr="0009445C" w:rsidRDefault="004C2C77" w:rsidP="004C2C77">
            <w:pPr>
              <w:spacing w:before="120" w:after="60" w:line="240" w:lineRule="auto"/>
              <w:ind w:left="431" w:hanging="284"/>
              <w:rPr>
                <w:sz w:val="16"/>
                <w:szCs w:val="16"/>
              </w:rPr>
            </w:pPr>
            <w:r w:rsidRPr="0009445C">
              <w:rPr>
                <w:sz w:val="16"/>
              </w:rPr>
              <w:t xml:space="preserve">* </w:t>
            </w:r>
            <w:r w:rsidR="0028348C">
              <w:rPr>
                <w:sz w:val="16"/>
              </w:rPr>
              <w:tab/>
            </w:r>
            <w:r w:rsidRPr="0009445C">
              <w:rPr>
                <w:sz w:val="16"/>
              </w:rPr>
              <w:t>is only required for track gates. The investigation can be waived if the manufacturer has evidence from Deutsche Bahn AG that no herbicides are used on the respective section of the line.</w:t>
            </w:r>
          </w:p>
          <w:p w14:paraId="57C7FCED" w14:textId="77777777" w:rsidR="004C2C77" w:rsidRPr="0009445C" w:rsidRDefault="004C2C77" w:rsidP="004C2C77">
            <w:pPr>
              <w:spacing w:before="120" w:after="60" w:line="240" w:lineRule="auto"/>
              <w:ind w:left="431" w:hanging="284"/>
              <w:rPr>
                <w:sz w:val="16"/>
                <w:szCs w:val="16"/>
              </w:rPr>
            </w:pPr>
            <w:r w:rsidRPr="0009445C">
              <w:rPr>
                <w:sz w:val="16"/>
              </w:rPr>
              <w:t>**</w:t>
            </w:r>
            <w:r w:rsidRPr="0009445C">
              <w:rPr>
                <w:sz w:val="16"/>
              </w:rPr>
              <w:tab/>
              <w:t>Exceedances are not a criterion for exclusion if the concrete proportion in the material being investigated is at least 60% by mass</w:t>
            </w:r>
            <w:r w:rsidRPr="0009445C">
              <w:rPr>
                <w:sz w:val="16"/>
              </w:rPr>
              <w:noBreakHyphen/>
              <w:t>.</w:t>
            </w:r>
          </w:p>
          <w:p w14:paraId="2E3F0044" w14:textId="77777777" w:rsidR="004C2C77" w:rsidRPr="0009445C" w:rsidRDefault="004C2C77" w:rsidP="004C2C77">
            <w:pPr>
              <w:spacing w:after="120" w:line="240" w:lineRule="auto"/>
              <w:ind w:left="431" w:hanging="284"/>
              <w:contextualSpacing/>
            </w:pPr>
            <w:r w:rsidRPr="0009445C">
              <w:rPr>
                <w:sz w:val="16"/>
              </w:rPr>
              <w:t>***</w:t>
            </w:r>
            <w:r w:rsidRPr="0009445C">
              <w:rPr>
                <w:sz w:val="16"/>
              </w:rPr>
              <w:tab/>
              <w:t>Exceedances that are attributable to asphalt proportions are not a criterion for exclusion.</w:t>
            </w:r>
          </w:p>
        </w:tc>
      </w:tr>
    </w:tbl>
    <w:p w14:paraId="2FF7ADBB" w14:textId="77777777" w:rsidR="004C2C77" w:rsidRPr="0009445C" w:rsidRDefault="004C2C77" w:rsidP="004C2C77">
      <w:pPr>
        <w:pStyle w:val="BRLTabelleberschrift"/>
        <w:spacing w:before="0" w:after="120"/>
      </w:pPr>
    </w:p>
    <w:p w14:paraId="4BD0A9B6" w14:textId="77777777" w:rsidR="004C2C77" w:rsidRPr="0009445C" w:rsidRDefault="004C2C77" w:rsidP="004C2C77">
      <w:pPr>
        <w:spacing w:line="240" w:lineRule="auto"/>
        <w:rPr>
          <w:b/>
          <w:szCs w:val="22"/>
        </w:rPr>
      </w:pPr>
      <w:r w:rsidRPr="0009445C">
        <w:br w:type="page"/>
      </w:r>
    </w:p>
    <w:p w14:paraId="1F0B8F99" w14:textId="77777777" w:rsidR="004C2C77" w:rsidRPr="0009445C" w:rsidRDefault="004C2C77" w:rsidP="004C2C77">
      <w:pPr>
        <w:pStyle w:val="BRLTabelleberschrift"/>
        <w:spacing w:before="0" w:after="120"/>
      </w:pPr>
      <w:r w:rsidRPr="0009445C">
        <w:lastRenderedPageBreak/>
        <w:t>Table A-3:</w:t>
      </w:r>
      <w:r w:rsidRPr="0009445C">
        <w:tab/>
        <w:t>Upper limits for eluate concentrations and solids content in industrially manufactured aggregates</w:t>
      </w:r>
    </w:p>
    <w:tbl>
      <w:tblPr>
        <w:tblW w:w="9935" w:type="dxa"/>
        <w:tblBorders>
          <w:insideH w:val="single" w:sz="2" w:space="0" w:color="595959"/>
          <w:insideV w:val="single" w:sz="2" w:space="0" w:color="595959"/>
        </w:tblBorders>
        <w:tblLayout w:type="fixed"/>
        <w:tblCellMar>
          <w:left w:w="0" w:type="dxa"/>
          <w:right w:w="0" w:type="dxa"/>
        </w:tblCellMar>
        <w:tblLook w:val="04A0" w:firstRow="1" w:lastRow="0" w:firstColumn="1" w:lastColumn="0" w:noHBand="0" w:noVBand="1"/>
      </w:tblPr>
      <w:tblGrid>
        <w:gridCol w:w="417"/>
        <w:gridCol w:w="1856"/>
        <w:gridCol w:w="1266"/>
        <w:gridCol w:w="1276"/>
        <w:gridCol w:w="1559"/>
        <w:gridCol w:w="1276"/>
        <w:gridCol w:w="1134"/>
        <w:gridCol w:w="1137"/>
        <w:gridCol w:w="14"/>
      </w:tblGrid>
      <w:tr w:rsidR="004C2C77" w:rsidRPr="0009445C" w14:paraId="0CE223D1" w14:textId="77777777" w:rsidTr="0028348C">
        <w:trPr>
          <w:gridAfter w:val="1"/>
          <w:wAfter w:w="14" w:type="dxa"/>
          <w:cantSplit/>
        </w:trPr>
        <w:tc>
          <w:tcPr>
            <w:tcW w:w="417" w:type="dxa"/>
            <w:tcBorders>
              <w:top w:val="single" w:sz="4" w:space="0" w:color="auto"/>
              <w:left w:val="single" w:sz="4" w:space="0" w:color="auto"/>
              <w:bottom w:val="single" w:sz="2" w:space="0" w:color="595959"/>
              <w:right w:val="single" w:sz="2" w:space="0" w:color="595959"/>
              <w:tl2br w:val="nil"/>
              <w:tr2bl w:val="nil"/>
            </w:tcBorders>
            <w:shd w:val="clear" w:color="auto" w:fill="FFFFFF"/>
          </w:tcPr>
          <w:p w14:paraId="1990AA50" w14:textId="77777777" w:rsidR="004C2C77" w:rsidRPr="0009445C" w:rsidRDefault="004C2C77" w:rsidP="004C2C77">
            <w:pPr>
              <w:spacing w:before="100" w:line="240" w:lineRule="auto"/>
              <w:ind w:left="113" w:right="113"/>
              <w:rPr>
                <w:b/>
                <w:color w:val="000000"/>
                <w:szCs w:val="18"/>
              </w:rPr>
            </w:pPr>
          </w:p>
        </w:tc>
        <w:tc>
          <w:tcPr>
            <w:tcW w:w="1856"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5DE28EB6" w14:textId="77777777" w:rsidR="004C2C77" w:rsidRPr="0009445C" w:rsidRDefault="004C2C77" w:rsidP="004C2C77">
            <w:pPr>
              <w:spacing w:before="100" w:line="240" w:lineRule="auto"/>
              <w:ind w:left="113" w:right="113"/>
              <w:rPr>
                <w:b/>
                <w:color w:val="000000"/>
                <w:szCs w:val="18"/>
              </w:rPr>
            </w:pPr>
            <w:r w:rsidRPr="0009445C">
              <w:rPr>
                <w:b/>
                <w:color w:val="000000"/>
              </w:rPr>
              <w:t>Parameter</w:t>
            </w:r>
          </w:p>
        </w:tc>
        <w:tc>
          <w:tcPr>
            <w:tcW w:w="1266"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5789B92D" w14:textId="77777777" w:rsidR="004C2C77" w:rsidRPr="0009445C" w:rsidRDefault="004C2C77" w:rsidP="004C2C77">
            <w:pPr>
              <w:spacing w:before="100" w:line="240" w:lineRule="auto"/>
              <w:ind w:left="113" w:right="113"/>
              <w:rPr>
                <w:b/>
                <w:color w:val="000000"/>
                <w:szCs w:val="18"/>
              </w:rPr>
            </w:pPr>
            <w:r w:rsidRPr="0009445C">
              <w:rPr>
                <w:b/>
                <w:color w:val="000000"/>
              </w:rPr>
              <w:t>Dimension</w:t>
            </w:r>
          </w:p>
        </w:tc>
        <w:tc>
          <w:tcPr>
            <w:tcW w:w="1276"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5991E41D" w14:textId="77777777" w:rsidR="004C2C77" w:rsidRPr="0009445C" w:rsidRDefault="004C2C77" w:rsidP="004C2C77">
            <w:pPr>
              <w:spacing w:before="100" w:line="240" w:lineRule="auto"/>
              <w:ind w:left="113" w:right="113"/>
              <w:rPr>
                <w:b/>
                <w:color w:val="000000"/>
                <w:szCs w:val="18"/>
              </w:rPr>
            </w:pPr>
            <w:r w:rsidRPr="0009445C">
              <w:rPr>
                <w:b/>
                <w:color w:val="000000"/>
              </w:rPr>
              <w:t>Steelworks slag (SWS)</w:t>
            </w:r>
          </w:p>
        </w:tc>
        <w:tc>
          <w:tcPr>
            <w:tcW w:w="1559"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4CE91489" w14:textId="77777777" w:rsidR="004C2C77" w:rsidRPr="0009445C" w:rsidRDefault="004C2C77" w:rsidP="004C2C77">
            <w:pPr>
              <w:spacing w:before="100" w:line="240" w:lineRule="auto"/>
              <w:ind w:left="113" w:right="113"/>
              <w:rPr>
                <w:b/>
                <w:color w:val="000000"/>
                <w:szCs w:val="18"/>
              </w:rPr>
            </w:pPr>
            <w:r w:rsidRPr="0009445C">
              <w:rPr>
                <w:b/>
                <w:color w:val="000000"/>
              </w:rPr>
              <w:t>Bottom ash from coal-fired power plants with co-combustion*</w:t>
            </w:r>
          </w:p>
        </w:tc>
        <w:tc>
          <w:tcPr>
            <w:tcW w:w="1276"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24C5AA1B" w14:textId="77777777" w:rsidR="004C2C77" w:rsidRPr="0009445C" w:rsidRDefault="004C2C77" w:rsidP="004C2C77">
            <w:pPr>
              <w:spacing w:before="100" w:line="240" w:lineRule="auto"/>
              <w:ind w:left="113" w:right="113"/>
              <w:rPr>
                <w:b/>
                <w:color w:val="000000"/>
                <w:szCs w:val="18"/>
              </w:rPr>
            </w:pPr>
            <w:r w:rsidRPr="0009445C">
              <w:rPr>
                <w:b/>
                <w:color w:val="000000"/>
              </w:rPr>
              <w:t>Slag from copper production (CUS/CUG)</w:t>
            </w:r>
          </w:p>
        </w:tc>
        <w:tc>
          <w:tcPr>
            <w:tcW w:w="1134"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4E1B9B95" w14:textId="77777777" w:rsidR="004C2C77" w:rsidRPr="0009445C" w:rsidRDefault="004C2C77" w:rsidP="004C2C77">
            <w:pPr>
              <w:spacing w:before="100" w:line="240" w:lineRule="auto"/>
              <w:ind w:left="113" w:right="113"/>
              <w:rPr>
                <w:b/>
                <w:color w:val="000000"/>
                <w:szCs w:val="18"/>
              </w:rPr>
            </w:pPr>
            <w:r w:rsidRPr="0009445C">
              <w:rPr>
                <w:b/>
                <w:color w:val="000000"/>
              </w:rPr>
              <w:t>Foundry sand (foundry sand residuals, GRS)</w:t>
            </w:r>
          </w:p>
        </w:tc>
        <w:tc>
          <w:tcPr>
            <w:tcW w:w="1137"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142C91CD" w14:textId="77777777" w:rsidR="004C2C77" w:rsidRPr="0009445C" w:rsidRDefault="004C2C77" w:rsidP="004C2C77">
            <w:pPr>
              <w:spacing w:before="100" w:line="240" w:lineRule="auto"/>
              <w:ind w:left="113" w:right="113"/>
              <w:rPr>
                <w:b/>
                <w:color w:val="000000"/>
                <w:szCs w:val="18"/>
              </w:rPr>
            </w:pPr>
            <w:r w:rsidRPr="0009445C">
              <w:rPr>
                <w:b/>
                <w:color w:val="000000"/>
              </w:rPr>
              <w:t>Aggregate from broken glass scrap</w:t>
            </w:r>
          </w:p>
        </w:tc>
      </w:tr>
      <w:tr w:rsidR="004C2C77" w:rsidRPr="0009445C" w14:paraId="47144FEA" w14:textId="77777777" w:rsidTr="0028348C">
        <w:trPr>
          <w:gridAfter w:val="1"/>
          <w:wAfter w:w="14" w:type="dxa"/>
          <w:cantSplit/>
        </w:trPr>
        <w:tc>
          <w:tcPr>
            <w:tcW w:w="417" w:type="dxa"/>
            <w:vMerge w:val="restart"/>
            <w:tcBorders>
              <w:left w:val="single" w:sz="4" w:space="0" w:color="auto"/>
              <w:bottom w:val="nil"/>
            </w:tcBorders>
            <w:shd w:val="clear" w:color="auto" w:fill="FFFFFF"/>
            <w:textDirection w:val="btLr"/>
          </w:tcPr>
          <w:p w14:paraId="5A84C132" w14:textId="77777777" w:rsidR="004C2C77" w:rsidRPr="0009445C" w:rsidRDefault="004C2C77" w:rsidP="004C2C77">
            <w:pPr>
              <w:spacing w:before="100" w:line="240" w:lineRule="auto"/>
              <w:ind w:left="113" w:right="113"/>
              <w:rPr>
                <w:b/>
                <w:szCs w:val="18"/>
              </w:rPr>
            </w:pPr>
            <w:r w:rsidRPr="0009445C">
              <w:rPr>
                <w:b/>
              </w:rPr>
              <w:t xml:space="preserve">Eluate concentration </w:t>
            </w:r>
          </w:p>
        </w:tc>
        <w:tc>
          <w:tcPr>
            <w:tcW w:w="1856" w:type="dxa"/>
            <w:tcBorders>
              <w:bottom w:val="single" w:sz="2" w:space="0" w:color="595959"/>
              <w:right w:val="single" w:sz="4" w:space="0" w:color="auto"/>
            </w:tcBorders>
            <w:shd w:val="clear" w:color="auto" w:fill="auto"/>
          </w:tcPr>
          <w:p w14:paraId="31F484D0" w14:textId="77777777" w:rsidR="004C2C77" w:rsidRPr="0009445C" w:rsidRDefault="004C2C77" w:rsidP="004C2C77">
            <w:pPr>
              <w:spacing w:before="100" w:line="240" w:lineRule="auto"/>
              <w:ind w:left="113" w:right="113"/>
              <w:rPr>
                <w:szCs w:val="18"/>
              </w:rPr>
            </w:pPr>
            <w:r w:rsidRPr="0009445C">
              <w:t>Arsenic (As)</w:t>
            </w:r>
          </w:p>
        </w:tc>
        <w:tc>
          <w:tcPr>
            <w:tcW w:w="1266" w:type="dxa"/>
            <w:tcBorders>
              <w:bottom w:val="single" w:sz="2" w:space="0" w:color="595959"/>
              <w:right w:val="single" w:sz="4" w:space="0" w:color="auto"/>
            </w:tcBorders>
            <w:shd w:val="clear" w:color="auto" w:fill="auto"/>
          </w:tcPr>
          <w:p w14:paraId="0C97FDC0"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3DEE6E97"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7F156766" w14:textId="5522DCA8"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732CBE5F"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16902858" w14:textId="77777777" w:rsidR="004C2C77" w:rsidRPr="0009445C" w:rsidRDefault="004C2C77" w:rsidP="004C2C77">
            <w:pPr>
              <w:spacing w:before="100" w:line="240" w:lineRule="auto"/>
              <w:ind w:left="113" w:right="113"/>
              <w:rPr>
                <w:szCs w:val="18"/>
              </w:rPr>
            </w:pPr>
            <w:r w:rsidRPr="0009445C">
              <w:t>60</w:t>
            </w:r>
          </w:p>
        </w:tc>
        <w:tc>
          <w:tcPr>
            <w:tcW w:w="1137" w:type="dxa"/>
            <w:tcBorders>
              <w:bottom w:val="single" w:sz="2" w:space="0" w:color="595959"/>
              <w:right w:val="single" w:sz="4" w:space="0" w:color="auto"/>
            </w:tcBorders>
            <w:shd w:val="clear" w:color="auto" w:fill="auto"/>
          </w:tcPr>
          <w:p w14:paraId="336865C0" w14:textId="77777777" w:rsidR="004C2C77" w:rsidRPr="0009445C" w:rsidRDefault="004C2C77" w:rsidP="004C2C77">
            <w:pPr>
              <w:spacing w:before="100" w:line="240" w:lineRule="auto"/>
              <w:ind w:left="113" w:right="113"/>
              <w:rPr>
                <w:szCs w:val="18"/>
              </w:rPr>
            </w:pPr>
            <w:r w:rsidRPr="0009445C">
              <w:t>60</w:t>
            </w:r>
          </w:p>
        </w:tc>
      </w:tr>
      <w:tr w:rsidR="004C2C77" w:rsidRPr="0009445C" w14:paraId="442AB4BC" w14:textId="77777777" w:rsidTr="0028348C">
        <w:trPr>
          <w:gridAfter w:val="1"/>
          <w:wAfter w:w="14" w:type="dxa"/>
          <w:cantSplit/>
        </w:trPr>
        <w:tc>
          <w:tcPr>
            <w:tcW w:w="417" w:type="dxa"/>
            <w:vMerge/>
            <w:tcBorders>
              <w:left w:val="single" w:sz="4" w:space="0" w:color="auto"/>
              <w:bottom w:val="nil"/>
            </w:tcBorders>
            <w:shd w:val="clear" w:color="auto" w:fill="FFFFFF"/>
          </w:tcPr>
          <w:p w14:paraId="714AA3B0" w14:textId="77777777" w:rsidR="004C2C77" w:rsidRPr="0009445C" w:rsidRDefault="004C2C77" w:rsidP="004C2C77">
            <w:pPr>
              <w:spacing w:before="100" w:line="240" w:lineRule="auto"/>
              <w:ind w:left="113" w:right="113"/>
              <w:rPr>
                <w:szCs w:val="18"/>
              </w:rPr>
            </w:pPr>
          </w:p>
        </w:tc>
        <w:tc>
          <w:tcPr>
            <w:tcW w:w="1856" w:type="dxa"/>
            <w:tcBorders>
              <w:top w:val="single" w:sz="2" w:space="0" w:color="595959"/>
              <w:bottom w:val="single" w:sz="4" w:space="0" w:color="auto"/>
              <w:right w:val="single" w:sz="4" w:space="0" w:color="auto"/>
            </w:tcBorders>
            <w:shd w:val="clear" w:color="auto" w:fill="auto"/>
          </w:tcPr>
          <w:p w14:paraId="5776956A" w14:textId="77777777" w:rsidR="004C2C77" w:rsidRPr="0009445C" w:rsidRDefault="004C2C77" w:rsidP="004C2C77">
            <w:pPr>
              <w:spacing w:before="100" w:line="240" w:lineRule="auto"/>
              <w:ind w:left="113" w:right="113"/>
              <w:rPr>
                <w:szCs w:val="18"/>
              </w:rPr>
            </w:pPr>
            <w:r w:rsidRPr="0009445C">
              <w:t>Lead (Pb)</w:t>
            </w:r>
          </w:p>
        </w:tc>
        <w:tc>
          <w:tcPr>
            <w:tcW w:w="1266" w:type="dxa"/>
            <w:tcBorders>
              <w:top w:val="single" w:sz="2" w:space="0" w:color="595959"/>
              <w:bottom w:val="single" w:sz="4" w:space="0" w:color="auto"/>
              <w:right w:val="single" w:sz="4" w:space="0" w:color="auto"/>
            </w:tcBorders>
            <w:shd w:val="clear" w:color="auto" w:fill="auto"/>
          </w:tcPr>
          <w:p w14:paraId="7B4EF4B9" w14:textId="77777777" w:rsidR="004C2C77" w:rsidRPr="0009445C" w:rsidRDefault="004C2C77" w:rsidP="004C2C77">
            <w:pPr>
              <w:spacing w:before="100" w:line="240" w:lineRule="auto"/>
              <w:ind w:left="113" w:right="113"/>
              <w:rPr>
                <w:szCs w:val="18"/>
              </w:rPr>
            </w:pPr>
            <w:r w:rsidRPr="0009445C">
              <w:t>µg/l</w:t>
            </w:r>
          </w:p>
        </w:tc>
        <w:tc>
          <w:tcPr>
            <w:tcW w:w="1276" w:type="dxa"/>
            <w:tcBorders>
              <w:top w:val="single" w:sz="2" w:space="0" w:color="595959"/>
              <w:bottom w:val="single" w:sz="4" w:space="0" w:color="auto"/>
              <w:right w:val="single" w:sz="4" w:space="0" w:color="auto"/>
            </w:tcBorders>
            <w:shd w:val="clear" w:color="auto" w:fill="auto"/>
          </w:tcPr>
          <w:p w14:paraId="1F0F48A8" w14:textId="77777777" w:rsidR="004C2C77" w:rsidRPr="0009445C" w:rsidRDefault="004C2C77" w:rsidP="004C2C77">
            <w:pPr>
              <w:spacing w:before="100" w:line="240" w:lineRule="auto"/>
              <w:ind w:left="113" w:right="113"/>
              <w:rPr>
                <w:szCs w:val="18"/>
              </w:rPr>
            </w:pPr>
          </w:p>
        </w:tc>
        <w:tc>
          <w:tcPr>
            <w:tcW w:w="1559" w:type="dxa"/>
            <w:tcBorders>
              <w:top w:val="single" w:sz="2" w:space="0" w:color="595959"/>
              <w:bottom w:val="single" w:sz="4" w:space="0" w:color="auto"/>
              <w:right w:val="single" w:sz="4" w:space="0" w:color="auto"/>
            </w:tcBorders>
            <w:shd w:val="clear" w:color="auto" w:fill="auto"/>
          </w:tcPr>
          <w:p w14:paraId="28631ACB" w14:textId="77777777" w:rsidR="004C2C77" w:rsidRPr="0009445C" w:rsidRDefault="004C2C77" w:rsidP="004C2C77">
            <w:pPr>
              <w:spacing w:before="100" w:line="240" w:lineRule="auto"/>
              <w:ind w:left="113" w:right="113"/>
              <w:rPr>
                <w:szCs w:val="18"/>
              </w:rPr>
            </w:pPr>
          </w:p>
        </w:tc>
        <w:tc>
          <w:tcPr>
            <w:tcW w:w="1276" w:type="dxa"/>
            <w:tcBorders>
              <w:top w:val="single" w:sz="2" w:space="0" w:color="595959"/>
              <w:bottom w:val="single" w:sz="4" w:space="0" w:color="auto"/>
              <w:right w:val="single" w:sz="4" w:space="0" w:color="auto"/>
            </w:tcBorders>
            <w:shd w:val="clear" w:color="auto" w:fill="auto"/>
          </w:tcPr>
          <w:p w14:paraId="7D079557" w14:textId="77777777" w:rsidR="004C2C77" w:rsidRPr="0009445C" w:rsidRDefault="004C2C77" w:rsidP="004C2C77">
            <w:pPr>
              <w:spacing w:before="100" w:line="240" w:lineRule="auto"/>
              <w:ind w:left="113" w:right="113"/>
              <w:rPr>
                <w:szCs w:val="18"/>
              </w:rPr>
            </w:pPr>
            <w:r w:rsidRPr="0009445C">
              <w:t>100</w:t>
            </w:r>
          </w:p>
        </w:tc>
        <w:tc>
          <w:tcPr>
            <w:tcW w:w="1134" w:type="dxa"/>
            <w:tcBorders>
              <w:top w:val="single" w:sz="2" w:space="0" w:color="595959"/>
              <w:bottom w:val="single" w:sz="4" w:space="0" w:color="auto"/>
              <w:right w:val="single" w:sz="4" w:space="0" w:color="auto"/>
            </w:tcBorders>
            <w:shd w:val="clear" w:color="auto" w:fill="auto"/>
          </w:tcPr>
          <w:p w14:paraId="26F92245" w14:textId="77777777" w:rsidR="004C2C77" w:rsidRPr="0009445C" w:rsidRDefault="004C2C77" w:rsidP="004C2C77">
            <w:pPr>
              <w:spacing w:before="100" w:line="240" w:lineRule="auto"/>
              <w:ind w:left="113" w:right="113"/>
              <w:rPr>
                <w:szCs w:val="18"/>
              </w:rPr>
            </w:pPr>
            <w:r w:rsidRPr="0009445C">
              <w:t>200</w:t>
            </w:r>
          </w:p>
        </w:tc>
        <w:tc>
          <w:tcPr>
            <w:tcW w:w="1137" w:type="dxa"/>
            <w:tcBorders>
              <w:top w:val="single" w:sz="2" w:space="0" w:color="595959"/>
              <w:bottom w:val="single" w:sz="4" w:space="0" w:color="auto"/>
              <w:right w:val="single" w:sz="4" w:space="0" w:color="auto"/>
            </w:tcBorders>
            <w:shd w:val="clear" w:color="auto" w:fill="auto"/>
          </w:tcPr>
          <w:p w14:paraId="3EA467B1" w14:textId="77777777" w:rsidR="004C2C77" w:rsidRPr="0009445C" w:rsidRDefault="004C2C77" w:rsidP="004C2C77">
            <w:pPr>
              <w:spacing w:before="100" w:line="240" w:lineRule="auto"/>
              <w:ind w:left="113" w:right="113"/>
              <w:rPr>
                <w:szCs w:val="18"/>
              </w:rPr>
            </w:pPr>
            <w:r w:rsidRPr="0009445C">
              <w:t>200</w:t>
            </w:r>
          </w:p>
        </w:tc>
      </w:tr>
      <w:tr w:rsidR="004C2C77" w:rsidRPr="0009445C" w14:paraId="5FE115C1" w14:textId="77777777" w:rsidTr="0028348C">
        <w:trPr>
          <w:gridAfter w:val="1"/>
          <w:wAfter w:w="14" w:type="dxa"/>
          <w:cantSplit/>
        </w:trPr>
        <w:tc>
          <w:tcPr>
            <w:tcW w:w="417" w:type="dxa"/>
            <w:vMerge/>
            <w:tcBorders>
              <w:left w:val="single" w:sz="4" w:space="0" w:color="auto"/>
              <w:bottom w:val="nil"/>
            </w:tcBorders>
            <w:shd w:val="clear" w:color="auto" w:fill="FFFFFF"/>
          </w:tcPr>
          <w:p w14:paraId="35647C6B"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6B05F2D4" w14:textId="77777777" w:rsidR="004C2C77" w:rsidRPr="0009445C" w:rsidRDefault="004C2C77" w:rsidP="004C2C77">
            <w:pPr>
              <w:spacing w:before="100" w:line="240" w:lineRule="auto"/>
              <w:ind w:left="113" w:right="113"/>
              <w:rPr>
                <w:szCs w:val="18"/>
              </w:rPr>
            </w:pPr>
            <w:r w:rsidRPr="0009445C">
              <w:t>Cadmium (Cd)</w:t>
            </w:r>
          </w:p>
        </w:tc>
        <w:tc>
          <w:tcPr>
            <w:tcW w:w="1266" w:type="dxa"/>
            <w:tcBorders>
              <w:bottom w:val="single" w:sz="2" w:space="0" w:color="595959"/>
              <w:right w:val="single" w:sz="4" w:space="0" w:color="auto"/>
            </w:tcBorders>
            <w:shd w:val="clear" w:color="auto" w:fill="auto"/>
          </w:tcPr>
          <w:p w14:paraId="5E41A6AD"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17A417D6"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0D33302E"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7FCC1A77"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54204B8E" w14:textId="77777777" w:rsidR="004C2C77" w:rsidRPr="0009445C" w:rsidRDefault="004C2C77" w:rsidP="004C2C77">
            <w:pPr>
              <w:spacing w:before="100" w:line="240" w:lineRule="auto"/>
              <w:ind w:left="113" w:right="113"/>
              <w:rPr>
                <w:szCs w:val="18"/>
              </w:rPr>
            </w:pPr>
            <w:r w:rsidRPr="0009445C">
              <w:t>10</w:t>
            </w:r>
          </w:p>
        </w:tc>
        <w:tc>
          <w:tcPr>
            <w:tcW w:w="1137" w:type="dxa"/>
            <w:tcBorders>
              <w:bottom w:val="single" w:sz="2" w:space="0" w:color="595959"/>
              <w:right w:val="single" w:sz="4" w:space="0" w:color="auto"/>
            </w:tcBorders>
            <w:shd w:val="clear" w:color="auto" w:fill="auto"/>
          </w:tcPr>
          <w:p w14:paraId="75FF5808" w14:textId="77777777" w:rsidR="004C2C77" w:rsidRPr="0009445C" w:rsidRDefault="004C2C77" w:rsidP="004C2C77">
            <w:pPr>
              <w:spacing w:before="100" w:line="240" w:lineRule="auto"/>
              <w:ind w:left="113" w:right="113"/>
              <w:rPr>
                <w:szCs w:val="18"/>
              </w:rPr>
            </w:pPr>
            <w:r w:rsidRPr="0009445C">
              <w:t>6</w:t>
            </w:r>
          </w:p>
        </w:tc>
      </w:tr>
      <w:tr w:rsidR="004C2C77" w:rsidRPr="0009445C" w14:paraId="60E42973" w14:textId="77777777" w:rsidTr="0028348C">
        <w:trPr>
          <w:gridAfter w:val="1"/>
          <w:wAfter w:w="14" w:type="dxa"/>
          <w:cantSplit/>
        </w:trPr>
        <w:tc>
          <w:tcPr>
            <w:tcW w:w="417" w:type="dxa"/>
            <w:vMerge/>
            <w:tcBorders>
              <w:left w:val="single" w:sz="4" w:space="0" w:color="auto"/>
              <w:bottom w:val="nil"/>
            </w:tcBorders>
            <w:shd w:val="clear" w:color="auto" w:fill="FFFFFF"/>
          </w:tcPr>
          <w:p w14:paraId="590C67DA" w14:textId="77777777" w:rsidR="004C2C77" w:rsidRPr="0009445C" w:rsidRDefault="004C2C77" w:rsidP="004C2C77">
            <w:pPr>
              <w:spacing w:before="100" w:line="240" w:lineRule="auto"/>
              <w:ind w:left="113" w:right="113"/>
              <w:rPr>
                <w:szCs w:val="18"/>
              </w:rPr>
            </w:pPr>
          </w:p>
        </w:tc>
        <w:tc>
          <w:tcPr>
            <w:tcW w:w="1856" w:type="dxa"/>
            <w:tcBorders>
              <w:top w:val="single" w:sz="2" w:space="0" w:color="595959"/>
              <w:bottom w:val="single" w:sz="4" w:space="0" w:color="auto"/>
              <w:right w:val="single" w:sz="4" w:space="0" w:color="auto"/>
            </w:tcBorders>
            <w:shd w:val="clear" w:color="auto" w:fill="auto"/>
          </w:tcPr>
          <w:p w14:paraId="4BF8EEC3" w14:textId="77777777" w:rsidR="004C2C77" w:rsidRPr="0009445C" w:rsidRDefault="004C2C77" w:rsidP="004C2C77">
            <w:pPr>
              <w:spacing w:before="100" w:line="240" w:lineRule="auto"/>
              <w:ind w:left="113" w:right="113"/>
              <w:rPr>
                <w:szCs w:val="18"/>
              </w:rPr>
            </w:pPr>
            <w:r w:rsidRPr="0009445C">
              <w:t>Chromium, total (Cr)</w:t>
            </w:r>
          </w:p>
        </w:tc>
        <w:tc>
          <w:tcPr>
            <w:tcW w:w="1266" w:type="dxa"/>
            <w:tcBorders>
              <w:top w:val="single" w:sz="2" w:space="0" w:color="595959"/>
              <w:bottom w:val="single" w:sz="4" w:space="0" w:color="auto"/>
              <w:right w:val="single" w:sz="4" w:space="0" w:color="auto"/>
            </w:tcBorders>
            <w:shd w:val="clear" w:color="auto" w:fill="auto"/>
          </w:tcPr>
          <w:p w14:paraId="27EC7D24" w14:textId="77777777" w:rsidR="004C2C77" w:rsidRPr="0009445C" w:rsidRDefault="004C2C77" w:rsidP="004C2C77">
            <w:pPr>
              <w:spacing w:before="100" w:line="240" w:lineRule="auto"/>
              <w:ind w:left="113" w:right="113"/>
              <w:rPr>
                <w:szCs w:val="18"/>
              </w:rPr>
            </w:pPr>
            <w:r w:rsidRPr="0009445C">
              <w:t>µg/l</w:t>
            </w:r>
          </w:p>
        </w:tc>
        <w:tc>
          <w:tcPr>
            <w:tcW w:w="1276" w:type="dxa"/>
            <w:tcBorders>
              <w:top w:val="single" w:sz="2" w:space="0" w:color="595959"/>
              <w:bottom w:val="single" w:sz="4" w:space="0" w:color="auto"/>
              <w:right w:val="single" w:sz="4" w:space="0" w:color="auto"/>
            </w:tcBorders>
            <w:shd w:val="clear" w:color="auto" w:fill="auto"/>
          </w:tcPr>
          <w:p w14:paraId="3689A0CD" w14:textId="77777777" w:rsidR="004C2C77" w:rsidRPr="0009445C" w:rsidRDefault="004C2C77" w:rsidP="004C2C77">
            <w:pPr>
              <w:spacing w:before="100" w:line="240" w:lineRule="auto"/>
              <w:ind w:left="113" w:right="113"/>
              <w:rPr>
                <w:szCs w:val="18"/>
              </w:rPr>
            </w:pPr>
            <w:r w:rsidRPr="0009445C">
              <w:t>100</w:t>
            </w:r>
          </w:p>
        </w:tc>
        <w:tc>
          <w:tcPr>
            <w:tcW w:w="1559" w:type="dxa"/>
            <w:tcBorders>
              <w:top w:val="single" w:sz="2" w:space="0" w:color="595959"/>
              <w:bottom w:val="single" w:sz="4" w:space="0" w:color="auto"/>
              <w:right w:val="single" w:sz="4" w:space="0" w:color="auto"/>
            </w:tcBorders>
            <w:shd w:val="clear" w:color="auto" w:fill="auto"/>
          </w:tcPr>
          <w:p w14:paraId="58EAA054" w14:textId="77777777" w:rsidR="004C2C77" w:rsidRPr="0009445C" w:rsidRDefault="004C2C77" w:rsidP="004C2C77">
            <w:pPr>
              <w:spacing w:before="100" w:line="240" w:lineRule="auto"/>
              <w:ind w:left="113" w:right="113"/>
              <w:rPr>
                <w:szCs w:val="18"/>
              </w:rPr>
            </w:pPr>
          </w:p>
        </w:tc>
        <w:tc>
          <w:tcPr>
            <w:tcW w:w="1276" w:type="dxa"/>
            <w:tcBorders>
              <w:top w:val="single" w:sz="2" w:space="0" w:color="595959"/>
              <w:bottom w:val="single" w:sz="4" w:space="0" w:color="auto"/>
              <w:right w:val="single" w:sz="4" w:space="0" w:color="auto"/>
            </w:tcBorders>
            <w:shd w:val="clear" w:color="auto" w:fill="auto"/>
          </w:tcPr>
          <w:p w14:paraId="3C1597C6" w14:textId="77777777" w:rsidR="004C2C77" w:rsidRPr="0009445C" w:rsidRDefault="004C2C77" w:rsidP="004C2C77">
            <w:pPr>
              <w:spacing w:before="100" w:line="240" w:lineRule="auto"/>
              <w:ind w:left="113" w:right="113"/>
              <w:rPr>
                <w:szCs w:val="18"/>
              </w:rPr>
            </w:pPr>
          </w:p>
        </w:tc>
        <w:tc>
          <w:tcPr>
            <w:tcW w:w="1134" w:type="dxa"/>
            <w:tcBorders>
              <w:top w:val="single" w:sz="2" w:space="0" w:color="595959"/>
              <w:bottom w:val="single" w:sz="4" w:space="0" w:color="auto"/>
              <w:right w:val="single" w:sz="4" w:space="0" w:color="auto"/>
            </w:tcBorders>
            <w:shd w:val="clear" w:color="auto" w:fill="auto"/>
          </w:tcPr>
          <w:p w14:paraId="236C57EE" w14:textId="77777777" w:rsidR="004C2C77" w:rsidRPr="0009445C" w:rsidRDefault="004C2C77" w:rsidP="004C2C77">
            <w:pPr>
              <w:spacing w:before="100" w:line="240" w:lineRule="auto"/>
              <w:ind w:left="113" w:right="113"/>
              <w:rPr>
                <w:szCs w:val="18"/>
              </w:rPr>
            </w:pPr>
            <w:r w:rsidRPr="0009445C">
              <w:t>150</w:t>
            </w:r>
          </w:p>
        </w:tc>
        <w:tc>
          <w:tcPr>
            <w:tcW w:w="1137" w:type="dxa"/>
            <w:tcBorders>
              <w:top w:val="single" w:sz="2" w:space="0" w:color="595959"/>
              <w:bottom w:val="single" w:sz="4" w:space="0" w:color="auto"/>
              <w:right w:val="single" w:sz="4" w:space="0" w:color="auto"/>
            </w:tcBorders>
            <w:shd w:val="clear" w:color="auto" w:fill="auto"/>
          </w:tcPr>
          <w:p w14:paraId="0E760681" w14:textId="77777777" w:rsidR="004C2C77" w:rsidRPr="0009445C" w:rsidRDefault="004C2C77" w:rsidP="004C2C77">
            <w:pPr>
              <w:spacing w:before="100" w:line="240" w:lineRule="auto"/>
              <w:ind w:left="113" w:right="113"/>
              <w:rPr>
                <w:szCs w:val="18"/>
              </w:rPr>
            </w:pPr>
            <w:r w:rsidRPr="0009445C">
              <w:t>60</w:t>
            </w:r>
          </w:p>
        </w:tc>
      </w:tr>
      <w:tr w:rsidR="004C2C77" w:rsidRPr="0009445C" w14:paraId="5C202362" w14:textId="77777777" w:rsidTr="0028348C">
        <w:trPr>
          <w:gridAfter w:val="1"/>
          <w:wAfter w:w="14" w:type="dxa"/>
          <w:cantSplit/>
        </w:trPr>
        <w:tc>
          <w:tcPr>
            <w:tcW w:w="417" w:type="dxa"/>
            <w:vMerge/>
            <w:tcBorders>
              <w:left w:val="single" w:sz="4" w:space="0" w:color="auto"/>
              <w:bottom w:val="nil"/>
            </w:tcBorders>
            <w:shd w:val="clear" w:color="auto" w:fill="FFFFFF"/>
          </w:tcPr>
          <w:p w14:paraId="2C170F86"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0BBB4CFE" w14:textId="77777777" w:rsidR="004C2C77" w:rsidRPr="0009445C" w:rsidRDefault="004C2C77" w:rsidP="004C2C77">
            <w:pPr>
              <w:spacing w:before="100" w:line="240" w:lineRule="auto"/>
              <w:ind w:left="113" w:right="113"/>
              <w:rPr>
                <w:szCs w:val="18"/>
              </w:rPr>
            </w:pPr>
            <w:r w:rsidRPr="0009445C">
              <w:t>Copper (Cu)</w:t>
            </w:r>
          </w:p>
        </w:tc>
        <w:tc>
          <w:tcPr>
            <w:tcW w:w="1266" w:type="dxa"/>
            <w:tcBorders>
              <w:bottom w:val="single" w:sz="2" w:space="0" w:color="595959"/>
              <w:right w:val="single" w:sz="4" w:space="0" w:color="auto"/>
            </w:tcBorders>
            <w:shd w:val="clear" w:color="auto" w:fill="auto"/>
          </w:tcPr>
          <w:p w14:paraId="2B85606D"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36D0F942"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09F733A5"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6B84EC2C" w14:textId="77777777" w:rsidR="004C2C77" w:rsidRPr="0009445C" w:rsidRDefault="004C2C77" w:rsidP="004C2C77">
            <w:pPr>
              <w:spacing w:before="100" w:line="240" w:lineRule="auto"/>
              <w:ind w:left="113" w:right="113"/>
              <w:rPr>
                <w:szCs w:val="18"/>
              </w:rPr>
            </w:pPr>
            <w:r w:rsidRPr="0009445C">
              <w:t>100</w:t>
            </w:r>
          </w:p>
        </w:tc>
        <w:tc>
          <w:tcPr>
            <w:tcW w:w="1134" w:type="dxa"/>
            <w:tcBorders>
              <w:bottom w:val="single" w:sz="2" w:space="0" w:color="595959"/>
              <w:right w:val="single" w:sz="4" w:space="0" w:color="auto"/>
            </w:tcBorders>
            <w:shd w:val="clear" w:color="auto" w:fill="auto"/>
          </w:tcPr>
          <w:p w14:paraId="65654CC4" w14:textId="77777777" w:rsidR="004C2C77" w:rsidRPr="0009445C" w:rsidRDefault="004C2C77" w:rsidP="004C2C77">
            <w:pPr>
              <w:spacing w:before="100" w:line="240" w:lineRule="auto"/>
              <w:ind w:left="113" w:right="113"/>
              <w:rPr>
                <w:szCs w:val="18"/>
              </w:rPr>
            </w:pPr>
            <w:r w:rsidRPr="0009445C">
              <w:t>300</w:t>
            </w:r>
          </w:p>
        </w:tc>
        <w:tc>
          <w:tcPr>
            <w:tcW w:w="1137" w:type="dxa"/>
            <w:tcBorders>
              <w:bottom w:val="single" w:sz="2" w:space="0" w:color="595959"/>
              <w:right w:val="single" w:sz="4" w:space="0" w:color="auto"/>
            </w:tcBorders>
            <w:shd w:val="clear" w:color="auto" w:fill="auto"/>
          </w:tcPr>
          <w:p w14:paraId="7A3EF3E9" w14:textId="77777777" w:rsidR="004C2C77" w:rsidRPr="0009445C" w:rsidRDefault="004C2C77" w:rsidP="004C2C77">
            <w:pPr>
              <w:spacing w:before="100" w:line="240" w:lineRule="auto"/>
              <w:ind w:left="113" w:right="113"/>
              <w:rPr>
                <w:szCs w:val="18"/>
              </w:rPr>
            </w:pPr>
            <w:r w:rsidRPr="0009445C">
              <w:t>100</w:t>
            </w:r>
          </w:p>
        </w:tc>
      </w:tr>
      <w:tr w:rsidR="004C2C77" w:rsidRPr="0009445C" w14:paraId="478A0758" w14:textId="77777777" w:rsidTr="0028348C">
        <w:trPr>
          <w:gridAfter w:val="1"/>
          <w:wAfter w:w="14" w:type="dxa"/>
          <w:cantSplit/>
        </w:trPr>
        <w:tc>
          <w:tcPr>
            <w:tcW w:w="417" w:type="dxa"/>
            <w:vMerge/>
            <w:tcBorders>
              <w:left w:val="single" w:sz="4" w:space="0" w:color="auto"/>
              <w:bottom w:val="nil"/>
            </w:tcBorders>
            <w:shd w:val="clear" w:color="auto" w:fill="FFFFFF"/>
          </w:tcPr>
          <w:p w14:paraId="57FA5C9D" w14:textId="77777777" w:rsidR="004C2C77" w:rsidRPr="0009445C" w:rsidRDefault="004C2C77" w:rsidP="004C2C77">
            <w:pPr>
              <w:spacing w:before="100" w:line="240" w:lineRule="auto"/>
              <w:ind w:left="113" w:right="113"/>
              <w:rPr>
                <w:szCs w:val="18"/>
              </w:rPr>
            </w:pPr>
          </w:p>
        </w:tc>
        <w:tc>
          <w:tcPr>
            <w:tcW w:w="1856" w:type="dxa"/>
            <w:tcBorders>
              <w:top w:val="single" w:sz="2" w:space="0" w:color="595959"/>
              <w:bottom w:val="single" w:sz="4" w:space="0" w:color="auto"/>
              <w:right w:val="single" w:sz="4" w:space="0" w:color="auto"/>
            </w:tcBorders>
            <w:shd w:val="clear" w:color="auto" w:fill="auto"/>
          </w:tcPr>
          <w:p w14:paraId="3ABFD019" w14:textId="77777777" w:rsidR="004C2C77" w:rsidRPr="0009445C" w:rsidRDefault="004C2C77" w:rsidP="004C2C77">
            <w:pPr>
              <w:spacing w:before="100" w:line="240" w:lineRule="auto"/>
              <w:ind w:left="113" w:right="113"/>
              <w:rPr>
                <w:szCs w:val="18"/>
              </w:rPr>
            </w:pPr>
            <w:r w:rsidRPr="0009445C">
              <w:t>Nickel (Ni)</w:t>
            </w:r>
          </w:p>
        </w:tc>
        <w:tc>
          <w:tcPr>
            <w:tcW w:w="1266" w:type="dxa"/>
            <w:tcBorders>
              <w:top w:val="single" w:sz="2" w:space="0" w:color="595959"/>
              <w:bottom w:val="single" w:sz="4" w:space="0" w:color="auto"/>
              <w:right w:val="single" w:sz="4" w:space="0" w:color="auto"/>
            </w:tcBorders>
            <w:shd w:val="clear" w:color="auto" w:fill="auto"/>
          </w:tcPr>
          <w:p w14:paraId="6B9F197C" w14:textId="77777777" w:rsidR="004C2C77" w:rsidRPr="0009445C" w:rsidRDefault="004C2C77" w:rsidP="004C2C77">
            <w:pPr>
              <w:spacing w:before="100" w:line="240" w:lineRule="auto"/>
              <w:ind w:left="113" w:right="113"/>
              <w:rPr>
                <w:szCs w:val="18"/>
              </w:rPr>
            </w:pPr>
            <w:r w:rsidRPr="0009445C">
              <w:t>µg/l</w:t>
            </w:r>
          </w:p>
        </w:tc>
        <w:tc>
          <w:tcPr>
            <w:tcW w:w="1276" w:type="dxa"/>
            <w:tcBorders>
              <w:top w:val="single" w:sz="2" w:space="0" w:color="595959"/>
              <w:bottom w:val="single" w:sz="4" w:space="0" w:color="auto"/>
              <w:right w:val="single" w:sz="4" w:space="0" w:color="auto"/>
            </w:tcBorders>
            <w:shd w:val="clear" w:color="auto" w:fill="auto"/>
          </w:tcPr>
          <w:p w14:paraId="51A1920C" w14:textId="77777777" w:rsidR="004C2C77" w:rsidRPr="0009445C" w:rsidRDefault="004C2C77" w:rsidP="004C2C77">
            <w:pPr>
              <w:spacing w:before="100" w:line="240" w:lineRule="auto"/>
              <w:ind w:left="113" w:right="113"/>
              <w:rPr>
                <w:szCs w:val="18"/>
              </w:rPr>
            </w:pPr>
          </w:p>
        </w:tc>
        <w:tc>
          <w:tcPr>
            <w:tcW w:w="1559" w:type="dxa"/>
            <w:tcBorders>
              <w:top w:val="single" w:sz="2" w:space="0" w:color="595959"/>
              <w:bottom w:val="single" w:sz="4" w:space="0" w:color="auto"/>
              <w:right w:val="single" w:sz="4" w:space="0" w:color="auto"/>
            </w:tcBorders>
            <w:shd w:val="clear" w:color="auto" w:fill="auto"/>
          </w:tcPr>
          <w:p w14:paraId="3E6CB4B2" w14:textId="77777777" w:rsidR="004C2C77" w:rsidRPr="0009445C" w:rsidRDefault="004C2C77" w:rsidP="004C2C77">
            <w:pPr>
              <w:spacing w:before="100" w:line="240" w:lineRule="auto"/>
              <w:ind w:left="113" w:right="113"/>
              <w:rPr>
                <w:szCs w:val="18"/>
              </w:rPr>
            </w:pPr>
          </w:p>
        </w:tc>
        <w:tc>
          <w:tcPr>
            <w:tcW w:w="1276" w:type="dxa"/>
            <w:tcBorders>
              <w:top w:val="single" w:sz="2" w:space="0" w:color="595959"/>
              <w:bottom w:val="single" w:sz="4" w:space="0" w:color="auto"/>
              <w:right w:val="single" w:sz="4" w:space="0" w:color="auto"/>
            </w:tcBorders>
            <w:shd w:val="clear" w:color="auto" w:fill="auto"/>
          </w:tcPr>
          <w:p w14:paraId="6B5CDE70" w14:textId="77777777" w:rsidR="004C2C77" w:rsidRPr="0009445C" w:rsidRDefault="004C2C77" w:rsidP="004C2C77">
            <w:pPr>
              <w:spacing w:before="100" w:line="240" w:lineRule="auto"/>
              <w:ind w:left="113" w:right="113"/>
              <w:rPr>
                <w:szCs w:val="18"/>
              </w:rPr>
            </w:pPr>
          </w:p>
        </w:tc>
        <w:tc>
          <w:tcPr>
            <w:tcW w:w="1134" w:type="dxa"/>
            <w:tcBorders>
              <w:top w:val="single" w:sz="2" w:space="0" w:color="595959"/>
              <w:bottom w:val="single" w:sz="4" w:space="0" w:color="auto"/>
              <w:right w:val="single" w:sz="4" w:space="0" w:color="auto"/>
            </w:tcBorders>
            <w:shd w:val="clear" w:color="auto" w:fill="auto"/>
          </w:tcPr>
          <w:p w14:paraId="64CE5D5B" w14:textId="77777777" w:rsidR="004C2C77" w:rsidRPr="0009445C" w:rsidRDefault="004C2C77" w:rsidP="004C2C77">
            <w:pPr>
              <w:spacing w:before="100" w:line="240" w:lineRule="auto"/>
              <w:ind w:left="113" w:right="113"/>
              <w:rPr>
                <w:szCs w:val="18"/>
              </w:rPr>
            </w:pPr>
            <w:r w:rsidRPr="0009445C">
              <w:t>150</w:t>
            </w:r>
          </w:p>
        </w:tc>
        <w:tc>
          <w:tcPr>
            <w:tcW w:w="1137" w:type="dxa"/>
            <w:tcBorders>
              <w:top w:val="single" w:sz="2" w:space="0" w:color="595959"/>
              <w:bottom w:val="single" w:sz="4" w:space="0" w:color="auto"/>
              <w:right w:val="single" w:sz="4" w:space="0" w:color="auto"/>
            </w:tcBorders>
            <w:shd w:val="clear" w:color="auto" w:fill="auto"/>
          </w:tcPr>
          <w:p w14:paraId="5BE050D6" w14:textId="77777777" w:rsidR="004C2C77" w:rsidRPr="0009445C" w:rsidRDefault="004C2C77" w:rsidP="004C2C77">
            <w:pPr>
              <w:spacing w:before="100" w:line="240" w:lineRule="auto"/>
              <w:ind w:left="113" w:right="113"/>
              <w:rPr>
                <w:szCs w:val="18"/>
              </w:rPr>
            </w:pPr>
            <w:r w:rsidRPr="0009445C">
              <w:t>70</w:t>
            </w:r>
          </w:p>
        </w:tc>
      </w:tr>
      <w:tr w:rsidR="004C2C77" w:rsidRPr="0009445C" w14:paraId="33D20B12" w14:textId="77777777" w:rsidTr="0028348C">
        <w:trPr>
          <w:gridAfter w:val="1"/>
          <w:wAfter w:w="14" w:type="dxa"/>
          <w:cantSplit/>
        </w:trPr>
        <w:tc>
          <w:tcPr>
            <w:tcW w:w="417" w:type="dxa"/>
            <w:vMerge/>
            <w:tcBorders>
              <w:left w:val="single" w:sz="4" w:space="0" w:color="auto"/>
              <w:bottom w:val="nil"/>
            </w:tcBorders>
            <w:shd w:val="clear" w:color="auto" w:fill="FFFFFF"/>
          </w:tcPr>
          <w:p w14:paraId="1548A080"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1E4206B3" w14:textId="77777777" w:rsidR="004C2C77" w:rsidRPr="0009445C" w:rsidRDefault="004C2C77" w:rsidP="004C2C77">
            <w:pPr>
              <w:spacing w:before="100" w:line="240" w:lineRule="auto"/>
              <w:ind w:left="113" w:right="113"/>
              <w:rPr>
                <w:szCs w:val="18"/>
              </w:rPr>
            </w:pPr>
            <w:r w:rsidRPr="0009445C">
              <w:t>Mercury (Hg)</w:t>
            </w:r>
          </w:p>
        </w:tc>
        <w:tc>
          <w:tcPr>
            <w:tcW w:w="1266" w:type="dxa"/>
            <w:tcBorders>
              <w:bottom w:val="single" w:sz="2" w:space="0" w:color="595959"/>
              <w:right w:val="single" w:sz="4" w:space="0" w:color="auto"/>
            </w:tcBorders>
            <w:shd w:val="clear" w:color="auto" w:fill="auto"/>
          </w:tcPr>
          <w:p w14:paraId="6607BD58"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51F7BB46"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27D85242" w14:textId="35780800"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30D8820C"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7D01D88D" w14:textId="77777777" w:rsidR="004C2C77" w:rsidRPr="0009445C" w:rsidRDefault="004C2C77" w:rsidP="004C2C77">
            <w:pPr>
              <w:spacing w:before="100" w:line="240" w:lineRule="auto"/>
              <w:ind w:left="113" w:right="113"/>
              <w:rPr>
                <w:szCs w:val="18"/>
              </w:rPr>
            </w:pPr>
          </w:p>
        </w:tc>
        <w:tc>
          <w:tcPr>
            <w:tcW w:w="1137" w:type="dxa"/>
            <w:tcBorders>
              <w:bottom w:val="single" w:sz="2" w:space="0" w:color="595959"/>
              <w:right w:val="single" w:sz="4" w:space="0" w:color="auto"/>
            </w:tcBorders>
            <w:shd w:val="clear" w:color="auto" w:fill="auto"/>
          </w:tcPr>
          <w:p w14:paraId="4ADDA364" w14:textId="77777777" w:rsidR="004C2C77" w:rsidRPr="0009445C" w:rsidRDefault="004C2C77" w:rsidP="004C2C77">
            <w:pPr>
              <w:spacing w:before="100" w:line="240" w:lineRule="auto"/>
              <w:ind w:left="113" w:right="113"/>
              <w:rPr>
                <w:szCs w:val="18"/>
              </w:rPr>
            </w:pPr>
            <w:r w:rsidRPr="0009445C">
              <w:t>2</w:t>
            </w:r>
          </w:p>
        </w:tc>
      </w:tr>
      <w:tr w:rsidR="004C2C77" w:rsidRPr="0009445C" w14:paraId="557C14EE" w14:textId="77777777" w:rsidTr="0028348C">
        <w:trPr>
          <w:gridAfter w:val="1"/>
          <w:wAfter w:w="14" w:type="dxa"/>
          <w:cantSplit/>
        </w:trPr>
        <w:tc>
          <w:tcPr>
            <w:tcW w:w="417" w:type="dxa"/>
            <w:vMerge/>
            <w:tcBorders>
              <w:left w:val="single" w:sz="4" w:space="0" w:color="auto"/>
              <w:bottom w:val="nil"/>
            </w:tcBorders>
            <w:shd w:val="clear" w:color="auto" w:fill="FFFFFF"/>
          </w:tcPr>
          <w:p w14:paraId="1BFF7FEB"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33DB0DB3" w14:textId="77777777" w:rsidR="004C2C77" w:rsidRPr="0009445C" w:rsidRDefault="004C2C77" w:rsidP="004C2C77">
            <w:pPr>
              <w:spacing w:before="100" w:line="240" w:lineRule="auto"/>
              <w:ind w:left="113" w:right="113"/>
              <w:rPr>
                <w:szCs w:val="18"/>
              </w:rPr>
            </w:pPr>
            <w:r w:rsidRPr="0009445C">
              <w:t>Vanadium</w:t>
            </w:r>
          </w:p>
        </w:tc>
        <w:tc>
          <w:tcPr>
            <w:tcW w:w="1266" w:type="dxa"/>
            <w:tcBorders>
              <w:bottom w:val="single" w:sz="2" w:space="0" w:color="595959"/>
              <w:right w:val="single" w:sz="4" w:space="0" w:color="auto"/>
            </w:tcBorders>
            <w:shd w:val="clear" w:color="auto" w:fill="auto"/>
          </w:tcPr>
          <w:p w14:paraId="75A94FC2"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7B65CD78" w14:textId="77777777" w:rsidR="004C2C77" w:rsidRPr="0009445C" w:rsidRDefault="004C2C77" w:rsidP="004C2C77">
            <w:pPr>
              <w:spacing w:before="100" w:line="240" w:lineRule="auto"/>
              <w:ind w:left="113" w:right="113"/>
              <w:rPr>
                <w:szCs w:val="18"/>
              </w:rPr>
            </w:pPr>
            <w:r w:rsidRPr="0009445C">
              <w:t>250</w:t>
            </w:r>
          </w:p>
        </w:tc>
        <w:tc>
          <w:tcPr>
            <w:tcW w:w="1559" w:type="dxa"/>
            <w:tcBorders>
              <w:bottom w:val="single" w:sz="2" w:space="0" w:color="595959"/>
              <w:right w:val="single" w:sz="4" w:space="0" w:color="auto"/>
            </w:tcBorders>
            <w:shd w:val="clear" w:color="auto" w:fill="auto"/>
          </w:tcPr>
          <w:p w14:paraId="0B886883"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0B1E1D12"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1D4DE6DA" w14:textId="77777777" w:rsidR="004C2C77" w:rsidRPr="0009445C" w:rsidRDefault="004C2C77" w:rsidP="004C2C77">
            <w:pPr>
              <w:spacing w:before="100" w:line="240" w:lineRule="auto"/>
              <w:ind w:left="113" w:right="113"/>
              <w:rPr>
                <w:szCs w:val="18"/>
              </w:rPr>
            </w:pPr>
          </w:p>
        </w:tc>
        <w:tc>
          <w:tcPr>
            <w:tcW w:w="1137" w:type="dxa"/>
            <w:tcBorders>
              <w:bottom w:val="single" w:sz="2" w:space="0" w:color="595959"/>
              <w:right w:val="single" w:sz="4" w:space="0" w:color="auto"/>
            </w:tcBorders>
            <w:shd w:val="clear" w:color="auto" w:fill="auto"/>
          </w:tcPr>
          <w:p w14:paraId="509DEC39" w14:textId="77777777" w:rsidR="004C2C77" w:rsidRPr="0009445C" w:rsidRDefault="004C2C77" w:rsidP="004C2C77">
            <w:pPr>
              <w:spacing w:before="100" w:line="240" w:lineRule="auto"/>
              <w:ind w:left="113" w:right="113"/>
              <w:rPr>
                <w:szCs w:val="18"/>
              </w:rPr>
            </w:pPr>
          </w:p>
        </w:tc>
      </w:tr>
      <w:tr w:rsidR="004C2C77" w:rsidRPr="0009445C" w14:paraId="40895F21" w14:textId="77777777" w:rsidTr="0028348C">
        <w:trPr>
          <w:gridAfter w:val="1"/>
          <w:wAfter w:w="14" w:type="dxa"/>
          <w:cantSplit/>
        </w:trPr>
        <w:tc>
          <w:tcPr>
            <w:tcW w:w="417" w:type="dxa"/>
            <w:vMerge/>
            <w:tcBorders>
              <w:left w:val="single" w:sz="4" w:space="0" w:color="auto"/>
              <w:bottom w:val="nil"/>
            </w:tcBorders>
            <w:shd w:val="clear" w:color="auto" w:fill="FFFFFF"/>
          </w:tcPr>
          <w:p w14:paraId="143BE094" w14:textId="77777777" w:rsidR="004C2C77" w:rsidRPr="0009445C" w:rsidRDefault="004C2C77" w:rsidP="004C2C77">
            <w:pPr>
              <w:spacing w:before="100" w:line="240" w:lineRule="auto"/>
              <w:ind w:left="113" w:right="113"/>
              <w:rPr>
                <w:szCs w:val="18"/>
              </w:rPr>
            </w:pPr>
          </w:p>
        </w:tc>
        <w:tc>
          <w:tcPr>
            <w:tcW w:w="1856" w:type="dxa"/>
            <w:tcBorders>
              <w:top w:val="single" w:sz="2" w:space="0" w:color="595959"/>
              <w:bottom w:val="single" w:sz="4" w:space="0" w:color="auto"/>
              <w:right w:val="single" w:sz="4" w:space="0" w:color="auto"/>
            </w:tcBorders>
            <w:shd w:val="clear" w:color="auto" w:fill="auto"/>
          </w:tcPr>
          <w:p w14:paraId="582359BE" w14:textId="77777777" w:rsidR="004C2C77" w:rsidRPr="0009445C" w:rsidRDefault="004C2C77" w:rsidP="004C2C77">
            <w:pPr>
              <w:spacing w:before="100" w:line="240" w:lineRule="auto"/>
              <w:ind w:left="113" w:right="113"/>
              <w:rPr>
                <w:szCs w:val="18"/>
              </w:rPr>
            </w:pPr>
            <w:r w:rsidRPr="0009445C">
              <w:t>Zinc (Zn)</w:t>
            </w:r>
          </w:p>
        </w:tc>
        <w:tc>
          <w:tcPr>
            <w:tcW w:w="1266" w:type="dxa"/>
            <w:tcBorders>
              <w:top w:val="single" w:sz="2" w:space="0" w:color="595959"/>
              <w:bottom w:val="single" w:sz="4" w:space="0" w:color="auto"/>
              <w:right w:val="single" w:sz="4" w:space="0" w:color="auto"/>
            </w:tcBorders>
            <w:shd w:val="clear" w:color="auto" w:fill="auto"/>
          </w:tcPr>
          <w:p w14:paraId="5F36AEE7" w14:textId="77777777" w:rsidR="004C2C77" w:rsidRPr="0009445C" w:rsidRDefault="004C2C77" w:rsidP="004C2C77">
            <w:pPr>
              <w:spacing w:before="100" w:line="240" w:lineRule="auto"/>
              <w:ind w:left="113" w:right="113"/>
              <w:rPr>
                <w:szCs w:val="18"/>
              </w:rPr>
            </w:pPr>
            <w:r w:rsidRPr="0009445C">
              <w:t>µg/l</w:t>
            </w:r>
          </w:p>
        </w:tc>
        <w:tc>
          <w:tcPr>
            <w:tcW w:w="1276" w:type="dxa"/>
            <w:tcBorders>
              <w:top w:val="single" w:sz="2" w:space="0" w:color="595959"/>
              <w:bottom w:val="single" w:sz="4" w:space="0" w:color="auto"/>
              <w:right w:val="single" w:sz="4" w:space="0" w:color="auto"/>
            </w:tcBorders>
            <w:shd w:val="clear" w:color="auto" w:fill="auto"/>
          </w:tcPr>
          <w:p w14:paraId="4FE0CECD" w14:textId="77777777" w:rsidR="004C2C77" w:rsidRPr="0009445C" w:rsidRDefault="004C2C77" w:rsidP="004C2C77">
            <w:pPr>
              <w:spacing w:before="100" w:line="240" w:lineRule="auto"/>
              <w:ind w:left="113" w:right="113"/>
              <w:rPr>
                <w:szCs w:val="18"/>
              </w:rPr>
            </w:pPr>
          </w:p>
        </w:tc>
        <w:tc>
          <w:tcPr>
            <w:tcW w:w="1559" w:type="dxa"/>
            <w:tcBorders>
              <w:top w:val="single" w:sz="2" w:space="0" w:color="595959"/>
              <w:bottom w:val="single" w:sz="4" w:space="0" w:color="auto"/>
              <w:right w:val="single" w:sz="4" w:space="0" w:color="auto"/>
            </w:tcBorders>
            <w:shd w:val="clear" w:color="auto" w:fill="auto"/>
          </w:tcPr>
          <w:p w14:paraId="7E6A641D" w14:textId="77777777" w:rsidR="004C2C77" w:rsidRPr="0009445C" w:rsidRDefault="004C2C77" w:rsidP="004C2C77">
            <w:pPr>
              <w:spacing w:before="100" w:line="240" w:lineRule="auto"/>
              <w:ind w:left="113" w:right="113"/>
              <w:rPr>
                <w:szCs w:val="18"/>
              </w:rPr>
            </w:pPr>
          </w:p>
        </w:tc>
        <w:tc>
          <w:tcPr>
            <w:tcW w:w="1276" w:type="dxa"/>
            <w:tcBorders>
              <w:top w:val="single" w:sz="2" w:space="0" w:color="595959"/>
              <w:bottom w:val="single" w:sz="4" w:space="0" w:color="auto"/>
              <w:right w:val="single" w:sz="4" w:space="0" w:color="auto"/>
            </w:tcBorders>
            <w:shd w:val="clear" w:color="auto" w:fill="auto"/>
          </w:tcPr>
          <w:p w14:paraId="528F9DFA" w14:textId="77777777" w:rsidR="004C2C77" w:rsidRPr="0009445C" w:rsidRDefault="004C2C77" w:rsidP="004C2C77">
            <w:pPr>
              <w:spacing w:before="100" w:line="240" w:lineRule="auto"/>
              <w:ind w:left="113" w:right="113"/>
              <w:rPr>
                <w:szCs w:val="18"/>
              </w:rPr>
            </w:pPr>
            <w:r w:rsidRPr="0009445C">
              <w:t>200</w:t>
            </w:r>
          </w:p>
        </w:tc>
        <w:tc>
          <w:tcPr>
            <w:tcW w:w="1134" w:type="dxa"/>
            <w:tcBorders>
              <w:top w:val="single" w:sz="2" w:space="0" w:color="595959"/>
              <w:bottom w:val="single" w:sz="4" w:space="0" w:color="auto"/>
              <w:right w:val="single" w:sz="4" w:space="0" w:color="auto"/>
            </w:tcBorders>
            <w:shd w:val="clear" w:color="auto" w:fill="auto"/>
          </w:tcPr>
          <w:p w14:paraId="6AAC59F5" w14:textId="77777777" w:rsidR="004C2C77" w:rsidRPr="0009445C" w:rsidRDefault="004C2C77" w:rsidP="004C2C77">
            <w:pPr>
              <w:spacing w:before="100" w:line="240" w:lineRule="auto"/>
              <w:ind w:left="113" w:right="113"/>
              <w:rPr>
                <w:szCs w:val="18"/>
              </w:rPr>
            </w:pPr>
            <w:r w:rsidRPr="0009445C">
              <w:t>600</w:t>
            </w:r>
          </w:p>
        </w:tc>
        <w:tc>
          <w:tcPr>
            <w:tcW w:w="1137" w:type="dxa"/>
            <w:tcBorders>
              <w:top w:val="single" w:sz="2" w:space="0" w:color="595959"/>
              <w:bottom w:val="single" w:sz="4" w:space="0" w:color="auto"/>
              <w:right w:val="single" w:sz="4" w:space="0" w:color="auto"/>
            </w:tcBorders>
            <w:shd w:val="clear" w:color="auto" w:fill="auto"/>
          </w:tcPr>
          <w:p w14:paraId="7103F98C" w14:textId="77777777" w:rsidR="004C2C77" w:rsidRPr="0009445C" w:rsidRDefault="004C2C77" w:rsidP="004C2C77">
            <w:pPr>
              <w:spacing w:before="100" w:line="240" w:lineRule="auto"/>
              <w:ind w:left="113" w:right="113"/>
              <w:rPr>
                <w:szCs w:val="18"/>
              </w:rPr>
            </w:pPr>
            <w:r w:rsidRPr="0009445C">
              <w:t>600</w:t>
            </w:r>
          </w:p>
        </w:tc>
      </w:tr>
      <w:tr w:rsidR="004C2C77" w:rsidRPr="0009445C" w14:paraId="28C5EED8" w14:textId="77777777" w:rsidTr="0028348C">
        <w:trPr>
          <w:gridAfter w:val="1"/>
          <w:wAfter w:w="14" w:type="dxa"/>
          <w:cantSplit/>
        </w:trPr>
        <w:tc>
          <w:tcPr>
            <w:tcW w:w="417" w:type="dxa"/>
            <w:vMerge/>
            <w:tcBorders>
              <w:left w:val="single" w:sz="4" w:space="0" w:color="auto"/>
              <w:bottom w:val="nil"/>
            </w:tcBorders>
            <w:shd w:val="clear" w:color="auto" w:fill="FFFFFF"/>
          </w:tcPr>
          <w:p w14:paraId="711344C9"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0B42BE05" w14:textId="77777777" w:rsidR="004C2C77" w:rsidRPr="0009445C" w:rsidRDefault="004C2C77" w:rsidP="004C2C77">
            <w:pPr>
              <w:spacing w:before="100" w:line="240" w:lineRule="auto"/>
              <w:ind w:left="113" w:right="113"/>
              <w:rPr>
                <w:szCs w:val="18"/>
              </w:rPr>
            </w:pPr>
            <w:r w:rsidRPr="0009445C">
              <w:t>Chloride (Cl</w:t>
            </w:r>
            <w:r w:rsidRPr="0009445C">
              <w:rPr>
                <w:vertAlign w:val="superscript"/>
              </w:rPr>
              <w:t>-</w:t>
            </w:r>
            <w:r w:rsidRPr="0009445C">
              <w:t>)</w:t>
            </w:r>
          </w:p>
        </w:tc>
        <w:tc>
          <w:tcPr>
            <w:tcW w:w="1266" w:type="dxa"/>
            <w:tcBorders>
              <w:bottom w:val="single" w:sz="2" w:space="0" w:color="595959"/>
              <w:right w:val="single" w:sz="4" w:space="0" w:color="auto"/>
            </w:tcBorders>
            <w:shd w:val="clear" w:color="auto" w:fill="auto"/>
          </w:tcPr>
          <w:p w14:paraId="1A8087FB" w14:textId="77777777" w:rsidR="004C2C77" w:rsidRPr="0009445C" w:rsidRDefault="004C2C77" w:rsidP="004C2C77">
            <w:pPr>
              <w:spacing w:before="100" w:line="240" w:lineRule="auto"/>
              <w:ind w:left="113" w:right="113"/>
              <w:rPr>
                <w:szCs w:val="18"/>
              </w:rPr>
            </w:pPr>
            <w:r w:rsidRPr="0009445C">
              <w:t>mg/l</w:t>
            </w:r>
          </w:p>
        </w:tc>
        <w:tc>
          <w:tcPr>
            <w:tcW w:w="1276" w:type="dxa"/>
            <w:tcBorders>
              <w:bottom w:val="single" w:sz="2" w:space="0" w:color="595959"/>
              <w:right w:val="single" w:sz="4" w:space="0" w:color="auto"/>
            </w:tcBorders>
            <w:shd w:val="clear" w:color="auto" w:fill="auto"/>
          </w:tcPr>
          <w:p w14:paraId="4FED6A92"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621E3A54" w14:textId="58D7C236"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3CB099CF"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5E096640" w14:textId="77777777" w:rsidR="004C2C77" w:rsidRPr="0009445C" w:rsidRDefault="004C2C77" w:rsidP="004C2C77">
            <w:pPr>
              <w:spacing w:before="100" w:line="240" w:lineRule="auto"/>
              <w:ind w:left="113" w:right="113"/>
              <w:rPr>
                <w:szCs w:val="18"/>
              </w:rPr>
            </w:pPr>
          </w:p>
        </w:tc>
        <w:tc>
          <w:tcPr>
            <w:tcW w:w="1137" w:type="dxa"/>
            <w:tcBorders>
              <w:bottom w:val="single" w:sz="2" w:space="0" w:color="595959"/>
              <w:right w:val="single" w:sz="4" w:space="0" w:color="auto"/>
            </w:tcBorders>
            <w:shd w:val="clear" w:color="auto" w:fill="auto"/>
          </w:tcPr>
          <w:p w14:paraId="29A48D1A" w14:textId="77777777" w:rsidR="004C2C77" w:rsidRPr="0009445C" w:rsidRDefault="004C2C77" w:rsidP="004C2C77">
            <w:pPr>
              <w:spacing w:before="100" w:line="240" w:lineRule="auto"/>
              <w:ind w:left="113" w:right="113"/>
              <w:rPr>
                <w:szCs w:val="18"/>
              </w:rPr>
            </w:pPr>
          </w:p>
        </w:tc>
      </w:tr>
      <w:tr w:rsidR="004C2C77" w:rsidRPr="0009445C" w14:paraId="1EE8446C" w14:textId="77777777" w:rsidTr="0028348C">
        <w:trPr>
          <w:gridAfter w:val="1"/>
          <w:wAfter w:w="14" w:type="dxa"/>
          <w:cantSplit/>
        </w:trPr>
        <w:tc>
          <w:tcPr>
            <w:tcW w:w="417" w:type="dxa"/>
            <w:vMerge/>
            <w:tcBorders>
              <w:left w:val="single" w:sz="4" w:space="0" w:color="auto"/>
              <w:bottom w:val="nil"/>
            </w:tcBorders>
            <w:shd w:val="clear" w:color="auto" w:fill="FFFFFF"/>
          </w:tcPr>
          <w:p w14:paraId="4C68AA7C"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666144F7" w14:textId="77777777" w:rsidR="004C2C77" w:rsidRPr="0009445C" w:rsidRDefault="004C2C77" w:rsidP="004C2C77">
            <w:pPr>
              <w:spacing w:before="100" w:line="240" w:lineRule="auto"/>
              <w:ind w:left="113" w:right="113"/>
              <w:rPr>
                <w:szCs w:val="18"/>
              </w:rPr>
            </w:pPr>
            <w:r w:rsidRPr="0009445C">
              <w:t>Sulphate (SO</w:t>
            </w:r>
            <w:r w:rsidRPr="0009445C">
              <w:rPr>
                <w:vertAlign w:val="subscript"/>
              </w:rPr>
              <w:t>4</w:t>
            </w:r>
            <w:r w:rsidRPr="0009445C">
              <w:rPr>
                <w:vertAlign w:val="superscript"/>
              </w:rPr>
              <w:t>2-</w:t>
            </w:r>
            <w:r w:rsidRPr="0009445C">
              <w:t>)</w:t>
            </w:r>
          </w:p>
        </w:tc>
        <w:tc>
          <w:tcPr>
            <w:tcW w:w="1266" w:type="dxa"/>
            <w:tcBorders>
              <w:bottom w:val="single" w:sz="2" w:space="0" w:color="595959"/>
              <w:right w:val="single" w:sz="4" w:space="0" w:color="auto"/>
            </w:tcBorders>
            <w:shd w:val="clear" w:color="auto" w:fill="auto"/>
          </w:tcPr>
          <w:p w14:paraId="3C9FA37A" w14:textId="77777777" w:rsidR="004C2C77" w:rsidRPr="0009445C" w:rsidRDefault="004C2C77" w:rsidP="004C2C77">
            <w:pPr>
              <w:spacing w:before="100" w:line="240" w:lineRule="auto"/>
              <w:ind w:left="113" w:right="113"/>
              <w:rPr>
                <w:szCs w:val="18"/>
              </w:rPr>
            </w:pPr>
            <w:r w:rsidRPr="0009445C">
              <w:t>mg/l</w:t>
            </w:r>
          </w:p>
        </w:tc>
        <w:tc>
          <w:tcPr>
            <w:tcW w:w="1276" w:type="dxa"/>
            <w:tcBorders>
              <w:bottom w:val="single" w:sz="2" w:space="0" w:color="595959"/>
              <w:right w:val="single" w:sz="4" w:space="0" w:color="auto"/>
            </w:tcBorders>
            <w:shd w:val="clear" w:color="auto" w:fill="auto"/>
          </w:tcPr>
          <w:p w14:paraId="534F60CD"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27417E61" w14:textId="68428621"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169A03EA"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2D94F616" w14:textId="77777777" w:rsidR="004C2C77" w:rsidRPr="0009445C" w:rsidRDefault="004C2C77" w:rsidP="004C2C77">
            <w:pPr>
              <w:spacing w:before="100" w:line="240" w:lineRule="auto"/>
              <w:ind w:left="113" w:right="113"/>
              <w:rPr>
                <w:szCs w:val="18"/>
              </w:rPr>
            </w:pPr>
          </w:p>
        </w:tc>
        <w:tc>
          <w:tcPr>
            <w:tcW w:w="1137" w:type="dxa"/>
            <w:tcBorders>
              <w:bottom w:val="single" w:sz="2" w:space="0" w:color="595959"/>
              <w:right w:val="single" w:sz="4" w:space="0" w:color="auto"/>
            </w:tcBorders>
            <w:shd w:val="clear" w:color="auto" w:fill="auto"/>
          </w:tcPr>
          <w:p w14:paraId="46B167CF" w14:textId="77777777" w:rsidR="004C2C77" w:rsidRPr="0009445C" w:rsidRDefault="004C2C77" w:rsidP="004C2C77">
            <w:pPr>
              <w:spacing w:before="100" w:line="240" w:lineRule="auto"/>
              <w:ind w:left="113" w:right="113"/>
              <w:rPr>
                <w:szCs w:val="18"/>
              </w:rPr>
            </w:pPr>
          </w:p>
        </w:tc>
      </w:tr>
      <w:tr w:rsidR="004C2C77" w:rsidRPr="0009445C" w14:paraId="200983E8" w14:textId="77777777" w:rsidTr="0028348C">
        <w:trPr>
          <w:gridAfter w:val="1"/>
          <w:wAfter w:w="14" w:type="dxa"/>
          <w:cantSplit/>
        </w:trPr>
        <w:tc>
          <w:tcPr>
            <w:tcW w:w="417" w:type="dxa"/>
            <w:vMerge/>
            <w:tcBorders>
              <w:left w:val="single" w:sz="4" w:space="0" w:color="auto"/>
              <w:bottom w:val="nil"/>
            </w:tcBorders>
            <w:shd w:val="clear" w:color="auto" w:fill="FFFFFF"/>
          </w:tcPr>
          <w:p w14:paraId="4F959D01"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39B50AED" w14:textId="77777777" w:rsidR="004C2C77" w:rsidRPr="0009445C" w:rsidRDefault="004C2C77" w:rsidP="004C2C77">
            <w:pPr>
              <w:spacing w:before="100" w:line="240" w:lineRule="auto"/>
              <w:ind w:left="113" w:right="113"/>
              <w:rPr>
                <w:szCs w:val="18"/>
              </w:rPr>
            </w:pPr>
            <w:r w:rsidRPr="0009445C">
              <w:t>Fluoride</w:t>
            </w:r>
          </w:p>
        </w:tc>
        <w:tc>
          <w:tcPr>
            <w:tcW w:w="1266" w:type="dxa"/>
            <w:tcBorders>
              <w:bottom w:val="single" w:sz="2" w:space="0" w:color="595959"/>
              <w:right w:val="single" w:sz="4" w:space="0" w:color="auto"/>
            </w:tcBorders>
            <w:shd w:val="clear" w:color="auto" w:fill="auto"/>
          </w:tcPr>
          <w:p w14:paraId="7170FE96" w14:textId="77777777" w:rsidR="004C2C77" w:rsidRPr="0009445C" w:rsidRDefault="004C2C77" w:rsidP="004C2C77">
            <w:pPr>
              <w:spacing w:before="100" w:line="240" w:lineRule="auto"/>
              <w:ind w:left="113" w:right="113"/>
              <w:rPr>
                <w:szCs w:val="18"/>
              </w:rPr>
            </w:pPr>
            <w:r w:rsidRPr="0009445C">
              <w:t>mg/l</w:t>
            </w:r>
          </w:p>
        </w:tc>
        <w:tc>
          <w:tcPr>
            <w:tcW w:w="1276" w:type="dxa"/>
            <w:tcBorders>
              <w:bottom w:val="single" w:sz="2" w:space="0" w:color="595959"/>
              <w:right w:val="single" w:sz="4" w:space="0" w:color="auto"/>
            </w:tcBorders>
            <w:shd w:val="clear" w:color="auto" w:fill="auto"/>
          </w:tcPr>
          <w:p w14:paraId="16E3AE31" w14:textId="77777777" w:rsidR="004C2C77" w:rsidRPr="0009445C" w:rsidRDefault="004C2C77" w:rsidP="004C2C77">
            <w:pPr>
              <w:spacing w:before="100" w:line="240" w:lineRule="auto"/>
              <w:ind w:left="113" w:right="113"/>
              <w:rPr>
                <w:szCs w:val="18"/>
              </w:rPr>
            </w:pPr>
            <w:r w:rsidRPr="0009445C">
              <w:t>5</w:t>
            </w:r>
          </w:p>
        </w:tc>
        <w:tc>
          <w:tcPr>
            <w:tcW w:w="1559" w:type="dxa"/>
            <w:tcBorders>
              <w:bottom w:val="single" w:sz="2" w:space="0" w:color="595959"/>
              <w:right w:val="single" w:sz="4" w:space="0" w:color="auto"/>
            </w:tcBorders>
            <w:shd w:val="clear" w:color="auto" w:fill="auto"/>
          </w:tcPr>
          <w:p w14:paraId="379E3E48"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4CC817A3"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333FACFF" w14:textId="77777777" w:rsidR="004C2C77" w:rsidRPr="0009445C" w:rsidRDefault="004C2C77" w:rsidP="004C2C77">
            <w:pPr>
              <w:spacing w:before="100" w:line="240" w:lineRule="auto"/>
              <w:ind w:left="113" w:right="113"/>
              <w:rPr>
                <w:szCs w:val="18"/>
              </w:rPr>
            </w:pPr>
            <w:r w:rsidRPr="0009445C">
              <w:t>1</w:t>
            </w:r>
          </w:p>
        </w:tc>
        <w:tc>
          <w:tcPr>
            <w:tcW w:w="1137" w:type="dxa"/>
            <w:tcBorders>
              <w:bottom w:val="single" w:sz="2" w:space="0" w:color="595959"/>
              <w:right w:val="single" w:sz="4" w:space="0" w:color="auto"/>
            </w:tcBorders>
            <w:shd w:val="clear" w:color="auto" w:fill="auto"/>
          </w:tcPr>
          <w:p w14:paraId="2CDC71E1" w14:textId="77777777" w:rsidR="004C2C77" w:rsidRPr="0009445C" w:rsidRDefault="004C2C77" w:rsidP="004C2C77">
            <w:pPr>
              <w:spacing w:before="100" w:line="240" w:lineRule="auto"/>
              <w:ind w:left="113" w:right="113"/>
              <w:rPr>
                <w:szCs w:val="18"/>
              </w:rPr>
            </w:pPr>
          </w:p>
        </w:tc>
      </w:tr>
      <w:tr w:rsidR="004C2C77" w:rsidRPr="0009445C" w14:paraId="6544EA19" w14:textId="77777777" w:rsidTr="0028348C">
        <w:trPr>
          <w:gridAfter w:val="1"/>
          <w:wAfter w:w="14" w:type="dxa"/>
          <w:cantSplit/>
        </w:trPr>
        <w:tc>
          <w:tcPr>
            <w:tcW w:w="417" w:type="dxa"/>
            <w:vMerge/>
            <w:tcBorders>
              <w:left w:val="single" w:sz="4" w:space="0" w:color="auto"/>
              <w:bottom w:val="nil"/>
            </w:tcBorders>
            <w:shd w:val="clear" w:color="auto" w:fill="FFFFFF"/>
          </w:tcPr>
          <w:p w14:paraId="2816137B"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71F61200" w14:textId="77777777" w:rsidR="004C2C77" w:rsidRPr="0009445C" w:rsidRDefault="004C2C77" w:rsidP="004C2C77">
            <w:pPr>
              <w:spacing w:before="100" w:line="240" w:lineRule="auto"/>
              <w:ind w:left="113" w:right="113"/>
              <w:rPr>
                <w:szCs w:val="18"/>
              </w:rPr>
            </w:pPr>
            <w:r w:rsidRPr="0009445C">
              <w:t>Phenol index</w:t>
            </w:r>
          </w:p>
        </w:tc>
        <w:tc>
          <w:tcPr>
            <w:tcW w:w="1266" w:type="dxa"/>
            <w:tcBorders>
              <w:bottom w:val="single" w:sz="2" w:space="0" w:color="595959"/>
              <w:right w:val="single" w:sz="4" w:space="0" w:color="auto"/>
            </w:tcBorders>
            <w:shd w:val="clear" w:color="auto" w:fill="auto"/>
          </w:tcPr>
          <w:p w14:paraId="081D6C4F"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6BD0D229"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451B6954"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47A48DDD"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0EE322AB" w14:textId="77777777" w:rsidR="004C2C77" w:rsidRPr="0009445C" w:rsidRDefault="004C2C77" w:rsidP="004C2C77">
            <w:pPr>
              <w:spacing w:before="100" w:line="240" w:lineRule="auto"/>
              <w:ind w:left="113" w:right="113"/>
              <w:rPr>
                <w:szCs w:val="18"/>
              </w:rPr>
            </w:pPr>
            <w:r w:rsidRPr="0009445C">
              <w:t>100</w:t>
            </w:r>
          </w:p>
        </w:tc>
        <w:tc>
          <w:tcPr>
            <w:tcW w:w="1137" w:type="dxa"/>
            <w:tcBorders>
              <w:bottom w:val="single" w:sz="2" w:space="0" w:color="595959"/>
              <w:right w:val="single" w:sz="4" w:space="0" w:color="auto"/>
            </w:tcBorders>
            <w:shd w:val="clear" w:color="auto" w:fill="auto"/>
          </w:tcPr>
          <w:p w14:paraId="3AB5A342" w14:textId="77777777" w:rsidR="004C2C77" w:rsidRPr="0009445C" w:rsidRDefault="004C2C77" w:rsidP="004C2C77">
            <w:pPr>
              <w:spacing w:before="100" w:line="240" w:lineRule="auto"/>
              <w:ind w:left="113" w:right="113"/>
              <w:rPr>
                <w:szCs w:val="18"/>
              </w:rPr>
            </w:pPr>
          </w:p>
        </w:tc>
      </w:tr>
      <w:tr w:rsidR="004C2C77" w:rsidRPr="0009445C" w14:paraId="38660EF2" w14:textId="77777777" w:rsidTr="0028348C">
        <w:trPr>
          <w:gridAfter w:val="1"/>
          <w:wAfter w:w="14" w:type="dxa"/>
          <w:cantSplit/>
        </w:trPr>
        <w:tc>
          <w:tcPr>
            <w:tcW w:w="417" w:type="dxa"/>
            <w:vMerge/>
            <w:tcBorders>
              <w:left w:val="single" w:sz="4" w:space="0" w:color="auto"/>
              <w:bottom w:val="nil"/>
            </w:tcBorders>
            <w:shd w:val="clear" w:color="auto" w:fill="FFFFFF"/>
          </w:tcPr>
          <w:p w14:paraId="1FD5BA18"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6550EB9B" w14:textId="77777777" w:rsidR="004C2C77" w:rsidRPr="0009445C" w:rsidRDefault="004C2C77" w:rsidP="004C2C77">
            <w:pPr>
              <w:spacing w:before="100" w:line="240" w:lineRule="auto"/>
              <w:ind w:left="113" w:right="113"/>
              <w:rPr>
                <w:szCs w:val="18"/>
              </w:rPr>
            </w:pPr>
            <w:r w:rsidRPr="0009445C">
              <w:t>DOC</w:t>
            </w:r>
          </w:p>
        </w:tc>
        <w:tc>
          <w:tcPr>
            <w:tcW w:w="1266" w:type="dxa"/>
            <w:tcBorders>
              <w:bottom w:val="single" w:sz="2" w:space="0" w:color="595959"/>
              <w:right w:val="single" w:sz="4" w:space="0" w:color="auto"/>
            </w:tcBorders>
            <w:shd w:val="clear" w:color="auto" w:fill="auto"/>
          </w:tcPr>
          <w:p w14:paraId="6C6B7EAF" w14:textId="77777777" w:rsidR="004C2C77" w:rsidRPr="0009445C" w:rsidRDefault="004C2C77" w:rsidP="004C2C77">
            <w:pPr>
              <w:spacing w:before="100" w:line="240" w:lineRule="auto"/>
              <w:ind w:left="113" w:right="113"/>
              <w:rPr>
                <w:szCs w:val="18"/>
              </w:rPr>
            </w:pPr>
            <w:r w:rsidRPr="0009445C">
              <w:t>µg/l</w:t>
            </w:r>
          </w:p>
        </w:tc>
        <w:tc>
          <w:tcPr>
            <w:tcW w:w="1276" w:type="dxa"/>
            <w:tcBorders>
              <w:bottom w:val="single" w:sz="2" w:space="0" w:color="595959"/>
              <w:right w:val="single" w:sz="4" w:space="0" w:color="auto"/>
            </w:tcBorders>
            <w:shd w:val="clear" w:color="auto" w:fill="auto"/>
          </w:tcPr>
          <w:p w14:paraId="72E7F68F"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47EAB6DF"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12766AA5"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63E6096A" w14:textId="77777777" w:rsidR="004C2C77" w:rsidRPr="0009445C" w:rsidRDefault="004C2C77" w:rsidP="004C2C77">
            <w:pPr>
              <w:spacing w:before="100" w:line="240" w:lineRule="auto"/>
              <w:ind w:left="113" w:right="113"/>
              <w:rPr>
                <w:szCs w:val="18"/>
              </w:rPr>
            </w:pPr>
            <w:r w:rsidRPr="0009445C">
              <w:t>20 000</w:t>
            </w:r>
          </w:p>
        </w:tc>
        <w:tc>
          <w:tcPr>
            <w:tcW w:w="1137" w:type="dxa"/>
            <w:tcBorders>
              <w:bottom w:val="single" w:sz="2" w:space="0" w:color="595959"/>
              <w:right w:val="single" w:sz="4" w:space="0" w:color="auto"/>
            </w:tcBorders>
            <w:shd w:val="clear" w:color="auto" w:fill="auto"/>
          </w:tcPr>
          <w:p w14:paraId="0B0420AC" w14:textId="77777777" w:rsidR="004C2C77" w:rsidRPr="0009445C" w:rsidRDefault="004C2C77" w:rsidP="004C2C77">
            <w:pPr>
              <w:spacing w:before="100" w:line="240" w:lineRule="auto"/>
              <w:ind w:left="113" w:right="113"/>
              <w:rPr>
                <w:szCs w:val="18"/>
              </w:rPr>
            </w:pPr>
          </w:p>
        </w:tc>
      </w:tr>
      <w:tr w:rsidR="004C2C77" w:rsidRPr="0009445C" w14:paraId="1C4187C8" w14:textId="77777777" w:rsidTr="0028348C">
        <w:trPr>
          <w:gridAfter w:val="1"/>
          <w:wAfter w:w="14" w:type="dxa"/>
          <w:cantSplit/>
        </w:trPr>
        <w:tc>
          <w:tcPr>
            <w:tcW w:w="417" w:type="dxa"/>
            <w:vMerge/>
            <w:tcBorders>
              <w:left w:val="single" w:sz="4" w:space="0" w:color="auto"/>
              <w:bottom w:val="nil"/>
            </w:tcBorders>
            <w:shd w:val="clear" w:color="auto" w:fill="FFFFFF"/>
          </w:tcPr>
          <w:p w14:paraId="3E58370D"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5944BF18" w14:textId="77777777" w:rsidR="004C2C77" w:rsidRPr="0009445C" w:rsidRDefault="004C2C77" w:rsidP="004C2C77">
            <w:pPr>
              <w:spacing w:before="100" w:line="240" w:lineRule="auto"/>
              <w:ind w:left="113" w:right="113"/>
              <w:rPr>
                <w:szCs w:val="18"/>
              </w:rPr>
            </w:pPr>
            <w:r w:rsidRPr="0009445C">
              <w:t>pH value**</w:t>
            </w:r>
          </w:p>
        </w:tc>
        <w:tc>
          <w:tcPr>
            <w:tcW w:w="1266" w:type="dxa"/>
            <w:tcBorders>
              <w:bottom w:val="single" w:sz="2" w:space="0" w:color="595959"/>
              <w:right w:val="single" w:sz="4" w:space="0" w:color="auto"/>
            </w:tcBorders>
            <w:shd w:val="clear" w:color="auto" w:fill="auto"/>
          </w:tcPr>
          <w:p w14:paraId="3D63DF99" w14:textId="77777777" w:rsidR="004C2C77" w:rsidRPr="0009445C" w:rsidRDefault="004C2C77" w:rsidP="004C2C77">
            <w:pPr>
              <w:spacing w:before="100" w:line="240" w:lineRule="auto"/>
              <w:ind w:left="113" w:right="113"/>
              <w:rPr>
                <w:szCs w:val="18"/>
              </w:rPr>
            </w:pPr>
            <w:r w:rsidRPr="0009445C">
              <w:t>-</w:t>
            </w:r>
          </w:p>
        </w:tc>
        <w:tc>
          <w:tcPr>
            <w:tcW w:w="1276" w:type="dxa"/>
            <w:tcBorders>
              <w:bottom w:val="single" w:sz="2" w:space="0" w:color="595959"/>
              <w:right w:val="single" w:sz="4" w:space="0" w:color="auto"/>
            </w:tcBorders>
            <w:shd w:val="clear" w:color="auto" w:fill="auto"/>
          </w:tcPr>
          <w:p w14:paraId="3B85CF4B" w14:textId="77777777" w:rsidR="004C2C77" w:rsidRPr="0009445C" w:rsidRDefault="004C2C77" w:rsidP="004C2C77">
            <w:pPr>
              <w:spacing w:before="100" w:line="240" w:lineRule="auto"/>
              <w:ind w:left="113" w:right="113"/>
              <w:rPr>
                <w:szCs w:val="18"/>
              </w:rPr>
            </w:pPr>
            <w:r w:rsidRPr="0009445C">
              <w:t>10-13</w:t>
            </w:r>
          </w:p>
        </w:tc>
        <w:tc>
          <w:tcPr>
            <w:tcW w:w="1559" w:type="dxa"/>
            <w:tcBorders>
              <w:bottom w:val="single" w:sz="2" w:space="0" w:color="595959"/>
              <w:right w:val="single" w:sz="4" w:space="0" w:color="auto"/>
            </w:tcBorders>
            <w:shd w:val="clear" w:color="auto" w:fill="auto"/>
          </w:tcPr>
          <w:p w14:paraId="176E3A81" w14:textId="5B208B22"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7AC71A8F" w14:textId="77777777" w:rsidR="004C2C77" w:rsidRPr="0009445C" w:rsidRDefault="004C2C77" w:rsidP="004C2C77">
            <w:pPr>
              <w:spacing w:before="100" w:line="240" w:lineRule="auto"/>
              <w:ind w:left="113" w:right="113"/>
              <w:rPr>
                <w:szCs w:val="18"/>
              </w:rPr>
            </w:pPr>
            <w:r w:rsidRPr="0009445C">
              <w:t>6.0-10</w:t>
            </w:r>
          </w:p>
        </w:tc>
        <w:tc>
          <w:tcPr>
            <w:tcW w:w="1134" w:type="dxa"/>
            <w:tcBorders>
              <w:bottom w:val="single" w:sz="2" w:space="0" w:color="595959"/>
              <w:right w:val="single" w:sz="4" w:space="0" w:color="auto"/>
            </w:tcBorders>
            <w:shd w:val="clear" w:color="auto" w:fill="auto"/>
          </w:tcPr>
          <w:p w14:paraId="4352ECE4" w14:textId="77777777" w:rsidR="004C2C77" w:rsidRPr="0009445C" w:rsidRDefault="004C2C77" w:rsidP="004C2C77">
            <w:pPr>
              <w:spacing w:before="100" w:line="240" w:lineRule="auto"/>
              <w:ind w:left="113" w:right="113"/>
              <w:rPr>
                <w:szCs w:val="18"/>
              </w:rPr>
            </w:pPr>
            <w:r w:rsidRPr="0009445C">
              <w:t>5.5-12</w:t>
            </w:r>
          </w:p>
        </w:tc>
        <w:tc>
          <w:tcPr>
            <w:tcW w:w="1137" w:type="dxa"/>
            <w:tcBorders>
              <w:bottom w:val="single" w:sz="2" w:space="0" w:color="595959"/>
              <w:right w:val="single" w:sz="4" w:space="0" w:color="auto"/>
            </w:tcBorders>
            <w:shd w:val="clear" w:color="auto" w:fill="auto"/>
          </w:tcPr>
          <w:p w14:paraId="5F56B3EE" w14:textId="77777777" w:rsidR="004C2C77" w:rsidRPr="0009445C" w:rsidRDefault="004C2C77" w:rsidP="004C2C77">
            <w:pPr>
              <w:spacing w:before="100" w:line="240" w:lineRule="auto"/>
              <w:ind w:left="113" w:right="113"/>
              <w:rPr>
                <w:szCs w:val="18"/>
              </w:rPr>
            </w:pPr>
            <w:r w:rsidRPr="0009445C">
              <w:t>5.5-12</w:t>
            </w:r>
          </w:p>
        </w:tc>
      </w:tr>
      <w:tr w:rsidR="004C2C77" w:rsidRPr="0009445C" w14:paraId="6A8986ED" w14:textId="77777777" w:rsidTr="0028348C">
        <w:trPr>
          <w:gridAfter w:val="1"/>
          <w:wAfter w:w="14" w:type="dxa"/>
          <w:cantSplit/>
        </w:trPr>
        <w:tc>
          <w:tcPr>
            <w:tcW w:w="417" w:type="dxa"/>
            <w:vMerge/>
            <w:tcBorders>
              <w:left w:val="single" w:sz="4" w:space="0" w:color="auto"/>
              <w:bottom w:val="nil"/>
            </w:tcBorders>
            <w:shd w:val="clear" w:color="auto" w:fill="FFFFFF"/>
          </w:tcPr>
          <w:p w14:paraId="1902C0BA"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19A85479" w14:textId="77777777" w:rsidR="004C2C77" w:rsidRPr="0009445C" w:rsidRDefault="004C2C77" w:rsidP="004C2C77">
            <w:pPr>
              <w:spacing w:before="100" w:line="240" w:lineRule="auto"/>
              <w:ind w:left="113" w:right="113"/>
              <w:rPr>
                <w:szCs w:val="18"/>
              </w:rPr>
            </w:pPr>
            <w:r w:rsidRPr="0009445C">
              <w:t>Conductivity**</w:t>
            </w:r>
          </w:p>
        </w:tc>
        <w:tc>
          <w:tcPr>
            <w:tcW w:w="1266" w:type="dxa"/>
            <w:tcBorders>
              <w:bottom w:val="single" w:sz="2" w:space="0" w:color="595959"/>
              <w:right w:val="single" w:sz="4" w:space="0" w:color="auto"/>
            </w:tcBorders>
            <w:shd w:val="clear" w:color="auto" w:fill="auto"/>
          </w:tcPr>
          <w:p w14:paraId="69BD6292" w14:textId="77777777" w:rsidR="004C2C77" w:rsidRPr="0009445C" w:rsidRDefault="004C2C77" w:rsidP="004C2C77">
            <w:pPr>
              <w:spacing w:before="100" w:line="240" w:lineRule="auto"/>
              <w:ind w:left="113" w:right="113"/>
              <w:rPr>
                <w:szCs w:val="18"/>
              </w:rPr>
            </w:pPr>
            <w:r w:rsidRPr="0009445C">
              <w:t>µS/cm</w:t>
            </w:r>
          </w:p>
        </w:tc>
        <w:tc>
          <w:tcPr>
            <w:tcW w:w="1276" w:type="dxa"/>
            <w:tcBorders>
              <w:bottom w:val="single" w:sz="2" w:space="0" w:color="595959"/>
              <w:right w:val="single" w:sz="4" w:space="0" w:color="auto"/>
            </w:tcBorders>
            <w:shd w:val="clear" w:color="auto" w:fill="auto"/>
          </w:tcPr>
          <w:p w14:paraId="217B7938" w14:textId="77777777" w:rsidR="004C2C77" w:rsidRPr="0009445C" w:rsidRDefault="004C2C77" w:rsidP="004C2C77">
            <w:pPr>
              <w:spacing w:before="100" w:line="240" w:lineRule="auto"/>
              <w:ind w:left="113" w:right="113"/>
              <w:rPr>
                <w:szCs w:val="18"/>
              </w:rPr>
            </w:pPr>
            <w:r w:rsidRPr="0009445C">
              <w:t>1 500</w:t>
            </w:r>
          </w:p>
        </w:tc>
        <w:tc>
          <w:tcPr>
            <w:tcW w:w="1559" w:type="dxa"/>
            <w:tcBorders>
              <w:bottom w:val="single" w:sz="2" w:space="0" w:color="595959"/>
              <w:right w:val="single" w:sz="4" w:space="0" w:color="auto"/>
            </w:tcBorders>
            <w:shd w:val="clear" w:color="auto" w:fill="auto"/>
          </w:tcPr>
          <w:p w14:paraId="18E62EB1" w14:textId="0A868DD1"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5199EB81" w14:textId="77777777" w:rsidR="004C2C77" w:rsidRPr="0009445C" w:rsidRDefault="004C2C77" w:rsidP="004C2C77">
            <w:pPr>
              <w:spacing w:before="100" w:line="240" w:lineRule="auto"/>
              <w:ind w:left="113" w:right="113"/>
              <w:rPr>
                <w:szCs w:val="18"/>
              </w:rPr>
            </w:pPr>
            <w:r w:rsidRPr="0009445C">
              <w:t>700</w:t>
            </w:r>
          </w:p>
        </w:tc>
        <w:tc>
          <w:tcPr>
            <w:tcW w:w="1134" w:type="dxa"/>
            <w:tcBorders>
              <w:bottom w:val="single" w:sz="2" w:space="0" w:color="595959"/>
              <w:right w:val="single" w:sz="4" w:space="0" w:color="auto"/>
            </w:tcBorders>
            <w:shd w:val="clear" w:color="auto" w:fill="auto"/>
          </w:tcPr>
          <w:p w14:paraId="18EC9E57" w14:textId="77777777" w:rsidR="004C2C77" w:rsidRPr="0009445C" w:rsidRDefault="004C2C77" w:rsidP="004C2C77">
            <w:pPr>
              <w:spacing w:before="100" w:line="240" w:lineRule="auto"/>
              <w:ind w:left="113" w:right="113"/>
              <w:rPr>
                <w:szCs w:val="18"/>
              </w:rPr>
            </w:pPr>
            <w:r w:rsidRPr="0009445C">
              <w:t>1 000</w:t>
            </w:r>
          </w:p>
        </w:tc>
        <w:tc>
          <w:tcPr>
            <w:tcW w:w="1137" w:type="dxa"/>
            <w:tcBorders>
              <w:bottom w:val="single" w:sz="2" w:space="0" w:color="595959"/>
              <w:right w:val="single" w:sz="4" w:space="0" w:color="auto"/>
            </w:tcBorders>
            <w:shd w:val="clear" w:color="auto" w:fill="auto"/>
          </w:tcPr>
          <w:p w14:paraId="4883275A" w14:textId="77777777" w:rsidR="004C2C77" w:rsidRPr="0009445C" w:rsidRDefault="004C2C77" w:rsidP="004C2C77">
            <w:pPr>
              <w:spacing w:before="100" w:line="240" w:lineRule="auto"/>
              <w:ind w:left="113" w:right="113"/>
              <w:rPr>
                <w:szCs w:val="18"/>
              </w:rPr>
            </w:pPr>
            <w:r w:rsidRPr="0009445C">
              <w:t>2 000</w:t>
            </w:r>
          </w:p>
        </w:tc>
      </w:tr>
      <w:tr w:rsidR="004C2C77" w:rsidRPr="0009445C" w14:paraId="2D41462C" w14:textId="77777777" w:rsidTr="0028348C">
        <w:trPr>
          <w:gridAfter w:val="1"/>
          <w:wAfter w:w="14" w:type="dxa"/>
          <w:cantSplit/>
          <w:trHeight w:val="166"/>
        </w:trPr>
        <w:tc>
          <w:tcPr>
            <w:tcW w:w="417" w:type="dxa"/>
            <w:vMerge w:val="restart"/>
            <w:tcBorders>
              <w:left w:val="single" w:sz="4" w:space="0" w:color="auto"/>
              <w:bottom w:val="nil"/>
            </w:tcBorders>
            <w:shd w:val="clear" w:color="auto" w:fill="FFFFFF"/>
            <w:textDirection w:val="btLr"/>
          </w:tcPr>
          <w:p w14:paraId="390A2D21" w14:textId="77777777" w:rsidR="004C2C77" w:rsidRPr="0009445C" w:rsidRDefault="004C2C77" w:rsidP="004C2C77">
            <w:pPr>
              <w:spacing w:before="100" w:line="240" w:lineRule="auto"/>
              <w:ind w:left="113" w:right="113"/>
              <w:rPr>
                <w:szCs w:val="18"/>
              </w:rPr>
            </w:pPr>
            <w:r w:rsidRPr="0009445C">
              <w:rPr>
                <w:b/>
              </w:rPr>
              <w:t>Solid content</w:t>
            </w:r>
          </w:p>
        </w:tc>
        <w:tc>
          <w:tcPr>
            <w:tcW w:w="1856" w:type="dxa"/>
            <w:tcBorders>
              <w:bottom w:val="single" w:sz="2" w:space="0" w:color="595959"/>
              <w:right w:val="single" w:sz="4" w:space="0" w:color="auto"/>
            </w:tcBorders>
            <w:shd w:val="clear" w:color="auto" w:fill="auto"/>
          </w:tcPr>
          <w:p w14:paraId="56722E91" w14:textId="77777777" w:rsidR="004C2C77" w:rsidRPr="0009445C" w:rsidRDefault="004C2C77" w:rsidP="004C2C77">
            <w:pPr>
              <w:spacing w:before="100" w:line="240" w:lineRule="auto"/>
              <w:ind w:left="113" w:right="113"/>
              <w:rPr>
                <w:szCs w:val="18"/>
              </w:rPr>
            </w:pPr>
            <w:r w:rsidRPr="0009445C">
              <w:t>Arsenic</w:t>
            </w:r>
          </w:p>
        </w:tc>
        <w:tc>
          <w:tcPr>
            <w:tcW w:w="1266" w:type="dxa"/>
            <w:tcBorders>
              <w:bottom w:val="single" w:sz="2" w:space="0" w:color="595959"/>
              <w:right w:val="single" w:sz="4" w:space="0" w:color="auto"/>
            </w:tcBorders>
            <w:shd w:val="clear" w:color="auto" w:fill="auto"/>
          </w:tcPr>
          <w:p w14:paraId="757159DF"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1891C11E" w14:textId="77777777" w:rsidR="004C2C77" w:rsidRPr="0009445C" w:rsidRDefault="004C2C77" w:rsidP="004C2C77">
            <w:pPr>
              <w:spacing w:before="100" w:line="240" w:lineRule="auto"/>
              <w:ind w:left="113" w:right="113"/>
              <w:rPr>
                <w:szCs w:val="18"/>
              </w:rPr>
            </w:pPr>
            <w:r w:rsidRPr="0009445C">
              <w:t>150</w:t>
            </w:r>
          </w:p>
        </w:tc>
        <w:tc>
          <w:tcPr>
            <w:tcW w:w="1559" w:type="dxa"/>
            <w:tcBorders>
              <w:bottom w:val="single" w:sz="2" w:space="0" w:color="595959"/>
              <w:right w:val="single" w:sz="4" w:space="0" w:color="auto"/>
            </w:tcBorders>
            <w:shd w:val="clear" w:color="auto" w:fill="auto"/>
          </w:tcPr>
          <w:p w14:paraId="2AAA4E2D" w14:textId="77777777" w:rsidR="004C2C77" w:rsidRPr="0009445C" w:rsidRDefault="004C2C77" w:rsidP="004C2C77">
            <w:pPr>
              <w:spacing w:before="100" w:line="240" w:lineRule="auto"/>
              <w:ind w:left="113" w:right="113"/>
              <w:rPr>
                <w:szCs w:val="18"/>
              </w:rPr>
            </w:pPr>
            <w:r w:rsidRPr="0009445C">
              <w:t>150</w:t>
            </w:r>
          </w:p>
        </w:tc>
        <w:tc>
          <w:tcPr>
            <w:tcW w:w="1276" w:type="dxa"/>
            <w:tcBorders>
              <w:bottom w:val="single" w:sz="2" w:space="0" w:color="595959"/>
              <w:right w:val="single" w:sz="4" w:space="0" w:color="auto"/>
            </w:tcBorders>
            <w:shd w:val="clear" w:color="auto" w:fill="auto"/>
          </w:tcPr>
          <w:p w14:paraId="6285E99D" w14:textId="77777777" w:rsidR="004C2C77" w:rsidRPr="0009445C" w:rsidRDefault="004C2C77" w:rsidP="004C2C77">
            <w:pPr>
              <w:spacing w:before="100" w:line="240" w:lineRule="auto"/>
              <w:ind w:left="113" w:right="113"/>
              <w:rPr>
                <w:szCs w:val="18"/>
              </w:rPr>
            </w:pPr>
            <w:r w:rsidRPr="0009445C">
              <w:t>150</w:t>
            </w:r>
          </w:p>
        </w:tc>
        <w:tc>
          <w:tcPr>
            <w:tcW w:w="1134" w:type="dxa"/>
            <w:tcBorders>
              <w:bottom w:val="single" w:sz="2" w:space="0" w:color="595959"/>
              <w:right w:val="single" w:sz="4" w:space="0" w:color="auto"/>
            </w:tcBorders>
            <w:shd w:val="clear" w:color="auto" w:fill="auto"/>
          </w:tcPr>
          <w:p w14:paraId="46602100" w14:textId="77777777" w:rsidR="004C2C77" w:rsidRPr="0009445C" w:rsidRDefault="004C2C77" w:rsidP="004C2C77">
            <w:pPr>
              <w:spacing w:before="100" w:line="240" w:lineRule="auto"/>
              <w:ind w:left="113" w:right="113"/>
              <w:rPr>
                <w:szCs w:val="18"/>
              </w:rPr>
            </w:pPr>
            <w:r w:rsidRPr="0009445C">
              <w:t>150</w:t>
            </w:r>
          </w:p>
        </w:tc>
        <w:tc>
          <w:tcPr>
            <w:tcW w:w="1137" w:type="dxa"/>
            <w:tcBorders>
              <w:bottom w:val="single" w:sz="2" w:space="0" w:color="595959"/>
              <w:right w:val="single" w:sz="4" w:space="0" w:color="auto"/>
            </w:tcBorders>
            <w:shd w:val="clear" w:color="auto" w:fill="auto"/>
          </w:tcPr>
          <w:p w14:paraId="70DEC53A" w14:textId="77777777" w:rsidR="004C2C77" w:rsidRPr="0009445C" w:rsidRDefault="004C2C77" w:rsidP="004C2C77">
            <w:pPr>
              <w:spacing w:before="100" w:line="240" w:lineRule="auto"/>
              <w:ind w:left="113" w:right="113"/>
              <w:rPr>
                <w:szCs w:val="18"/>
              </w:rPr>
            </w:pPr>
            <w:r w:rsidRPr="0009445C">
              <w:t>150</w:t>
            </w:r>
          </w:p>
        </w:tc>
      </w:tr>
      <w:tr w:rsidR="004C2C77" w:rsidRPr="0009445C" w14:paraId="0AD9AF61" w14:textId="77777777" w:rsidTr="0028348C">
        <w:trPr>
          <w:gridAfter w:val="1"/>
          <w:wAfter w:w="14" w:type="dxa"/>
          <w:cantSplit/>
          <w:trHeight w:val="286"/>
        </w:trPr>
        <w:tc>
          <w:tcPr>
            <w:tcW w:w="417" w:type="dxa"/>
            <w:vMerge/>
            <w:tcBorders>
              <w:left w:val="single" w:sz="4" w:space="0" w:color="auto"/>
              <w:bottom w:val="nil"/>
            </w:tcBorders>
            <w:shd w:val="clear" w:color="auto" w:fill="FFFFFF"/>
            <w:textDirection w:val="btLr"/>
          </w:tcPr>
          <w:p w14:paraId="3C2DC274"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4289A605" w14:textId="77777777" w:rsidR="004C2C77" w:rsidRPr="0009445C" w:rsidRDefault="004C2C77" w:rsidP="004C2C77">
            <w:pPr>
              <w:spacing w:before="100" w:line="240" w:lineRule="auto"/>
              <w:ind w:left="113" w:right="113"/>
              <w:rPr>
                <w:szCs w:val="18"/>
              </w:rPr>
            </w:pPr>
            <w:r w:rsidRPr="0009445C">
              <w:t>Lead</w:t>
            </w:r>
          </w:p>
        </w:tc>
        <w:tc>
          <w:tcPr>
            <w:tcW w:w="1266" w:type="dxa"/>
            <w:tcBorders>
              <w:bottom w:val="single" w:sz="2" w:space="0" w:color="595959"/>
              <w:right w:val="single" w:sz="4" w:space="0" w:color="auto"/>
            </w:tcBorders>
            <w:shd w:val="clear" w:color="auto" w:fill="auto"/>
          </w:tcPr>
          <w:p w14:paraId="35B2EB67"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2BFDA33D" w14:textId="77777777" w:rsidR="004C2C77" w:rsidRPr="0009445C" w:rsidRDefault="004C2C77" w:rsidP="004C2C77">
            <w:pPr>
              <w:spacing w:before="100" w:line="240" w:lineRule="auto"/>
              <w:ind w:left="113" w:right="113"/>
              <w:rPr>
                <w:szCs w:val="18"/>
              </w:rPr>
            </w:pPr>
            <w:r w:rsidRPr="0009445C">
              <w:t>700</w:t>
            </w:r>
          </w:p>
        </w:tc>
        <w:tc>
          <w:tcPr>
            <w:tcW w:w="1559" w:type="dxa"/>
            <w:tcBorders>
              <w:bottom w:val="single" w:sz="2" w:space="0" w:color="595959"/>
              <w:right w:val="single" w:sz="4" w:space="0" w:color="auto"/>
            </w:tcBorders>
            <w:shd w:val="clear" w:color="auto" w:fill="auto"/>
          </w:tcPr>
          <w:p w14:paraId="3C6C2650" w14:textId="77777777" w:rsidR="004C2C77" w:rsidRPr="0009445C" w:rsidRDefault="004C2C77" w:rsidP="004C2C77">
            <w:pPr>
              <w:spacing w:before="100" w:line="240" w:lineRule="auto"/>
              <w:ind w:left="113" w:right="113"/>
              <w:rPr>
                <w:szCs w:val="18"/>
              </w:rPr>
            </w:pPr>
            <w:r w:rsidRPr="0009445C">
              <w:t>700</w:t>
            </w:r>
          </w:p>
        </w:tc>
        <w:tc>
          <w:tcPr>
            <w:tcW w:w="1276" w:type="dxa"/>
            <w:tcBorders>
              <w:bottom w:val="single" w:sz="2" w:space="0" w:color="595959"/>
              <w:right w:val="single" w:sz="4" w:space="0" w:color="auto"/>
            </w:tcBorders>
            <w:shd w:val="clear" w:color="auto" w:fill="auto"/>
          </w:tcPr>
          <w:p w14:paraId="1C06AC06" w14:textId="77777777" w:rsidR="004C2C77" w:rsidRPr="0009445C" w:rsidRDefault="004C2C77" w:rsidP="004C2C77">
            <w:pPr>
              <w:spacing w:before="100" w:line="240" w:lineRule="auto"/>
              <w:ind w:left="113" w:right="113"/>
              <w:rPr>
                <w:szCs w:val="18"/>
              </w:rPr>
            </w:pPr>
            <w:r w:rsidRPr="0009445C">
              <w:t>700</w:t>
            </w:r>
          </w:p>
        </w:tc>
        <w:tc>
          <w:tcPr>
            <w:tcW w:w="1134" w:type="dxa"/>
            <w:tcBorders>
              <w:bottom w:val="single" w:sz="2" w:space="0" w:color="595959"/>
              <w:right w:val="single" w:sz="4" w:space="0" w:color="auto"/>
            </w:tcBorders>
            <w:shd w:val="clear" w:color="auto" w:fill="auto"/>
          </w:tcPr>
          <w:p w14:paraId="4702174E" w14:textId="77777777" w:rsidR="004C2C77" w:rsidRPr="0009445C" w:rsidRDefault="004C2C77" w:rsidP="004C2C77">
            <w:pPr>
              <w:spacing w:before="100" w:line="240" w:lineRule="auto"/>
              <w:ind w:left="113" w:right="113"/>
              <w:rPr>
                <w:szCs w:val="18"/>
              </w:rPr>
            </w:pPr>
            <w:r w:rsidRPr="0009445C">
              <w:t>700</w:t>
            </w:r>
          </w:p>
        </w:tc>
        <w:tc>
          <w:tcPr>
            <w:tcW w:w="1137" w:type="dxa"/>
            <w:tcBorders>
              <w:bottom w:val="single" w:sz="2" w:space="0" w:color="595959"/>
              <w:right w:val="single" w:sz="4" w:space="0" w:color="auto"/>
            </w:tcBorders>
            <w:shd w:val="clear" w:color="auto" w:fill="auto"/>
          </w:tcPr>
          <w:p w14:paraId="3644DCDC" w14:textId="77777777" w:rsidR="004C2C77" w:rsidRPr="0009445C" w:rsidRDefault="004C2C77" w:rsidP="004C2C77">
            <w:pPr>
              <w:spacing w:before="100" w:line="240" w:lineRule="auto"/>
              <w:ind w:left="113" w:right="113"/>
              <w:rPr>
                <w:szCs w:val="18"/>
              </w:rPr>
            </w:pPr>
            <w:r w:rsidRPr="0009445C">
              <w:t>700</w:t>
            </w:r>
          </w:p>
        </w:tc>
      </w:tr>
      <w:tr w:rsidR="004C2C77" w:rsidRPr="0009445C" w14:paraId="5EAADF77" w14:textId="77777777" w:rsidTr="0028348C">
        <w:trPr>
          <w:gridAfter w:val="1"/>
          <w:wAfter w:w="14" w:type="dxa"/>
          <w:cantSplit/>
          <w:trHeight w:val="192"/>
        </w:trPr>
        <w:tc>
          <w:tcPr>
            <w:tcW w:w="417" w:type="dxa"/>
            <w:vMerge/>
            <w:tcBorders>
              <w:left w:val="single" w:sz="4" w:space="0" w:color="auto"/>
              <w:bottom w:val="nil"/>
            </w:tcBorders>
            <w:shd w:val="clear" w:color="auto" w:fill="FFFFFF"/>
            <w:textDirection w:val="btLr"/>
          </w:tcPr>
          <w:p w14:paraId="5C29CC57"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4A9116F9" w14:textId="77777777" w:rsidR="004C2C77" w:rsidRPr="0009445C" w:rsidRDefault="004C2C77" w:rsidP="004C2C77">
            <w:pPr>
              <w:spacing w:before="100" w:line="240" w:lineRule="auto"/>
              <w:ind w:left="113" w:right="113"/>
              <w:rPr>
                <w:szCs w:val="18"/>
              </w:rPr>
            </w:pPr>
            <w:r w:rsidRPr="0009445C">
              <w:t>Cadmium*</w:t>
            </w:r>
          </w:p>
        </w:tc>
        <w:tc>
          <w:tcPr>
            <w:tcW w:w="1266" w:type="dxa"/>
            <w:tcBorders>
              <w:bottom w:val="single" w:sz="2" w:space="0" w:color="595959"/>
              <w:right w:val="single" w:sz="4" w:space="0" w:color="auto"/>
            </w:tcBorders>
            <w:shd w:val="clear" w:color="auto" w:fill="auto"/>
          </w:tcPr>
          <w:p w14:paraId="3B2B217A"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00B0290E" w14:textId="77777777" w:rsidR="004C2C77" w:rsidRPr="0009445C" w:rsidRDefault="004C2C77" w:rsidP="004C2C77">
            <w:pPr>
              <w:spacing w:before="100" w:line="240" w:lineRule="auto"/>
              <w:ind w:left="113" w:right="113"/>
              <w:rPr>
                <w:szCs w:val="18"/>
              </w:rPr>
            </w:pPr>
            <w:r w:rsidRPr="0009445C">
              <w:t>10</w:t>
            </w:r>
          </w:p>
        </w:tc>
        <w:tc>
          <w:tcPr>
            <w:tcW w:w="1559" w:type="dxa"/>
            <w:tcBorders>
              <w:bottom w:val="single" w:sz="2" w:space="0" w:color="595959"/>
              <w:right w:val="single" w:sz="4" w:space="0" w:color="auto"/>
            </w:tcBorders>
            <w:shd w:val="clear" w:color="auto" w:fill="auto"/>
          </w:tcPr>
          <w:p w14:paraId="0123A880" w14:textId="77777777" w:rsidR="004C2C77" w:rsidRPr="0009445C" w:rsidRDefault="004C2C77" w:rsidP="004C2C77">
            <w:pPr>
              <w:spacing w:before="100" w:line="240" w:lineRule="auto"/>
              <w:ind w:left="113" w:right="113"/>
              <w:rPr>
                <w:szCs w:val="18"/>
              </w:rPr>
            </w:pPr>
            <w:r w:rsidRPr="0009445C">
              <w:t>10</w:t>
            </w:r>
          </w:p>
        </w:tc>
        <w:tc>
          <w:tcPr>
            <w:tcW w:w="1276" w:type="dxa"/>
            <w:tcBorders>
              <w:bottom w:val="single" w:sz="2" w:space="0" w:color="595959"/>
              <w:right w:val="single" w:sz="4" w:space="0" w:color="auto"/>
            </w:tcBorders>
            <w:shd w:val="clear" w:color="auto" w:fill="auto"/>
          </w:tcPr>
          <w:p w14:paraId="5003E2A2" w14:textId="77777777" w:rsidR="004C2C77" w:rsidRPr="0009445C" w:rsidRDefault="004C2C77" w:rsidP="004C2C77">
            <w:pPr>
              <w:spacing w:before="100" w:line="240" w:lineRule="auto"/>
              <w:ind w:left="113" w:right="113"/>
              <w:rPr>
                <w:szCs w:val="18"/>
              </w:rPr>
            </w:pPr>
            <w:r w:rsidRPr="0009445C">
              <w:t>10</w:t>
            </w:r>
          </w:p>
        </w:tc>
        <w:tc>
          <w:tcPr>
            <w:tcW w:w="1134" w:type="dxa"/>
            <w:tcBorders>
              <w:bottom w:val="single" w:sz="2" w:space="0" w:color="595959"/>
              <w:right w:val="single" w:sz="4" w:space="0" w:color="auto"/>
            </w:tcBorders>
            <w:shd w:val="clear" w:color="auto" w:fill="auto"/>
          </w:tcPr>
          <w:p w14:paraId="401A45AA" w14:textId="77777777" w:rsidR="004C2C77" w:rsidRPr="0009445C" w:rsidRDefault="004C2C77" w:rsidP="004C2C77">
            <w:pPr>
              <w:spacing w:before="100" w:line="240" w:lineRule="auto"/>
              <w:ind w:left="113" w:right="113"/>
              <w:rPr>
                <w:szCs w:val="18"/>
              </w:rPr>
            </w:pPr>
            <w:r w:rsidRPr="0009445C">
              <w:t>10</w:t>
            </w:r>
          </w:p>
        </w:tc>
        <w:tc>
          <w:tcPr>
            <w:tcW w:w="1137" w:type="dxa"/>
            <w:tcBorders>
              <w:bottom w:val="single" w:sz="2" w:space="0" w:color="595959"/>
              <w:right w:val="single" w:sz="4" w:space="0" w:color="auto"/>
            </w:tcBorders>
            <w:shd w:val="clear" w:color="auto" w:fill="auto"/>
          </w:tcPr>
          <w:p w14:paraId="4AEF700F" w14:textId="77777777" w:rsidR="004C2C77" w:rsidRPr="0009445C" w:rsidRDefault="004C2C77" w:rsidP="004C2C77">
            <w:pPr>
              <w:spacing w:before="100" w:line="240" w:lineRule="auto"/>
              <w:ind w:left="113" w:right="113"/>
              <w:rPr>
                <w:szCs w:val="18"/>
              </w:rPr>
            </w:pPr>
            <w:r w:rsidRPr="0009445C">
              <w:t>10</w:t>
            </w:r>
          </w:p>
        </w:tc>
      </w:tr>
      <w:tr w:rsidR="004C2C77" w:rsidRPr="0009445C" w14:paraId="5CD8FA87" w14:textId="77777777" w:rsidTr="0028348C">
        <w:trPr>
          <w:gridAfter w:val="1"/>
          <w:wAfter w:w="14" w:type="dxa"/>
          <w:cantSplit/>
          <w:trHeight w:val="70"/>
        </w:trPr>
        <w:tc>
          <w:tcPr>
            <w:tcW w:w="417" w:type="dxa"/>
            <w:vMerge/>
            <w:tcBorders>
              <w:left w:val="single" w:sz="4" w:space="0" w:color="auto"/>
              <w:bottom w:val="nil"/>
            </w:tcBorders>
            <w:shd w:val="clear" w:color="auto" w:fill="FFFFFF"/>
            <w:textDirection w:val="btLr"/>
          </w:tcPr>
          <w:p w14:paraId="5C4BC746"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6228A99C" w14:textId="77777777" w:rsidR="004C2C77" w:rsidRPr="0009445C" w:rsidRDefault="004C2C77" w:rsidP="004C2C77">
            <w:pPr>
              <w:spacing w:before="100" w:line="240" w:lineRule="auto"/>
              <w:ind w:left="113" w:right="113"/>
              <w:rPr>
                <w:szCs w:val="18"/>
              </w:rPr>
            </w:pPr>
            <w:r w:rsidRPr="0009445C">
              <w:t>Chromium, total</w:t>
            </w:r>
          </w:p>
        </w:tc>
        <w:tc>
          <w:tcPr>
            <w:tcW w:w="1266" w:type="dxa"/>
            <w:tcBorders>
              <w:bottom w:val="single" w:sz="2" w:space="0" w:color="595959"/>
              <w:right w:val="single" w:sz="4" w:space="0" w:color="auto"/>
            </w:tcBorders>
            <w:shd w:val="clear" w:color="auto" w:fill="auto"/>
          </w:tcPr>
          <w:p w14:paraId="4CFFB610"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08F86F57" w14:textId="77777777" w:rsidR="004C2C77" w:rsidRPr="0009445C" w:rsidRDefault="004C2C77" w:rsidP="004C2C77">
            <w:pPr>
              <w:spacing w:before="100" w:line="240" w:lineRule="auto"/>
              <w:ind w:left="113" w:right="113"/>
              <w:rPr>
                <w:szCs w:val="18"/>
              </w:rPr>
            </w:pPr>
            <w:r w:rsidRPr="0009445C">
              <w:t>600</w:t>
            </w:r>
          </w:p>
        </w:tc>
        <w:tc>
          <w:tcPr>
            <w:tcW w:w="1559" w:type="dxa"/>
            <w:tcBorders>
              <w:bottom w:val="single" w:sz="2" w:space="0" w:color="595959"/>
              <w:right w:val="single" w:sz="4" w:space="0" w:color="auto"/>
            </w:tcBorders>
            <w:shd w:val="clear" w:color="auto" w:fill="auto"/>
          </w:tcPr>
          <w:p w14:paraId="3DD402D2" w14:textId="77777777" w:rsidR="004C2C77" w:rsidRPr="0009445C" w:rsidRDefault="004C2C77" w:rsidP="004C2C77">
            <w:pPr>
              <w:spacing w:before="100" w:line="240" w:lineRule="auto"/>
              <w:ind w:left="113" w:right="113"/>
              <w:rPr>
                <w:szCs w:val="18"/>
              </w:rPr>
            </w:pPr>
            <w:r w:rsidRPr="0009445C">
              <w:t>600</w:t>
            </w:r>
          </w:p>
        </w:tc>
        <w:tc>
          <w:tcPr>
            <w:tcW w:w="1276" w:type="dxa"/>
            <w:tcBorders>
              <w:bottom w:val="single" w:sz="2" w:space="0" w:color="595959"/>
              <w:right w:val="single" w:sz="4" w:space="0" w:color="auto"/>
            </w:tcBorders>
            <w:shd w:val="clear" w:color="auto" w:fill="auto"/>
          </w:tcPr>
          <w:p w14:paraId="097CFE32" w14:textId="77777777" w:rsidR="004C2C77" w:rsidRPr="0009445C" w:rsidRDefault="004C2C77" w:rsidP="004C2C77">
            <w:pPr>
              <w:spacing w:before="100" w:line="240" w:lineRule="auto"/>
              <w:ind w:left="113" w:right="113"/>
              <w:rPr>
                <w:szCs w:val="18"/>
              </w:rPr>
            </w:pPr>
            <w:r w:rsidRPr="0009445C">
              <w:t>600</w:t>
            </w:r>
          </w:p>
        </w:tc>
        <w:tc>
          <w:tcPr>
            <w:tcW w:w="1134" w:type="dxa"/>
            <w:tcBorders>
              <w:bottom w:val="single" w:sz="2" w:space="0" w:color="595959"/>
              <w:right w:val="single" w:sz="4" w:space="0" w:color="auto"/>
            </w:tcBorders>
            <w:shd w:val="clear" w:color="auto" w:fill="auto"/>
          </w:tcPr>
          <w:p w14:paraId="1B3077B8" w14:textId="77777777" w:rsidR="004C2C77" w:rsidRPr="0009445C" w:rsidRDefault="004C2C77" w:rsidP="004C2C77">
            <w:pPr>
              <w:spacing w:before="100" w:line="240" w:lineRule="auto"/>
              <w:ind w:left="113" w:right="113"/>
              <w:rPr>
                <w:szCs w:val="18"/>
              </w:rPr>
            </w:pPr>
            <w:r w:rsidRPr="0009445C">
              <w:t>600</w:t>
            </w:r>
          </w:p>
        </w:tc>
        <w:tc>
          <w:tcPr>
            <w:tcW w:w="1137" w:type="dxa"/>
            <w:tcBorders>
              <w:bottom w:val="single" w:sz="2" w:space="0" w:color="595959"/>
              <w:right w:val="single" w:sz="4" w:space="0" w:color="auto"/>
            </w:tcBorders>
            <w:shd w:val="clear" w:color="auto" w:fill="auto"/>
          </w:tcPr>
          <w:p w14:paraId="2D6D801F" w14:textId="77777777" w:rsidR="004C2C77" w:rsidRPr="0009445C" w:rsidRDefault="004C2C77" w:rsidP="004C2C77">
            <w:pPr>
              <w:spacing w:before="100" w:line="240" w:lineRule="auto"/>
              <w:ind w:left="113" w:right="113"/>
              <w:rPr>
                <w:szCs w:val="18"/>
              </w:rPr>
            </w:pPr>
            <w:r w:rsidRPr="0009445C">
              <w:t>600</w:t>
            </w:r>
          </w:p>
        </w:tc>
      </w:tr>
      <w:tr w:rsidR="004C2C77" w:rsidRPr="0009445C" w14:paraId="5C6D022A" w14:textId="77777777" w:rsidTr="0028348C">
        <w:trPr>
          <w:gridAfter w:val="1"/>
          <w:wAfter w:w="14" w:type="dxa"/>
          <w:cantSplit/>
          <w:trHeight w:val="246"/>
        </w:trPr>
        <w:tc>
          <w:tcPr>
            <w:tcW w:w="417" w:type="dxa"/>
            <w:vMerge/>
            <w:tcBorders>
              <w:left w:val="single" w:sz="4" w:space="0" w:color="auto"/>
              <w:bottom w:val="nil"/>
            </w:tcBorders>
            <w:shd w:val="clear" w:color="auto" w:fill="FFFFFF"/>
            <w:textDirection w:val="btLr"/>
          </w:tcPr>
          <w:p w14:paraId="0B100202"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0029CEF6" w14:textId="77777777" w:rsidR="004C2C77" w:rsidRPr="0009445C" w:rsidRDefault="004C2C77" w:rsidP="004C2C77">
            <w:pPr>
              <w:spacing w:before="100" w:line="240" w:lineRule="auto"/>
              <w:ind w:left="113" w:right="113"/>
              <w:rPr>
                <w:szCs w:val="18"/>
              </w:rPr>
            </w:pPr>
            <w:r w:rsidRPr="0009445C">
              <w:t>Copper</w:t>
            </w:r>
          </w:p>
        </w:tc>
        <w:tc>
          <w:tcPr>
            <w:tcW w:w="1266" w:type="dxa"/>
            <w:tcBorders>
              <w:bottom w:val="single" w:sz="2" w:space="0" w:color="595959"/>
              <w:right w:val="single" w:sz="4" w:space="0" w:color="auto"/>
            </w:tcBorders>
            <w:shd w:val="clear" w:color="auto" w:fill="auto"/>
          </w:tcPr>
          <w:p w14:paraId="5EF56ABD"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080CB76C" w14:textId="77777777" w:rsidR="004C2C77" w:rsidRPr="0009445C" w:rsidRDefault="004C2C77" w:rsidP="004C2C77">
            <w:pPr>
              <w:spacing w:before="100" w:line="240" w:lineRule="auto"/>
              <w:ind w:left="113" w:right="113"/>
              <w:rPr>
                <w:szCs w:val="18"/>
              </w:rPr>
            </w:pPr>
            <w:r w:rsidRPr="0009445C">
              <w:t>400</w:t>
            </w:r>
          </w:p>
        </w:tc>
        <w:tc>
          <w:tcPr>
            <w:tcW w:w="1559" w:type="dxa"/>
            <w:tcBorders>
              <w:bottom w:val="single" w:sz="2" w:space="0" w:color="595959"/>
              <w:right w:val="single" w:sz="4" w:space="0" w:color="auto"/>
            </w:tcBorders>
            <w:shd w:val="clear" w:color="auto" w:fill="auto"/>
          </w:tcPr>
          <w:p w14:paraId="6AE5552A" w14:textId="77777777" w:rsidR="004C2C77" w:rsidRPr="0009445C" w:rsidRDefault="004C2C77" w:rsidP="004C2C77">
            <w:pPr>
              <w:spacing w:before="100" w:line="240" w:lineRule="auto"/>
              <w:ind w:left="113" w:right="113"/>
              <w:rPr>
                <w:szCs w:val="18"/>
              </w:rPr>
            </w:pPr>
            <w:r w:rsidRPr="0009445C">
              <w:t>400</w:t>
            </w:r>
          </w:p>
        </w:tc>
        <w:tc>
          <w:tcPr>
            <w:tcW w:w="1276" w:type="dxa"/>
            <w:tcBorders>
              <w:bottom w:val="single" w:sz="2" w:space="0" w:color="595959"/>
              <w:right w:val="single" w:sz="4" w:space="0" w:color="auto"/>
            </w:tcBorders>
            <w:shd w:val="clear" w:color="auto" w:fill="auto"/>
          </w:tcPr>
          <w:p w14:paraId="7B012F87" w14:textId="77777777" w:rsidR="004C2C77" w:rsidRPr="0009445C" w:rsidRDefault="004C2C77" w:rsidP="004C2C77">
            <w:pPr>
              <w:spacing w:before="100" w:line="240" w:lineRule="auto"/>
              <w:ind w:left="113" w:right="113"/>
              <w:rPr>
                <w:szCs w:val="18"/>
              </w:rPr>
            </w:pPr>
            <w:r w:rsidRPr="0009445C">
              <w:t>400</w:t>
            </w:r>
          </w:p>
        </w:tc>
        <w:tc>
          <w:tcPr>
            <w:tcW w:w="1134" w:type="dxa"/>
            <w:tcBorders>
              <w:bottom w:val="single" w:sz="2" w:space="0" w:color="595959"/>
              <w:right w:val="single" w:sz="4" w:space="0" w:color="auto"/>
            </w:tcBorders>
            <w:shd w:val="clear" w:color="auto" w:fill="auto"/>
          </w:tcPr>
          <w:p w14:paraId="7789573C" w14:textId="77777777" w:rsidR="004C2C77" w:rsidRPr="0009445C" w:rsidRDefault="004C2C77" w:rsidP="004C2C77">
            <w:pPr>
              <w:spacing w:before="100" w:line="240" w:lineRule="auto"/>
              <w:ind w:left="113" w:right="113"/>
              <w:rPr>
                <w:szCs w:val="18"/>
              </w:rPr>
            </w:pPr>
            <w:r w:rsidRPr="0009445C">
              <w:t>400</w:t>
            </w:r>
          </w:p>
        </w:tc>
        <w:tc>
          <w:tcPr>
            <w:tcW w:w="1137" w:type="dxa"/>
            <w:tcBorders>
              <w:bottom w:val="single" w:sz="2" w:space="0" w:color="595959"/>
              <w:right w:val="single" w:sz="4" w:space="0" w:color="auto"/>
            </w:tcBorders>
            <w:shd w:val="clear" w:color="auto" w:fill="auto"/>
          </w:tcPr>
          <w:p w14:paraId="6AE4891D" w14:textId="77777777" w:rsidR="004C2C77" w:rsidRPr="0009445C" w:rsidRDefault="004C2C77" w:rsidP="004C2C77">
            <w:pPr>
              <w:spacing w:before="100" w:line="240" w:lineRule="auto"/>
              <w:ind w:left="113" w:right="113"/>
              <w:rPr>
                <w:szCs w:val="18"/>
              </w:rPr>
            </w:pPr>
            <w:r w:rsidRPr="0009445C">
              <w:t>400</w:t>
            </w:r>
          </w:p>
        </w:tc>
      </w:tr>
      <w:tr w:rsidR="004C2C77" w:rsidRPr="0009445C" w14:paraId="4F5408CF" w14:textId="77777777" w:rsidTr="0028348C">
        <w:trPr>
          <w:gridAfter w:val="1"/>
          <w:wAfter w:w="14" w:type="dxa"/>
          <w:cantSplit/>
          <w:trHeight w:val="279"/>
        </w:trPr>
        <w:tc>
          <w:tcPr>
            <w:tcW w:w="417" w:type="dxa"/>
            <w:vMerge/>
            <w:tcBorders>
              <w:left w:val="single" w:sz="4" w:space="0" w:color="auto"/>
              <w:bottom w:val="nil"/>
            </w:tcBorders>
            <w:shd w:val="clear" w:color="auto" w:fill="FFFFFF"/>
            <w:textDirection w:val="btLr"/>
          </w:tcPr>
          <w:p w14:paraId="5CF8DCFF"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52431760" w14:textId="77777777" w:rsidR="004C2C77" w:rsidRPr="0009445C" w:rsidRDefault="004C2C77" w:rsidP="004C2C77">
            <w:pPr>
              <w:spacing w:before="100" w:line="240" w:lineRule="auto"/>
              <w:ind w:left="113" w:right="113"/>
              <w:rPr>
                <w:szCs w:val="18"/>
              </w:rPr>
            </w:pPr>
            <w:r w:rsidRPr="0009445C">
              <w:t>Nickel</w:t>
            </w:r>
          </w:p>
        </w:tc>
        <w:tc>
          <w:tcPr>
            <w:tcW w:w="1266" w:type="dxa"/>
            <w:tcBorders>
              <w:bottom w:val="single" w:sz="2" w:space="0" w:color="595959"/>
              <w:right w:val="single" w:sz="4" w:space="0" w:color="auto"/>
            </w:tcBorders>
            <w:shd w:val="clear" w:color="auto" w:fill="auto"/>
          </w:tcPr>
          <w:p w14:paraId="72E49790"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46975969" w14:textId="77777777" w:rsidR="004C2C77" w:rsidRPr="0009445C" w:rsidRDefault="004C2C77" w:rsidP="004C2C77">
            <w:pPr>
              <w:spacing w:before="100" w:line="240" w:lineRule="auto"/>
              <w:ind w:left="113" w:right="113"/>
              <w:rPr>
                <w:szCs w:val="18"/>
              </w:rPr>
            </w:pPr>
            <w:r w:rsidRPr="0009445C">
              <w:t>500</w:t>
            </w:r>
          </w:p>
        </w:tc>
        <w:tc>
          <w:tcPr>
            <w:tcW w:w="1559" w:type="dxa"/>
            <w:tcBorders>
              <w:bottom w:val="single" w:sz="2" w:space="0" w:color="595959"/>
              <w:right w:val="single" w:sz="4" w:space="0" w:color="auto"/>
            </w:tcBorders>
            <w:shd w:val="clear" w:color="auto" w:fill="auto"/>
          </w:tcPr>
          <w:p w14:paraId="374DF2C7" w14:textId="77777777" w:rsidR="004C2C77" w:rsidRPr="0009445C" w:rsidRDefault="004C2C77" w:rsidP="004C2C77">
            <w:pPr>
              <w:spacing w:before="100" w:line="240" w:lineRule="auto"/>
              <w:ind w:left="113" w:right="113"/>
              <w:rPr>
                <w:szCs w:val="18"/>
              </w:rPr>
            </w:pPr>
            <w:r w:rsidRPr="0009445C">
              <w:t>500</w:t>
            </w:r>
          </w:p>
        </w:tc>
        <w:tc>
          <w:tcPr>
            <w:tcW w:w="1276" w:type="dxa"/>
            <w:tcBorders>
              <w:bottom w:val="single" w:sz="2" w:space="0" w:color="595959"/>
              <w:right w:val="single" w:sz="4" w:space="0" w:color="auto"/>
            </w:tcBorders>
            <w:shd w:val="clear" w:color="auto" w:fill="auto"/>
          </w:tcPr>
          <w:p w14:paraId="446789C5" w14:textId="77777777" w:rsidR="004C2C77" w:rsidRPr="0009445C" w:rsidRDefault="004C2C77" w:rsidP="004C2C77">
            <w:pPr>
              <w:spacing w:before="100" w:line="240" w:lineRule="auto"/>
              <w:ind w:left="113" w:right="113"/>
              <w:rPr>
                <w:szCs w:val="18"/>
              </w:rPr>
            </w:pPr>
            <w:r w:rsidRPr="0009445C">
              <w:t>500</w:t>
            </w:r>
          </w:p>
        </w:tc>
        <w:tc>
          <w:tcPr>
            <w:tcW w:w="1134" w:type="dxa"/>
            <w:tcBorders>
              <w:bottom w:val="single" w:sz="2" w:space="0" w:color="595959"/>
              <w:right w:val="single" w:sz="4" w:space="0" w:color="auto"/>
            </w:tcBorders>
            <w:shd w:val="clear" w:color="auto" w:fill="auto"/>
          </w:tcPr>
          <w:p w14:paraId="531D1D5D" w14:textId="77777777" w:rsidR="004C2C77" w:rsidRPr="0009445C" w:rsidRDefault="004C2C77" w:rsidP="004C2C77">
            <w:pPr>
              <w:spacing w:before="100" w:line="240" w:lineRule="auto"/>
              <w:ind w:left="113" w:right="113"/>
              <w:rPr>
                <w:szCs w:val="18"/>
              </w:rPr>
            </w:pPr>
            <w:r w:rsidRPr="0009445C">
              <w:t>500</w:t>
            </w:r>
          </w:p>
        </w:tc>
        <w:tc>
          <w:tcPr>
            <w:tcW w:w="1137" w:type="dxa"/>
            <w:tcBorders>
              <w:bottom w:val="single" w:sz="2" w:space="0" w:color="595959"/>
              <w:right w:val="single" w:sz="4" w:space="0" w:color="auto"/>
            </w:tcBorders>
            <w:shd w:val="clear" w:color="auto" w:fill="auto"/>
          </w:tcPr>
          <w:p w14:paraId="1EFC479D" w14:textId="77777777" w:rsidR="004C2C77" w:rsidRPr="0009445C" w:rsidRDefault="004C2C77" w:rsidP="004C2C77">
            <w:pPr>
              <w:spacing w:before="100" w:line="240" w:lineRule="auto"/>
              <w:ind w:left="113" w:right="113"/>
              <w:rPr>
                <w:szCs w:val="18"/>
              </w:rPr>
            </w:pPr>
            <w:r w:rsidRPr="0009445C">
              <w:t>500</w:t>
            </w:r>
          </w:p>
        </w:tc>
      </w:tr>
      <w:tr w:rsidR="004C2C77" w:rsidRPr="0009445C" w14:paraId="6F595C72" w14:textId="77777777" w:rsidTr="0028348C">
        <w:trPr>
          <w:gridAfter w:val="1"/>
          <w:wAfter w:w="14" w:type="dxa"/>
          <w:cantSplit/>
          <w:trHeight w:val="314"/>
        </w:trPr>
        <w:tc>
          <w:tcPr>
            <w:tcW w:w="417" w:type="dxa"/>
            <w:vMerge/>
            <w:tcBorders>
              <w:left w:val="single" w:sz="4" w:space="0" w:color="auto"/>
              <w:bottom w:val="nil"/>
            </w:tcBorders>
            <w:shd w:val="clear" w:color="auto" w:fill="FFFFFF"/>
            <w:textDirection w:val="btLr"/>
          </w:tcPr>
          <w:p w14:paraId="65E2BE92"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46B5CAEB" w14:textId="77777777" w:rsidR="004C2C77" w:rsidRPr="0009445C" w:rsidRDefault="004C2C77" w:rsidP="004C2C77">
            <w:pPr>
              <w:spacing w:before="100" w:line="240" w:lineRule="auto"/>
              <w:ind w:left="113" w:right="113"/>
              <w:rPr>
                <w:szCs w:val="18"/>
              </w:rPr>
            </w:pPr>
            <w:r w:rsidRPr="0009445C">
              <w:t>Thallium</w:t>
            </w:r>
          </w:p>
        </w:tc>
        <w:tc>
          <w:tcPr>
            <w:tcW w:w="1266" w:type="dxa"/>
            <w:tcBorders>
              <w:bottom w:val="single" w:sz="2" w:space="0" w:color="595959"/>
              <w:right w:val="single" w:sz="4" w:space="0" w:color="auto"/>
            </w:tcBorders>
            <w:shd w:val="clear" w:color="auto" w:fill="auto"/>
          </w:tcPr>
          <w:p w14:paraId="47367815"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0FA987E3" w14:textId="77777777" w:rsidR="004C2C77" w:rsidRPr="0009445C" w:rsidRDefault="004C2C77" w:rsidP="004C2C77">
            <w:pPr>
              <w:spacing w:before="100" w:line="240" w:lineRule="auto"/>
              <w:ind w:left="113" w:right="113"/>
              <w:rPr>
                <w:szCs w:val="18"/>
              </w:rPr>
            </w:pPr>
            <w:r w:rsidRPr="0009445C">
              <w:t>7</w:t>
            </w:r>
          </w:p>
        </w:tc>
        <w:tc>
          <w:tcPr>
            <w:tcW w:w="1559" w:type="dxa"/>
            <w:tcBorders>
              <w:bottom w:val="single" w:sz="2" w:space="0" w:color="595959"/>
              <w:right w:val="single" w:sz="4" w:space="0" w:color="auto"/>
            </w:tcBorders>
            <w:shd w:val="clear" w:color="auto" w:fill="auto"/>
          </w:tcPr>
          <w:p w14:paraId="75CEC32A" w14:textId="77777777" w:rsidR="004C2C77" w:rsidRPr="0009445C" w:rsidRDefault="004C2C77" w:rsidP="004C2C77">
            <w:pPr>
              <w:spacing w:before="100" w:line="240" w:lineRule="auto"/>
              <w:ind w:left="113" w:right="113"/>
              <w:rPr>
                <w:szCs w:val="18"/>
              </w:rPr>
            </w:pPr>
            <w:r w:rsidRPr="0009445C">
              <w:t>7</w:t>
            </w:r>
          </w:p>
        </w:tc>
        <w:tc>
          <w:tcPr>
            <w:tcW w:w="1276" w:type="dxa"/>
            <w:tcBorders>
              <w:bottom w:val="single" w:sz="2" w:space="0" w:color="595959"/>
              <w:right w:val="single" w:sz="4" w:space="0" w:color="auto"/>
            </w:tcBorders>
            <w:shd w:val="clear" w:color="auto" w:fill="auto"/>
          </w:tcPr>
          <w:p w14:paraId="182208D6" w14:textId="77777777" w:rsidR="004C2C77" w:rsidRPr="0009445C" w:rsidRDefault="004C2C77" w:rsidP="004C2C77">
            <w:pPr>
              <w:spacing w:before="100" w:line="240" w:lineRule="auto"/>
              <w:ind w:left="113" w:right="113"/>
              <w:rPr>
                <w:szCs w:val="18"/>
              </w:rPr>
            </w:pPr>
            <w:r w:rsidRPr="0009445C">
              <w:t>7</w:t>
            </w:r>
          </w:p>
        </w:tc>
        <w:tc>
          <w:tcPr>
            <w:tcW w:w="1134" w:type="dxa"/>
            <w:tcBorders>
              <w:bottom w:val="single" w:sz="2" w:space="0" w:color="595959"/>
              <w:right w:val="single" w:sz="4" w:space="0" w:color="auto"/>
            </w:tcBorders>
            <w:shd w:val="clear" w:color="auto" w:fill="auto"/>
          </w:tcPr>
          <w:p w14:paraId="6CB9C6D7" w14:textId="77777777" w:rsidR="004C2C77" w:rsidRPr="0009445C" w:rsidRDefault="004C2C77" w:rsidP="004C2C77">
            <w:pPr>
              <w:spacing w:before="100" w:line="240" w:lineRule="auto"/>
              <w:ind w:left="113" w:right="113"/>
              <w:rPr>
                <w:szCs w:val="18"/>
              </w:rPr>
            </w:pPr>
            <w:r w:rsidRPr="0009445C">
              <w:t>7</w:t>
            </w:r>
          </w:p>
        </w:tc>
        <w:tc>
          <w:tcPr>
            <w:tcW w:w="1137" w:type="dxa"/>
            <w:tcBorders>
              <w:bottom w:val="single" w:sz="2" w:space="0" w:color="595959"/>
              <w:right w:val="single" w:sz="4" w:space="0" w:color="auto"/>
            </w:tcBorders>
            <w:shd w:val="clear" w:color="auto" w:fill="auto"/>
          </w:tcPr>
          <w:p w14:paraId="2E0E22CA" w14:textId="77777777" w:rsidR="004C2C77" w:rsidRPr="0009445C" w:rsidRDefault="004C2C77" w:rsidP="004C2C77">
            <w:pPr>
              <w:spacing w:before="100" w:line="240" w:lineRule="auto"/>
              <w:ind w:left="113" w:right="113"/>
              <w:rPr>
                <w:szCs w:val="18"/>
              </w:rPr>
            </w:pPr>
            <w:r w:rsidRPr="0009445C">
              <w:t>7</w:t>
            </w:r>
          </w:p>
        </w:tc>
      </w:tr>
      <w:tr w:rsidR="00A9087E" w:rsidRPr="0009445C" w14:paraId="497DD05F"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523C830A" w14:textId="77777777" w:rsidR="00A9087E" w:rsidRPr="0009445C" w:rsidRDefault="00A9087E"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767BF9C3" w14:textId="77777777" w:rsidR="00A9087E" w:rsidRPr="0009445C" w:rsidRDefault="00A9087E" w:rsidP="004C2C77">
            <w:pPr>
              <w:spacing w:before="100" w:line="240" w:lineRule="auto"/>
              <w:ind w:left="113" w:right="113"/>
              <w:rPr>
                <w:szCs w:val="18"/>
              </w:rPr>
            </w:pPr>
            <w:r w:rsidRPr="0009445C">
              <w:t>Vanadium</w:t>
            </w:r>
          </w:p>
        </w:tc>
        <w:tc>
          <w:tcPr>
            <w:tcW w:w="1266" w:type="dxa"/>
            <w:tcBorders>
              <w:bottom w:val="single" w:sz="2" w:space="0" w:color="595959"/>
              <w:right w:val="single" w:sz="4" w:space="0" w:color="auto"/>
            </w:tcBorders>
            <w:shd w:val="clear" w:color="auto" w:fill="auto"/>
          </w:tcPr>
          <w:p w14:paraId="0D299399" w14:textId="77777777" w:rsidR="00A9087E" w:rsidRPr="0009445C" w:rsidRDefault="00A9087E"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0F0FFB79" w14:textId="77777777" w:rsidR="00A9087E" w:rsidRPr="0009445C" w:rsidRDefault="00A9087E"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732F0ED8" w14:textId="77777777" w:rsidR="00A9087E" w:rsidRPr="0009445C" w:rsidRDefault="00A9087E" w:rsidP="004C2C77">
            <w:pPr>
              <w:spacing w:before="100" w:line="240" w:lineRule="auto"/>
              <w:ind w:left="113" w:right="113"/>
              <w:rPr>
                <w:szCs w:val="18"/>
              </w:rPr>
            </w:pPr>
            <w:r w:rsidRPr="0009445C">
              <w:t>1 500</w:t>
            </w:r>
          </w:p>
        </w:tc>
        <w:tc>
          <w:tcPr>
            <w:tcW w:w="1276" w:type="dxa"/>
            <w:tcBorders>
              <w:bottom w:val="single" w:sz="2" w:space="0" w:color="595959"/>
              <w:right w:val="single" w:sz="4" w:space="0" w:color="auto"/>
            </w:tcBorders>
            <w:shd w:val="clear" w:color="auto" w:fill="auto"/>
          </w:tcPr>
          <w:p w14:paraId="6F597604" w14:textId="77777777" w:rsidR="00A9087E" w:rsidRPr="0009445C" w:rsidRDefault="00A9087E"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561179E7" w14:textId="77777777" w:rsidR="00A9087E" w:rsidRPr="0009445C" w:rsidRDefault="00A9087E" w:rsidP="004C2C77">
            <w:pPr>
              <w:spacing w:before="100" w:line="240" w:lineRule="auto"/>
              <w:ind w:left="113" w:right="113"/>
              <w:rPr>
                <w:szCs w:val="18"/>
              </w:rPr>
            </w:pPr>
          </w:p>
        </w:tc>
        <w:tc>
          <w:tcPr>
            <w:tcW w:w="1137" w:type="dxa"/>
            <w:tcBorders>
              <w:bottom w:val="single" w:sz="2" w:space="0" w:color="595959"/>
              <w:right w:val="single" w:sz="4" w:space="0" w:color="auto"/>
            </w:tcBorders>
            <w:shd w:val="clear" w:color="auto" w:fill="auto"/>
          </w:tcPr>
          <w:p w14:paraId="777E75E5" w14:textId="77777777" w:rsidR="00A9087E" w:rsidRPr="0009445C" w:rsidRDefault="00A9087E" w:rsidP="004C2C77">
            <w:pPr>
              <w:spacing w:before="100" w:line="240" w:lineRule="auto"/>
              <w:ind w:left="113" w:right="113"/>
              <w:rPr>
                <w:szCs w:val="18"/>
              </w:rPr>
            </w:pPr>
          </w:p>
        </w:tc>
      </w:tr>
      <w:tr w:rsidR="004C2C77" w:rsidRPr="0009445C" w14:paraId="468BF777"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7AAFA1DA"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3EE12421" w14:textId="77777777" w:rsidR="004C2C77" w:rsidRPr="0009445C" w:rsidRDefault="004C2C77" w:rsidP="004C2C77">
            <w:pPr>
              <w:spacing w:before="100" w:line="240" w:lineRule="auto"/>
              <w:ind w:left="113" w:right="113"/>
              <w:rPr>
                <w:szCs w:val="18"/>
              </w:rPr>
            </w:pPr>
            <w:r w:rsidRPr="0009445C">
              <w:t>Mercury</w:t>
            </w:r>
          </w:p>
        </w:tc>
        <w:tc>
          <w:tcPr>
            <w:tcW w:w="1266" w:type="dxa"/>
            <w:tcBorders>
              <w:bottom w:val="single" w:sz="2" w:space="0" w:color="595959"/>
              <w:right w:val="single" w:sz="4" w:space="0" w:color="auto"/>
            </w:tcBorders>
            <w:shd w:val="clear" w:color="auto" w:fill="auto"/>
          </w:tcPr>
          <w:p w14:paraId="5E33CA3F"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03E2BEF0" w14:textId="77777777" w:rsidR="004C2C77" w:rsidRPr="0009445C" w:rsidRDefault="004C2C77" w:rsidP="004C2C77">
            <w:pPr>
              <w:spacing w:before="100" w:line="240" w:lineRule="auto"/>
              <w:ind w:left="113" w:right="113"/>
              <w:rPr>
                <w:szCs w:val="18"/>
              </w:rPr>
            </w:pPr>
            <w:r w:rsidRPr="0009445C">
              <w:t>5</w:t>
            </w:r>
          </w:p>
        </w:tc>
        <w:tc>
          <w:tcPr>
            <w:tcW w:w="1559" w:type="dxa"/>
            <w:tcBorders>
              <w:bottom w:val="single" w:sz="2" w:space="0" w:color="595959"/>
              <w:right w:val="single" w:sz="4" w:space="0" w:color="auto"/>
            </w:tcBorders>
            <w:shd w:val="clear" w:color="auto" w:fill="auto"/>
          </w:tcPr>
          <w:p w14:paraId="2CC3ADD1" w14:textId="77777777" w:rsidR="004C2C77" w:rsidRPr="0009445C" w:rsidRDefault="004C2C77" w:rsidP="004C2C77">
            <w:pPr>
              <w:spacing w:before="100" w:line="240" w:lineRule="auto"/>
              <w:ind w:left="113" w:right="113"/>
              <w:rPr>
                <w:szCs w:val="18"/>
              </w:rPr>
            </w:pPr>
            <w:r w:rsidRPr="0009445C">
              <w:t>5</w:t>
            </w:r>
          </w:p>
        </w:tc>
        <w:tc>
          <w:tcPr>
            <w:tcW w:w="1276" w:type="dxa"/>
            <w:tcBorders>
              <w:bottom w:val="single" w:sz="2" w:space="0" w:color="595959"/>
              <w:right w:val="single" w:sz="4" w:space="0" w:color="auto"/>
            </w:tcBorders>
            <w:shd w:val="clear" w:color="auto" w:fill="auto"/>
          </w:tcPr>
          <w:p w14:paraId="69F00058" w14:textId="77777777" w:rsidR="004C2C77" w:rsidRPr="0009445C" w:rsidRDefault="004C2C77" w:rsidP="004C2C77">
            <w:pPr>
              <w:spacing w:before="100" w:line="240" w:lineRule="auto"/>
              <w:ind w:left="113" w:right="113"/>
              <w:rPr>
                <w:szCs w:val="18"/>
              </w:rPr>
            </w:pPr>
            <w:r w:rsidRPr="0009445C">
              <w:t>5</w:t>
            </w:r>
          </w:p>
        </w:tc>
        <w:tc>
          <w:tcPr>
            <w:tcW w:w="1134" w:type="dxa"/>
            <w:tcBorders>
              <w:bottom w:val="single" w:sz="2" w:space="0" w:color="595959"/>
              <w:right w:val="single" w:sz="4" w:space="0" w:color="auto"/>
            </w:tcBorders>
            <w:shd w:val="clear" w:color="auto" w:fill="auto"/>
          </w:tcPr>
          <w:p w14:paraId="374A0C82" w14:textId="77777777" w:rsidR="004C2C77" w:rsidRPr="0009445C" w:rsidRDefault="004C2C77" w:rsidP="004C2C77">
            <w:pPr>
              <w:spacing w:before="100" w:line="240" w:lineRule="auto"/>
              <w:ind w:left="113" w:right="113"/>
              <w:rPr>
                <w:szCs w:val="18"/>
              </w:rPr>
            </w:pPr>
            <w:r w:rsidRPr="0009445C">
              <w:t>5</w:t>
            </w:r>
          </w:p>
        </w:tc>
        <w:tc>
          <w:tcPr>
            <w:tcW w:w="1137" w:type="dxa"/>
            <w:tcBorders>
              <w:bottom w:val="single" w:sz="2" w:space="0" w:color="595959"/>
              <w:right w:val="single" w:sz="4" w:space="0" w:color="auto"/>
            </w:tcBorders>
            <w:shd w:val="clear" w:color="auto" w:fill="auto"/>
          </w:tcPr>
          <w:p w14:paraId="2ECE9737" w14:textId="77777777" w:rsidR="004C2C77" w:rsidRPr="0009445C" w:rsidRDefault="004C2C77" w:rsidP="004C2C77">
            <w:pPr>
              <w:spacing w:before="100" w:line="240" w:lineRule="auto"/>
              <w:ind w:left="113" w:right="113"/>
              <w:rPr>
                <w:szCs w:val="18"/>
              </w:rPr>
            </w:pPr>
            <w:r w:rsidRPr="0009445C">
              <w:t>5</w:t>
            </w:r>
          </w:p>
        </w:tc>
      </w:tr>
      <w:tr w:rsidR="004C2C77" w:rsidRPr="0009445C" w14:paraId="3D7B3DD7"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02A16BF2"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05B6E2FB" w14:textId="77777777" w:rsidR="004C2C77" w:rsidRPr="0009445C" w:rsidRDefault="004C2C77" w:rsidP="004C2C77">
            <w:pPr>
              <w:spacing w:before="100" w:line="240" w:lineRule="auto"/>
              <w:ind w:left="113" w:right="113"/>
              <w:rPr>
                <w:szCs w:val="18"/>
              </w:rPr>
            </w:pPr>
            <w:r w:rsidRPr="0009445C">
              <w:t>Zinc</w:t>
            </w:r>
          </w:p>
        </w:tc>
        <w:tc>
          <w:tcPr>
            <w:tcW w:w="1266" w:type="dxa"/>
            <w:tcBorders>
              <w:bottom w:val="single" w:sz="2" w:space="0" w:color="595959"/>
              <w:right w:val="single" w:sz="4" w:space="0" w:color="auto"/>
            </w:tcBorders>
            <w:shd w:val="clear" w:color="auto" w:fill="auto"/>
          </w:tcPr>
          <w:p w14:paraId="542E7646"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157C4A04" w14:textId="77777777" w:rsidR="004C2C77" w:rsidRPr="0009445C" w:rsidRDefault="004C2C77" w:rsidP="004C2C77">
            <w:pPr>
              <w:spacing w:before="100" w:line="240" w:lineRule="auto"/>
              <w:ind w:left="113" w:right="113"/>
              <w:rPr>
                <w:szCs w:val="18"/>
              </w:rPr>
            </w:pPr>
            <w:r w:rsidRPr="0009445C">
              <w:t>1 500</w:t>
            </w:r>
          </w:p>
        </w:tc>
        <w:tc>
          <w:tcPr>
            <w:tcW w:w="1559" w:type="dxa"/>
            <w:tcBorders>
              <w:bottom w:val="single" w:sz="2" w:space="0" w:color="595959"/>
              <w:right w:val="single" w:sz="4" w:space="0" w:color="auto"/>
            </w:tcBorders>
            <w:shd w:val="clear" w:color="auto" w:fill="auto"/>
          </w:tcPr>
          <w:p w14:paraId="5C3049E7" w14:textId="77777777" w:rsidR="004C2C77" w:rsidRPr="0009445C" w:rsidRDefault="004C2C77" w:rsidP="004C2C77">
            <w:pPr>
              <w:spacing w:before="100" w:line="240" w:lineRule="auto"/>
              <w:ind w:left="113" w:right="113"/>
              <w:rPr>
                <w:szCs w:val="18"/>
              </w:rPr>
            </w:pPr>
            <w:r w:rsidRPr="0009445C">
              <w:t>1 500</w:t>
            </w:r>
          </w:p>
        </w:tc>
        <w:tc>
          <w:tcPr>
            <w:tcW w:w="1276" w:type="dxa"/>
            <w:tcBorders>
              <w:bottom w:val="single" w:sz="2" w:space="0" w:color="595959"/>
              <w:right w:val="single" w:sz="4" w:space="0" w:color="auto"/>
            </w:tcBorders>
            <w:shd w:val="clear" w:color="auto" w:fill="auto"/>
          </w:tcPr>
          <w:p w14:paraId="43900393" w14:textId="77777777" w:rsidR="004C2C77" w:rsidRPr="0009445C" w:rsidRDefault="004C2C77" w:rsidP="004C2C77">
            <w:pPr>
              <w:spacing w:before="100" w:line="240" w:lineRule="auto"/>
              <w:ind w:left="113" w:right="113"/>
              <w:rPr>
                <w:szCs w:val="18"/>
              </w:rPr>
            </w:pPr>
            <w:r w:rsidRPr="0009445C">
              <w:t>1 500</w:t>
            </w:r>
          </w:p>
        </w:tc>
        <w:tc>
          <w:tcPr>
            <w:tcW w:w="1134" w:type="dxa"/>
            <w:tcBorders>
              <w:bottom w:val="single" w:sz="2" w:space="0" w:color="595959"/>
              <w:right w:val="single" w:sz="4" w:space="0" w:color="auto"/>
            </w:tcBorders>
            <w:shd w:val="clear" w:color="auto" w:fill="auto"/>
          </w:tcPr>
          <w:p w14:paraId="06E60462" w14:textId="77777777" w:rsidR="004C2C77" w:rsidRPr="0009445C" w:rsidRDefault="004C2C77" w:rsidP="004C2C77">
            <w:pPr>
              <w:spacing w:before="100" w:line="240" w:lineRule="auto"/>
              <w:ind w:left="113" w:right="113"/>
              <w:rPr>
                <w:szCs w:val="18"/>
              </w:rPr>
            </w:pPr>
            <w:r w:rsidRPr="0009445C">
              <w:t>1 500</w:t>
            </w:r>
          </w:p>
        </w:tc>
        <w:tc>
          <w:tcPr>
            <w:tcW w:w="1137" w:type="dxa"/>
            <w:tcBorders>
              <w:bottom w:val="single" w:sz="2" w:space="0" w:color="595959"/>
              <w:right w:val="single" w:sz="4" w:space="0" w:color="auto"/>
            </w:tcBorders>
            <w:shd w:val="clear" w:color="auto" w:fill="auto"/>
          </w:tcPr>
          <w:p w14:paraId="4142DF3F" w14:textId="77777777" w:rsidR="004C2C77" w:rsidRPr="0009445C" w:rsidRDefault="004C2C77" w:rsidP="004C2C77">
            <w:pPr>
              <w:spacing w:before="100" w:line="240" w:lineRule="auto"/>
              <w:ind w:left="113" w:right="113"/>
              <w:rPr>
                <w:szCs w:val="18"/>
              </w:rPr>
            </w:pPr>
            <w:r w:rsidRPr="0009445C">
              <w:t>1 500</w:t>
            </w:r>
          </w:p>
        </w:tc>
      </w:tr>
      <w:tr w:rsidR="004C2C77" w:rsidRPr="0009445C" w14:paraId="3C25F52C"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3C0045A9" w14:textId="77777777" w:rsidR="004C2C77" w:rsidRPr="0009445C" w:rsidRDefault="004C2C77" w:rsidP="004C2C77">
            <w:pPr>
              <w:spacing w:before="100" w:line="240" w:lineRule="auto"/>
              <w:ind w:left="113" w:right="113"/>
              <w:rPr>
                <w:b/>
                <w:szCs w:val="18"/>
              </w:rPr>
            </w:pPr>
          </w:p>
        </w:tc>
        <w:tc>
          <w:tcPr>
            <w:tcW w:w="1856" w:type="dxa"/>
            <w:tcBorders>
              <w:bottom w:val="single" w:sz="2" w:space="0" w:color="595959"/>
              <w:right w:val="single" w:sz="4" w:space="0" w:color="auto"/>
            </w:tcBorders>
            <w:shd w:val="clear" w:color="auto" w:fill="auto"/>
          </w:tcPr>
          <w:p w14:paraId="717D3517" w14:textId="77777777" w:rsidR="004C2C77" w:rsidRPr="0009445C" w:rsidRDefault="004C2C77" w:rsidP="004C2C77">
            <w:pPr>
              <w:spacing w:before="100" w:line="240" w:lineRule="auto"/>
              <w:ind w:left="113" w:right="113"/>
              <w:rPr>
                <w:szCs w:val="18"/>
              </w:rPr>
            </w:pPr>
            <w:r w:rsidRPr="0009445C">
              <w:t>EOX</w:t>
            </w:r>
          </w:p>
        </w:tc>
        <w:tc>
          <w:tcPr>
            <w:tcW w:w="1266" w:type="dxa"/>
            <w:tcBorders>
              <w:bottom w:val="single" w:sz="2" w:space="0" w:color="595959"/>
              <w:right w:val="single" w:sz="4" w:space="0" w:color="auto"/>
            </w:tcBorders>
            <w:shd w:val="clear" w:color="auto" w:fill="auto"/>
          </w:tcPr>
          <w:p w14:paraId="6B6AA53F"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75523F52"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6F541A1B" w14:textId="77777777" w:rsidR="004C2C77" w:rsidRPr="0009445C" w:rsidRDefault="004C2C77" w:rsidP="004C2C77">
            <w:pPr>
              <w:spacing w:before="100" w:line="240" w:lineRule="auto"/>
              <w:ind w:left="113" w:right="113"/>
              <w:rPr>
                <w:szCs w:val="18"/>
              </w:rPr>
            </w:pPr>
          </w:p>
        </w:tc>
        <w:tc>
          <w:tcPr>
            <w:tcW w:w="1276" w:type="dxa"/>
            <w:tcBorders>
              <w:bottom w:val="single" w:sz="2" w:space="0" w:color="595959"/>
              <w:right w:val="single" w:sz="4" w:space="0" w:color="auto"/>
            </w:tcBorders>
            <w:shd w:val="clear" w:color="auto" w:fill="auto"/>
          </w:tcPr>
          <w:p w14:paraId="087A7E9D"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5E5809CD" w14:textId="77777777" w:rsidR="004C2C77" w:rsidRPr="0009445C" w:rsidRDefault="004C2C77" w:rsidP="004C2C77">
            <w:pPr>
              <w:spacing w:before="100" w:line="240" w:lineRule="auto"/>
              <w:ind w:left="113" w:right="113"/>
              <w:rPr>
                <w:szCs w:val="18"/>
              </w:rPr>
            </w:pPr>
            <w:r w:rsidRPr="0009445C">
              <w:t>10***</w:t>
            </w:r>
          </w:p>
        </w:tc>
        <w:tc>
          <w:tcPr>
            <w:tcW w:w="1137" w:type="dxa"/>
            <w:tcBorders>
              <w:bottom w:val="single" w:sz="2" w:space="0" w:color="595959"/>
              <w:right w:val="single" w:sz="4" w:space="0" w:color="auto"/>
            </w:tcBorders>
            <w:shd w:val="clear" w:color="auto" w:fill="auto"/>
          </w:tcPr>
          <w:p w14:paraId="727CE339" w14:textId="77777777" w:rsidR="004C2C77" w:rsidRPr="0009445C" w:rsidRDefault="004C2C77" w:rsidP="004C2C77">
            <w:pPr>
              <w:spacing w:before="100" w:line="240" w:lineRule="auto"/>
              <w:ind w:left="113" w:right="113"/>
              <w:rPr>
                <w:szCs w:val="18"/>
              </w:rPr>
            </w:pPr>
          </w:p>
        </w:tc>
      </w:tr>
      <w:tr w:rsidR="004C2C77" w:rsidRPr="0009445C" w14:paraId="583B6729"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173B6F61" w14:textId="77777777" w:rsidR="004C2C77" w:rsidRPr="0009445C" w:rsidRDefault="004C2C77" w:rsidP="004C2C77">
            <w:pPr>
              <w:spacing w:before="100" w:line="240" w:lineRule="auto"/>
              <w:ind w:left="113" w:right="113"/>
              <w:rPr>
                <w:b/>
                <w:szCs w:val="18"/>
              </w:rPr>
            </w:pPr>
          </w:p>
        </w:tc>
        <w:tc>
          <w:tcPr>
            <w:tcW w:w="1856" w:type="dxa"/>
            <w:tcBorders>
              <w:bottom w:val="single" w:sz="4" w:space="0" w:color="auto"/>
              <w:right w:val="single" w:sz="4" w:space="0" w:color="auto"/>
            </w:tcBorders>
            <w:shd w:val="clear" w:color="auto" w:fill="auto"/>
          </w:tcPr>
          <w:p w14:paraId="5E2CA046" w14:textId="77777777" w:rsidR="004C2C77" w:rsidRPr="0009445C" w:rsidRDefault="004C2C77" w:rsidP="004C2C77">
            <w:pPr>
              <w:spacing w:before="100" w:line="240" w:lineRule="auto"/>
              <w:ind w:left="113" w:right="113"/>
              <w:rPr>
                <w:szCs w:val="18"/>
              </w:rPr>
            </w:pPr>
            <w:r w:rsidRPr="0009445C">
              <w:t>BTX</w:t>
            </w:r>
          </w:p>
        </w:tc>
        <w:tc>
          <w:tcPr>
            <w:tcW w:w="1266" w:type="dxa"/>
            <w:tcBorders>
              <w:bottom w:val="single" w:sz="4" w:space="0" w:color="auto"/>
              <w:right w:val="single" w:sz="4" w:space="0" w:color="auto"/>
            </w:tcBorders>
            <w:shd w:val="clear" w:color="auto" w:fill="auto"/>
          </w:tcPr>
          <w:p w14:paraId="710D7492"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4" w:space="0" w:color="auto"/>
              <w:right w:val="single" w:sz="4" w:space="0" w:color="auto"/>
            </w:tcBorders>
            <w:shd w:val="clear" w:color="auto" w:fill="auto"/>
          </w:tcPr>
          <w:p w14:paraId="2C3DE865" w14:textId="77777777" w:rsidR="004C2C77" w:rsidRPr="0009445C" w:rsidRDefault="004C2C77" w:rsidP="004C2C77">
            <w:pPr>
              <w:spacing w:before="100" w:line="240" w:lineRule="auto"/>
              <w:ind w:left="113" w:right="113"/>
              <w:rPr>
                <w:szCs w:val="18"/>
              </w:rPr>
            </w:pPr>
          </w:p>
        </w:tc>
        <w:tc>
          <w:tcPr>
            <w:tcW w:w="1559" w:type="dxa"/>
            <w:tcBorders>
              <w:bottom w:val="single" w:sz="4" w:space="0" w:color="auto"/>
              <w:right w:val="single" w:sz="4" w:space="0" w:color="auto"/>
            </w:tcBorders>
            <w:shd w:val="clear" w:color="auto" w:fill="auto"/>
          </w:tcPr>
          <w:p w14:paraId="5E093F22" w14:textId="77777777" w:rsidR="004C2C77" w:rsidRPr="0009445C" w:rsidRDefault="004C2C77" w:rsidP="004C2C77">
            <w:pPr>
              <w:spacing w:before="100" w:line="240" w:lineRule="auto"/>
              <w:ind w:left="113" w:right="113"/>
              <w:rPr>
                <w:szCs w:val="18"/>
              </w:rPr>
            </w:pPr>
          </w:p>
        </w:tc>
        <w:tc>
          <w:tcPr>
            <w:tcW w:w="1276" w:type="dxa"/>
            <w:tcBorders>
              <w:bottom w:val="single" w:sz="4" w:space="0" w:color="auto"/>
              <w:right w:val="single" w:sz="4" w:space="0" w:color="auto"/>
            </w:tcBorders>
            <w:shd w:val="clear" w:color="auto" w:fill="auto"/>
          </w:tcPr>
          <w:p w14:paraId="23C7F064" w14:textId="77777777" w:rsidR="004C2C77" w:rsidRPr="0009445C" w:rsidRDefault="004C2C77" w:rsidP="004C2C77">
            <w:pPr>
              <w:spacing w:before="100" w:line="240" w:lineRule="auto"/>
              <w:ind w:left="113" w:right="113"/>
              <w:rPr>
                <w:szCs w:val="18"/>
              </w:rPr>
            </w:pPr>
          </w:p>
        </w:tc>
        <w:tc>
          <w:tcPr>
            <w:tcW w:w="1134" w:type="dxa"/>
            <w:tcBorders>
              <w:bottom w:val="single" w:sz="4" w:space="0" w:color="auto"/>
              <w:right w:val="single" w:sz="4" w:space="0" w:color="auto"/>
            </w:tcBorders>
            <w:shd w:val="clear" w:color="auto" w:fill="auto"/>
          </w:tcPr>
          <w:p w14:paraId="485DFB87" w14:textId="77777777" w:rsidR="004C2C77" w:rsidRPr="0009445C" w:rsidRDefault="004C2C77" w:rsidP="004C2C77">
            <w:pPr>
              <w:spacing w:before="100" w:line="240" w:lineRule="auto"/>
              <w:ind w:left="113" w:right="113"/>
              <w:rPr>
                <w:szCs w:val="18"/>
              </w:rPr>
            </w:pPr>
            <w:r w:rsidRPr="0009445C">
              <w:t>1</w:t>
            </w:r>
          </w:p>
        </w:tc>
        <w:tc>
          <w:tcPr>
            <w:tcW w:w="1137" w:type="dxa"/>
            <w:tcBorders>
              <w:bottom w:val="single" w:sz="4" w:space="0" w:color="auto"/>
              <w:right w:val="single" w:sz="4" w:space="0" w:color="auto"/>
            </w:tcBorders>
            <w:shd w:val="clear" w:color="auto" w:fill="auto"/>
          </w:tcPr>
          <w:p w14:paraId="588743A8" w14:textId="77777777" w:rsidR="004C2C77" w:rsidRPr="0009445C" w:rsidRDefault="004C2C77" w:rsidP="004C2C77">
            <w:pPr>
              <w:spacing w:before="100" w:line="240" w:lineRule="auto"/>
              <w:ind w:left="113" w:right="113"/>
              <w:rPr>
                <w:szCs w:val="18"/>
              </w:rPr>
            </w:pPr>
          </w:p>
        </w:tc>
      </w:tr>
      <w:tr w:rsidR="004C2C77" w:rsidRPr="0009445C" w14:paraId="73385DAA"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79F175A5" w14:textId="77777777" w:rsidR="004C2C77" w:rsidRPr="0009445C" w:rsidRDefault="004C2C77" w:rsidP="004C2C77">
            <w:pPr>
              <w:spacing w:before="100" w:line="240" w:lineRule="auto"/>
              <w:ind w:left="113" w:right="113"/>
              <w:rPr>
                <w:b/>
                <w:szCs w:val="18"/>
              </w:rPr>
            </w:pPr>
          </w:p>
        </w:tc>
        <w:tc>
          <w:tcPr>
            <w:tcW w:w="1856" w:type="dxa"/>
            <w:tcBorders>
              <w:top w:val="single" w:sz="4" w:space="0" w:color="auto"/>
              <w:bottom w:val="single" w:sz="4" w:space="0" w:color="auto"/>
              <w:right w:val="single" w:sz="4" w:space="0" w:color="auto"/>
            </w:tcBorders>
            <w:shd w:val="clear" w:color="auto" w:fill="auto"/>
          </w:tcPr>
          <w:p w14:paraId="3F3B2E68" w14:textId="77777777" w:rsidR="004C2C77" w:rsidRPr="0009445C" w:rsidRDefault="004C2C77" w:rsidP="004C2C77">
            <w:pPr>
              <w:spacing w:before="100" w:line="240" w:lineRule="auto"/>
              <w:ind w:left="113" w:right="113"/>
              <w:rPr>
                <w:szCs w:val="18"/>
              </w:rPr>
            </w:pPr>
            <w:r w:rsidRPr="0009445C">
              <w:t>LHKW</w:t>
            </w:r>
          </w:p>
        </w:tc>
        <w:tc>
          <w:tcPr>
            <w:tcW w:w="1266" w:type="dxa"/>
            <w:tcBorders>
              <w:top w:val="single" w:sz="4" w:space="0" w:color="auto"/>
              <w:bottom w:val="single" w:sz="4" w:space="0" w:color="auto"/>
              <w:right w:val="single" w:sz="4" w:space="0" w:color="auto"/>
            </w:tcBorders>
            <w:shd w:val="clear" w:color="auto" w:fill="auto"/>
          </w:tcPr>
          <w:p w14:paraId="5C70222C" w14:textId="77777777" w:rsidR="004C2C77" w:rsidRPr="0009445C" w:rsidRDefault="004C2C77" w:rsidP="004C2C77">
            <w:pPr>
              <w:spacing w:before="100" w:line="240" w:lineRule="auto"/>
              <w:ind w:left="113" w:right="113"/>
              <w:rPr>
                <w:szCs w:val="18"/>
              </w:rPr>
            </w:pPr>
            <w:r w:rsidRPr="0009445C">
              <w:t>[mg/kg]</w:t>
            </w:r>
          </w:p>
        </w:tc>
        <w:tc>
          <w:tcPr>
            <w:tcW w:w="1276" w:type="dxa"/>
            <w:tcBorders>
              <w:top w:val="single" w:sz="4" w:space="0" w:color="auto"/>
              <w:bottom w:val="single" w:sz="4" w:space="0" w:color="auto"/>
              <w:right w:val="single" w:sz="4" w:space="0" w:color="auto"/>
            </w:tcBorders>
            <w:shd w:val="clear" w:color="auto" w:fill="auto"/>
          </w:tcPr>
          <w:p w14:paraId="54DBDC62" w14:textId="77777777" w:rsidR="004C2C77" w:rsidRPr="0009445C" w:rsidRDefault="004C2C77" w:rsidP="004C2C77">
            <w:pPr>
              <w:spacing w:before="100" w:line="240" w:lineRule="auto"/>
              <w:ind w:left="113" w:right="113"/>
              <w:rPr>
                <w:szCs w:val="18"/>
              </w:rPr>
            </w:pPr>
          </w:p>
        </w:tc>
        <w:tc>
          <w:tcPr>
            <w:tcW w:w="1559" w:type="dxa"/>
            <w:tcBorders>
              <w:top w:val="single" w:sz="4" w:space="0" w:color="auto"/>
              <w:bottom w:val="single" w:sz="4" w:space="0" w:color="auto"/>
              <w:right w:val="single" w:sz="4" w:space="0" w:color="auto"/>
            </w:tcBorders>
            <w:shd w:val="clear" w:color="auto" w:fill="auto"/>
          </w:tcPr>
          <w:p w14:paraId="11A272BF" w14:textId="77777777" w:rsidR="004C2C77" w:rsidRPr="0009445C" w:rsidRDefault="004C2C77" w:rsidP="004C2C77">
            <w:pPr>
              <w:spacing w:before="100" w:line="240" w:lineRule="auto"/>
              <w:ind w:left="113" w:right="113"/>
              <w:rPr>
                <w:szCs w:val="18"/>
              </w:rPr>
            </w:pPr>
          </w:p>
        </w:tc>
        <w:tc>
          <w:tcPr>
            <w:tcW w:w="1276" w:type="dxa"/>
            <w:tcBorders>
              <w:top w:val="single" w:sz="4" w:space="0" w:color="auto"/>
              <w:bottom w:val="single" w:sz="4" w:space="0" w:color="auto"/>
              <w:right w:val="single" w:sz="4" w:space="0" w:color="auto"/>
            </w:tcBorders>
            <w:shd w:val="clear" w:color="auto" w:fill="auto"/>
          </w:tcPr>
          <w:p w14:paraId="2018C661" w14:textId="77777777" w:rsidR="004C2C77" w:rsidRPr="0009445C" w:rsidRDefault="004C2C77" w:rsidP="004C2C77">
            <w:pPr>
              <w:spacing w:before="100" w:line="240" w:lineRule="auto"/>
              <w:ind w:left="113" w:right="113"/>
              <w:rPr>
                <w:szCs w:val="18"/>
              </w:rPr>
            </w:pPr>
          </w:p>
        </w:tc>
        <w:tc>
          <w:tcPr>
            <w:tcW w:w="1134" w:type="dxa"/>
            <w:tcBorders>
              <w:top w:val="single" w:sz="4" w:space="0" w:color="auto"/>
              <w:bottom w:val="single" w:sz="4" w:space="0" w:color="auto"/>
              <w:right w:val="single" w:sz="4" w:space="0" w:color="auto"/>
            </w:tcBorders>
            <w:shd w:val="clear" w:color="auto" w:fill="auto"/>
          </w:tcPr>
          <w:p w14:paraId="717F4B88" w14:textId="77777777" w:rsidR="004C2C77" w:rsidRPr="0009445C" w:rsidRDefault="004C2C77" w:rsidP="004C2C77">
            <w:pPr>
              <w:spacing w:before="100" w:line="240" w:lineRule="auto"/>
              <w:ind w:left="113" w:right="113"/>
              <w:rPr>
                <w:szCs w:val="18"/>
              </w:rPr>
            </w:pPr>
            <w:r w:rsidRPr="0009445C">
              <w:t>1</w:t>
            </w:r>
          </w:p>
        </w:tc>
        <w:tc>
          <w:tcPr>
            <w:tcW w:w="1137" w:type="dxa"/>
            <w:tcBorders>
              <w:top w:val="single" w:sz="4" w:space="0" w:color="auto"/>
              <w:bottom w:val="single" w:sz="4" w:space="0" w:color="auto"/>
              <w:right w:val="single" w:sz="4" w:space="0" w:color="auto"/>
            </w:tcBorders>
            <w:shd w:val="clear" w:color="auto" w:fill="auto"/>
          </w:tcPr>
          <w:p w14:paraId="3B818782" w14:textId="77777777" w:rsidR="004C2C77" w:rsidRPr="0009445C" w:rsidRDefault="004C2C77" w:rsidP="004C2C77">
            <w:pPr>
              <w:spacing w:before="100" w:line="240" w:lineRule="auto"/>
              <w:ind w:left="113" w:right="113"/>
              <w:rPr>
                <w:szCs w:val="18"/>
              </w:rPr>
            </w:pPr>
          </w:p>
        </w:tc>
      </w:tr>
      <w:tr w:rsidR="004C2C77" w:rsidRPr="0009445C" w14:paraId="7AD01F9B" w14:textId="77777777" w:rsidTr="0028348C">
        <w:trPr>
          <w:gridAfter w:val="1"/>
          <w:wAfter w:w="14" w:type="dxa"/>
          <w:cantSplit/>
          <w:trHeight w:val="348"/>
        </w:trPr>
        <w:tc>
          <w:tcPr>
            <w:tcW w:w="417" w:type="dxa"/>
            <w:vMerge/>
            <w:tcBorders>
              <w:left w:val="single" w:sz="4" w:space="0" w:color="auto"/>
              <w:bottom w:val="nil"/>
            </w:tcBorders>
            <w:shd w:val="clear" w:color="auto" w:fill="FFFFFF"/>
            <w:textDirection w:val="btLr"/>
          </w:tcPr>
          <w:p w14:paraId="546E41FC" w14:textId="77777777" w:rsidR="004C2C77" w:rsidRPr="0009445C" w:rsidRDefault="004C2C77" w:rsidP="004C2C77">
            <w:pPr>
              <w:spacing w:before="100" w:line="240" w:lineRule="auto"/>
              <w:ind w:left="113" w:right="113"/>
              <w:rPr>
                <w:b/>
                <w:szCs w:val="18"/>
              </w:rPr>
            </w:pPr>
          </w:p>
        </w:tc>
        <w:tc>
          <w:tcPr>
            <w:tcW w:w="1856" w:type="dxa"/>
            <w:tcBorders>
              <w:top w:val="single" w:sz="4" w:space="0" w:color="auto"/>
              <w:bottom w:val="single" w:sz="2" w:space="0" w:color="595959"/>
              <w:right w:val="single" w:sz="4" w:space="0" w:color="auto"/>
            </w:tcBorders>
            <w:shd w:val="clear" w:color="auto" w:fill="auto"/>
          </w:tcPr>
          <w:p w14:paraId="24E64ADF" w14:textId="77777777" w:rsidR="004C2C77" w:rsidRPr="0009445C" w:rsidRDefault="004C2C77" w:rsidP="004C2C77">
            <w:pPr>
              <w:spacing w:before="100" w:line="240" w:lineRule="auto"/>
              <w:ind w:left="113" w:right="113"/>
              <w:rPr>
                <w:szCs w:val="18"/>
              </w:rPr>
            </w:pPr>
            <w:r w:rsidRPr="0009445C">
              <w:t>Benzo(a)pyrene</w:t>
            </w:r>
          </w:p>
        </w:tc>
        <w:tc>
          <w:tcPr>
            <w:tcW w:w="1266" w:type="dxa"/>
            <w:tcBorders>
              <w:top w:val="single" w:sz="4" w:space="0" w:color="auto"/>
              <w:bottom w:val="single" w:sz="2" w:space="0" w:color="595959"/>
              <w:right w:val="single" w:sz="4" w:space="0" w:color="auto"/>
            </w:tcBorders>
            <w:shd w:val="clear" w:color="auto" w:fill="auto"/>
          </w:tcPr>
          <w:p w14:paraId="31D31D30" w14:textId="77777777" w:rsidR="004C2C77" w:rsidRPr="0009445C" w:rsidRDefault="004C2C77" w:rsidP="004C2C77">
            <w:pPr>
              <w:spacing w:before="100" w:line="240" w:lineRule="auto"/>
              <w:ind w:left="113" w:right="113"/>
              <w:rPr>
                <w:szCs w:val="18"/>
              </w:rPr>
            </w:pPr>
            <w:r w:rsidRPr="0009445C">
              <w:t>[mg/kg]</w:t>
            </w:r>
          </w:p>
        </w:tc>
        <w:tc>
          <w:tcPr>
            <w:tcW w:w="1276" w:type="dxa"/>
            <w:tcBorders>
              <w:top w:val="single" w:sz="4" w:space="0" w:color="auto"/>
              <w:bottom w:val="single" w:sz="2" w:space="0" w:color="595959"/>
              <w:right w:val="single" w:sz="4" w:space="0" w:color="auto"/>
            </w:tcBorders>
            <w:shd w:val="clear" w:color="auto" w:fill="auto"/>
          </w:tcPr>
          <w:p w14:paraId="0B137B8E" w14:textId="77777777" w:rsidR="004C2C77" w:rsidRPr="0009445C" w:rsidRDefault="004C2C77" w:rsidP="004C2C77">
            <w:pPr>
              <w:spacing w:before="100" w:line="240" w:lineRule="auto"/>
              <w:ind w:left="113" w:right="113"/>
              <w:rPr>
                <w:szCs w:val="18"/>
              </w:rPr>
            </w:pPr>
          </w:p>
        </w:tc>
        <w:tc>
          <w:tcPr>
            <w:tcW w:w="1559" w:type="dxa"/>
            <w:tcBorders>
              <w:top w:val="single" w:sz="4" w:space="0" w:color="auto"/>
              <w:bottom w:val="single" w:sz="2" w:space="0" w:color="595959"/>
              <w:right w:val="single" w:sz="4" w:space="0" w:color="auto"/>
            </w:tcBorders>
            <w:shd w:val="clear" w:color="auto" w:fill="auto"/>
          </w:tcPr>
          <w:p w14:paraId="0577A425" w14:textId="77777777" w:rsidR="004C2C77" w:rsidRPr="0009445C" w:rsidRDefault="004C2C77" w:rsidP="004C2C77">
            <w:pPr>
              <w:spacing w:before="100" w:line="240" w:lineRule="auto"/>
              <w:ind w:left="113" w:right="113"/>
              <w:rPr>
                <w:szCs w:val="18"/>
              </w:rPr>
            </w:pPr>
          </w:p>
        </w:tc>
        <w:tc>
          <w:tcPr>
            <w:tcW w:w="1276" w:type="dxa"/>
            <w:tcBorders>
              <w:top w:val="single" w:sz="4" w:space="0" w:color="auto"/>
              <w:bottom w:val="single" w:sz="2" w:space="0" w:color="595959"/>
              <w:right w:val="single" w:sz="4" w:space="0" w:color="auto"/>
            </w:tcBorders>
            <w:shd w:val="clear" w:color="auto" w:fill="auto"/>
          </w:tcPr>
          <w:p w14:paraId="59E0E3B3" w14:textId="77777777" w:rsidR="004C2C77" w:rsidRPr="0009445C" w:rsidRDefault="004C2C77" w:rsidP="004C2C77">
            <w:pPr>
              <w:spacing w:before="100" w:line="240" w:lineRule="auto"/>
              <w:ind w:left="113" w:right="113"/>
              <w:rPr>
                <w:szCs w:val="18"/>
              </w:rPr>
            </w:pPr>
          </w:p>
        </w:tc>
        <w:tc>
          <w:tcPr>
            <w:tcW w:w="1134" w:type="dxa"/>
            <w:tcBorders>
              <w:top w:val="single" w:sz="4" w:space="0" w:color="auto"/>
              <w:bottom w:val="single" w:sz="2" w:space="0" w:color="595959"/>
              <w:right w:val="single" w:sz="4" w:space="0" w:color="auto"/>
            </w:tcBorders>
            <w:shd w:val="clear" w:color="auto" w:fill="auto"/>
          </w:tcPr>
          <w:p w14:paraId="238C3613" w14:textId="77777777" w:rsidR="004C2C77" w:rsidRPr="0009445C" w:rsidRDefault="004C2C77" w:rsidP="004C2C77">
            <w:pPr>
              <w:spacing w:before="100" w:line="240" w:lineRule="auto"/>
              <w:ind w:left="113" w:right="113"/>
              <w:rPr>
                <w:szCs w:val="18"/>
              </w:rPr>
            </w:pPr>
            <w:r w:rsidRPr="0009445C">
              <w:t>3</w:t>
            </w:r>
          </w:p>
        </w:tc>
        <w:tc>
          <w:tcPr>
            <w:tcW w:w="1137" w:type="dxa"/>
            <w:tcBorders>
              <w:top w:val="single" w:sz="4" w:space="0" w:color="auto"/>
              <w:bottom w:val="single" w:sz="2" w:space="0" w:color="595959"/>
              <w:right w:val="single" w:sz="4" w:space="0" w:color="auto"/>
            </w:tcBorders>
            <w:shd w:val="clear" w:color="auto" w:fill="auto"/>
          </w:tcPr>
          <w:p w14:paraId="55034DE5" w14:textId="77777777" w:rsidR="004C2C77" w:rsidRPr="0009445C" w:rsidRDefault="004C2C77" w:rsidP="004C2C77">
            <w:pPr>
              <w:spacing w:before="100" w:line="240" w:lineRule="auto"/>
              <w:ind w:left="113" w:right="113"/>
              <w:rPr>
                <w:szCs w:val="18"/>
              </w:rPr>
            </w:pPr>
          </w:p>
        </w:tc>
      </w:tr>
      <w:tr w:rsidR="004C2C77" w:rsidRPr="0009445C" w14:paraId="1CE43989" w14:textId="77777777" w:rsidTr="0028348C">
        <w:trPr>
          <w:gridAfter w:val="1"/>
          <w:wAfter w:w="14" w:type="dxa"/>
          <w:cantSplit/>
        </w:trPr>
        <w:tc>
          <w:tcPr>
            <w:tcW w:w="417" w:type="dxa"/>
            <w:vMerge/>
            <w:tcBorders>
              <w:left w:val="single" w:sz="4" w:space="0" w:color="auto"/>
              <w:bottom w:val="nil"/>
            </w:tcBorders>
            <w:shd w:val="clear" w:color="auto" w:fill="FFFFFF"/>
            <w:textDirection w:val="btLr"/>
          </w:tcPr>
          <w:p w14:paraId="1D598036" w14:textId="77777777" w:rsidR="004C2C77" w:rsidRPr="0009445C" w:rsidRDefault="004C2C77" w:rsidP="004C2C77">
            <w:pPr>
              <w:spacing w:before="100" w:line="240" w:lineRule="auto"/>
              <w:ind w:left="113" w:right="113"/>
              <w:rPr>
                <w:b/>
                <w:szCs w:val="18"/>
              </w:rPr>
            </w:pPr>
          </w:p>
        </w:tc>
        <w:tc>
          <w:tcPr>
            <w:tcW w:w="1856" w:type="dxa"/>
            <w:tcBorders>
              <w:top w:val="single" w:sz="2" w:space="0" w:color="595959"/>
              <w:bottom w:val="single" w:sz="4" w:space="0" w:color="auto"/>
              <w:right w:val="single" w:sz="4" w:space="0" w:color="auto"/>
            </w:tcBorders>
            <w:shd w:val="clear" w:color="auto" w:fill="auto"/>
          </w:tcPr>
          <w:p w14:paraId="0D9857AF" w14:textId="77777777" w:rsidR="004C2C77" w:rsidRPr="0009445C" w:rsidRDefault="004C2C77" w:rsidP="004C2C77">
            <w:pPr>
              <w:spacing w:before="100" w:line="240" w:lineRule="auto"/>
              <w:ind w:left="113" w:right="113"/>
              <w:rPr>
                <w:szCs w:val="18"/>
              </w:rPr>
            </w:pPr>
            <w:r w:rsidRPr="0009445C">
              <w:t>Hydrocarbons</w:t>
            </w:r>
          </w:p>
        </w:tc>
        <w:tc>
          <w:tcPr>
            <w:tcW w:w="1266" w:type="dxa"/>
            <w:tcBorders>
              <w:top w:val="single" w:sz="2" w:space="0" w:color="595959"/>
              <w:bottom w:val="single" w:sz="4" w:space="0" w:color="auto"/>
              <w:right w:val="single" w:sz="4" w:space="0" w:color="auto"/>
            </w:tcBorders>
            <w:shd w:val="clear" w:color="auto" w:fill="auto"/>
          </w:tcPr>
          <w:p w14:paraId="286893AA" w14:textId="77777777" w:rsidR="004C2C77" w:rsidRPr="0009445C" w:rsidRDefault="004C2C77" w:rsidP="004C2C77">
            <w:pPr>
              <w:spacing w:before="100" w:line="240" w:lineRule="auto"/>
              <w:ind w:left="113" w:right="113"/>
              <w:rPr>
                <w:szCs w:val="18"/>
              </w:rPr>
            </w:pPr>
            <w:r w:rsidRPr="0009445C">
              <w:t>[mg/kg]</w:t>
            </w:r>
          </w:p>
        </w:tc>
        <w:tc>
          <w:tcPr>
            <w:tcW w:w="1276" w:type="dxa"/>
            <w:tcBorders>
              <w:top w:val="single" w:sz="2" w:space="0" w:color="595959"/>
              <w:bottom w:val="single" w:sz="4" w:space="0" w:color="auto"/>
              <w:right w:val="single" w:sz="4" w:space="0" w:color="auto"/>
            </w:tcBorders>
            <w:shd w:val="clear" w:color="auto" w:fill="auto"/>
          </w:tcPr>
          <w:p w14:paraId="4EF5B859" w14:textId="77777777" w:rsidR="004C2C77" w:rsidRPr="0009445C" w:rsidRDefault="004C2C77" w:rsidP="004C2C77">
            <w:pPr>
              <w:spacing w:before="100" w:line="240" w:lineRule="auto"/>
              <w:ind w:left="113" w:right="113"/>
              <w:rPr>
                <w:szCs w:val="18"/>
              </w:rPr>
            </w:pPr>
          </w:p>
        </w:tc>
        <w:tc>
          <w:tcPr>
            <w:tcW w:w="1559" w:type="dxa"/>
            <w:tcBorders>
              <w:top w:val="single" w:sz="2" w:space="0" w:color="595959"/>
              <w:bottom w:val="single" w:sz="4" w:space="0" w:color="auto"/>
              <w:right w:val="single" w:sz="4" w:space="0" w:color="auto"/>
            </w:tcBorders>
            <w:shd w:val="clear" w:color="auto" w:fill="auto"/>
          </w:tcPr>
          <w:p w14:paraId="43AE1522" w14:textId="77777777" w:rsidR="004C2C77" w:rsidRPr="0009445C" w:rsidRDefault="004C2C77" w:rsidP="004C2C77">
            <w:pPr>
              <w:spacing w:before="100" w:line="240" w:lineRule="auto"/>
              <w:ind w:left="113" w:right="113"/>
              <w:rPr>
                <w:szCs w:val="18"/>
              </w:rPr>
            </w:pPr>
          </w:p>
        </w:tc>
        <w:tc>
          <w:tcPr>
            <w:tcW w:w="1276" w:type="dxa"/>
            <w:tcBorders>
              <w:top w:val="single" w:sz="2" w:space="0" w:color="595959"/>
              <w:bottom w:val="single" w:sz="4" w:space="0" w:color="auto"/>
              <w:right w:val="single" w:sz="4" w:space="0" w:color="auto"/>
            </w:tcBorders>
            <w:shd w:val="clear" w:color="auto" w:fill="auto"/>
          </w:tcPr>
          <w:p w14:paraId="086D9B49" w14:textId="77777777" w:rsidR="004C2C77" w:rsidRPr="0009445C" w:rsidRDefault="004C2C77" w:rsidP="004C2C77">
            <w:pPr>
              <w:spacing w:before="100" w:line="240" w:lineRule="auto"/>
              <w:ind w:left="113" w:right="113"/>
              <w:rPr>
                <w:szCs w:val="18"/>
              </w:rPr>
            </w:pPr>
          </w:p>
        </w:tc>
        <w:tc>
          <w:tcPr>
            <w:tcW w:w="1134" w:type="dxa"/>
            <w:tcBorders>
              <w:top w:val="single" w:sz="2" w:space="0" w:color="595959"/>
              <w:bottom w:val="single" w:sz="4" w:space="0" w:color="auto"/>
              <w:right w:val="single" w:sz="4" w:space="0" w:color="auto"/>
            </w:tcBorders>
            <w:shd w:val="clear" w:color="auto" w:fill="auto"/>
          </w:tcPr>
          <w:p w14:paraId="6FEB0281" w14:textId="77777777" w:rsidR="004C2C77" w:rsidRPr="0009445C" w:rsidRDefault="004C2C77" w:rsidP="004C2C77">
            <w:pPr>
              <w:spacing w:before="100" w:line="240" w:lineRule="auto"/>
              <w:ind w:left="113" w:right="113"/>
              <w:rPr>
                <w:szCs w:val="18"/>
              </w:rPr>
            </w:pPr>
            <w:r w:rsidRPr="0009445C">
              <w:t>1 000</w:t>
            </w:r>
          </w:p>
        </w:tc>
        <w:tc>
          <w:tcPr>
            <w:tcW w:w="1137" w:type="dxa"/>
            <w:tcBorders>
              <w:top w:val="single" w:sz="2" w:space="0" w:color="595959"/>
              <w:bottom w:val="single" w:sz="4" w:space="0" w:color="auto"/>
              <w:right w:val="single" w:sz="4" w:space="0" w:color="auto"/>
            </w:tcBorders>
            <w:shd w:val="clear" w:color="auto" w:fill="auto"/>
          </w:tcPr>
          <w:p w14:paraId="25CBF78A" w14:textId="77777777" w:rsidR="004C2C77" w:rsidRPr="0009445C" w:rsidRDefault="004C2C77" w:rsidP="004C2C77">
            <w:pPr>
              <w:spacing w:before="100" w:line="240" w:lineRule="auto"/>
              <w:ind w:left="113" w:right="113"/>
              <w:rPr>
                <w:szCs w:val="18"/>
              </w:rPr>
            </w:pPr>
          </w:p>
        </w:tc>
      </w:tr>
      <w:tr w:rsidR="004C2C77" w:rsidRPr="0009445C" w14:paraId="433DFB87" w14:textId="77777777" w:rsidTr="0028348C">
        <w:trPr>
          <w:gridAfter w:val="1"/>
          <w:wAfter w:w="14" w:type="dxa"/>
          <w:cantSplit/>
        </w:trPr>
        <w:tc>
          <w:tcPr>
            <w:tcW w:w="417" w:type="dxa"/>
            <w:vMerge/>
            <w:tcBorders>
              <w:left w:val="single" w:sz="4" w:space="0" w:color="auto"/>
              <w:bottom w:val="nil"/>
            </w:tcBorders>
            <w:shd w:val="clear" w:color="auto" w:fill="FFFFFF"/>
          </w:tcPr>
          <w:p w14:paraId="7A7FEC6C" w14:textId="77777777" w:rsidR="004C2C77" w:rsidRPr="0009445C" w:rsidRDefault="004C2C77" w:rsidP="004C2C77">
            <w:pPr>
              <w:spacing w:before="100" w:line="240" w:lineRule="auto"/>
              <w:ind w:left="113" w:right="113"/>
              <w:rPr>
                <w:szCs w:val="18"/>
              </w:rPr>
            </w:pPr>
          </w:p>
        </w:tc>
        <w:tc>
          <w:tcPr>
            <w:tcW w:w="1856" w:type="dxa"/>
            <w:tcBorders>
              <w:bottom w:val="single" w:sz="2" w:space="0" w:color="595959"/>
              <w:right w:val="single" w:sz="4" w:space="0" w:color="auto"/>
            </w:tcBorders>
            <w:shd w:val="clear" w:color="auto" w:fill="auto"/>
          </w:tcPr>
          <w:p w14:paraId="189DD928" w14:textId="77777777" w:rsidR="004C2C77" w:rsidRPr="0009445C" w:rsidRDefault="004C2C77" w:rsidP="004C2C77">
            <w:pPr>
              <w:spacing w:before="100" w:line="240" w:lineRule="auto"/>
              <w:ind w:left="113" w:right="113"/>
              <w:rPr>
                <w:szCs w:val="18"/>
              </w:rPr>
            </w:pPr>
            <w:r w:rsidRPr="0009445C">
              <w:t>PAH</w:t>
            </w:r>
            <w:r w:rsidRPr="0009445C">
              <w:rPr>
                <w:vertAlign w:val="subscript"/>
              </w:rPr>
              <w:t>16</w:t>
            </w:r>
          </w:p>
        </w:tc>
        <w:tc>
          <w:tcPr>
            <w:tcW w:w="1266" w:type="dxa"/>
            <w:tcBorders>
              <w:bottom w:val="single" w:sz="2" w:space="0" w:color="595959"/>
              <w:right w:val="single" w:sz="4" w:space="0" w:color="auto"/>
            </w:tcBorders>
            <w:shd w:val="clear" w:color="auto" w:fill="auto"/>
          </w:tcPr>
          <w:p w14:paraId="7AA098FD" w14:textId="77777777" w:rsidR="004C2C77" w:rsidRPr="0009445C" w:rsidRDefault="004C2C77" w:rsidP="004C2C77">
            <w:pPr>
              <w:spacing w:before="100" w:line="240" w:lineRule="auto"/>
              <w:ind w:left="113" w:right="113"/>
              <w:rPr>
                <w:szCs w:val="18"/>
              </w:rPr>
            </w:pPr>
            <w:r w:rsidRPr="0009445C">
              <w:t>[mg/kg]</w:t>
            </w:r>
          </w:p>
        </w:tc>
        <w:tc>
          <w:tcPr>
            <w:tcW w:w="1276" w:type="dxa"/>
            <w:tcBorders>
              <w:bottom w:val="single" w:sz="2" w:space="0" w:color="595959"/>
              <w:right w:val="single" w:sz="4" w:space="0" w:color="auto"/>
            </w:tcBorders>
            <w:shd w:val="clear" w:color="auto" w:fill="auto"/>
          </w:tcPr>
          <w:p w14:paraId="7E1A0A5B" w14:textId="77777777" w:rsidR="004C2C77" w:rsidRPr="0009445C" w:rsidRDefault="004C2C77" w:rsidP="004C2C77">
            <w:pPr>
              <w:spacing w:before="100" w:line="240" w:lineRule="auto"/>
              <w:ind w:left="113" w:right="113"/>
              <w:rPr>
                <w:szCs w:val="18"/>
              </w:rPr>
            </w:pPr>
          </w:p>
        </w:tc>
        <w:tc>
          <w:tcPr>
            <w:tcW w:w="1559" w:type="dxa"/>
            <w:tcBorders>
              <w:bottom w:val="single" w:sz="2" w:space="0" w:color="595959"/>
              <w:right w:val="single" w:sz="4" w:space="0" w:color="auto"/>
            </w:tcBorders>
            <w:shd w:val="clear" w:color="auto" w:fill="auto"/>
          </w:tcPr>
          <w:p w14:paraId="480C4D5A" w14:textId="77777777" w:rsidR="004C2C77" w:rsidRPr="0009445C" w:rsidRDefault="00FE15AB" w:rsidP="004C2C77">
            <w:pPr>
              <w:spacing w:before="100" w:line="240" w:lineRule="auto"/>
              <w:ind w:left="113" w:right="113"/>
              <w:rPr>
                <w:szCs w:val="18"/>
              </w:rPr>
            </w:pPr>
            <w:r w:rsidRPr="0009445C">
              <w:t>30</w:t>
            </w:r>
          </w:p>
        </w:tc>
        <w:tc>
          <w:tcPr>
            <w:tcW w:w="1276" w:type="dxa"/>
            <w:tcBorders>
              <w:bottom w:val="single" w:sz="2" w:space="0" w:color="595959"/>
              <w:right w:val="single" w:sz="4" w:space="0" w:color="auto"/>
            </w:tcBorders>
            <w:shd w:val="clear" w:color="auto" w:fill="auto"/>
          </w:tcPr>
          <w:p w14:paraId="1B005F1F" w14:textId="77777777" w:rsidR="004C2C77" w:rsidRPr="0009445C" w:rsidRDefault="004C2C77" w:rsidP="004C2C77">
            <w:pPr>
              <w:spacing w:before="100" w:line="240" w:lineRule="auto"/>
              <w:ind w:left="113" w:right="113"/>
              <w:rPr>
                <w:szCs w:val="18"/>
              </w:rPr>
            </w:pPr>
          </w:p>
        </w:tc>
        <w:tc>
          <w:tcPr>
            <w:tcW w:w="1134" w:type="dxa"/>
            <w:tcBorders>
              <w:bottom w:val="single" w:sz="2" w:space="0" w:color="595959"/>
              <w:right w:val="single" w:sz="4" w:space="0" w:color="auto"/>
            </w:tcBorders>
            <w:shd w:val="clear" w:color="auto" w:fill="auto"/>
          </w:tcPr>
          <w:p w14:paraId="784DF18A" w14:textId="77777777" w:rsidR="004C2C77" w:rsidRPr="0009445C" w:rsidRDefault="004C2C77" w:rsidP="004C2C77">
            <w:pPr>
              <w:spacing w:before="100" w:line="240" w:lineRule="auto"/>
              <w:ind w:left="113" w:right="113"/>
              <w:rPr>
                <w:szCs w:val="18"/>
              </w:rPr>
            </w:pPr>
            <w:r w:rsidRPr="0009445C">
              <w:t>20</w:t>
            </w:r>
          </w:p>
        </w:tc>
        <w:tc>
          <w:tcPr>
            <w:tcW w:w="1137" w:type="dxa"/>
            <w:tcBorders>
              <w:bottom w:val="single" w:sz="2" w:space="0" w:color="595959"/>
              <w:right w:val="single" w:sz="4" w:space="0" w:color="auto"/>
            </w:tcBorders>
            <w:shd w:val="clear" w:color="auto" w:fill="auto"/>
          </w:tcPr>
          <w:p w14:paraId="61382DB2" w14:textId="77777777" w:rsidR="004C2C77" w:rsidRPr="0009445C" w:rsidRDefault="004C2C77" w:rsidP="004C2C77">
            <w:pPr>
              <w:spacing w:before="100" w:line="240" w:lineRule="auto"/>
              <w:ind w:left="113" w:right="113"/>
              <w:rPr>
                <w:szCs w:val="18"/>
              </w:rPr>
            </w:pPr>
          </w:p>
        </w:tc>
      </w:tr>
      <w:tr w:rsidR="004C2C77" w:rsidRPr="0009445C" w14:paraId="05B7325D" w14:textId="77777777" w:rsidTr="0028348C">
        <w:trPr>
          <w:gridAfter w:val="1"/>
          <w:wAfter w:w="14" w:type="dxa"/>
          <w:cantSplit/>
        </w:trPr>
        <w:tc>
          <w:tcPr>
            <w:tcW w:w="417" w:type="dxa"/>
            <w:vMerge/>
            <w:tcBorders>
              <w:left w:val="single" w:sz="4" w:space="0" w:color="auto"/>
              <w:bottom w:val="nil"/>
            </w:tcBorders>
            <w:shd w:val="clear" w:color="auto" w:fill="FFFFFF"/>
          </w:tcPr>
          <w:p w14:paraId="3BE7392B" w14:textId="77777777" w:rsidR="004C2C77" w:rsidRPr="0009445C" w:rsidRDefault="004C2C77" w:rsidP="004C2C77">
            <w:pPr>
              <w:spacing w:before="100" w:line="240" w:lineRule="auto"/>
              <w:ind w:left="113" w:right="113"/>
              <w:rPr>
                <w:szCs w:val="18"/>
              </w:rPr>
            </w:pPr>
          </w:p>
        </w:tc>
        <w:tc>
          <w:tcPr>
            <w:tcW w:w="1856" w:type="dxa"/>
            <w:tcBorders>
              <w:top w:val="single" w:sz="2" w:space="0" w:color="595959"/>
              <w:bottom w:val="single" w:sz="2" w:space="0" w:color="595959"/>
              <w:right w:val="single" w:sz="4" w:space="0" w:color="auto"/>
            </w:tcBorders>
            <w:shd w:val="clear" w:color="auto" w:fill="auto"/>
          </w:tcPr>
          <w:p w14:paraId="3088F945" w14:textId="77777777" w:rsidR="004C2C77" w:rsidRPr="0009445C" w:rsidRDefault="004C2C77" w:rsidP="004C2C77">
            <w:pPr>
              <w:spacing w:before="100" w:line="240" w:lineRule="auto"/>
              <w:ind w:left="113" w:right="113"/>
              <w:rPr>
                <w:szCs w:val="18"/>
              </w:rPr>
            </w:pPr>
            <w:r w:rsidRPr="0009445C">
              <w:t>PCB</w:t>
            </w:r>
            <w:r w:rsidRPr="0009445C">
              <w:rPr>
                <w:vertAlign w:val="subscript"/>
              </w:rPr>
              <w:t>6</w:t>
            </w:r>
          </w:p>
        </w:tc>
        <w:tc>
          <w:tcPr>
            <w:tcW w:w="1266" w:type="dxa"/>
            <w:tcBorders>
              <w:top w:val="single" w:sz="2" w:space="0" w:color="595959"/>
              <w:bottom w:val="single" w:sz="2" w:space="0" w:color="595959"/>
              <w:right w:val="single" w:sz="4" w:space="0" w:color="auto"/>
            </w:tcBorders>
            <w:shd w:val="clear" w:color="auto" w:fill="auto"/>
          </w:tcPr>
          <w:p w14:paraId="11CF8CF5" w14:textId="77777777" w:rsidR="004C2C77" w:rsidRPr="0009445C" w:rsidRDefault="004C2C77" w:rsidP="004C2C77">
            <w:pPr>
              <w:spacing w:before="100" w:line="240" w:lineRule="auto"/>
              <w:ind w:left="113" w:right="113"/>
              <w:rPr>
                <w:szCs w:val="18"/>
              </w:rPr>
            </w:pPr>
            <w:r w:rsidRPr="0009445C">
              <w:t>[mg/kg]</w:t>
            </w:r>
          </w:p>
        </w:tc>
        <w:tc>
          <w:tcPr>
            <w:tcW w:w="1276" w:type="dxa"/>
            <w:tcBorders>
              <w:top w:val="single" w:sz="2" w:space="0" w:color="595959"/>
              <w:bottom w:val="single" w:sz="2" w:space="0" w:color="595959"/>
              <w:right w:val="single" w:sz="4" w:space="0" w:color="auto"/>
            </w:tcBorders>
            <w:shd w:val="clear" w:color="auto" w:fill="auto"/>
          </w:tcPr>
          <w:p w14:paraId="625F5204" w14:textId="77777777" w:rsidR="004C2C77" w:rsidRPr="0009445C" w:rsidRDefault="004C2C77" w:rsidP="004C2C77">
            <w:pPr>
              <w:spacing w:before="100" w:line="240" w:lineRule="auto"/>
              <w:ind w:left="113" w:right="113"/>
              <w:rPr>
                <w:szCs w:val="18"/>
              </w:rPr>
            </w:pPr>
          </w:p>
        </w:tc>
        <w:tc>
          <w:tcPr>
            <w:tcW w:w="1559" w:type="dxa"/>
            <w:tcBorders>
              <w:top w:val="single" w:sz="2" w:space="0" w:color="595959"/>
              <w:bottom w:val="single" w:sz="2" w:space="0" w:color="595959"/>
              <w:right w:val="single" w:sz="4" w:space="0" w:color="auto"/>
            </w:tcBorders>
            <w:shd w:val="clear" w:color="auto" w:fill="auto"/>
          </w:tcPr>
          <w:p w14:paraId="7DDA5A70" w14:textId="77777777" w:rsidR="004C2C77" w:rsidRPr="0009445C" w:rsidRDefault="004C2C77" w:rsidP="004C2C77">
            <w:pPr>
              <w:spacing w:before="100" w:line="240" w:lineRule="auto"/>
              <w:ind w:left="113" w:right="113"/>
              <w:rPr>
                <w:szCs w:val="18"/>
              </w:rPr>
            </w:pPr>
            <w:r w:rsidRPr="0009445C">
              <w:t>0.5</w:t>
            </w:r>
          </w:p>
        </w:tc>
        <w:tc>
          <w:tcPr>
            <w:tcW w:w="1276" w:type="dxa"/>
            <w:tcBorders>
              <w:top w:val="single" w:sz="2" w:space="0" w:color="595959"/>
              <w:bottom w:val="single" w:sz="2" w:space="0" w:color="595959"/>
              <w:right w:val="single" w:sz="4" w:space="0" w:color="auto"/>
            </w:tcBorders>
            <w:shd w:val="clear" w:color="auto" w:fill="auto"/>
          </w:tcPr>
          <w:p w14:paraId="3CCC659C" w14:textId="77777777" w:rsidR="004C2C77" w:rsidRPr="0009445C" w:rsidRDefault="004C2C77" w:rsidP="004C2C77">
            <w:pPr>
              <w:spacing w:before="100" w:line="240" w:lineRule="auto"/>
              <w:ind w:left="113" w:right="113"/>
              <w:rPr>
                <w:szCs w:val="18"/>
              </w:rPr>
            </w:pPr>
          </w:p>
        </w:tc>
        <w:tc>
          <w:tcPr>
            <w:tcW w:w="1134" w:type="dxa"/>
            <w:tcBorders>
              <w:top w:val="single" w:sz="2" w:space="0" w:color="595959"/>
              <w:bottom w:val="single" w:sz="2" w:space="0" w:color="595959"/>
              <w:right w:val="single" w:sz="4" w:space="0" w:color="auto"/>
            </w:tcBorders>
            <w:shd w:val="clear" w:color="auto" w:fill="auto"/>
          </w:tcPr>
          <w:p w14:paraId="0862F34F" w14:textId="77777777" w:rsidR="004C2C77" w:rsidRPr="0009445C" w:rsidRDefault="004C2C77" w:rsidP="004C2C77">
            <w:pPr>
              <w:spacing w:before="100" w:line="240" w:lineRule="auto"/>
              <w:ind w:left="113" w:right="113"/>
              <w:rPr>
                <w:szCs w:val="18"/>
              </w:rPr>
            </w:pPr>
          </w:p>
        </w:tc>
        <w:tc>
          <w:tcPr>
            <w:tcW w:w="1137" w:type="dxa"/>
            <w:tcBorders>
              <w:top w:val="single" w:sz="2" w:space="0" w:color="595959"/>
              <w:bottom w:val="single" w:sz="2" w:space="0" w:color="595959"/>
              <w:right w:val="single" w:sz="4" w:space="0" w:color="auto"/>
            </w:tcBorders>
            <w:shd w:val="clear" w:color="auto" w:fill="auto"/>
          </w:tcPr>
          <w:p w14:paraId="571CC4D0" w14:textId="77777777" w:rsidR="004C2C77" w:rsidRPr="0009445C" w:rsidRDefault="004C2C77" w:rsidP="004C2C77">
            <w:pPr>
              <w:spacing w:before="100" w:line="240" w:lineRule="auto"/>
              <w:ind w:left="113" w:right="113"/>
              <w:rPr>
                <w:szCs w:val="18"/>
              </w:rPr>
            </w:pPr>
          </w:p>
        </w:tc>
      </w:tr>
      <w:tr w:rsidR="00FE15AB" w:rsidRPr="0009445C" w14:paraId="1C6EF518" w14:textId="77777777" w:rsidTr="0028348C">
        <w:trPr>
          <w:gridAfter w:val="1"/>
          <w:wAfter w:w="14" w:type="dxa"/>
          <w:cantSplit/>
        </w:trPr>
        <w:tc>
          <w:tcPr>
            <w:tcW w:w="417" w:type="dxa"/>
            <w:vMerge/>
            <w:tcBorders>
              <w:left w:val="single" w:sz="4" w:space="0" w:color="auto"/>
              <w:bottom w:val="nil"/>
            </w:tcBorders>
            <w:shd w:val="clear" w:color="auto" w:fill="FFFFFF"/>
          </w:tcPr>
          <w:p w14:paraId="6013C23F" w14:textId="77777777" w:rsidR="00FE15AB" w:rsidRPr="0009445C" w:rsidRDefault="00FE15AB" w:rsidP="004C2C77">
            <w:pPr>
              <w:spacing w:before="100" w:line="240" w:lineRule="auto"/>
              <w:ind w:left="113" w:right="113"/>
              <w:rPr>
                <w:szCs w:val="18"/>
              </w:rPr>
            </w:pPr>
          </w:p>
        </w:tc>
        <w:tc>
          <w:tcPr>
            <w:tcW w:w="1856" w:type="dxa"/>
            <w:tcBorders>
              <w:top w:val="single" w:sz="2" w:space="0" w:color="595959"/>
              <w:bottom w:val="single" w:sz="2" w:space="0" w:color="595959"/>
              <w:right w:val="single" w:sz="4" w:space="0" w:color="auto"/>
            </w:tcBorders>
            <w:shd w:val="clear" w:color="auto" w:fill="auto"/>
          </w:tcPr>
          <w:p w14:paraId="710FC805" w14:textId="77777777" w:rsidR="00FE15AB" w:rsidRPr="0009445C" w:rsidRDefault="00FE15AB" w:rsidP="004C2C77">
            <w:pPr>
              <w:spacing w:before="100" w:line="240" w:lineRule="auto"/>
              <w:ind w:left="113" w:right="113"/>
              <w:rPr>
                <w:szCs w:val="18"/>
              </w:rPr>
            </w:pPr>
            <w:r w:rsidRPr="0009445C">
              <w:t>PCDD/PCDF</w:t>
            </w:r>
          </w:p>
        </w:tc>
        <w:tc>
          <w:tcPr>
            <w:tcW w:w="1266" w:type="dxa"/>
            <w:tcBorders>
              <w:top w:val="single" w:sz="2" w:space="0" w:color="595959"/>
              <w:bottom w:val="single" w:sz="2" w:space="0" w:color="595959"/>
              <w:right w:val="single" w:sz="4" w:space="0" w:color="auto"/>
            </w:tcBorders>
            <w:shd w:val="clear" w:color="auto" w:fill="auto"/>
          </w:tcPr>
          <w:p w14:paraId="05795F8E" w14:textId="77777777" w:rsidR="00FE15AB" w:rsidRPr="0009445C" w:rsidRDefault="00FE15AB" w:rsidP="004C2C77">
            <w:pPr>
              <w:spacing w:before="100" w:line="240" w:lineRule="auto"/>
              <w:ind w:left="113" w:right="113"/>
              <w:rPr>
                <w:szCs w:val="18"/>
              </w:rPr>
            </w:pPr>
            <w:r w:rsidRPr="0009445C">
              <w:t>ng TEQ/kg****</w:t>
            </w:r>
          </w:p>
        </w:tc>
        <w:tc>
          <w:tcPr>
            <w:tcW w:w="1276" w:type="dxa"/>
            <w:tcBorders>
              <w:top w:val="single" w:sz="2" w:space="0" w:color="595959"/>
              <w:bottom w:val="single" w:sz="2" w:space="0" w:color="595959"/>
              <w:right w:val="single" w:sz="4" w:space="0" w:color="auto"/>
            </w:tcBorders>
            <w:shd w:val="clear" w:color="auto" w:fill="auto"/>
          </w:tcPr>
          <w:p w14:paraId="1C538841" w14:textId="77777777" w:rsidR="00FE15AB" w:rsidRPr="0009445C" w:rsidRDefault="00FE15AB" w:rsidP="004C2C77">
            <w:pPr>
              <w:spacing w:before="100" w:line="240" w:lineRule="auto"/>
              <w:ind w:left="113" w:right="113"/>
              <w:rPr>
                <w:szCs w:val="18"/>
              </w:rPr>
            </w:pPr>
          </w:p>
        </w:tc>
        <w:tc>
          <w:tcPr>
            <w:tcW w:w="1559" w:type="dxa"/>
            <w:tcBorders>
              <w:top w:val="single" w:sz="2" w:space="0" w:color="595959"/>
              <w:bottom w:val="single" w:sz="2" w:space="0" w:color="595959"/>
              <w:right w:val="single" w:sz="4" w:space="0" w:color="auto"/>
            </w:tcBorders>
            <w:shd w:val="clear" w:color="auto" w:fill="auto"/>
          </w:tcPr>
          <w:p w14:paraId="4B9EEBE5" w14:textId="77777777" w:rsidR="00FE15AB" w:rsidRPr="0009445C" w:rsidRDefault="00FE15AB" w:rsidP="004C2C77">
            <w:pPr>
              <w:spacing w:before="100" w:line="240" w:lineRule="auto"/>
              <w:ind w:left="113" w:right="113"/>
              <w:rPr>
                <w:szCs w:val="18"/>
              </w:rPr>
            </w:pPr>
            <w:r w:rsidRPr="0009445C">
              <w:t>100</w:t>
            </w:r>
          </w:p>
        </w:tc>
        <w:tc>
          <w:tcPr>
            <w:tcW w:w="1276" w:type="dxa"/>
            <w:tcBorders>
              <w:top w:val="single" w:sz="2" w:space="0" w:color="595959"/>
              <w:bottom w:val="single" w:sz="2" w:space="0" w:color="595959"/>
              <w:right w:val="single" w:sz="4" w:space="0" w:color="auto"/>
            </w:tcBorders>
            <w:shd w:val="clear" w:color="auto" w:fill="auto"/>
          </w:tcPr>
          <w:p w14:paraId="2ACC9891" w14:textId="77777777" w:rsidR="00FE15AB" w:rsidRPr="0009445C" w:rsidRDefault="00FE15AB" w:rsidP="004C2C77">
            <w:pPr>
              <w:spacing w:before="100" w:line="240" w:lineRule="auto"/>
              <w:ind w:left="113" w:right="113"/>
              <w:rPr>
                <w:szCs w:val="18"/>
              </w:rPr>
            </w:pPr>
          </w:p>
        </w:tc>
        <w:tc>
          <w:tcPr>
            <w:tcW w:w="1134" w:type="dxa"/>
            <w:tcBorders>
              <w:top w:val="single" w:sz="2" w:space="0" w:color="595959"/>
              <w:bottom w:val="single" w:sz="2" w:space="0" w:color="595959"/>
              <w:right w:val="single" w:sz="4" w:space="0" w:color="auto"/>
            </w:tcBorders>
            <w:shd w:val="clear" w:color="auto" w:fill="auto"/>
          </w:tcPr>
          <w:p w14:paraId="0605CD7E" w14:textId="77777777" w:rsidR="00FE15AB" w:rsidRPr="0009445C" w:rsidRDefault="00FE15AB" w:rsidP="004C2C77">
            <w:pPr>
              <w:spacing w:before="100" w:line="240" w:lineRule="auto"/>
              <w:ind w:left="113" w:right="113"/>
              <w:rPr>
                <w:szCs w:val="18"/>
              </w:rPr>
            </w:pPr>
          </w:p>
        </w:tc>
        <w:tc>
          <w:tcPr>
            <w:tcW w:w="1137" w:type="dxa"/>
            <w:tcBorders>
              <w:top w:val="single" w:sz="2" w:space="0" w:color="595959"/>
              <w:bottom w:val="single" w:sz="2" w:space="0" w:color="595959"/>
              <w:right w:val="single" w:sz="4" w:space="0" w:color="auto"/>
            </w:tcBorders>
            <w:shd w:val="clear" w:color="auto" w:fill="auto"/>
          </w:tcPr>
          <w:p w14:paraId="27A913F2" w14:textId="77777777" w:rsidR="00FE15AB" w:rsidRPr="0009445C" w:rsidRDefault="00FE15AB" w:rsidP="004C2C77">
            <w:pPr>
              <w:spacing w:before="100" w:line="240" w:lineRule="auto"/>
              <w:ind w:left="113" w:right="113"/>
              <w:rPr>
                <w:szCs w:val="18"/>
              </w:rPr>
            </w:pPr>
          </w:p>
        </w:tc>
      </w:tr>
      <w:tr w:rsidR="00AA3064" w:rsidRPr="0009445C" w14:paraId="72C22F7F" w14:textId="77777777" w:rsidTr="0028348C">
        <w:trPr>
          <w:gridAfter w:val="8"/>
          <w:wAfter w:w="9518" w:type="dxa"/>
          <w:cantSplit/>
          <w:trHeight w:val="307"/>
        </w:trPr>
        <w:tc>
          <w:tcPr>
            <w:tcW w:w="417" w:type="dxa"/>
            <w:vMerge/>
            <w:tcBorders>
              <w:left w:val="single" w:sz="4" w:space="0" w:color="auto"/>
              <w:bottom w:val="nil"/>
            </w:tcBorders>
            <w:shd w:val="clear" w:color="auto" w:fill="FFFFFF"/>
          </w:tcPr>
          <w:p w14:paraId="67BD6CD0" w14:textId="77777777" w:rsidR="00AA3064" w:rsidRPr="0009445C" w:rsidRDefault="00AA3064" w:rsidP="004C2C77">
            <w:pPr>
              <w:spacing w:before="100" w:line="240" w:lineRule="auto"/>
              <w:ind w:left="113" w:right="113"/>
              <w:rPr>
                <w:szCs w:val="18"/>
              </w:rPr>
            </w:pPr>
          </w:p>
        </w:tc>
      </w:tr>
      <w:tr w:rsidR="004C2C77" w:rsidRPr="0009445C" w14:paraId="16FE45B4" w14:textId="77777777" w:rsidTr="0028348C">
        <w:trPr>
          <w:cantSplit/>
        </w:trPr>
        <w:tc>
          <w:tcPr>
            <w:tcW w:w="9935" w:type="dxa"/>
            <w:gridSpan w:val="9"/>
            <w:tcBorders>
              <w:left w:val="single" w:sz="4" w:space="0" w:color="auto"/>
              <w:bottom w:val="single" w:sz="2" w:space="0" w:color="595959"/>
              <w:right w:val="single" w:sz="4" w:space="0" w:color="auto"/>
            </w:tcBorders>
            <w:shd w:val="clear" w:color="auto" w:fill="FFFFFF"/>
          </w:tcPr>
          <w:p w14:paraId="1EA5107A" w14:textId="77777777" w:rsidR="004C2C77" w:rsidRPr="0009445C" w:rsidRDefault="004C2C77" w:rsidP="004C2C77">
            <w:pPr>
              <w:pStyle w:val="BRL-Funote"/>
              <w:spacing w:before="100" w:after="120"/>
              <w:ind w:right="113" w:hanging="278"/>
            </w:pPr>
            <w:r w:rsidRPr="0009445C">
              <w:lastRenderedPageBreak/>
              <w:t>*</w:t>
            </w:r>
            <w:r w:rsidRPr="0009445C">
              <w:tab/>
              <w:t>Only petroleum co-fuels or municipal sewage sludge (with waste key 19 08 05 in accordance with the Regulation on the European Waste List) may be used.</w:t>
            </w:r>
          </w:p>
          <w:p w14:paraId="3D75DD2E" w14:textId="1BCEA5F2" w:rsidR="004C2C77" w:rsidRPr="0009445C" w:rsidRDefault="004C2C77" w:rsidP="004C2C77">
            <w:pPr>
              <w:pStyle w:val="BRL-Funote"/>
              <w:spacing w:before="100" w:after="120"/>
              <w:ind w:right="113" w:hanging="278"/>
            </w:pPr>
            <w:r w:rsidRPr="0009445C">
              <w:t>**</w:t>
            </w:r>
            <w:r w:rsidRPr="0009445C">
              <w:tab/>
              <w:t>The pH value and conductivity data are orientation values. In case of deviations from the material-specific reference value, the cause shall be checked.</w:t>
            </w:r>
          </w:p>
          <w:p w14:paraId="6DB304C6" w14:textId="77777777" w:rsidR="00FE15AB" w:rsidRPr="0009445C" w:rsidRDefault="00FE15AB" w:rsidP="004C2C77">
            <w:pPr>
              <w:pStyle w:val="BRL-Funote"/>
              <w:spacing w:before="100" w:after="120"/>
              <w:ind w:right="113" w:hanging="278"/>
            </w:pPr>
            <w:r w:rsidRPr="0009445C">
              <w:t>***</w:t>
            </w:r>
            <w:r w:rsidRPr="0009445C">
              <w:tab/>
              <w:t>Subjected to the existence of a European test standard.</w:t>
            </w:r>
          </w:p>
          <w:p w14:paraId="07CB22AF" w14:textId="6B0A2325" w:rsidR="00FE15AB" w:rsidRPr="0009445C" w:rsidDel="003A468A" w:rsidRDefault="00FE15AB" w:rsidP="004C2C77">
            <w:pPr>
              <w:pStyle w:val="BRL-Funote"/>
              <w:spacing w:before="100" w:after="120"/>
              <w:ind w:right="113" w:hanging="278"/>
            </w:pPr>
            <w:r w:rsidRPr="0009445C">
              <w:t>****</w:t>
            </w:r>
            <w:r w:rsidR="009F3BF6">
              <w:tab/>
            </w:r>
            <w:r w:rsidRPr="0009445C">
              <w:t>TEQ = WHO-TEF toxicity equivalent.</w:t>
            </w:r>
          </w:p>
        </w:tc>
      </w:tr>
    </w:tbl>
    <w:p w14:paraId="33C4D1B9" w14:textId="77777777" w:rsidR="004C2C77" w:rsidRPr="0009445C" w:rsidRDefault="004C2C77" w:rsidP="004C2C77"/>
    <w:p w14:paraId="20AE7D0D" w14:textId="77777777" w:rsidR="004C2C77" w:rsidRPr="0009445C" w:rsidRDefault="004C2C77" w:rsidP="004C2C77">
      <w:pPr>
        <w:spacing w:line="240" w:lineRule="auto"/>
        <w:rPr>
          <w:b/>
          <w:szCs w:val="22"/>
        </w:rPr>
      </w:pPr>
      <w:r w:rsidRPr="0009445C">
        <w:br w:type="page"/>
      </w:r>
    </w:p>
    <w:p w14:paraId="61002334" w14:textId="77777777" w:rsidR="004C2C77" w:rsidRPr="0009445C" w:rsidRDefault="004C2C77" w:rsidP="004C2C77">
      <w:pPr>
        <w:pStyle w:val="BRLTabelleberschrift"/>
        <w:spacing w:before="0" w:after="120"/>
      </w:pPr>
      <w:r w:rsidRPr="0009445C">
        <w:lastRenderedPageBreak/>
        <w:t>Table A-4:</w:t>
      </w:r>
      <w:r w:rsidRPr="0009445C">
        <w:tab/>
        <w:t>Upper limits for the solids content of silicon-rich fly ash for use in concrete</w:t>
      </w:r>
    </w:p>
    <w:tbl>
      <w:tblPr>
        <w:tblW w:w="9077" w:type="dxa"/>
        <w:tblBorders>
          <w:insideH w:val="single" w:sz="2" w:space="0" w:color="595959"/>
          <w:insideV w:val="single" w:sz="2" w:space="0" w:color="595959"/>
        </w:tblBorders>
        <w:tblLayout w:type="fixed"/>
        <w:tblCellMar>
          <w:left w:w="0" w:type="dxa"/>
          <w:right w:w="0" w:type="dxa"/>
        </w:tblCellMar>
        <w:tblLook w:val="04A0" w:firstRow="1" w:lastRow="0" w:firstColumn="1" w:lastColumn="0" w:noHBand="0" w:noVBand="1"/>
      </w:tblPr>
      <w:tblGrid>
        <w:gridCol w:w="417"/>
        <w:gridCol w:w="2565"/>
        <w:gridCol w:w="3119"/>
        <w:gridCol w:w="2976"/>
      </w:tblGrid>
      <w:tr w:rsidR="004C2C77" w:rsidRPr="0009445C" w14:paraId="7FE5433C" w14:textId="77777777" w:rsidTr="004C2C77">
        <w:trPr>
          <w:cantSplit/>
        </w:trPr>
        <w:tc>
          <w:tcPr>
            <w:tcW w:w="417" w:type="dxa"/>
            <w:tcBorders>
              <w:top w:val="single" w:sz="4" w:space="0" w:color="auto"/>
              <w:left w:val="single" w:sz="4" w:space="0" w:color="auto"/>
              <w:bottom w:val="single" w:sz="2" w:space="0" w:color="595959"/>
              <w:right w:val="single" w:sz="2" w:space="0" w:color="595959"/>
              <w:tl2br w:val="nil"/>
              <w:tr2bl w:val="nil"/>
            </w:tcBorders>
            <w:shd w:val="clear" w:color="auto" w:fill="FFFFFF"/>
          </w:tcPr>
          <w:p w14:paraId="5D5366AB" w14:textId="77777777" w:rsidR="004C2C77" w:rsidRPr="0009445C" w:rsidRDefault="004C2C77" w:rsidP="004C2C77">
            <w:pPr>
              <w:spacing w:before="100" w:line="240" w:lineRule="auto"/>
              <w:ind w:left="113" w:right="113"/>
              <w:rPr>
                <w:b/>
                <w:color w:val="000000"/>
                <w:szCs w:val="18"/>
              </w:rPr>
            </w:pPr>
          </w:p>
        </w:tc>
        <w:tc>
          <w:tcPr>
            <w:tcW w:w="2565"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639693B9" w14:textId="77777777" w:rsidR="004C2C77" w:rsidRPr="0009445C" w:rsidRDefault="004C2C77" w:rsidP="004C2C77">
            <w:pPr>
              <w:spacing w:before="60" w:after="40" w:line="240" w:lineRule="auto"/>
              <w:ind w:left="113" w:right="113"/>
              <w:rPr>
                <w:b/>
                <w:color w:val="000000"/>
                <w:szCs w:val="18"/>
              </w:rPr>
            </w:pPr>
            <w:r w:rsidRPr="0009445C">
              <w:rPr>
                <w:b/>
                <w:color w:val="000000"/>
              </w:rPr>
              <w:t>Parameter</w:t>
            </w:r>
          </w:p>
        </w:tc>
        <w:tc>
          <w:tcPr>
            <w:tcW w:w="3119"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22AE05BD" w14:textId="77777777" w:rsidR="004C2C77" w:rsidRPr="0009445C" w:rsidRDefault="004C2C77" w:rsidP="004C2C77">
            <w:pPr>
              <w:spacing w:before="60" w:after="40" w:line="240" w:lineRule="auto"/>
              <w:ind w:left="113" w:right="113"/>
              <w:rPr>
                <w:b/>
                <w:color w:val="000000"/>
                <w:szCs w:val="18"/>
              </w:rPr>
            </w:pPr>
            <w:r w:rsidRPr="0009445C">
              <w:rPr>
                <w:b/>
                <w:color w:val="000000"/>
              </w:rPr>
              <w:t>Dimension</w:t>
            </w:r>
          </w:p>
        </w:tc>
        <w:tc>
          <w:tcPr>
            <w:tcW w:w="2976" w:type="dxa"/>
            <w:tcBorders>
              <w:top w:val="single" w:sz="4" w:space="0" w:color="auto"/>
              <w:left w:val="single" w:sz="2" w:space="0" w:color="595959"/>
              <w:bottom w:val="single" w:sz="2" w:space="0" w:color="595959"/>
              <w:right w:val="single" w:sz="4" w:space="0" w:color="auto"/>
              <w:tl2br w:val="nil"/>
              <w:tr2bl w:val="nil"/>
            </w:tcBorders>
            <w:shd w:val="clear" w:color="auto" w:fill="FFFFFF"/>
          </w:tcPr>
          <w:p w14:paraId="091EDBDC" w14:textId="77777777" w:rsidR="004C2C77" w:rsidRPr="0009445C" w:rsidRDefault="004C2C77" w:rsidP="004C2C77">
            <w:pPr>
              <w:spacing w:before="60" w:after="40" w:line="240" w:lineRule="auto"/>
              <w:ind w:left="113" w:right="113"/>
              <w:rPr>
                <w:b/>
                <w:color w:val="000000"/>
                <w:szCs w:val="18"/>
              </w:rPr>
            </w:pPr>
            <w:r w:rsidRPr="0009445C">
              <w:rPr>
                <w:b/>
                <w:color w:val="000000"/>
              </w:rPr>
              <w:t>Upper limit</w:t>
            </w:r>
          </w:p>
        </w:tc>
      </w:tr>
      <w:tr w:rsidR="004C2C77" w:rsidRPr="0009445C" w14:paraId="11ECC466" w14:textId="77777777" w:rsidTr="004C2C77">
        <w:trPr>
          <w:cantSplit/>
          <w:trHeight w:val="340"/>
        </w:trPr>
        <w:tc>
          <w:tcPr>
            <w:tcW w:w="417" w:type="dxa"/>
            <w:vMerge w:val="restart"/>
            <w:tcBorders>
              <w:top w:val="single" w:sz="2" w:space="0" w:color="595959"/>
              <w:left w:val="single" w:sz="4" w:space="0" w:color="auto"/>
              <w:bottom w:val="single" w:sz="4" w:space="0" w:color="auto"/>
            </w:tcBorders>
            <w:shd w:val="clear" w:color="auto" w:fill="FFFFFF"/>
            <w:textDirection w:val="btLr"/>
          </w:tcPr>
          <w:p w14:paraId="19515D78" w14:textId="77777777" w:rsidR="004C2C77" w:rsidRPr="0009445C" w:rsidRDefault="004C2C77" w:rsidP="004C2C77">
            <w:pPr>
              <w:spacing w:before="100" w:line="240" w:lineRule="auto"/>
              <w:ind w:left="113" w:right="113"/>
              <w:rPr>
                <w:szCs w:val="18"/>
              </w:rPr>
            </w:pPr>
            <w:r w:rsidRPr="0009445C">
              <w:rPr>
                <w:b/>
              </w:rPr>
              <w:t>Solid content</w:t>
            </w:r>
          </w:p>
        </w:tc>
        <w:tc>
          <w:tcPr>
            <w:tcW w:w="2565" w:type="dxa"/>
            <w:tcBorders>
              <w:bottom w:val="single" w:sz="2" w:space="0" w:color="595959"/>
              <w:right w:val="single" w:sz="4" w:space="0" w:color="auto"/>
            </w:tcBorders>
            <w:shd w:val="clear" w:color="auto" w:fill="auto"/>
          </w:tcPr>
          <w:p w14:paraId="617B840E" w14:textId="77777777" w:rsidR="004C2C77" w:rsidRPr="0009445C" w:rsidRDefault="004C2C77" w:rsidP="004C2C77">
            <w:pPr>
              <w:spacing w:before="60" w:after="40" w:line="240" w:lineRule="auto"/>
              <w:ind w:left="113" w:right="113"/>
              <w:rPr>
                <w:szCs w:val="18"/>
              </w:rPr>
            </w:pPr>
            <w:r w:rsidRPr="0009445C">
              <w:t>Arsenic (As)</w:t>
            </w:r>
          </w:p>
        </w:tc>
        <w:tc>
          <w:tcPr>
            <w:tcW w:w="3119" w:type="dxa"/>
            <w:tcBorders>
              <w:bottom w:val="single" w:sz="2" w:space="0" w:color="595959"/>
              <w:right w:val="single" w:sz="4" w:space="0" w:color="auto"/>
            </w:tcBorders>
            <w:shd w:val="clear" w:color="auto" w:fill="auto"/>
          </w:tcPr>
          <w:p w14:paraId="5A860784"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62DB4B83" w14:textId="77777777" w:rsidR="004C2C77" w:rsidRPr="0009445C" w:rsidRDefault="004C2C77" w:rsidP="004C2C77">
            <w:pPr>
              <w:spacing w:before="60" w:after="40" w:line="240" w:lineRule="auto"/>
              <w:ind w:left="113" w:right="113"/>
              <w:rPr>
                <w:szCs w:val="18"/>
              </w:rPr>
            </w:pPr>
            <w:r w:rsidRPr="0009445C">
              <w:t>150</w:t>
            </w:r>
          </w:p>
        </w:tc>
      </w:tr>
      <w:tr w:rsidR="004C2C77" w:rsidRPr="0009445C" w14:paraId="10521767"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43372E6F"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36FD26B3" w14:textId="77777777" w:rsidR="004C2C77" w:rsidRPr="0009445C" w:rsidRDefault="004C2C77" w:rsidP="004C2C77">
            <w:pPr>
              <w:spacing w:before="60" w:after="40" w:line="240" w:lineRule="auto"/>
              <w:ind w:left="113" w:right="113"/>
              <w:rPr>
                <w:szCs w:val="18"/>
              </w:rPr>
            </w:pPr>
            <w:r w:rsidRPr="0009445C">
              <w:t>Lead (Pb)</w:t>
            </w:r>
          </w:p>
        </w:tc>
        <w:tc>
          <w:tcPr>
            <w:tcW w:w="3119" w:type="dxa"/>
            <w:tcBorders>
              <w:bottom w:val="single" w:sz="2" w:space="0" w:color="595959"/>
              <w:right w:val="single" w:sz="4" w:space="0" w:color="auto"/>
            </w:tcBorders>
            <w:shd w:val="clear" w:color="auto" w:fill="auto"/>
          </w:tcPr>
          <w:p w14:paraId="28C27AB8"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47EAA894" w14:textId="77777777" w:rsidR="004C2C77" w:rsidRPr="0009445C" w:rsidRDefault="004C2C77" w:rsidP="004C2C77">
            <w:pPr>
              <w:spacing w:before="60" w:after="40" w:line="240" w:lineRule="auto"/>
              <w:ind w:left="113" w:right="113"/>
              <w:rPr>
                <w:szCs w:val="18"/>
              </w:rPr>
            </w:pPr>
            <w:r w:rsidRPr="0009445C">
              <w:t>700</w:t>
            </w:r>
          </w:p>
        </w:tc>
      </w:tr>
      <w:tr w:rsidR="004C2C77" w:rsidRPr="0009445C" w14:paraId="1CAF69C6"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38587188"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34084134" w14:textId="77777777" w:rsidR="004C2C77" w:rsidRPr="0009445C" w:rsidRDefault="004C2C77" w:rsidP="004C2C77">
            <w:pPr>
              <w:spacing w:before="60" w:after="40" w:line="240" w:lineRule="auto"/>
              <w:ind w:left="113" w:right="113"/>
              <w:rPr>
                <w:szCs w:val="18"/>
              </w:rPr>
            </w:pPr>
            <w:r w:rsidRPr="0009445C">
              <w:t>Cadmium (Cd)</w:t>
            </w:r>
          </w:p>
        </w:tc>
        <w:tc>
          <w:tcPr>
            <w:tcW w:w="3119" w:type="dxa"/>
            <w:tcBorders>
              <w:bottom w:val="single" w:sz="2" w:space="0" w:color="595959"/>
              <w:right w:val="single" w:sz="4" w:space="0" w:color="auto"/>
            </w:tcBorders>
            <w:shd w:val="clear" w:color="auto" w:fill="auto"/>
          </w:tcPr>
          <w:p w14:paraId="3BBA36B7"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71D1E79D" w14:textId="77777777" w:rsidR="004C2C77" w:rsidRPr="0009445C" w:rsidRDefault="004C2C77" w:rsidP="004C2C77">
            <w:pPr>
              <w:spacing w:before="60" w:after="40" w:line="240" w:lineRule="auto"/>
              <w:ind w:left="113" w:right="113"/>
              <w:rPr>
                <w:szCs w:val="18"/>
              </w:rPr>
            </w:pPr>
            <w:r w:rsidRPr="0009445C">
              <w:t>10</w:t>
            </w:r>
          </w:p>
        </w:tc>
      </w:tr>
      <w:tr w:rsidR="004C2C77" w:rsidRPr="0009445C" w14:paraId="7E41A9C9"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10798E99"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226049DE" w14:textId="77777777" w:rsidR="004C2C77" w:rsidRPr="0009445C" w:rsidRDefault="004C2C77" w:rsidP="004C2C77">
            <w:pPr>
              <w:spacing w:before="60" w:after="40" w:line="240" w:lineRule="auto"/>
              <w:ind w:left="113" w:right="113"/>
              <w:rPr>
                <w:szCs w:val="18"/>
              </w:rPr>
            </w:pPr>
            <w:r w:rsidRPr="0009445C">
              <w:t>Chromium, total (Cr)</w:t>
            </w:r>
          </w:p>
        </w:tc>
        <w:tc>
          <w:tcPr>
            <w:tcW w:w="3119" w:type="dxa"/>
            <w:tcBorders>
              <w:bottom w:val="single" w:sz="2" w:space="0" w:color="595959"/>
              <w:right w:val="single" w:sz="4" w:space="0" w:color="auto"/>
            </w:tcBorders>
            <w:shd w:val="clear" w:color="auto" w:fill="auto"/>
          </w:tcPr>
          <w:p w14:paraId="62FE8BA9"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5A40AD35" w14:textId="77777777" w:rsidR="004C2C77" w:rsidRPr="0009445C" w:rsidRDefault="004C2C77" w:rsidP="004C2C77">
            <w:pPr>
              <w:spacing w:before="60" w:after="40" w:line="240" w:lineRule="auto"/>
              <w:ind w:left="113" w:right="113"/>
              <w:rPr>
                <w:szCs w:val="18"/>
              </w:rPr>
            </w:pPr>
            <w:r w:rsidRPr="0009445C">
              <w:t>600</w:t>
            </w:r>
          </w:p>
        </w:tc>
      </w:tr>
      <w:tr w:rsidR="004C2C77" w:rsidRPr="0009445C" w14:paraId="19E6FC99"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381B7490"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10538B90" w14:textId="77777777" w:rsidR="004C2C77" w:rsidRPr="0009445C" w:rsidRDefault="004C2C77" w:rsidP="004C2C77">
            <w:pPr>
              <w:spacing w:before="60" w:after="40" w:line="240" w:lineRule="auto"/>
              <w:ind w:left="113" w:right="113"/>
              <w:rPr>
                <w:szCs w:val="18"/>
              </w:rPr>
            </w:pPr>
            <w:r w:rsidRPr="0009445C">
              <w:t>Copper (Cu)</w:t>
            </w:r>
          </w:p>
        </w:tc>
        <w:tc>
          <w:tcPr>
            <w:tcW w:w="3119" w:type="dxa"/>
            <w:tcBorders>
              <w:bottom w:val="single" w:sz="2" w:space="0" w:color="595959"/>
              <w:right w:val="single" w:sz="4" w:space="0" w:color="auto"/>
            </w:tcBorders>
            <w:shd w:val="clear" w:color="auto" w:fill="auto"/>
          </w:tcPr>
          <w:p w14:paraId="701DBF38"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403DB21E" w14:textId="77777777" w:rsidR="004C2C77" w:rsidRPr="0009445C" w:rsidRDefault="004C2C77" w:rsidP="004C2C77">
            <w:pPr>
              <w:spacing w:before="60" w:after="40" w:line="240" w:lineRule="auto"/>
              <w:ind w:left="113" w:right="113"/>
              <w:rPr>
                <w:szCs w:val="18"/>
              </w:rPr>
            </w:pPr>
            <w:r w:rsidRPr="0009445C">
              <w:t>400</w:t>
            </w:r>
          </w:p>
        </w:tc>
      </w:tr>
      <w:tr w:rsidR="004C2C77" w:rsidRPr="0009445C" w14:paraId="26F0DBA7"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4D7528F0" w14:textId="77777777" w:rsidR="004C2C77" w:rsidRPr="0009445C" w:rsidRDefault="004C2C77" w:rsidP="004C2C77">
            <w:pPr>
              <w:spacing w:before="100" w:line="240" w:lineRule="auto"/>
              <w:ind w:left="113" w:right="113"/>
              <w:rPr>
                <w:b/>
                <w:szCs w:val="18"/>
              </w:rPr>
            </w:pPr>
          </w:p>
        </w:tc>
        <w:tc>
          <w:tcPr>
            <w:tcW w:w="2565" w:type="dxa"/>
            <w:tcBorders>
              <w:right w:val="single" w:sz="4" w:space="0" w:color="auto"/>
            </w:tcBorders>
            <w:shd w:val="clear" w:color="auto" w:fill="auto"/>
          </w:tcPr>
          <w:p w14:paraId="22B0513C" w14:textId="77777777" w:rsidR="004C2C77" w:rsidRPr="0009445C" w:rsidRDefault="004C2C77" w:rsidP="004C2C77">
            <w:pPr>
              <w:spacing w:before="60" w:after="40" w:line="240" w:lineRule="auto"/>
              <w:ind w:left="113" w:right="113"/>
              <w:rPr>
                <w:szCs w:val="18"/>
              </w:rPr>
            </w:pPr>
            <w:r w:rsidRPr="0009445C">
              <w:t>Nickel (Ni)</w:t>
            </w:r>
          </w:p>
        </w:tc>
        <w:tc>
          <w:tcPr>
            <w:tcW w:w="3119" w:type="dxa"/>
            <w:tcBorders>
              <w:right w:val="single" w:sz="4" w:space="0" w:color="auto"/>
            </w:tcBorders>
            <w:shd w:val="clear" w:color="auto" w:fill="auto"/>
          </w:tcPr>
          <w:p w14:paraId="612940AA" w14:textId="77777777" w:rsidR="004C2C77" w:rsidRPr="0009445C" w:rsidRDefault="004C2C77" w:rsidP="004C2C77">
            <w:pPr>
              <w:spacing w:before="60" w:after="40" w:line="240" w:lineRule="auto"/>
              <w:ind w:left="113" w:right="113"/>
              <w:rPr>
                <w:szCs w:val="18"/>
              </w:rPr>
            </w:pPr>
            <w:r w:rsidRPr="0009445C">
              <w:t>[mg/kg]</w:t>
            </w:r>
          </w:p>
        </w:tc>
        <w:tc>
          <w:tcPr>
            <w:tcW w:w="2976" w:type="dxa"/>
            <w:tcBorders>
              <w:right w:val="single" w:sz="4" w:space="0" w:color="auto"/>
            </w:tcBorders>
            <w:shd w:val="clear" w:color="auto" w:fill="auto"/>
          </w:tcPr>
          <w:p w14:paraId="06A299BF" w14:textId="77777777" w:rsidR="004C2C77" w:rsidRPr="0009445C" w:rsidRDefault="004C2C77" w:rsidP="004C2C77">
            <w:pPr>
              <w:spacing w:before="60" w:after="40" w:line="240" w:lineRule="auto"/>
              <w:ind w:left="113" w:right="113"/>
              <w:rPr>
                <w:szCs w:val="18"/>
              </w:rPr>
            </w:pPr>
            <w:r w:rsidRPr="0009445C">
              <w:t>500</w:t>
            </w:r>
          </w:p>
        </w:tc>
      </w:tr>
      <w:tr w:rsidR="004C2C77" w:rsidRPr="0009445C" w14:paraId="727A1B10"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0127500B"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5C365637" w14:textId="77777777" w:rsidR="004C2C77" w:rsidRPr="0009445C" w:rsidRDefault="004C2C77" w:rsidP="004C2C77">
            <w:pPr>
              <w:spacing w:before="60" w:after="40" w:line="240" w:lineRule="auto"/>
              <w:ind w:left="113" w:right="113"/>
              <w:rPr>
                <w:szCs w:val="18"/>
              </w:rPr>
            </w:pPr>
            <w:r w:rsidRPr="0009445C">
              <w:t>Mercury</w:t>
            </w:r>
          </w:p>
        </w:tc>
        <w:tc>
          <w:tcPr>
            <w:tcW w:w="3119" w:type="dxa"/>
            <w:tcBorders>
              <w:bottom w:val="single" w:sz="2" w:space="0" w:color="595959"/>
              <w:right w:val="single" w:sz="4" w:space="0" w:color="auto"/>
            </w:tcBorders>
            <w:shd w:val="clear" w:color="auto" w:fill="auto"/>
          </w:tcPr>
          <w:p w14:paraId="2B9659DE"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42026F71" w14:textId="77777777" w:rsidR="004C2C77" w:rsidRPr="0009445C" w:rsidRDefault="004C2C77" w:rsidP="004C2C77">
            <w:pPr>
              <w:spacing w:before="60" w:after="40" w:line="240" w:lineRule="auto"/>
              <w:ind w:left="113" w:right="113"/>
              <w:rPr>
                <w:szCs w:val="18"/>
              </w:rPr>
            </w:pPr>
            <w:r w:rsidRPr="0009445C">
              <w:t>5</w:t>
            </w:r>
          </w:p>
        </w:tc>
      </w:tr>
      <w:tr w:rsidR="004C2C77" w:rsidRPr="0009445C" w14:paraId="44C2A751"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516D2CEC"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64613A2A" w14:textId="77777777" w:rsidR="004C2C77" w:rsidRPr="0009445C" w:rsidRDefault="004C2C77" w:rsidP="004C2C77">
            <w:pPr>
              <w:spacing w:before="60" w:after="40" w:line="240" w:lineRule="auto"/>
              <w:ind w:left="113" w:right="113"/>
              <w:rPr>
                <w:szCs w:val="18"/>
              </w:rPr>
            </w:pPr>
            <w:r w:rsidRPr="0009445C">
              <w:t>Thallium (Tl)</w:t>
            </w:r>
          </w:p>
        </w:tc>
        <w:tc>
          <w:tcPr>
            <w:tcW w:w="3119" w:type="dxa"/>
            <w:tcBorders>
              <w:bottom w:val="single" w:sz="2" w:space="0" w:color="595959"/>
              <w:right w:val="single" w:sz="4" w:space="0" w:color="auto"/>
            </w:tcBorders>
            <w:shd w:val="clear" w:color="auto" w:fill="auto"/>
          </w:tcPr>
          <w:p w14:paraId="010154B3"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2B1AF8AC" w14:textId="77777777" w:rsidR="004C2C77" w:rsidRPr="0009445C" w:rsidRDefault="004C2C77" w:rsidP="004C2C77">
            <w:pPr>
              <w:spacing w:before="60" w:after="40" w:line="240" w:lineRule="auto"/>
              <w:ind w:left="113" w:right="113"/>
              <w:rPr>
                <w:szCs w:val="18"/>
              </w:rPr>
            </w:pPr>
            <w:r w:rsidRPr="0009445C">
              <w:t>7</w:t>
            </w:r>
          </w:p>
        </w:tc>
      </w:tr>
      <w:tr w:rsidR="004C2C77" w:rsidRPr="0009445C" w14:paraId="456138FA"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7A99A2AE"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7302E40B" w14:textId="77777777" w:rsidR="004C2C77" w:rsidRPr="0009445C" w:rsidRDefault="004C2C77" w:rsidP="004C2C77">
            <w:pPr>
              <w:spacing w:before="60" w:after="40" w:line="240" w:lineRule="auto"/>
              <w:ind w:left="113" w:right="113"/>
              <w:rPr>
                <w:szCs w:val="18"/>
              </w:rPr>
            </w:pPr>
            <w:r w:rsidRPr="0009445C">
              <w:t>Vanadium (V)</w:t>
            </w:r>
          </w:p>
        </w:tc>
        <w:tc>
          <w:tcPr>
            <w:tcW w:w="3119" w:type="dxa"/>
            <w:tcBorders>
              <w:bottom w:val="single" w:sz="2" w:space="0" w:color="595959"/>
              <w:right w:val="single" w:sz="4" w:space="0" w:color="auto"/>
            </w:tcBorders>
            <w:shd w:val="clear" w:color="auto" w:fill="auto"/>
          </w:tcPr>
          <w:p w14:paraId="50F37D7F"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28224296" w14:textId="77777777" w:rsidR="004C2C77" w:rsidRPr="0009445C" w:rsidRDefault="004C2C77" w:rsidP="004C2C77">
            <w:pPr>
              <w:spacing w:before="60" w:after="40" w:line="240" w:lineRule="auto"/>
              <w:ind w:left="113" w:right="113"/>
              <w:rPr>
                <w:szCs w:val="18"/>
              </w:rPr>
            </w:pPr>
            <w:r w:rsidRPr="0009445C">
              <w:t>1 500</w:t>
            </w:r>
          </w:p>
        </w:tc>
      </w:tr>
      <w:tr w:rsidR="004C2C77" w:rsidRPr="0009445C" w14:paraId="46E8493B"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3DD3A969"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7C16EBC5" w14:textId="77777777" w:rsidR="004C2C77" w:rsidRPr="0009445C" w:rsidRDefault="004C2C77" w:rsidP="004C2C77">
            <w:pPr>
              <w:spacing w:before="60" w:after="40" w:line="240" w:lineRule="auto"/>
              <w:ind w:left="113" w:right="113"/>
              <w:rPr>
                <w:szCs w:val="18"/>
              </w:rPr>
            </w:pPr>
            <w:r w:rsidRPr="0009445C">
              <w:t>Zinc (Zn)</w:t>
            </w:r>
          </w:p>
        </w:tc>
        <w:tc>
          <w:tcPr>
            <w:tcW w:w="3119" w:type="dxa"/>
            <w:tcBorders>
              <w:bottom w:val="single" w:sz="2" w:space="0" w:color="595959"/>
              <w:right w:val="single" w:sz="4" w:space="0" w:color="auto"/>
            </w:tcBorders>
            <w:shd w:val="clear" w:color="auto" w:fill="auto"/>
          </w:tcPr>
          <w:p w14:paraId="165FE17A"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7759B100" w14:textId="77777777" w:rsidR="004C2C77" w:rsidRPr="0009445C" w:rsidRDefault="004C2C77" w:rsidP="004C2C77">
            <w:pPr>
              <w:spacing w:before="60" w:after="40" w:line="240" w:lineRule="auto"/>
              <w:ind w:left="113" w:right="113"/>
              <w:rPr>
                <w:szCs w:val="18"/>
              </w:rPr>
            </w:pPr>
            <w:r w:rsidRPr="0009445C">
              <w:t>1 500</w:t>
            </w:r>
          </w:p>
        </w:tc>
      </w:tr>
      <w:tr w:rsidR="004C2C77" w:rsidRPr="0009445C" w14:paraId="588B72D7"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584E3C91" w14:textId="77777777" w:rsidR="004C2C77" w:rsidRPr="0009445C" w:rsidRDefault="004C2C77" w:rsidP="004C2C77">
            <w:pPr>
              <w:spacing w:before="100" w:line="240" w:lineRule="auto"/>
              <w:ind w:left="113" w:right="113"/>
              <w:rPr>
                <w:b/>
                <w:szCs w:val="18"/>
              </w:rPr>
            </w:pPr>
          </w:p>
        </w:tc>
        <w:tc>
          <w:tcPr>
            <w:tcW w:w="2565" w:type="dxa"/>
            <w:tcBorders>
              <w:bottom w:val="single" w:sz="2" w:space="0" w:color="595959"/>
              <w:right w:val="single" w:sz="4" w:space="0" w:color="auto"/>
            </w:tcBorders>
            <w:shd w:val="clear" w:color="auto" w:fill="auto"/>
          </w:tcPr>
          <w:p w14:paraId="4C76623D" w14:textId="77777777" w:rsidR="004C2C77" w:rsidRPr="0009445C" w:rsidRDefault="004C2C77" w:rsidP="004C2C77">
            <w:pPr>
              <w:spacing w:before="60" w:after="40" w:line="240" w:lineRule="auto"/>
              <w:ind w:left="113" w:right="113"/>
              <w:rPr>
                <w:szCs w:val="18"/>
              </w:rPr>
            </w:pPr>
            <w:r w:rsidRPr="0009445C">
              <w:t>PAH</w:t>
            </w:r>
            <w:r w:rsidRPr="0009445C">
              <w:rPr>
                <w:vertAlign w:val="subscript"/>
              </w:rPr>
              <w:t>16</w:t>
            </w:r>
          </w:p>
        </w:tc>
        <w:tc>
          <w:tcPr>
            <w:tcW w:w="3119" w:type="dxa"/>
            <w:tcBorders>
              <w:bottom w:val="single" w:sz="2" w:space="0" w:color="595959"/>
              <w:right w:val="single" w:sz="4" w:space="0" w:color="auto"/>
            </w:tcBorders>
            <w:shd w:val="clear" w:color="auto" w:fill="auto"/>
          </w:tcPr>
          <w:p w14:paraId="74A396A6"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2" w:space="0" w:color="595959"/>
              <w:right w:val="single" w:sz="4" w:space="0" w:color="auto"/>
            </w:tcBorders>
            <w:shd w:val="clear" w:color="auto" w:fill="auto"/>
          </w:tcPr>
          <w:p w14:paraId="42D74C00" w14:textId="77777777" w:rsidR="004C2C77" w:rsidRPr="0009445C" w:rsidRDefault="004C2C77" w:rsidP="004C2C77">
            <w:pPr>
              <w:spacing w:before="60" w:after="40" w:line="240" w:lineRule="auto"/>
              <w:ind w:left="113" w:right="113"/>
              <w:rPr>
                <w:szCs w:val="18"/>
              </w:rPr>
            </w:pPr>
            <w:r w:rsidRPr="0009445C">
              <w:t>30</w:t>
            </w:r>
          </w:p>
        </w:tc>
      </w:tr>
      <w:tr w:rsidR="004C2C77" w:rsidRPr="0009445C" w14:paraId="0E6FE6AF"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78C18FF2" w14:textId="77777777" w:rsidR="004C2C77" w:rsidRPr="0009445C" w:rsidRDefault="004C2C77" w:rsidP="004C2C77">
            <w:pPr>
              <w:spacing w:before="100" w:line="240" w:lineRule="auto"/>
              <w:ind w:left="113" w:right="113"/>
              <w:rPr>
                <w:b/>
                <w:szCs w:val="18"/>
              </w:rPr>
            </w:pPr>
          </w:p>
        </w:tc>
        <w:tc>
          <w:tcPr>
            <w:tcW w:w="2565" w:type="dxa"/>
            <w:tcBorders>
              <w:bottom w:val="single" w:sz="4" w:space="0" w:color="auto"/>
              <w:right w:val="single" w:sz="4" w:space="0" w:color="auto"/>
            </w:tcBorders>
            <w:shd w:val="clear" w:color="auto" w:fill="auto"/>
          </w:tcPr>
          <w:p w14:paraId="34BC420F" w14:textId="77777777" w:rsidR="004C2C77" w:rsidRPr="0009445C" w:rsidRDefault="004C2C77" w:rsidP="004C2C77">
            <w:pPr>
              <w:spacing w:before="60" w:after="40" w:line="240" w:lineRule="auto"/>
              <w:ind w:left="113" w:right="113"/>
              <w:rPr>
                <w:szCs w:val="18"/>
              </w:rPr>
            </w:pPr>
            <w:r w:rsidRPr="0009445C">
              <w:t>PCB</w:t>
            </w:r>
            <w:r w:rsidRPr="0009445C">
              <w:rPr>
                <w:vertAlign w:val="subscript"/>
              </w:rPr>
              <w:t>6</w:t>
            </w:r>
          </w:p>
        </w:tc>
        <w:tc>
          <w:tcPr>
            <w:tcW w:w="3119" w:type="dxa"/>
            <w:tcBorders>
              <w:bottom w:val="single" w:sz="4" w:space="0" w:color="auto"/>
              <w:right w:val="single" w:sz="4" w:space="0" w:color="auto"/>
            </w:tcBorders>
            <w:shd w:val="clear" w:color="auto" w:fill="auto"/>
          </w:tcPr>
          <w:p w14:paraId="353EF8C4" w14:textId="77777777" w:rsidR="004C2C77" w:rsidRPr="0009445C" w:rsidRDefault="004C2C77" w:rsidP="004C2C77">
            <w:pPr>
              <w:spacing w:before="60" w:after="40" w:line="240" w:lineRule="auto"/>
              <w:ind w:left="113" w:right="113"/>
              <w:rPr>
                <w:szCs w:val="18"/>
              </w:rPr>
            </w:pPr>
            <w:r w:rsidRPr="0009445C">
              <w:t>[mg/kg]</w:t>
            </w:r>
          </w:p>
        </w:tc>
        <w:tc>
          <w:tcPr>
            <w:tcW w:w="2976" w:type="dxa"/>
            <w:tcBorders>
              <w:bottom w:val="single" w:sz="4" w:space="0" w:color="auto"/>
              <w:right w:val="single" w:sz="4" w:space="0" w:color="auto"/>
            </w:tcBorders>
            <w:shd w:val="clear" w:color="auto" w:fill="auto"/>
          </w:tcPr>
          <w:p w14:paraId="4BDA3D56" w14:textId="77777777" w:rsidR="004C2C77" w:rsidRPr="0009445C" w:rsidRDefault="004C2C77" w:rsidP="004C2C77">
            <w:pPr>
              <w:spacing w:before="60" w:after="40" w:line="240" w:lineRule="auto"/>
              <w:ind w:left="113" w:right="113"/>
              <w:rPr>
                <w:szCs w:val="18"/>
              </w:rPr>
            </w:pPr>
            <w:r w:rsidRPr="0009445C">
              <w:t>0.5</w:t>
            </w:r>
          </w:p>
        </w:tc>
      </w:tr>
      <w:tr w:rsidR="004C2C77" w:rsidRPr="0009445C" w14:paraId="50A9E396" w14:textId="77777777" w:rsidTr="004C2C77">
        <w:trPr>
          <w:cantSplit/>
          <w:trHeight w:val="340"/>
        </w:trPr>
        <w:tc>
          <w:tcPr>
            <w:tcW w:w="417" w:type="dxa"/>
            <w:vMerge/>
            <w:tcBorders>
              <w:top w:val="single" w:sz="2" w:space="0" w:color="595959"/>
              <w:left w:val="single" w:sz="4" w:space="0" w:color="auto"/>
              <w:bottom w:val="single" w:sz="4" w:space="0" w:color="auto"/>
            </w:tcBorders>
            <w:shd w:val="clear" w:color="auto" w:fill="FFFFFF"/>
            <w:textDirection w:val="btLr"/>
          </w:tcPr>
          <w:p w14:paraId="75F18443" w14:textId="77777777" w:rsidR="004C2C77" w:rsidRPr="0009445C" w:rsidRDefault="004C2C77" w:rsidP="004C2C77">
            <w:pPr>
              <w:spacing w:before="100" w:line="240" w:lineRule="auto"/>
              <w:ind w:left="113" w:right="113"/>
              <w:rPr>
                <w:b/>
                <w:szCs w:val="18"/>
              </w:rPr>
            </w:pPr>
          </w:p>
        </w:tc>
        <w:tc>
          <w:tcPr>
            <w:tcW w:w="2565" w:type="dxa"/>
            <w:tcBorders>
              <w:top w:val="single" w:sz="4" w:space="0" w:color="auto"/>
              <w:bottom w:val="single" w:sz="4" w:space="0" w:color="auto"/>
              <w:right w:val="single" w:sz="4" w:space="0" w:color="auto"/>
            </w:tcBorders>
            <w:shd w:val="clear" w:color="auto" w:fill="auto"/>
          </w:tcPr>
          <w:p w14:paraId="4D6C037D" w14:textId="77777777" w:rsidR="004C2C77" w:rsidRPr="0009445C" w:rsidRDefault="004C2C77" w:rsidP="004C2C77">
            <w:pPr>
              <w:spacing w:before="60" w:after="40" w:line="240" w:lineRule="auto"/>
              <w:ind w:left="113" w:right="113"/>
              <w:rPr>
                <w:szCs w:val="18"/>
              </w:rPr>
            </w:pPr>
            <w:r w:rsidRPr="0009445C">
              <w:t>PCDD/PCDF</w:t>
            </w:r>
          </w:p>
        </w:tc>
        <w:tc>
          <w:tcPr>
            <w:tcW w:w="3119" w:type="dxa"/>
            <w:tcBorders>
              <w:top w:val="single" w:sz="4" w:space="0" w:color="auto"/>
              <w:bottom w:val="single" w:sz="4" w:space="0" w:color="auto"/>
              <w:right w:val="single" w:sz="4" w:space="0" w:color="auto"/>
            </w:tcBorders>
            <w:shd w:val="clear" w:color="auto" w:fill="auto"/>
          </w:tcPr>
          <w:p w14:paraId="43CEA3B5" w14:textId="77777777" w:rsidR="004C2C77" w:rsidRPr="0009445C" w:rsidRDefault="004C2C77" w:rsidP="004C2C77">
            <w:pPr>
              <w:spacing w:before="60" w:after="40" w:line="240" w:lineRule="auto"/>
              <w:ind w:left="113" w:right="113"/>
              <w:rPr>
                <w:szCs w:val="18"/>
              </w:rPr>
            </w:pPr>
            <w:r w:rsidRPr="0009445C">
              <w:t>ng TEQ/kg*</w:t>
            </w:r>
          </w:p>
        </w:tc>
        <w:tc>
          <w:tcPr>
            <w:tcW w:w="2976" w:type="dxa"/>
            <w:tcBorders>
              <w:top w:val="single" w:sz="4" w:space="0" w:color="auto"/>
              <w:bottom w:val="single" w:sz="4" w:space="0" w:color="auto"/>
              <w:right w:val="single" w:sz="4" w:space="0" w:color="auto"/>
            </w:tcBorders>
            <w:shd w:val="clear" w:color="auto" w:fill="auto"/>
          </w:tcPr>
          <w:p w14:paraId="696B33AA" w14:textId="77777777" w:rsidR="004C2C77" w:rsidRPr="0009445C" w:rsidRDefault="004C2C77" w:rsidP="004C2C77">
            <w:pPr>
              <w:spacing w:before="60" w:after="40" w:line="240" w:lineRule="auto"/>
              <w:ind w:left="113" w:right="113"/>
              <w:rPr>
                <w:szCs w:val="18"/>
              </w:rPr>
            </w:pPr>
            <w:r w:rsidRPr="0009445C">
              <w:t>100</w:t>
            </w:r>
          </w:p>
        </w:tc>
      </w:tr>
      <w:tr w:rsidR="004C2C77" w:rsidRPr="0009445C" w14:paraId="615548E6" w14:textId="77777777" w:rsidTr="004C2C77">
        <w:trPr>
          <w:cantSplit/>
          <w:trHeight w:val="340"/>
        </w:trPr>
        <w:tc>
          <w:tcPr>
            <w:tcW w:w="9077" w:type="dxa"/>
            <w:gridSpan w:val="4"/>
            <w:tcBorders>
              <w:top w:val="single" w:sz="2" w:space="0" w:color="595959"/>
              <w:left w:val="single" w:sz="4" w:space="0" w:color="auto"/>
              <w:bottom w:val="single" w:sz="2" w:space="0" w:color="595959"/>
              <w:right w:val="single" w:sz="4" w:space="0" w:color="auto"/>
            </w:tcBorders>
            <w:shd w:val="clear" w:color="auto" w:fill="FFFFFF"/>
          </w:tcPr>
          <w:p w14:paraId="3D3CD21C" w14:textId="18794BBC" w:rsidR="004C2C77" w:rsidRPr="0009445C" w:rsidRDefault="004C2C77" w:rsidP="004C2C77">
            <w:pPr>
              <w:spacing w:before="60" w:after="40" w:line="240" w:lineRule="auto"/>
              <w:ind w:left="113" w:right="113"/>
              <w:rPr>
                <w:szCs w:val="18"/>
              </w:rPr>
            </w:pPr>
            <w:r w:rsidRPr="0009445C">
              <w:t>*</w:t>
            </w:r>
            <w:r w:rsidRPr="0009445C">
              <w:tab/>
              <w:t>TEQ = WHO-TEF toxicity equivalent.</w:t>
            </w:r>
          </w:p>
        </w:tc>
      </w:tr>
    </w:tbl>
    <w:p w14:paraId="1FDA7965" w14:textId="77777777" w:rsidR="004C2C77" w:rsidRPr="0009445C" w:rsidRDefault="004C2C77" w:rsidP="004C2C77">
      <w:pPr>
        <w:spacing w:after="200"/>
      </w:pPr>
    </w:p>
    <w:p w14:paraId="1B6FE95E" w14:textId="26C99E0D" w:rsidR="004C2C77" w:rsidRPr="0009445C" w:rsidRDefault="004C2C77" w:rsidP="004C2C77">
      <w:pPr>
        <w:pStyle w:val="BRLTabelleberschrift"/>
        <w:spacing w:before="0" w:after="120"/>
      </w:pPr>
      <w:r w:rsidRPr="0009445C">
        <w:t>Table A-5:</w:t>
      </w:r>
      <w:r w:rsidRPr="0009445C">
        <w:tab/>
        <w:t>Upper limits for the release of substances in the eluate of hardened concrete (model concrete) using silicon-rich fly ash or boiler sand</w:t>
      </w:r>
    </w:p>
    <w:tbl>
      <w:tblPr>
        <w:tblW w:w="9072" w:type="dxa"/>
        <w:tblInd w:w="65" w:type="dxa"/>
        <w:tblLayout w:type="fixed"/>
        <w:tblCellMar>
          <w:left w:w="70" w:type="dxa"/>
          <w:right w:w="70" w:type="dxa"/>
        </w:tblCellMar>
        <w:tblLook w:val="0000" w:firstRow="0" w:lastRow="0" w:firstColumn="0" w:lastColumn="0" w:noHBand="0" w:noVBand="0"/>
      </w:tblPr>
      <w:tblGrid>
        <w:gridCol w:w="3034"/>
        <w:gridCol w:w="3019"/>
        <w:gridCol w:w="3019"/>
      </w:tblGrid>
      <w:tr w:rsidR="004C2C77" w:rsidRPr="0009445C" w14:paraId="736A8395" w14:textId="77777777" w:rsidTr="004C2C77">
        <w:trPr>
          <w:trHeight w:val="277"/>
        </w:trPr>
        <w:tc>
          <w:tcPr>
            <w:tcW w:w="3034" w:type="dxa"/>
            <w:tcBorders>
              <w:top w:val="single" w:sz="4" w:space="0" w:color="auto"/>
              <w:left w:val="single" w:sz="4" w:space="0" w:color="auto"/>
              <w:bottom w:val="single" w:sz="4" w:space="0" w:color="auto"/>
              <w:right w:val="single" w:sz="4" w:space="0" w:color="auto"/>
            </w:tcBorders>
            <w:shd w:val="clear" w:color="auto" w:fill="FFFFFF"/>
          </w:tcPr>
          <w:p w14:paraId="2F586E2D" w14:textId="77777777" w:rsidR="004C2C77" w:rsidRPr="0009445C" w:rsidRDefault="004C2C77" w:rsidP="004C2C77">
            <w:pPr>
              <w:keepNext/>
              <w:spacing w:before="60" w:after="40" w:line="240" w:lineRule="auto"/>
              <w:ind w:right="113"/>
              <w:rPr>
                <w:b/>
                <w:szCs w:val="18"/>
              </w:rPr>
            </w:pPr>
            <w:r w:rsidRPr="0009445C">
              <w:rPr>
                <w:b/>
              </w:rPr>
              <w:t>Parameter</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14:paraId="6E878292" w14:textId="77777777" w:rsidR="004C2C77" w:rsidRPr="0009445C" w:rsidRDefault="004C2C77" w:rsidP="004C2C77">
            <w:pPr>
              <w:keepNext/>
              <w:spacing w:before="60" w:after="40" w:line="240" w:lineRule="auto"/>
              <w:ind w:right="113"/>
              <w:rPr>
                <w:b/>
                <w:szCs w:val="18"/>
              </w:rPr>
            </w:pPr>
            <w:r w:rsidRPr="0009445C">
              <w:rPr>
                <w:b/>
              </w:rPr>
              <w:t>Dimension</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14:paraId="5FA90D27" w14:textId="77777777" w:rsidR="004C2C77" w:rsidRPr="0009445C" w:rsidRDefault="004C2C77" w:rsidP="004C2C77">
            <w:pPr>
              <w:keepNext/>
              <w:spacing w:before="60" w:after="40" w:line="240" w:lineRule="auto"/>
              <w:ind w:right="113"/>
              <w:rPr>
                <w:b/>
                <w:szCs w:val="18"/>
              </w:rPr>
            </w:pPr>
            <w:r w:rsidRPr="0009445C">
              <w:rPr>
                <w:b/>
              </w:rPr>
              <w:t>Upper limit</w:t>
            </w:r>
          </w:p>
        </w:tc>
      </w:tr>
      <w:tr w:rsidR="004C2C77" w:rsidRPr="0009445C" w14:paraId="7EB40B88"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0CF11A70" w14:textId="77777777" w:rsidR="004C2C77" w:rsidRPr="0009445C" w:rsidRDefault="004C2C77" w:rsidP="004C2C77">
            <w:pPr>
              <w:keepNext/>
              <w:spacing w:before="60" w:after="40" w:line="240" w:lineRule="auto"/>
              <w:ind w:right="113"/>
              <w:rPr>
                <w:szCs w:val="18"/>
              </w:rPr>
            </w:pPr>
            <w:r w:rsidRPr="0009445C">
              <w:t>Barium (Ba)</w:t>
            </w:r>
          </w:p>
        </w:tc>
        <w:tc>
          <w:tcPr>
            <w:tcW w:w="3019" w:type="dxa"/>
            <w:tcBorders>
              <w:top w:val="nil"/>
              <w:left w:val="single" w:sz="4" w:space="0" w:color="auto"/>
              <w:bottom w:val="single" w:sz="4" w:space="0" w:color="auto"/>
              <w:right w:val="single" w:sz="4" w:space="0" w:color="auto"/>
            </w:tcBorders>
          </w:tcPr>
          <w:p w14:paraId="188FEA45" w14:textId="77777777" w:rsidR="004C2C77" w:rsidRPr="0009445C" w:rsidRDefault="004C2C77" w:rsidP="004C2C77">
            <w:pPr>
              <w:keepNext/>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641B19A7" w14:textId="77777777" w:rsidR="004C2C77" w:rsidRPr="0009445C" w:rsidRDefault="004C2C77" w:rsidP="004C2C77">
            <w:pPr>
              <w:keepNext/>
              <w:spacing w:before="60" w:after="40" w:line="240" w:lineRule="auto"/>
              <w:ind w:right="113"/>
              <w:rPr>
                <w:szCs w:val="18"/>
              </w:rPr>
            </w:pPr>
            <w:r w:rsidRPr="0009445C">
              <w:t>375</w:t>
            </w:r>
          </w:p>
        </w:tc>
      </w:tr>
      <w:tr w:rsidR="004C2C77" w:rsidRPr="0009445C" w14:paraId="36FE6251"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5C2B67E0" w14:textId="77777777" w:rsidR="004C2C77" w:rsidRPr="0009445C" w:rsidRDefault="004C2C77" w:rsidP="004C2C77">
            <w:pPr>
              <w:keepNext/>
              <w:spacing w:before="60" w:after="40" w:line="240" w:lineRule="auto"/>
              <w:ind w:right="113"/>
              <w:rPr>
                <w:szCs w:val="18"/>
              </w:rPr>
            </w:pPr>
            <w:r w:rsidRPr="0009445C">
              <w:t>Lead (Pb)</w:t>
            </w:r>
          </w:p>
        </w:tc>
        <w:tc>
          <w:tcPr>
            <w:tcW w:w="3019" w:type="dxa"/>
            <w:tcBorders>
              <w:top w:val="nil"/>
              <w:left w:val="single" w:sz="4" w:space="0" w:color="auto"/>
              <w:bottom w:val="single" w:sz="4" w:space="0" w:color="auto"/>
              <w:right w:val="single" w:sz="4" w:space="0" w:color="auto"/>
            </w:tcBorders>
          </w:tcPr>
          <w:p w14:paraId="083CE5CE" w14:textId="77777777" w:rsidR="004C2C77" w:rsidRPr="0009445C" w:rsidRDefault="004C2C77" w:rsidP="004C2C77">
            <w:pPr>
              <w:keepNext/>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2348B2C1" w14:textId="77777777" w:rsidR="004C2C77" w:rsidRPr="0009445C" w:rsidRDefault="004C2C77" w:rsidP="004C2C77">
            <w:pPr>
              <w:keepNext/>
              <w:spacing w:before="60" w:after="40" w:line="240" w:lineRule="auto"/>
              <w:ind w:right="113"/>
              <w:rPr>
                <w:szCs w:val="18"/>
              </w:rPr>
            </w:pPr>
            <w:r w:rsidRPr="0009445C">
              <w:t>7.7</w:t>
            </w:r>
          </w:p>
        </w:tc>
      </w:tr>
      <w:tr w:rsidR="004C2C77" w:rsidRPr="0009445C" w14:paraId="584DADAC"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44538ED" w14:textId="77777777" w:rsidR="004C2C77" w:rsidRPr="0009445C" w:rsidRDefault="004C2C77" w:rsidP="004C2C77">
            <w:pPr>
              <w:spacing w:before="60" w:after="40" w:line="240" w:lineRule="auto"/>
              <w:ind w:right="113"/>
              <w:rPr>
                <w:szCs w:val="18"/>
              </w:rPr>
            </w:pPr>
            <w:r w:rsidRPr="0009445C">
              <w:t>Chromium VI (Cr)</w:t>
            </w:r>
          </w:p>
        </w:tc>
        <w:tc>
          <w:tcPr>
            <w:tcW w:w="3019" w:type="dxa"/>
            <w:tcBorders>
              <w:top w:val="nil"/>
              <w:left w:val="single" w:sz="4" w:space="0" w:color="auto"/>
              <w:bottom w:val="single" w:sz="4" w:space="0" w:color="auto"/>
              <w:right w:val="single" w:sz="4" w:space="0" w:color="auto"/>
            </w:tcBorders>
          </w:tcPr>
          <w:p w14:paraId="5EA59AF6"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1236B86B" w14:textId="77777777" w:rsidR="004C2C77" w:rsidRPr="0009445C" w:rsidRDefault="004C2C77" w:rsidP="004C2C77">
            <w:pPr>
              <w:spacing w:before="60" w:after="40" w:line="240" w:lineRule="auto"/>
              <w:ind w:right="113"/>
              <w:rPr>
                <w:szCs w:val="18"/>
              </w:rPr>
            </w:pPr>
            <w:r w:rsidRPr="0009445C">
              <w:t>6.6</w:t>
            </w:r>
          </w:p>
        </w:tc>
      </w:tr>
      <w:tr w:rsidR="004C2C77" w:rsidRPr="0009445C" w14:paraId="3E56953B"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70C804B" w14:textId="77777777" w:rsidR="004C2C77" w:rsidRPr="0009445C" w:rsidRDefault="004C2C77" w:rsidP="004C2C77">
            <w:pPr>
              <w:spacing w:before="60" w:after="40" w:line="240" w:lineRule="auto"/>
              <w:ind w:right="113"/>
              <w:rPr>
                <w:szCs w:val="18"/>
              </w:rPr>
            </w:pPr>
            <w:r w:rsidRPr="0009445C">
              <w:t>Chromium, total (Cr)</w:t>
            </w:r>
          </w:p>
        </w:tc>
        <w:tc>
          <w:tcPr>
            <w:tcW w:w="3019" w:type="dxa"/>
            <w:tcBorders>
              <w:top w:val="nil"/>
              <w:left w:val="single" w:sz="4" w:space="0" w:color="auto"/>
              <w:bottom w:val="single" w:sz="4" w:space="0" w:color="auto"/>
              <w:right w:val="single" w:sz="4" w:space="0" w:color="auto"/>
            </w:tcBorders>
          </w:tcPr>
          <w:p w14:paraId="75A28ACB"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77B38DDF" w14:textId="77777777" w:rsidR="004C2C77" w:rsidRPr="0009445C" w:rsidRDefault="004C2C77" w:rsidP="004C2C77">
            <w:pPr>
              <w:spacing w:before="60" w:after="40" w:line="240" w:lineRule="auto"/>
              <w:ind w:right="113"/>
              <w:rPr>
                <w:szCs w:val="18"/>
              </w:rPr>
            </w:pPr>
            <w:r w:rsidRPr="0009445C">
              <w:t>7.7</w:t>
            </w:r>
          </w:p>
        </w:tc>
      </w:tr>
      <w:tr w:rsidR="00FE15AB" w:rsidRPr="0009445C" w14:paraId="01268F02"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1AA7BD98" w14:textId="77777777" w:rsidR="00FE15AB" w:rsidRPr="0009445C" w:rsidRDefault="00FE15AB" w:rsidP="004C2C77">
            <w:pPr>
              <w:spacing w:before="60" w:after="40" w:line="240" w:lineRule="auto"/>
              <w:ind w:right="113"/>
              <w:rPr>
                <w:szCs w:val="18"/>
              </w:rPr>
            </w:pPr>
            <w:r w:rsidRPr="0009445C">
              <w:t>Cyanide</w:t>
            </w:r>
          </w:p>
        </w:tc>
        <w:tc>
          <w:tcPr>
            <w:tcW w:w="3019" w:type="dxa"/>
            <w:tcBorders>
              <w:top w:val="nil"/>
              <w:left w:val="single" w:sz="4" w:space="0" w:color="auto"/>
              <w:bottom w:val="single" w:sz="4" w:space="0" w:color="auto"/>
              <w:right w:val="single" w:sz="4" w:space="0" w:color="auto"/>
            </w:tcBorders>
          </w:tcPr>
          <w:p w14:paraId="30213CCC" w14:textId="77777777" w:rsidR="00FE15AB" w:rsidRPr="0009445C" w:rsidRDefault="00FE15AB"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06262A04" w14:textId="77777777" w:rsidR="00FE15AB" w:rsidRPr="0009445C" w:rsidRDefault="00FE15AB" w:rsidP="004C2C77">
            <w:pPr>
              <w:spacing w:before="60" w:after="40" w:line="240" w:lineRule="auto"/>
              <w:ind w:right="113"/>
              <w:rPr>
                <w:szCs w:val="18"/>
              </w:rPr>
            </w:pPr>
            <w:r w:rsidRPr="0009445C">
              <w:t>5.5</w:t>
            </w:r>
          </w:p>
        </w:tc>
      </w:tr>
      <w:tr w:rsidR="004C2C77" w:rsidRPr="0009445C" w14:paraId="316A6380"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220A887" w14:textId="77777777" w:rsidR="004C2C77" w:rsidRPr="0009445C" w:rsidRDefault="004C2C77" w:rsidP="004C2C77">
            <w:pPr>
              <w:spacing w:before="60" w:after="40" w:line="240" w:lineRule="auto"/>
              <w:ind w:right="113"/>
              <w:rPr>
                <w:szCs w:val="18"/>
              </w:rPr>
            </w:pPr>
            <w:r w:rsidRPr="0009445C">
              <w:t>Mercury (Hg)</w:t>
            </w:r>
          </w:p>
        </w:tc>
        <w:tc>
          <w:tcPr>
            <w:tcW w:w="3019" w:type="dxa"/>
            <w:tcBorders>
              <w:top w:val="nil"/>
              <w:left w:val="single" w:sz="4" w:space="0" w:color="auto"/>
              <w:bottom w:val="single" w:sz="4" w:space="0" w:color="auto"/>
              <w:right w:val="single" w:sz="4" w:space="0" w:color="auto"/>
            </w:tcBorders>
          </w:tcPr>
          <w:p w14:paraId="29EE0D00"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2C757731" w14:textId="77777777" w:rsidR="004C2C77" w:rsidRPr="0009445C" w:rsidRDefault="004C2C77" w:rsidP="004C2C77">
            <w:pPr>
              <w:spacing w:before="60" w:after="40" w:line="240" w:lineRule="auto"/>
              <w:ind w:right="113"/>
              <w:rPr>
                <w:szCs w:val="18"/>
              </w:rPr>
            </w:pPr>
            <w:r w:rsidRPr="0009445C">
              <w:t>0.22</w:t>
            </w:r>
          </w:p>
        </w:tc>
      </w:tr>
      <w:tr w:rsidR="00FE15AB" w:rsidRPr="0009445C" w14:paraId="67C65992"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5977F107" w14:textId="77777777" w:rsidR="00FE15AB" w:rsidRPr="0009445C" w:rsidRDefault="00FE15AB" w:rsidP="004C2C77">
            <w:pPr>
              <w:spacing w:before="60" w:after="40" w:line="240" w:lineRule="auto"/>
              <w:ind w:right="113"/>
              <w:rPr>
                <w:szCs w:val="18"/>
              </w:rPr>
            </w:pPr>
            <w:r w:rsidRPr="0009445C">
              <w:t>Selenium</w:t>
            </w:r>
          </w:p>
        </w:tc>
        <w:tc>
          <w:tcPr>
            <w:tcW w:w="3019" w:type="dxa"/>
            <w:tcBorders>
              <w:top w:val="nil"/>
              <w:left w:val="single" w:sz="4" w:space="0" w:color="auto"/>
              <w:bottom w:val="single" w:sz="4" w:space="0" w:color="auto"/>
              <w:right w:val="single" w:sz="4" w:space="0" w:color="auto"/>
            </w:tcBorders>
          </w:tcPr>
          <w:p w14:paraId="696676FA" w14:textId="77777777" w:rsidR="00FE15AB" w:rsidRPr="0009445C" w:rsidRDefault="00FE15AB"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1AEF4211" w14:textId="77777777" w:rsidR="00FE15AB" w:rsidRPr="0009445C" w:rsidRDefault="00FE15AB" w:rsidP="004C2C77">
            <w:pPr>
              <w:spacing w:before="60" w:after="40" w:line="240" w:lineRule="auto"/>
              <w:ind w:right="113"/>
              <w:rPr>
                <w:szCs w:val="18"/>
              </w:rPr>
            </w:pPr>
            <w:r w:rsidRPr="0009445C">
              <w:t>7.7</w:t>
            </w:r>
          </w:p>
        </w:tc>
      </w:tr>
      <w:tr w:rsidR="004C2C77" w:rsidRPr="0009445C" w14:paraId="5261F461"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F67163F" w14:textId="77777777" w:rsidR="004C2C77" w:rsidRPr="0009445C" w:rsidRDefault="004C2C77" w:rsidP="004C2C77">
            <w:pPr>
              <w:spacing w:before="60" w:after="40" w:line="240" w:lineRule="auto"/>
              <w:ind w:right="113"/>
              <w:rPr>
                <w:szCs w:val="18"/>
              </w:rPr>
            </w:pPr>
            <w:r w:rsidRPr="0009445C">
              <w:t>Thallium (Tl)</w:t>
            </w:r>
          </w:p>
        </w:tc>
        <w:tc>
          <w:tcPr>
            <w:tcW w:w="3019" w:type="dxa"/>
            <w:tcBorders>
              <w:top w:val="nil"/>
              <w:left w:val="single" w:sz="4" w:space="0" w:color="auto"/>
              <w:bottom w:val="single" w:sz="4" w:space="0" w:color="auto"/>
              <w:right w:val="single" w:sz="4" w:space="0" w:color="auto"/>
            </w:tcBorders>
          </w:tcPr>
          <w:p w14:paraId="70CD516A"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0FB94A3E" w14:textId="77777777" w:rsidR="004C2C77" w:rsidRPr="0009445C" w:rsidRDefault="004C2C77" w:rsidP="004C2C77">
            <w:pPr>
              <w:spacing w:before="60" w:after="40" w:line="240" w:lineRule="auto"/>
              <w:ind w:right="113"/>
              <w:rPr>
                <w:szCs w:val="18"/>
              </w:rPr>
            </w:pPr>
            <w:r w:rsidRPr="0009445C">
              <w:t>0.88</w:t>
            </w:r>
          </w:p>
        </w:tc>
      </w:tr>
      <w:tr w:rsidR="004C2C77" w:rsidRPr="0009445C" w14:paraId="4E410310"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12E90E80" w14:textId="77777777" w:rsidR="004C2C77" w:rsidRPr="0009445C" w:rsidRDefault="004C2C77" w:rsidP="004C2C77">
            <w:pPr>
              <w:spacing w:before="60" w:after="40" w:line="240" w:lineRule="auto"/>
              <w:ind w:right="113"/>
              <w:rPr>
                <w:szCs w:val="18"/>
              </w:rPr>
            </w:pPr>
            <w:r w:rsidRPr="0009445C">
              <w:t>Vanadium (V)</w:t>
            </w:r>
          </w:p>
        </w:tc>
        <w:tc>
          <w:tcPr>
            <w:tcW w:w="3019" w:type="dxa"/>
            <w:tcBorders>
              <w:top w:val="nil"/>
              <w:left w:val="single" w:sz="4" w:space="0" w:color="auto"/>
              <w:bottom w:val="single" w:sz="4" w:space="0" w:color="auto"/>
              <w:right w:val="single" w:sz="4" w:space="0" w:color="auto"/>
            </w:tcBorders>
          </w:tcPr>
          <w:p w14:paraId="11DDEF23"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0A2BD2C2" w14:textId="77777777" w:rsidR="004C2C77" w:rsidRPr="0009445C" w:rsidRDefault="004C2C77" w:rsidP="004C2C77">
            <w:pPr>
              <w:spacing w:before="60" w:after="40" w:line="240" w:lineRule="auto"/>
              <w:ind w:right="113"/>
              <w:rPr>
                <w:szCs w:val="18"/>
              </w:rPr>
            </w:pPr>
            <w:r w:rsidRPr="0009445C">
              <w:t>4.4*</w:t>
            </w:r>
          </w:p>
        </w:tc>
      </w:tr>
      <w:tr w:rsidR="004C2C77" w:rsidRPr="0009445C" w14:paraId="154CCD70"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2F1F6B8F" w14:textId="77777777" w:rsidR="004C2C77" w:rsidRPr="0009445C" w:rsidRDefault="004C2C77" w:rsidP="004C2C77">
            <w:pPr>
              <w:spacing w:before="60" w:after="40" w:line="240" w:lineRule="auto"/>
              <w:ind w:right="113"/>
              <w:rPr>
                <w:szCs w:val="18"/>
              </w:rPr>
            </w:pPr>
            <w:r w:rsidRPr="0009445C">
              <w:t>Zinc (Zn)</w:t>
            </w:r>
          </w:p>
        </w:tc>
        <w:tc>
          <w:tcPr>
            <w:tcW w:w="3019" w:type="dxa"/>
            <w:tcBorders>
              <w:top w:val="nil"/>
              <w:left w:val="single" w:sz="4" w:space="0" w:color="auto"/>
              <w:bottom w:val="single" w:sz="4" w:space="0" w:color="auto"/>
              <w:right w:val="single" w:sz="4" w:space="0" w:color="auto"/>
            </w:tcBorders>
          </w:tcPr>
          <w:p w14:paraId="636E1242"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10BF487E" w14:textId="77777777" w:rsidR="004C2C77" w:rsidRPr="0009445C" w:rsidRDefault="004C2C77" w:rsidP="004C2C77">
            <w:pPr>
              <w:spacing w:before="60" w:after="40" w:line="240" w:lineRule="auto"/>
              <w:ind w:right="113"/>
              <w:rPr>
                <w:szCs w:val="18"/>
              </w:rPr>
            </w:pPr>
            <w:r w:rsidRPr="0009445C">
              <w:t>63.9</w:t>
            </w:r>
          </w:p>
        </w:tc>
      </w:tr>
      <w:tr w:rsidR="004C2C77" w:rsidRPr="0009445C" w14:paraId="6E05E7DF" w14:textId="77777777" w:rsidTr="004C2C77">
        <w:trPr>
          <w:trHeight w:val="37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0A1BF801" w14:textId="77777777" w:rsidR="004C2C77" w:rsidRPr="0009445C" w:rsidRDefault="004C2C77" w:rsidP="004C2C77">
            <w:pPr>
              <w:spacing w:before="120" w:after="120" w:line="240" w:lineRule="auto"/>
              <w:ind w:left="113" w:right="113"/>
              <w:rPr>
                <w:kern w:val="28"/>
                <w:sz w:val="16"/>
                <w:szCs w:val="16"/>
              </w:rPr>
            </w:pPr>
            <w:r w:rsidRPr="0009445C">
              <w:rPr>
                <w:sz w:val="16"/>
              </w:rPr>
              <w:t>*</w:t>
            </w:r>
            <w:r w:rsidRPr="0009445C">
              <w:rPr>
                <w:sz w:val="16"/>
              </w:rPr>
              <w:tab/>
              <w:t>Currently suspended</w:t>
            </w:r>
          </w:p>
        </w:tc>
      </w:tr>
    </w:tbl>
    <w:p w14:paraId="739D47FA" w14:textId="77777777" w:rsidR="004C2C77" w:rsidRPr="0009445C" w:rsidRDefault="004C2C77" w:rsidP="004C2C77"/>
    <w:p w14:paraId="73DF264C" w14:textId="4E084DBF" w:rsidR="004C2C77" w:rsidRPr="0009445C" w:rsidRDefault="004C2C77" w:rsidP="004C2C77">
      <w:pPr>
        <w:pStyle w:val="BRLTabelleberschrift"/>
        <w:spacing w:before="0" w:after="120"/>
      </w:pPr>
      <w:r w:rsidRPr="0009445C">
        <w:t>Table A-6:</w:t>
      </w:r>
      <w:r w:rsidRPr="0009445C">
        <w:tab/>
        <w:t>Upper limits for the release of substances in the eluate of hardened concrete (model concrete) using sulphate metallurgy cement, calcium aluminate sulphate cement or other industrially produced rock grains (excluding boiler sand)</w:t>
      </w:r>
    </w:p>
    <w:tbl>
      <w:tblPr>
        <w:tblW w:w="9072" w:type="dxa"/>
        <w:tblInd w:w="65" w:type="dxa"/>
        <w:tblLayout w:type="fixed"/>
        <w:tblCellMar>
          <w:left w:w="70" w:type="dxa"/>
          <w:right w:w="70" w:type="dxa"/>
        </w:tblCellMar>
        <w:tblLook w:val="0000" w:firstRow="0" w:lastRow="0" w:firstColumn="0" w:lastColumn="0" w:noHBand="0" w:noVBand="0"/>
      </w:tblPr>
      <w:tblGrid>
        <w:gridCol w:w="3034"/>
        <w:gridCol w:w="3019"/>
        <w:gridCol w:w="3019"/>
      </w:tblGrid>
      <w:tr w:rsidR="004C2C77" w:rsidRPr="0009445C" w14:paraId="3E051329" w14:textId="77777777" w:rsidTr="00AA3064">
        <w:trPr>
          <w:trHeight w:val="277"/>
          <w:tblHeader/>
        </w:trPr>
        <w:tc>
          <w:tcPr>
            <w:tcW w:w="3034" w:type="dxa"/>
            <w:tcBorders>
              <w:top w:val="single" w:sz="4" w:space="0" w:color="auto"/>
              <w:left w:val="single" w:sz="4" w:space="0" w:color="auto"/>
              <w:bottom w:val="single" w:sz="4" w:space="0" w:color="auto"/>
              <w:right w:val="single" w:sz="4" w:space="0" w:color="auto"/>
            </w:tcBorders>
            <w:shd w:val="clear" w:color="auto" w:fill="FFFFFF"/>
          </w:tcPr>
          <w:p w14:paraId="52CD21C7" w14:textId="77777777" w:rsidR="004C2C77" w:rsidRPr="0009445C" w:rsidRDefault="004C2C77" w:rsidP="004C2C77">
            <w:pPr>
              <w:spacing w:before="60" w:after="40" w:line="240" w:lineRule="auto"/>
              <w:ind w:right="113"/>
              <w:rPr>
                <w:b/>
                <w:szCs w:val="18"/>
              </w:rPr>
            </w:pPr>
            <w:r w:rsidRPr="0009445C">
              <w:rPr>
                <w:b/>
              </w:rPr>
              <w:t>Parameter</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14:paraId="2295A5FD" w14:textId="77777777" w:rsidR="004C2C77" w:rsidRPr="0009445C" w:rsidRDefault="004C2C77" w:rsidP="004C2C77">
            <w:pPr>
              <w:spacing w:before="60" w:after="40" w:line="240" w:lineRule="auto"/>
              <w:ind w:right="113"/>
              <w:rPr>
                <w:b/>
                <w:szCs w:val="18"/>
              </w:rPr>
            </w:pPr>
            <w:r w:rsidRPr="0009445C">
              <w:rPr>
                <w:b/>
              </w:rPr>
              <w:t>Dimension</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14:paraId="620D9474" w14:textId="77777777" w:rsidR="004C2C77" w:rsidRPr="0009445C" w:rsidRDefault="004C2C77" w:rsidP="004C2C77">
            <w:pPr>
              <w:spacing w:before="60" w:after="40" w:line="240" w:lineRule="auto"/>
              <w:ind w:right="113"/>
              <w:rPr>
                <w:b/>
                <w:szCs w:val="18"/>
              </w:rPr>
            </w:pPr>
            <w:r w:rsidRPr="0009445C">
              <w:rPr>
                <w:b/>
              </w:rPr>
              <w:t>Upper limit</w:t>
            </w:r>
          </w:p>
        </w:tc>
      </w:tr>
      <w:tr w:rsidR="004C2C77" w:rsidRPr="0009445C" w14:paraId="6B1EA614"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63BCF0BF" w14:textId="77777777" w:rsidR="004C2C77" w:rsidRPr="0009445C" w:rsidRDefault="004C2C77" w:rsidP="004C2C77">
            <w:pPr>
              <w:spacing w:before="60" w:after="40" w:line="240" w:lineRule="auto"/>
              <w:ind w:right="113"/>
              <w:rPr>
                <w:szCs w:val="18"/>
              </w:rPr>
            </w:pPr>
            <w:r w:rsidRPr="0009445C">
              <w:t>Antimony (Sb)</w:t>
            </w:r>
          </w:p>
        </w:tc>
        <w:tc>
          <w:tcPr>
            <w:tcW w:w="3019" w:type="dxa"/>
            <w:tcBorders>
              <w:top w:val="nil"/>
              <w:left w:val="single" w:sz="4" w:space="0" w:color="auto"/>
              <w:bottom w:val="single" w:sz="4" w:space="0" w:color="auto"/>
              <w:right w:val="single" w:sz="4" w:space="0" w:color="auto"/>
            </w:tcBorders>
          </w:tcPr>
          <w:p w14:paraId="626CBBF5"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0073876A" w14:textId="77777777" w:rsidR="004C2C77" w:rsidRPr="0009445C" w:rsidRDefault="004C2C77" w:rsidP="004C2C77">
            <w:pPr>
              <w:spacing w:before="60" w:after="40" w:line="240" w:lineRule="auto"/>
              <w:ind w:right="113"/>
              <w:rPr>
                <w:szCs w:val="18"/>
              </w:rPr>
            </w:pPr>
            <w:r w:rsidRPr="0009445C">
              <w:t>5.5</w:t>
            </w:r>
          </w:p>
        </w:tc>
      </w:tr>
      <w:tr w:rsidR="004C2C77" w:rsidRPr="0009445C" w14:paraId="3DB008B0"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11D62C6E" w14:textId="77777777" w:rsidR="004C2C77" w:rsidRPr="0009445C" w:rsidRDefault="004C2C77" w:rsidP="004C2C77">
            <w:pPr>
              <w:spacing w:before="60" w:after="40" w:line="240" w:lineRule="auto"/>
              <w:ind w:right="113"/>
              <w:rPr>
                <w:szCs w:val="18"/>
              </w:rPr>
            </w:pPr>
            <w:r w:rsidRPr="0009445C">
              <w:t>Arsenic (As)</w:t>
            </w:r>
          </w:p>
        </w:tc>
        <w:tc>
          <w:tcPr>
            <w:tcW w:w="3019" w:type="dxa"/>
            <w:tcBorders>
              <w:top w:val="nil"/>
              <w:left w:val="single" w:sz="4" w:space="0" w:color="auto"/>
              <w:bottom w:val="single" w:sz="4" w:space="0" w:color="auto"/>
              <w:right w:val="single" w:sz="4" w:space="0" w:color="auto"/>
            </w:tcBorders>
          </w:tcPr>
          <w:p w14:paraId="60732AD6"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3D3F3A65" w14:textId="77777777" w:rsidR="004C2C77" w:rsidRPr="0009445C" w:rsidRDefault="004C2C77" w:rsidP="004C2C77">
            <w:pPr>
              <w:spacing w:before="60" w:after="40" w:line="240" w:lineRule="auto"/>
              <w:ind w:right="113"/>
              <w:rPr>
                <w:szCs w:val="18"/>
              </w:rPr>
            </w:pPr>
            <w:r w:rsidRPr="0009445C">
              <w:t>11</w:t>
            </w:r>
          </w:p>
        </w:tc>
      </w:tr>
      <w:tr w:rsidR="004C2C77" w:rsidRPr="0009445C" w14:paraId="22E744F3"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254A132B" w14:textId="77777777" w:rsidR="004C2C77" w:rsidRPr="0009445C" w:rsidRDefault="004C2C77" w:rsidP="004C2C77">
            <w:pPr>
              <w:spacing w:before="60" w:after="40" w:line="240" w:lineRule="auto"/>
              <w:ind w:right="113"/>
              <w:rPr>
                <w:szCs w:val="18"/>
              </w:rPr>
            </w:pPr>
            <w:r w:rsidRPr="0009445C">
              <w:t>Barium (Ba)</w:t>
            </w:r>
          </w:p>
        </w:tc>
        <w:tc>
          <w:tcPr>
            <w:tcW w:w="3019" w:type="dxa"/>
            <w:tcBorders>
              <w:top w:val="nil"/>
              <w:left w:val="single" w:sz="4" w:space="0" w:color="auto"/>
              <w:bottom w:val="single" w:sz="4" w:space="0" w:color="auto"/>
              <w:right w:val="single" w:sz="4" w:space="0" w:color="auto"/>
            </w:tcBorders>
          </w:tcPr>
          <w:p w14:paraId="25CE1A2F"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6ECF5470" w14:textId="77777777" w:rsidR="004C2C77" w:rsidRPr="0009445C" w:rsidRDefault="004C2C77" w:rsidP="004C2C77">
            <w:pPr>
              <w:spacing w:before="60" w:after="40" w:line="240" w:lineRule="auto"/>
              <w:ind w:right="113"/>
              <w:rPr>
                <w:szCs w:val="18"/>
              </w:rPr>
            </w:pPr>
            <w:r w:rsidRPr="0009445C">
              <w:t>375</w:t>
            </w:r>
          </w:p>
        </w:tc>
      </w:tr>
      <w:tr w:rsidR="004C2C77" w:rsidRPr="0009445C" w14:paraId="624CF3ED"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1D4CE649" w14:textId="77777777" w:rsidR="004C2C77" w:rsidRPr="0009445C" w:rsidRDefault="004C2C77" w:rsidP="004C2C77">
            <w:pPr>
              <w:spacing w:before="60" w:after="40" w:line="240" w:lineRule="auto"/>
              <w:ind w:right="113"/>
              <w:rPr>
                <w:szCs w:val="18"/>
              </w:rPr>
            </w:pPr>
            <w:r w:rsidRPr="0009445C">
              <w:t>Lead (Pb)</w:t>
            </w:r>
          </w:p>
        </w:tc>
        <w:tc>
          <w:tcPr>
            <w:tcW w:w="3019" w:type="dxa"/>
            <w:tcBorders>
              <w:top w:val="nil"/>
              <w:left w:val="single" w:sz="4" w:space="0" w:color="auto"/>
              <w:bottom w:val="single" w:sz="4" w:space="0" w:color="auto"/>
              <w:right w:val="single" w:sz="4" w:space="0" w:color="auto"/>
            </w:tcBorders>
          </w:tcPr>
          <w:p w14:paraId="2A2B475A"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595D1073" w14:textId="77777777" w:rsidR="004C2C77" w:rsidRPr="0009445C" w:rsidRDefault="004C2C77" w:rsidP="004C2C77">
            <w:pPr>
              <w:spacing w:before="60" w:after="40" w:line="240" w:lineRule="auto"/>
              <w:ind w:right="113"/>
              <w:rPr>
                <w:szCs w:val="18"/>
              </w:rPr>
            </w:pPr>
            <w:r w:rsidRPr="0009445C">
              <w:t>7.7</w:t>
            </w:r>
          </w:p>
        </w:tc>
      </w:tr>
      <w:tr w:rsidR="004C2C77" w:rsidRPr="0009445C" w14:paraId="163F063F"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D36B75F" w14:textId="77777777" w:rsidR="004C2C77" w:rsidRPr="0009445C" w:rsidRDefault="004C2C77" w:rsidP="004C2C77">
            <w:pPr>
              <w:spacing w:before="60" w:after="40" w:line="240" w:lineRule="auto"/>
              <w:ind w:right="113"/>
              <w:rPr>
                <w:szCs w:val="18"/>
              </w:rPr>
            </w:pPr>
            <w:r w:rsidRPr="0009445C">
              <w:t>Cadmium (Cd)</w:t>
            </w:r>
          </w:p>
        </w:tc>
        <w:tc>
          <w:tcPr>
            <w:tcW w:w="3019" w:type="dxa"/>
            <w:tcBorders>
              <w:top w:val="nil"/>
              <w:left w:val="single" w:sz="4" w:space="0" w:color="auto"/>
              <w:bottom w:val="single" w:sz="4" w:space="0" w:color="auto"/>
              <w:right w:val="single" w:sz="4" w:space="0" w:color="auto"/>
            </w:tcBorders>
          </w:tcPr>
          <w:p w14:paraId="77257D0B"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743AFE69" w14:textId="77777777" w:rsidR="004C2C77" w:rsidRPr="0009445C" w:rsidRDefault="004C2C77" w:rsidP="004C2C77">
            <w:pPr>
              <w:spacing w:before="60" w:after="40" w:line="240" w:lineRule="auto"/>
              <w:ind w:right="113"/>
              <w:rPr>
                <w:szCs w:val="18"/>
              </w:rPr>
            </w:pPr>
            <w:r w:rsidRPr="0009445C">
              <w:t>0.56</w:t>
            </w:r>
          </w:p>
        </w:tc>
      </w:tr>
      <w:tr w:rsidR="004C2C77" w:rsidRPr="0009445C" w14:paraId="4F4F17BF"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0ADF5B5C" w14:textId="77777777" w:rsidR="004C2C77" w:rsidRPr="0009445C" w:rsidRDefault="004C2C77" w:rsidP="004C2C77">
            <w:pPr>
              <w:spacing w:before="60" w:after="40" w:line="240" w:lineRule="auto"/>
              <w:ind w:right="113"/>
              <w:rPr>
                <w:szCs w:val="18"/>
              </w:rPr>
            </w:pPr>
            <w:r w:rsidRPr="0009445C">
              <w:t>Chromium VI (Cr)</w:t>
            </w:r>
          </w:p>
        </w:tc>
        <w:tc>
          <w:tcPr>
            <w:tcW w:w="3019" w:type="dxa"/>
            <w:tcBorders>
              <w:top w:val="nil"/>
              <w:left w:val="single" w:sz="4" w:space="0" w:color="auto"/>
              <w:bottom w:val="single" w:sz="4" w:space="0" w:color="auto"/>
              <w:right w:val="single" w:sz="4" w:space="0" w:color="auto"/>
            </w:tcBorders>
          </w:tcPr>
          <w:p w14:paraId="35C07BF0"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345F83C6" w14:textId="77777777" w:rsidR="004C2C77" w:rsidRPr="0009445C" w:rsidRDefault="004C2C77" w:rsidP="004C2C77">
            <w:pPr>
              <w:spacing w:before="60" w:after="40" w:line="240" w:lineRule="auto"/>
              <w:ind w:right="113"/>
              <w:rPr>
                <w:szCs w:val="18"/>
              </w:rPr>
            </w:pPr>
            <w:r w:rsidRPr="0009445C">
              <w:t>6.6</w:t>
            </w:r>
          </w:p>
        </w:tc>
      </w:tr>
      <w:tr w:rsidR="004C2C77" w:rsidRPr="0009445C" w14:paraId="6B85B0E1"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284EEBE8" w14:textId="77777777" w:rsidR="004C2C77" w:rsidRPr="0009445C" w:rsidRDefault="004C2C77" w:rsidP="004C2C77">
            <w:pPr>
              <w:spacing w:before="60" w:after="40" w:line="240" w:lineRule="auto"/>
              <w:ind w:right="113"/>
              <w:rPr>
                <w:szCs w:val="18"/>
              </w:rPr>
            </w:pPr>
            <w:r w:rsidRPr="0009445C">
              <w:t>Chromium, total (Cr)</w:t>
            </w:r>
          </w:p>
        </w:tc>
        <w:tc>
          <w:tcPr>
            <w:tcW w:w="3019" w:type="dxa"/>
            <w:tcBorders>
              <w:top w:val="nil"/>
              <w:left w:val="single" w:sz="4" w:space="0" w:color="auto"/>
              <w:bottom w:val="single" w:sz="4" w:space="0" w:color="auto"/>
              <w:right w:val="single" w:sz="4" w:space="0" w:color="auto"/>
            </w:tcBorders>
          </w:tcPr>
          <w:p w14:paraId="76BCDDDF"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4698B5DD" w14:textId="77777777" w:rsidR="004C2C77" w:rsidRPr="0009445C" w:rsidRDefault="004C2C77" w:rsidP="004C2C77">
            <w:pPr>
              <w:spacing w:before="60" w:after="40" w:line="240" w:lineRule="auto"/>
              <w:ind w:right="113"/>
              <w:rPr>
                <w:szCs w:val="18"/>
              </w:rPr>
            </w:pPr>
            <w:r w:rsidRPr="0009445C">
              <w:t>7.7</w:t>
            </w:r>
          </w:p>
        </w:tc>
      </w:tr>
      <w:tr w:rsidR="00FE15AB" w:rsidRPr="0009445C" w14:paraId="10DFDE3D"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02DFA087" w14:textId="77777777" w:rsidR="00FE15AB" w:rsidRPr="0009445C" w:rsidRDefault="00FE15AB" w:rsidP="004C2C77">
            <w:pPr>
              <w:spacing w:before="60" w:after="40" w:line="240" w:lineRule="auto"/>
              <w:ind w:right="113"/>
              <w:rPr>
                <w:szCs w:val="18"/>
              </w:rPr>
            </w:pPr>
            <w:r w:rsidRPr="0009445C">
              <w:t>Cyanide</w:t>
            </w:r>
          </w:p>
        </w:tc>
        <w:tc>
          <w:tcPr>
            <w:tcW w:w="3019" w:type="dxa"/>
            <w:tcBorders>
              <w:top w:val="nil"/>
              <w:left w:val="single" w:sz="4" w:space="0" w:color="auto"/>
              <w:bottom w:val="single" w:sz="4" w:space="0" w:color="auto"/>
              <w:right w:val="single" w:sz="4" w:space="0" w:color="auto"/>
            </w:tcBorders>
          </w:tcPr>
          <w:p w14:paraId="581E0706" w14:textId="77777777" w:rsidR="00FE15AB" w:rsidRPr="0009445C" w:rsidRDefault="00FE15AB"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130062ED" w14:textId="77777777" w:rsidR="00FE15AB" w:rsidRPr="0009445C" w:rsidRDefault="00FE15AB" w:rsidP="004C2C77">
            <w:pPr>
              <w:spacing w:before="60" w:after="40" w:line="240" w:lineRule="auto"/>
              <w:ind w:right="113"/>
              <w:rPr>
                <w:szCs w:val="18"/>
              </w:rPr>
            </w:pPr>
            <w:r w:rsidRPr="0009445C">
              <w:t>5.5</w:t>
            </w:r>
          </w:p>
        </w:tc>
      </w:tr>
      <w:tr w:rsidR="004C2C77" w:rsidRPr="0009445C" w14:paraId="187479D0"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775D9037" w14:textId="77777777" w:rsidR="004C2C77" w:rsidRPr="0009445C" w:rsidRDefault="004C2C77" w:rsidP="004C2C77">
            <w:pPr>
              <w:spacing w:before="60" w:after="40" w:line="240" w:lineRule="auto"/>
              <w:ind w:right="113"/>
              <w:rPr>
                <w:szCs w:val="18"/>
              </w:rPr>
            </w:pPr>
            <w:r w:rsidRPr="0009445C">
              <w:lastRenderedPageBreak/>
              <w:t>Cobalt (Co)</w:t>
            </w:r>
          </w:p>
        </w:tc>
        <w:tc>
          <w:tcPr>
            <w:tcW w:w="3019" w:type="dxa"/>
            <w:tcBorders>
              <w:top w:val="nil"/>
              <w:left w:val="single" w:sz="4" w:space="0" w:color="auto"/>
              <w:bottom w:val="single" w:sz="4" w:space="0" w:color="auto"/>
              <w:right w:val="single" w:sz="4" w:space="0" w:color="auto"/>
            </w:tcBorders>
          </w:tcPr>
          <w:p w14:paraId="5B7287D0"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53D11DE3" w14:textId="77777777" w:rsidR="004C2C77" w:rsidRPr="0009445C" w:rsidRDefault="004C2C77" w:rsidP="004C2C77">
            <w:pPr>
              <w:spacing w:before="60" w:after="40" w:line="240" w:lineRule="auto"/>
              <w:ind w:right="113"/>
              <w:rPr>
                <w:szCs w:val="18"/>
              </w:rPr>
            </w:pPr>
            <w:r w:rsidRPr="0009445C">
              <w:t>8.8</w:t>
            </w:r>
          </w:p>
        </w:tc>
      </w:tr>
      <w:tr w:rsidR="004C2C77" w:rsidRPr="0009445C" w14:paraId="32DCD398"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4771ED10" w14:textId="77777777" w:rsidR="004C2C77" w:rsidRPr="0009445C" w:rsidRDefault="004C2C77" w:rsidP="004C2C77">
            <w:pPr>
              <w:spacing w:before="60" w:after="40" w:line="240" w:lineRule="auto"/>
              <w:ind w:right="113"/>
              <w:rPr>
                <w:szCs w:val="18"/>
              </w:rPr>
            </w:pPr>
            <w:r w:rsidRPr="0009445C">
              <w:t>Copper (Cu)</w:t>
            </w:r>
          </w:p>
        </w:tc>
        <w:tc>
          <w:tcPr>
            <w:tcW w:w="3019" w:type="dxa"/>
            <w:tcBorders>
              <w:top w:val="nil"/>
              <w:left w:val="single" w:sz="4" w:space="0" w:color="auto"/>
              <w:bottom w:val="single" w:sz="4" w:space="0" w:color="auto"/>
              <w:right w:val="single" w:sz="4" w:space="0" w:color="auto"/>
            </w:tcBorders>
          </w:tcPr>
          <w:p w14:paraId="78A06A1B"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3D139235" w14:textId="77777777" w:rsidR="004C2C77" w:rsidRPr="0009445C" w:rsidRDefault="004C2C77" w:rsidP="004C2C77">
            <w:pPr>
              <w:spacing w:before="60" w:after="40" w:line="240" w:lineRule="auto"/>
              <w:ind w:right="113"/>
              <w:rPr>
                <w:szCs w:val="18"/>
              </w:rPr>
            </w:pPr>
            <w:r w:rsidRPr="0009445C">
              <w:t>15.4</w:t>
            </w:r>
          </w:p>
        </w:tc>
      </w:tr>
      <w:tr w:rsidR="004C2C77" w:rsidRPr="0009445C" w14:paraId="6ACA1BE9"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5CAE4DFA" w14:textId="77777777" w:rsidR="004C2C77" w:rsidRPr="0009445C" w:rsidRDefault="004C2C77" w:rsidP="004C2C77">
            <w:pPr>
              <w:spacing w:before="60" w:after="40" w:line="240" w:lineRule="auto"/>
              <w:ind w:right="113"/>
              <w:rPr>
                <w:szCs w:val="18"/>
              </w:rPr>
            </w:pPr>
            <w:r w:rsidRPr="0009445C">
              <w:t>Molybdenum (Mo)</w:t>
            </w:r>
          </w:p>
        </w:tc>
        <w:tc>
          <w:tcPr>
            <w:tcW w:w="3019" w:type="dxa"/>
            <w:tcBorders>
              <w:top w:val="nil"/>
              <w:left w:val="single" w:sz="4" w:space="0" w:color="auto"/>
              <w:bottom w:val="single" w:sz="4" w:space="0" w:color="auto"/>
              <w:right w:val="single" w:sz="4" w:space="0" w:color="auto"/>
            </w:tcBorders>
          </w:tcPr>
          <w:p w14:paraId="25F24EE8"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5BC9E103" w14:textId="77777777" w:rsidR="004C2C77" w:rsidRPr="0009445C" w:rsidRDefault="004C2C77" w:rsidP="004C2C77">
            <w:pPr>
              <w:spacing w:before="60" w:after="40" w:line="240" w:lineRule="auto"/>
              <w:ind w:right="113"/>
              <w:rPr>
                <w:szCs w:val="18"/>
              </w:rPr>
            </w:pPr>
            <w:r w:rsidRPr="0009445C">
              <w:t>38.6</w:t>
            </w:r>
          </w:p>
        </w:tc>
      </w:tr>
      <w:tr w:rsidR="004C2C77" w:rsidRPr="0009445C" w14:paraId="315BE858"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669DA218" w14:textId="77777777" w:rsidR="004C2C77" w:rsidRPr="0009445C" w:rsidRDefault="004C2C77" w:rsidP="004C2C77">
            <w:pPr>
              <w:spacing w:before="60" w:after="40" w:line="240" w:lineRule="auto"/>
              <w:ind w:right="113"/>
              <w:rPr>
                <w:szCs w:val="18"/>
              </w:rPr>
            </w:pPr>
            <w:r w:rsidRPr="0009445C">
              <w:t>Nickel (Ni)</w:t>
            </w:r>
          </w:p>
        </w:tc>
        <w:tc>
          <w:tcPr>
            <w:tcW w:w="3019" w:type="dxa"/>
            <w:tcBorders>
              <w:top w:val="nil"/>
              <w:left w:val="single" w:sz="4" w:space="0" w:color="auto"/>
              <w:bottom w:val="single" w:sz="4" w:space="0" w:color="auto"/>
              <w:right w:val="single" w:sz="4" w:space="0" w:color="auto"/>
            </w:tcBorders>
          </w:tcPr>
          <w:p w14:paraId="486054A6"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329C4DA8" w14:textId="77777777" w:rsidR="004C2C77" w:rsidRPr="0009445C" w:rsidRDefault="004C2C77" w:rsidP="004C2C77">
            <w:pPr>
              <w:spacing w:before="60" w:after="40" w:line="240" w:lineRule="auto"/>
              <w:ind w:right="113"/>
              <w:rPr>
                <w:szCs w:val="18"/>
              </w:rPr>
            </w:pPr>
            <w:r w:rsidRPr="0009445C">
              <w:t>15.4</w:t>
            </w:r>
          </w:p>
        </w:tc>
      </w:tr>
      <w:tr w:rsidR="004C2C77" w:rsidRPr="0009445C" w14:paraId="227AC2E5"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2DED484B" w14:textId="77777777" w:rsidR="004C2C77" w:rsidRPr="0009445C" w:rsidRDefault="004C2C77" w:rsidP="004C2C77">
            <w:pPr>
              <w:spacing w:before="60" w:after="40" w:line="240" w:lineRule="auto"/>
              <w:ind w:right="113"/>
              <w:rPr>
                <w:szCs w:val="18"/>
              </w:rPr>
            </w:pPr>
            <w:r w:rsidRPr="0009445C">
              <w:t>Mercury (Hg)</w:t>
            </w:r>
          </w:p>
        </w:tc>
        <w:tc>
          <w:tcPr>
            <w:tcW w:w="3019" w:type="dxa"/>
            <w:tcBorders>
              <w:top w:val="nil"/>
              <w:left w:val="single" w:sz="4" w:space="0" w:color="auto"/>
              <w:bottom w:val="single" w:sz="4" w:space="0" w:color="auto"/>
              <w:right w:val="single" w:sz="4" w:space="0" w:color="auto"/>
            </w:tcBorders>
          </w:tcPr>
          <w:p w14:paraId="02FB344D"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7A121349" w14:textId="77777777" w:rsidR="004C2C77" w:rsidRPr="0009445C" w:rsidRDefault="004C2C77" w:rsidP="004C2C77">
            <w:pPr>
              <w:spacing w:before="60" w:after="40" w:line="240" w:lineRule="auto"/>
              <w:ind w:right="113"/>
              <w:rPr>
                <w:szCs w:val="18"/>
              </w:rPr>
            </w:pPr>
            <w:r w:rsidRPr="0009445C">
              <w:t>0.22</w:t>
            </w:r>
          </w:p>
        </w:tc>
      </w:tr>
      <w:tr w:rsidR="00FE15AB" w:rsidRPr="0009445C" w14:paraId="20E4297B"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5A93A0D5" w14:textId="77777777" w:rsidR="00FE15AB" w:rsidRPr="0009445C" w:rsidRDefault="00FE15AB" w:rsidP="004C2C77">
            <w:pPr>
              <w:spacing w:before="60" w:after="40" w:line="240" w:lineRule="auto"/>
              <w:ind w:right="113"/>
              <w:rPr>
                <w:szCs w:val="18"/>
              </w:rPr>
            </w:pPr>
            <w:r w:rsidRPr="0009445C">
              <w:t>Selenium</w:t>
            </w:r>
          </w:p>
        </w:tc>
        <w:tc>
          <w:tcPr>
            <w:tcW w:w="3019" w:type="dxa"/>
            <w:tcBorders>
              <w:top w:val="nil"/>
              <w:left w:val="single" w:sz="4" w:space="0" w:color="auto"/>
              <w:bottom w:val="single" w:sz="4" w:space="0" w:color="auto"/>
              <w:right w:val="single" w:sz="4" w:space="0" w:color="auto"/>
            </w:tcBorders>
          </w:tcPr>
          <w:p w14:paraId="6C8DFCD1" w14:textId="77777777" w:rsidR="00FE15AB" w:rsidRPr="0009445C" w:rsidRDefault="00FE15AB"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1E28DE48" w14:textId="77777777" w:rsidR="00FE15AB" w:rsidRPr="0009445C" w:rsidRDefault="00FE15AB" w:rsidP="004C2C77">
            <w:pPr>
              <w:spacing w:before="60" w:after="40" w:line="240" w:lineRule="auto"/>
              <w:ind w:right="113"/>
              <w:rPr>
                <w:szCs w:val="18"/>
              </w:rPr>
            </w:pPr>
            <w:r w:rsidRPr="0009445C">
              <w:t>7.7</w:t>
            </w:r>
          </w:p>
        </w:tc>
      </w:tr>
      <w:tr w:rsidR="004C2C77" w:rsidRPr="0009445C" w14:paraId="3F3012AF"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6C18056F" w14:textId="77777777" w:rsidR="004C2C77" w:rsidRPr="0009445C" w:rsidRDefault="004C2C77" w:rsidP="004C2C77">
            <w:pPr>
              <w:spacing w:before="60" w:after="40" w:line="240" w:lineRule="auto"/>
              <w:ind w:right="113"/>
              <w:rPr>
                <w:szCs w:val="18"/>
              </w:rPr>
            </w:pPr>
            <w:r w:rsidRPr="0009445C">
              <w:t>Thallium (Tl)</w:t>
            </w:r>
          </w:p>
        </w:tc>
        <w:tc>
          <w:tcPr>
            <w:tcW w:w="3019" w:type="dxa"/>
            <w:tcBorders>
              <w:top w:val="nil"/>
              <w:left w:val="single" w:sz="4" w:space="0" w:color="auto"/>
              <w:bottom w:val="single" w:sz="4" w:space="0" w:color="auto"/>
              <w:right w:val="single" w:sz="4" w:space="0" w:color="auto"/>
            </w:tcBorders>
          </w:tcPr>
          <w:p w14:paraId="7095648A"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2E3EEDA8" w14:textId="77777777" w:rsidR="004C2C77" w:rsidRPr="0009445C" w:rsidRDefault="004C2C77" w:rsidP="004C2C77">
            <w:pPr>
              <w:spacing w:before="60" w:after="40" w:line="240" w:lineRule="auto"/>
              <w:ind w:right="113"/>
              <w:rPr>
                <w:szCs w:val="18"/>
              </w:rPr>
            </w:pPr>
            <w:r w:rsidRPr="0009445C">
              <w:t>0.88</w:t>
            </w:r>
          </w:p>
        </w:tc>
      </w:tr>
      <w:tr w:rsidR="004C2C77" w:rsidRPr="0009445C" w14:paraId="583CFBD0"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2499672" w14:textId="77777777" w:rsidR="004C2C77" w:rsidRPr="0009445C" w:rsidRDefault="004C2C77" w:rsidP="004C2C77">
            <w:pPr>
              <w:spacing w:before="60" w:after="40" w:line="240" w:lineRule="auto"/>
              <w:ind w:right="113"/>
              <w:rPr>
                <w:szCs w:val="18"/>
              </w:rPr>
            </w:pPr>
            <w:r w:rsidRPr="0009445C">
              <w:t>Vanadium (V)</w:t>
            </w:r>
          </w:p>
        </w:tc>
        <w:tc>
          <w:tcPr>
            <w:tcW w:w="3019" w:type="dxa"/>
            <w:tcBorders>
              <w:top w:val="nil"/>
              <w:left w:val="single" w:sz="4" w:space="0" w:color="auto"/>
              <w:bottom w:val="single" w:sz="4" w:space="0" w:color="auto"/>
              <w:right w:val="single" w:sz="4" w:space="0" w:color="auto"/>
            </w:tcBorders>
          </w:tcPr>
          <w:p w14:paraId="4C1D6935"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1F59EF45" w14:textId="77777777" w:rsidR="004C2C77" w:rsidRPr="0009445C" w:rsidRDefault="004C2C77" w:rsidP="004C2C77">
            <w:pPr>
              <w:spacing w:before="60" w:after="40" w:line="240" w:lineRule="auto"/>
              <w:ind w:right="113"/>
              <w:rPr>
                <w:szCs w:val="18"/>
              </w:rPr>
            </w:pPr>
            <w:r w:rsidRPr="0009445C">
              <w:t>4.4*</w:t>
            </w:r>
          </w:p>
        </w:tc>
      </w:tr>
      <w:tr w:rsidR="004C2C77" w:rsidRPr="0009445C" w14:paraId="1BDBFB41"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36953AEC" w14:textId="77777777" w:rsidR="004C2C77" w:rsidRPr="0009445C" w:rsidRDefault="004C2C77" w:rsidP="004C2C77">
            <w:pPr>
              <w:spacing w:before="60" w:after="40" w:line="240" w:lineRule="auto"/>
              <w:ind w:right="113"/>
              <w:rPr>
                <w:szCs w:val="18"/>
              </w:rPr>
            </w:pPr>
            <w:r w:rsidRPr="0009445C">
              <w:t>Zinc (Zn)</w:t>
            </w:r>
          </w:p>
        </w:tc>
        <w:tc>
          <w:tcPr>
            <w:tcW w:w="3019" w:type="dxa"/>
            <w:tcBorders>
              <w:top w:val="nil"/>
              <w:left w:val="single" w:sz="4" w:space="0" w:color="auto"/>
              <w:bottom w:val="single" w:sz="4" w:space="0" w:color="auto"/>
              <w:right w:val="single" w:sz="4" w:space="0" w:color="auto"/>
            </w:tcBorders>
          </w:tcPr>
          <w:p w14:paraId="160239D7"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6E71B93B" w14:textId="77777777" w:rsidR="004C2C77" w:rsidRPr="0009445C" w:rsidRDefault="004C2C77" w:rsidP="004C2C77">
            <w:pPr>
              <w:spacing w:before="60" w:after="40" w:line="240" w:lineRule="auto"/>
              <w:ind w:right="113"/>
              <w:rPr>
                <w:szCs w:val="18"/>
              </w:rPr>
            </w:pPr>
            <w:r w:rsidRPr="0009445C">
              <w:t>63.9</w:t>
            </w:r>
          </w:p>
        </w:tc>
      </w:tr>
      <w:tr w:rsidR="004C2C77" w:rsidRPr="0009445C" w14:paraId="1779575F"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6142B8F7" w14:textId="77777777" w:rsidR="004C2C77" w:rsidRPr="0009445C" w:rsidRDefault="004C2C77" w:rsidP="004C2C77">
            <w:pPr>
              <w:spacing w:before="60" w:after="40" w:line="240" w:lineRule="auto"/>
              <w:ind w:right="113"/>
              <w:rPr>
                <w:szCs w:val="18"/>
              </w:rPr>
            </w:pPr>
            <w:r w:rsidRPr="0009445C">
              <w:t>Chloride (Cl</w:t>
            </w:r>
            <w:r w:rsidRPr="0009445C">
              <w:rPr>
                <w:vertAlign w:val="superscript"/>
              </w:rPr>
              <w:t>-</w:t>
            </w:r>
            <w:r w:rsidRPr="0009445C">
              <w:t>)</w:t>
            </w:r>
          </w:p>
        </w:tc>
        <w:tc>
          <w:tcPr>
            <w:tcW w:w="3019" w:type="dxa"/>
            <w:tcBorders>
              <w:top w:val="nil"/>
              <w:left w:val="single" w:sz="4" w:space="0" w:color="auto"/>
              <w:bottom w:val="single" w:sz="4" w:space="0" w:color="auto"/>
              <w:right w:val="single" w:sz="4" w:space="0" w:color="auto"/>
            </w:tcBorders>
          </w:tcPr>
          <w:p w14:paraId="57BEB917"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4ACF8DA2" w14:textId="77777777" w:rsidR="004C2C77" w:rsidRPr="0009445C" w:rsidRDefault="004C2C77" w:rsidP="004C2C77">
            <w:pPr>
              <w:spacing w:before="60" w:after="40" w:line="240" w:lineRule="auto"/>
              <w:ind w:right="113"/>
              <w:rPr>
                <w:szCs w:val="18"/>
              </w:rPr>
            </w:pPr>
            <w:r w:rsidRPr="0009445C">
              <w:t>27 5000</w:t>
            </w:r>
          </w:p>
        </w:tc>
      </w:tr>
      <w:tr w:rsidR="004C2C77" w:rsidRPr="0009445C" w14:paraId="76A2AAC3"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251990FC" w14:textId="77777777" w:rsidR="004C2C77" w:rsidRPr="0009445C" w:rsidRDefault="004C2C77" w:rsidP="004C2C77">
            <w:pPr>
              <w:spacing w:before="60" w:after="40" w:line="240" w:lineRule="auto"/>
              <w:ind w:right="113"/>
              <w:rPr>
                <w:szCs w:val="18"/>
              </w:rPr>
            </w:pPr>
            <w:r w:rsidRPr="0009445C">
              <w:t>Fluoride (F-)</w:t>
            </w:r>
          </w:p>
        </w:tc>
        <w:tc>
          <w:tcPr>
            <w:tcW w:w="3019" w:type="dxa"/>
            <w:tcBorders>
              <w:top w:val="nil"/>
              <w:left w:val="single" w:sz="4" w:space="0" w:color="auto"/>
              <w:bottom w:val="single" w:sz="4" w:space="0" w:color="auto"/>
              <w:right w:val="single" w:sz="4" w:space="0" w:color="auto"/>
            </w:tcBorders>
          </w:tcPr>
          <w:p w14:paraId="60DBD33C"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6C438DC5" w14:textId="77777777" w:rsidR="004C2C77" w:rsidRPr="0009445C" w:rsidRDefault="004C2C77" w:rsidP="004C2C77">
            <w:pPr>
              <w:spacing w:before="60" w:after="40" w:line="240" w:lineRule="auto"/>
              <w:ind w:right="113"/>
              <w:rPr>
                <w:szCs w:val="18"/>
              </w:rPr>
            </w:pPr>
            <w:r w:rsidRPr="0009445C">
              <w:t>826</w:t>
            </w:r>
          </w:p>
        </w:tc>
      </w:tr>
      <w:tr w:rsidR="004C2C77" w:rsidRPr="0009445C" w14:paraId="2D991AE6" w14:textId="77777777" w:rsidTr="004C2C77">
        <w:trPr>
          <w:trHeight w:val="283"/>
        </w:trPr>
        <w:tc>
          <w:tcPr>
            <w:tcW w:w="3034" w:type="dxa"/>
            <w:tcBorders>
              <w:top w:val="nil"/>
              <w:left w:val="single" w:sz="4" w:space="0" w:color="auto"/>
              <w:bottom w:val="single" w:sz="4" w:space="0" w:color="auto"/>
              <w:right w:val="single" w:sz="4" w:space="0" w:color="auto"/>
            </w:tcBorders>
            <w:shd w:val="clear" w:color="auto" w:fill="FFFFFF"/>
          </w:tcPr>
          <w:p w14:paraId="597DDFC4" w14:textId="77777777" w:rsidR="004C2C77" w:rsidRPr="0009445C" w:rsidRDefault="004C2C77" w:rsidP="004C2C77">
            <w:pPr>
              <w:spacing w:before="60" w:after="40" w:line="240" w:lineRule="auto"/>
              <w:ind w:right="113"/>
              <w:rPr>
                <w:szCs w:val="18"/>
              </w:rPr>
            </w:pPr>
            <w:r w:rsidRPr="0009445C">
              <w:t>Sulphate (SO</w:t>
            </w:r>
            <w:r w:rsidRPr="0009445C">
              <w:rPr>
                <w:vertAlign w:val="subscript"/>
              </w:rPr>
              <w:t>4</w:t>
            </w:r>
            <w:r w:rsidRPr="0009445C">
              <w:rPr>
                <w:vertAlign w:val="superscript"/>
              </w:rPr>
              <w:t>2-</w:t>
            </w:r>
            <w:r w:rsidRPr="0009445C">
              <w:t>)</w:t>
            </w:r>
          </w:p>
        </w:tc>
        <w:tc>
          <w:tcPr>
            <w:tcW w:w="3019" w:type="dxa"/>
            <w:tcBorders>
              <w:top w:val="nil"/>
              <w:left w:val="single" w:sz="4" w:space="0" w:color="auto"/>
              <w:bottom w:val="single" w:sz="4" w:space="0" w:color="auto"/>
              <w:right w:val="single" w:sz="4" w:space="0" w:color="auto"/>
            </w:tcBorders>
          </w:tcPr>
          <w:p w14:paraId="4CFE55D1" w14:textId="77777777" w:rsidR="004C2C77" w:rsidRPr="0009445C" w:rsidRDefault="004C2C77" w:rsidP="004C2C77">
            <w:pPr>
              <w:spacing w:before="60" w:after="40" w:line="240" w:lineRule="auto"/>
              <w:ind w:right="113"/>
              <w:rPr>
                <w:szCs w:val="18"/>
              </w:rPr>
            </w:pPr>
            <w:r w:rsidRPr="0009445C">
              <w:t>mg/m²</w:t>
            </w:r>
          </w:p>
        </w:tc>
        <w:tc>
          <w:tcPr>
            <w:tcW w:w="3019" w:type="dxa"/>
            <w:tcBorders>
              <w:top w:val="nil"/>
              <w:left w:val="single" w:sz="4" w:space="0" w:color="auto"/>
              <w:bottom w:val="single" w:sz="4" w:space="0" w:color="auto"/>
              <w:right w:val="single" w:sz="4" w:space="0" w:color="auto"/>
            </w:tcBorders>
          </w:tcPr>
          <w:p w14:paraId="542F172E" w14:textId="77777777" w:rsidR="004C2C77" w:rsidRPr="0009445C" w:rsidRDefault="004C2C77" w:rsidP="004C2C77">
            <w:pPr>
              <w:spacing w:before="60" w:after="40" w:line="240" w:lineRule="auto"/>
              <w:ind w:right="113"/>
              <w:rPr>
                <w:szCs w:val="18"/>
              </w:rPr>
            </w:pPr>
            <w:r w:rsidRPr="0009445C">
              <w:t>264 500</w:t>
            </w:r>
          </w:p>
        </w:tc>
      </w:tr>
      <w:tr w:rsidR="004C2C77" w:rsidRPr="0009445C" w14:paraId="3D0D279D" w14:textId="77777777" w:rsidTr="004C2C77">
        <w:trPr>
          <w:trHeight w:val="37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65A9C591" w14:textId="77777777" w:rsidR="004C2C77" w:rsidRPr="0009445C" w:rsidRDefault="004C2C77" w:rsidP="004C2C77">
            <w:pPr>
              <w:spacing w:before="120" w:after="120" w:line="240" w:lineRule="auto"/>
              <w:ind w:left="113" w:right="113"/>
              <w:rPr>
                <w:kern w:val="28"/>
                <w:sz w:val="16"/>
              </w:rPr>
            </w:pPr>
            <w:r w:rsidRPr="0009445C">
              <w:rPr>
                <w:sz w:val="16"/>
              </w:rPr>
              <w:t>*</w:t>
            </w:r>
            <w:r w:rsidRPr="0009445C">
              <w:rPr>
                <w:sz w:val="16"/>
              </w:rPr>
              <w:tab/>
              <w:t>Currently suspended</w:t>
            </w:r>
          </w:p>
        </w:tc>
      </w:tr>
    </w:tbl>
    <w:p w14:paraId="3CB58701" w14:textId="77777777" w:rsidR="004C2C77" w:rsidRPr="0009445C" w:rsidRDefault="004C2C77" w:rsidP="004C2C77">
      <w:pPr>
        <w:tabs>
          <w:tab w:val="left" w:pos="709"/>
          <w:tab w:val="left" w:pos="851"/>
        </w:tabs>
        <w:spacing w:before="40"/>
        <w:ind w:left="680" w:hanging="680"/>
        <w:rPr>
          <w:b/>
        </w:rPr>
      </w:pPr>
    </w:p>
    <w:p w14:paraId="1B090A75" w14:textId="77777777" w:rsidR="004C2C77" w:rsidRPr="0009445C" w:rsidRDefault="004C2C77" w:rsidP="004C2C77">
      <w:pPr>
        <w:pStyle w:val="BRLTabelleberschrift"/>
        <w:spacing w:before="0" w:after="120"/>
      </w:pPr>
      <w:r w:rsidRPr="0009445C">
        <w:t>Table A-7:</w:t>
      </w:r>
      <w:r w:rsidRPr="0009445C">
        <w:tab/>
        <w:t>Upper limits for eluate concentrations and solids of glass powder, for the manufacture of foam glass chips for filling</w:t>
      </w:r>
    </w:p>
    <w:tbl>
      <w:tblPr>
        <w:tblW w:w="9072" w:type="dxa"/>
        <w:tblInd w:w="65" w:type="dxa"/>
        <w:tblLayout w:type="fixed"/>
        <w:tblCellMar>
          <w:left w:w="70" w:type="dxa"/>
          <w:right w:w="70" w:type="dxa"/>
        </w:tblCellMar>
        <w:tblLook w:val="0000" w:firstRow="0" w:lastRow="0" w:firstColumn="0" w:lastColumn="0" w:noHBand="0" w:noVBand="0"/>
      </w:tblPr>
      <w:tblGrid>
        <w:gridCol w:w="714"/>
        <w:gridCol w:w="2693"/>
        <w:gridCol w:w="2977"/>
        <w:gridCol w:w="2688"/>
      </w:tblGrid>
      <w:tr w:rsidR="004C2C77" w:rsidRPr="0009445C" w14:paraId="064EE729" w14:textId="77777777" w:rsidTr="004C2C77">
        <w:trPr>
          <w:trHeight w:val="138"/>
        </w:trPr>
        <w:tc>
          <w:tcPr>
            <w:tcW w:w="714" w:type="dxa"/>
            <w:tcBorders>
              <w:top w:val="single" w:sz="4" w:space="0" w:color="auto"/>
              <w:left w:val="single" w:sz="4" w:space="0" w:color="auto"/>
              <w:bottom w:val="single" w:sz="4" w:space="0" w:color="auto"/>
              <w:right w:val="single" w:sz="4" w:space="0" w:color="auto"/>
            </w:tcBorders>
            <w:shd w:val="clear" w:color="auto" w:fill="FFFFFF"/>
          </w:tcPr>
          <w:p w14:paraId="44E2DCDB" w14:textId="77777777" w:rsidR="004C2C77" w:rsidRPr="0009445C" w:rsidRDefault="004C2C77" w:rsidP="004C2C77">
            <w:pPr>
              <w:keepNext/>
              <w:keepLines/>
              <w:spacing w:line="240" w:lineRule="auto"/>
              <w:ind w:right="113"/>
              <w:rPr>
                <w:b/>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E3F99CB" w14:textId="77777777" w:rsidR="004C2C77" w:rsidRPr="0009445C" w:rsidRDefault="004C2C77" w:rsidP="004C2C77">
            <w:pPr>
              <w:keepNext/>
              <w:keepLines/>
              <w:spacing w:before="60" w:after="40" w:line="240" w:lineRule="auto"/>
              <w:ind w:right="113"/>
              <w:rPr>
                <w:b/>
                <w:szCs w:val="18"/>
              </w:rPr>
            </w:pPr>
            <w:r w:rsidRPr="0009445C">
              <w:rPr>
                <w:b/>
              </w:rPr>
              <w:t>Parameter</w:t>
            </w:r>
          </w:p>
        </w:tc>
        <w:tc>
          <w:tcPr>
            <w:tcW w:w="2977" w:type="dxa"/>
            <w:tcBorders>
              <w:top w:val="single" w:sz="4" w:space="0" w:color="auto"/>
              <w:left w:val="nil"/>
              <w:bottom w:val="single" w:sz="4" w:space="0" w:color="auto"/>
              <w:right w:val="single" w:sz="4" w:space="0" w:color="auto"/>
            </w:tcBorders>
            <w:shd w:val="clear" w:color="auto" w:fill="FFFFFF"/>
          </w:tcPr>
          <w:p w14:paraId="78FBF196" w14:textId="77777777" w:rsidR="004C2C77" w:rsidRPr="0009445C" w:rsidRDefault="004C2C77" w:rsidP="004C2C77">
            <w:pPr>
              <w:keepNext/>
              <w:keepLines/>
              <w:spacing w:before="60" w:after="40" w:line="240" w:lineRule="auto"/>
              <w:ind w:right="113"/>
              <w:rPr>
                <w:b/>
                <w:szCs w:val="18"/>
              </w:rPr>
            </w:pPr>
            <w:r w:rsidRPr="0009445C">
              <w:rPr>
                <w:b/>
              </w:rPr>
              <w:t>Dimension</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14:paraId="746FF675" w14:textId="77777777" w:rsidR="004C2C77" w:rsidRPr="0009445C" w:rsidRDefault="004C2C77" w:rsidP="004C2C77">
            <w:pPr>
              <w:keepNext/>
              <w:keepLines/>
              <w:spacing w:before="60" w:after="40" w:line="240" w:lineRule="auto"/>
              <w:ind w:right="113"/>
              <w:rPr>
                <w:b/>
                <w:szCs w:val="18"/>
              </w:rPr>
            </w:pPr>
            <w:r w:rsidRPr="0009445C">
              <w:rPr>
                <w:b/>
              </w:rPr>
              <w:t>Upper limit</w:t>
            </w:r>
          </w:p>
        </w:tc>
      </w:tr>
      <w:tr w:rsidR="004C2C77" w:rsidRPr="0009445C" w14:paraId="22E0DF61" w14:textId="77777777" w:rsidTr="004C2C77">
        <w:trPr>
          <w:trHeight w:val="285"/>
        </w:trPr>
        <w:tc>
          <w:tcPr>
            <w:tcW w:w="714" w:type="dxa"/>
            <w:vMerge w:val="restart"/>
            <w:tcBorders>
              <w:top w:val="nil"/>
              <w:left w:val="single" w:sz="4" w:space="0" w:color="auto"/>
              <w:right w:val="single" w:sz="4" w:space="0" w:color="auto"/>
            </w:tcBorders>
            <w:shd w:val="clear" w:color="auto" w:fill="FFFFFF"/>
            <w:textDirection w:val="btLr"/>
          </w:tcPr>
          <w:p w14:paraId="1C06BEBA" w14:textId="77777777" w:rsidR="004C2C77" w:rsidRPr="0009445C" w:rsidRDefault="004C2C77" w:rsidP="004C2C77">
            <w:pPr>
              <w:keepNext/>
              <w:keepLines/>
              <w:spacing w:line="240" w:lineRule="auto"/>
              <w:ind w:left="113" w:right="113"/>
              <w:rPr>
                <w:b/>
                <w:szCs w:val="18"/>
              </w:rPr>
            </w:pPr>
            <w:r w:rsidRPr="0009445C">
              <w:rPr>
                <w:b/>
              </w:rPr>
              <w:t>Eluate concentration</w:t>
            </w:r>
          </w:p>
        </w:tc>
        <w:tc>
          <w:tcPr>
            <w:tcW w:w="2693" w:type="dxa"/>
            <w:tcBorders>
              <w:top w:val="nil"/>
              <w:left w:val="single" w:sz="4" w:space="0" w:color="auto"/>
              <w:bottom w:val="single" w:sz="4" w:space="0" w:color="auto"/>
              <w:right w:val="single" w:sz="4" w:space="0" w:color="auto"/>
            </w:tcBorders>
            <w:shd w:val="clear" w:color="auto" w:fill="auto"/>
          </w:tcPr>
          <w:p w14:paraId="49CFAD34" w14:textId="77777777" w:rsidR="004C2C77" w:rsidRPr="0009445C" w:rsidRDefault="004C2C77" w:rsidP="004C2C77">
            <w:pPr>
              <w:keepNext/>
              <w:keepLines/>
              <w:spacing w:before="60" w:after="40" w:line="240" w:lineRule="auto"/>
              <w:ind w:right="113"/>
              <w:rPr>
                <w:szCs w:val="18"/>
              </w:rPr>
            </w:pPr>
            <w:r w:rsidRPr="0009445C">
              <w:t>Arsenic (As)</w:t>
            </w:r>
          </w:p>
        </w:tc>
        <w:tc>
          <w:tcPr>
            <w:tcW w:w="2977" w:type="dxa"/>
            <w:tcBorders>
              <w:top w:val="single" w:sz="4" w:space="0" w:color="auto"/>
              <w:left w:val="nil"/>
              <w:bottom w:val="single" w:sz="4" w:space="0" w:color="auto"/>
              <w:right w:val="single" w:sz="4" w:space="0" w:color="auto"/>
            </w:tcBorders>
          </w:tcPr>
          <w:p w14:paraId="3F34703E" w14:textId="77777777" w:rsidR="004C2C77" w:rsidRPr="0009445C" w:rsidRDefault="004C2C77" w:rsidP="004C2C77">
            <w:pPr>
              <w:keepNext/>
              <w:keepLines/>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59C2D7E2" w14:textId="77777777" w:rsidR="004C2C77" w:rsidRPr="0009445C" w:rsidRDefault="004C2C77" w:rsidP="004C2C77">
            <w:pPr>
              <w:keepNext/>
              <w:keepLines/>
              <w:spacing w:before="60" w:after="40" w:line="240" w:lineRule="auto"/>
              <w:ind w:right="113"/>
              <w:rPr>
                <w:szCs w:val="18"/>
              </w:rPr>
            </w:pPr>
            <w:r w:rsidRPr="0009445C">
              <w:t>20</w:t>
            </w:r>
          </w:p>
        </w:tc>
      </w:tr>
      <w:tr w:rsidR="004C2C77" w:rsidRPr="0009445C" w14:paraId="45859CA9" w14:textId="77777777" w:rsidTr="004C2C77">
        <w:trPr>
          <w:trHeight w:val="285"/>
        </w:trPr>
        <w:tc>
          <w:tcPr>
            <w:tcW w:w="714" w:type="dxa"/>
            <w:vMerge/>
            <w:tcBorders>
              <w:left w:val="single" w:sz="4" w:space="0" w:color="auto"/>
              <w:right w:val="single" w:sz="4" w:space="0" w:color="auto"/>
            </w:tcBorders>
            <w:shd w:val="clear" w:color="auto" w:fill="FFFFFF"/>
          </w:tcPr>
          <w:p w14:paraId="27E663C2"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4C8DC2F2" w14:textId="77777777" w:rsidR="004C2C77" w:rsidRPr="0009445C" w:rsidRDefault="004C2C77" w:rsidP="004C2C77">
            <w:pPr>
              <w:spacing w:before="60" w:after="40" w:line="240" w:lineRule="auto"/>
              <w:ind w:right="113"/>
              <w:rPr>
                <w:szCs w:val="18"/>
              </w:rPr>
            </w:pPr>
            <w:r w:rsidRPr="0009445C">
              <w:t>Lead (Pb)</w:t>
            </w:r>
          </w:p>
        </w:tc>
        <w:tc>
          <w:tcPr>
            <w:tcW w:w="2977" w:type="dxa"/>
            <w:tcBorders>
              <w:top w:val="single" w:sz="4" w:space="0" w:color="auto"/>
              <w:left w:val="nil"/>
              <w:bottom w:val="single" w:sz="4" w:space="0" w:color="auto"/>
              <w:right w:val="single" w:sz="4" w:space="0" w:color="auto"/>
            </w:tcBorders>
          </w:tcPr>
          <w:p w14:paraId="757CA3F7"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49AB23B4" w14:textId="77777777" w:rsidR="004C2C77" w:rsidRPr="0009445C" w:rsidRDefault="004C2C77" w:rsidP="004C2C77">
            <w:pPr>
              <w:spacing w:before="60" w:after="40" w:line="240" w:lineRule="auto"/>
              <w:ind w:right="113"/>
              <w:rPr>
                <w:szCs w:val="18"/>
              </w:rPr>
            </w:pPr>
            <w:r w:rsidRPr="0009445C">
              <w:t>80</w:t>
            </w:r>
          </w:p>
        </w:tc>
      </w:tr>
      <w:tr w:rsidR="004C2C77" w:rsidRPr="0009445C" w14:paraId="4CDE8C9C" w14:textId="77777777" w:rsidTr="004C2C77">
        <w:trPr>
          <w:trHeight w:val="285"/>
        </w:trPr>
        <w:tc>
          <w:tcPr>
            <w:tcW w:w="714" w:type="dxa"/>
            <w:vMerge/>
            <w:tcBorders>
              <w:left w:val="single" w:sz="4" w:space="0" w:color="auto"/>
              <w:right w:val="single" w:sz="4" w:space="0" w:color="auto"/>
            </w:tcBorders>
            <w:shd w:val="clear" w:color="auto" w:fill="FFFFFF"/>
          </w:tcPr>
          <w:p w14:paraId="31D7EB4B"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436A654D" w14:textId="77777777" w:rsidR="004C2C77" w:rsidRPr="0009445C" w:rsidRDefault="004C2C77" w:rsidP="004C2C77">
            <w:pPr>
              <w:spacing w:before="60" w:after="40" w:line="240" w:lineRule="auto"/>
              <w:ind w:right="113"/>
              <w:rPr>
                <w:szCs w:val="18"/>
              </w:rPr>
            </w:pPr>
            <w:r w:rsidRPr="0009445C">
              <w:t>Cadmium (Cd)</w:t>
            </w:r>
          </w:p>
        </w:tc>
        <w:tc>
          <w:tcPr>
            <w:tcW w:w="2977" w:type="dxa"/>
            <w:tcBorders>
              <w:top w:val="single" w:sz="4" w:space="0" w:color="auto"/>
              <w:left w:val="nil"/>
              <w:bottom w:val="single" w:sz="4" w:space="0" w:color="auto"/>
              <w:right w:val="single" w:sz="4" w:space="0" w:color="auto"/>
            </w:tcBorders>
          </w:tcPr>
          <w:p w14:paraId="63BD18A2"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6866DAA3" w14:textId="77777777" w:rsidR="004C2C77" w:rsidRPr="0009445C" w:rsidRDefault="004C2C77" w:rsidP="004C2C77">
            <w:pPr>
              <w:spacing w:before="60" w:after="40" w:line="240" w:lineRule="auto"/>
              <w:ind w:right="113"/>
              <w:rPr>
                <w:szCs w:val="18"/>
              </w:rPr>
            </w:pPr>
            <w:r w:rsidRPr="0009445C">
              <w:t>3</w:t>
            </w:r>
          </w:p>
        </w:tc>
      </w:tr>
      <w:tr w:rsidR="004C2C77" w:rsidRPr="0009445C" w14:paraId="0E01657F" w14:textId="77777777" w:rsidTr="004C2C77">
        <w:trPr>
          <w:trHeight w:val="285"/>
        </w:trPr>
        <w:tc>
          <w:tcPr>
            <w:tcW w:w="714" w:type="dxa"/>
            <w:vMerge/>
            <w:tcBorders>
              <w:left w:val="single" w:sz="4" w:space="0" w:color="auto"/>
              <w:right w:val="single" w:sz="4" w:space="0" w:color="auto"/>
            </w:tcBorders>
            <w:shd w:val="clear" w:color="auto" w:fill="FFFFFF"/>
          </w:tcPr>
          <w:p w14:paraId="10C51E02"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751CE454" w14:textId="77777777" w:rsidR="004C2C77" w:rsidRPr="0009445C" w:rsidRDefault="004C2C77" w:rsidP="004C2C77">
            <w:pPr>
              <w:spacing w:before="60" w:after="40" w:line="240" w:lineRule="auto"/>
              <w:ind w:right="113"/>
              <w:rPr>
                <w:szCs w:val="18"/>
              </w:rPr>
            </w:pPr>
            <w:r w:rsidRPr="0009445C">
              <w:t>Chromium, total (Cr)</w:t>
            </w:r>
          </w:p>
        </w:tc>
        <w:tc>
          <w:tcPr>
            <w:tcW w:w="2977" w:type="dxa"/>
            <w:tcBorders>
              <w:top w:val="single" w:sz="4" w:space="0" w:color="auto"/>
              <w:left w:val="nil"/>
              <w:bottom w:val="single" w:sz="4" w:space="0" w:color="auto"/>
              <w:right w:val="single" w:sz="4" w:space="0" w:color="auto"/>
            </w:tcBorders>
          </w:tcPr>
          <w:p w14:paraId="70704DCB"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1F655883" w14:textId="77777777" w:rsidR="004C2C77" w:rsidRPr="0009445C" w:rsidRDefault="004C2C77" w:rsidP="004C2C77">
            <w:pPr>
              <w:spacing w:before="60" w:after="40" w:line="240" w:lineRule="auto"/>
              <w:ind w:right="113"/>
              <w:rPr>
                <w:szCs w:val="18"/>
              </w:rPr>
            </w:pPr>
            <w:r w:rsidRPr="0009445C">
              <w:t>25</w:t>
            </w:r>
          </w:p>
        </w:tc>
      </w:tr>
      <w:tr w:rsidR="004C2C77" w:rsidRPr="0009445C" w14:paraId="2DEFFD3E" w14:textId="77777777" w:rsidTr="004C2C77">
        <w:trPr>
          <w:trHeight w:val="285"/>
        </w:trPr>
        <w:tc>
          <w:tcPr>
            <w:tcW w:w="714" w:type="dxa"/>
            <w:vMerge/>
            <w:tcBorders>
              <w:left w:val="single" w:sz="4" w:space="0" w:color="auto"/>
              <w:right w:val="single" w:sz="4" w:space="0" w:color="auto"/>
            </w:tcBorders>
            <w:shd w:val="clear" w:color="auto" w:fill="FFFFFF"/>
          </w:tcPr>
          <w:p w14:paraId="669F6CAF"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0D197495" w14:textId="77777777" w:rsidR="004C2C77" w:rsidRPr="0009445C" w:rsidRDefault="004C2C77" w:rsidP="004C2C77">
            <w:pPr>
              <w:spacing w:before="60" w:after="40" w:line="240" w:lineRule="auto"/>
              <w:ind w:right="113"/>
              <w:rPr>
                <w:szCs w:val="18"/>
              </w:rPr>
            </w:pPr>
            <w:r w:rsidRPr="0009445C">
              <w:t>Copper (Cu)</w:t>
            </w:r>
          </w:p>
        </w:tc>
        <w:tc>
          <w:tcPr>
            <w:tcW w:w="2977" w:type="dxa"/>
            <w:tcBorders>
              <w:top w:val="single" w:sz="4" w:space="0" w:color="auto"/>
              <w:left w:val="nil"/>
              <w:bottom w:val="single" w:sz="4" w:space="0" w:color="auto"/>
              <w:right w:val="single" w:sz="4" w:space="0" w:color="auto"/>
            </w:tcBorders>
          </w:tcPr>
          <w:p w14:paraId="249A2709"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48D852DE" w14:textId="77777777" w:rsidR="004C2C77" w:rsidRPr="0009445C" w:rsidRDefault="004C2C77" w:rsidP="004C2C77">
            <w:pPr>
              <w:spacing w:before="60" w:after="40" w:line="240" w:lineRule="auto"/>
              <w:ind w:right="113"/>
              <w:rPr>
                <w:szCs w:val="18"/>
              </w:rPr>
            </w:pPr>
            <w:r w:rsidRPr="0009445C">
              <w:t>60</w:t>
            </w:r>
          </w:p>
        </w:tc>
      </w:tr>
      <w:tr w:rsidR="004C2C77" w:rsidRPr="0009445C" w14:paraId="085B3599" w14:textId="77777777" w:rsidTr="004C2C77">
        <w:trPr>
          <w:trHeight w:val="285"/>
        </w:trPr>
        <w:tc>
          <w:tcPr>
            <w:tcW w:w="714" w:type="dxa"/>
            <w:vMerge/>
            <w:tcBorders>
              <w:left w:val="single" w:sz="4" w:space="0" w:color="auto"/>
              <w:right w:val="single" w:sz="4" w:space="0" w:color="auto"/>
            </w:tcBorders>
            <w:shd w:val="clear" w:color="auto" w:fill="FFFFFF"/>
          </w:tcPr>
          <w:p w14:paraId="6AD31142"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3E49F3BC" w14:textId="77777777" w:rsidR="004C2C77" w:rsidRPr="0009445C" w:rsidRDefault="004C2C77" w:rsidP="004C2C77">
            <w:pPr>
              <w:spacing w:before="60" w:after="40" w:line="240" w:lineRule="auto"/>
              <w:ind w:right="113"/>
              <w:rPr>
                <w:szCs w:val="18"/>
              </w:rPr>
            </w:pPr>
            <w:r w:rsidRPr="0009445C">
              <w:t>Nickel (Ni)</w:t>
            </w:r>
          </w:p>
        </w:tc>
        <w:tc>
          <w:tcPr>
            <w:tcW w:w="2977" w:type="dxa"/>
            <w:tcBorders>
              <w:top w:val="single" w:sz="4" w:space="0" w:color="auto"/>
              <w:left w:val="nil"/>
              <w:bottom w:val="single" w:sz="4" w:space="0" w:color="auto"/>
              <w:right w:val="single" w:sz="4" w:space="0" w:color="auto"/>
            </w:tcBorders>
          </w:tcPr>
          <w:p w14:paraId="3618365C"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59EA30B3" w14:textId="77777777" w:rsidR="004C2C77" w:rsidRPr="0009445C" w:rsidRDefault="004C2C77" w:rsidP="004C2C77">
            <w:pPr>
              <w:spacing w:before="60" w:after="40" w:line="240" w:lineRule="auto"/>
              <w:ind w:right="113"/>
              <w:rPr>
                <w:szCs w:val="18"/>
              </w:rPr>
            </w:pPr>
            <w:r w:rsidRPr="0009445C">
              <w:t>20</w:t>
            </w:r>
          </w:p>
        </w:tc>
      </w:tr>
      <w:tr w:rsidR="004C2C77" w:rsidRPr="0009445C" w14:paraId="539EF5A7" w14:textId="77777777" w:rsidTr="004C2C77">
        <w:trPr>
          <w:trHeight w:val="285"/>
        </w:trPr>
        <w:tc>
          <w:tcPr>
            <w:tcW w:w="714" w:type="dxa"/>
            <w:vMerge/>
            <w:tcBorders>
              <w:left w:val="single" w:sz="4" w:space="0" w:color="auto"/>
              <w:right w:val="single" w:sz="4" w:space="0" w:color="auto"/>
            </w:tcBorders>
            <w:shd w:val="clear" w:color="auto" w:fill="FFFFFF"/>
          </w:tcPr>
          <w:p w14:paraId="2E23D7A5"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30149D19" w14:textId="77777777" w:rsidR="004C2C77" w:rsidRPr="0009445C" w:rsidRDefault="004C2C77" w:rsidP="004C2C77">
            <w:pPr>
              <w:spacing w:before="60" w:after="40" w:line="240" w:lineRule="auto"/>
              <w:ind w:right="113"/>
              <w:rPr>
                <w:szCs w:val="18"/>
              </w:rPr>
            </w:pPr>
            <w:r w:rsidRPr="0009445C">
              <w:t>Mercury (Hg)</w:t>
            </w:r>
          </w:p>
        </w:tc>
        <w:tc>
          <w:tcPr>
            <w:tcW w:w="2977" w:type="dxa"/>
            <w:tcBorders>
              <w:top w:val="single" w:sz="4" w:space="0" w:color="auto"/>
              <w:left w:val="nil"/>
              <w:bottom w:val="single" w:sz="4" w:space="0" w:color="auto"/>
              <w:right w:val="single" w:sz="4" w:space="0" w:color="auto"/>
            </w:tcBorders>
          </w:tcPr>
          <w:p w14:paraId="21DB9EDA"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0169D1B6" w14:textId="77777777" w:rsidR="004C2C77" w:rsidRPr="0009445C" w:rsidRDefault="004C2C77" w:rsidP="004C2C77">
            <w:pPr>
              <w:spacing w:before="60" w:after="40" w:line="240" w:lineRule="auto"/>
              <w:ind w:right="113"/>
              <w:rPr>
                <w:szCs w:val="18"/>
              </w:rPr>
            </w:pPr>
            <w:r w:rsidRPr="0009445C">
              <w:t>1</w:t>
            </w:r>
          </w:p>
        </w:tc>
      </w:tr>
      <w:tr w:rsidR="004C2C77" w:rsidRPr="0009445C" w14:paraId="1D0586F2" w14:textId="77777777" w:rsidTr="004C2C77">
        <w:trPr>
          <w:trHeight w:val="285"/>
        </w:trPr>
        <w:tc>
          <w:tcPr>
            <w:tcW w:w="714" w:type="dxa"/>
            <w:vMerge/>
            <w:tcBorders>
              <w:left w:val="single" w:sz="4" w:space="0" w:color="auto"/>
              <w:right w:val="single" w:sz="4" w:space="0" w:color="auto"/>
            </w:tcBorders>
            <w:shd w:val="clear" w:color="auto" w:fill="FFFFFF"/>
          </w:tcPr>
          <w:p w14:paraId="1442ECE6" w14:textId="77777777" w:rsidR="004C2C77" w:rsidRPr="0009445C" w:rsidRDefault="004C2C77" w:rsidP="004C2C77">
            <w:pPr>
              <w:spacing w:line="240" w:lineRule="auto"/>
              <w:ind w:right="113"/>
              <w:rPr>
                <w:b/>
                <w:szCs w:val="18"/>
              </w:rPr>
            </w:pPr>
          </w:p>
        </w:tc>
        <w:tc>
          <w:tcPr>
            <w:tcW w:w="2693" w:type="dxa"/>
            <w:tcBorders>
              <w:top w:val="nil"/>
              <w:left w:val="single" w:sz="4" w:space="0" w:color="auto"/>
              <w:bottom w:val="single" w:sz="4" w:space="0" w:color="auto"/>
              <w:right w:val="single" w:sz="4" w:space="0" w:color="auto"/>
            </w:tcBorders>
            <w:shd w:val="clear" w:color="auto" w:fill="auto"/>
          </w:tcPr>
          <w:p w14:paraId="668701B4" w14:textId="77777777" w:rsidR="004C2C77" w:rsidRPr="0009445C" w:rsidRDefault="004C2C77" w:rsidP="004C2C77">
            <w:pPr>
              <w:spacing w:before="60" w:after="40" w:line="240" w:lineRule="auto"/>
              <w:ind w:right="113"/>
              <w:rPr>
                <w:szCs w:val="18"/>
              </w:rPr>
            </w:pPr>
            <w:r w:rsidRPr="0009445C">
              <w:t>Zinc (Zn)</w:t>
            </w:r>
          </w:p>
        </w:tc>
        <w:tc>
          <w:tcPr>
            <w:tcW w:w="2977" w:type="dxa"/>
            <w:tcBorders>
              <w:top w:val="single" w:sz="4" w:space="0" w:color="auto"/>
              <w:left w:val="nil"/>
              <w:bottom w:val="single" w:sz="4" w:space="0" w:color="auto"/>
              <w:right w:val="single" w:sz="4" w:space="0" w:color="auto"/>
            </w:tcBorders>
          </w:tcPr>
          <w:p w14:paraId="64594189" w14:textId="77777777" w:rsidR="004C2C77" w:rsidRPr="0009445C" w:rsidRDefault="004C2C77" w:rsidP="004C2C77">
            <w:pPr>
              <w:spacing w:before="60" w:after="40" w:line="240" w:lineRule="auto"/>
              <w:ind w:right="113"/>
              <w:rPr>
                <w:szCs w:val="18"/>
              </w:rPr>
            </w:pPr>
            <w:r w:rsidRPr="0009445C">
              <w:t>µg/l</w:t>
            </w:r>
          </w:p>
        </w:tc>
        <w:tc>
          <w:tcPr>
            <w:tcW w:w="2688" w:type="dxa"/>
            <w:tcBorders>
              <w:top w:val="single" w:sz="4" w:space="0" w:color="auto"/>
              <w:left w:val="single" w:sz="4" w:space="0" w:color="auto"/>
              <w:bottom w:val="single" w:sz="4" w:space="0" w:color="auto"/>
              <w:right w:val="single" w:sz="4" w:space="0" w:color="auto"/>
            </w:tcBorders>
          </w:tcPr>
          <w:p w14:paraId="4F341B3B" w14:textId="77777777" w:rsidR="004C2C77" w:rsidRPr="0009445C" w:rsidRDefault="004C2C77" w:rsidP="004C2C77">
            <w:pPr>
              <w:spacing w:before="60" w:after="40" w:line="240" w:lineRule="auto"/>
              <w:ind w:right="113"/>
              <w:rPr>
                <w:szCs w:val="18"/>
              </w:rPr>
            </w:pPr>
            <w:r w:rsidRPr="0009445C">
              <w:t>200</w:t>
            </w:r>
          </w:p>
        </w:tc>
      </w:tr>
      <w:tr w:rsidR="004C2C77" w:rsidRPr="0009445C" w14:paraId="43553444" w14:textId="77777777" w:rsidTr="004C2C77">
        <w:trPr>
          <w:trHeight w:val="285"/>
        </w:trPr>
        <w:tc>
          <w:tcPr>
            <w:tcW w:w="714" w:type="dxa"/>
            <w:vMerge w:val="restart"/>
            <w:tcBorders>
              <w:top w:val="single" w:sz="4" w:space="0" w:color="auto"/>
              <w:left w:val="single" w:sz="4" w:space="0" w:color="auto"/>
              <w:right w:val="single" w:sz="4" w:space="0" w:color="auto"/>
            </w:tcBorders>
            <w:shd w:val="clear" w:color="auto" w:fill="FFFFFF"/>
            <w:textDirection w:val="btLr"/>
          </w:tcPr>
          <w:p w14:paraId="7816A397" w14:textId="77777777" w:rsidR="004C2C77" w:rsidRPr="0009445C" w:rsidRDefault="004C2C77" w:rsidP="004C2C77">
            <w:pPr>
              <w:spacing w:line="240" w:lineRule="auto"/>
              <w:ind w:left="113" w:right="113"/>
              <w:rPr>
                <w:b/>
                <w:szCs w:val="18"/>
              </w:rPr>
            </w:pPr>
            <w:r w:rsidRPr="0009445C">
              <w:rPr>
                <w:b/>
              </w:rPr>
              <w:t>Solid content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8EC21B" w14:textId="77777777" w:rsidR="004C2C77" w:rsidRPr="0009445C" w:rsidRDefault="004C2C77" w:rsidP="004C2C77">
            <w:pPr>
              <w:spacing w:before="60" w:after="40" w:line="240" w:lineRule="auto"/>
              <w:ind w:right="113"/>
              <w:rPr>
                <w:szCs w:val="18"/>
              </w:rPr>
            </w:pPr>
            <w:r w:rsidRPr="0009445C">
              <w:t>Arsenic (As)</w:t>
            </w:r>
          </w:p>
        </w:tc>
        <w:tc>
          <w:tcPr>
            <w:tcW w:w="2977" w:type="dxa"/>
            <w:tcBorders>
              <w:top w:val="single" w:sz="4" w:space="0" w:color="auto"/>
              <w:left w:val="nil"/>
              <w:bottom w:val="single" w:sz="4" w:space="0" w:color="auto"/>
              <w:right w:val="single" w:sz="4" w:space="0" w:color="auto"/>
            </w:tcBorders>
          </w:tcPr>
          <w:p w14:paraId="5AB94F29"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121ED16E" w14:textId="77777777" w:rsidR="004C2C77" w:rsidRPr="0009445C" w:rsidRDefault="004C2C77" w:rsidP="004C2C77">
            <w:pPr>
              <w:spacing w:before="60" w:after="40" w:line="240" w:lineRule="auto"/>
              <w:ind w:right="113"/>
              <w:rPr>
                <w:szCs w:val="18"/>
              </w:rPr>
            </w:pPr>
            <w:r w:rsidRPr="0009445C">
              <w:t>45</w:t>
            </w:r>
          </w:p>
        </w:tc>
      </w:tr>
      <w:tr w:rsidR="004C2C77" w:rsidRPr="0009445C" w14:paraId="673664C1" w14:textId="77777777" w:rsidTr="004C2C77">
        <w:trPr>
          <w:trHeight w:val="285"/>
        </w:trPr>
        <w:tc>
          <w:tcPr>
            <w:tcW w:w="714" w:type="dxa"/>
            <w:vMerge/>
            <w:tcBorders>
              <w:left w:val="single" w:sz="4" w:space="0" w:color="auto"/>
              <w:right w:val="single" w:sz="4" w:space="0" w:color="auto"/>
            </w:tcBorders>
            <w:shd w:val="clear" w:color="auto" w:fill="FFFFFF"/>
          </w:tcPr>
          <w:p w14:paraId="36C2DD3C"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AE1A0A" w14:textId="77777777" w:rsidR="004C2C77" w:rsidRPr="0009445C" w:rsidRDefault="004C2C77" w:rsidP="004C2C77">
            <w:pPr>
              <w:spacing w:before="60" w:after="40" w:line="240" w:lineRule="auto"/>
              <w:ind w:right="113"/>
              <w:rPr>
                <w:szCs w:val="18"/>
              </w:rPr>
            </w:pPr>
            <w:r w:rsidRPr="0009445C">
              <w:t>Lead (Pb)</w:t>
            </w:r>
          </w:p>
        </w:tc>
        <w:tc>
          <w:tcPr>
            <w:tcW w:w="2977" w:type="dxa"/>
            <w:tcBorders>
              <w:top w:val="single" w:sz="4" w:space="0" w:color="auto"/>
              <w:left w:val="nil"/>
              <w:bottom w:val="single" w:sz="4" w:space="0" w:color="auto"/>
              <w:right w:val="single" w:sz="4" w:space="0" w:color="auto"/>
            </w:tcBorders>
          </w:tcPr>
          <w:p w14:paraId="6E29EA44"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590D1DA0" w14:textId="77777777" w:rsidR="004C2C77" w:rsidRPr="0009445C" w:rsidRDefault="004C2C77" w:rsidP="004C2C77">
            <w:pPr>
              <w:spacing w:before="60" w:after="40" w:line="240" w:lineRule="auto"/>
              <w:ind w:right="113"/>
              <w:rPr>
                <w:szCs w:val="18"/>
              </w:rPr>
            </w:pPr>
            <w:r w:rsidRPr="0009445C">
              <w:t>210</w:t>
            </w:r>
          </w:p>
        </w:tc>
      </w:tr>
      <w:tr w:rsidR="004C2C77" w:rsidRPr="0009445C" w14:paraId="276297F2" w14:textId="77777777" w:rsidTr="004C2C77">
        <w:trPr>
          <w:trHeight w:val="285"/>
        </w:trPr>
        <w:tc>
          <w:tcPr>
            <w:tcW w:w="714" w:type="dxa"/>
            <w:vMerge/>
            <w:tcBorders>
              <w:left w:val="single" w:sz="4" w:space="0" w:color="auto"/>
              <w:right w:val="single" w:sz="4" w:space="0" w:color="auto"/>
            </w:tcBorders>
            <w:shd w:val="clear" w:color="auto" w:fill="FFFFFF"/>
          </w:tcPr>
          <w:p w14:paraId="2CC433F4"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09EA6F" w14:textId="77777777" w:rsidR="004C2C77" w:rsidRPr="0009445C" w:rsidRDefault="004C2C77" w:rsidP="004C2C77">
            <w:pPr>
              <w:spacing w:before="60" w:after="40" w:line="240" w:lineRule="auto"/>
              <w:ind w:right="113"/>
              <w:rPr>
                <w:szCs w:val="18"/>
              </w:rPr>
            </w:pPr>
            <w:r w:rsidRPr="0009445C">
              <w:t>Cadmium (Cd)</w:t>
            </w:r>
          </w:p>
        </w:tc>
        <w:tc>
          <w:tcPr>
            <w:tcW w:w="2977" w:type="dxa"/>
            <w:tcBorders>
              <w:top w:val="single" w:sz="4" w:space="0" w:color="auto"/>
              <w:left w:val="nil"/>
              <w:bottom w:val="single" w:sz="4" w:space="0" w:color="auto"/>
              <w:right w:val="single" w:sz="4" w:space="0" w:color="auto"/>
            </w:tcBorders>
          </w:tcPr>
          <w:p w14:paraId="5D739983"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36D513BA" w14:textId="77777777" w:rsidR="004C2C77" w:rsidRPr="0009445C" w:rsidRDefault="004C2C77" w:rsidP="004C2C77">
            <w:pPr>
              <w:spacing w:before="60" w:after="40" w:line="240" w:lineRule="auto"/>
              <w:ind w:right="113"/>
              <w:rPr>
                <w:szCs w:val="18"/>
              </w:rPr>
            </w:pPr>
            <w:r w:rsidRPr="0009445C">
              <w:t>3</w:t>
            </w:r>
          </w:p>
        </w:tc>
      </w:tr>
      <w:tr w:rsidR="004C2C77" w:rsidRPr="0009445C" w14:paraId="7CB209C8" w14:textId="77777777" w:rsidTr="004C2C77">
        <w:trPr>
          <w:trHeight w:val="285"/>
        </w:trPr>
        <w:tc>
          <w:tcPr>
            <w:tcW w:w="714" w:type="dxa"/>
            <w:vMerge/>
            <w:tcBorders>
              <w:left w:val="single" w:sz="4" w:space="0" w:color="auto"/>
              <w:right w:val="single" w:sz="4" w:space="0" w:color="auto"/>
            </w:tcBorders>
            <w:shd w:val="clear" w:color="auto" w:fill="FFFFFF"/>
          </w:tcPr>
          <w:p w14:paraId="0C6BDC6F"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F446AC" w14:textId="77777777" w:rsidR="004C2C77" w:rsidRPr="0009445C" w:rsidRDefault="004C2C77" w:rsidP="004C2C77">
            <w:pPr>
              <w:spacing w:before="60" w:after="40" w:line="240" w:lineRule="auto"/>
              <w:ind w:right="113"/>
              <w:rPr>
                <w:szCs w:val="18"/>
              </w:rPr>
            </w:pPr>
            <w:r w:rsidRPr="0009445C">
              <w:t>Chromium, total (Cr)</w:t>
            </w:r>
          </w:p>
        </w:tc>
        <w:tc>
          <w:tcPr>
            <w:tcW w:w="2977" w:type="dxa"/>
            <w:tcBorders>
              <w:top w:val="single" w:sz="4" w:space="0" w:color="auto"/>
              <w:left w:val="nil"/>
              <w:bottom w:val="single" w:sz="4" w:space="0" w:color="auto"/>
              <w:right w:val="single" w:sz="4" w:space="0" w:color="auto"/>
            </w:tcBorders>
          </w:tcPr>
          <w:p w14:paraId="5647FEBD"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230472BA" w14:textId="77777777" w:rsidR="004C2C77" w:rsidRPr="0009445C" w:rsidRDefault="004C2C77" w:rsidP="004C2C77">
            <w:pPr>
              <w:spacing w:before="60" w:after="40" w:line="240" w:lineRule="auto"/>
              <w:ind w:right="113"/>
              <w:rPr>
                <w:szCs w:val="18"/>
              </w:rPr>
            </w:pPr>
            <w:r w:rsidRPr="0009445C">
              <w:t>180</w:t>
            </w:r>
          </w:p>
        </w:tc>
      </w:tr>
      <w:tr w:rsidR="004C2C77" w:rsidRPr="0009445C" w14:paraId="22087736" w14:textId="77777777" w:rsidTr="004C2C77">
        <w:trPr>
          <w:trHeight w:val="285"/>
        </w:trPr>
        <w:tc>
          <w:tcPr>
            <w:tcW w:w="714" w:type="dxa"/>
            <w:vMerge/>
            <w:tcBorders>
              <w:left w:val="single" w:sz="4" w:space="0" w:color="auto"/>
              <w:right w:val="single" w:sz="4" w:space="0" w:color="auto"/>
            </w:tcBorders>
            <w:shd w:val="clear" w:color="auto" w:fill="FFFFFF"/>
          </w:tcPr>
          <w:p w14:paraId="552E310B"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1C68B5" w14:textId="77777777" w:rsidR="004C2C77" w:rsidRPr="0009445C" w:rsidRDefault="004C2C77" w:rsidP="004C2C77">
            <w:pPr>
              <w:spacing w:before="60" w:after="40" w:line="240" w:lineRule="auto"/>
              <w:ind w:right="113"/>
              <w:rPr>
                <w:szCs w:val="18"/>
              </w:rPr>
            </w:pPr>
            <w:r w:rsidRPr="0009445C">
              <w:t>Copper (Cu)</w:t>
            </w:r>
          </w:p>
        </w:tc>
        <w:tc>
          <w:tcPr>
            <w:tcW w:w="2977" w:type="dxa"/>
            <w:tcBorders>
              <w:top w:val="single" w:sz="4" w:space="0" w:color="auto"/>
              <w:left w:val="nil"/>
              <w:bottom w:val="single" w:sz="4" w:space="0" w:color="auto"/>
              <w:right w:val="single" w:sz="4" w:space="0" w:color="auto"/>
            </w:tcBorders>
          </w:tcPr>
          <w:p w14:paraId="24E9CF4F"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38C2BE3A" w14:textId="77777777" w:rsidR="004C2C77" w:rsidRPr="0009445C" w:rsidRDefault="004C2C77" w:rsidP="004C2C77">
            <w:pPr>
              <w:spacing w:before="60" w:after="40" w:line="240" w:lineRule="auto"/>
              <w:ind w:right="113"/>
              <w:rPr>
                <w:szCs w:val="18"/>
              </w:rPr>
            </w:pPr>
            <w:r w:rsidRPr="0009445C">
              <w:t>120</w:t>
            </w:r>
          </w:p>
        </w:tc>
      </w:tr>
      <w:tr w:rsidR="004C2C77" w:rsidRPr="0009445C" w14:paraId="500F93CD" w14:textId="77777777" w:rsidTr="004C2C77">
        <w:trPr>
          <w:trHeight w:val="285"/>
        </w:trPr>
        <w:tc>
          <w:tcPr>
            <w:tcW w:w="714" w:type="dxa"/>
            <w:vMerge/>
            <w:tcBorders>
              <w:left w:val="single" w:sz="4" w:space="0" w:color="auto"/>
              <w:right w:val="single" w:sz="4" w:space="0" w:color="auto"/>
            </w:tcBorders>
            <w:shd w:val="clear" w:color="auto" w:fill="FFFFFF"/>
          </w:tcPr>
          <w:p w14:paraId="39D218AD"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097851" w14:textId="77777777" w:rsidR="004C2C77" w:rsidRPr="0009445C" w:rsidRDefault="004C2C77" w:rsidP="004C2C77">
            <w:pPr>
              <w:spacing w:before="60" w:after="40" w:line="240" w:lineRule="auto"/>
              <w:ind w:right="113"/>
              <w:rPr>
                <w:szCs w:val="18"/>
              </w:rPr>
            </w:pPr>
            <w:r w:rsidRPr="0009445C">
              <w:t>Nickel (Ni)</w:t>
            </w:r>
          </w:p>
        </w:tc>
        <w:tc>
          <w:tcPr>
            <w:tcW w:w="2977" w:type="dxa"/>
            <w:tcBorders>
              <w:top w:val="single" w:sz="4" w:space="0" w:color="auto"/>
              <w:left w:val="nil"/>
              <w:bottom w:val="single" w:sz="4" w:space="0" w:color="auto"/>
              <w:right w:val="single" w:sz="4" w:space="0" w:color="auto"/>
            </w:tcBorders>
          </w:tcPr>
          <w:p w14:paraId="2259A29B"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63BFCC5A" w14:textId="77777777" w:rsidR="004C2C77" w:rsidRPr="0009445C" w:rsidRDefault="004C2C77" w:rsidP="004C2C77">
            <w:pPr>
              <w:spacing w:before="60" w:after="40" w:line="240" w:lineRule="auto"/>
              <w:ind w:right="113"/>
              <w:rPr>
                <w:szCs w:val="18"/>
              </w:rPr>
            </w:pPr>
            <w:r w:rsidRPr="0009445C">
              <w:t>150</w:t>
            </w:r>
          </w:p>
        </w:tc>
      </w:tr>
      <w:tr w:rsidR="004C2C77" w:rsidRPr="0009445C" w14:paraId="08FA5063" w14:textId="77777777" w:rsidTr="004C2C77">
        <w:trPr>
          <w:trHeight w:val="285"/>
        </w:trPr>
        <w:tc>
          <w:tcPr>
            <w:tcW w:w="714" w:type="dxa"/>
            <w:vMerge/>
            <w:tcBorders>
              <w:left w:val="single" w:sz="4" w:space="0" w:color="auto"/>
              <w:right w:val="single" w:sz="4" w:space="0" w:color="auto"/>
            </w:tcBorders>
            <w:shd w:val="clear" w:color="auto" w:fill="FFFFFF"/>
          </w:tcPr>
          <w:p w14:paraId="00A60A06"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DB46E4" w14:textId="77777777" w:rsidR="004C2C77" w:rsidRPr="0009445C" w:rsidRDefault="004C2C77" w:rsidP="004C2C77">
            <w:pPr>
              <w:spacing w:before="60" w:after="40" w:line="240" w:lineRule="auto"/>
              <w:ind w:right="113"/>
              <w:rPr>
                <w:szCs w:val="18"/>
              </w:rPr>
            </w:pPr>
            <w:r w:rsidRPr="0009445C">
              <w:t>Mercury (Hg)</w:t>
            </w:r>
          </w:p>
        </w:tc>
        <w:tc>
          <w:tcPr>
            <w:tcW w:w="2977" w:type="dxa"/>
            <w:tcBorders>
              <w:top w:val="single" w:sz="4" w:space="0" w:color="auto"/>
              <w:left w:val="nil"/>
              <w:bottom w:val="single" w:sz="4" w:space="0" w:color="auto"/>
              <w:right w:val="single" w:sz="4" w:space="0" w:color="auto"/>
            </w:tcBorders>
          </w:tcPr>
          <w:p w14:paraId="033B9A4F"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209B82EC" w14:textId="77777777" w:rsidR="004C2C77" w:rsidRPr="0009445C" w:rsidRDefault="004C2C77" w:rsidP="004C2C77">
            <w:pPr>
              <w:spacing w:before="60" w:after="40" w:line="240" w:lineRule="auto"/>
              <w:ind w:right="113"/>
              <w:rPr>
                <w:szCs w:val="18"/>
              </w:rPr>
            </w:pPr>
            <w:r w:rsidRPr="0009445C">
              <w:t>1.5</w:t>
            </w:r>
          </w:p>
        </w:tc>
      </w:tr>
      <w:tr w:rsidR="004C2C77" w:rsidRPr="0009445C" w14:paraId="47758CD3" w14:textId="77777777" w:rsidTr="004C2C77">
        <w:trPr>
          <w:trHeight w:val="285"/>
        </w:trPr>
        <w:tc>
          <w:tcPr>
            <w:tcW w:w="714" w:type="dxa"/>
            <w:vMerge/>
            <w:tcBorders>
              <w:left w:val="single" w:sz="4" w:space="0" w:color="auto"/>
              <w:bottom w:val="single" w:sz="4" w:space="0" w:color="auto"/>
              <w:right w:val="single" w:sz="4" w:space="0" w:color="auto"/>
            </w:tcBorders>
            <w:shd w:val="clear" w:color="auto" w:fill="FFFFFF"/>
          </w:tcPr>
          <w:p w14:paraId="05EA965F" w14:textId="77777777" w:rsidR="004C2C77" w:rsidRPr="0009445C" w:rsidRDefault="004C2C77" w:rsidP="004C2C77">
            <w:pPr>
              <w:spacing w:line="240" w:lineRule="auto"/>
              <w:ind w:right="113"/>
              <w:rPr>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977B07" w14:textId="77777777" w:rsidR="004C2C77" w:rsidRPr="0009445C" w:rsidRDefault="004C2C77" w:rsidP="004C2C77">
            <w:pPr>
              <w:spacing w:before="60" w:after="40" w:line="240" w:lineRule="auto"/>
              <w:ind w:right="113"/>
              <w:rPr>
                <w:szCs w:val="18"/>
              </w:rPr>
            </w:pPr>
            <w:r w:rsidRPr="0009445C">
              <w:t>Zinc (Zn)</w:t>
            </w:r>
          </w:p>
        </w:tc>
        <w:tc>
          <w:tcPr>
            <w:tcW w:w="2977" w:type="dxa"/>
            <w:tcBorders>
              <w:top w:val="single" w:sz="4" w:space="0" w:color="auto"/>
              <w:left w:val="nil"/>
              <w:bottom w:val="single" w:sz="4" w:space="0" w:color="auto"/>
              <w:right w:val="single" w:sz="4" w:space="0" w:color="auto"/>
            </w:tcBorders>
          </w:tcPr>
          <w:p w14:paraId="35577E15" w14:textId="77777777" w:rsidR="004C2C77" w:rsidRPr="0009445C" w:rsidRDefault="004C2C77" w:rsidP="004C2C77">
            <w:pPr>
              <w:spacing w:before="60" w:after="40" w:line="240" w:lineRule="auto"/>
              <w:ind w:right="113"/>
              <w:rPr>
                <w:szCs w:val="18"/>
              </w:rPr>
            </w:pPr>
            <w:r w:rsidRPr="0009445C">
              <w:t>[mg/kg]</w:t>
            </w:r>
          </w:p>
        </w:tc>
        <w:tc>
          <w:tcPr>
            <w:tcW w:w="2688" w:type="dxa"/>
            <w:tcBorders>
              <w:top w:val="single" w:sz="4" w:space="0" w:color="auto"/>
              <w:left w:val="single" w:sz="4" w:space="0" w:color="auto"/>
              <w:bottom w:val="single" w:sz="4" w:space="0" w:color="auto"/>
              <w:right w:val="single" w:sz="4" w:space="0" w:color="auto"/>
            </w:tcBorders>
          </w:tcPr>
          <w:p w14:paraId="788CAA7E" w14:textId="77777777" w:rsidR="004C2C77" w:rsidRPr="0009445C" w:rsidRDefault="004C2C77" w:rsidP="004C2C77">
            <w:pPr>
              <w:spacing w:before="60" w:after="40" w:line="240" w:lineRule="auto"/>
              <w:ind w:right="113"/>
              <w:rPr>
                <w:szCs w:val="18"/>
              </w:rPr>
            </w:pPr>
            <w:r w:rsidRPr="0009445C">
              <w:t>450</w:t>
            </w:r>
          </w:p>
        </w:tc>
      </w:tr>
    </w:tbl>
    <w:p w14:paraId="03A8479C" w14:textId="77777777" w:rsidR="00276293" w:rsidRPr="0009445C" w:rsidRDefault="00276293" w:rsidP="004C2C77">
      <w:pPr>
        <w:sectPr w:rsidR="00276293" w:rsidRPr="0009445C" w:rsidSect="004C2C77">
          <w:headerReference w:type="default" r:id="rId96"/>
          <w:footerReference w:type="default" r:id="rId97"/>
          <w:headerReference w:type="first" r:id="rId98"/>
          <w:footnotePr>
            <w:numRestart w:val="eachSect"/>
          </w:footnotePr>
          <w:pgSz w:w="11906" w:h="16838" w:code="9"/>
          <w:pgMar w:top="1134" w:right="1418" w:bottom="1134" w:left="1418" w:header="709" w:footer="652" w:gutter="0"/>
          <w:cols w:space="708"/>
          <w:titlePg/>
          <w:docGrid w:linePitch="360"/>
        </w:sectPr>
      </w:pPr>
    </w:p>
    <w:p w14:paraId="69CFCDB0" w14:textId="2447B8D2" w:rsidR="009D4C8D" w:rsidRPr="0009445C" w:rsidRDefault="009D4C8D" w:rsidP="00BA2FAB">
      <w:pPr>
        <w:pStyle w:val="Heading2"/>
      </w:pPr>
      <w:bookmarkStart w:id="57" w:name="_Ref24536562"/>
      <w:r w:rsidRPr="0009445C">
        <w:lastRenderedPageBreak/>
        <w:t>Annex 12</w:t>
      </w:r>
      <w:bookmarkEnd w:id="57"/>
    </w:p>
    <w:p w14:paraId="6412C49C" w14:textId="77777777" w:rsidR="009D4C8D" w:rsidRPr="0009445C" w:rsidRDefault="009D4C8D" w:rsidP="009D4C8D">
      <w:pPr>
        <w:rPr>
          <w:b/>
          <w:sz w:val="24"/>
          <w:szCs w:val="24"/>
        </w:rPr>
      </w:pPr>
      <w:bookmarkStart w:id="58" w:name="_Ref91695540"/>
      <w:r w:rsidRPr="0009445C">
        <w:rPr>
          <w:b/>
          <w:sz w:val="24"/>
        </w:rPr>
        <w:t>Application rules for non-load-bearing permanent formwork kits/systems and formwork components for the construction of in-situ concrete walls</w:t>
      </w:r>
      <w:bookmarkEnd w:id="58"/>
    </w:p>
    <w:bookmarkStart w:id="59" w:name="Anhang_12_Stand"/>
    <w:p w14:paraId="3F0D6F30" w14:textId="2F9B8269" w:rsidR="009D4C8D" w:rsidRPr="0009445C" w:rsidRDefault="00375ADF" w:rsidP="009D4C8D">
      <w:sdt>
        <w:sdtPr>
          <w:alias w:val="Version — Annex 12"/>
          <w:tag w:val="S_Anhang12"/>
          <w:id w:val="721099945"/>
          <w:placeholder>
            <w:docPart w:val="D36B9448B36E4E1B916F6024465EA7AB"/>
          </w:placeholder>
          <w:text/>
        </w:sdtPr>
        <w:sdtEndPr/>
        <w:sdtContent>
          <w:r w:rsidRPr="0009445C">
            <w:t>Last updated: October 2021</w:t>
          </w:r>
        </w:sdtContent>
      </w:sdt>
      <w:bookmarkEnd w:id="59"/>
    </w:p>
    <w:p w14:paraId="016F481A" w14:textId="77777777" w:rsidR="009D4C8D" w:rsidRPr="0009445C" w:rsidRDefault="009D4C8D" w:rsidP="009D4C8D">
      <w:pPr>
        <w:rPr>
          <w:b/>
        </w:rPr>
      </w:pPr>
    </w:p>
    <w:p w14:paraId="252DC1BF" w14:textId="77777777" w:rsidR="009D4C8D" w:rsidRPr="0009445C" w:rsidRDefault="009D4C8D" w:rsidP="009D4C8D">
      <w:pPr>
        <w:rPr>
          <w:b/>
        </w:rPr>
      </w:pPr>
    </w:p>
    <w:p w14:paraId="676E8DFC" w14:textId="77777777" w:rsidR="009D4C8D" w:rsidRPr="0009445C" w:rsidRDefault="009D4C8D" w:rsidP="009D4C8D">
      <w:pPr>
        <w:rPr>
          <w:b/>
        </w:rPr>
      </w:pPr>
    </w:p>
    <w:p w14:paraId="1749DA79" w14:textId="77777777" w:rsidR="009D4C8D" w:rsidRPr="0009445C" w:rsidRDefault="009D4C8D" w:rsidP="009D4C8D">
      <w:pPr>
        <w:rPr>
          <w:b/>
        </w:rPr>
      </w:pPr>
      <w:r w:rsidRPr="0009445C">
        <w:rPr>
          <w:b/>
        </w:rPr>
        <w:t>CONTENTS</w:t>
      </w:r>
    </w:p>
    <w:p w14:paraId="074F0E8E" w14:textId="77777777" w:rsidR="009D4C8D" w:rsidRPr="0009445C" w:rsidRDefault="009D4C8D" w:rsidP="009D4C8D"/>
    <w:p w14:paraId="7EEE12B5" w14:textId="77777777" w:rsidR="009D4C8D" w:rsidRPr="0009445C" w:rsidRDefault="009D4C8D" w:rsidP="009D4C8D">
      <w:pPr>
        <w:spacing w:before="100"/>
        <w:rPr>
          <w:caps/>
        </w:rPr>
      </w:pPr>
      <w:r w:rsidRPr="0009445C">
        <w:rPr>
          <w:caps/>
        </w:rPr>
        <w:t>Foreword</w:t>
      </w:r>
    </w:p>
    <w:p w14:paraId="0E50A1A4" w14:textId="77777777" w:rsidR="009D4C8D" w:rsidRPr="0009445C" w:rsidRDefault="009D4C8D" w:rsidP="009D4C8D">
      <w:pPr>
        <w:spacing w:before="100"/>
        <w:rPr>
          <w:caps/>
        </w:rPr>
      </w:pPr>
    </w:p>
    <w:p w14:paraId="4655DC08" w14:textId="77777777" w:rsidR="009D4C8D" w:rsidRPr="0009445C" w:rsidRDefault="009D4C8D" w:rsidP="009D4C8D">
      <w:pPr>
        <w:spacing w:before="100"/>
        <w:rPr>
          <w:caps/>
        </w:rPr>
      </w:pPr>
      <w:r w:rsidRPr="0009445C">
        <w:rPr>
          <w:caps/>
        </w:rPr>
        <w:t>A</w:t>
      </w:r>
      <w:r w:rsidRPr="0009445C">
        <w:rPr>
          <w:caps/>
        </w:rPr>
        <w:tab/>
        <w:t>Special definitions</w:t>
      </w:r>
    </w:p>
    <w:p w14:paraId="66E6F55F" w14:textId="77777777" w:rsidR="009D4C8D" w:rsidRPr="0009445C" w:rsidRDefault="009D4C8D" w:rsidP="009D4C8D">
      <w:pPr>
        <w:spacing w:before="100"/>
        <w:rPr>
          <w:caps/>
        </w:rPr>
      </w:pPr>
      <w:r w:rsidRPr="0009445C">
        <w:rPr>
          <w:caps/>
        </w:rPr>
        <w:t>B</w:t>
      </w:r>
      <w:r w:rsidRPr="0009445C">
        <w:rPr>
          <w:caps/>
        </w:rPr>
        <w:tab/>
        <w:t>Stability and fitness for purpose</w:t>
      </w:r>
    </w:p>
    <w:p w14:paraId="45602EE1" w14:textId="77777777" w:rsidR="009D4C8D" w:rsidRPr="0009445C" w:rsidRDefault="009D4C8D" w:rsidP="009D4C8D">
      <w:pPr>
        <w:spacing w:before="100"/>
        <w:rPr>
          <w:caps/>
        </w:rPr>
      </w:pPr>
      <w:r w:rsidRPr="0009445C">
        <w:rPr>
          <w:caps/>
        </w:rPr>
        <w:t>C</w:t>
      </w:r>
      <w:r w:rsidRPr="0009445C">
        <w:rPr>
          <w:caps/>
        </w:rPr>
        <w:tab/>
        <w:t>Fire protection</w:t>
      </w:r>
    </w:p>
    <w:p w14:paraId="15F340C3" w14:textId="77777777" w:rsidR="009D4C8D" w:rsidRPr="0009445C" w:rsidRDefault="009D4C8D" w:rsidP="009D4C8D">
      <w:pPr>
        <w:spacing w:before="100"/>
        <w:rPr>
          <w:caps/>
        </w:rPr>
      </w:pPr>
      <w:r w:rsidRPr="0009445C">
        <w:rPr>
          <w:caps/>
        </w:rPr>
        <w:t>D</w:t>
      </w:r>
      <w:r w:rsidRPr="0009445C">
        <w:rPr>
          <w:caps/>
        </w:rPr>
        <w:tab/>
        <w:t>Sound insulation</w:t>
      </w:r>
    </w:p>
    <w:p w14:paraId="30083635" w14:textId="77777777" w:rsidR="009D4C8D" w:rsidRPr="0009445C" w:rsidRDefault="009D4C8D" w:rsidP="009D4C8D">
      <w:pPr>
        <w:spacing w:before="100"/>
        <w:rPr>
          <w:caps/>
        </w:rPr>
      </w:pPr>
      <w:r w:rsidRPr="0009445C">
        <w:rPr>
          <w:caps/>
        </w:rPr>
        <w:t>E</w:t>
      </w:r>
      <w:r w:rsidRPr="0009445C">
        <w:rPr>
          <w:caps/>
        </w:rPr>
        <w:tab/>
        <w:t>Thermal insulation</w:t>
      </w:r>
    </w:p>
    <w:p w14:paraId="46146007" w14:textId="77777777" w:rsidR="009D4C8D" w:rsidRPr="0009445C" w:rsidRDefault="009D4C8D" w:rsidP="009D4C8D">
      <w:pPr>
        <w:spacing w:before="100"/>
        <w:rPr>
          <w:caps/>
        </w:rPr>
      </w:pPr>
    </w:p>
    <w:p w14:paraId="16B4BF0B" w14:textId="77777777" w:rsidR="009D4C8D" w:rsidRPr="0009445C" w:rsidRDefault="009D4C8D" w:rsidP="009D4C8D">
      <w:pPr>
        <w:spacing w:before="100"/>
        <w:rPr>
          <w:caps/>
        </w:rPr>
      </w:pPr>
      <w:r w:rsidRPr="0009445C">
        <w:rPr>
          <w:caps/>
        </w:rPr>
        <w:t>References</w:t>
      </w:r>
    </w:p>
    <w:p w14:paraId="2F11BBF3" w14:textId="77777777" w:rsidR="009D4C8D" w:rsidRPr="0009445C" w:rsidRDefault="009D4C8D" w:rsidP="009D4C8D">
      <w:pPr>
        <w:spacing w:before="100"/>
        <w:ind w:left="1418" w:hanging="1418"/>
        <w:rPr>
          <w:caps/>
        </w:rPr>
      </w:pPr>
      <w:r w:rsidRPr="0009445C">
        <w:rPr>
          <w:caps/>
        </w:rPr>
        <w:t>Appendix 1</w:t>
      </w:r>
      <w:r w:rsidRPr="0009445C">
        <w:rPr>
          <w:caps/>
        </w:rPr>
        <w:tab/>
        <w:t>Demonstrating resistance to horizontal effects (</w:t>
      </w:r>
      <w:r w:rsidRPr="0009445C">
        <w:rPr>
          <w:i/>
          <w:caps/>
        </w:rPr>
        <w:t>H</w:t>
      </w:r>
      <w:r w:rsidRPr="0009445C">
        <w:rPr>
          <w:i/>
          <w:caps/>
          <w:vertAlign w:val="subscript"/>
        </w:rPr>
        <w:t>Ed</w:t>
      </w:r>
      <w:r w:rsidRPr="0009445C">
        <w:rPr>
          <w:caps/>
        </w:rPr>
        <w:t>) at wall plane for lattice-type and column-type walls, excluding the effects of earthquakes.</w:t>
      </w:r>
    </w:p>
    <w:p w14:paraId="56642088" w14:textId="77777777" w:rsidR="009D4C8D" w:rsidRPr="0009445C" w:rsidRDefault="009D4C8D" w:rsidP="00600F53">
      <w:pPr>
        <w:pStyle w:val="BRL-berschrift"/>
        <w:sectPr w:rsidR="009D4C8D" w:rsidRPr="0009445C" w:rsidSect="00044502">
          <w:headerReference w:type="even" r:id="rId99"/>
          <w:headerReference w:type="default" r:id="rId100"/>
          <w:footerReference w:type="default" r:id="rId101"/>
          <w:headerReference w:type="first" r:id="rId102"/>
          <w:footerReference w:type="first" r:id="rId103"/>
          <w:pgSz w:w="11906" w:h="16838" w:code="9"/>
          <w:pgMar w:top="1134" w:right="1418" w:bottom="1134" w:left="1418" w:header="709" w:footer="652" w:gutter="0"/>
          <w:cols w:space="708"/>
          <w:titlePg/>
          <w:docGrid w:linePitch="360"/>
        </w:sectPr>
      </w:pPr>
    </w:p>
    <w:p w14:paraId="5A40F7A4" w14:textId="77777777" w:rsidR="009D4C8D" w:rsidRPr="0009445C" w:rsidRDefault="009D4C8D" w:rsidP="00600F53">
      <w:pPr>
        <w:pStyle w:val="BRL-berschrift"/>
      </w:pPr>
      <w:r w:rsidRPr="0009445C">
        <w:lastRenderedPageBreak/>
        <w:t>Foreword</w:t>
      </w:r>
    </w:p>
    <w:p w14:paraId="0969408C" w14:textId="77777777" w:rsidR="009D4C8D" w:rsidRPr="0009445C" w:rsidRDefault="009D4C8D" w:rsidP="009D4C8D">
      <w:pPr>
        <w:pStyle w:val="BRL-Standard"/>
      </w:pPr>
      <w:r w:rsidRPr="0009445C">
        <w:t>This Technical Rule applies to the use or application of construction products or construction kits regulated in the following technical specifications:</w:t>
      </w:r>
    </w:p>
    <w:p w14:paraId="25DDF8E7" w14:textId="77777777" w:rsidR="009D4C8D" w:rsidRPr="0009445C" w:rsidRDefault="009D4C8D" w:rsidP="009D4C8D">
      <w:pPr>
        <w:pStyle w:val="BRL-Standard"/>
      </w:pPr>
    </w:p>
    <w:p w14:paraId="4FA278AE" w14:textId="77777777" w:rsidR="009D4C8D" w:rsidRPr="0009445C" w:rsidRDefault="009D4C8D" w:rsidP="009D4C8D">
      <w:pPr>
        <w:pStyle w:val="ListParagraph"/>
        <w:numPr>
          <w:ilvl w:val="0"/>
          <w:numId w:val="37"/>
        </w:numPr>
        <w:spacing w:after="120" w:line="240" w:lineRule="auto"/>
        <w:ind w:left="391" w:hanging="357"/>
        <w:jc w:val="left"/>
      </w:pPr>
      <w:r w:rsidRPr="0009445C">
        <w:t>Non-load-bearing permanent formwork components as per ETA built on the basis of ETAG </w:t>
      </w:r>
      <w:bookmarkStart w:id="60" w:name="_Ref77343637"/>
      <w:r w:rsidRPr="0009445C">
        <w:t>009 [1]</w:t>
      </w:r>
      <w:bookmarkEnd w:id="60"/>
      <w:r w:rsidRPr="0009445C">
        <w:t xml:space="preserve">, </w:t>
      </w:r>
    </w:p>
    <w:p w14:paraId="26FC7EFC" w14:textId="77777777" w:rsidR="009D4C8D" w:rsidRPr="0009445C" w:rsidRDefault="009D4C8D" w:rsidP="009D4C8D">
      <w:pPr>
        <w:pStyle w:val="ListParagraph"/>
        <w:numPr>
          <w:ilvl w:val="0"/>
          <w:numId w:val="37"/>
        </w:numPr>
        <w:spacing w:after="120" w:line="240" w:lineRule="auto"/>
        <w:ind w:left="391" w:hanging="357"/>
        <w:jc w:val="left"/>
      </w:pPr>
      <w:r w:rsidRPr="0009445C">
        <w:t>Non-load-bearing permanent formwork components made of normal concrete and lightweight concrete as per EN 15435:2008</w:t>
      </w:r>
      <w:bookmarkStart w:id="61" w:name="_Ref77342617"/>
      <w:r w:rsidRPr="0009445C">
        <w:rPr>
          <w:rStyle w:val="FootnoteReference"/>
        </w:rPr>
        <w:footnoteReference w:id="60"/>
      </w:r>
      <w:bookmarkStart w:id="62" w:name="_Ref77343669"/>
      <w:bookmarkEnd w:id="61"/>
      <w:r w:rsidRPr="0009445C">
        <w:t xml:space="preserve"> [2]</w:t>
      </w:r>
      <w:bookmarkEnd w:id="62"/>
      <w:r w:rsidRPr="0009445C">
        <w:t>,</w:t>
      </w:r>
    </w:p>
    <w:p w14:paraId="3FA03FDF" w14:textId="77777777" w:rsidR="009D4C8D" w:rsidRPr="0009445C" w:rsidRDefault="009D4C8D" w:rsidP="009D4C8D">
      <w:pPr>
        <w:pStyle w:val="ListParagraph"/>
        <w:numPr>
          <w:ilvl w:val="0"/>
          <w:numId w:val="37"/>
        </w:numPr>
        <w:spacing w:after="120" w:line="240" w:lineRule="auto"/>
        <w:ind w:left="391" w:hanging="357"/>
        <w:jc w:val="left"/>
      </w:pPr>
      <w:r w:rsidRPr="0009445C">
        <w:t>Non-load-bearing permanent formwork components of made of wood-chip concrete as per EN 15498:2008</w:t>
      </w:r>
      <w:bookmarkStart w:id="63" w:name="_Ref77342644"/>
      <w:r w:rsidRPr="0009445C">
        <w:rPr>
          <w:rStyle w:val="FootnoteReference"/>
        </w:rPr>
        <w:footnoteReference w:id="61"/>
      </w:r>
      <w:bookmarkStart w:id="64" w:name="_Ref77343717"/>
      <w:bookmarkEnd w:id="63"/>
      <w:r w:rsidRPr="0009445C">
        <w:t xml:space="preserve"> [3]</w:t>
      </w:r>
      <w:bookmarkEnd w:id="64"/>
      <w:r w:rsidRPr="0009445C">
        <w:t>.</w:t>
      </w:r>
    </w:p>
    <w:p w14:paraId="01BF1BF1" w14:textId="77777777" w:rsidR="009D4C8D" w:rsidRPr="0009445C" w:rsidRDefault="009D4C8D" w:rsidP="009D4C8D">
      <w:pPr>
        <w:pStyle w:val="BRL-Standard"/>
      </w:pPr>
    </w:p>
    <w:p w14:paraId="1B9F9C6F" w14:textId="77777777" w:rsidR="009D4C8D" w:rsidRPr="0009445C" w:rsidRDefault="009D4C8D" w:rsidP="009D4C8D">
      <w:pPr>
        <w:pStyle w:val="BRL-Standard"/>
      </w:pPr>
      <w:r w:rsidRPr="0009445C">
        <w:t>The above-mentioned construction products or construction kits must be formed jointly so that they form a non-load-bearing permanent formwork system to enable the construction of in-situ concrete walls. The formwork components or formwork kits/systems as per I), II), and III) – hereinafter referred to as formwork components – remain part of the wall after the concrete core is concreted.</w:t>
      </w:r>
    </w:p>
    <w:p w14:paraId="5541046C" w14:textId="77777777" w:rsidR="009D4C8D" w:rsidRPr="0009445C" w:rsidRDefault="009D4C8D" w:rsidP="009D4C8D">
      <w:pPr>
        <w:pStyle w:val="BRL-Standard"/>
      </w:pPr>
    </w:p>
    <w:p w14:paraId="3A53999F" w14:textId="77777777" w:rsidR="009D4C8D" w:rsidRPr="0009445C" w:rsidRDefault="009D4C8D" w:rsidP="00600F53">
      <w:pPr>
        <w:pStyle w:val="BRL-berschrift"/>
      </w:pPr>
      <w:r w:rsidRPr="0009445C">
        <w:t>A</w:t>
      </w:r>
      <w:r w:rsidRPr="0009445C">
        <w:tab/>
        <w:t>Special definitions</w:t>
      </w:r>
    </w:p>
    <w:p w14:paraId="340D3118" w14:textId="77777777" w:rsidR="005A6A11" w:rsidRPr="0009445C" w:rsidRDefault="009D4C8D" w:rsidP="009D4C8D">
      <w:pPr>
        <w:pStyle w:val="BRL-Standard"/>
        <w:rPr>
          <w:b/>
        </w:rPr>
      </w:pPr>
      <w:r w:rsidRPr="0009445C">
        <w:rPr>
          <w:b/>
        </w:rPr>
        <w:t>Geometrical formation of load-bearing concrete core:</w:t>
      </w:r>
    </w:p>
    <w:p w14:paraId="3439424D" w14:textId="0A680FF2" w:rsidR="009D4C8D" w:rsidRPr="0009445C" w:rsidRDefault="009D4C8D" w:rsidP="009D4C8D">
      <w:pPr>
        <w:pStyle w:val="BRL-Standard"/>
      </w:pPr>
      <w:r w:rsidRPr="0009445C">
        <w:t>The geometric formation of the load-bearing concrete core is defined by the (non-load-bearing) formwork components and their arrangement. The concrete structure may be reinforced.</w:t>
      </w:r>
    </w:p>
    <w:p w14:paraId="13B16023" w14:textId="77777777" w:rsidR="009D4C8D" w:rsidRPr="0009445C" w:rsidRDefault="009D4C8D" w:rsidP="009D4C8D">
      <w:pPr>
        <w:pStyle w:val="BRL-Standard"/>
      </w:pPr>
      <w:r w:rsidRPr="0009445C">
        <w:t>The concrete core thickness is defined as the smallest thickness above wall height of the geometric formation of the load-bearing concrete core.</w:t>
      </w:r>
    </w:p>
    <w:p w14:paraId="16C1E23A" w14:textId="77777777" w:rsidR="009D4C8D" w:rsidRPr="0009445C" w:rsidRDefault="009D4C8D" w:rsidP="009D4C8D">
      <w:pPr>
        <w:pStyle w:val="BRL-Standard"/>
        <w:rPr>
          <w:lang w:val="en-US"/>
        </w:rPr>
      </w:pPr>
    </w:p>
    <w:p w14:paraId="271097CC" w14:textId="77777777" w:rsidR="009D4C8D" w:rsidRPr="0009445C" w:rsidRDefault="009D4C8D" w:rsidP="00600F53">
      <w:pPr>
        <w:pStyle w:val="BRL-berschrift"/>
      </w:pPr>
      <w:r w:rsidRPr="0009445C">
        <w:t>Types depending on the geometrical formation of the concrete core:</w:t>
      </w:r>
    </w:p>
    <w:p w14:paraId="70A6CC60" w14:textId="77777777" w:rsidR="005A6A11" w:rsidRPr="0009445C" w:rsidRDefault="009D4C8D" w:rsidP="009D4C8D">
      <w:pPr>
        <w:pStyle w:val="BRL-Standard"/>
        <w:rPr>
          <w:b/>
        </w:rPr>
      </w:pPr>
      <w:r w:rsidRPr="0009445C">
        <w:rPr>
          <w:b/>
        </w:rPr>
        <w:t>1.</w:t>
      </w:r>
      <w:r w:rsidRPr="0009445C">
        <w:rPr>
          <w:b/>
        </w:rPr>
        <w:tab/>
        <w:t>Disc-like type</w:t>
      </w:r>
    </w:p>
    <w:p w14:paraId="429C46F3" w14:textId="774C25C4" w:rsidR="009D4C8D" w:rsidRPr="0009445C" w:rsidRDefault="009D4C8D" w:rsidP="009D4C8D">
      <w:pPr>
        <w:pStyle w:val="BRL-Standard"/>
      </w:pPr>
      <w:r w:rsidRPr="0009445C">
        <w:t>The load-bearing core concrete of the disc-like type is a concrete wall that is only interrupted in individual places by spacers. The spacers are generally regularly arranged. Total spacer cross-sectional areas must be no more than 1 % of the wall area.</w:t>
      </w:r>
    </w:p>
    <w:p w14:paraId="005AA9F4" w14:textId="77777777" w:rsidR="009D4C8D" w:rsidRPr="0009445C" w:rsidRDefault="009D4C8D" w:rsidP="009D4C8D">
      <w:pPr>
        <w:pStyle w:val="BRL-Standard"/>
        <w:rPr>
          <w:lang w:val="en-US"/>
        </w:rPr>
      </w:pPr>
    </w:p>
    <w:p w14:paraId="6DC50691" w14:textId="77777777" w:rsidR="005A6A11" w:rsidRPr="0009445C" w:rsidRDefault="009D4C8D" w:rsidP="009D4C8D">
      <w:pPr>
        <w:pStyle w:val="BRL-Standard"/>
        <w:rPr>
          <w:b/>
        </w:rPr>
      </w:pPr>
      <w:r w:rsidRPr="0009445C">
        <w:rPr>
          <w:b/>
        </w:rPr>
        <w:t>2.</w:t>
      </w:r>
      <w:r w:rsidRPr="0009445C">
        <w:rPr>
          <w:b/>
        </w:rPr>
        <w:tab/>
        <w:t>Lattice type</w:t>
      </w:r>
    </w:p>
    <w:p w14:paraId="3136A8AB" w14:textId="3A99CD28" w:rsidR="009D4C8D" w:rsidRPr="0009445C" w:rsidRDefault="009D4C8D" w:rsidP="009D4C8D">
      <w:pPr>
        <w:pStyle w:val="BRL-Standard"/>
      </w:pPr>
      <w:r w:rsidRPr="0009445C">
        <w:t>The load-bearing core concrete of the lattice type consists of concrete supports, which are connected by horizontal concrete bars. The supports and bars occur due to the concreting in of the cavities in the formwork components. Vertical supports run over the entire height of the wall, without</w:t>
      </w:r>
      <w:r w:rsidRPr="0009445C">
        <w:rPr>
          <w:b/>
          <w:i/>
        </w:rPr>
        <w:t xml:space="preserve"> </w:t>
      </w:r>
      <w:r w:rsidRPr="0009445C">
        <w:t>interruptions or reduction in the cross-sectional area.</w:t>
      </w:r>
    </w:p>
    <w:p w14:paraId="18F1765A" w14:textId="77777777" w:rsidR="009D4C8D" w:rsidRPr="0009445C" w:rsidRDefault="009D4C8D" w:rsidP="009D4C8D">
      <w:pPr>
        <w:pStyle w:val="BRL-Standard"/>
        <w:rPr>
          <w:lang w:val="en-US"/>
        </w:rPr>
      </w:pPr>
    </w:p>
    <w:p w14:paraId="608C0EDC" w14:textId="77777777" w:rsidR="005A6A11" w:rsidRPr="0009445C" w:rsidRDefault="009D4C8D" w:rsidP="009D4C8D">
      <w:pPr>
        <w:pStyle w:val="BRL-Standard"/>
        <w:rPr>
          <w:b/>
        </w:rPr>
      </w:pPr>
      <w:r w:rsidRPr="0009445C">
        <w:rPr>
          <w:b/>
        </w:rPr>
        <w:t>3.</w:t>
      </w:r>
      <w:r w:rsidRPr="0009445C">
        <w:rPr>
          <w:b/>
        </w:rPr>
        <w:tab/>
        <w:t>Column type</w:t>
      </w:r>
    </w:p>
    <w:p w14:paraId="02560E7A" w14:textId="3CBB3BB2" w:rsidR="009D4C8D" w:rsidRPr="0009445C" w:rsidRDefault="009043F7" w:rsidP="009D4C8D">
      <w:pPr>
        <w:pStyle w:val="BRL-Standard"/>
      </w:pPr>
      <w:r w:rsidRPr="0009445C">
        <w:t xml:space="preserve">The load-bearing core concrete </w:t>
      </w:r>
      <w:r w:rsidR="009D4C8D" w:rsidRPr="0009445C">
        <w:t>of the column type consists of regularly arranged concrete supports without horizontal concrete bars or with concrete bars that have no mathematically load-bearing connection to the concrete supports. The supports occur due to the concreting in of the cavities in the formwork components. Vertical supports run over the entire height of the wall, without interruptions or reduction in the cross-sectional area.</w:t>
      </w:r>
    </w:p>
    <w:p w14:paraId="3A75FF24" w14:textId="77777777" w:rsidR="009D4C8D" w:rsidRPr="0009445C" w:rsidRDefault="009D4C8D" w:rsidP="009D4C8D">
      <w:pPr>
        <w:pStyle w:val="BRL-Standard"/>
        <w:rPr>
          <w:lang w:val="en-US"/>
        </w:rPr>
      </w:pPr>
    </w:p>
    <w:p w14:paraId="1F5D696B" w14:textId="77777777" w:rsidR="005A6A11" w:rsidRPr="0009445C" w:rsidRDefault="009D4C8D" w:rsidP="009D4C8D">
      <w:pPr>
        <w:pStyle w:val="ListParagraph"/>
        <w:spacing w:line="276" w:lineRule="auto"/>
        <w:ind w:left="0"/>
        <w:contextualSpacing/>
      </w:pPr>
      <w:r w:rsidRPr="0009445C">
        <w:rPr>
          <w:b/>
        </w:rPr>
        <w:t>4.</w:t>
      </w:r>
      <w:r w:rsidRPr="0009445C">
        <w:rPr>
          <w:b/>
        </w:rPr>
        <w:tab/>
        <w:t>Other types</w:t>
      </w:r>
    </w:p>
    <w:p w14:paraId="5BC9D0FC" w14:textId="5DA1E76A" w:rsidR="009D4C8D" w:rsidRPr="0009445C" w:rsidRDefault="009D4C8D" w:rsidP="009D4C8D">
      <w:pPr>
        <w:pStyle w:val="ListParagraph"/>
        <w:spacing w:line="276" w:lineRule="auto"/>
        <w:ind w:left="0"/>
        <w:contextualSpacing/>
      </w:pPr>
      <w:r w:rsidRPr="0009445C">
        <w:t xml:space="preserve">All types that are not defined above. </w:t>
      </w:r>
    </w:p>
    <w:p w14:paraId="68633A45" w14:textId="77777777" w:rsidR="009D4C8D" w:rsidRPr="0009445C" w:rsidRDefault="009D4C8D" w:rsidP="009D4C8D">
      <w:pPr>
        <w:rPr>
          <w:lang w:val="en-US"/>
        </w:rPr>
      </w:pPr>
    </w:p>
    <w:p w14:paraId="41BF6A65" w14:textId="77777777" w:rsidR="009D4C8D" w:rsidRPr="0009445C" w:rsidRDefault="009D4C8D" w:rsidP="00600F53">
      <w:pPr>
        <w:pStyle w:val="BRL-berschrift"/>
      </w:pPr>
      <w:r w:rsidRPr="0009445C">
        <w:t>B</w:t>
      </w:r>
      <w:r w:rsidRPr="0009445C">
        <w:tab/>
        <w:t>Stability and fitness for purpose</w:t>
      </w:r>
    </w:p>
    <w:p w14:paraId="67616BCC" w14:textId="77777777" w:rsidR="009D4C8D" w:rsidRPr="0009445C" w:rsidRDefault="009D4C8D" w:rsidP="00600F53">
      <w:pPr>
        <w:pStyle w:val="BRL-berschrift"/>
      </w:pPr>
      <w:r w:rsidRPr="0009445C">
        <w:t>B1</w:t>
      </w:r>
      <w:r w:rsidRPr="0009445C">
        <w:tab/>
        <w:t xml:space="preserve">Design, construction, and execution </w:t>
      </w:r>
    </w:p>
    <w:p w14:paraId="1F715969" w14:textId="77777777" w:rsidR="009D4C8D" w:rsidRPr="0009445C" w:rsidRDefault="009D4C8D" w:rsidP="009D4C8D">
      <w:pPr>
        <w:pStyle w:val="BRL-Standard"/>
      </w:pPr>
      <w:r w:rsidRPr="0009445C">
        <w:t xml:space="preserve">The design, construction, and execution of in-situ concrete walls with permanent formwork systems as per the above-mentioned technical specifications in line with A 1.2.3.1 of MVV TB. </w:t>
      </w:r>
    </w:p>
    <w:p w14:paraId="5A7FE4FD" w14:textId="77777777" w:rsidR="009D4C8D" w:rsidRPr="0009445C" w:rsidRDefault="009D4C8D" w:rsidP="009D4C8D">
      <w:pPr>
        <w:pStyle w:val="BRL-Standard"/>
      </w:pPr>
      <w:r w:rsidRPr="0009445C">
        <w:t>Formwork components must be laid dry.</w:t>
      </w:r>
    </w:p>
    <w:p w14:paraId="7780A190" w14:textId="77777777" w:rsidR="009D4C8D" w:rsidRPr="0009445C" w:rsidRDefault="009D4C8D" w:rsidP="009D4C8D">
      <w:pPr>
        <w:pStyle w:val="BRL-Standard"/>
      </w:pPr>
      <w:r w:rsidRPr="0009445C">
        <w:t xml:space="preserve">Exterior walls built with formwork components must be protected against environmental impact by plaster or cladding. </w:t>
      </w:r>
    </w:p>
    <w:p w14:paraId="1CC3017C" w14:textId="77777777" w:rsidR="009D4C8D" w:rsidRPr="0009445C" w:rsidRDefault="009D4C8D" w:rsidP="009D4C8D">
      <w:pPr>
        <w:pStyle w:val="BRL-Standard"/>
      </w:pPr>
      <w:r w:rsidRPr="0009445C">
        <w:t>To ensure that the reinforcing steel bars are connected, the formwork components may not be taken into account with the concrete surfacing.</w:t>
      </w:r>
    </w:p>
    <w:p w14:paraId="001CA261" w14:textId="77777777" w:rsidR="009D4C8D" w:rsidRPr="0009445C" w:rsidRDefault="009D4C8D" w:rsidP="009D4C8D">
      <w:pPr>
        <w:pStyle w:val="BRL-Standard"/>
      </w:pPr>
    </w:p>
    <w:p w14:paraId="658E1CC8" w14:textId="43F9665D" w:rsidR="009D4C8D" w:rsidRPr="0009445C" w:rsidRDefault="009D4C8D" w:rsidP="009D4C8D">
      <w:pPr>
        <w:pStyle w:val="BRL-Standard"/>
      </w:pPr>
      <w:r w:rsidRPr="0009445C">
        <w:lastRenderedPageBreak/>
        <w:t>For formwork kits/systems according to ETA based on ETAG 009 [1], the statements regarding the resistance to formwork pressure and/or the statements regarding the maximum permissible filling height shall be taken from the ETA. For formwork components as per EN 15435:2008</w:t>
      </w:r>
      <w:r w:rsidRPr="0009445C">
        <w:rPr>
          <w:rStyle w:val="FootnoteReference"/>
        </w:rPr>
        <w:fldChar w:fldCharType="begin"/>
      </w:r>
      <w:r w:rsidRPr="0009445C">
        <w:rPr>
          <w:rStyle w:val="FootnoteReference"/>
        </w:rPr>
        <w:instrText xml:space="preserve"> NOTEREF _Ref77342617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rPr>
          <w:rStyle w:val="FootnoteReference"/>
        </w:rPr>
        <w:t xml:space="preserve">1 </w:t>
      </w:r>
      <w:r w:rsidRPr="0009445C">
        <w:t>[2] and/or EN 15498:2008</w:t>
      </w:r>
      <w:r w:rsidRPr="0009445C">
        <w:rPr>
          <w:rStyle w:val="FootnoteReference"/>
        </w:rPr>
        <w:fldChar w:fldCharType="begin"/>
      </w:r>
      <w:r w:rsidRPr="0009445C">
        <w:rPr>
          <w:rStyle w:val="FootnoteReference"/>
        </w:rPr>
        <w:instrText xml:space="preserve"> NOTEREF _Ref77342644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2</w:t>
      </w:r>
      <w:r w:rsidRPr="0009445C">
        <w:rPr>
          <w:rStyle w:val="FootnoteReference"/>
        </w:rPr>
        <w:fldChar w:fldCharType="end"/>
      </w:r>
      <w:r w:rsidRPr="0009445C">
        <w:t xml:space="preserve"> [3], the resistance to formwork pressure (characteristic tensile strength of studs, characteristic bending tensile strength of walls) must be taken from the declaration of performance or the accompanying documents. </w:t>
      </w:r>
    </w:p>
    <w:p w14:paraId="17F311AE" w14:textId="77777777" w:rsidR="009D4C8D" w:rsidRPr="0009445C" w:rsidRDefault="009D4C8D" w:rsidP="009D4C8D">
      <w:pPr>
        <w:pStyle w:val="BRL-Standard"/>
      </w:pPr>
    </w:p>
    <w:p w14:paraId="62FA0D16" w14:textId="77777777" w:rsidR="009D4C8D" w:rsidRPr="0009445C" w:rsidRDefault="009D4C8D" w:rsidP="009D4C8D">
      <w:pPr>
        <w:pStyle w:val="BRL-Standard"/>
      </w:pPr>
      <w:r w:rsidRPr="0009445C">
        <w:t>Where no maximum permitted fill level is specified, suitable static systems must be chosen to realistically determine the formwork load with the estimated loads due to fresh concrete pressure from DIN 18218:2010-01 [4]; Chapter B 2 of this Technical Rule must be observed. To prove resistance to formwork pressure, the rated values for the resistances (e.g. breaking stress of studs, bending tensile strength of walls, tearing strength of the stud from the wall, where appropriate) should be compared to the rated values for the stresses. The partial safety coefficients shall be determined in accordance with DIN EN 1990:2010-12 [5] and DIN EN 1990/NA:2010-12 [6].</w:t>
      </w:r>
    </w:p>
    <w:p w14:paraId="2DD4ECC5" w14:textId="77777777" w:rsidR="009D4C8D" w:rsidRPr="0009445C" w:rsidRDefault="009D4C8D" w:rsidP="009D4C8D">
      <w:pPr>
        <w:pStyle w:val="BRL-Standard"/>
      </w:pPr>
    </w:p>
    <w:p w14:paraId="5C8C0AFF" w14:textId="77777777" w:rsidR="009D4C8D" w:rsidRPr="0009445C" w:rsidRDefault="009D4C8D" w:rsidP="00600F53">
      <w:pPr>
        <w:pStyle w:val="BRL-berschrift"/>
      </w:pPr>
      <w:r w:rsidRPr="0009445C">
        <w:t>B1.1</w:t>
      </w:r>
      <w:r w:rsidRPr="0009445C">
        <w:tab/>
        <w:t>With regard to the design and construction according to DIN EN 1992-1-1:2011-01 and DIN EN 1992</w:t>
      </w:r>
      <w:r w:rsidRPr="0009445C">
        <w:noBreakHyphen/>
        <w:t>1</w:t>
      </w:r>
      <w:r w:rsidRPr="0009445C">
        <w:noBreakHyphen/>
        <w:t>1/A1:2015-03</w:t>
      </w:r>
      <w:bookmarkStart w:id="65" w:name="_Ref77344393"/>
      <w:r w:rsidRPr="0009445C">
        <w:t xml:space="preserve"> [7]</w:t>
      </w:r>
      <w:bookmarkEnd w:id="65"/>
      <w:r w:rsidRPr="0009445C">
        <w:t xml:space="preserve"> in conjunction with DIN EN 1992-1-1/NA:2013-04 and DIN EN 1992</w:t>
      </w:r>
      <w:r w:rsidRPr="0009445C">
        <w:noBreakHyphen/>
        <w:t>1</w:t>
      </w:r>
      <w:r w:rsidRPr="0009445C">
        <w:noBreakHyphen/>
        <w:t>1/NA/A1:2015-12</w:t>
      </w:r>
      <w:bookmarkStart w:id="66" w:name="_Ref77344368"/>
      <w:r w:rsidRPr="0009445C">
        <w:t xml:space="preserve"> [8]</w:t>
      </w:r>
      <w:bookmarkEnd w:id="66"/>
      <w:r w:rsidRPr="0009445C">
        <w:t> the following shall also apply for an in-situ concrete wall made of formwork components of the grid type, column type or ‘other type’:</w:t>
      </w:r>
    </w:p>
    <w:p w14:paraId="038EB2C8" w14:textId="77777777" w:rsidR="009D4C8D" w:rsidRPr="0009445C" w:rsidRDefault="009D4C8D" w:rsidP="009D4C8D">
      <w:pPr>
        <w:pStyle w:val="BRL-Standard"/>
        <w:ind w:left="709" w:hanging="709"/>
      </w:pPr>
      <w:r w:rsidRPr="0009445C">
        <w:t>1.</w:t>
      </w:r>
      <w:r w:rsidRPr="0009445C">
        <w:tab/>
        <w:t>Only predominantly stationary effects are permitted. The design and construction of supporting structures in earthquake circumstances are not covered by this Technical Rule.</w:t>
      </w:r>
    </w:p>
    <w:p w14:paraId="146D437A" w14:textId="77777777" w:rsidR="009D4C8D" w:rsidRPr="0009445C" w:rsidRDefault="009D4C8D" w:rsidP="009D4C8D">
      <w:pPr>
        <w:pStyle w:val="BRL-Standard"/>
        <w:ind w:left="709" w:hanging="709"/>
      </w:pPr>
      <w:r w:rsidRPr="0009445C">
        <w:t>2.</w:t>
      </w:r>
      <w:r w:rsidRPr="0009445C">
        <w:tab/>
        <w:t>The thinness of the wall or the concrete core support may not exceed the value λ = 85.</w:t>
      </w:r>
    </w:p>
    <w:p w14:paraId="3EC2683A" w14:textId="77777777" w:rsidR="009D4C8D" w:rsidRPr="0009445C" w:rsidRDefault="009D4C8D" w:rsidP="009D4C8D">
      <w:pPr>
        <w:pStyle w:val="BRL-Standard"/>
        <w:ind w:left="709" w:hanging="709"/>
      </w:pPr>
      <w:r w:rsidRPr="0009445C">
        <w:t>3.</w:t>
      </w:r>
      <w:r w:rsidRPr="0009445C">
        <w:tab/>
        <w:t>Higher in-situ concrete strength classes than C30/37 or LC30/33 may not be taken into account in calculations.</w:t>
      </w:r>
    </w:p>
    <w:p w14:paraId="432548CB" w14:textId="77777777" w:rsidR="009D4C8D" w:rsidRPr="0009445C" w:rsidRDefault="009D4C8D" w:rsidP="009D4C8D"/>
    <w:p w14:paraId="086677C7" w14:textId="77777777" w:rsidR="009D4C8D" w:rsidRPr="0009445C" w:rsidRDefault="009D4C8D" w:rsidP="00600F53">
      <w:pPr>
        <w:pStyle w:val="BRL-berschrift"/>
      </w:pPr>
      <w:r w:rsidRPr="0009445C">
        <w:t>B1.2</w:t>
      </w:r>
      <w:r w:rsidRPr="0009445C">
        <w:tab/>
        <w:t>For proof of resistance to horizontal influences (</w:t>
      </w:r>
      <w:r w:rsidRPr="0009445C">
        <w:object w:dxaOrig="460" w:dyaOrig="360" w14:anchorId="10C8F8A9">
          <v:shape id="_x0000_i1028" type="#_x0000_t75" style="width:19.5pt;height:14.25pt" o:ole="">
            <v:imagedata r:id="rId104" o:title=""/>
          </v:shape>
          <o:OLEObject Type="Embed" ProgID="Equation.3" ShapeID="_x0000_i1028" DrawAspect="Content" ObjectID="_1735120038" r:id="rId105"/>
        </w:object>
      </w:r>
      <w:r w:rsidRPr="0009445C">
        <w:t>) in the wall plane for walls of the grid type and column type, the following also applies:</w:t>
      </w:r>
    </w:p>
    <w:p w14:paraId="5E0DD393" w14:textId="0750813D" w:rsidR="009D4C8D" w:rsidRPr="0009445C" w:rsidRDefault="009D4C8D" w:rsidP="009D4C8D">
      <w:pPr>
        <w:pStyle w:val="BRLAufzhlungAnstrich"/>
        <w:numPr>
          <w:ilvl w:val="0"/>
          <w:numId w:val="1"/>
        </w:numPr>
        <w:jc w:val="both"/>
      </w:pPr>
      <w:r w:rsidRPr="0009445C">
        <w:t>The walls may be dimensioned in accordance with Annex 1 if the cross-section of the horizontal concrete bars between the vertical supports is at least 100 cm², the smallest thickness of which is at least three times the largest grain diameter and at least four such bars are placed per m wall height. If this condition is not met, the design models as per Annex 1 may not be used. In this case, static proof of resistance to horizontal effects at the wall plane must be provided as if they were adjacent supports. The definition of stud recesses can be found in ETA or EN 15435:2008</w:t>
      </w:r>
      <w:r w:rsidRPr="0009445C">
        <w:rPr>
          <w:rStyle w:val="FootnoteReference"/>
        </w:rPr>
        <w:fldChar w:fldCharType="begin"/>
      </w:r>
      <w:r w:rsidRPr="0009445C">
        <w:rPr>
          <w:rStyle w:val="FootnoteReference"/>
        </w:rPr>
        <w:instrText xml:space="preserve"> NOTEREF _Ref77342617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1</w:t>
      </w:r>
      <w:r w:rsidRPr="0009445C">
        <w:rPr>
          <w:rStyle w:val="FootnoteReference"/>
        </w:rPr>
        <w:fldChar w:fldCharType="end"/>
      </w:r>
      <w:r w:rsidRPr="0009445C">
        <w:t>, Section 3.1.10 [2] and EN 15498:2008</w:t>
      </w:r>
      <w:r w:rsidRPr="0009445C">
        <w:rPr>
          <w:rStyle w:val="FootnoteReference"/>
        </w:rPr>
        <w:fldChar w:fldCharType="begin"/>
      </w:r>
      <w:r w:rsidRPr="0009445C">
        <w:rPr>
          <w:rStyle w:val="FootnoteReference"/>
        </w:rPr>
        <w:instrText xml:space="preserve"> NOTEREF _Ref77342644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2</w:t>
      </w:r>
      <w:r w:rsidRPr="0009445C">
        <w:rPr>
          <w:rStyle w:val="FootnoteReference"/>
        </w:rPr>
        <w:fldChar w:fldCharType="end"/>
      </w:r>
      <w:r w:rsidRPr="0009445C">
        <w:t>, Figure 3.b [3].</w:t>
      </w:r>
    </w:p>
    <w:p w14:paraId="537A96C7" w14:textId="77777777" w:rsidR="009D4C8D" w:rsidRPr="0009445C" w:rsidRDefault="009D4C8D" w:rsidP="009D4C8D">
      <w:pPr>
        <w:pStyle w:val="BRLAufzhlungAnstrich"/>
        <w:numPr>
          <w:ilvl w:val="0"/>
          <w:numId w:val="1"/>
        </w:numPr>
        <w:jc w:val="both"/>
      </w:pPr>
      <w:r w:rsidRPr="0009445C">
        <w:t xml:space="preserve">For loadbearing partitions of grid and column types, the length of the cross-section, in any direction, of the uninterrupted pillars shall be at least 120 mm over the entire wall height. This prohibits formwork components which do not fulfil this condition in their final state from being used for loadbearing partitions. </w:t>
      </w:r>
    </w:p>
    <w:p w14:paraId="20F72B1C" w14:textId="77777777" w:rsidR="009D4C8D" w:rsidRPr="0009445C" w:rsidRDefault="009D4C8D" w:rsidP="009D4C8D">
      <w:pPr>
        <w:pStyle w:val="BRLAufzhlungAnstrich"/>
        <w:numPr>
          <w:ilvl w:val="0"/>
          <w:numId w:val="1"/>
        </w:numPr>
      </w:pPr>
      <w:r w:rsidRPr="0009445C">
        <w:t xml:space="preserve">The stability of non-loadbearing partitions with dimensions smaller than 120 mm in the direction of a cross-section must be demonstrated as per DIN 4103-1:2015-06 [9]. </w:t>
      </w:r>
    </w:p>
    <w:p w14:paraId="453D8A58" w14:textId="77777777" w:rsidR="009D4C8D" w:rsidRPr="0009445C" w:rsidRDefault="009D4C8D" w:rsidP="009D4C8D">
      <w:pPr>
        <w:pStyle w:val="BRLAufzhlungAnstrich"/>
        <w:numPr>
          <w:ilvl w:val="0"/>
          <w:numId w:val="1"/>
        </w:numPr>
      </w:pPr>
      <w:r w:rsidRPr="0009445C">
        <w:t xml:space="preserve">Annex 1 of this Technical Rule applies to the design of grid-type walls at wall plane under shear loading. </w:t>
      </w:r>
    </w:p>
    <w:p w14:paraId="64F11C25" w14:textId="77777777" w:rsidR="009D4C8D" w:rsidRPr="0009445C" w:rsidRDefault="009D4C8D" w:rsidP="009D4C8D">
      <w:pPr>
        <w:pStyle w:val="BRLAufzhlungAnstrich"/>
        <w:numPr>
          <w:ilvl w:val="0"/>
          <w:numId w:val="1"/>
        </w:numPr>
      </w:pPr>
      <w:r w:rsidRPr="0009445C">
        <w:t>In case of stresses perpendicular to the plane of the wall, a wall of the grid or column type must always be two-sided, i.e. such walls may normally be used only in structures where the ceilings have a disk-like effect.</w:t>
      </w:r>
    </w:p>
    <w:p w14:paraId="10D1B0E7" w14:textId="77777777" w:rsidR="009D4C8D" w:rsidRPr="0009445C" w:rsidRDefault="009D4C8D" w:rsidP="009D4C8D">
      <w:pPr>
        <w:pStyle w:val="BRLAufzhlungAnstrich"/>
        <w:numPr>
          <w:ilvl w:val="0"/>
          <w:numId w:val="1"/>
        </w:numPr>
      </w:pPr>
      <w:r w:rsidRPr="0009445C">
        <w:t xml:space="preserve">The following reinforcements may be placed: </w:t>
      </w:r>
    </w:p>
    <w:p w14:paraId="577C5240" w14:textId="77777777" w:rsidR="009D4C8D" w:rsidRPr="0009445C" w:rsidRDefault="009D4C8D" w:rsidP="009D4C8D">
      <w:pPr>
        <w:pStyle w:val="BRLAufzhlungAnstrich"/>
        <w:numPr>
          <w:ilvl w:val="1"/>
          <w:numId w:val="1"/>
        </w:numPr>
      </w:pPr>
      <w:r w:rsidRPr="0009445C">
        <w:t>no more than two bars in each concrete bar for grid type systems</w:t>
      </w:r>
    </w:p>
    <w:p w14:paraId="576C5444" w14:textId="77777777" w:rsidR="009D4C8D" w:rsidRPr="0009445C" w:rsidRDefault="009D4C8D" w:rsidP="009D4C8D">
      <w:pPr>
        <w:pStyle w:val="BRLAufzhlungAnstrich"/>
        <w:numPr>
          <w:ilvl w:val="1"/>
          <w:numId w:val="1"/>
        </w:numPr>
        <w:jc w:val="both"/>
      </w:pPr>
      <w:r w:rsidRPr="0009445C">
        <w:t>in each support of the grid type or column type systems, one vertical bar or a set of vertical bars combined into a mesh for each side of the concrete cross-section, or a reinforcement basket for the entire concrete cross-Section.</w:t>
      </w:r>
    </w:p>
    <w:p w14:paraId="71E98792" w14:textId="77777777" w:rsidR="009D4C8D" w:rsidRPr="0009445C" w:rsidRDefault="009D4C8D" w:rsidP="009D4C8D">
      <w:pPr>
        <w:pStyle w:val="BRLAufzhlungAnstrich"/>
        <w:numPr>
          <w:ilvl w:val="0"/>
          <w:numId w:val="1"/>
        </w:numPr>
      </w:pPr>
      <w:r w:rsidRPr="0009445C">
        <w:t xml:space="preserve">For planning and execution, the following applies: </w:t>
      </w:r>
    </w:p>
    <w:p w14:paraId="2702E832" w14:textId="77777777" w:rsidR="009D4C8D" w:rsidRPr="0009445C" w:rsidRDefault="009D4C8D" w:rsidP="009D4C8D">
      <w:pPr>
        <w:pStyle w:val="BRLAufzhlungAnstrich"/>
        <w:numPr>
          <w:ilvl w:val="1"/>
          <w:numId w:val="1"/>
        </w:numPr>
      </w:pPr>
      <w:r w:rsidRPr="0009445C">
        <w:t xml:space="preserve">The horizontal dimension of the vertical reinforcement meshes and cages, including spacers, shall be less than the corresponding minimum dimensions of the concrete core. </w:t>
      </w:r>
    </w:p>
    <w:p w14:paraId="35929F41" w14:textId="77777777" w:rsidR="009D4C8D" w:rsidRPr="0009445C" w:rsidRDefault="009D4C8D" w:rsidP="009D4C8D">
      <w:pPr>
        <w:pStyle w:val="BRLAufzhlungAnstrich"/>
        <w:numPr>
          <w:ilvl w:val="0"/>
          <w:numId w:val="1"/>
        </w:numPr>
      </w:pPr>
      <w:r w:rsidRPr="0009445C">
        <w:t xml:space="preserve">For concrete coverings, DIN EN 1992-1-1:2011-01 and DIN EN 1992-1-1/A1:2015-03 [7] in conjunction with DIN EN 1992-1-1/NA:2013-04 and DIN EN 1992-1-1/NA/A1:2015-12 [8] apply. </w:t>
      </w:r>
    </w:p>
    <w:p w14:paraId="54F45954" w14:textId="77777777" w:rsidR="009D4C8D" w:rsidRPr="0009445C" w:rsidRDefault="009D4C8D" w:rsidP="009D4C8D">
      <w:pPr>
        <w:pStyle w:val="BRLAufzhlungAnstrich"/>
        <w:numPr>
          <w:ilvl w:val="0"/>
          <w:numId w:val="1"/>
        </w:numPr>
      </w:pPr>
      <w:r w:rsidRPr="0009445C">
        <w:t>The provisions of DIN EN 1992-1-1:2011-01 and DIN EN 1992-1-1/A1:2015-03 [7] in conjunction with DIN EN 1992-1-1/NA:2013-04 and DIN EN 1992</w:t>
      </w:r>
      <w:r w:rsidRPr="0009445C">
        <w:noBreakHyphen/>
        <w:t>1</w:t>
      </w:r>
      <w:r w:rsidRPr="0009445C">
        <w:noBreakHyphen/>
        <w:t xml:space="preserve">1/NA/A1:2015-12 [8] apply to the distance between the rebars. </w:t>
      </w:r>
    </w:p>
    <w:p w14:paraId="3D13C7C1" w14:textId="77777777" w:rsidR="009D4C8D" w:rsidRPr="0009445C" w:rsidRDefault="009D4C8D" w:rsidP="009D4C8D">
      <w:pPr>
        <w:pStyle w:val="BRLAufzhlungAnstrich"/>
        <w:numPr>
          <w:ilvl w:val="0"/>
          <w:numId w:val="1"/>
        </w:numPr>
      </w:pPr>
      <w:r w:rsidRPr="0009445C">
        <w:t xml:space="preserve">If more than one concrete bar is placed on one side of the concrete cross-section of the supports, they shall be joined to a mesh (e.g. by welded or bonded crossbars). </w:t>
      </w:r>
    </w:p>
    <w:p w14:paraId="3AE30198" w14:textId="77777777" w:rsidR="009D4C8D" w:rsidRPr="0009445C" w:rsidRDefault="009D4C8D" w:rsidP="009D4C8D">
      <w:pPr>
        <w:pStyle w:val="BRLAufzhlungAnstrich"/>
        <w:numPr>
          <w:ilvl w:val="0"/>
          <w:numId w:val="1"/>
        </w:numPr>
      </w:pPr>
      <w:r w:rsidRPr="0009445C">
        <w:t>Vertical reinforcement may only be calculated statically if it complies with the corresponding reinforcement and design rules for normal force and/or bend-stressed beams or supports according to DIN EN 1992 1 1:2011-01 and DIN EN 1992-1-1/A1:2015-03 [7] in conjunction with DIN EN 1992</w:t>
      </w:r>
      <w:r w:rsidRPr="0009445C">
        <w:noBreakHyphen/>
        <w:t>1</w:t>
      </w:r>
      <w:r w:rsidRPr="0009445C">
        <w:noBreakHyphen/>
        <w:t>1/NA:2013</w:t>
      </w:r>
      <w:r w:rsidRPr="0009445C">
        <w:noBreakHyphen/>
        <w:t xml:space="preserve">04 and DIN EN 1992-1-1/NA/A1:2015-12 [8]. </w:t>
      </w:r>
    </w:p>
    <w:p w14:paraId="31C0ECD3" w14:textId="77777777" w:rsidR="009D4C8D" w:rsidRPr="0009445C" w:rsidRDefault="009D4C8D" w:rsidP="009D4C8D">
      <w:pPr>
        <w:pStyle w:val="BRL-Standard"/>
      </w:pPr>
    </w:p>
    <w:p w14:paraId="514A34DE" w14:textId="77777777" w:rsidR="009D4C8D" w:rsidRPr="0009445C" w:rsidRDefault="009D4C8D" w:rsidP="00600F53">
      <w:pPr>
        <w:pStyle w:val="BRL-berschrift"/>
      </w:pPr>
      <w:r w:rsidRPr="0009445C">
        <w:t>B2</w:t>
      </w:r>
      <w:r w:rsidRPr="0009445C">
        <w:tab/>
        <w:t>In addition to DIN EN 1992-1-1:2011-01 and DIN EN 1992-1-1/A1:2015-03 [7] in conjunction with DIN EN 1992-1-1/NA:2013-04 and DIN EN 1992-1-1/NA/A1:2015-12 [8], the following applies:</w:t>
      </w:r>
    </w:p>
    <w:p w14:paraId="26DAF6CD" w14:textId="77777777" w:rsidR="009D4C8D" w:rsidRPr="0009445C" w:rsidRDefault="009D4C8D" w:rsidP="009D4C8D">
      <w:pPr>
        <w:pStyle w:val="BRL-Standard"/>
      </w:pPr>
      <w:r w:rsidRPr="0009445C">
        <w:t>1.</w:t>
      </w:r>
      <w:r w:rsidRPr="0009445C">
        <w:tab/>
        <w:t>The minimum flow class to be maintained and the maximum aggregate grain size for the fresh concrete used must correspond to the information in the following Table 1 for all systems (including ‘disc-type’ systems.</w:t>
      </w:r>
    </w:p>
    <w:p w14:paraId="393ADB42" w14:textId="77777777" w:rsidR="009D4C8D" w:rsidRPr="0009445C" w:rsidRDefault="009D4C8D" w:rsidP="009D4C8D">
      <w:pPr>
        <w:pStyle w:val="BRL-Standard"/>
      </w:pPr>
    </w:p>
    <w:p w14:paraId="21FA4314" w14:textId="77777777" w:rsidR="009D4C8D" w:rsidRPr="0009445C" w:rsidRDefault="009D4C8D" w:rsidP="00600F53">
      <w:pPr>
        <w:pStyle w:val="BRL-Tabelleberschrift"/>
      </w:pPr>
      <w:r w:rsidRPr="0009445C">
        <w:t>Table 1:</w:t>
      </w:r>
    </w:p>
    <w:tbl>
      <w:tblPr>
        <w:tblW w:w="9067" w:type="dxa"/>
        <w:tblInd w:w="5" w:type="dxa"/>
        <w:tblBorders>
          <w:top w:val="single" w:sz="4" w:space="0" w:color="auto"/>
          <w:left w:val="single" w:sz="4" w:space="0" w:color="auto"/>
          <w:bottom w:val="single" w:sz="4" w:space="0" w:color="auto"/>
          <w:right w:val="single" w:sz="4" w:space="0" w:color="auto"/>
          <w:insideH w:val="single" w:sz="2" w:space="0" w:color="595959"/>
          <w:insideV w:val="single" w:sz="2" w:space="0" w:color="595959"/>
        </w:tblBorders>
        <w:tblCellMar>
          <w:left w:w="0" w:type="dxa"/>
          <w:right w:w="0" w:type="dxa"/>
        </w:tblCellMar>
        <w:tblLook w:val="00A0" w:firstRow="1" w:lastRow="0" w:firstColumn="1" w:lastColumn="0" w:noHBand="0" w:noVBand="0"/>
      </w:tblPr>
      <w:tblGrid>
        <w:gridCol w:w="1271"/>
        <w:gridCol w:w="2598"/>
        <w:gridCol w:w="2599"/>
        <w:gridCol w:w="2599"/>
      </w:tblGrid>
      <w:tr w:rsidR="009D4C8D" w:rsidRPr="0009445C" w14:paraId="259E94BC" w14:textId="77777777" w:rsidTr="00044502">
        <w:trPr>
          <w:cantSplit/>
        </w:trPr>
        <w:tc>
          <w:tcPr>
            <w:tcW w:w="1271" w:type="dxa"/>
            <w:vMerge w:val="restart"/>
            <w:tcBorders>
              <w:top w:val="single" w:sz="4" w:space="0" w:color="auto"/>
              <w:left w:val="single" w:sz="4" w:space="0" w:color="auto"/>
              <w:bottom w:val="single" w:sz="4" w:space="0" w:color="auto"/>
              <w:right w:val="single" w:sz="2" w:space="0" w:color="595959"/>
              <w:tl2br w:val="nil"/>
              <w:tr2bl w:val="nil"/>
            </w:tcBorders>
            <w:shd w:val="clear" w:color="auto" w:fill="FFFFFF"/>
          </w:tcPr>
          <w:p w14:paraId="18EC106A" w14:textId="77777777" w:rsidR="009D4C8D" w:rsidRPr="0009445C" w:rsidRDefault="009D4C8D" w:rsidP="00044502">
            <w:pPr>
              <w:pStyle w:val="Tabellentext"/>
              <w:spacing w:before="60" w:after="40"/>
              <w:ind w:left="113"/>
              <w:rPr>
                <w:b/>
                <w:color w:val="000000"/>
                <w:lang w:val="de-AT"/>
              </w:rPr>
            </w:pPr>
          </w:p>
        </w:tc>
        <w:tc>
          <w:tcPr>
            <w:tcW w:w="2598" w:type="dxa"/>
            <w:tcBorders>
              <w:top w:val="single" w:sz="4" w:space="0" w:color="auto"/>
              <w:left w:val="single" w:sz="2" w:space="0" w:color="595959"/>
              <w:bottom w:val="single" w:sz="4" w:space="0" w:color="auto"/>
              <w:right w:val="single" w:sz="2" w:space="0" w:color="595959"/>
              <w:tl2br w:val="nil"/>
              <w:tr2bl w:val="nil"/>
            </w:tcBorders>
            <w:shd w:val="clear" w:color="auto" w:fill="FFFFFF"/>
          </w:tcPr>
          <w:p w14:paraId="333E6430" w14:textId="77777777" w:rsidR="009D4C8D" w:rsidRPr="0009445C" w:rsidRDefault="009D4C8D" w:rsidP="00044502">
            <w:pPr>
              <w:pStyle w:val="Tabellentext"/>
              <w:spacing w:before="60" w:after="40"/>
              <w:ind w:left="113"/>
              <w:jc w:val="center"/>
              <w:rPr>
                <w:b/>
                <w:color w:val="000000"/>
              </w:rPr>
            </w:pPr>
            <w:r w:rsidRPr="0009445C">
              <w:rPr>
                <w:b/>
                <w:color w:val="000000"/>
              </w:rPr>
              <w:t>Minimum size</w:t>
            </w:r>
            <w:r w:rsidRPr="0009445C">
              <w:rPr>
                <w:b/>
                <w:color w:val="000000"/>
              </w:rPr>
              <w:br/>
              <w:t>of the filling range</w:t>
            </w:r>
          </w:p>
        </w:tc>
        <w:tc>
          <w:tcPr>
            <w:tcW w:w="2599" w:type="dxa"/>
            <w:tcBorders>
              <w:top w:val="single" w:sz="4" w:space="0" w:color="auto"/>
              <w:left w:val="single" w:sz="2" w:space="0" w:color="595959"/>
              <w:bottom w:val="single" w:sz="4" w:space="0" w:color="auto"/>
              <w:right w:val="single" w:sz="2" w:space="0" w:color="595959"/>
              <w:tl2br w:val="nil"/>
              <w:tr2bl w:val="nil"/>
            </w:tcBorders>
            <w:shd w:val="clear" w:color="auto" w:fill="FFFFFF"/>
          </w:tcPr>
          <w:p w14:paraId="7B964952" w14:textId="77777777" w:rsidR="009D4C8D" w:rsidRPr="0009445C" w:rsidRDefault="009D4C8D" w:rsidP="00044502">
            <w:pPr>
              <w:pStyle w:val="Tabellentext"/>
              <w:spacing w:before="60" w:after="40"/>
              <w:ind w:left="113"/>
              <w:jc w:val="center"/>
              <w:rPr>
                <w:b/>
                <w:color w:val="000000"/>
              </w:rPr>
            </w:pPr>
            <w:r w:rsidRPr="0009445C">
              <w:rPr>
                <w:b/>
                <w:color w:val="000000"/>
              </w:rPr>
              <w:t>Largest grain of the</w:t>
            </w:r>
            <w:r w:rsidRPr="0009445C">
              <w:rPr>
                <w:b/>
                <w:color w:val="000000"/>
              </w:rPr>
              <w:br/>
              <w:t>aggregate</w:t>
            </w:r>
          </w:p>
        </w:tc>
        <w:tc>
          <w:tcPr>
            <w:tcW w:w="2599" w:type="dxa"/>
            <w:tcBorders>
              <w:top w:val="single" w:sz="4" w:space="0" w:color="auto"/>
              <w:left w:val="single" w:sz="2" w:space="0" w:color="595959"/>
              <w:bottom w:val="single" w:sz="4" w:space="0" w:color="auto"/>
              <w:right w:val="single" w:sz="4" w:space="0" w:color="auto"/>
              <w:tl2br w:val="nil"/>
              <w:tr2bl w:val="nil"/>
            </w:tcBorders>
            <w:shd w:val="clear" w:color="auto" w:fill="FFFFFF"/>
          </w:tcPr>
          <w:p w14:paraId="4F87BE5B" w14:textId="77777777" w:rsidR="009D4C8D" w:rsidRPr="0009445C" w:rsidRDefault="009D4C8D" w:rsidP="00044502">
            <w:pPr>
              <w:pStyle w:val="Tabellentext"/>
              <w:spacing w:before="60" w:after="40"/>
              <w:ind w:left="113"/>
              <w:jc w:val="center"/>
              <w:rPr>
                <w:b/>
                <w:color w:val="000000"/>
              </w:rPr>
            </w:pPr>
            <w:r w:rsidRPr="0009445C">
              <w:rPr>
                <w:b/>
                <w:color w:val="000000"/>
              </w:rPr>
              <w:t>Flow class</w:t>
            </w:r>
          </w:p>
        </w:tc>
      </w:tr>
      <w:tr w:rsidR="009D4C8D" w:rsidRPr="0009445C" w14:paraId="46A23FAB" w14:textId="77777777" w:rsidTr="00044502">
        <w:trPr>
          <w:cantSplit/>
        </w:trPr>
        <w:tc>
          <w:tcPr>
            <w:tcW w:w="1271" w:type="dxa"/>
            <w:vMerge/>
            <w:tcBorders>
              <w:top w:val="single" w:sz="4" w:space="0" w:color="auto"/>
              <w:bottom w:val="nil"/>
            </w:tcBorders>
            <w:shd w:val="clear" w:color="auto" w:fill="FFFFFF"/>
          </w:tcPr>
          <w:p w14:paraId="4FBCA472" w14:textId="77777777" w:rsidR="009D4C8D" w:rsidRPr="0009445C" w:rsidRDefault="009D4C8D" w:rsidP="00044502">
            <w:pPr>
              <w:pStyle w:val="Tabellentext"/>
              <w:spacing w:before="60" w:after="40"/>
              <w:rPr>
                <w:lang w:val="de-AT"/>
              </w:rPr>
            </w:pPr>
          </w:p>
        </w:tc>
        <w:tc>
          <w:tcPr>
            <w:tcW w:w="2598" w:type="dxa"/>
            <w:tcBorders>
              <w:top w:val="single" w:sz="4" w:space="0" w:color="auto"/>
            </w:tcBorders>
            <w:shd w:val="clear" w:color="auto" w:fill="auto"/>
          </w:tcPr>
          <w:p w14:paraId="12FD9371" w14:textId="77777777" w:rsidR="009D4C8D" w:rsidRPr="0009445C" w:rsidRDefault="009D4C8D" w:rsidP="00044502">
            <w:pPr>
              <w:pStyle w:val="Tabellentext"/>
              <w:spacing w:before="60" w:after="40"/>
              <w:ind w:left="113"/>
              <w:jc w:val="center"/>
              <w:rPr>
                <w:b/>
              </w:rPr>
            </w:pPr>
            <w:r w:rsidRPr="0009445C">
              <w:rPr>
                <w:b/>
              </w:rPr>
              <w:t>1</w:t>
            </w:r>
          </w:p>
        </w:tc>
        <w:tc>
          <w:tcPr>
            <w:tcW w:w="2599" w:type="dxa"/>
            <w:tcBorders>
              <w:top w:val="single" w:sz="4" w:space="0" w:color="auto"/>
            </w:tcBorders>
            <w:shd w:val="clear" w:color="auto" w:fill="auto"/>
          </w:tcPr>
          <w:p w14:paraId="250E0A5A" w14:textId="77777777" w:rsidR="009D4C8D" w:rsidRPr="0009445C" w:rsidRDefault="009D4C8D" w:rsidP="00044502">
            <w:pPr>
              <w:pStyle w:val="Tabellentext"/>
              <w:spacing w:before="60" w:after="40"/>
              <w:ind w:left="113"/>
              <w:jc w:val="center"/>
              <w:rPr>
                <w:b/>
              </w:rPr>
            </w:pPr>
            <w:r w:rsidRPr="0009445C">
              <w:rPr>
                <w:b/>
              </w:rPr>
              <w:t>2</w:t>
            </w:r>
          </w:p>
        </w:tc>
        <w:tc>
          <w:tcPr>
            <w:tcW w:w="2599" w:type="dxa"/>
            <w:tcBorders>
              <w:top w:val="single" w:sz="4" w:space="0" w:color="auto"/>
            </w:tcBorders>
            <w:shd w:val="clear" w:color="auto" w:fill="auto"/>
          </w:tcPr>
          <w:p w14:paraId="26AFF04B" w14:textId="77777777" w:rsidR="009D4C8D" w:rsidRPr="0009445C" w:rsidRDefault="009D4C8D" w:rsidP="00044502">
            <w:pPr>
              <w:pStyle w:val="Tabellentext"/>
              <w:spacing w:before="60" w:after="40"/>
              <w:ind w:left="113"/>
              <w:jc w:val="center"/>
              <w:rPr>
                <w:b/>
              </w:rPr>
            </w:pPr>
            <w:r w:rsidRPr="0009445C">
              <w:rPr>
                <w:b/>
              </w:rPr>
              <w:t>3</w:t>
            </w:r>
          </w:p>
        </w:tc>
      </w:tr>
      <w:tr w:rsidR="009D4C8D" w:rsidRPr="0009445C" w14:paraId="5536EC81" w14:textId="77777777" w:rsidTr="00044502">
        <w:trPr>
          <w:cantSplit/>
        </w:trPr>
        <w:tc>
          <w:tcPr>
            <w:tcW w:w="1271" w:type="dxa"/>
            <w:tcBorders>
              <w:bottom w:val="nil"/>
            </w:tcBorders>
            <w:shd w:val="clear" w:color="auto" w:fill="FFFFFF"/>
          </w:tcPr>
          <w:p w14:paraId="59715577" w14:textId="77777777" w:rsidR="009D4C8D" w:rsidRPr="0009445C" w:rsidRDefault="009D4C8D" w:rsidP="00044502">
            <w:pPr>
              <w:pStyle w:val="Tabellentext"/>
              <w:spacing w:before="60" w:after="40"/>
              <w:ind w:left="113"/>
              <w:jc w:val="center"/>
            </w:pPr>
            <w:r w:rsidRPr="0009445C">
              <w:t>1</w:t>
            </w:r>
          </w:p>
        </w:tc>
        <w:tc>
          <w:tcPr>
            <w:tcW w:w="2598" w:type="dxa"/>
            <w:shd w:val="clear" w:color="auto" w:fill="auto"/>
          </w:tcPr>
          <w:p w14:paraId="6BE8A7F8" w14:textId="77777777" w:rsidR="009D4C8D" w:rsidRPr="0009445C" w:rsidRDefault="009D4C8D" w:rsidP="00044502">
            <w:pPr>
              <w:pStyle w:val="Tabellentext"/>
              <w:spacing w:before="60" w:after="40"/>
              <w:ind w:left="113"/>
              <w:jc w:val="center"/>
            </w:pPr>
            <w:r w:rsidRPr="0009445C">
              <w:t>&lt; 120 mm</w:t>
            </w:r>
          </w:p>
        </w:tc>
        <w:tc>
          <w:tcPr>
            <w:tcW w:w="2599" w:type="dxa"/>
            <w:shd w:val="clear" w:color="auto" w:fill="auto"/>
          </w:tcPr>
          <w:p w14:paraId="5780CAF4" w14:textId="77777777" w:rsidR="009D4C8D" w:rsidRPr="0009445C" w:rsidRDefault="009D4C8D" w:rsidP="00044502">
            <w:pPr>
              <w:pStyle w:val="Tabellentext"/>
              <w:spacing w:before="60" w:after="40"/>
              <w:ind w:left="113"/>
              <w:jc w:val="center"/>
            </w:pPr>
            <w:r w:rsidRPr="0009445C">
              <w:t>≤ 16 mm</w:t>
            </w:r>
          </w:p>
        </w:tc>
        <w:tc>
          <w:tcPr>
            <w:tcW w:w="2599" w:type="dxa"/>
            <w:shd w:val="clear" w:color="auto" w:fill="auto"/>
          </w:tcPr>
          <w:p w14:paraId="02F6E835" w14:textId="77777777" w:rsidR="009D4C8D" w:rsidRPr="0009445C" w:rsidRDefault="009D4C8D" w:rsidP="00044502">
            <w:pPr>
              <w:pStyle w:val="Tabellentext"/>
              <w:spacing w:before="60" w:after="40"/>
              <w:ind w:left="113"/>
              <w:jc w:val="center"/>
            </w:pPr>
            <w:r w:rsidRPr="0009445C">
              <w:t>F5</w:t>
            </w:r>
          </w:p>
        </w:tc>
      </w:tr>
      <w:tr w:rsidR="009D4C8D" w:rsidRPr="0009445C" w14:paraId="1479D7A9" w14:textId="77777777" w:rsidTr="00044502">
        <w:trPr>
          <w:cantSplit/>
        </w:trPr>
        <w:tc>
          <w:tcPr>
            <w:tcW w:w="1271" w:type="dxa"/>
            <w:tcBorders>
              <w:bottom w:val="nil"/>
            </w:tcBorders>
            <w:shd w:val="clear" w:color="auto" w:fill="FFFFFF"/>
          </w:tcPr>
          <w:p w14:paraId="371BF3FF" w14:textId="77777777" w:rsidR="009D4C8D" w:rsidRPr="0009445C" w:rsidRDefault="009D4C8D" w:rsidP="00044502">
            <w:pPr>
              <w:pStyle w:val="Tabellentext"/>
              <w:spacing w:before="60" w:after="40"/>
              <w:ind w:left="113"/>
              <w:jc w:val="center"/>
            </w:pPr>
            <w:r w:rsidRPr="0009445C">
              <w:t>2</w:t>
            </w:r>
          </w:p>
        </w:tc>
        <w:tc>
          <w:tcPr>
            <w:tcW w:w="2598" w:type="dxa"/>
            <w:shd w:val="clear" w:color="auto" w:fill="auto"/>
          </w:tcPr>
          <w:p w14:paraId="466C5407" w14:textId="77777777" w:rsidR="009D4C8D" w:rsidRPr="0009445C" w:rsidRDefault="009D4C8D" w:rsidP="00044502">
            <w:pPr>
              <w:pStyle w:val="Tabellentext"/>
              <w:spacing w:before="60" w:after="40"/>
              <w:ind w:left="113"/>
              <w:jc w:val="center"/>
            </w:pPr>
            <w:r w:rsidRPr="0009445C">
              <w:t>120 to 140 mm</w:t>
            </w:r>
          </w:p>
        </w:tc>
        <w:tc>
          <w:tcPr>
            <w:tcW w:w="2599" w:type="dxa"/>
            <w:shd w:val="clear" w:color="auto" w:fill="auto"/>
          </w:tcPr>
          <w:p w14:paraId="44E07AF1" w14:textId="77777777" w:rsidR="009D4C8D" w:rsidRPr="0009445C" w:rsidRDefault="009D4C8D" w:rsidP="00044502">
            <w:pPr>
              <w:pStyle w:val="Tabellentext"/>
              <w:spacing w:before="60" w:after="40"/>
              <w:ind w:left="113"/>
              <w:jc w:val="center"/>
            </w:pPr>
            <w:r w:rsidRPr="0009445C">
              <w:t>≤ 16 mm</w:t>
            </w:r>
          </w:p>
        </w:tc>
        <w:tc>
          <w:tcPr>
            <w:tcW w:w="2599" w:type="dxa"/>
            <w:shd w:val="clear" w:color="auto" w:fill="auto"/>
          </w:tcPr>
          <w:p w14:paraId="72D946B1" w14:textId="77777777" w:rsidR="009D4C8D" w:rsidRPr="0009445C" w:rsidRDefault="009D4C8D" w:rsidP="00044502">
            <w:pPr>
              <w:pStyle w:val="Tabellentext"/>
              <w:spacing w:before="60" w:after="40"/>
              <w:ind w:left="113"/>
              <w:jc w:val="center"/>
            </w:pPr>
            <w:r w:rsidRPr="0009445C">
              <w:sym w:font="Symbol" w:char="F0B3"/>
            </w:r>
            <w:r w:rsidRPr="0009445C">
              <w:t xml:space="preserve"> F3</w:t>
            </w:r>
          </w:p>
        </w:tc>
      </w:tr>
      <w:tr w:rsidR="009D4C8D" w:rsidRPr="0009445C" w14:paraId="7DF71C2F" w14:textId="77777777" w:rsidTr="00044502">
        <w:trPr>
          <w:cantSplit/>
        </w:trPr>
        <w:tc>
          <w:tcPr>
            <w:tcW w:w="1271" w:type="dxa"/>
            <w:shd w:val="clear" w:color="auto" w:fill="FFFFFF"/>
          </w:tcPr>
          <w:p w14:paraId="21531C7A" w14:textId="77777777" w:rsidR="009D4C8D" w:rsidRPr="0009445C" w:rsidRDefault="009D4C8D" w:rsidP="00044502">
            <w:pPr>
              <w:pStyle w:val="Tabellentext"/>
              <w:spacing w:before="60" w:after="40"/>
              <w:ind w:left="113"/>
              <w:jc w:val="center"/>
            </w:pPr>
            <w:r w:rsidRPr="0009445C">
              <w:t>3</w:t>
            </w:r>
          </w:p>
        </w:tc>
        <w:tc>
          <w:tcPr>
            <w:tcW w:w="2598" w:type="dxa"/>
            <w:shd w:val="clear" w:color="auto" w:fill="auto"/>
          </w:tcPr>
          <w:p w14:paraId="0C784300" w14:textId="77777777" w:rsidR="009D4C8D" w:rsidRPr="0009445C" w:rsidRDefault="009D4C8D" w:rsidP="00044502">
            <w:pPr>
              <w:pStyle w:val="Tabellentext"/>
              <w:spacing w:before="60" w:after="40"/>
              <w:ind w:left="113"/>
              <w:jc w:val="center"/>
            </w:pPr>
            <w:r w:rsidRPr="0009445C">
              <w:sym w:font="Symbol" w:char="F0B3"/>
            </w:r>
            <w:r w:rsidRPr="0009445C">
              <w:t xml:space="preserve"> 140 mm</w:t>
            </w:r>
          </w:p>
        </w:tc>
        <w:tc>
          <w:tcPr>
            <w:tcW w:w="2599" w:type="dxa"/>
            <w:shd w:val="clear" w:color="auto" w:fill="auto"/>
          </w:tcPr>
          <w:p w14:paraId="7CAEFFD5" w14:textId="77777777" w:rsidR="009D4C8D" w:rsidRPr="0009445C" w:rsidRDefault="009D4C8D" w:rsidP="00044502">
            <w:pPr>
              <w:pStyle w:val="Tabellentext"/>
              <w:spacing w:before="60" w:after="40"/>
              <w:ind w:left="113"/>
              <w:jc w:val="center"/>
            </w:pPr>
            <w:r w:rsidRPr="0009445C">
              <w:t>≤ 32 mm</w:t>
            </w:r>
          </w:p>
        </w:tc>
        <w:tc>
          <w:tcPr>
            <w:tcW w:w="2599" w:type="dxa"/>
            <w:shd w:val="clear" w:color="auto" w:fill="auto"/>
          </w:tcPr>
          <w:p w14:paraId="60998E5B" w14:textId="77777777" w:rsidR="009D4C8D" w:rsidRPr="0009445C" w:rsidRDefault="009D4C8D" w:rsidP="00044502">
            <w:pPr>
              <w:pStyle w:val="Tabellentext"/>
              <w:spacing w:before="60" w:after="40"/>
              <w:ind w:left="113"/>
              <w:jc w:val="center"/>
            </w:pPr>
            <w:r w:rsidRPr="0009445C">
              <w:sym w:font="Symbol" w:char="F0B3"/>
            </w:r>
            <w:r w:rsidRPr="0009445C">
              <w:t xml:space="preserve"> F2</w:t>
            </w:r>
          </w:p>
        </w:tc>
      </w:tr>
    </w:tbl>
    <w:p w14:paraId="0C014332" w14:textId="77777777" w:rsidR="009D4C8D" w:rsidRPr="0009445C" w:rsidRDefault="009D4C8D" w:rsidP="009D4C8D"/>
    <w:p w14:paraId="277B7C0E" w14:textId="77777777" w:rsidR="009D4C8D" w:rsidRPr="0009445C" w:rsidRDefault="009D4C8D" w:rsidP="009D4C8D">
      <w:pPr>
        <w:pStyle w:val="BRL-Standard"/>
      </w:pPr>
      <w:r w:rsidRPr="0009445C">
        <w:t>The maximum flow class must not exceed F5.</w:t>
      </w:r>
    </w:p>
    <w:p w14:paraId="4752E2FA" w14:textId="77777777" w:rsidR="009D4C8D" w:rsidRPr="0009445C" w:rsidRDefault="009D4C8D" w:rsidP="009D4C8D">
      <w:pPr>
        <w:pStyle w:val="BRL-Standard"/>
      </w:pPr>
    </w:p>
    <w:p w14:paraId="51DA6C02" w14:textId="77777777" w:rsidR="009D4C8D" w:rsidRPr="0009445C" w:rsidRDefault="009D4C8D" w:rsidP="009D4C8D">
      <w:pPr>
        <w:pStyle w:val="BRL-Standard"/>
      </w:pPr>
      <w:r w:rsidRPr="0009445C">
        <w:t xml:space="preserve">Fresh concrete at the lower end of flow class F3 and below must be compacted by means of vibration. </w:t>
      </w:r>
    </w:p>
    <w:p w14:paraId="436E64BD" w14:textId="77777777" w:rsidR="009D4C8D" w:rsidRPr="0009445C" w:rsidRDefault="009D4C8D" w:rsidP="009D4C8D">
      <w:pPr>
        <w:pStyle w:val="BRL-Standard"/>
      </w:pPr>
    </w:p>
    <w:p w14:paraId="7D1B8298" w14:textId="77777777" w:rsidR="009D4C8D" w:rsidRPr="0009445C" w:rsidRDefault="009D4C8D" w:rsidP="009D4C8D">
      <w:pPr>
        <w:pStyle w:val="BRL-Standard"/>
      </w:pPr>
      <w:r w:rsidRPr="0009445C">
        <w:t>Fresh concrete at the upper end of flow class F3 and above must be compacted by means of raking.</w:t>
      </w:r>
    </w:p>
    <w:p w14:paraId="236DFC8E" w14:textId="77777777" w:rsidR="009D4C8D" w:rsidRPr="0009445C" w:rsidRDefault="009D4C8D" w:rsidP="009D4C8D">
      <w:pPr>
        <w:pStyle w:val="BRL-Standard"/>
      </w:pPr>
    </w:p>
    <w:p w14:paraId="4D7E8676" w14:textId="77777777" w:rsidR="009D4C8D" w:rsidRPr="0009445C" w:rsidRDefault="009D4C8D" w:rsidP="009D4C8D">
      <w:pPr>
        <w:pStyle w:val="BRL-Standard"/>
      </w:pPr>
      <w:r w:rsidRPr="0009445C">
        <w:t>The strength development of fresh concrete must be ‘Medium’ to ‘Fast’ in accordance with DIN EN 206-1:2001-07, DIN EN 206</w:t>
      </w:r>
      <w:r w:rsidRPr="0009445C">
        <w:noBreakHyphen/>
        <w:t>1/A1:2004-10 and DIN EN 206-1/A2:2005-09 [10] in conjunction with DIN 1045</w:t>
      </w:r>
      <w:r w:rsidRPr="0009445C">
        <w:noBreakHyphen/>
        <w:t xml:space="preserve">2:2008-08 [11], Table 12. </w:t>
      </w:r>
    </w:p>
    <w:p w14:paraId="09F94386" w14:textId="77777777" w:rsidR="009D4C8D" w:rsidRPr="0009445C" w:rsidRDefault="009D4C8D" w:rsidP="009D4C8D">
      <w:pPr>
        <w:pStyle w:val="BRL-Standard"/>
      </w:pPr>
    </w:p>
    <w:p w14:paraId="3AA01950" w14:textId="77777777" w:rsidR="009D4C8D" w:rsidRPr="0009445C" w:rsidRDefault="009D4C8D" w:rsidP="009D4C8D">
      <w:pPr>
        <w:pStyle w:val="BRL-Standard"/>
      </w:pPr>
      <w:r w:rsidRPr="0009445C">
        <w:t>2.</w:t>
      </w:r>
      <w:r w:rsidRPr="0009445C">
        <w:tab/>
        <w:t>Horizontal work joints shall preferably be arranged at the level of the storey ceilings. Where work stoppages cannot be avoided, vertical reinforcing steel bars (iron plugs) must be placed as follows in the construction joints:</w:t>
      </w:r>
    </w:p>
    <w:p w14:paraId="2AF7DD4B" w14:textId="77777777" w:rsidR="009D4C8D" w:rsidRPr="0009445C" w:rsidRDefault="009D4C8D" w:rsidP="009D4C8D">
      <w:pPr>
        <w:pStyle w:val="BRL-Standard"/>
      </w:pPr>
    </w:p>
    <w:p w14:paraId="01F147D0" w14:textId="77777777" w:rsidR="009D4C8D" w:rsidRPr="0009445C" w:rsidRDefault="009D4C8D" w:rsidP="009D4C8D">
      <w:pPr>
        <w:pStyle w:val="BRLAufzhlungAnstrich"/>
        <w:numPr>
          <w:ilvl w:val="0"/>
          <w:numId w:val="1"/>
        </w:numPr>
      </w:pPr>
      <w:r w:rsidRPr="0009445C">
        <w:t xml:space="preserve">The iron plugs must be offset against each other and the distance between them must not be greater than 500 mm. </w:t>
      </w:r>
    </w:p>
    <w:p w14:paraId="205CA791" w14:textId="77777777" w:rsidR="009D4C8D" w:rsidRPr="0009445C" w:rsidRDefault="009D4C8D" w:rsidP="009D4C8D">
      <w:pPr>
        <w:pStyle w:val="BRLAufzhlungAnstrich"/>
        <w:numPr>
          <w:ilvl w:val="0"/>
          <w:numId w:val="1"/>
        </w:numPr>
      </w:pPr>
      <w:r w:rsidRPr="0009445C">
        <w:t xml:space="preserve">The total cross-section must be at least 1/2000 of the cross-section area of the concrete core to be connected, but at least two reinforcing steel bars B500 Ø 8 mm (or equivalent) must be positioned per metre of wall length. </w:t>
      </w:r>
    </w:p>
    <w:p w14:paraId="1D953794" w14:textId="77777777" w:rsidR="009D4C8D" w:rsidRPr="0009445C" w:rsidRDefault="009D4C8D" w:rsidP="009D4C8D">
      <w:pPr>
        <w:pStyle w:val="BRLAufzhlungAnstrich"/>
        <w:numPr>
          <w:ilvl w:val="0"/>
          <w:numId w:val="1"/>
        </w:numPr>
      </w:pPr>
      <w:r w:rsidRPr="0009445C">
        <w:t xml:space="preserve">The iron plugs must each reach at least 200 mm into the concrete layers to be connected. </w:t>
      </w:r>
      <w:r w:rsidRPr="0009445C">
        <w:br/>
      </w:r>
    </w:p>
    <w:p w14:paraId="773D7F0F" w14:textId="77777777" w:rsidR="00A9619A" w:rsidRPr="0009445C" w:rsidRDefault="009D4C8D" w:rsidP="009D4C8D">
      <w:pPr>
        <w:pStyle w:val="BRL-Standard"/>
      </w:pPr>
      <w:r w:rsidRPr="0009445C">
        <w:t>3.</w:t>
      </w:r>
      <w:r w:rsidRPr="0009445C">
        <w:tab/>
        <w:t>The concrete may be allowed to fall freely up to a height of 2 m; beyond this the concrete must be held together by pouring pipes or concreting hoses with a maximum diameter of 100 mm and conducted to shortly before the installation site. Material cones should be avoided due to the short filling point intervals.</w:t>
      </w:r>
    </w:p>
    <w:p w14:paraId="0081E157" w14:textId="0D4059F7" w:rsidR="009D4C8D" w:rsidRPr="0009445C" w:rsidRDefault="009D4C8D" w:rsidP="009D4C8D">
      <w:pPr>
        <w:pStyle w:val="BRL-Standard"/>
      </w:pPr>
      <w:r w:rsidRPr="0009445C">
        <w:t>There must be enough space in the reinforcement for pouring pipes or concreting hoses. The DBV explanatory leaflet ‘</w:t>
      </w:r>
      <w:proofErr w:type="spellStart"/>
      <w:r w:rsidRPr="0009445C">
        <w:t>Betonierbarkeit</w:t>
      </w:r>
      <w:proofErr w:type="spellEnd"/>
      <w:r w:rsidRPr="0009445C">
        <w:t xml:space="preserve"> von </w:t>
      </w:r>
      <w:proofErr w:type="spellStart"/>
      <w:r w:rsidRPr="0009445C">
        <w:t>Bauteilen</w:t>
      </w:r>
      <w:proofErr w:type="spellEnd"/>
      <w:r w:rsidRPr="0009445C">
        <w:t xml:space="preserve"> </w:t>
      </w:r>
      <w:proofErr w:type="spellStart"/>
      <w:r w:rsidRPr="0009445C">
        <w:t>aus</w:t>
      </w:r>
      <w:proofErr w:type="spellEnd"/>
      <w:r w:rsidRPr="0009445C">
        <w:t xml:space="preserve"> </w:t>
      </w:r>
      <w:proofErr w:type="spellStart"/>
      <w:r w:rsidRPr="0009445C">
        <w:t>Beton</w:t>
      </w:r>
      <w:proofErr w:type="spellEnd"/>
      <w:r w:rsidRPr="0009445C">
        <w:t xml:space="preserve"> und </w:t>
      </w:r>
      <w:proofErr w:type="spellStart"/>
      <w:r w:rsidRPr="0009445C">
        <w:t>Stahlbeton</w:t>
      </w:r>
      <w:proofErr w:type="spellEnd"/>
      <w:r w:rsidRPr="0009445C">
        <w:t>’ [Concreting capability of concrete and reinforced concrete structural elements] [12] – 01/2014 must be observed.</w:t>
      </w:r>
    </w:p>
    <w:p w14:paraId="11AE7F67" w14:textId="77777777" w:rsidR="009D4C8D" w:rsidRPr="0009445C" w:rsidRDefault="009D4C8D" w:rsidP="009D4C8D">
      <w:pPr>
        <w:pStyle w:val="BRL-Standard"/>
      </w:pPr>
    </w:p>
    <w:p w14:paraId="6E5A601E" w14:textId="77777777" w:rsidR="009D4C8D" w:rsidRPr="0009445C" w:rsidRDefault="009D4C8D" w:rsidP="009D4C8D">
      <w:pPr>
        <w:pStyle w:val="BRL-Standard"/>
      </w:pPr>
      <w:r w:rsidRPr="0009445C">
        <w:t>4.</w:t>
      </w:r>
      <w:r w:rsidRPr="0009445C">
        <w:tab/>
        <w:t xml:space="preserve">The walls may not deviate from the perpendicular by more than 5 mm per running metre of wall height – by more than 15 mm from wall heights of 3 m and up – and must comply with the evenness tolerance for wall surfaces under DIN 18202:2013-04, Table 3, row 6 [13]. </w:t>
      </w:r>
    </w:p>
    <w:p w14:paraId="1C26521A" w14:textId="77777777" w:rsidR="009D4C8D" w:rsidRPr="0009445C" w:rsidRDefault="009D4C8D" w:rsidP="009D4C8D">
      <w:pPr>
        <w:rPr>
          <w:rFonts w:cs="Arial"/>
          <w:color w:val="000000"/>
        </w:rPr>
      </w:pPr>
    </w:p>
    <w:p w14:paraId="05288099" w14:textId="77777777" w:rsidR="009D4C8D" w:rsidRPr="0009445C" w:rsidRDefault="009D4C8D">
      <w:pPr>
        <w:spacing w:after="200" w:line="276" w:lineRule="auto"/>
        <w:rPr>
          <w:b/>
          <w:bCs/>
          <w:szCs w:val="16"/>
        </w:rPr>
      </w:pPr>
      <w:r w:rsidRPr="0009445C">
        <w:br w:type="page"/>
      </w:r>
    </w:p>
    <w:p w14:paraId="7DDA1631" w14:textId="77777777" w:rsidR="009D4C8D" w:rsidRPr="0009445C" w:rsidRDefault="009D4C8D" w:rsidP="00600F53">
      <w:pPr>
        <w:pStyle w:val="BRL-berschrift"/>
      </w:pPr>
      <w:r w:rsidRPr="0009445C">
        <w:lastRenderedPageBreak/>
        <w:t>C</w:t>
      </w:r>
      <w:r w:rsidRPr="0009445C">
        <w:tab/>
        <w:t>Fire protection</w:t>
      </w:r>
    </w:p>
    <w:p w14:paraId="329240E0" w14:textId="77777777" w:rsidR="009D4C8D" w:rsidRPr="0009445C" w:rsidRDefault="009D4C8D" w:rsidP="00600F53">
      <w:pPr>
        <w:pStyle w:val="BRL-berschrift"/>
      </w:pPr>
      <w:r w:rsidRPr="0009445C">
        <w:t>C1</w:t>
      </w:r>
      <w:r w:rsidRPr="0009445C">
        <w:tab/>
        <w:t>Fire resistance</w:t>
      </w:r>
    </w:p>
    <w:p w14:paraId="2FCF9A95" w14:textId="77777777" w:rsidR="009D4C8D" w:rsidRPr="0009445C" w:rsidRDefault="009D4C8D" w:rsidP="009D4C8D">
      <w:pPr>
        <w:pStyle w:val="BRL-Standard"/>
      </w:pPr>
      <w:r w:rsidRPr="0009445C">
        <w:t>In the case of load-bearing wall constructions that are constructed using previously mentioned formwork components or formwork kits/systems, the fire resistance with regard to stability (load bearing criterion R) for the internal supporting concrete construction according to DIN EN 1992</w:t>
      </w:r>
      <w:r w:rsidRPr="0009445C">
        <w:noBreakHyphen/>
        <w:t>1</w:t>
      </w:r>
      <w:r w:rsidRPr="0009445C">
        <w:noBreakHyphen/>
        <w:t>2:2010</w:t>
      </w:r>
      <w:r w:rsidRPr="0009445C">
        <w:noBreakHyphen/>
        <w:t>12</w:t>
      </w:r>
      <w:bookmarkStart w:id="67" w:name="_Ref77344740"/>
      <w:r w:rsidRPr="0009445C">
        <w:t xml:space="preserve"> [14]</w:t>
      </w:r>
      <w:bookmarkEnd w:id="67"/>
      <w:r w:rsidRPr="0009445C">
        <w:t xml:space="preserve"> may be carried out taking into account DIN EN 1992-1-2/NA:2010-12</w:t>
      </w:r>
      <w:bookmarkStart w:id="68" w:name="_Ref77344805"/>
      <w:r w:rsidRPr="0009445C">
        <w:t xml:space="preserve"> [15]</w:t>
      </w:r>
      <w:bookmarkEnd w:id="68"/>
      <w:r w:rsidRPr="0009445C">
        <w:t xml:space="preserve"> if it is possible to demonstrate stability at normal temperatures on the basis of DIN EN 1992-1-1:2011-01 and DIN EN 1992</w:t>
      </w:r>
      <w:r w:rsidRPr="0009445C">
        <w:noBreakHyphen/>
        <w:t>1</w:t>
      </w:r>
      <w:r w:rsidRPr="0009445C">
        <w:noBreakHyphen/>
        <w:t>1/A1:2015</w:t>
      </w:r>
      <w:r w:rsidRPr="0009445C">
        <w:noBreakHyphen/>
        <w:t>03 [7] taking into account DIN EN 1992-1-1/NA:2013-04 and DIN EN 1992</w:t>
      </w:r>
      <w:r w:rsidRPr="0009445C">
        <w:noBreakHyphen/>
        <w:t>1</w:t>
      </w:r>
      <w:r w:rsidRPr="0009445C">
        <w:noBreakHyphen/>
        <w:t>1/NA/A1:2015-12 [8]. The scope in which an assessment of the fire resistance is possible with regard to the space barrier and insulation (EI) or load capacity, space barrier and insulation (REI) depends on the corresponding boundary conditions of the verification procedure according to DIN EN 1992</w:t>
      </w:r>
      <w:r w:rsidRPr="0009445C">
        <w:noBreakHyphen/>
        <w:t>1</w:t>
      </w:r>
      <w:r w:rsidRPr="0009445C">
        <w:noBreakHyphen/>
        <w:t>2:2010</w:t>
      </w:r>
      <w:r w:rsidRPr="0009445C">
        <w:noBreakHyphen/>
        <w:t>12 [14] taking into account DIN EN 1992</w:t>
      </w:r>
      <w:r w:rsidRPr="0009445C">
        <w:noBreakHyphen/>
        <w:t>1</w:t>
      </w:r>
      <w:r w:rsidRPr="0009445C">
        <w:noBreakHyphen/>
        <w:t>2/NA:2010</w:t>
      </w:r>
      <w:r w:rsidRPr="0009445C">
        <w:noBreakHyphen/>
        <w:t xml:space="preserve">12 [15]. </w:t>
      </w:r>
    </w:p>
    <w:p w14:paraId="4A6A0B5D" w14:textId="77777777" w:rsidR="009D4C8D" w:rsidRPr="0009445C" w:rsidRDefault="009D4C8D" w:rsidP="009D4C8D">
      <w:pPr>
        <w:pStyle w:val="BRL-Standard"/>
      </w:pPr>
    </w:p>
    <w:p w14:paraId="6142C254" w14:textId="77777777" w:rsidR="009D4C8D" w:rsidRPr="0009445C" w:rsidRDefault="009D4C8D" w:rsidP="009D4C8D">
      <w:pPr>
        <w:pStyle w:val="BRL-Standard"/>
      </w:pPr>
      <w:r w:rsidRPr="0009445C">
        <w:t>There is no universally applicable Technical Rule for test-specific proof.</w:t>
      </w:r>
    </w:p>
    <w:p w14:paraId="5925FEA9" w14:textId="77777777" w:rsidR="009D4C8D" w:rsidRPr="0009445C" w:rsidRDefault="009D4C8D" w:rsidP="009D4C8D"/>
    <w:p w14:paraId="21A773AF" w14:textId="77777777" w:rsidR="009D4C8D" w:rsidRPr="0009445C" w:rsidRDefault="009D4C8D" w:rsidP="00600F53">
      <w:pPr>
        <w:pStyle w:val="BRL-berschrift"/>
      </w:pPr>
      <w:r w:rsidRPr="0009445C">
        <w:t>C2</w:t>
      </w:r>
      <w:r w:rsidRPr="0009445C">
        <w:tab/>
        <w:t>Fire performance</w:t>
      </w:r>
    </w:p>
    <w:p w14:paraId="300DD5B2" w14:textId="77777777" w:rsidR="009D4C8D" w:rsidRPr="0009445C" w:rsidRDefault="009D4C8D" w:rsidP="009D4C8D">
      <w:pPr>
        <w:pStyle w:val="BRL-Standard"/>
      </w:pPr>
      <w:r w:rsidRPr="0009445C">
        <w:t>For non-load-bearing permanent formwork components made of expanded polystyrene (EPS) insulating material as per EN 13163:2012+A2:2016</w:t>
      </w:r>
      <w:r w:rsidRPr="0009445C">
        <w:rPr>
          <w:rStyle w:val="FootnoteReference"/>
        </w:rPr>
        <w:footnoteReference w:id="62"/>
      </w:r>
      <w:r w:rsidRPr="0009445C">
        <w:t xml:space="preserve"> [16], the TR ‘WDVS with ETA as per ETAG 004’ [thermal insulation composite systems with ETA as per ETAG 004] (June 2016) Section 3.2</w:t>
      </w:r>
      <w:r w:rsidRPr="0009445C">
        <w:rPr>
          <w:rStyle w:val="FootnoteReference"/>
        </w:rPr>
        <w:footnoteReference w:id="63"/>
      </w:r>
      <w:r w:rsidRPr="0009445C">
        <w:t>, shall apply analogously in respect of classification in terms of building inspection requirements according to DIN EN 13501</w:t>
      </w:r>
      <w:r w:rsidRPr="0009445C">
        <w:noBreakHyphen/>
        <w:t>1:2010-01 [17].</w:t>
      </w:r>
    </w:p>
    <w:p w14:paraId="1DCBCE54" w14:textId="77777777" w:rsidR="009D4C8D" w:rsidRPr="0009445C" w:rsidRDefault="009D4C8D" w:rsidP="009D4C8D">
      <w:pPr>
        <w:pStyle w:val="BRL-Standard"/>
      </w:pPr>
    </w:p>
    <w:p w14:paraId="2EB73CFD" w14:textId="77777777" w:rsidR="009D4C8D" w:rsidRPr="0009445C" w:rsidRDefault="009D4C8D" w:rsidP="00600F53">
      <w:pPr>
        <w:pStyle w:val="BRL-berschrift"/>
      </w:pPr>
      <w:r w:rsidRPr="0009445C">
        <w:t>D</w:t>
      </w:r>
      <w:r w:rsidRPr="0009445C">
        <w:tab/>
        <w:t xml:space="preserve">Sound insulation </w:t>
      </w:r>
    </w:p>
    <w:p w14:paraId="46AB92E5" w14:textId="77777777" w:rsidR="009D4C8D" w:rsidRPr="0009445C" w:rsidRDefault="009D4C8D" w:rsidP="009D4C8D">
      <w:pPr>
        <w:pStyle w:val="BRL-Standard"/>
      </w:pPr>
      <w:r w:rsidRPr="0009445C">
        <w:t>If formwork components are used in cases where sound insulation requirements apply, proof of sound insulation as per DIN 4109-1:2018-01 [18] and DIN 4109</w:t>
      </w:r>
      <w:r w:rsidRPr="0009445C">
        <w:noBreakHyphen/>
        <w:t xml:space="preserve">32:2016-07 [19] must be provided. </w:t>
      </w:r>
    </w:p>
    <w:p w14:paraId="3F2F44FE" w14:textId="77777777" w:rsidR="009D4C8D" w:rsidRPr="0009445C" w:rsidRDefault="009D4C8D" w:rsidP="009D4C8D">
      <w:pPr>
        <w:pStyle w:val="BRL-Standard"/>
      </w:pPr>
    </w:p>
    <w:p w14:paraId="13768A09" w14:textId="77777777" w:rsidR="009D4C8D" w:rsidRPr="0009445C" w:rsidRDefault="009D4C8D" w:rsidP="00600F53">
      <w:pPr>
        <w:pStyle w:val="BRL-berschrift"/>
      </w:pPr>
      <w:r w:rsidRPr="0009445C">
        <w:t>E</w:t>
      </w:r>
      <w:r w:rsidRPr="0009445C">
        <w:tab/>
        <w:t xml:space="preserve">Thermal insulation </w:t>
      </w:r>
    </w:p>
    <w:p w14:paraId="459A32DE" w14:textId="77777777" w:rsidR="009D4C8D" w:rsidRPr="0009445C" w:rsidRDefault="009D4C8D" w:rsidP="009D4C8D">
      <w:pPr>
        <w:pStyle w:val="BRL-Standard"/>
      </w:pPr>
      <w:r w:rsidRPr="0009445C">
        <w:t>The nominal value of the thermal resistance of the formwork block, as indicated in the above technical specifications in [1], [2] and [3], shall be converted into a rated value for proof of thermal insulation. The rated value is the nominal value divided by the safety factor = 1.2.</w:t>
      </w:r>
    </w:p>
    <w:p w14:paraId="479E3FF2" w14:textId="77777777" w:rsidR="009D4C8D" w:rsidRPr="0009445C" w:rsidRDefault="009D4C8D" w:rsidP="009D4C8D">
      <w:pPr>
        <w:pStyle w:val="BRL-Standard"/>
      </w:pPr>
    </w:p>
    <w:p w14:paraId="1D0803D4" w14:textId="0767A1D5" w:rsidR="009D4C8D" w:rsidRPr="0009445C" w:rsidRDefault="009D4C8D" w:rsidP="009D4C8D">
      <w:pPr>
        <w:pStyle w:val="BRL-Standard"/>
      </w:pPr>
      <w:r w:rsidRPr="0009445C">
        <w:t xml:space="preserve">For formwork components, proof of thermal insulation may alternatively be provided using the thermal conductivity rated values for individual structural elements as per DIN 4108-4:2020-11 [20]. </w:t>
      </w:r>
    </w:p>
    <w:p w14:paraId="5787987B" w14:textId="77777777" w:rsidR="009D4C8D" w:rsidRPr="0009445C" w:rsidRDefault="009D4C8D" w:rsidP="009D4C8D">
      <w:pPr>
        <w:pStyle w:val="BRL-Standard"/>
      </w:pPr>
    </w:p>
    <w:p w14:paraId="07F196EE" w14:textId="77777777" w:rsidR="009D4C8D" w:rsidRPr="0009445C" w:rsidRDefault="009D4C8D" w:rsidP="009D4C8D">
      <w:pPr>
        <w:pStyle w:val="BRL-Standard"/>
      </w:pPr>
      <w:r w:rsidRPr="0009445C">
        <w:t>As integrated thermal insulation, these are thermal insulation inserts inside the formwork block, which are directly exposed to fresh concrete pressure, only insulating materials whose compressive stress at 10% compression is at least equal to the level ≥ 100 kPa [16] shall be used.</w:t>
      </w:r>
    </w:p>
    <w:p w14:paraId="5A37DFAF" w14:textId="77777777" w:rsidR="009D4C8D" w:rsidRPr="0009445C" w:rsidRDefault="009D4C8D" w:rsidP="009D4C8D">
      <w:pPr>
        <w:spacing w:after="200"/>
      </w:pPr>
      <w:r w:rsidRPr="0009445C">
        <w:br w:type="page"/>
      </w:r>
    </w:p>
    <w:p w14:paraId="2C8D1165" w14:textId="77777777" w:rsidR="009D4C8D" w:rsidRPr="0009445C" w:rsidRDefault="009D4C8D" w:rsidP="009D4C8D">
      <w:pPr>
        <w:pStyle w:val="BRL-Standard"/>
        <w:spacing w:after="120"/>
        <w:rPr>
          <w:b/>
        </w:rPr>
      </w:pPr>
      <w:r w:rsidRPr="0009445C">
        <w:rPr>
          <w:b/>
        </w:rPr>
        <w:lastRenderedPageBreak/>
        <w:t>References</w:t>
      </w:r>
    </w:p>
    <w:tbl>
      <w:tblPr>
        <w:tblW w:w="5115" w:type="pct"/>
        <w:tblCellSpacing w:w="15" w:type="dxa"/>
        <w:tblCellMar>
          <w:top w:w="15" w:type="dxa"/>
          <w:left w:w="15" w:type="dxa"/>
          <w:bottom w:w="15" w:type="dxa"/>
          <w:right w:w="15" w:type="dxa"/>
        </w:tblCellMar>
        <w:tblLook w:val="04A0" w:firstRow="1" w:lastRow="0" w:firstColumn="1" w:lastColumn="0" w:noHBand="0" w:noVBand="1"/>
      </w:tblPr>
      <w:tblGrid>
        <w:gridCol w:w="455"/>
        <w:gridCol w:w="66"/>
        <w:gridCol w:w="4237"/>
        <w:gridCol w:w="4521"/>
      </w:tblGrid>
      <w:tr w:rsidR="0090756A" w:rsidRPr="0009445C" w14:paraId="79AFE383" w14:textId="43E76DC1" w:rsidTr="00E779AB">
        <w:trPr>
          <w:tblCellSpacing w:w="15" w:type="dxa"/>
        </w:trPr>
        <w:tc>
          <w:tcPr>
            <w:tcW w:w="281" w:type="pct"/>
            <w:hideMark/>
          </w:tcPr>
          <w:p w14:paraId="3AE11AD8" w14:textId="77777777" w:rsidR="0090756A" w:rsidRPr="0009445C" w:rsidRDefault="0090756A" w:rsidP="00044502">
            <w:pPr>
              <w:pStyle w:val="Bibliography"/>
              <w:rPr>
                <w:noProof/>
                <w:sz w:val="24"/>
                <w:szCs w:val="24"/>
              </w:rPr>
            </w:pPr>
            <w:r w:rsidRPr="0009445C">
              <w:t xml:space="preserve">[1] </w:t>
            </w:r>
          </w:p>
        </w:tc>
        <w:tc>
          <w:tcPr>
            <w:tcW w:w="19" w:type="pct"/>
          </w:tcPr>
          <w:p w14:paraId="68CFB16C" w14:textId="77777777" w:rsidR="0090756A" w:rsidRPr="0009445C" w:rsidRDefault="0090756A" w:rsidP="00044502">
            <w:pPr>
              <w:pStyle w:val="Bibliography"/>
              <w:ind w:left="2996" w:hanging="2996"/>
              <w:jc w:val="left"/>
              <w:rPr>
                <w:iCs/>
                <w:noProof/>
              </w:rPr>
            </w:pPr>
          </w:p>
        </w:tc>
        <w:tc>
          <w:tcPr>
            <w:tcW w:w="2147" w:type="pct"/>
            <w:hideMark/>
          </w:tcPr>
          <w:p w14:paraId="02D67E17" w14:textId="22AAC8AD" w:rsidR="0090756A" w:rsidRPr="0009445C" w:rsidRDefault="0090756A" w:rsidP="0090756A">
            <w:pPr>
              <w:pStyle w:val="Bibliography"/>
              <w:jc w:val="left"/>
              <w:rPr>
                <w:noProof/>
              </w:rPr>
            </w:pPr>
            <w:r w:rsidRPr="0009445C">
              <w:t>ETAG 009:2002-06</w:t>
            </w:r>
          </w:p>
        </w:tc>
        <w:tc>
          <w:tcPr>
            <w:tcW w:w="2472" w:type="pct"/>
          </w:tcPr>
          <w:p w14:paraId="206A676C" w14:textId="65EF3D8B" w:rsidR="0090756A" w:rsidRPr="0009445C" w:rsidRDefault="0090756A" w:rsidP="0090756A">
            <w:pPr>
              <w:pStyle w:val="Bibliography"/>
              <w:jc w:val="left"/>
              <w:rPr>
                <w:iCs/>
                <w:noProof/>
              </w:rPr>
            </w:pPr>
            <w:r w:rsidRPr="0009445C">
              <w:t>Non load-bearing permanent shuttering kits/systems based on hollow blocks or panels of insulating materials and sometimes concrete.</w:t>
            </w:r>
          </w:p>
        </w:tc>
      </w:tr>
      <w:tr w:rsidR="0090756A" w:rsidRPr="0009445C" w14:paraId="7CAD04EF" w14:textId="2D0E59B3" w:rsidTr="00E779AB">
        <w:trPr>
          <w:tblCellSpacing w:w="15" w:type="dxa"/>
        </w:trPr>
        <w:tc>
          <w:tcPr>
            <w:tcW w:w="281" w:type="pct"/>
            <w:hideMark/>
          </w:tcPr>
          <w:p w14:paraId="6BB80A68" w14:textId="77777777" w:rsidR="0090756A" w:rsidRPr="0009445C" w:rsidRDefault="0090756A" w:rsidP="00044502">
            <w:pPr>
              <w:pStyle w:val="Bibliography"/>
              <w:rPr>
                <w:noProof/>
              </w:rPr>
            </w:pPr>
            <w:r w:rsidRPr="0009445C">
              <w:t xml:space="preserve">[2] </w:t>
            </w:r>
          </w:p>
        </w:tc>
        <w:tc>
          <w:tcPr>
            <w:tcW w:w="19" w:type="pct"/>
          </w:tcPr>
          <w:p w14:paraId="0E742541" w14:textId="77777777" w:rsidR="0090756A" w:rsidRPr="0009445C" w:rsidRDefault="0090756A" w:rsidP="00044502">
            <w:pPr>
              <w:pStyle w:val="Bibliography"/>
              <w:ind w:left="2996" w:hanging="2996"/>
              <w:jc w:val="left"/>
              <w:rPr>
                <w:iCs/>
                <w:noProof/>
              </w:rPr>
            </w:pPr>
          </w:p>
        </w:tc>
        <w:tc>
          <w:tcPr>
            <w:tcW w:w="2147" w:type="pct"/>
            <w:hideMark/>
          </w:tcPr>
          <w:p w14:paraId="18C5F0A1" w14:textId="00DB3529" w:rsidR="0090756A" w:rsidRPr="0009445C" w:rsidRDefault="0090756A" w:rsidP="00044502">
            <w:pPr>
              <w:pStyle w:val="Bibliography"/>
              <w:ind w:left="2996" w:hanging="2996"/>
              <w:jc w:val="left"/>
              <w:rPr>
                <w:noProof/>
              </w:rPr>
            </w:pPr>
            <w:r w:rsidRPr="0009445C">
              <w:t>DIN EN 15435:2008-10</w:t>
            </w:r>
          </w:p>
        </w:tc>
        <w:tc>
          <w:tcPr>
            <w:tcW w:w="2472" w:type="pct"/>
          </w:tcPr>
          <w:p w14:paraId="1A93FC19" w14:textId="69511A61" w:rsidR="0090756A" w:rsidRPr="0009445C" w:rsidRDefault="0090756A" w:rsidP="00044502">
            <w:pPr>
              <w:pStyle w:val="Bibliography"/>
              <w:jc w:val="left"/>
              <w:rPr>
                <w:iCs/>
                <w:noProof/>
              </w:rPr>
            </w:pPr>
            <w:r w:rsidRPr="0009445C">
              <w:t>Precast concrete products - Normal weight and lightweight concrete shuttering blocks - Product properties and performance; German version EN 15435:2008.</w:t>
            </w:r>
          </w:p>
        </w:tc>
      </w:tr>
      <w:tr w:rsidR="0090756A" w:rsidRPr="0009445C" w14:paraId="6CFE4609" w14:textId="3A3B1D47" w:rsidTr="00E779AB">
        <w:trPr>
          <w:tblCellSpacing w:w="15" w:type="dxa"/>
        </w:trPr>
        <w:tc>
          <w:tcPr>
            <w:tcW w:w="281" w:type="pct"/>
            <w:hideMark/>
          </w:tcPr>
          <w:p w14:paraId="14A34AB9" w14:textId="77777777" w:rsidR="0090756A" w:rsidRPr="0009445C" w:rsidRDefault="0090756A" w:rsidP="00044502">
            <w:pPr>
              <w:pStyle w:val="Bibliography"/>
              <w:rPr>
                <w:noProof/>
              </w:rPr>
            </w:pPr>
            <w:r w:rsidRPr="0009445C">
              <w:t xml:space="preserve">[3] </w:t>
            </w:r>
          </w:p>
        </w:tc>
        <w:tc>
          <w:tcPr>
            <w:tcW w:w="19" w:type="pct"/>
          </w:tcPr>
          <w:p w14:paraId="57766576" w14:textId="77777777" w:rsidR="0090756A" w:rsidRPr="0009445C" w:rsidRDefault="0090756A" w:rsidP="00044502">
            <w:pPr>
              <w:pStyle w:val="Bibliography"/>
              <w:ind w:left="2996" w:hanging="2996"/>
              <w:jc w:val="left"/>
              <w:rPr>
                <w:iCs/>
                <w:noProof/>
              </w:rPr>
            </w:pPr>
          </w:p>
        </w:tc>
        <w:tc>
          <w:tcPr>
            <w:tcW w:w="2147" w:type="pct"/>
            <w:hideMark/>
          </w:tcPr>
          <w:p w14:paraId="741F39EE" w14:textId="72BB7EC9" w:rsidR="0090756A" w:rsidRPr="0009445C" w:rsidRDefault="0090756A" w:rsidP="00044502">
            <w:pPr>
              <w:pStyle w:val="Bibliography"/>
              <w:ind w:left="2996" w:hanging="2996"/>
              <w:jc w:val="left"/>
              <w:rPr>
                <w:noProof/>
              </w:rPr>
            </w:pPr>
            <w:r w:rsidRPr="0009445C">
              <w:t>DIN EN 15498:2008-08</w:t>
            </w:r>
          </w:p>
        </w:tc>
        <w:tc>
          <w:tcPr>
            <w:tcW w:w="2472" w:type="pct"/>
          </w:tcPr>
          <w:p w14:paraId="08DF109A" w14:textId="5BB7C113" w:rsidR="0090756A" w:rsidRPr="0009445C" w:rsidRDefault="0090756A" w:rsidP="00E779AB">
            <w:pPr>
              <w:pStyle w:val="Bibliography"/>
              <w:jc w:val="left"/>
              <w:rPr>
                <w:iCs/>
                <w:noProof/>
              </w:rPr>
            </w:pPr>
            <w:r w:rsidRPr="0009445C">
              <w:t>Precast concrete products - Wood-chip concrete shuttering blocks - Product properties and performance; German version</w:t>
            </w:r>
            <w:r w:rsidRPr="0009445C">
              <w:br/>
              <w:t>EN 15498:2008.</w:t>
            </w:r>
          </w:p>
        </w:tc>
      </w:tr>
      <w:tr w:rsidR="0090756A" w:rsidRPr="0009445C" w14:paraId="4573B041" w14:textId="708C9552" w:rsidTr="00E779AB">
        <w:trPr>
          <w:tblCellSpacing w:w="15" w:type="dxa"/>
        </w:trPr>
        <w:tc>
          <w:tcPr>
            <w:tcW w:w="281" w:type="pct"/>
            <w:hideMark/>
          </w:tcPr>
          <w:p w14:paraId="71D1BABB" w14:textId="77777777" w:rsidR="0090756A" w:rsidRPr="0009445C" w:rsidRDefault="0090756A" w:rsidP="00044502">
            <w:pPr>
              <w:pStyle w:val="Bibliography"/>
              <w:rPr>
                <w:noProof/>
              </w:rPr>
            </w:pPr>
            <w:r w:rsidRPr="0009445C">
              <w:t xml:space="preserve">[4] </w:t>
            </w:r>
          </w:p>
        </w:tc>
        <w:tc>
          <w:tcPr>
            <w:tcW w:w="19" w:type="pct"/>
          </w:tcPr>
          <w:p w14:paraId="15F594B1" w14:textId="77777777" w:rsidR="0090756A" w:rsidRPr="0009445C" w:rsidRDefault="0090756A" w:rsidP="00044502">
            <w:pPr>
              <w:pStyle w:val="Bibliography"/>
              <w:ind w:left="2996" w:hanging="2996"/>
              <w:rPr>
                <w:iCs/>
                <w:noProof/>
              </w:rPr>
            </w:pPr>
          </w:p>
        </w:tc>
        <w:tc>
          <w:tcPr>
            <w:tcW w:w="2147" w:type="pct"/>
            <w:hideMark/>
          </w:tcPr>
          <w:p w14:paraId="09560E6A" w14:textId="1D6D4A9E" w:rsidR="0090756A" w:rsidRPr="0009445C" w:rsidRDefault="0090756A" w:rsidP="00044502">
            <w:pPr>
              <w:pStyle w:val="Bibliography"/>
              <w:ind w:left="2996" w:hanging="2996"/>
              <w:rPr>
                <w:noProof/>
              </w:rPr>
            </w:pPr>
            <w:r w:rsidRPr="0009445C">
              <w:t>DIN 18218:2010-01</w:t>
            </w:r>
          </w:p>
        </w:tc>
        <w:tc>
          <w:tcPr>
            <w:tcW w:w="2472" w:type="pct"/>
          </w:tcPr>
          <w:p w14:paraId="5C495F87" w14:textId="4B86468B" w:rsidR="0090756A" w:rsidRPr="0009445C" w:rsidRDefault="0090756A" w:rsidP="00044502">
            <w:pPr>
              <w:pStyle w:val="Bibliography"/>
              <w:ind w:left="2996" w:hanging="2996"/>
              <w:rPr>
                <w:iCs/>
                <w:noProof/>
              </w:rPr>
            </w:pPr>
            <w:r w:rsidRPr="0009445C">
              <w:t>Pressure of fresh concrete on vertical formwork.</w:t>
            </w:r>
          </w:p>
        </w:tc>
      </w:tr>
      <w:tr w:rsidR="0090756A" w:rsidRPr="0009445C" w14:paraId="75462677" w14:textId="05E297E3" w:rsidTr="00E779AB">
        <w:trPr>
          <w:tblCellSpacing w:w="15" w:type="dxa"/>
        </w:trPr>
        <w:tc>
          <w:tcPr>
            <w:tcW w:w="281" w:type="pct"/>
            <w:hideMark/>
          </w:tcPr>
          <w:p w14:paraId="023D8CDA" w14:textId="77777777" w:rsidR="0090756A" w:rsidRPr="0009445C" w:rsidRDefault="0090756A" w:rsidP="00044502">
            <w:pPr>
              <w:pStyle w:val="Bibliography"/>
              <w:rPr>
                <w:noProof/>
              </w:rPr>
            </w:pPr>
            <w:r w:rsidRPr="0009445C">
              <w:t xml:space="preserve">[5] </w:t>
            </w:r>
          </w:p>
        </w:tc>
        <w:tc>
          <w:tcPr>
            <w:tcW w:w="19" w:type="pct"/>
          </w:tcPr>
          <w:p w14:paraId="0E513581" w14:textId="77777777" w:rsidR="0090756A" w:rsidRPr="0009445C" w:rsidRDefault="0090756A" w:rsidP="00044502">
            <w:pPr>
              <w:pStyle w:val="Bibliography"/>
              <w:ind w:left="2996" w:hanging="2996"/>
              <w:jc w:val="left"/>
              <w:rPr>
                <w:iCs/>
                <w:noProof/>
              </w:rPr>
            </w:pPr>
          </w:p>
        </w:tc>
        <w:tc>
          <w:tcPr>
            <w:tcW w:w="2147" w:type="pct"/>
            <w:hideMark/>
          </w:tcPr>
          <w:p w14:paraId="5C7E5315" w14:textId="388B5E73" w:rsidR="0090756A" w:rsidRPr="0009445C" w:rsidRDefault="0090756A" w:rsidP="00044502">
            <w:pPr>
              <w:pStyle w:val="Bibliography"/>
              <w:ind w:left="2996" w:hanging="2996"/>
              <w:jc w:val="left"/>
              <w:rPr>
                <w:iCs/>
                <w:noProof/>
              </w:rPr>
            </w:pPr>
            <w:r w:rsidRPr="0009445C">
              <w:t>DIN EN 1990:2010-12</w:t>
            </w:r>
          </w:p>
        </w:tc>
        <w:tc>
          <w:tcPr>
            <w:tcW w:w="2472" w:type="pct"/>
          </w:tcPr>
          <w:p w14:paraId="60E98AC6" w14:textId="633593D3" w:rsidR="0090756A" w:rsidRPr="0009445C" w:rsidRDefault="0090756A" w:rsidP="00E779AB">
            <w:pPr>
              <w:pStyle w:val="Bibliography"/>
              <w:jc w:val="left"/>
              <w:rPr>
                <w:iCs/>
                <w:noProof/>
              </w:rPr>
            </w:pPr>
            <w:r w:rsidRPr="0009445C">
              <w:t xml:space="preserve">Eurocode: Basis of structural design; </w:t>
            </w:r>
            <w:r w:rsidRPr="0009445C">
              <w:br/>
              <w:t>German version EN 1990:2002+A1:2005+A1:2005/AC:2010.</w:t>
            </w:r>
          </w:p>
        </w:tc>
      </w:tr>
      <w:tr w:rsidR="0090756A" w:rsidRPr="0009445C" w14:paraId="3FA0D273" w14:textId="7A7DA751" w:rsidTr="00E779AB">
        <w:trPr>
          <w:tblCellSpacing w:w="15" w:type="dxa"/>
        </w:trPr>
        <w:tc>
          <w:tcPr>
            <w:tcW w:w="281" w:type="pct"/>
            <w:hideMark/>
          </w:tcPr>
          <w:p w14:paraId="1F3E9B45" w14:textId="77777777" w:rsidR="0090756A" w:rsidRPr="0009445C" w:rsidRDefault="0090756A" w:rsidP="00044502">
            <w:pPr>
              <w:pStyle w:val="Bibliography"/>
              <w:rPr>
                <w:noProof/>
              </w:rPr>
            </w:pPr>
            <w:r w:rsidRPr="0009445C">
              <w:t xml:space="preserve">[6] </w:t>
            </w:r>
          </w:p>
        </w:tc>
        <w:tc>
          <w:tcPr>
            <w:tcW w:w="19" w:type="pct"/>
          </w:tcPr>
          <w:p w14:paraId="3FD7593E" w14:textId="77777777" w:rsidR="0090756A" w:rsidRPr="0009445C" w:rsidRDefault="0090756A" w:rsidP="00044502">
            <w:pPr>
              <w:pStyle w:val="Bibliography"/>
              <w:ind w:left="2996" w:hanging="2996"/>
              <w:rPr>
                <w:iCs/>
                <w:noProof/>
              </w:rPr>
            </w:pPr>
          </w:p>
        </w:tc>
        <w:tc>
          <w:tcPr>
            <w:tcW w:w="2147" w:type="pct"/>
            <w:hideMark/>
          </w:tcPr>
          <w:p w14:paraId="43877BAF" w14:textId="6401E072" w:rsidR="0090756A" w:rsidRPr="0009445C" w:rsidRDefault="0090756A" w:rsidP="00044502">
            <w:pPr>
              <w:pStyle w:val="Bibliography"/>
              <w:ind w:left="2996" w:hanging="2996"/>
              <w:rPr>
                <w:noProof/>
              </w:rPr>
            </w:pPr>
            <w:r w:rsidRPr="0009445C">
              <w:t>DIN EN 1990/NA:2010-12</w:t>
            </w:r>
          </w:p>
        </w:tc>
        <w:tc>
          <w:tcPr>
            <w:tcW w:w="2472" w:type="pct"/>
          </w:tcPr>
          <w:p w14:paraId="4188C304" w14:textId="1D4A8F25" w:rsidR="0090756A" w:rsidRPr="0009445C" w:rsidRDefault="0090756A" w:rsidP="00E779AB">
            <w:pPr>
              <w:pStyle w:val="Bibliography"/>
              <w:jc w:val="left"/>
              <w:rPr>
                <w:iCs/>
                <w:noProof/>
              </w:rPr>
            </w:pPr>
            <w:r w:rsidRPr="0009445C">
              <w:t>National Annex – Nationally determined parameters – Eurocode: Basis of structural design.</w:t>
            </w:r>
          </w:p>
        </w:tc>
      </w:tr>
      <w:tr w:rsidR="0090756A" w:rsidRPr="0009445C" w14:paraId="677DB71D" w14:textId="36AE3C35" w:rsidTr="00E779AB">
        <w:trPr>
          <w:tblCellSpacing w:w="15" w:type="dxa"/>
        </w:trPr>
        <w:tc>
          <w:tcPr>
            <w:tcW w:w="281" w:type="pct"/>
            <w:hideMark/>
          </w:tcPr>
          <w:p w14:paraId="17B65282" w14:textId="77777777" w:rsidR="0090756A" w:rsidRPr="0009445C" w:rsidRDefault="0090756A" w:rsidP="00044502">
            <w:pPr>
              <w:pStyle w:val="Bibliography"/>
              <w:rPr>
                <w:noProof/>
              </w:rPr>
            </w:pPr>
            <w:r w:rsidRPr="0009445C">
              <w:t xml:space="preserve">[7] </w:t>
            </w:r>
          </w:p>
        </w:tc>
        <w:tc>
          <w:tcPr>
            <w:tcW w:w="19" w:type="pct"/>
          </w:tcPr>
          <w:p w14:paraId="4887F8B4" w14:textId="77777777" w:rsidR="0090756A" w:rsidRPr="0009445C" w:rsidRDefault="0090756A" w:rsidP="00044502">
            <w:pPr>
              <w:pStyle w:val="Bibliography"/>
              <w:ind w:left="2996" w:hanging="2996"/>
              <w:jc w:val="left"/>
              <w:rPr>
                <w:iCs/>
                <w:noProof/>
              </w:rPr>
            </w:pPr>
          </w:p>
        </w:tc>
        <w:tc>
          <w:tcPr>
            <w:tcW w:w="2147" w:type="pct"/>
            <w:hideMark/>
          </w:tcPr>
          <w:p w14:paraId="10CFF9DD" w14:textId="77777777" w:rsidR="0090756A" w:rsidRPr="0009445C" w:rsidRDefault="0090756A" w:rsidP="0090756A">
            <w:pPr>
              <w:pStyle w:val="Bibliography"/>
              <w:ind w:left="2996" w:hanging="2996"/>
              <w:jc w:val="left"/>
              <w:rPr>
                <w:iCs/>
                <w:noProof/>
                <w:lang w:val="de-DE"/>
              </w:rPr>
            </w:pPr>
            <w:r w:rsidRPr="0009445C">
              <w:rPr>
                <w:lang w:val="de-DE"/>
              </w:rPr>
              <w:t>DIN EN 1992-1-1:2011-01</w:t>
            </w:r>
          </w:p>
          <w:p w14:paraId="3D7FB634" w14:textId="0FA58A80" w:rsidR="0090756A" w:rsidRPr="0009445C" w:rsidRDefault="0090756A" w:rsidP="0090756A">
            <w:pPr>
              <w:pStyle w:val="Bibliography"/>
              <w:ind w:left="2996" w:hanging="2996"/>
              <w:jc w:val="left"/>
              <w:rPr>
                <w:noProof/>
                <w:lang w:val="de-DE"/>
              </w:rPr>
            </w:pPr>
            <w:r w:rsidRPr="0009445C">
              <w:rPr>
                <w:lang w:val="de-DE"/>
              </w:rPr>
              <w:t>DIN EN 1992-1-1/A1:2015-03</w:t>
            </w:r>
          </w:p>
        </w:tc>
        <w:tc>
          <w:tcPr>
            <w:tcW w:w="2472" w:type="pct"/>
          </w:tcPr>
          <w:p w14:paraId="5548893B" w14:textId="2786D9CE" w:rsidR="0090756A" w:rsidRPr="0009445C" w:rsidRDefault="0090756A" w:rsidP="00E779AB">
            <w:pPr>
              <w:pStyle w:val="Bibliography"/>
              <w:jc w:val="left"/>
              <w:rPr>
                <w:iCs/>
                <w:noProof/>
              </w:rPr>
            </w:pPr>
            <w:r w:rsidRPr="0009445C">
              <w:t xml:space="preserve">Eurocode 2: Design and construction of reinforced concrete and prestressed concrete supporting structures – Part 1-1: General rules - Rules for buildings, bridges and civil engineering structures; </w:t>
            </w:r>
            <w:r w:rsidRPr="0009445C">
              <w:br/>
              <w:t>German version EN 1992 1 1:2004 + AC:2010.</w:t>
            </w:r>
          </w:p>
        </w:tc>
      </w:tr>
      <w:tr w:rsidR="0090756A" w:rsidRPr="0009445C" w14:paraId="07FA0DA2" w14:textId="5AC57D51" w:rsidTr="00E779AB">
        <w:trPr>
          <w:tblCellSpacing w:w="15" w:type="dxa"/>
        </w:trPr>
        <w:tc>
          <w:tcPr>
            <w:tcW w:w="281" w:type="pct"/>
            <w:hideMark/>
          </w:tcPr>
          <w:p w14:paraId="5CE6C5A6" w14:textId="77777777" w:rsidR="0090756A" w:rsidRPr="0009445C" w:rsidRDefault="0090756A" w:rsidP="00044502">
            <w:pPr>
              <w:pStyle w:val="Bibliography"/>
              <w:rPr>
                <w:noProof/>
              </w:rPr>
            </w:pPr>
            <w:r w:rsidRPr="0009445C">
              <w:t xml:space="preserve">[8] </w:t>
            </w:r>
          </w:p>
        </w:tc>
        <w:tc>
          <w:tcPr>
            <w:tcW w:w="19" w:type="pct"/>
          </w:tcPr>
          <w:p w14:paraId="1C3963A6" w14:textId="77777777" w:rsidR="0090756A" w:rsidRPr="0009445C" w:rsidRDefault="0090756A" w:rsidP="00044502">
            <w:pPr>
              <w:pStyle w:val="Bibliography"/>
              <w:ind w:left="2996" w:hanging="2996"/>
              <w:jc w:val="left"/>
              <w:rPr>
                <w:iCs/>
                <w:noProof/>
              </w:rPr>
            </w:pPr>
          </w:p>
        </w:tc>
        <w:tc>
          <w:tcPr>
            <w:tcW w:w="2147" w:type="pct"/>
            <w:hideMark/>
          </w:tcPr>
          <w:p w14:paraId="60B091D2" w14:textId="48B503F5" w:rsidR="0090756A" w:rsidRPr="0009445C" w:rsidRDefault="0090756A" w:rsidP="00044502">
            <w:pPr>
              <w:pStyle w:val="Bibliography"/>
              <w:ind w:left="2996" w:hanging="2996"/>
              <w:jc w:val="left"/>
              <w:rPr>
                <w:iCs/>
                <w:noProof/>
                <w:lang w:val="de-DE"/>
              </w:rPr>
            </w:pPr>
            <w:r w:rsidRPr="0009445C">
              <w:rPr>
                <w:lang w:val="de-DE"/>
              </w:rPr>
              <w:t>DIN EN 1992-1-1/NA</w:t>
            </w:r>
          </w:p>
          <w:p w14:paraId="70D7202B" w14:textId="6CDE833F" w:rsidR="0090756A" w:rsidRPr="0009445C" w:rsidRDefault="0090756A" w:rsidP="00044502">
            <w:pPr>
              <w:pStyle w:val="Bibliography"/>
              <w:ind w:left="2996" w:hanging="2996"/>
              <w:jc w:val="left"/>
              <w:rPr>
                <w:noProof/>
                <w:lang w:val="de-DE"/>
              </w:rPr>
            </w:pPr>
            <w:r w:rsidRPr="0009445C">
              <w:rPr>
                <w:lang w:val="de-DE"/>
              </w:rPr>
              <w:t>DIN EN 1992-1-1/NA/A1:2015-12</w:t>
            </w:r>
          </w:p>
        </w:tc>
        <w:tc>
          <w:tcPr>
            <w:tcW w:w="2472" w:type="pct"/>
          </w:tcPr>
          <w:p w14:paraId="656560F1" w14:textId="69DCDE65" w:rsidR="0090756A" w:rsidRPr="0009445C" w:rsidRDefault="0090756A" w:rsidP="00E779AB">
            <w:pPr>
              <w:pStyle w:val="Bibliography"/>
              <w:jc w:val="left"/>
              <w:rPr>
                <w:iCs/>
                <w:noProof/>
              </w:rPr>
            </w:pPr>
            <w:r w:rsidRPr="0009445C">
              <w:t>National annex: 2013-04 - National Annex – Nationally Determined parameters – Eurocode 2: Design and construction of reinforced concrete and prestressed concrete supporting structures – Part 1-1: General rules and rules for buildings.</w:t>
            </w:r>
          </w:p>
        </w:tc>
      </w:tr>
      <w:tr w:rsidR="0090756A" w:rsidRPr="0009445C" w14:paraId="3CA5F480" w14:textId="7D44F98E" w:rsidTr="00E779AB">
        <w:trPr>
          <w:tblCellSpacing w:w="15" w:type="dxa"/>
        </w:trPr>
        <w:tc>
          <w:tcPr>
            <w:tcW w:w="281" w:type="pct"/>
            <w:hideMark/>
          </w:tcPr>
          <w:p w14:paraId="1EE9A4A5" w14:textId="77777777" w:rsidR="0090756A" w:rsidRPr="0009445C" w:rsidRDefault="0090756A" w:rsidP="00044502">
            <w:pPr>
              <w:pStyle w:val="Bibliography"/>
              <w:rPr>
                <w:noProof/>
              </w:rPr>
            </w:pPr>
            <w:r w:rsidRPr="0009445C">
              <w:t xml:space="preserve">[9] </w:t>
            </w:r>
          </w:p>
        </w:tc>
        <w:tc>
          <w:tcPr>
            <w:tcW w:w="19" w:type="pct"/>
          </w:tcPr>
          <w:p w14:paraId="045E088A" w14:textId="77777777" w:rsidR="0090756A" w:rsidRPr="0009445C" w:rsidRDefault="0090756A" w:rsidP="00044502">
            <w:pPr>
              <w:pStyle w:val="Bibliography"/>
              <w:ind w:left="2996" w:hanging="2996"/>
              <w:jc w:val="left"/>
              <w:rPr>
                <w:iCs/>
                <w:noProof/>
              </w:rPr>
            </w:pPr>
          </w:p>
        </w:tc>
        <w:tc>
          <w:tcPr>
            <w:tcW w:w="2147" w:type="pct"/>
            <w:hideMark/>
          </w:tcPr>
          <w:p w14:paraId="267A4B42" w14:textId="2EA9A817" w:rsidR="0090756A" w:rsidRPr="0009445C" w:rsidRDefault="0090756A" w:rsidP="00044502">
            <w:pPr>
              <w:pStyle w:val="Bibliography"/>
              <w:ind w:left="2996" w:hanging="2996"/>
              <w:jc w:val="left"/>
              <w:rPr>
                <w:noProof/>
              </w:rPr>
            </w:pPr>
            <w:r w:rsidRPr="0009445C">
              <w:t>DIN 4103-1:2015-06</w:t>
            </w:r>
          </w:p>
        </w:tc>
        <w:tc>
          <w:tcPr>
            <w:tcW w:w="2472" w:type="pct"/>
          </w:tcPr>
          <w:p w14:paraId="5A26AE07" w14:textId="3DBC93B1" w:rsidR="0090756A" w:rsidRPr="0009445C" w:rsidRDefault="0090756A" w:rsidP="00E779AB">
            <w:pPr>
              <w:pStyle w:val="Bibliography"/>
              <w:jc w:val="left"/>
              <w:rPr>
                <w:iCs/>
                <w:noProof/>
              </w:rPr>
            </w:pPr>
            <w:r w:rsidRPr="0009445C">
              <w:t>Internal non-loadbearing partitions – Part 1: Requirements and verification.</w:t>
            </w:r>
          </w:p>
        </w:tc>
      </w:tr>
      <w:tr w:rsidR="0090756A" w:rsidRPr="0009445C" w14:paraId="7C083782" w14:textId="18EF1CAF" w:rsidTr="00E779AB">
        <w:trPr>
          <w:tblCellSpacing w:w="15" w:type="dxa"/>
        </w:trPr>
        <w:tc>
          <w:tcPr>
            <w:tcW w:w="281" w:type="pct"/>
            <w:hideMark/>
          </w:tcPr>
          <w:p w14:paraId="45A19DF4" w14:textId="77777777" w:rsidR="0090756A" w:rsidRPr="0009445C" w:rsidRDefault="0090756A" w:rsidP="00044502">
            <w:pPr>
              <w:pStyle w:val="Bibliography"/>
              <w:rPr>
                <w:noProof/>
              </w:rPr>
            </w:pPr>
            <w:r w:rsidRPr="0009445C">
              <w:t xml:space="preserve">[10] </w:t>
            </w:r>
          </w:p>
        </w:tc>
        <w:tc>
          <w:tcPr>
            <w:tcW w:w="19" w:type="pct"/>
          </w:tcPr>
          <w:p w14:paraId="6435701B" w14:textId="77777777" w:rsidR="0090756A" w:rsidRPr="0009445C" w:rsidRDefault="0090756A" w:rsidP="00044502">
            <w:pPr>
              <w:pStyle w:val="Bibliography"/>
              <w:ind w:left="2996" w:hanging="2996"/>
              <w:jc w:val="left"/>
              <w:rPr>
                <w:iCs/>
                <w:noProof/>
              </w:rPr>
            </w:pPr>
          </w:p>
        </w:tc>
        <w:tc>
          <w:tcPr>
            <w:tcW w:w="2147" w:type="pct"/>
            <w:hideMark/>
          </w:tcPr>
          <w:p w14:paraId="711AAD2C" w14:textId="1FCA91F5" w:rsidR="0090756A" w:rsidRPr="0009445C" w:rsidRDefault="0090756A" w:rsidP="00044502">
            <w:pPr>
              <w:pStyle w:val="Bibliography"/>
              <w:ind w:left="2996" w:hanging="2996"/>
              <w:jc w:val="left"/>
              <w:rPr>
                <w:iCs/>
                <w:noProof/>
                <w:lang w:val="de-DE"/>
              </w:rPr>
            </w:pPr>
            <w:r w:rsidRPr="0009445C">
              <w:rPr>
                <w:lang w:val="de-DE"/>
              </w:rPr>
              <w:t>DIN EN 206-1:2001-07</w:t>
            </w:r>
          </w:p>
          <w:p w14:paraId="394E1A1A" w14:textId="77777777" w:rsidR="00E779AB" w:rsidRPr="0009445C" w:rsidRDefault="00E779AB" w:rsidP="00E779AB">
            <w:pPr>
              <w:rPr>
                <w:lang w:val="de-DE"/>
              </w:rPr>
            </w:pPr>
          </w:p>
          <w:p w14:paraId="27726A5F" w14:textId="6063B349" w:rsidR="0090756A" w:rsidRPr="0009445C" w:rsidRDefault="0090756A" w:rsidP="00044502">
            <w:pPr>
              <w:pStyle w:val="Bibliography"/>
              <w:ind w:left="2996" w:hanging="2996"/>
              <w:jc w:val="left"/>
              <w:rPr>
                <w:iCs/>
                <w:noProof/>
                <w:lang w:val="de-DE"/>
              </w:rPr>
            </w:pPr>
            <w:r w:rsidRPr="0009445C">
              <w:rPr>
                <w:lang w:val="de-DE"/>
              </w:rPr>
              <w:t>DIN EN 206-1/A1:2004-10</w:t>
            </w:r>
          </w:p>
          <w:p w14:paraId="6B677BE0" w14:textId="5196C32E" w:rsidR="0090756A" w:rsidRPr="0009445C" w:rsidRDefault="0090756A" w:rsidP="00044502">
            <w:pPr>
              <w:pStyle w:val="Bibliography"/>
              <w:spacing w:after="60"/>
              <w:ind w:left="2994" w:hanging="2994"/>
              <w:jc w:val="left"/>
              <w:rPr>
                <w:noProof/>
              </w:rPr>
            </w:pPr>
            <w:r w:rsidRPr="0009445C">
              <w:t>DIN EN 206-1/A2:2005-09</w:t>
            </w:r>
          </w:p>
        </w:tc>
        <w:tc>
          <w:tcPr>
            <w:tcW w:w="2472" w:type="pct"/>
          </w:tcPr>
          <w:p w14:paraId="336BE303" w14:textId="6FD1188E" w:rsidR="0090756A" w:rsidRPr="0009445C" w:rsidRDefault="00E779AB" w:rsidP="00E779AB">
            <w:pPr>
              <w:pStyle w:val="Bibliography"/>
              <w:jc w:val="left"/>
              <w:rPr>
                <w:iCs/>
                <w:noProof/>
              </w:rPr>
            </w:pPr>
            <w:r w:rsidRPr="0009445C">
              <w:t>Concrete – Part 1: Specification, performance, production and conformity; German version EN 206-1:2000</w:t>
            </w:r>
          </w:p>
          <w:p w14:paraId="43A8045C" w14:textId="1FBC122B" w:rsidR="00E779AB" w:rsidRPr="0009445C" w:rsidRDefault="00E779AB" w:rsidP="00E779AB">
            <w:r w:rsidRPr="0009445C">
              <w:t>Amendment A1</w:t>
            </w:r>
          </w:p>
          <w:p w14:paraId="282C2CC2" w14:textId="45660C4E" w:rsidR="00E779AB" w:rsidRPr="0009445C" w:rsidRDefault="00E779AB" w:rsidP="00E779AB">
            <w:r w:rsidRPr="0009445C">
              <w:t>Amendment A2.</w:t>
            </w:r>
          </w:p>
        </w:tc>
      </w:tr>
      <w:tr w:rsidR="0090756A" w:rsidRPr="0009445C" w14:paraId="4465D22C" w14:textId="41BDD762" w:rsidTr="00E779AB">
        <w:trPr>
          <w:tblCellSpacing w:w="15" w:type="dxa"/>
        </w:trPr>
        <w:tc>
          <w:tcPr>
            <w:tcW w:w="281" w:type="pct"/>
            <w:hideMark/>
          </w:tcPr>
          <w:p w14:paraId="62466F3C" w14:textId="77777777" w:rsidR="0090756A" w:rsidRPr="0009445C" w:rsidRDefault="0090756A" w:rsidP="00044502">
            <w:pPr>
              <w:pStyle w:val="Bibliography"/>
              <w:rPr>
                <w:noProof/>
              </w:rPr>
            </w:pPr>
            <w:r w:rsidRPr="0009445C">
              <w:t xml:space="preserve">[11] </w:t>
            </w:r>
          </w:p>
        </w:tc>
        <w:tc>
          <w:tcPr>
            <w:tcW w:w="19" w:type="pct"/>
          </w:tcPr>
          <w:p w14:paraId="43263820" w14:textId="77777777" w:rsidR="0090756A" w:rsidRPr="0009445C" w:rsidRDefault="0090756A" w:rsidP="00044502">
            <w:pPr>
              <w:pStyle w:val="Bibliography"/>
              <w:ind w:left="2996" w:hanging="2996"/>
              <w:jc w:val="left"/>
              <w:rPr>
                <w:iCs/>
                <w:noProof/>
              </w:rPr>
            </w:pPr>
          </w:p>
        </w:tc>
        <w:tc>
          <w:tcPr>
            <w:tcW w:w="2147" w:type="pct"/>
            <w:hideMark/>
          </w:tcPr>
          <w:p w14:paraId="2C43E99C" w14:textId="2FD1D71F" w:rsidR="0090756A" w:rsidRPr="0009445C" w:rsidRDefault="0090756A" w:rsidP="00044502">
            <w:pPr>
              <w:pStyle w:val="Bibliography"/>
              <w:ind w:left="2996" w:hanging="2996"/>
              <w:jc w:val="left"/>
              <w:rPr>
                <w:noProof/>
              </w:rPr>
            </w:pPr>
            <w:r w:rsidRPr="0009445C">
              <w:t>DIN 1045-2:2008-08</w:t>
            </w:r>
          </w:p>
        </w:tc>
        <w:tc>
          <w:tcPr>
            <w:tcW w:w="2472" w:type="pct"/>
          </w:tcPr>
          <w:p w14:paraId="2AFC9A54" w14:textId="237448F3" w:rsidR="0090756A" w:rsidRPr="0009445C" w:rsidRDefault="00E779AB" w:rsidP="00E779AB">
            <w:pPr>
              <w:pStyle w:val="Bibliography"/>
              <w:jc w:val="left"/>
              <w:rPr>
                <w:iCs/>
                <w:noProof/>
              </w:rPr>
            </w:pPr>
            <w:r w:rsidRPr="0009445C">
              <w:t>Concrete, reinforced and prestressed concrete structures – Part 2: Concrete – Specification, performance, production, and conformity – Application rules for DIN EN 206 1.</w:t>
            </w:r>
          </w:p>
        </w:tc>
      </w:tr>
      <w:tr w:rsidR="0090756A" w:rsidRPr="0009445C" w14:paraId="5277BDF7" w14:textId="37B9462F" w:rsidTr="00E779AB">
        <w:trPr>
          <w:tblCellSpacing w:w="15" w:type="dxa"/>
        </w:trPr>
        <w:tc>
          <w:tcPr>
            <w:tcW w:w="281" w:type="pct"/>
            <w:hideMark/>
          </w:tcPr>
          <w:p w14:paraId="113CCD49" w14:textId="77777777" w:rsidR="0090756A" w:rsidRPr="0009445C" w:rsidRDefault="0090756A" w:rsidP="00044502">
            <w:pPr>
              <w:pStyle w:val="Bibliography"/>
              <w:rPr>
                <w:noProof/>
              </w:rPr>
            </w:pPr>
            <w:r w:rsidRPr="0009445C">
              <w:t xml:space="preserve">[12] </w:t>
            </w:r>
          </w:p>
        </w:tc>
        <w:tc>
          <w:tcPr>
            <w:tcW w:w="19" w:type="pct"/>
          </w:tcPr>
          <w:p w14:paraId="649C2130" w14:textId="77777777" w:rsidR="0090756A" w:rsidRPr="0009445C" w:rsidRDefault="0090756A" w:rsidP="00044502">
            <w:pPr>
              <w:pStyle w:val="Bibliography"/>
              <w:ind w:left="2996" w:hanging="2996"/>
              <w:rPr>
                <w:iCs/>
                <w:noProof/>
              </w:rPr>
            </w:pPr>
          </w:p>
        </w:tc>
        <w:tc>
          <w:tcPr>
            <w:tcW w:w="2147" w:type="pct"/>
            <w:hideMark/>
          </w:tcPr>
          <w:p w14:paraId="54B22D11" w14:textId="5157445C" w:rsidR="0090756A" w:rsidRPr="0009445C" w:rsidRDefault="0090756A" w:rsidP="00044502">
            <w:pPr>
              <w:pStyle w:val="Bibliography"/>
              <w:ind w:left="2996" w:hanging="2996"/>
              <w:rPr>
                <w:noProof/>
              </w:rPr>
            </w:pPr>
            <w:r w:rsidRPr="0009445C">
              <w:t>DBV Reference document</w:t>
            </w:r>
          </w:p>
        </w:tc>
        <w:tc>
          <w:tcPr>
            <w:tcW w:w="2472" w:type="pct"/>
          </w:tcPr>
          <w:p w14:paraId="59C63F5B" w14:textId="353062AD" w:rsidR="0090756A" w:rsidRPr="0009445C" w:rsidRDefault="00E779AB" w:rsidP="00E779AB">
            <w:pPr>
              <w:pStyle w:val="Bibliography"/>
              <w:jc w:val="left"/>
              <w:rPr>
                <w:iCs/>
                <w:noProof/>
              </w:rPr>
            </w:pPr>
            <w:r w:rsidRPr="0009445C">
              <w:t>The concreting ability of concrete and reinforced concrete structural elements — Planning and execution recommendations for concrete installation — 01/2014.</w:t>
            </w:r>
          </w:p>
        </w:tc>
      </w:tr>
      <w:tr w:rsidR="0090756A" w:rsidRPr="0009445C" w14:paraId="07A615CD" w14:textId="25796E70" w:rsidTr="00E779AB">
        <w:trPr>
          <w:tblCellSpacing w:w="15" w:type="dxa"/>
        </w:trPr>
        <w:tc>
          <w:tcPr>
            <w:tcW w:w="281" w:type="pct"/>
            <w:hideMark/>
          </w:tcPr>
          <w:p w14:paraId="56BF8FEF" w14:textId="77777777" w:rsidR="0090756A" w:rsidRPr="0009445C" w:rsidRDefault="0090756A" w:rsidP="00044502">
            <w:pPr>
              <w:pStyle w:val="Bibliography"/>
              <w:rPr>
                <w:noProof/>
              </w:rPr>
            </w:pPr>
            <w:r w:rsidRPr="0009445C">
              <w:t xml:space="preserve">[13] </w:t>
            </w:r>
          </w:p>
        </w:tc>
        <w:tc>
          <w:tcPr>
            <w:tcW w:w="19" w:type="pct"/>
          </w:tcPr>
          <w:p w14:paraId="0E01B08C" w14:textId="77777777" w:rsidR="0090756A" w:rsidRPr="0009445C" w:rsidRDefault="0090756A" w:rsidP="00044502">
            <w:pPr>
              <w:pStyle w:val="Bibliography"/>
              <w:ind w:left="2996" w:hanging="2996"/>
              <w:rPr>
                <w:iCs/>
                <w:noProof/>
              </w:rPr>
            </w:pPr>
          </w:p>
        </w:tc>
        <w:tc>
          <w:tcPr>
            <w:tcW w:w="2147" w:type="pct"/>
            <w:hideMark/>
          </w:tcPr>
          <w:p w14:paraId="71DEB3D6" w14:textId="44384DC6" w:rsidR="0090756A" w:rsidRPr="0009445C" w:rsidRDefault="0090756A" w:rsidP="00044502">
            <w:pPr>
              <w:pStyle w:val="Bibliography"/>
              <w:ind w:left="2996" w:hanging="2996"/>
              <w:rPr>
                <w:noProof/>
              </w:rPr>
            </w:pPr>
            <w:r w:rsidRPr="0009445C">
              <w:t>DIN 18202:2013-04</w:t>
            </w:r>
          </w:p>
        </w:tc>
        <w:tc>
          <w:tcPr>
            <w:tcW w:w="2472" w:type="pct"/>
          </w:tcPr>
          <w:p w14:paraId="3E8E7323" w14:textId="1F38D2A9" w:rsidR="0090756A" w:rsidRPr="0009445C" w:rsidRDefault="00E779AB" w:rsidP="00E779AB">
            <w:pPr>
              <w:pStyle w:val="Bibliography"/>
              <w:jc w:val="left"/>
              <w:rPr>
                <w:iCs/>
                <w:noProof/>
              </w:rPr>
            </w:pPr>
            <w:r w:rsidRPr="0009445C">
              <w:t>Tolerances in building construction — Buildings.</w:t>
            </w:r>
          </w:p>
        </w:tc>
      </w:tr>
      <w:tr w:rsidR="0090756A" w:rsidRPr="0009445C" w14:paraId="672104F9" w14:textId="79E3E53F" w:rsidTr="00E779AB">
        <w:trPr>
          <w:tblCellSpacing w:w="15" w:type="dxa"/>
        </w:trPr>
        <w:tc>
          <w:tcPr>
            <w:tcW w:w="281" w:type="pct"/>
            <w:hideMark/>
          </w:tcPr>
          <w:p w14:paraId="099F1319" w14:textId="77777777" w:rsidR="0090756A" w:rsidRPr="0009445C" w:rsidRDefault="0090756A" w:rsidP="00044502">
            <w:pPr>
              <w:pStyle w:val="Bibliography"/>
              <w:rPr>
                <w:noProof/>
              </w:rPr>
            </w:pPr>
            <w:r w:rsidRPr="0009445C">
              <w:t xml:space="preserve">[14] </w:t>
            </w:r>
          </w:p>
        </w:tc>
        <w:tc>
          <w:tcPr>
            <w:tcW w:w="19" w:type="pct"/>
          </w:tcPr>
          <w:p w14:paraId="36AC4D58" w14:textId="77777777" w:rsidR="0090756A" w:rsidRPr="0009445C" w:rsidRDefault="0090756A" w:rsidP="00044502">
            <w:pPr>
              <w:pStyle w:val="Bibliography"/>
              <w:ind w:left="2996" w:hanging="2996"/>
              <w:jc w:val="left"/>
              <w:rPr>
                <w:iCs/>
                <w:noProof/>
              </w:rPr>
            </w:pPr>
          </w:p>
        </w:tc>
        <w:tc>
          <w:tcPr>
            <w:tcW w:w="2147" w:type="pct"/>
            <w:hideMark/>
          </w:tcPr>
          <w:p w14:paraId="0B2009B4" w14:textId="203C1153" w:rsidR="0090756A" w:rsidRPr="0009445C" w:rsidRDefault="0090756A" w:rsidP="00044502">
            <w:pPr>
              <w:pStyle w:val="Bibliography"/>
              <w:ind w:left="2996" w:hanging="2996"/>
              <w:jc w:val="left"/>
              <w:rPr>
                <w:noProof/>
              </w:rPr>
            </w:pPr>
            <w:r w:rsidRPr="0009445C">
              <w:t>DIN EN 1992-1-2:2010-12</w:t>
            </w:r>
          </w:p>
        </w:tc>
        <w:tc>
          <w:tcPr>
            <w:tcW w:w="2472" w:type="pct"/>
          </w:tcPr>
          <w:p w14:paraId="36DE926E" w14:textId="1FD30E18" w:rsidR="0090756A" w:rsidRPr="0009445C" w:rsidRDefault="00E779AB" w:rsidP="00E779AB">
            <w:pPr>
              <w:pStyle w:val="Bibliography"/>
              <w:jc w:val="left"/>
              <w:rPr>
                <w:iCs/>
                <w:noProof/>
              </w:rPr>
            </w:pPr>
            <w:r w:rsidRPr="0009445C">
              <w:t>Design and construction of reinforced concrete and prestressed concrete supporting structures – Part 1-2: General rules – Structural fire design; German version</w:t>
            </w:r>
            <w:r w:rsidRPr="0009445C">
              <w:br/>
              <w:t>EN 1992 1-2:2004 + AC:2008.</w:t>
            </w:r>
          </w:p>
        </w:tc>
      </w:tr>
      <w:tr w:rsidR="0090756A" w:rsidRPr="0009445C" w14:paraId="28809E09" w14:textId="13A45936" w:rsidTr="00E779AB">
        <w:trPr>
          <w:tblCellSpacing w:w="15" w:type="dxa"/>
        </w:trPr>
        <w:tc>
          <w:tcPr>
            <w:tcW w:w="281" w:type="pct"/>
            <w:hideMark/>
          </w:tcPr>
          <w:p w14:paraId="78C8A257" w14:textId="77777777" w:rsidR="0090756A" w:rsidRPr="0009445C" w:rsidRDefault="0090756A" w:rsidP="00044502">
            <w:pPr>
              <w:pStyle w:val="Bibliography"/>
              <w:rPr>
                <w:noProof/>
              </w:rPr>
            </w:pPr>
            <w:r w:rsidRPr="0009445C">
              <w:t xml:space="preserve">[15] </w:t>
            </w:r>
          </w:p>
        </w:tc>
        <w:tc>
          <w:tcPr>
            <w:tcW w:w="19" w:type="pct"/>
          </w:tcPr>
          <w:p w14:paraId="4408D44C" w14:textId="77777777" w:rsidR="0090756A" w:rsidRPr="0009445C" w:rsidRDefault="0090756A" w:rsidP="00044502">
            <w:pPr>
              <w:pStyle w:val="Bibliography"/>
              <w:ind w:left="2996" w:hanging="2996"/>
              <w:jc w:val="left"/>
              <w:rPr>
                <w:iCs/>
                <w:noProof/>
              </w:rPr>
            </w:pPr>
          </w:p>
        </w:tc>
        <w:tc>
          <w:tcPr>
            <w:tcW w:w="2147" w:type="pct"/>
            <w:hideMark/>
          </w:tcPr>
          <w:p w14:paraId="21C548A5" w14:textId="147E1BD0" w:rsidR="0090756A" w:rsidRPr="0009445C" w:rsidRDefault="0090756A" w:rsidP="00044502">
            <w:pPr>
              <w:pStyle w:val="Bibliography"/>
              <w:ind w:left="2996" w:hanging="2996"/>
              <w:jc w:val="left"/>
              <w:rPr>
                <w:noProof/>
              </w:rPr>
            </w:pPr>
            <w:r w:rsidRPr="0009445C">
              <w:t>DIN EN 1992-1-2/NA:2010-12</w:t>
            </w:r>
          </w:p>
        </w:tc>
        <w:tc>
          <w:tcPr>
            <w:tcW w:w="2472" w:type="pct"/>
          </w:tcPr>
          <w:p w14:paraId="22FF1887" w14:textId="563C1B9C" w:rsidR="0090756A" w:rsidRPr="0009445C" w:rsidRDefault="00E779AB" w:rsidP="00E779AB">
            <w:pPr>
              <w:pStyle w:val="Bibliography"/>
              <w:jc w:val="left"/>
              <w:rPr>
                <w:iCs/>
                <w:noProof/>
              </w:rPr>
            </w:pPr>
            <w:r w:rsidRPr="0009445C">
              <w:t>National Annex – Nationally determined parameters – Eurocode 2: Design and construction of reinforced concrete and prestressed concrete supporting structures – Part 1-2: General rules – Structural fire design.</w:t>
            </w:r>
          </w:p>
        </w:tc>
      </w:tr>
      <w:tr w:rsidR="0090756A" w:rsidRPr="0009445C" w14:paraId="528D177D" w14:textId="2F5CB774" w:rsidTr="00E779AB">
        <w:trPr>
          <w:tblCellSpacing w:w="15" w:type="dxa"/>
        </w:trPr>
        <w:tc>
          <w:tcPr>
            <w:tcW w:w="281" w:type="pct"/>
            <w:hideMark/>
          </w:tcPr>
          <w:p w14:paraId="693B8CAB" w14:textId="77777777" w:rsidR="0090756A" w:rsidRPr="0009445C" w:rsidRDefault="0090756A" w:rsidP="00044502">
            <w:pPr>
              <w:pStyle w:val="Bibliography"/>
              <w:rPr>
                <w:noProof/>
              </w:rPr>
            </w:pPr>
            <w:r w:rsidRPr="0009445C">
              <w:t xml:space="preserve">[16] </w:t>
            </w:r>
          </w:p>
        </w:tc>
        <w:tc>
          <w:tcPr>
            <w:tcW w:w="19" w:type="pct"/>
          </w:tcPr>
          <w:p w14:paraId="2C906E50" w14:textId="77777777" w:rsidR="0090756A" w:rsidRPr="0009445C" w:rsidRDefault="0090756A" w:rsidP="00044502">
            <w:pPr>
              <w:pStyle w:val="Bibliography"/>
              <w:ind w:left="2996" w:hanging="2996"/>
              <w:rPr>
                <w:iCs/>
                <w:noProof/>
              </w:rPr>
            </w:pPr>
          </w:p>
        </w:tc>
        <w:tc>
          <w:tcPr>
            <w:tcW w:w="2147" w:type="pct"/>
            <w:hideMark/>
          </w:tcPr>
          <w:p w14:paraId="3BE4C602" w14:textId="5584FD3C" w:rsidR="0090756A" w:rsidRPr="0009445C" w:rsidRDefault="0090756A" w:rsidP="00044502">
            <w:pPr>
              <w:pStyle w:val="Bibliography"/>
              <w:ind w:left="2996" w:hanging="2996"/>
              <w:rPr>
                <w:noProof/>
              </w:rPr>
            </w:pPr>
            <w:r w:rsidRPr="0009445C">
              <w:t>DIN EN 13163:2017-02</w:t>
            </w:r>
          </w:p>
        </w:tc>
        <w:tc>
          <w:tcPr>
            <w:tcW w:w="2472" w:type="pct"/>
          </w:tcPr>
          <w:p w14:paraId="12F6B0C4" w14:textId="219876B3" w:rsidR="0090756A" w:rsidRPr="0009445C" w:rsidRDefault="00E779AB" w:rsidP="00E779AB">
            <w:pPr>
              <w:pStyle w:val="Bibliography"/>
              <w:jc w:val="left"/>
              <w:rPr>
                <w:iCs/>
                <w:noProof/>
              </w:rPr>
            </w:pPr>
            <w:r w:rsidRPr="0009445C">
              <w:t>Thermal insulation products for buildings - Factory made expanded polystyrene (EPS) products - Specification; German version EN 13163:2012+A2:2016.</w:t>
            </w:r>
          </w:p>
        </w:tc>
      </w:tr>
      <w:tr w:rsidR="0090756A" w:rsidRPr="0009445C" w14:paraId="3DE93F78" w14:textId="1CE7F798" w:rsidTr="00E779AB">
        <w:trPr>
          <w:tblCellSpacing w:w="15" w:type="dxa"/>
        </w:trPr>
        <w:tc>
          <w:tcPr>
            <w:tcW w:w="281" w:type="pct"/>
            <w:hideMark/>
          </w:tcPr>
          <w:p w14:paraId="09CAEB4F" w14:textId="77777777" w:rsidR="0090756A" w:rsidRPr="0009445C" w:rsidRDefault="0090756A" w:rsidP="00044502">
            <w:pPr>
              <w:pStyle w:val="Bibliography"/>
              <w:rPr>
                <w:noProof/>
              </w:rPr>
            </w:pPr>
            <w:r w:rsidRPr="0009445C">
              <w:lastRenderedPageBreak/>
              <w:t xml:space="preserve">[17] </w:t>
            </w:r>
          </w:p>
        </w:tc>
        <w:tc>
          <w:tcPr>
            <w:tcW w:w="19" w:type="pct"/>
          </w:tcPr>
          <w:p w14:paraId="48B1E175" w14:textId="77777777" w:rsidR="0090756A" w:rsidRPr="0009445C" w:rsidRDefault="0090756A" w:rsidP="00044502">
            <w:pPr>
              <w:pStyle w:val="Bibliography"/>
              <w:ind w:left="2996" w:hanging="2996"/>
              <w:rPr>
                <w:iCs/>
                <w:noProof/>
              </w:rPr>
            </w:pPr>
          </w:p>
        </w:tc>
        <w:tc>
          <w:tcPr>
            <w:tcW w:w="2147" w:type="pct"/>
            <w:hideMark/>
          </w:tcPr>
          <w:p w14:paraId="6B232256" w14:textId="75A86889" w:rsidR="0090756A" w:rsidRPr="0009445C" w:rsidRDefault="0090756A" w:rsidP="00044502">
            <w:pPr>
              <w:pStyle w:val="Bibliography"/>
              <w:ind w:left="2996" w:hanging="2996"/>
              <w:rPr>
                <w:noProof/>
              </w:rPr>
            </w:pPr>
            <w:r w:rsidRPr="0009445C">
              <w:t>DIN EN 13501-1:2010-01</w:t>
            </w:r>
          </w:p>
        </w:tc>
        <w:tc>
          <w:tcPr>
            <w:tcW w:w="2472" w:type="pct"/>
          </w:tcPr>
          <w:p w14:paraId="0A123207" w14:textId="37839E16" w:rsidR="0090756A" w:rsidRPr="0009445C" w:rsidRDefault="00E779AB" w:rsidP="00E779AB">
            <w:pPr>
              <w:pStyle w:val="Bibliography"/>
              <w:jc w:val="left"/>
              <w:rPr>
                <w:iCs/>
                <w:noProof/>
              </w:rPr>
            </w:pPr>
            <w:r w:rsidRPr="0009445C">
              <w:t>Fire classification of construction products and building elements – Part 1: Classification using data from reaction to fire tests; German version EN 13501-1:2007+A1:2009.</w:t>
            </w:r>
          </w:p>
        </w:tc>
      </w:tr>
      <w:tr w:rsidR="0090756A" w:rsidRPr="0009445C" w14:paraId="5447AE23" w14:textId="7715E5AB" w:rsidTr="00E779AB">
        <w:trPr>
          <w:tblCellSpacing w:w="15" w:type="dxa"/>
        </w:trPr>
        <w:tc>
          <w:tcPr>
            <w:tcW w:w="281" w:type="pct"/>
            <w:hideMark/>
          </w:tcPr>
          <w:p w14:paraId="3834ACBF" w14:textId="77777777" w:rsidR="0090756A" w:rsidRPr="0009445C" w:rsidRDefault="0090756A" w:rsidP="00044502">
            <w:pPr>
              <w:pStyle w:val="Bibliography"/>
              <w:rPr>
                <w:noProof/>
              </w:rPr>
            </w:pPr>
            <w:r w:rsidRPr="0009445C">
              <w:t xml:space="preserve">[18] </w:t>
            </w:r>
          </w:p>
        </w:tc>
        <w:tc>
          <w:tcPr>
            <w:tcW w:w="19" w:type="pct"/>
          </w:tcPr>
          <w:p w14:paraId="57D3E02B" w14:textId="77777777" w:rsidR="0090756A" w:rsidRPr="0009445C" w:rsidRDefault="0090756A" w:rsidP="00044502">
            <w:pPr>
              <w:pStyle w:val="Bibliography"/>
              <w:ind w:left="2996" w:hanging="2996"/>
              <w:rPr>
                <w:iCs/>
                <w:noProof/>
              </w:rPr>
            </w:pPr>
          </w:p>
        </w:tc>
        <w:tc>
          <w:tcPr>
            <w:tcW w:w="2147" w:type="pct"/>
            <w:hideMark/>
          </w:tcPr>
          <w:p w14:paraId="764BC814" w14:textId="2416DAB4" w:rsidR="0090756A" w:rsidRPr="0009445C" w:rsidRDefault="0090756A" w:rsidP="00044502">
            <w:pPr>
              <w:pStyle w:val="Bibliography"/>
              <w:ind w:left="2996" w:hanging="2996"/>
              <w:rPr>
                <w:noProof/>
              </w:rPr>
            </w:pPr>
            <w:r w:rsidRPr="0009445C">
              <w:t>DIN 4109-1:2018-01</w:t>
            </w:r>
          </w:p>
        </w:tc>
        <w:tc>
          <w:tcPr>
            <w:tcW w:w="2472" w:type="pct"/>
          </w:tcPr>
          <w:p w14:paraId="1E18DAFE" w14:textId="29F45746" w:rsidR="0090756A" w:rsidRPr="0009445C" w:rsidRDefault="00E779AB" w:rsidP="00600F53">
            <w:pPr>
              <w:pStyle w:val="Bibliography"/>
              <w:jc w:val="left"/>
              <w:rPr>
                <w:iCs/>
                <w:noProof/>
              </w:rPr>
            </w:pPr>
            <w:r w:rsidRPr="0009445C">
              <w:t>Sound insulation in buildings – Part 1: Minimum requirements.</w:t>
            </w:r>
          </w:p>
        </w:tc>
      </w:tr>
      <w:tr w:rsidR="0090756A" w:rsidRPr="0009445C" w14:paraId="7C202F81" w14:textId="3A95FE24" w:rsidTr="00E779AB">
        <w:trPr>
          <w:tblCellSpacing w:w="15" w:type="dxa"/>
        </w:trPr>
        <w:tc>
          <w:tcPr>
            <w:tcW w:w="281" w:type="pct"/>
            <w:hideMark/>
          </w:tcPr>
          <w:p w14:paraId="5CF04CC1" w14:textId="77777777" w:rsidR="0090756A" w:rsidRPr="0009445C" w:rsidRDefault="0090756A" w:rsidP="00044502">
            <w:pPr>
              <w:pStyle w:val="Bibliography"/>
              <w:rPr>
                <w:noProof/>
              </w:rPr>
            </w:pPr>
            <w:r w:rsidRPr="0009445C">
              <w:t xml:space="preserve">[19] </w:t>
            </w:r>
          </w:p>
        </w:tc>
        <w:tc>
          <w:tcPr>
            <w:tcW w:w="19" w:type="pct"/>
          </w:tcPr>
          <w:p w14:paraId="09BD725E" w14:textId="77777777" w:rsidR="0090756A" w:rsidRPr="0009445C" w:rsidRDefault="0090756A" w:rsidP="00044502">
            <w:pPr>
              <w:pStyle w:val="Bibliography"/>
              <w:ind w:left="2996" w:hanging="2996"/>
              <w:rPr>
                <w:iCs/>
                <w:noProof/>
              </w:rPr>
            </w:pPr>
          </w:p>
        </w:tc>
        <w:tc>
          <w:tcPr>
            <w:tcW w:w="2147" w:type="pct"/>
            <w:hideMark/>
          </w:tcPr>
          <w:p w14:paraId="43D922FD" w14:textId="276F9ED4" w:rsidR="0090756A" w:rsidRPr="0009445C" w:rsidRDefault="0090756A" w:rsidP="00044502">
            <w:pPr>
              <w:pStyle w:val="Bibliography"/>
              <w:ind w:left="2996" w:hanging="2996"/>
              <w:rPr>
                <w:noProof/>
              </w:rPr>
            </w:pPr>
            <w:r w:rsidRPr="0009445C">
              <w:t>DIN 4109-32:2016-07</w:t>
            </w:r>
          </w:p>
        </w:tc>
        <w:tc>
          <w:tcPr>
            <w:tcW w:w="2472" w:type="pct"/>
          </w:tcPr>
          <w:p w14:paraId="274389F0" w14:textId="5B1228CB" w:rsidR="0090756A" w:rsidRPr="0009445C" w:rsidRDefault="00E779AB" w:rsidP="00E779AB">
            <w:pPr>
              <w:pStyle w:val="Bibliography"/>
              <w:jc w:val="left"/>
              <w:rPr>
                <w:iCs/>
                <w:noProof/>
              </w:rPr>
            </w:pPr>
            <w:r w:rsidRPr="0009445C">
              <w:t>Sound insulation in buildings – Part 32: Data for verification of sound insulation (component catalogue) – Solid construction.</w:t>
            </w:r>
          </w:p>
        </w:tc>
      </w:tr>
      <w:tr w:rsidR="0090756A" w:rsidRPr="0009445C" w14:paraId="0BB584AA" w14:textId="650F9460" w:rsidTr="00E779AB">
        <w:trPr>
          <w:tblCellSpacing w:w="15" w:type="dxa"/>
        </w:trPr>
        <w:tc>
          <w:tcPr>
            <w:tcW w:w="281" w:type="pct"/>
            <w:hideMark/>
          </w:tcPr>
          <w:p w14:paraId="79CB61C5" w14:textId="77777777" w:rsidR="0090756A" w:rsidRPr="0009445C" w:rsidRDefault="0090756A" w:rsidP="00044502">
            <w:pPr>
              <w:pStyle w:val="Bibliography"/>
              <w:rPr>
                <w:noProof/>
              </w:rPr>
            </w:pPr>
            <w:r w:rsidRPr="0009445C">
              <w:t xml:space="preserve">[20] </w:t>
            </w:r>
          </w:p>
        </w:tc>
        <w:tc>
          <w:tcPr>
            <w:tcW w:w="19" w:type="pct"/>
          </w:tcPr>
          <w:p w14:paraId="0A72B0CA" w14:textId="77777777" w:rsidR="0090756A" w:rsidRPr="0009445C" w:rsidRDefault="0090756A" w:rsidP="00044502">
            <w:pPr>
              <w:pStyle w:val="Bibliography"/>
              <w:ind w:left="2996" w:hanging="2996"/>
              <w:rPr>
                <w:iCs/>
                <w:noProof/>
              </w:rPr>
            </w:pPr>
          </w:p>
        </w:tc>
        <w:tc>
          <w:tcPr>
            <w:tcW w:w="2147" w:type="pct"/>
            <w:hideMark/>
          </w:tcPr>
          <w:p w14:paraId="6CF4F059" w14:textId="52F0D919" w:rsidR="0090756A" w:rsidRPr="0009445C" w:rsidRDefault="0090756A" w:rsidP="00044502">
            <w:pPr>
              <w:pStyle w:val="Bibliography"/>
              <w:ind w:left="2996" w:hanging="2996"/>
              <w:rPr>
                <w:noProof/>
              </w:rPr>
            </w:pPr>
            <w:r w:rsidRPr="0009445C">
              <w:t>DIN 4108-4:2020-11</w:t>
            </w:r>
          </w:p>
        </w:tc>
        <w:tc>
          <w:tcPr>
            <w:tcW w:w="2472" w:type="pct"/>
          </w:tcPr>
          <w:p w14:paraId="21BC1F10" w14:textId="76524DAC" w:rsidR="0090756A" w:rsidRPr="0009445C" w:rsidRDefault="00E779AB" w:rsidP="00E779AB">
            <w:pPr>
              <w:pStyle w:val="Bibliography"/>
              <w:jc w:val="left"/>
              <w:rPr>
                <w:iCs/>
                <w:noProof/>
              </w:rPr>
            </w:pPr>
            <w:r w:rsidRPr="0009445C">
              <w:t>Thermal insulation and energy economy in buildings – Part 4: Hygrothermal design values.</w:t>
            </w:r>
          </w:p>
        </w:tc>
      </w:tr>
    </w:tbl>
    <w:p w14:paraId="4DAF2AD3" w14:textId="77777777" w:rsidR="009D4C8D" w:rsidRPr="0009445C" w:rsidRDefault="009D4C8D" w:rsidP="00A93F23">
      <w:pPr>
        <w:pStyle w:val="BRL-Standard"/>
        <w:spacing w:after="120"/>
        <w:rPr>
          <w:b/>
        </w:rPr>
        <w:sectPr w:rsidR="009D4C8D" w:rsidRPr="0009445C" w:rsidSect="00044502">
          <w:footerReference w:type="default" r:id="rId106"/>
          <w:headerReference w:type="first" r:id="rId107"/>
          <w:footerReference w:type="first" r:id="rId108"/>
          <w:footnotePr>
            <w:numRestart w:val="eachSect"/>
          </w:footnotePr>
          <w:endnotePr>
            <w:numFmt w:val="decimal"/>
            <w:numRestart w:val="eachSect"/>
          </w:endnotePr>
          <w:pgSz w:w="11906" w:h="16838" w:code="9"/>
          <w:pgMar w:top="1134" w:right="1418" w:bottom="1134" w:left="1418" w:header="709" w:footer="652" w:gutter="0"/>
          <w:cols w:space="708"/>
          <w:titlePg/>
          <w:docGrid w:linePitch="360"/>
        </w:sectPr>
      </w:pPr>
    </w:p>
    <w:p w14:paraId="540ABBEA" w14:textId="77777777" w:rsidR="009D4C8D" w:rsidRPr="0009445C" w:rsidRDefault="009D4C8D" w:rsidP="009D4C8D">
      <w:pPr>
        <w:rPr>
          <w:b/>
        </w:rPr>
      </w:pPr>
      <w:r w:rsidRPr="0009445C">
        <w:rPr>
          <w:b/>
        </w:rPr>
        <w:lastRenderedPageBreak/>
        <w:t>Appendix 1</w:t>
      </w:r>
    </w:p>
    <w:p w14:paraId="3AD7E2FD" w14:textId="77777777" w:rsidR="009D4C8D" w:rsidRPr="0009445C" w:rsidRDefault="009D4C8D" w:rsidP="009D4C8D">
      <w:pPr>
        <w:rPr>
          <w:b/>
        </w:rPr>
      </w:pPr>
      <w:r w:rsidRPr="0009445C">
        <w:rPr>
          <w:b/>
        </w:rPr>
        <w:t>Detection of resistance to horizontal influences (</w:t>
      </w:r>
      <w:r w:rsidRPr="0009445C">
        <w:rPr>
          <w:color w:val="000000"/>
        </w:rPr>
        <w:object w:dxaOrig="460" w:dyaOrig="360" w14:anchorId="08F815BC">
          <v:shape id="_x0000_i1029" type="#_x0000_t75" style="width:19.5pt;height:14.25pt" o:ole="">
            <v:imagedata r:id="rId104" o:title=""/>
          </v:shape>
          <o:OLEObject Type="Embed" ProgID="Equation.3" ShapeID="_x0000_i1029" DrawAspect="Content" ObjectID="_1735120039" r:id="rId109"/>
        </w:object>
      </w:r>
      <w:r w:rsidRPr="0009445C">
        <w:rPr>
          <w:b/>
        </w:rPr>
        <w:t>), in wall planes for walls of grid type and column type, excluding earthquakes</w:t>
      </w:r>
    </w:p>
    <w:p w14:paraId="072BDBBB" w14:textId="77777777" w:rsidR="009D4C8D" w:rsidRPr="0009445C" w:rsidRDefault="009D4C8D" w:rsidP="009D4C8D">
      <w:pPr>
        <w:pStyle w:val="BRL-Standard"/>
        <w:rPr>
          <w:lang w:val="en-US"/>
        </w:rPr>
      </w:pPr>
    </w:p>
    <w:p w14:paraId="389943EA" w14:textId="77777777" w:rsidR="009D4C8D" w:rsidRPr="0009445C" w:rsidRDefault="009D4C8D" w:rsidP="009D4C8D">
      <w:pPr>
        <w:pStyle w:val="BRL-Standard"/>
      </w:pPr>
      <w:r w:rsidRPr="0009445C">
        <w:t>Design resistance is determined by choosing a relevant model (see (a), (b) or (c) below and the concrete used (normal or porous concrete). When determining the relevant influences, DIN EN 1992-1-1:2011-01 and DIN EN 1992-1-1/A1:2015-03 [7] in conjunction with DIN EN 1992-1-1/NA:2013-04 and DIN EN 1992-1-1/NA/A1:2015-12 [8] shall be taken into account.</w:t>
      </w:r>
    </w:p>
    <w:p w14:paraId="6ACF3D93" w14:textId="77777777" w:rsidR="009D4C8D" w:rsidRPr="0009445C" w:rsidRDefault="009D4C8D" w:rsidP="009D4C8D">
      <w:pPr>
        <w:pStyle w:val="BRL-Standard"/>
        <w:rPr>
          <w:lang w:val="en-US"/>
        </w:rPr>
      </w:pPr>
    </w:p>
    <w:p w14:paraId="2B7A1AE1" w14:textId="77777777" w:rsidR="009D4C8D" w:rsidRPr="0009445C" w:rsidRDefault="009D4C8D" w:rsidP="009D4C8D">
      <w:pPr>
        <w:pStyle w:val="BRL-Standard"/>
      </w:pPr>
      <w:r w:rsidRPr="0009445C">
        <w:t>Partial safety coefficients for ‘extraordinary design situations’ must be chosen in line with those for ‘constant and temporary design situations’.</w:t>
      </w:r>
    </w:p>
    <w:p w14:paraId="0665E190" w14:textId="77777777" w:rsidR="009D4C8D" w:rsidRPr="0009445C" w:rsidRDefault="009D4C8D" w:rsidP="009D4C8D">
      <w:pPr>
        <w:pStyle w:val="BRL-Standard"/>
        <w:rPr>
          <w:lang w:val="en-US"/>
        </w:rPr>
      </w:pPr>
    </w:p>
    <w:p w14:paraId="0D8B1128" w14:textId="77777777" w:rsidR="009D4C8D" w:rsidRPr="0009445C" w:rsidRDefault="009D4C8D" w:rsidP="009D4C8D">
      <w:pPr>
        <w:pStyle w:val="BRL-Standard"/>
      </w:pPr>
      <w:r w:rsidRPr="0009445C">
        <w:t>Three static models as per Fig. 1 may be applied:</w:t>
      </w:r>
    </w:p>
    <w:p w14:paraId="2B1DD5B8" w14:textId="77777777" w:rsidR="009D4C8D" w:rsidRPr="0009445C" w:rsidRDefault="009D4C8D" w:rsidP="009D4C8D">
      <w:pPr>
        <w:pStyle w:val="BRL-Standard"/>
        <w:rPr>
          <w:lang w:val="en-US"/>
        </w:rPr>
      </w:pPr>
    </w:p>
    <w:p w14:paraId="329CB170" w14:textId="77777777" w:rsidR="009D4C8D" w:rsidRPr="0009445C" w:rsidRDefault="009D4C8D" w:rsidP="009D4C8D">
      <w:pPr>
        <w:pStyle w:val="ListParagraph"/>
        <w:numPr>
          <w:ilvl w:val="1"/>
          <w:numId w:val="38"/>
        </w:numPr>
        <w:spacing w:line="276" w:lineRule="auto"/>
        <w:ind w:left="426"/>
        <w:contextualSpacing/>
      </w:pPr>
      <w:r w:rsidRPr="0009445C">
        <w:t>Frame model (unreinforced concrete)</w:t>
      </w:r>
    </w:p>
    <w:p w14:paraId="404FD501" w14:textId="77777777" w:rsidR="009D4C8D" w:rsidRPr="0009445C" w:rsidRDefault="009D4C8D" w:rsidP="009D4C8D">
      <w:pPr>
        <w:pStyle w:val="ListParagraph"/>
        <w:numPr>
          <w:ilvl w:val="1"/>
          <w:numId w:val="38"/>
        </w:numPr>
        <w:spacing w:line="276" w:lineRule="auto"/>
        <w:ind w:left="426"/>
        <w:contextualSpacing/>
      </w:pPr>
      <w:r w:rsidRPr="0009445C">
        <w:t xml:space="preserve">Model with continuous struts (unreinforced concrete) </w:t>
      </w:r>
    </w:p>
    <w:p w14:paraId="51AB4D7F" w14:textId="77777777" w:rsidR="009D4C8D" w:rsidRPr="0009445C" w:rsidRDefault="009D4C8D" w:rsidP="009D4C8D">
      <w:pPr>
        <w:pStyle w:val="ListParagraph"/>
        <w:numPr>
          <w:ilvl w:val="1"/>
          <w:numId w:val="38"/>
        </w:numPr>
        <w:spacing w:line="276" w:lineRule="auto"/>
        <w:ind w:left="426"/>
        <w:contextualSpacing/>
      </w:pPr>
      <w:r w:rsidRPr="0009445C">
        <w:t>Beam model (reinforced concrete)</w:t>
      </w:r>
    </w:p>
    <w:p w14:paraId="33C8DB94" w14:textId="77777777" w:rsidR="009D4C8D" w:rsidRPr="0009445C" w:rsidRDefault="009D4C8D" w:rsidP="009D4C8D">
      <w:pPr>
        <w:ind w:left="66"/>
        <w:contextualSpacing/>
        <w:rPr>
          <w:lang w:val="de-AT"/>
        </w:rPr>
      </w:pPr>
    </w:p>
    <w:p w14:paraId="3B9C7975" w14:textId="77777777" w:rsidR="009D4C8D" w:rsidRPr="0009445C" w:rsidRDefault="009D4C8D" w:rsidP="009D4C8D">
      <w:pPr>
        <w:pStyle w:val="BRL-Standard"/>
        <w:rPr>
          <w:rFonts w:cs="Arial"/>
          <w:color w:val="000000"/>
          <w:sz w:val="20"/>
        </w:rPr>
      </w:pPr>
      <w:r w:rsidRPr="0009445C">
        <w:rPr>
          <w:noProof/>
        </w:rPr>
        <w:drawing>
          <wp:inline distT="0" distB="0" distL="0" distR="0" wp14:anchorId="30667276" wp14:editId="6541F64D">
            <wp:extent cx="5972175" cy="2362200"/>
            <wp:effectExtent l="0" t="0" r="9525" b="0"/>
            <wp:docPr id="259"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72175" cy="2362200"/>
                    </a:xfrm>
                    <a:prstGeom prst="rect">
                      <a:avLst/>
                    </a:prstGeom>
                    <a:noFill/>
                  </pic:spPr>
                </pic:pic>
              </a:graphicData>
            </a:graphic>
          </wp:inline>
        </w:drawing>
      </w:r>
    </w:p>
    <w:p w14:paraId="7CEC5C49" w14:textId="7EC05D36" w:rsidR="009D4C8D" w:rsidRPr="0009445C" w:rsidRDefault="009D4C8D" w:rsidP="00600F53">
      <w:pPr>
        <w:pStyle w:val="BRL-Standard"/>
        <w:tabs>
          <w:tab w:val="left" w:pos="567"/>
          <w:tab w:val="left" w:pos="2552"/>
          <w:tab w:val="left" w:pos="6237"/>
        </w:tabs>
      </w:pPr>
      <w:r w:rsidRPr="0009445C">
        <w:rPr>
          <w:rStyle w:val="BRL-StandardZchn"/>
        </w:rPr>
        <w:tab/>
        <w:t>a) Frame model</w:t>
      </w:r>
      <w:r w:rsidRPr="0009445C">
        <w:rPr>
          <w:rStyle w:val="BRL-StandardZchn"/>
        </w:rPr>
        <w:tab/>
        <w:t>b) Model with continuous</w:t>
      </w:r>
      <w:r w:rsidRPr="0009445C">
        <w:t xml:space="preserve"> struts</w:t>
      </w:r>
      <w:r w:rsidRPr="0009445C">
        <w:tab/>
        <w:t>c) Beam model</w:t>
      </w:r>
    </w:p>
    <w:p w14:paraId="129D541C" w14:textId="77777777" w:rsidR="009D4C8D" w:rsidRPr="0009445C" w:rsidRDefault="009D4C8D" w:rsidP="009D4C8D">
      <w:pPr>
        <w:pStyle w:val="BRL-Standard"/>
      </w:pPr>
    </w:p>
    <w:p w14:paraId="38B065C1" w14:textId="77777777" w:rsidR="009D4C8D" w:rsidRPr="0009445C" w:rsidRDefault="009D4C8D" w:rsidP="009D4C8D">
      <w:pPr>
        <w:pStyle w:val="BRL-Standard"/>
        <w:tabs>
          <w:tab w:val="left" w:pos="851"/>
        </w:tabs>
      </w:pPr>
      <w:r w:rsidRPr="0009445C">
        <w:rPr>
          <w:b/>
        </w:rPr>
        <w:t>Figure 1:</w:t>
      </w:r>
      <w:r w:rsidRPr="0009445C">
        <w:tab/>
        <w:t>Static models for horizontal shear forces</w:t>
      </w:r>
      <w:r w:rsidRPr="0009445C">
        <w:object w:dxaOrig="460" w:dyaOrig="360" w14:anchorId="2E92D538">
          <v:shape id="_x0000_i1030" type="#_x0000_t75" style="width:19.5pt;height:14.25pt" o:ole="">
            <v:imagedata r:id="rId111" o:title=""/>
          </v:shape>
          <o:OLEObject Type="Embed" ProgID="Equation.3" ShapeID="_x0000_i1030" DrawAspect="Content" ObjectID="_1735120040" r:id="rId112"/>
        </w:object>
      </w:r>
    </w:p>
    <w:p w14:paraId="623C5DB3" w14:textId="77777777" w:rsidR="009D4C8D" w:rsidRPr="0009445C" w:rsidRDefault="009D4C8D" w:rsidP="009D4C8D">
      <w:pPr>
        <w:pStyle w:val="BRL-Standard"/>
        <w:rPr>
          <w:lang w:val="en-US"/>
        </w:rPr>
      </w:pPr>
    </w:p>
    <w:p w14:paraId="40E38BE5" w14:textId="77777777" w:rsidR="009D4C8D" w:rsidRPr="0009445C" w:rsidRDefault="009D4C8D" w:rsidP="009D4C8D">
      <w:pPr>
        <w:pStyle w:val="BRL-Standard"/>
      </w:pPr>
      <w:r w:rsidRPr="0009445C">
        <w:t xml:space="preserve">Proof of horizontal forces along the wall (shear forces) </w:t>
      </w:r>
      <w:r w:rsidRPr="0009445C">
        <w:object w:dxaOrig="460" w:dyaOrig="360" w14:anchorId="520A98BD">
          <v:shape id="_x0000_i1031" type="#_x0000_t75" style="width:19.5pt;height:14.25pt" o:ole="">
            <v:imagedata r:id="rId104" o:title=""/>
          </v:shape>
          <o:OLEObject Type="Embed" ProgID="Equation.3" ShapeID="_x0000_i1031" DrawAspect="Content" ObjectID="_1735120041" r:id="rId113"/>
        </w:object>
      </w:r>
      <w:r w:rsidRPr="0009445C">
        <w:rPr>
          <w:vertAlign w:val="subscript"/>
        </w:rPr>
        <w:t xml:space="preserve"> </w:t>
      </w:r>
      <w:r w:rsidRPr="0009445C">
        <w:t>must be provided as follows:</w:t>
      </w:r>
    </w:p>
    <w:p w14:paraId="747AB14C" w14:textId="77777777" w:rsidR="009D4C8D" w:rsidRPr="0009445C" w:rsidRDefault="009D4C8D" w:rsidP="009D4C8D">
      <w:pPr>
        <w:pStyle w:val="BRL-Standard"/>
        <w:rPr>
          <w:lang w:val="en-US"/>
        </w:rPr>
      </w:pPr>
    </w:p>
    <w:p w14:paraId="21F09A09" w14:textId="77777777" w:rsidR="009D4C8D" w:rsidRPr="0009445C" w:rsidRDefault="009D4C8D" w:rsidP="009D4C8D">
      <w:pPr>
        <w:pStyle w:val="BRL-Standard"/>
      </w:pPr>
      <w:r w:rsidRPr="0009445C">
        <w:tab/>
      </w:r>
      <w:r w:rsidRPr="0009445C">
        <w:object w:dxaOrig="1160" w:dyaOrig="380" w14:anchorId="7B926ADD">
          <v:shape id="_x0000_i1032" type="#_x0000_t75" style="width:57.75pt;height:20.25pt" o:ole="">
            <v:imagedata r:id="rId114" o:title=""/>
          </v:shape>
          <o:OLEObject Type="Embed" ProgID="Equation.3" ShapeID="_x0000_i1032" DrawAspect="Content" ObjectID="_1735120042" r:id="rId115"/>
        </w:object>
      </w:r>
      <w:r w:rsidRPr="0009445C">
        <w:tab/>
        <w:t xml:space="preserve">where </w:t>
      </w:r>
      <w:proofErr w:type="spellStart"/>
      <w:r w:rsidRPr="0009445C">
        <w:t>i</w:t>
      </w:r>
      <w:proofErr w:type="spellEnd"/>
      <w:r w:rsidRPr="0009445C">
        <w:t xml:space="preserve"> = 1 to 3 (design resistance of the following individual models)</w:t>
      </w:r>
    </w:p>
    <w:p w14:paraId="265214A0" w14:textId="77777777" w:rsidR="009D4C8D" w:rsidRPr="0009445C" w:rsidRDefault="009D4C8D" w:rsidP="009D4C8D">
      <w:pPr>
        <w:pStyle w:val="BRL-Standard"/>
        <w:rPr>
          <w:lang w:val="en-US"/>
        </w:rPr>
      </w:pPr>
    </w:p>
    <w:p w14:paraId="35EE114C" w14:textId="77777777" w:rsidR="009D4C8D" w:rsidRPr="0009445C" w:rsidRDefault="009D4C8D" w:rsidP="009D4C8D">
      <w:pPr>
        <w:pStyle w:val="BRL-Standard"/>
      </w:pPr>
      <w:r w:rsidRPr="0009445C">
        <w:t>Under the combined effect of horizontal and vertical loads the concrete supports must remain as is</w:t>
      </w:r>
      <w:r w:rsidRPr="0009445C">
        <w:sym w:font="Symbol" w:char="F049"/>
      </w:r>
      <w:r w:rsidRPr="0009445C">
        <w:t>, i.e. no tensile stress should occur, otherwise the planners must place vertical reinforcement in the supports to cover the tensile strength.</w:t>
      </w:r>
    </w:p>
    <w:p w14:paraId="091A5BEA" w14:textId="77777777" w:rsidR="009D4C8D" w:rsidRPr="0009445C" w:rsidRDefault="009D4C8D" w:rsidP="009D4C8D">
      <w:pPr>
        <w:pStyle w:val="BRL-Standard"/>
        <w:rPr>
          <w:lang w:val="en-US"/>
        </w:rPr>
      </w:pPr>
    </w:p>
    <w:p w14:paraId="5344E88A" w14:textId="77777777" w:rsidR="009D4C8D" w:rsidRPr="0009445C" w:rsidRDefault="009D4C8D" w:rsidP="009D4C8D">
      <w:pPr>
        <w:pStyle w:val="BRL-Standard"/>
      </w:pPr>
      <w:r w:rsidRPr="0009445C">
        <w:t xml:space="preserve">Proof </w:t>
      </w:r>
      <w:r w:rsidRPr="0009445C">
        <w:object w:dxaOrig="1160" w:dyaOrig="380" w14:anchorId="3B1AA92E">
          <v:shape id="_x0000_i1033" type="#_x0000_t75" style="width:57.75pt;height:20.25pt" o:ole="">
            <v:imagedata r:id="rId114" o:title=""/>
          </v:shape>
          <o:OLEObject Type="Embed" ProgID="Equation.3" ShapeID="_x0000_i1033" DrawAspect="Content" ObjectID="_1735120043" r:id="rId116"/>
        </w:object>
      </w:r>
      <w:r w:rsidRPr="0009445C">
        <w:t xml:space="preserve"> of the static models suggested may be provided using the following approaches:</w:t>
      </w:r>
    </w:p>
    <w:p w14:paraId="1599C962" w14:textId="77777777" w:rsidR="009D4C8D" w:rsidRPr="0009445C" w:rsidRDefault="009D4C8D" w:rsidP="009D4C8D">
      <w:pPr>
        <w:spacing w:after="200"/>
        <w:rPr>
          <w:lang w:val="en-US"/>
        </w:rPr>
      </w:pPr>
    </w:p>
    <w:p w14:paraId="47CF6082" w14:textId="77777777" w:rsidR="009D4C8D" w:rsidRPr="0009445C" w:rsidRDefault="009D4C8D" w:rsidP="00600F53">
      <w:pPr>
        <w:pStyle w:val="BRL-berschrift"/>
      </w:pPr>
      <w:r w:rsidRPr="0009445C">
        <w:t>A</w:t>
      </w:r>
      <w:r w:rsidRPr="0009445C">
        <w:tab/>
        <w:t>Frame model</w:t>
      </w:r>
    </w:p>
    <w:p w14:paraId="79B645FF" w14:textId="7A3F4433" w:rsidR="009D4C8D" w:rsidRPr="0009445C" w:rsidRDefault="009D4C8D" w:rsidP="009D4C8D">
      <w:pPr>
        <w:pStyle w:val="BRL-Standard"/>
      </w:pPr>
      <w:r w:rsidRPr="0009445C">
        <w:t xml:space="preserve">The design resistance </w:t>
      </w:r>
      <w:r w:rsidRPr="0009445C">
        <w:object w:dxaOrig="540" w:dyaOrig="380" w14:anchorId="08D91E29">
          <v:shape id="_x0000_i1034" type="#_x0000_t75" style="width:29.25pt;height:20.25pt" o:ole="">
            <v:imagedata r:id="rId117" o:title=""/>
          </v:shape>
          <o:OLEObject Type="Embed" ProgID="Equation.3" ShapeID="_x0000_i1034" DrawAspect="Content" ObjectID="_1735120044" r:id="rId118"/>
        </w:object>
      </w:r>
      <w:r w:rsidRPr="0009445C">
        <w:t xml:space="preserve"> of the frame model depends on the tensile strength of the concrete bars. Assuming parabolic shear flow distribution along the length of the wall </w:t>
      </w:r>
      <w:r w:rsidRPr="0009445C">
        <w:rPr>
          <w:i/>
        </w:rPr>
        <w:t>L</w:t>
      </w:r>
      <w:r w:rsidRPr="0009445C">
        <w:t xml:space="preserve"> under the beam theory and zero-point moment in the middle of the concrete bar, the load-bearing capacity of a concrete bar is reached if the tensile strength exceeds the tensile strength of the concrete due to maximum bending moment at the bar/support intersection. The maximum value of the shear stress</w:t>
      </w:r>
      <w:r w:rsidRPr="0009445C">
        <w:object w:dxaOrig="440" w:dyaOrig="380" w14:anchorId="0C66B336">
          <v:shape id="_x0000_i1035" type="#_x0000_t75" style="width:20.25pt;height:20.25pt" o:ole="">
            <v:imagedata r:id="rId119" o:title=""/>
          </v:shape>
          <o:OLEObject Type="Embed" ProgID="Equation.3" ShapeID="_x0000_i1035" DrawAspect="Content" ObjectID="_1735120045" r:id="rId120"/>
        </w:object>
      </w:r>
      <w:r w:rsidR="00600F53">
        <w:t xml:space="preserve"> </w:t>
      </w:r>
      <w:r w:rsidRPr="0009445C">
        <w:t>is obtained from equation (1):</w:t>
      </w:r>
    </w:p>
    <w:p w14:paraId="60A8419E" w14:textId="77777777" w:rsidR="009D4C8D" w:rsidRPr="0009445C" w:rsidRDefault="009D4C8D" w:rsidP="009D4C8D">
      <w:pPr>
        <w:pStyle w:val="BRL-Standard"/>
        <w:rPr>
          <w:lang w:val="en-US"/>
        </w:rPr>
      </w:pPr>
    </w:p>
    <w:p w14:paraId="31EA3F83" w14:textId="77777777" w:rsidR="009D4C8D" w:rsidRPr="0009445C" w:rsidRDefault="009D4C8D" w:rsidP="009D4C8D">
      <w:pPr>
        <w:pStyle w:val="Nachweis"/>
        <w:framePr w:wrap="around"/>
        <w:spacing w:line="240" w:lineRule="auto"/>
      </w:pPr>
      <w:r w:rsidRPr="0009445C">
        <w:t>(1)</w:t>
      </w:r>
    </w:p>
    <w:p w14:paraId="02935AC3" w14:textId="77777777" w:rsidR="009D4C8D" w:rsidRPr="0009445C" w:rsidRDefault="009D4C8D" w:rsidP="009D4C8D">
      <w:pPr>
        <w:pStyle w:val="BRL-Standard"/>
      </w:pPr>
      <w:r w:rsidRPr="0009445C">
        <w:object w:dxaOrig="1860" w:dyaOrig="620" w14:anchorId="5AF5C774">
          <v:shape id="_x0000_i1036" type="#_x0000_t75" style="width:91.5pt;height:29.25pt" o:ole="" fillcolor="window">
            <v:imagedata r:id="rId121" o:title=""/>
          </v:shape>
          <o:OLEObject Type="Embed" ProgID="Equation.3" ShapeID="_x0000_i1036" DrawAspect="Content" ObjectID="_1735120046" r:id="rId122"/>
        </w:object>
      </w:r>
      <w:r w:rsidRPr="0009445C">
        <w:tab/>
      </w:r>
    </w:p>
    <w:p w14:paraId="6A0D99F8" w14:textId="77777777" w:rsidR="009D4C8D" w:rsidRPr="0009445C" w:rsidRDefault="009D4C8D" w:rsidP="009D4C8D">
      <w:pPr>
        <w:pStyle w:val="BRL-Standard"/>
      </w:pPr>
      <w:r w:rsidRPr="0009445C">
        <w:t xml:space="preserve">and thus leads to a maximum shear force </w:t>
      </w:r>
      <w:r w:rsidRPr="0009445C">
        <w:rPr>
          <w:i/>
        </w:rPr>
        <w:object w:dxaOrig="880" w:dyaOrig="380" w14:anchorId="21F186C2">
          <v:shape id="_x0000_i1037" type="#_x0000_t75" style="width:42.75pt;height:20.25pt" o:ole="" fillcolor="window">
            <v:imagedata r:id="rId123" o:title=""/>
          </v:shape>
          <o:OLEObject Type="Embed" ProgID="Equation.3" ShapeID="_x0000_i1037" DrawAspect="Content" ObjectID="_1735120047" r:id="rId124"/>
        </w:object>
      </w:r>
      <w:r w:rsidRPr="0009445C">
        <w:t xml:space="preserve"> in a concrete bar of</w:t>
      </w:r>
    </w:p>
    <w:p w14:paraId="26D8A29A" w14:textId="77777777" w:rsidR="009D4C8D" w:rsidRPr="0009445C" w:rsidRDefault="009D4C8D" w:rsidP="009D4C8D">
      <w:pPr>
        <w:pStyle w:val="Nachweis"/>
        <w:framePr w:wrap="around"/>
        <w:spacing w:line="240" w:lineRule="auto"/>
      </w:pPr>
      <w:r w:rsidRPr="0009445C">
        <w:t>(2)</w:t>
      </w:r>
    </w:p>
    <w:p w14:paraId="5FE2C0D0" w14:textId="77777777" w:rsidR="009D4C8D" w:rsidRPr="0009445C" w:rsidRDefault="009D4C8D" w:rsidP="009D4C8D">
      <w:pPr>
        <w:pStyle w:val="BRL-Standard"/>
      </w:pPr>
      <w:r w:rsidRPr="0009445C">
        <w:object w:dxaOrig="3240" w:dyaOrig="620" w14:anchorId="49CB7D3E">
          <v:shape id="_x0000_i1038" type="#_x0000_t75" style="width:156.75pt;height:29.25pt" o:ole="" fillcolor="window">
            <v:imagedata r:id="rId125" o:title=""/>
          </v:shape>
          <o:OLEObject Type="Embed" ProgID="Equation.3" ShapeID="_x0000_i1038" DrawAspect="Content" ObjectID="_1735120048" r:id="rId126"/>
        </w:object>
      </w:r>
      <w:r w:rsidRPr="0009445C">
        <w:tab/>
      </w:r>
    </w:p>
    <w:p w14:paraId="190BE7B9" w14:textId="77777777" w:rsidR="009D4C8D" w:rsidRPr="0009445C" w:rsidRDefault="009D4C8D" w:rsidP="009D4C8D">
      <w:pPr>
        <w:pStyle w:val="BRL-Standard"/>
        <w:tabs>
          <w:tab w:val="right" w:pos="9072"/>
        </w:tabs>
      </w:pPr>
      <w:r w:rsidRPr="0009445C">
        <w:t xml:space="preserve">The maximum related bending moment </w:t>
      </w:r>
      <w:r w:rsidRPr="0009445C">
        <w:object w:dxaOrig="1020" w:dyaOrig="380" w14:anchorId="1E909947">
          <v:shape id="_x0000_i1039" type="#_x0000_t75" style="width:52.5pt;height:20.25pt" o:ole="">
            <v:imagedata r:id="rId127" o:title=""/>
          </v:shape>
          <o:OLEObject Type="Embed" ProgID="Equation.3" ShapeID="_x0000_i1039" DrawAspect="Content" ObjectID="_1735120049" r:id="rId128"/>
        </w:object>
      </w:r>
      <w:r w:rsidRPr="0009445C">
        <w:t xml:space="preserve"> in a concrete bar is</w:t>
      </w:r>
      <w:r w:rsidRPr="0009445C">
        <w:tab/>
        <w:t>(3)</w:t>
      </w:r>
    </w:p>
    <w:p w14:paraId="78C556DB" w14:textId="77777777" w:rsidR="009D4C8D" w:rsidRPr="0009445C" w:rsidRDefault="009D4C8D" w:rsidP="009D4C8D">
      <w:pPr>
        <w:pStyle w:val="BRL-Standard"/>
      </w:pPr>
      <w:r w:rsidRPr="0009445C">
        <w:object w:dxaOrig="3600" w:dyaOrig="620" w14:anchorId="2C5505E5">
          <v:shape id="_x0000_i1040" type="#_x0000_t75" style="width:181.5pt;height:29.25pt" o:ole="" fillcolor="window">
            <v:imagedata r:id="rId129" o:title=""/>
          </v:shape>
          <o:OLEObject Type="Embed" ProgID="Equation.3" ShapeID="_x0000_i1040" DrawAspect="Content" ObjectID="_1735120050" r:id="rId130"/>
        </w:object>
      </w:r>
      <w:r w:rsidRPr="0009445C">
        <w:tab/>
      </w:r>
    </w:p>
    <w:p w14:paraId="45A207AB" w14:textId="77777777" w:rsidR="009D4C8D" w:rsidRPr="0009445C" w:rsidRDefault="009D4C8D" w:rsidP="009D4C8D">
      <w:pPr>
        <w:pStyle w:val="BRL-Standard"/>
        <w:jc w:val="left"/>
      </w:pPr>
      <w:r w:rsidRPr="0009445C">
        <w:t>With a specified section modulus</w:t>
      </w:r>
      <w:r w:rsidRPr="0009445C">
        <w:rPr>
          <w:i/>
        </w:rPr>
        <w:object w:dxaOrig="279" w:dyaOrig="340" w14:anchorId="54CFF882">
          <v:shape id="_x0000_i1041" type="#_x0000_t75" style="width:14.25pt;height:13.5pt" o:ole="" fillcolor="window">
            <v:imagedata r:id="rId131" o:title=""/>
          </v:shape>
          <o:OLEObject Type="Embed" ProgID="Equation.3" ShapeID="_x0000_i1041" DrawAspect="Content" ObjectID="_1735120051" r:id="rId132"/>
        </w:object>
      </w:r>
      <w:r w:rsidRPr="0009445C">
        <w:t xml:space="preserve"> of the concrete bar and a characteristic concrete tensile strength,</w:t>
      </w:r>
      <w:r w:rsidRPr="0009445C">
        <w:rPr>
          <w:i/>
        </w:rPr>
        <w:object w:dxaOrig="660" w:dyaOrig="380" w14:anchorId="497D76A8">
          <v:shape id="_x0000_i1042" type="#_x0000_t75" style="width:37.5pt;height:20.25pt" o:ole="" fillcolor="window">
            <v:imagedata r:id="rId133" o:title=""/>
          </v:shape>
          <o:OLEObject Type="Embed" ProgID="Equation.3" ShapeID="_x0000_i1042" DrawAspect="Content" ObjectID="_1735120052" r:id="rId134"/>
        </w:object>
      </w:r>
      <w:r w:rsidRPr="0009445C">
        <w:rPr>
          <w:i/>
        </w:rPr>
        <w:t xml:space="preserve"> </w:t>
      </w:r>
      <w:r w:rsidRPr="0009445C">
        <w:t>the design resistance for a wall is as follows:</w:t>
      </w:r>
    </w:p>
    <w:p w14:paraId="740D0B8D" w14:textId="77777777" w:rsidR="009D4C8D" w:rsidRPr="0009445C" w:rsidRDefault="009D4C8D" w:rsidP="009D4C8D">
      <w:pPr>
        <w:pStyle w:val="Nachweis"/>
        <w:framePr w:wrap="around"/>
        <w:spacing w:line="240" w:lineRule="auto"/>
      </w:pPr>
      <w:r w:rsidRPr="0009445C">
        <w:t>(4)</w:t>
      </w:r>
    </w:p>
    <w:p w14:paraId="338117A9" w14:textId="77777777" w:rsidR="009D4C8D" w:rsidRPr="0009445C" w:rsidRDefault="009D4C8D" w:rsidP="009D4C8D">
      <w:pPr>
        <w:pStyle w:val="BRL-Standard"/>
      </w:pPr>
      <w:r w:rsidRPr="0009445C">
        <w:object w:dxaOrig="2160" w:dyaOrig="700" w14:anchorId="6D3DE64B">
          <v:shape id="_x0000_i1043" type="#_x0000_t75" style="width:109.5pt;height:37.5pt" o:ole="" fillcolor="window">
            <v:imagedata r:id="rId135" o:title=""/>
          </v:shape>
          <o:OLEObject Type="Embed" ProgID="Equation.3" ShapeID="_x0000_i1043" DrawAspect="Content" ObjectID="_1735120053" r:id="rId136"/>
        </w:object>
      </w:r>
      <w:r w:rsidRPr="0009445C">
        <w:tab/>
      </w:r>
    </w:p>
    <w:p w14:paraId="7A75768C" w14:textId="77777777" w:rsidR="009D4C8D" w:rsidRPr="0009445C" w:rsidRDefault="009D4C8D" w:rsidP="009D4C8D">
      <w:pPr>
        <w:pStyle w:val="BRL-Standard"/>
      </w:pPr>
      <w:r w:rsidRPr="0009445C">
        <w:t>In equation (4), the following descriptions (see Figure 2) apply:</w:t>
      </w:r>
    </w:p>
    <w:p w14:paraId="0751D5FE" w14:textId="77777777" w:rsidR="009D4C8D" w:rsidRPr="0009445C" w:rsidRDefault="009D4C8D" w:rsidP="009D4C8D">
      <w:pPr>
        <w:pStyle w:val="BRL-Standard"/>
      </w:pPr>
      <w:r w:rsidRPr="0009445C">
        <w:rPr>
          <w:i/>
        </w:rPr>
        <w:object w:dxaOrig="540" w:dyaOrig="380" w14:anchorId="7AB8AE39">
          <v:shape id="_x0000_i1044" type="#_x0000_t75" style="width:29.25pt;height:20.25pt" o:ole="" fillcolor="window">
            <v:imagedata r:id="rId137" o:title=""/>
          </v:shape>
          <o:OLEObject Type="Embed" ProgID="Equation.3" ShapeID="_x0000_i1044" DrawAspect="Content" ObjectID="_1735120054" r:id="rId138"/>
        </w:object>
      </w:r>
      <w:r w:rsidRPr="0009445C">
        <w:rPr>
          <w:vertAlign w:val="subscript"/>
        </w:rPr>
        <w:tab/>
      </w:r>
      <w:r w:rsidRPr="0009445C">
        <w:t>rated shear strength according to the frame model;</w:t>
      </w:r>
    </w:p>
    <w:p w14:paraId="698B31EF" w14:textId="77777777" w:rsidR="009D4C8D" w:rsidRPr="0009445C" w:rsidRDefault="009D4C8D" w:rsidP="009D4C8D">
      <w:pPr>
        <w:pStyle w:val="BRL-Standard"/>
      </w:pPr>
      <w:r w:rsidRPr="0009445C">
        <w:object w:dxaOrig="220" w:dyaOrig="260" w14:anchorId="1A00BEF7">
          <v:shape id="_x0000_i1045" type="#_x0000_t75" style="width:14.25pt;height:14.25pt" o:ole="" fillcolor="window">
            <v:imagedata r:id="rId139" o:title=""/>
          </v:shape>
          <o:OLEObject Type="Embed" ProgID="Equation.3" ShapeID="_x0000_i1045" DrawAspect="Content" ObjectID="_1735120055" r:id="rId140"/>
        </w:object>
      </w:r>
      <w:r w:rsidRPr="0009445C">
        <w:tab/>
        <w:t>wall length;</w:t>
      </w:r>
    </w:p>
    <w:p w14:paraId="1C0794AA" w14:textId="77777777" w:rsidR="009D4C8D" w:rsidRPr="0009445C" w:rsidRDefault="009D4C8D" w:rsidP="009D4C8D">
      <w:pPr>
        <w:pStyle w:val="BRL-Standard"/>
      </w:pPr>
      <w:proofErr w:type="spellStart"/>
      <w:r w:rsidRPr="0009445C">
        <w:rPr>
          <w:i/>
        </w:rPr>
        <w:t>h</w:t>
      </w:r>
      <w:r w:rsidRPr="0009445C">
        <w:rPr>
          <w:vertAlign w:val="subscript"/>
        </w:rPr>
        <w:t>s</w:t>
      </w:r>
      <w:proofErr w:type="spellEnd"/>
      <w:r w:rsidRPr="0009445C">
        <w:tab/>
        <w:t>distance between concrete bar centres;</w:t>
      </w:r>
    </w:p>
    <w:p w14:paraId="69DEF461" w14:textId="77777777" w:rsidR="009D4C8D" w:rsidRPr="0009445C" w:rsidRDefault="009D4C8D" w:rsidP="009D4C8D">
      <w:pPr>
        <w:pStyle w:val="BRL-Standard"/>
      </w:pPr>
      <w:proofErr w:type="spellStart"/>
      <w:r w:rsidRPr="0009445C">
        <w:rPr>
          <w:i/>
        </w:rPr>
        <w:t>l</w:t>
      </w:r>
      <w:r w:rsidRPr="0009445C">
        <w:rPr>
          <w:vertAlign w:val="subscript"/>
        </w:rPr>
        <w:t>r</w:t>
      </w:r>
      <w:proofErr w:type="spellEnd"/>
      <w:r w:rsidRPr="0009445C">
        <w:tab/>
        <w:t>clear length of concrete bar;</w:t>
      </w:r>
    </w:p>
    <w:p w14:paraId="2952170A" w14:textId="77777777" w:rsidR="009D4C8D" w:rsidRPr="0009445C" w:rsidRDefault="009D4C8D" w:rsidP="009D4C8D">
      <w:pPr>
        <w:pStyle w:val="BRL-Standard"/>
      </w:pPr>
      <w:r w:rsidRPr="0009445C">
        <w:rPr>
          <w:i/>
        </w:rPr>
        <w:t>Z</w:t>
      </w:r>
      <w:r w:rsidRPr="0009445C">
        <w:rPr>
          <w:vertAlign w:val="subscript"/>
        </w:rPr>
        <w:t>r</w:t>
      </w:r>
      <w:r w:rsidRPr="0009445C">
        <w:tab/>
        <w:t>modulus of resistance of concrete bar;</w:t>
      </w:r>
    </w:p>
    <w:p w14:paraId="4D4AA064" w14:textId="77777777" w:rsidR="009D4C8D" w:rsidRPr="0009445C" w:rsidRDefault="009D4C8D" w:rsidP="009D4C8D">
      <w:pPr>
        <w:pStyle w:val="BRL-Standard"/>
      </w:pPr>
      <w:r w:rsidRPr="0009445C">
        <w:rPr>
          <w:i/>
        </w:rPr>
        <w:object w:dxaOrig="660" w:dyaOrig="380" w14:anchorId="29AABFC1">
          <v:shape id="_x0000_i1046" type="#_x0000_t75" style="width:37.5pt;height:20.25pt" o:ole="" fillcolor="window">
            <v:imagedata r:id="rId141" o:title=""/>
          </v:shape>
          <o:OLEObject Type="Embed" ProgID="Equation.3" ShapeID="_x0000_i1046" DrawAspect="Content" ObjectID="_1735120056" r:id="rId142"/>
        </w:object>
      </w:r>
      <w:r w:rsidRPr="0009445C">
        <w:tab/>
        <w:t>characteristic tensile strength of concrete;</w:t>
      </w:r>
    </w:p>
    <w:p w14:paraId="42F7FA4A" w14:textId="77777777" w:rsidR="009D4C8D" w:rsidRPr="0009445C" w:rsidRDefault="009D4C8D" w:rsidP="009D4C8D">
      <w:pPr>
        <w:tabs>
          <w:tab w:val="left" w:pos="993"/>
        </w:tabs>
        <w:spacing w:line="240" w:lineRule="auto"/>
        <w:rPr>
          <w:rFonts w:cs="Arial"/>
          <w:color w:val="000000"/>
        </w:rPr>
      </w:pPr>
      <w:r w:rsidRPr="0009445C">
        <w:rPr>
          <w:color w:val="000000"/>
        </w:rPr>
        <w:tab/>
      </w:r>
      <w:r w:rsidRPr="0009445C">
        <w:rPr>
          <w:i/>
        </w:rPr>
        <w:object w:dxaOrig="3900" w:dyaOrig="400" w14:anchorId="168B2788">
          <v:shape id="_x0000_i1047" type="#_x0000_t75" style="width:194.25pt;height:20.25pt" o:ole="" fillcolor="window">
            <v:imagedata r:id="rId143" o:title=""/>
          </v:shape>
          <o:OLEObject Type="Embed" ProgID="Equation.3" ShapeID="_x0000_i1047" DrawAspect="Content" ObjectID="_1735120057" r:id="rId144"/>
        </w:object>
      </w:r>
      <w:r w:rsidRPr="0009445C">
        <w:rPr>
          <w:color w:val="000000"/>
        </w:rPr>
        <w:t xml:space="preserve"> [MN/m²];</w:t>
      </w:r>
    </w:p>
    <w:p w14:paraId="3E49BA2E" w14:textId="77777777" w:rsidR="009D4C8D" w:rsidRPr="0009445C" w:rsidRDefault="009D4C8D" w:rsidP="009D4C8D">
      <w:pPr>
        <w:tabs>
          <w:tab w:val="left" w:pos="993"/>
        </w:tabs>
        <w:spacing w:line="240" w:lineRule="auto"/>
        <w:rPr>
          <w:rFonts w:cs="Arial"/>
          <w:color w:val="000000"/>
        </w:rPr>
      </w:pPr>
      <w:r w:rsidRPr="0009445C">
        <w:rPr>
          <w:i/>
          <w:color w:val="000000"/>
        </w:rPr>
        <w:object w:dxaOrig="340" w:dyaOrig="380" w14:anchorId="73784CC4">
          <v:shape id="_x0000_i1048" type="#_x0000_t75" style="width:13.5pt;height:20.25pt" o:ole="" fillcolor="window">
            <v:imagedata r:id="rId145" o:title=""/>
          </v:shape>
          <o:OLEObject Type="Embed" ProgID="Equation.3" ShapeID="_x0000_i1048" DrawAspect="Content" ObjectID="_1735120058" r:id="rId146"/>
        </w:object>
      </w:r>
      <w:r w:rsidRPr="0009445C">
        <w:rPr>
          <w:color w:val="000000"/>
        </w:rPr>
        <w:tab/>
        <w:t>characteristic compressive strength of concrete (cylinder);</w:t>
      </w:r>
    </w:p>
    <w:p w14:paraId="2D7853A0" w14:textId="77777777" w:rsidR="009D4C8D" w:rsidRPr="0009445C" w:rsidRDefault="009D4C8D" w:rsidP="009D4C8D">
      <w:pPr>
        <w:tabs>
          <w:tab w:val="left" w:pos="993"/>
        </w:tabs>
        <w:spacing w:line="240" w:lineRule="auto"/>
        <w:rPr>
          <w:rFonts w:cs="Arial"/>
          <w:color w:val="000000"/>
        </w:rPr>
      </w:pPr>
      <w:r w:rsidRPr="0009445C">
        <w:rPr>
          <w:i/>
          <w:color w:val="000000"/>
        </w:rPr>
        <w:object w:dxaOrig="300" w:dyaOrig="360" w14:anchorId="6925FC87">
          <v:shape id="_x0000_i1049" type="#_x0000_t75" style="width:14.25pt;height:14.25pt" o:ole="" fillcolor="window">
            <v:imagedata r:id="rId147" o:title=""/>
          </v:shape>
          <o:OLEObject Type="Embed" ProgID="Equation.3" ShapeID="_x0000_i1049" DrawAspect="Content" ObjectID="_1735120059" r:id="rId148"/>
        </w:object>
      </w:r>
      <w:r w:rsidRPr="0009445C">
        <w:rPr>
          <w:color w:val="000000"/>
          <w:vertAlign w:val="subscript"/>
        </w:rPr>
        <w:tab/>
      </w:r>
      <w:r w:rsidRPr="0009445C">
        <w:rPr>
          <w:color w:val="000000"/>
        </w:rPr>
        <w:t>where</w:t>
      </w:r>
      <w:r w:rsidRPr="0009445C">
        <w:rPr>
          <w:color w:val="000000"/>
        </w:rPr>
        <w:tab/>
      </w:r>
      <w:r w:rsidRPr="0009445C">
        <w:rPr>
          <w:i/>
        </w:rPr>
        <w:object w:dxaOrig="320" w:dyaOrig="320" w14:anchorId="7155B4A9">
          <v:shape id="_x0000_i1050" type="#_x0000_t75" style="width:14.25pt;height:14.25pt" o:ole="" fillcolor="window">
            <v:imagedata r:id="rId149" o:title=""/>
          </v:shape>
          <o:OLEObject Type="Embed" ProgID="Equation.3" ShapeID="_x0000_i1050" DrawAspect="Content" ObjectID="_1735120060" r:id="rId150"/>
        </w:object>
      </w:r>
      <w:r w:rsidRPr="0009445C">
        <w:rPr>
          <w:color w:val="000000"/>
        </w:rPr>
        <w:tab/>
        <w:t>partial safety coefficient for tensile strength of in-situ concrete;</w:t>
      </w:r>
    </w:p>
    <w:p w14:paraId="5E506928" w14:textId="77777777" w:rsidR="00E779AB" w:rsidRPr="0009445C" w:rsidRDefault="009D4C8D" w:rsidP="00E779AB">
      <w:pPr>
        <w:tabs>
          <w:tab w:val="left" w:pos="993"/>
        </w:tabs>
        <w:spacing w:line="240" w:lineRule="auto"/>
        <w:ind w:left="992" w:hanging="992"/>
        <w:rPr>
          <w:rFonts w:cs="Arial"/>
          <w:color w:val="000000"/>
        </w:rPr>
      </w:pPr>
      <w:r w:rsidRPr="0009445C">
        <w:rPr>
          <w:i/>
          <w:color w:val="000000"/>
        </w:rPr>
        <w:object w:dxaOrig="240" w:dyaOrig="340" w14:anchorId="0000ADA3">
          <v:shape id="_x0000_i1051" type="#_x0000_t75" style="width:14.25pt;height:13.5pt" o:ole="" fillcolor="window">
            <v:imagedata r:id="rId151" o:title=""/>
          </v:shape>
          <o:OLEObject Type="Embed" ProgID="Equation.3" ShapeID="_x0000_i1051" DrawAspect="Content" ObjectID="_1735120061" r:id="rId152"/>
        </w:object>
      </w:r>
      <w:r w:rsidRPr="0009445C">
        <w:rPr>
          <w:color w:val="000000"/>
        </w:rPr>
        <w:tab/>
        <w:t>with</w:t>
      </w:r>
      <w:r w:rsidRPr="0009445C">
        <w:rPr>
          <w:color w:val="000000"/>
        </w:rPr>
        <w:tab/>
      </w:r>
      <w:r w:rsidRPr="0009445C">
        <w:rPr>
          <w:i/>
        </w:rPr>
        <w:object w:dxaOrig="320" w:dyaOrig="320" w14:anchorId="3511EB9B">
          <v:shape id="_x0000_i1052" type="#_x0000_t75" style="width:14.25pt;height:14.25pt" o:ole="" fillcolor="window">
            <v:imagedata r:id="rId153" o:title=""/>
          </v:shape>
          <o:OLEObject Type="Embed" ProgID="Equation.3" ShapeID="_x0000_i1052" DrawAspect="Content" ObjectID="_1735120062" r:id="rId154"/>
        </w:object>
      </w:r>
      <w:r w:rsidRPr="0009445C">
        <w:rPr>
          <w:i/>
          <w:color w:val="000000"/>
        </w:rPr>
        <w:tab/>
      </w:r>
      <w:r w:rsidRPr="0009445C">
        <w:rPr>
          <w:i/>
          <w:color w:val="000000"/>
        </w:rPr>
        <w:tab/>
      </w:r>
      <w:r w:rsidRPr="0009445C">
        <w:rPr>
          <w:i/>
          <w:color w:val="000000"/>
        </w:rPr>
        <w:tab/>
      </w:r>
      <w:r w:rsidRPr="0009445C">
        <w:rPr>
          <w:i/>
          <w:color w:val="000000"/>
        </w:rPr>
        <w:tab/>
      </w:r>
      <w:r w:rsidRPr="0009445C">
        <w:rPr>
          <w:color w:val="000000"/>
        </w:rPr>
        <w:t>for in-situ concrete;</w:t>
      </w:r>
    </w:p>
    <w:p w14:paraId="7C2CDD97" w14:textId="1B2819C4" w:rsidR="009D4C8D" w:rsidRPr="0009445C" w:rsidRDefault="009D4C8D" w:rsidP="00E779AB">
      <w:pPr>
        <w:tabs>
          <w:tab w:val="left" w:pos="1418"/>
        </w:tabs>
        <w:spacing w:line="240" w:lineRule="auto"/>
        <w:ind w:left="4253" w:hanging="4253"/>
        <w:rPr>
          <w:rFonts w:cs="Arial"/>
          <w:color w:val="000000"/>
        </w:rPr>
      </w:pPr>
      <w:r w:rsidRPr="0009445C">
        <w:rPr>
          <w:i/>
          <w:color w:val="000000"/>
        </w:rPr>
        <w:tab/>
      </w:r>
      <w:r w:rsidRPr="0009445C">
        <w:object w:dxaOrig="2020" w:dyaOrig="320" w14:anchorId="0B88654A">
          <v:shape id="_x0000_i1053" type="#_x0000_t75" style="width:100.5pt;height:14.25pt" o:ole="" fillcolor="window">
            <v:imagedata r:id="rId155" o:title=""/>
          </v:shape>
          <o:OLEObject Type="Embed" ProgID="Equation.3" ShapeID="_x0000_i1053" DrawAspect="Content" ObjectID="_1735120063" r:id="rId156"/>
        </w:object>
      </w:r>
      <w:r w:rsidRPr="0009445C">
        <w:rPr>
          <w:i/>
          <w:color w:val="000000"/>
        </w:rPr>
        <w:tab/>
      </w:r>
      <w:r w:rsidRPr="0009445C">
        <w:rPr>
          <w:color w:val="000000"/>
        </w:rPr>
        <w:t>for on-site concrete made of lightweight concrete with a computational value of the dry raw density of η in [kg/m³].</w:t>
      </w:r>
    </w:p>
    <w:p w14:paraId="603DDA19" w14:textId="29FDCE20" w:rsidR="009D4C8D" w:rsidRPr="0009445C" w:rsidRDefault="009D4C8D" w:rsidP="009D4C8D">
      <w:pPr>
        <w:pStyle w:val="BRL-Standard"/>
      </w:pPr>
      <w:r w:rsidRPr="0009445C">
        <w:rPr>
          <w:noProof/>
        </w:rPr>
        <w:drawing>
          <wp:inline distT="0" distB="0" distL="0" distR="0" wp14:anchorId="0AA29031" wp14:editId="19826625">
            <wp:extent cx="2190115" cy="2004060"/>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7" cstate="print">
                      <a:extLst>
                        <a:ext uri="{28A0092B-C50C-407E-A947-70E740481C1C}">
                          <a14:useLocalDpi xmlns:a14="http://schemas.microsoft.com/office/drawing/2010/main" val="0"/>
                        </a:ext>
                      </a:extLst>
                    </a:blip>
                    <a:srcRect l="12541" r="4924" b="7011"/>
                    <a:stretch>
                      <a:fillRect/>
                    </a:stretch>
                  </pic:blipFill>
                  <pic:spPr bwMode="auto">
                    <a:xfrm>
                      <a:off x="0" y="0"/>
                      <a:ext cx="2190115" cy="200406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30"/>
        <w:gridCol w:w="4530"/>
      </w:tblGrid>
      <w:tr w:rsidR="00D0329D" w:rsidRPr="0009445C" w14:paraId="11D02D28" w14:textId="77777777" w:rsidTr="00D0329D">
        <w:tc>
          <w:tcPr>
            <w:tcW w:w="4530" w:type="dxa"/>
          </w:tcPr>
          <w:p w14:paraId="2E734BFD" w14:textId="5B06AAF6" w:rsidR="00D0329D" w:rsidRPr="0009445C" w:rsidRDefault="000C7F03" w:rsidP="009D4C8D">
            <w:pPr>
              <w:pStyle w:val="BRL-Standard"/>
            </w:pPr>
            <w:r w:rsidRPr="0009445C">
              <w:rPr>
                <w:lang w:val="de-AT"/>
              </w:rPr>
              <w:t>Beton-Riegel</w:t>
            </w:r>
          </w:p>
        </w:tc>
        <w:tc>
          <w:tcPr>
            <w:tcW w:w="4530" w:type="dxa"/>
          </w:tcPr>
          <w:p w14:paraId="18370539" w14:textId="6FFAD168" w:rsidR="00D0329D" w:rsidRPr="0009445C" w:rsidRDefault="000C7F03" w:rsidP="009D4C8D">
            <w:pPr>
              <w:pStyle w:val="BRL-Standard"/>
            </w:pPr>
            <w:r w:rsidRPr="0009445C">
              <w:t>Concrete bars</w:t>
            </w:r>
          </w:p>
        </w:tc>
      </w:tr>
      <w:tr w:rsidR="00D0329D" w:rsidRPr="0009445C" w14:paraId="75245BDA" w14:textId="77777777" w:rsidTr="00D0329D">
        <w:tc>
          <w:tcPr>
            <w:tcW w:w="4530" w:type="dxa"/>
          </w:tcPr>
          <w:p w14:paraId="1A1490B4" w14:textId="4251BBF9" w:rsidR="00D0329D" w:rsidRPr="0009445C" w:rsidRDefault="00D0329D" w:rsidP="009D4C8D">
            <w:pPr>
              <w:pStyle w:val="BRL-Standard"/>
            </w:pPr>
            <w:r w:rsidRPr="0009445C">
              <w:rPr>
                <w:lang w:val="de-AT"/>
              </w:rPr>
              <w:t>Stütze</w:t>
            </w:r>
          </w:p>
        </w:tc>
        <w:tc>
          <w:tcPr>
            <w:tcW w:w="4530" w:type="dxa"/>
          </w:tcPr>
          <w:p w14:paraId="2200009D" w14:textId="0E37C53C" w:rsidR="00D0329D" w:rsidRPr="0009445C" w:rsidRDefault="00D0329D" w:rsidP="009D4C8D">
            <w:pPr>
              <w:pStyle w:val="BRL-Standard"/>
            </w:pPr>
            <w:r w:rsidRPr="0009445C">
              <w:t>Support</w:t>
            </w:r>
          </w:p>
        </w:tc>
      </w:tr>
    </w:tbl>
    <w:p w14:paraId="08D971BA" w14:textId="77777777" w:rsidR="00D0329D" w:rsidRPr="0009445C" w:rsidRDefault="00D0329D" w:rsidP="009D4C8D">
      <w:pPr>
        <w:pStyle w:val="BRL-Standard"/>
        <w:rPr>
          <w:lang w:val="de-AT"/>
        </w:rPr>
      </w:pPr>
    </w:p>
    <w:p w14:paraId="3FE4CED1" w14:textId="77777777" w:rsidR="009D4C8D" w:rsidRPr="0009445C" w:rsidRDefault="009D4C8D" w:rsidP="009D4C8D">
      <w:pPr>
        <w:pStyle w:val="BRL-Standard"/>
        <w:tabs>
          <w:tab w:val="left" w:pos="851"/>
        </w:tabs>
      </w:pPr>
      <w:r w:rsidRPr="0009445C">
        <w:rPr>
          <w:b/>
        </w:rPr>
        <w:t>Figure 2:</w:t>
      </w:r>
      <w:r w:rsidRPr="0009445C">
        <w:tab/>
        <w:t>Designations</w:t>
      </w:r>
    </w:p>
    <w:p w14:paraId="47DF0AAE" w14:textId="77777777" w:rsidR="009D4C8D" w:rsidRPr="0009445C" w:rsidRDefault="009D4C8D" w:rsidP="00600F53">
      <w:pPr>
        <w:pStyle w:val="BRL-berschrift"/>
      </w:pPr>
      <w:r w:rsidRPr="0009445C">
        <w:br w:type="page"/>
      </w:r>
      <w:r w:rsidRPr="0009445C">
        <w:lastRenderedPageBreak/>
        <w:t>B</w:t>
      </w:r>
      <w:r w:rsidRPr="0009445C">
        <w:tab/>
        <w:t>Model with continuous diagonal struts</w:t>
      </w:r>
    </w:p>
    <w:p w14:paraId="52A99E7C" w14:textId="77777777" w:rsidR="009D4C8D" w:rsidRPr="0009445C" w:rsidRDefault="009D4C8D" w:rsidP="009D4C8D">
      <w:pPr>
        <w:pStyle w:val="BRL-Standard"/>
      </w:pPr>
      <w:r w:rsidRPr="0009445C">
        <w:t xml:space="preserve">The design resistance </w:t>
      </w:r>
      <w:r w:rsidRPr="0009445C">
        <w:object w:dxaOrig="540" w:dyaOrig="380" w14:anchorId="3A9551B7">
          <v:shape id="_x0000_i1054" type="#_x0000_t75" style="width:29.25pt;height:20.25pt" o:ole="">
            <v:imagedata r:id="rId158" o:title=""/>
          </v:shape>
          <o:OLEObject Type="Embed" ProgID="Equation.3" ShapeID="_x0000_i1054" DrawAspect="Content" ObjectID="_1735120064" r:id="rId159"/>
        </w:object>
      </w:r>
      <w:r w:rsidRPr="0009445C">
        <w:t xml:space="preserve"> of the model with continuous struts depends on the strength </w:t>
      </w:r>
      <w:r w:rsidRPr="0009445C">
        <w:rPr>
          <w:i/>
        </w:rPr>
        <w:t>n</w:t>
      </w:r>
      <w:r w:rsidRPr="0009445C">
        <w:t xml:space="preserve"> of struts running continuously through the wall from one storey to the next (see Fig. 1 and 3).</w:t>
      </w:r>
    </w:p>
    <w:p w14:paraId="5031DCC1" w14:textId="77777777" w:rsidR="009D4C8D" w:rsidRPr="0009445C" w:rsidRDefault="009D4C8D" w:rsidP="009D4C8D">
      <w:pPr>
        <w:rPr>
          <w:lang w:val="en-US"/>
        </w:rPr>
      </w:pPr>
    </w:p>
    <w:p w14:paraId="23EEAC8F" w14:textId="5A388AB1" w:rsidR="009D4C8D" w:rsidRPr="0009445C" w:rsidRDefault="009D4C8D" w:rsidP="009D4C8D">
      <w:pPr>
        <w:pStyle w:val="BRL-Standard"/>
      </w:pPr>
      <w:r w:rsidRPr="0009445C">
        <w:rPr>
          <w:noProof/>
        </w:rPr>
        <w:drawing>
          <wp:inline distT="0" distB="0" distL="0" distR="0" wp14:anchorId="0D6C9CC5" wp14:editId="1AC6E964">
            <wp:extent cx="3657600" cy="3561715"/>
            <wp:effectExtent l="0" t="0" r="0" b="0"/>
            <wp:docPr id="68"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657600" cy="356171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30"/>
        <w:gridCol w:w="4530"/>
      </w:tblGrid>
      <w:tr w:rsidR="000C7F03" w:rsidRPr="0009445C" w14:paraId="058AE739" w14:textId="77777777" w:rsidTr="000C7F03">
        <w:tc>
          <w:tcPr>
            <w:tcW w:w="4530" w:type="dxa"/>
          </w:tcPr>
          <w:p w14:paraId="5D307356" w14:textId="0A08F450" w:rsidR="000C7F03" w:rsidRPr="0009445C" w:rsidRDefault="000C7F03" w:rsidP="000C7F03">
            <w:pPr>
              <w:pStyle w:val="BRL-Standard"/>
              <w:jc w:val="left"/>
              <w:rPr>
                <w:lang w:val="de-DE"/>
              </w:rPr>
            </w:pPr>
            <w:r w:rsidRPr="0009445C">
              <w:rPr>
                <w:sz w:val="20"/>
                <w:lang w:val="de-DE"/>
              </w:rPr>
              <w:t>Durchbrüche im Kernbeton</w:t>
            </w:r>
            <w:r w:rsidRPr="0009445C">
              <w:rPr>
                <w:lang w:val="de-DE"/>
              </w:rPr>
              <w:br/>
              <w:t xml:space="preserve"> durch Stege der Schalungssteine</w:t>
            </w:r>
          </w:p>
        </w:tc>
        <w:tc>
          <w:tcPr>
            <w:tcW w:w="4530" w:type="dxa"/>
          </w:tcPr>
          <w:p w14:paraId="26C598FD" w14:textId="2585D87C" w:rsidR="000C7F03" w:rsidRPr="0009445C" w:rsidRDefault="000C7F03" w:rsidP="000C7F03">
            <w:pPr>
              <w:pStyle w:val="BRL-Standard"/>
              <w:jc w:val="left"/>
            </w:pPr>
            <w:r w:rsidRPr="0009445C">
              <w:rPr>
                <w:sz w:val="20"/>
              </w:rPr>
              <w:t xml:space="preserve">Recesses in core concrete </w:t>
            </w:r>
            <w:r w:rsidRPr="0009445C">
              <w:br/>
              <w:t>using formwork block studs</w:t>
            </w:r>
          </w:p>
        </w:tc>
      </w:tr>
    </w:tbl>
    <w:p w14:paraId="462D903A" w14:textId="77777777" w:rsidR="000C7F03" w:rsidRPr="0009445C" w:rsidRDefault="000C7F03" w:rsidP="009D4C8D">
      <w:pPr>
        <w:pStyle w:val="BRL-Standard"/>
        <w:rPr>
          <w:lang w:val="en-US"/>
        </w:rPr>
      </w:pPr>
    </w:p>
    <w:p w14:paraId="165EB8A0" w14:textId="77777777" w:rsidR="009D4C8D" w:rsidRPr="0009445C" w:rsidRDefault="009D4C8D" w:rsidP="009D4C8D">
      <w:pPr>
        <w:pStyle w:val="BRL-Standard"/>
        <w:tabs>
          <w:tab w:val="left" w:pos="851"/>
        </w:tabs>
      </w:pPr>
      <w:r w:rsidRPr="0009445C">
        <w:rPr>
          <w:b/>
        </w:rPr>
        <w:t>Figure 3:</w:t>
      </w:r>
      <w:r w:rsidRPr="0009445C">
        <w:tab/>
        <w:t xml:space="preserve">Height </w:t>
      </w:r>
      <w:r w:rsidRPr="0009445C">
        <w:rPr>
          <w:i/>
        </w:rPr>
        <w:t>d</w:t>
      </w:r>
      <w:r w:rsidRPr="0009445C">
        <w:rPr>
          <w:vertAlign w:val="subscript"/>
        </w:rPr>
        <w:t xml:space="preserve">c </w:t>
      </w:r>
      <w:r w:rsidRPr="0009445C">
        <w:t>of a continuous strut</w:t>
      </w:r>
    </w:p>
    <w:p w14:paraId="4ADDA153" w14:textId="77777777" w:rsidR="009D4C8D" w:rsidRPr="0009445C" w:rsidRDefault="009D4C8D" w:rsidP="009D4C8D">
      <w:pPr>
        <w:pStyle w:val="BRL-Standard"/>
        <w:rPr>
          <w:lang w:val="en-US"/>
        </w:rPr>
      </w:pPr>
    </w:p>
    <w:p w14:paraId="3382C6C5" w14:textId="77777777" w:rsidR="009D4C8D" w:rsidRPr="0009445C" w:rsidRDefault="009D4C8D" w:rsidP="009D4C8D">
      <w:pPr>
        <w:pStyle w:val="BRL-Standard"/>
      </w:pPr>
      <w:r w:rsidRPr="0009445C">
        <w:t xml:space="preserve">The design resistance of a strut is determined using equation (5). The angle of inclination </w:t>
      </w:r>
      <w:r w:rsidRPr="0009445C">
        <w:rPr>
          <w:i/>
        </w:rPr>
        <w:sym w:font="Symbol" w:char="F071"/>
      </w:r>
      <w:r w:rsidRPr="0009445C">
        <w:t xml:space="preserve"> for the struts is derived from Fig. 3.</w:t>
      </w:r>
    </w:p>
    <w:p w14:paraId="3B103055" w14:textId="77777777" w:rsidR="009D4C8D" w:rsidRPr="0009445C" w:rsidRDefault="009D4C8D" w:rsidP="009D4C8D">
      <w:pPr>
        <w:pStyle w:val="BRL-Standard"/>
        <w:rPr>
          <w:lang w:val="en-US"/>
        </w:rPr>
      </w:pPr>
    </w:p>
    <w:p w14:paraId="771B12A1" w14:textId="77777777" w:rsidR="009D4C8D" w:rsidRPr="0009445C" w:rsidRDefault="009D4C8D" w:rsidP="009D4C8D">
      <w:pPr>
        <w:pStyle w:val="BRL-Standard"/>
      </w:pPr>
      <w:r w:rsidRPr="0009445C">
        <w:t xml:space="preserve">The rated resistance </w:t>
      </w:r>
      <w:r w:rsidRPr="0009445C">
        <w:rPr>
          <w:i/>
        </w:rPr>
        <w:t>H</w:t>
      </w:r>
      <w:r w:rsidRPr="0009445C">
        <w:rPr>
          <w:vertAlign w:val="subscript"/>
        </w:rPr>
        <w:t>Rd,2</w:t>
      </w:r>
      <w:r w:rsidRPr="0009445C">
        <w:t xml:space="preserve"> is a result of equation (5):</w:t>
      </w:r>
    </w:p>
    <w:p w14:paraId="64A69DF3" w14:textId="77777777" w:rsidR="009D4C8D" w:rsidRPr="0009445C" w:rsidRDefault="009D4C8D" w:rsidP="009D4C8D">
      <w:pPr>
        <w:pStyle w:val="Nachweis"/>
        <w:framePr w:wrap="around"/>
      </w:pPr>
      <w:r w:rsidRPr="0009445C">
        <w:t>(5)</w:t>
      </w:r>
    </w:p>
    <w:p w14:paraId="67067008" w14:textId="77777777" w:rsidR="009D4C8D" w:rsidRPr="0009445C" w:rsidRDefault="009D4C8D" w:rsidP="009D4C8D">
      <w:pPr>
        <w:pStyle w:val="BRL-Standard"/>
      </w:pPr>
      <w:r w:rsidRPr="0009445C">
        <w:object w:dxaOrig="4180" w:dyaOrig="380" w14:anchorId="5BF4612A">
          <v:shape id="_x0000_i1055" type="#_x0000_t75" style="width:210pt;height:20.25pt" o:ole="">
            <v:imagedata r:id="rId161" o:title=""/>
          </v:shape>
          <o:OLEObject Type="Embed" ProgID="Equation.3" ShapeID="_x0000_i1055" DrawAspect="Content" ObjectID="_1735120065" r:id="rId162"/>
        </w:object>
      </w:r>
      <w:r w:rsidRPr="0009445C">
        <w:br/>
        <w:t>with</w:t>
      </w:r>
    </w:p>
    <w:p w14:paraId="7D04CD4D"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540" w:dyaOrig="380" w14:anchorId="49407F2B">
          <v:shape id="_x0000_i1056" type="#_x0000_t75" style="width:29.25pt;height:20.25pt" o:ole="">
            <v:imagedata r:id="rId163" o:title=""/>
          </v:shape>
          <o:OLEObject Type="Embed" ProgID="Equation.3" ShapeID="_x0000_i1056" DrawAspect="Content" ObjectID="_1735120066" r:id="rId164"/>
        </w:object>
      </w:r>
      <w:r w:rsidRPr="0009445C">
        <w:rPr>
          <w:color w:val="000000"/>
        </w:rPr>
        <w:tab/>
        <w:t>=</w:t>
      </w:r>
      <w:r w:rsidRPr="0009445C">
        <w:rPr>
          <w:color w:val="000000"/>
        </w:rPr>
        <w:tab/>
        <w:t>Design resistance in the model with continuous struts</w:t>
      </w:r>
    </w:p>
    <w:p w14:paraId="3C45007A"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340" w:dyaOrig="279" w14:anchorId="4A5B7893">
          <v:shape id="_x0000_i1057" type="#_x0000_t75" style="width:13.5pt;height:14.25pt" o:ole="">
            <v:imagedata r:id="rId165" o:title=""/>
          </v:shape>
          <o:OLEObject Type="Embed" ProgID="Equation.3" ShapeID="_x0000_i1057" DrawAspect="Content" ObjectID="_1735120067" r:id="rId166"/>
        </w:object>
      </w:r>
      <w:r w:rsidRPr="0009445C">
        <w:rPr>
          <w:color w:val="000000"/>
        </w:rPr>
        <w:tab/>
        <w:t>=</w:t>
      </w:r>
      <w:r w:rsidRPr="0009445C">
        <w:rPr>
          <w:color w:val="000000"/>
        </w:rPr>
        <w:tab/>
        <w:t>Number of continuous struts in a wall</w:t>
      </w:r>
    </w:p>
    <w:p w14:paraId="3E302BC0"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340" w:dyaOrig="360" w14:anchorId="322D8515">
          <v:shape id="_x0000_i1058" type="#_x0000_t75" style="width:13.5pt;height:14.25pt" o:ole="">
            <v:imagedata r:id="rId167" o:title=""/>
          </v:shape>
          <o:OLEObject Type="Embed" ProgID="Equation.3" ShapeID="_x0000_i1058" DrawAspect="Content" ObjectID="_1735120068" r:id="rId168"/>
        </w:object>
      </w:r>
      <w:r w:rsidRPr="0009445C">
        <w:rPr>
          <w:color w:val="000000"/>
        </w:rPr>
        <w:tab/>
        <w:t>=</w:t>
      </w:r>
      <w:r w:rsidRPr="0009445C">
        <w:rPr>
          <w:color w:val="000000"/>
        </w:rPr>
        <w:tab/>
        <w:t>Design value of the compressive strength of the concrete</w:t>
      </w:r>
    </w:p>
    <w:p w14:paraId="590B4003"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200" w:dyaOrig="220" w14:anchorId="17573CC4">
          <v:shape id="_x0000_i1059" type="#_x0000_t75" style="width:14.25pt;height:14.25pt" o:ole="">
            <v:imagedata r:id="rId169" o:title=""/>
          </v:shape>
          <o:OLEObject Type="Embed" ProgID="Equation.3" ShapeID="_x0000_i1059" DrawAspect="Content" ObjectID="_1735120069" r:id="rId170"/>
        </w:object>
      </w:r>
      <w:r w:rsidRPr="0009445C">
        <w:rPr>
          <w:color w:val="000000"/>
        </w:rPr>
        <w:t xml:space="preserve">= 0.6 ∙ (1 - </w:t>
      </w:r>
      <w:proofErr w:type="spellStart"/>
      <w:r w:rsidRPr="0009445C">
        <w:rPr>
          <w:color w:val="000000"/>
        </w:rPr>
        <w:t>f</w:t>
      </w:r>
      <w:r w:rsidRPr="0009445C">
        <w:rPr>
          <w:color w:val="000000"/>
          <w:vertAlign w:val="subscript"/>
        </w:rPr>
        <w:t>ck</w:t>
      </w:r>
      <w:proofErr w:type="spellEnd"/>
      <w:r w:rsidRPr="0009445C">
        <w:rPr>
          <w:color w:val="000000"/>
        </w:rPr>
        <w:t>/250) [</w:t>
      </w:r>
      <w:proofErr w:type="spellStart"/>
      <w:r w:rsidRPr="0009445C">
        <w:rPr>
          <w:color w:val="000000"/>
        </w:rPr>
        <w:t>f</w:t>
      </w:r>
      <w:r w:rsidRPr="0009445C">
        <w:rPr>
          <w:color w:val="000000"/>
          <w:vertAlign w:val="subscript"/>
        </w:rPr>
        <w:t>ck</w:t>
      </w:r>
      <w:proofErr w:type="spellEnd"/>
      <w:r w:rsidRPr="0009445C">
        <w:rPr>
          <w:color w:val="000000"/>
        </w:rPr>
        <w:t xml:space="preserve"> in MN/m²]</w:t>
      </w:r>
      <w:r w:rsidRPr="0009445C">
        <w:rPr>
          <w:i/>
          <w:color w:val="000000"/>
        </w:rPr>
        <w:t>;(equivalent to 6.6N in [8] and [9])</w:t>
      </w:r>
    </w:p>
    <w:p w14:paraId="1FA39613"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240" w:dyaOrig="360" w14:anchorId="08C2DF48">
          <v:shape id="_x0000_i1060" type="#_x0000_t75" style="width:14.25pt;height:14.25pt" o:ole="">
            <v:imagedata r:id="rId171" o:title=""/>
          </v:shape>
          <o:OLEObject Type="Embed" ProgID="Equation.3" ShapeID="_x0000_i1060" DrawAspect="Content" ObjectID="_1735120070" r:id="rId172"/>
        </w:object>
      </w:r>
      <w:r w:rsidRPr="0009445C">
        <w:rPr>
          <w:color w:val="000000"/>
        </w:rPr>
        <w:tab/>
        <w:t>=</w:t>
      </w:r>
      <w:r w:rsidRPr="0009445C">
        <w:rPr>
          <w:color w:val="000000"/>
        </w:rPr>
        <w:tab/>
        <w:t>Thickness of the struts</w:t>
      </w:r>
    </w:p>
    <w:p w14:paraId="61C1085A"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279" w:dyaOrig="360" w14:anchorId="36FC89D9">
          <v:shape id="_x0000_i1061" type="#_x0000_t75" style="width:14.25pt;height:14.25pt" o:ole="">
            <v:imagedata r:id="rId173" o:title=""/>
          </v:shape>
          <o:OLEObject Type="Embed" ProgID="Equation.3" ShapeID="_x0000_i1061" DrawAspect="Content" ObjectID="_1735120071" r:id="rId174"/>
        </w:object>
      </w:r>
      <w:r w:rsidRPr="0009445C">
        <w:rPr>
          <w:color w:val="000000"/>
        </w:rPr>
        <w:tab/>
        <w:t>=</w:t>
      </w:r>
      <w:r w:rsidRPr="0009445C">
        <w:rPr>
          <w:color w:val="000000"/>
        </w:rPr>
        <w:tab/>
        <w:t>Height of the struts (minimum 70 mm)</w:t>
      </w:r>
    </w:p>
    <w:p w14:paraId="456A6067"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200" w:dyaOrig="279" w14:anchorId="1141289F">
          <v:shape id="_x0000_i1062" type="#_x0000_t75" style="width:14.25pt;height:14.25pt" o:ole="">
            <v:imagedata r:id="rId175" o:title=""/>
          </v:shape>
          <o:OLEObject Type="Embed" ProgID="Equation.3" ShapeID="_x0000_i1062" DrawAspect="Content" ObjectID="_1735120072" r:id="rId176"/>
        </w:object>
      </w:r>
      <w:r w:rsidRPr="0009445C">
        <w:rPr>
          <w:color w:val="000000"/>
        </w:rPr>
        <w:tab/>
        <w:t>=</w:t>
      </w:r>
      <w:r w:rsidRPr="0009445C">
        <w:rPr>
          <w:color w:val="000000"/>
        </w:rPr>
        <w:tab/>
        <w:t>Inclination angle of the struts 30°</w:t>
      </w:r>
      <w:r w:rsidRPr="0009445C">
        <w:rPr>
          <w:color w:val="000000"/>
        </w:rPr>
        <w:sym w:font="Symbol" w:char="F0A3"/>
      </w:r>
      <w:r w:rsidRPr="0009445C">
        <w:rPr>
          <w:color w:val="000000"/>
        </w:rPr>
        <w:t xml:space="preserve"> </w:t>
      </w:r>
      <w:r w:rsidRPr="0009445C">
        <w:rPr>
          <w:i/>
          <w:color w:val="000000"/>
        </w:rPr>
        <w:sym w:font="Symbol" w:char="F071"/>
      </w:r>
      <w:r w:rsidRPr="0009445C">
        <w:rPr>
          <w:color w:val="000000"/>
        </w:rPr>
        <w:t xml:space="preserve"> </w:t>
      </w:r>
      <w:r w:rsidRPr="0009445C">
        <w:rPr>
          <w:color w:val="000000"/>
        </w:rPr>
        <w:sym w:font="Symbol" w:char="F0A3"/>
      </w:r>
      <w:r w:rsidRPr="0009445C">
        <w:rPr>
          <w:color w:val="000000"/>
        </w:rPr>
        <w:t xml:space="preserve"> 60°</w:t>
      </w:r>
    </w:p>
    <w:p w14:paraId="1D0124FD" w14:textId="77777777" w:rsidR="009D4C8D" w:rsidRPr="0009445C" w:rsidRDefault="009D4C8D" w:rsidP="009D4C8D">
      <w:pPr>
        <w:tabs>
          <w:tab w:val="left" w:pos="567"/>
          <w:tab w:val="left" w:pos="1701"/>
          <w:tab w:val="left" w:pos="1985"/>
        </w:tabs>
        <w:ind w:left="1985" w:hanging="1985"/>
        <w:rPr>
          <w:rFonts w:cs="Arial"/>
          <w:color w:val="000000"/>
        </w:rPr>
      </w:pPr>
      <w:r w:rsidRPr="0009445C">
        <w:rPr>
          <w:color w:val="000000"/>
        </w:rPr>
        <w:tab/>
      </w:r>
      <w:r w:rsidRPr="0009445C">
        <w:object w:dxaOrig="420" w:dyaOrig="360" w14:anchorId="0BC006A0">
          <v:shape id="_x0000_i1063" type="#_x0000_t75" style="width:19.5pt;height:14.25pt" o:ole="">
            <v:imagedata r:id="rId177" o:title=""/>
          </v:shape>
          <o:OLEObject Type="Embed" ProgID="Equation.3" ShapeID="_x0000_i1063" DrawAspect="Content" ObjectID="_1735120073" r:id="rId178"/>
        </w:object>
      </w:r>
      <w:r w:rsidRPr="0009445C">
        <w:rPr>
          <w:i/>
          <w:color w:val="000000"/>
          <w:vertAlign w:val="subscript"/>
        </w:rPr>
        <w:tab/>
      </w:r>
      <w:r w:rsidRPr="0009445C">
        <w:rPr>
          <w:i/>
          <w:color w:val="000000"/>
        </w:rPr>
        <w:t>=</w:t>
      </w:r>
      <w:r w:rsidRPr="0009445C">
        <w:rPr>
          <w:color w:val="000000"/>
          <w:vertAlign w:val="subscript"/>
        </w:rPr>
        <w:tab/>
      </w:r>
      <w:r w:rsidRPr="0009445C">
        <w:rPr>
          <w:color w:val="000000"/>
        </w:rPr>
        <w:t>Rated value of the acting normal force.</w:t>
      </w:r>
    </w:p>
    <w:p w14:paraId="4FF4C205" w14:textId="77777777" w:rsidR="009D4C8D" w:rsidRPr="0009445C" w:rsidRDefault="009D4C8D" w:rsidP="00600F53">
      <w:pPr>
        <w:pStyle w:val="BRL-berschrift"/>
      </w:pPr>
      <w:r w:rsidRPr="0009445C">
        <w:br w:type="page"/>
      </w:r>
      <w:r w:rsidRPr="0009445C">
        <w:lastRenderedPageBreak/>
        <w:t>C</w:t>
      </w:r>
      <w:r w:rsidRPr="0009445C">
        <w:tab/>
        <w:t>Beam model</w:t>
      </w:r>
    </w:p>
    <w:p w14:paraId="7BC417EC" w14:textId="77777777" w:rsidR="009D4C8D" w:rsidRPr="0009445C" w:rsidRDefault="009D4C8D" w:rsidP="009D4C8D">
      <w:pPr>
        <w:pStyle w:val="BRL-Standard"/>
        <w:jc w:val="left"/>
      </w:pPr>
      <w:r w:rsidRPr="0009445C">
        <w:t xml:space="preserve">Design resistance </w:t>
      </w:r>
      <w:r w:rsidRPr="0009445C">
        <w:object w:dxaOrig="540" w:dyaOrig="380" w14:anchorId="60CAD7B4">
          <v:shape id="_x0000_i1064" type="#_x0000_t75" style="width:29.25pt;height:20.25pt" o:ole="">
            <v:imagedata r:id="rId179" o:title=""/>
          </v:shape>
          <o:OLEObject Type="Embed" ProgID="Equation.3" ShapeID="_x0000_i1064" DrawAspect="Content" ObjectID="_1735120074" r:id="rId180"/>
        </w:object>
      </w:r>
      <w:r w:rsidRPr="0009445C">
        <w:t xml:space="preserve"> under the beam model can be determined using same design rules as for reinforced concrete beams. The concrete diagonal strut does not run over the entire storey but within the concrete support. The diagonal concrete strut is hung back with the help of the reinforcement. This ‘re-suspended reinforcement’ is formed using horizontal reinforcing steel bars running within the concrete bar of the support/bar system. Sufficient final anchoring of the horizontal rods – e.g. by looping the reinforcement – must be ensured in accordance with DIN EN 1992-1-1:2011-01 and DIN EN 1992</w:t>
      </w:r>
      <w:r w:rsidRPr="0009445C">
        <w:noBreakHyphen/>
        <w:t>1</w:t>
      </w:r>
      <w:r w:rsidRPr="0009445C">
        <w:noBreakHyphen/>
        <w:t>1/A1:2015</w:t>
      </w:r>
      <w:r w:rsidRPr="0009445C">
        <w:noBreakHyphen/>
        <w:t>03 [7] in conjunction with DIN EN 1992-1-1/NA:2013-04 and DIN EN 1992</w:t>
      </w:r>
      <w:r w:rsidRPr="0009445C">
        <w:noBreakHyphen/>
        <w:t>1</w:t>
      </w:r>
      <w:r w:rsidRPr="0009445C">
        <w:noBreakHyphen/>
        <w:t>1/NA/A1:2015-12 [8], Section 8.</w:t>
      </w:r>
    </w:p>
    <w:p w14:paraId="2CD6BE55" w14:textId="77777777" w:rsidR="009D4C8D" w:rsidRPr="0009445C" w:rsidRDefault="009D4C8D" w:rsidP="009D4C8D">
      <w:pPr>
        <w:pStyle w:val="BRL-Standard"/>
        <w:rPr>
          <w:lang w:val="en-US"/>
        </w:rPr>
      </w:pPr>
    </w:p>
    <w:p w14:paraId="4550979F" w14:textId="77777777" w:rsidR="009D4C8D" w:rsidRPr="0009445C" w:rsidRDefault="009D4C8D" w:rsidP="009D4C8D">
      <w:pPr>
        <w:pStyle w:val="BRL-Standard"/>
      </w:pPr>
      <w:r w:rsidRPr="0009445C">
        <w:t xml:space="preserve">The design resistance </w:t>
      </w:r>
      <w:r w:rsidRPr="0009445C">
        <w:object w:dxaOrig="620" w:dyaOrig="380" w14:anchorId="60C1FB57">
          <v:shape id="_x0000_i1065" type="#_x0000_t75" style="width:29.25pt;height:20.25pt" o:ole="">
            <v:imagedata r:id="rId181" o:title=""/>
          </v:shape>
          <o:OLEObject Type="Embed" ProgID="Equation.3" ShapeID="_x0000_i1065" DrawAspect="Content" ObjectID="_1735120075" r:id="rId182"/>
        </w:object>
      </w:r>
      <w:r w:rsidRPr="0009445C">
        <w:t xml:space="preserve"> of re-suspended reinforcement is derived from equation (6):</w:t>
      </w:r>
    </w:p>
    <w:p w14:paraId="3FD5994F" w14:textId="77777777" w:rsidR="009D4C8D" w:rsidRPr="0009445C" w:rsidRDefault="009D4C8D" w:rsidP="009D4C8D">
      <w:pPr>
        <w:pStyle w:val="Nachweis"/>
        <w:framePr w:wrap="around"/>
      </w:pPr>
      <w:r w:rsidRPr="0009445C">
        <w:t>(6)</w:t>
      </w:r>
    </w:p>
    <w:p w14:paraId="006750C8" w14:textId="77777777" w:rsidR="009D4C8D" w:rsidRPr="0009445C" w:rsidRDefault="009D4C8D" w:rsidP="009D4C8D">
      <w:pPr>
        <w:rPr>
          <w:rFonts w:cs="Arial"/>
          <w:color w:val="000000"/>
        </w:rPr>
      </w:pPr>
      <w:r w:rsidRPr="0009445C">
        <w:rPr>
          <w:color w:val="000000"/>
        </w:rPr>
        <w:object w:dxaOrig="3500" w:dyaOrig="620" w14:anchorId="0CD4287A">
          <v:shape id="_x0000_i1066" type="#_x0000_t75" style="width:171.75pt;height:29.25pt" o:ole="">
            <v:imagedata r:id="rId183" o:title=""/>
          </v:shape>
          <o:OLEObject Type="Embed" ProgID="Equation.3" ShapeID="_x0000_i1066" DrawAspect="Content" ObjectID="_1735120076" r:id="rId184"/>
        </w:object>
      </w:r>
      <w:r w:rsidRPr="0009445C">
        <w:rPr>
          <w:color w:val="000000"/>
        </w:rPr>
        <w:tab/>
      </w:r>
    </w:p>
    <w:p w14:paraId="1692BD69" w14:textId="77777777" w:rsidR="009D4C8D" w:rsidRPr="0009445C" w:rsidRDefault="009D4C8D" w:rsidP="009D4C8D">
      <w:r w:rsidRPr="0009445C">
        <w:t>where</w:t>
      </w:r>
    </w:p>
    <w:p w14:paraId="167913D4" w14:textId="77777777" w:rsidR="009D4C8D" w:rsidRPr="0009445C" w:rsidRDefault="009D4C8D" w:rsidP="009D4C8D">
      <w:pPr>
        <w:tabs>
          <w:tab w:val="left" w:pos="709"/>
          <w:tab w:val="left" w:pos="1560"/>
          <w:tab w:val="left" w:pos="1985"/>
        </w:tabs>
      </w:pPr>
      <w:r w:rsidRPr="0009445C">
        <w:rPr>
          <w:i/>
        </w:rPr>
        <w:tab/>
      </w:r>
      <w:r w:rsidRPr="0009445C">
        <w:object w:dxaOrig="620" w:dyaOrig="380" w14:anchorId="42218B10">
          <v:shape id="_x0000_i1067" type="#_x0000_t75" style="width:29.25pt;height:20.25pt" o:ole="">
            <v:imagedata r:id="rId185" o:title=""/>
          </v:shape>
          <o:OLEObject Type="Embed" ProgID="Equation.3" ShapeID="_x0000_i1067" DrawAspect="Content" ObjectID="_1735120077" r:id="rId186"/>
        </w:object>
      </w:r>
      <w:r w:rsidRPr="0009445C">
        <w:tab/>
        <w:t>=</w:t>
      </w:r>
      <w:r w:rsidRPr="0009445C">
        <w:tab/>
        <w:t>=</w:t>
      </w:r>
      <w:r w:rsidRPr="0009445C">
        <w:tab/>
        <w:t xml:space="preserve">Design resistance of re-suspended reinforcement as per beam model </w:t>
      </w:r>
    </w:p>
    <w:p w14:paraId="3DFA7414" w14:textId="77777777" w:rsidR="009D4C8D" w:rsidRPr="0009445C" w:rsidRDefault="009D4C8D" w:rsidP="009D4C8D">
      <w:pPr>
        <w:tabs>
          <w:tab w:val="left" w:pos="709"/>
          <w:tab w:val="left" w:pos="1560"/>
          <w:tab w:val="left" w:pos="1985"/>
        </w:tabs>
      </w:pPr>
      <w:r w:rsidRPr="0009445C">
        <w:rPr>
          <w:i/>
        </w:rPr>
        <w:tab/>
      </w:r>
      <w:r w:rsidRPr="0009445C">
        <w:object w:dxaOrig="440" w:dyaOrig="380" w14:anchorId="1BE0CE3D">
          <v:shape id="_x0000_i1068" type="#_x0000_t75" style="width:20.25pt;height:20.25pt" o:ole="">
            <v:imagedata r:id="rId187" o:title=""/>
          </v:shape>
          <o:OLEObject Type="Embed" ProgID="Equation.3" ShapeID="_x0000_i1068" DrawAspect="Content" ObjectID="_1735120078" r:id="rId188"/>
        </w:object>
      </w:r>
      <w:r w:rsidRPr="0009445C">
        <w:rPr>
          <w:vertAlign w:val="subscript"/>
        </w:rPr>
        <w:tab/>
      </w:r>
      <w:r w:rsidRPr="0009445C">
        <w:t>=</w:t>
      </w:r>
      <w:r w:rsidRPr="0009445C">
        <w:tab/>
        <w:t>Cross-section of horizontal re-suspended reinforcement</w:t>
      </w:r>
    </w:p>
    <w:p w14:paraId="4C43FAEA" w14:textId="77777777" w:rsidR="009D4C8D" w:rsidRPr="0009445C" w:rsidRDefault="009D4C8D" w:rsidP="009D4C8D">
      <w:pPr>
        <w:tabs>
          <w:tab w:val="left" w:pos="709"/>
          <w:tab w:val="left" w:pos="1560"/>
          <w:tab w:val="left" w:pos="1985"/>
        </w:tabs>
      </w:pPr>
      <w:r w:rsidRPr="0009445C">
        <w:rPr>
          <w:i/>
        </w:rPr>
        <w:tab/>
      </w:r>
      <w:r w:rsidRPr="0009445C">
        <w:object w:dxaOrig="440" w:dyaOrig="380" w14:anchorId="1A54C371">
          <v:shape id="_x0000_i1069" type="#_x0000_t75" style="width:20.25pt;height:20.25pt" o:ole="">
            <v:imagedata r:id="rId189" o:title=""/>
          </v:shape>
          <o:OLEObject Type="Embed" ProgID="Equation.3" ShapeID="_x0000_i1069" DrawAspect="Content" ObjectID="_1735120079" r:id="rId190"/>
        </w:object>
      </w:r>
      <w:r w:rsidRPr="0009445C">
        <w:rPr>
          <w:vertAlign w:val="subscript"/>
        </w:rPr>
        <w:tab/>
      </w:r>
      <w:r w:rsidRPr="0009445C">
        <w:t>=</w:t>
      </w:r>
      <w:r w:rsidRPr="0009445C">
        <w:tab/>
        <w:t>Cross-section of vertical concrete bar reinforcement</w:t>
      </w:r>
    </w:p>
    <w:p w14:paraId="66FDB248" w14:textId="77777777" w:rsidR="009D4C8D" w:rsidRPr="0009445C" w:rsidRDefault="009D4C8D" w:rsidP="009D4C8D">
      <w:pPr>
        <w:tabs>
          <w:tab w:val="left" w:pos="709"/>
          <w:tab w:val="left" w:pos="1560"/>
          <w:tab w:val="left" w:pos="1985"/>
        </w:tabs>
      </w:pPr>
      <w:r w:rsidRPr="0009445C">
        <w:tab/>
      </w:r>
      <w:r w:rsidRPr="0009445C">
        <w:object w:dxaOrig="200" w:dyaOrig="279" w14:anchorId="40DA9241">
          <v:shape id="_x0000_i1070" type="#_x0000_t75" style="width:14.25pt;height:14.25pt" o:ole="">
            <v:imagedata r:id="rId191" o:title=""/>
          </v:shape>
          <o:OLEObject Type="Embed" ProgID="Equation.3" ShapeID="_x0000_i1070" DrawAspect="Content" ObjectID="_1735120080" r:id="rId192"/>
        </w:object>
      </w:r>
      <w:r w:rsidRPr="0009445C">
        <w:tab/>
        <w:t>=</w:t>
      </w:r>
      <w:r w:rsidRPr="0009445C">
        <w:tab/>
        <w:t>Width of the considered concrete support</w:t>
      </w:r>
    </w:p>
    <w:p w14:paraId="2DAD54BE" w14:textId="77777777" w:rsidR="009D4C8D" w:rsidRPr="0009445C" w:rsidRDefault="009D4C8D" w:rsidP="009D4C8D">
      <w:pPr>
        <w:tabs>
          <w:tab w:val="left" w:pos="709"/>
          <w:tab w:val="left" w:pos="1560"/>
          <w:tab w:val="left" w:pos="1985"/>
        </w:tabs>
      </w:pPr>
      <w:r w:rsidRPr="0009445C">
        <w:rPr>
          <w:i/>
        </w:rPr>
        <w:tab/>
      </w:r>
      <w:r w:rsidRPr="0009445C">
        <w:object w:dxaOrig="340" w:dyaOrig="380" w14:anchorId="1C29970A">
          <v:shape id="_x0000_i1071" type="#_x0000_t75" style="width:13.5pt;height:20.25pt" o:ole="">
            <v:imagedata r:id="rId193" o:title=""/>
          </v:shape>
          <o:OLEObject Type="Embed" ProgID="Equation.3" ShapeID="_x0000_i1071" DrawAspect="Content" ObjectID="_1735120081" r:id="rId194"/>
        </w:object>
      </w:r>
      <w:r w:rsidRPr="0009445C">
        <w:tab/>
        <w:t>=</w:t>
      </w:r>
      <w:r w:rsidRPr="0009445C">
        <w:tab/>
        <w:t>Rated value of steel strength of re-suspended reinforcement.</w:t>
      </w:r>
    </w:p>
    <w:p w14:paraId="6D98B5AB" w14:textId="77777777" w:rsidR="009D4C8D" w:rsidRPr="0009445C" w:rsidRDefault="009D4C8D" w:rsidP="009D4C8D">
      <w:pPr>
        <w:rPr>
          <w:lang w:val="en-US"/>
        </w:rPr>
      </w:pPr>
    </w:p>
    <w:p w14:paraId="167E4740" w14:textId="77777777" w:rsidR="009D4C8D" w:rsidRPr="0009445C" w:rsidRDefault="009D4C8D" w:rsidP="009D4C8D">
      <w:pPr>
        <w:pStyle w:val="BRL-Standard"/>
      </w:pPr>
      <w:r w:rsidRPr="0009445C">
        <w:t xml:space="preserve">The design resistance </w:t>
      </w:r>
      <w:r w:rsidRPr="0009445C">
        <w:rPr>
          <w:i/>
        </w:rPr>
        <w:t>H</w:t>
      </w:r>
      <w:r w:rsidRPr="0009445C">
        <w:rPr>
          <w:vertAlign w:val="subscript"/>
        </w:rPr>
        <w:t>Rd,3b</w:t>
      </w:r>
      <w:r w:rsidRPr="0009445C">
        <w:t xml:space="preserve"> of the diagonal strut</w:t>
      </w:r>
      <w:r w:rsidRPr="0009445C">
        <w:rPr>
          <w:b/>
        </w:rPr>
        <w:t xml:space="preserve"> </w:t>
      </w:r>
      <w:r w:rsidRPr="0009445C">
        <w:t>is based on analogy to (5) from equation (7):</w:t>
      </w:r>
    </w:p>
    <w:p w14:paraId="05802BE9" w14:textId="77777777" w:rsidR="009D4C8D" w:rsidRPr="0009445C" w:rsidRDefault="009D4C8D" w:rsidP="009D4C8D">
      <w:pPr>
        <w:pStyle w:val="Nachweis"/>
        <w:framePr w:wrap="around"/>
      </w:pPr>
      <w:r w:rsidRPr="0009445C">
        <w:t>(7)</w:t>
      </w:r>
    </w:p>
    <w:p w14:paraId="21212BF7" w14:textId="77777777" w:rsidR="009D4C8D" w:rsidRPr="0009445C" w:rsidRDefault="009D4C8D" w:rsidP="009D4C8D">
      <w:pPr>
        <w:rPr>
          <w:rFonts w:cs="Arial"/>
          <w:color w:val="000000"/>
          <w:lang w:val="de-AT"/>
        </w:rPr>
      </w:pPr>
    </w:p>
    <w:p w14:paraId="10A05D8D" w14:textId="77777777" w:rsidR="009D4C8D" w:rsidRPr="0009445C" w:rsidRDefault="009D4C8D" w:rsidP="009D4C8D">
      <w:pPr>
        <w:rPr>
          <w:rFonts w:cs="Arial"/>
          <w:color w:val="000000"/>
        </w:rPr>
      </w:pPr>
      <w:r w:rsidRPr="0009445C">
        <w:rPr>
          <w:color w:val="000000"/>
        </w:rPr>
        <w:tab/>
      </w:r>
      <w:r w:rsidRPr="0009445C">
        <w:object w:dxaOrig="3060" w:dyaOrig="380" w14:anchorId="029422CB">
          <v:shape id="_x0000_i1072" type="#_x0000_t75" style="width:156.75pt;height:20.25pt" o:ole="">
            <v:imagedata r:id="rId195" o:title=""/>
          </v:shape>
          <o:OLEObject Type="Embed" ProgID="Equation.3" ShapeID="_x0000_i1072" DrawAspect="Content" ObjectID="_1735120082" r:id="rId196"/>
        </w:object>
      </w:r>
    </w:p>
    <w:p w14:paraId="7331B440" w14:textId="77777777" w:rsidR="009D4C8D" w:rsidRPr="0009445C" w:rsidRDefault="009D4C8D" w:rsidP="009D4C8D">
      <w:pPr>
        <w:rPr>
          <w:rFonts w:cs="Arial"/>
          <w:color w:val="000000"/>
        </w:rPr>
      </w:pPr>
      <w:r w:rsidRPr="0009445C">
        <w:rPr>
          <w:i/>
          <w:color w:val="000000"/>
        </w:rPr>
        <w:tab/>
      </w:r>
      <w:r w:rsidRPr="0009445C">
        <w:rPr>
          <w:color w:val="000000"/>
        </w:rPr>
        <w:t>where</w:t>
      </w:r>
      <w:r w:rsidRPr="0009445C">
        <w:rPr>
          <w:color w:val="000000"/>
        </w:rPr>
        <w:tab/>
      </w:r>
    </w:p>
    <w:p w14:paraId="54DCE6C5" w14:textId="77777777" w:rsidR="009D4C8D" w:rsidRPr="0009445C" w:rsidRDefault="009D4C8D" w:rsidP="009D4C8D">
      <w:pPr>
        <w:rPr>
          <w:rFonts w:cs="Arial"/>
          <w:i/>
          <w:color w:val="000000"/>
        </w:rPr>
      </w:pPr>
      <w:r w:rsidRPr="0009445C">
        <w:rPr>
          <w:color w:val="000000"/>
        </w:rPr>
        <w:tab/>
      </w:r>
      <w:r w:rsidRPr="0009445C">
        <w:object w:dxaOrig="340" w:dyaOrig="279" w14:anchorId="08077627">
          <v:shape id="_x0000_i1073" type="#_x0000_t75" style="width:13.5pt;height:14.25pt" o:ole="">
            <v:imagedata r:id="rId197" o:title=""/>
          </v:shape>
          <o:OLEObject Type="Embed" ProgID="Equation.3" ShapeID="_x0000_i1073" DrawAspect="Content" ObjectID="_1735120083" r:id="rId198"/>
        </w:object>
      </w:r>
      <w:r w:rsidRPr="0009445C">
        <w:rPr>
          <w:color w:val="000000"/>
        </w:rPr>
        <w:tab/>
      </w:r>
      <w:r w:rsidRPr="0009445C">
        <w:rPr>
          <w:color w:val="000000"/>
        </w:rPr>
        <w:tab/>
        <w:t>=</w:t>
      </w:r>
      <w:r w:rsidRPr="0009445C">
        <w:rPr>
          <w:color w:val="000000"/>
        </w:rPr>
        <w:tab/>
        <w:t>1;</w:t>
      </w:r>
      <w:r w:rsidRPr="0009445C">
        <w:rPr>
          <w:color w:val="000000"/>
        </w:rPr>
        <w:br/>
      </w:r>
      <w:r w:rsidRPr="0009445C">
        <w:rPr>
          <w:color w:val="000000"/>
        </w:rPr>
        <w:tab/>
      </w:r>
      <w:r w:rsidRPr="0009445C">
        <w:object w:dxaOrig="200" w:dyaOrig="279" w14:anchorId="214C76B0">
          <v:shape id="_x0000_i1074" type="#_x0000_t75" style="width:14.25pt;height:14.25pt" o:ole="">
            <v:imagedata r:id="rId199" o:title=""/>
          </v:shape>
          <o:OLEObject Type="Embed" ProgID="Equation.3" ShapeID="_x0000_i1074" DrawAspect="Content" ObjectID="_1735120084" r:id="rId200"/>
        </w:object>
      </w:r>
      <w:r w:rsidRPr="0009445C">
        <w:rPr>
          <w:i/>
          <w:color w:val="000000"/>
        </w:rPr>
        <w:tab/>
      </w:r>
      <w:r w:rsidRPr="0009445C">
        <w:rPr>
          <w:i/>
          <w:color w:val="000000"/>
        </w:rPr>
        <w:tab/>
        <w:t>=</w:t>
      </w:r>
      <w:r w:rsidRPr="0009445C">
        <w:rPr>
          <w:i/>
          <w:color w:val="000000"/>
        </w:rPr>
        <w:tab/>
      </w:r>
      <w:r w:rsidRPr="0009445C">
        <w:rPr>
          <w:color w:val="000000"/>
        </w:rPr>
        <w:t>Inclination angle of the strut 30°</w:t>
      </w:r>
      <w:r w:rsidRPr="0009445C">
        <w:sym w:font="Symbol" w:char="F0A3"/>
      </w:r>
      <w:r w:rsidRPr="0009445C">
        <w:rPr>
          <w:color w:val="000000"/>
        </w:rPr>
        <w:t xml:space="preserve"> </w:t>
      </w:r>
      <w:r w:rsidRPr="0009445C">
        <w:rPr>
          <w:i/>
        </w:rPr>
        <w:sym w:font="Symbol" w:char="F071"/>
      </w:r>
      <w:r w:rsidRPr="0009445C">
        <w:rPr>
          <w:color w:val="000000"/>
        </w:rPr>
        <w:t xml:space="preserve"> </w:t>
      </w:r>
      <w:r w:rsidRPr="0009445C">
        <w:sym w:font="Symbol" w:char="F0A3"/>
      </w:r>
      <w:r w:rsidRPr="0009445C">
        <w:rPr>
          <w:color w:val="000000"/>
        </w:rPr>
        <w:t xml:space="preserve"> 60°</w:t>
      </w:r>
    </w:p>
    <w:p w14:paraId="398E0695" w14:textId="77777777" w:rsidR="009D4C8D" w:rsidRPr="0009445C" w:rsidRDefault="009D4C8D" w:rsidP="009D4C8D">
      <w:pPr>
        <w:rPr>
          <w:rFonts w:cs="Arial"/>
          <w:color w:val="000000"/>
          <w:lang w:val="en-US"/>
        </w:rPr>
      </w:pPr>
    </w:p>
    <w:p w14:paraId="189F5501" w14:textId="77777777" w:rsidR="009D4C8D" w:rsidRPr="0009445C" w:rsidRDefault="009D4C8D" w:rsidP="009D4C8D">
      <w:pPr>
        <w:pStyle w:val="BRL-Standard"/>
      </w:pPr>
      <w:r w:rsidRPr="0009445C">
        <w:t xml:space="preserve">The design resistance </w:t>
      </w:r>
      <w:r w:rsidRPr="0009445C">
        <w:object w:dxaOrig="540" w:dyaOrig="380" w14:anchorId="0D71F11C">
          <v:shape id="_x0000_i1075" type="#_x0000_t75" style="width:29.25pt;height:20.25pt" o:ole="">
            <v:imagedata r:id="rId179" o:title=""/>
          </v:shape>
          <o:OLEObject Type="Embed" ProgID="Equation.3" ShapeID="_x0000_i1075" DrawAspect="Content" ObjectID="_1735120085" r:id="rId201"/>
        </w:object>
      </w:r>
      <w:r w:rsidRPr="0009445C">
        <w:t xml:space="preserve"> of the bar model as shown in Figure 1c) results from equation (8):</w:t>
      </w:r>
    </w:p>
    <w:p w14:paraId="338CB6CB" w14:textId="77777777" w:rsidR="009D4C8D" w:rsidRPr="0009445C" w:rsidRDefault="009D4C8D" w:rsidP="009D4C8D">
      <w:pPr>
        <w:pStyle w:val="Nachweis"/>
        <w:framePr w:wrap="around"/>
      </w:pPr>
      <w:r w:rsidRPr="0009445C">
        <w:t>(8)</w:t>
      </w:r>
    </w:p>
    <w:p w14:paraId="384D62C3" w14:textId="77777777" w:rsidR="009D4C8D" w:rsidRPr="0009445C" w:rsidRDefault="009D4C8D" w:rsidP="009D4C8D">
      <w:pPr>
        <w:rPr>
          <w:rFonts w:cs="Arial"/>
          <w:color w:val="000000"/>
          <w:lang w:val="de-AT"/>
        </w:rPr>
      </w:pPr>
    </w:p>
    <w:p w14:paraId="0BD2A497" w14:textId="77777777" w:rsidR="009D4C8D" w:rsidRPr="0009445C" w:rsidRDefault="009D4C8D" w:rsidP="009D4C8D">
      <w:pPr>
        <w:rPr>
          <w:rFonts w:cs="Arial"/>
          <w:i/>
          <w:color w:val="000000"/>
        </w:rPr>
      </w:pPr>
      <w:r w:rsidRPr="0009445C">
        <w:rPr>
          <w:i/>
          <w:color w:val="000000"/>
        </w:rPr>
        <w:tab/>
      </w:r>
      <w:r w:rsidRPr="0009445C">
        <w:rPr>
          <w:i/>
          <w:color w:val="000000"/>
        </w:rPr>
        <w:tab/>
      </w:r>
      <w:r w:rsidRPr="0009445C">
        <w:object w:dxaOrig="2560" w:dyaOrig="380" w14:anchorId="673B65B8">
          <v:shape id="_x0000_i1076" type="#_x0000_t75" style="width:130.5pt;height:20.25pt" o:ole="">
            <v:imagedata r:id="rId202" o:title=""/>
          </v:shape>
          <o:OLEObject Type="Embed" ProgID="Equation.3" ShapeID="_x0000_i1076" DrawAspect="Content" ObjectID="_1735120086" r:id="rId203"/>
        </w:object>
      </w:r>
    </w:p>
    <w:p w14:paraId="2B00EEDA" w14:textId="77777777" w:rsidR="009D4C8D" w:rsidRPr="0009445C" w:rsidRDefault="009D4C8D" w:rsidP="009D4C8D"/>
    <w:p w14:paraId="5DD7EB4C" w14:textId="77777777" w:rsidR="009D4C8D" w:rsidRPr="0009445C" w:rsidRDefault="009D4C8D" w:rsidP="009D4C8D"/>
    <w:p w14:paraId="3F6AB51A" w14:textId="77777777" w:rsidR="001F4D12" w:rsidRPr="0009445C" w:rsidRDefault="001F4D12" w:rsidP="001F4D12">
      <w:pPr>
        <w:spacing w:after="200"/>
        <w:rPr>
          <w:lang w:val="de-AT"/>
        </w:rPr>
      </w:pPr>
    </w:p>
    <w:p w14:paraId="7BB26EE6" w14:textId="77777777" w:rsidR="004C2C77" w:rsidRPr="0009445C" w:rsidRDefault="004C2C77" w:rsidP="004C2C77">
      <w:pPr>
        <w:sectPr w:rsidR="004C2C77" w:rsidRPr="0009445C" w:rsidSect="004C2C77">
          <w:headerReference w:type="first" r:id="rId204"/>
          <w:footerReference w:type="first" r:id="rId205"/>
          <w:footnotePr>
            <w:numRestart w:val="eachSect"/>
          </w:footnotePr>
          <w:pgSz w:w="11906" w:h="16838" w:code="9"/>
          <w:pgMar w:top="1134" w:right="1418" w:bottom="1134" w:left="1418" w:header="709" w:footer="652" w:gutter="0"/>
          <w:cols w:space="708"/>
          <w:titlePg/>
          <w:docGrid w:linePitch="360"/>
        </w:sectPr>
      </w:pPr>
    </w:p>
    <w:p w14:paraId="07556033" w14:textId="36FF70FB" w:rsidR="00B4551D" w:rsidRPr="0009445C" w:rsidRDefault="00B4551D" w:rsidP="00BA2FAB">
      <w:pPr>
        <w:pStyle w:val="Heading2"/>
      </w:pPr>
      <w:bookmarkStart w:id="69" w:name="_Ref24536565"/>
      <w:r w:rsidRPr="0009445C">
        <w:lastRenderedPageBreak/>
        <w:t>Annex 13</w:t>
      </w:r>
      <w:bookmarkEnd w:id="69"/>
    </w:p>
    <w:p w14:paraId="715834B4" w14:textId="77777777" w:rsidR="00B4551D" w:rsidRPr="0009445C" w:rsidRDefault="00B4551D" w:rsidP="00B4551D">
      <w:pPr>
        <w:pStyle w:val="berschrift2Titelseite"/>
        <w:rPr>
          <w:b/>
          <w:color w:val="auto"/>
        </w:rPr>
      </w:pPr>
      <w:bookmarkStart w:id="70" w:name="Anhang13"/>
      <w:r w:rsidRPr="0009445C">
        <w:rPr>
          <w:b/>
          <w:color w:val="auto"/>
        </w:rPr>
        <w:t>Directive on roller shutters</w:t>
      </w:r>
      <w:bookmarkEnd w:id="70"/>
    </w:p>
    <w:p w14:paraId="5FEAD5B9" w14:textId="0BC969F5" w:rsidR="00B4551D" w:rsidRPr="0009445C" w:rsidRDefault="00B4551D" w:rsidP="00B4551D">
      <w:pPr>
        <w:rPr>
          <w:szCs w:val="18"/>
        </w:rPr>
      </w:pPr>
      <w:bookmarkStart w:id="71" w:name="Anhang13_Stand"/>
      <w:r w:rsidRPr="0009445C">
        <w:t xml:space="preserve">Last updated: </w:t>
      </w:r>
      <w:bookmarkEnd w:id="71"/>
      <w:r w:rsidRPr="0009445C">
        <w:t>September 2021</w:t>
      </w:r>
    </w:p>
    <w:p w14:paraId="4F160F9E" w14:textId="77777777" w:rsidR="00B4551D" w:rsidRPr="0009445C" w:rsidRDefault="00B4551D" w:rsidP="00B4551D">
      <w:pPr>
        <w:rPr>
          <w:b/>
          <w:szCs w:val="18"/>
        </w:rPr>
      </w:pPr>
    </w:p>
    <w:p w14:paraId="1C621271" w14:textId="77777777" w:rsidR="00B4551D" w:rsidRPr="0009445C" w:rsidRDefault="00B4551D" w:rsidP="00B4551D">
      <w:pPr>
        <w:rPr>
          <w:b/>
          <w:szCs w:val="18"/>
        </w:rPr>
      </w:pPr>
    </w:p>
    <w:p w14:paraId="796A3E0E" w14:textId="77777777" w:rsidR="00B4551D" w:rsidRPr="0009445C" w:rsidRDefault="00B4551D" w:rsidP="00B4551D">
      <w:pPr>
        <w:rPr>
          <w:b/>
          <w:szCs w:val="18"/>
        </w:rPr>
      </w:pPr>
    </w:p>
    <w:p w14:paraId="7BDBAA73" w14:textId="77777777" w:rsidR="00B4551D" w:rsidRPr="0009445C" w:rsidRDefault="00B4551D" w:rsidP="00B4551D">
      <w:pPr>
        <w:rPr>
          <w:b/>
          <w:szCs w:val="18"/>
        </w:rPr>
      </w:pPr>
      <w:r w:rsidRPr="0009445C">
        <w:rPr>
          <w:b/>
        </w:rPr>
        <w:t>CONTENTS</w:t>
      </w:r>
    </w:p>
    <w:p w14:paraId="3526F849" w14:textId="77777777" w:rsidR="00B4551D" w:rsidRPr="0009445C" w:rsidRDefault="00B4551D" w:rsidP="00B4551D">
      <w:pPr>
        <w:rPr>
          <w:szCs w:val="18"/>
        </w:rPr>
      </w:pPr>
    </w:p>
    <w:p w14:paraId="330FE1C3" w14:textId="77777777" w:rsidR="00B4551D" w:rsidRPr="0009445C" w:rsidRDefault="00B4551D" w:rsidP="00B4551D">
      <w:pPr>
        <w:spacing w:before="100"/>
        <w:rPr>
          <w:caps/>
          <w:szCs w:val="18"/>
        </w:rPr>
      </w:pPr>
      <w:r w:rsidRPr="0009445C">
        <w:rPr>
          <w:caps/>
        </w:rPr>
        <w:t>1</w:t>
      </w:r>
      <w:r w:rsidRPr="0009445C">
        <w:rPr>
          <w:caps/>
        </w:rPr>
        <w:tab/>
        <w:t>Scope</w:t>
      </w:r>
    </w:p>
    <w:p w14:paraId="0354B622" w14:textId="77777777" w:rsidR="00B4551D" w:rsidRPr="0009445C" w:rsidRDefault="00B4551D" w:rsidP="00B4551D">
      <w:pPr>
        <w:spacing w:before="100"/>
        <w:rPr>
          <w:caps/>
          <w:szCs w:val="18"/>
        </w:rPr>
      </w:pPr>
      <w:r w:rsidRPr="0009445C">
        <w:rPr>
          <w:caps/>
        </w:rPr>
        <w:t>2</w:t>
      </w:r>
      <w:r w:rsidRPr="0009445C">
        <w:rPr>
          <w:caps/>
        </w:rPr>
        <w:tab/>
        <w:t>Thermal insulation</w:t>
      </w:r>
    </w:p>
    <w:p w14:paraId="63DBE3FB" w14:textId="77777777" w:rsidR="00B4551D" w:rsidRPr="0009445C" w:rsidRDefault="00B4551D" w:rsidP="00B4551D">
      <w:pPr>
        <w:spacing w:before="100"/>
        <w:rPr>
          <w:caps/>
          <w:szCs w:val="18"/>
        </w:rPr>
      </w:pPr>
      <w:r w:rsidRPr="0009445C">
        <w:rPr>
          <w:caps/>
        </w:rPr>
        <w:t>3</w:t>
      </w:r>
      <w:r w:rsidRPr="0009445C">
        <w:rPr>
          <w:caps/>
        </w:rPr>
        <w:tab/>
        <w:t>Sound insulation</w:t>
      </w:r>
    </w:p>
    <w:p w14:paraId="05C605C8" w14:textId="77777777" w:rsidR="00B4551D" w:rsidRPr="0009445C" w:rsidRDefault="00B4551D" w:rsidP="00B4551D">
      <w:pPr>
        <w:spacing w:before="100"/>
        <w:rPr>
          <w:caps/>
          <w:szCs w:val="18"/>
        </w:rPr>
      </w:pPr>
      <w:r w:rsidRPr="0009445C">
        <w:rPr>
          <w:caps/>
        </w:rPr>
        <w:t>4</w:t>
      </w:r>
      <w:r w:rsidRPr="0009445C">
        <w:rPr>
          <w:caps/>
        </w:rPr>
        <w:tab/>
        <w:t>Main features of the ‘ÜZ’ conformity mark</w:t>
      </w:r>
    </w:p>
    <w:p w14:paraId="18D87BDC" w14:textId="77777777" w:rsidR="00B4551D" w:rsidRPr="0009445C" w:rsidRDefault="00B4551D" w:rsidP="00600F53">
      <w:pPr>
        <w:pStyle w:val="BRL-berschrift"/>
        <w:sectPr w:rsidR="00B4551D" w:rsidRPr="0009445C" w:rsidSect="0099521D">
          <w:headerReference w:type="even" r:id="rId206"/>
          <w:headerReference w:type="default" r:id="rId207"/>
          <w:headerReference w:type="first" r:id="rId208"/>
          <w:pgSz w:w="11906" w:h="16838" w:code="9"/>
          <w:pgMar w:top="1134" w:right="1418" w:bottom="1134" w:left="1418" w:header="709" w:footer="652" w:gutter="0"/>
          <w:cols w:space="708"/>
          <w:titlePg/>
          <w:docGrid w:linePitch="360"/>
        </w:sectPr>
      </w:pPr>
    </w:p>
    <w:p w14:paraId="44147539" w14:textId="77777777" w:rsidR="00B4551D" w:rsidRPr="0009445C" w:rsidRDefault="00B4551D" w:rsidP="00600F53">
      <w:pPr>
        <w:pStyle w:val="BRL-berschrift"/>
      </w:pPr>
      <w:r w:rsidRPr="0009445C">
        <w:lastRenderedPageBreak/>
        <w:t>1</w:t>
      </w:r>
      <w:r w:rsidRPr="0009445C">
        <w:tab/>
        <w:t>Scope</w:t>
      </w:r>
    </w:p>
    <w:p w14:paraId="5FE1DE6D" w14:textId="77777777" w:rsidR="00B4551D" w:rsidRPr="0009445C" w:rsidRDefault="00B4551D" w:rsidP="00B4551D">
      <w:pPr>
        <w:pStyle w:val="BRL-Standard"/>
      </w:pPr>
      <w:r w:rsidRPr="0009445C">
        <w:t>This directive applies to factory-made roller shutter boxes (including roller shutter covers), which comply with the thermal and sound insulation requirements.</w:t>
      </w:r>
    </w:p>
    <w:p w14:paraId="771EE9D0" w14:textId="77777777" w:rsidR="00B4551D" w:rsidRPr="0009445C" w:rsidRDefault="00B4551D" w:rsidP="00B4551D">
      <w:pPr>
        <w:pStyle w:val="BRL-Standard"/>
      </w:pPr>
    </w:p>
    <w:p w14:paraId="77FCD82E" w14:textId="77777777" w:rsidR="00B4551D" w:rsidRPr="0009445C" w:rsidRDefault="00B4551D" w:rsidP="00B4551D">
      <w:pPr>
        <w:pStyle w:val="BRL-Standard"/>
      </w:pPr>
      <w:r w:rsidRPr="0009445C">
        <w:t>The structural elements of the roller shutter boxes must consist of at least normal flammability building materials.</w:t>
      </w:r>
    </w:p>
    <w:p w14:paraId="39FE5439" w14:textId="77777777" w:rsidR="00B4551D" w:rsidRPr="0009445C" w:rsidRDefault="00B4551D" w:rsidP="00B4551D">
      <w:pPr>
        <w:pStyle w:val="BRL-Standard"/>
      </w:pPr>
    </w:p>
    <w:p w14:paraId="6CF1DDC1" w14:textId="77777777" w:rsidR="00B4551D" w:rsidRPr="0009445C" w:rsidRDefault="00B4551D" w:rsidP="00B4551D">
      <w:pPr>
        <w:pStyle w:val="BRL-Standard"/>
      </w:pPr>
      <w:r w:rsidRPr="0009445C">
        <w:t>For factory-made roller shutter boxes with a static support function in the structure, the Technical Rule laid down in Chapter C 2 must also be observed for the relevant construction product.</w:t>
      </w:r>
    </w:p>
    <w:p w14:paraId="15D52728" w14:textId="77777777" w:rsidR="00B4551D" w:rsidRPr="0009445C" w:rsidRDefault="00B4551D" w:rsidP="00B4551D">
      <w:pPr>
        <w:pStyle w:val="BRL-Standard"/>
      </w:pPr>
    </w:p>
    <w:p w14:paraId="2D4BEEB1" w14:textId="77777777" w:rsidR="00B4551D" w:rsidRPr="0009445C" w:rsidRDefault="00B4551D" w:rsidP="00600F53">
      <w:pPr>
        <w:pStyle w:val="BRL-berschrift"/>
      </w:pPr>
      <w:r w:rsidRPr="0009445C">
        <w:t>2</w:t>
      </w:r>
      <w:r w:rsidRPr="0009445C">
        <w:tab/>
        <w:t>Thermal insulation</w:t>
      </w:r>
    </w:p>
    <w:p w14:paraId="5510C8E0" w14:textId="77777777" w:rsidR="00B4551D" w:rsidRPr="0009445C" w:rsidRDefault="00B4551D" w:rsidP="00600F53">
      <w:pPr>
        <w:pStyle w:val="BRL-berschrift"/>
      </w:pPr>
      <w:r w:rsidRPr="0009445C">
        <w:t>2.1</w:t>
      </w:r>
      <w:r w:rsidRPr="0009445C">
        <w:tab/>
        <w:t>Minimum thermal protection requirements</w:t>
      </w:r>
    </w:p>
    <w:p w14:paraId="7FF72BA3" w14:textId="77777777" w:rsidR="00B4551D" w:rsidRPr="0009445C" w:rsidRDefault="00B4551D" w:rsidP="00B4551D">
      <w:pPr>
        <w:pStyle w:val="BRL-Standard"/>
      </w:pPr>
      <w:r w:rsidRPr="0009445C">
        <w:t>Requirements have been laid down for the heat transmission limit and for the surface temperature.</w:t>
      </w:r>
    </w:p>
    <w:p w14:paraId="48520C7E" w14:textId="77777777" w:rsidR="00B4551D" w:rsidRPr="0009445C" w:rsidRDefault="00B4551D" w:rsidP="00B4551D">
      <w:pPr>
        <w:pStyle w:val="BRL-Standard"/>
      </w:pPr>
    </w:p>
    <w:p w14:paraId="0EB6166B" w14:textId="77777777" w:rsidR="00B4551D" w:rsidRPr="0009445C" w:rsidRDefault="00B4551D" w:rsidP="00B4551D">
      <w:pPr>
        <w:pStyle w:val="BRL-Standard"/>
      </w:pPr>
      <w:r w:rsidRPr="0009445C">
        <w:t>The roller shutter box must meet the minimum thermal insulation requirement according to DIN 4108</w:t>
      </w:r>
      <w:r w:rsidRPr="0009445C">
        <w:noBreakHyphen/>
        <w:t>2:2013</w:t>
      </w:r>
      <w:r w:rsidRPr="0009445C">
        <w:noBreakHyphen/>
        <w:t>02, Section 5.1.3.</w:t>
      </w:r>
    </w:p>
    <w:p w14:paraId="7A86B5C6" w14:textId="77777777" w:rsidR="00B4551D" w:rsidRPr="0009445C" w:rsidRDefault="00B4551D" w:rsidP="00B4551D">
      <w:pPr>
        <w:pStyle w:val="BRL-Standard"/>
      </w:pPr>
    </w:p>
    <w:p w14:paraId="1CF861E5" w14:textId="77777777" w:rsidR="00B4551D" w:rsidRPr="0009445C" w:rsidRDefault="00B4551D" w:rsidP="00B4551D">
      <w:pPr>
        <w:pStyle w:val="BRL-Standard"/>
      </w:pPr>
      <w:r w:rsidRPr="0009445C">
        <w:t>This requirement shall be deemed to be met if the thermal transmission coefficient </w:t>
      </w:r>
      <w:proofErr w:type="spellStart"/>
      <w:r w:rsidRPr="0009445C">
        <w:t>U</w:t>
      </w:r>
      <w:r w:rsidRPr="0009445C">
        <w:rPr>
          <w:vertAlign w:val="subscript"/>
        </w:rPr>
        <w:t>sb</w:t>
      </w:r>
      <w:proofErr w:type="spellEnd"/>
      <w:r w:rsidRPr="0009445C">
        <w:t xml:space="preserve"> of the roller shutter box </w:t>
      </w:r>
      <w:proofErr w:type="spellStart"/>
      <w:r w:rsidRPr="0009445C">
        <w:t>U</w:t>
      </w:r>
      <w:r w:rsidRPr="0009445C">
        <w:rPr>
          <w:vertAlign w:val="subscript"/>
        </w:rPr>
        <w:t>sb</w:t>
      </w:r>
      <w:proofErr w:type="spellEnd"/>
      <w:r w:rsidRPr="0009445C">
        <w:t xml:space="preserve"> calculated in accordance with Section 2.2 or measured in accordance with Section 2.3 is </w:t>
      </w:r>
      <w:r w:rsidRPr="0009445C">
        <w:sym w:font="Symbol" w:char="F0A3"/>
      </w:r>
      <w:r w:rsidRPr="0009445C">
        <w:t> 0.85 W/(m² </w:t>
      </w:r>
      <w:r w:rsidRPr="0009445C">
        <w:sym w:font="Symbol" w:char="F0D7"/>
      </w:r>
      <w:r w:rsidRPr="0009445C">
        <w:t xml:space="preserve"> K) and the temperature factor </w:t>
      </w:r>
      <w:proofErr w:type="spellStart"/>
      <w:r w:rsidRPr="0009445C">
        <w:t>f</w:t>
      </w:r>
      <w:r w:rsidRPr="0009445C">
        <w:rPr>
          <w:vertAlign w:val="subscript"/>
        </w:rPr>
        <w:t>Rsi</w:t>
      </w:r>
      <w:proofErr w:type="spellEnd"/>
      <w:r w:rsidRPr="0009445C">
        <w:t xml:space="preserve"> calculated in accordance with Section 2.2 is </w:t>
      </w:r>
      <w:r w:rsidRPr="0009445C">
        <w:sym w:font="Symbol" w:char="F0B3"/>
      </w:r>
      <w:r w:rsidRPr="0009445C">
        <w:t> 0.70.</w:t>
      </w:r>
    </w:p>
    <w:p w14:paraId="7FD0567E" w14:textId="77777777" w:rsidR="00B4551D" w:rsidRPr="0009445C" w:rsidRDefault="00B4551D" w:rsidP="00B4551D">
      <w:pPr>
        <w:pStyle w:val="BRL-Standard"/>
      </w:pPr>
    </w:p>
    <w:p w14:paraId="76932AD6" w14:textId="77777777" w:rsidR="00B4551D" w:rsidRPr="0009445C" w:rsidRDefault="00B4551D" w:rsidP="00600F53">
      <w:pPr>
        <w:pStyle w:val="BRL-berschrift"/>
      </w:pPr>
      <w:r w:rsidRPr="0009445C">
        <w:t>2.2</w:t>
      </w:r>
      <w:r w:rsidRPr="0009445C">
        <w:tab/>
        <w:t xml:space="preserve">Calculation of thermal transmission coefficient </w:t>
      </w:r>
      <w:proofErr w:type="spellStart"/>
      <w:r w:rsidRPr="0009445C">
        <w:t>U</w:t>
      </w:r>
      <w:r w:rsidRPr="0009445C">
        <w:rPr>
          <w:vertAlign w:val="subscript"/>
        </w:rPr>
        <w:t>sb</w:t>
      </w:r>
      <w:proofErr w:type="spellEnd"/>
      <w:r w:rsidRPr="0009445C">
        <w:t xml:space="preserve"> and temperature factor </w:t>
      </w:r>
      <w:proofErr w:type="spellStart"/>
      <w:r w:rsidRPr="0009445C">
        <w:t>f</w:t>
      </w:r>
      <w:r w:rsidRPr="0009445C">
        <w:rPr>
          <w:vertAlign w:val="subscript"/>
        </w:rPr>
        <w:t>Rsi</w:t>
      </w:r>
      <w:proofErr w:type="spellEnd"/>
    </w:p>
    <w:p w14:paraId="06DF58BE" w14:textId="77777777" w:rsidR="00B4551D" w:rsidRPr="0009445C" w:rsidRDefault="00B4551D" w:rsidP="00B4551D">
      <w:pPr>
        <w:pStyle w:val="BRL-Standard"/>
        <w:jc w:val="left"/>
      </w:pPr>
      <w:r w:rsidRPr="0009445C">
        <w:t xml:space="preserve">The thermal transmission coefficient </w:t>
      </w:r>
      <w:proofErr w:type="spellStart"/>
      <w:r w:rsidRPr="0009445C">
        <w:t>U</w:t>
      </w:r>
      <w:r w:rsidRPr="0009445C">
        <w:rPr>
          <w:vertAlign w:val="subscript"/>
        </w:rPr>
        <w:t>sb</w:t>
      </w:r>
      <w:proofErr w:type="spellEnd"/>
      <w:r w:rsidRPr="0009445C">
        <w:t xml:space="preserve"> of the roller shutter box shall be calculated two-dimensionally in accordance with DIN EN ISO 10077</w:t>
      </w:r>
      <w:r w:rsidRPr="0009445C">
        <w:noBreakHyphen/>
        <w:t>2:2018</w:t>
      </w:r>
      <w:r w:rsidRPr="0009445C">
        <w:noBreakHyphen/>
        <w:t>01 and rounded to two digits. The calculation is to be carried out with a blind frame with a 60 mm constructional depth, which for the purposes of this Directive is to be regarded as adiabatic. The blind frame shall be set flush with the outer side of the actual or planned window frame, irrespective of its width.</w:t>
      </w:r>
    </w:p>
    <w:p w14:paraId="415C3462" w14:textId="77777777" w:rsidR="00B4551D" w:rsidRPr="0009445C" w:rsidRDefault="00B4551D" w:rsidP="00B4551D">
      <w:pPr>
        <w:pStyle w:val="BRL-Standard"/>
      </w:pPr>
    </w:p>
    <w:p w14:paraId="095278C2" w14:textId="77777777" w:rsidR="00B4551D" w:rsidRPr="0009445C" w:rsidRDefault="00B4551D" w:rsidP="00B4551D">
      <w:pPr>
        <w:pStyle w:val="BRL-Standard"/>
      </w:pPr>
      <w:r w:rsidRPr="0009445C">
        <w:t xml:space="preserve">During the two-dimensional calculation, the heat flow density shall be obtained from the relevant height </w:t>
      </w:r>
      <w:proofErr w:type="spellStart"/>
      <w:r w:rsidRPr="0009445C">
        <w:t>b</w:t>
      </w:r>
      <w:r w:rsidRPr="0009445C">
        <w:rPr>
          <w:vertAlign w:val="subscript"/>
        </w:rPr>
        <w:t>sb</w:t>
      </w:r>
      <w:proofErr w:type="spellEnd"/>
      <w:r w:rsidRPr="0009445C">
        <w:t xml:space="preserve"> in accordance with DIN EN ISO 10077</w:t>
      </w:r>
      <w:r w:rsidRPr="0009445C">
        <w:noBreakHyphen/>
        <w:t>2:2018</w:t>
      </w:r>
      <w:r w:rsidRPr="0009445C">
        <w:noBreakHyphen/>
        <w:t>01.</w:t>
      </w:r>
    </w:p>
    <w:p w14:paraId="3BEF6632" w14:textId="77777777" w:rsidR="00B4551D" w:rsidRPr="0009445C" w:rsidRDefault="00B4551D" w:rsidP="00B4551D">
      <w:pPr>
        <w:pStyle w:val="BRL-Standard"/>
      </w:pPr>
    </w:p>
    <w:p w14:paraId="6A305D16" w14:textId="77777777" w:rsidR="00B4551D" w:rsidRPr="0009445C" w:rsidRDefault="00B4551D" w:rsidP="00B4551D">
      <w:pPr>
        <w:pStyle w:val="BRL-Standard"/>
      </w:pPr>
      <w:r w:rsidRPr="0009445C">
        <w:t>The temperature factor </w:t>
      </w:r>
      <w:proofErr w:type="spellStart"/>
      <w:r w:rsidRPr="0009445C">
        <w:t>f</w:t>
      </w:r>
      <w:r w:rsidRPr="0009445C">
        <w:rPr>
          <w:vertAlign w:val="subscript"/>
        </w:rPr>
        <w:t>Rsi</w:t>
      </w:r>
      <w:proofErr w:type="spellEnd"/>
      <w:r w:rsidRPr="0009445C">
        <w:t xml:space="preserve"> of the roller shutter box shall be calculated two-dimensionally in accordance with DIN EN ISO 10211:2018</w:t>
      </w:r>
      <w:r w:rsidRPr="0009445C">
        <w:noBreakHyphen/>
        <w:t>03 in conjunction with DIN EN ISO 10077</w:t>
      </w:r>
      <w:r w:rsidRPr="0009445C">
        <w:noBreakHyphen/>
        <w:t>2:2018</w:t>
      </w:r>
      <w:r w:rsidRPr="0009445C">
        <w:noBreakHyphen/>
        <w:t xml:space="preserve">01 and rounded to two decimal places. The calculation shall be made with a blind frame with a construction depth of 70 mm made of wood of thermal conductivity </w:t>
      </w:r>
      <w:r w:rsidRPr="0009445C">
        <w:sym w:font="Symbol" w:char="F06C"/>
      </w:r>
      <w:r w:rsidRPr="0009445C">
        <w:t> = 0.13 W/(m </w:t>
      </w:r>
      <w:r w:rsidRPr="0009445C">
        <w:sym w:font="Symbol" w:char="F0D7"/>
      </w:r>
      <w:r w:rsidRPr="0009445C">
        <w:t> K) under the boundary conditions set out in DIN 4108</w:t>
      </w:r>
      <w:r w:rsidRPr="0009445C">
        <w:noBreakHyphen/>
        <w:t>2:2013</w:t>
      </w:r>
      <w:r w:rsidRPr="0009445C">
        <w:noBreakHyphen/>
        <w:t>02. For the contact resistances, the boundary conditions in accordance with Addendum 2:2019</w:t>
      </w:r>
      <w:r w:rsidRPr="0009445C">
        <w:noBreakHyphen/>
        <w:t>06 to DIN 4108 shall be applied. The upper structural shell connections shall be considered as adiabatic for the purposes of this Directive.</w:t>
      </w:r>
    </w:p>
    <w:p w14:paraId="5C6FF56C" w14:textId="77777777" w:rsidR="00B4551D" w:rsidRPr="0009445C" w:rsidRDefault="00B4551D" w:rsidP="00B4551D">
      <w:pPr>
        <w:pStyle w:val="BRL-Standard"/>
      </w:pPr>
    </w:p>
    <w:p w14:paraId="4E2727AB" w14:textId="48F293D3" w:rsidR="00B4551D" w:rsidRPr="0009445C" w:rsidRDefault="00B4551D" w:rsidP="00B4551D">
      <w:pPr>
        <w:pStyle w:val="BRL-Standard"/>
      </w:pPr>
      <w:r w:rsidRPr="0009445C">
        <w:t>For the structural elements of the roller shutter box, the respective rated thermal conductivity values are in accordance with DIN EN ISO 10456:2010</w:t>
      </w:r>
      <w:r w:rsidRPr="0009445C">
        <w:noBreakHyphen/>
        <w:t>05, DIN EN ISO 10077</w:t>
      </w:r>
      <w:r w:rsidRPr="0009445C">
        <w:noBreakHyphen/>
        <w:t>2:2018-01, or DIN 4108</w:t>
      </w:r>
      <w:r w:rsidRPr="0009445C">
        <w:noBreakHyphen/>
        <w:t>4:2020-11. The roller space is to be treated according to the conditions stated in Section 6.3.5 or DIN EN ISO 10077</w:t>
      </w:r>
      <w:r w:rsidRPr="0009445C">
        <w:noBreakHyphen/>
        <w:t>2:2018</w:t>
      </w:r>
      <w:r w:rsidRPr="0009445C">
        <w:noBreakHyphen/>
        <w:t>01.</w:t>
      </w:r>
    </w:p>
    <w:p w14:paraId="4F29B97D" w14:textId="77777777" w:rsidR="00B4551D" w:rsidRPr="0009445C" w:rsidRDefault="00B4551D" w:rsidP="00B4551D">
      <w:pPr>
        <w:pStyle w:val="BRL-Standard"/>
      </w:pPr>
    </w:p>
    <w:p w14:paraId="0EBDDF9B" w14:textId="77777777" w:rsidR="00B4551D" w:rsidRPr="0009445C" w:rsidRDefault="00B4551D" w:rsidP="00600F53">
      <w:pPr>
        <w:pStyle w:val="BRL-berschrift"/>
      </w:pPr>
      <w:r w:rsidRPr="0009445C">
        <w:t>2.3</w:t>
      </w:r>
      <w:r w:rsidRPr="0009445C">
        <w:tab/>
        <w:t>Measurement of heat transfer coefficient </w:t>
      </w:r>
      <w:proofErr w:type="spellStart"/>
      <w:r w:rsidRPr="0009445C">
        <w:t>U</w:t>
      </w:r>
      <w:r w:rsidRPr="0009445C">
        <w:rPr>
          <w:vertAlign w:val="subscript"/>
        </w:rPr>
        <w:t>sb</w:t>
      </w:r>
      <w:proofErr w:type="spellEnd"/>
    </w:p>
    <w:p w14:paraId="25380611" w14:textId="77777777" w:rsidR="00B4551D" w:rsidRPr="0009445C" w:rsidRDefault="00B4551D" w:rsidP="00B4551D">
      <w:pPr>
        <w:pStyle w:val="BRL-Standard"/>
      </w:pPr>
      <w:r w:rsidRPr="0009445C">
        <w:t>The thermal transmission coefficient </w:t>
      </w:r>
      <w:proofErr w:type="spellStart"/>
      <w:r w:rsidRPr="0009445C">
        <w:t>U</w:t>
      </w:r>
      <w:r w:rsidRPr="0009445C">
        <w:rPr>
          <w:vertAlign w:val="subscript"/>
        </w:rPr>
        <w:t>sb</w:t>
      </w:r>
      <w:proofErr w:type="spellEnd"/>
      <w:r w:rsidRPr="0009445C">
        <w:t xml:space="preserve"> of the roller shutter box shall be determined in accordance with DIN EN 12412</w:t>
      </w:r>
      <w:r w:rsidRPr="0009445C">
        <w:noBreakHyphen/>
        <w:t>4:2003</w:t>
      </w:r>
      <w:r w:rsidRPr="0009445C">
        <w:noBreakHyphen/>
        <w:t xml:space="preserve">11. </w:t>
      </w:r>
    </w:p>
    <w:p w14:paraId="714D7BF6" w14:textId="77777777" w:rsidR="00B4551D" w:rsidRPr="0009445C" w:rsidRDefault="00B4551D" w:rsidP="00B4551D">
      <w:pPr>
        <w:pStyle w:val="BRL-Standard"/>
        <w:sectPr w:rsidR="00B4551D" w:rsidRPr="0009445C" w:rsidSect="0099521D">
          <w:headerReference w:type="first" r:id="rId209"/>
          <w:pgSz w:w="11906" w:h="16838" w:code="9"/>
          <w:pgMar w:top="1134" w:right="1418" w:bottom="1134" w:left="1418" w:header="709" w:footer="652" w:gutter="0"/>
          <w:cols w:space="708"/>
          <w:titlePg/>
          <w:docGrid w:linePitch="360"/>
        </w:sectPr>
      </w:pPr>
    </w:p>
    <w:p w14:paraId="449978A3" w14:textId="77777777" w:rsidR="00B4551D" w:rsidRPr="0009445C" w:rsidRDefault="00B4551D" w:rsidP="00600F53">
      <w:pPr>
        <w:pStyle w:val="BRL-berschrift"/>
      </w:pPr>
      <w:r w:rsidRPr="0009445C">
        <w:lastRenderedPageBreak/>
        <w:t>3</w:t>
      </w:r>
      <w:r w:rsidRPr="0009445C">
        <w:tab/>
        <w:t>Sound insulation</w:t>
      </w:r>
    </w:p>
    <w:p w14:paraId="4EB5F130" w14:textId="77777777" w:rsidR="00B4551D" w:rsidRPr="0009445C" w:rsidRDefault="00B4551D" w:rsidP="00B4551D">
      <w:pPr>
        <w:pStyle w:val="BRL-Standard"/>
        <w:spacing w:after="120"/>
      </w:pPr>
      <w:r w:rsidRPr="0009445C">
        <w:t>If soundproofing properties are to be demonstrated for the roller shutter box, the associated sound insulation value is to be determined as follows:</w:t>
      </w:r>
    </w:p>
    <w:p w14:paraId="34F28E76" w14:textId="77777777" w:rsidR="00B4551D" w:rsidRPr="0009445C" w:rsidRDefault="00B4551D" w:rsidP="00B4551D">
      <w:pPr>
        <w:pStyle w:val="BRLAufzhlungAnstrich"/>
        <w:numPr>
          <w:ilvl w:val="0"/>
          <w:numId w:val="1"/>
        </w:numPr>
      </w:pPr>
      <w:r w:rsidRPr="0009445C">
        <w:t>Based on design characteristics according to DIN 4109</w:t>
      </w:r>
      <w:r w:rsidRPr="0009445C">
        <w:noBreakHyphen/>
        <w:t>35:2016</w:t>
      </w:r>
      <w:r w:rsidRPr="0009445C">
        <w:noBreakHyphen/>
        <w:t xml:space="preserve">07, Table 6, or </w:t>
      </w:r>
    </w:p>
    <w:p w14:paraId="58501E68" w14:textId="77777777" w:rsidR="00B4551D" w:rsidRPr="0009445C" w:rsidRDefault="00B4551D" w:rsidP="00B4551D">
      <w:pPr>
        <w:pStyle w:val="BRLAufzhlungAnstrich"/>
        <w:numPr>
          <w:ilvl w:val="0"/>
          <w:numId w:val="1"/>
        </w:numPr>
      </w:pPr>
      <w:r w:rsidRPr="0009445C">
        <w:t>By measuring according to DIN EN ISO 10140</w:t>
      </w:r>
      <w:r w:rsidRPr="0009445C">
        <w:noBreakHyphen/>
        <w:t>1:2016</w:t>
      </w:r>
      <w:r w:rsidRPr="0009445C">
        <w:noBreakHyphen/>
        <w:t>12, DIN EN ISO 10140</w:t>
      </w:r>
      <w:r w:rsidRPr="0009445C">
        <w:noBreakHyphen/>
        <w:t>2 and -4:2010</w:t>
      </w:r>
      <w:r w:rsidRPr="0009445C">
        <w:noBreakHyphen/>
        <w:t>12 and DIN EN ISO 10140-5:2014</w:t>
      </w:r>
      <w:r w:rsidRPr="0009445C">
        <w:noBreakHyphen/>
        <w:t>09 and assessment according to DIN EN ISO 717</w:t>
      </w:r>
      <w:r w:rsidRPr="0009445C">
        <w:noBreakHyphen/>
        <w:t xml:space="preserve">1:2013-06. If only a weighted standard sound level difference </w:t>
      </w:r>
      <w:proofErr w:type="spellStart"/>
      <w:r w:rsidRPr="0009445C">
        <w:t>D</w:t>
      </w:r>
      <w:r w:rsidRPr="0009445C">
        <w:rPr>
          <w:vertAlign w:val="subscript"/>
        </w:rPr>
        <w:t>n,e,w</w:t>
      </w:r>
      <w:proofErr w:type="spellEnd"/>
      <w:r w:rsidRPr="0009445C">
        <w:t xml:space="preserve"> has been demonstrated during the measurement, this should be converted into a weighted sound insulation value using the following formula:</w:t>
      </w:r>
    </w:p>
    <w:p w14:paraId="14AB57F2" w14:textId="77777777" w:rsidR="00B4551D" w:rsidRPr="0009445C" w:rsidRDefault="00B4551D" w:rsidP="00B4551D">
      <w:pPr>
        <w:pStyle w:val="BRLAufzhlungAnstrich"/>
        <w:numPr>
          <w:ilvl w:val="0"/>
          <w:numId w:val="0"/>
        </w:numPr>
        <w:ind w:left="284"/>
      </w:pPr>
      <w:proofErr w:type="spellStart"/>
      <w:r w:rsidRPr="0009445C">
        <w:t>R</w:t>
      </w:r>
      <w:r w:rsidRPr="0009445C">
        <w:rPr>
          <w:vertAlign w:val="subscript"/>
        </w:rPr>
        <w:t>w</w:t>
      </w:r>
      <w:proofErr w:type="spellEnd"/>
      <w:r w:rsidRPr="0009445C">
        <w:t xml:space="preserve"> = </w:t>
      </w:r>
      <w:proofErr w:type="spellStart"/>
      <w:r w:rsidRPr="0009445C">
        <w:t>D</w:t>
      </w:r>
      <w:r w:rsidRPr="0009445C">
        <w:rPr>
          <w:vertAlign w:val="subscript"/>
        </w:rPr>
        <w:t>n,e,w</w:t>
      </w:r>
      <w:proofErr w:type="spellEnd"/>
      <w:r w:rsidRPr="0009445C">
        <w:t xml:space="preserve"> + 10 log(S</w:t>
      </w:r>
      <w:r w:rsidRPr="0009445C">
        <w:rPr>
          <w:vertAlign w:val="subscript"/>
        </w:rPr>
        <w:t>R</w:t>
      </w:r>
      <w:r w:rsidRPr="0009445C">
        <w:t>/10m²)</w:t>
      </w:r>
      <w:r w:rsidRPr="0009445C">
        <w:br/>
        <w:t>with S</w:t>
      </w:r>
      <w:r w:rsidRPr="0009445C">
        <w:rPr>
          <w:vertAlign w:val="subscript"/>
        </w:rPr>
        <w:t>R</w:t>
      </w:r>
      <w:r w:rsidRPr="0009445C">
        <w:tab/>
        <w:t>area of the roller shutter box in m².</w:t>
      </w:r>
    </w:p>
    <w:p w14:paraId="0C59A26E" w14:textId="77777777" w:rsidR="00B4551D" w:rsidRPr="0009445C" w:rsidRDefault="00B4551D" w:rsidP="00B4551D">
      <w:pPr>
        <w:pStyle w:val="BRL-Standard"/>
      </w:pPr>
    </w:p>
    <w:p w14:paraId="65B8FC52" w14:textId="77777777" w:rsidR="00B4551D" w:rsidRPr="0009445C" w:rsidRDefault="00B4551D" w:rsidP="00B4551D">
      <w:pPr>
        <w:pStyle w:val="BRL-Standard"/>
      </w:pPr>
      <w:r w:rsidRPr="0009445C">
        <w:t>Test reports in accordance with DIN EN ISO 10140</w:t>
      </w:r>
      <w:r w:rsidRPr="0009445C">
        <w:noBreakHyphen/>
        <w:t>1:2010</w:t>
      </w:r>
      <w:r w:rsidRPr="0009445C">
        <w:noBreakHyphen/>
        <w:t>12, 2012</w:t>
      </w:r>
      <w:r w:rsidRPr="0009445C">
        <w:noBreakHyphen/>
        <w:t>05 and 2014</w:t>
      </w:r>
      <w:r w:rsidRPr="0009445C">
        <w:noBreakHyphen/>
        <w:t>09 and DIN EN ISO 10140</w:t>
      </w:r>
      <w:r w:rsidRPr="0009445C">
        <w:noBreakHyphen/>
        <w:t>05:2010</w:t>
      </w:r>
      <w:r w:rsidRPr="0009445C">
        <w:noBreakHyphen/>
        <w:t>12 in conjunction DIN EN ISO 717</w:t>
      </w:r>
      <w:r w:rsidRPr="0009445C">
        <w:noBreakHyphen/>
        <w:t>1:2006</w:t>
      </w:r>
      <w:r w:rsidRPr="0009445C">
        <w:noBreakHyphen/>
        <w:t>11 and/or DIN EN ISO 717</w:t>
      </w:r>
      <w:r w:rsidRPr="0009445C">
        <w:noBreakHyphen/>
        <w:t>1:2013</w:t>
      </w:r>
      <w:r w:rsidRPr="0009445C">
        <w:noBreakHyphen/>
        <w:t>06 that were created before the entry into force of this version of the Administrative Rules laying down Technical Building Regulations may continue to be used.</w:t>
      </w:r>
    </w:p>
    <w:p w14:paraId="04B4D5FF" w14:textId="77777777" w:rsidR="00B4551D" w:rsidRPr="0009445C" w:rsidRDefault="00B4551D" w:rsidP="00B4551D">
      <w:pPr>
        <w:pStyle w:val="BRL-Standard"/>
      </w:pPr>
    </w:p>
    <w:p w14:paraId="288242F2" w14:textId="77777777" w:rsidR="00B4551D" w:rsidRPr="0009445C" w:rsidRDefault="00B4551D" w:rsidP="00B4551D">
      <w:pPr>
        <w:pStyle w:val="BRL-Standard"/>
      </w:pPr>
      <w:r w:rsidRPr="0009445C">
        <w:t xml:space="preserve">When calculating airborne sound insulation, the declared rated sound insulation </w:t>
      </w:r>
      <w:proofErr w:type="spellStart"/>
      <w:r w:rsidRPr="0009445C">
        <w:t>R</w:t>
      </w:r>
      <w:r w:rsidRPr="0009445C">
        <w:rPr>
          <w:vertAlign w:val="subscript"/>
        </w:rPr>
        <w:t>w</w:t>
      </w:r>
      <w:proofErr w:type="spellEnd"/>
      <w:r w:rsidRPr="0009445C">
        <w:t xml:space="preserve"> can be directly placed in Equation 37 of DIN 4109</w:t>
      </w:r>
      <w:r w:rsidRPr="0009445C">
        <w:noBreakHyphen/>
        <w:t>2:2018</w:t>
      </w:r>
      <w:r w:rsidRPr="0009445C">
        <w:noBreakHyphen/>
        <w:t>01, Section 4.4.2.</w:t>
      </w:r>
    </w:p>
    <w:p w14:paraId="284F174E" w14:textId="77777777" w:rsidR="00B4551D" w:rsidRPr="0009445C" w:rsidRDefault="00B4551D" w:rsidP="00B4551D">
      <w:pPr>
        <w:pStyle w:val="BRL-Standard"/>
      </w:pPr>
    </w:p>
    <w:p w14:paraId="7D3DD98F" w14:textId="77777777" w:rsidR="00B4551D" w:rsidRPr="0009445C" w:rsidRDefault="00B4551D" w:rsidP="00600F53">
      <w:pPr>
        <w:pStyle w:val="BRL-berschrift"/>
      </w:pPr>
      <w:r w:rsidRPr="0009445C">
        <w:t>4</w:t>
      </w:r>
      <w:r w:rsidRPr="0009445C">
        <w:tab/>
        <w:t>Main features of the ‘ÜZ’ conformity mark</w:t>
      </w:r>
    </w:p>
    <w:p w14:paraId="48D03511" w14:textId="77777777" w:rsidR="00B4551D" w:rsidRPr="0009445C" w:rsidRDefault="00B4551D" w:rsidP="00B4551D">
      <w:pPr>
        <w:pStyle w:val="BRL-Standard"/>
      </w:pPr>
      <w:r w:rsidRPr="0009445C">
        <w:t>In the m</w:t>
      </w:r>
      <w:r w:rsidRPr="0009445C">
        <w:noBreakHyphen/>
        <w:t>ark of conformity of a roller shutter box which complies with the requirements of Sections 1 and 2, the heat transfer coefficient </w:t>
      </w:r>
      <w:proofErr w:type="spellStart"/>
      <w:r w:rsidRPr="0009445C">
        <w:t>U</w:t>
      </w:r>
      <w:r w:rsidRPr="0009445C">
        <w:rPr>
          <w:vertAlign w:val="subscript"/>
        </w:rPr>
        <w:t>sb</w:t>
      </w:r>
      <w:proofErr w:type="spellEnd"/>
      <w:r w:rsidRPr="0009445C">
        <w:t xml:space="preserve"> is to be indicated as an essential feature in roller shutter boxes with sound insulation properties in accordance with Section 3, in addition to the rated sound insulation</w:t>
      </w:r>
      <w:r w:rsidRPr="0009445C">
        <w:noBreakHyphen/>
        <w:t>value ‘R</w:t>
      </w:r>
      <w:r w:rsidRPr="0009445C">
        <w:rPr>
          <w:vertAlign w:val="subscript"/>
        </w:rPr>
        <w:t>W </w:t>
      </w:r>
      <w:r w:rsidRPr="0009445C">
        <w:t>= ...’</w:t>
      </w:r>
    </w:p>
    <w:p w14:paraId="7690993A" w14:textId="77777777" w:rsidR="00B4551D" w:rsidRPr="0009445C" w:rsidRDefault="00B4551D" w:rsidP="00B4551D">
      <w:pPr>
        <w:pStyle w:val="BRL-Standard"/>
      </w:pPr>
    </w:p>
    <w:p w14:paraId="24532DEC" w14:textId="77777777" w:rsidR="00B4551D" w:rsidRPr="0009445C" w:rsidRDefault="00B4551D" w:rsidP="00B4551D">
      <w:pPr>
        <w:pStyle w:val="BRL-Standard"/>
      </w:pPr>
      <w:r w:rsidRPr="0009445C">
        <w:t xml:space="preserve">The key features of the </w:t>
      </w:r>
      <w:r w:rsidRPr="0009445C">
        <w:noBreakHyphen/>
        <w:t>mark of conformity also include the information for combining roller shutter boxes with roller shutter box covers.</w:t>
      </w:r>
    </w:p>
    <w:p w14:paraId="26158749" w14:textId="77777777" w:rsidR="00B4551D" w:rsidRPr="0009445C" w:rsidRDefault="00B4551D" w:rsidP="00B4551D">
      <w:pPr>
        <w:pStyle w:val="BRL-Standard"/>
      </w:pPr>
    </w:p>
    <w:p w14:paraId="22F3B91D" w14:textId="77777777" w:rsidR="00B4551D" w:rsidRPr="0009445C" w:rsidRDefault="00B4551D" w:rsidP="00B4551D">
      <w:pPr>
        <w:pStyle w:val="BRL-Standard"/>
      </w:pPr>
      <w:r w:rsidRPr="0009445C">
        <w:t>For roller shutter boxes with a static support function in the structure, the regulations for marking in accordance with the relevant Technical Rule must also be observed.</w:t>
      </w:r>
    </w:p>
    <w:p w14:paraId="7B114CD9" w14:textId="77777777" w:rsidR="00B4551D" w:rsidRPr="0009445C" w:rsidRDefault="00B4551D" w:rsidP="00742443">
      <w:pPr>
        <w:pStyle w:val="BRL-Funote"/>
        <w:widowControl w:val="0"/>
        <w:rPr>
          <w:sz w:val="18"/>
          <w:szCs w:val="18"/>
        </w:rPr>
        <w:sectPr w:rsidR="00B4551D" w:rsidRPr="0009445C" w:rsidSect="00744176">
          <w:headerReference w:type="first" r:id="rId210"/>
          <w:footerReference w:type="first" r:id="rId211"/>
          <w:pgSz w:w="11906" w:h="16838"/>
          <w:pgMar w:top="1134" w:right="1418" w:bottom="1134" w:left="1418" w:header="709" w:footer="709" w:gutter="0"/>
          <w:cols w:space="708"/>
          <w:titlePg/>
          <w:docGrid w:linePitch="360"/>
        </w:sectPr>
      </w:pPr>
    </w:p>
    <w:p w14:paraId="61BE0D54" w14:textId="0D448025" w:rsidR="00B47442" w:rsidRPr="0009445C" w:rsidRDefault="00B47442" w:rsidP="00BA2FAB">
      <w:pPr>
        <w:pStyle w:val="Heading2"/>
      </w:pPr>
      <w:bookmarkStart w:id="72" w:name="_Ref24536574"/>
      <w:r w:rsidRPr="0009445C">
        <w:lastRenderedPageBreak/>
        <w:t>Annex 14</w:t>
      </w:r>
      <w:bookmarkEnd w:id="72"/>
    </w:p>
    <w:p w14:paraId="531229F4" w14:textId="77777777" w:rsidR="00B47442" w:rsidRPr="0009445C" w:rsidRDefault="00B47442" w:rsidP="00B47442">
      <w:pPr>
        <w:pStyle w:val="berschrift2Titelseite"/>
        <w:rPr>
          <w:b/>
          <w:color w:val="auto"/>
        </w:rPr>
      </w:pPr>
      <w:bookmarkStart w:id="73" w:name="Anhang14"/>
      <w:r w:rsidRPr="0009445C">
        <w:rPr>
          <w:b/>
          <w:color w:val="auto"/>
        </w:rPr>
        <w:t>Technical Rule on Technical Building Equipment (</w:t>
      </w:r>
      <w:proofErr w:type="spellStart"/>
      <w:r w:rsidRPr="0009445C">
        <w:rPr>
          <w:b/>
          <w:color w:val="auto"/>
        </w:rPr>
        <w:t>Technische</w:t>
      </w:r>
      <w:proofErr w:type="spellEnd"/>
      <w:r w:rsidRPr="0009445C">
        <w:rPr>
          <w:b/>
          <w:color w:val="auto"/>
        </w:rPr>
        <w:t xml:space="preserve"> Regel </w:t>
      </w:r>
      <w:proofErr w:type="spellStart"/>
      <w:r w:rsidRPr="0009445C">
        <w:rPr>
          <w:b/>
          <w:color w:val="auto"/>
        </w:rPr>
        <w:t>Technische</w:t>
      </w:r>
      <w:proofErr w:type="spellEnd"/>
      <w:r w:rsidRPr="0009445C">
        <w:rPr>
          <w:b/>
          <w:color w:val="auto"/>
        </w:rPr>
        <w:t xml:space="preserve"> </w:t>
      </w:r>
      <w:proofErr w:type="spellStart"/>
      <w:r w:rsidRPr="0009445C">
        <w:rPr>
          <w:b/>
          <w:color w:val="auto"/>
        </w:rPr>
        <w:t>Gebäudeausrüstung</w:t>
      </w:r>
      <w:proofErr w:type="spellEnd"/>
      <w:r w:rsidRPr="0009445C">
        <w:rPr>
          <w:b/>
          <w:color w:val="auto"/>
        </w:rPr>
        <w:t xml:space="preserve"> [TR TGA])</w:t>
      </w:r>
      <w:bookmarkEnd w:id="73"/>
    </w:p>
    <w:p w14:paraId="7AE058B1" w14:textId="1D1DEBDB" w:rsidR="00B47442" w:rsidRPr="0009445C" w:rsidRDefault="00B47442" w:rsidP="00B47442">
      <w:pPr>
        <w:rPr>
          <w:szCs w:val="18"/>
        </w:rPr>
      </w:pPr>
      <w:bookmarkStart w:id="74" w:name="Anhang14_Stand"/>
      <w:r w:rsidRPr="0009445C">
        <w:t xml:space="preserve">Last updated: </w:t>
      </w:r>
      <w:bookmarkEnd w:id="74"/>
      <w:r w:rsidRPr="0009445C">
        <w:t>April 2022</w:t>
      </w:r>
    </w:p>
    <w:p w14:paraId="0BB78374" w14:textId="77777777" w:rsidR="00B47442" w:rsidRPr="0009445C" w:rsidRDefault="00B47442" w:rsidP="00B47442">
      <w:pPr>
        <w:pStyle w:val="BRL-Standard"/>
      </w:pPr>
    </w:p>
    <w:p w14:paraId="1A3AA414" w14:textId="77777777" w:rsidR="00B47442" w:rsidRPr="0009445C" w:rsidRDefault="00B47442" w:rsidP="00B47442">
      <w:pPr>
        <w:pStyle w:val="BRL-Standard"/>
      </w:pPr>
    </w:p>
    <w:p w14:paraId="56B549D0" w14:textId="77777777" w:rsidR="00B47442" w:rsidRPr="0009445C" w:rsidRDefault="00B47442" w:rsidP="00B47442">
      <w:pPr>
        <w:pStyle w:val="BRL-Standard"/>
      </w:pPr>
    </w:p>
    <w:p w14:paraId="03DD9366" w14:textId="77777777" w:rsidR="00B47442" w:rsidRPr="0009445C" w:rsidRDefault="00B47442" w:rsidP="00B47442">
      <w:pPr>
        <w:pStyle w:val="BRL-Standard"/>
      </w:pPr>
    </w:p>
    <w:p w14:paraId="666C5392" w14:textId="77777777" w:rsidR="00B47442" w:rsidRPr="0009445C" w:rsidRDefault="00B47442" w:rsidP="00B47442">
      <w:pPr>
        <w:pStyle w:val="BRL-Standard"/>
        <w:rPr>
          <w:b/>
        </w:rPr>
      </w:pPr>
      <w:r w:rsidRPr="0009445C">
        <w:rPr>
          <w:b/>
        </w:rPr>
        <w:t>CONTENTS</w:t>
      </w:r>
    </w:p>
    <w:p w14:paraId="64CEE59F" w14:textId="77777777" w:rsidR="00B47442" w:rsidRPr="0009445C" w:rsidRDefault="00B47442" w:rsidP="00B47442">
      <w:pPr>
        <w:pStyle w:val="BRL-Standard"/>
      </w:pPr>
    </w:p>
    <w:p w14:paraId="704BFFF1" w14:textId="77777777" w:rsidR="00B47442" w:rsidRPr="0009445C" w:rsidRDefault="00B47442" w:rsidP="00B47442">
      <w:pPr>
        <w:pStyle w:val="BRL-Standard"/>
        <w:spacing w:beforeLines="100" w:before="240"/>
      </w:pPr>
      <w:r w:rsidRPr="0009445C">
        <w:t>1</w:t>
      </w:r>
      <w:r w:rsidRPr="0009445C">
        <w:tab/>
        <w:t>COMBUSTION PLANTS</w:t>
      </w:r>
    </w:p>
    <w:p w14:paraId="2EA6B212" w14:textId="77777777" w:rsidR="00B47442" w:rsidRPr="0009445C" w:rsidRDefault="00B47442" w:rsidP="00B47442">
      <w:pPr>
        <w:pStyle w:val="BRL-Standard"/>
        <w:spacing w:beforeLines="100" w:before="240"/>
      </w:pPr>
      <w:r w:rsidRPr="0009445C">
        <w:t>2</w:t>
      </w:r>
      <w:r w:rsidRPr="0009445C">
        <w:tab/>
        <w:t>FIRE ALARM SYSTEMS</w:t>
      </w:r>
    </w:p>
    <w:p w14:paraId="4C0A1735" w14:textId="77777777" w:rsidR="00B47442" w:rsidRPr="0009445C" w:rsidRDefault="00B47442" w:rsidP="00B47442">
      <w:pPr>
        <w:pStyle w:val="BRL-Standard"/>
        <w:spacing w:beforeLines="100" w:before="240"/>
      </w:pPr>
      <w:r w:rsidRPr="0009445C">
        <w:t>3</w:t>
      </w:r>
      <w:r w:rsidRPr="0009445C">
        <w:tab/>
        <w:t>ALARM SYSTEMS</w:t>
      </w:r>
    </w:p>
    <w:p w14:paraId="3A292EB6" w14:textId="77777777" w:rsidR="00B47442" w:rsidRPr="0009445C" w:rsidRDefault="00B47442" w:rsidP="00B47442">
      <w:pPr>
        <w:pStyle w:val="BRL-Standard"/>
        <w:spacing w:beforeLines="100" w:before="240"/>
      </w:pPr>
      <w:r w:rsidRPr="0009445C">
        <w:t>4</w:t>
      </w:r>
      <w:r w:rsidRPr="0009445C">
        <w:tab/>
        <w:t>EMERGENCY LIGHTING SYSTEMS</w:t>
      </w:r>
    </w:p>
    <w:p w14:paraId="58F1C984" w14:textId="77777777" w:rsidR="00B47442" w:rsidRPr="0009445C" w:rsidRDefault="00B47442" w:rsidP="00B47442">
      <w:pPr>
        <w:pStyle w:val="BRL-Standard"/>
        <w:spacing w:beforeLines="100" w:before="240"/>
      </w:pPr>
      <w:r w:rsidRPr="0009445C">
        <w:t>5</w:t>
      </w:r>
      <w:r w:rsidRPr="0009445C">
        <w:tab/>
        <w:t>EMERGENCY POWER SUPPLY SYSTEMS</w:t>
      </w:r>
    </w:p>
    <w:p w14:paraId="4ECCBF25" w14:textId="77777777" w:rsidR="00B47442" w:rsidRPr="0009445C" w:rsidRDefault="00B47442" w:rsidP="00B47442">
      <w:pPr>
        <w:pStyle w:val="BRL-Standard"/>
        <w:spacing w:beforeLines="100" w:before="240"/>
      </w:pPr>
      <w:r w:rsidRPr="0009445C">
        <w:t>6</w:t>
      </w:r>
      <w:r w:rsidRPr="0009445C">
        <w:tab/>
        <w:t>VENTILATION SYSTEMS</w:t>
      </w:r>
    </w:p>
    <w:p w14:paraId="1FCDC164" w14:textId="77777777" w:rsidR="00B47442" w:rsidRPr="0009445C" w:rsidRDefault="00B47442" w:rsidP="00B47442">
      <w:pPr>
        <w:pStyle w:val="BRL-Standard"/>
        <w:spacing w:beforeLines="100" w:before="240"/>
      </w:pPr>
      <w:r w:rsidRPr="0009445C">
        <w:t>7</w:t>
      </w:r>
      <w:r w:rsidRPr="0009445C">
        <w:tab/>
        <w:t>SMOKE EXTRACTION SYSTEMS AND SMOKE EXTRACTORS</w:t>
      </w:r>
    </w:p>
    <w:p w14:paraId="3380CFBA" w14:textId="77777777" w:rsidR="00B47442" w:rsidRPr="0009445C" w:rsidRDefault="00B47442" w:rsidP="00B47442">
      <w:pPr>
        <w:pStyle w:val="BRL-Standard"/>
        <w:spacing w:beforeLines="100" w:before="240"/>
      </w:pPr>
      <w:r w:rsidRPr="0009445C">
        <w:t>8</w:t>
      </w:r>
      <w:r w:rsidRPr="0009445C">
        <w:tab/>
        <w:t>PRESSURE VENTILATION SYSTEMS</w:t>
      </w:r>
    </w:p>
    <w:p w14:paraId="6FADE776" w14:textId="77777777" w:rsidR="00B47442" w:rsidRPr="0009445C" w:rsidRDefault="00B47442" w:rsidP="00B47442">
      <w:pPr>
        <w:pStyle w:val="BRL-Standard"/>
        <w:spacing w:beforeLines="100" w:before="240"/>
      </w:pPr>
      <w:r w:rsidRPr="0009445C">
        <w:t>9</w:t>
      </w:r>
      <w:r w:rsidRPr="0009445C">
        <w:tab/>
        <w:t>CO-WARNING SYSTEMS</w:t>
      </w:r>
    </w:p>
    <w:p w14:paraId="7D959259" w14:textId="77777777" w:rsidR="00B47442" w:rsidRPr="0009445C" w:rsidRDefault="00B47442" w:rsidP="00B47442">
      <w:pPr>
        <w:pStyle w:val="BRL-Standard"/>
        <w:spacing w:beforeLines="100" w:before="240"/>
        <w:rPr>
          <w:sz w:val="24"/>
          <w:szCs w:val="24"/>
        </w:rPr>
      </w:pPr>
      <w:r w:rsidRPr="0009445C">
        <w:t>10</w:t>
      </w:r>
      <w:r w:rsidRPr="0009445C">
        <w:tab/>
        <w:t>FIRE EXTINGUISHING SYSTEMS</w:t>
      </w:r>
    </w:p>
    <w:p w14:paraId="6E1C6387" w14:textId="77777777" w:rsidR="00B47442" w:rsidRPr="0009445C" w:rsidRDefault="00B47442" w:rsidP="00B47442">
      <w:pPr>
        <w:spacing w:after="200"/>
      </w:pPr>
    </w:p>
    <w:p w14:paraId="52233458" w14:textId="77777777" w:rsidR="00B47442" w:rsidRPr="0009445C" w:rsidRDefault="00B47442" w:rsidP="00B47442">
      <w:pPr>
        <w:spacing w:after="200"/>
        <w:sectPr w:rsidR="00B47442" w:rsidRPr="0009445C" w:rsidSect="0099521D">
          <w:headerReference w:type="even" r:id="rId212"/>
          <w:headerReference w:type="default" r:id="rId213"/>
          <w:footerReference w:type="default" r:id="rId214"/>
          <w:headerReference w:type="first" r:id="rId215"/>
          <w:pgSz w:w="11906" w:h="16838"/>
          <w:pgMar w:top="1418" w:right="1134" w:bottom="851" w:left="1418" w:header="851" w:footer="425" w:gutter="0"/>
          <w:cols w:space="720"/>
        </w:sectPr>
      </w:pPr>
    </w:p>
    <w:p w14:paraId="2B9BE904" w14:textId="77777777" w:rsidR="00B47442" w:rsidRPr="0009445C" w:rsidRDefault="00B47442" w:rsidP="00600F53">
      <w:pPr>
        <w:pStyle w:val="BRL-berschrift"/>
      </w:pPr>
      <w:bookmarkStart w:id="75" w:name="_Toc515022691"/>
      <w:bookmarkStart w:id="76" w:name="_Toc515022795"/>
      <w:bookmarkStart w:id="77" w:name="_Toc515022935"/>
      <w:bookmarkStart w:id="78" w:name="_Toc515023409"/>
      <w:bookmarkStart w:id="79" w:name="_Toc515023523"/>
      <w:bookmarkStart w:id="80" w:name="_Toc515443621"/>
      <w:r w:rsidRPr="0009445C">
        <w:lastRenderedPageBreak/>
        <w:t>1</w:t>
      </w:r>
      <w:r w:rsidRPr="0009445C">
        <w:tab/>
        <w:t>Furnaces</w:t>
      </w:r>
      <w:bookmarkEnd w:id="75"/>
      <w:bookmarkEnd w:id="76"/>
      <w:bookmarkEnd w:id="77"/>
      <w:bookmarkEnd w:id="78"/>
      <w:bookmarkEnd w:id="79"/>
      <w:bookmarkEnd w:id="80"/>
    </w:p>
    <w:p w14:paraId="1746F827" w14:textId="77777777" w:rsidR="00B47442" w:rsidRPr="0009445C" w:rsidRDefault="00B47442" w:rsidP="00600F53">
      <w:pPr>
        <w:pStyle w:val="BRL-berschrift"/>
        <w:rPr>
          <w:rFonts w:eastAsia="Calibri"/>
        </w:rPr>
      </w:pPr>
      <w:r w:rsidRPr="0009445C">
        <w:t>1.1</w:t>
      </w:r>
      <w:r w:rsidRPr="0009445C">
        <w:tab/>
        <w:t>Purpose of the installation</w:t>
      </w:r>
    </w:p>
    <w:p w14:paraId="18AA9E67" w14:textId="77777777" w:rsidR="00B47442" w:rsidRPr="0009445C" w:rsidRDefault="00B47442" w:rsidP="00B47442">
      <w:pPr>
        <w:pStyle w:val="BRL-Standard"/>
        <w:rPr>
          <w:rFonts w:eastAsia="Calibri"/>
        </w:rPr>
      </w:pPr>
      <w:r w:rsidRPr="0009445C">
        <w:t>Combustion plants consist of fixed furnaces and exhaust systems. Combustion plants generate heat by burning liquid, gaseous, or solid fuels. Installations and facilities connected to fixed fuel supply lines via flexible lines are also considered to be fixed. Other heat-producing systems are fixed combustion engines, combined heat and power plants, fuel cells, and compressors.</w:t>
      </w:r>
    </w:p>
    <w:p w14:paraId="648B8BAA" w14:textId="77777777" w:rsidR="00B47442" w:rsidRPr="0009445C" w:rsidRDefault="00B47442" w:rsidP="00B47442">
      <w:pPr>
        <w:pStyle w:val="BRL-Standard"/>
        <w:rPr>
          <w:rFonts w:eastAsia="Calibri"/>
          <w:lang w:eastAsia="en-US"/>
        </w:rPr>
      </w:pPr>
    </w:p>
    <w:p w14:paraId="5879E614" w14:textId="77777777" w:rsidR="00B47442" w:rsidRPr="0009445C" w:rsidRDefault="00B47442" w:rsidP="00600F53">
      <w:pPr>
        <w:pStyle w:val="BRL-berschrift"/>
        <w:rPr>
          <w:rFonts w:eastAsia="Calibri"/>
        </w:rPr>
      </w:pPr>
      <w:r w:rsidRPr="0009445C">
        <w:t>1.2</w:t>
      </w:r>
      <w:r w:rsidRPr="0009445C">
        <w:tab/>
        <w:t>Operational and fire safety</w:t>
      </w:r>
      <w:r w:rsidRPr="0009445C">
        <w:rPr>
          <w:strike/>
        </w:rPr>
        <w:t xml:space="preserve"> </w:t>
      </w:r>
    </w:p>
    <w:p w14:paraId="577C67A1" w14:textId="77777777" w:rsidR="00B47442" w:rsidRPr="0009445C" w:rsidRDefault="00B47442" w:rsidP="00B47442">
      <w:pPr>
        <w:pStyle w:val="BRL-Standard"/>
        <w:rPr>
          <w:rFonts w:eastAsia="Calibri"/>
        </w:rPr>
      </w:pPr>
      <w:r w:rsidRPr="0009445C">
        <w:t>For operational and fire safety, combustion plants must be constructed in accordance with generally accepted technical best practices and the use of suitable construction products. In doing so, the requirements of the Technical Rule included in the MVV TB under ser. No A 2.2.1.12 must be observed, including in terms of combustion air supply, placement of combustion plants, distances to combustible building materials, exhaust gas discharge, and fire resistance between storeys.</w:t>
      </w:r>
    </w:p>
    <w:p w14:paraId="5AA06793" w14:textId="77777777" w:rsidR="00B47442" w:rsidRPr="0009445C" w:rsidRDefault="00B47442" w:rsidP="00B47442">
      <w:pPr>
        <w:pStyle w:val="BRL-Standard"/>
        <w:rPr>
          <w:rFonts w:eastAsia="Calibri"/>
          <w:lang w:eastAsia="en-US"/>
        </w:rPr>
      </w:pPr>
    </w:p>
    <w:p w14:paraId="56B2554E" w14:textId="77777777" w:rsidR="00B47442" w:rsidRPr="0009445C" w:rsidRDefault="00B47442" w:rsidP="00B47442">
      <w:pPr>
        <w:pStyle w:val="BRL-Standard"/>
        <w:rPr>
          <w:rFonts w:eastAsia="Calibri"/>
        </w:rPr>
      </w:pPr>
      <w:r w:rsidRPr="0009445C">
        <w:t xml:space="preserve">Electrically powered parts, such as motors, sensors and switches, shall be designed, insulated and protected accordingly; this also applies to influences due to moisture and cold or heat loads. </w:t>
      </w:r>
    </w:p>
    <w:p w14:paraId="127F888D" w14:textId="77777777" w:rsidR="00B47442" w:rsidRPr="0009445C" w:rsidRDefault="00B47442" w:rsidP="00B47442">
      <w:pPr>
        <w:pStyle w:val="BRL-Standard"/>
        <w:rPr>
          <w:rFonts w:eastAsia="Calibri"/>
          <w:lang w:eastAsia="en-US"/>
        </w:rPr>
      </w:pPr>
    </w:p>
    <w:p w14:paraId="41A63C53" w14:textId="77777777" w:rsidR="00B47442" w:rsidRPr="0009445C" w:rsidRDefault="00B47442" w:rsidP="00B47442">
      <w:pPr>
        <w:pStyle w:val="BRL-Standard"/>
        <w:rPr>
          <w:rFonts w:eastAsia="Calibri"/>
        </w:rPr>
      </w:pPr>
      <w:r w:rsidRPr="0009445C">
        <w:t>Sub-installations used for the conveyance of fuels shall be designed in such a way that fuels cannot ignite themselves in these sub-installations or in the fuel accumulators in front of them.</w:t>
      </w:r>
    </w:p>
    <w:p w14:paraId="21651159" w14:textId="77777777" w:rsidR="00B47442" w:rsidRPr="0009445C" w:rsidRDefault="00B47442" w:rsidP="00B47442">
      <w:pPr>
        <w:pStyle w:val="BRL-Standard"/>
        <w:rPr>
          <w:rFonts w:eastAsia="Calibri"/>
          <w:lang w:eastAsia="en-US"/>
        </w:rPr>
      </w:pPr>
    </w:p>
    <w:p w14:paraId="3D574AF7" w14:textId="77777777" w:rsidR="00B47442" w:rsidRPr="0009445C" w:rsidRDefault="00B47442" w:rsidP="00600F53">
      <w:pPr>
        <w:pStyle w:val="BRL-berschrift"/>
        <w:rPr>
          <w:rFonts w:eastAsia="Calibri"/>
        </w:rPr>
      </w:pPr>
      <w:r w:rsidRPr="0009445C">
        <w:t>1.3</w:t>
      </w:r>
      <w:r w:rsidRPr="0009445C">
        <w:tab/>
        <w:t>Setting up combustion plants</w:t>
      </w:r>
    </w:p>
    <w:p w14:paraId="58E3B215" w14:textId="77777777" w:rsidR="00B47442" w:rsidRPr="0009445C" w:rsidRDefault="00B47442" w:rsidP="00B47442">
      <w:pPr>
        <w:pStyle w:val="BRL-Standard"/>
        <w:rPr>
          <w:rFonts w:eastAsia="Calibri"/>
        </w:rPr>
      </w:pPr>
      <w:r w:rsidRPr="0009445C">
        <w:t xml:space="preserve">Detailed requirements for the design and permitted uses of installation areas for combustion plants are specified in the Technical Rule included in the MVV TB under ser. No A 2.2.1.12. </w:t>
      </w:r>
    </w:p>
    <w:p w14:paraId="3233ACFE" w14:textId="77777777" w:rsidR="00B47442" w:rsidRPr="0009445C" w:rsidRDefault="00B47442" w:rsidP="00B47442">
      <w:pPr>
        <w:pStyle w:val="BRL-Standard"/>
        <w:rPr>
          <w:rFonts w:eastAsia="Calibri"/>
        </w:rPr>
      </w:pPr>
      <w:r w:rsidRPr="0009445C">
        <w:t>Boiler rooms are required according to the Technical Rule included in the MVV TB in under ser. No A 2.2.1.12 if solid fuels are used and performance limits are exceeded.</w:t>
      </w:r>
    </w:p>
    <w:p w14:paraId="03804C31" w14:textId="77777777" w:rsidR="00B47442" w:rsidRPr="0009445C" w:rsidRDefault="00B47442" w:rsidP="00B47442">
      <w:pPr>
        <w:pStyle w:val="BRL-Standard"/>
        <w:rPr>
          <w:rFonts w:eastAsia="Calibri"/>
          <w:lang w:eastAsia="en-US"/>
        </w:rPr>
      </w:pPr>
    </w:p>
    <w:p w14:paraId="6BF7A4F4" w14:textId="77777777" w:rsidR="00B47442" w:rsidRPr="0009445C" w:rsidRDefault="00B47442" w:rsidP="00600F53">
      <w:pPr>
        <w:pStyle w:val="BRL-berschrift"/>
        <w:rPr>
          <w:rFonts w:eastAsia="Calibri"/>
        </w:rPr>
      </w:pPr>
      <w:r w:rsidRPr="0009445C">
        <w:t>1.4</w:t>
      </w:r>
      <w:r w:rsidRPr="0009445C">
        <w:tab/>
        <w:t xml:space="preserve">Spread of fire and safe exhaust discharge </w:t>
      </w:r>
    </w:p>
    <w:p w14:paraId="1680047A" w14:textId="77777777" w:rsidR="00B47442" w:rsidRPr="0009445C" w:rsidRDefault="00B47442" w:rsidP="00B47442">
      <w:pPr>
        <w:pStyle w:val="BRL-Standard"/>
        <w:rPr>
          <w:rFonts w:eastAsia="Calibri"/>
        </w:rPr>
      </w:pPr>
      <w:r w:rsidRPr="0009445C">
        <w:t>To prevent the spread of fire and to ensure that exhaust gases are properly discharged, the provisions of the Technical Rule included in the MVV TB in ser. No A 2.2.1.12 must be observed.</w:t>
      </w:r>
    </w:p>
    <w:p w14:paraId="48387C16" w14:textId="77777777" w:rsidR="00B47442" w:rsidRPr="0009445C" w:rsidRDefault="00B47442" w:rsidP="00B47442">
      <w:pPr>
        <w:pStyle w:val="BRL-Standard"/>
        <w:rPr>
          <w:rFonts w:eastAsia="Calibri"/>
          <w:lang w:eastAsia="en-US"/>
        </w:rPr>
      </w:pPr>
    </w:p>
    <w:p w14:paraId="39FD2193" w14:textId="77777777" w:rsidR="00B47442" w:rsidRPr="0009445C" w:rsidRDefault="00B47442" w:rsidP="00600F53">
      <w:pPr>
        <w:pStyle w:val="BRL-berschrift"/>
        <w:rPr>
          <w:rFonts w:eastAsia="Calibri"/>
        </w:rPr>
      </w:pPr>
      <w:r w:rsidRPr="0009445C">
        <w:t>1.5</w:t>
      </w:r>
      <w:r w:rsidRPr="0009445C">
        <w:tab/>
        <w:t>Fuel supply and storage</w:t>
      </w:r>
    </w:p>
    <w:p w14:paraId="3EFDC61D" w14:textId="77777777" w:rsidR="00B47442" w:rsidRPr="0009445C" w:rsidRDefault="00B47442" w:rsidP="00B47442">
      <w:pPr>
        <w:pStyle w:val="BRL-Standard"/>
        <w:rPr>
          <w:rFonts w:eastAsia="Calibri"/>
        </w:rPr>
      </w:pPr>
      <w:r w:rsidRPr="0009445C">
        <w:t>The requirements of the Technical Rule referred to in the MVV TB under ser. No A 2.2.1.12 shall be complied with for all fuels. In particular, the requirements on the storage of fuels, including with regard to the provisions of the Product Safety Act [</w:t>
      </w:r>
      <w:proofErr w:type="spellStart"/>
      <w:r w:rsidRPr="0009445C">
        <w:t>Produktsicherheitsgesetz</w:t>
      </w:r>
      <w:proofErr w:type="spellEnd"/>
      <w:r w:rsidRPr="0009445C">
        <w:t>], must be observed.</w:t>
      </w:r>
    </w:p>
    <w:p w14:paraId="28A62BD7" w14:textId="77777777" w:rsidR="00B47442" w:rsidRPr="0009445C" w:rsidRDefault="00B47442" w:rsidP="00B47442">
      <w:pPr>
        <w:pStyle w:val="BRL-Standard"/>
        <w:rPr>
          <w:rFonts w:eastAsia="Calibri"/>
        </w:rPr>
      </w:pPr>
      <w:r w:rsidRPr="0009445C">
        <w:t xml:space="preserve">The building inspection requirements for the supply and connection of combustion plants for gas and liquid gas as fuels shall be considered fulfilled if the technical regulations of the German Gas and Water Specialist Association (DVGW) or the German Liquid Gas Specialist Association (DVFG) have been followed in the construction of the fuel supply system. </w:t>
      </w:r>
    </w:p>
    <w:p w14:paraId="09ECA0C3" w14:textId="77777777" w:rsidR="00B47442" w:rsidRPr="0009445C" w:rsidRDefault="00B47442" w:rsidP="00B47442">
      <w:pPr>
        <w:pStyle w:val="BRL-Standard"/>
        <w:rPr>
          <w:rFonts w:eastAsia="Calibri"/>
          <w:b/>
          <w:lang w:eastAsia="en-US"/>
        </w:rPr>
      </w:pPr>
    </w:p>
    <w:p w14:paraId="55E02185" w14:textId="77777777" w:rsidR="00B47442" w:rsidRPr="0009445C" w:rsidRDefault="00B47442" w:rsidP="00600F53">
      <w:pPr>
        <w:pStyle w:val="BRL-berschrift"/>
        <w:rPr>
          <w:rFonts w:eastAsia="Calibri"/>
        </w:rPr>
      </w:pPr>
      <w:r w:rsidRPr="0009445C">
        <w:t>1.6</w:t>
      </w:r>
      <w:r w:rsidRPr="0009445C">
        <w:tab/>
        <w:t>Essential requirements</w:t>
      </w:r>
    </w:p>
    <w:p w14:paraId="1272CC80" w14:textId="77777777" w:rsidR="00B47442" w:rsidRPr="0009445C" w:rsidRDefault="00B47442" w:rsidP="00600F53">
      <w:pPr>
        <w:pStyle w:val="BRL-berschrift"/>
        <w:rPr>
          <w:rFonts w:eastAsia="Calibri"/>
        </w:rPr>
      </w:pPr>
      <w:r w:rsidRPr="0009445C">
        <w:t>1.6.1</w:t>
      </w:r>
      <w:r w:rsidRPr="0009445C">
        <w:tab/>
        <w:t>Essential requirements for combustion plants</w:t>
      </w:r>
    </w:p>
    <w:p w14:paraId="591C1487" w14:textId="77EFA6E5" w:rsidR="00B47442" w:rsidRPr="0009445C" w:rsidRDefault="00B47442" w:rsidP="00B47442">
      <w:pPr>
        <w:pStyle w:val="BRL-Standard"/>
        <w:rPr>
          <w:rFonts w:eastAsia="Calibri"/>
        </w:rPr>
      </w:pPr>
      <w:r w:rsidRPr="0009445C">
        <w:t>Proof that the exhaust gases from fireplaces in all intended operating conditions are discharged flawlessly into the open and that there is no dangerous overpressure compared to rooms is to be carried out on the basis of DIN EN 13384</w:t>
      </w:r>
      <w:r w:rsidRPr="0009445C">
        <w:noBreakHyphen/>
        <w:t xml:space="preserve"> 1:2019-09 or DIN EN 13384-2:2019-09.</w:t>
      </w:r>
    </w:p>
    <w:p w14:paraId="254C6A91" w14:textId="77777777" w:rsidR="00B47442" w:rsidRPr="0009445C" w:rsidRDefault="00B47442" w:rsidP="00B47442">
      <w:pPr>
        <w:pStyle w:val="BRL-Standard"/>
        <w:rPr>
          <w:rFonts w:eastAsia="Calibri"/>
        </w:rPr>
      </w:pPr>
      <w:r w:rsidRPr="0009445C">
        <w:t xml:space="preserve">Adequate combustion air supply for the operation of open-flue furnaces shall be ensured, taking account of building </w:t>
      </w:r>
      <w:proofErr w:type="spellStart"/>
      <w:r w:rsidRPr="0009445C">
        <w:t>impermeability</w:t>
      </w:r>
      <w:proofErr w:type="spellEnd"/>
      <w:r w:rsidRPr="0009445C">
        <w:t xml:space="preserve"> and in compliance with the Technical Rule included in the MVV TB under ser. No A 2.2.1.12. Operational safety of open-flue combustion plants must not be affected by the operation of ambient air extraction systems such as ventilation or warm air heating systems, extractor hoods and tumble dryer exhausts.</w:t>
      </w:r>
    </w:p>
    <w:p w14:paraId="7FA10940" w14:textId="71F8CF3B" w:rsidR="00B47442" w:rsidRPr="0009445C" w:rsidRDefault="00B47442" w:rsidP="00B47442">
      <w:pPr>
        <w:pStyle w:val="BRL-Standard"/>
        <w:rPr>
          <w:rFonts w:eastAsia="Calibri"/>
        </w:rPr>
      </w:pPr>
      <w:r w:rsidRPr="0009445C">
        <w:t>In room-sealed combustion plants, the required combustion air shall be supplied via air-tight ducts directly from the outside or via an air shaft, e.g. an air-exhaust system and a connecting line: it must not be taken from the installation areas of the combustion plants. Proof of sufficient combustion air supply for the operation of room-sealed combustion plants shall be carried out in accordance with DIN EN 13384</w:t>
      </w:r>
      <w:r w:rsidRPr="0009445C">
        <w:noBreakHyphen/>
        <w:t>1:2019-09 or DIN EN 13384-2:2019-09 respectively.</w:t>
      </w:r>
    </w:p>
    <w:p w14:paraId="5FECCE84" w14:textId="77777777" w:rsidR="00B47442" w:rsidRPr="0009445C" w:rsidRDefault="00B47442" w:rsidP="00B47442">
      <w:pPr>
        <w:pStyle w:val="BRL-Standard"/>
        <w:rPr>
          <w:rFonts w:eastAsia="Calibri"/>
        </w:rPr>
      </w:pPr>
      <w:r w:rsidRPr="0009445C">
        <w:lastRenderedPageBreak/>
        <w:t>Room-sealed solid-fuel combustion plants may only be installed in rooms, apartments, or similar unit with systems that extract air from the room if the air supply-side design is such that no negative pressure greater than 8 Pa with respect to ambient air can be produced by the operation of the room-air extraction systems in the installation area, apartment or similar unit.</w:t>
      </w:r>
    </w:p>
    <w:p w14:paraId="1ABB77F2" w14:textId="77777777" w:rsidR="00B47442" w:rsidRPr="0009445C" w:rsidRDefault="00B47442" w:rsidP="00B47442">
      <w:pPr>
        <w:pStyle w:val="BRL-Standard"/>
        <w:rPr>
          <w:rFonts w:eastAsia="Calibri"/>
        </w:rPr>
      </w:pPr>
      <w:r w:rsidRPr="0009445C">
        <w:t>Room-sealed solid-fuel furnaces must have automatic, tight-closing doors, or other measures must be in place during operation to ensure that combustion gases cannot escape in hazardous amounts.</w:t>
      </w:r>
    </w:p>
    <w:p w14:paraId="24F53829" w14:textId="77777777" w:rsidR="00B47442" w:rsidRPr="0009445C" w:rsidRDefault="00B47442" w:rsidP="00B47442">
      <w:pPr>
        <w:pStyle w:val="BRL-Standard"/>
        <w:rPr>
          <w:rFonts w:eastAsia="Calibri"/>
        </w:rPr>
      </w:pPr>
      <w:r w:rsidRPr="0009445C">
        <w:t xml:space="preserve">Due to their mode of operation, room-sealed furnaces may also be installed in service units which are permanently sealed in accordance with the state of the art and in service units equipped with mechanical ventilation systems. </w:t>
      </w:r>
    </w:p>
    <w:p w14:paraId="6E784E0A" w14:textId="4D515747" w:rsidR="00B47442" w:rsidRPr="0009445C" w:rsidRDefault="00B47442" w:rsidP="00B47442">
      <w:pPr>
        <w:pStyle w:val="BRL-Standard"/>
        <w:rPr>
          <w:rFonts w:eastAsia="Calibri"/>
        </w:rPr>
      </w:pPr>
      <w:r w:rsidRPr="0009445C">
        <w:t xml:space="preserve">For the establishment and operation of fireplaces, additional requirements may arise from other areas, such as the </w:t>
      </w:r>
      <w:proofErr w:type="spellStart"/>
      <w:r w:rsidRPr="0009445C">
        <w:t>immission</w:t>
      </w:r>
      <w:proofErr w:type="spellEnd"/>
      <w:r w:rsidRPr="0009445C">
        <w:t xml:space="preserve"> protection law, the building energy law and the sweeping and inspection regulations.</w:t>
      </w:r>
    </w:p>
    <w:p w14:paraId="1856CAF9" w14:textId="77777777" w:rsidR="00B47442" w:rsidRPr="0009445C" w:rsidRDefault="00B47442" w:rsidP="00B47442">
      <w:pPr>
        <w:pStyle w:val="BRL-Standard"/>
        <w:rPr>
          <w:rFonts w:eastAsia="Calibri"/>
          <w:lang w:eastAsia="en-US"/>
        </w:rPr>
      </w:pPr>
    </w:p>
    <w:p w14:paraId="54B57751" w14:textId="77777777" w:rsidR="00B47442" w:rsidRPr="0009445C" w:rsidRDefault="00B47442" w:rsidP="00600F53">
      <w:pPr>
        <w:pStyle w:val="BRL-berschrift"/>
        <w:rPr>
          <w:rFonts w:eastAsia="Calibri"/>
        </w:rPr>
      </w:pPr>
      <w:r w:rsidRPr="0009445C">
        <w:t>1.6.2</w:t>
      </w:r>
      <w:r w:rsidRPr="0009445C">
        <w:tab/>
        <w:t>Essential requirements for stand-alone safety devices</w:t>
      </w:r>
    </w:p>
    <w:p w14:paraId="50AF357E" w14:textId="77777777" w:rsidR="00B47442" w:rsidRPr="0009445C" w:rsidRDefault="00B47442" w:rsidP="00B47442">
      <w:pPr>
        <w:pStyle w:val="BRL-Standard"/>
        <w:rPr>
          <w:rFonts w:eastAsia="Calibri"/>
        </w:rPr>
      </w:pPr>
      <w:r w:rsidRPr="0009445C">
        <w:t>In order to ensure safe overall operation of ventilation systems, including indoor air-extracting installations, such as extractor hoods or tumble dryer exhausts and open-flue furnaces, separate safety devices may be used to prevent the creation of a dangerous vacuum in the room where the furnace is installed in all operating conditions of the furnace.</w:t>
      </w:r>
    </w:p>
    <w:p w14:paraId="6CA3FF28" w14:textId="77777777" w:rsidR="00B47442" w:rsidRPr="0009445C" w:rsidRDefault="00B47442" w:rsidP="00B47442">
      <w:pPr>
        <w:pStyle w:val="BRL-Standard"/>
        <w:rPr>
          <w:rFonts w:eastAsia="Calibri"/>
          <w:lang w:eastAsia="en-US"/>
        </w:rPr>
      </w:pPr>
    </w:p>
    <w:p w14:paraId="6A80A04F" w14:textId="4756D4FD" w:rsidR="00B47442" w:rsidRPr="0009445C" w:rsidRDefault="00B47442" w:rsidP="00B47442">
      <w:pPr>
        <w:pStyle w:val="BRL-Standard"/>
        <w:rPr>
          <w:rFonts w:eastAsia="Calibri"/>
        </w:rPr>
      </w:pPr>
      <w:r w:rsidRPr="0009445C">
        <w:t>Safety devices for differential pressure measurement shall be designed in such a way that the negative pressure in the storage room is 4 Pa or less compared to the external atmosphere; in the case of fireplaces for solid fuels, the design may also be carried out in such a way that the negative pressure in the connector is 4 Pa or more compared to the installation space.</w:t>
      </w:r>
    </w:p>
    <w:p w14:paraId="6392DD6D" w14:textId="77777777" w:rsidR="00B47442" w:rsidRPr="0009445C" w:rsidRDefault="00B47442" w:rsidP="00B47442">
      <w:pPr>
        <w:pStyle w:val="BRL-Standard"/>
        <w:rPr>
          <w:rFonts w:eastAsia="Calibri"/>
          <w:lang w:eastAsia="en-US"/>
        </w:rPr>
      </w:pPr>
    </w:p>
    <w:p w14:paraId="14457990" w14:textId="77777777" w:rsidR="00B47442" w:rsidRPr="0009445C" w:rsidRDefault="00B47442" w:rsidP="00B47442">
      <w:pPr>
        <w:pStyle w:val="BRL-Standard"/>
        <w:rPr>
          <w:rFonts w:eastAsia="Calibri"/>
        </w:rPr>
      </w:pPr>
      <w:r w:rsidRPr="0009445C">
        <w:t>Safety devices using an exhaust gas temperature sensor must be designed in such a manner that the sensor triggers differential pressure measurement, position monitoring, or other monitoring methods at a maximum exhaust gas temperature of 50°C (solid fuel furnace).</w:t>
      </w:r>
    </w:p>
    <w:p w14:paraId="4855506B" w14:textId="77777777" w:rsidR="00B47442" w:rsidRPr="0009445C" w:rsidRDefault="00B47442" w:rsidP="00B47442">
      <w:pPr>
        <w:pStyle w:val="BRL-Standard"/>
        <w:rPr>
          <w:rFonts w:eastAsia="Calibri"/>
        </w:rPr>
      </w:pPr>
      <w:r w:rsidRPr="0009445C">
        <w:t>Self-contained safety devices may be used only in units wherein they can monitor the room in which the open-flue furnace is installed and connected spaces. It should be kept in mind that the open-flue furnace should not be connected to an exhaust system with multiple connections.</w:t>
      </w:r>
    </w:p>
    <w:p w14:paraId="0BFB012D" w14:textId="77777777" w:rsidR="00B47442" w:rsidRPr="0009445C" w:rsidRDefault="00B47442" w:rsidP="00B47442">
      <w:pPr>
        <w:pStyle w:val="BRL-Standard"/>
        <w:rPr>
          <w:rFonts w:eastAsia="Calibri"/>
          <w:lang w:eastAsia="en-US"/>
        </w:rPr>
      </w:pPr>
    </w:p>
    <w:p w14:paraId="3768C8D4" w14:textId="77777777" w:rsidR="00B47442" w:rsidRPr="0009445C" w:rsidRDefault="00B47442" w:rsidP="00B47442">
      <w:pPr>
        <w:pStyle w:val="BRL-Standard"/>
        <w:rPr>
          <w:rFonts w:eastAsia="Calibri"/>
        </w:rPr>
      </w:pPr>
      <w:r w:rsidRPr="0009445C">
        <w:t>Secure data transmission shall be ensured. Unauthorised access to security-related functions shall be prevented.</w:t>
      </w:r>
    </w:p>
    <w:p w14:paraId="49ED50AC" w14:textId="77777777" w:rsidR="00B47442" w:rsidRPr="0009445C" w:rsidRDefault="00B47442" w:rsidP="00B47442">
      <w:pPr>
        <w:pStyle w:val="BRL-Standard"/>
        <w:rPr>
          <w:rFonts w:eastAsia="Calibri"/>
          <w:lang w:eastAsia="en-US"/>
        </w:rPr>
      </w:pPr>
    </w:p>
    <w:p w14:paraId="303CA04A" w14:textId="77777777" w:rsidR="00B47442" w:rsidRPr="0009445C" w:rsidRDefault="00B47442" w:rsidP="00B47442">
      <w:pPr>
        <w:pStyle w:val="BRL-Standard"/>
        <w:rPr>
          <w:rFonts w:eastAsia="Calibri"/>
        </w:rPr>
      </w:pPr>
      <w:r w:rsidRPr="0009445C">
        <w:t>The use of a safety device is not a substitute for professional design and execution of the air conditioning and firing systems in terms of the required combustion air supply and exhaust gas discharge with respect to the surrounding space. Self-contained safety devices may be installed only by persons with sufficient expertise. If a safety device is installed, the competent authorised chimney sweep shall be informed by the operator.</w:t>
      </w:r>
    </w:p>
    <w:p w14:paraId="20DE0D81" w14:textId="77777777" w:rsidR="00B47442" w:rsidRPr="0009445C" w:rsidRDefault="00B47442" w:rsidP="00B47442">
      <w:pPr>
        <w:pStyle w:val="BRL-Standard"/>
        <w:rPr>
          <w:rFonts w:eastAsia="Calibri"/>
          <w:lang w:eastAsia="en-US"/>
        </w:rPr>
      </w:pPr>
    </w:p>
    <w:p w14:paraId="01B8C072" w14:textId="77777777" w:rsidR="00B47442" w:rsidRPr="0009445C" w:rsidRDefault="00B47442" w:rsidP="00600F53">
      <w:pPr>
        <w:pStyle w:val="BRL-berschrift"/>
        <w:rPr>
          <w:rFonts w:eastAsia="Calibri"/>
        </w:rPr>
      </w:pPr>
      <w:r w:rsidRPr="0009445C">
        <w:t>1.7</w:t>
      </w:r>
      <w:r w:rsidRPr="0009445C">
        <w:tab/>
        <w:t>Requirements for the use of furnaces</w:t>
      </w:r>
    </w:p>
    <w:p w14:paraId="27BB79D5" w14:textId="77777777" w:rsidR="00B47442" w:rsidRPr="0009445C" w:rsidRDefault="00B47442" w:rsidP="00600F53">
      <w:pPr>
        <w:pStyle w:val="BRL-berschrift"/>
        <w:rPr>
          <w:rFonts w:eastAsia="Calibri"/>
        </w:rPr>
      </w:pPr>
      <w:r w:rsidRPr="0009445C">
        <w:t>1.7.1</w:t>
      </w:r>
      <w:r w:rsidRPr="0009445C">
        <w:tab/>
        <w:t>Essential requirements</w:t>
      </w:r>
    </w:p>
    <w:p w14:paraId="5E3D9E7F" w14:textId="77777777" w:rsidR="00B47442" w:rsidRPr="0009445C" w:rsidRDefault="00B47442" w:rsidP="00B47442">
      <w:pPr>
        <w:pStyle w:val="BRL-Standard"/>
        <w:rPr>
          <w:rFonts w:eastAsia="Calibri"/>
        </w:rPr>
      </w:pPr>
      <w:r w:rsidRPr="0009445C">
        <w:t>The building inspection requirements shall be deemed to have been met if furnaces are used in accordance with this Technical Rule.</w:t>
      </w:r>
    </w:p>
    <w:p w14:paraId="7CF64EDE" w14:textId="77777777" w:rsidR="00B47442" w:rsidRPr="0009445C" w:rsidRDefault="00B47442" w:rsidP="00B47442">
      <w:pPr>
        <w:pStyle w:val="BRL-Standard"/>
      </w:pPr>
      <w:r w:rsidRPr="0009445C">
        <w:t>1.   With CE marking pursuant to:</w:t>
      </w:r>
    </w:p>
    <w:p w14:paraId="103C8799" w14:textId="77777777" w:rsidR="00B47442" w:rsidRPr="0009445C" w:rsidRDefault="00B47442" w:rsidP="00B47442">
      <w:pPr>
        <w:pStyle w:val="BRLAufzhlungAnstrich"/>
        <w:numPr>
          <w:ilvl w:val="1"/>
          <w:numId w:val="1"/>
        </w:numPr>
        <w:rPr>
          <w:rFonts w:eastAsia="Calibri"/>
        </w:rPr>
      </w:pPr>
      <w:r w:rsidRPr="0009445C">
        <w:t>Regulation (EU) No 305/2011 (Construction Products Regulation) (on furnaces for solid and liquid fuels), in particular in accordance with Section 1.9 of this Technical Rule,</w:t>
      </w:r>
    </w:p>
    <w:p w14:paraId="7D2AB040" w14:textId="77777777" w:rsidR="00B47442" w:rsidRPr="0009445C" w:rsidRDefault="00B47442" w:rsidP="00B47442">
      <w:pPr>
        <w:pStyle w:val="BRLAufzhlungAnstrich"/>
        <w:numPr>
          <w:ilvl w:val="1"/>
          <w:numId w:val="1"/>
        </w:numPr>
        <w:rPr>
          <w:rFonts w:eastAsia="Calibri"/>
        </w:rPr>
      </w:pPr>
      <w:r w:rsidRPr="0009445C">
        <w:t>Regulation (EU) 2016/426 (Gas Appliances Regulation) (on furnaces for gaseous fuels),</w:t>
      </w:r>
    </w:p>
    <w:p w14:paraId="69B885E0" w14:textId="77777777" w:rsidR="00B47442" w:rsidRPr="0009445C" w:rsidRDefault="00B47442" w:rsidP="00B47442">
      <w:pPr>
        <w:pStyle w:val="BRLAufzhlungAnstrich"/>
        <w:numPr>
          <w:ilvl w:val="1"/>
          <w:numId w:val="1"/>
        </w:numPr>
        <w:rPr>
          <w:rFonts w:eastAsia="Calibri"/>
        </w:rPr>
      </w:pPr>
      <w:r w:rsidRPr="0009445C">
        <w:t>Directive 2006/42/EC (Machinery Directive) (on e.g. furnaces for liquid and solid fuels with motorised drive),</w:t>
      </w:r>
    </w:p>
    <w:p w14:paraId="66F4E1AD" w14:textId="77777777" w:rsidR="00B47442" w:rsidRPr="0009445C" w:rsidRDefault="00B47442" w:rsidP="00B47442">
      <w:pPr>
        <w:pStyle w:val="BRLAufzhlungAnstrich"/>
        <w:numPr>
          <w:ilvl w:val="1"/>
          <w:numId w:val="1"/>
        </w:numPr>
        <w:rPr>
          <w:rFonts w:eastAsia="Calibri"/>
        </w:rPr>
      </w:pPr>
      <w:r w:rsidRPr="0009445C">
        <w:t>Directive 2014/35/EC (Low-Voltage Directive) (on e.g. furnaces for liquid and solid fuels with combustion air controls or convection air blowers) or</w:t>
      </w:r>
    </w:p>
    <w:p w14:paraId="5B829AFD" w14:textId="77777777" w:rsidR="00B47442" w:rsidRPr="0009445C" w:rsidRDefault="00B47442" w:rsidP="00B47442">
      <w:pPr>
        <w:pStyle w:val="BRLAufzhlungAnstrich"/>
        <w:numPr>
          <w:ilvl w:val="1"/>
          <w:numId w:val="1"/>
        </w:numPr>
        <w:rPr>
          <w:rFonts w:eastAsia="Calibri"/>
        </w:rPr>
      </w:pPr>
      <w:r w:rsidRPr="0009445C">
        <w:t>Directive 2014/68/EU (Pressure Equipment Directive) (on hot water production assemblies),</w:t>
      </w:r>
    </w:p>
    <w:p w14:paraId="3C80C064" w14:textId="77777777" w:rsidR="00B47442" w:rsidRPr="0009445C" w:rsidRDefault="00B47442" w:rsidP="00B47442">
      <w:pPr>
        <w:pStyle w:val="BRL-Standard"/>
      </w:pPr>
      <w:r w:rsidRPr="0009445C">
        <w:t>2.   Without CE marking, e.g. if constructed in accordance with ‘Specialist Regulation [</w:t>
      </w:r>
      <w:proofErr w:type="spellStart"/>
      <w:r w:rsidRPr="0009445C">
        <w:t>Fachregel</w:t>
      </w:r>
      <w:proofErr w:type="spellEnd"/>
      <w:r w:rsidRPr="0009445C">
        <w:t>] on furnace and air heating construction’, TR OL 2006, 2010 version’, or if they are solid fuel furnaces without motorised drive, with the exception of residential furnaces or</w:t>
      </w:r>
    </w:p>
    <w:p w14:paraId="3261860F" w14:textId="77777777" w:rsidR="00B47442" w:rsidRPr="0009445C" w:rsidRDefault="00B47442" w:rsidP="00B47442">
      <w:pPr>
        <w:pStyle w:val="BRL-Standard"/>
      </w:pPr>
      <w:r w:rsidRPr="0009445C">
        <w:t>3.   With building inspectorate proof of fitness for purpose.</w:t>
      </w:r>
    </w:p>
    <w:p w14:paraId="6260BD19" w14:textId="77777777" w:rsidR="00B47442" w:rsidRPr="0009445C" w:rsidRDefault="00B47442" w:rsidP="00B47442">
      <w:pPr>
        <w:pStyle w:val="BRL-Standard"/>
        <w:rPr>
          <w:rFonts w:eastAsia="Calibri"/>
          <w:lang w:eastAsia="en-US"/>
        </w:rPr>
      </w:pPr>
    </w:p>
    <w:p w14:paraId="34434525" w14:textId="77777777" w:rsidR="00B47442" w:rsidRPr="0009445C" w:rsidRDefault="00B47442" w:rsidP="00600F53">
      <w:pPr>
        <w:pStyle w:val="BRL-berschrift"/>
        <w:rPr>
          <w:rFonts w:eastAsia="Calibri"/>
        </w:rPr>
      </w:pPr>
      <w:r w:rsidRPr="0009445C">
        <w:lastRenderedPageBreak/>
        <w:t>1.7.2</w:t>
      </w:r>
      <w:r w:rsidRPr="0009445C">
        <w:tab/>
        <w:t>Furnaces for solid and liquid fuels bearing the CE marking according to harmonised technical specifications based on the Construction Products Regulation</w:t>
      </w:r>
    </w:p>
    <w:p w14:paraId="13C066D9" w14:textId="77777777" w:rsidR="00B47442" w:rsidRPr="0009445C" w:rsidRDefault="00B47442" w:rsidP="00B47442">
      <w:pPr>
        <w:pStyle w:val="BRL-Standard"/>
        <w:rPr>
          <w:rFonts w:eastAsia="Calibri"/>
        </w:rPr>
      </w:pPr>
      <w:r w:rsidRPr="0009445C">
        <w:t>In order to fulfil the building inspection requirements, the performance of the construction products used in terms of fundamental characteristics must at least satisfy Table 1</w:t>
      </w:r>
    </w:p>
    <w:p w14:paraId="57365478" w14:textId="77777777" w:rsidR="00B47442" w:rsidRPr="0009445C" w:rsidRDefault="00B47442" w:rsidP="00B47442">
      <w:pPr>
        <w:pStyle w:val="BRL-Standard"/>
        <w:rPr>
          <w:rFonts w:eastAsia="Calibri"/>
          <w:lang w:eastAsia="en-US"/>
        </w:rPr>
      </w:pPr>
    </w:p>
    <w:p w14:paraId="5A535DED" w14:textId="77777777" w:rsidR="00B47442" w:rsidRPr="0009445C" w:rsidRDefault="00B47442" w:rsidP="00B47442">
      <w:pPr>
        <w:pStyle w:val="BRL-Standard"/>
        <w:spacing w:after="40"/>
        <w:rPr>
          <w:bCs/>
        </w:rPr>
      </w:pPr>
      <w:r w:rsidRPr="0009445C">
        <w:t>Explanation for Table 1</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479"/>
      </w:tblGrid>
      <w:tr w:rsidR="00B47442" w:rsidRPr="0009445C" w14:paraId="426E7575" w14:textId="77777777" w:rsidTr="0099521D">
        <w:trPr>
          <w:tblHeader/>
        </w:trPr>
        <w:tc>
          <w:tcPr>
            <w:tcW w:w="990" w:type="dxa"/>
            <w:shd w:val="clear" w:color="auto" w:fill="auto"/>
            <w:vAlign w:val="center"/>
          </w:tcPr>
          <w:p w14:paraId="079E8978" w14:textId="28AC0249" w:rsidR="00B47442" w:rsidRPr="0009445C" w:rsidRDefault="009043F7" w:rsidP="009043F7">
            <w:pPr>
              <w:pStyle w:val="BRLTabelleberschrift"/>
              <w:ind w:left="0" w:firstLine="0"/>
            </w:pPr>
            <w:r w:rsidRPr="0009445C">
              <w:t>Column</w:t>
            </w:r>
            <w:r w:rsidRPr="0009445C">
              <w:t xml:space="preserve"> </w:t>
            </w:r>
            <w:r>
              <w:br/>
              <w:t>n</w:t>
            </w:r>
            <w:r w:rsidR="00B47442" w:rsidRPr="0009445C">
              <w:t xml:space="preserve">o </w:t>
            </w:r>
          </w:p>
        </w:tc>
        <w:tc>
          <w:tcPr>
            <w:tcW w:w="8479" w:type="dxa"/>
            <w:shd w:val="clear" w:color="auto" w:fill="auto"/>
            <w:vAlign w:val="center"/>
          </w:tcPr>
          <w:p w14:paraId="680C7EEF" w14:textId="77777777" w:rsidR="00B47442" w:rsidRPr="0009445C" w:rsidRDefault="00B47442" w:rsidP="0099521D">
            <w:pPr>
              <w:pStyle w:val="BRLTabelleberschrift"/>
            </w:pPr>
            <w:r w:rsidRPr="0009445C">
              <w:t>Product according to harmonised standard</w:t>
            </w:r>
          </w:p>
        </w:tc>
      </w:tr>
      <w:tr w:rsidR="00B47442" w:rsidRPr="0009445C" w14:paraId="118C4BE7" w14:textId="77777777" w:rsidTr="0099521D">
        <w:tc>
          <w:tcPr>
            <w:tcW w:w="990" w:type="dxa"/>
            <w:shd w:val="clear" w:color="auto" w:fill="auto"/>
          </w:tcPr>
          <w:p w14:paraId="229CF328" w14:textId="77777777" w:rsidR="00B47442" w:rsidRPr="0009445C" w:rsidRDefault="00B47442" w:rsidP="0099521D">
            <w:pPr>
              <w:pStyle w:val="BRL-Tabelle"/>
              <w:spacing w:before="60" w:after="40"/>
            </w:pPr>
            <w:r w:rsidRPr="0009445C">
              <w:t>2</w:t>
            </w:r>
          </w:p>
        </w:tc>
        <w:tc>
          <w:tcPr>
            <w:tcW w:w="8479" w:type="dxa"/>
            <w:shd w:val="clear" w:color="auto" w:fill="auto"/>
          </w:tcPr>
          <w:p w14:paraId="7A28FD59" w14:textId="77777777" w:rsidR="00B47442" w:rsidRPr="0009445C" w:rsidRDefault="00B47442" w:rsidP="0099521D">
            <w:pPr>
              <w:pStyle w:val="BRL-Tabelle"/>
              <w:spacing w:before="60" w:after="40"/>
            </w:pPr>
            <w:r w:rsidRPr="0009445C">
              <w:t>EN 13240:2001, EN 13240:2001/A2:2004 and EN 13240:2001/AC:2006 and EN 13240:2001/A2:2004/AC:2007 Room heaters fired by solid fuel – Requirements and test methods</w:t>
            </w:r>
            <w:r w:rsidRPr="0009445C">
              <w:rPr>
                <w:rStyle w:val="FootnoteReference"/>
              </w:rPr>
              <w:footnoteReference w:id="64"/>
            </w:r>
          </w:p>
        </w:tc>
      </w:tr>
      <w:tr w:rsidR="00B47442" w:rsidRPr="0009445C" w14:paraId="29A832BC" w14:textId="77777777" w:rsidTr="0099521D">
        <w:tc>
          <w:tcPr>
            <w:tcW w:w="990" w:type="dxa"/>
            <w:shd w:val="clear" w:color="auto" w:fill="auto"/>
          </w:tcPr>
          <w:p w14:paraId="4E48871A" w14:textId="77777777" w:rsidR="00B47442" w:rsidRPr="0009445C" w:rsidRDefault="00B47442" w:rsidP="0099521D">
            <w:pPr>
              <w:pStyle w:val="BRL-Tabelle"/>
              <w:spacing w:before="60" w:after="40"/>
            </w:pPr>
            <w:r w:rsidRPr="0009445C">
              <w:t>3</w:t>
            </w:r>
          </w:p>
        </w:tc>
        <w:tc>
          <w:tcPr>
            <w:tcW w:w="8479" w:type="dxa"/>
            <w:shd w:val="clear" w:color="auto" w:fill="auto"/>
          </w:tcPr>
          <w:p w14:paraId="4F73D466" w14:textId="77777777" w:rsidR="00B47442" w:rsidRPr="0009445C" w:rsidRDefault="00B47442" w:rsidP="0099521D">
            <w:pPr>
              <w:pStyle w:val="BRL-Tabelle"/>
              <w:spacing w:before="60" w:after="40"/>
            </w:pPr>
            <w:r w:rsidRPr="0009445C">
              <w:t>EN 13229:2001, EN 13229:2001/A1:2003, EN 13229:2001/AC:2006 and EN 13229:2001/A2:2004/AC:2007 Inset appliances including open fires fired by solid fuels – Requirements and test methods</w:t>
            </w:r>
            <w:bookmarkStart w:id="81" w:name="_Ref82180162"/>
            <w:r w:rsidRPr="0009445C">
              <w:rPr>
                <w:rStyle w:val="FootnoteReference"/>
              </w:rPr>
              <w:footnoteReference w:id="65"/>
            </w:r>
            <w:bookmarkEnd w:id="81"/>
          </w:p>
        </w:tc>
      </w:tr>
      <w:tr w:rsidR="00B47442" w:rsidRPr="0009445C" w14:paraId="58B1661C" w14:textId="77777777" w:rsidTr="0099521D">
        <w:tc>
          <w:tcPr>
            <w:tcW w:w="990" w:type="dxa"/>
            <w:shd w:val="clear" w:color="auto" w:fill="auto"/>
          </w:tcPr>
          <w:p w14:paraId="34AF1C6E" w14:textId="77777777" w:rsidR="00B47442" w:rsidRPr="0009445C" w:rsidRDefault="00B47442" w:rsidP="0099521D">
            <w:pPr>
              <w:pStyle w:val="BRL-Tabelle"/>
              <w:spacing w:before="60" w:after="40"/>
            </w:pPr>
            <w:r w:rsidRPr="0009445C">
              <w:t>4</w:t>
            </w:r>
          </w:p>
        </w:tc>
        <w:tc>
          <w:tcPr>
            <w:tcW w:w="8479" w:type="dxa"/>
            <w:shd w:val="clear" w:color="auto" w:fill="auto"/>
          </w:tcPr>
          <w:p w14:paraId="3CE28266" w14:textId="77777777" w:rsidR="00B47442" w:rsidRPr="0009445C" w:rsidRDefault="00B47442" w:rsidP="0099521D">
            <w:pPr>
              <w:pStyle w:val="BRL-Tabelle"/>
              <w:spacing w:before="60" w:after="40"/>
            </w:pPr>
            <w:r w:rsidRPr="0009445C">
              <w:t>EN 12815:2001, EN 12815:2001/A1:2004 und EN12815:2001/AC:2006 und EN 12815:2001/A1:2004/AC:2007 – Residential cookers fired by solid fuel – Requirements and test methods</w:t>
            </w:r>
            <w:r w:rsidRPr="0009445C">
              <w:rPr>
                <w:rStyle w:val="FootnoteReference"/>
              </w:rPr>
              <w:footnoteReference w:id="66"/>
            </w:r>
          </w:p>
        </w:tc>
      </w:tr>
      <w:tr w:rsidR="00B47442" w:rsidRPr="0009445C" w14:paraId="04A07D04" w14:textId="77777777" w:rsidTr="0099521D">
        <w:tc>
          <w:tcPr>
            <w:tcW w:w="990" w:type="dxa"/>
            <w:shd w:val="clear" w:color="auto" w:fill="auto"/>
          </w:tcPr>
          <w:p w14:paraId="28A71EF5" w14:textId="77777777" w:rsidR="00B47442" w:rsidRPr="0009445C" w:rsidRDefault="00B47442" w:rsidP="0099521D">
            <w:pPr>
              <w:pStyle w:val="BRL-Tabelle"/>
              <w:spacing w:before="60" w:after="40"/>
            </w:pPr>
            <w:r w:rsidRPr="0009445C">
              <w:t>5</w:t>
            </w:r>
          </w:p>
        </w:tc>
        <w:tc>
          <w:tcPr>
            <w:tcW w:w="8479" w:type="dxa"/>
            <w:shd w:val="clear" w:color="auto" w:fill="auto"/>
          </w:tcPr>
          <w:p w14:paraId="2E5B6E3A" w14:textId="77777777" w:rsidR="00B47442" w:rsidRPr="0009445C" w:rsidRDefault="00B47442" w:rsidP="0099521D">
            <w:pPr>
              <w:pStyle w:val="BRL-Tabelle"/>
              <w:spacing w:before="60" w:after="40"/>
            </w:pPr>
            <w:r w:rsidRPr="0009445C">
              <w:t>EN 12809:2001, EN 12809:2001/A1:2004, EN 12809:2001/AC:2006/AC:2007 + EN 12809:2001/A1:2004/AC:2007 Residential independent boilers fired by solid fuel – Nominal heat output up to 50 kW– Requirements and test methods</w:t>
            </w:r>
            <w:r w:rsidRPr="0009445C">
              <w:rPr>
                <w:rStyle w:val="FootnoteReference"/>
              </w:rPr>
              <w:footnoteReference w:id="67"/>
            </w:r>
          </w:p>
        </w:tc>
      </w:tr>
      <w:tr w:rsidR="00B47442" w:rsidRPr="0009445C" w14:paraId="52907D9B" w14:textId="77777777" w:rsidTr="0099521D">
        <w:tc>
          <w:tcPr>
            <w:tcW w:w="990" w:type="dxa"/>
            <w:shd w:val="clear" w:color="auto" w:fill="auto"/>
          </w:tcPr>
          <w:p w14:paraId="1BE8C30B" w14:textId="77777777" w:rsidR="00B47442" w:rsidRPr="0009445C" w:rsidRDefault="00B47442" w:rsidP="0099521D">
            <w:pPr>
              <w:pStyle w:val="BRL-Tabelle"/>
              <w:spacing w:before="60" w:after="40"/>
            </w:pPr>
            <w:r w:rsidRPr="0009445C">
              <w:t>6</w:t>
            </w:r>
          </w:p>
        </w:tc>
        <w:tc>
          <w:tcPr>
            <w:tcW w:w="8479" w:type="dxa"/>
            <w:shd w:val="clear" w:color="auto" w:fill="auto"/>
          </w:tcPr>
          <w:p w14:paraId="4B8F4680" w14:textId="77777777" w:rsidR="00B47442" w:rsidRPr="0009445C" w:rsidRDefault="00B47442" w:rsidP="0099521D">
            <w:pPr>
              <w:pStyle w:val="BRL-Tabelle"/>
              <w:spacing w:before="60" w:after="40"/>
            </w:pPr>
            <w:r w:rsidRPr="0009445C">
              <w:t>EN 15250:2007 Slow heat release appliances fired by solid fuel – Requirements and test methods</w:t>
            </w:r>
            <w:r w:rsidRPr="0009445C">
              <w:rPr>
                <w:rStyle w:val="FootnoteReference"/>
              </w:rPr>
              <w:footnoteReference w:id="68"/>
            </w:r>
          </w:p>
        </w:tc>
      </w:tr>
      <w:tr w:rsidR="00B47442" w:rsidRPr="0009445C" w14:paraId="2D12E6F8" w14:textId="77777777" w:rsidTr="0099521D">
        <w:tc>
          <w:tcPr>
            <w:tcW w:w="990" w:type="dxa"/>
            <w:shd w:val="clear" w:color="auto" w:fill="auto"/>
          </w:tcPr>
          <w:p w14:paraId="0C2F8CBC" w14:textId="77777777" w:rsidR="00B47442" w:rsidRPr="0009445C" w:rsidRDefault="00B47442" w:rsidP="0099521D">
            <w:pPr>
              <w:pStyle w:val="BRL-Tabelle"/>
              <w:spacing w:before="60" w:after="40"/>
            </w:pPr>
            <w:r w:rsidRPr="0009445C">
              <w:t>7</w:t>
            </w:r>
          </w:p>
        </w:tc>
        <w:tc>
          <w:tcPr>
            <w:tcW w:w="8479" w:type="dxa"/>
            <w:shd w:val="clear" w:color="auto" w:fill="auto"/>
          </w:tcPr>
          <w:p w14:paraId="1736D194" w14:textId="77777777" w:rsidR="00B47442" w:rsidRPr="0009445C" w:rsidRDefault="00B47442" w:rsidP="0099521D">
            <w:pPr>
              <w:pStyle w:val="BRL-Tabelle"/>
              <w:spacing w:before="60" w:after="40"/>
            </w:pPr>
            <w:r w:rsidRPr="0009445C">
              <w:t>EN 14785:2006 Residential space heating appliances fired by wood pellets – Requirements and test methods</w:t>
            </w:r>
            <w:r w:rsidRPr="0009445C">
              <w:rPr>
                <w:rStyle w:val="FootnoteReference"/>
              </w:rPr>
              <w:footnoteReference w:id="69"/>
            </w:r>
          </w:p>
        </w:tc>
      </w:tr>
      <w:tr w:rsidR="00B47442" w:rsidRPr="0009445C" w14:paraId="0E2515BA" w14:textId="77777777" w:rsidTr="0099521D">
        <w:tc>
          <w:tcPr>
            <w:tcW w:w="990" w:type="dxa"/>
            <w:shd w:val="clear" w:color="auto" w:fill="auto"/>
          </w:tcPr>
          <w:p w14:paraId="49338784" w14:textId="77777777" w:rsidR="00B47442" w:rsidRPr="0009445C" w:rsidRDefault="00B47442" w:rsidP="0099521D">
            <w:pPr>
              <w:pStyle w:val="BRL-Tabelle"/>
              <w:spacing w:before="60" w:after="40"/>
            </w:pPr>
            <w:r w:rsidRPr="0009445C">
              <w:t>8</w:t>
            </w:r>
          </w:p>
        </w:tc>
        <w:tc>
          <w:tcPr>
            <w:tcW w:w="8479" w:type="dxa"/>
            <w:shd w:val="clear" w:color="auto" w:fill="auto"/>
          </w:tcPr>
          <w:p w14:paraId="58E2C179" w14:textId="77777777" w:rsidR="00B47442" w:rsidRPr="0009445C" w:rsidRDefault="00B47442" w:rsidP="0099521D">
            <w:pPr>
              <w:pStyle w:val="BRL-Tabelle"/>
              <w:spacing w:before="60" w:after="40"/>
            </w:pPr>
            <w:r w:rsidRPr="0009445C">
              <w:t>EN 15821:2010 Multi-firing sauna stoves fired by natural wood logs – Requirements and test methods</w:t>
            </w:r>
            <w:bookmarkStart w:id="82" w:name="_Ref82180058"/>
            <w:r w:rsidRPr="0009445C">
              <w:rPr>
                <w:rStyle w:val="FootnoteReference"/>
              </w:rPr>
              <w:footnoteReference w:id="70"/>
            </w:r>
            <w:bookmarkEnd w:id="82"/>
          </w:p>
        </w:tc>
      </w:tr>
      <w:tr w:rsidR="00B47442" w:rsidRPr="0009445C" w14:paraId="11313F46" w14:textId="77777777" w:rsidTr="0099521D">
        <w:trPr>
          <w:trHeight w:val="58"/>
        </w:trPr>
        <w:tc>
          <w:tcPr>
            <w:tcW w:w="990" w:type="dxa"/>
            <w:shd w:val="clear" w:color="auto" w:fill="auto"/>
          </w:tcPr>
          <w:p w14:paraId="3FBF4115" w14:textId="77777777" w:rsidR="00B47442" w:rsidRPr="0009445C" w:rsidRDefault="00B47442" w:rsidP="0099521D">
            <w:pPr>
              <w:pStyle w:val="BRL-Tabelle"/>
              <w:spacing w:before="60" w:after="40"/>
            </w:pPr>
            <w:r w:rsidRPr="0009445C">
              <w:t>9</w:t>
            </w:r>
          </w:p>
        </w:tc>
        <w:tc>
          <w:tcPr>
            <w:tcW w:w="8479" w:type="dxa"/>
            <w:shd w:val="clear" w:color="auto" w:fill="auto"/>
          </w:tcPr>
          <w:p w14:paraId="2730AB88" w14:textId="77777777" w:rsidR="00B47442" w:rsidRPr="0009445C" w:rsidRDefault="00B47442" w:rsidP="0099521D">
            <w:pPr>
              <w:pStyle w:val="BRL-Tabelle"/>
              <w:spacing w:before="60" w:after="40"/>
            </w:pPr>
            <w:r w:rsidRPr="0009445C">
              <w:t>EN 1:1998 and EN1:1998/A1:2007 Flued oil stoves with vaporising burners and chimney connection</w:t>
            </w:r>
            <w:r w:rsidRPr="0009445C">
              <w:rPr>
                <w:rStyle w:val="FootnoteReference"/>
              </w:rPr>
              <w:footnoteReference w:id="71"/>
            </w:r>
          </w:p>
        </w:tc>
      </w:tr>
    </w:tbl>
    <w:p w14:paraId="2955231E" w14:textId="77777777" w:rsidR="00B47442" w:rsidRPr="0009445C" w:rsidRDefault="00B47442" w:rsidP="00B47442">
      <w:pPr>
        <w:pStyle w:val="BRL-Standard"/>
      </w:pPr>
    </w:p>
    <w:p w14:paraId="423102B3" w14:textId="77777777" w:rsidR="00B47442" w:rsidRPr="0009445C" w:rsidRDefault="00B47442" w:rsidP="00B47442">
      <w:pPr>
        <w:pStyle w:val="BRL-Standard"/>
        <w:spacing w:after="40"/>
        <w:rPr>
          <w:b/>
        </w:rPr>
      </w:pPr>
      <w:r w:rsidRPr="0009445C">
        <w:rPr>
          <w:b/>
        </w:rPr>
        <w:t>Table 1:</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4"/>
        <w:gridCol w:w="709"/>
        <w:gridCol w:w="709"/>
        <w:gridCol w:w="567"/>
        <w:gridCol w:w="709"/>
        <w:gridCol w:w="708"/>
        <w:gridCol w:w="567"/>
        <w:gridCol w:w="709"/>
        <w:gridCol w:w="709"/>
      </w:tblGrid>
      <w:tr w:rsidR="00B47442" w:rsidRPr="0009445C" w14:paraId="0C56AF17" w14:textId="77777777" w:rsidTr="0099521D">
        <w:trPr>
          <w:trHeight w:val="730"/>
          <w:tblHeader/>
        </w:trPr>
        <w:tc>
          <w:tcPr>
            <w:tcW w:w="404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416DD5" w14:textId="77777777" w:rsidR="00B47442" w:rsidRPr="0009445C" w:rsidRDefault="00B47442" w:rsidP="0099521D">
            <w:pPr>
              <w:pStyle w:val="BRLTabelleberschrift"/>
            </w:pPr>
            <w:r w:rsidRPr="0009445C">
              <w:t>Essential feature</w:t>
            </w:r>
          </w:p>
        </w:tc>
        <w:tc>
          <w:tcPr>
            <w:tcW w:w="5387"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21F784C" w14:textId="77777777" w:rsidR="00B47442" w:rsidRPr="0009445C" w:rsidRDefault="00B47442" w:rsidP="0099521D">
            <w:pPr>
              <w:pStyle w:val="BRLTabelleberschrift"/>
            </w:pPr>
            <w:r w:rsidRPr="0009445C">
              <w:t>Product according to harmonised standard</w:t>
            </w:r>
          </w:p>
        </w:tc>
      </w:tr>
      <w:tr w:rsidR="00B47442" w:rsidRPr="0009445C" w14:paraId="100ED6F6" w14:textId="77777777" w:rsidTr="0099521D">
        <w:trPr>
          <w:trHeight w:val="312"/>
          <w:tblHeader/>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7487B0AA" w14:textId="77777777" w:rsidR="00B47442" w:rsidRPr="0009445C" w:rsidRDefault="00B47442" w:rsidP="0099521D">
            <w:pPr>
              <w:pStyle w:val="BRLTabelleberschrift"/>
              <w:spacing w:before="60"/>
              <w:jc w:val="center"/>
            </w:pPr>
            <w:r w:rsidRPr="0009445C">
              <w:t>1</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915A25" w14:textId="77777777" w:rsidR="00B47442" w:rsidRPr="0009445C" w:rsidRDefault="00B47442" w:rsidP="0099521D">
            <w:pPr>
              <w:pStyle w:val="BRLTabelleberschrift"/>
              <w:jc w:val="center"/>
            </w:pPr>
            <w:r w:rsidRPr="0009445C">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3BF377" w14:textId="77777777" w:rsidR="00B47442" w:rsidRPr="0009445C" w:rsidRDefault="00B47442" w:rsidP="0099521D">
            <w:pPr>
              <w:pStyle w:val="BRLTabelleberschrift"/>
              <w:jc w:val="center"/>
            </w:pPr>
            <w:r w:rsidRPr="0009445C">
              <w:t>3</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F7F4A5" w14:textId="77777777" w:rsidR="00B47442" w:rsidRPr="0009445C" w:rsidRDefault="00B47442" w:rsidP="0099521D">
            <w:pPr>
              <w:pStyle w:val="BRLTabelleberschrift"/>
              <w:jc w:val="center"/>
            </w:pPr>
            <w:r w:rsidRPr="0009445C">
              <w:t>4</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7144AB" w14:textId="77777777" w:rsidR="00B47442" w:rsidRPr="0009445C" w:rsidRDefault="00B47442" w:rsidP="0099521D">
            <w:pPr>
              <w:pStyle w:val="BRLTabelleberschrift"/>
              <w:jc w:val="center"/>
            </w:pPr>
            <w:r w:rsidRPr="0009445C">
              <w:t>5</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642F15" w14:textId="77777777" w:rsidR="00B47442" w:rsidRPr="0009445C" w:rsidRDefault="00B47442" w:rsidP="0099521D">
            <w:pPr>
              <w:pStyle w:val="BRLTabelleberschrift"/>
              <w:jc w:val="center"/>
            </w:pPr>
            <w:r w:rsidRPr="0009445C">
              <w:t>6</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6F2619" w14:textId="77777777" w:rsidR="00B47442" w:rsidRPr="0009445C" w:rsidRDefault="00B47442" w:rsidP="0099521D">
            <w:pPr>
              <w:pStyle w:val="BRLTabelleberschrift"/>
              <w:jc w:val="center"/>
            </w:pPr>
            <w:r w:rsidRPr="0009445C">
              <w:t>7</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157575" w14:textId="77777777" w:rsidR="00B47442" w:rsidRPr="0009445C" w:rsidRDefault="00B47442" w:rsidP="0099521D">
            <w:pPr>
              <w:pStyle w:val="BRLTabelleberschrift"/>
              <w:jc w:val="center"/>
            </w:pPr>
            <w:r w:rsidRPr="0009445C">
              <w:t>8</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47E450" w14:textId="77777777" w:rsidR="00B47442" w:rsidRPr="0009445C" w:rsidRDefault="00B47442" w:rsidP="0099521D">
            <w:pPr>
              <w:pStyle w:val="BRLTabelleberschrift"/>
              <w:jc w:val="center"/>
            </w:pPr>
            <w:r w:rsidRPr="0009445C">
              <w:t>9</w:t>
            </w:r>
          </w:p>
        </w:tc>
      </w:tr>
      <w:tr w:rsidR="00B47442" w:rsidRPr="0009445C" w14:paraId="4DEEAB3B" w14:textId="77777777" w:rsidTr="0099521D">
        <w:trPr>
          <w:trHeight w:val="283"/>
        </w:trPr>
        <w:tc>
          <w:tcPr>
            <w:tcW w:w="4044" w:type="dxa"/>
            <w:tcBorders>
              <w:top w:val="single" w:sz="2" w:space="0" w:color="auto"/>
              <w:left w:val="single" w:sz="2" w:space="0" w:color="auto"/>
              <w:bottom w:val="single" w:sz="2" w:space="0" w:color="auto"/>
              <w:right w:val="single" w:sz="2" w:space="0" w:color="auto"/>
            </w:tcBorders>
            <w:shd w:val="clear" w:color="auto" w:fill="auto"/>
          </w:tcPr>
          <w:p w14:paraId="245965A0" w14:textId="77777777" w:rsidR="00B47442" w:rsidRPr="0009445C" w:rsidRDefault="00B47442" w:rsidP="0099521D">
            <w:pPr>
              <w:pStyle w:val="BRL-Tabelle"/>
              <w:spacing w:before="40"/>
              <w:rPr>
                <w:b/>
              </w:rPr>
            </w:pPr>
            <w:r w:rsidRPr="0009445C">
              <w:rPr>
                <w:b/>
              </w:rPr>
              <w:t>Fire safety</w:t>
            </w:r>
          </w:p>
        </w:tc>
        <w:tc>
          <w:tcPr>
            <w:tcW w:w="5387"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49C5ED4" w14:textId="77777777" w:rsidR="00B47442" w:rsidRPr="0009445C" w:rsidRDefault="00B47442" w:rsidP="0099521D">
            <w:pPr>
              <w:pStyle w:val="BRL-Tabelle"/>
            </w:pPr>
          </w:p>
        </w:tc>
      </w:tr>
      <w:tr w:rsidR="00B47442" w:rsidRPr="0009445C" w14:paraId="28B3FA29" w14:textId="77777777" w:rsidTr="0099521D">
        <w:trPr>
          <w:trHeight w:val="30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582BC375" w14:textId="77777777" w:rsidR="00B47442" w:rsidRPr="0009445C" w:rsidRDefault="00B47442" w:rsidP="0099521D">
            <w:pPr>
              <w:pStyle w:val="BRL-Tabelle"/>
              <w:spacing w:before="40"/>
            </w:pPr>
            <w:r w:rsidRPr="0009445C">
              <w:t>Distances to combustible materials</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F65538" w14:textId="77777777" w:rsidR="00B47442" w:rsidRPr="0009445C" w:rsidRDefault="00B47442" w:rsidP="0099521D">
            <w:pPr>
              <w:pStyle w:val="BRL-Tabelle"/>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300689" w14:textId="77777777" w:rsidR="00B47442" w:rsidRPr="0009445C" w:rsidRDefault="00B47442" w:rsidP="0099521D">
            <w:pPr>
              <w:pStyle w:val="BRL-Tabelle"/>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776A4C" w14:textId="77777777" w:rsidR="00B47442" w:rsidRPr="0009445C" w:rsidRDefault="00B47442" w:rsidP="0099521D">
            <w:pPr>
              <w:pStyle w:val="BRL-Tabelle"/>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35A5C1" w14:textId="77777777" w:rsidR="00B47442" w:rsidRPr="0009445C" w:rsidRDefault="00B47442" w:rsidP="0099521D">
            <w:pPr>
              <w:pStyle w:val="BRL-Tabelle"/>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2493CE" w14:textId="77777777" w:rsidR="00B47442" w:rsidRPr="0009445C" w:rsidRDefault="00B47442" w:rsidP="0099521D">
            <w:pPr>
              <w:pStyle w:val="BRL-Tabelle"/>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4700FC" w14:textId="77777777" w:rsidR="00B47442" w:rsidRPr="0009445C" w:rsidRDefault="00B47442" w:rsidP="0099521D">
            <w:pPr>
              <w:pStyle w:val="BRL-Tabelle"/>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FD8A82" w14:textId="77777777" w:rsidR="00B47442" w:rsidRPr="0009445C" w:rsidRDefault="00B47442" w:rsidP="0099521D">
            <w:pPr>
              <w:pStyle w:val="BRL-Tabelle"/>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B7513B" w14:textId="77777777" w:rsidR="00B47442" w:rsidRPr="0009445C" w:rsidRDefault="00B47442" w:rsidP="0099521D">
            <w:pPr>
              <w:pStyle w:val="BRL-Tabelle"/>
              <w:jc w:val="center"/>
            </w:pPr>
            <w:r w:rsidRPr="0009445C">
              <w:t>L</w:t>
            </w:r>
          </w:p>
        </w:tc>
      </w:tr>
      <w:tr w:rsidR="00B47442" w:rsidRPr="0009445C" w14:paraId="690711EC" w14:textId="77777777" w:rsidTr="0099521D">
        <w:trPr>
          <w:trHeight w:val="60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1B90BEF1" w14:textId="77777777" w:rsidR="00B47442" w:rsidRPr="0009445C" w:rsidRDefault="00B47442" w:rsidP="0099521D">
            <w:pPr>
              <w:pStyle w:val="BRL-Tabelle"/>
              <w:spacing w:before="40"/>
            </w:pPr>
            <w:r w:rsidRPr="0009445C">
              <w:t xml:space="preserve">Fire hazard due burning materials falling out </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F9DCB0"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93FF72"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BBC71E"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D28E28" w14:textId="77777777" w:rsidR="00B47442" w:rsidRPr="0009445C" w:rsidRDefault="00B47442" w:rsidP="0099521D">
            <w:pPr>
              <w:pStyle w:val="BRL-Tabelle"/>
              <w:jc w:val="center"/>
            </w:pPr>
            <w:r w:rsidRPr="0009445C">
              <w:t>X</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A48094"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E584C2"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22DBE6"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5ABCBB" w14:textId="77777777" w:rsidR="00B47442" w:rsidRPr="0009445C" w:rsidRDefault="00B47442" w:rsidP="0099521D">
            <w:pPr>
              <w:pStyle w:val="BRL-Tabelle"/>
              <w:jc w:val="center"/>
            </w:pPr>
            <w:r w:rsidRPr="0009445C">
              <w:t>-</w:t>
            </w:r>
          </w:p>
        </w:tc>
      </w:tr>
      <w:tr w:rsidR="00B47442" w:rsidRPr="0009445C" w14:paraId="67DDB083" w14:textId="77777777" w:rsidTr="0099521D">
        <w:trPr>
          <w:trHeight w:val="79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4F476938" w14:textId="77777777" w:rsidR="00B47442" w:rsidRPr="0009445C" w:rsidRDefault="00B47442" w:rsidP="0099521D">
            <w:pPr>
              <w:pStyle w:val="BRL-Tabelle"/>
              <w:spacing w:before="40"/>
              <w:rPr>
                <w:b/>
              </w:rPr>
            </w:pPr>
            <w:r w:rsidRPr="0009445C">
              <w:rPr>
                <w:b/>
              </w:rPr>
              <w:t>Emissions from combustion products (at rated thermal output and if declared at partial load and light load)</w:t>
            </w:r>
          </w:p>
        </w:tc>
        <w:tc>
          <w:tcPr>
            <w:tcW w:w="5387" w:type="dxa"/>
            <w:gridSpan w:val="8"/>
            <w:tcBorders>
              <w:top w:val="single" w:sz="2" w:space="0" w:color="auto"/>
              <w:left w:val="single" w:sz="2" w:space="0" w:color="auto"/>
              <w:bottom w:val="single" w:sz="2" w:space="0" w:color="auto"/>
              <w:right w:val="single" w:sz="2" w:space="0" w:color="auto"/>
            </w:tcBorders>
            <w:shd w:val="clear" w:color="auto" w:fill="auto"/>
            <w:vAlign w:val="center"/>
            <w:hideMark/>
          </w:tcPr>
          <w:p w14:paraId="019C650F" w14:textId="77777777" w:rsidR="00B47442" w:rsidRPr="0009445C" w:rsidRDefault="00B47442" w:rsidP="0099521D">
            <w:pPr>
              <w:pStyle w:val="BRL-Tabelle"/>
              <w:rPr>
                <w:b/>
              </w:rPr>
            </w:pPr>
          </w:p>
        </w:tc>
      </w:tr>
      <w:tr w:rsidR="00B47442" w:rsidRPr="0009445C" w14:paraId="62153E37" w14:textId="77777777" w:rsidTr="0099521D">
        <w:trPr>
          <w:trHeight w:val="30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3EC9770B" w14:textId="77777777" w:rsidR="00B47442" w:rsidRPr="0009445C" w:rsidRDefault="00B47442" w:rsidP="0099521D">
            <w:pPr>
              <w:pStyle w:val="BRL-Tabelle"/>
              <w:spacing w:before="40"/>
              <w:rPr>
                <w:rFonts w:cs="Arial"/>
              </w:rPr>
            </w:pPr>
            <w:r w:rsidRPr="0009445C">
              <w:t>CO</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E8C40D" w14:textId="77777777" w:rsidR="00B47442" w:rsidRPr="0009445C" w:rsidRDefault="00B47442" w:rsidP="0099521D">
            <w:pPr>
              <w:pStyle w:val="BRL-Tabelle"/>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B60581" w14:textId="77777777" w:rsidR="00B47442" w:rsidRPr="0009445C" w:rsidRDefault="00B47442" w:rsidP="0099521D">
            <w:pPr>
              <w:pStyle w:val="BRL-Tabelle"/>
              <w:jc w:val="center"/>
              <w:rPr>
                <w:rFonts w:cs="Arial"/>
              </w:rP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FE1D74" w14:textId="77777777" w:rsidR="00B47442" w:rsidRPr="0009445C" w:rsidRDefault="00B47442" w:rsidP="0099521D">
            <w:pPr>
              <w:pStyle w:val="BRL-Tabelle"/>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BC9AB8" w14:textId="77777777" w:rsidR="00B47442" w:rsidRPr="0009445C" w:rsidRDefault="00B47442" w:rsidP="0099521D">
            <w:pPr>
              <w:pStyle w:val="BRL-Tabelle"/>
              <w:jc w:val="center"/>
              <w:rPr>
                <w:rFonts w:cs="Arial"/>
              </w:rP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886BCC" w14:textId="77777777" w:rsidR="00B47442" w:rsidRPr="0009445C" w:rsidRDefault="00B47442" w:rsidP="0099521D">
            <w:pPr>
              <w:pStyle w:val="BRL-Tabelle"/>
              <w:jc w:val="center"/>
              <w:rPr>
                <w:rFonts w:cs="Arial"/>
              </w:rP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9C3A9D" w14:textId="77777777" w:rsidR="00B47442" w:rsidRPr="0009445C" w:rsidRDefault="00B47442" w:rsidP="0099521D">
            <w:pPr>
              <w:pStyle w:val="BRL-Tabelle"/>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817A23" w14:textId="77777777" w:rsidR="00B47442" w:rsidRPr="0009445C" w:rsidRDefault="00B47442" w:rsidP="0099521D">
            <w:pPr>
              <w:pStyle w:val="BRL-Tabelle"/>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37A081" w14:textId="77777777" w:rsidR="00B47442" w:rsidRPr="0009445C" w:rsidRDefault="00B47442" w:rsidP="0099521D">
            <w:pPr>
              <w:pStyle w:val="BRL-Tabelle"/>
              <w:jc w:val="center"/>
              <w:rPr>
                <w:rFonts w:cs="Arial"/>
                <w:vertAlign w:val="superscript"/>
              </w:rPr>
            </w:pPr>
            <w:r w:rsidRPr="0009445C">
              <w:t>K</w:t>
            </w:r>
            <w:r w:rsidRPr="0009445C">
              <w:rPr>
                <w:vertAlign w:val="superscript"/>
              </w:rPr>
              <w:t>*</w:t>
            </w:r>
          </w:p>
        </w:tc>
      </w:tr>
      <w:tr w:rsidR="00B47442" w:rsidRPr="0009445C" w14:paraId="0F3A6D92" w14:textId="77777777" w:rsidTr="0099521D">
        <w:trPr>
          <w:trHeight w:val="315"/>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6400BD83" w14:textId="77777777" w:rsidR="00B47442" w:rsidRPr="0009445C" w:rsidRDefault="00B47442" w:rsidP="0099521D">
            <w:pPr>
              <w:pStyle w:val="BRL-Tabelle"/>
              <w:spacing w:before="40"/>
              <w:rPr>
                <w:b/>
              </w:rPr>
            </w:pPr>
            <w:r w:rsidRPr="0009445C">
              <w:rPr>
                <w:b/>
              </w:rPr>
              <w:t xml:space="preserve">Release </w:t>
            </w:r>
          </w:p>
          <w:p w14:paraId="0B733C42" w14:textId="77777777" w:rsidR="00B47442" w:rsidRPr="0009445C" w:rsidRDefault="00B47442" w:rsidP="0099521D">
            <w:pPr>
              <w:pStyle w:val="BRL-Tabelle"/>
              <w:spacing w:before="40"/>
              <w:rPr>
                <w:b/>
              </w:rPr>
            </w:pPr>
            <w:r w:rsidRPr="0009445C">
              <w:rPr>
                <w:b/>
              </w:rPr>
              <w:t>of dangerous substances</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DB7881"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AAE679"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58823A"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88D5D8" w14:textId="77777777" w:rsidR="00B47442" w:rsidRPr="0009445C" w:rsidRDefault="00B47442" w:rsidP="0099521D">
            <w:pPr>
              <w:pStyle w:val="BRL-Tabelle"/>
              <w:jc w:val="center"/>
            </w:pPr>
            <w:r w:rsidRPr="0009445C">
              <w:t>X</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809317"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97A81B"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18E9F9"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D4F151" w14:textId="77777777" w:rsidR="00B47442" w:rsidRPr="0009445C" w:rsidRDefault="00B47442" w:rsidP="0099521D">
            <w:pPr>
              <w:pStyle w:val="BRL-Tabelle"/>
              <w:jc w:val="center"/>
            </w:pPr>
            <w:r w:rsidRPr="0009445C">
              <w:t>X</w:t>
            </w:r>
          </w:p>
        </w:tc>
      </w:tr>
      <w:tr w:rsidR="00B47442" w:rsidRPr="0009445C" w14:paraId="42133ABE" w14:textId="77777777" w:rsidTr="0099521D">
        <w:trPr>
          <w:trHeight w:val="315"/>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4F8A35E8" w14:textId="77777777" w:rsidR="00B47442" w:rsidRPr="0009445C" w:rsidRDefault="00B47442" w:rsidP="0099521D">
            <w:pPr>
              <w:pStyle w:val="BRL-Tabelle"/>
              <w:spacing w:before="40"/>
              <w:rPr>
                <w:b/>
              </w:rPr>
            </w:pPr>
            <w:r w:rsidRPr="0009445C">
              <w:rPr>
                <w:b/>
              </w:rPr>
              <w:t>Surface temperature</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42E425"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371146"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9E55E2"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51CCCA" w14:textId="77777777" w:rsidR="00B47442" w:rsidRPr="0009445C" w:rsidRDefault="00B47442" w:rsidP="0099521D">
            <w:pPr>
              <w:pStyle w:val="BRL-Tabelle"/>
              <w:jc w:val="center"/>
            </w:pPr>
            <w:r w:rsidRPr="0009445C">
              <w:t>X</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2A4DCF"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F7AB4E"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F73B683"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2D9E01" w14:textId="77777777" w:rsidR="00B47442" w:rsidRPr="0009445C" w:rsidRDefault="00B47442" w:rsidP="0099521D">
            <w:pPr>
              <w:pStyle w:val="BRL-Tabelle"/>
              <w:jc w:val="center"/>
            </w:pPr>
            <w:r w:rsidRPr="0009445C">
              <w:t>X</w:t>
            </w:r>
          </w:p>
        </w:tc>
      </w:tr>
      <w:tr w:rsidR="00B47442" w:rsidRPr="0009445C" w14:paraId="7D2312E1" w14:textId="77777777" w:rsidTr="0099521D">
        <w:trPr>
          <w:trHeight w:val="312"/>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76C17592" w14:textId="77777777" w:rsidR="00B47442" w:rsidRPr="0009445C" w:rsidRDefault="00B47442" w:rsidP="0099521D">
            <w:pPr>
              <w:pStyle w:val="BRL-Tabelle"/>
              <w:spacing w:before="40"/>
              <w:rPr>
                <w:b/>
              </w:rPr>
            </w:pPr>
            <w:r w:rsidRPr="0009445C">
              <w:rPr>
                <w:b/>
              </w:rPr>
              <w:t xml:space="preserve">Electrical safety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C8471D"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5D2515"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649915"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51773F" w14:textId="77777777" w:rsidR="00B47442" w:rsidRPr="0009445C" w:rsidRDefault="00B47442" w:rsidP="0099521D">
            <w:pPr>
              <w:pStyle w:val="BRL-Tabelle"/>
              <w:jc w:val="center"/>
            </w:pPr>
            <w:r w:rsidRPr="0009445C">
              <w:t>X</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5883B5" w14:textId="77777777" w:rsidR="00B47442" w:rsidRPr="0009445C" w:rsidRDefault="00B47442" w:rsidP="0099521D">
            <w:pPr>
              <w:pStyle w:val="BRL-Tabelle"/>
              <w:jc w:val="center"/>
            </w:pPr>
            <w:r w:rsidRPr="0009445C">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C165BD"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68B2DE" w14:textId="77777777" w:rsidR="00B47442" w:rsidRPr="0009445C" w:rsidRDefault="00B47442" w:rsidP="0099521D">
            <w:pPr>
              <w:pStyle w:val="BRL-Tabelle"/>
              <w:jc w:val="center"/>
            </w:pPr>
            <w:r w:rsidRPr="0009445C">
              <w:t>X</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A2C9C3" w14:textId="77777777" w:rsidR="00B47442" w:rsidRPr="0009445C" w:rsidRDefault="00B47442" w:rsidP="0099521D">
            <w:pPr>
              <w:pStyle w:val="BRL-Tabelle"/>
              <w:jc w:val="center"/>
            </w:pPr>
            <w:r w:rsidRPr="0009445C">
              <w:t>X</w:t>
            </w:r>
          </w:p>
        </w:tc>
      </w:tr>
      <w:tr w:rsidR="00B47442" w:rsidRPr="0009445C" w14:paraId="4C9CC2BF" w14:textId="77777777" w:rsidTr="0099521D">
        <w:trPr>
          <w:trHeight w:val="312"/>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45984829" w14:textId="77777777" w:rsidR="00B47442" w:rsidRPr="0009445C" w:rsidRDefault="00B47442" w:rsidP="0099521D">
            <w:pPr>
              <w:pStyle w:val="BRL-Tabelle"/>
              <w:spacing w:before="40"/>
              <w:rPr>
                <w:b/>
              </w:rPr>
            </w:pPr>
            <w:r w:rsidRPr="0009445C">
              <w:rPr>
                <w:b/>
              </w:rPr>
              <w:t>Cleanability</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1521A3"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B854C4" w14:textId="77777777" w:rsidR="00B47442" w:rsidRPr="0009445C" w:rsidRDefault="00B47442" w:rsidP="0099521D">
            <w:pPr>
              <w:pStyle w:val="BRL-Tabelle"/>
              <w:spacing w:before="40"/>
              <w:jc w:val="center"/>
              <w:rPr>
                <w:rFonts w:cs="Arial"/>
              </w:rPr>
            </w:pPr>
            <w:r w:rsidRPr="0009445C">
              <w:t>-</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98A212"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8E4F3A" w14:textId="77777777" w:rsidR="00B47442" w:rsidRPr="0009445C" w:rsidRDefault="00B47442" w:rsidP="0099521D">
            <w:pPr>
              <w:pStyle w:val="BRL-Tabelle"/>
              <w:spacing w:before="40"/>
              <w:jc w:val="center"/>
              <w:rPr>
                <w:rFonts w:cs="Arial"/>
              </w:rPr>
            </w:pPr>
            <w:r w:rsidRPr="0009445C">
              <w:t>-</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8230E0" w14:textId="77777777" w:rsidR="00B47442" w:rsidRPr="0009445C" w:rsidRDefault="00B47442" w:rsidP="0099521D">
            <w:pPr>
              <w:pStyle w:val="BRL-Tabelle"/>
              <w:spacing w:before="40"/>
              <w:jc w:val="center"/>
              <w:rPr>
                <w:rFonts w:cs="Arial"/>
              </w:rPr>
            </w:pPr>
            <w:r w:rsidRPr="0009445C">
              <w:t>-</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99BBD1"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C734D7"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43017C" w14:textId="77777777" w:rsidR="00B47442" w:rsidRPr="0009445C" w:rsidRDefault="00B47442" w:rsidP="0099521D">
            <w:pPr>
              <w:pStyle w:val="BRL-Tabelle"/>
              <w:spacing w:before="40"/>
              <w:jc w:val="center"/>
              <w:rPr>
                <w:rFonts w:cs="Arial"/>
              </w:rPr>
            </w:pPr>
            <w:r w:rsidRPr="0009445C">
              <w:t>-</w:t>
            </w:r>
          </w:p>
        </w:tc>
      </w:tr>
      <w:tr w:rsidR="00B47442" w:rsidRPr="0009445C" w14:paraId="0C36FBD8" w14:textId="77777777" w:rsidTr="0099521D">
        <w:trPr>
          <w:trHeight w:val="645"/>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34E7E4EA" w14:textId="77777777" w:rsidR="00B47442" w:rsidRPr="0009445C" w:rsidRDefault="00B47442" w:rsidP="0099521D">
            <w:pPr>
              <w:pStyle w:val="BRL-Tabelle"/>
              <w:spacing w:before="40"/>
              <w:rPr>
                <w:b/>
              </w:rPr>
            </w:pPr>
            <w:r w:rsidRPr="0009445C">
              <w:rPr>
                <w:b/>
              </w:rPr>
              <w:t>Maximum operating pressure (only applicable if the furnace is equipped with water-bearing structural elements)</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45C272"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41564B" w14:textId="77777777" w:rsidR="00B47442" w:rsidRPr="0009445C" w:rsidRDefault="00B47442" w:rsidP="0099521D">
            <w:pPr>
              <w:pStyle w:val="BRL-Tabelle"/>
              <w:spacing w:before="40"/>
              <w:jc w:val="center"/>
              <w:rPr>
                <w:rFonts w:cs="Arial"/>
              </w:rP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987501"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6CD87A6" w14:textId="77777777" w:rsidR="00B47442" w:rsidRPr="0009445C" w:rsidRDefault="00B47442" w:rsidP="0099521D">
            <w:pPr>
              <w:pStyle w:val="BRL-Tabelle"/>
              <w:spacing w:before="40"/>
              <w:jc w:val="center"/>
              <w:rPr>
                <w:rFonts w:cs="Arial"/>
              </w:rP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D9AE71" w14:textId="77777777" w:rsidR="00B47442" w:rsidRPr="0009445C" w:rsidRDefault="00B47442" w:rsidP="0099521D">
            <w:pPr>
              <w:pStyle w:val="BRL-Tabelle"/>
              <w:spacing w:before="40"/>
              <w:jc w:val="center"/>
              <w:rPr>
                <w:rFonts w:cs="Arial"/>
              </w:rP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05F54C"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A0530E"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9F1009" w14:textId="77777777" w:rsidR="00B47442" w:rsidRPr="0009445C" w:rsidRDefault="00B47442" w:rsidP="0099521D">
            <w:pPr>
              <w:pStyle w:val="BRL-Tabelle"/>
              <w:spacing w:before="40"/>
              <w:jc w:val="center"/>
              <w:rPr>
                <w:rFonts w:cs="Arial"/>
              </w:rPr>
            </w:pPr>
            <w:r w:rsidRPr="0009445C">
              <w:t>-</w:t>
            </w:r>
          </w:p>
        </w:tc>
      </w:tr>
      <w:tr w:rsidR="00B47442" w:rsidRPr="0009445C" w14:paraId="19582B78" w14:textId="77777777" w:rsidTr="0099521D">
        <w:trPr>
          <w:trHeight w:val="60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34684764" w14:textId="77777777" w:rsidR="00B47442" w:rsidRPr="0009445C" w:rsidRDefault="00B47442" w:rsidP="0099521D">
            <w:pPr>
              <w:pStyle w:val="BRL-Tabelle"/>
              <w:spacing w:before="40"/>
              <w:rPr>
                <w:b/>
              </w:rPr>
            </w:pPr>
            <w:r w:rsidRPr="0009445C">
              <w:rPr>
                <w:b/>
              </w:rPr>
              <w:lastRenderedPageBreak/>
              <w:t>Mechanical strength (capacity to support a chimney)</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878A77"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D7C77B" w14:textId="77777777" w:rsidR="00B47442" w:rsidRPr="0009445C" w:rsidRDefault="00B47442" w:rsidP="0099521D">
            <w:pPr>
              <w:pStyle w:val="BRL-Tabelle"/>
              <w:spacing w:before="40"/>
              <w:jc w:val="center"/>
              <w:rPr>
                <w:rFonts w:cs="Arial"/>
              </w:rPr>
            </w:pPr>
            <w:r w:rsidRPr="0009445C">
              <w:t>-</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0C81C4"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DB0C00" w14:textId="77777777" w:rsidR="00B47442" w:rsidRPr="0009445C" w:rsidRDefault="00B47442" w:rsidP="0099521D">
            <w:pPr>
              <w:pStyle w:val="BRL-Tabelle"/>
              <w:spacing w:before="40"/>
              <w:jc w:val="center"/>
              <w:rPr>
                <w:rFonts w:cs="Arial"/>
              </w:rPr>
            </w:pPr>
            <w:r w:rsidRPr="0009445C">
              <w:t>-</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A6846FF" w14:textId="77777777" w:rsidR="00B47442" w:rsidRPr="0009445C" w:rsidRDefault="00B47442" w:rsidP="0099521D">
            <w:pPr>
              <w:pStyle w:val="BRL-Tabelle"/>
              <w:spacing w:before="40"/>
              <w:jc w:val="center"/>
              <w:rPr>
                <w:rFonts w:cs="Arial"/>
              </w:rPr>
            </w:pPr>
            <w:r w:rsidRPr="0009445C">
              <w:t>-</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788D29"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CC46A5"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BEFF61" w14:textId="77777777" w:rsidR="00B47442" w:rsidRPr="0009445C" w:rsidRDefault="00B47442" w:rsidP="0099521D">
            <w:pPr>
              <w:pStyle w:val="BRL-Tabelle"/>
              <w:spacing w:before="40"/>
              <w:jc w:val="center"/>
              <w:rPr>
                <w:rFonts w:cs="Arial"/>
              </w:rPr>
            </w:pPr>
            <w:r w:rsidRPr="0009445C">
              <w:t>-</w:t>
            </w:r>
          </w:p>
        </w:tc>
      </w:tr>
      <w:tr w:rsidR="00B47442" w:rsidRPr="0009445C" w14:paraId="566E22F4" w14:textId="77777777" w:rsidTr="0099521D">
        <w:trPr>
          <w:trHeight w:val="315"/>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66885E8D" w14:textId="77777777" w:rsidR="00B47442" w:rsidRPr="0009445C" w:rsidRDefault="00B47442" w:rsidP="0099521D">
            <w:pPr>
              <w:pStyle w:val="BRL-Tabelle"/>
              <w:spacing w:before="40"/>
              <w:rPr>
                <w:b/>
              </w:rPr>
            </w:pPr>
            <w:r w:rsidRPr="0009445C">
              <w:rPr>
                <w:b/>
              </w:rPr>
              <w:t>Heat output/efficiency</w:t>
            </w:r>
          </w:p>
        </w:tc>
        <w:tc>
          <w:tcPr>
            <w:tcW w:w="5387" w:type="dxa"/>
            <w:gridSpan w:val="8"/>
            <w:tcBorders>
              <w:top w:val="single" w:sz="2" w:space="0" w:color="auto"/>
              <w:left w:val="single" w:sz="2" w:space="0" w:color="auto"/>
              <w:bottom w:val="single" w:sz="2" w:space="0" w:color="auto"/>
              <w:right w:val="single" w:sz="2" w:space="0" w:color="auto"/>
            </w:tcBorders>
            <w:shd w:val="clear" w:color="auto" w:fill="auto"/>
            <w:vAlign w:val="center"/>
            <w:hideMark/>
          </w:tcPr>
          <w:p w14:paraId="18A03DC3" w14:textId="77777777" w:rsidR="00B47442" w:rsidRPr="0009445C" w:rsidRDefault="00B47442" w:rsidP="0099521D">
            <w:pPr>
              <w:pStyle w:val="BRL-Tabelle"/>
              <w:spacing w:before="40"/>
              <w:jc w:val="center"/>
              <w:rPr>
                <w:rFonts w:cs="Arial"/>
              </w:rPr>
            </w:pPr>
          </w:p>
        </w:tc>
      </w:tr>
      <w:tr w:rsidR="00B47442" w:rsidRPr="0009445C" w14:paraId="3B9F332D" w14:textId="77777777" w:rsidTr="0099521D">
        <w:trPr>
          <w:trHeight w:val="30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5A3FBE8F" w14:textId="77777777" w:rsidR="00B47442" w:rsidRPr="0009445C" w:rsidRDefault="00B47442" w:rsidP="0099521D">
            <w:pPr>
              <w:pStyle w:val="BRL-Tabelle"/>
              <w:spacing w:before="40"/>
            </w:pPr>
            <w:r w:rsidRPr="0009445C">
              <w:t>Nominal space heat output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A7E5E92"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FEF316"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C069FD"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AEBDF7"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BA8945"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30DC0E"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76E392"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0533C1" w14:textId="77777777" w:rsidR="00B47442" w:rsidRPr="0009445C" w:rsidRDefault="00B47442" w:rsidP="0099521D">
            <w:pPr>
              <w:pStyle w:val="BRL-Tabelle"/>
              <w:spacing w:before="40"/>
              <w:jc w:val="center"/>
            </w:pPr>
            <w:r w:rsidRPr="0009445C">
              <w:t>L</w:t>
            </w:r>
          </w:p>
        </w:tc>
      </w:tr>
      <w:tr w:rsidR="00B47442" w:rsidRPr="0009445C" w14:paraId="60B45F52" w14:textId="77777777" w:rsidTr="0099521D">
        <w:trPr>
          <w:trHeight w:val="36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657B2ACC" w14:textId="77777777" w:rsidR="00B47442" w:rsidRPr="0009445C" w:rsidRDefault="00B47442" w:rsidP="0099521D">
            <w:pPr>
              <w:pStyle w:val="BRL-Tabelle"/>
              <w:spacing w:before="40"/>
            </w:pPr>
            <w:r w:rsidRPr="0009445C">
              <w:t>Nominal water heat output (if applicable)</w:t>
            </w:r>
            <w:r w:rsidRPr="0009445C">
              <w:rPr>
                <w:vertAlign w:val="superscript"/>
              </w:rPr>
              <w:t>1</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25D210"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F8969D"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5B6E6F7"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C77B15"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C99716"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B62B9E"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B4135B"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57646D" w14:textId="77777777" w:rsidR="00B47442" w:rsidRPr="0009445C" w:rsidRDefault="00B47442" w:rsidP="0099521D">
            <w:pPr>
              <w:pStyle w:val="BRL-Tabelle"/>
              <w:spacing w:before="40"/>
              <w:jc w:val="center"/>
            </w:pPr>
            <w:r w:rsidRPr="0009445C">
              <w:t>-</w:t>
            </w:r>
          </w:p>
        </w:tc>
      </w:tr>
      <w:tr w:rsidR="00B47442" w:rsidRPr="0009445C" w14:paraId="4BBDFEA3" w14:textId="77777777" w:rsidTr="0099521D">
        <w:trPr>
          <w:trHeight w:val="36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02B9AFB3" w14:textId="77777777" w:rsidR="00B47442" w:rsidRPr="0009445C" w:rsidRDefault="00B47442" w:rsidP="0099521D">
            <w:pPr>
              <w:pStyle w:val="BRL-Tabelle"/>
              <w:spacing w:before="40"/>
            </w:pPr>
            <w:r w:rsidRPr="0009445C">
              <w:t>Partial-load room heat output (if specified by the manufacturer)</w:t>
            </w:r>
            <w:r w:rsidRPr="0009445C">
              <w:rPr>
                <w:vertAlign w:val="superscript"/>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961083"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044B0F"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C04448"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086315"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CE102B"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4F1F0E"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674954"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751546" w14:textId="77777777" w:rsidR="00B47442" w:rsidRPr="0009445C" w:rsidRDefault="00B47442" w:rsidP="0099521D">
            <w:pPr>
              <w:pStyle w:val="BRL-Tabelle"/>
              <w:spacing w:before="40"/>
              <w:jc w:val="center"/>
            </w:pPr>
            <w:r w:rsidRPr="0009445C">
              <w:t>L</w:t>
            </w:r>
          </w:p>
        </w:tc>
      </w:tr>
      <w:tr w:rsidR="00B47442" w:rsidRPr="0009445C" w14:paraId="003C2BAA" w14:textId="77777777" w:rsidTr="0099521D">
        <w:trPr>
          <w:trHeight w:val="315"/>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52DE95BF" w14:textId="77777777" w:rsidR="00B47442" w:rsidRPr="0009445C" w:rsidRDefault="00B47442" w:rsidP="0099521D">
            <w:pPr>
              <w:pStyle w:val="BRL-Tabelle"/>
              <w:spacing w:before="40"/>
            </w:pPr>
            <w:r w:rsidRPr="0009445C">
              <w:t>Partial load water heat output (if applicable</w:t>
            </w:r>
            <w:r w:rsidRPr="0009445C">
              <w:rPr>
                <w:vertAlign w:val="superscript"/>
              </w:rPr>
              <w:t>1</w:t>
            </w:r>
            <w:r w:rsidRPr="0009445C">
              <w:t xml:space="preserve"> and if specified</w:t>
            </w:r>
            <w:r w:rsidRPr="0009445C">
              <w:rPr>
                <w:vertAlign w:val="superscript"/>
              </w:rPr>
              <w:t>2</w:t>
            </w: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2394C2"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00E9E2F"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D74465"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67AFEE"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D5241D"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BD74088"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D36CA3"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FB6AC8" w14:textId="77777777" w:rsidR="00B47442" w:rsidRPr="0009445C" w:rsidRDefault="00B47442" w:rsidP="0099521D">
            <w:pPr>
              <w:pStyle w:val="BRL-Tabelle"/>
              <w:spacing w:before="40"/>
              <w:jc w:val="center"/>
            </w:pPr>
            <w:r w:rsidRPr="0009445C">
              <w:t>-</w:t>
            </w:r>
          </w:p>
        </w:tc>
      </w:tr>
      <w:tr w:rsidR="00B47442" w:rsidRPr="0009445C" w14:paraId="056FB4D2" w14:textId="77777777" w:rsidTr="0099521D">
        <w:trPr>
          <w:trHeight w:val="66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1F63C44B" w14:textId="77777777" w:rsidR="00B47442" w:rsidRPr="0009445C" w:rsidRDefault="00B47442" w:rsidP="0099521D">
            <w:pPr>
              <w:pStyle w:val="BRL-Tabelle"/>
              <w:spacing w:before="40"/>
            </w:pPr>
            <w:r w:rsidRPr="0009445C">
              <w:t>Low load room heat output (if specified by the manufacturer</w:t>
            </w:r>
            <w:r w:rsidRPr="0009445C">
              <w:rPr>
                <w:vertAlign w:val="superscript"/>
              </w:rPr>
              <w:t>2</w:t>
            </w: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6E392E"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9469F6"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B1CA73"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B06D94"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688B66"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B8B094"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5B0684"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15CD3E" w14:textId="77777777" w:rsidR="00B47442" w:rsidRPr="0009445C" w:rsidRDefault="00B47442" w:rsidP="0099521D">
            <w:pPr>
              <w:pStyle w:val="BRL-Tabelle"/>
              <w:spacing w:before="40"/>
              <w:jc w:val="center"/>
            </w:pPr>
            <w:r w:rsidRPr="0009445C">
              <w:t>-</w:t>
            </w:r>
          </w:p>
        </w:tc>
      </w:tr>
      <w:tr w:rsidR="00B47442" w:rsidRPr="0009445C" w14:paraId="6862904F" w14:textId="77777777" w:rsidTr="0099521D">
        <w:trPr>
          <w:trHeight w:val="33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297881FB" w14:textId="77777777" w:rsidR="00B47442" w:rsidRPr="0009445C" w:rsidRDefault="00B47442" w:rsidP="0099521D">
            <w:pPr>
              <w:pStyle w:val="BRL-Tabelle"/>
              <w:spacing w:before="40"/>
            </w:pPr>
            <w:r w:rsidRPr="0009445C">
              <w:t>Light-load water heat output (if applicable</w:t>
            </w:r>
            <w:r w:rsidRPr="0009445C">
              <w:rPr>
                <w:vertAlign w:val="superscript"/>
              </w:rPr>
              <w:t>1</w:t>
            </w:r>
            <w:r w:rsidRPr="0009445C">
              <w:t xml:space="preserve"> and if specified by the manufacturer</w:t>
            </w:r>
            <w:r w:rsidRPr="0009445C">
              <w:rPr>
                <w:vertAlign w:val="superscript"/>
              </w:rPr>
              <w:t>2</w:t>
            </w: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1F3BAD"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4105E2"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8B851F"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7EBDD1"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44E6AC"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52361E"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F2EA60"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1637AC" w14:textId="77777777" w:rsidR="00B47442" w:rsidRPr="0009445C" w:rsidRDefault="00B47442" w:rsidP="0099521D">
            <w:pPr>
              <w:pStyle w:val="BRL-Tabelle"/>
              <w:spacing w:before="40"/>
              <w:jc w:val="center"/>
            </w:pPr>
            <w:r w:rsidRPr="0009445C">
              <w:t>-</w:t>
            </w:r>
          </w:p>
        </w:tc>
      </w:tr>
      <w:tr w:rsidR="00B47442" w:rsidRPr="0009445C" w14:paraId="58E94D62" w14:textId="77777777" w:rsidTr="0099521D">
        <w:trPr>
          <w:trHeight w:val="30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284703D6" w14:textId="77777777" w:rsidR="00B47442" w:rsidRPr="0009445C" w:rsidRDefault="00B47442" w:rsidP="0099521D">
            <w:pPr>
              <w:pStyle w:val="BRL-Tabelle"/>
              <w:spacing w:before="40"/>
            </w:pPr>
            <w:r w:rsidRPr="0009445C">
              <w:t>Efficiency at nominal heat output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6AFA1D"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0A0E69"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D7D738"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684998"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DC4CA6"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753CAB"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A54715"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A4DE1A" w14:textId="77777777" w:rsidR="00B47442" w:rsidRPr="0009445C" w:rsidRDefault="00B47442" w:rsidP="0099521D">
            <w:pPr>
              <w:pStyle w:val="BRL-Tabelle"/>
              <w:spacing w:before="40"/>
              <w:jc w:val="center"/>
            </w:pPr>
            <w:r w:rsidRPr="0009445C">
              <w:t>K</w:t>
            </w:r>
          </w:p>
        </w:tc>
      </w:tr>
      <w:tr w:rsidR="00B47442" w:rsidRPr="0009445C" w14:paraId="2E508DAC" w14:textId="77777777" w:rsidTr="0099521D">
        <w:trPr>
          <w:trHeight w:val="66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094A7C73" w14:textId="77777777" w:rsidR="00B47442" w:rsidRPr="0009445C" w:rsidRDefault="00B47442" w:rsidP="0099521D">
            <w:pPr>
              <w:pStyle w:val="BRL-Tabelle"/>
              <w:spacing w:before="40"/>
            </w:pPr>
            <w:r w:rsidRPr="0009445C">
              <w:t xml:space="preserve">Efficiency </w:t>
            </w:r>
          </w:p>
          <w:p w14:paraId="09950513" w14:textId="77777777" w:rsidR="00B47442" w:rsidRPr="0009445C" w:rsidRDefault="00B47442" w:rsidP="0099521D">
            <w:pPr>
              <w:pStyle w:val="BRL-Tabelle"/>
              <w:spacing w:before="40"/>
            </w:pPr>
            <w:r w:rsidRPr="0009445C">
              <w:t xml:space="preserve">at partial-load </w:t>
            </w:r>
            <w:proofErr w:type="spellStart"/>
            <w:r w:rsidRPr="0009445C">
              <w:t>heat</w:t>
            </w:r>
            <w:proofErr w:type="spellEnd"/>
            <w:r w:rsidRPr="0009445C">
              <w:t xml:space="preserve"> output </w:t>
            </w:r>
          </w:p>
          <w:p w14:paraId="34F04D58" w14:textId="77777777" w:rsidR="00B47442" w:rsidRPr="0009445C" w:rsidRDefault="00B47442" w:rsidP="0099521D">
            <w:pPr>
              <w:pStyle w:val="BRL-Tabelle"/>
              <w:spacing w:before="40"/>
            </w:pPr>
            <w:r w:rsidRPr="0009445C">
              <w:t>(if specified by the manufacturer</w:t>
            </w:r>
            <w:r w:rsidRPr="0009445C">
              <w:rPr>
                <w:vertAlign w:val="superscript"/>
              </w:rPr>
              <w:t>2</w:t>
            </w: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D3FF97"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00F66F"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FACB1A"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4E9FED" w14:textId="77777777" w:rsidR="00B47442" w:rsidRPr="0009445C" w:rsidRDefault="00B47442" w:rsidP="0099521D">
            <w:pPr>
              <w:pStyle w:val="BRL-Tabelle"/>
              <w:spacing w:before="40"/>
              <w:jc w:val="cente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5A2E1F" w14:textId="77777777" w:rsidR="00B47442" w:rsidRPr="0009445C" w:rsidRDefault="00B47442" w:rsidP="0099521D">
            <w:pPr>
              <w:pStyle w:val="BRL-Tabelle"/>
              <w:spacing w:before="40"/>
              <w:jc w:val="cente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A8522C"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654603" w14:textId="77777777" w:rsidR="00B47442" w:rsidRPr="0009445C" w:rsidRDefault="00B47442" w:rsidP="0099521D">
            <w:pPr>
              <w:pStyle w:val="BRL-Tabelle"/>
              <w:spacing w:before="40"/>
              <w:jc w:val="cente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3BCDBC" w14:textId="77777777" w:rsidR="00B47442" w:rsidRPr="0009445C" w:rsidRDefault="00B47442" w:rsidP="0099521D">
            <w:pPr>
              <w:pStyle w:val="BRL-Tabelle"/>
              <w:spacing w:before="40"/>
              <w:jc w:val="center"/>
            </w:pPr>
            <w:r w:rsidRPr="0009445C">
              <w:t>-</w:t>
            </w:r>
          </w:p>
        </w:tc>
      </w:tr>
      <w:tr w:rsidR="00B47442" w:rsidRPr="0009445C" w14:paraId="7B071C61" w14:textId="77777777" w:rsidTr="0099521D">
        <w:trPr>
          <w:trHeight w:val="360"/>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6357DA4C" w14:textId="77777777" w:rsidR="00B47442" w:rsidRPr="0009445C" w:rsidRDefault="00B47442" w:rsidP="0099521D">
            <w:pPr>
              <w:pStyle w:val="BRL-Tabelle"/>
              <w:spacing w:before="40"/>
              <w:rPr>
                <w:b/>
              </w:rPr>
            </w:pPr>
            <w:r w:rsidRPr="0009445C">
              <w:rPr>
                <w:b/>
              </w:rPr>
              <w:t>Exhaust gas temperature at nominal thermal output and partial-load thermal output (if specified)</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5E7525"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C0D6A0" w14:textId="77777777" w:rsidR="00B47442" w:rsidRPr="0009445C" w:rsidRDefault="00B47442" w:rsidP="0099521D">
            <w:pPr>
              <w:pStyle w:val="BRL-Tabelle"/>
              <w:spacing w:before="40"/>
              <w:jc w:val="center"/>
              <w:rPr>
                <w:rFonts w:cs="Arial"/>
              </w:rP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F664DC"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5881043" w14:textId="77777777" w:rsidR="00B47442" w:rsidRPr="0009445C" w:rsidRDefault="00B47442" w:rsidP="0099521D">
            <w:pPr>
              <w:pStyle w:val="BRL-Tabelle"/>
              <w:spacing w:before="40"/>
              <w:jc w:val="center"/>
              <w:rPr>
                <w:rFonts w:cs="Arial"/>
              </w:rPr>
            </w:pPr>
            <w:r w:rsidRPr="0009445C">
              <w:t>L</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E480A1" w14:textId="77777777" w:rsidR="00B47442" w:rsidRPr="0009445C" w:rsidRDefault="00B47442" w:rsidP="0099521D">
            <w:pPr>
              <w:pStyle w:val="BRL-Tabelle"/>
              <w:spacing w:before="40"/>
              <w:jc w:val="center"/>
              <w:rPr>
                <w:rFonts w:cs="Arial"/>
              </w:rPr>
            </w:pPr>
            <w:r w:rsidRPr="0009445C">
              <w:t>L</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27735D"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816637" w14:textId="77777777" w:rsidR="00B47442" w:rsidRPr="0009445C" w:rsidRDefault="00B47442" w:rsidP="0099521D">
            <w:pPr>
              <w:pStyle w:val="BRL-Tabelle"/>
              <w:spacing w:before="40"/>
              <w:jc w:val="center"/>
              <w:rPr>
                <w:rFonts w:cs="Arial"/>
              </w:rPr>
            </w:pPr>
            <w:r w:rsidRPr="0009445C">
              <w:t>L</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3B24FE" w14:textId="77777777" w:rsidR="00B47442" w:rsidRPr="0009445C" w:rsidRDefault="00B47442" w:rsidP="0099521D">
            <w:pPr>
              <w:pStyle w:val="BRL-Tabelle"/>
              <w:spacing w:before="40"/>
              <w:jc w:val="center"/>
              <w:rPr>
                <w:rFonts w:cs="Arial"/>
              </w:rPr>
            </w:pPr>
            <w:r w:rsidRPr="0009445C">
              <w:t>L</w:t>
            </w:r>
          </w:p>
        </w:tc>
      </w:tr>
      <w:tr w:rsidR="00B47442" w:rsidRPr="0009445C" w14:paraId="1FB14DCF" w14:textId="77777777" w:rsidTr="0099521D">
        <w:trPr>
          <w:trHeight w:val="312"/>
        </w:trPr>
        <w:tc>
          <w:tcPr>
            <w:tcW w:w="4044" w:type="dxa"/>
            <w:tcBorders>
              <w:top w:val="single" w:sz="2" w:space="0" w:color="auto"/>
              <w:left w:val="single" w:sz="2" w:space="0" w:color="auto"/>
              <w:bottom w:val="single" w:sz="2" w:space="0" w:color="auto"/>
              <w:right w:val="single" w:sz="2" w:space="0" w:color="auto"/>
            </w:tcBorders>
            <w:shd w:val="clear" w:color="auto" w:fill="auto"/>
            <w:hideMark/>
          </w:tcPr>
          <w:p w14:paraId="5AD8BBF5" w14:textId="77777777" w:rsidR="00B47442" w:rsidRPr="0009445C" w:rsidRDefault="00B47442" w:rsidP="0099521D">
            <w:pPr>
              <w:pStyle w:val="BRL-Tabelle"/>
              <w:spacing w:before="40"/>
              <w:rPr>
                <w:rFonts w:cs="Arial"/>
                <w:b/>
                <w:bCs/>
              </w:rPr>
            </w:pPr>
            <w:r w:rsidRPr="0009445C">
              <w:rPr>
                <w:b/>
              </w:rPr>
              <w:t>Durability</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AF969F"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322BD4" w14:textId="77777777" w:rsidR="00B47442" w:rsidRPr="0009445C" w:rsidRDefault="00B47442" w:rsidP="0099521D">
            <w:pPr>
              <w:pStyle w:val="BRL-Tabelle"/>
              <w:spacing w:before="40"/>
              <w:jc w:val="center"/>
              <w:rPr>
                <w:rFonts w:cs="Arial"/>
              </w:rPr>
            </w:pPr>
            <w:r w:rsidRPr="0009445C">
              <w:t>-</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C8243B"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22B876" w14:textId="77777777" w:rsidR="00B47442" w:rsidRPr="0009445C" w:rsidRDefault="00B47442" w:rsidP="0099521D">
            <w:pPr>
              <w:pStyle w:val="BRL-Tabelle"/>
              <w:spacing w:before="40"/>
              <w:jc w:val="center"/>
              <w:rPr>
                <w:rFonts w:cs="Arial"/>
              </w:rPr>
            </w:pPr>
            <w:r w:rsidRPr="0009445C">
              <w:t>-</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0B5637" w14:textId="77777777" w:rsidR="00B47442" w:rsidRPr="0009445C" w:rsidRDefault="00B47442" w:rsidP="0099521D">
            <w:pPr>
              <w:pStyle w:val="BRL-Tabelle"/>
              <w:spacing w:before="40"/>
              <w:jc w:val="center"/>
              <w:rPr>
                <w:rFonts w:cs="Arial"/>
              </w:rPr>
            </w:pPr>
            <w:r w:rsidRPr="0009445C">
              <w:t>-</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F76388"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B2334B" w14:textId="77777777" w:rsidR="00B47442" w:rsidRPr="0009445C" w:rsidRDefault="00B47442" w:rsidP="0099521D">
            <w:pPr>
              <w:pStyle w:val="BRL-Tabelle"/>
              <w:spacing w:before="40"/>
              <w:jc w:val="center"/>
              <w:rPr>
                <w:rFonts w:cs="Arial"/>
              </w:rPr>
            </w:pPr>
            <w:r w:rsidRPr="0009445C">
              <w: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66AAC0" w14:textId="77777777" w:rsidR="00B47442" w:rsidRPr="0009445C" w:rsidRDefault="00B47442" w:rsidP="0099521D">
            <w:pPr>
              <w:pStyle w:val="BRL-Tabelle"/>
              <w:spacing w:before="40"/>
              <w:jc w:val="center"/>
              <w:rPr>
                <w:rFonts w:cs="Arial"/>
              </w:rPr>
            </w:pPr>
            <w:r w:rsidRPr="0009445C">
              <w:t>-</w:t>
            </w:r>
          </w:p>
        </w:tc>
      </w:tr>
      <w:tr w:rsidR="00B47442" w:rsidRPr="0009445C" w14:paraId="7BD39183" w14:textId="77777777" w:rsidTr="0099521D">
        <w:trPr>
          <w:trHeight w:val="312"/>
        </w:trPr>
        <w:tc>
          <w:tcPr>
            <w:tcW w:w="9431" w:type="dxa"/>
            <w:gridSpan w:val="9"/>
            <w:tcBorders>
              <w:top w:val="single" w:sz="2" w:space="0" w:color="auto"/>
            </w:tcBorders>
            <w:shd w:val="clear" w:color="auto" w:fill="auto"/>
          </w:tcPr>
          <w:p w14:paraId="7002D1AB" w14:textId="77777777" w:rsidR="00B47442" w:rsidRPr="0009445C" w:rsidRDefault="00B47442" w:rsidP="001F4D12">
            <w:pPr>
              <w:pStyle w:val="ListParagraph"/>
              <w:numPr>
                <w:ilvl w:val="0"/>
                <w:numId w:val="39"/>
              </w:numPr>
              <w:spacing w:before="60" w:line="240" w:lineRule="auto"/>
              <w:ind w:left="709" w:hanging="709"/>
              <w:jc w:val="left"/>
              <w:rPr>
                <w:rFonts w:cs="Arial"/>
              </w:rPr>
            </w:pPr>
            <w:r w:rsidRPr="0009445C">
              <w:t>Water thermal output – Output must be specified if the furnace has a water heat exchanger;</w:t>
            </w:r>
          </w:p>
          <w:p w14:paraId="3732744C" w14:textId="77777777" w:rsidR="00B47442" w:rsidRPr="0009445C" w:rsidRDefault="00B47442" w:rsidP="001F4D12">
            <w:pPr>
              <w:pStyle w:val="ListParagraph"/>
              <w:numPr>
                <w:ilvl w:val="0"/>
                <w:numId w:val="39"/>
              </w:numPr>
              <w:spacing w:line="240" w:lineRule="auto"/>
              <w:ind w:left="709" w:hanging="709"/>
              <w:jc w:val="left"/>
              <w:rPr>
                <w:rFonts w:cs="Arial"/>
              </w:rPr>
            </w:pPr>
            <w:r w:rsidRPr="0009445C">
              <w:t>If the manufacturer provides for partial or light load operation for the furnace, the performance of this thermal output is required</w:t>
            </w:r>
          </w:p>
          <w:p w14:paraId="25A46619" w14:textId="77777777" w:rsidR="00B47442" w:rsidRPr="0009445C" w:rsidRDefault="00B47442" w:rsidP="0099521D">
            <w:pPr>
              <w:spacing w:line="240" w:lineRule="auto"/>
              <w:ind w:left="709" w:hanging="709"/>
              <w:rPr>
                <w:rFonts w:cs="Arial"/>
              </w:rPr>
            </w:pPr>
            <w:r w:rsidRPr="0009445C">
              <w:tab/>
              <w:t>This applies equally to cases with/without water heat exchangers;</w:t>
            </w:r>
          </w:p>
          <w:p w14:paraId="2EED826F" w14:textId="77777777" w:rsidR="00B47442" w:rsidRPr="0009445C" w:rsidRDefault="00B47442" w:rsidP="0099521D">
            <w:pPr>
              <w:spacing w:line="240" w:lineRule="auto"/>
              <w:ind w:left="709" w:hanging="709"/>
              <w:rPr>
                <w:rFonts w:cs="Arial"/>
                <w:szCs w:val="18"/>
              </w:rPr>
            </w:pPr>
            <w:r w:rsidRPr="0009445C">
              <w:t>X</w:t>
            </w:r>
            <w:r w:rsidRPr="0009445C">
              <w:tab/>
              <w:t>must be fulfilled</w:t>
            </w:r>
          </w:p>
          <w:p w14:paraId="68B19C63" w14:textId="77777777" w:rsidR="00B47442" w:rsidRPr="0009445C" w:rsidRDefault="00B47442" w:rsidP="0099521D">
            <w:pPr>
              <w:spacing w:line="240" w:lineRule="auto"/>
              <w:ind w:left="709" w:hanging="709"/>
              <w:rPr>
                <w:rFonts w:cs="Arial"/>
                <w:szCs w:val="18"/>
              </w:rPr>
            </w:pPr>
            <w:r w:rsidRPr="0009445C">
              <w:t>K</w:t>
            </w:r>
            <w:r w:rsidRPr="0009445C">
              <w:tab/>
              <w:t xml:space="preserve">Classification required </w:t>
            </w:r>
          </w:p>
          <w:p w14:paraId="00C9676C" w14:textId="77777777" w:rsidR="00B47442" w:rsidRPr="0009445C" w:rsidRDefault="00B47442" w:rsidP="0099521D">
            <w:pPr>
              <w:spacing w:line="240" w:lineRule="auto"/>
              <w:ind w:left="709" w:hanging="709"/>
              <w:rPr>
                <w:rFonts w:cs="Arial"/>
                <w:szCs w:val="18"/>
              </w:rPr>
            </w:pPr>
            <w:r w:rsidRPr="0009445C">
              <w:t>K*</w:t>
            </w:r>
            <w:r w:rsidRPr="0009445C">
              <w:tab/>
              <w:t>The class may contain other parameters in addition to the CO value and the specification of the efficiency.</w:t>
            </w:r>
          </w:p>
          <w:p w14:paraId="49914B76" w14:textId="77777777" w:rsidR="00B47442" w:rsidRPr="0009445C" w:rsidRDefault="00B47442" w:rsidP="0099521D">
            <w:pPr>
              <w:spacing w:line="240" w:lineRule="auto"/>
              <w:ind w:left="709" w:hanging="709"/>
              <w:rPr>
                <w:rFonts w:cs="Arial"/>
                <w:szCs w:val="18"/>
              </w:rPr>
            </w:pPr>
            <w:r w:rsidRPr="0009445C">
              <w:t>L</w:t>
            </w:r>
            <w:r w:rsidRPr="0009445C">
              <w:tab/>
              <w:t>Value for the output required</w:t>
            </w:r>
          </w:p>
          <w:p w14:paraId="6608D4AB" w14:textId="77777777" w:rsidR="00B47442" w:rsidRPr="0009445C" w:rsidRDefault="00B47442" w:rsidP="0099521D">
            <w:pPr>
              <w:spacing w:after="60" w:line="240" w:lineRule="auto"/>
              <w:ind w:left="709" w:hanging="709"/>
              <w:rPr>
                <w:rFonts w:cs="Arial"/>
              </w:rPr>
            </w:pPr>
            <w:r w:rsidRPr="0009445C">
              <w:t>-</w:t>
            </w:r>
            <w:r w:rsidRPr="0009445C">
              <w:tab/>
              <w:t>Essential feature not included in Annex ZA for the construction product, or included in Annex ZA but not required under building inspection regulations</w:t>
            </w:r>
          </w:p>
        </w:tc>
      </w:tr>
    </w:tbl>
    <w:p w14:paraId="7E825648" w14:textId="77777777" w:rsidR="00B47442" w:rsidRPr="0009445C" w:rsidRDefault="00B47442" w:rsidP="00B47442">
      <w:pPr>
        <w:pStyle w:val="BRL-Standard"/>
        <w:rPr>
          <w:rFonts w:eastAsia="Calibri"/>
          <w:lang w:eastAsia="en-US"/>
        </w:rPr>
      </w:pPr>
    </w:p>
    <w:p w14:paraId="6935068F" w14:textId="367AC2CC" w:rsidR="00B47442" w:rsidRPr="0009445C" w:rsidRDefault="00B47442" w:rsidP="00B47442">
      <w:pPr>
        <w:pStyle w:val="BRL-Standard"/>
        <w:spacing w:after="120"/>
        <w:jc w:val="left"/>
        <w:rPr>
          <w:rFonts w:eastAsia="Calibri"/>
        </w:rPr>
      </w:pPr>
      <w:r w:rsidRPr="0009445C">
        <w:t>When using furnaces according to the Construction Products Regulation, except for sauna stoves according to EN 15821:2010</w:t>
      </w:r>
      <w:r w:rsidR="00656C60" w:rsidRPr="0009445C">
        <w:rPr>
          <w:rFonts w:eastAsia="Calibri"/>
        </w:rPr>
        <w:fldChar w:fldCharType="begin"/>
      </w:r>
      <w:r w:rsidR="00656C60" w:rsidRPr="0009445C">
        <w:rPr>
          <w:rFonts w:eastAsia="Calibri"/>
        </w:rPr>
        <w:instrText xml:space="preserve"> NOTEREF _Ref82180058 \f \h </w:instrText>
      </w:r>
      <w:r w:rsidR="00656C60" w:rsidRPr="0009445C">
        <w:rPr>
          <w:rFonts w:eastAsia="Calibri"/>
        </w:rPr>
      </w:r>
      <w:r w:rsidR="0009445C" w:rsidRPr="0009445C">
        <w:rPr>
          <w:rFonts w:eastAsia="Calibri"/>
        </w:rPr>
        <w:instrText xml:space="preserve"> \* MERGEFORMAT </w:instrText>
      </w:r>
      <w:r w:rsidR="00656C60" w:rsidRPr="0009445C">
        <w:rPr>
          <w:rFonts w:eastAsia="Calibri"/>
        </w:rPr>
        <w:fldChar w:fldCharType="separate"/>
      </w:r>
      <w:r w:rsidR="0009445C" w:rsidRPr="0009445C">
        <w:rPr>
          <w:rStyle w:val="FootnoteReference"/>
          <w:rFonts w:eastAsia="Calibri"/>
        </w:rPr>
        <w:t>7</w:t>
      </w:r>
      <w:r w:rsidR="00656C60" w:rsidRPr="0009445C">
        <w:rPr>
          <w:rFonts w:eastAsia="Calibri"/>
        </w:rPr>
        <w:fldChar w:fldCharType="end"/>
      </w:r>
      <w:r w:rsidRPr="0009445C">
        <w:t>, it should be kept in mind that</w:t>
      </w:r>
    </w:p>
    <w:p w14:paraId="32498646" w14:textId="77777777" w:rsidR="00B47442" w:rsidRPr="0009445C" w:rsidRDefault="00B47442" w:rsidP="00B47442">
      <w:pPr>
        <w:pStyle w:val="BRLAufzhlungAnstrich"/>
        <w:numPr>
          <w:ilvl w:val="0"/>
          <w:numId w:val="1"/>
        </w:numPr>
      </w:pPr>
      <w:r w:rsidRPr="0009445C">
        <w:t>The distance to structural elements made of combustible building materials, as specified by the CE marking, is observed, where adjacent structural elements shall have a thermal resistance, in accordance with the harmonised standard, of R ≤ 1.2 m²K/W for solid fuel furnaces and R ≤ 0.127 m²K/W for liquid fuel furnaces, unless otherwise specified in the declarations of performance with respect to the thermal resistance of the adjacent structural elements. In case of higher thermal resistances, additional measures may be required, e.g. according to DIN 18896:2014</w:t>
      </w:r>
      <w:r w:rsidRPr="0009445C">
        <w:noBreakHyphen/>
        <w:t>02, Section 4.4.1,</w:t>
      </w:r>
    </w:p>
    <w:p w14:paraId="49B0FB9A" w14:textId="1E8FEA72" w:rsidR="00B47442" w:rsidRPr="0009445C" w:rsidRDefault="00B47442" w:rsidP="00B47442">
      <w:pPr>
        <w:pStyle w:val="BRLAufzhlungAnstrich"/>
        <w:numPr>
          <w:ilvl w:val="0"/>
          <w:numId w:val="1"/>
        </w:numPr>
      </w:pPr>
      <w:r w:rsidRPr="0009445C">
        <w:t>For inset appliances in furnaces, the provisions of the ‘Specialist Regulation [</w:t>
      </w:r>
      <w:proofErr w:type="spellStart"/>
      <w:r w:rsidRPr="0009445C">
        <w:t>Fachregel</w:t>
      </w:r>
      <w:proofErr w:type="spellEnd"/>
      <w:r w:rsidRPr="0009445C">
        <w:t>] on furnace and air heating construction, TG OL 2006, 2010 version’ or the manufacturer’s specifications, e.g. pursuant to EN 13229:2001</w:t>
      </w:r>
      <w:r w:rsidR="00656C60" w:rsidRPr="0009445C">
        <w:fldChar w:fldCharType="begin"/>
      </w:r>
      <w:r w:rsidR="00656C60" w:rsidRPr="0009445C">
        <w:instrText xml:space="preserve"> NOTEREF _Ref82180162 \f \h </w:instrText>
      </w:r>
      <w:r w:rsidR="0009445C" w:rsidRPr="0009445C">
        <w:instrText xml:space="preserve"> \* MERGEFORMAT </w:instrText>
      </w:r>
      <w:r w:rsidR="00656C60" w:rsidRPr="0009445C">
        <w:fldChar w:fldCharType="separate"/>
      </w:r>
      <w:r w:rsidR="0009445C" w:rsidRPr="0009445C">
        <w:rPr>
          <w:rStyle w:val="FootnoteReference"/>
        </w:rPr>
        <w:t>2</w:t>
      </w:r>
      <w:r w:rsidR="00656C60" w:rsidRPr="0009445C">
        <w:fldChar w:fldCharType="end"/>
      </w:r>
      <w:r w:rsidRPr="0009445C">
        <w:t>, shall be observed,</w:t>
      </w:r>
    </w:p>
    <w:p w14:paraId="25B12A6C" w14:textId="77777777" w:rsidR="00B47442" w:rsidRPr="0009445C" w:rsidRDefault="00B47442" w:rsidP="00B47442">
      <w:pPr>
        <w:pStyle w:val="BRLAufzhlungAnstrich"/>
        <w:numPr>
          <w:ilvl w:val="0"/>
          <w:numId w:val="1"/>
        </w:numPr>
        <w:spacing w:after="60"/>
        <w:rPr>
          <w:strike/>
        </w:rPr>
      </w:pPr>
      <w:r w:rsidRPr="0009445C">
        <w:t xml:space="preserve">When using slow heat release furnace appliances </w:t>
      </w:r>
    </w:p>
    <w:p w14:paraId="18B54528" w14:textId="77777777" w:rsidR="00B47442" w:rsidRPr="0009445C" w:rsidRDefault="00B47442" w:rsidP="00B47442">
      <w:pPr>
        <w:pStyle w:val="BRL-StandardAufzhlungNr"/>
        <w:numPr>
          <w:ilvl w:val="0"/>
          <w:numId w:val="0"/>
        </w:numPr>
        <w:ind w:left="709" w:hanging="349"/>
        <w:rPr>
          <w:bCs w:val="0"/>
        </w:rPr>
      </w:pPr>
      <w:r w:rsidRPr="0009445C">
        <w:t>1.</w:t>
      </w:r>
      <w:r w:rsidRPr="0009445C">
        <w:tab/>
        <w:t>The nominal heat output (kW) of the furnace is specified on the basis of the total heat output [kJ] and the time until the average surface temperature is 25% of the maximum value, and</w:t>
      </w:r>
    </w:p>
    <w:p w14:paraId="7D2AD3CA" w14:textId="77777777" w:rsidR="00B47442" w:rsidRPr="0009445C" w:rsidRDefault="00B47442" w:rsidP="00B47442">
      <w:pPr>
        <w:pStyle w:val="BRL-StandardAufzhlungNr"/>
        <w:numPr>
          <w:ilvl w:val="0"/>
          <w:numId w:val="0"/>
        </w:numPr>
        <w:ind w:left="709" w:hanging="349"/>
      </w:pPr>
      <w:r w:rsidRPr="0009445C">
        <w:t>2</w:t>
      </w:r>
      <w:r w:rsidRPr="0009445C">
        <w:tab/>
        <w:t>Mineral structures of the furnace that come into contact with fire or exhaust gas, have the following characteristics as described in Table 2.</w:t>
      </w:r>
    </w:p>
    <w:p w14:paraId="6F0BD86D" w14:textId="77777777" w:rsidR="003A0178" w:rsidRPr="0009445C" w:rsidRDefault="003A0178" w:rsidP="00B47442">
      <w:pPr>
        <w:pStyle w:val="BRL-StandardAufzhlungNr"/>
        <w:numPr>
          <w:ilvl w:val="0"/>
          <w:numId w:val="0"/>
        </w:numPr>
        <w:ind w:left="709" w:hanging="349"/>
        <w:rPr>
          <w:bCs w:val="0"/>
        </w:rPr>
      </w:pPr>
    </w:p>
    <w:p w14:paraId="347ACB1B" w14:textId="77777777" w:rsidR="00B47442" w:rsidRPr="0009445C" w:rsidRDefault="00B47442" w:rsidP="00600F53">
      <w:pPr>
        <w:pStyle w:val="BRL-Standard"/>
        <w:keepNext/>
        <w:keepLines/>
        <w:spacing w:after="40"/>
        <w:ind w:firstLine="851"/>
        <w:rPr>
          <w:rFonts w:eastAsia="Calibri"/>
          <w:b/>
          <w:bCs/>
        </w:rPr>
      </w:pPr>
      <w:r w:rsidRPr="0009445C">
        <w:rPr>
          <w:b/>
        </w:rPr>
        <w:lastRenderedPageBreak/>
        <w:t>Table 2:</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126"/>
      </w:tblGrid>
      <w:tr w:rsidR="00B47442" w:rsidRPr="0009445C" w14:paraId="00DD8B33" w14:textId="77777777" w:rsidTr="0099521D">
        <w:tc>
          <w:tcPr>
            <w:tcW w:w="2381" w:type="dxa"/>
            <w:shd w:val="clear" w:color="auto" w:fill="auto"/>
          </w:tcPr>
          <w:p w14:paraId="65CE87E0" w14:textId="77777777" w:rsidR="00B47442" w:rsidRPr="0009445C" w:rsidRDefault="00B47442" w:rsidP="00600F53">
            <w:pPr>
              <w:pStyle w:val="BRL-Tabelle"/>
              <w:keepNext/>
              <w:keepLines/>
              <w:spacing w:before="60" w:after="40"/>
              <w:rPr>
                <w:rFonts w:eastAsia="MS Mincho"/>
                <w:b/>
              </w:rPr>
            </w:pPr>
            <w:r w:rsidRPr="0009445C">
              <w:rPr>
                <w:b/>
              </w:rPr>
              <w:t>Materials</w:t>
            </w:r>
          </w:p>
        </w:tc>
        <w:tc>
          <w:tcPr>
            <w:tcW w:w="2126" w:type="dxa"/>
            <w:shd w:val="clear" w:color="auto" w:fill="auto"/>
          </w:tcPr>
          <w:p w14:paraId="3F3F77A3" w14:textId="77777777" w:rsidR="00B47442" w:rsidRPr="0009445C" w:rsidRDefault="00B47442" w:rsidP="00600F53">
            <w:pPr>
              <w:pStyle w:val="BRL-Tabelle"/>
              <w:keepNext/>
              <w:keepLines/>
              <w:spacing w:before="60" w:after="40"/>
              <w:rPr>
                <w:rFonts w:eastAsia="MS Mincho"/>
                <w:b/>
              </w:rPr>
            </w:pPr>
            <w:r w:rsidRPr="0009445C">
              <w:rPr>
                <w:b/>
              </w:rPr>
              <w:t>Raw density [kg/dm³]</w:t>
            </w:r>
          </w:p>
        </w:tc>
      </w:tr>
      <w:tr w:rsidR="00B47442" w:rsidRPr="0009445C" w14:paraId="5403FA13" w14:textId="77777777" w:rsidTr="0099521D">
        <w:tc>
          <w:tcPr>
            <w:tcW w:w="2381" w:type="dxa"/>
            <w:shd w:val="clear" w:color="auto" w:fill="auto"/>
          </w:tcPr>
          <w:p w14:paraId="4E31D4FB" w14:textId="77777777" w:rsidR="00B47442" w:rsidRPr="0009445C" w:rsidRDefault="00B47442" w:rsidP="00600F53">
            <w:pPr>
              <w:pStyle w:val="BRL-Tabelle"/>
              <w:keepNext/>
              <w:keepLines/>
              <w:spacing w:before="60" w:after="40"/>
              <w:rPr>
                <w:rFonts w:eastAsia="MS Mincho"/>
              </w:rPr>
            </w:pPr>
            <w:r w:rsidRPr="0009445C">
              <w:t>Standard chamotte</w:t>
            </w:r>
          </w:p>
        </w:tc>
        <w:tc>
          <w:tcPr>
            <w:tcW w:w="2126" w:type="dxa"/>
            <w:shd w:val="clear" w:color="auto" w:fill="auto"/>
          </w:tcPr>
          <w:p w14:paraId="68C47687" w14:textId="77777777" w:rsidR="00B47442" w:rsidRPr="0009445C" w:rsidRDefault="00B47442" w:rsidP="00600F53">
            <w:pPr>
              <w:pStyle w:val="BRL-Tabelle"/>
              <w:keepNext/>
              <w:keepLines/>
              <w:spacing w:before="60" w:after="40"/>
              <w:rPr>
                <w:rFonts w:eastAsia="MS Mincho"/>
              </w:rPr>
            </w:pPr>
            <w:r w:rsidRPr="0009445C">
              <w:t>1.75 to 2.2</w:t>
            </w:r>
          </w:p>
        </w:tc>
      </w:tr>
      <w:tr w:rsidR="00B47442" w:rsidRPr="0009445C" w14:paraId="14E59D7C" w14:textId="77777777" w:rsidTr="0099521D">
        <w:tc>
          <w:tcPr>
            <w:tcW w:w="2381" w:type="dxa"/>
            <w:shd w:val="clear" w:color="auto" w:fill="auto"/>
          </w:tcPr>
          <w:p w14:paraId="379D8D5C" w14:textId="77777777" w:rsidR="00B47442" w:rsidRPr="0009445C" w:rsidRDefault="00B47442" w:rsidP="00600F53">
            <w:pPr>
              <w:pStyle w:val="BRL-Tabelle"/>
              <w:keepNext/>
              <w:keepLines/>
              <w:spacing w:before="60" w:after="40"/>
              <w:rPr>
                <w:rFonts w:eastAsia="MS Mincho"/>
              </w:rPr>
            </w:pPr>
            <w:r w:rsidRPr="0009445C">
              <w:t>Dense chamotte</w:t>
            </w:r>
          </w:p>
        </w:tc>
        <w:tc>
          <w:tcPr>
            <w:tcW w:w="2126" w:type="dxa"/>
            <w:shd w:val="clear" w:color="auto" w:fill="auto"/>
          </w:tcPr>
          <w:p w14:paraId="3244CFD3" w14:textId="77777777" w:rsidR="00B47442" w:rsidRPr="0009445C" w:rsidRDefault="00B47442" w:rsidP="00600F53">
            <w:pPr>
              <w:pStyle w:val="BRL-Tabelle"/>
              <w:keepNext/>
              <w:keepLines/>
              <w:spacing w:before="60" w:after="40"/>
              <w:rPr>
                <w:rFonts w:eastAsia="MS Mincho"/>
              </w:rPr>
            </w:pPr>
            <w:r w:rsidRPr="0009445C">
              <w:t>2.3 to 4.0</w:t>
            </w:r>
          </w:p>
        </w:tc>
      </w:tr>
      <w:tr w:rsidR="00B47442" w:rsidRPr="0009445C" w14:paraId="04BF6F26" w14:textId="77777777" w:rsidTr="0099521D">
        <w:tc>
          <w:tcPr>
            <w:tcW w:w="2381" w:type="dxa"/>
            <w:shd w:val="clear" w:color="auto" w:fill="auto"/>
          </w:tcPr>
          <w:p w14:paraId="47D74AA1" w14:textId="77777777" w:rsidR="00B47442" w:rsidRPr="0009445C" w:rsidRDefault="00B47442" w:rsidP="0099521D">
            <w:pPr>
              <w:pStyle w:val="BRL-Tabelle"/>
              <w:spacing w:before="60" w:after="40"/>
              <w:rPr>
                <w:rFonts w:eastAsia="MS Mincho"/>
              </w:rPr>
            </w:pPr>
            <w:r w:rsidRPr="0009445C">
              <w:t>Vermiculite</w:t>
            </w:r>
          </w:p>
        </w:tc>
        <w:tc>
          <w:tcPr>
            <w:tcW w:w="2126" w:type="dxa"/>
            <w:shd w:val="clear" w:color="auto" w:fill="auto"/>
          </w:tcPr>
          <w:p w14:paraId="2956DF40" w14:textId="77777777" w:rsidR="00B47442" w:rsidRPr="0009445C" w:rsidRDefault="00B47442" w:rsidP="0099521D">
            <w:pPr>
              <w:pStyle w:val="BRL-Tabelle"/>
              <w:spacing w:before="60" w:after="40"/>
              <w:rPr>
                <w:rFonts w:eastAsia="MS Mincho"/>
              </w:rPr>
            </w:pPr>
            <w:r w:rsidRPr="0009445C">
              <w:t>0.6 to 1.5</w:t>
            </w:r>
          </w:p>
        </w:tc>
      </w:tr>
      <w:tr w:rsidR="00B47442" w:rsidRPr="0009445C" w14:paraId="69E4CAAA" w14:textId="77777777" w:rsidTr="0099521D">
        <w:tc>
          <w:tcPr>
            <w:tcW w:w="2381" w:type="dxa"/>
            <w:shd w:val="clear" w:color="auto" w:fill="auto"/>
          </w:tcPr>
          <w:p w14:paraId="3F17B090" w14:textId="77777777" w:rsidR="00B47442" w:rsidRPr="0009445C" w:rsidRDefault="00B47442" w:rsidP="0099521D">
            <w:pPr>
              <w:pStyle w:val="BRL-Tabelle"/>
              <w:spacing w:before="60" w:after="40"/>
              <w:rPr>
                <w:rFonts w:eastAsia="MS Mincho"/>
              </w:rPr>
            </w:pPr>
            <w:r w:rsidRPr="0009445C">
              <w:t>Soapstone</w:t>
            </w:r>
            <w:r w:rsidRPr="0009445C">
              <w:rPr>
                <w:vertAlign w:val="superscript"/>
              </w:rPr>
              <w:t>1</w:t>
            </w:r>
          </w:p>
        </w:tc>
        <w:tc>
          <w:tcPr>
            <w:tcW w:w="2126" w:type="dxa"/>
            <w:shd w:val="clear" w:color="auto" w:fill="auto"/>
          </w:tcPr>
          <w:p w14:paraId="0ADD6127" w14:textId="77777777" w:rsidR="00B47442" w:rsidRPr="0009445C" w:rsidRDefault="00B47442" w:rsidP="0099521D">
            <w:pPr>
              <w:pStyle w:val="BRL-Tabelle"/>
              <w:spacing w:before="60" w:after="40"/>
              <w:rPr>
                <w:rFonts w:eastAsia="MS Mincho"/>
              </w:rPr>
            </w:pPr>
            <w:r w:rsidRPr="0009445C">
              <w:t>2.8 to 3.2</w:t>
            </w:r>
          </w:p>
        </w:tc>
      </w:tr>
      <w:tr w:rsidR="00B47442" w:rsidRPr="0009445C" w14:paraId="1971844D" w14:textId="77777777" w:rsidTr="0099521D">
        <w:tc>
          <w:tcPr>
            <w:tcW w:w="2381" w:type="dxa"/>
            <w:shd w:val="clear" w:color="auto" w:fill="auto"/>
          </w:tcPr>
          <w:p w14:paraId="093FD020" w14:textId="77777777" w:rsidR="00B47442" w:rsidRPr="0009445C" w:rsidRDefault="00B47442" w:rsidP="0099521D">
            <w:pPr>
              <w:pStyle w:val="BRL-Tabelle"/>
              <w:spacing w:before="60" w:after="40"/>
              <w:rPr>
                <w:rFonts w:eastAsia="MS Mincho"/>
              </w:rPr>
            </w:pPr>
            <w:r w:rsidRPr="0009445C">
              <w:t>Fire-proof concrete</w:t>
            </w:r>
          </w:p>
        </w:tc>
        <w:tc>
          <w:tcPr>
            <w:tcW w:w="2126" w:type="dxa"/>
            <w:shd w:val="clear" w:color="auto" w:fill="auto"/>
          </w:tcPr>
          <w:p w14:paraId="70201278" w14:textId="77777777" w:rsidR="00B47442" w:rsidRPr="0009445C" w:rsidRDefault="00B47442" w:rsidP="0099521D">
            <w:pPr>
              <w:pStyle w:val="BRL-Tabelle"/>
              <w:spacing w:before="60" w:after="40"/>
              <w:rPr>
                <w:rFonts w:eastAsia="MS Mincho"/>
              </w:rPr>
            </w:pPr>
            <w:r w:rsidRPr="0009445C">
              <w:t>1.9 to 2.8</w:t>
            </w:r>
          </w:p>
        </w:tc>
      </w:tr>
      <w:tr w:rsidR="00B47442" w:rsidRPr="0009445C" w14:paraId="5174D01A" w14:textId="77777777" w:rsidTr="0099521D">
        <w:tc>
          <w:tcPr>
            <w:tcW w:w="4507" w:type="dxa"/>
            <w:gridSpan w:val="2"/>
            <w:shd w:val="clear" w:color="auto" w:fill="auto"/>
          </w:tcPr>
          <w:p w14:paraId="32ED3772" w14:textId="77777777" w:rsidR="00B47442" w:rsidRPr="0009445C" w:rsidRDefault="00B47442" w:rsidP="0099521D">
            <w:pPr>
              <w:pStyle w:val="BRL-Tabelle"/>
              <w:spacing w:before="60" w:after="40"/>
              <w:rPr>
                <w:rFonts w:eastAsia="MS Mincho"/>
              </w:rPr>
            </w:pPr>
            <w:r w:rsidRPr="0009445C">
              <w:rPr>
                <w:vertAlign w:val="superscript"/>
              </w:rPr>
              <w:t>1</w:t>
            </w:r>
            <w:r w:rsidRPr="0009445C">
              <w:t xml:space="preserve"> not for the combustion chamber</w:t>
            </w:r>
          </w:p>
        </w:tc>
      </w:tr>
    </w:tbl>
    <w:p w14:paraId="09605E6C" w14:textId="77777777" w:rsidR="00B47442" w:rsidRPr="0009445C" w:rsidRDefault="00B47442" w:rsidP="00B47442">
      <w:pPr>
        <w:ind w:left="851"/>
        <w:rPr>
          <w:rFonts w:eastAsia="Calibri" w:cs="Arial"/>
          <w:kern w:val="28"/>
          <w:lang w:eastAsia="en-US"/>
        </w:rPr>
      </w:pPr>
    </w:p>
    <w:p w14:paraId="51131B11" w14:textId="77777777" w:rsidR="00B47442" w:rsidRPr="0009445C" w:rsidRDefault="00B47442" w:rsidP="00B47442">
      <w:pPr>
        <w:ind w:left="851"/>
        <w:rPr>
          <w:rFonts w:eastAsia="Calibri"/>
          <w:kern w:val="28"/>
        </w:rPr>
      </w:pPr>
      <w:r w:rsidRPr="0009445C">
        <w:t>or the durability requirements of relevant standards have been demonstrated as follows:</w:t>
      </w:r>
    </w:p>
    <w:p w14:paraId="6502401A" w14:textId="77777777" w:rsidR="00B47442" w:rsidRPr="0009445C" w:rsidRDefault="00B47442" w:rsidP="001F4D12">
      <w:pPr>
        <w:pStyle w:val="BRLAufzhlungBuchstabe"/>
        <w:numPr>
          <w:ilvl w:val="0"/>
          <w:numId w:val="40"/>
        </w:numPr>
        <w:rPr>
          <w:rFonts w:eastAsia="Calibri"/>
        </w:rPr>
      </w:pPr>
      <w:r w:rsidRPr="0009445C">
        <w:t>Fire resistance (pyrometric cone equivalent as a fire resistance index) &gt; 15,</w:t>
      </w:r>
    </w:p>
    <w:p w14:paraId="226218FD" w14:textId="77777777" w:rsidR="00B47442" w:rsidRPr="0009445C" w:rsidRDefault="00B47442" w:rsidP="001F4D12">
      <w:pPr>
        <w:pStyle w:val="BRLAufzhlungBuchstabe"/>
        <w:numPr>
          <w:ilvl w:val="0"/>
          <w:numId w:val="40"/>
        </w:numPr>
        <w:rPr>
          <w:rFonts w:eastAsia="Calibri"/>
        </w:rPr>
      </w:pPr>
      <w:r w:rsidRPr="0009445C">
        <w:t>Thermal shock resistance ≥ 25 cycles,</w:t>
      </w:r>
    </w:p>
    <w:p w14:paraId="286558D6" w14:textId="77777777" w:rsidR="00B47442" w:rsidRPr="0009445C" w:rsidRDefault="00B47442" w:rsidP="00B47442">
      <w:pPr>
        <w:pStyle w:val="BRLAufzhlungBuchstabe"/>
        <w:rPr>
          <w:rFonts w:eastAsia="Calibri"/>
        </w:rPr>
      </w:pPr>
      <w:r w:rsidRPr="0009445C">
        <w:t>Thermal length expansion ≤ 1.5 %,</w:t>
      </w:r>
    </w:p>
    <w:p w14:paraId="530DC2B0" w14:textId="77777777" w:rsidR="00B47442" w:rsidRPr="0009445C" w:rsidRDefault="00B47442" w:rsidP="00B47442">
      <w:pPr>
        <w:pStyle w:val="BRLAufzhlungBuchstabe"/>
        <w:rPr>
          <w:rFonts w:eastAsia="Calibri"/>
        </w:rPr>
      </w:pPr>
      <w:r w:rsidRPr="0009445C">
        <w:t>permanent length expansion after exposure to temperature &lt; 1.5 %.</w:t>
      </w:r>
    </w:p>
    <w:p w14:paraId="51F2B593" w14:textId="77777777" w:rsidR="00B47442" w:rsidRPr="0009445C" w:rsidRDefault="00B47442" w:rsidP="00B47442">
      <w:pPr>
        <w:pStyle w:val="BRL-Standard"/>
        <w:rPr>
          <w:rFonts w:eastAsia="Calibri"/>
          <w:lang w:eastAsia="en-US"/>
        </w:rPr>
      </w:pPr>
    </w:p>
    <w:p w14:paraId="672CA7DC" w14:textId="77777777" w:rsidR="00B47442" w:rsidRPr="0009445C" w:rsidRDefault="00B47442" w:rsidP="00600F53">
      <w:pPr>
        <w:pStyle w:val="BRL-berschrift"/>
        <w:rPr>
          <w:rFonts w:eastAsia="Calibri"/>
        </w:rPr>
      </w:pPr>
      <w:r w:rsidRPr="0009445C">
        <w:t>1.7.3</w:t>
      </w:r>
      <w:r w:rsidRPr="0009445C">
        <w:tab/>
        <w:t>Furnaces bearing the CE marking under harmonising rules other than the Construction Products Regulation</w:t>
      </w:r>
    </w:p>
    <w:p w14:paraId="37308C7F" w14:textId="77777777" w:rsidR="00B47442" w:rsidRPr="0009445C" w:rsidRDefault="00B47442" w:rsidP="00B47442">
      <w:pPr>
        <w:pStyle w:val="BRL-Standard"/>
        <w:jc w:val="left"/>
        <w:rPr>
          <w:rFonts w:eastAsia="Calibri"/>
        </w:rPr>
      </w:pPr>
      <w:r w:rsidRPr="0009445C">
        <w:t>When using furnaces which do not bear the CE marking in accordance with the Construction Products Regulation, the following shall apply:</w:t>
      </w:r>
    </w:p>
    <w:p w14:paraId="5C8ABB5A" w14:textId="77777777" w:rsidR="00B47442" w:rsidRPr="0009445C" w:rsidRDefault="00B47442" w:rsidP="00B47442">
      <w:pPr>
        <w:pStyle w:val="BRL-Standard"/>
        <w:rPr>
          <w:rFonts w:eastAsia="Calibri"/>
          <w:lang w:eastAsia="en-US"/>
        </w:rPr>
      </w:pPr>
    </w:p>
    <w:p w14:paraId="51425605" w14:textId="6935B670" w:rsidR="00B47442" w:rsidRPr="0009445C" w:rsidRDefault="00B47442" w:rsidP="00B47442">
      <w:pPr>
        <w:pStyle w:val="BRL-Standard"/>
        <w:rPr>
          <w:rFonts w:eastAsia="Calibri"/>
        </w:rPr>
      </w:pPr>
      <w:r w:rsidRPr="0009445C">
        <w:t>For the construction and operation of furnaces for gaseous fuels with CE marking pursuant to the Gas Appliances Regulation or the Machinery Directive, the requirements of the ‘technical rules for Gas Installations’ (DVGW Guideline G 600, technical rules for Gas Installations, DVGW-TRGI, 2018 version) or the Technical Rules summarised in the ‘technical rules for Liquefied Petroleum Gas’ (TRF 2021), shall be observed, taking account of the Technical Rule included in the MVV TB under ser. No A 2.2.1.12. This includes the exhaust system.</w:t>
      </w:r>
    </w:p>
    <w:p w14:paraId="78EACDFD" w14:textId="77777777" w:rsidR="00B47442" w:rsidRPr="0009445C" w:rsidRDefault="00B47442" w:rsidP="00B47442">
      <w:pPr>
        <w:pStyle w:val="BRL-Standard"/>
        <w:rPr>
          <w:rFonts w:eastAsia="Calibri"/>
          <w:lang w:eastAsia="en-US"/>
        </w:rPr>
      </w:pPr>
    </w:p>
    <w:p w14:paraId="62ED4A62" w14:textId="49AC9035" w:rsidR="00B47442" w:rsidRPr="0009445C" w:rsidRDefault="00B47442" w:rsidP="00B47442">
      <w:pPr>
        <w:pStyle w:val="BRL-Standard"/>
        <w:rPr>
          <w:rFonts w:eastAsia="Calibri"/>
          <w:b/>
        </w:rPr>
      </w:pPr>
      <w:r w:rsidRPr="0009445C">
        <w:t>For the establishment and operation of CE-marked liquid fuel fireplaces under the Machinery Directive, the Technical Rule referred to in MVV TB under ser. No A 2.2.1.12 shall be observed. In addition, the technical rules summarised in the ‘Technical Rules of Oil Plants’ (</w:t>
      </w:r>
      <w:proofErr w:type="spellStart"/>
      <w:r w:rsidRPr="0009445C">
        <w:t>TRöl</w:t>
      </w:r>
      <w:proofErr w:type="spellEnd"/>
      <w:r w:rsidRPr="0009445C">
        <w:t xml:space="preserve"> 2.1, Issue 12/2019) must be taken into account.</w:t>
      </w:r>
    </w:p>
    <w:p w14:paraId="444B8BF6" w14:textId="77777777" w:rsidR="00B47442" w:rsidRPr="0009445C" w:rsidRDefault="00B47442" w:rsidP="00B47442">
      <w:pPr>
        <w:pStyle w:val="BRL-Standard"/>
        <w:rPr>
          <w:rFonts w:eastAsia="Calibri"/>
          <w:u w:val="single"/>
          <w:lang w:eastAsia="en-US"/>
        </w:rPr>
      </w:pPr>
    </w:p>
    <w:p w14:paraId="21452799" w14:textId="77777777" w:rsidR="00B47442" w:rsidRPr="0009445C" w:rsidRDefault="00B47442" w:rsidP="00600F53">
      <w:pPr>
        <w:pStyle w:val="BRL-berschrift"/>
        <w:rPr>
          <w:rFonts w:eastAsia="Calibri"/>
        </w:rPr>
      </w:pPr>
      <w:r w:rsidRPr="0009445C">
        <w:t>1.7.4</w:t>
      </w:r>
      <w:r w:rsidRPr="0009445C">
        <w:tab/>
        <w:t xml:space="preserve">Furnaces without CE marking </w:t>
      </w:r>
    </w:p>
    <w:p w14:paraId="750CDA24" w14:textId="77777777" w:rsidR="00B47442" w:rsidRPr="0009445C" w:rsidRDefault="00B47442" w:rsidP="00B47442">
      <w:pPr>
        <w:pStyle w:val="BRL-Standard"/>
        <w:rPr>
          <w:rFonts w:eastAsia="Calibri"/>
        </w:rPr>
      </w:pPr>
      <w:r w:rsidRPr="0009445C">
        <w:t xml:space="preserve">For the construction and operation of on-site solid-fuel furnaces with handcrafted furnaces, the Technical Rules summarised in the ‘Specialist Rules for Furnaces and Air Heating Systems’ TR OL 2006, 2010 version, shall be observed together with the Technical Rule included in the MVV TB under ser. No A 2.2.1.12. </w:t>
      </w:r>
    </w:p>
    <w:p w14:paraId="091994D0" w14:textId="77777777" w:rsidR="00B47442" w:rsidRPr="0009445C" w:rsidRDefault="00B47442" w:rsidP="00B47442">
      <w:pPr>
        <w:pStyle w:val="BRL-Standard"/>
        <w:rPr>
          <w:rFonts w:eastAsia="Calibri"/>
          <w:b/>
          <w:strike/>
          <w:lang w:eastAsia="en-US"/>
        </w:rPr>
      </w:pPr>
    </w:p>
    <w:p w14:paraId="356E9B3F" w14:textId="77777777" w:rsidR="00B47442" w:rsidRPr="0009445C" w:rsidRDefault="00B47442" w:rsidP="00B47442">
      <w:pPr>
        <w:pStyle w:val="BRL-Standard"/>
        <w:spacing w:after="60"/>
        <w:rPr>
          <w:rFonts w:eastAsia="Calibri"/>
        </w:rPr>
      </w:pPr>
      <w:r w:rsidRPr="0009445C">
        <w:t>The following insulation materials may be used for on-site furnaces in accordance with the implementing provisions of the TR OL 2006, 2010 version:</w:t>
      </w:r>
    </w:p>
    <w:p w14:paraId="6F4695C1" w14:textId="77777777" w:rsidR="00B47442" w:rsidRPr="0009445C" w:rsidRDefault="00B47442" w:rsidP="00B47442">
      <w:pPr>
        <w:pStyle w:val="BRLAufzhlungAnstrich"/>
        <w:numPr>
          <w:ilvl w:val="0"/>
          <w:numId w:val="1"/>
        </w:numPr>
        <w:rPr>
          <w:rFonts w:eastAsia="Calibri"/>
        </w:rPr>
      </w:pPr>
      <w:r w:rsidRPr="0009445C">
        <w:t>Thermal insulation products for building equipment and industrial installations - Factory made mineral wool (MW) products – pursuant to DIN EN 14303:2016-08;</w:t>
      </w:r>
    </w:p>
    <w:p w14:paraId="01EBED1A" w14:textId="77777777" w:rsidR="00B47442" w:rsidRPr="0009445C" w:rsidRDefault="00B47442" w:rsidP="00B47442">
      <w:pPr>
        <w:pStyle w:val="BRLAufzhlungAnstrich"/>
        <w:numPr>
          <w:ilvl w:val="0"/>
          <w:numId w:val="1"/>
        </w:numPr>
        <w:rPr>
          <w:rFonts w:eastAsia="Calibri"/>
        </w:rPr>
      </w:pPr>
      <w:r w:rsidRPr="0009445C">
        <w:t>Thermal insulation products for building equipment and industrial installations – Factory made calcium silicate (CS) products – pursuant to DIN EN 14306:2016-03;</w:t>
      </w:r>
    </w:p>
    <w:p w14:paraId="52F3A5C8" w14:textId="77777777" w:rsidR="00B47442" w:rsidRPr="0009445C" w:rsidRDefault="00B47442" w:rsidP="00B47442">
      <w:pPr>
        <w:pStyle w:val="BRLAufzhlungAnstrich"/>
        <w:numPr>
          <w:ilvl w:val="0"/>
          <w:numId w:val="1"/>
        </w:numPr>
        <w:rPr>
          <w:rFonts w:eastAsia="Calibri"/>
        </w:rPr>
      </w:pPr>
      <w:r w:rsidRPr="0009445C">
        <w:t>Thermal insulation products for building equipment and industrial installations – Factory made expanded perlite (EP) and expanded vermiculite (EV) products – pursuant to DIN EN 15501:2016</w:t>
      </w:r>
      <w:r w:rsidRPr="0009445C">
        <w:noBreakHyphen/>
        <w:t>03.</w:t>
      </w:r>
    </w:p>
    <w:p w14:paraId="682BD15B" w14:textId="77777777" w:rsidR="003A0178" w:rsidRPr="0009445C" w:rsidRDefault="003A0178">
      <w:pPr>
        <w:spacing w:after="200" w:line="276" w:lineRule="auto"/>
        <w:rPr>
          <w:rFonts w:eastAsia="Calibri"/>
          <w:szCs w:val="18"/>
        </w:rPr>
      </w:pPr>
      <w:r w:rsidRPr="0009445C">
        <w:br w:type="page"/>
      </w:r>
    </w:p>
    <w:p w14:paraId="740B8FE2" w14:textId="77777777" w:rsidR="00B47442" w:rsidRPr="0009445C" w:rsidRDefault="00B47442" w:rsidP="00600F53">
      <w:pPr>
        <w:pStyle w:val="BRL-berschrift"/>
        <w:rPr>
          <w:rFonts w:eastAsia="Calibri"/>
        </w:rPr>
      </w:pPr>
      <w:r w:rsidRPr="0009445C">
        <w:lastRenderedPageBreak/>
        <w:t>1.8</w:t>
      </w:r>
      <w:r w:rsidRPr="0009445C">
        <w:tab/>
        <w:t>Requirements for the installation and safe use of exhaust systems</w:t>
      </w:r>
    </w:p>
    <w:p w14:paraId="7A9BCCA8" w14:textId="77777777" w:rsidR="00B47442" w:rsidRPr="0009445C" w:rsidRDefault="00B47442" w:rsidP="00B47442">
      <w:pPr>
        <w:pStyle w:val="BRL-Standard"/>
        <w:rPr>
          <w:rFonts w:eastAsia="Calibri"/>
        </w:rPr>
      </w:pPr>
      <w:r w:rsidRPr="0009445C">
        <w:t xml:space="preserve">Exhaust systems shall safely discharge the exhaust gases from furnaces to the outside. Exhaust systems such as exhaust pipes, chimneys, air-exhaust systems, air-exhaust chimneys, and connectors may be constructed either from individual structural elements (assembly exhaust system) or from kits (system exhaust system) in accordance with this section. </w:t>
      </w:r>
    </w:p>
    <w:p w14:paraId="4607371A" w14:textId="77777777" w:rsidR="00B47442" w:rsidRPr="0009445C" w:rsidRDefault="00B47442" w:rsidP="00B47442">
      <w:pPr>
        <w:pStyle w:val="BRL-Standard"/>
        <w:rPr>
          <w:rFonts w:eastAsia="Calibri"/>
          <w:lang w:eastAsia="en-US"/>
        </w:rPr>
      </w:pPr>
    </w:p>
    <w:p w14:paraId="1DD9B3D8" w14:textId="77777777" w:rsidR="00B47442" w:rsidRPr="0009445C" w:rsidRDefault="00B47442" w:rsidP="00B47442">
      <w:pPr>
        <w:pStyle w:val="BRL-Standard"/>
        <w:rPr>
          <w:rFonts w:eastAsia="Calibri"/>
        </w:rPr>
      </w:pPr>
      <w:r w:rsidRPr="0009445C">
        <w:t>The building inspection requirements for the design and execution of exhaust systems for the discharge of exhaust gases from furnaces fired with solid, liquid or gaseous fuels, as well as for the discharge of exhaust gases from heat pumps, combined heat and power plants, and stationary interior combustion engines shall be deemed fulfilled if the rules of DIN V 18160-1:2006-01, excluding Sections 5.2.1, 6.2, 6.5, 6.9, 6.10.1 and 6.10.2, in conjunction with DIN V 18160-1 Addendum 1:2015-11 und Addendum 2:2016-04 as well as the following provisions are complied with.</w:t>
      </w:r>
    </w:p>
    <w:p w14:paraId="43D51F50" w14:textId="77777777" w:rsidR="00B47442" w:rsidRPr="0009445C" w:rsidRDefault="00B47442" w:rsidP="00B47442">
      <w:pPr>
        <w:pStyle w:val="BRL-Standard"/>
        <w:rPr>
          <w:rFonts w:eastAsia="Calibri"/>
          <w:lang w:eastAsia="en-US"/>
        </w:rPr>
      </w:pPr>
    </w:p>
    <w:p w14:paraId="621F2297" w14:textId="77777777" w:rsidR="00B47442" w:rsidRPr="0009445C" w:rsidRDefault="00B47442" w:rsidP="00B47442">
      <w:pPr>
        <w:pStyle w:val="BRL-Standard"/>
        <w:rPr>
          <w:rFonts w:eastAsia="Calibri"/>
        </w:rPr>
      </w:pPr>
      <w:r w:rsidRPr="0009445C">
        <w:t xml:space="preserve">structural elements of exhaust gas systems shall be at least normal flammability in terms of their fire characteristics. </w:t>
      </w:r>
    </w:p>
    <w:p w14:paraId="5F7EF596" w14:textId="77777777" w:rsidR="00B47442" w:rsidRPr="0009445C" w:rsidRDefault="00B47442" w:rsidP="00B47442">
      <w:pPr>
        <w:pStyle w:val="BRL-Standard"/>
        <w:rPr>
          <w:rFonts w:eastAsia="Calibri"/>
        </w:rPr>
      </w:pPr>
      <w:r w:rsidRPr="0009445C">
        <w:t>The distance to combustible building materials specified in the marking of construction products for exhaust systems applies only to adjacent walls with a thermal resistance of R ≤ 2.7 m</w:t>
      </w:r>
      <w:r w:rsidRPr="0009445C">
        <w:rPr>
          <w:vertAlign w:val="superscript"/>
        </w:rPr>
        <w:t>2</w:t>
      </w:r>
      <w:r w:rsidRPr="0009445C">
        <w:t>K/W and for ceilings and roofs to be penetrated with a thermal resistance of R ≤ 5.4 m</w:t>
      </w:r>
      <w:r w:rsidRPr="0009445C">
        <w:rPr>
          <w:vertAlign w:val="superscript"/>
        </w:rPr>
        <w:t>2</w:t>
      </w:r>
      <w:r w:rsidRPr="0009445C">
        <w:t>K/W. The use of exhaust systems in buildings with wall, ceiling and roof structures made of or with combustible building materials with higher thermal resistances is permitted only if covered by harmonised specifications or if an appropriate type approval has been granted.</w:t>
      </w:r>
    </w:p>
    <w:p w14:paraId="24A06990" w14:textId="77777777" w:rsidR="00B47442" w:rsidRPr="0009445C" w:rsidRDefault="00B47442" w:rsidP="00B47442">
      <w:pPr>
        <w:pStyle w:val="BRL-Standard"/>
        <w:rPr>
          <w:rFonts w:eastAsia="Calibri"/>
        </w:rPr>
      </w:pPr>
      <w:r w:rsidRPr="0009445C">
        <w:t xml:space="preserve">Where exhaust systems extend across floors, they must be designed in such manner that in case of an indoor fire with an external fire impact on the surfaces of the exhaust system, propagation of the fire is prevented for a specified time. Such exhaust systems must therefore have sufficiently long fire resistance. This may be achieved by an appropriate choice of materials and construction for the exhaust system or by combining them with a shaft. </w:t>
      </w:r>
    </w:p>
    <w:p w14:paraId="38FE8CA2" w14:textId="35F7C01E" w:rsidR="00B47442" w:rsidRPr="0009445C" w:rsidRDefault="00B47442" w:rsidP="00B47442">
      <w:pPr>
        <w:pStyle w:val="BRL-Standard"/>
        <w:rPr>
          <w:rFonts w:eastAsia="Calibri"/>
        </w:rPr>
      </w:pPr>
      <w:r w:rsidRPr="0009445C">
        <w:t xml:space="preserve">For applications where requirements for the fire resistance duration of the exhaust system to avoid the fire transmission from floor to floor are to be demonstrated, the fire resistance including a thermal </w:t>
      </w:r>
      <w:proofErr w:type="spellStart"/>
      <w:r w:rsidRPr="0009445C">
        <w:t>pretreatment</w:t>
      </w:r>
      <w:proofErr w:type="spellEnd"/>
      <w:r w:rsidRPr="0009445C">
        <w:t>, according to a thermal load due to heating operation taking into account DIN 18160-60:2014-02 or DIN EN 1366-13:2019-09. To demonstrate the fire resistance according to DIN EN 1366-13:2019-09, the vertical test structure with a test specimen “B” shall be used. By way of deviation from DIN EN 1366-13:2019-09, test results with stainless steel inner tubes can only be transferred to internal pipes made of non-combustible materials.</w:t>
      </w:r>
    </w:p>
    <w:p w14:paraId="1865FC18" w14:textId="77777777" w:rsidR="00B47442" w:rsidRPr="0009445C" w:rsidRDefault="00B47442" w:rsidP="00B47442">
      <w:pPr>
        <w:pStyle w:val="BRL-Standard"/>
        <w:rPr>
          <w:rFonts w:eastAsia="Calibri"/>
          <w:lang w:eastAsia="en-US"/>
        </w:rPr>
      </w:pPr>
    </w:p>
    <w:p w14:paraId="1B84E503" w14:textId="77777777" w:rsidR="00B47442" w:rsidRPr="0009445C" w:rsidRDefault="00B47442" w:rsidP="00B47442">
      <w:pPr>
        <w:pStyle w:val="BRL-Standard"/>
        <w:spacing w:after="120"/>
        <w:rPr>
          <w:rFonts w:eastAsia="Calibri"/>
        </w:rPr>
      </w:pPr>
      <w:r w:rsidRPr="0009445C">
        <w:t xml:space="preserve">Exhaust systems shall be marked permanently and visibly, depending on the scope of application, with at least the following information: </w:t>
      </w:r>
    </w:p>
    <w:p w14:paraId="545251B8" w14:textId="77777777" w:rsidR="00B47442" w:rsidRPr="0009445C" w:rsidRDefault="00B47442" w:rsidP="00B47442">
      <w:pPr>
        <w:pStyle w:val="BRLAufzhlungAnstrich"/>
        <w:numPr>
          <w:ilvl w:val="0"/>
          <w:numId w:val="1"/>
        </w:numPr>
        <w:rPr>
          <w:rFonts w:eastAsia="Calibri"/>
        </w:rPr>
      </w:pPr>
      <w:r w:rsidRPr="0009445C">
        <w:t xml:space="preserve">Standard number: DIN V 18160-1:2006-01, </w:t>
      </w:r>
    </w:p>
    <w:p w14:paraId="7515F16F" w14:textId="77777777" w:rsidR="00B47442" w:rsidRPr="0009445C" w:rsidRDefault="00B47442" w:rsidP="00B47442">
      <w:pPr>
        <w:pStyle w:val="BRLAufzhlungAnstrich"/>
        <w:numPr>
          <w:ilvl w:val="0"/>
          <w:numId w:val="1"/>
        </w:numPr>
        <w:rPr>
          <w:rFonts w:eastAsia="Calibri"/>
        </w:rPr>
      </w:pPr>
      <w:r w:rsidRPr="0009445C">
        <w:t>The temperature class ‘</w:t>
      </w:r>
      <w:proofErr w:type="spellStart"/>
      <w:r w:rsidRPr="0009445C">
        <w:t>Txxx</w:t>
      </w:r>
      <w:proofErr w:type="spellEnd"/>
      <w:r w:rsidRPr="0009445C">
        <w:t>’ indicates the nominal operating temperature xxx in °C up to which the executed exhaust system can be operated.</w:t>
      </w:r>
    </w:p>
    <w:p w14:paraId="0CECD61E" w14:textId="77777777" w:rsidR="000C7F03" w:rsidRPr="0009445C" w:rsidRDefault="00B47442" w:rsidP="00B47442">
      <w:pPr>
        <w:pStyle w:val="BRLAufzhlungAnstrich"/>
        <w:numPr>
          <w:ilvl w:val="0"/>
          <w:numId w:val="1"/>
        </w:numPr>
        <w:rPr>
          <w:rFonts w:eastAsia="Calibri"/>
        </w:rPr>
      </w:pPr>
      <w:r w:rsidRPr="0009445C">
        <w:t>The gas tightness/pressure class indicates the mode of operation for which the exhaust system is suitable:</w:t>
      </w:r>
    </w:p>
    <w:p w14:paraId="623CF508" w14:textId="77777777" w:rsidR="000C7F03" w:rsidRPr="0009445C" w:rsidRDefault="00B47442" w:rsidP="000C7F03">
      <w:pPr>
        <w:pStyle w:val="BRLAufzhlungAnstrich"/>
        <w:numPr>
          <w:ilvl w:val="0"/>
          <w:numId w:val="0"/>
        </w:numPr>
        <w:ind w:left="284"/>
        <w:rPr>
          <w:rFonts w:eastAsia="Calibri"/>
        </w:rPr>
      </w:pPr>
      <w:r w:rsidRPr="0009445C">
        <w:t>‘N1’ and ‘N2’ for vacuum, ‘P1’ also for overpressure ≤ 200 Pa</w:t>
      </w:r>
    </w:p>
    <w:p w14:paraId="0F4B166B" w14:textId="77777777" w:rsidR="000C7F03" w:rsidRPr="0009445C" w:rsidRDefault="00B47442" w:rsidP="000C7F03">
      <w:pPr>
        <w:pStyle w:val="BRLAufzhlungAnstrich"/>
        <w:numPr>
          <w:ilvl w:val="0"/>
          <w:numId w:val="0"/>
        </w:numPr>
        <w:ind w:left="284"/>
        <w:rPr>
          <w:rFonts w:eastAsia="Calibri"/>
        </w:rPr>
      </w:pPr>
      <w:r w:rsidRPr="0009445C">
        <w:t>‘P2’ also for overpressure ≤ 200 Pa outdoor</w:t>
      </w:r>
    </w:p>
    <w:p w14:paraId="31915F44" w14:textId="77777777" w:rsidR="000C7F03" w:rsidRPr="0009445C" w:rsidRDefault="00B47442" w:rsidP="000C7F03">
      <w:pPr>
        <w:pStyle w:val="BRLAufzhlungAnstrich"/>
        <w:numPr>
          <w:ilvl w:val="0"/>
          <w:numId w:val="0"/>
        </w:numPr>
        <w:ind w:left="284"/>
        <w:rPr>
          <w:rFonts w:eastAsia="Calibri"/>
        </w:rPr>
      </w:pPr>
      <w:r w:rsidRPr="0009445C">
        <w:t>‘H1’ also for overpressure ≤ 5 000 Pa</w:t>
      </w:r>
    </w:p>
    <w:p w14:paraId="65DC173F" w14:textId="310085E7" w:rsidR="00B47442" w:rsidRPr="0009445C" w:rsidRDefault="00B47442" w:rsidP="000C7F03">
      <w:pPr>
        <w:pStyle w:val="BRLAufzhlungAnstrich"/>
        <w:numPr>
          <w:ilvl w:val="0"/>
          <w:numId w:val="0"/>
        </w:numPr>
        <w:ind w:left="284"/>
        <w:rPr>
          <w:rFonts w:eastAsia="Calibri"/>
        </w:rPr>
      </w:pPr>
      <w:r w:rsidRPr="0009445C">
        <w:t>‘H2’ also for overpressure ≤ 5 000 Pa outdoors.</w:t>
      </w:r>
    </w:p>
    <w:p w14:paraId="16EDA2B6" w14:textId="77777777" w:rsidR="000C7F03" w:rsidRPr="0009445C" w:rsidRDefault="00B47442" w:rsidP="00B47442">
      <w:pPr>
        <w:pStyle w:val="BRLAufzhlungAnstrich"/>
        <w:numPr>
          <w:ilvl w:val="0"/>
          <w:numId w:val="1"/>
        </w:numPr>
        <w:rPr>
          <w:rFonts w:eastAsia="Calibri"/>
        </w:rPr>
      </w:pPr>
      <w:r w:rsidRPr="0009445C">
        <w:t>The condensate resistance class specifies the operating conditions for which the exhaust system is suitable:</w:t>
      </w:r>
    </w:p>
    <w:p w14:paraId="37D2D41F" w14:textId="77777777" w:rsidR="000C7F03" w:rsidRPr="0009445C" w:rsidRDefault="00B47442" w:rsidP="000C7F03">
      <w:pPr>
        <w:pStyle w:val="BRLAufzhlungAnstrich"/>
        <w:numPr>
          <w:ilvl w:val="0"/>
          <w:numId w:val="0"/>
        </w:numPr>
        <w:ind w:left="284"/>
        <w:rPr>
          <w:rFonts w:eastAsia="Calibri"/>
        </w:rPr>
      </w:pPr>
      <w:r w:rsidRPr="0009445C">
        <w:t>‘D’ for scheduled dry operation (without lowering the dew point temperature);</w:t>
      </w:r>
    </w:p>
    <w:p w14:paraId="4774C9B1" w14:textId="2E208B45" w:rsidR="00B47442" w:rsidRPr="0009445C" w:rsidRDefault="00B47442" w:rsidP="000C7F03">
      <w:pPr>
        <w:pStyle w:val="BRLAufzhlungAnstrich"/>
        <w:numPr>
          <w:ilvl w:val="0"/>
          <w:numId w:val="0"/>
        </w:numPr>
        <w:ind w:left="284"/>
        <w:rPr>
          <w:rFonts w:eastAsia="Calibri"/>
        </w:rPr>
      </w:pPr>
      <w:r w:rsidRPr="0009445C">
        <w:t>‘W’ also for wet operation as planned.</w:t>
      </w:r>
    </w:p>
    <w:p w14:paraId="5486C45F" w14:textId="77777777" w:rsidR="000C7F03" w:rsidRPr="0009445C" w:rsidRDefault="00B47442" w:rsidP="00B47442">
      <w:pPr>
        <w:pStyle w:val="BRLAufzhlungAnstrich"/>
        <w:numPr>
          <w:ilvl w:val="0"/>
          <w:numId w:val="1"/>
        </w:numPr>
        <w:rPr>
          <w:rFonts w:eastAsia="Calibri"/>
        </w:rPr>
      </w:pPr>
      <w:r w:rsidRPr="0009445C">
        <w:t>The corrosion resistance class specifies the fuel type for which the exhaust system is suitable:</w:t>
      </w:r>
    </w:p>
    <w:p w14:paraId="666A642A" w14:textId="51284135" w:rsidR="00B47442" w:rsidRPr="0009445C" w:rsidRDefault="00B47442" w:rsidP="000C7F03">
      <w:pPr>
        <w:pStyle w:val="BRLAufzhlungAnstrich"/>
        <w:numPr>
          <w:ilvl w:val="0"/>
          <w:numId w:val="0"/>
        </w:numPr>
        <w:ind w:left="284"/>
        <w:rPr>
          <w:rFonts w:eastAsia="Calibri"/>
        </w:rPr>
      </w:pPr>
      <w:r w:rsidRPr="0009445C">
        <w:t>‘1’ for gaseous fuels with a sulphur content ≤ 50 mg/m³, such as LPG, NG L and H, and for liquid fuels with a sulphur content ≤ 50 mg/kg, ‘2’ for gaseous fuels, for liquid fuels with a sulphur content ≤ 2 000 mg/kg and for wood in open furnaces, ‘3’ for gaseous and liquid fuels, as well as for wood, coal, and peat.</w:t>
      </w:r>
    </w:p>
    <w:p w14:paraId="1A91896F" w14:textId="77777777" w:rsidR="00B47442" w:rsidRPr="0009445C" w:rsidRDefault="00B47442" w:rsidP="00B47442">
      <w:pPr>
        <w:pStyle w:val="BRLAufzhlungAnstrich"/>
        <w:numPr>
          <w:ilvl w:val="0"/>
          <w:numId w:val="1"/>
        </w:numPr>
        <w:rPr>
          <w:rFonts w:eastAsia="Calibri"/>
        </w:rPr>
      </w:pPr>
      <w:r w:rsidRPr="0009445C">
        <w:t xml:space="preserve">The soot fire resistance class with specifications for distance from combustible building materials: </w:t>
      </w:r>
      <w:r w:rsidRPr="0009445C">
        <w:br/>
        <w:t>‘</w:t>
      </w:r>
      <w:proofErr w:type="spellStart"/>
      <w:r w:rsidRPr="0009445C">
        <w:t>Oxx</w:t>
      </w:r>
      <w:proofErr w:type="spellEnd"/>
      <w:r w:rsidRPr="0009445C">
        <w:t>’ indicates that the exhaust system is not resistant to soot fires, and is accordingly suitable only as an exhaust gas duct for gaseous and liquid fuel furnaces;</w:t>
      </w:r>
    </w:p>
    <w:p w14:paraId="5C52298F" w14:textId="77777777" w:rsidR="00B47442" w:rsidRPr="0009445C" w:rsidRDefault="00B47442" w:rsidP="00B47442">
      <w:pPr>
        <w:pStyle w:val="BRLAufzhlungAnstrich"/>
        <w:numPr>
          <w:ilvl w:val="0"/>
          <w:numId w:val="0"/>
        </w:numPr>
        <w:ind w:left="284"/>
        <w:rPr>
          <w:rFonts w:eastAsia="Calibri"/>
        </w:rPr>
      </w:pPr>
      <w:r w:rsidRPr="0009445C">
        <w:t>‘</w:t>
      </w:r>
      <w:proofErr w:type="spellStart"/>
      <w:r w:rsidRPr="0009445C">
        <w:t>Gxx</w:t>
      </w:r>
      <w:proofErr w:type="spellEnd"/>
      <w:r w:rsidRPr="0009445C">
        <w:t>’ indicates that the exhaust system is resistant to soot fires and is therefore also suitable as a chimney for furnaces for solid fuels.</w:t>
      </w:r>
    </w:p>
    <w:p w14:paraId="571142AB" w14:textId="77777777" w:rsidR="00B47442" w:rsidRPr="0009445C" w:rsidRDefault="00B47442" w:rsidP="00B47442">
      <w:pPr>
        <w:pStyle w:val="BRLAufzhlungAnstrich"/>
        <w:numPr>
          <w:ilvl w:val="0"/>
          <w:numId w:val="0"/>
        </w:numPr>
        <w:ind w:left="284"/>
        <w:rPr>
          <w:rFonts w:eastAsia="Calibri"/>
        </w:rPr>
      </w:pPr>
      <w:r w:rsidRPr="0009445C">
        <w:t>‘xx’ indicates the necessary minimum distance from the outer surface area of the flue to combustible structural elements, where xx is the numerical value of the minimum distance in rounded millimetres.</w:t>
      </w:r>
    </w:p>
    <w:p w14:paraId="4C376D4B" w14:textId="77777777" w:rsidR="00B47442" w:rsidRPr="0009445C" w:rsidRDefault="00B47442" w:rsidP="00B47442">
      <w:pPr>
        <w:pStyle w:val="BRLAufzhlungAnstrich"/>
        <w:numPr>
          <w:ilvl w:val="0"/>
          <w:numId w:val="1"/>
        </w:numPr>
        <w:rPr>
          <w:rFonts w:eastAsia="MS Mincho"/>
        </w:rPr>
      </w:pPr>
      <w:r w:rsidRPr="0009445C">
        <w:t>The fire resistance class ‘L</w:t>
      </w:r>
      <w:r w:rsidRPr="0009445C">
        <w:rPr>
          <w:vertAlign w:val="subscript"/>
        </w:rPr>
        <w:t>A</w:t>
      </w:r>
      <w:r w:rsidRPr="0009445C">
        <w:t>’ indicates the time during which an exhaust system is able to withstand external exposure to fire, and during which there will be no transfer of the fire via its surfaces to other fire compartments. The possible classes are set out in Table 3.</w:t>
      </w:r>
    </w:p>
    <w:p w14:paraId="0568A18E" w14:textId="77777777" w:rsidR="003A0178" w:rsidRPr="0009445C" w:rsidRDefault="003A0178" w:rsidP="00B47442">
      <w:pPr>
        <w:pStyle w:val="BRL-Standard"/>
        <w:spacing w:after="40"/>
        <w:rPr>
          <w:rFonts w:eastAsia="MS Mincho"/>
          <w:b/>
          <w:lang w:eastAsia="en-US"/>
        </w:rPr>
      </w:pPr>
    </w:p>
    <w:p w14:paraId="1A0A66C2" w14:textId="77777777" w:rsidR="00B47442" w:rsidRPr="0009445C" w:rsidRDefault="00B47442" w:rsidP="00600F53">
      <w:pPr>
        <w:pStyle w:val="BRL-Standard"/>
        <w:keepNext/>
        <w:spacing w:after="40"/>
        <w:rPr>
          <w:rFonts w:eastAsia="MS Mincho"/>
          <w:b/>
        </w:rPr>
      </w:pPr>
      <w:r w:rsidRPr="0009445C">
        <w:rPr>
          <w:b/>
        </w:rPr>
        <w:lastRenderedPageBreak/>
        <w:t>Table 3:</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1197"/>
        <w:gridCol w:w="4363"/>
      </w:tblGrid>
      <w:tr w:rsidR="00B47442" w:rsidRPr="0009445C" w14:paraId="651714B1" w14:textId="77777777" w:rsidTr="0099521D">
        <w:tc>
          <w:tcPr>
            <w:tcW w:w="9077" w:type="dxa"/>
            <w:gridSpan w:val="3"/>
            <w:shd w:val="clear" w:color="auto" w:fill="auto"/>
            <w:vAlign w:val="center"/>
          </w:tcPr>
          <w:p w14:paraId="1C14CD5C" w14:textId="77777777" w:rsidR="00B47442" w:rsidRPr="0009445C" w:rsidRDefault="00B47442" w:rsidP="0099521D">
            <w:pPr>
              <w:pStyle w:val="BRLTabelleberschrift"/>
              <w:tabs>
                <w:tab w:val="clear" w:pos="851"/>
              </w:tabs>
              <w:spacing w:before="60" w:after="40"/>
              <w:ind w:left="0" w:firstLine="0"/>
            </w:pPr>
            <w:r w:rsidRPr="0009445C">
              <w:t>Building approval requirement</w:t>
            </w:r>
            <w:r w:rsidRPr="0009445C">
              <w:br/>
              <w:t>and classification according to DIN 18160-60 for exhaust systems</w:t>
            </w:r>
          </w:p>
        </w:tc>
      </w:tr>
      <w:tr w:rsidR="00B47442" w:rsidRPr="0009445C" w14:paraId="7FD27C6D" w14:textId="77777777" w:rsidTr="0099521D">
        <w:tc>
          <w:tcPr>
            <w:tcW w:w="3517" w:type="dxa"/>
            <w:shd w:val="clear" w:color="auto" w:fill="auto"/>
            <w:vAlign w:val="center"/>
          </w:tcPr>
          <w:p w14:paraId="4181B513" w14:textId="77777777" w:rsidR="00B47442" w:rsidRPr="0009445C" w:rsidRDefault="00B47442" w:rsidP="0099521D">
            <w:pPr>
              <w:pStyle w:val="BRLTabelleberschrift"/>
              <w:spacing w:before="60" w:after="40"/>
            </w:pPr>
            <w:r w:rsidRPr="0009445C">
              <w:t>Building approval requirement</w:t>
            </w:r>
          </w:p>
        </w:tc>
        <w:tc>
          <w:tcPr>
            <w:tcW w:w="5560" w:type="dxa"/>
            <w:gridSpan w:val="2"/>
            <w:shd w:val="clear" w:color="auto" w:fill="auto"/>
            <w:vAlign w:val="center"/>
          </w:tcPr>
          <w:p w14:paraId="280C6D86" w14:textId="77777777" w:rsidR="00B47442" w:rsidRPr="0009445C" w:rsidRDefault="00B47442" w:rsidP="0099521D">
            <w:pPr>
              <w:pStyle w:val="BRLTabelleberschrift"/>
              <w:spacing w:before="60" w:after="40"/>
            </w:pPr>
            <w:r w:rsidRPr="0009445C">
              <w:t xml:space="preserve">Fire resistance classes </w:t>
            </w:r>
          </w:p>
        </w:tc>
      </w:tr>
      <w:tr w:rsidR="00B47442" w:rsidRPr="0009445C" w14:paraId="626BC673" w14:textId="77777777" w:rsidTr="0099521D">
        <w:tc>
          <w:tcPr>
            <w:tcW w:w="3517" w:type="dxa"/>
            <w:shd w:val="clear" w:color="auto" w:fill="auto"/>
            <w:vAlign w:val="center"/>
          </w:tcPr>
          <w:p w14:paraId="48FC5E21" w14:textId="77777777" w:rsidR="00B47442" w:rsidRPr="0009445C" w:rsidRDefault="00B47442" w:rsidP="0099521D">
            <w:pPr>
              <w:pStyle w:val="BRL-Tabelle"/>
              <w:spacing w:before="60" w:after="40"/>
            </w:pPr>
            <w:r w:rsidRPr="0009445C">
              <w:t xml:space="preserve">Fire-retardant </w:t>
            </w:r>
          </w:p>
        </w:tc>
        <w:tc>
          <w:tcPr>
            <w:tcW w:w="1197" w:type="dxa"/>
            <w:shd w:val="clear" w:color="auto" w:fill="auto"/>
            <w:vAlign w:val="center"/>
          </w:tcPr>
          <w:p w14:paraId="14B3EDA2" w14:textId="77777777" w:rsidR="00B47442" w:rsidRPr="0009445C" w:rsidRDefault="00B47442" w:rsidP="0099521D">
            <w:pPr>
              <w:pStyle w:val="BRL-Tabelle"/>
              <w:spacing w:before="60" w:after="40"/>
            </w:pPr>
            <w:r w:rsidRPr="0009445C">
              <w:t>L</w:t>
            </w:r>
            <w:r w:rsidRPr="0009445C">
              <w:rPr>
                <w:vertAlign w:val="subscript"/>
              </w:rPr>
              <w:t>A</w:t>
            </w:r>
            <w:r w:rsidRPr="0009445C">
              <w:t>30*</w:t>
            </w:r>
          </w:p>
        </w:tc>
        <w:tc>
          <w:tcPr>
            <w:tcW w:w="4363" w:type="dxa"/>
            <w:shd w:val="clear" w:color="auto" w:fill="auto"/>
          </w:tcPr>
          <w:p w14:paraId="55B02AEE" w14:textId="77777777" w:rsidR="00B47442" w:rsidRPr="0009445C" w:rsidRDefault="00B47442" w:rsidP="0099521D">
            <w:pPr>
              <w:pStyle w:val="BRL-Tabelle"/>
              <w:spacing w:before="60" w:after="40"/>
            </w:pPr>
            <w:r w:rsidRPr="0009445C">
              <w:t>Fire resistance time ≥ 30 minutes</w:t>
            </w:r>
          </w:p>
        </w:tc>
      </w:tr>
      <w:tr w:rsidR="00B47442" w:rsidRPr="0009445C" w14:paraId="0C7BDD74" w14:textId="77777777" w:rsidTr="0099521D">
        <w:tc>
          <w:tcPr>
            <w:tcW w:w="3517" w:type="dxa"/>
            <w:shd w:val="clear" w:color="auto" w:fill="auto"/>
            <w:vAlign w:val="center"/>
          </w:tcPr>
          <w:p w14:paraId="5BA90962" w14:textId="77777777" w:rsidR="00B47442" w:rsidRPr="0009445C" w:rsidRDefault="00B47442" w:rsidP="0099521D">
            <w:pPr>
              <w:pStyle w:val="BRL-Tabelle"/>
              <w:spacing w:before="60" w:after="40"/>
            </w:pPr>
            <w:r w:rsidRPr="0009445C">
              <w:t xml:space="preserve">Fire-resistant </w:t>
            </w:r>
          </w:p>
        </w:tc>
        <w:tc>
          <w:tcPr>
            <w:tcW w:w="1197" w:type="dxa"/>
            <w:shd w:val="clear" w:color="auto" w:fill="auto"/>
            <w:vAlign w:val="center"/>
          </w:tcPr>
          <w:p w14:paraId="7ED9EC1C" w14:textId="77777777" w:rsidR="00B47442" w:rsidRPr="0009445C" w:rsidRDefault="00B47442" w:rsidP="0099521D">
            <w:pPr>
              <w:pStyle w:val="BRL-Tabelle"/>
              <w:spacing w:before="60" w:after="40"/>
            </w:pPr>
            <w:r w:rsidRPr="0009445C">
              <w:t>L</w:t>
            </w:r>
            <w:r w:rsidRPr="0009445C">
              <w:rPr>
                <w:vertAlign w:val="subscript"/>
              </w:rPr>
              <w:t>A</w:t>
            </w:r>
            <w:r w:rsidRPr="0009445C">
              <w:t>90*</w:t>
            </w:r>
          </w:p>
        </w:tc>
        <w:tc>
          <w:tcPr>
            <w:tcW w:w="4363" w:type="dxa"/>
            <w:shd w:val="clear" w:color="auto" w:fill="auto"/>
          </w:tcPr>
          <w:p w14:paraId="0943E383" w14:textId="77777777" w:rsidR="00B47442" w:rsidRPr="0009445C" w:rsidRDefault="00B47442" w:rsidP="0099521D">
            <w:pPr>
              <w:pStyle w:val="BRL-Tabelle"/>
              <w:spacing w:before="60" w:after="40"/>
            </w:pPr>
            <w:r w:rsidRPr="0009445C">
              <w:t>Fire resistance time ≥ 90 minutes</w:t>
            </w:r>
          </w:p>
        </w:tc>
      </w:tr>
      <w:tr w:rsidR="00B47442" w:rsidRPr="0009445C" w14:paraId="47312EF9" w14:textId="77777777" w:rsidTr="0099521D">
        <w:tc>
          <w:tcPr>
            <w:tcW w:w="9077" w:type="dxa"/>
            <w:gridSpan w:val="3"/>
            <w:shd w:val="clear" w:color="auto" w:fill="auto"/>
            <w:vAlign w:val="center"/>
          </w:tcPr>
          <w:p w14:paraId="0E2F49DC" w14:textId="105A8026" w:rsidR="00B47442" w:rsidRPr="0009445C" w:rsidRDefault="00B47442" w:rsidP="000C7F03">
            <w:pPr>
              <w:pStyle w:val="BRL-Tabelle"/>
              <w:spacing w:before="60" w:after="40"/>
              <w:ind w:left="709" w:hanging="709"/>
            </w:pPr>
            <w:r w:rsidRPr="0009445C">
              <w:t>*</w:t>
            </w:r>
            <w:r w:rsidRPr="0009445C">
              <w:tab/>
              <w:t xml:space="preserve">The declared fire resistance must have been tested with thermal </w:t>
            </w:r>
            <w:proofErr w:type="spellStart"/>
            <w:r w:rsidRPr="0009445C">
              <w:t>pretreatment</w:t>
            </w:r>
            <w:proofErr w:type="spellEnd"/>
            <w:r w:rsidRPr="0009445C">
              <w:t xml:space="preserve"> according to the selected temperature class (e.g. T400).</w:t>
            </w:r>
          </w:p>
        </w:tc>
      </w:tr>
    </w:tbl>
    <w:p w14:paraId="44E3ED2F" w14:textId="77777777" w:rsidR="00B47442" w:rsidRPr="0009445C" w:rsidRDefault="00B47442" w:rsidP="00B47442">
      <w:pPr>
        <w:pStyle w:val="BRL-Standard"/>
        <w:rPr>
          <w:rFonts w:eastAsia="Calibri"/>
          <w:lang w:eastAsia="en-US"/>
        </w:rPr>
      </w:pPr>
    </w:p>
    <w:p w14:paraId="770EFF09" w14:textId="77777777" w:rsidR="00B47442" w:rsidRPr="0009445C" w:rsidRDefault="00B47442" w:rsidP="00B47442">
      <w:pPr>
        <w:pStyle w:val="BRL-Standard"/>
        <w:rPr>
          <w:rFonts w:eastAsia="Calibri"/>
        </w:rPr>
      </w:pPr>
      <w:r w:rsidRPr="0009445C">
        <w:t xml:space="preserve">Each performance indicator shall correspond at least to the required class or to a higher class in the following order: </w:t>
      </w:r>
    </w:p>
    <w:p w14:paraId="155AE9BE" w14:textId="77777777" w:rsidR="00B47442" w:rsidRPr="0009445C" w:rsidRDefault="00B47442" w:rsidP="00B47442">
      <w:pPr>
        <w:pStyle w:val="BRL-Standard"/>
        <w:rPr>
          <w:rFonts w:eastAsia="Calibri"/>
          <w:lang w:val="de-DE"/>
        </w:rPr>
      </w:pPr>
      <w:r w:rsidRPr="0009445C">
        <w:rPr>
          <w:lang w:val="de-DE"/>
        </w:rPr>
        <w:t xml:space="preserve">T600 &gt;T450 &gt;T400 &gt;T300 &gt;T250 &gt;T200 &gt;T160 &gt;T140 &gt;T120 &gt;T100 &gt;T080. </w:t>
      </w:r>
    </w:p>
    <w:p w14:paraId="5BC5E009" w14:textId="77777777" w:rsidR="00B47442" w:rsidRPr="0009445C" w:rsidRDefault="00B47442" w:rsidP="00B47442">
      <w:pPr>
        <w:pStyle w:val="BRL-Standard"/>
        <w:rPr>
          <w:rFonts w:eastAsia="Calibri"/>
        </w:rPr>
      </w:pPr>
      <w:r w:rsidRPr="0009445C">
        <w:t xml:space="preserve">H &gt; P &gt; N; </w:t>
      </w:r>
      <w:proofErr w:type="spellStart"/>
      <w:r w:rsidRPr="0009445C">
        <w:t>Wx</w:t>
      </w:r>
      <w:proofErr w:type="spellEnd"/>
      <w:r w:rsidRPr="0009445C">
        <w:t xml:space="preserve"> &gt; Dx; D3 &gt; D2 &gt; D1; W3 &gt; W2 &gt; W1; G &gt; O. </w:t>
      </w:r>
    </w:p>
    <w:p w14:paraId="51309415" w14:textId="77777777" w:rsidR="00B47442" w:rsidRPr="0009445C" w:rsidRDefault="00B47442" w:rsidP="00B47442">
      <w:pPr>
        <w:pStyle w:val="BRL-Standard"/>
        <w:rPr>
          <w:rFonts w:eastAsia="MS Mincho"/>
          <w:lang w:val="en-US" w:eastAsia="ja-JP"/>
        </w:rPr>
      </w:pPr>
    </w:p>
    <w:p w14:paraId="4FADC929" w14:textId="77777777" w:rsidR="00B47442" w:rsidRPr="0009445C" w:rsidRDefault="00B47442" w:rsidP="00B47442">
      <w:pPr>
        <w:pStyle w:val="BRL-Standard"/>
        <w:rPr>
          <w:rFonts w:eastAsia="MS Mincho"/>
        </w:rPr>
      </w:pPr>
      <w:r w:rsidRPr="0009445C">
        <w:t>Example marking of an exhaust system:</w:t>
      </w:r>
    </w:p>
    <w:p w14:paraId="590B1A70" w14:textId="77777777" w:rsidR="00B47442" w:rsidRPr="0009445C" w:rsidRDefault="00B47442" w:rsidP="00B47442">
      <w:pPr>
        <w:pStyle w:val="BRL-Standard"/>
        <w:rPr>
          <w:rFonts w:eastAsia="MS Mincho"/>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851"/>
        <w:gridCol w:w="283"/>
        <w:gridCol w:w="284"/>
        <w:gridCol w:w="141"/>
        <w:gridCol w:w="95"/>
        <w:gridCol w:w="65"/>
        <w:gridCol w:w="95"/>
        <w:gridCol w:w="123"/>
        <w:gridCol w:w="456"/>
        <w:gridCol w:w="300"/>
        <w:gridCol w:w="284"/>
        <w:gridCol w:w="16"/>
        <w:gridCol w:w="275"/>
        <w:gridCol w:w="276"/>
        <w:gridCol w:w="236"/>
        <w:gridCol w:w="236"/>
        <w:gridCol w:w="236"/>
        <w:gridCol w:w="236"/>
        <w:gridCol w:w="307"/>
        <w:gridCol w:w="308"/>
        <w:gridCol w:w="425"/>
        <w:gridCol w:w="426"/>
      </w:tblGrid>
      <w:tr w:rsidR="00B47442" w:rsidRPr="0009445C" w14:paraId="26075ACF" w14:textId="77777777" w:rsidTr="0099521D">
        <w:tc>
          <w:tcPr>
            <w:tcW w:w="4803" w:type="dxa"/>
            <w:gridSpan w:val="10"/>
            <w:tcBorders>
              <w:top w:val="nil"/>
              <w:left w:val="nil"/>
              <w:bottom w:val="nil"/>
              <w:right w:val="nil"/>
            </w:tcBorders>
            <w:vAlign w:val="center"/>
          </w:tcPr>
          <w:p w14:paraId="1A020DC9" w14:textId="77777777" w:rsidR="00B47442" w:rsidRPr="0009445C" w:rsidRDefault="00B47442" w:rsidP="0099521D">
            <w:pPr>
              <w:keepNext/>
              <w:keepLines/>
              <w:tabs>
                <w:tab w:val="left" w:pos="2907"/>
                <w:tab w:val="left" w:pos="3919"/>
                <w:tab w:val="left" w:pos="4575"/>
              </w:tabs>
              <w:spacing w:line="230" w:lineRule="atLeast"/>
              <w:ind w:right="57"/>
              <w:rPr>
                <w:rFonts w:eastAsia="MS Mincho" w:cs="Arial"/>
                <w:kern w:val="28"/>
                <w:szCs w:val="18"/>
              </w:rPr>
            </w:pPr>
            <w:r w:rsidRPr="0009445C">
              <w:t>Exhaust system</w:t>
            </w:r>
            <w:r w:rsidRPr="0009445C">
              <w:tab/>
              <w:t xml:space="preserve">    DIN V </w:t>
            </w:r>
            <w:r w:rsidRPr="0009445C">
              <w:rPr>
                <w:u w:val="single"/>
              </w:rPr>
              <w:t>18160-1</w:t>
            </w:r>
          </w:p>
        </w:tc>
        <w:tc>
          <w:tcPr>
            <w:tcW w:w="584" w:type="dxa"/>
            <w:gridSpan w:val="2"/>
            <w:tcBorders>
              <w:top w:val="nil"/>
              <w:left w:val="nil"/>
              <w:bottom w:val="nil"/>
              <w:right w:val="nil"/>
            </w:tcBorders>
            <w:vAlign w:val="center"/>
          </w:tcPr>
          <w:p w14:paraId="5BD79C5A" w14:textId="77777777" w:rsidR="00B47442" w:rsidRPr="0009445C" w:rsidRDefault="00B47442" w:rsidP="0099521D">
            <w:pPr>
              <w:keepNext/>
              <w:keepLines/>
              <w:spacing w:line="230" w:lineRule="atLeast"/>
              <w:ind w:left="-57" w:right="-57"/>
              <w:jc w:val="center"/>
              <w:rPr>
                <w:rFonts w:eastAsia="MS Mincho" w:cs="Arial"/>
                <w:kern w:val="28"/>
                <w:szCs w:val="18"/>
                <w:u w:val="single"/>
              </w:rPr>
            </w:pPr>
            <w:r w:rsidRPr="0009445C">
              <w:rPr>
                <w:u w:val="single"/>
              </w:rPr>
              <w:t>T400</w:t>
            </w:r>
          </w:p>
        </w:tc>
        <w:tc>
          <w:tcPr>
            <w:tcW w:w="567" w:type="dxa"/>
            <w:gridSpan w:val="3"/>
            <w:tcBorders>
              <w:top w:val="nil"/>
              <w:left w:val="nil"/>
              <w:bottom w:val="nil"/>
              <w:right w:val="nil"/>
            </w:tcBorders>
            <w:vAlign w:val="center"/>
          </w:tcPr>
          <w:p w14:paraId="79961BB5" w14:textId="77777777" w:rsidR="00B47442" w:rsidRPr="0009445C" w:rsidRDefault="00B47442" w:rsidP="0099521D">
            <w:pPr>
              <w:keepNext/>
              <w:keepLines/>
              <w:spacing w:line="230" w:lineRule="atLeast"/>
              <w:ind w:left="-57" w:right="-57"/>
              <w:jc w:val="center"/>
              <w:rPr>
                <w:rFonts w:eastAsia="MS Mincho" w:cs="Arial"/>
                <w:kern w:val="28"/>
                <w:szCs w:val="18"/>
                <w:u w:val="single"/>
              </w:rPr>
            </w:pPr>
            <w:r w:rsidRPr="0009445C">
              <w:rPr>
                <w:u w:val="single"/>
              </w:rPr>
              <w:t>P1</w:t>
            </w:r>
          </w:p>
        </w:tc>
        <w:tc>
          <w:tcPr>
            <w:tcW w:w="472" w:type="dxa"/>
            <w:gridSpan w:val="2"/>
            <w:tcBorders>
              <w:top w:val="nil"/>
              <w:left w:val="nil"/>
              <w:bottom w:val="nil"/>
              <w:right w:val="nil"/>
            </w:tcBorders>
            <w:vAlign w:val="center"/>
          </w:tcPr>
          <w:p w14:paraId="0EB1E7FE" w14:textId="77777777" w:rsidR="00B47442" w:rsidRPr="0009445C" w:rsidRDefault="00B47442" w:rsidP="0099521D">
            <w:pPr>
              <w:keepNext/>
              <w:keepLines/>
              <w:spacing w:line="230" w:lineRule="atLeast"/>
              <w:ind w:left="-57" w:right="-57"/>
              <w:jc w:val="center"/>
              <w:rPr>
                <w:rFonts w:eastAsia="MS Mincho" w:cs="Arial"/>
                <w:kern w:val="28"/>
                <w:szCs w:val="18"/>
                <w:u w:val="single"/>
              </w:rPr>
            </w:pPr>
            <w:r w:rsidRPr="0009445C">
              <w:rPr>
                <w:u w:val="single"/>
              </w:rPr>
              <w:t>W</w:t>
            </w:r>
          </w:p>
        </w:tc>
        <w:tc>
          <w:tcPr>
            <w:tcW w:w="472" w:type="dxa"/>
            <w:gridSpan w:val="2"/>
            <w:tcBorders>
              <w:top w:val="nil"/>
              <w:left w:val="nil"/>
              <w:bottom w:val="nil"/>
              <w:right w:val="nil"/>
            </w:tcBorders>
            <w:vAlign w:val="center"/>
          </w:tcPr>
          <w:p w14:paraId="5A1DAADA" w14:textId="77777777" w:rsidR="00B47442" w:rsidRPr="0009445C" w:rsidRDefault="00B47442" w:rsidP="0099521D">
            <w:pPr>
              <w:keepNext/>
              <w:keepLines/>
              <w:spacing w:line="230" w:lineRule="atLeast"/>
              <w:ind w:left="-57" w:right="-57"/>
              <w:jc w:val="center"/>
              <w:rPr>
                <w:rFonts w:eastAsia="MS Mincho" w:cs="Arial"/>
                <w:kern w:val="28"/>
                <w:szCs w:val="18"/>
                <w:u w:val="single"/>
              </w:rPr>
            </w:pPr>
            <w:r w:rsidRPr="0009445C">
              <w:rPr>
                <w:u w:val="single"/>
              </w:rPr>
              <w:t>1</w:t>
            </w:r>
          </w:p>
        </w:tc>
        <w:tc>
          <w:tcPr>
            <w:tcW w:w="615" w:type="dxa"/>
            <w:gridSpan w:val="2"/>
            <w:tcBorders>
              <w:top w:val="nil"/>
              <w:left w:val="nil"/>
              <w:bottom w:val="nil"/>
              <w:right w:val="nil"/>
            </w:tcBorders>
            <w:vAlign w:val="center"/>
          </w:tcPr>
          <w:p w14:paraId="3F305426" w14:textId="77777777" w:rsidR="00B47442" w:rsidRPr="0009445C" w:rsidRDefault="00B47442" w:rsidP="0099521D">
            <w:pPr>
              <w:keepNext/>
              <w:keepLines/>
              <w:spacing w:line="230" w:lineRule="atLeast"/>
              <w:ind w:left="-57" w:right="-57"/>
              <w:jc w:val="center"/>
              <w:rPr>
                <w:rFonts w:eastAsia="MS Mincho" w:cs="Arial"/>
                <w:kern w:val="28"/>
                <w:szCs w:val="18"/>
                <w:u w:val="single"/>
              </w:rPr>
            </w:pPr>
            <w:r w:rsidRPr="0009445C">
              <w:rPr>
                <w:u w:val="single"/>
              </w:rPr>
              <w:t>O50</w:t>
            </w:r>
          </w:p>
        </w:tc>
        <w:tc>
          <w:tcPr>
            <w:tcW w:w="851" w:type="dxa"/>
            <w:gridSpan w:val="2"/>
            <w:tcBorders>
              <w:top w:val="nil"/>
              <w:left w:val="nil"/>
              <w:bottom w:val="nil"/>
              <w:right w:val="nil"/>
            </w:tcBorders>
            <w:vAlign w:val="center"/>
          </w:tcPr>
          <w:p w14:paraId="3C18FF4F" w14:textId="77777777" w:rsidR="00B47442" w:rsidRPr="0009445C" w:rsidRDefault="00B47442" w:rsidP="0099521D">
            <w:pPr>
              <w:keepNext/>
              <w:keepLines/>
              <w:spacing w:line="230" w:lineRule="atLeast"/>
              <w:ind w:left="-57" w:right="-57"/>
              <w:jc w:val="center"/>
              <w:rPr>
                <w:rFonts w:eastAsia="MS Mincho" w:cs="Arial"/>
                <w:kern w:val="28"/>
                <w:szCs w:val="18"/>
                <w:u w:val="single"/>
              </w:rPr>
            </w:pPr>
            <w:r w:rsidRPr="0009445C">
              <w:rPr>
                <w:u w:val="single"/>
              </w:rPr>
              <w:t>L</w:t>
            </w:r>
            <w:r w:rsidRPr="0009445C">
              <w:rPr>
                <w:u w:val="single"/>
                <w:vertAlign w:val="subscript"/>
              </w:rPr>
              <w:t>A</w:t>
            </w:r>
            <w:r w:rsidRPr="0009445C">
              <w:rPr>
                <w:u w:val="single"/>
              </w:rPr>
              <w:t>90</w:t>
            </w:r>
          </w:p>
        </w:tc>
      </w:tr>
      <w:tr w:rsidR="00B47442" w:rsidRPr="0009445C" w14:paraId="0F4FFC3F" w14:textId="77777777" w:rsidTr="0099521D">
        <w:tc>
          <w:tcPr>
            <w:tcW w:w="3969" w:type="dxa"/>
            <w:gridSpan w:val="5"/>
            <w:tcBorders>
              <w:top w:val="nil"/>
              <w:left w:val="nil"/>
              <w:bottom w:val="nil"/>
              <w:right w:val="nil"/>
            </w:tcBorders>
            <w:vAlign w:val="center"/>
          </w:tcPr>
          <w:p w14:paraId="03337A44" w14:textId="77777777" w:rsidR="00B47442" w:rsidRPr="0009445C" w:rsidRDefault="00B47442" w:rsidP="0099521D">
            <w:pPr>
              <w:keepNext/>
              <w:keepLines/>
              <w:tabs>
                <w:tab w:val="left" w:pos="605"/>
              </w:tabs>
              <w:spacing w:line="230" w:lineRule="atLeast"/>
              <w:rPr>
                <w:rFonts w:eastAsia="MS Mincho" w:cs="Arial"/>
                <w:kern w:val="28"/>
                <w:lang w:eastAsia="ja-JP"/>
              </w:rPr>
            </w:pPr>
          </w:p>
        </w:tc>
        <w:tc>
          <w:tcPr>
            <w:tcW w:w="160" w:type="dxa"/>
            <w:gridSpan w:val="2"/>
            <w:tcBorders>
              <w:top w:val="nil"/>
              <w:left w:val="nil"/>
              <w:bottom w:val="nil"/>
              <w:right w:val="single" w:sz="12" w:space="0" w:color="auto"/>
            </w:tcBorders>
          </w:tcPr>
          <w:p w14:paraId="68E6259E" w14:textId="77777777" w:rsidR="00B47442" w:rsidRPr="0009445C" w:rsidRDefault="00B47442" w:rsidP="0099521D">
            <w:pPr>
              <w:keepNext/>
              <w:keepLines/>
              <w:spacing w:line="230" w:lineRule="atLeast"/>
              <w:rPr>
                <w:rFonts w:eastAsia="MS Mincho" w:cs="Arial"/>
                <w:kern w:val="28"/>
                <w:lang w:eastAsia="ja-JP"/>
              </w:rPr>
            </w:pPr>
          </w:p>
        </w:tc>
        <w:tc>
          <w:tcPr>
            <w:tcW w:w="674" w:type="dxa"/>
            <w:gridSpan w:val="3"/>
            <w:tcBorders>
              <w:top w:val="nil"/>
              <w:left w:val="single" w:sz="12" w:space="0" w:color="auto"/>
              <w:bottom w:val="nil"/>
              <w:right w:val="nil"/>
            </w:tcBorders>
            <w:vAlign w:val="center"/>
          </w:tcPr>
          <w:p w14:paraId="603E10F7"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nil"/>
              <w:left w:val="nil"/>
              <w:bottom w:val="nil"/>
              <w:right w:val="single" w:sz="12" w:space="0" w:color="auto"/>
            </w:tcBorders>
            <w:vAlign w:val="center"/>
          </w:tcPr>
          <w:p w14:paraId="481DBA28"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nil"/>
              <w:left w:val="single" w:sz="12" w:space="0" w:color="auto"/>
              <w:bottom w:val="nil"/>
              <w:right w:val="nil"/>
            </w:tcBorders>
            <w:vAlign w:val="center"/>
          </w:tcPr>
          <w:p w14:paraId="377B75FC"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nil"/>
              <w:left w:val="nil"/>
              <w:bottom w:val="nil"/>
              <w:right w:val="single" w:sz="12" w:space="0" w:color="auto"/>
            </w:tcBorders>
            <w:vAlign w:val="center"/>
          </w:tcPr>
          <w:p w14:paraId="166A1C24"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nil"/>
              <w:left w:val="single" w:sz="12" w:space="0" w:color="auto"/>
              <w:bottom w:val="nil"/>
              <w:right w:val="nil"/>
            </w:tcBorders>
            <w:vAlign w:val="center"/>
          </w:tcPr>
          <w:p w14:paraId="7FC65183"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763216E2"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7AA4C586"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1E3A9566"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48823D4D"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nil"/>
              <w:left w:val="nil"/>
              <w:bottom w:val="nil"/>
              <w:right w:val="single" w:sz="12" w:space="0" w:color="auto"/>
            </w:tcBorders>
            <w:vAlign w:val="center"/>
          </w:tcPr>
          <w:p w14:paraId="4776853E"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single" w:sz="12" w:space="0" w:color="auto"/>
              <w:bottom w:val="nil"/>
              <w:right w:val="nil"/>
            </w:tcBorders>
            <w:vAlign w:val="center"/>
          </w:tcPr>
          <w:p w14:paraId="28E2864C"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1546E53B"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5BD4D72F"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4E691E07" w14:textId="77777777" w:rsidTr="0099521D">
        <w:trPr>
          <w:cantSplit/>
        </w:trPr>
        <w:tc>
          <w:tcPr>
            <w:tcW w:w="2410" w:type="dxa"/>
            <w:vMerge w:val="restart"/>
            <w:tcBorders>
              <w:top w:val="nil"/>
              <w:left w:val="nil"/>
              <w:bottom w:val="nil"/>
              <w:right w:val="nil"/>
            </w:tcBorders>
            <w:vAlign w:val="center"/>
          </w:tcPr>
          <w:p w14:paraId="0A8CAC05" w14:textId="77777777" w:rsidR="00B47442" w:rsidRPr="0009445C" w:rsidRDefault="00B47442" w:rsidP="0099521D">
            <w:pPr>
              <w:keepNext/>
              <w:keepLines/>
              <w:spacing w:line="230" w:lineRule="atLeast"/>
              <w:ind w:right="-113"/>
              <w:rPr>
                <w:rFonts w:eastAsia="MS Mincho" w:cs="Arial"/>
                <w:kern w:val="28"/>
                <w:szCs w:val="18"/>
              </w:rPr>
            </w:pPr>
            <w:r w:rsidRPr="0009445C">
              <w:t>Standard number</w:t>
            </w:r>
          </w:p>
        </w:tc>
        <w:tc>
          <w:tcPr>
            <w:tcW w:w="1559" w:type="dxa"/>
            <w:gridSpan w:val="4"/>
            <w:tcBorders>
              <w:top w:val="nil"/>
              <w:left w:val="nil"/>
              <w:bottom w:val="single" w:sz="12" w:space="0" w:color="auto"/>
              <w:right w:val="nil"/>
            </w:tcBorders>
            <w:vAlign w:val="center"/>
          </w:tcPr>
          <w:p w14:paraId="51AFF8F5" w14:textId="77777777" w:rsidR="00B47442" w:rsidRPr="0009445C" w:rsidRDefault="00B47442" w:rsidP="0099521D">
            <w:pPr>
              <w:keepNext/>
              <w:keepLines/>
              <w:spacing w:line="230" w:lineRule="atLeast"/>
              <w:ind w:right="-113"/>
              <w:rPr>
                <w:rFonts w:eastAsia="MS Mincho" w:cs="Arial"/>
                <w:kern w:val="28"/>
                <w:szCs w:val="18"/>
                <w:lang w:eastAsia="ja-JP"/>
              </w:rPr>
            </w:pPr>
          </w:p>
        </w:tc>
        <w:tc>
          <w:tcPr>
            <w:tcW w:w="160" w:type="dxa"/>
            <w:gridSpan w:val="2"/>
            <w:tcBorders>
              <w:top w:val="nil"/>
              <w:left w:val="nil"/>
              <w:bottom w:val="single" w:sz="12" w:space="0" w:color="auto"/>
              <w:right w:val="single" w:sz="12" w:space="0" w:color="auto"/>
            </w:tcBorders>
          </w:tcPr>
          <w:p w14:paraId="66EEB13C" w14:textId="77777777" w:rsidR="00B47442" w:rsidRPr="0009445C" w:rsidRDefault="00B47442" w:rsidP="0099521D">
            <w:pPr>
              <w:keepNext/>
              <w:keepLines/>
              <w:spacing w:line="230" w:lineRule="atLeast"/>
              <w:rPr>
                <w:rFonts w:eastAsia="MS Mincho" w:cs="Arial"/>
                <w:kern w:val="28"/>
                <w:szCs w:val="18"/>
                <w:lang w:eastAsia="ja-JP"/>
              </w:rPr>
            </w:pPr>
          </w:p>
        </w:tc>
        <w:tc>
          <w:tcPr>
            <w:tcW w:w="674" w:type="dxa"/>
            <w:gridSpan w:val="3"/>
            <w:tcBorders>
              <w:top w:val="nil"/>
              <w:left w:val="single" w:sz="12" w:space="0" w:color="auto"/>
              <w:bottom w:val="nil"/>
              <w:right w:val="nil"/>
            </w:tcBorders>
            <w:vAlign w:val="center"/>
          </w:tcPr>
          <w:p w14:paraId="6E1229A7"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tcBorders>
              <w:top w:val="nil"/>
              <w:left w:val="nil"/>
              <w:bottom w:val="nil"/>
              <w:right w:val="single" w:sz="12" w:space="0" w:color="auto"/>
            </w:tcBorders>
            <w:vAlign w:val="center"/>
          </w:tcPr>
          <w:p w14:paraId="49D4EA39"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single" w:sz="12" w:space="0" w:color="auto"/>
              <w:bottom w:val="nil"/>
              <w:right w:val="nil"/>
            </w:tcBorders>
            <w:vAlign w:val="center"/>
          </w:tcPr>
          <w:p w14:paraId="082A5E9B"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nil"/>
              <w:right w:val="single" w:sz="12" w:space="0" w:color="auto"/>
            </w:tcBorders>
            <w:vAlign w:val="center"/>
          </w:tcPr>
          <w:p w14:paraId="5C7C283D"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single" w:sz="12" w:space="0" w:color="auto"/>
              <w:bottom w:val="nil"/>
              <w:right w:val="nil"/>
            </w:tcBorders>
            <w:vAlign w:val="center"/>
          </w:tcPr>
          <w:p w14:paraId="22209463"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56E966D7"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531B2DE1"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54BC0088"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4B6D3B8B"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nil"/>
              <w:right w:val="single" w:sz="12" w:space="0" w:color="auto"/>
            </w:tcBorders>
            <w:vAlign w:val="center"/>
          </w:tcPr>
          <w:p w14:paraId="3892310B"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single" w:sz="12" w:space="0" w:color="auto"/>
              <w:bottom w:val="nil"/>
              <w:right w:val="nil"/>
            </w:tcBorders>
            <w:vAlign w:val="center"/>
          </w:tcPr>
          <w:p w14:paraId="5B703BE6"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nil"/>
              <w:right w:val="single" w:sz="12" w:space="0" w:color="auto"/>
            </w:tcBorders>
            <w:vAlign w:val="center"/>
          </w:tcPr>
          <w:p w14:paraId="7BB6DCA3"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313B639C"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6A4BE05A" w14:textId="77777777" w:rsidTr="0099521D">
        <w:trPr>
          <w:cantSplit/>
        </w:trPr>
        <w:tc>
          <w:tcPr>
            <w:tcW w:w="2410" w:type="dxa"/>
            <w:vMerge/>
            <w:tcBorders>
              <w:top w:val="nil"/>
              <w:left w:val="nil"/>
              <w:bottom w:val="nil"/>
              <w:right w:val="nil"/>
            </w:tcBorders>
            <w:vAlign w:val="center"/>
          </w:tcPr>
          <w:p w14:paraId="31B1E1E3" w14:textId="77777777" w:rsidR="00B47442" w:rsidRPr="0009445C" w:rsidRDefault="00B47442" w:rsidP="0099521D">
            <w:pPr>
              <w:keepNext/>
              <w:keepLines/>
              <w:spacing w:line="230" w:lineRule="atLeast"/>
              <w:ind w:right="-113"/>
              <w:rPr>
                <w:rFonts w:eastAsia="MS Mincho" w:cs="Arial"/>
                <w:kern w:val="28"/>
                <w:lang w:eastAsia="ja-JP"/>
              </w:rPr>
            </w:pPr>
          </w:p>
        </w:tc>
        <w:tc>
          <w:tcPr>
            <w:tcW w:w="1559" w:type="dxa"/>
            <w:gridSpan w:val="4"/>
            <w:tcBorders>
              <w:top w:val="nil"/>
              <w:left w:val="nil"/>
              <w:bottom w:val="nil"/>
              <w:right w:val="nil"/>
            </w:tcBorders>
            <w:vAlign w:val="center"/>
          </w:tcPr>
          <w:p w14:paraId="10339829" w14:textId="77777777" w:rsidR="00B47442" w:rsidRPr="0009445C" w:rsidRDefault="00B47442" w:rsidP="0099521D">
            <w:pPr>
              <w:keepNext/>
              <w:keepLines/>
              <w:spacing w:line="230" w:lineRule="atLeast"/>
              <w:ind w:right="-113"/>
              <w:rPr>
                <w:rFonts w:eastAsia="MS Mincho" w:cs="Arial"/>
                <w:kern w:val="28"/>
                <w:lang w:eastAsia="ja-JP"/>
              </w:rPr>
            </w:pPr>
          </w:p>
        </w:tc>
        <w:tc>
          <w:tcPr>
            <w:tcW w:w="160" w:type="dxa"/>
            <w:gridSpan w:val="2"/>
            <w:tcBorders>
              <w:top w:val="nil"/>
              <w:left w:val="nil"/>
              <w:bottom w:val="nil"/>
              <w:right w:val="nil"/>
            </w:tcBorders>
          </w:tcPr>
          <w:p w14:paraId="26611671" w14:textId="77777777" w:rsidR="00B47442" w:rsidRPr="0009445C" w:rsidRDefault="00B47442" w:rsidP="0099521D">
            <w:pPr>
              <w:keepNext/>
              <w:keepLines/>
              <w:spacing w:line="230" w:lineRule="atLeast"/>
              <w:rPr>
                <w:rFonts w:eastAsia="MS Mincho" w:cs="Arial"/>
                <w:kern w:val="28"/>
                <w:lang w:eastAsia="ja-JP"/>
              </w:rPr>
            </w:pPr>
          </w:p>
        </w:tc>
        <w:tc>
          <w:tcPr>
            <w:tcW w:w="674" w:type="dxa"/>
            <w:gridSpan w:val="3"/>
            <w:tcBorders>
              <w:top w:val="nil"/>
              <w:left w:val="nil"/>
              <w:bottom w:val="nil"/>
              <w:right w:val="nil"/>
            </w:tcBorders>
            <w:vAlign w:val="center"/>
          </w:tcPr>
          <w:p w14:paraId="75A6B3B5"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nil"/>
              <w:left w:val="nil"/>
              <w:bottom w:val="nil"/>
              <w:right w:val="single" w:sz="12" w:space="0" w:color="auto"/>
            </w:tcBorders>
            <w:vAlign w:val="center"/>
          </w:tcPr>
          <w:p w14:paraId="17490B9C"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nil"/>
              <w:left w:val="single" w:sz="12" w:space="0" w:color="auto"/>
              <w:bottom w:val="nil"/>
              <w:right w:val="nil"/>
            </w:tcBorders>
            <w:vAlign w:val="center"/>
          </w:tcPr>
          <w:p w14:paraId="684F2607"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nil"/>
              <w:left w:val="nil"/>
              <w:bottom w:val="nil"/>
              <w:right w:val="single" w:sz="12" w:space="0" w:color="auto"/>
            </w:tcBorders>
            <w:vAlign w:val="center"/>
          </w:tcPr>
          <w:p w14:paraId="3F72C9E3"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nil"/>
              <w:left w:val="single" w:sz="12" w:space="0" w:color="auto"/>
              <w:bottom w:val="nil"/>
              <w:right w:val="nil"/>
            </w:tcBorders>
            <w:vAlign w:val="center"/>
          </w:tcPr>
          <w:p w14:paraId="31B7E028"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761F3E70"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27AB3BB6"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6F1E73AE"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7E48CDBF"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nil"/>
              <w:left w:val="nil"/>
              <w:bottom w:val="nil"/>
              <w:right w:val="single" w:sz="12" w:space="0" w:color="auto"/>
            </w:tcBorders>
            <w:vAlign w:val="center"/>
          </w:tcPr>
          <w:p w14:paraId="4A0A1C2F"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single" w:sz="12" w:space="0" w:color="auto"/>
              <w:bottom w:val="nil"/>
              <w:right w:val="nil"/>
            </w:tcBorders>
            <w:vAlign w:val="center"/>
          </w:tcPr>
          <w:p w14:paraId="00E82466"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64C9110E"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10A0222D"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59D7145D" w14:textId="77777777" w:rsidTr="0099521D">
        <w:trPr>
          <w:cantSplit/>
        </w:trPr>
        <w:tc>
          <w:tcPr>
            <w:tcW w:w="2410" w:type="dxa"/>
            <w:vMerge w:val="restart"/>
            <w:tcBorders>
              <w:top w:val="nil"/>
              <w:left w:val="nil"/>
              <w:bottom w:val="nil"/>
              <w:right w:val="nil"/>
            </w:tcBorders>
            <w:vAlign w:val="center"/>
          </w:tcPr>
          <w:p w14:paraId="7BEACBE3" w14:textId="77777777" w:rsidR="00B47442" w:rsidRPr="0009445C" w:rsidRDefault="00B47442" w:rsidP="0099521D">
            <w:pPr>
              <w:keepNext/>
              <w:keepLines/>
              <w:spacing w:line="230" w:lineRule="atLeast"/>
              <w:ind w:right="-113"/>
              <w:rPr>
                <w:rFonts w:eastAsia="MS Mincho" w:cs="Arial"/>
                <w:kern w:val="28"/>
                <w:szCs w:val="18"/>
              </w:rPr>
            </w:pPr>
            <w:r w:rsidRPr="0009445C">
              <w:t xml:space="preserve">Temperature class </w:t>
            </w:r>
          </w:p>
        </w:tc>
        <w:tc>
          <w:tcPr>
            <w:tcW w:w="1559" w:type="dxa"/>
            <w:gridSpan w:val="4"/>
            <w:tcBorders>
              <w:top w:val="nil"/>
              <w:left w:val="nil"/>
              <w:bottom w:val="single" w:sz="12" w:space="0" w:color="auto"/>
              <w:right w:val="nil"/>
            </w:tcBorders>
            <w:vAlign w:val="center"/>
          </w:tcPr>
          <w:p w14:paraId="799CB295" w14:textId="77777777" w:rsidR="00B47442" w:rsidRPr="0009445C" w:rsidRDefault="00B47442" w:rsidP="0099521D">
            <w:pPr>
              <w:keepNext/>
              <w:keepLines/>
              <w:spacing w:line="230" w:lineRule="atLeast"/>
              <w:ind w:right="-113"/>
              <w:rPr>
                <w:rFonts w:eastAsia="MS Mincho" w:cs="Arial"/>
                <w:kern w:val="28"/>
                <w:szCs w:val="18"/>
                <w:lang w:eastAsia="ja-JP"/>
              </w:rPr>
            </w:pPr>
          </w:p>
        </w:tc>
        <w:tc>
          <w:tcPr>
            <w:tcW w:w="160" w:type="dxa"/>
            <w:gridSpan w:val="2"/>
            <w:tcBorders>
              <w:top w:val="nil"/>
              <w:left w:val="nil"/>
              <w:bottom w:val="single" w:sz="12" w:space="0" w:color="auto"/>
              <w:right w:val="nil"/>
            </w:tcBorders>
          </w:tcPr>
          <w:p w14:paraId="0B7BE65C" w14:textId="77777777" w:rsidR="00B47442" w:rsidRPr="0009445C" w:rsidRDefault="00B47442" w:rsidP="0099521D">
            <w:pPr>
              <w:keepNext/>
              <w:keepLines/>
              <w:spacing w:line="230" w:lineRule="atLeast"/>
              <w:rPr>
                <w:rFonts w:eastAsia="MS Mincho" w:cs="Arial"/>
                <w:kern w:val="28"/>
                <w:szCs w:val="18"/>
                <w:lang w:eastAsia="ja-JP"/>
              </w:rPr>
            </w:pPr>
          </w:p>
        </w:tc>
        <w:tc>
          <w:tcPr>
            <w:tcW w:w="674" w:type="dxa"/>
            <w:gridSpan w:val="3"/>
            <w:tcBorders>
              <w:top w:val="nil"/>
              <w:left w:val="nil"/>
              <w:bottom w:val="single" w:sz="12" w:space="0" w:color="auto"/>
              <w:right w:val="nil"/>
            </w:tcBorders>
            <w:vAlign w:val="center"/>
          </w:tcPr>
          <w:p w14:paraId="2B40FE03"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tcBorders>
              <w:top w:val="nil"/>
              <w:left w:val="nil"/>
              <w:bottom w:val="single" w:sz="12" w:space="0" w:color="auto"/>
              <w:right w:val="single" w:sz="12" w:space="0" w:color="auto"/>
            </w:tcBorders>
            <w:vAlign w:val="center"/>
          </w:tcPr>
          <w:p w14:paraId="775D8178"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single" w:sz="12" w:space="0" w:color="auto"/>
              <w:bottom w:val="nil"/>
              <w:right w:val="nil"/>
            </w:tcBorders>
            <w:vAlign w:val="center"/>
          </w:tcPr>
          <w:p w14:paraId="593CC444"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nil"/>
              <w:right w:val="single" w:sz="12" w:space="0" w:color="auto"/>
            </w:tcBorders>
            <w:vAlign w:val="center"/>
          </w:tcPr>
          <w:p w14:paraId="0B423F4C"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single" w:sz="12" w:space="0" w:color="auto"/>
              <w:bottom w:val="nil"/>
              <w:right w:val="nil"/>
            </w:tcBorders>
            <w:vAlign w:val="center"/>
          </w:tcPr>
          <w:p w14:paraId="0782EAE1"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447969EB"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00E12E59"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59BBB4DE"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11168CC2"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nil"/>
              <w:right w:val="single" w:sz="12" w:space="0" w:color="auto"/>
            </w:tcBorders>
            <w:vAlign w:val="center"/>
          </w:tcPr>
          <w:p w14:paraId="2922A0D5"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single" w:sz="12" w:space="0" w:color="auto"/>
              <w:bottom w:val="nil"/>
              <w:right w:val="nil"/>
            </w:tcBorders>
            <w:vAlign w:val="center"/>
          </w:tcPr>
          <w:p w14:paraId="3080C141"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nil"/>
              <w:right w:val="single" w:sz="12" w:space="0" w:color="auto"/>
            </w:tcBorders>
            <w:vAlign w:val="center"/>
          </w:tcPr>
          <w:p w14:paraId="5682A517"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6D045252"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2A6E67AE" w14:textId="77777777" w:rsidTr="0099521D">
        <w:trPr>
          <w:cantSplit/>
        </w:trPr>
        <w:tc>
          <w:tcPr>
            <w:tcW w:w="2410" w:type="dxa"/>
            <w:vMerge/>
            <w:tcBorders>
              <w:top w:val="nil"/>
              <w:left w:val="nil"/>
              <w:bottom w:val="nil"/>
              <w:right w:val="nil"/>
            </w:tcBorders>
            <w:vAlign w:val="center"/>
          </w:tcPr>
          <w:p w14:paraId="2B35284D" w14:textId="77777777" w:rsidR="00B47442" w:rsidRPr="0009445C" w:rsidRDefault="00B47442" w:rsidP="0099521D">
            <w:pPr>
              <w:keepNext/>
              <w:keepLines/>
              <w:spacing w:line="230" w:lineRule="atLeast"/>
              <w:ind w:right="-113"/>
              <w:rPr>
                <w:rFonts w:eastAsia="MS Mincho" w:cs="Arial"/>
                <w:kern w:val="28"/>
                <w:lang w:eastAsia="ja-JP"/>
              </w:rPr>
            </w:pPr>
          </w:p>
        </w:tc>
        <w:tc>
          <w:tcPr>
            <w:tcW w:w="1559" w:type="dxa"/>
            <w:gridSpan w:val="4"/>
            <w:tcBorders>
              <w:top w:val="single" w:sz="12" w:space="0" w:color="auto"/>
              <w:left w:val="nil"/>
              <w:bottom w:val="nil"/>
              <w:right w:val="nil"/>
            </w:tcBorders>
            <w:vAlign w:val="center"/>
          </w:tcPr>
          <w:p w14:paraId="3157D6C2" w14:textId="77777777" w:rsidR="00B47442" w:rsidRPr="0009445C" w:rsidRDefault="00B47442" w:rsidP="0099521D">
            <w:pPr>
              <w:keepNext/>
              <w:keepLines/>
              <w:spacing w:line="230" w:lineRule="atLeast"/>
              <w:ind w:right="-113"/>
              <w:rPr>
                <w:rFonts w:eastAsia="MS Mincho" w:cs="Arial"/>
                <w:kern w:val="28"/>
                <w:lang w:eastAsia="ja-JP"/>
              </w:rPr>
            </w:pPr>
          </w:p>
        </w:tc>
        <w:tc>
          <w:tcPr>
            <w:tcW w:w="160" w:type="dxa"/>
            <w:gridSpan w:val="2"/>
            <w:tcBorders>
              <w:top w:val="nil"/>
              <w:left w:val="nil"/>
              <w:bottom w:val="nil"/>
              <w:right w:val="nil"/>
            </w:tcBorders>
          </w:tcPr>
          <w:p w14:paraId="11D6A094" w14:textId="77777777" w:rsidR="00B47442" w:rsidRPr="0009445C" w:rsidRDefault="00B47442" w:rsidP="0099521D">
            <w:pPr>
              <w:keepNext/>
              <w:keepLines/>
              <w:spacing w:line="230" w:lineRule="atLeast"/>
              <w:rPr>
                <w:rFonts w:eastAsia="MS Mincho" w:cs="Arial"/>
                <w:kern w:val="28"/>
                <w:lang w:eastAsia="ja-JP"/>
              </w:rPr>
            </w:pPr>
          </w:p>
        </w:tc>
        <w:tc>
          <w:tcPr>
            <w:tcW w:w="674" w:type="dxa"/>
            <w:gridSpan w:val="3"/>
            <w:tcBorders>
              <w:top w:val="single" w:sz="12" w:space="0" w:color="auto"/>
              <w:left w:val="nil"/>
              <w:bottom w:val="nil"/>
              <w:right w:val="nil"/>
            </w:tcBorders>
            <w:vAlign w:val="center"/>
          </w:tcPr>
          <w:p w14:paraId="71DB07E8"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single" w:sz="12" w:space="0" w:color="auto"/>
              <w:left w:val="nil"/>
              <w:bottom w:val="nil"/>
              <w:right w:val="nil"/>
            </w:tcBorders>
            <w:vAlign w:val="center"/>
          </w:tcPr>
          <w:p w14:paraId="7ACB4DAF"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nil"/>
              <w:left w:val="nil"/>
              <w:bottom w:val="nil"/>
              <w:right w:val="nil"/>
            </w:tcBorders>
            <w:vAlign w:val="center"/>
          </w:tcPr>
          <w:p w14:paraId="64701CE5"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nil"/>
              <w:left w:val="nil"/>
              <w:bottom w:val="nil"/>
              <w:right w:val="single" w:sz="12" w:space="0" w:color="auto"/>
            </w:tcBorders>
            <w:vAlign w:val="center"/>
          </w:tcPr>
          <w:p w14:paraId="3C1173CE"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nil"/>
              <w:left w:val="single" w:sz="12" w:space="0" w:color="auto"/>
              <w:bottom w:val="nil"/>
              <w:right w:val="nil"/>
            </w:tcBorders>
            <w:vAlign w:val="center"/>
          </w:tcPr>
          <w:p w14:paraId="04946DEC"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4D49A02B"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1C927C9F"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3AC3A1ED"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7E27C37B"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nil"/>
              <w:left w:val="nil"/>
              <w:bottom w:val="nil"/>
              <w:right w:val="single" w:sz="12" w:space="0" w:color="auto"/>
            </w:tcBorders>
            <w:vAlign w:val="center"/>
          </w:tcPr>
          <w:p w14:paraId="56834356"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single" w:sz="12" w:space="0" w:color="auto"/>
              <w:bottom w:val="nil"/>
              <w:right w:val="nil"/>
            </w:tcBorders>
            <w:vAlign w:val="center"/>
          </w:tcPr>
          <w:p w14:paraId="04BB2B9D"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1B84D2B2"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5193B408"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57E5A667" w14:textId="77777777" w:rsidTr="0099521D">
        <w:trPr>
          <w:cantSplit/>
        </w:trPr>
        <w:tc>
          <w:tcPr>
            <w:tcW w:w="3544" w:type="dxa"/>
            <w:gridSpan w:val="3"/>
            <w:vMerge w:val="restart"/>
            <w:tcBorders>
              <w:top w:val="nil"/>
              <w:left w:val="nil"/>
              <w:bottom w:val="nil"/>
              <w:right w:val="nil"/>
            </w:tcBorders>
            <w:vAlign w:val="center"/>
          </w:tcPr>
          <w:p w14:paraId="688C50B4" w14:textId="77777777" w:rsidR="00B47442" w:rsidRPr="0009445C" w:rsidRDefault="00B47442" w:rsidP="0099521D">
            <w:pPr>
              <w:keepNext/>
              <w:keepLines/>
              <w:spacing w:line="230" w:lineRule="atLeast"/>
              <w:ind w:right="-113"/>
              <w:rPr>
                <w:rFonts w:eastAsia="MS Mincho" w:cs="Arial"/>
                <w:kern w:val="28"/>
                <w:szCs w:val="18"/>
              </w:rPr>
            </w:pPr>
            <w:r w:rsidRPr="0009445C">
              <w:t xml:space="preserve">Gas seal class/pressure class </w:t>
            </w:r>
          </w:p>
        </w:tc>
        <w:tc>
          <w:tcPr>
            <w:tcW w:w="425" w:type="dxa"/>
            <w:gridSpan w:val="2"/>
            <w:tcBorders>
              <w:top w:val="nil"/>
              <w:left w:val="nil"/>
              <w:bottom w:val="single" w:sz="12" w:space="0" w:color="auto"/>
              <w:right w:val="nil"/>
            </w:tcBorders>
            <w:vAlign w:val="center"/>
          </w:tcPr>
          <w:p w14:paraId="6A010911" w14:textId="77777777" w:rsidR="00B47442" w:rsidRPr="0009445C" w:rsidRDefault="00B47442" w:rsidP="0099521D">
            <w:pPr>
              <w:keepNext/>
              <w:keepLines/>
              <w:spacing w:line="230" w:lineRule="atLeast"/>
              <w:ind w:right="-113"/>
              <w:rPr>
                <w:rFonts w:eastAsia="MS Mincho" w:cs="Arial"/>
                <w:kern w:val="28"/>
                <w:szCs w:val="18"/>
                <w:lang w:eastAsia="ja-JP"/>
              </w:rPr>
            </w:pPr>
          </w:p>
        </w:tc>
        <w:tc>
          <w:tcPr>
            <w:tcW w:w="160" w:type="dxa"/>
            <w:gridSpan w:val="2"/>
            <w:tcBorders>
              <w:top w:val="nil"/>
              <w:left w:val="nil"/>
              <w:bottom w:val="single" w:sz="12" w:space="0" w:color="auto"/>
              <w:right w:val="nil"/>
            </w:tcBorders>
          </w:tcPr>
          <w:p w14:paraId="44C5BECC" w14:textId="77777777" w:rsidR="00B47442" w:rsidRPr="0009445C" w:rsidRDefault="00B47442" w:rsidP="0099521D">
            <w:pPr>
              <w:keepNext/>
              <w:keepLines/>
              <w:spacing w:line="230" w:lineRule="atLeast"/>
              <w:rPr>
                <w:rFonts w:eastAsia="MS Mincho" w:cs="Arial"/>
                <w:kern w:val="28"/>
                <w:szCs w:val="18"/>
                <w:lang w:eastAsia="ja-JP"/>
              </w:rPr>
            </w:pPr>
          </w:p>
        </w:tc>
        <w:tc>
          <w:tcPr>
            <w:tcW w:w="674" w:type="dxa"/>
            <w:gridSpan w:val="3"/>
            <w:tcBorders>
              <w:top w:val="nil"/>
              <w:left w:val="nil"/>
              <w:bottom w:val="single" w:sz="12" w:space="0" w:color="auto"/>
              <w:right w:val="nil"/>
            </w:tcBorders>
            <w:vAlign w:val="center"/>
          </w:tcPr>
          <w:p w14:paraId="713567FB"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tcBorders>
              <w:top w:val="nil"/>
              <w:left w:val="nil"/>
              <w:bottom w:val="single" w:sz="12" w:space="0" w:color="auto"/>
              <w:right w:val="nil"/>
            </w:tcBorders>
            <w:vAlign w:val="center"/>
          </w:tcPr>
          <w:p w14:paraId="28E2FA27"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nil"/>
              <w:bottom w:val="single" w:sz="12" w:space="0" w:color="auto"/>
              <w:right w:val="nil"/>
            </w:tcBorders>
            <w:vAlign w:val="center"/>
          </w:tcPr>
          <w:p w14:paraId="26A36849"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single" w:sz="12" w:space="0" w:color="auto"/>
              <w:right w:val="single" w:sz="12" w:space="0" w:color="auto"/>
            </w:tcBorders>
            <w:vAlign w:val="center"/>
          </w:tcPr>
          <w:p w14:paraId="65E4823F"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single" w:sz="12" w:space="0" w:color="auto"/>
              <w:bottom w:val="nil"/>
              <w:right w:val="nil"/>
            </w:tcBorders>
            <w:vAlign w:val="center"/>
          </w:tcPr>
          <w:p w14:paraId="0A65A0E7"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77DA749D"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12B89BCE"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4F3DEF8C"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161BB32A"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nil"/>
              <w:right w:val="single" w:sz="12" w:space="0" w:color="auto"/>
            </w:tcBorders>
            <w:vAlign w:val="center"/>
          </w:tcPr>
          <w:p w14:paraId="3FB51BEA"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single" w:sz="12" w:space="0" w:color="auto"/>
              <w:bottom w:val="nil"/>
              <w:right w:val="nil"/>
            </w:tcBorders>
            <w:vAlign w:val="center"/>
          </w:tcPr>
          <w:p w14:paraId="21FCA8B1"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nil"/>
              <w:right w:val="single" w:sz="12" w:space="0" w:color="auto"/>
            </w:tcBorders>
            <w:vAlign w:val="center"/>
          </w:tcPr>
          <w:p w14:paraId="74E0491E"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5B61F44A"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16EA7AA5" w14:textId="77777777" w:rsidTr="0099521D">
        <w:trPr>
          <w:cantSplit/>
        </w:trPr>
        <w:tc>
          <w:tcPr>
            <w:tcW w:w="3544" w:type="dxa"/>
            <w:gridSpan w:val="3"/>
            <w:vMerge/>
            <w:tcBorders>
              <w:top w:val="nil"/>
              <w:left w:val="nil"/>
              <w:bottom w:val="nil"/>
              <w:right w:val="nil"/>
            </w:tcBorders>
            <w:vAlign w:val="center"/>
          </w:tcPr>
          <w:p w14:paraId="202DB05C" w14:textId="77777777" w:rsidR="00B47442" w:rsidRPr="0009445C" w:rsidRDefault="00B47442" w:rsidP="0099521D">
            <w:pPr>
              <w:keepNext/>
              <w:keepLines/>
              <w:spacing w:line="230" w:lineRule="atLeast"/>
              <w:ind w:right="-113"/>
              <w:rPr>
                <w:rFonts w:eastAsia="MS Mincho" w:cs="Arial"/>
                <w:kern w:val="28"/>
                <w:lang w:eastAsia="ja-JP"/>
              </w:rPr>
            </w:pPr>
          </w:p>
        </w:tc>
        <w:tc>
          <w:tcPr>
            <w:tcW w:w="425" w:type="dxa"/>
            <w:gridSpan w:val="2"/>
            <w:tcBorders>
              <w:top w:val="single" w:sz="12" w:space="0" w:color="auto"/>
              <w:left w:val="nil"/>
              <w:bottom w:val="nil"/>
              <w:right w:val="nil"/>
            </w:tcBorders>
            <w:vAlign w:val="center"/>
          </w:tcPr>
          <w:p w14:paraId="13D38554" w14:textId="77777777" w:rsidR="00B47442" w:rsidRPr="0009445C" w:rsidRDefault="00B47442" w:rsidP="0099521D">
            <w:pPr>
              <w:keepNext/>
              <w:keepLines/>
              <w:spacing w:line="230" w:lineRule="atLeast"/>
              <w:ind w:right="-113"/>
              <w:rPr>
                <w:rFonts w:eastAsia="MS Mincho" w:cs="Arial"/>
                <w:kern w:val="28"/>
                <w:lang w:eastAsia="ja-JP"/>
              </w:rPr>
            </w:pPr>
          </w:p>
        </w:tc>
        <w:tc>
          <w:tcPr>
            <w:tcW w:w="160" w:type="dxa"/>
            <w:gridSpan w:val="2"/>
            <w:tcBorders>
              <w:top w:val="nil"/>
              <w:left w:val="nil"/>
              <w:bottom w:val="nil"/>
              <w:right w:val="nil"/>
            </w:tcBorders>
          </w:tcPr>
          <w:p w14:paraId="34AE9B11" w14:textId="77777777" w:rsidR="00B47442" w:rsidRPr="0009445C" w:rsidRDefault="00B47442" w:rsidP="0099521D">
            <w:pPr>
              <w:keepNext/>
              <w:keepLines/>
              <w:spacing w:line="230" w:lineRule="atLeast"/>
              <w:rPr>
                <w:rFonts w:eastAsia="MS Mincho" w:cs="Arial"/>
                <w:kern w:val="28"/>
                <w:lang w:eastAsia="ja-JP"/>
              </w:rPr>
            </w:pPr>
          </w:p>
        </w:tc>
        <w:tc>
          <w:tcPr>
            <w:tcW w:w="674" w:type="dxa"/>
            <w:gridSpan w:val="3"/>
            <w:tcBorders>
              <w:top w:val="single" w:sz="12" w:space="0" w:color="auto"/>
              <w:left w:val="nil"/>
              <w:bottom w:val="nil"/>
              <w:right w:val="nil"/>
            </w:tcBorders>
            <w:vAlign w:val="center"/>
          </w:tcPr>
          <w:p w14:paraId="297FB3D1"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single" w:sz="12" w:space="0" w:color="auto"/>
              <w:left w:val="nil"/>
              <w:bottom w:val="nil"/>
              <w:right w:val="nil"/>
            </w:tcBorders>
            <w:vAlign w:val="center"/>
          </w:tcPr>
          <w:p w14:paraId="23222E32"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single" w:sz="12" w:space="0" w:color="auto"/>
              <w:left w:val="nil"/>
              <w:bottom w:val="nil"/>
              <w:right w:val="nil"/>
            </w:tcBorders>
            <w:vAlign w:val="center"/>
          </w:tcPr>
          <w:p w14:paraId="715302C3"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single" w:sz="12" w:space="0" w:color="auto"/>
              <w:left w:val="nil"/>
              <w:bottom w:val="nil"/>
              <w:right w:val="nil"/>
            </w:tcBorders>
            <w:vAlign w:val="center"/>
          </w:tcPr>
          <w:p w14:paraId="189DE170"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nil"/>
              <w:left w:val="nil"/>
              <w:bottom w:val="nil"/>
              <w:right w:val="nil"/>
            </w:tcBorders>
            <w:vAlign w:val="center"/>
          </w:tcPr>
          <w:p w14:paraId="7BDE3D0E"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17D94B35"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0626F352"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1F5133B5"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093972F6"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nil"/>
              <w:left w:val="nil"/>
              <w:bottom w:val="nil"/>
              <w:right w:val="single" w:sz="12" w:space="0" w:color="auto"/>
            </w:tcBorders>
            <w:vAlign w:val="center"/>
          </w:tcPr>
          <w:p w14:paraId="7BFBF06D"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single" w:sz="12" w:space="0" w:color="auto"/>
              <w:bottom w:val="nil"/>
              <w:right w:val="nil"/>
            </w:tcBorders>
            <w:vAlign w:val="center"/>
          </w:tcPr>
          <w:p w14:paraId="0B43741F"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35CA79BE"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33AD3582"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0B39C06E" w14:textId="77777777" w:rsidTr="0099521D">
        <w:trPr>
          <w:cantSplit/>
        </w:trPr>
        <w:tc>
          <w:tcPr>
            <w:tcW w:w="3969" w:type="dxa"/>
            <w:gridSpan w:val="5"/>
            <w:vMerge w:val="restart"/>
            <w:tcBorders>
              <w:top w:val="nil"/>
              <w:left w:val="nil"/>
              <w:bottom w:val="nil"/>
              <w:right w:val="nil"/>
            </w:tcBorders>
            <w:vAlign w:val="center"/>
          </w:tcPr>
          <w:p w14:paraId="3C6FCB2E" w14:textId="77777777" w:rsidR="00B47442" w:rsidRPr="0009445C" w:rsidRDefault="00B47442" w:rsidP="0099521D">
            <w:pPr>
              <w:keepNext/>
              <w:keepLines/>
              <w:spacing w:line="230" w:lineRule="atLeast"/>
              <w:ind w:right="-113"/>
              <w:rPr>
                <w:rFonts w:eastAsia="MS Mincho" w:cs="Arial"/>
                <w:kern w:val="28"/>
                <w:szCs w:val="18"/>
              </w:rPr>
            </w:pPr>
            <w:r w:rsidRPr="0009445C">
              <w:t xml:space="preserve">Condensate resistance class </w:t>
            </w:r>
          </w:p>
        </w:tc>
        <w:tc>
          <w:tcPr>
            <w:tcW w:w="160" w:type="dxa"/>
            <w:gridSpan w:val="2"/>
            <w:tcBorders>
              <w:top w:val="nil"/>
              <w:left w:val="nil"/>
              <w:bottom w:val="single" w:sz="12" w:space="0" w:color="auto"/>
              <w:right w:val="nil"/>
            </w:tcBorders>
          </w:tcPr>
          <w:p w14:paraId="27D2893E" w14:textId="77777777" w:rsidR="00B47442" w:rsidRPr="0009445C" w:rsidRDefault="00B47442" w:rsidP="0099521D">
            <w:pPr>
              <w:keepNext/>
              <w:keepLines/>
              <w:spacing w:line="230" w:lineRule="atLeast"/>
              <w:rPr>
                <w:rFonts w:eastAsia="MS Mincho" w:cs="Arial"/>
                <w:kern w:val="28"/>
                <w:szCs w:val="18"/>
                <w:lang w:eastAsia="ja-JP"/>
              </w:rPr>
            </w:pPr>
          </w:p>
        </w:tc>
        <w:tc>
          <w:tcPr>
            <w:tcW w:w="674" w:type="dxa"/>
            <w:gridSpan w:val="3"/>
            <w:tcBorders>
              <w:top w:val="nil"/>
              <w:left w:val="nil"/>
              <w:bottom w:val="single" w:sz="12" w:space="0" w:color="auto"/>
              <w:right w:val="nil"/>
            </w:tcBorders>
            <w:vAlign w:val="center"/>
          </w:tcPr>
          <w:p w14:paraId="52E7C7B8"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tcBorders>
              <w:top w:val="nil"/>
              <w:left w:val="nil"/>
              <w:bottom w:val="single" w:sz="12" w:space="0" w:color="auto"/>
              <w:right w:val="nil"/>
            </w:tcBorders>
            <w:vAlign w:val="center"/>
          </w:tcPr>
          <w:p w14:paraId="20E5C087"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nil"/>
              <w:bottom w:val="single" w:sz="12" w:space="0" w:color="auto"/>
              <w:right w:val="nil"/>
            </w:tcBorders>
            <w:vAlign w:val="center"/>
          </w:tcPr>
          <w:p w14:paraId="2917B6FD"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single" w:sz="12" w:space="0" w:color="auto"/>
              <w:right w:val="nil"/>
            </w:tcBorders>
            <w:vAlign w:val="center"/>
          </w:tcPr>
          <w:p w14:paraId="0DD3C761"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nil"/>
              <w:bottom w:val="single" w:sz="12" w:space="0" w:color="auto"/>
              <w:right w:val="nil"/>
            </w:tcBorders>
            <w:vAlign w:val="center"/>
          </w:tcPr>
          <w:p w14:paraId="109481F3"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single" w:sz="12" w:space="0" w:color="auto"/>
            </w:tcBorders>
            <w:vAlign w:val="center"/>
          </w:tcPr>
          <w:p w14:paraId="2C49F31D"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2C005CFA"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nil"/>
              <w:right w:val="single" w:sz="12" w:space="0" w:color="auto"/>
            </w:tcBorders>
            <w:vAlign w:val="center"/>
          </w:tcPr>
          <w:p w14:paraId="24FBBA90"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6830F4AF"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nil"/>
              <w:right w:val="single" w:sz="12" w:space="0" w:color="auto"/>
            </w:tcBorders>
            <w:vAlign w:val="center"/>
          </w:tcPr>
          <w:p w14:paraId="3927DDA1"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single" w:sz="12" w:space="0" w:color="auto"/>
              <w:bottom w:val="nil"/>
              <w:right w:val="nil"/>
            </w:tcBorders>
            <w:vAlign w:val="center"/>
          </w:tcPr>
          <w:p w14:paraId="496E2D39"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nil"/>
              <w:right w:val="single" w:sz="12" w:space="0" w:color="auto"/>
            </w:tcBorders>
            <w:vAlign w:val="center"/>
          </w:tcPr>
          <w:p w14:paraId="22C9C557"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31A46815"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54666AA0" w14:textId="77777777" w:rsidTr="0099521D">
        <w:trPr>
          <w:cantSplit/>
        </w:trPr>
        <w:tc>
          <w:tcPr>
            <w:tcW w:w="3969" w:type="dxa"/>
            <w:gridSpan w:val="5"/>
            <w:vMerge/>
            <w:tcBorders>
              <w:top w:val="nil"/>
              <w:left w:val="nil"/>
              <w:bottom w:val="nil"/>
              <w:right w:val="nil"/>
            </w:tcBorders>
            <w:vAlign w:val="center"/>
          </w:tcPr>
          <w:p w14:paraId="4197E46C" w14:textId="77777777" w:rsidR="00B47442" w:rsidRPr="0009445C" w:rsidRDefault="00B47442" w:rsidP="0099521D">
            <w:pPr>
              <w:keepNext/>
              <w:keepLines/>
              <w:spacing w:line="230" w:lineRule="atLeast"/>
              <w:ind w:right="-113"/>
              <w:rPr>
                <w:rFonts w:eastAsia="MS Mincho" w:cs="Arial"/>
                <w:kern w:val="28"/>
                <w:lang w:eastAsia="ja-JP"/>
              </w:rPr>
            </w:pPr>
          </w:p>
        </w:tc>
        <w:tc>
          <w:tcPr>
            <w:tcW w:w="160" w:type="dxa"/>
            <w:gridSpan w:val="2"/>
            <w:tcBorders>
              <w:top w:val="single" w:sz="12" w:space="0" w:color="auto"/>
              <w:left w:val="nil"/>
              <w:bottom w:val="nil"/>
              <w:right w:val="nil"/>
            </w:tcBorders>
          </w:tcPr>
          <w:p w14:paraId="7B22E05E" w14:textId="77777777" w:rsidR="00B47442" w:rsidRPr="0009445C" w:rsidRDefault="00B47442" w:rsidP="0099521D">
            <w:pPr>
              <w:keepNext/>
              <w:keepLines/>
              <w:spacing w:line="230" w:lineRule="atLeast"/>
              <w:rPr>
                <w:rFonts w:eastAsia="MS Mincho" w:cs="Arial"/>
                <w:kern w:val="28"/>
                <w:lang w:eastAsia="ja-JP"/>
              </w:rPr>
            </w:pPr>
          </w:p>
        </w:tc>
        <w:tc>
          <w:tcPr>
            <w:tcW w:w="674" w:type="dxa"/>
            <w:gridSpan w:val="3"/>
            <w:tcBorders>
              <w:top w:val="single" w:sz="12" w:space="0" w:color="auto"/>
              <w:left w:val="nil"/>
              <w:bottom w:val="nil"/>
              <w:right w:val="nil"/>
            </w:tcBorders>
            <w:vAlign w:val="center"/>
          </w:tcPr>
          <w:p w14:paraId="04066DE3"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single" w:sz="12" w:space="0" w:color="auto"/>
              <w:left w:val="nil"/>
              <w:bottom w:val="nil"/>
              <w:right w:val="nil"/>
            </w:tcBorders>
            <w:vAlign w:val="center"/>
          </w:tcPr>
          <w:p w14:paraId="05B25B22"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single" w:sz="12" w:space="0" w:color="auto"/>
              <w:left w:val="nil"/>
              <w:bottom w:val="nil"/>
              <w:right w:val="nil"/>
            </w:tcBorders>
            <w:vAlign w:val="center"/>
          </w:tcPr>
          <w:p w14:paraId="265EEDA3"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single" w:sz="12" w:space="0" w:color="auto"/>
              <w:left w:val="nil"/>
              <w:bottom w:val="nil"/>
              <w:right w:val="nil"/>
            </w:tcBorders>
            <w:vAlign w:val="center"/>
          </w:tcPr>
          <w:p w14:paraId="22CF483B"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single" w:sz="12" w:space="0" w:color="auto"/>
              <w:left w:val="nil"/>
              <w:bottom w:val="nil"/>
              <w:right w:val="nil"/>
            </w:tcBorders>
            <w:vAlign w:val="center"/>
          </w:tcPr>
          <w:p w14:paraId="0512B3E3"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398BC4A3"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nil"/>
            </w:tcBorders>
            <w:vAlign w:val="center"/>
          </w:tcPr>
          <w:p w14:paraId="42036B65"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single" w:sz="12" w:space="0" w:color="auto"/>
            </w:tcBorders>
            <w:vAlign w:val="center"/>
          </w:tcPr>
          <w:p w14:paraId="183BD4CA"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single" w:sz="12" w:space="0" w:color="auto"/>
              <w:bottom w:val="nil"/>
              <w:right w:val="nil"/>
            </w:tcBorders>
            <w:vAlign w:val="center"/>
          </w:tcPr>
          <w:p w14:paraId="4A5F0DB8"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nil"/>
              <w:left w:val="nil"/>
              <w:bottom w:val="nil"/>
              <w:right w:val="single" w:sz="12" w:space="0" w:color="auto"/>
            </w:tcBorders>
            <w:vAlign w:val="center"/>
          </w:tcPr>
          <w:p w14:paraId="3B9E187F"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single" w:sz="12" w:space="0" w:color="auto"/>
              <w:bottom w:val="nil"/>
              <w:right w:val="nil"/>
            </w:tcBorders>
            <w:vAlign w:val="center"/>
          </w:tcPr>
          <w:p w14:paraId="3B1E9302"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1EFA8986"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0C7A8C56"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7CE7D703" w14:textId="77777777" w:rsidTr="0099521D">
        <w:trPr>
          <w:cantSplit/>
        </w:trPr>
        <w:tc>
          <w:tcPr>
            <w:tcW w:w="3828" w:type="dxa"/>
            <w:gridSpan w:val="4"/>
            <w:vMerge w:val="restart"/>
            <w:tcBorders>
              <w:top w:val="nil"/>
              <w:left w:val="nil"/>
              <w:bottom w:val="nil"/>
              <w:right w:val="nil"/>
            </w:tcBorders>
            <w:vAlign w:val="center"/>
          </w:tcPr>
          <w:p w14:paraId="78155C7B" w14:textId="77777777" w:rsidR="00B47442" w:rsidRPr="0009445C" w:rsidRDefault="00B47442" w:rsidP="0099521D">
            <w:pPr>
              <w:keepNext/>
              <w:keepLines/>
              <w:spacing w:line="230" w:lineRule="atLeast"/>
              <w:ind w:right="-113"/>
              <w:rPr>
                <w:rFonts w:eastAsia="MS Mincho" w:cs="Arial"/>
                <w:kern w:val="28"/>
                <w:szCs w:val="18"/>
              </w:rPr>
            </w:pPr>
            <w:r w:rsidRPr="0009445C">
              <w:t xml:space="preserve">Corrosion resistance class </w:t>
            </w:r>
          </w:p>
        </w:tc>
        <w:tc>
          <w:tcPr>
            <w:tcW w:w="236" w:type="dxa"/>
            <w:gridSpan w:val="2"/>
            <w:tcBorders>
              <w:top w:val="nil"/>
              <w:left w:val="nil"/>
              <w:bottom w:val="single" w:sz="12" w:space="0" w:color="auto"/>
              <w:right w:val="nil"/>
            </w:tcBorders>
            <w:vAlign w:val="center"/>
          </w:tcPr>
          <w:p w14:paraId="6689CB26" w14:textId="77777777" w:rsidR="00B47442" w:rsidRPr="0009445C" w:rsidRDefault="00B47442" w:rsidP="0099521D">
            <w:pPr>
              <w:keepNext/>
              <w:keepLines/>
              <w:spacing w:line="230" w:lineRule="atLeast"/>
              <w:ind w:right="-113"/>
              <w:rPr>
                <w:rFonts w:eastAsia="MS Mincho" w:cs="Arial"/>
                <w:kern w:val="28"/>
                <w:szCs w:val="18"/>
                <w:lang w:eastAsia="ja-JP"/>
              </w:rPr>
            </w:pPr>
          </w:p>
        </w:tc>
        <w:tc>
          <w:tcPr>
            <w:tcW w:w="160" w:type="dxa"/>
            <w:gridSpan w:val="2"/>
            <w:tcBorders>
              <w:top w:val="nil"/>
              <w:left w:val="nil"/>
              <w:bottom w:val="single" w:sz="12" w:space="0" w:color="auto"/>
              <w:right w:val="nil"/>
            </w:tcBorders>
          </w:tcPr>
          <w:p w14:paraId="4F43635F" w14:textId="77777777" w:rsidR="00B47442" w:rsidRPr="0009445C" w:rsidRDefault="00B47442" w:rsidP="0099521D">
            <w:pPr>
              <w:keepNext/>
              <w:keepLines/>
              <w:spacing w:line="230" w:lineRule="atLeast"/>
              <w:rPr>
                <w:rFonts w:eastAsia="MS Mincho" w:cs="Arial"/>
                <w:kern w:val="28"/>
                <w:szCs w:val="18"/>
                <w:lang w:eastAsia="ja-JP"/>
              </w:rPr>
            </w:pPr>
          </w:p>
        </w:tc>
        <w:tc>
          <w:tcPr>
            <w:tcW w:w="579" w:type="dxa"/>
            <w:gridSpan w:val="2"/>
            <w:tcBorders>
              <w:top w:val="nil"/>
              <w:left w:val="nil"/>
              <w:bottom w:val="single" w:sz="12" w:space="0" w:color="auto"/>
              <w:right w:val="nil"/>
            </w:tcBorders>
            <w:vAlign w:val="center"/>
          </w:tcPr>
          <w:p w14:paraId="674802EF"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tcBorders>
              <w:top w:val="nil"/>
              <w:left w:val="nil"/>
              <w:bottom w:val="single" w:sz="12" w:space="0" w:color="auto"/>
              <w:right w:val="nil"/>
            </w:tcBorders>
            <w:vAlign w:val="center"/>
          </w:tcPr>
          <w:p w14:paraId="50A57958"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nil"/>
              <w:bottom w:val="single" w:sz="12" w:space="0" w:color="auto"/>
              <w:right w:val="nil"/>
            </w:tcBorders>
            <w:vAlign w:val="center"/>
          </w:tcPr>
          <w:p w14:paraId="772CFBBC"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single" w:sz="12" w:space="0" w:color="auto"/>
              <w:right w:val="nil"/>
            </w:tcBorders>
            <w:vAlign w:val="center"/>
          </w:tcPr>
          <w:p w14:paraId="13C2422D"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nil"/>
              <w:bottom w:val="single" w:sz="12" w:space="0" w:color="auto"/>
              <w:right w:val="nil"/>
            </w:tcBorders>
            <w:vAlign w:val="center"/>
          </w:tcPr>
          <w:p w14:paraId="1E717AF6"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0286F534"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0E798A76"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single" w:sz="12" w:space="0" w:color="auto"/>
            </w:tcBorders>
            <w:vAlign w:val="center"/>
          </w:tcPr>
          <w:p w14:paraId="67C177AE"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single" w:sz="12" w:space="0" w:color="auto"/>
              <w:bottom w:val="nil"/>
              <w:right w:val="nil"/>
            </w:tcBorders>
            <w:vAlign w:val="center"/>
          </w:tcPr>
          <w:p w14:paraId="04194281"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nil"/>
              <w:right w:val="single" w:sz="12" w:space="0" w:color="auto"/>
            </w:tcBorders>
            <w:vAlign w:val="center"/>
          </w:tcPr>
          <w:p w14:paraId="5818FEBE"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single" w:sz="12" w:space="0" w:color="auto"/>
              <w:bottom w:val="nil"/>
              <w:right w:val="nil"/>
            </w:tcBorders>
            <w:vAlign w:val="center"/>
          </w:tcPr>
          <w:p w14:paraId="51F19B7C"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nil"/>
              <w:right w:val="single" w:sz="12" w:space="0" w:color="auto"/>
            </w:tcBorders>
            <w:vAlign w:val="center"/>
          </w:tcPr>
          <w:p w14:paraId="3CE6C36E"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7BE43590"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295C91DF" w14:textId="77777777" w:rsidTr="0099521D">
        <w:trPr>
          <w:cantSplit/>
        </w:trPr>
        <w:tc>
          <w:tcPr>
            <w:tcW w:w="3828" w:type="dxa"/>
            <w:gridSpan w:val="4"/>
            <w:vMerge/>
            <w:tcBorders>
              <w:top w:val="nil"/>
              <w:left w:val="nil"/>
              <w:bottom w:val="nil"/>
              <w:right w:val="nil"/>
            </w:tcBorders>
            <w:vAlign w:val="center"/>
          </w:tcPr>
          <w:p w14:paraId="6530781D" w14:textId="77777777" w:rsidR="00B47442" w:rsidRPr="0009445C" w:rsidRDefault="00B47442" w:rsidP="0099521D">
            <w:pPr>
              <w:keepNext/>
              <w:keepLines/>
              <w:spacing w:line="230" w:lineRule="atLeast"/>
              <w:ind w:right="-113"/>
              <w:rPr>
                <w:rFonts w:eastAsia="MS Mincho" w:cs="Arial"/>
                <w:kern w:val="28"/>
                <w:lang w:eastAsia="ja-JP"/>
              </w:rPr>
            </w:pPr>
          </w:p>
        </w:tc>
        <w:tc>
          <w:tcPr>
            <w:tcW w:w="236" w:type="dxa"/>
            <w:gridSpan w:val="2"/>
            <w:tcBorders>
              <w:left w:val="nil"/>
              <w:bottom w:val="nil"/>
              <w:right w:val="nil"/>
            </w:tcBorders>
            <w:vAlign w:val="center"/>
          </w:tcPr>
          <w:p w14:paraId="0F7CCB47" w14:textId="77777777" w:rsidR="00B47442" w:rsidRPr="0009445C" w:rsidRDefault="00B47442" w:rsidP="0099521D">
            <w:pPr>
              <w:keepNext/>
              <w:keepLines/>
              <w:spacing w:line="230" w:lineRule="atLeast"/>
              <w:ind w:right="-113"/>
              <w:rPr>
                <w:rFonts w:eastAsia="MS Mincho" w:cs="Arial"/>
                <w:kern w:val="28"/>
                <w:lang w:eastAsia="ja-JP"/>
              </w:rPr>
            </w:pPr>
          </w:p>
        </w:tc>
        <w:tc>
          <w:tcPr>
            <w:tcW w:w="160" w:type="dxa"/>
            <w:gridSpan w:val="2"/>
            <w:tcBorders>
              <w:top w:val="single" w:sz="12" w:space="0" w:color="auto"/>
              <w:left w:val="nil"/>
              <w:bottom w:val="nil"/>
              <w:right w:val="nil"/>
            </w:tcBorders>
          </w:tcPr>
          <w:p w14:paraId="418F14FF" w14:textId="77777777" w:rsidR="00B47442" w:rsidRPr="0009445C" w:rsidRDefault="00B47442" w:rsidP="0099521D">
            <w:pPr>
              <w:keepNext/>
              <w:keepLines/>
              <w:spacing w:line="230" w:lineRule="atLeast"/>
              <w:rPr>
                <w:rFonts w:eastAsia="MS Mincho" w:cs="Arial"/>
                <w:kern w:val="28"/>
                <w:lang w:eastAsia="ja-JP"/>
              </w:rPr>
            </w:pPr>
          </w:p>
        </w:tc>
        <w:tc>
          <w:tcPr>
            <w:tcW w:w="579" w:type="dxa"/>
            <w:gridSpan w:val="2"/>
            <w:tcBorders>
              <w:top w:val="single" w:sz="12" w:space="0" w:color="auto"/>
              <w:left w:val="nil"/>
              <w:bottom w:val="nil"/>
              <w:right w:val="nil"/>
            </w:tcBorders>
            <w:vAlign w:val="center"/>
          </w:tcPr>
          <w:p w14:paraId="292548F0"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single" w:sz="12" w:space="0" w:color="auto"/>
              <w:left w:val="nil"/>
              <w:bottom w:val="nil"/>
              <w:right w:val="nil"/>
            </w:tcBorders>
            <w:vAlign w:val="center"/>
          </w:tcPr>
          <w:p w14:paraId="166BF1E9"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single" w:sz="12" w:space="0" w:color="auto"/>
              <w:left w:val="nil"/>
              <w:bottom w:val="nil"/>
              <w:right w:val="nil"/>
            </w:tcBorders>
            <w:vAlign w:val="center"/>
          </w:tcPr>
          <w:p w14:paraId="462C3F80"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single" w:sz="12" w:space="0" w:color="auto"/>
              <w:left w:val="nil"/>
              <w:bottom w:val="nil"/>
              <w:right w:val="nil"/>
            </w:tcBorders>
            <w:vAlign w:val="center"/>
          </w:tcPr>
          <w:p w14:paraId="2A8CF2C2"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single" w:sz="12" w:space="0" w:color="auto"/>
              <w:left w:val="nil"/>
              <w:bottom w:val="nil"/>
              <w:right w:val="nil"/>
            </w:tcBorders>
            <w:vAlign w:val="center"/>
          </w:tcPr>
          <w:p w14:paraId="7C49CD78"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365C825C"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1601D060"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5EA3BB41"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nil"/>
              <w:left w:val="nil"/>
              <w:bottom w:val="nil"/>
              <w:right w:val="nil"/>
            </w:tcBorders>
            <w:vAlign w:val="center"/>
          </w:tcPr>
          <w:p w14:paraId="4A539849"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nil"/>
              <w:left w:val="nil"/>
              <w:bottom w:val="nil"/>
              <w:right w:val="single" w:sz="12" w:space="0" w:color="auto"/>
            </w:tcBorders>
            <w:vAlign w:val="center"/>
          </w:tcPr>
          <w:p w14:paraId="04060309"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single" w:sz="12" w:space="0" w:color="auto"/>
              <w:bottom w:val="nil"/>
              <w:right w:val="nil"/>
            </w:tcBorders>
            <w:vAlign w:val="center"/>
          </w:tcPr>
          <w:p w14:paraId="75AF33ED"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5D680C1F"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7BA5F95E"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7724A88F" w14:textId="77777777" w:rsidTr="0099521D">
        <w:trPr>
          <w:cantSplit/>
        </w:trPr>
        <w:tc>
          <w:tcPr>
            <w:tcW w:w="4803" w:type="dxa"/>
            <w:gridSpan w:val="10"/>
            <w:vMerge w:val="restart"/>
            <w:tcBorders>
              <w:top w:val="nil"/>
              <w:left w:val="nil"/>
              <w:right w:val="nil"/>
            </w:tcBorders>
            <w:vAlign w:val="center"/>
          </w:tcPr>
          <w:p w14:paraId="5F54E244" w14:textId="0CDF4235" w:rsidR="00B47442" w:rsidRPr="0009445C" w:rsidRDefault="00B47442" w:rsidP="0099521D">
            <w:pPr>
              <w:keepNext/>
              <w:keepLines/>
              <w:spacing w:line="230" w:lineRule="atLeast"/>
              <w:rPr>
                <w:rFonts w:eastAsia="MS Mincho" w:cs="Arial"/>
                <w:kern w:val="28"/>
                <w:szCs w:val="18"/>
              </w:rPr>
            </w:pPr>
            <w:r w:rsidRPr="0009445C">
              <w:t xml:space="preserve">Soot fire resistance class with </w:t>
            </w:r>
            <w:r w:rsidRPr="0009445C">
              <w:br/>
              <w:t>specification of distance from combustible building materials</w:t>
            </w:r>
          </w:p>
        </w:tc>
        <w:tc>
          <w:tcPr>
            <w:tcW w:w="300" w:type="dxa"/>
            <w:tcBorders>
              <w:top w:val="nil"/>
              <w:left w:val="nil"/>
              <w:bottom w:val="single" w:sz="12" w:space="0" w:color="auto"/>
              <w:right w:val="nil"/>
            </w:tcBorders>
            <w:vAlign w:val="center"/>
          </w:tcPr>
          <w:p w14:paraId="567924C4"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nil"/>
              <w:bottom w:val="single" w:sz="12" w:space="0" w:color="auto"/>
              <w:right w:val="nil"/>
            </w:tcBorders>
            <w:vAlign w:val="center"/>
          </w:tcPr>
          <w:p w14:paraId="008459C9"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single" w:sz="12" w:space="0" w:color="auto"/>
              <w:right w:val="nil"/>
            </w:tcBorders>
            <w:vAlign w:val="center"/>
          </w:tcPr>
          <w:p w14:paraId="70751AAE"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nil"/>
              <w:bottom w:val="single" w:sz="12" w:space="0" w:color="auto"/>
              <w:right w:val="nil"/>
            </w:tcBorders>
            <w:vAlign w:val="center"/>
          </w:tcPr>
          <w:p w14:paraId="578D7AEC"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69B1A2E6"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5EC3325C"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016FE757"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3D0AA802"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single" w:sz="12" w:space="0" w:color="auto"/>
              <w:right w:val="single" w:sz="12" w:space="0" w:color="auto"/>
            </w:tcBorders>
            <w:vAlign w:val="center"/>
          </w:tcPr>
          <w:p w14:paraId="5CDC1F6E"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single" w:sz="12" w:space="0" w:color="auto"/>
              <w:bottom w:val="nil"/>
              <w:right w:val="nil"/>
            </w:tcBorders>
            <w:vAlign w:val="center"/>
          </w:tcPr>
          <w:p w14:paraId="03AEA7F1"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nil"/>
              <w:right w:val="single" w:sz="12" w:space="0" w:color="auto"/>
            </w:tcBorders>
            <w:vAlign w:val="center"/>
          </w:tcPr>
          <w:p w14:paraId="5E6D6805"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263C6CBF"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2A09465F" w14:textId="77777777" w:rsidTr="0099521D">
        <w:trPr>
          <w:cantSplit/>
        </w:trPr>
        <w:tc>
          <w:tcPr>
            <w:tcW w:w="4803" w:type="dxa"/>
            <w:gridSpan w:val="10"/>
            <w:vMerge/>
            <w:tcBorders>
              <w:left w:val="nil"/>
              <w:bottom w:val="nil"/>
              <w:right w:val="nil"/>
            </w:tcBorders>
            <w:vAlign w:val="center"/>
          </w:tcPr>
          <w:p w14:paraId="54637999"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single" w:sz="12" w:space="0" w:color="auto"/>
              <w:left w:val="nil"/>
              <w:bottom w:val="nil"/>
              <w:right w:val="nil"/>
            </w:tcBorders>
            <w:vAlign w:val="center"/>
          </w:tcPr>
          <w:p w14:paraId="073CC1F8"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single" w:sz="12" w:space="0" w:color="auto"/>
              <w:left w:val="nil"/>
              <w:bottom w:val="nil"/>
              <w:right w:val="nil"/>
            </w:tcBorders>
            <w:vAlign w:val="center"/>
          </w:tcPr>
          <w:p w14:paraId="40EA0356"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single" w:sz="12" w:space="0" w:color="auto"/>
              <w:left w:val="nil"/>
              <w:bottom w:val="nil"/>
              <w:right w:val="nil"/>
            </w:tcBorders>
            <w:vAlign w:val="center"/>
          </w:tcPr>
          <w:p w14:paraId="6C8ED594"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single" w:sz="12" w:space="0" w:color="auto"/>
              <w:left w:val="nil"/>
              <w:bottom w:val="nil"/>
              <w:right w:val="nil"/>
            </w:tcBorders>
            <w:vAlign w:val="center"/>
          </w:tcPr>
          <w:p w14:paraId="3EA478B7"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46B7D853"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15F2CBCF"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1E818E02"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6B3192FA"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single" w:sz="12" w:space="0" w:color="auto"/>
              <w:left w:val="nil"/>
              <w:bottom w:val="nil"/>
              <w:right w:val="nil"/>
            </w:tcBorders>
            <w:vAlign w:val="center"/>
          </w:tcPr>
          <w:p w14:paraId="67E0801F"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nil"/>
              <w:left w:val="nil"/>
              <w:bottom w:val="nil"/>
              <w:right w:val="nil"/>
            </w:tcBorders>
            <w:vAlign w:val="center"/>
          </w:tcPr>
          <w:p w14:paraId="2AA0167B"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nil"/>
              <w:left w:val="nil"/>
              <w:bottom w:val="nil"/>
              <w:right w:val="single" w:sz="12" w:space="0" w:color="auto"/>
            </w:tcBorders>
            <w:vAlign w:val="center"/>
          </w:tcPr>
          <w:p w14:paraId="5A8B31C4"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single" w:sz="12" w:space="0" w:color="auto"/>
              <w:bottom w:val="nil"/>
              <w:right w:val="nil"/>
            </w:tcBorders>
            <w:vAlign w:val="center"/>
          </w:tcPr>
          <w:p w14:paraId="2901182D" w14:textId="77777777" w:rsidR="00B47442" w:rsidRPr="0009445C" w:rsidRDefault="00B47442" w:rsidP="0099521D">
            <w:pPr>
              <w:keepNext/>
              <w:keepLines/>
              <w:spacing w:line="230" w:lineRule="atLeast"/>
              <w:rPr>
                <w:rFonts w:eastAsia="MS Mincho" w:cs="Arial"/>
                <w:kern w:val="28"/>
                <w:lang w:eastAsia="ja-JP"/>
              </w:rPr>
            </w:pPr>
          </w:p>
        </w:tc>
      </w:tr>
      <w:tr w:rsidR="00B47442" w:rsidRPr="0009445C" w14:paraId="1EA90F2D" w14:textId="77777777" w:rsidTr="0099521D">
        <w:trPr>
          <w:cantSplit/>
        </w:trPr>
        <w:tc>
          <w:tcPr>
            <w:tcW w:w="3261" w:type="dxa"/>
            <w:gridSpan w:val="2"/>
            <w:vMerge w:val="restart"/>
            <w:tcBorders>
              <w:top w:val="nil"/>
              <w:left w:val="nil"/>
              <w:bottom w:val="nil"/>
              <w:right w:val="nil"/>
            </w:tcBorders>
            <w:vAlign w:val="center"/>
          </w:tcPr>
          <w:p w14:paraId="40DD840D" w14:textId="77777777" w:rsidR="00B47442" w:rsidRPr="0009445C" w:rsidRDefault="00B47442" w:rsidP="0099521D">
            <w:pPr>
              <w:keepNext/>
              <w:keepLines/>
              <w:spacing w:line="230" w:lineRule="atLeast"/>
              <w:ind w:right="-113"/>
              <w:rPr>
                <w:rFonts w:eastAsia="MS Mincho" w:cs="Arial"/>
                <w:kern w:val="28"/>
                <w:szCs w:val="18"/>
              </w:rPr>
            </w:pPr>
            <w:r w:rsidRPr="0009445C">
              <w:t xml:space="preserve">Fire resistance class </w:t>
            </w:r>
          </w:p>
        </w:tc>
        <w:tc>
          <w:tcPr>
            <w:tcW w:w="708" w:type="dxa"/>
            <w:gridSpan w:val="3"/>
            <w:tcBorders>
              <w:top w:val="nil"/>
              <w:left w:val="nil"/>
              <w:bottom w:val="single" w:sz="12" w:space="0" w:color="auto"/>
              <w:right w:val="nil"/>
            </w:tcBorders>
            <w:vAlign w:val="center"/>
          </w:tcPr>
          <w:p w14:paraId="0D1FC2E3" w14:textId="77777777" w:rsidR="00B47442" w:rsidRPr="0009445C" w:rsidRDefault="00B47442" w:rsidP="0099521D">
            <w:pPr>
              <w:keepNext/>
              <w:keepLines/>
              <w:spacing w:line="230" w:lineRule="atLeast"/>
              <w:ind w:right="-113"/>
              <w:rPr>
                <w:rFonts w:eastAsia="MS Mincho" w:cs="Arial"/>
                <w:kern w:val="28"/>
                <w:szCs w:val="18"/>
                <w:lang w:eastAsia="ja-JP"/>
              </w:rPr>
            </w:pPr>
          </w:p>
        </w:tc>
        <w:tc>
          <w:tcPr>
            <w:tcW w:w="378" w:type="dxa"/>
            <w:gridSpan w:val="4"/>
            <w:tcBorders>
              <w:top w:val="nil"/>
              <w:left w:val="nil"/>
              <w:bottom w:val="single" w:sz="12" w:space="0" w:color="auto"/>
              <w:right w:val="nil"/>
            </w:tcBorders>
          </w:tcPr>
          <w:p w14:paraId="168441FA" w14:textId="77777777" w:rsidR="00B47442" w:rsidRPr="0009445C" w:rsidRDefault="00B47442" w:rsidP="0099521D">
            <w:pPr>
              <w:keepNext/>
              <w:keepLines/>
              <w:spacing w:line="230" w:lineRule="atLeast"/>
              <w:rPr>
                <w:rFonts w:eastAsia="MS Mincho" w:cs="Arial"/>
                <w:kern w:val="28"/>
                <w:szCs w:val="18"/>
                <w:lang w:eastAsia="ja-JP"/>
              </w:rPr>
            </w:pPr>
          </w:p>
        </w:tc>
        <w:tc>
          <w:tcPr>
            <w:tcW w:w="456" w:type="dxa"/>
            <w:tcBorders>
              <w:top w:val="nil"/>
              <w:left w:val="nil"/>
              <w:bottom w:val="single" w:sz="12" w:space="0" w:color="auto"/>
              <w:right w:val="nil"/>
            </w:tcBorders>
            <w:vAlign w:val="center"/>
          </w:tcPr>
          <w:p w14:paraId="6AE3E08B"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tcBorders>
              <w:top w:val="nil"/>
              <w:left w:val="nil"/>
              <w:bottom w:val="single" w:sz="12" w:space="0" w:color="auto"/>
              <w:right w:val="nil"/>
            </w:tcBorders>
            <w:vAlign w:val="center"/>
          </w:tcPr>
          <w:p w14:paraId="432A34B3" w14:textId="77777777" w:rsidR="00B47442" w:rsidRPr="0009445C" w:rsidRDefault="00B47442" w:rsidP="0099521D">
            <w:pPr>
              <w:keepNext/>
              <w:keepLines/>
              <w:spacing w:line="230" w:lineRule="atLeast"/>
              <w:rPr>
                <w:rFonts w:eastAsia="MS Mincho" w:cs="Arial"/>
                <w:kern w:val="28"/>
                <w:szCs w:val="18"/>
                <w:lang w:eastAsia="ja-JP"/>
              </w:rPr>
            </w:pPr>
          </w:p>
        </w:tc>
        <w:tc>
          <w:tcPr>
            <w:tcW w:w="300" w:type="dxa"/>
            <w:gridSpan w:val="2"/>
            <w:tcBorders>
              <w:top w:val="nil"/>
              <w:left w:val="nil"/>
              <w:bottom w:val="single" w:sz="12" w:space="0" w:color="auto"/>
              <w:right w:val="nil"/>
            </w:tcBorders>
            <w:vAlign w:val="center"/>
          </w:tcPr>
          <w:p w14:paraId="453488C6" w14:textId="77777777" w:rsidR="00B47442" w:rsidRPr="0009445C" w:rsidRDefault="00B47442" w:rsidP="0099521D">
            <w:pPr>
              <w:keepNext/>
              <w:keepLines/>
              <w:spacing w:line="230" w:lineRule="atLeast"/>
              <w:rPr>
                <w:rFonts w:eastAsia="MS Mincho" w:cs="Arial"/>
                <w:kern w:val="28"/>
                <w:szCs w:val="18"/>
                <w:lang w:eastAsia="ja-JP"/>
              </w:rPr>
            </w:pPr>
          </w:p>
        </w:tc>
        <w:tc>
          <w:tcPr>
            <w:tcW w:w="275" w:type="dxa"/>
            <w:tcBorders>
              <w:top w:val="nil"/>
              <w:left w:val="nil"/>
              <w:bottom w:val="single" w:sz="12" w:space="0" w:color="auto"/>
              <w:right w:val="nil"/>
            </w:tcBorders>
            <w:vAlign w:val="center"/>
          </w:tcPr>
          <w:p w14:paraId="0B6FF44A" w14:textId="77777777" w:rsidR="00B47442" w:rsidRPr="0009445C" w:rsidRDefault="00B47442" w:rsidP="0099521D">
            <w:pPr>
              <w:keepNext/>
              <w:keepLines/>
              <w:spacing w:line="230" w:lineRule="atLeast"/>
              <w:rPr>
                <w:rFonts w:eastAsia="MS Mincho" w:cs="Arial"/>
                <w:kern w:val="28"/>
                <w:szCs w:val="18"/>
                <w:lang w:eastAsia="ja-JP"/>
              </w:rPr>
            </w:pPr>
          </w:p>
        </w:tc>
        <w:tc>
          <w:tcPr>
            <w:tcW w:w="276" w:type="dxa"/>
            <w:tcBorders>
              <w:top w:val="nil"/>
              <w:left w:val="nil"/>
              <w:bottom w:val="single" w:sz="12" w:space="0" w:color="auto"/>
              <w:right w:val="nil"/>
            </w:tcBorders>
            <w:vAlign w:val="center"/>
          </w:tcPr>
          <w:p w14:paraId="60FB84FC"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2C29AA0A"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556D0A16"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5328E0A2" w14:textId="77777777" w:rsidR="00B47442" w:rsidRPr="0009445C" w:rsidRDefault="00B47442" w:rsidP="0099521D">
            <w:pPr>
              <w:keepNext/>
              <w:keepLines/>
              <w:spacing w:line="230" w:lineRule="atLeast"/>
              <w:rPr>
                <w:rFonts w:eastAsia="MS Mincho" w:cs="Arial"/>
                <w:kern w:val="28"/>
                <w:szCs w:val="18"/>
                <w:lang w:eastAsia="ja-JP"/>
              </w:rPr>
            </w:pPr>
          </w:p>
        </w:tc>
        <w:tc>
          <w:tcPr>
            <w:tcW w:w="236" w:type="dxa"/>
            <w:tcBorders>
              <w:top w:val="nil"/>
              <w:left w:val="nil"/>
              <w:bottom w:val="single" w:sz="12" w:space="0" w:color="auto"/>
              <w:right w:val="nil"/>
            </w:tcBorders>
            <w:vAlign w:val="center"/>
          </w:tcPr>
          <w:p w14:paraId="623E7D3E" w14:textId="77777777" w:rsidR="00B47442" w:rsidRPr="0009445C" w:rsidRDefault="00B47442" w:rsidP="0099521D">
            <w:pPr>
              <w:keepNext/>
              <w:keepLines/>
              <w:spacing w:line="230" w:lineRule="atLeast"/>
              <w:rPr>
                <w:rFonts w:eastAsia="MS Mincho" w:cs="Arial"/>
                <w:kern w:val="28"/>
                <w:szCs w:val="18"/>
                <w:lang w:eastAsia="ja-JP"/>
              </w:rPr>
            </w:pPr>
          </w:p>
        </w:tc>
        <w:tc>
          <w:tcPr>
            <w:tcW w:w="307" w:type="dxa"/>
            <w:tcBorders>
              <w:top w:val="nil"/>
              <w:left w:val="nil"/>
              <w:bottom w:val="single" w:sz="12" w:space="0" w:color="auto"/>
              <w:right w:val="nil"/>
            </w:tcBorders>
            <w:vAlign w:val="center"/>
          </w:tcPr>
          <w:p w14:paraId="12579DED" w14:textId="77777777" w:rsidR="00B47442" w:rsidRPr="0009445C" w:rsidRDefault="00B47442" w:rsidP="0099521D">
            <w:pPr>
              <w:keepNext/>
              <w:keepLines/>
              <w:spacing w:line="230" w:lineRule="atLeast"/>
              <w:rPr>
                <w:rFonts w:eastAsia="MS Mincho" w:cs="Arial"/>
                <w:kern w:val="28"/>
                <w:szCs w:val="18"/>
                <w:lang w:eastAsia="ja-JP"/>
              </w:rPr>
            </w:pPr>
          </w:p>
        </w:tc>
        <w:tc>
          <w:tcPr>
            <w:tcW w:w="308" w:type="dxa"/>
            <w:tcBorders>
              <w:top w:val="nil"/>
              <w:left w:val="nil"/>
              <w:bottom w:val="single" w:sz="12" w:space="0" w:color="auto"/>
              <w:right w:val="nil"/>
            </w:tcBorders>
            <w:vAlign w:val="center"/>
          </w:tcPr>
          <w:p w14:paraId="46523DE0" w14:textId="77777777" w:rsidR="00B47442" w:rsidRPr="0009445C" w:rsidRDefault="00B47442" w:rsidP="0099521D">
            <w:pPr>
              <w:keepNext/>
              <w:keepLines/>
              <w:spacing w:line="230" w:lineRule="atLeast"/>
              <w:rPr>
                <w:rFonts w:eastAsia="MS Mincho" w:cs="Arial"/>
                <w:kern w:val="28"/>
                <w:szCs w:val="18"/>
                <w:lang w:eastAsia="ja-JP"/>
              </w:rPr>
            </w:pPr>
          </w:p>
        </w:tc>
        <w:tc>
          <w:tcPr>
            <w:tcW w:w="425" w:type="dxa"/>
            <w:tcBorders>
              <w:top w:val="nil"/>
              <w:left w:val="nil"/>
              <w:bottom w:val="single" w:sz="12" w:space="0" w:color="auto"/>
              <w:right w:val="single" w:sz="12" w:space="0" w:color="auto"/>
            </w:tcBorders>
            <w:vAlign w:val="center"/>
          </w:tcPr>
          <w:p w14:paraId="5C1C9DBB" w14:textId="77777777" w:rsidR="00B47442" w:rsidRPr="0009445C" w:rsidRDefault="00B47442" w:rsidP="0099521D">
            <w:pPr>
              <w:keepNext/>
              <w:keepLines/>
              <w:spacing w:line="230" w:lineRule="atLeast"/>
              <w:rPr>
                <w:rFonts w:eastAsia="MS Mincho" w:cs="Arial"/>
                <w:kern w:val="28"/>
                <w:szCs w:val="18"/>
                <w:lang w:eastAsia="ja-JP"/>
              </w:rPr>
            </w:pPr>
          </w:p>
        </w:tc>
        <w:tc>
          <w:tcPr>
            <w:tcW w:w="426" w:type="dxa"/>
            <w:tcBorders>
              <w:top w:val="nil"/>
              <w:left w:val="single" w:sz="12" w:space="0" w:color="auto"/>
              <w:bottom w:val="nil"/>
              <w:right w:val="nil"/>
            </w:tcBorders>
            <w:vAlign w:val="center"/>
          </w:tcPr>
          <w:p w14:paraId="50DBE33A" w14:textId="77777777" w:rsidR="00B47442" w:rsidRPr="0009445C" w:rsidRDefault="00B47442" w:rsidP="0099521D">
            <w:pPr>
              <w:keepNext/>
              <w:keepLines/>
              <w:spacing w:line="230" w:lineRule="atLeast"/>
              <w:rPr>
                <w:rFonts w:eastAsia="MS Mincho" w:cs="Arial"/>
                <w:kern w:val="28"/>
                <w:szCs w:val="18"/>
                <w:lang w:eastAsia="ja-JP"/>
              </w:rPr>
            </w:pPr>
          </w:p>
        </w:tc>
      </w:tr>
      <w:tr w:rsidR="00B47442" w:rsidRPr="0009445C" w14:paraId="3367A667" w14:textId="77777777" w:rsidTr="0099521D">
        <w:trPr>
          <w:cantSplit/>
        </w:trPr>
        <w:tc>
          <w:tcPr>
            <w:tcW w:w="3261" w:type="dxa"/>
            <w:gridSpan w:val="2"/>
            <w:vMerge/>
            <w:tcBorders>
              <w:top w:val="nil"/>
              <w:left w:val="nil"/>
              <w:bottom w:val="nil"/>
              <w:right w:val="nil"/>
            </w:tcBorders>
            <w:vAlign w:val="center"/>
          </w:tcPr>
          <w:p w14:paraId="56B7E26D" w14:textId="77777777" w:rsidR="00B47442" w:rsidRPr="0009445C" w:rsidRDefault="00B47442" w:rsidP="0099521D">
            <w:pPr>
              <w:keepNext/>
              <w:keepLines/>
              <w:spacing w:line="230" w:lineRule="atLeast"/>
              <w:rPr>
                <w:rFonts w:eastAsia="MS Mincho" w:cs="Arial"/>
                <w:kern w:val="28"/>
                <w:lang w:eastAsia="ja-JP"/>
              </w:rPr>
            </w:pPr>
          </w:p>
        </w:tc>
        <w:tc>
          <w:tcPr>
            <w:tcW w:w="708" w:type="dxa"/>
            <w:gridSpan w:val="3"/>
            <w:tcBorders>
              <w:top w:val="nil"/>
              <w:left w:val="nil"/>
              <w:bottom w:val="nil"/>
              <w:right w:val="nil"/>
            </w:tcBorders>
            <w:vAlign w:val="center"/>
          </w:tcPr>
          <w:p w14:paraId="67764876" w14:textId="77777777" w:rsidR="00B47442" w:rsidRPr="0009445C" w:rsidRDefault="00B47442" w:rsidP="0099521D">
            <w:pPr>
              <w:keepNext/>
              <w:keepLines/>
              <w:spacing w:line="230" w:lineRule="atLeast"/>
              <w:rPr>
                <w:rFonts w:eastAsia="MS Mincho" w:cs="Arial"/>
                <w:kern w:val="28"/>
                <w:lang w:eastAsia="ja-JP"/>
              </w:rPr>
            </w:pPr>
          </w:p>
        </w:tc>
        <w:tc>
          <w:tcPr>
            <w:tcW w:w="378" w:type="dxa"/>
            <w:gridSpan w:val="4"/>
            <w:tcBorders>
              <w:top w:val="single" w:sz="12" w:space="0" w:color="auto"/>
              <w:left w:val="nil"/>
              <w:bottom w:val="nil"/>
              <w:right w:val="nil"/>
            </w:tcBorders>
          </w:tcPr>
          <w:p w14:paraId="3FC6C10A" w14:textId="77777777" w:rsidR="00B47442" w:rsidRPr="0009445C" w:rsidRDefault="00B47442" w:rsidP="0099521D">
            <w:pPr>
              <w:keepNext/>
              <w:keepLines/>
              <w:spacing w:line="230" w:lineRule="atLeast"/>
              <w:rPr>
                <w:rFonts w:eastAsia="MS Mincho" w:cs="Arial"/>
                <w:kern w:val="28"/>
                <w:lang w:eastAsia="ja-JP"/>
              </w:rPr>
            </w:pPr>
          </w:p>
        </w:tc>
        <w:tc>
          <w:tcPr>
            <w:tcW w:w="456" w:type="dxa"/>
            <w:tcBorders>
              <w:top w:val="single" w:sz="12" w:space="0" w:color="auto"/>
              <w:left w:val="nil"/>
              <w:bottom w:val="nil"/>
              <w:right w:val="nil"/>
            </w:tcBorders>
            <w:vAlign w:val="center"/>
          </w:tcPr>
          <w:p w14:paraId="46E8853C" w14:textId="77777777" w:rsidR="00B47442" w:rsidRPr="0009445C" w:rsidRDefault="00B47442" w:rsidP="0099521D">
            <w:pPr>
              <w:keepNext/>
              <w:keepLines/>
              <w:spacing w:line="230" w:lineRule="atLeast"/>
              <w:rPr>
                <w:rFonts w:eastAsia="MS Mincho" w:cs="Arial"/>
                <w:kern w:val="28"/>
                <w:lang w:eastAsia="ja-JP"/>
              </w:rPr>
            </w:pPr>
          </w:p>
        </w:tc>
        <w:tc>
          <w:tcPr>
            <w:tcW w:w="300" w:type="dxa"/>
            <w:tcBorders>
              <w:top w:val="single" w:sz="12" w:space="0" w:color="auto"/>
              <w:left w:val="nil"/>
              <w:bottom w:val="nil"/>
              <w:right w:val="nil"/>
            </w:tcBorders>
            <w:vAlign w:val="center"/>
          </w:tcPr>
          <w:p w14:paraId="614C1826" w14:textId="77777777" w:rsidR="00B47442" w:rsidRPr="0009445C" w:rsidRDefault="00B47442" w:rsidP="0099521D">
            <w:pPr>
              <w:keepNext/>
              <w:keepLines/>
              <w:spacing w:line="230" w:lineRule="atLeast"/>
              <w:rPr>
                <w:rFonts w:eastAsia="MS Mincho" w:cs="Arial"/>
                <w:kern w:val="28"/>
                <w:lang w:eastAsia="ja-JP"/>
              </w:rPr>
            </w:pPr>
          </w:p>
        </w:tc>
        <w:tc>
          <w:tcPr>
            <w:tcW w:w="300" w:type="dxa"/>
            <w:gridSpan w:val="2"/>
            <w:tcBorders>
              <w:top w:val="single" w:sz="12" w:space="0" w:color="auto"/>
              <w:left w:val="nil"/>
              <w:bottom w:val="nil"/>
              <w:right w:val="nil"/>
            </w:tcBorders>
            <w:vAlign w:val="center"/>
          </w:tcPr>
          <w:p w14:paraId="3F476357" w14:textId="77777777" w:rsidR="00B47442" w:rsidRPr="0009445C" w:rsidRDefault="00B47442" w:rsidP="0099521D">
            <w:pPr>
              <w:keepNext/>
              <w:keepLines/>
              <w:spacing w:line="230" w:lineRule="atLeast"/>
              <w:rPr>
                <w:rFonts w:eastAsia="MS Mincho" w:cs="Arial"/>
                <w:kern w:val="28"/>
                <w:lang w:eastAsia="ja-JP"/>
              </w:rPr>
            </w:pPr>
          </w:p>
        </w:tc>
        <w:tc>
          <w:tcPr>
            <w:tcW w:w="275" w:type="dxa"/>
            <w:tcBorders>
              <w:top w:val="single" w:sz="12" w:space="0" w:color="auto"/>
              <w:left w:val="nil"/>
              <w:bottom w:val="nil"/>
              <w:right w:val="nil"/>
            </w:tcBorders>
            <w:vAlign w:val="center"/>
          </w:tcPr>
          <w:p w14:paraId="30BACBE9" w14:textId="77777777" w:rsidR="00B47442" w:rsidRPr="0009445C" w:rsidRDefault="00B47442" w:rsidP="0099521D">
            <w:pPr>
              <w:keepNext/>
              <w:keepLines/>
              <w:spacing w:line="230" w:lineRule="atLeast"/>
              <w:rPr>
                <w:rFonts w:eastAsia="MS Mincho" w:cs="Arial"/>
                <w:kern w:val="28"/>
                <w:lang w:eastAsia="ja-JP"/>
              </w:rPr>
            </w:pPr>
          </w:p>
        </w:tc>
        <w:tc>
          <w:tcPr>
            <w:tcW w:w="276" w:type="dxa"/>
            <w:tcBorders>
              <w:top w:val="single" w:sz="12" w:space="0" w:color="auto"/>
              <w:left w:val="nil"/>
              <w:bottom w:val="nil"/>
              <w:right w:val="nil"/>
            </w:tcBorders>
            <w:vAlign w:val="center"/>
          </w:tcPr>
          <w:p w14:paraId="092D722E"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2F81FB98"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289DC87E"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48214E2F" w14:textId="77777777" w:rsidR="00B47442" w:rsidRPr="0009445C" w:rsidRDefault="00B47442" w:rsidP="0099521D">
            <w:pPr>
              <w:keepNext/>
              <w:keepLines/>
              <w:spacing w:line="230" w:lineRule="atLeast"/>
              <w:rPr>
                <w:rFonts w:eastAsia="MS Mincho" w:cs="Arial"/>
                <w:kern w:val="28"/>
                <w:lang w:eastAsia="ja-JP"/>
              </w:rPr>
            </w:pPr>
          </w:p>
        </w:tc>
        <w:tc>
          <w:tcPr>
            <w:tcW w:w="236" w:type="dxa"/>
            <w:tcBorders>
              <w:top w:val="single" w:sz="12" w:space="0" w:color="auto"/>
              <w:left w:val="nil"/>
              <w:bottom w:val="nil"/>
              <w:right w:val="nil"/>
            </w:tcBorders>
            <w:vAlign w:val="center"/>
          </w:tcPr>
          <w:p w14:paraId="40C134B2" w14:textId="77777777" w:rsidR="00B47442" w:rsidRPr="0009445C" w:rsidRDefault="00B47442" w:rsidP="0099521D">
            <w:pPr>
              <w:keepNext/>
              <w:keepLines/>
              <w:spacing w:line="230" w:lineRule="atLeast"/>
              <w:rPr>
                <w:rFonts w:eastAsia="MS Mincho" w:cs="Arial"/>
                <w:kern w:val="28"/>
                <w:lang w:eastAsia="ja-JP"/>
              </w:rPr>
            </w:pPr>
          </w:p>
        </w:tc>
        <w:tc>
          <w:tcPr>
            <w:tcW w:w="307" w:type="dxa"/>
            <w:tcBorders>
              <w:top w:val="single" w:sz="12" w:space="0" w:color="auto"/>
              <w:left w:val="nil"/>
              <w:bottom w:val="nil"/>
              <w:right w:val="nil"/>
            </w:tcBorders>
            <w:vAlign w:val="center"/>
          </w:tcPr>
          <w:p w14:paraId="4F0F5F6A" w14:textId="77777777" w:rsidR="00B47442" w:rsidRPr="0009445C" w:rsidRDefault="00B47442" w:rsidP="0099521D">
            <w:pPr>
              <w:keepNext/>
              <w:keepLines/>
              <w:spacing w:line="230" w:lineRule="atLeast"/>
              <w:rPr>
                <w:rFonts w:eastAsia="MS Mincho" w:cs="Arial"/>
                <w:kern w:val="28"/>
                <w:lang w:eastAsia="ja-JP"/>
              </w:rPr>
            </w:pPr>
          </w:p>
        </w:tc>
        <w:tc>
          <w:tcPr>
            <w:tcW w:w="308" w:type="dxa"/>
            <w:tcBorders>
              <w:top w:val="single" w:sz="12" w:space="0" w:color="auto"/>
              <w:left w:val="nil"/>
              <w:bottom w:val="nil"/>
              <w:right w:val="nil"/>
            </w:tcBorders>
            <w:vAlign w:val="center"/>
          </w:tcPr>
          <w:p w14:paraId="1BCC3BAE" w14:textId="77777777" w:rsidR="00B47442" w:rsidRPr="0009445C" w:rsidRDefault="00B47442" w:rsidP="0099521D">
            <w:pPr>
              <w:keepNext/>
              <w:keepLines/>
              <w:spacing w:line="230" w:lineRule="atLeast"/>
              <w:rPr>
                <w:rFonts w:eastAsia="MS Mincho" w:cs="Arial"/>
                <w:kern w:val="28"/>
                <w:lang w:eastAsia="ja-JP"/>
              </w:rPr>
            </w:pPr>
          </w:p>
        </w:tc>
        <w:tc>
          <w:tcPr>
            <w:tcW w:w="425" w:type="dxa"/>
            <w:tcBorders>
              <w:top w:val="single" w:sz="12" w:space="0" w:color="auto"/>
              <w:left w:val="nil"/>
              <w:bottom w:val="nil"/>
              <w:right w:val="nil"/>
            </w:tcBorders>
            <w:vAlign w:val="center"/>
          </w:tcPr>
          <w:p w14:paraId="051A3158" w14:textId="77777777" w:rsidR="00B47442" w:rsidRPr="0009445C" w:rsidRDefault="00B47442" w:rsidP="0099521D">
            <w:pPr>
              <w:keepNext/>
              <w:keepLines/>
              <w:spacing w:line="230" w:lineRule="atLeast"/>
              <w:rPr>
                <w:rFonts w:eastAsia="MS Mincho" w:cs="Arial"/>
                <w:kern w:val="28"/>
                <w:lang w:eastAsia="ja-JP"/>
              </w:rPr>
            </w:pPr>
          </w:p>
        </w:tc>
        <w:tc>
          <w:tcPr>
            <w:tcW w:w="426" w:type="dxa"/>
            <w:tcBorders>
              <w:top w:val="nil"/>
              <w:left w:val="nil"/>
              <w:bottom w:val="nil"/>
              <w:right w:val="nil"/>
            </w:tcBorders>
            <w:vAlign w:val="center"/>
          </w:tcPr>
          <w:p w14:paraId="58E3BA1C" w14:textId="77777777" w:rsidR="00B47442" w:rsidRPr="0009445C" w:rsidRDefault="00B47442" w:rsidP="0099521D">
            <w:pPr>
              <w:keepNext/>
              <w:keepLines/>
              <w:spacing w:line="230" w:lineRule="atLeast"/>
              <w:rPr>
                <w:rFonts w:eastAsia="MS Mincho" w:cs="Arial"/>
                <w:kern w:val="28"/>
                <w:lang w:eastAsia="ja-JP"/>
              </w:rPr>
            </w:pPr>
          </w:p>
        </w:tc>
      </w:tr>
    </w:tbl>
    <w:p w14:paraId="2A679C47" w14:textId="77777777" w:rsidR="00B47442" w:rsidRPr="0009445C" w:rsidRDefault="00B47442" w:rsidP="00B47442">
      <w:pPr>
        <w:pStyle w:val="BRL-Standard"/>
        <w:rPr>
          <w:rFonts w:eastAsia="Calibri"/>
          <w:lang w:eastAsia="ja-JP"/>
        </w:rPr>
      </w:pPr>
    </w:p>
    <w:p w14:paraId="63E327FB" w14:textId="77777777" w:rsidR="00B47442" w:rsidRPr="0009445C" w:rsidRDefault="00B47442" w:rsidP="00B47442">
      <w:pPr>
        <w:pStyle w:val="BRL-Standard"/>
        <w:rPr>
          <w:rFonts w:eastAsia="Calibri"/>
        </w:rPr>
      </w:pPr>
      <w:r w:rsidRPr="0009445C">
        <w:t>Exterior shells of exhaust systems pursuant to DIN V 18160-1:2006-01 that are designed as assembly chimneys must have performance characteristics satisfying the same or a higher performance class than that required for the proposed design. For this purpose, construction products according to EN 1858: 2008+A1:2001</w:t>
      </w:r>
      <w:bookmarkStart w:id="83" w:name="_Ref82182178"/>
      <w:r w:rsidRPr="0009445C">
        <w:rPr>
          <w:rStyle w:val="FootnoteReference"/>
          <w:rFonts w:eastAsia="Calibri" w:cs="Arial"/>
          <w:kern w:val="28"/>
          <w:lang w:eastAsia="ja-JP"/>
        </w:rPr>
        <w:footnoteReference w:id="72"/>
      </w:r>
      <w:bookmarkEnd w:id="83"/>
      <w:r w:rsidRPr="0009445C">
        <w:t>, EN 12446: 2011</w:t>
      </w:r>
      <w:bookmarkStart w:id="84" w:name="_Ref82182246"/>
      <w:r w:rsidRPr="0009445C">
        <w:rPr>
          <w:rStyle w:val="FootnoteReference"/>
          <w:rFonts w:eastAsia="Calibri" w:cs="Arial"/>
          <w:kern w:val="28"/>
          <w:lang w:eastAsia="ja-JP"/>
        </w:rPr>
        <w:footnoteReference w:id="73"/>
      </w:r>
      <w:bookmarkEnd w:id="84"/>
      <w:r w:rsidRPr="0009445C">
        <w:t>, EN 13069: 2005</w:t>
      </w:r>
      <w:bookmarkStart w:id="85" w:name="_Ref82182452"/>
      <w:r w:rsidRPr="0009445C">
        <w:rPr>
          <w:rStyle w:val="FootnoteReference"/>
          <w:rFonts w:eastAsia="Calibri" w:cs="Arial"/>
          <w:kern w:val="28"/>
          <w:lang w:eastAsia="ja-JP"/>
        </w:rPr>
        <w:footnoteReference w:id="74"/>
      </w:r>
      <w:bookmarkEnd w:id="85"/>
      <w:r w:rsidRPr="0009445C">
        <w:t xml:space="preserve"> and EN 1806:2006</w:t>
      </w:r>
      <w:bookmarkStart w:id="86" w:name="_Ref82183364"/>
      <w:r w:rsidRPr="0009445C">
        <w:rPr>
          <w:rStyle w:val="FootnoteReference"/>
          <w:rFonts w:eastAsia="Calibri" w:cs="Arial"/>
          <w:kern w:val="28"/>
          <w:lang w:eastAsia="ja-JP"/>
        </w:rPr>
        <w:footnoteReference w:id="75"/>
      </w:r>
      <w:bookmarkEnd w:id="86"/>
      <w:r w:rsidRPr="0009445C">
        <w:t xml:space="preserve"> may be used, and must be marked at least with T400 and G. If there are requirements for fire resistance during use, this must be verified in accordance with DIN 18160-60: 2014-02 by means of a proof of fitness for purpose by the building authorities. The proof may be provided for the outer shell alone or together for structures with multiple shells.</w:t>
      </w:r>
    </w:p>
    <w:p w14:paraId="1C81C05F" w14:textId="77777777" w:rsidR="00B47442" w:rsidRPr="0009445C" w:rsidRDefault="00B47442" w:rsidP="00B47442">
      <w:pPr>
        <w:pStyle w:val="BRL-Standard"/>
        <w:rPr>
          <w:rFonts w:eastAsia="MS Mincho"/>
          <w:lang w:eastAsia="ja-JP"/>
        </w:rPr>
      </w:pPr>
    </w:p>
    <w:p w14:paraId="38BDBD7A" w14:textId="77777777" w:rsidR="00B47442" w:rsidRPr="0009445C" w:rsidRDefault="00B47442" w:rsidP="00B47442">
      <w:pPr>
        <w:pStyle w:val="BRL-Standard"/>
        <w:spacing w:after="120"/>
        <w:rPr>
          <w:rFonts w:eastAsia="MS Mincho"/>
        </w:rPr>
      </w:pPr>
      <w:r w:rsidRPr="0009445C">
        <w:t>The following may also be used to manufacture outer shells from masonry:</w:t>
      </w:r>
    </w:p>
    <w:p w14:paraId="621AB74D" w14:textId="77777777" w:rsidR="00B47442" w:rsidRPr="0009445C" w:rsidRDefault="00B47442" w:rsidP="00B47442">
      <w:pPr>
        <w:pStyle w:val="BRLAufzhlungAnstrich"/>
        <w:numPr>
          <w:ilvl w:val="0"/>
          <w:numId w:val="1"/>
        </w:numPr>
        <w:rPr>
          <w:rFonts w:eastAsia="Calibri"/>
        </w:rPr>
      </w:pPr>
      <w:r w:rsidRPr="0009445C">
        <w:t>Bricks according to DIN EN 771-1:2015-11 in conjunction with DIN 20000-401:2017-01 or alternatively DIN 105</w:t>
      </w:r>
      <w:r w:rsidRPr="0009445C">
        <w:noBreakHyphen/>
        <w:t>100:01</w:t>
      </w:r>
      <w:r w:rsidRPr="0009445C">
        <w:noBreakHyphen/>
        <w:t xml:space="preserve">2012 with a wall thickness of </w:t>
      </w:r>
      <w:r w:rsidRPr="0009445C">
        <w:sym w:font="Symbol" w:char="F0B3"/>
      </w:r>
      <w:r w:rsidRPr="0009445C">
        <w:t>11.5 cm;</w:t>
      </w:r>
    </w:p>
    <w:p w14:paraId="35F6F7D7" w14:textId="77777777" w:rsidR="00B47442" w:rsidRPr="0009445C" w:rsidRDefault="00B47442" w:rsidP="00B47442">
      <w:pPr>
        <w:pStyle w:val="BRLAufzhlungAnstrich"/>
        <w:numPr>
          <w:ilvl w:val="0"/>
          <w:numId w:val="1"/>
        </w:numPr>
        <w:rPr>
          <w:rFonts w:eastAsia="Calibri"/>
        </w:rPr>
      </w:pPr>
      <w:r w:rsidRPr="0009445C">
        <w:t>Solid bricks (</w:t>
      </w:r>
      <w:proofErr w:type="spellStart"/>
      <w:r w:rsidRPr="0009445C">
        <w:t>Mz</w:t>
      </w:r>
      <w:proofErr w:type="spellEnd"/>
      <w:r w:rsidRPr="0009445C">
        <w:t>) and perforated bricks type A (</w:t>
      </w:r>
      <w:proofErr w:type="spellStart"/>
      <w:r w:rsidRPr="0009445C">
        <w:t>HLzA</w:t>
      </w:r>
      <w:proofErr w:type="spellEnd"/>
      <w:r w:rsidRPr="0009445C">
        <w:t>) in accordance with EN 771-1:2015-11 in conjunction with DIN 20000</w:t>
      </w:r>
      <w:r w:rsidRPr="0009445C">
        <w:noBreakHyphen/>
        <w:t>401:2017</w:t>
      </w:r>
      <w:r w:rsidRPr="0009445C">
        <w:noBreakHyphen/>
        <w:t>01 or alternatively DIN 105-100:2012-01 with wall thickness ≥ 11.5 cm and raw density of ≥ 1.2 kg/dm³;</w:t>
      </w:r>
    </w:p>
    <w:p w14:paraId="5E8EB80A" w14:textId="77777777" w:rsidR="00B47442" w:rsidRPr="0009445C" w:rsidRDefault="00B47442" w:rsidP="00B47442">
      <w:pPr>
        <w:pStyle w:val="BRLAufzhlungAnstrich"/>
        <w:numPr>
          <w:ilvl w:val="0"/>
          <w:numId w:val="1"/>
        </w:numPr>
        <w:rPr>
          <w:rFonts w:eastAsia="Calibri"/>
        </w:rPr>
      </w:pPr>
      <w:r w:rsidRPr="0009445C">
        <w:t>Perforated bricks type B (</w:t>
      </w:r>
      <w:proofErr w:type="spellStart"/>
      <w:r w:rsidRPr="0009445C">
        <w:t>HLzB</w:t>
      </w:r>
      <w:proofErr w:type="spellEnd"/>
      <w:r w:rsidRPr="0009445C">
        <w:t>) in accordance with EN 771-1:2015-11 in conjunction with DIN 20000-401:2017-01 or alternatively DIN 105-100:2012-01 with wall thickness ≥ 24 cm and raw density ≥ 1.2 kg/dm³;</w:t>
      </w:r>
    </w:p>
    <w:p w14:paraId="243735AB" w14:textId="77777777" w:rsidR="00B47442" w:rsidRPr="0009445C" w:rsidRDefault="00B47442" w:rsidP="00B47442">
      <w:pPr>
        <w:pStyle w:val="BRLAufzhlungAnstrich"/>
        <w:numPr>
          <w:ilvl w:val="0"/>
          <w:numId w:val="1"/>
        </w:numPr>
        <w:rPr>
          <w:rFonts w:eastAsia="Calibri"/>
        </w:rPr>
      </w:pPr>
      <w:r w:rsidRPr="0009445C">
        <w:t>Sand-lime bricks according to DIN EN  771-2:2015-11 in conjunction with DIN 20000-402:2017-01 with a wall thickness of</w:t>
      </w:r>
      <w:r w:rsidRPr="0009445C">
        <w:sym w:font="Symbol" w:char="F0B3"/>
      </w:r>
      <w:r w:rsidRPr="0009445C">
        <w:t xml:space="preserve"> 11.5 cm;</w:t>
      </w:r>
    </w:p>
    <w:p w14:paraId="7512B962" w14:textId="77777777" w:rsidR="00B47442" w:rsidRPr="0009445C" w:rsidRDefault="00B47442" w:rsidP="00B47442">
      <w:pPr>
        <w:pStyle w:val="BRLAufzhlungAnstrich"/>
        <w:numPr>
          <w:ilvl w:val="0"/>
          <w:numId w:val="1"/>
        </w:numPr>
        <w:rPr>
          <w:rFonts w:eastAsia="Calibri"/>
        </w:rPr>
      </w:pPr>
      <w:r w:rsidRPr="0009445C">
        <w:t>Autoclave aerated concrete components pursuant to DIN EN 771-4:2011-07 in conjunction with DIN 20000</w:t>
      </w:r>
      <w:r w:rsidRPr="0009445C">
        <w:noBreakHyphen/>
        <w:t xml:space="preserve">404:2015-12 with wall thickness </w:t>
      </w:r>
      <w:r w:rsidRPr="0009445C">
        <w:sym w:font="Symbol" w:char="F0B3"/>
      </w:r>
      <w:r w:rsidRPr="0009445C">
        <w:t xml:space="preserve"> 10 cm;</w:t>
      </w:r>
    </w:p>
    <w:p w14:paraId="6A5EE3C1" w14:textId="77777777" w:rsidR="00B47442" w:rsidRPr="0009445C" w:rsidRDefault="00B47442" w:rsidP="00B47442">
      <w:pPr>
        <w:pStyle w:val="BRLAufzhlungAnstrich"/>
        <w:numPr>
          <w:ilvl w:val="0"/>
          <w:numId w:val="1"/>
        </w:numPr>
        <w:rPr>
          <w:rFonts w:eastAsia="Calibri"/>
        </w:rPr>
      </w:pPr>
      <w:r w:rsidRPr="0009445C">
        <w:lastRenderedPageBreak/>
        <w:t xml:space="preserve">Hollow bricks made of lightweight concrete as per DIN 18151 with wall thickness </w:t>
      </w:r>
      <w:r w:rsidRPr="0009445C">
        <w:sym w:font="Symbol" w:char="F0B3"/>
      </w:r>
      <w:r w:rsidRPr="0009445C">
        <w:t> 17.5 cm;</w:t>
      </w:r>
    </w:p>
    <w:p w14:paraId="55544664" w14:textId="77777777" w:rsidR="00B47442" w:rsidRPr="0009445C" w:rsidRDefault="00B47442" w:rsidP="00B47442">
      <w:pPr>
        <w:pStyle w:val="BRLAufzhlungAnstrich"/>
        <w:numPr>
          <w:ilvl w:val="0"/>
          <w:numId w:val="1"/>
        </w:numPr>
        <w:rPr>
          <w:rFonts w:eastAsia="MS Mincho"/>
          <w:kern w:val="28"/>
        </w:rPr>
      </w:pPr>
      <w:r w:rsidRPr="0009445C">
        <w:t xml:space="preserve">Solid lightweight concrete bricks pursuant to DIN EN 771-3:2005-05 in conjunction with DIN V 20000-403:2005-06 or DIN V 18152-100:2005-10 with wall thickness </w:t>
      </w:r>
      <w:r w:rsidRPr="0009445C">
        <w:sym w:font="Symbol" w:char="F0B3"/>
      </w:r>
      <w:r w:rsidRPr="0009445C">
        <w:t> 11.5 cm are deemed equivalent.</w:t>
      </w:r>
    </w:p>
    <w:p w14:paraId="1D1D5E05" w14:textId="77777777" w:rsidR="00B47442" w:rsidRPr="0009445C" w:rsidRDefault="00B47442" w:rsidP="00B47442">
      <w:pPr>
        <w:pStyle w:val="BRL-StandardAufzhlungStrich"/>
        <w:numPr>
          <w:ilvl w:val="0"/>
          <w:numId w:val="0"/>
        </w:numPr>
        <w:ind w:left="426"/>
        <w:rPr>
          <w:rFonts w:eastAsia="MS Mincho" w:cs="Arial"/>
          <w:kern w:val="28"/>
          <w:lang w:eastAsia="ja-JP"/>
        </w:rPr>
      </w:pPr>
    </w:p>
    <w:p w14:paraId="0AACAAAE" w14:textId="77777777" w:rsidR="00B47442" w:rsidRPr="0009445C" w:rsidRDefault="00B47442" w:rsidP="00B47442">
      <w:pPr>
        <w:pStyle w:val="BRL-Standard"/>
        <w:rPr>
          <w:rFonts w:eastAsia="MS Mincho"/>
        </w:rPr>
      </w:pPr>
      <w:r w:rsidRPr="0009445C">
        <w:t>Outer shells made from the above-mentioned masonry correspond to classification T400 G50 L</w:t>
      </w:r>
      <w:r w:rsidRPr="0009445C">
        <w:rPr>
          <w:vertAlign w:val="subscript"/>
        </w:rPr>
        <w:t>A</w:t>
      </w:r>
      <w:r w:rsidRPr="0009445C">
        <w:t>90.</w:t>
      </w:r>
    </w:p>
    <w:p w14:paraId="1D1C85EB" w14:textId="77777777" w:rsidR="00B47442" w:rsidRPr="0009445C" w:rsidRDefault="00B47442" w:rsidP="00B47442">
      <w:pPr>
        <w:pStyle w:val="BRL-Standard"/>
        <w:rPr>
          <w:rFonts w:eastAsia="Calibri"/>
        </w:rPr>
      </w:pPr>
      <w:r w:rsidRPr="0009445C">
        <w:t>For assembly exhaust gas systems, insulating materials pursuant to DIN EN 14303:2016-08 may be used in accordance with the relevant requirements for the proposed exhaust system together with the following provisions:</w:t>
      </w:r>
    </w:p>
    <w:p w14:paraId="6A4A3E64" w14:textId="77777777" w:rsidR="00B47442" w:rsidRPr="0009445C" w:rsidRDefault="00B47442" w:rsidP="00B47442">
      <w:pPr>
        <w:pStyle w:val="BRL-Standard"/>
        <w:rPr>
          <w:rFonts w:eastAsia="Calibri"/>
          <w:lang w:eastAsia="en-US"/>
        </w:rPr>
      </w:pPr>
    </w:p>
    <w:p w14:paraId="3D48811B" w14:textId="77777777" w:rsidR="00B47442" w:rsidRPr="0009445C" w:rsidRDefault="00B47442" w:rsidP="00B47442">
      <w:pPr>
        <w:pStyle w:val="BRL-StandardAufzhlungNr"/>
        <w:numPr>
          <w:ilvl w:val="0"/>
          <w:numId w:val="0"/>
        </w:numPr>
        <w:tabs>
          <w:tab w:val="clear" w:pos="357"/>
          <w:tab w:val="left" w:pos="284"/>
        </w:tabs>
      </w:pPr>
      <w:bookmarkStart w:id="87" w:name="_Toc515022692"/>
      <w:bookmarkStart w:id="88" w:name="_Toc515022796"/>
      <w:bookmarkStart w:id="89" w:name="_Toc515022936"/>
      <w:bookmarkStart w:id="90" w:name="_Toc515023410"/>
      <w:r w:rsidRPr="0009445C">
        <w:t>1.</w:t>
      </w:r>
      <w:r w:rsidRPr="0009445C">
        <w:tab/>
        <w:t>Insulation materials for assembly chimneys</w:t>
      </w:r>
      <w:bookmarkEnd w:id="87"/>
      <w:bookmarkEnd w:id="88"/>
      <w:bookmarkEnd w:id="89"/>
      <w:bookmarkEnd w:id="90"/>
    </w:p>
    <w:p w14:paraId="218DCF8A" w14:textId="77777777" w:rsidR="00B47442" w:rsidRPr="0009445C" w:rsidRDefault="00B47442" w:rsidP="00B47442">
      <w:pPr>
        <w:pStyle w:val="BRL-StandardAufzhlungNr"/>
        <w:numPr>
          <w:ilvl w:val="0"/>
          <w:numId w:val="0"/>
        </w:numPr>
        <w:ind w:left="284"/>
      </w:pPr>
      <w:r w:rsidRPr="0009445C">
        <w:t xml:space="preserve">The insulation materials for chimneys must be able to withstand the effects of temperature caused by soot fire. Soot fire resistance cannot be demonstrated pursuant to DIN EN 14303:2016-08. </w:t>
      </w:r>
    </w:p>
    <w:p w14:paraId="585F95BB" w14:textId="77777777" w:rsidR="00B47442" w:rsidRPr="0009445C" w:rsidRDefault="00B47442" w:rsidP="00B47442">
      <w:pPr>
        <w:pStyle w:val="BRL-StandardAufzhlungNr"/>
        <w:numPr>
          <w:ilvl w:val="0"/>
          <w:numId w:val="0"/>
        </w:numPr>
        <w:ind w:left="284"/>
        <w:rPr>
          <w:rFonts w:eastAsia="MS Mincho"/>
        </w:rPr>
      </w:pPr>
      <w:r w:rsidRPr="0009445C">
        <w:t>Insulation shells made of insulating materials as per DIN EN 14303:2016-08 must be at least 3 cm thick and have thermal resistance of at least 0.4 m²K/W at 300°C.</w:t>
      </w:r>
    </w:p>
    <w:p w14:paraId="66001467" w14:textId="77777777" w:rsidR="00B47442" w:rsidRPr="0009445C" w:rsidRDefault="00B47442" w:rsidP="00B47442">
      <w:pPr>
        <w:pStyle w:val="BRL-StandardAufzhlungNr"/>
        <w:numPr>
          <w:ilvl w:val="0"/>
          <w:numId w:val="0"/>
        </w:numPr>
        <w:ind w:left="284"/>
        <w:rPr>
          <w:rFonts w:eastAsia="MS Mincho"/>
        </w:rPr>
      </w:pPr>
      <w:r w:rsidRPr="0009445C">
        <w:t>In the case of internal shells according to EN 1856-1:2009</w:t>
      </w:r>
      <w:bookmarkStart w:id="91" w:name="_Ref82183433"/>
      <w:r w:rsidRPr="0009445C">
        <w:rPr>
          <w:rStyle w:val="FootnoteReference"/>
          <w:rFonts w:eastAsia="MS Mincho"/>
        </w:rPr>
        <w:footnoteReference w:id="76"/>
      </w:r>
      <w:bookmarkEnd w:id="91"/>
      <w:r w:rsidRPr="0009445C">
        <w:t xml:space="preserve">, an insulation shell can be dispensed with a thermal insulation of at least 3 cm in conjunction with the outer shells specified in DIN V 18160-1:2006-01, Section 7.2.3. </w:t>
      </w:r>
    </w:p>
    <w:p w14:paraId="2C1B9BB8" w14:textId="77777777" w:rsidR="00B47442" w:rsidRPr="0009445C" w:rsidRDefault="00B47442" w:rsidP="00B47442">
      <w:pPr>
        <w:pStyle w:val="BRL-StandardAufzhlungNr"/>
        <w:numPr>
          <w:ilvl w:val="0"/>
          <w:numId w:val="0"/>
        </w:numPr>
        <w:tabs>
          <w:tab w:val="clear" w:pos="357"/>
          <w:tab w:val="left" w:pos="284"/>
        </w:tabs>
      </w:pPr>
      <w:bookmarkStart w:id="92" w:name="_Toc515022693"/>
      <w:bookmarkStart w:id="93" w:name="_Toc515022797"/>
      <w:bookmarkStart w:id="94" w:name="_Toc515022937"/>
      <w:bookmarkStart w:id="95" w:name="_Toc515023411"/>
      <w:r w:rsidRPr="0009445C">
        <w:t>2.</w:t>
      </w:r>
      <w:r w:rsidRPr="0009445C">
        <w:tab/>
        <w:t>Insulating materials for assembly exhaust pipes</w:t>
      </w:r>
      <w:bookmarkEnd w:id="92"/>
      <w:bookmarkEnd w:id="93"/>
      <w:bookmarkEnd w:id="94"/>
      <w:bookmarkEnd w:id="95"/>
    </w:p>
    <w:p w14:paraId="3A31B5B0" w14:textId="77777777" w:rsidR="00B47442" w:rsidRPr="0009445C" w:rsidRDefault="00B47442" w:rsidP="00B47442">
      <w:pPr>
        <w:pStyle w:val="BRL-StandardAufzhlungNr"/>
        <w:numPr>
          <w:ilvl w:val="0"/>
          <w:numId w:val="0"/>
        </w:numPr>
        <w:ind w:left="284"/>
        <w:rPr>
          <w:rFonts w:eastAsia="MS Mincho"/>
        </w:rPr>
      </w:pPr>
      <w:r w:rsidRPr="0009445C">
        <w:t xml:space="preserve">Insulating materials according to DIN EN 14303:2016-08 may be used for assembly exhaust pipes. The upper application limit temperature of the insulating material must be higher than or equal to the required temperature class for the exhaust system. </w:t>
      </w:r>
    </w:p>
    <w:p w14:paraId="20140498" w14:textId="77777777" w:rsidR="00B47442" w:rsidRPr="0009445C" w:rsidRDefault="00B47442" w:rsidP="00B47442">
      <w:pPr>
        <w:pStyle w:val="BRL-StandardAufzhlungNr"/>
        <w:numPr>
          <w:ilvl w:val="0"/>
          <w:numId w:val="0"/>
        </w:numPr>
        <w:tabs>
          <w:tab w:val="clear" w:pos="357"/>
          <w:tab w:val="left" w:pos="284"/>
        </w:tabs>
      </w:pPr>
      <w:bookmarkStart w:id="96" w:name="_Toc515022694"/>
      <w:bookmarkStart w:id="97" w:name="_Toc515022798"/>
      <w:bookmarkStart w:id="98" w:name="_Toc515022938"/>
      <w:bookmarkStart w:id="99" w:name="_Toc515023412"/>
      <w:r w:rsidRPr="0009445C">
        <w:t>3.</w:t>
      </w:r>
      <w:r w:rsidRPr="0009445C">
        <w:tab/>
        <w:t>Insulating materials for connectors and single-layer metallic exhaust systems</w:t>
      </w:r>
      <w:bookmarkEnd w:id="96"/>
      <w:bookmarkEnd w:id="97"/>
      <w:bookmarkEnd w:id="98"/>
      <w:bookmarkEnd w:id="99"/>
      <w:r w:rsidRPr="0009445C">
        <w:t xml:space="preserve"> </w:t>
      </w:r>
    </w:p>
    <w:p w14:paraId="3B010506" w14:textId="77777777" w:rsidR="00B47442" w:rsidRPr="0009445C" w:rsidRDefault="00B47442" w:rsidP="00B47442">
      <w:pPr>
        <w:pStyle w:val="BRL-StandardAufzhlungNr"/>
        <w:numPr>
          <w:ilvl w:val="0"/>
          <w:numId w:val="0"/>
        </w:numPr>
        <w:ind w:left="284"/>
        <w:rPr>
          <w:rFonts w:eastAsia="MS Mincho"/>
        </w:rPr>
      </w:pPr>
      <w:r w:rsidRPr="0009445C">
        <w:t xml:space="preserve">Insulating materials that are placed directly on the surfaces of metallic exhaust systems or connectors must be non-combustible. The upper application limit temperature of the insulating material must be higher than or equal to the required temperature class for the exhaust system. </w:t>
      </w:r>
    </w:p>
    <w:p w14:paraId="312A8DCC" w14:textId="77777777" w:rsidR="00B47442" w:rsidRPr="0009445C" w:rsidRDefault="00B47442" w:rsidP="00B47442">
      <w:pPr>
        <w:pStyle w:val="BRL-StandardAufzhlungNr"/>
        <w:numPr>
          <w:ilvl w:val="0"/>
          <w:numId w:val="0"/>
        </w:numPr>
        <w:ind w:left="284"/>
        <w:rPr>
          <w:rFonts w:eastAsia="MS Mincho"/>
        </w:rPr>
      </w:pPr>
    </w:p>
    <w:p w14:paraId="488EA40D" w14:textId="77777777" w:rsidR="00B47442" w:rsidRPr="0009445C" w:rsidRDefault="00B47442" w:rsidP="00B47442">
      <w:pPr>
        <w:pStyle w:val="BRL-Standard"/>
        <w:spacing w:after="120"/>
        <w:rPr>
          <w:rFonts w:eastAsia="Calibri"/>
        </w:rPr>
      </w:pPr>
      <w:r w:rsidRPr="0009445C">
        <w:t>Any subsequent designs will require a type approval:</w:t>
      </w:r>
    </w:p>
    <w:p w14:paraId="23385181" w14:textId="77777777" w:rsidR="00B47442" w:rsidRPr="0009445C" w:rsidRDefault="00B47442" w:rsidP="00B47442">
      <w:pPr>
        <w:pStyle w:val="BRLAufzhlungAnstrich"/>
        <w:numPr>
          <w:ilvl w:val="0"/>
          <w:numId w:val="1"/>
        </w:numPr>
        <w:rPr>
          <w:rFonts w:eastAsia="Calibri"/>
        </w:rPr>
      </w:pPr>
      <w:r w:rsidRPr="0009445C">
        <w:t xml:space="preserve">Air-exhaust chimneys, </w:t>
      </w:r>
    </w:p>
    <w:p w14:paraId="429B7FFB" w14:textId="77777777" w:rsidR="00B47442" w:rsidRPr="0009445C" w:rsidRDefault="00B47442" w:rsidP="00B47442">
      <w:pPr>
        <w:pStyle w:val="BRLAufzhlungAnstrich"/>
        <w:numPr>
          <w:ilvl w:val="0"/>
          <w:numId w:val="1"/>
        </w:numPr>
        <w:rPr>
          <w:rFonts w:eastAsia="Calibri"/>
        </w:rPr>
      </w:pPr>
      <w:r w:rsidRPr="0009445C">
        <w:t xml:space="preserve">Multiple-use exhaust systems for room-sealed solid-fuel furnaces, </w:t>
      </w:r>
    </w:p>
    <w:p w14:paraId="628989E9" w14:textId="77777777" w:rsidR="00B47442" w:rsidRPr="0009445C" w:rsidRDefault="00B47442" w:rsidP="00B47442">
      <w:pPr>
        <w:pStyle w:val="BRLAufzhlungAnstrich"/>
        <w:numPr>
          <w:ilvl w:val="0"/>
          <w:numId w:val="1"/>
        </w:numPr>
        <w:rPr>
          <w:rFonts w:eastAsia="Calibri"/>
        </w:rPr>
      </w:pPr>
      <w:r w:rsidRPr="0009445C">
        <w:t xml:space="preserve">Chimneys operated under overpressure, </w:t>
      </w:r>
    </w:p>
    <w:p w14:paraId="517CA5A8" w14:textId="77777777" w:rsidR="00B47442" w:rsidRPr="0009445C" w:rsidRDefault="00B47442" w:rsidP="00B47442">
      <w:pPr>
        <w:pStyle w:val="BRLAufzhlungAnstrich"/>
        <w:numPr>
          <w:ilvl w:val="0"/>
          <w:numId w:val="1"/>
        </w:numPr>
        <w:rPr>
          <w:rFonts w:eastAsia="Calibri"/>
        </w:rPr>
      </w:pPr>
      <w:r w:rsidRPr="0009445C">
        <w:t xml:space="preserve">Connectors for solid-fuel furnaces operated under overpressure, and </w:t>
      </w:r>
    </w:p>
    <w:p w14:paraId="35EBFB18" w14:textId="77777777" w:rsidR="00B47442" w:rsidRPr="0009445C" w:rsidRDefault="00B47442" w:rsidP="00B47442">
      <w:pPr>
        <w:pStyle w:val="BRLAufzhlungAnstrich"/>
        <w:numPr>
          <w:ilvl w:val="0"/>
          <w:numId w:val="1"/>
        </w:numPr>
        <w:rPr>
          <w:rFonts w:eastAsia="Calibri"/>
        </w:rPr>
      </w:pPr>
      <w:r w:rsidRPr="0009445C">
        <w:t>Assembly exhaust systems with a higher temperature class than T400.</w:t>
      </w:r>
    </w:p>
    <w:p w14:paraId="390C9220" w14:textId="77777777" w:rsidR="00B47442" w:rsidRPr="0009445C" w:rsidRDefault="00B47442" w:rsidP="00B47442">
      <w:pPr>
        <w:pStyle w:val="BRL-Standard"/>
        <w:rPr>
          <w:rFonts w:eastAsia="Calibri"/>
          <w:lang w:eastAsia="en-US"/>
        </w:rPr>
      </w:pPr>
    </w:p>
    <w:p w14:paraId="324E9743" w14:textId="77777777" w:rsidR="00B47442" w:rsidRPr="0009445C" w:rsidRDefault="00B47442" w:rsidP="00B47442">
      <w:pPr>
        <w:pStyle w:val="BRL-Standard"/>
        <w:rPr>
          <w:rFonts w:eastAsia="Calibri"/>
        </w:rPr>
      </w:pPr>
      <w:r w:rsidRPr="0009445C">
        <w:t>For free-standing exhaust systems with a height &gt; 3 m above the highest effective support, the provisions of Section A 1.2.8.1 of MVV TB shall be observed.</w:t>
      </w:r>
    </w:p>
    <w:p w14:paraId="0C0DC3AE" w14:textId="77777777" w:rsidR="00B47442" w:rsidRPr="0009445C" w:rsidRDefault="00B47442" w:rsidP="00B47442">
      <w:pPr>
        <w:pStyle w:val="BRL-Standard"/>
        <w:rPr>
          <w:rFonts w:eastAsia="Calibri"/>
          <w:lang w:eastAsia="en-US"/>
        </w:rPr>
      </w:pPr>
    </w:p>
    <w:p w14:paraId="071891A1" w14:textId="77777777" w:rsidR="00B47442" w:rsidRPr="0009445C" w:rsidRDefault="00B47442" w:rsidP="00B47442">
      <w:pPr>
        <w:pStyle w:val="BRL-Standard"/>
        <w:rPr>
          <w:rFonts w:eastAsia="Calibri"/>
        </w:rPr>
      </w:pPr>
      <w:r w:rsidRPr="0009445C">
        <w:t xml:space="preserve">In order to meet the requirements for the quality of exhaust systems, the construction products used pursuant to harmonised technical specifications must satisfy at least the performance levels given in Tables 4 and 5 for the key features. </w:t>
      </w:r>
    </w:p>
    <w:p w14:paraId="54976F6E" w14:textId="77777777" w:rsidR="00B47442" w:rsidRPr="0009445C" w:rsidRDefault="00B47442" w:rsidP="00B47442">
      <w:pPr>
        <w:pStyle w:val="BRL-Standard"/>
        <w:rPr>
          <w:rFonts w:eastAsia="Calibri"/>
          <w:lang w:eastAsia="en-US"/>
        </w:rPr>
      </w:pPr>
    </w:p>
    <w:p w14:paraId="509AB3AA" w14:textId="77777777" w:rsidR="00B47442" w:rsidRPr="0009445C" w:rsidRDefault="00B47442" w:rsidP="00B47442">
      <w:pPr>
        <w:pStyle w:val="BRL-Standard"/>
        <w:spacing w:after="40"/>
      </w:pPr>
      <w:r w:rsidRPr="0009445C">
        <w:t>Explanation for Table 4</w:t>
      </w:r>
    </w:p>
    <w:tbl>
      <w:tblPr>
        <w:tblW w:w="918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47"/>
        <w:gridCol w:w="7938"/>
      </w:tblGrid>
      <w:tr w:rsidR="00B47442" w:rsidRPr="0009445C" w14:paraId="58431D01" w14:textId="77777777" w:rsidTr="0099521D">
        <w:trPr>
          <w:tblHeader/>
        </w:trPr>
        <w:tc>
          <w:tcPr>
            <w:tcW w:w="1247" w:type="dxa"/>
            <w:shd w:val="clear" w:color="auto" w:fill="auto"/>
            <w:vAlign w:val="center"/>
          </w:tcPr>
          <w:p w14:paraId="59EB5F64" w14:textId="77777777" w:rsidR="00B47442" w:rsidRPr="0009445C" w:rsidRDefault="00B47442" w:rsidP="0099521D">
            <w:pPr>
              <w:pStyle w:val="BRLTabelleberschrift"/>
              <w:spacing w:after="40"/>
            </w:pPr>
            <w:r w:rsidRPr="0009445C">
              <w:t>Column no.</w:t>
            </w:r>
          </w:p>
        </w:tc>
        <w:tc>
          <w:tcPr>
            <w:tcW w:w="7938" w:type="dxa"/>
            <w:shd w:val="clear" w:color="auto" w:fill="auto"/>
            <w:vAlign w:val="center"/>
          </w:tcPr>
          <w:p w14:paraId="35B768FA" w14:textId="77777777" w:rsidR="00B47442" w:rsidRPr="0009445C" w:rsidRDefault="00B47442" w:rsidP="0099521D">
            <w:pPr>
              <w:pStyle w:val="BRLTabelleberschrift"/>
              <w:spacing w:after="40"/>
            </w:pPr>
            <w:r w:rsidRPr="0009445C">
              <w:t>Product according to harmonised standard</w:t>
            </w:r>
          </w:p>
        </w:tc>
      </w:tr>
      <w:tr w:rsidR="00B47442" w:rsidRPr="0009445C" w14:paraId="7955EAA8" w14:textId="77777777" w:rsidTr="0099521D">
        <w:tc>
          <w:tcPr>
            <w:tcW w:w="1247" w:type="dxa"/>
            <w:shd w:val="clear" w:color="auto" w:fill="auto"/>
            <w:vAlign w:val="center"/>
          </w:tcPr>
          <w:p w14:paraId="21BC9591" w14:textId="77777777" w:rsidR="00B47442" w:rsidRPr="0009445C" w:rsidRDefault="00B47442" w:rsidP="0099521D">
            <w:pPr>
              <w:pStyle w:val="BRL-Tabelle"/>
              <w:spacing w:before="40" w:after="40"/>
            </w:pPr>
            <w:r w:rsidRPr="0009445C">
              <w:t>2</w:t>
            </w:r>
          </w:p>
        </w:tc>
        <w:tc>
          <w:tcPr>
            <w:tcW w:w="7938" w:type="dxa"/>
            <w:shd w:val="clear" w:color="auto" w:fill="auto"/>
          </w:tcPr>
          <w:p w14:paraId="5AC2AC39" w14:textId="77777777" w:rsidR="00B47442" w:rsidRPr="0009445C" w:rsidRDefault="00B47442" w:rsidP="0099521D">
            <w:pPr>
              <w:pStyle w:val="BRL-Tabelle"/>
              <w:spacing w:before="40" w:after="40"/>
            </w:pPr>
            <w:r w:rsidRPr="0009445C">
              <w:t>EN 1457-1:2012 Clay/ceramic flue liners for operating under dry conditions</w:t>
            </w:r>
            <w:r w:rsidRPr="0009445C">
              <w:rPr>
                <w:vertAlign w:val="superscript"/>
              </w:rPr>
              <w:footnoteReference w:id="77"/>
            </w:r>
          </w:p>
        </w:tc>
      </w:tr>
      <w:tr w:rsidR="00B47442" w:rsidRPr="0009445C" w14:paraId="2CED29A8" w14:textId="77777777" w:rsidTr="0099521D">
        <w:tc>
          <w:tcPr>
            <w:tcW w:w="1247" w:type="dxa"/>
            <w:shd w:val="clear" w:color="auto" w:fill="auto"/>
            <w:vAlign w:val="center"/>
          </w:tcPr>
          <w:p w14:paraId="70183B12" w14:textId="77777777" w:rsidR="00B47442" w:rsidRPr="0009445C" w:rsidRDefault="00B47442" w:rsidP="0099521D">
            <w:pPr>
              <w:pStyle w:val="BRL-Tabelle"/>
              <w:spacing w:before="40" w:after="40"/>
            </w:pPr>
            <w:r w:rsidRPr="0009445C">
              <w:t>3</w:t>
            </w:r>
          </w:p>
        </w:tc>
        <w:tc>
          <w:tcPr>
            <w:tcW w:w="7938" w:type="dxa"/>
            <w:shd w:val="clear" w:color="auto" w:fill="auto"/>
          </w:tcPr>
          <w:p w14:paraId="6C9F0E1C" w14:textId="77777777" w:rsidR="00B47442" w:rsidRPr="0009445C" w:rsidRDefault="00B47442" w:rsidP="0099521D">
            <w:pPr>
              <w:pStyle w:val="BRL-Tabelle"/>
              <w:spacing w:before="40" w:after="40"/>
            </w:pPr>
            <w:r w:rsidRPr="0009445C">
              <w:t>EN 1457-2:2012 Clay/ceramic flue liners for operating under wet conditions</w:t>
            </w:r>
            <w:r w:rsidRPr="0009445C">
              <w:rPr>
                <w:vertAlign w:val="superscript"/>
              </w:rPr>
              <w:footnoteReference w:id="78"/>
            </w:r>
          </w:p>
        </w:tc>
      </w:tr>
      <w:tr w:rsidR="00B47442" w:rsidRPr="0009445C" w14:paraId="64889C3B" w14:textId="77777777" w:rsidTr="0099521D">
        <w:tc>
          <w:tcPr>
            <w:tcW w:w="1247" w:type="dxa"/>
            <w:shd w:val="clear" w:color="auto" w:fill="auto"/>
            <w:vAlign w:val="center"/>
          </w:tcPr>
          <w:p w14:paraId="2163D1A6" w14:textId="77777777" w:rsidR="00B47442" w:rsidRPr="0009445C" w:rsidRDefault="00B47442" w:rsidP="0099521D">
            <w:pPr>
              <w:pStyle w:val="BRL-Tabelle"/>
              <w:spacing w:before="40" w:after="40"/>
            </w:pPr>
            <w:r w:rsidRPr="0009445C">
              <w:t>4</w:t>
            </w:r>
          </w:p>
        </w:tc>
        <w:tc>
          <w:tcPr>
            <w:tcW w:w="7938" w:type="dxa"/>
            <w:shd w:val="clear" w:color="auto" w:fill="auto"/>
          </w:tcPr>
          <w:p w14:paraId="0D6E88F3" w14:textId="1E7BB8BC" w:rsidR="00B47442" w:rsidRPr="0009445C" w:rsidRDefault="00B47442" w:rsidP="0099521D">
            <w:pPr>
              <w:pStyle w:val="BRL-Tabelle"/>
              <w:spacing w:before="40" w:after="40"/>
            </w:pPr>
            <w:r w:rsidRPr="0009445C">
              <w:t>EN 1806:2006 Ceramic mould components for exhaust systems</w:t>
            </w:r>
            <w:r w:rsidRPr="0009445C">
              <w:rPr>
                <w:rStyle w:val="FootnoteReference"/>
                <w:sz w:val="12"/>
              </w:rPr>
              <w:fldChar w:fldCharType="begin"/>
            </w:r>
            <w:r w:rsidRPr="0009445C">
              <w:rPr>
                <w:rStyle w:val="FootnoteReference"/>
                <w:sz w:val="12"/>
              </w:rPr>
              <w:instrText xml:space="preserve"> NOTEREF _Ref82183364 \h  \* MERGEFORMAT </w:instrText>
            </w:r>
            <w:r w:rsidRPr="0009445C">
              <w:rPr>
                <w:rStyle w:val="FootnoteReference"/>
                <w:sz w:val="12"/>
              </w:rPr>
            </w:r>
            <w:r w:rsidRPr="0009445C">
              <w:rPr>
                <w:rStyle w:val="FootnoteReference"/>
                <w:sz w:val="12"/>
              </w:rPr>
              <w:fldChar w:fldCharType="separate"/>
            </w:r>
            <w:r w:rsidR="0009445C" w:rsidRPr="0009445C">
              <w:rPr>
                <w:rStyle w:val="FootnoteReference"/>
                <w:sz w:val="12"/>
              </w:rPr>
              <w:t>12</w:t>
            </w:r>
            <w:r w:rsidRPr="0009445C">
              <w:rPr>
                <w:rStyle w:val="FootnoteReference"/>
                <w:sz w:val="12"/>
              </w:rPr>
              <w:fldChar w:fldCharType="end"/>
            </w:r>
          </w:p>
        </w:tc>
      </w:tr>
      <w:tr w:rsidR="00B47442" w:rsidRPr="0009445C" w14:paraId="1CD79D34" w14:textId="77777777" w:rsidTr="0099521D">
        <w:tc>
          <w:tcPr>
            <w:tcW w:w="1247" w:type="dxa"/>
            <w:shd w:val="clear" w:color="auto" w:fill="auto"/>
            <w:vAlign w:val="center"/>
          </w:tcPr>
          <w:p w14:paraId="67DE67FC" w14:textId="77777777" w:rsidR="00B47442" w:rsidRPr="0009445C" w:rsidRDefault="00B47442" w:rsidP="0099521D">
            <w:pPr>
              <w:pStyle w:val="BRL-Tabelle"/>
              <w:spacing w:before="40" w:after="40"/>
            </w:pPr>
            <w:r w:rsidRPr="0009445C">
              <w:t>5</w:t>
            </w:r>
          </w:p>
        </w:tc>
        <w:tc>
          <w:tcPr>
            <w:tcW w:w="7938" w:type="dxa"/>
            <w:shd w:val="clear" w:color="auto" w:fill="auto"/>
          </w:tcPr>
          <w:p w14:paraId="5A48259B" w14:textId="1B82D14A" w:rsidR="00B47442" w:rsidRPr="0009445C" w:rsidRDefault="00B47442" w:rsidP="0099521D">
            <w:pPr>
              <w:pStyle w:val="BRL-Tabelle"/>
              <w:spacing w:before="40" w:after="40"/>
            </w:pPr>
            <w:r w:rsidRPr="0009445C">
              <w:t>EN 1856-1:2009 Requirements for metal chimneys - System chimney products</w:t>
            </w:r>
            <w:r w:rsidRPr="0009445C">
              <w:rPr>
                <w:rStyle w:val="FootnoteReference"/>
                <w:sz w:val="12"/>
              </w:rPr>
              <w:fldChar w:fldCharType="begin"/>
            </w:r>
            <w:r w:rsidRPr="0009445C">
              <w:rPr>
                <w:rStyle w:val="FootnoteReference"/>
                <w:sz w:val="12"/>
              </w:rPr>
              <w:instrText xml:space="preserve"> NOTEREF _Ref82183433 \h  \* MERGEFORMAT </w:instrText>
            </w:r>
            <w:r w:rsidRPr="0009445C">
              <w:rPr>
                <w:rStyle w:val="FootnoteReference"/>
                <w:sz w:val="12"/>
              </w:rPr>
            </w:r>
            <w:r w:rsidRPr="0009445C">
              <w:rPr>
                <w:rStyle w:val="FootnoteReference"/>
                <w:sz w:val="12"/>
              </w:rPr>
              <w:fldChar w:fldCharType="separate"/>
            </w:r>
            <w:r w:rsidR="0009445C" w:rsidRPr="0009445C">
              <w:rPr>
                <w:rStyle w:val="FootnoteReference"/>
                <w:sz w:val="12"/>
              </w:rPr>
              <w:t>13</w:t>
            </w:r>
            <w:r w:rsidRPr="0009445C">
              <w:rPr>
                <w:rStyle w:val="FootnoteReference"/>
                <w:sz w:val="12"/>
              </w:rPr>
              <w:fldChar w:fldCharType="end"/>
            </w:r>
          </w:p>
        </w:tc>
      </w:tr>
      <w:tr w:rsidR="00B47442" w:rsidRPr="0009445C" w14:paraId="6F6B166E" w14:textId="77777777" w:rsidTr="0099521D">
        <w:tc>
          <w:tcPr>
            <w:tcW w:w="1247" w:type="dxa"/>
            <w:shd w:val="clear" w:color="auto" w:fill="auto"/>
            <w:vAlign w:val="center"/>
          </w:tcPr>
          <w:p w14:paraId="16B68AF7" w14:textId="77777777" w:rsidR="00B47442" w:rsidRPr="0009445C" w:rsidRDefault="00B47442" w:rsidP="0099521D">
            <w:pPr>
              <w:pStyle w:val="BRL-Tabelle"/>
              <w:spacing w:before="40" w:after="40"/>
              <w:rPr>
                <w:rFonts w:cs="Arial"/>
              </w:rPr>
            </w:pPr>
            <w:r w:rsidRPr="0009445C">
              <w:t>6</w:t>
            </w:r>
          </w:p>
        </w:tc>
        <w:tc>
          <w:tcPr>
            <w:tcW w:w="7938" w:type="dxa"/>
            <w:shd w:val="clear" w:color="auto" w:fill="auto"/>
          </w:tcPr>
          <w:p w14:paraId="73FDEC9C" w14:textId="77777777" w:rsidR="00B47442" w:rsidRPr="0009445C" w:rsidRDefault="00B47442" w:rsidP="0099521D">
            <w:pPr>
              <w:pStyle w:val="BRL-Tabelle"/>
              <w:spacing w:before="40" w:after="40"/>
              <w:rPr>
                <w:rFonts w:cs="Arial"/>
              </w:rPr>
            </w:pPr>
            <w:r w:rsidRPr="0009445C">
              <w:t>EN 1856-2:2009 Metal flue liners and connecting flue pipes for chimneys</w:t>
            </w:r>
            <w:r w:rsidRPr="0009445C">
              <w:rPr>
                <w:vertAlign w:val="superscript"/>
              </w:rPr>
              <w:footnoteReference w:id="79"/>
            </w:r>
          </w:p>
        </w:tc>
      </w:tr>
      <w:tr w:rsidR="00B47442" w:rsidRPr="0009445C" w14:paraId="511A245F" w14:textId="77777777" w:rsidTr="0099521D">
        <w:tc>
          <w:tcPr>
            <w:tcW w:w="1247" w:type="dxa"/>
            <w:shd w:val="clear" w:color="auto" w:fill="auto"/>
            <w:vAlign w:val="center"/>
          </w:tcPr>
          <w:p w14:paraId="7A485A3E" w14:textId="77777777" w:rsidR="00B47442" w:rsidRPr="0009445C" w:rsidRDefault="00B47442" w:rsidP="0099521D">
            <w:pPr>
              <w:pStyle w:val="BRL-Tabelle"/>
              <w:spacing w:before="40" w:after="40"/>
              <w:rPr>
                <w:rFonts w:cs="Arial"/>
              </w:rPr>
            </w:pPr>
            <w:r w:rsidRPr="0009445C">
              <w:t>7</w:t>
            </w:r>
          </w:p>
        </w:tc>
        <w:tc>
          <w:tcPr>
            <w:tcW w:w="7938" w:type="dxa"/>
            <w:shd w:val="clear" w:color="auto" w:fill="auto"/>
          </w:tcPr>
          <w:p w14:paraId="44BAE619" w14:textId="77777777" w:rsidR="00B47442" w:rsidRPr="0009445C" w:rsidRDefault="00B47442" w:rsidP="0099521D">
            <w:pPr>
              <w:pStyle w:val="BRL-Tabelle"/>
              <w:spacing w:before="40" w:after="40"/>
              <w:rPr>
                <w:rFonts w:cs="Arial"/>
              </w:rPr>
            </w:pPr>
            <w:r w:rsidRPr="0009445C">
              <w:t>EN 1857:2010 Concrete flue liners for chimneys</w:t>
            </w:r>
            <w:r w:rsidRPr="0009445C">
              <w:rPr>
                <w:vertAlign w:val="superscript"/>
              </w:rPr>
              <w:footnoteReference w:id="80"/>
            </w:r>
          </w:p>
        </w:tc>
      </w:tr>
      <w:tr w:rsidR="00B47442" w:rsidRPr="0009445C" w14:paraId="0E79B765" w14:textId="77777777" w:rsidTr="0099521D">
        <w:tc>
          <w:tcPr>
            <w:tcW w:w="1247" w:type="dxa"/>
            <w:shd w:val="clear" w:color="auto" w:fill="auto"/>
            <w:vAlign w:val="center"/>
          </w:tcPr>
          <w:p w14:paraId="72F241CD" w14:textId="77777777" w:rsidR="00B47442" w:rsidRPr="0009445C" w:rsidRDefault="00B47442" w:rsidP="0099521D">
            <w:pPr>
              <w:pStyle w:val="BRL-Tabelle"/>
              <w:spacing w:before="40" w:after="40"/>
              <w:rPr>
                <w:rFonts w:cs="Arial"/>
              </w:rPr>
            </w:pPr>
            <w:r w:rsidRPr="0009445C">
              <w:t>8</w:t>
            </w:r>
          </w:p>
        </w:tc>
        <w:tc>
          <w:tcPr>
            <w:tcW w:w="7938" w:type="dxa"/>
            <w:shd w:val="clear" w:color="auto" w:fill="auto"/>
          </w:tcPr>
          <w:p w14:paraId="52D347E3" w14:textId="19A6C01C" w:rsidR="00B47442" w:rsidRPr="0009445C" w:rsidRDefault="00B47442" w:rsidP="0099521D">
            <w:pPr>
              <w:pStyle w:val="BRL-Tabelle"/>
              <w:spacing w:before="40" w:after="40"/>
              <w:rPr>
                <w:rFonts w:cs="Arial"/>
              </w:rPr>
            </w:pPr>
            <w:r w:rsidRPr="0009445C">
              <w:t>EN 1858:2008+A1:2001 Concrete flue components</w:t>
            </w:r>
            <w:r w:rsidRPr="0009445C">
              <w:rPr>
                <w:rStyle w:val="FootnoteReference"/>
                <w:sz w:val="12"/>
              </w:rPr>
              <w:fldChar w:fldCharType="begin"/>
            </w:r>
            <w:r w:rsidRPr="0009445C">
              <w:rPr>
                <w:rStyle w:val="FootnoteReference"/>
                <w:sz w:val="12"/>
              </w:rPr>
              <w:instrText xml:space="preserve"> NOTEREF _Ref82182178 \h  \* MERGEFORMAT </w:instrText>
            </w:r>
            <w:r w:rsidRPr="0009445C">
              <w:rPr>
                <w:rStyle w:val="FootnoteReference"/>
                <w:sz w:val="12"/>
              </w:rPr>
            </w:r>
            <w:r w:rsidRPr="0009445C">
              <w:rPr>
                <w:rStyle w:val="FootnoteReference"/>
                <w:sz w:val="12"/>
              </w:rPr>
              <w:fldChar w:fldCharType="separate"/>
            </w:r>
            <w:r w:rsidR="0009445C" w:rsidRPr="0009445C">
              <w:rPr>
                <w:rStyle w:val="FootnoteReference"/>
                <w:sz w:val="12"/>
              </w:rPr>
              <w:t>9</w:t>
            </w:r>
            <w:r w:rsidRPr="0009445C">
              <w:rPr>
                <w:rStyle w:val="FootnoteReference"/>
                <w:sz w:val="12"/>
              </w:rPr>
              <w:fldChar w:fldCharType="end"/>
            </w:r>
            <w:r w:rsidRPr="0009445C">
              <w:rPr>
                <w:vertAlign w:val="superscript"/>
              </w:rPr>
              <w:t xml:space="preserve"> </w:t>
            </w:r>
          </w:p>
        </w:tc>
      </w:tr>
      <w:tr w:rsidR="00B47442" w:rsidRPr="0009445C" w14:paraId="4A276051" w14:textId="77777777" w:rsidTr="0099521D">
        <w:tc>
          <w:tcPr>
            <w:tcW w:w="1247" w:type="dxa"/>
            <w:shd w:val="clear" w:color="auto" w:fill="auto"/>
            <w:vAlign w:val="center"/>
          </w:tcPr>
          <w:p w14:paraId="6E7D4EB1" w14:textId="77777777" w:rsidR="00B47442" w:rsidRPr="0009445C" w:rsidRDefault="00B47442" w:rsidP="0099521D">
            <w:pPr>
              <w:pStyle w:val="BRL-Tabelle"/>
              <w:pageBreakBefore/>
              <w:spacing w:before="40" w:after="40"/>
              <w:rPr>
                <w:rFonts w:cs="Arial"/>
              </w:rPr>
            </w:pPr>
            <w:r w:rsidRPr="0009445C">
              <w:lastRenderedPageBreak/>
              <w:t>9</w:t>
            </w:r>
          </w:p>
        </w:tc>
        <w:tc>
          <w:tcPr>
            <w:tcW w:w="7938" w:type="dxa"/>
            <w:shd w:val="clear" w:color="auto" w:fill="auto"/>
          </w:tcPr>
          <w:p w14:paraId="5840D48F" w14:textId="7620F2DD" w:rsidR="00B47442" w:rsidRPr="0009445C" w:rsidRDefault="00B47442" w:rsidP="0099521D">
            <w:pPr>
              <w:pStyle w:val="BRL-Tabelle"/>
              <w:spacing w:before="40" w:after="40"/>
              <w:rPr>
                <w:rFonts w:cs="Arial"/>
              </w:rPr>
            </w:pPr>
            <w:r w:rsidRPr="0009445C">
              <w:t>EN 12446:2011 Chimneys - Concrete exterior wall elements</w:t>
            </w:r>
            <w:r w:rsidRPr="0009445C">
              <w:rPr>
                <w:rStyle w:val="FootnoteReference"/>
                <w:sz w:val="12"/>
              </w:rPr>
              <w:fldChar w:fldCharType="begin"/>
            </w:r>
            <w:r w:rsidRPr="0009445C">
              <w:rPr>
                <w:rStyle w:val="FootnoteReference"/>
                <w:sz w:val="12"/>
              </w:rPr>
              <w:instrText xml:space="preserve"> NOTEREF _Ref82182246 \h  \* MERGEFORMAT </w:instrText>
            </w:r>
            <w:r w:rsidRPr="0009445C">
              <w:rPr>
                <w:rStyle w:val="FootnoteReference"/>
                <w:sz w:val="12"/>
              </w:rPr>
            </w:r>
            <w:r w:rsidRPr="0009445C">
              <w:rPr>
                <w:rStyle w:val="FootnoteReference"/>
                <w:sz w:val="12"/>
              </w:rPr>
              <w:fldChar w:fldCharType="separate"/>
            </w:r>
            <w:r w:rsidR="0009445C" w:rsidRPr="0009445C">
              <w:rPr>
                <w:rStyle w:val="FootnoteReference"/>
                <w:sz w:val="12"/>
              </w:rPr>
              <w:t>10</w:t>
            </w:r>
            <w:r w:rsidRPr="0009445C">
              <w:rPr>
                <w:rStyle w:val="FootnoteReference"/>
                <w:sz w:val="12"/>
              </w:rPr>
              <w:fldChar w:fldCharType="end"/>
            </w:r>
            <w:r w:rsidRPr="0009445C">
              <w:rPr>
                <w:sz w:val="16"/>
              </w:rPr>
              <w:t xml:space="preserve"> </w:t>
            </w:r>
          </w:p>
        </w:tc>
      </w:tr>
      <w:tr w:rsidR="00B47442" w:rsidRPr="0009445C" w14:paraId="73535E1A" w14:textId="77777777" w:rsidTr="0099521D">
        <w:tc>
          <w:tcPr>
            <w:tcW w:w="1247" w:type="dxa"/>
            <w:shd w:val="clear" w:color="auto" w:fill="auto"/>
            <w:vAlign w:val="center"/>
          </w:tcPr>
          <w:p w14:paraId="63A6F29E" w14:textId="77777777" w:rsidR="00B47442" w:rsidRPr="0009445C" w:rsidRDefault="00B47442" w:rsidP="0099521D">
            <w:pPr>
              <w:pStyle w:val="BRL-Tabelle"/>
              <w:spacing w:before="40" w:after="40"/>
              <w:rPr>
                <w:rFonts w:cs="Arial"/>
              </w:rPr>
            </w:pPr>
            <w:r w:rsidRPr="0009445C">
              <w:t>10</w:t>
            </w:r>
          </w:p>
        </w:tc>
        <w:tc>
          <w:tcPr>
            <w:tcW w:w="7938" w:type="dxa"/>
            <w:shd w:val="clear" w:color="auto" w:fill="auto"/>
          </w:tcPr>
          <w:p w14:paraId="16B68685" w14:textId="77777777" w:rsidR="00B47442" w:rsidRPr="0009445C" w:rsidRDefault="00B47442" w:rsidP="0099521D">
            <w:pPr>
              <w:pStyle w:val="BRL-Tabelle"/>
              <w:spacing w:before="40" w:after="40"/>
              <w:rPr>
                <w:rFonts w:cs="Arial"/>
              </w:rPr>
            </w:pPr>
            <w:r w:rsidRPr="0009445C">
              <w:t>EN 13063-1:2005+A1:2007 Soot fire-resistant system chimneys with ceramic flue liners</w:t>
            </w:r>
            <w:r w:rsidRPr="0009445C">
              <w:rPr>
                <w:rStyle w:val="FootnoteReference"/>
                <w:sz w:val="12"/>
              </w:rPr>
              <w:footnoteReference w:id="81"/>
            </w:r>
          </w:p>
        </w:tc>
      </w:tr>
      <w:tr w:rsidR="00B47442" w:rsidRPr="0009445C" w14:paraId="6B681929" w14:textId="77777777" w:rsidTr="0099521D">
        <w:tc>
          <w:tcPr>
            <w:tcW w:w="1247" w:type="dxa"/>
            <w:shd w:val="clear" w:color="auto" w:fill="auto"/>
            <w:vAlign w:val="center"/>
          </w:tcPr>
          <w:p w14:paraId="604DF7B7" w14:textId="77777777" w:rsidR="00B47442" w:rsidRPr="0009445C" w:rsidRDefault="00B47442" w:rsidP="0099521D">
            <w:pPr>
              <w:pStyle w:val="BRL-Tabelle"/>
              <w:spacing w:before="40" w:after="40"/>
              <w:rPr>
                <w:rFonts w:cs="Arial"/>
              </w:rPr>
            </w:pPr>
            <w:r w:rsidRPr="0009445C">
              <w:t>11</w:t>
            </w:r>
          </w:p>
        </w:tc>
        <w:tc>
          <w:tcPr>
            <w:tcW w:w="7938" w:type="dxa"/>
            <w:shd w:val="clear" w:color="auto" w:fill="auto"/>
          </w:tcPr>
          <w:p w14:paraId="2A251374" w14:textId="77777777" w:rsidR="00B47442" w:rsidRPr="0009445C" w:rsidRDefault="00B47442" w:rsidP="0099521D">
            <w:pPr>
              <w:pStyle w:val="BRL-Tabelle"/>
              <w:spacing w:before="40" w:after="40"/>
              <w:rPr>
                <w:rFonts w:cs="Arial"/>
              </w:rPr>
            </w:pPr>
            <w:r w:rsidRPr="0009445C">
              <w:t>EN 13063-2:2005+A1:2007 System chimneys with clay/ceramic flue liners</w:t>
            </w:r>
            <w:r w:rsidRPr="0009445C">
              <w:rPr>
                <w:vertAlign w:val="superscript"/>
              </w:rPr>
              <w:footnoteReference w:id="82"/>
            </w:r>
          </w:p>
        </w:tc>
      </w:tr>
      <w:tr w:rsidR="00B47442" w:rsidRPr="0009445C" w14:paraId="3360D7D0" w14:textId="77777777" w:rsidTr="0099521D">
        <w:tc>
          <w:tcPr>
            <w:tcW w:w="1247" w:type="dxa"/>
            <w:shd w:val="clear" w:color="auto" w:fill="auto"/>
            <w:vAlign w:val="center"/>
          </w:tcPr>
          <w:p w14:paraId="139A39CD" w14:textId="77777777" w:rsidR="00B47442" w:rsidRPr="0009445C" w:rsidRDefault="00B47442" w:rsidP="0099521D">
            <w:pPr>
              <w:pStyle w:val="BRL-Tabelle"/>
              <w:spacing w:before="40" w:after="40"/>
              <w:rPr>
                <w:rFonts w:cs="Arial"/>
              </w:rPr>
            </w:pPr>
            <w:r w:rsidRPr="0009445C">
              <w:t>12</w:t>
            </w:r>
          </w:p>
        </w:tc>
        <w:tc>
          <w:tcPr>
            <w:tcW w:w="7938" w:type="dxa"/>
            <w:shd w:val="clear" w:color="auto" w:fill="auto"/>
          </w:tcPr>
          <w:p w14:paraId="1EA82359" w14:textId="77777777" w:rsidR="00B47442" w:rsidRPr="0009445C" w:rsidRDefault="00B47442" w:rsidP="0099521D">
            <w:pPr>
              <w:pStyle w:val="BRL-Tabelle"/>
              <w:spacing w:before="40" w:after="40"/>
              <w:rPr>
                <w:rFonts w:cs="Arial"/>
              </w:rPr>
            </w:pPr>
            <w:r w:rsidRPr="0009445C">
              <w:t>EN 13063-3:2007 Air flue system chimneys with clay/ceramic flue liners</w:t>
            </w:r>
            <w:r w:rsidRPr="0009445C">
              <w:rPr>
                <w:vertAlign w:val="superscript"/>
              </w:rPr>
              <w:footnoteReference w:id="83"/>
            </w:r>
          </w:p>
        </w:tc>
      </w:tr>
      <w:tr w:rsidR="00B47442" w:rsidRPr="0009445C" w14:paraId="00D3E5E6" w14:textId="77777777" w:rsidTr="0099521D">
        <w:tc>
          <w:tcPr>
            <w:tcW w:w="1247" w:type="dxa"/>
            <w:shd w:val="clear" w:color="auto" w:fill="auto"/>
            <w:vAlign w:val="center"/>
          </w:tcPr>
          <w:p w14:paraId="25440F2C" w14:textId="77777777" w:rsidR="00B47442" w:rsidRPr="0009445C" w:rsidRDefault="00B47442" w:rsidP="0099521D">
            <w:pPr>
              <w:pStyle w:val="BRL-Tabelle"/>
              <w:spacing w:before="40" w:after="40"/>
              <w:rPr>
                <w:rFonts w:cs="Arial"/>
              </w:rPr>
            </w:pPr>
            <w:r w:rsidRPr="0009445C">
              <w:t>13</w:t>
            </w:r>
          </w:p>
        </w:tc>
        <w:tc>
          <w:tcPr>
            <w:tcW w:w="7938" w:type="dxa"/>
            <w:shd w:val="clear" w:color="auto" w:fill="auto"/>
          </w:tcPr>
          <w:p w14:paraId="3F06BED6" w14:textId="7404B358" w:rsidR="00B47442" w:rsidRPr="0009445C" w:rsidRDefault="00B47442" w:rsidP="0099521D">
            <w:pPr>
              <w:pStyle w:val="BRL-Tabelle"/>
              <w:spacing w:before="40" w:after="40"/>
              <w:rPr>
                <w:rFonts w:cs="Arial"/>
              </w:rPr>
            </w:pPr>
            <w:r w:rsidRPr="0009445C">
              <w:t>EN 13069:2005 Ceramic outer shells for system exhaust installations</w:t>
            </w:r>
            <w:r w:rsidRPr="0009445C">
              <w:rPr>
                <w:rStyle w:val="FootnoteReference"/>
                <w:sz w:val="12"/>
              </w:rPr>
              <w:fldChar w:fldCharType="begin"/>
            </w:r>
            <w:r w:rsidRPr="0009445C">
              <w:rPr>
                <w:rStyle w:val="FootnoteReference"/>
                <w:sz w:val="12"/>
              </w:rPr>
              <w:instrText xml:space="preserve"> NOTEREF _Ref82182452 \h  \* MERGEFORMAT </w:instrText>
            </w:r>
            <w:r w:rsidRPr="0009445C">
              <w:rPr>
                <w:rStyle w:val="FootnoteReference"/>
                <w:sz w:val="12"/>
              </w:rPr>
            </w:r>
            <w:r w:rsidRPr="0009445C">
              <w:rPr>
                <w:rStyle w:val="FootnoteReference"/>
                <w:sz w:val="12"/>
              </w:rPr>
              <w:fldChar w:fldCharType="separate"/>
            </w:r>
            <w:r w:rsidR="0009445C" w:rsidRPr="0009445C">
              <w:rPr>
                <w:rStyle w:val="FootnoteReference"/>
                <w:sz w:val="12"/>
              </w:rPr>
              <w:t>11</w:t>
            </w:r>
            <w:r w:rsidRPr="0009445C">
              <w:rPr>
                <w:rStyle w:val="FootnoteReference"/>
                <w:sz w:val="12"/>
              </w:rPr>
              <w:fldChar w:fldCharType="end"/>
            </w:r>
          </w:p>
        </w:tc>
      </w:tr>
      <w:tr w:rsidR="00B47442" w:rsidRPr="0009445C" w14:paraId="065B8759" w14:textId="77777777" w:rsidTr="0099521D">
        <w:tc>
          <w:tcPr>
            <w:tcW w:w="1247" w:type="dxa"/>
            <w:shd w:val="clear" w:color="auto" w:fill="auto"/>
            <w:vAlign w:val="center"/>
          </w:tcPr>
          <w:p w14:paraId="5C2746F9" w14:textId="77777777" w:rsidR="00B47442" w:rsidRPr="0009445C" w:rsidRDefault="00B47442" w:rsidP="0099521D">
            <w:pPr>
              <w:pStyle w:val="BRL-Tabelle"/>
              <w:spacing w:before="40" w:after="40"/>
              <w:rPr>
                <w:rFonts w:cs="Arial"/>
              </w:rPr>
            </w:pPr>
            <w:r w:rsidRPr="0009445C">
              <w:t>14</w:t>
            </w:r>
          </w:p>
        </w:tc>
        <w:tc>
          <w:tcPr>
            <w:tcW w:w="7938" w:type="dxa"/>
            <w:shd w:val="clear" w:color="auto" w:fill="auto"/>
          </w:tcPr>
          <w:p w14:paraId="69DAB4EB" w14:textId="77777777" w:rsidR="00B47442" w:rsidRPr="0009445C" w:rsidRDefault="00B47442" w:rsidP="0099521D">
            <w:pPr>
              <w:pStyle w:val="BRL-Tabelle"/>
              <w:spacing w:before="40" w:after="40"/>
              <w:rPr>
                <w:rFonts w:cs="Arial"/>
              </w:rPr>
            </w:pPr>
            <w:r w:rsidRPr="0009445C">
              <w:t>EN 14471:2013+A1:2015 System exhaust systems with plastic flue liners</w:t>
            </w:r>
            <w:r w:rsidRPr="0009445C">
              <w:rPr>
                <w:vertAlign w:val="superscript"/>
              </w:rPr>
              <w:footnoteReference w:id="84"/>
            </w:r>
          </w:p>
        </w:tc>
      </w:tr>
      <w:tr w:rsidR="00B47442" w:rsidRPr="0009445C" w14:paraId="2B2E86BA" w14:textId="77777777" w:rsidTr="0099521D">
        <w:tc>
          <w:tcPr>
            <w:tcW w:w="1247" w:type="dxa"/>
            <w:shd w:val="clear" w:color="auto" w:fill="auto"/>
            <w:vAlign w:val="center"/>
          </w:tcPr>
          <w:p w14:paraId="00640AFF" w14:textId="77777777" w:rsidR="00B47442" w:rsidRPr="0009445C" w:rsidRDefault="00B47442" w:rsidP="0099521D">
            <w:pPr>
              <w:pStyle w:val="BRL-Tabelle"/>
              <w:spacing w:before="40" w:after="40"/>
              <w:rPr>
                <w:rFonts w:cs="Arial"/>
              </w:rPr>
            </w:pPr>
            <w:r w:rsidRPr="0009445C">
              <w:t>15</w:t>
            </w:r>
          </w:p>
        </w:tc>
        <w:tc>
          <w:tcPr>
            <w:tcW w:w="7938" w:type="dxa"/>
            <w:shd w:val="clear" w:color="auto" w:fill="auto"/>
          </w:tcPr>
          <w:p w14:paraId="19068BD1" w14:textId="77777777" w:rsidR="00B47442" w:rsidRPr="0009445C" w:rsidRDefault="00B47442" w:rsidP="0099521D">
            <w:pPr>
              <w:pStyle w:val="BRL-Tabelle"/>
              <w:spacing w:before="40" w:after="40"/>
              <w:rPr>
                <w:rFonts w:cs="Arial"/>
              </w:rPr>
            </w:pPr>
            <w:r w:rsidRPr="0009445C">
              <w:t>EN 14989-1:2007 Appliances for room-sealed exhaust systems of gas appliances of type C6</w:t>
            </w:r>
            <w:r w:rsidRPr="0009445C">
              <w:rPr>
                <w:vertAlign w:val="superscript"/>
              </w:rPr>
              <w:footnoteReference w:id="85"/>
            </w:r>
          </w:p>
        </w:tc>
      </w:tr>
      <w:tr w:rsidR="00B47442" w:rsidRPr="0009445C" w14:paraId="79E78866" w14:textId="77777777" w:rsidTr="0099521D">
        <w:tc>
          <w:tcPr>
            <w:tcW w:w="1247" w:type="dxa"/>
            <w:shd w:val="clear" w:color="auto" w:fill="auto"/>
            <w:vAlign w:val="center"/>
          </w:tcPr>
          <w:p w14:paraId="32F35F73" w14:textId="77777777" w:rsidR="00B47442" w:rsidRPr="0009445C" w:rsidRDefault="00B47442" w:rsidP="0099521D">
            <w:pPr>
              <w:pStyle w:val="BRL-Tabelle"/>
              <w:spacing w:before="40" w:after="40"/>
              <w:rPr>
                <w:rFonts w:cs="Arial"/>
              </w:rPr>
            </w:pPr>
            <w:r w:rsidRPr="0009445C">
              <w:t>16</w:t>
            </w:r>
          </w:p>
        </w:tc>
        <w:tc>
          <w:tcPr>
            <w:tcW w:w="7938" w:type="dxa"/>
            <w:shd w:val="clear" w:color="auto" w:fill="auto"/>
          </w:tcPr>
          <w:p w14:paraId="3DA18E94" w14:textId="77777777" w:rsidR="00B47442" w:rsidRPr="0009445C" w:rsidRDefault="00B47442" w:rsidP="0099521D">
            <w:pPr>
              <w:pStyle w:val="BRL-Tabelle"/>
              <w:spacing w:before="40" w:after="40"/>
              <w:rPr>
                <w:rFonts w:cs="Arial"/>
              </w:rPr>
            </w:pPr>
            <w:r w:rsidRPr="0009445C">
              <w:t>EN 14989-2:2007 Exhaust and air supply ducts for room-sealed furnaces</w:t>
            </w:r>
            <w:r w:rsidRPr="0009445C">
              <w:rPr>
                <w:vertAlign w:val="superscript"/>
              </w:rPr>
              <w:footnoteReference w:id="86"/>
            </w:r>
          </w:p>
        </w:tc>
      </w:tr>
    </w:tbl>
    <w:p w14:paraId="42689994" w14:textId="77777777" w:rsidR="00B47442" w:rsidRPr="0009445C" w:rsidRDefault="00B47442" w:rsidP="00B47442">
      <w:pPr>
        <w:pStyle w:val="BRL-Standard"/>
        <w:spacing w:before="100" w:after="40"/>
        <w:rPr>
          <w:b/>
        </w:rPr>
      </w:pPr>
    </w:p>
    <w:p w14:paraId="41D8AB97" w14:textId="77777777" w:rsidR="00B47442" w:rsidRPr="0009445C" w:rsidRDefault="00B47442" w:rsidP="00B47442">
      <w:pPr>
        <w:pStyle w:val="BRL-Standard"/>
        <w:rPr>
          <w:b/>
        </w:rPr>
      </w:pPr>
      <w:r w:rsidRPr="0009445C">
        <w:rPr>
          <w:b/>
        </w:rPr>
        <w:t>Table 4:</w:t>
      </w:r>
    </w:p>
    <w:tbl>
      <w:tblPr>
        <w:tblW w:w="9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55"/>
        <w:gridCol w:w="411"/>
        <w:gridCol w:w="410"/>
        <w:gridCol w:w="410"/>
        <w:gridCol w:w="410"/>
        <w:gridCol w:w="413"/>
        <w:gridCol w:w="413"/>
        <w:gridCol w:w="413"/>
        <w:gridCol w:w="413"/>
        <w:gridCol w:w="350"/>
        <w:gridCol w:w="350"/>
        <w:gridCol w:w="350"/>
        <w:gridCol w:w="405"/>
        <w:gridCol w:w="400"/>
        <w:gridCol w:w="400"/>
        <w:gridCol w:w="429"/>
      </w:tblGrid>
      <w:tr w:rsidR="00B47442" w:rsidRPr="0009445C" w14:paraId="45210B2E" w14:textId="77777777" w:rsidTr="0099521D">
        <w:trPr>
          <w:trHeight w:val="300"/>
        </w:trPr>
        <w:tc>
          <w:tcPr>
            <w:tcW w:w="3155" w:type="dxa"/>
            <w:shd w:val="clear" w:color="auto" w:fill="auto"/>
            <w:noWrap/>
            <w:vAlign w:val="bottom"/>
          </w:tcPr>
          <w:p w14:paraId="303B9E1E" w14:textId="77777777" w:rsidR="00B47442" w:rsidRPr="0009445C" w:rsidRDefault="00B47442" w:rsidP="0099521D">
            <w:pPr>
              <w:pStyle w:val="BRLTabelleberschrift"/>
            </w:pPr>
            <w:r w:rsidRPr="0009445C">
              <w:t>Essential feature</w:t>
            </w:r>
          </w:p>
        </w:tc>
        <w:tc>
          <w:tcPr>
            <w:tcW w:w="5977" w:type="dxa"/>
            <w:gridSpan w:val="15"/>
            <w:shd w:val="clear" w:color="auto" w:fill="auto"/>
            <w:vAlign w:val="center"/>
          </w:tcPr>
          <w:p w14:paraId="7A2DABB4" w14:textId="77777777" w:rsidR="00B47442" w:rsidRPr="0009445C" w:rsidRDefault="00B47442" w:rsidP="0099521D">
            <w:pPr>
              <w:pStyle w:val="BRLTabelleberschrift"/>
            </w:pPr>
            <w:r w:rsidRPr="0009445C">
              <w:t>Product according to harmonised standard</w:t>
            </w:r>
          </w:p>
        </w:tc>
      </w:tr>
      <w:tr w:rsidR="00B47442" w:rsidRPr="0009445C" w14:paraId="2DC28236" w14:textId="77777777" w:rsidTr="0099521D">
        <w:trPr>
          <w:cantSplit/>
          <w:trHeight w:val="625"/>
        </w:trPr>
        <w:tc>
          <w:tcPr>
            <w:tcW w:w="3155" w:type="dxa"/>
            <w:shd w:val="clear" w:color="auto" w:fill="auto"/>
            <w:noWrap/>
            <w:vAlign w:val="center"/>
            <w:hideMark/>
          </w:tcPr>
          <w:p w14:paraId="1FB6C80B" w14:textId="77777777" w:rsidR="00B47442" w:rsidRPr="0009445C" w:rsidRDefault="00B47442" w:rsidP="0099521D">
            <w:pPr>
              <w:spacing w:line="240" w:lineRule="auto"/>
              <w:jc w:val="center"/>
              <w:rPr>
                <w:rFonts w:cs="Arial"/>
                <w:bCs/>
              </w:rPr>
            </w:pPr>
            <w:r w:rsidRPr="0009445C">
              <w:t>1</w:t>
            </w:r>
          </w:p>
        </w:tc>
        <w:tc>
          <w:tcPr>
            <w:tcW w:w="411" w:type="dxa"/>
            <w:shd w:val="clear" w:color="auto" w:fill="auto"/>
            <w:textDirection w:val="btLr"/>
            <w:vAlign w:val="center"/>
            <w:hideMark/>
          </w:tcPr>
          <w:p w14:paraId="422509CA" w14:textId="77777777" w:rsidR="00B47442" w:rsidRPr="0009445C" w:rsidRDefault="00B47442" w:rsidP="0099521D">
            <w:pPr>
              <w:spacing w:line="240" w:lineRule="auto"/>
              <w:ind w:left="113" w:right="113"/>
              <w:jc w:val="center"/>
              <w:rPr>
                <w:rFonts w:cs="Arial"/>
              </w:rPr>
            </w:pPr>
            <w:r w:rsidRPr="0009445C">
              <w:t>2</w:t>
            </w:r>
          </w:p>
        </w:tc>
        <w:tc>
          <w:tcPr>
            <w:tcW w:w="410" w:type="dxa"/>
            <w:shd w:val="clear" w:color="auto" w:fill="auto"/>
            <w:textDirection w:val="btLr"/>
            <w:vAlign w:val="center"/>
            <w:hideMark/>
          </w:tcPr>
          <w:p w14:paraId="21F56247" w14:textId="77777777" w:rsidR="00B47442" w:rsidRPr="0009445C" w:rsidRDefault="00B47442" w:rsidP="0099521D">
            <w:pPr>
              <w:spacing w:line="240" w:lineRule="auto"/>
              <w:ind w:left="113" w:right="113"/>
              <w:jc w:val="center"/>
              <w:rPr>
                <w:rFonts w:cs="Arial"/>
              </w:rPr>
            </w:pPr>
            <w:r w:rsidRPr="0009445C">
              <w:t>3</w:t>
            </w:r>
          </w:p>
        </w:tc>
        <w:tc>
          <w:tcPr>
            <w:tcW w:w="410" w:type="dxa"/>
            <w:shd w:val="clear" w:color="auto" w:fill="auto"/>
            <w:textDirection w:val="btLr"/>
            <w:vAlign w:val="center"/>
            <w:hideMark/>
          </w:tcPr>
          <w:p w14:paraId="5DC7F3BD" w14:textId="77777777" w:rsidR="00B47442" w:rsidRPr="0009445C" w:rsidRDefault="00B47442" w:rsidP="0099521D">
            <w:pPr>
              <w:spacing w:line="240" w:lineRule="auto"/>
              <w:ind w:left="113" w:right="113"/>
              <w:jc w:val="center"/>
              <w:rPr>
                <w:rFonts w:cs="Arial"/>
              </w:rPr>
            </w:pPr>
            <w:r w:rsidRPr="0009445C">
              <w:t>4</w:t>
            </w:r>
          </w:p>
        </w:tc>
        <w:tc>
          <w:tcPr>
            <w:tcW w:w="410" w:type="dxa"/>
            <w:shd w:val="clear" w:color="auto" w:fill="auto"/>
            <w:textDirection w:val="btLr"/>
            <w:vAlign w:val="center"/>
            <w:hideMark/>
          </w:tcPr>
          <w:p w14:paraId="5ADE9178" w14:textId="77777777" w:rsidR="00B47442" w:rsidRPr="0009445C" w:rsidRDefault="00B47442" w:rsidP="0099521D">
            <w:pPr>
              <w:spacing w:line="240" w:lineRule="auto"/>
              <w:ind w:left="113" w:right="113"/>
              <w:jc w:val="center"/>
              <w:rPr>
                <w:rFonts w:cs="Arial"/>
              </w:rPr>
            </w:pPr>
            <w:r w:rsidRPr="0009445C">
              <w:t>5</w:t>
            </w:r>
          </w:p>
        </w:tc>
        <w:tc>
          <w:tcPr>
            <w:tcW w:w="413" w:type="dxa"/>
            <w:shd w:val="clear" w:color="auto" w:fill="auto"/>
            <w:textDirection w:val="btLr"/>
            <w:vAlign w:val="center"/>
            <w:hideMark/>
          </w:tcPr>
          <w:p w14:paraId="277F9371" w14:textId="77777777" w:rsidR="00B47442" w:rsidRPr="0009445C" w:rsidRDefault="00B47442" w:rsidP="0099521D">
            <w:pPr>
              <w:spacing w:line="240" w:lineRule="auto"/>
              <w:ind w:left="113" w:right="113"/>
              <w:jc w:val="center"/>
              <w:rPr>
                <w:rFonts w:cs="Arial"/>
              </w:rPr>
            </w:pPr>
            <w:r w:rsidRPr="0009445C">
              <w:t>6</w:t>
            </w:r>
          </w:p>
        </w:tc>
        <w:tc>
          <w:tcPr>
            <w:tcW w:w="413" w:type="dxa"/>
            <w:shd w:val="clear" w:color="auto" w:fill="auto"/>
            <w:textDirection w:val="btLr"/>
            <w:vAlign w:val="center"/>
            <w:hideMark/>
          </w:tcPr>
          <w:p w14:paraId="644830A3" w14:textId="77777777" w:rsidR="00B47442" w:rsidRPr="0009445C" w:rsidRDefault="00B47442" w:rsidP="0099521D">
            <w:pPr>
              <w:spacing w:line="240" w:lineRule="auto"/>
              <w:ind w:left="113" w:right="113"/>
              <w:jc w:val="center"/>
              <w:rPr>
                <w:rFonts w:cs="Arial"/>
              </w:rPr>
            </w:pPr>
            <w:r w:rsidRPr="0009445C">
              <w:t>7</w:t>
            </w:r>
          </w:p>
        </w:tc>
        <w:tc>
          <w:tcPr>
            <w:tcW w:w="413" w:type="dxa"/>
            <w:shd w:val="clear" w:color="auto" w:fill="auto"/>
            <w:textDirection w:val="btLr"/>
            <w:vAlign w:val="center"/>
            <w:hideMark/>
          </w:tcPr>
          <w:p w14:paraId="407ECE35" w14:textId="77777777" w:rsidR="00B47442" w:rsidRPr="0009445C" w:rsidRDefault="00B47442" w:rsidP="0099521D">
            <w:pPr>
              <w:spacing w:line="240" w:lineRule="auto"/>
              <w:ind w:left="113" w:right="113"/>
              <w:jc w:val="center"/>
              <w:rPr>
                <w:rFonts w:cs="Arial"/>
              </w:rPr>
            </w:pPr>
            <w:r w:rsidRPr="0009445C">
              <w:t>8</w:t>
            </w:r>
          </w:p>
        </w:tc>
        <w:tc>
          <w:tcPr>
            <w:tcW w:w="413" w:type="dxa"/>
            <w:shd w:val="clear" w:color="auto" w:fill="auto"/>
            <w:textDirection w:val="btLr"/>
            <w:vAlign w:val="center"/>
            <w:hideMark/>
          </w:tcPr>
          <w:p w14:paraId="5BB99DCB" w14:textId="77777777" w:rsidR="00B47442" w:rsidRPr="0009445C" w:rsidRDefault="00B47442" w:rsidP="0099521D">
            <w:pPr>
              <w:spacing w:line="240" w:lineRule="auto"/>
              <w:ind w:left="113" w:right="113"/>
              <w:jc w:val="center"/>
              <w:rPr>
                <w:rFonts w:cs="Arial"/>
              </w:rPr>
            </w:pPr>
            <w:r w:rsidRPr="0009445C">
              <w:t>9</w:t>
            </w:r>
          </w:p>
        </w:tc>
        <w:tc>
          <w:tcPr>
            <w:tcW w:w="350" w:type="dxa"/>
            <w:shd w:val="clear" w:color="auto" w:fill="auto"/>
            <w:textDirection w:val="btLr"/>
            <w:vAlign w:val="center"/>
            <w:hideMark/>
          </w:tcPr>
          <w:p w14:paraId="7AE76D14" w14:textId="77777777" w:rsidR="00B47442" w:rsidRPr="0009445C" w:rsidRDefault="00B47442" w:rsidP="0099521D">
            <w:pPr>
              <w:spacing w:line="240" w:lineRule="auto"/>
              <w:ind w:left="113" w:right="113"/>
              <w:jc w:val="center"/>
              <w:rPr>
                <w:rFonts w:cs="Arial"/>
              </w:rPr>
            </w:pPr>
            <w:r w:rsidRPr="0009445C">
              <w:t>10</w:t>
            </w:r>
          </w:p>
        </w:tc>
        <w:tc>
          <w:tcPr>
            <w:tcW w:w="350" w:type="dxa"/>
            <w:shd w:val="clear" w:color="auto" w:fill="auto"/>
            <w:textDirection w:val="btLr"/>
            <w:vAlign w:val="center"/>
            <w:hideMark/>
          </w:tcPr>
          <w:p w14:paraId="1B508D88" w14:textId="77777777" w:rsidR="00B47442" w:rsidRPr="0009445C" w:rsidRDefault="00B47442" w:rsidP="0099521D">
            <w:pPr>
              <w:spacing w:line="240" w:lineRule="auto"/>
              <w:ind w:left="113" w:right="113"/>
              <w:jc w:val="center"/>
              <w:rPr>
                <w:rFonts w:cs="Arial"/>
              </w:rPr>
            </w:pPr>
            <w:r w:rsidRPr="0009445C">
              <w:t>11</w:t>
            </w:r>
          </w:p>
        </w:tc>
        <w:tc>
          <w:tcPr>
            <w:tcW w:w="350" w:type="dxa"/>
            <w:shd w:val="clear" w:color="auto" w:fill="auto"/>
            <w:textDirection w:val="btLr"/>
            <w:vAlign w:val="center"/>
            <w:hideMark/>
          </w:tcPr>
          <w:p w14:paraId="7C525838" w14:textId="77777777" w:rsidR="00B47442" w:rsidRPr="0009445C" w:rsidRDefault="00B47442" w:rsidP="0099521D">
            <w:pPr>
              <w:spacing w:line="240" w:lineRule="auto"/>
              <w:ind w:left="113" w:right="113"/>
              <w:jc w:val="center"/>
              <w:rPr>
                <w:rFonts w:cs="Arial"/>
              </w:rPr>
            </w:pPr>
            <w:r w:rsidRPr="0009445C">
              <w:t>12</w:t>
            </w:r>
          </w:p>
        </w:tc>
        <w:tc>
          <w:tcPr>
            <w:tcW w:w="405" w:type="dxa"/>
            <w:shd w:val="clear" w:color="auto" w:fill="auto"/>
            <w:textDirection w:val="btLr"/>
            <w:vAlign w:val="center"/>
            <w:hideMark/>
          </w:tcPr>
          <w:p w14:paraId="7E0F56EC" w14:textId="77777777" w:rsidR="00B47442" w:rsidRPr="0009445C" w:rsidRDefault="00B47442" w:rsidP="0099521D">
            <w:pPr>
              <w:spacing w:line="240" w:lineRule="auto"/>
              <w:ind w:left="113" w:right="113"/>
              <w:jc w:val="center"/>
              <w:rPr>
                <w:rFonts w:cs="Arial"/>
              </w:rPr>
            </w:pPr>
            <w:r w:rsidRPr="0009445C">
              <w:t>13</w:t>
            </w:r>
          </w:p>
        </w:tc>
        <w:tc>
          <w:tcPr>
            <w:tcW w:w="400" w:type="dxa"/>
            <w:shd w:val="clear" w:color="auto" w:fill="auto"/>
            <w:textDirection w:val="btLr"/>
            <w:vAlign w:val="center"/>
            <w:hideMark/>
          </w:tcPr>
          <w:p w14:paraId="2D86A23B" w14:textId="77777777" w:rsidR="00B47442" w:rsidRPr="0009445C" w:rsidRDefault="00B47442" w:rsidP="0099521D">
            <w:pPr>
              <w:spacing w:line="240" w:lineRule="auto"/>
              <w:ind w:left="113" w:right="113"/>
              <w:jc w:val="center"/>
              <w:rPr>
                <w:rFonts w:cs="Arial"/>
              </w:rPr>
            </w:pPr>
            <w:r w:rsidRPr="0009445C">
              <w:t>14</w:t>
            </w:r>
          </w:p>
        </w:tc>
        <w:tc>
          <w:tcPr>
            <w:tcW w:w="400" w:type="dxa"/>
            <w:shd w:val="clear" w:color="auto" w:fill="auto"/>
            <w:textDirection w:val="btLr"/>
            <w:vAlign w:val="center"/>
            <w:hideMark/>
          </w:tcPr>
          <w:p w14:paraId="210A8D13" w14:textId="77777777" w:rsidR="00B47442" w:rsidRPr="0009445C" w:rsidRDefault="00B47442" w:rsidP="0099521D">
            <w:pPr>
              <w:spacing w:line="240" w:lineRule="auto"/>
              <w:ind w:left="113" w:right="113"/>
              <w:jc w:val="center"/>
              <w:rPr>
                <w:rFonts w:cs="Arial"/>
              </w:rPr>
            </w:pPr>
            <w:r w:rsidRPr="0009445C">
              <w:t>15</w:t>
            </w:r>
          </w:p>
        </w:tc>
        <w:tc>
          <w:tcPr>
            <w:tcW w:w="429" w:type="dxa"/>
            <w:shd w:val="clear" w:color="auto" w:fill="auto"/>
            <w:textDirection w:val="btLr"/>
            <w:vAlign w:val="center"/>
            <w:hideMark/>
          </w:tcPr>
          <w:p w14:paraId="2CD2CB00" w14:textId="77777777" w:rsidR="00B47442" w:rsidRPr="0009445C" w:rsidRDefault="00B47442" w:rsidP="0099521D">
            <w:pPr>
              <w:spacing w:line="240" w:lineRule="auto"/>
              <w:ind w:left="113" w:right="113"/>
              <w:jc w:val="center"/>
              <w:rPr>
                <w:rFonts w:cs="Arial"/>
              </w:rPr>
            </w:pPr>
            <w:r w:rsidRPr="0009445C">
              <w:t>16</w:t>
            </w:r>
          </w:p>
        </w:tc>
      </w:tr>
      <w:tr w:rsidR="00B47442" w:rsidRPr="0009445C" w14:paraId="523E7A86" w14:textId="77777777" w:rsidTr="0099521D">
        <w:trPr>
          <w:trHeight w:val="300"/>
        </w:trPr>
        <w:tc>
          <w:tcPr>
            <w:tcW w:w="3155" w:type="dxa"/>
            <w:shd w:val="clear" w:color="auto" w:fill="auto"/>
            <w:vAlign w:val="center"/>
            <w:hideMark/>
          </w:tcPr>
          <w:p w14:paraId="1A0A28D6" w14:textId="77777777" w:rsidR="00B47442" w:rsidRPr="0009445C" w:rsidRDefault="00B47442" w:rsidP="0099521D">
            <w:pPr>
              <w:pStyle w:val="BRL-Tabelle"/>
            </w:pPr>
            <w:r w:rsidRPr="0009445C">
              <w:t>Temperature class</w:t>
            </w:r>
          </w:p>
        </w:tc>
        <w:tc>
          <w:tcPr>
            <w:tcW w:w="411" w:type="dxa"/>
            <w:shd w:val="clear" w:color="auto" w:fill="auto"/>
            <w:vAlign w:val="center"/>
            <w:hideMark/>
          </w:tcPr>
          <w:p w14:paraId="12CD5DB5"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6B909290"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245385CA"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33406A61"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493DD677"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64597B27"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57D684E6"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5BB53D73"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53035312"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4196C1C4"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4F944914" w14:textId="77777777" w:rsidR="00B47442" w:rsidRPr="0009445C" w:rsidRDefault="00B47442" w:rsidP="0099521D">
            <w:pPr>
              <w:pStyle w:val="BRL-Tabelle"/>
              <w:jc w:val="center"/>
            </w:pPr>
            <w:r w:rsidRPr="0009445C">
              <w:t>K</w:t>
            </w:r>
          </w:p>
        </w:tc>
        <w:tc>
          <w:tcPr>
            <w:tcW w:w="405" w:type="dxa"/>
            <w:shd w:val="clear" w:color="auto" w:fill="auto"/>
            <w:vAlign w:val="center"/>
            <w:hideMark/>
          </w:tcPr>
          <w:p w14:paraId="06C46C0C"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3871AB6D"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7BCA4EBC" w14:textId="77777777" w:rsidR="00B47442" w:rsidRPr="0009445C" w:rsidRDefault="00B47442" w:rsidP="0099521D">
            <w:pPr>
              <w:pStyle w:val="BRL-Tabelle"/>
              <w:jc w:val="center"/>
            </w:pPr>
            <w:r w:rsidRPr="0009445C">
              <w:t>K</w:t>
            </w:r>
          </w:p>
        </w:tc>
        <w:tc>
          <w:tcPr>
            <w:tcW w:w="429" w:type="dxa"/>
            <w:shd w:val="clear" w:color="auto" w:fill="auto"/>
            <w:vAlign w:val="center"/>
            <w:hideMark/>
          </w:tcPr>
          <w:p w14:paraId="1B3B6FD8" w14:textId="77777777" w:rsidR="00B47442" w:rsidRPr="0009445C" w:rsidRDefault="00B47442" w:rsidP="0099521D">
            <w:pPr>
              <w:pStyle w:val="BRL-Tabelle"/>
              <w:jc w:val="center"/>
            </w:pPr>
            <w:r w:rsidRPr="0009445C">
              <w:t>K</w:t>
            </w:r>
          </w:p>
        </w:tc>
      </w:tr>
      <w:tr w:rsidR="00B47442" w:rsidRPr="0009445C" w14:paraId="182E669C" w14:textId="77777777" w:rsidTr="0099521D">
        <w:trPr>
          <w:trHeight w:val="300"/>
        </w:trPr>
        <w:tc>
          <w:tcPr>
            <w:tcW w:w="3155" w:type="dxa"/>
            <w:shd w:val="clear" w:color="auto" w:fill="auto"/>
            <w:vAlign w:val="center"/>
            <w:hideMark/>
          </w:tcPr>
          <w:p w14:paraId="41EF4457" w14:textId="77777777" w:rsidR="00B47442" w:rsidRPr="0009445C" w:rsidRDefault="00B47442" w:rsidP="0099521D">
            <w:pPr>
              <w:pStyle w:val="BRL-Tabelle"/>
            </w:pPr>
            <w:r w:rsidRPr="0009445C">
              <w:t xml:space="preserve">Pressure class </w:t>
            </w:r>
          </w:p>
        </w:tc>
        <w:tc>
          <w:tcPr>
            <w:tcW w:w="411" w:type="dxa"/>
            <w:shd w:val="clear" w:color="auto" w:fill="auto"/>
            <w:vAlign w:val="center"/>
            <w:hideMark/>
          </w:tcPr>
          <w:p w14:paraId="131D9965"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71927EB9"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1C14608B"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54C8662C"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2704903C"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751E1700"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1E654699"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2E522F21"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21E6CCC6"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2E4A7BDB"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7A7E55AD" w14:textId="77777777" w:rsidR="00B47442" w:rsidRPr="0009445C" w:rsidRDefault="00B47442" w:rsidP="0099521D">
            <w:pPr>
              <w:pStyle w:val="BRL-Tabelle"/>
              <w:jc w:val="center"/>
            </w:pPr>
            <w:r w:rsidRPr="0009445C">
              <w:t>K</w:t>
            </w:r>
          </w:p>
        </w:tc>
        <w:tc>
          <w:tcPr>
            <w:tcW w:w="405" w:type="dxa"/>
            <w:shd w:val="clear" w:color="auto" w:fill="auto"/>
            <w:vAlign w:val="center"/>
            <w:hideMark/>
          </w:tcPr>
          <w:p w14:paraId="5BA9B4DF"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188CC5ED"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6B91D2B0" w14:textId="77777777" w:rsidR="00B47442" w:rsidRPr="0009445C" w:rsidRDefault="00B47442" w:rsidP="0099521D">
            <w:pPr>
              <w:pStyle w:val="BRL-Tabelle"/>
              <w:jc w:val="center"/>
            </w:pPr>
            <w:r w:rsidRPr="0009445C">
              <w:t>K</w:t>
            </w:r>
          </w:p>
        </w:tc>
        <w:tc>
          <w:tcPr>
            <w:tcW w:w="429" w:type="dxa"/>
            <w:shd w:val="clear" w:color="auto" w:fill="auto"/>
            <w:vAlign w:val="center"/>
            <w:hideMark/>
          </w:tcPr>
          <w:p w14:paraId="544C8F9D" w14:textId="77777777" w:rsidR="00B47442" w:rsidRPr="0009445C" w:rsidRDefault="00B47442" w:rsidP="0099521D">
            <w:pPr>
              <w:pStyle w:val="BRL-Tabelle"/>
              <w:jc w:val="center"/>
            </w:pPr>
            <w:r w:rsidRPr="0009445C">
              <w:t>K</w:t>
            </w:r>
          </w:p>
        </w:tc>
      </w:tr>
      <w:tr w:rsidR="00B47442" w:rsidRPr="0009445C" w14:paraId="61465F94" w14:textId="77777777" w:rsidTr="0099521D">
        <w:trPr>
          <w:trHeight w:val="300"/>
        </w:trPr>
        <w:tc>
          <w:tcPr>
            <w:tcW w:w="3155" w:type="dxa"/>
            <w:shd w:val="clear" w:color="auto" w:fill="auto"/>
            <w:vAlign w:val="center"/>
            <w:hideMark/>
          </w:tcPr>
          <w:p w14:paraId="472329B7" w14:textId="77777777" w:rsidR="00B47442" w:rsidRPr="0009445C" w:rsidRDefault="00B47442" w:rsidP="0099521D">
            <w:pPr>
              <w:pStyle w:val="BRL-Tabelle"/>
            </w:pPr>
            <w:r w:rsidRPr="0009445C">
              <w:t>Condensate resistance class</w:t>
            </w:r>
          </w:p>
        </w:tc>
        <w:tc>
          <w:tcPr>
            <w:tcW w:w="411" w:type="dxa"/>
            <w:shd w:val="clear" w:color="auto" w:fill="auto"/>
            <w:vAlign w:val="center"/>
            <w:hideMark/>
          </w:tcPr>
          <w:p w14:paraId="2B04306B"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5AC231AA"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66F83AD2"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5BF571FD"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7222DFBB"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3EEE0D8F"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4D8AEDE8"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65D5B7A5"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52F31107"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51E11C73"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440D38A0" w14:textId="77777777" w:rsidR="00B47442" w:rsidRPr="0009445C" w:rsidRDefault="00B47442" w:rsidP="0099521D">
            <w:pPr>
              <w:pStyle w:val="BRL-Tabelle"/>
              <w:jc w:val="center"/>
            </w:pPr>
            <w:r w:rsidRPr="0009445C">
              <w:t>K</w:t>
            </w:r>
          </w:p>
        </w:tc>
        <w:tc>
          <w:tcPr>
            <w:tcW w:w="405" w:type="dxa"/>
            <w:shd w:val="clear" w:color="auto" w:fill="auto"/>
            <w:vAlign w:val="center"/>
            <w:hideMark/>
          </w:tcPr>
          <w:p w14:paraId="4A422B97"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678F150C"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77275B5A" w14:textId="77777777" w:rsidR="00B47442" w:rsidRPr="0009445C" w:rsidRDefault="00B47442" w:rsidP="0099521D">
            <w:pPr>
              <w:pStyle w:val="BRL-Tabelle"/>
              <w:jc w:val="center"/>
            </w:pPr>
            <w:r w:rsidRPr="0009445C">
              <w:t>K</w:t>
            </w:r>
          </w:p>
        </w:tc>
        <w:tc>
          <w:tcPr>
            <w:tcW w:w="429" w:type="dxa"/>
            <w:shd w:val="clear" w:color="auto" w:fill="auto"/>
            <w:vAlign w:val="center"/>
            <w:hideMark/>
          </w:tcPr>
          <w:p w14:paraId="3BE87E69" w14:textId="77777777" w:rsidR="00B47442" w:rsidRPr="0009445C" w:rsidRDefault="00B47442" w:rsidP="0099521D">
            <w:pPr>
              <w:pStyle w:val="BRL-Tabelle"/>
              <w:jc w:val="center"/>
            </w:pPr>
            <w:r w:rsidRPr="0009445C">
              <w:t>K</w:t>
            </w:r>
          </w:p>
        </w:tc>
      </w:tr>
      <w:tr w:rsidR="00B47442" w:rsidRPr="0009445C" w14:paraId="62102F26" w14:textId="77777777" w:rsidTr="0099521D">
        <w:trPr>
          <w:trHeight w:val="300"/>
        </w:trPr>
        <w:tc>
          <w:tcPr>
            <w:tcW w:w="3155" w:type="dxa"/>
            <w:shd w:val="clear" w:color="auto" w:fill="auto"/>
            <w:vAlign w:val="center"/>
            <w:hideMark/>
          </w:tcPr>
          <w:p w14:paraId="63CD9E02" w14:textId="77777777" w:rsidR="00B47442" w:rsidRPr="0009445C" w:rsidRDefault="00B47442" w:rsidP="0099521D">
            <w:pPr>
              <w:pStyle w:val="BRL-Tabelle"/>
            </w:pPr>
            <w:r w:rsidRPr="0009445C">
              <w:t>Corrosion resistance class</w:t>
            </w:r>
          </w:p>
        </w:tc>
        <w:tc>
          <w:tcPr>
            <w:tcW w:w="411" w:type="dxa"/>
            <w:shd w:val="clear" w:color="auto" w:fill="auto"/>
            <w:vAlign w:val="center"/>
            <w:hideMark/>
          </w:tcPr>
          <w:p w14:paraId="6233AC7C"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736CF141"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35702D25"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2B80B8E3"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0441AB25"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664F5346"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0C3AA469"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40C20CE9"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6F762C65"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23921228"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35CF5EED" w14:textId="77777777" w:rsidR="00B47442" w:rsidRPr="0009445C" w:rsidRDefault="00B47442" w:rsidP="0099521D">
            <w:pPr>
              <w:pStyle w:val="BRL-Tabelle"/>
              <w:jc w:val="center"/>
            </w:pPr>
            <w:r w:rsidRPr="0009445C">
              <w:t>K</w:t>
            </w:r>
          </w:p>
        </w:tc>
        <w:tc>
          <w:tcPr>
            <w:tcW w:w="405" w:type="dxa"/>
            <w:shd w:val="clear" w:color="auto" w:fill="auto"/>
            <w:vAlign w:val="center"/>
            <w:hideMark/>
          </w:tcPr>
          <w:p w14:paraId="6F796E21"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2082E57F"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58AAF634" w14:textId="77777777" w:rsidR="00B47442" w:rsidRPr="0009445C" w:rsidRDefault="00B47442" w:rsidP="0099521D">
            <w:pPr>
              <w:pStyle w:val="BRL-Tabelle"/>
              <w:jc w:val="center"/>
            </w:pPr>
            <w:r w:rsidRPr="0009445C">
              <w:t>K</w:t>
            </w:r>
          </w:p>
        </w:tc>
        <w:tc>
          <w:tcPr>
            <w:tcW w:w="429" w:type="dxa"/>
            <w:shd w:val="clear" w:color="auto" w:fill="auto"/>
            <w:vAlign w:val="center"/>
            <w:hideMark/>
          </w:tcPr>
          <w:p w14:paraId="31B40428" w14:textId="77777777" w:rsidR="00B47442" w:rsidRPr="0009445C" w:rsidRDefault="00B47442" w:rsidP="0099521D">
            <w:pPr>
              <w:pStyle w:val="BRL-Tabelle"/>
              <w:jc w:val="center"/>
            </w:pPr>
            <w:r w:rsidRPr="0009445C">
              <w:t>K</w:t>
            </w:r>
          </w:p>
        </w:tc>
      </w:tr>
      <w:tr w:rsidR="00B47442" w:rsidRPr="0009445C" w14:paraId="308BAC26" w14:textId="77777777" w:rsidTr="0099521D">
        <w:trPr>
          <w:trHeight w:val="300"/>
        </w:trPr>
        <w:tc>
          <w:tcPr>
            <w:tcW w:w="3155" w:type="dxa"/>
            <w:shd w:val="clear" w:color="auto" w:fill="auto"/>
            <w:noWrap/>
            <w:vAlign w:val="center"/>
            <w:hideMark/>
          </w:tcPr>
          <w:p w14:paraId="21ED9C9F" w14:textId="77777777" w:rsidR="00B47442" w:rsidRPr="0009445C" w:rsidRDefault="00B47442" w:rsidP="0099521D">
            <w:pPr>
              <w:pStyle w:val="BRL-Tabelle"/>
            </w:pPr>
            <w:r w:rsidRPr="0009445C">
              <w:t xml:space="preserve">Soot fire resistance class </w:t>
            </w:r>
          </w:p>
        </w:tc>
        <w:tc>
          <w:tcPr>
            <w:tcW w:w="411" w:type="dxa"/>
            <w:shd w:val="clear" w:color="auto" w:fill="auto"/>
            <w:vAlign w:val="center"/>
            <w:hideMark/>
          </w:tcPr>
          <w:p w14:paraId="339E551B"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5C33C260"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48B4C759" w14:textId="77777777" w:rsidR="00B47442" w:rsidRPr="0009445C" w:rsidRDefault="00B47442" w:rsidP="0099521D">
            <w:pPr>
              <w:pStyle w:val="BRL-Tabelle"/>
              <w:jc w:val="center"/>
            </w:pPr>
            <w:r w:rsidRPr="0009445C">
              <w:t>K</w:t>
            </w:r>
          </w:p>
        </w:tc>
        <w:tc>
          <w:tcPr>
            <w:tcW w:w="410" w:type="dxa"/>
            <w:shd w:val="clear" w:color="auto" w:fill="auto"/>
            <w:vAlign w:val="center"/>
            <w:hideMark/>
          </w:tcPr>
          <w:p w14:paraId="5A507F71"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5D35F148"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7976522F"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4B3BDF04"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52E785BA"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17021248"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4584023D"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7456ACD5" w14:textId="77777777" w:rsidR="00B47442" w:rsidRPr="0009445C" w:rsidRDefault="00B47442" w:rsidP="0099521D">
            <w:pPr>
              <w:pStyle w:val="BRL-Tabelle"/>
              <w:jc w:val="center"/>
            </w:pPr>
            <w:r w:rsidRPr="0009445C">
              <w:t>K</w:t>
            </w:r>
          </w:p>
        </w:tc>
        <w:tc>
          <w:tcPr>
            <w:tcW w:w="405" w:type="dxa"/>
            <w:shd w:val="clear" w:color="auto" w:fill="auto"/>
            <w:vAlign w:val="center"/>
            <w:hideMark/>
          </w:tcPr>
          <w:p w14:paraId="3C315CF1"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4CC7633D"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18370543" w14:textId="77777777" w:rsidR="00B47442" w:rsidRPr="0009445C" w:rsidRDefault="00B47442" w:rsidP="0099521D">
            <w:pPr>
              <w:pStyle w:val="BRL-Tabelle"/>
              <w:jc w:val="center"/>
            </w:pPr>
            <w:r w:rsidRPr="0009445C">
              <w:t>K</w:t>
            </w:r>
          </w:p>
        </w:tc>
        <w:tc>
          <w:tcPr>
            <w:tcW w:w="429" w:type="dxa"/>
            <w:shd w:val="clear" w:color="auto" w:fill="auto"/>
            <w:vAlign w:val="center"/>
            <w:hideMark/>
          </w:tcPr>
          <w:p w14:paraId="11D1969C" w14:textId="77777777" w:rsidR="00B47442" w:rsidRPr="0009445C" w:rsidRDefault="00B47442" w:rsidP="0099521D">
            <w:pPr>
              <w:pStyle w:val="BRL-Tabelle"/>
              <w:jc w:val="center"/>
            </w:pPr>
            <w:r w:rsidRPr="0009445C">
              <w:t>K</w:t>
            </w:r>
          </w:p>
        </w:tc>
      </w:tr>
      <w:tr w:rsidR="00B47442" w:rsidRPr="0009445C" w14:paraId="01D2B546" w14:textId="77777777" w:rsidTr="0099521D">
        <w:trPr>
          <w:trHeight w:val="285"/>
        </w:trPr>
        <w:tc>
          <w:tcPr>
            <w:tcW w:w="3155" w:type="dxa"/>
            <w:shd w:val="clear" w:color="auto" w:fill="auto"/>
            <w:vAlign w:val="center"/>
            <w:hideMark/>
          </w:tcPr>
          <w:p w14:paraId="79580099" w14:textId="77777777" w:rsidR="00B47442" w:rsidRPr="0009445C" w:rsidRDefault="00B47442" w:rsidP="0099521D">
            <w:pPr>
              <w:pStyle w:val="BRL-Tabelle"/>
            </w:pPr>
            <w:r w:rsidRPr="0009445C">
              <w:t xml:space="preserve">Specifications for distance from combustible building materials </w:t>
            </w:r>
          </w:p>
        </w:tc>
        <w:tc>
          <w:tcPr>
            <w:tcW w:w="411" w:type="dxa"/>
            <w:shd w:val="clear" w:color="auto" w:fill="auto"/>
            <w:vAlign w:val="center"/>
            <w:hideMark/>
          </w:tcPr>
          <w:p w14:paraId="401BE2C5"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08D77CB5"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4DD7D6C3"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6C56DAB8"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5B11A38D"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4EBC48D7"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28433A2C"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361B6A33"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54C5F38D"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491D5DEF"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06A98161" w14:textId="77777777" w:rsidR="00B47442" w:rsidRPr="0009445C" w:rsidRDefault="00B47442" w:rsidP="0099521D">
            <w:pPr>
              <w:pStyle w:val="BRL-Tabelle"/>
              <w:jc w:val="center"/>
            </w:pPr>
            <w:r w:rsidRPr="0009445C">
              <w:t>L</w:t>
            </w:r>
          </w:p>
        </w:tc>
        <w:tc>
          <w:tcPr>
            <w:tcW w:w="405" w:type="dxa"/>
            <w:shd w:val="clear" w:color="auto" w:fill="auto"/>
            <w:vAlign w:val="center"/>
            <w:hideMark/>
          </w:tcPr>
          <w:p w14:paraId="2FD51AC4"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1D709158" w14:textId="77777777" w:rsidR="00B47442" w:rsidRPr="0009445C" w:rsidRDefault="00B47442" w:rsidP="0099521D">
            <w:pPr>
              <w:pStyle w:val="BRL-Tabelle"/>
              <w:jc w:val="center"/>
            </w:pPr>
            <w:r w:rsidRPr="0009445C">
              <w:t>L</w:t>
            </w:r>
          </w:p>
        </w:tc>
        <w:tc>
          <w:tcPr>
            <w:tcW w:w="400" w:type="dxa"/>
            <w:shd w:val="clear" w:color="auto" w:fill="auto"/>
            <w:vAlign w:val="center"/>
            <w:hideMark/>
          </w:tcPr>
          <w:p w14:paraId="0284A308" w14:textId="77777777" w:rsidR="00B47442" w:rsidRPr="0009445C" w:rsidRDefault="00B47442" w:rsidP="0099521D">
            <w:pPr>
              <w:pStyle w:val="BRL-Tabelle"/>
              <w:jc w:val="center"/>
            </w:pPr>
            <w:r w:rsidRPr="0009445C">
              <w:t>L</w:t>
            </w:r>
          </w:p>
        </w:tc>
        <w:tc>
          <w:tcPr>
            <w:tcW w:w="429" w:type="dxa"/>
            <w:shd w:val="clear" w:color="auto" w:fill="auto"/>
            <w:vAlign w:val="center"/>
            <w:hideMark/>
          </w:tcPr>
          <w:p w14:paraId="356F1704" w14:textId="77777777" w:rsidR="00B47442" w:rsidRPr="0009445C" w:rsidRDefault="00B47442" w:rsidP="0099521D">
            <w:pPr>
              <w:pStyle w:val="BRL-Tabelle"/>
              <w:jc w:val="center"/>
            </w:pPr>
            <w:r w:rsidRPr="0009445C">
              <w:t>L</w:t>
            </w:r>
          </w:p>
        </w:tc>
      </w:tr>
      <w:tr w:rsidR="00B47442" w:rsidRPr="0009445C" w14:paraId="37FFB3CA" w14:textId="77777777" w:rsidTr="0099521D">
        <w:trPr>
          <w:trHeight w:val="285"/>
        </w:trPr>
        <w:tc>
          <w:tcPr>
            <w:tcW w:w="3155" w:type="dxa"/>
            <w:shd w:val="clear" w:color="auto" w:fill="auto"/>
            <w:vAlign w:val="center"/>
            <w:hideMark/>
          </w:tcPr>
          <w:p w14:paraId="0B80E71F" w14:textId="77777777" w:rsidR="00B47442" w:rsidRPr="0009445C" w:rsidRDefault="00B47442" w:rsidP="0099521D">
            <w:pPr>
              <w:pStyle w:val="BRL-Tabelle"/>
            </w:pPr>
            <w:r w:rsidRPr="0009445C">
              <w:t xml:space="preserve">Pressure class if </w:t>
            </w:r>
          </w:p>
          <w:p w14:paraId="6B2F3593" w14:textId="77777777" w:rsidR="00B47442" w:rsidRPr="0009445C" w:rsidRDefault="00B47442" w:rsidP="0099521D">
            <w:pPr>
              <w:pStyle w:val="BRL-Tabelle"/>
            </w:pPr>
            <w:r w:rsidRPr="0009445C">
              <w:t>not indicated above (for LAS)</w:t>
            </w:r>
          </w:p>
        </w:tc>
        <w:tc>
          <w:tcPr>
            <w:tcW w:w="411" w:type="dxa"/>
            <w:shd w:val="clear" w:color="auto" w:fill="auto"/>
            <w:vAlign w:val="center"/>
            <w:hideMark/>
          </w:tcPr>
          <w:p w14:paraId="0D274AC6"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376C345E"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4D21DAF5"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26D9B68E"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093D3F5B"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0DB42A67"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53CB6890"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3D775087"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25591A52"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66537602"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2AE309BD" w14:textId="77777777" w:rsidR="00B47442" w:rsidRPr="0009445C" w:rsidRDefault="00B47442" w:rsidP="0099521D">
            <w:pPr>
              <w:pStyle w:val="BRL-Tabelle"/>
              <w:jc w:val="center"/>
            </w:pPr>
            <w:r w:rsidRPr="0009445C">
              <w:t>-</w:t>
            </w:r>
          </w:p>
        </w:tc>
        <w:tc>
          <w:tcPr>
            <w:tcW w:w="405" w:type="dxa"/>
            <w:shd w:val="clear" w:color="auto" w:fill="auto"/>
            <w:vAlign w:val="center"/>
            <w:hideMark/>
          </w:tcPr>
          <w:p w14:paraId="62F9576C"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129BBA2E"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7B42386B" w14:textId="77777777" w:rsidR="00B47442" w:rsidRPr="0009445C" w:rsidRDefault="00B47442" w:rsidP="0099521D">
            <w:pPr>
              <w:pStyle w:val="BRL-Tabelle"/>
              <w:jc w:val="center"/>
            </w:pPr>
            <w:r w:rsidRPr="0009445C">
              <w:t>-</w:t>
            </w:r>
          </w:p>
        </w:tc>
        <w:tc>
          <w:tcPr>
            <w:tcW w:w="429" w:type="dxa"/>
            <w:shd w:val="clear" w:color="auto" w:fill="auto"/>
            <w:vAlign w:val="center"/>
            <w:hideMark/>
          </w:tcPr>
          <w:p w14:paraId="367B6C8A" w14:textId="77777777" w:rsidR="00B47442" w:rsidRPr="0009445C" w:rsidRDefault="00B47442" w:rsidP="0099521D">
            <w:pPr>
              <w:pStyle w:val="BRL-Tabelle"/>
              <w:jc w:val="center"/>
            </w:pPr>
            <w:r w:rsidRPr="0009445C">
              <w:t>-</w:t>
            </w:r>
          </w:p>
        </w:tc>
      </w:tr>
      <w:tr w:rsidR="00B47442" w:rsidRPr="0009445C" w14:paraId="5D4343FB" w14:textId="77777777" w:rsidTr="0099521D">
        <w:trPr>
          <w:trHeight w:val="285"/>
        </w:trPr>
        <w:tc>
          <w:tcPr>
            <w:tcW w:w="3155" w:type="dxa"/>
            <w:shd w:val="clear" w:color="auto" w:fill="auto"/>
            <w:vAlign w:val="center"/>
            <w:hideMark/>
          </w:tcPr>
          <w:p w14:paraId="67A11510" w14:textId="77777777" w:rsidR="00B47442" w:rsidRPr="0009445C" w:rsidRDefault="00B47442" w:rsidP="0099521D">
            <w:pPr>
              <w:pStyle w:val="BRL-Tabelle"/>
            </w:pPr>
            <w:r w:rsidRPr="0009445C">
              <w:t>Fire performance</w:t>
            </w:r>
          </w:p>
        </w:tc>
        <w:tc>
          <w:tcPr>
            <w:tcW w:w="411" w:type="dxa"/>
            <w:shd w:val="clear" w:color="auto" w:fill="auto"/>
            <w:vAlign w:val="center"/>
            <w:hideMark/>
          </w:tcPr>
          <w:p w14:paraId="29B1E7FF"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291DEBAB"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7BE6C447" w14:textId="77777777" w:rsidR="00B47442" w:rsidRPr="0009445C" w:rsidRDefault="00B47442" w:rsidP="0099521D">
            <w:pPr>
              <w:pStyle w:val="BRL-Tabelle"/>
              <w:jc w:val="center"/>
            </w:pPr>
            <w:r w:rsidRPr="0009445C">
              <w:t>-</w:t>
            </w:r>
          </w:p>
        </w:tc>
        <w:tc>
          <w:tcPr>
            <w:tcW w:w="410" w:type="dxa"/>
            <w:shd w:val="clear" w:color="auto" w:fill="auto"/>
            <w:vAlign w:val="center"/>
            <w:hideMark/>
          </w:tcPr>
          <w:p w14:paraId="5F04CABB"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55E25A59" w14:textId="77777777" w:rsidR="00B47442" w:rsidRPr="0009445C" w:rsidRDefault="00B47442" w:rsidP="0099521D">
            <w:pPr>
              <w:pStyle w:val="BRL-Tabelle"/>
              <w:jc w:val="center"/>
            </w:pPr>
            <w:r w:rsidRPr="0009445C">
              <w:t>-</w:t>
            </w:r>
          </w:p>
        </w:tc>
        <w:tc>
          <w:tcPr>
            <w:tcW w:w="413" w:type="dxa"/>
            <w:shd w:val="clear" w:color="auto" w:fill="auto"/>
            <w:vAlign w:val="center"/>
            <w:hideMark/>
          </w:tcPr>
          <w:p w14:paraId="67B0F02E"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09FB0B7A" w14:textId="77777777" w:rsidR="00B47442" w:rsidRPr="0009445C" w:rsidRDefault="00B47442" w:rsidP="0099521D">
            <w:pPr>
              <w:pStyle w:val="BRL-Tabelle"/>
              <w:jc w:val="center"/>
            </w:pPr>
            <w:r w:rsidRPr="0009445C">
              <w:t>K</w:t>
            </w:r>
          </w:p>
        </w:tc>
        <w:tc>
          <w:tcPr>
            <w:tcW w:w="413" w:type="dxa"/>
            <w:shd w:val="clear" w:color="auto" w:fill="auto"/>
            <w:vAlign w:val="center"/>
            <w:hideMark/>
          </w:tcPr>
          <w:p w14:paraId="7EF3F6F9" w14:textId="77777777" w:rsidR="00B47442" w:rsidRPr="0009445C" w:rsidRDefault="00B47442" w:rsidP="0099521D">
            <w:pPr>
              <w:pStyle w:val="BRL-Tabelle"/>
              <w:jc w:val="center"/>
            </w:pPr>
            <w:r w:rsidRPr="0009445C">
              <w:t>K</w:t>
            </w:r>
          </w:p>
        </w:tc>
        <w:tc>
          <w:tcPr>
            <w:tcW w:w="350" w:type="dxa"/>
            <w:shd w:val="clear" w:color="auto" w:fill="auto"/>
            <w:vAlign w:val="center"/>
            <w:hideMark/>
          </w:tcPr>
          <w:p w14:paraId="70569C60"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45B9FAB2"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0AD36731" w14:textId="77777777" w:rsidR="00B47442" w:rsidRPr="0009445C" w:rsidRDefault="00B47442" w:rsidP="0099521D">
            <w:pPr>
              <w:pStyle w:val="BRL-Tabelle"/>
              <w:jc w:val="center"/>
            </w:pPr>
            <w:r w:rsidRPr="0009445C">
              <w:t>-</w:t>
            </w:r>
          </w:p>
        </w:tc>
        <w:tc>
          <w:tcPr>
            <w:tcW w:w="405" w:type="dxa"/>
            <w:shd w:val="clear" w:color="auto" w:fill="auto"/>
            <w:vAlign w:val="center"/>
            <w:hideMark/>
          </w:tcPr>
          <w:p w14:paraId="6B2A852F"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594459BA" w14:textId="77777777" w:rsidR="00B47442" w:rsidRPr="0009445C" w:rsidRDefault="00B47442" w:rsidP="0099521D">
            <w:pPr>
              <w:pStyle w:val="BRL-Tabelle"/>
              <w:jc w:val="center"/>
            </w:pPr>
            <w:r w:rsidRPr="0009445C">
              <w:t>K</w:t>
            </w:r>
          </w:p>
        </w:tc>
        <w:tc>
          <w:tcPr>
            <w:tcW w:w="400" w:type="dxa"/>
            <w:shd w:val="clear" w:color="auto" w:fill="auto"/>
            <w:vAlign w:val="center"/>
            <w:hideMark/>
          </w:tcPr>
          <w:p w14:paraId="2E3325F0" w14:textId="77777777" w:rsidR="00B47442" w:rsidRPr="0009445C" w:rsidRDefault="00B47442" w:rsidP="0099521D">
            <w:pPr>
              <w:pStyle w:val="BRL-Tabelle"/>
              <w:jc w:val="center"/>
            </w:pPr>
            <w:r w:rsidRPr="0009445C">
              <w:t>-</w:t>
            </w:r>
          </w:p>
        </w:tc>
        <w:tc>
          <w:tcPr>
            <w:tcW w:w="429" w:type="dxa"/>
            <w:shd w:val="clear" w:color="auto" w:fill="auto"/>
            <w:vAlign w:val="center"/>
            <w:hideMark/>
          </w:tcPr>
          <w:p w14:paraId="7B433B34" w14:textId="77777777" w:rsidR="00B47442" w:rsidRPr="0009445C" w:rsidRDefault="00B47442" w:rsidP="0099521D">
            <w:pPr>
              <w:pStyle w:val="BRL-Tabelle"/>
              <w:jc w:val="center"/>
            </w:pPr>
            <w:r w:rsidRPr="0009445C">
              <w:t>-</w:t>
            </w:r>
          </w:p>
        </w:tc>
      </w:tr>
      <w:tr w:rsidR="00B47442" w:rsidRPr="0009445C" w14:paraId="2A29AA01" w14:textId="77777777" w:rsidTr="0099521D">
        <w:trPr>
          <w:trHeight w:val="285"/>
        </w:trPr>
        <w:tc>
          <w:tcPr>
            <w:tcW w:w="3155" w:type="dxa"/>
            <w:shd w:val="clear" w:color="auto" w:fill="auto"/>
            <w:vAlign w:val="center"/>
            <w:hideMark/>
          </w:tcPr>
          <w:p w14:paraId="7893EB64" w14:textId="77777777" w:rsidR="00B47442" w:rsidRPr="0009445C" w:rsidRDefault="00B47442" w:rsidP="0099521D">
            <w:pPr>
              <w:pStyle w:val="BRL-Tabelle"/>
            </w:pPr>
            <w:r w:rsidRPr="0009445C">
              <w:t xml:space="preserve">Thermal resistance </w:t>
            </w:r>
          </w:p>
        </w:tc>
        <w:tc>
          <w:tcPr>
            <w:tcW w:w="411" w:type="dxa"/>
            <w:shd w:val="clear" w:color="auto" w:fill="auto"/>
            <w:vAlign w:val="center"/>
            <w:hideMark/>
          </w:tcPr>
          <w:p w14:paraId="5DBA5B28"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5147E2E0"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4DD780F1"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5F7A8806"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7AC12C49"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5FCCF21D"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54713DA4"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1756A721"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72565BB3"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7608E380"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4E0CA0E8" w14:textId="77777777" w:rsidR="00B47442" w:rsidRPr="0009445C" w:rsidRDefault="00B47442" w:rsidP="0099521D">
            <w:pPr>
              <w:pStyle w:val="BRL-Tabelle"/>
              <w:jc w:val="center"/>
            </w:pPr>
            <w:r w:rsidRPr="0009445C">
              <w:t>L</w:t>
            </w:r>
          </w:p>
        </w:tc>
        <w:tc>
          <w:tcPr>
            <w:tcW w:w="405" w:type="dxa"/>
            <w:shd w:val="clear" w:color="auto" w:fill="auto"/>
            <w:vAlign w:val="center"/>
            <w:hideMark/>
          </w:tcPr>
          <w:p w14:paraId="5585C46A" w14:textId="77777777" w:rsidR="00B47442" w:rsidRPr="0009445C" w:rsidRDefault="00B47442" w:rsidP="0099521D">
            <w:pPr>
              <w:pStyle w:val="BRL-Tabelle"/>
              <w:jc w:val="center"/>
            </w:pPr>
            <w:r w:rsidRPr="0009445C">
              <w:t>L</w:t>
            </w:r>
          </w:p>
        </w:tc>
        <w:tc>
          <w:tcPr>
            <w:tcW w:w="400" w:type="dxa"/>
            <w:shd w:val="clear" w:color="auto" w:fill="auto"/>
            <w:vAlign w:val="center"/>
            <w:hideMark/>
          </w:tcPr>
          <w:p w14:paraId="07CCF213" w14:textId="77777777" w:rsidR="00B47442" w:rsidRPr="0009445C" w:rsidRDefault="00B47442" w:rsidP="0099521D">
            <w:pPr>
              <w:pStyle w:val="BRL-Tabelle"/>
              <w:jc w:val="center"/>
            </w:pPr>
            <w:r w:rsidRPr="0009445C">
              <w:t>L</w:t>
            </w:r>
          </w:p>
        </w:tc>
        <w:tc>
          <w:tcPr>
            <w:tcW w:w="400" w:type="dxa"/>
            <w:shd w:val="clear" w:color="auto" w:fill="auto"/>
            <w:vAlign w:val="center"/>
            <w:hideMark/>
          </w:tcPr>
          <w:p w14:paraId="5C6F7507" w14:textId="77777777" w:rsidR="00B47442" w:rsidRPr="0009445C" w:rsidRDefault="00B47442" w:rsidP="0099521D">
            <w:pPr>
              <w:pStyle w:val="BRL-Tabelle"/>
              <w:jc w:val="center"/>
            </w:pPr>
            <w:r w:rsidRPr="0009445C">
              <w:t>L</w:t>
            </w:r>
          </w:p>
        </w:tc>
        <w:tc>
          <w:tcPr>
            <w:tcW w:w="429" w:type="dxa"/>
            <w:shd w:val="clear" w:color="auto" w:fill="auto"/>
            <w:vAlign w:val="center"/>
            <w:hideMark/>
          </w:tcPr>
          <w:p w14:paraId="3AE97B3D" w14:textId="77777777" w:rsidR="00B47442" w:rsidRPr="0009445C" w:rsidRDefault="00B47442" w:rsidP="0099521D">
            <w:pPr>
              <w:pStyle w:val="BRL-Tabelle"/>
              <w:jc w:val="center"/>
            </w:pPr>
            <w:r w:rsidRPr="0009445C">
              <w:t>L</w:t>
            </w:r>
          </w:p>
        </w:tc>
      </w:tr>
      <w:tr w:rsidR="00B47442" w:rsidRPr="0009445C" w14:paraId="79EAEDA1" w14:textId="77777777" w:rsidTr="0099521D">
        <w:trPr>
          <w:trHeight w:val="285"/>
        </w:trPr>
        <w:tc>
          <w:tcPr>
            <w:tcW w:w="3155" w:type="dxa"/>
            <w:shd w:val="clear" w:color="auto" w:fill="auto"/>
            <w:vAlign w:val="center"/>
            <w:hideMark/>
          </w:tcPr>
          <w:p w14:paraId="1B6BAFD9" w14:textId="77777777" w:rsidR="00B47442" w:rsidRPr="0009445C" w:rsidRDefault="00B47442" w:rsidP="0099521D">
            <w:pPr>
              <w:pStyle w:val="BRL-Tabelle"/>
            </w:pPr>
            <w:r w:rsidRPr="0009445C">
              <w:t xml:space="preserve">Flow resistance </w:t>
            </w:r>
          </w:p>
        </w:tc>
        <w:tc>
          <w:tcPr>
            <w:tcW w:w="411" w:type="dxa"/>
            <w:shd w:val="clear" w:color="auto" w:fill="auto"/>
            <w:vAlign w:val="center"/>
            <w:hideMark/>
          </w:tcPr>
          <w:p w14:paraId="0D45D640"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4B39147D"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67D3E4F0"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4702A9BF"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4C36E711"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714B597B"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72B4A982"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17D7DABD" w14:textId="77777777" w:rsidR="00B47442" w:rsidRPr="0009445C" w:rsidRDefault="00B47442" w:rsidP="0099521D">
            <w:pPr>
              <w:pStyle w:val="BRL-Tabelle"/>
              <w:jc w:val="center"/>
            </w:pPr>
            <w:r w:rsidRPr="0009445C">
              <w:t>-</w:t>
            </w:r>
          </w:p>
        </w:tc>
        <w:tc>
          <w:tcPr>
            <w:tcW w:w="350" w:type="dxa"/>
            <w:shd w:val="clear" w:color="auto" w:fill="auto"/>
            <w:vAlign w:val="center"/>
            <w:hideMark/>
          </w:tcPr>
          <w:p w14:paraId="4EEF3789"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4A32696C"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0B03283C" w14:textId="77777777" w:rsidR="00B47442" w:rsidRPr="0009445C" w:rsidRDefault="00B47442" w:rsidP="0099521D">
            <w:pPr>
              <w:pStyle w:val="BRL-Tabelle"/>
              <w:jc w:val="center"/>
            </w:pPr>
            <w:r w:rsidRPr="0009445C">
              <w:t>L</w:t>
            </w:r>
          </w:p>
        </w:tc>
        <w:tc>
          <w:tcPr>
            <w:tcW w:w="405" w:type="dxa"/>
            <w:shd w:val="clear" w:color="auto" w:fill="auto"/>
            <w:vAlign w:val="center"/>
            <w:hideMark/>
          </w:tcPr>
          <w:p w14:paraId="132B2AAA" w14:textId="77777777" w:rsidR="00B47442" w:rsidRPr="0009445C" w:rsidRDefault="00B47442" w:rsidP="0099521D">
            <w:pPr>
              <w:pStyle w:val="BRL-Tabelle"/>
              <w:jc w:val="center"/>
            </w:pPr>
            <w:r w:rsidRPr="0009445C">
              <w:t>-</w:t>
            </w:r>
          </w:p>
        </w:tc>
        <w:tc>
          <w:tcPr>
            <w:tcW w:w="400" w:type="dxa"/>
            <w:shd w:val="clear" w:color="auto" w:fill="auto"/>
            <w:vAlign w:val="center"/>
            <w:hideMark/>
          </w:tcPr>
          <w:p w14:paraId="7A107D51" w14:textId="77777777" w:rsidR="00B47442" w:rsidRPr="0009445C" w:rsidRDefault="00B47442" w:rsidP="0099521D">
            <w:pPr>
              <w:pStyle w:val="BRL-Tabelle"/>
              <w:jc w:val="center"/>
            </w:pPr>
            <w:r w:rsidRPr="0009445C">
              <w:t>L</w:t>
            </w:r>
          </w:p>
        </w:tc>
        <w:tc>
          <w:tcPr>
            <w:tcW w:w="400" w:type="dxa"/>
            <w:shd w:val="clear" w:color="auto" w:fill="auto"/>
            <w:vAlign w:val="center"/>
            <w:hideMark/>
          </w:tcPr>
          <w:p w14:paraId="65A48A27" w14:textId="77777777" w:rsidR="00B47442" w:rsidRPr="0009445C" w:rsidRDefault="00B47442" w:rsidP="0099521D">
            <w:pPr>
              <w:pStyle w:val="BRL-Tabelle"/>
              <w:jc w:val="center"/>
            </w:pPr>
            <w:r w:rsidRPr="0009445C">
              <w:t>L</w:t>
            </w:r>
          </w:p>
        </w:tc>
        <w:tc>
          <w:tcPr>
            <w:tcW w:w="429" w:type="dxa"/>
            <w:shd w:val="clear" w:color="auto" w:fill="auto"/>
            <w:vAlign w:val="center"/>
            <w:hideMark/>
          </w:tcPr>
          <w:p w14:paraId="7454F293" w14:textId="77777777" w:rsidR="00B47442" w:rsidRPr="0009445C" w:rsidRDefault="00B47442" w:rsidP="0099521D">
            <w:pPr>
              <w:pStyle w:val="BRL-Tabelle"/>
              <w:jc w:val="center"/>
            </w:pPr>
            <w:r w:rsidRPr="0009445C">
              <w:t>L</w:t>
            </w:r>
          </w:p>
        </w:tc>
      </w:tr>
      <w:tr w:rsidR="00B47442" w:rsidRPr="0009445C" w14:paraId="6200B3EF" w14:textId="77777777" w:rsidTr="0099521D">
        <w:trPr>
          <w:trHeight w:val="285"/>
        </w:trPr>
        <w:tc>
          <w:tcPr>
            <w:tcW w:w="3155" w:type="dxa"/>
            <w:shd w:val="clear" w:color="auto" w:fill="auto"/>
            <w:vAlign w:val="center"/>
            <w:hideMark/>
          </w:tcPr>
          <w:p w14:paraId="44AB3FFC" w14:textId="77777777" w:rsidR="00B47442" w:rsidRPr="0009445C" w:rsidRDefault="00B47442" w:rsidP="0099521D">
            <w:pPr>
              <w:pStyle w:val="BRL-Tabelle"/>
            </w:pPr>
            <w:r w:rsidRPr="0009445C">
              <w:t>Freeze-thaw cycle resistance</w:t>
            </w:r>
          </w:p>
        </w:tc>
        <w:tc>
          <w:tcPr>
            <w:tcW w:w="411" w:type="dxa"/>
            <w:shd w:val="clear" w:color="auto" w:fill="auto"/>
            <w:vAlign w:val="center"/>
            <w:hideMark/>
          </w:tcPr>
          <w:p w14:paraId="78C2822E" w14:textId="77777777" w:rsidR="00B47442" w:rsidRPr="0009445C" w:rsidRDefault="00B47442" w:rsidP="0099521D">
            <w:pPr>
              <w:pStyle w:val="BRL-Tabelle"/>
              <w:jc w:val="center"/>
            </w:pPr>
            <w:r w:rsidRPr="0009445C">
              <w:t>X</w:t>
            </w:r>
          </w:p>
        </w:tc>
        <w:tc>
          <w:tcPr>
            <w:tcW w:w="410" w:type="dxa"/>
            <w:shd w:val="clear" w:color="auto" w:fill="auto"/>
            <w:vAlign w:val="center"/>
            <w:hideMark/>
          </w:tcPr>
          <w:p w14:paraId="59092488" w14:textId="77777777" w:rsidR="00B47442" w:rsidRPr="0009445C" w:rsidRDefault="00B47442" w:rsidP="0099521D">
            <w:pPr>
              <w:pStyle w:val="BRL-Tabelle"/>
              <w:jc w:val="center"/>
            </w:pPr>
            <w:r w:rsidRPr="0009445C">
              <w:t>X</w:t>
            </w:r>
          </w:p>
        </w:tc>
        <w:tc>
          <w:tcPr>
            <w:tcW w:w="410" w:type="dxa"/>
            <w:shd w:val="clear" w:color="auto" w:fill="auto"/>
            <w:vAlign w:val="center"/>
            <w:hideMark/>
          </w:tcPr>
          <w:p w14:paraId="4ECB5F21" w14:textId="77777777" w:rsidR="00B47442" w:rsidRPr="0009445C" w:rsidRDefault="00B47442" w:rsidP="0099521D">
            <w:pPr>
              <w:pStyle w:val="BRL-Tabelle"/>
              <w:jc w:val="center"/>
            </w:pPr>
            <w:r w:rsidRPr="0009445C">
              <w:t>X</w:t>
            </w:r>
          </w:p>
        </w:tc>
        <w:tc>
          <w:tcPr>
            <w:tcW w:w="410" w:type="dxa"/>
            <w:shd w:val="clear" w:color="auto" w:fill="auto"/>
            <w:vAlign w:val="center"/>
            <w:hideMark/>
          </w:tcPr>
          <w:p w14:paraId="6B0D5A24" w14:textId="77777777" w:rsidR="00B47442" w:rsidRPr="0009445C" w:rsidRDefault="00B47442" w:rsidP="0099521D">
            <w:pPr>
              <w:pStyle w:val="BRL-Tabelle"/>
              <w:jc w:val="center"/>
            </w:pPr>
            <w:r w:rsidRPr="0009445C">
              <w:t>X</w:t>
            </w:r>
          </w:p>
        </w:tc>
        <w:tc>
          <w:tcPr>
            <w:tcW w:w="413" w:type="dxa"/>
            <w:shd w:val="clear" w:color="auto" w:fill="auto"/>
            <w:vAlign w:val="center"/>
            <w:hideMark/>
          </w:tcPr>
          <w:p w14:paraId="7A47F928" w14:textId="77777777" w:rsidR="00B47442" w:rsidRPr="0009445C" w:rsidRDefault="00B47442" w:rsidP="0099521D">
            <w:pPr>
              <w:pStyle w:val="BRL-Tabelle"/>
              <w:jc w:val="center"/>
            </w:pPr>
            <w:r w:rsidRPr="0009445C">
              <w:t>X</w:t>
            </w:r>
          </w:p>
        </w:tc>
        <w:tc>
          <w:tcPr>
            <w:tcW w:w="413" w:type="dxa"/>
            <w:shd w:val="clear" w:color="auto" w:fill="auto"/>
            <w:vAlign w:val="center"/>
            <w:hideMark/>
          </w:tcPr>
          <w:p w14:paraId="362E6AE5" w14:textId="77777777" w:rsidR="00B47442" w:rsidRPr="0009445C" w:rsidRDefault="00B47442" w:rsidP="0099521D">
            <w:pPr>
              <w:pStyle w:val="BRL-Tabelle"/>
              <w:jc w:val="center"/>
            </w:pPr>
            <w:r w:rsidRPr="0009445C">
              <w:t>X</w:t>
            </w:r>
          </w:p>
        </w:tc>
        <w:tc>
          <w:tcPr>
            <w:tcW w:w="413" w:type="dxa"/>
            <w:shd w:val="clear" w:color="auto" w:fill="auto"/>
            <w:vAlign w:val="center"/>
            <w:hideMark/>
          </w:tcPr>
          <w:p w14:paraId="2DC7944E" w14:textId="77777777" w:rsidR="00B47442" w:rsidRPr="0009445C" w:rsidRDefault="00B47442" w:rsidP="0099521D">
            <w:pPr>
              <w:pStyle w:val="BRL-Tabelle"/>
              <w:jc w:val="center"/>
            </w:pPr>
            <w:r w:rsidRPr="0009445C">
              <w:t>X</w:t>
            </w:r>
          </w:p>
        </w:tc>
        <w:tc>
          <w:tcPr>
            <w:tcW w:w="413" w:type="dxa"/>
            <w:shd w:val="clear" w:color="auto" w:fill="auto"/>
            <w:vAlign w:val="center"/>
            <w:hideMark/>
          </w:tcPr>
          <w:p w14:paraId="5C914841" w14:textId="77777777" w:rsidR="00B47442" w:rsidRPr="0009445C" w:rsidRDefault="00B47442" w:rsidP="0099521D">
            <w:pPr>
              <w:pStyle w:val="BRL-Tabelle"/>
              <w:jc w:val="center"/>
            </w:pPr>
            <w:r w:rsidRPr="0009445C">
              <w:t>X</w:t>
            </w:r>
          </w:p>
        </w:tc>
        <w:tc>
          <w:tcPr>
            <w:tcW w:w="350" w:type="dxa"/>
            <w:shd w:val="clear" w:color="auto" w:fill="auto"/>
            <w:vAlign w:val="center"/>
            <w:hideMark/>
          </w:tcPr>
          <w:p w14:paraId="4C8DD03C" w14:textId="77777777" w:rsidR="00B47442" w:rsidRPr="0009445C" w:rsidRDefault="00B47442" w:rsidP="0099521D">
            <w:pPr>
              <w:pStyle w:val="BRL-Tabelle"/>
              <w:jc w:val="center"/>
            </w:pPr>
            <w:r w:rsidRPr="0009445C">
              <w:t>X</w:t>
            </w:r>
          </w:p>
        </w:tc>
        <w:tc>
          <w:tcPr>
            <w:tcW w:w="350" w:type="dxa"/>
            <w:shd w:val="clear" w:color="auto" w:fill="auto"/>
            <w:vAlign w:val="center"/>
            <w:hideMark/>
          </w:tcPr>
          <w:p w14:paraId="777A79D7" w14:textId="77777777" w:rsidR="00B47442" w:rsidRPr="0009445C" w:rsidRDefault="00B47442" w:rsidP="0099521D">
            <w:pPr>
              <w:pStyle w:val="BRL-Tabelle"/>
              <w:jc w:val="center"/>
            </w:pPr>
            <w:r w:rsidRPr="0009445C">
              <w:t>X</w:t>
            </w:r>
          </w:p>
        </w:tc>
        <w:tc>
          <w:tcPr>
            <w:tcW w:w="350" w:type="dxa"/>
            <w:shd w:val="clear" w:color="auto" w:fill="auto"/>
            <w:vAlign w:val="center"/>
            <w:hideMark/>
          </w:tcPr>
          <w:p w14:paraId="30A12A76" w14:textId="77777777" w:rsidR="00B47442" w:rsidRPr="0009445C" w:rsidRDefault="00B47442" w:rsidP="0099521D">
            <w:pPr>
              <w:pStyle w:val="BRL-Tabelle"/>
              <w:jc w:val="center"/>
            </w:pPr>
            <w:r w:rsidRPr="0009445C">
              <w:t>X</w:t>
            </w:r>
          </w:p>
        </w:tc>
        <w:tc>
          <w:tcPr>
            <w:tcW w:w="405" w:type="dxa"/>
            <w:shd w:val="clear" w:color="auto" w:fill="auto"/>
            <w:vAlign w:val="center"/>
            <w:hideMark/>
          </w:tcPr>
          <w:p w14:paraId="31E6C65D" w14:textId="77777777" w:rsidR="00B47442" w:rsidRPr="0009445C" w:rsidRDefault="00B47442" w:rsidP="0099521D">
            <w:pPr>
              <w:pStyle w:val="BRL-Tabelle"/>
              <w:jc w:val="center"/>
            </w:pPr>
            <w:r w:rsidRPr="0009445C">
              <w:t>X</w:t>
            </w:r>
          </w:p>
        </w:tc>
        <w:tc>
          <w:tcPr>
            <w:tcW w:w="400" w:type="dxa"/>
            <w:shd w:val="clear" w:color="auto" w:fill="auto"/>
            <w:vAlign w:val="center"/>
            <w:hideMark/>
          </w:tcPr>
          <w:p w14:paraId="7D549AEC" w14:textId="77777777" w:rsidR="00B47442" w:rsidRPr="0009445C" w:rsidRDefault="00B47442" w:rsidP="0099521D">
            <w:pPr>
              <w:pStyle w:val="BRL-Tabelle"/>
              <w:jc w:val="center"/>
            </w:pPr>
            <w:r w:rsidRPr="0009445C">
              <w:t>X</w:t>
            </w:r>
          </w:p>
        </w:tc>
        <w:tc>
          <w:tcPr>
            <w:tcW w:w="400" w:type="dxa"/>
            <w:shd w:val="clear" w:color="auto" w:fill="auto"/>
            <w:vAlign w:val="center"/>
            <w:hideMark/>
          </w:tcPr>
          <w:p w14:paraId="31C85854" w14:textId="77777777" w:rsidR="00B47442" w:rsidRPr="0009445C" w:rsidRDefault="00B47442" w:rsidP="0099521D">
            <w:pPr>
              <w:pStyle w:val="BRL-Tabelle"/>
              <w:jc w:val="center"/>
            </w:pPr>
            <w:r w:rsidRPr="0009445C">
              <w:t>X</w:t>
            </w:r>
          </w:p>
        </w:tc>
        <w:tc>
          <w:tcPr>
            <w:tcW w:w="429" w:type="dxa"/>
            <w:shd w:val="clear" w:color="auto" w:fill="auto"/>
            <w:vAlign w:val="center"/>
            <w:hideMark/>
          </w:tcPr>
          <w:p w14:paraId="6DF16D73" w14:textId="77777777" w:rsidR="00B47442" w:rsidRPr="0009445C" w:rsidRDefault="00B47442" w:rsidP="0099521D">
            <w:pPr>
              <w:pStyle w:val="BRL-Tabelle"/>
              <w:jc w:val="center"/>
            </w:pPr>
            <w:r w:rsidRPr="0009445C">
              <w:t>X</w:t>
            </w:r>
          </w:p>
        </w:tc>
      </w:tr>
      <w:tr w:rsidR="00B47442" w:rsidRPr="0009445C" w14:paraId="086795DD" w14:textId="77777777" w:rsidTr="0099521D">
        <w:trPr>
          <w:trHeight w:val="285"/>
        </w:trPr>
        <w:tc>
          <w:tcPr>
            <w:tcW w:w="3155" w:type="dxa"/>
            <w:shd w:val="clear" w:color="auto" w:fill="auto"/>
            <w:vAlign w:val="center"/>
            <w:hideMark/>
          </w:tcPr>
          <w:p w14:paraId="5003CC0A" w14:textId="77777777" w:rsidR="00B47442" w:rsidRPr="0009445C" w:rsidRDefault="00B47442" w:rsidP="0099521D">
            <w:pPr>
              <w:pStyle w:val="BRL-Tabelle"/>
            </w:pPr>
            <w:r w:rsidRPr="0009445C">
              <w:t xml:space="preserve">Mechanical strength and stability </w:t>
            </w:r>
          </w:p>
        </w:tc>
        <w:tc>
          <w:tcPr>
            <w:tcW w:w="411" w:type="dxa"/>
            <w:shd w:val="clear" w:color="auto" w:fill="auto"/>
            <w:vAlign w:val="center"/>
            <w:hideMark/>
          </w:tcPr>
          <w:p w14:paraId="3CB76AE8"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638D26DD"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3918CB4C" w14:textId="77777777" w:rsidR="00B47442" w:rsidRPr="0009445C" w:rsidRDefault="00B47442" w:rsidP="0099521D">
            <w:pPr>
              <w:pStyle w:val="BRL-Tabelle"/>
              <w:jc w:val="center"/>
            </w:pPr>
            <w:r w:rsidRPr="0009445C">
              <w:t>L</w:t>
            </w:r>
          </w:p>
        </w:tc>
        <w:tc>
          <w:tcPr>
            <w:tcW w:w="410" w:type="dxa"/>
            <w:shd w:val="clear" w:color="auto" w:fill="auto"/>
            <w:vAlign w:val="center"/>
            <w:hideMark/>
          </w:tcPr>
          <w:p w14:paraId="073BE261"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1F684675"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7E63B836"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529EFB48" w14:textId="77777777" w:rsidR="00B47442" w:rsidRPr="0009445C" w:rsidRDefault="00B47442" w:rsidP="0099521D">
            <w:pPr>
              <w:pStyle w:val="BRL-Tabelle"/>
              <w:jc w:val="center"/>
            </w:pPr>
            <w:r w:rsidRPr="0009445C">
              <w:t>L</w:t>
            </w:r>
          </w:p>
        </w:tc>
        <w:tc>
          <w:tcPr>
            <w:tcW w:w="413" w:type="dxa"/>
            <w:shd w:val="clear" w:color="auto" w:fill="auto"/>
            <w:vAlign w:val="center"/>
            <w:hideMark/>
          </w:tcPr>
          <w:p w14:paraId="381AE92D"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7B702C06"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1955E9BA" w14:textId="77777777" w:rsidR="00B47442" w:rsidRPr="0009445C" w:rsidRDefault="00B47442" w:rsidP="0099521D">
            <w:pPr>
              <w:pStyle w:val="BRL-Tabelle"/>
              <w:jc w:val="center"/>
            </w:pPr>
            <w:r w:rsidRPr="0009445C">
              <w:t>L</w:t>
            </w:r>
          </w:p>
        </w:tc>
        <w:tc>
          <w:tcPr>
            <w:tcW w:w="350" w:type="dxa"/>
            <w:shd w:val="clear" w:color="auto" w:fill="auto"/>
            <w:vAlign w:val="center"/>
            <w:hideMark/>
          </w:tcPr>
          <w:p w14:paraId="0FF44EAD" w14:textId="77777777" w:rsidR="00B47442" w:rsidRPr="0009445C" w:rsidRDefault="00B47442" w:rsidP="0099521D">
            <w:pPr>
              <w:pStyle w:val="BRL-Tabelle"/>
              <w:jc w:val="center"/>
            </w:pPr>
            <w:r w:rsidRPr="0009445C">
              <w:t>L</w:t>
            </w:r>
          </w:p>
        </w:tc>
        <w:tc>
          <w:tcPr>
            <w:tcW w:w="405" w:type="dxa"/>
            <w:shd w:val="clear" w:color="auto" w:fill="auto"/>
            <w:vAlign w:val="center"/>
            <w:hideMark/>
          </w:tcPr>
          <w:p w14:paraId="2A7B0EFA" w14:textId="77777777" w:rsidR="00B47442" w:rsidRPr="0009445C" w:rsidRDefault="00B47442" w:rsidP="0099521D">
            <w:pPr>
              <w:pStyle w:val="BRL-Tabelle"/>
              <w:jc w:val="center"/>
            </w:pPr>
            <w:r w:rsidRPr="0009445C">
              <w:t>L</w:t>
            </w:r>
          </w:p>
        </w:tc>
        <w:tc>
          <w:tcPr>
            <w:tcW w:w="400" w:type="dxa"/>
            <w:shd w:val="clear" w:color="auto" w:fill="auto"/>
            <w:vAlign w:val="center"/>
            <w:hideMark/>
          </w:tcPr>
          <w:p w14:paraId="4DFA5547" w14:textId="77777777" w:rsidR="00B47442" w:rsidRPr="0009445C" w:rsidRDefault="00B47442" w:rsidP="0099521D">
            <w:pPr>
              <w:pStyle w:val="BRL-Tabelle"/>
              <w:jc w:val="center"/>
            </w:pPr>
            <w:r w:rsidRPr="0009445C">
              <w:t>L</w:t>
            </w:r>
          </w:p>
        </w:tc>
        <w:tc>
          <w:tcPr>
            <w:tcW w:w="400" w:type="dxa"/>
            <w:shd w:val="clear" w:color="auto" w:fill="auto"/>
            <w:vAlign w:val="center"/>
            <w:hideMark/>
          </w:tcPr>
          <w:p w14:paraId="17A65113" w14:textId="77777777" w:rsidR="00B47442" w:rsidRPr="0009445C" w:rsidRDefault="00B47442" w:rsidP="0099521D">
            <w:pPr>
              <w:pStyle w:val="BRL-Tabelle"/>
              <w:jc w:val="center"/>
            </w:pPr>
            <w:r w:rsidRPr="0009445C">
              <w:t>X</w:t>
            </w:r>
          </w:p>
        </w:tc>
        <w:tc>
          <w:tcPr>
            <w:tcW w:w="429" w:type="dxa"/>
            <w:shd w:val="clear" w:color="auto" w:fill="auto"/>
            <w:vAlign w:val="center"/>
            <w:hideMark/>
          </w:tcPr>
          <w:p w14:paraId="6280F5EE" w14:textId="77777777" w:rsidR="00B47442" w:rsidRPr="0009445C" w:rsidRDefault="00B47442" w:rsidP="0099521D">
            <w:pPr>
              <w:pStyle w:val="BRL-Tabelle"/>
              <w:jc w:val="center"/>
            </w:pPr>
            <w:r w:rsidRPr="0009445C">
              <w:t>L</w:t>
            </w:r>
          </w:p>
        </w:tc>
      </w:tr>
      <w:tr w:rsidR="00B47442" w:rsidRPr="0009445C" w14:paraId="52B4AB9D" w14:textId="77777777" w:rsidTr="0099521D">
        <w:trPr>
          <w:trHeight w:val="285"/>
        </w:trPr>
        <w:tc>
          <w:tcPr>
            <w:tcW w:w="9132" w:type="dxa"/>
            <w:gridSpan w:val="16"/>
            <w:shd w:val="clear" w:color="auto" w:fill="auto"/>
            <w:vAlign w:val="center"/>
          </w:tcPr>
          <w:p w14:paraId="08ECF011" w14:textId="77777777" w:rsidR="00B47442" w:rsidRPr="0009445C" w:rsidRDefault="00B47442" w:rsidP="0099521D">
            <w:pPr>
              <w:pStyle w:val="BRL-Tabelle"/>
            </w:pPr>
            <w:r w:rsidRPr="0009445C">
              <w:t>X</w:t>
            </w:r>
            <w:r w:rsidRPr="0009445C">
              <w:tab/>
              <w:t>must be fulfilled</w:t>
            </w:r>
          </w:p>
          <w:p w14:paraId="04C2792C" w14:textId="77777777" w:rsidR="00B47442" w:rsidRPr="0009445C" w:rsidRDefault="00B47442" w:rsidP="0099521D">
            <w:pPr>
              <w:pStyle w:val="BRL-Tabelle"/>
            </w:pPr>
            <w:r w:rsidRPr="0009445C">
              <w:t>K</w:t>
            </w:r>
            <w:r w:rsidRPr="0009445C">
              <w:tab/>
              <w:t xml:space="preserve">Classification required </w:t>
            </w:r>
          </w:p>
          <w:p w14:paraId="33AF3AEB" w14:textId="77777777" w:rsidR="00B47442" w:rsidRPr="0009445C" w:rsidRDefault="00B47442" w:rsidP="0099521D">
            <w:pPr>
              <w:pStyle w:val="BRL-Tabelle"/>
            </w:pPr>
            <w:r w:rsidRPr="0009445C">
              <w:t>L</w:t>
            </w:r>
            <w:r w:rsidRPr="0009445C">
              <w:tab/>
              <w:t>Value for the output required</w:t>
            </w:r>
          </w:p>
          <w:p w14:paraId="64740A1B" w14:textId="77777777" w:rsidR="00B47442" w:rsidRPr="0009445C" w:rsidRDefault="00B47442" w:rsidP="0099521D">
            <w:pPr>
              <w:pStyle w:val="BRL-Tabelle"/>
              <w:ind w:left="709" w:hanging="709"/>
              <w:rPr>
                <w:bCs/>
              </w:rPr>
            </w:pPr>
            <w:r w:rsidRPr="0009445C">
              <w:t>-</w:t>
            </w:r>
            <w:r w:rsidRPr="0009445C">
              <w:tab/>
              <w:t>Essential feature not included in Annex ZA for the construction product, or included in Annex ZA but not required under building inspection regulations</w:t>
            </w:r>
          </w:p>
        </w:tc>
      </w:tr>
    </w:tbl>
    <w:p w14:paraId="78287EE6" w14:textId="77777777" w:rsidR="00B47442" w:rsidRPr="0009445C" w:rsidRDefault="00B47442" w:rsidP="00B47442">
      <w:pPr>
        <w:pStyle w:val="BRL-Standard"/>
        <w:spacing w:before="80" w:after="40"/>
      </w:pPr>
    </w:p>
    <w:p w14:paraId="449927BA" w14:textId="77777777" w:rsidR="00B47442" w:rsidRPr="0009445C" w:rsidRDefault="00B47442" w:rsidP="00B47442">
      <w:pPr>
        <w:pStyle w:val="BRL-Standard"/>
        <w:spacing w:after="40"/>
        <w:rPr>
          <w:bCs/>
        </w:rPr>
      </w:pPr>
      <w:r w:rsidRPr="0009445C">
        <w:t>Explanation for Table 5</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281"/>
      </w:tblGrid>
      <w:tr w:rsidR="00B47442" w:rsidRPr="0009445C" w14:paraId="791DC1CC" w14:textId="77777777" w:rsidTr="0099521D">
        <w:tc>
          <w:tcPr>
            <w:tcW w:w="983" w:type="dxa"/>
            <w:shd w:val="clear" w:color="auto" w:fill="auto"/>
            <w:vAlign w:val="center"/>
          </w:tcPr>
          <w:p w14:paraId="0DA18837" w14:textId="1E4376AB" w:rsidR="00B47442" w:rsidRPr="0009445C" w:rsidRDefault="00B47442" w:rsidP="00876A77">
            <w:pPr>
              <w:pStyle w:val="BRLTabelleberschrift"/>
            </w:pPr>
            <w:r w:rsidRPr="0009445C">
              <w:t>Column no.</w:t>
            </w:r>
          </w:p>
        </w:tc>
        <w:tc>
          <w:tcPr>
            <w:tcW w:w="8202" w:type="dxa"/>
            <w:shd w:val="clear" w:color="auto" w:fill="auto"/>
            <w:vAlign w:val="center"/>
          </w:tcPr>
          <w:p w14:paraId="08F34EAC" w14:textId="77777777" w:rsidR="00B47442" w:rsidRPr="0009445C" w:rsidRDefault="00B47442" w:rsidP="0099521D">
            <w:pPr>
              <w:pStyle w:val="BRLTabelleberschrift"/>
            </w:pPr>
            <w:r w:rsidRPr="0009445C">
              <w:t>European Assessment Document (EAD)</w:t>
            </w:r>
          </w:p>
        </w:tc>
      </w:tr>
      <w:tr w:rsidR="00B47442" w:rsidRPr="0009445C" w14:paraId="139E79B0" w14:textId="77777777" w:rsidTr="0099521D">
        <w:tc>
          <w:tcPr>
            <w:tcW w:w="983" w:type="dxa"/>
            <w:shd w:val="clear" w:color="auto" w:fill="auto"/>
            <w:vAlign w:val="center"/>
          </w:tcPr>
          <w:p w14:paraId="05A09A7C" w14:textId="77777777" w:rsidR="00B47442" w:rsidRPr="0009445C" w:rsidRDefault="00B47442" w:rsidP="0099521D">
            <w:pPr>
              <w:pStyle w:val="BRL-Tabelle"/>
            </w:pPr>
            <w:r w:rsidRPr="0009445C">
              <w:t>2</w:t>
            </w:r>
          </w:p>
        </w:tc>
        <w:tc>
          <w:tcPr>
            <w:tcW w:w="8202" w:type="dxa"/>
            <w:shd w:val="clear" w:color="auto" w:fill="auto"/>
          </w:tcPr>
          <w:p w14:paraId="7D5345C2" w14:textId="77777777" w:rsidR="00B47442" w:rsidRPr="0009445C" w:rsidRDefault="00B47442" w:rsidP="0099521D">
            <w:pPr>
              <w:pStyle w:val="BRL-Tabelle"/>
            </w:pPr>
            <w:r w:rsidRPr="0009445C">
              <w:t>CHIMNEY KIT WITH CERAMIC FLUE LINER</w:t>
            </w:r>
          </w:p>
          <w:p w14:paraId="7EA824F3" w14:textId="77777777" w:rsidR="00B47442" w:rsidRPr="0009445C" w:rsidRDefault="00B47442" w:rsidP="0099521D">
            <w:pPr>
              <w:pStyle w:val="BRL-Tabelle"/>
            </w:pPr>
            <w:r w:rsidRPr="0009445C">
              <w:t>EAD 060001-00-0802</w:t>
            </w:r>
          </w:p>
        </w:tc>
      </w:tr>
      <w:tr w:rsidR="00B47442" w:rsidRPr="0009445C" w14:paraId="599386C7" w14:textId="77777777" w:rsidTr="0099521D">
        <w:tc>
          <w:tcPr>
            <w:tcW w:w="983" w:type="dxa"/>
            <w:shd w:val="clear" w:color="auto" w:fill="auto"/>
            <w:vAlign w:val="center"/>
          </w:tcPr>
          <w:p w14:paraId="41AF0EB5" w14:textId="77777777" w:rsidR="00B47442" w:rsidRPr="0009445C" w:rsidRDefault="00B47442" w:rsidP="0099521D">
            <w:pPr>
              <w:pStyle w:val="BRL-Tabelle"/>
            </w:pPr>
            <w:r w:rsidRPr="0009445C">
              <w:t>3</w:t>
            </w:r>
          </w:p>
        </w:tc>
        <w:tc>
          <w:tcPr>
            <w:tcW w:w="8202" w:type="dxa"/>
            <w:shd w:val="clear" w:color="auto" w:fill="auto"/>
          </w:tcPr>
          <w:p w14:paraId="73D41150" w14:textId="77777777" w:rsidR="00B47442" w:rsidRPr="0009445C" w:rsidRDefault="00B47442" w:rsidP="0099521D">
            <w:pPr>
              <w:pStyle w:val="BRL-Tabelle"/>
            </w:pPr>
            <w:r w:rsidRPr="0009445C">
              <w:t>Chimney kit with ceramic flue liner and with specific outer wall</w:t>
            </w:r>
          </w:p>
          <w:p w14:paraId="29A928EB" w14:textId="77777777" w:rsidR="00B47442" w:rsidRPr="0009445C" w:rsidRDefault="00B47442" w:rsidP="0099521D">
            <w:pPr>
              <w:pStyle w:val="BRL-Tabelle"/>
            </w:pPr>
            <w:r w:rsidRPr="0009445C">
              <w:t>EAD 060003-00-0802</w:t>
            </w:r>
          </w:p>
        </w:tc>
      </w:tr>
      <w:tr w:rsidR="00B47442" w:rsidRPr="0009445C" w14:paraId="17AA2903" w14:textId="77777777" w:rsidTr="0099521D">
        <w:tc>
          <w:tcPr>
            <w:tcW w:w="983" w:type="dxa"/>
            <w:shd w:val="clear" w:color="auto" w:fill="auto"/>
            <w:vAlign w:val="center"/>
          </w:tcPr>
          <w:p w14:paraId="0BA65E1B" w14:textId="77777777" w:rsidR="00B47442" w:rsidRPr="0009445C" w:rsidRDefault="00B47442" w:rsidP="0099521D">
            <w:pPr>
              <w:pStyle w:val="BRL-Tabelle"/>
            </w:pPr>
            <w:r w:rsidRPr="0009445C">
              <w:t>4</w:t>
            </w:r>
          </w:p>
        </w:tc>
        <w:tc>
          <w:tcPr>
            <w:tcW w:w="8202" w:type="dxa"/>
            <w:shd w:val="clear" w:color="auto" w:fill="auto"/>
          </w:tcPr>
          <w:p w14:paraId="0874F52C" w14:textId="77777777" w:rsidR="00B47442" w:rsidRPr="0009445C" w:rsidRDefault="00B47442" w:rsidP="0099521D">
            <w:pPr>
              <w:pStyle w:val="BRL-Tabelle"/>
            </w:pPr>
            <w:r w:rsidRPr="0009445C">
              <w:t>Chimney kit with ceramic flue liner, with different outer walls and possible change of outer wall</w:t>
            </w:r>
          </w:p>
          <w:p w14:paraId="09EE57C7" w14:textId="77777777" w:rsidR="00B47442" w:rsidRPr="0009445C" w:rsidRDefault="00B47442" w:rsidP="0099521D">
            <w:pPr>
              <w:pStyle w:val="BRL-Tabelle"/>
            </w:pPr>
            <w:r w:rsidRPr="0009445C">
              <w:t>EAD 060008-00-0802</w:t>
            </w:r>
          </w:p>
        </w:tc>
      </w:tr>
    </w:tbl>
    <w:p w14:paraId="75F42902" w14:textId="77777777" w:rsidR="00B47442" w:rsidRPr="0009445C" w:rsidRDefault="00B47442" w:rsidP="00B47442">
      <w:pPr>
        <w:spacing w:after="60"/>
        <w:rPr>
          <w:b/>
        </w:rPr>
      </w:pPr>
      <w:r w:rsidRPr="0009445C">
        <w:br w:type="page"/>
      </w:r>
      <w:r w:rsidRPr="0009445C">
        <w:rPr>
          <w:b/>
        </w:rPr>
        <w:lastRenderedPageBreak/>
        <w:t>Table 5:</w:t>
      </w:r>
    </w:p>
    <w:tbl>
      <w:tblPr>
        <w:tblW w:w="9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6"/>
        <w:gridCol w:w="1881"/>
        <w:gridCol w:w="1782"/>
        <w:gridCol w:w="1283"/>
      </w:tblGrid>
      <w:tr w:rsidR="00B47442" w:rsidRPr="0009445C" w14:paraId="31A7BCFE" w14:textId="77777777" w:rsidTr="0099521D">
        <w:trPr>
          <w:trHeight w:val="608"/>
        </w:trPr>
        <w:tc>
          <w:tcPr>
            <w:tcW w:w="4186" w:type="dxa"/>
            <w:shd w:val="clear" w:color="auto" w:fill="auto"/>
            <w:noWrap/>
          </w:tcPr>
          <w:p w14:paraId="32D63886" w14:textId="77777777" w:rsidR="00B47442" w:rsidRPr="0009445C" w:rsidRDefault="00B47442" w:rsidP="0099521D">
            <w:pPr>
              <w:pStyle w:val="BRLTabelleberschrift"/>
            </w:pPr>
            <w:r w:rsidRPr="0009445C">
              <w:t>Essential feature</w:t>
            </w:r>
          </w:p>
        </w:tc>
        <w:tc>
          <w:tcPr>
            <w:tcW w:w="4946" w:type="dxa"/>
            <w:gridSpan w:val="3"/>
            <w:shd w:val="clear" w:color="auto" w:fill="auto"/>
          </w:tcPr>
          <w:p w14:paraId="5F433DD3" w14:textId="77777777" w:rsidR="00B47442" w:rsidRPr="0009445C" w:rsidRDefault="00B47442" w:rsidP="0099521D">
            <w:pPr>
              <w:pStyle w:val="BRLTabelleberschrift"/>
              <w:tabs>
                <w:tab w:val="clear" w:pos="851"/>
              </w:tabs>
              <w:ind w:left="65" w:firstLine="0"/>
            </w:pPr>
            <w:r w:rsidRPr="0009445C">
              <w:t xml:space="preserve">Construction product </w:t>
            </w:r>
            <w:r w:rsidRPr="0009445C">
              <w:br/>
              <w:t>according to European Assessment Document (EAD)</w:t>
            </w:r>
          </w:p>
        </w:tc>
      </w:tr>
      <w:tr w:rsidR="00B47442" w:rsidRPr="0009445C" w14:paraId="7C62E951" w14:textId="77777777" w:rsidTr="0099521D">
        <w:trPr>
          <w:trHeight w:val="300"/>
        </w:trPr>
        <w:tc>
          <w:tcPr>
            <w:tcW w:w="4186" w:type="dxa"/>
            <w:shd w:val="clear" w:color="auto" w:fill="auto"/>
            <w:noWrap/>
            <w:vAlign w:val="bottom"/>
            <w:hideMark/>
          </w:tcPr>
          <w:p w14:paraId="0B0A20FC" w14:textId="77777777" w:rsidR="00B47442" w:rsidRPr="0009445C" w:rsidRDefault="00B47442" w:rsidP="0099521D">
            <w:pPr>
              <w:pStyle w:val="BRL-Tabelle"/>
              <w:jc w:val="center"/>
            </w:pPr>
            <w:r w:rsidRPr="0009445C">
              <w:t>1</w:t>
            </w:r>
          </w:p>
        </w:tc>
        <w:tc>
          <w:tcPr>
            <w:tcW w:w="1881" w:type="dxa"/>
            <w:shd w:val="clear" w:color="auto" w:fill="auto"/>
            <w:vAlign w:val="center"/>
            <w:hideMark/>
          </w:tcPr>
          <w:p w14:paraId="1EA02CAE" w14:textId="77777777" w:rsidR="00B47442" w:rsidRPr="0009445C" w:rsidRDefault="00B47442" w:rsidP="0099521D">
            <w:pPr>
              <w:pStyle w:val="BRL-Tabelle"/>
              <w:jc w:val="center"/>
            </w:pPr>
            <w:r w:rsidRPr="0009445C">
              <w:t>2</w:t>
            </w:r>
          </w:p>
        </w:tc>
        <w:tc>
          <w:tcPr>
            <w:tcW w:w="1782" w:type="dxa"/>
            <w:shd w:val="clear" w:color="auto" w:fill="auto"/>
            <w:vAlign w:val="center"/>
            <w:hideMark/>
          </w:tcPr>
          <w:p w14:paraId="01DECD7B" w14:textId="77777777" w:rsidR="00B47442" w:rsidRPr="0009445C" w:rsidRDefault="00B47442" w:rsidP="0099521D">
            <w:pPr>
              <w:pStyle w:val="BRL-Tabelle"/>
              <w:jc w:val="center"/>
            </w:pPr>
            <w:r w:rsidRPr="0009445C">
              <w:t>3</w:t>
            </w:r>
          </w:p>
        </w:tc>
        <w:tc>
          <w:tcPr>
            <w:tcW w:w="1283" w:type="dxa"/>
            <w:shd w:val="clear" w:color="auto" w:fill="auto"/>
            <w:vAlign w:val="center"/>
            <w:hideMark/>
          </w:tcPr>
          <w:p w14:paraId="5B7D98FC" w14:textId="77777777" w:rsidR="00B47442" w:rsidRPr="0009445C" w:rsidRDefault="00B47442" w:rsidP="0099521D">
            <w:pPr>
              <w:pStyle w:val="BRL-Tabelle"/>
              <w:jc w:val="center"/>
            </w:pPr>
            <w:r w:rsidRPr="0009445C">
              <w:t>4</w:t>
            </w:r>
          </w:p>
        </w:tc>
      </w:tr>
      <w:tr w:rsidR="00B47442" w:rsidRPr="0009445C" w14:paraId="6490BB25" w14:textId="77777777" w:rsidTr="0099521D">
        <w:trPr>
          <w:trHeight w:val="300"/>
        </w:trPr>
        <w:tc>
          <w:tcPr>
            <w:tcW w:w="4186" w:type="dxa"/>
            <w:shd w:val="clear" w:color="auto" w:fill="auto"/>
            <w:vAlign w:val="center"/>
            <w:hideMark/>
          </w:tcPr>
          <w:p w14:paraId="799DBD3C" w14:textId="77777777" w:rsidR="00B47442" w:rsidRPr="0009445C" w:rsidRDefault="00B47442" w:rsidP="0099521D">
            <w:pPr>
              <w:pStyle w:val="BRL-Tabelle"/>
            </w:pPr>
            <w:r w:rsidRPr="0009445C">
              <w:t>Temperature class</w:t>
            </w:r>
          </w:p>
        </w:tc>
        <w:tc>
          <w:tcPr>
            <w:tcW w:w="1881" w:type="dxa"/>
            <w:shd w:val="clear" w:color="auto" w:fill="auto"/>
            <w:vAlign w:val="center"/>
            <w:hideMark/>
          </w:tcPr>
          <w:p w14:paraId="3371ADE5" w14:textId="77777777" w:rsidR="00B47442" w:rsidRPr="0009445C" w:rsidRDefault="00B47442" w:rsidP="0099521D">
            <w:pPr>
              <w:pStyle w:val="BRL-Tabelle"/>
              <w:jc w:val="center"/>
            </w:pPr>
            <w:r w:rsidRPr="0009445C">
              <w:t>K</w:t>
            </w:r>
          </w:p>
        </w:tc>
        <w:tc>
          <w:tcPr>
            <w:tcW w:w="1782" w:type="dxa"/>
            <w:shd w:val="clear" w:color="auto" w:fill="auto"/>
            <w:vAlign w:val="center"/>
            <w:hideMark/>
          </w:tcPr>
          <w:p w14:paraId="2B28F0DA" w14:textId="77777777" w:rsidR="00B47442" w:rsidRPr="0009445C" w:rsidRDefault="00B47442" w:rsidP="0099521D">
            <w:pPr>
              <w:pStyle w:val="BRL-Tabelle"/>
              <w:jc w:val="center"/>
            </w:pPr>
            <w:r w:rsidRPr="0009445C">
              <w:t>K</w:t>
            </w:r>
          </w:p>
        </w:tc>
        <w:tc>
          <w:tcPr>
            <w:tcW w:w="1283" w:type="dxa"/>
            <w:shd w:val="clear" w:color="auto" w:fill="auto"/>
            <w:vAlign w:val="center"/>
            <w:hideMark/>
          </w:tcPr>
          <w:p w14:paraId="5CAC99AF" w14:textId="77777777" w:rsidR="00B47442" w:rsidRPr="0009445C" w:rsidRDefault="00B47442" w:rsidP="0099521D">
            <w:pPr>
              <w:pStyle w:val="BRL-Tabelle"/>
              <w:jc w:val="center"/>
            </w:pPr>
            <w:r w:rsidRPr="0009445C">
              <w:t>K</w:t>
            </w:r>
          </w:p>
        </w:tc>
      </w:tr>
      <w:tr w:rsidR="00B47442" w:rsidRPr="0009445C" w14:paraId="48DF1936" w14:textId="77777777" w:rsidTr="0099521D">
        <w:trPr>
          <w:trHeight w:val="300"/>
        </w:trPr>
        <w:tc>
          <w:tcPr>
            <w:tcW w:w="4186" w:type="dxa"/>
            <w:shd w:val="clear" w:color="auto" w:fill="auto"/>
            <w:vAlign w:val="center"/>
            <w:hideMark/>
          </w:tcPr>
          <w:p w14:paraId="1F685BDA" w14:textId="77777777" w:rsidR="00B47442" w:rsidRPr="0009445C" w:rsidRDefault="00B47442" w:rsidP="0099521D">
            <w:pPr>
              <w:pStyle w:val="BRL-Tabelle"/>
            </w:pPr>
            <w:r w:rsidRPr="0009445C">
              <w:t xml:space="preserve">Pressure class </w:t>
            </w:r>
          </w:p>
        </w:tc>
        <w:tc>
          <w:tcPr>
            <w:tcW w:w="1881" w:type="dxa"/>
            <w:shd w:val="clear" w:color="auto" w:fill="auto"/>
            <w:vAlign w:val="center"/>
            <w:hideMark/>
          </w:tcPr>
          <w:p w14:paraId="019872C5" w14:textId="77777777" w:rsidR="00B47442" w:rsidRPr="0009445C" w:rsidRDefault="00B47442" w:rsidP="0099521D">
            <w:pPr>
              <w:pStyle w:val="BRL-Tabelle"/>
              <w:jc w:val="center"/>
            </w:pPr>
            <w:r w:rsidRPr="0009445C">
              <w:t>K</w:t>
            </w:r>
          </w:p>
        </w:tc>
        <w:tc>
          <w:tcPr>
            <w:tcW w:w="1782" w:type="dxa"/>
            <w:shd w:val="clear" w:color="auto" w:fill="auto"/>
            <w:vAlign w:val="center"/>
            <w:hideMark/>
          </w:tcPr>
          <w:p w14:paraId="5077A85D" w14:textId="77777777" w:rsidR="00B47442" w:rsidRPr="0009445C" w:rsidRDefault="00B47442" w:rsidP="0099521D">
            <w:pPr>
              <w:pStyle w:val="BRL-Tabelle"/>
              <w:jc w:val="center"/>
            </w:pPr>
            <w:r w:rsidRPr="0009445C">
              <w:t>K</w:t>
            </w:r>
          </w:p>
        </w:tc>
        <w:tc>
          <w:tcPr>
            <w:tcW w:w="1283" w:type="dxa"/>
            <w:shd w:val="clear" w:color="auto" w:fill="auto"/>
            <w:vAlign w:val="center"/>
            <w:hideMark/>
          </w:tcPr>
          <w:p w14:paraId="1982C57D" w14:textId="77777777" w:rsidR="00B47442" w:rsidRPr="0009445C" w:rsidRDefault="00B47442" w:rsidP="0099521D">
            <w:pPr>
              <w:pStyle w:val="BRL-Tabelle"/>
              <w:jc w:val="center"/>
            </w:pPr>
            <w:r w:rsidRPr="0009445C">
              <w:t>K</w:t>
            </w:r>
          </w:p>
        </w:tc>
      </w:tr>
      <w:tr w:rsidR="00B47442" w:rsidRPr="0009445C" w14:paraId="3E07E489" w14:textId="77777777" w:rsidTr="0099521D">
        <w:trPr>
          <w:trHeight w:val="300"/>
        </w:trPr>
        <w:tc>
          <w:tcPr>
            <w:tcW w:w="4186" w:type="dxa"/>
            <w:shd w:val="clear" w:color="auto" w:fill="auto"/>
            <w:vAlign w:val="center"/>
            <w:hideMark/>
          </w:tcPr>
          <w:p w14:paraId="31D70D6D" w14:textId="77777777" w:rsidR="00B47442" w:rsidRPr="0009445C" w:rsidRDefault="00B47442" w:rsidP="0099521D">
            <w:pPr>
              <w:pStyle w:val="BRL-Tabelle"/>
            </w:pPr>
            <w:r w:rsidRPr="0009445C">
              <w:t>Condensate resistance class</w:t>
            </w:r>
          </w:p>
        </w:tc>
        <w:tc>
          <w:tcPr>
            <w:tcW w:w="1881" w:type="dxa"/>
            <w:shd w:val="clear" w:color="auto" w:fill="auto"/>
            <w:vAlign w:val="center"/>
            <w:hideMark/>
          </w:tcPr>
          <w:p w14:paraId="222ADC27" w14:textId="77777777" w:rsidR="00B47442" w:rsidRPr="0009445C" w:rsidRDefault="00B47442" w:rsidP="0099521D">
            <w:pPr>
              <w:pStyle w:val="BRL-Tabelle"/>
              <w:jc w:val="center"/>
            </w:pPr>
            <w:r w:rsidRPr="0009445C">
              <w:t>K</w:t>
            </w:r>
          </w:p>
        </w:tc>
        <w:tc>
          <w:tcPr>
            <w:tcW w:w="1782" w:type="dxa"/>
            <w:shd w:val="clear" w:color="auto" w:fill="auto"/>
            <w:vAlign w:val="center"/>
            <w:hideMark/>
          </w:tcPr>
          <w:p w14:paraId="614C7791" w14:textId="77777777" w:rsidR="00B47442" w:rsidRPr="0009445C" w:rsidRDefault="00B47442" w:rsidP="0099521D">
            <w:pPr>
              <w:pStyle w:val="BRL-Tabelle"/>
              <w:jc w:val="center"/>
            </w:pPr>
            <w:r w:rsidRPr="0009445C">
              <w:t>K</w:t>
            </w:r>
          </w:p>
        </w:tc>
        <w:tc>
          <w:tcPr>
            <w:tcW w:w="1283" w:type="dxa"/>
            <w:shd w:val="clear" w:color="auto" w:fill="auto"/>
            <w:vAlign w:val="center"/>
            <w:hideMark/>
          </w:tcPr>
          <w:p w14:paraId="4D93E6BE" w14:textId="77777777" w:rsidR="00B47442" w:rsidRPr="0009445C" w:rsidRDefault="00B47442" w:rsidP="0099521D">
            <w:pPr>
              <w:pStyle w:val="BRL-Tabelle"/>
              <w:jc w:val="center"/>
            </w:pPr>
            <w:r w:rsidRPr="0009445C">
              <w:t>K</w:t>
            </w:r>
          </w:p>
        </w:tc>
      </w:tr>
      <w:tr w:rsidR="00B47442" w:rsidRPr="0009445C" w14:paraId="62923C04" w14:textId="77777777" w:rsidTr="0099521D">
        <w:trPr>
          <w:trHeight w:val="300"/>
        </w:trPr>
        <w:tc>
          <w:tcPr>
            <w:tcW w:w="4186" w:type="dxa"/>
            <w:shd w:val="clear" w:color="auto" w:fill="auto"/>
            <w:vAlign w:val="center"/>
            <w:hideMark/>
          </w:tcPr>
          <w:p w14:paraId="4FD7299F" w14:textId="77777777" w:rsidR="00B47442" w:rsidRPr="0009445C" w:rsidRDefault="00B47442" w:rsidP="0099521D">
            <w:pPr>
              <w:pStyle w:val="BRL-Tabelle"/>
            </w:pPr>
            <w:r w:rsidRPr="0009445C">
              <w:t>Corrosion resistance class</w:t>
            </w:r>
          </w:p>
        </w:tc>
        <w:tc>
          <w:tcPr>
            <w:tcW w:w="1881" w:type="dxa"/>
            <w:shd w:val="clear" w:color="auto" w:fill="auto"/>
            <w:vAlign w:val="center"/>
            <w:hideMark/>
          </w:tcPr>
          <w:p w14:paraId="0C64880A" w14:textId="77777777" w:rsidR="00B47442" w:rsidRPr="0009445C" w:rsidRDefault="00B47442" w:rsidP="0099521D">
            <w:pPr>
              <w:pStyle w:val="BRL-Tabelle"/>
              <w:jc w:val="center"/>
            </w:pPr>
            <w:r w:rsidRPr="0009445C">
              <w:t>K</w:t>
            </w:r>
          </w:p>
        </w:tc>
        <w:tc>
          <w:tcPr>
            <w:tcW w:w="1782" w:type="dxa"/>
            <w:shd w:val="clear" w:color="auto" w:fill="auto"/>
            <w:vAlign w:val="center"/>
            <w:hideMark/>
          </w:tcPr>
          <w:p w14:paraId="07C3A1DB" w14:textId="77777777" w:rsidR="00B47442" w:rsidRPr="0009445C" w:rsidRDefault="00B47442" w:rsidP="0099521D">
            <w:pPr>
              <w:pStyle w:val="BRL-Tabelle"/>
              <w:jc w:val="center"/>
            </w:pPr>
            <w:r w:rsidRPr="0009445C">
              <w:t>K</w:t>
            </w:r>
          </w:p>
        </w:tc>
        <w:tc>
          <w:tcPr>
            <w:tcW w:w="1283" w:type="dxa"/>
            <w:shd w:val="clear" w:color="auto" w:fill="auto"/>
            <w:vAlign w:val="center"/>
            <w:hideMark/>
          </w:tcPr>
          <w:p w14:paraId="77250734" w14:textId="77777777" w:rsidR="00B47442" w:rsidRPr="0009445C" w:rsidRDefault="00B47442" w:rsidP="0099521D">
            <w:pPr>
              <w:pStyle w:val="BRL-Tabelle"/>
              <w:jc w:val="center"/>
            </w:pPr>
            <w:r w:rsidRPr="0009445C">
              <w:t>K</w:t>
            </w:r>
          </w:p>
        </w:tc>
      </w:tr>
      <w:tr w:rsidR="00B47442" w:rsidRPr="0009445C" w14:paraId="4DFD2D27" w14:textId="77777777" w:rsidTr="0099521D">
        <w:trPr>
          <w:trHeight w:val="300"/>
        </w:trPr>
        <w:tc>
          <w:tcPr>
            <w:tcW w:w="4186" w:type="dxa"/>
            <w:shd w:val="clear" w:color="auto" w:fill="auto"/>
            <w:noWrap/>
            <w:vAlign w:val="center"/>
            <w:hideMark/>
          </w:tcPr>
          <w:p w14:paraId="1F155579" w14:textId="77777777" w:rsidR="00B47442" w:rsidRPr="0009445C" w:rsidRDefault="00B47442" w:rsidP="0099521D">
            <w:pPr>
              <w:pStyle w:val="BRL-Tabelle"/>
            </w:pPr>
            <w:r w:rsidRPr="0009445C">
              <w:t xml:space="preserve">Soot fire resistance class </w:t>
            </w:r>
          </w:p>
        </w:tc>
        <w:tc>
          <w:tcPr>
            <w:tcW w:w="1881" w:type="dxa"/>
            <w:shd w:val="clear" w:color="auto" w:fill="auto"/>
            <w:vAlign w:val="center"/>
            <w:hideMark/>
          </w:tcPr>
          <w:p w14:paraId="107CCBA4" w14:textId="77777777" w:rsidR="00B47442" w:rsidRPr="0009445C" w:rsidRDefault="00B47442" w:rsidP="0099521D">
            <w:pPr>
              <w:pStyle w:val="BRL-Tabelle"/>
              <w:jc w:val="center"/>
            </w:pPr>
            <w:r w:rsidRPr="0009445C">
              <w:t>K</w:t>
            </w:r>
          </w:p>
        </w:tc>
        <w:tc>
          <w:tcPr>
            <w:tcW w:w="1782" w:type="dxa"/>
            <w:shd w:val="clear" w:color="auto" w:fill="auto"/>
            <w:vAlign w:val="center"/>
            <w:hideMark/>
          </w:tcPr>
          <w:p w14:paraId="1E9D0D66" w14:textId="77777777" w:rsidR="00B47442" w:rsidRPr="0009445C" w:rsidRDefault="00B47442" w:rsidP="0099521D">
            <w:pPr>
              <w:pStyle w:val="BRL-Tabelle"/>
              <w:jc w:val="center"/>
            </w:pPr>
            <w:r w:rsidRPr="0009445C">
              <w:t>K</w:t>
            </w:r>
          </w:p>
        </w:tc>
        <w:tc>
          <w:tcPr>
            <w:tcW w:w="1283" w:type="dxa"/>
            <w:shd w:val="clear" w:color="auto" w:fill="auto"/>
            <w:vAlign w:val="center"/>
            <w:hideMark/>
          </w:tcPr>
          <w:p w14:paraId="0A17CC16" w14:textId="77777777" w:rsidR="00B47442" w:rsidRPr="0009445C" w:rsidRDefault="00B47442" w:rsidP="0099521D">
            <w:pPr>
              <w:pStyle w:val="BRL-Tabelle"/>
              <w:jc w:val="center"/>
            </w:pPr>
            <w:r w:rsidRPr="0009445C">
              <w:t>K</w:t>
            </w:r>
          </w:p>
        </w:tc>
      </w:tr>
      <w:tr w:rsidR="00B47442" w:rsidRPr="0009445C" w14:paraId="4C555B6A" w14:textId="77777777" w:rsidTr="0099521D">
        <w:trPr>
          <w:trHeight w:val="285"/>
        </w:trPr>
        <w:tc>
          <w:tcPr>
            <w:tcW w:w="4186" w:type="dxa"/>
            <w:shd w:val="clear" w:color="auto" w:fill="auto"/>
            <w:vAlign w:val="center"/>
            <w:hideMark/>
          </w:tcPr>
          <w:p w14:paraId="6E485449" w14:textId="6C5CF853" w:rsidR="00B47442" w:rsidRPr="0009445C" w:rsidRDefault="00B47442" w:rsidP="00BB6109">
            <w:pPr>
              <w:pStyle w:val="BRL-Tabelle"/>
            </w:pPr>
            <w:r w:rsidRPr="0009445C">
              <w:t>Specifications for distance</w:t>
            </w:r>
            <w:r w:rsidRPr="0009445C">
              <w:br/>
              <w:t xml:space="preserve">from combustible building materials </w:t>
            </w:r>
          </w:p>
        </w:tc>
        <w:tc>
          <w:tcPr>
            <w:tcW w:w="1881" w:type="dxa"/>
            <w:shd w:val="clear" w:color="auto" w:fill="auto"/>
            <w:vAlign w:val="center"/>
            <w:hideMark/>
          </w:tcPr>
          <w:p w14:paraId="67D674CB" w14:textId="77777777" w:rsidR="00B47442" w:rsidRPr="0009445C" w:rsidRDefault="00B47442" w:rsidP="0099521D">
            <w:pPr>
              <w:pStyle w:val="BRL-Tabelle"/>
              <w:jc w:val="center"/>
            </w:pPr>
            <w:r w:rsidRPr="0009445C">
              <w:t>L</w:t>
            </w:r>
          </w:p>
        </w:tc>
        <w:tc>
          <w:tcPr>
            <w:tcW w:w="1782" w:type="dxa"/>
            <w:shd w:val="clear" w:color="auto" w:fill="auto"/>
            <w:vAlign w:val="center"/>
            <w:hideMark/>
          </w:tcPr>
          <w:p w14:paraId="294B8EC0" w14:textId="77777777" w:rsidR="00B47442" w:rsidRPr="0009445C" w:rsidRDefault="00B47442" w:rsidP="0099521D">
            <w:pPr>
              <w:pStyle w:val="BRL-Tabelle"/>
              <w:jc w:val="center"/>
            </w:pPr>
            <w:r w:rsidRPr="0009445C">
              <w:t>L</w:t>
            </w:r>
          </w:p>
        </w:tc>
        <w:tc>
          <w:tcPr>
            <w:tcW w:w="1283" w:type="dxa"/>
            <w:shd w:val="clear" w:color="auto" w:fill="auto"/>
            <w:vAlign w:val="center"/>
            <w:hideMark/>
          </w:tcPr>
          <w:p w14:paraId="52B03105" w14:textId="77777777" w:rsidR="00B47442" w:rsidRPr="0009445C" w:rsidRDefault="00B47442" w:rsidP="0099521D">
            <w:pPr>
              <w:pStyle w:val="BRL-Tabelle"/>
              <w:jc w:val="center"/>
            </w:pPr>
            <w:r w:rsidRPr="0009445C">
              <w:t>L</w:t>
            </w:r>
          </w:p>
        </w:tc>
      </w:tr>
      <w:tr w:rsidR="00B47442" w:rsidRPr="0009445C" w14:paraId="39EA75AA" w14:textId="77777777" w:rsidTr="0099521D">
        <w:trPr>
          <w:trHeight w:val="285"/>
        </w:trPr>
        <w:tc>
          <w:tcPr>
            <w:tcW w:w="4186" w:type="dxa"/>
            <w:shd w:val="clear" w:color="auto" w:fill="auto"/>
            <w:vAlign w:val="center"/>
            <w:hideMark/>
          </w:tcPr>
          <w:p w14:paraId="01A0E01B" w14:textId="77777777" w:rsidR="00B47442" w:rsidRPr="0009445C" w:rsidRDefault="00B47442" w:rsidP="0099521D">
            <w:pPr>
              <w:pStyle w:val="BRL-Tabelle"/>
            </w:pPr>
            <w:r w:rsidRPr="0009445C">
              <w:t xml:space="preserve">Pressure class </w:t>
            </w:r>
          </w:p>
          <w:p w14:paraId="13C2232F" w14:textId="77777777" w:rsidR="00B47442" w:rsidRPr="0009445C" w:rsidRDefault="00B47442" w:rsidP="0099521D">
            <w:pPr>
              <w:pStyle w:val="BRL-Tabelle"/>
            </w:pPr>
            <w:r w:rsidRPr="0009445C">
              <w:t>unless included above (for LAS)</w:t>
            </w:r>
          </w:p>
        </w:tc>
        <w:tc>
          <w:tcPr>
            <w:tcW w:w="1881" w:type="dxa"/>
            <w:shd w:val="clear" w:color="auto" w:fill="auto"/>
            <w:vAlign w:val="center"/>
            <w:hideMark/>
          </w:tcPr>
          <w:p w14:paraId="19CC7E78" w14:textId="77777777" w:rsidR="00B47442" w:rsidRPr="0009445C" w:rsidRDefault="00B47442" w:rsidP="0099521D">
            <w:pPr>
              <w:pStyle w:val="BRL-Tabelle"/>
              <w:jc w:val="center"/>
            </w:pPr>
            <w:r w:rsidRPr="0009445C">
              <w:t>X</w:t>
            </w:r>
          </w:p>
        </w:tc>
        <w:tc>
          <w:tcPr>
            <w:tcW w:w="1782" w:type="dxa"/>
            <w:shd w:val="clear" w:color="auto" w:fill="auto"/>
            <w:vAlign w:val="center"/>
            <w:hideMark/>
          </w:tcPr>
          <w:p w14:paraId="551C9001" w14:textId="77777777" w:rsidR="00B47442" w:rsidRPr="0009445C" w:rsidRDefault="00B47442" w:rsidP="0099521D">
            <w:pPr>
              <w:pStyle w:val="BRL-Tabelle"/>
              <w:jc w:val="center"/>
            </w:pPr>
            <w:r w:rsidRPr="0009445C">
              <w:t>X</w:t>
            </w:r>
          </w:p>
        </w:tc>
        <w:tc>
          <w:tcPr>
            <w:tcW w:w="1283" w:type="dxa"/>
            <w:shd w:val="clear" w:color="auto" w:fill="auto"/>
            <w:vAlign w:val="center"/>
            <w:hideMark/>
          </w:tcPr>
          <w:p w14:paraId="43CD66B8" w14:textId="77777777" w:rsidR="00B47442" w:rsidRPr="0009445C" w:rsidRDefault="00B47442" w:rsidP="0099521D">
            <w:pPr>
              <w:pStyle w:val="BRL-Tabelle"/>
              <w:jc w:val="center"/>
            </w:pPr>
            <w:r w:rsidRPr="0009445C">
              <w:t>X</w:t>
            </w:r>
          </w:p>
        </w:tc>
      </w:tr>
      <w:tr w:rsidR="00B47442" w:rsidRPr="0009445C" w14:paraId="69437511" w14:textId="77777777" w:rsidTr="0099521D">
        <w:trPr>
          <w:trHeight w:val="285"/>
        </w:trPr>
        <w:tc>
          <w:tcPr>
            <w:tcW w:w="4186" w:type="dxa"/>
            <w:shd w:val="clear" w:color="auto" w:fill="auto"/>
            <w:vAlign w:val="center"/>
            <w:hideMark/>
          </w:tcPr>
          <w:p w14:paraId="72B0C5E8" w14:textId="77777777" w:rsidR="00B47442" w:rsidRPr="0009445C" w:rsidRDefault="00B47442" w:rsidP="0099521D">
            <w:pPr>
              <w:pStyle w:val="BRL-Tabelle"/>
            </w:pPr>
            <w:r w:rsidRPr="0009445C">
              <w:t xml:space="preserve">Thermal resistance </w:t>
            </w:r>
          </w:p>
        </w:tc>
        <w:tc>
          <w:tcPr>
            <w:tcW w:w="1881" w:type="dxa"/>
            <w:shd w:val="clear" w:color="auto" w:fill="auto"/>
            <w:vAlign w:val="center"/>
            <w:hideMark/>
          </w:tcPr>
          <w:p w14:paraId="02A55C9B" w14:textId="77777777" w:rsidR="00B47442" w:rsidRPr="0009445C" w:rsidRDefault="00B47442" w:rsidP="0099521D">
            <w:pPr>
              <w:pStyle w:val="BRL-Tabelle"/>
              <w:jc w:val="center"/>
            </w:pPr>
            <w:r w:rsidRPr="0009445C">
              <w:t>L</w:t>
            </w:r>
          </w:p>
        </w:tc>
        <w:tc>
          <w:tcPr>
            <w:tcW w:w="1782" w:type="dxa"/>
            <w:shd w:val="clear" w:color="auto" w:fill="auto"/>
            <w:vAlign w:val="center"/>
            <w:hideMark/>
          </w:tcPr>
          <w:p w14:paraId="1CDE5B96" w14:textId="77777777" w:rsidR="00B47442" w:rsidRPr="0009445C" w:rsidRDefault="00B47442" w:rsidP="0099521D">
            <w:pPr>
              <w:pStyle w:val="BRL-Tabelle"/>
              <w:jc w:val="center"/>
            </w:pPr>
            <w:r w:rsidRPr="0009445C">
              <w:t>L</w:t>
            </w:r>
          </w:p>
        </w:tc>
        <w:tc>
          <w:tcPr>
            <w:tcW w:w="1283" w:type="dxa"/>
            <w:shd w:val="clear" w:color="auto" w:fill="auto"/>
            <w:vAlign w:val="center"/>
            <w:hideMark/>
          </w:tcPr>
          <w:p w14:paraId="196C4298" w14:textId="77777777" w:rsidR="00B47442" w:rsidRPr="0009445C" w:rsidRDefault="00B47442" w:rsidP="0099521D">
            <w:pPr>
              <w:pStyle w:val="BRL-Tabelle"/>
              <w:jc w:val="center"/>
            </w:pPr>
            <w:r w:rsidRPr="0009445C">
              <w:t>L</w:t>
            </w:r>
          </w:p>
        </w:tc>
      </w:tr>
      <w:tr w:rsidR="00B47442" w:rsidRPr="0009445C" w14:paraId="477FE432" w14:textId="77777777" w:rsidTr="0099521D">
        <w:trPr>
          <w:trHeight w:val="285"/>
        </w:trPr>
        <w:tc>
          <w:tcPr>
            <w:tcW w:w="4186" w:type="dxa"/>
            <w:shd w:val="clear" w:color="auto" w:fill="auto"/>
            <w:vAlign w:val="center"/>
            <w:hideMark/>
          </w:tcPr>
          <w:p w14:paraId="5BEF01B0" w14:textId="77777777" w:rsidR="00B47442" w:rsidRPr="0009445C" w:rsidRDefault="00B47442" w:rsidP="0099521D">
            <w:pPr>
              <w:pStyle w:val="BRL-Tabelle"/>
            </w:pPr>
            <w:r w:rsidRPr="0009445C">
              <w:t xml:space="preserve">Flow resistance </w:t>
            </w:r>
          </w:p>
        </w:tc>
        <w:tc>
          <w:tcPr>
            <w:tcW w:w="1881" w:type="dxa"/>
            <w:shd w:val="clear" w:color="auto" w:fill="auto"/>
            <w:vAlign w:val="center"/>
            <w:hideMark/>
          </w:tcPr>
          <w:p w14:paraId="7B20A815" w14:textId="77777777" w:rsidR="00B47442" w:rsidRPr="0009445C" w:rsidRDefault="00B47442" w:rsidP="0099521D">
            <w:pPr>
              <w:pStyle w:val="BRL-Tabelle"/>
              <w:jc w:val="center"/>
            </w:pPr>
            <w:r w:rsidRPr="0009445C">
              <w:t>L</w:t>
            </w:r>
          </w:p>
        </w:tc>
        <w:tc>
          <w:tcPr>
            <w:tcW w:w="1782" w:type="dxa"/>
            <w:shd w:val="clear" w:color="auto" w:fill="auto"/>
            <w:vAlign w:val="center"/>
            <w:hideMark/>
          </w:tcPr>
          <w:p w14:paraId="2EDD2418" w14:textId="77777777" w:rsidR="00B47442" w:rsidRPr="0009445C" w:rsidRDefault="00B47442" w:rsidP="0099521D">
            <w:pPr>
              <w:pStyle w:val="BRL-Tabelle"/>
              <w:jc w:val="center"/>
            </w:pPr>
            <w:r w:rsidRPr="0009445C">
              <w:t>L</w:t>
            </w:r>
          </w:p>
        </w:tc>
        <w:tc>
          <w:tcPr>
            <w:tcW w:w="1283" w:type="dxa"/>
            <w:shd w:val="clear" w:color="auto" w:fill="auto"/>
            <w:vAlign w:val="center"/>
            <w:hideMark/>
          </w:tcPr>
          <w:p w14:paraId="74BE66EF" w14:textId="77777777" w:rsidR="00B47442" w:rsidRPr="0009445C" w:rsidRDefault="00B47442" w:rsidP="0099521D">
            <w:pPr>
              <w:pStyle w:val="BRL-Tabelle"/>
              <w:jc w:val="center"/>
            </w:pPr>
            <w:r w:rsidRPr="0009445C">
              <w:t>L</w:t>
            </w:r>
          </w:p>
        </w:tc>
      </w:tr>
      <w:tr w:rsidR="00B47442" w:rsidRPr="0009445C" w14:paraId="57D89B07" w14:textId="77777777" w:rsidTr="0099521D">
        <w:trPr>
          <w:trHeight w:val="285"/>
        </w:trPr>
        <w:tc>
          <w:tcPr>
            <w:tcW w:w="4186" w:type="dxa"/>
            <w:shd w:val="clear" w:color="auto" w:fill="auto"/>
            <w:vAlign w:val="center"/>
            <w:hideMark/>
          </w:tcPr>
          <w:p w14:paraId="1062384B" w14:textId="77777777" w:rsidR="00B47442" w:rsidRPr="0009445C" w:rsidRDefault="00B47442" w:rsidP="0099521D">
            <w:pPr>
              <w:pStyle w:val="BRL-Tabelle"/>
            </w:pPr>
            <w:r w:rsidRPr="0009445C">
              <w:t>Freeze-thaw cycle resistance</w:t>
            </w:r>
          </w:p>
        </w:tc>
        <w:tc>
          <w:tcPr>
            <w:tcW w:w="1881" w:type="dxa"/>
            <w:shd w:val="clear" w:color="auto" w:fill="auto"/>
            <w:hideMark/>
          </w:tcPr>
          <w:p w14:paraId="23165ED4" w14:textId="77777777" w:rsidR="00B47442" w:rsidRPr="0009445C" w:rsidRDefault="00B47442" w:rsidP="0099521D">
            <w:pPr>
              <w:pStyle w:val="BRL-Tabelle"/>
              <w:jc w:val="center"/>
            </w:pPr>
            <w:r w:rsidRPr="0009445C">
              <w:t>X</w:t>
            </w:r>
          </w:p>
        </w:tc>
        <w:tc>
          <w:tcPr>
            <w:tcW w:w="1782" w:type="dxa"/>
            <w:shd w:val="clear" w:color="auto" w:fill="auto"/>
            <w:hideMark/>
          </w:tcPr>
          <w:p w14:paraId="2C40ACBB" w14:textId="77777777" w:rsidR="00B47442" w:rsidRPr="0009445C" w:rsidRDefault="00B47442" w:rsidP="0099521D">
            <w:pPr>
              <w:pStyle w:val="BRL-Tabelle"/>
              <w:jc w:val="center"/>
            </w:pPr>
            <w:r w:rsidRPr="0009445C">
              <w:t>X</w:t>
            </w:r>
          </w:p>
        </w:tc>
        <w:tc>
          <w:tcPr>
            <w:tcW w:w="1283" w:type="dxa"/>
            <w:shd w:val="clear" w:color="auto" w:fill="auto"/>
            <w:hideMark/>
          </w:tcPr>
          <w:p w14:paraId="482F40E0" w14:textId="77777777" w:rsidR="00B47442" w:rsidRPr="0009445C" w:rsidRDefault="00B47442" w:rsidP="0099521D">
            <w:pPr>
              <w:pStyle w:val="BRL-Tabelle"/>
              <w:jc w:val="center"/>
            </w:pPr>
            <w:r w:rsidRPr="0009445C">
              <w:t>X</w:t>
            </w:r>
          </w:p>
        </w:tc>
      </w:tr>
      <w:tr w:rsidR="00B47442" w:rsidRPr="0009445C" w14:paraId="0EC86722" w14:textId="77777777" w:rsidTr="0099521D">
        <w:trPr>
          <w:trHeight w:val="285"/>
        </w:trPr>
        <w:tc>
          <w:tcPr>
            <w:tcW w:w="4186" w:type="dxa"/>
            <w:shd w:val="clear" w:color="auto" w:fill="auto"/>
            <w:vAlign w:val="center"/>
            <w:hideMark/>
          </w:tcPr>
          <w:p w14:paraId="2BC04A97" w14:textId="77777777" w:rsidR="00B47442" w:rsidRPr="0009445C" w:rsidRDefault="00B47442" w:rsidP="0099521D">
            <w:pPr>
              <w:pStyle w:val="BRL-Tabelle"/>
            </w:pPr>
            <w:r w:rsidRPr="0009445C">
              <w:t xml:space="preserve">Mechanical strength and stability </w:t>
            </w:r>
          </w:p>
        </w:tc>
        <w:tc>
          <w:tcPr>
            <w:tcW w:w="1881" w:type="dxa"/>
            <w:shd w:val="clear" w:color="auto" w:fill="auto"/>
            <w:vAlign w:val="center"/>
            <w:hideMark/>
          </w:tcPr>
          <w:p w14:paraId="0AFA3DAE" w14:textId="77777777" w:rsidR="00B47442" w:rsidRPr="0009445C" w:rsidRDefault="00B47442" w:rsidP="0099521D">
            <w:pPr>
              <w:pStyle w:val="BRL-Tabelle"/>
              <w:jc w:val="center"/>
            </w:pPr>
            <w:r w:rsidRPr="0009445C">
              <w:t>L</w:t>
            </w:r>
          </w:p>
        </w:tc>
        <w:tc>
          <w:tcPr>
            <w:tcW w:w="1782" w:type="dxa"/>
            <w:shd w:val="clear" w:color="auto" w:fill="auto"/>
            <w:vAlign w:val="center"/>
            <w:hideMark/>
          </w:tcPr>
          <w:p w14:paraId="3D1CDFE1" w14:textId="77777777" w:rsidR="00B47442" w:rsidRPr="0009445C" w:rsidRDefault="00B47442" w:rsidP="0099521D">
            <w:pPr>
              <w:pStyle w:val="BRL-Tabelle"/>
              <w:jc w:val="center"/>
            </w:pPr>
            <w:r w:rsidRPr="0009445C">
              <w:t>L</w:t>
            </w:r>
          </w:p>
        </w:tc>
        <w:tc>
          <w:tcPr>
            <w:tcW w:w="1283" w:type="dxa"/>
            <w:shd w:val="clear" w:color="auto" w:fill="auto"/>
            <w:vAlign w:val="center"/>
            <w:hideMark/>
          </w:tcPr>
          <w:p w14:paraId="17C57FE6" w14:textId="77777777" w:rsidR="00B47442" w:rsidRPr="0009445C" w:rsidRDefault="00B47442" w:rsidP="0099521D">
            <w:pPr>
              <w:pStyle w:val="BRL-Tabelle"/>
              <w:jc w:val="center"/>
            </w:pPr>
            <w:r w:rsidRPr="0009445C">
              <w:t>L</w:t>
            </w:r>
          </w:p>
        </w:tc>
      </w:tr>
      <w:tr w:rsidR="00B47442" w:rsidRPr="0009445C" w14:paraId="7ABB0FD7" w14:textId="77777777" w:rsidTr="0099521D">
        <w:trPr>
          <w:trHeight w:val="285"/>
        </w:trPr>
        <w:tc>
          <w:tcPr>
            <w:tcW w:w="9132" w:type="dxa"/>
            <w:gridSpan w:val="4"/>
            <w:shd w:val="clear" w:color="auto" w:fill="auto"/>
            <w:vAlign w:val="center"/>
          </w:tcPr>
          <w:p w14:paraId="39294F41" w14:textId="77777777" w:rsidR="00B47442" w:rsidRPr="0009445C" w:rsidRDefault="00B47442" w:rsidP="0099521D">
            <w:pPr>
              <w:pStyle w:val="BRL-Tabelle"/>
            </w:pPr>
            <w:r w:rsidRPr="0009445C">
              <w:t>X</w:t>
            </w:r>
            <w:r w:rsidRPr="0009445C">
              <w:tab/>
              <w:t>must be fulfilled</w:t>
            </w:r>
          </w:p>
          <w:p w14:paraId="00D24A88" w14:textId="77777777" w:rsidR="00B47442" w:rsidRPr="0009445C" w:rsidRDefault="00B47442" w:rsidP="0099521D">
            <w:pPr>
              <w:pStyle w:val="BRL-Tabelle"/>
            </w:pPr>
            <w:r w:rsidRPr="0009445C">
              <w:t>K</w:t>
            </w:r>
            <w:r w:rsidRPr="0009445C">
              <w:tab/>
              <w:t xml:space="preserve">Classification required </w:t>
            </w:r>
          </w:p>
          <w:p w14:paraId="1E81F5AF" w14:textId="77777777" w:rsidR="00B47442" w:rsidRPr="0009445C" w:rsidRDefault="00B47442" w:rsidP="0099521D">
            <w:pPr>
              <w:pStyle w:val="BRL-Tabelle"/>
            </w:pPr>
            <w:r w:rsidRPr="0009445C">
              <w:t>L</w:t>
            </w:r>
            <w:r w:rsidRPr="0009445C">
              <w:tab/>
              <w:t>Value for the output required</w:t>
            </w:r>
          </w:p>
        </w:tc>
      </w:tr>
    </w:tbl>
    <w:p w14:paraId="755BAB91" w14:textId="77777777" w:rsidR="00B47442" w:rsidRPr="0009445C" w:rsidRDefault="00B47442" w:rsidP="00B47442">
      <w:pPr>
        <w:pStyle w:val="BRL-Standard"/>
        <w:rPr>
          <w:rFonts w:eastAsia="Calibri"/>
          <w:lang w:eastAsia="en-US"/>
        </w:rPr>
      </w:pPr>
    </w:p>
    <w:p w14:paraId="58D1D708" w14:textId="77777777" w:rsidR="00B47442" w:rsidRPr="0009445C" w:rsidRDefault="00B47442" w:rsidP="00600F53">
      <w:pPr>
        <w:pStyle w:val="BRL-berschrift"/>
        <w:rPr>
          <w:rFonts w:eastAsia="Calibri"/>
        </w:rPr>
      </w:pPr>
      <w:r w:rsidRPr="0009445C">
        <w:t>1.9</w:t>
      </w:r>
      <w:r w:rsidRPr="0009445C">
        <w:tab/>
        <w:t>Installation and operation of products</w:t>
      </w:r>
    </w:p>
    <w:p w14:paraId="05332367" w14:textId="77777777" w:rsidR="00B47442" w:rsidRPr="0009445C" w:rsidRDefault="00B47442" w:rsidP="00B47442">
      <w:pPr>
        <w:pStyle w:val="BRL-Standard"/>
      </w:pPr>
      <w:r w:rsidRPr="0009445C">
        <w:t xml:space="preserve">Detailed installation and operating instructions from the manufacturer or its representative must be available in German and must be observed. </w:t>
      </w:r>
    </w:p>
    <w:p w14:paraId="15E1E390" w14:textId="77777777" w:rsidR="00B47442" w:rsidRPr="0009445C" w:rsidRDefault="00B47442" w:rsidP="00B47442">
      <w:pPr>
        <w:pStyle w:val="BRL-Standard"/>
      </w:pPr>
      <w:bookmarkStart w:id="100" w:name="_Toc515443622"/>
      <w:r w:rsidRPr="0009445C">
        <w:t xml:space="preserve">The operating instructions must contain in detail the information required for commissioning, inspection, maintenance, repair and functional verification. </w:t>
      </w:r>
    </w:p>
    <w:p w14:paraId="15E3C72F" w14:textId="77777777" w:rsidR="00B47442" w:rsidRPr="0009445C" w:rsidRDefault="00B47442" w:rsidP="00B47442">
      <w:pPr>
        <w:pStyle w:val="BRL-Standard"/>
      </w:pPr>
    </w:p>
    <w:p w14:paraId="5E5D0E92" w14:textId="77777777" w:rsidR="00B47442" w:rsidRPr="0009445C" w:rsidRDefault="00B47442" w:rsidP="00600F53">
      <w:pPr>
        <w:pStyle w:val="BRL-berschrift"/>
      </w:pPr>
      <w:r w:rsidRPr="0009445C">
        <w:t>2</w:t>
      </w:r>
      <w:r w:rsidRPr="0009445C">
        <w:tab/>
        <w:t>Fire alarm systems</w:t>
      </w:r>
      <w:bookmarkEnd w:id="100"/>
    </w:p>
    <w:p w14:paraId="3304CF3B" w14:textId="77777777" w:rsidR="00B47442" w:rsidRPr="0009445C" w:rsidRDefault="00B47442" w:rsidP="00600F53">
      <w:pPr>
        <w:pStyle w:val="BRL-berschrift"/>
        <w:rPr>
          <w:rFonts w:eastAsia="Calibri"/>
        </w:rPr>
      </w:pPr>
      <w:r w:rsidRPr="0009445C">
        <w:t>2.1</w:t>
      </w:r>
      <w:r w:rsidRPr="0009445C">
        <w:tab/>
        <w:t>Purpose of the installation</w:t>
      </w:r>
    </w:p>
    <w:p w14:paraId="5A8EDC41" w14:textId="77777777" w:rsidR="00B47442" w:rsidRPr="0009445C" w:rsidRDefault="00B47442" w:rsidP="00B47442">
      <w:pPr>
        <w:pStyle w:val="BRL-Standard"/>
      </w:pPr>
      <w:r w:rsidRPr="0009445C">
        <w:t xml:space="preserve">Fire alarm systems are hazard alarm systems. They must be used by people to call for help directly (manual release) in the event of fire hazards. Automatic fire alarm systems must detect and report fires at an early stage. The fire alarm shall be forwarded immediately by the transmission device to alert the control centre of the locally responsible fire department. </w:t>
      </w:r>
    </w:p>
    <w:p w14:paraId="0559338A" w14:textId="5FC4733C" w:rsidR="00B47442" w:rsidRPr="0009445C" w:rsidRDefault="00B47442" w:rsidP="00B47442">
      <w:pPr>
        <w:pStyle w:val="BRL-Standard"/>
      </w:pPr>
      <w:r w:rsidRPr="0009445C">
        <w:t>Fire detection systems are technically suitable to warn the persons threatened by the fire and to inform about the fire event.</w:t>
      </w:r>
    </w:p>
    <w:p w14:paraId="4A1ADB45" w14:textId="77777777" w:rsidR="00B47442" w:rsidRPr="0009445C" w:rsidRDefault="00B47442" w:rsidP="00B47442">
      <w:pPr>
        <w:pStyle w:val="BRL-Standard"/>
      </w:pPr>
    </w:p>
    <w:p w14:paraId="035AD15E" w14:textId="77777777" w:rsidR="00B47442" w:rsidRPr="0009445C" w:rsidRDefault="00B47442" w:rsidP="00B47442">
      <w:pPr>
        <w:pStyle w:val="BRL-Standard"/>
      </w:pPr>
      <w:r w:rsidRPr="0009445C">
        <w:t>Smoke alarms or networked smoke alarms do not constitute fire alarm systems.</w:t>
      </w:r>
    </w:p>
    <w:p w14:paraId="4E1EBAD2" w14:textId="77777777" w:rsidR="00DE7F7A" w:rsidRPr="0009445C" w:rsidRDefault="00B95F65" w:rsidP="00B47442">
      <w:pPr>
        <w:pStyle w:val="BRL-Standard"/>
      </w:pPr>
      <w:r w:rsidRPr="0009445C">
        <w:t xml:space="preserve">Fire alarm systems cannot be taken over by fire alarm systems. </w:t>
      </w:r>
    </w:p>
    <w:p w14:paraId="0BF1E28F" w14:textId="77777777" w:rsidR="00DE7F7A" w:rsidRPr="0009445C" w:rsidRDefault="00DE7F7A" w:rsidP="00B47442">
      <w:pPr>
        <w:pStyle w:val="BRL-Standard"/>
      </w:pPr>
      <w:r w:rsidRPr="0009445C">
        <w:t>Unlike fire warning systems, fire alarm systems are technically suitable to control other systems, in particular to activate fire control systems.</w:t>
      </w:r>
    </w:p>
    <w:p w14:paraId="598D3A60" w14:textId="77777777" w:rsidR="00B47442" w:rsidRPr="0009445C" w:rsidRDefault="00B47442" w:rsidP="00B47442">
      <w:pPr>
        <w:pStyle w:val="BRL-Standard"/>
      </w:pPr>
    </w:p>
    <w:p w14:paraId="1A055815" w14:textId="77777777" w:rsidR="00B47442" w:rsidRPr="0009445C" w:rsidRDefault="00B47442" w:rsidP="00600F53">
      <w:pPr>
        <w:pStyle w:val="BRL-berschrift"/>
        <w:rPr>
          <w:rFonts w:eastAsia="Calibri"/>
        </w:rPr>
      </w:pPr>
      <w:r w:rsidRPr="0009445C">
        <w:t>2.2</w:t>
      </w:r>
      <w:r w:rsidRPr="0009445C">
        <w:tab/>
        <w:t>Construction products of fire alarm systems</w:t>
      </w:r>
    </w:p>
    <w:p w14:paraId="5A10E3FC" w14:textId="77777777" w:rsidR="00B47442" w:rsidRPr="0009445C" w:rsidRDefault="00B47442" w:rsidP="00B47442">
      <w:pPr>
        <w:pStyle w:val="BRL-Standard"/>
      </w:pPr>
      <w:r w:rsidRPr="0009445C">
        <w:t xml:space="preserve">To fulfil the building inspection requirements, fire alarm systems must be permanently reliable in operation and constructed using construction products of the DIN EN 54 series of standards. </w:t>
      </w:r>
    </w:p>
    <w:p w14:paraId="550729E4" w14:textId="77777777" w:rsidR="00B47442" w:rsidRPr="0009445C" w:rsidRDefault="00B47442" w:rsidP="00B47442">
      <w:pPr>
        <w:pStyle w:val="BRL-Standard"/>
      </w:pPr>
      <w:r w:rsidRPr="0009445C">
        <w:t>To that end, they must be sufficiently powerful and permanently reliable, have sufficient response delay, moisture, corrosion and temperature resistance as well as shock and vibration resistance.</w:t>
      </w:r>
    </w:p>
    <w:p w14:paraId="0EDEE686" w14:textId="77777777" w:rsidR="00B47442" w:rsidRPr="0009445C" w:rsidRDefault="00B47442" w:rsidP="00B47442">
      <w:pPr>
        <w:pStyle w:val="BRL-Standard"/>
      </w:pPr>
    </w:p>
    <w:p w14:paraId="183E5C3A" w14:textId="47AE741E" w:rsidR="00B47442" w:rsidRPr="0009445C" w:rsidRDefault="00B47442" w:rsidP="00B47442">
      <w:pPr>
        <w:pStyle w:val="BRL-Standard"/>
      </w:pPr>
      <w:r w:rsidRPr="0009445C">
        <w:t xml:space="preserve">In order to fulfil the building inspection requirements, the performance of the construction products used in terms of key features must at least satisfy Table 1. </w:t>
      </w:r>
    </w:p>
    <w:p w14:paraId="2B64E3BB" w14:textId="77777777" w:rsidR="00FA03C9" w:rsidRPr="0009445C" w:rsidRDefault="00FA03C9" w:rsidP="00B47442">
      <w:pPr>
        <w:pStyle w:val="BRL-Standard"/>
      </w:pPr>
    </w:p>
    <w:p w14:paraId="6C966023" w14:textId="77777777" w:rsidR="00E877D4" w:rsidRPr="0009445C" w:rsidRDefault="00E877D4">
      <w:pPr>
        <w:spacing w:after="200" w:line="276" w:lineRule="auto"/>
        <w:rPr>
          <w:szCs w:val="18"/>
        </w:rPr>
      </w:pPr>
      <w:r w:rsidRPr="0009445C">
        <w:br w:type="page"/>
      </w:r>
    </w:p>
    <w:p w14:paraId="58813B6C" w14:textId="4269B6CB" w:rsidR="00B47442" w:rsidRPr="0009445C" w:rsidRDefault="00B47442" w:rsidP="00B47442">
      <w:pPr>
        <w:pStyle w:val="BRL-Standard"/>
        <w:spacing w:after="40"/>
      </w:pPr>
      <w:r w:rsidRPr="0009445C">
        <w:lastRenderedPageBreak/>
        <w:t>Explanation for Table 1</w:t>
      </w: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8073"/>
      </w:tblGrid>
      <w:tr w:rsidR="00B47442" w:rsidRPr="0009445C" w14:paraId="35E24375" w14:textId="77777777" w:rsidTr="0099521D">
        <w:trPr>
          <w:trHeight w:val="340"/>
          <w:tblHeader/>
        </w:trPr>
        <w:tc>
          <w:tcPr>
            <w:tcW w:w="681" w:type="dxa"/>
            <w:shd w:val="clear" w:color="auto" w:fill="auto"/>
            <w:vAlign w:val="center"/>
          </w:tcPr>
          <w:p w14:paraId="70D18ACE" w14:textId="77777777" w:rsidR="00B47442" w:rsidRPr="0009445C" w:rsidRDefault="00B47442" w:rsidP="0099521D">
            <w:pPr>
              <w:pStyle w:val="Tabellentext"/>
              <w:spacing w:before="60" w:after="40"/>
              <w:rPr>
                <w:rFonts w:cs="Arial"/>
                <w:b/>
              </w:rPr>
            </w:pPr>
            <w:r w:rsidRPr="0009445C">
              <w:rPr>
                <w:b/>
              </w:rPr>
              <w:t>Column no.</w:t>
            </w:r>
          </w:p>
        </w:tc>
        <w:tc>
          <w:tcPr>
            <w:tcW w:w="8476" w:type="dxa"/>
            <w:shd w:val="clear" w:color="auto" w:fill="auto"/>
            <w:vAlign w:val="center"/>
          </w:tcPr>
          <w:p w14:paraId="31C6E23E" w14:textId="77777777" w:rsidR="00B47442" w:rsidRPr="0009445C" w:rsidRDefault="00B47442" w:rsidP="0099521D">
            <w:pPr>
              <w:pStyle w:val="Tabellentext"/>
              <w:spacing w:before="60" w:after="40"/>
              <w:rPr>
                <w:rFonts w:cs="Arial"/>
                <w:b/>
              </w:rPr>
            </w:pPr>
            <w:r w:rsidRPr="0009445C">
              <w:rPr>
                <w:b/>
              </w:rPr>
              <w:t>Product according to harmonised standard</w:t>
            </w:r>
          </w:p>
        </w:tc>
      </w:tr>
      <w:tr w:rsidR="00B47442" w:rsidRPr="0009445C" w14:paraId="473D6934" w14:textId="77777777" w:rsidTr="0099521D">
        <w:tc>
          <w:tcPr>
            <w:tcW w:w="681" w:type="dxa"/>
            <w:shd w:val="clear" w:color="auto" w:fill="auto"/>
            <w:vAlign w:val="center"/>
          </w:tcPr>
          <w:p w14:paraId="4442BEAA" w14:textId="77777777" w:rsidR="00B47442" w:rsidRPr="0009445C" w:rsidRDefault="00B47442" w:rsidP="0099521D">
            <w:pPr>
              <w:pStyle w:val="BRL-Tabelle"/>
              <w:spacing w:before="60" w:after="40"/>
            </w:pPr>
            <w:r w:rsidRPr="0009445C">
              <w:t>2</w:t>
            </w:r>
          </w:p>
        </w:tc>
        <w:tc>
          <w:tcPr>
            <w:tcW w:w="8476" w:type="dxa"/>
            <w:shd w:val="clear" w:color="auto" w:fill="auto"/>
          </w:tcPr>
          <w:p w14:paraId="4F994D75" w14:textId="0CABDD77" w:rsidR="00B47442" w:rsidRPr="0009445C" w:rsidRDefault="00B47442" w:rsidP="0099521D">
            <w:pPr>
              <w:pStyle w:val="BRL-Tabelle"/>
              <w:spacing w:before="60" w:after="40"/>
            </w:pPr>
            <w:r w:rsidRPr="0009445C">
              <w:t>E</w:t>
            </w:r>
            <w:r w:rsidR="00600F53">
              <w:rPr>
                <w:lang w:val="en-US"/>
              </w:rPr>
              <w:t>N</w:t>
            </w:r>
            <w:r w:rsidRPr="0009445C">
              <w:t xml:space="preserve"> 54-2:1997/A1:2006 Fire Detection Panels</w:t>
            </w:r>
            <w:r w:rsidRPr="0009445C">
              <w:rPr>
                <w:vertAlign w:val="superscript"/>
              </w:rPr>
              <w:footnoteReference w:id="87"/>
            </w:r>
          </w:p>
        </w:tc>
      </w:tr>
      <w:tr w:rsidR="00B47442" w:rsidRPr="0009445C" w14:paraId="756AB9D4" w14:textId="77777777" w:rsidTr="0099521D">
        <w:tc>
          <w:tcPr>
            <w:tcW w:w="681" w:type="dxa"/>
            <w:shd w:val="clear" w:color="auto" w:fill="auto"/>
            <w:vAlign w:val="center"/>
          </w:tcPr>
          <w:p w14:paraId="19F9D8B8" w14:textId="77777777" w:rsidR="00B47442" w:rsidRPr="0009445C" w:rsidRDefault="00B47442" w:rsidP="0099521D">
            <w:pPr>
              <w:pStyle w:val="BRL-Tabelle"/>
              <w:spacing w:before="60" w:after="40"/>
            </w:pPr>
            <w:r w:rsidRPr="0009445C">
              <w:t>3</w:t>
            </w:r>
          </w:p>
        </w:tc>
        <w:tc>
          <w:tcPr>
            <w:tcW w:w="8476" w:type="dxa"/>
            <w:shd w:val="clear" w:color="auto" w:fill="auto"/>
          </w:tcPr>
          <w:p w14:paraId="20FBC2BE" w14:textId="3837DF85" w:rsidR="00B47442" w:rsidRPr="0009445C" w:rsidRDefault="00B47442" w:rsidP="0099521D">
            <w:pPr>
              <w:pStyle w:val="BRL-Tabelle"/>
              <w:spacing w:before="60" w:after="40"/>
            </w:pPr>
            <w:r w:rsidRPr="0009445C">
              <w:t>E</w:t>
            </w:r>
            <w:r w:rsidR="00600F53">
              <w:t>N</w:t>
            </w:r>
            <w:r w:rsidRPr="0009445C">
              <w:t xml:space="preserve"> 54-3:2001 + A1:2002 + A2:2006 Acoustic Signal Transmitter</w:t>
            </w:r>
            <w:r w:rsidRPr="0009445C">
              <w:rPr>
                <w:vertAlign w:val="superscript"/>
              </w:rPr>
              <w:t xml:space="preserve"> </w:t>
            </w:r>
            <w:r w:rsidRPr="0009445C">
              <w:rPr>
                <w:vertAlign w:val="superscript"/>
              </w:rPr>
              <w:footnoteReference w:id="88"/>
            </w:r>
          </w:p>
        </w:tc>
      </w:tr>
      <w:tr w:rsidR="00B47442" w:rsidRPr="0009445C" w14:paraId="01BF506B" w14:textId="77777777" w:rsidTr="0099521D">
        <w:tc>
          <w:tcPr>
            <w:tcW w:w="681" w:type="dxa"/>
            <w:shd w:val="clear" w:color="auto" w:fill="auto"/>
            <w:vAlign w:val="center"/>
          </w:tcPr>
          <w:p w14:paraId="1A67ECCF" w14:textId="77777777" w:rsidR="00B47442" w:rsidRPr="0009445C" w:rsidRDefault="00B47442" w:rsidP="0099521D">
            <w:pPr>
              <w:pStyle w:val="BRL-Tabelle"/>
              <w:spacing w:before="60" w:after="40"/>
            </w:pPr>
            <w:r w:rsidRPr="0009445C">
              <w:t>4</w:t>
            </w:r>
          </w:p>
        </w:tc>
        <w:tc>
          <w:tcPr>
            <w:tcW w:w="8476" w:type="dxa"/>
            <w:shd w:val="clear" w:color="auto" w:fill="auto"/>
          </w:tcPr>
          <w:p w14:paraId="1FF47F2B" w14:textId="143B9C99" w:rsidR="00B47442" w:rsidRPr="0009445C" w:rsidRDefault="00B47442" w:rsidP="0099521D">
            <w:pPr>
              <w:pStyle w:val="BRL-Tabelle"/>
              <w:spacing w:before="60" w:after="40"/>
            </w:pPr>
            <w:r w:rsidRPr="0009445C">
              <w:t>E</w:t>
            </w:r>
            <w:r w:rsidR="00600F53">
              <w:t>N</w:t>
            </w:r>
            <w:r w:rsidRPr="0009445C">
              <w:t xml:space="preserve"> 54-4:1997 + EN 54-4:1997/AC:1999 + EN 54-4:1997/A1:2002 + EN 54-4:1997/A2:2006 Power Supplies</w:t>
            </w:r>
            <w:r w:rsidRPr="0009445C">
              <w:rPr>
                <w:vertAlign w:val="superscript"/>
              </w:rPr>
              <w:footnoteReference w:id="89"/>
            </w:r>
          </w:p>
        </w:tc>
      </w:tr>
      <w:tr w:rsidR="00B47442" w:rsidRPr="0009445C" w14:paraId="55EF0999" w14:textId="77777777" w:rsidTr="0099521D">
        <w:tc>
          <w:tcPr>
            <w:tcW w:w="681" w:type="dxa"/>
            <w:shd w:val="clear" w:color="auto" w:fill="auto"/>
            <w:vAlign w:val="center"/>
          </w:tcPr>
          <w:p w14:paraId="237CCA67" w14:textId="77777777" w:rsidR="00B47442" w:rsidRPr="0009445C" w:rsidRDefault="00B47442" w:rsidP="0099521D">
            <w:pPr>
              <w:pStyle w:val="BRL-Tabelle"/>
              <w:spacing w:before="60" w:after="40"/>
            </w:pPr>
            <w:r w:rsidRPr="0009445C">
              <w:t>5</w:t>
            </w:r>
          </w:p>
        </w:tc>
        <w:tc>
          <w:tcPr>
            <w:tcW w:w="8476" w:type="dxa"/>
            <w:shd w:val="clear" w:color="auto" w:fill="auto"/>
          </w:tcPr>
          <w:p w14:paraId="056D875F" w14:textId="195DEAB0" w:rsidR="00B47442" w:rsidRPr="0009445C" w:rsidRDefault="00B47442" w:rsidP="0099521D">
            <w:pPr>
              <w:pStyle w:val="BRL-Tabelle"/>
              <w:spacing w:before="60" w:after="40"/>
            </w:pPr>
            <w:r w:rsidRPr="0009445C">
              <w:t>EN 54-5:2017 +A1:2018 Heat detectors – Point detectors</w:t>
            </w:r>
            <w:r w:rsidRPr="0009445C">
              <w:rPr>
                <w:vertAlign w:val="superscript"/>
              </w:rPr>
              <w:footnoteReference w:id="90"/>
            </w:r>
          </w:p>
        </w:tc>
      </w:tr>
      <w:tr w:rsidR="00B47442" w:rsidRPr="0009445C" w14:paraId="7595E214" w14:textId="77777777" w:rsidTr="0099521D">
        <w:tc>
          <w:tcPr>
            <w:tcW w:w="681" w:type="dxa"/>
            <w:shd w:val="clear" w:color="auto" w:fill="auto"/>
            <w:vAlign w:val="center"/>
          </w:tcPr>
          <w:p w14:paraId="4E50145D" w14:textId="77777777" w:rsidR="00B47442" w:rsidRPr="0009445C" w:rsidRDefault="00B47442" w:rsidP="0099521D">
            <w:pPr>
              <w:pStyle w:val="BRL-Tabelle"/>
              <w:spacing w:before="60" w:after="40"/>
            </w:pPr>
            <w:r w:rsidRPr="0009445C">
              <w:t>6</w:t>
            </w:r>
          </w:p>
        </w:tc>
        <w:tc>
          <w:tcPr>
            <w:tcW w:w="8476" w:type="dxa"/>
            <w:shd w:val="clear" w:color="auto" w:fill="auto"/>
          </w:tcPr>
          <w:p w14:paraId="712A0F32" w14:textId="1B7CD6BC" w:rsidR="00B47442" w:rsidRPr="0009445C" w:rsidRDefault="00B47442" w:rsidP="0099521D">
            <w:pPr>
              <w:pStyle w:val="BRL-Tabelle"/>
              <w:spacing w:before="60" w:after="40"/>
            </w:pPr>
            <w:r w:rsidRPr="0009445C">
              <w:t>EN 54-7:2018 Smoke detectors — Point-shaped detectors according to the scattered light, transmitted light or ionisation principle</w:t>
            </w:r>
            <w:r w:rsidRPr="0009445C">
              <w:rPr>
                <w:vertAlign w:val="superscript"/>
              </w:rPr>
              <w:footnoteReference w:id="91"/>
            </w:r>
          </w:p>
        </w:tc>
      </w:tr>
      <w:tr w:rsidR="00B47442" w:rsidRPr="0009445C" w14:paraId="6C9FC2D5" w14:textId="77777777" w:rsidTr="0099521D">
        <w:tc>
          <w:tcPr>
            <w:tcW w:w="681" w:type="dxa"/>
            <w:shd w:val="clear" w:color="auto" w:fill="auto"/>
            <w:vAlign w:val="center"/>
          </w:tcPr>
          <w:p w14:paraId="120F0F48" w14:textId="77777777" w:rsidR="00B47442" w:rsidRPr="0009445C" w:rsidRDefault="00B47442" w:rsidP="0099521D">
            <w:pPr>
              <w:pStyle w:val="BRL-Tabelle"/>
              <w:spacing w:before="60" w:after="40"/>
            </w:pPr>
            <w:r w:rsidRPr="0009445C">
              <w:t>7</w:t>
            </w:r>
          </w:p>
        </w:tc>
        <w:tc>
          <w:tcPr>
            <w:tcW w:w="8476" w:type="dxa"/>
            <w:shd w:val="clear" w:color="auto" w:fill="auto"/>
          </w:tcPr>
          <w:p w14:paraId="66C9F3ED" w14:textId="77777777" w:rsidR="00B47442" w:rsidRPr="0009445C" w:rsidRDefault="00B47442" w:rsidP="0099521D">
            <w:pPr>
              <w:pStyle w:val="BRL-Tabelle"/>
              <w:spacing w:before="60" w:after="40"/>
            </w:pPr>
            <w:r w:rsidRPr="0009445C">
              <w:t>EN 54-10:2002 + EN 54-10/A1:2005 Flame detector — Point-shaped detectors</w:t>
            </w:r>
            <w:r w:rsidRPr="0009445C">
              <w:rPr>
                <w:vertAlign w:val="superscript"/>
              </w:rPr>
              <w:footnoteReference w:id="92"/>
            </w:r>
          </w:p>
        </w:tc>
      </w:tr>
      <w:tr w:rsidR="00B47442" w:rsidRPr="0009445C" w14:paraId="03EAD511" w14:textId="77777777" w:rsidTr="0099521D">
        <w:tc>
          <w:tcPr>
            <w:tcW w:w="681" w:type="dxa"/>
            <w:shd w:val="clear" w:color="auto" w:fill="auto"/>
            <w:vAlign w:val="center"/>
          </w:tcPr>
          <w:p w14:paraId="48024942" w14:textId="77777777" w:rsidR="00B47442" w:rsidRPr="0009445C" w:rsidRDefault="00B47442" w:rsidP="0099521D">
            <w:pPr>
              <w:pStyle w:val="BRL-Tabelle"/>
              <w:spacing w:before="60" w:after="40"/>
            </w:pPr>
            <w:r w:rsidRPr="0009445C">
              <w:t>8</w:t>
            </w:r>
          </w:p>
        </w:tc>
        <w:tc>
          <w:tcPr>
            <w:tcW w:w="8476" w:type="dxa"/>
            <w:shd w:val="clear" w:color="auto" w:fill="auto"/>
          </w:tcPr>
          <w:p w14:paraId="1AC147C3" w14:textId="77777777" w:rsidR="00B47442" w:rsidRPr="0009445C" w:rsidRDefault="00B47442" w:rsidP="0099521D">
            <w:pPr>
              <w:pStyle w:val="BRL-Tabelle"/>
              <w:spacing w:before="60" w:after="40"/>
            </w:pPr>
            <w:r w:rsidRPr="0009445C">
              <w:t>EN 54-11:2001 + EN-54-11/A1:2005 Manual call points</w:t>
            </w:r>
            <w:r w:rsidRPr="0009445C">
              <w:rPr>
                <w:vertAlign w:val="superscript"/>
              </w:rPr>
              <w:footnoteReference w:id="93"/>
            </w:r>
          </w:p>
        </w:tc>
      </w:tr>
      <w:tr w:rsidR="00B47442" w:rsidRPr="0009445C" w14:paraId="4A1578AE" w14:textId="77777777" w:rsidTr="0099521D">
        <w:tc>
          <w:tcPr>
            <w:tcW w:w="681" w:type="dxa"/>
            <w:shd w:val="clear" w:color="auto" w:fill="auto"/>
            <w:vAlign w:val="center"/>
          </w:tcPr>
          <w:p w14:paraId="62FC9CC1" w14:textId="77777777" w:rsidR="00B47442" w:rsidRPr="0009445C" w:rsidRDefault="00B47442" w:rsidP="0099521D">
            <w:pPr>
              <w:pStyle w:val="BRL-Tabelle"/>
              <w:spacing w:before="60" w:after="40"/>
            </w:pPr>
            <w:r w:rsidRPr="0009445C">
              <w:t>9</w:t>
            </w:r>
          </w:p>
        </w:tc>
        <w:tc>
          <w:tcPr>
            <w:tcW w:w="8476" w:type="dxa"/>
            <w:shd w:val="clear" w:color="auto" w:fill="auto"/>
          </w:tcPr>
          <w:p w14:paraId="10167F11" w14:textId="77777777" w:rsidR="00B47442" w:rsidRPr="0009445C" w:rsidRDefault="00B47442" w:rsidP="0099521D">
            <w:pPr>
              <w:pStyle w:val="BRL-Tabelle"/>
              <w:spacing w:before="60" w:after="40"/>
            </w:pPr>
            <w:r w:rsidRPr="0009445C">
              <w:t>EN 54-12:2015 Smoke detectors – Line detectors using an optical beam</w:t>
            </w:r>
            <w:r w:rsidRPr="0009445C">
              <w:rPr>
                <w:vertAlign w:val="superscript"/>
              </w:rPr>
              <w:footnoteReference w:id="94"/>
            </w:r>
          </w:p>
        </w:tc>
      </w:tr>
      <w:tr w:rsidR="00B47442" w:rsidRPr="0009445C" w14:paraId="6AF3BC79" w14:textId="77777777" w:rsidTr="0099521D">
        <w:tc>
          <w:tcPr>
            <w:tcW w:w="681" w:type="dxa"/>
            <w:shd w:val="clear" w:color="auto" w:fill="auto"/>
            <w:vAlign w:val="center"/>
          </w:tcPr>
          <w:p w14:paraId="34C38C52" w14:textId="77777777" w:rsidR="00B47442" w:rsidRPr="0009445C" w:rsidRDefault="00B47442" w:rsidP="0099521D">
            <w:pPr>
              <w:pStyle w:val="BRL-Tabelle"/>
              <w:spacing w:before="60" w:after="40"/>
            </w:pPr>
            <w:r w:rsidRPr="0009445C">
              <w:t>10</w:t>
            </w:r>
          </w:p>
        </w:tc>
        <w:tc>
          <w:tcPr>
            <w:tcW w:w="8476" w:type="dxa"/>
            <w:shd w:val="clear" w:color="auto" w:fill="auto"/>
          </w:tcPr>
          <w:p w14:paraId="4CEAE8D9" w14:textId="77777777" w:rsidR="00B47442" w:rsidRPr="0009445C" w:rsidRDefault="00B47442" w:rsidP="0099521D">
            <w:pPr>
              <w:pStyle w:val="BRL-Tabelle"/>
              <w:spacing w:before="60" w:after="40"/>
            </w:pPr>
            <w:r w:rsidRPr="0009445C">
              <w:t>EN 54-16:2008 Voice alarm control and indicating equipment</w:t>
            </w:r>
            <w:r w:rsidRPr="0009445C">
              <w:rPr>
                <w:vertAlign w:val="superscript"/>
              </w:rPr>
              <w:footnoteReference w:id="95"/>
            </w:r>
          </w:p>
        </w:tc>
      </w:tr>
      <w:tr w:rsidR="00B47442" w:rsidRPr="0009445C" w14:paraId="76ABE7D5" w14:textId="77777777" w:rsidTr="0099521D">
        <w:tc>
          <w:tcPr>
            <w:tcW w:w="681" w:type="dxa"/>
            <w:shd w:val="clear" w:color="auto" w:fill="auto"/>
            <w:vAlign w:val="center"/>
          </w:tcPr>
          <w:p w14:paraId="23926086" w14:textId="77777777" w:rsidR="00B47442" w:rsidRPr="0009445C" w:rsidRDefault="00B47442" w:rsidP="0099521D">
            <w:pPr>
              <w:pStyle w:val="BRL-Tabelle"/>
              <w:spacing w:before="60" w:after="40"/>
            </w:pPr>
            <w:r w:rsidRPr="0009445C">
              <w:t>11</w:t>
            </w:r>
          </w:p>
        </w:tc>
        <w:tc>
          <w:tcPr>
            <w:tcW w:w="8476" w:type="dxa"/>
            <w:shd w:val="clear" w:color="auto" w:fill="auto"/>
          </w:tcPr>
          <w:p w14:paraId="418DC42E" w14:textId="77777777" w:rsidR="00B47442" w:rsidRPr="0009445C" w:rsidRDefault="00B47442" w:rsidP="0099521D">
            <w:pPr>
              <w:pStyle w:val="BRL-Tabelle"/>
              <w:spacing w:before="60" w:after="40"/>
            </w:pPr>
            <w:r w:rsidRPr="0009445C">
              <w:t>EN 54-17:2005 + EN 54-17:2005/AC:2007 Short-circuit insulators</w:t>
            </w:r>
            <w:r w:rsidRPr="0009445C">
              <w:rPr>
                <w:vertAlign w:val="superscript"/>
              </w:rPr>
              <w:footnoteReference w:id="96"/>
            </w:r>
          </w:p>
        </w:tc>
      </w:tr>
      <w:tr w:rsidR="00B47442" w:rsidRPr="0009445C" w14:paraId="2BA0333B" w14:textId="77777777" w:rsidTr="0099521D">
        <w:tc>
          <w:tcPr>
            <w:tcW w:w="681" w:type="dxa"/>
            <w:shd w:val="clear" w:color="auto" w:fill="auto"/>
            <w:vAlign w:val="center"/>
          </w:tcPr>
          <w:p w14:paraId="3BE9CF64" w14:textId="77777777" w:rsidR="00B47442" w:rsidRPr="0009445C" w:rsidRDefault="00B47442" w:rsidP="0099521D">
            <w:pPr>
              <w:pStyle w:val="BRL-Tabelle"/>
              <w:spacing w:before="60" w:after="40"/>
            </w:pPr>
            <w:r w:rsidRPr="0009445C">
              <w:t>12</w:t>
            </w:r>
          </w:p>
        </w:tc>
        <w:tc>
          <w:tcPr>
            <w:tcW w:w="8476" w:type="dxa"/>
            <w:shd w:val="clear" w:color="auto" w:fill="auto"/>
          </w:tcPr>
          <w:p w14:paraId="13C5F04B" w14:textId="77777777" w:rsidR="00B47442" w:rsidRPr="0009445C" w:rsidRDefault="00B47442" w:rsidP="0099521D">
            <w:pPr>
              <w:pStyle w:val="BRL-Tabelle"/>
              <w:spacing w:before="60" w:after="40"/>
            </w:pPr>
            <w:r w:rsidRPr="0009445C">
              <w:t>EN 54-18:2005 + EN 54-18:2005/AC:2007 Input/Output Devices</w:t>
            </w:r>
            <w:r w:rsidRPr="0009445C">
              <w:rPr>
                <w:vertAlign w:val="superscript"/>
              </w:rPr>
              <w:footnoteReference w:id="97"/>
            </w:r>
          </w:p>
        </w:tc>
      </w:tr>
      <w:tr w:rsidR="00B47442" w:rsidRPr="0009445C" w14:paraId="1CFAC94D" w14:textId="77777777" w:rsidTr="0099521D">
        <w:tc>
          <w:tcPr>
            <w:tcW w:w="681" w:type="dxa"/>
            <w:shd w:val="clear" w:color="auto" w:fill="auto"/>
            <w:vAlign w:val="center"/>
          </w:tcPr>
          <w:p w14:paraId="3BDA2AF0" w14:textId="77777777" w:rsidR="00B47442" w:rsidRPr="0009445C" w:rsidRDefault="00B47442" w:rsidP="0099521D">
            <w:pPr>
              <w:pStyle w:val="BRL-Tabelle"/>
              <w:spacing w:before="60" w:after="40"/>
            </w:pPr>
            <w:r w:rsidRPr="0009445C">
              <w:t>13</w:t>
            </w:r>
          </w:p>
        </w:tc>
        <w:tc>
          <w:tcPr>
            <w:tcW w:w="8476" w:type="dxa"/>
            <w:shd w:val="clear" w:color="auto" w:fill="auto"/>
          </w:tcPr>
          <w:p w14:paraId="3BADFE1F" w14:textId="3274A97E" w:rsidR="00B47442" w:rsidRPr="0009445C" w:rsidRDefault="00B47442" w:rsidP="0099521D">
            <w:pPr>
              <w:pStyle w:val="BRL-Tabelle"/>
              <w:spacing w:before="60" w:after="40"/>
            </w:pPr>
            <w:r w:rsidRPr="0009445C">
              <w:t>E</w:t>
            </w:r>
            <w:r w:rsidR="00600F53">
              <w:t>N</w:t>
            </w:r>
            <w:r w:rsidRPr="0009445C">
              <w:t xml:space="preserve"> 54-20:2006 + EN 54-20:2006/AC:2008 </w:t>
            </w:r>
            <w:r w:rsidR="00E56510">
              <w:t>Aspirating</w:t>
            </w:r>
            <w:r w:rsidRPr="0009445C">
              <w:t xml:space="preserve"> smoke detectors</w:t>
            </w:r>
            <w:r w:rsidRPr="0009445C">
              <w:rPr>
                <w:vertAlign w:val="superscript"/>
              </w:rPr>
              <w:footnoteReference w:id="98"/>
            </w:r>
          </w:p>
        </w:tc>
      </w:tr>
      <w:tr w:rsidR="00B47442" w:rsidRPr="0009445C" w14:paraId="362EF077" w14:textId="77777777" w:rsidTr="0099521D">
        <w:tc>
          <w:tcPr>
            <w:tcW w:w="681" w:type="dxa"/>
            <w:shd w:val="clear" w:color="auto" w:fill="auto"/>
            <w:vAlign w:val="center"/>
          </w:tcPr>
          <w:p w14:paraId="5C0940E0" w14:textId="77777777" w:rsidR="00B47442" w:rsidRPr="0009445C" w:rsidRDefault="00B47442" w:rsidP="0099521D">
            <w:pPr>
              <w:pStyle w:val="BRL-Tabelle"/>
              <w:spacing w:before="60" w:after="40"/>
            </w:pPr>
            <w:r w:rsidRPr="0009445C">
              <w:t>14</w:t>
            </w:r>
          </w:p>
        </w:tc>
        <w:tc>
          <w:tcPr>
            <w:tcW w:w="8476" w:type="dxa"/>
            <w:shd w:val="clear" w:color="auto" w:fill="auto"/>
          </w:tcPr>
          <w:p w14:paraId="6A0AAA2A" w14:textId="77777777" w:rsidR="00B47442" w:rsidRPr="0009445C" w:rsidRDefault="00B47442" w:rsidP="0099521D">
            <w:pPr>
              <w:pStyle w:val="BRL-Tabelle"/>
              <w:spacing w:before="60" w:after="40"/>
            </w:pPr>
            <w:r w:rsidRPr="0009445C">
              <w:t>EN 54-21:2006 Alarm transmission and fault warning routing equipment</w:t>
            </w:r>
            <w:r w:rsidRPr="0009445C">
              <w:rPr>
                <w:rStyle w:val="FootnoteReference"/>
              </w:rPr>
              <w:footnoteReference w:id="99"/>
            </w:r>
          </w:p>
        </w:tc>
      </w:tr>
      <w:tr w:rsidR="00B47442" w:rsidRPr="0009445C" w14:paraId="4B81706F" w14:textId="77777777" w:rsidTr="0099521D">
        <w:tc>
          <w:tcPr>
            <w:tcW w:w="681" w:type="dxa"/>
            <w:shd w:val="clear" w:color="auto" w:fill="auto"/>
            <w:vAlign w:val="center"/>
          </w:tcPr>
          <w:p w14:paraId="41CBCB97" w14:textId="77777777" w:rsidR="00B47442" w:rsidRPr="0009445C" w:rsidRDefault="00B47442" w:rsidP="0099521D">
            <w:pPr>
              <w:pStyle w:val="BRL-Tabelle"/>
              <w:spacing w:before="60" w:after="40"/>
            </w:pPr>
            <w:r w:rsidRPr="0009445C">
              <w:t>15</w:t>
            </w:r>
          </w:p>
        </w:tc>
        <w:tc>
          <w:tcPr>
            <w:tcW w:w="8476" w:type="dxa"/>
            <w:shd w:val="clear" w:color="auto" w:fill="auto"/>
          </w:tcPr>
          <w:p w14:paraId="424E28D6" w14:textId="77777777" w:rsidR="00B47442" w:rsidRPr="0009445C" w:rsidRDefault="00B47442" w:rsidP="0099521D">
            <w:pPr>
              <w:pStyle w:val="BRL-Tabelle"/>
              <w:spacing w:before="60" w:after="40"/>
            </w:pPr>
            <w:r w:rsidRPr="0009445C">
              <w:t>EN 54-23:2010 Visual alarm devices</w:t>
            </w:r>
            <w:r w:rsidRPr="0009445C">
              <w:rPr>
                <w:vertAlign w:val="superscript"/>
              </w:rPr>
              <w:footnoteReference w:id="100"/>
            </w:r>
          </w:p>
        </w:tc>
      </w:tr>
      <w:tr w:rsidR="00B47442" w:rsidRPr="0009445C" w14:paraId="274ABCFF" w14:textId="77777777" w:rsidTr="0099521D">
        <w:tc>
          <w:tcPr>
            <w:tcW w:w="681" w:type="dxa"/>
            <w:shd w:val="clear" w:color="auto" w:fill="auto"/>
            <w:vAlign w:val="center"/>
          </w:tcPr>
          <w:p w14:paraId="3FC3323C" w14:textId="77777777" w:rsidR="00B47442" w:rsidRPr="0009445C" w:rsidRDefault="00B47442" w:rsidP="0099521D">
            <w:pPr>
              <w:pStyle w:val="BRL-Tabelle"/>
              <w:spacing w:before="60" w:after="40"/>
            </w:pPr>
            <w:r w:rsidRPr="0009445C">
              <w:t>16</w:t>
            </w:r>
          </w:p>
        </w:tc>
        <w:tc>
          <w:tcPr>
            <w:tcW w:w="8476" w:type="dxa"/>
            <w:shd w:val="clear" w:color="auto" w:fill="auto"/>
          </w:tcPr>
          <w:p w14:paraId="3E6AEE74" w14:textId="77777777" w:rsidR="00B47442" w:rsidRPr="0009445C" w:rsidRDefault="00B47442" w:rsidP="0099521D">
            <w:pPr>
              <w:pStyle w:val="BRL-Tabelle"/>
              <w:spacing w:before="60" w:after="40"/>
            </w:pPr>
            <w:r w:rsidRPr="0009445C">
              <w:t>EN 54-24:2008 structural elements of voice alarm systems – Loudspeakers</w:t>
            </w:r>
            <w:r w:rsidRPr="0009445C">
              <w:rPr>
                <w:vertAlign w:val="superscript"/>
              </w:rPr>
              <w:footnoteReference w:id="101"/>
            </w:r>
          </w:p>
        </w:tc>
      </w:tr>
      <w:tr w:rsidR="00B47442" w:rsidRPr="0009445C" w14:paraId="5061DB4F" w14:textId="77777777" w:rsidTr="0099521D">
        <w:tc>
          <w:tcPr>
            <w:tcW w:w="681" w:type="dxa"/>
            <w:shd w:val="clear" w:color="auto" w:fill="auto"/>
            <w:vAlign w:val="center"/>
          </w:tcPr>
          <w:p w14:paraId="794148D7" w14:textId="77777777" w:rsidR="00B47442" w:rsidRPr="0009445C" w:rsidRDefault="00B47442" w:rsidP="0099521D">
            <w:pPr>
              <w:pStyle w:val="BRL-Tabelle"/>
              <w:spacing w:before="60" w:after="40"/>
            </w:pPr>
            <w:r w:rsidRPr="0009445C">
              <w:t>17</w:t>
            </w:r>
          </w:p>
        </w:tc>
        <w:tc>
          <w:tcPr>
            <w:tcW w:w="8476" w:type="dxa"/>
            <w:shd w:val="clear" w:color="auto" w:fill="auto"/>
          </w:tcPr>
          <w:p w14:paraId="589467E0" w14:textId="74B7B43C" w:rsidR="00B47442" w:rsidRPr="0009445C" w:rsidRDefault="00B47442" w:rsidP="0099521D">
            <w:pPr>
              <w:pStyle w:val="BRL-Tabelle"/>
              <w:spacing w:before="60" w:after="40"/>
            </w:pPr>
            <w:r w:rsidRPr="0009445C">
              <w:t>EN 54-25:2008 + EN 54-25:2008/AC:2012 structural elements using high-frequency connections</w:t>
            </w:r>
            <w:r w:rsidRPr="0009445C">
              <w:rPr>
                <w:vertAlign w:val="superscript"/>
              </w:rPr>
              <w:footnoteReference w:id="102"/>
            </w:r>
          </w:p>
        </w:tc>
      </w:tr>
    </w:tbl>
    <w:p w14:paraId="552744DB" w14:textId="77777777" w:rsidR="00B47442" w:rsidRPr="0009445C" w:rsidRDefault="00B47442" w:rsidP="00B47442">
      <w:pPr>
        <w:keepNext/>
        <w:spacing w:after="60"/>
        <w:rPr>
          <w:rFonts w:cs="Arial"/>
          <w:b/>
          <w:bCs/>
        </w:rPr>
      </w:pPr>
      <w:r w:rsidRPr="0009445C">
        <w:br w:type="page"/>
      </w:r>
      <w:r w:rsidRPr="0009445C">
        <w:rPr>
          <w:b/>
        </w:rPr>
        <w:lastRenderedPageBreak/>
        <w:t>Table 1:</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1774"/>
        <w:gridCol w:w="427"/>
        <w:gridCol w:w="427"/>
        <w:gridCol w:w="426"/>
        <w:gridCol w:w="427"/>
        <w:gridCol w:w="425"/>
        <w:gridCol w:w="426"/>
        <w:gridCol w:w="428"/>
        <w:gridCol w:w="427"/>
        <w:gridCol w:w="426"/>
        <w:gridCol w:w="426"/>
        <w:gridCol w:w="426"/>
        <w:gridCol w:w="433"/>
        <w:gridCol w:w="426"/>
        <w:gridCol w:w="427"/>
        <w:gridCol w:w="426"/>
        <w:gridCol w:w="427"/>
      </w:tblGrid>
      <w:tr w:rsidR="00B47442" w:rsidRPr="0009445C" w14:paraId="6A7D87B1" w14:textId="77777777" w:rsidTr="0099521D">
        <w:trPr>
          <w:cantSplit/>
          <w:trHeight w:val="412"/>
          <w:tblHeader/>
        </w:trPr>
        <w:tc>
          <w:tcPr>
            <w:tcW w:w="2355" w:type="dxa"/>
            <w:gridSpan w:val="2"/>
          </w:tcPr>
          <w:p w14:paraId="5E89799F" w14:textId="77777777" w:rsidR="00B47442" w:rsidRPr="0009445C" w:rsidRDefault="00B47442" w:rsidP="0099521D">
            <w:pPr>
              <w:pStyle w:val="BRLTabelleberschrift"/>
              <w:spacing w:before="60" w:after="40"/>
              <w:ind w:left="0" w:firstLine="0"/>
            </w:pPr>
            <w:r w:rsidRPr="0009445C">
              <w:t>Essential feature</w:t>
            </w:r>
          </w:p>
        </w:tc>
        <w:tc>
          <w:tcPr>
            <w:tcW w:w="6830" w:type="dxa"/>
            <w:gridSpan w:val="16"/>
          </w:tcPr>
          <w:p w14:paraId="5B0BB076" w14:textId="77777777" w:rsidR="00B47442" w:rsidRPr="0009445C" w:rsidRDefault="00B47442" w:rsidP="0099521D">
            <w:pPr>
              <w:pStyle w:val="BRLTabelleberschrift"/>
              <w:spacing w:before="60" w:after="40"/>
              <w:ind w:left="0" w:firstLine="0"/>
            </w:pPr>
            <w:r w:rsidRPr="0009445C">
              <w:t>Product according to harmonised standard</w:t>
            </w:r>
          </w:p>
        </w:tc>
      </w:tr>
      <w:tr w:rsidR="00B47442" w:rsidRPr="0009445C" w14:paraId="1D75227E" w14:textId="77777777" w:rsidTr="0099521D">
        <w:trPr>
          <w:cantSplit/>
          <w:trHeight w:val="567"/>
          <w:tblHeader/>
        </w:trPr>
        <w:tc>
          <w:tcPr>
            <w:tcW w:w="2355" w:type="dxa"/>
            <w:gridSpan w:val="2"/>
            <w:vAlign w:val="center"/>
          </w:tcPr>
          <w:p w14:paraId="6CCB6F8F" w14:textId="77777777" w:rsidR="00B47442" w:rsidRPr="0009445C" w:rsidRDefault="00B47442" w:rsidP="0099521D">
            <w:pPr>
              <w:pStyle w:val="Tabellentext"/>
              <w:keepNext/>
              <w:jc w:val="center"/>
              <w:rPr>
                <w:rFonts w:cs="Arial"/>
              </w:rPr>
            </w:pPr>
            <w:r w:rsidRPr="0009445C">
              <w:t>1</w:t>
            </w:r>
          </w:p>
        </w:tc>
        <w:tc>
          <w:tcPr>
            <w:tcW w:w="427" w:type="dxa"/>
            <w:textDirection w:val="btLr"/>
            <w:vAlign w:val="center"/>
          </w:tcPr>
          <w:p w14:paraId="5383AE1E" w14:textId="77777777" w:rsidR="00B47442" w:rsidRPr="0009445C" w:rsidRDefault="00B47442" w:rsidP="0099521D">
            <w:pPr>
              <w:pStyle w:val="Tabellentext"/>
              <w:keepNext/>
              <w:jc w:val="center"/>
              <w:rPr>
                <w:rFonts w:cs="Arial"/>
              </w:rPr>
            </w:pPr>
            <w:r w:rsidRPr="0009445C">
              <w:t>2</w:t>
            </w:r>
          </w:p>
        </w:tc>
        <w:tc>
          <w:tcPr>
            <w:tcW w:w="427" w:type="dxa"/>
            <w:textDirection w:val="btLr"/>
            <w:vAlign w:val="center"/>
          </w:tcPr>
          <w:p w14:paraId="7DBBA7C3" w14:textId="77777777" w:rsidR="00B47442" w:rsidRPr="0009445C" w:rsidRDefault="00B47442" w:rsidP="0099521D">
            <w:pPr>
              <w:pStyle w:val="Tabellentext"/>
              <w:keepNext/>
              <w:jc w:val="center"/>
              <w:rPr>
                <w:rFonts w:cs="Arial"/>
              </w:rPr>
            </w:pPr>
            <w:r w:rsidRPr="0009445C">
              <w:t>3</w:t>
            </w:r>
          </w:p>
        </w:tc>
        <w:tc>
          <w:tcPr>
            <w:tcW w:w="426" w:type="dxa"/>
            <w:textDirection w:val="btLr"/>
            <w:vAlign w:val="center"/>
          </w:tcPr>
          <w:p w14:paraId="231FCF24" w14:textId="77777777" w:rsidR="00B47442" w:rsidRPr="0009445C" w:rsidRDefault="00B47442" w:rsidP="0099521D">
            <w:pPr>
              <w:pStyle w:val="Tabellentext"/>
              <w:keepNext/>
              <w:jc w:val="center"/>
              <w:rPr>
                <w:rFonts w:cs="Arial"/>
              </w:rPr>
            </w:pPr>
            <w:r w:rsidRPr="0009445C">
              <w:t>4</w:t>
            </w:r>
          </w:p>
        </w:tc>
        <w:tc>
          <w:tcPr>
            <w:tcW w:w="427" w:type="dxa"/>
            <w:textDirection w:val="btLr"/>
            <w:vAlign w:val="center"/>
          </w:tcPr>
          <w:p w14:paraId="165A4FC1" w14:textId="77777777" w:rsidR="00B47442" w:rsidRPr="0009445C" w:rsidRDefault="00B47442" w:rsidP="0099521D">
            <w:pPr>
              <w:pStyle w:val="Tabellentext"/>
              <w:keepNext/>
              <w:jc w:val="center"/>
              <w:rPr>
                <w:rFonts w:cs="Arial"/>
              </w:rPr>
            </w:pPr>
            <w:r w:rsidRPr="0009445C">
              <w:t>5</w:t>
            </w:r>
          </w:p>
        </w:tc>
        <w:tc>
          <w:tcPr>
            <w:tcW w:w="425" w:type="dxa"/>
            <w:textDirection w:val="btLr"/>
            <w:vAlign w:val="center"/>
          </w:tcPr>
          <w:p w14:paraId="21B25105" w14:textId="77777777" w:rsidR="00B47442" w:rsidRPr="0009445C" w:rsidRDefault="00B47442" w:rsidP="0099521D">
            <w:pPr>
              <w:pStyle w:val="Tabellentext"/>
              <w:keepNext/>
              <w:jc w:val="center"/>
              <w:rPr>
                <w:rFonts w:cs="Arial"/>
              </w:rPr>
            </w:pPr>
            <w:r w:rsidRPr="0009445C">
              <w:t>6</w:t>
            </w:r>
          </w:p>
        </w:tc>
        <w:tc>
          <w:tcPr>
            <w:tcW w:w="426" w:type="dxa"/>
            <w:textDirection w:val="btLr"/>
            <w:vAlign w:val="center"/>
          </w:tcPr>
          <w:p w14:paraId="50DADF3E" w14:textId="77777777" w:rsidR="00B47442" w:rsidRPr="0009445C" w:rsidRDefault="00B47442" w:rsidP="0099521D">
            <w:pPr>
              <w:pStyle w:val="Tabellentext"/>
              <w:keepNext/>
              <w:jc w:val="center"/>
              <w:rPr>
                <w:rFonts w:cs="Arial"/>
              </w:rPr>
            </w:pPr>
            <w:r w:rsidRPr="0009445C">
              <w:t>7</w:t>
            </w:r>
          </w:p>
        </w:tc>
        <w:tc>
          <w:tcPr>
            <w:tcW w:w="428" w:type="dxa"/>
            <w:textDirection w:val="btLr"/>
            <w:vAlign w:val="center"/>
          </w:tcPr>
          <w:p w14:paraId="77B330BA" w14:textId="77777777" w:rsidR="00B47442" w:rsidRPr="0009445C" w:rsidRDefault="00B47442" w:rsidP="0099521D">
            <w:pPr>
              <w:pStyle w:val="Tabellentext"/>
              <w:keepNext/>
              <w:jc w:val="center"/>
              <w:rPr>
                <w:rFonts w:cs="Arial"/>
              </w:rPr>
            </w:pPr>
            <w:r w:rsidRPr="0009445C">
              <w:t>8</w:t>
            </w:r>
          </w:p>
        </w:tc>
        <w:tc>
          <w:tcPr>
            <w:tcW w:w="427" w:type="dxa"/>
            <w:textDirection w:val="btLr"/>
            <w:vAlign w:val="center"/>
          </w:tcPr>
          <w:p w14:paraId="30613C4B" w14:textId="77777777" w:rsidR="00B47442" w:rsidRPr="0009445C" w:rsidRDefault="00B47442" w:rsidP="0099521D">
            <w:pPr>
              <w:pStyle w:val="Tabellentext"/>
              <w:keepNext/>
              <w:jc w:val="center"/>
              <w:rPr>
                <w:rFonts w:cs="Arial"/>
              </w:rPr>
            </w:pPr>
            <w:r w:rsidRPr="0009445C">
              <w:t>9</w:t>
            </w:r>
          </w:p>
        </w:tc>
        <w:tc>
          <w:tcPr>
            <w:tcW w:w="426" w:type="dxa"/>
            <w:textDirection w:val="btLr"/>
            <w:vAlign w:val="center"/>
          </w:tcPr>
          <w:p w14:paraId="1D52D24E" w14:textId="77777777" w:rsidR="00B47442" w:rsidRPr="0009445C" w:rsidRDefault="00B47442" w:rsidP="0099521D">
            <w:pPr>
              <w:pStyle w:val="Tabellentext"/>
              <w:keepNext/>
              <w:jc w:val="center"/>
              <w:rPr>
                <w:rFonts w:cs="Arial"/>
              </w:rPr>
            </w:pPr>
            <w:r w:rsidRPr="0009445C">
              <w:t>10</w:t>
            </w:r>
          </w:p>
        </w:tc>
        <w:tc>
          <w:tcPr>
            <w:tcW w:w="426" w:type="dxa"/>
            <w:textDirection w:val="btLr"/>
            <w:vAlign w:val="center"/>
          </w:tcPr>
          <w:p w14:paraId="0D5AB1A3" w14:textId="77777777" w:rsidR="00B47442" w:rsidRPr="0009445C" w:rsidRDefault="00B47442" w:rsidP="0099521D">
            <w:pPr>
              <w:pStyle w:val="Tabellentext"/>
              <w:keepNext/>
              <w:jc w:val="center"/>
              <w:rPr>
                <w:rFonts w:cs="Arial"/>
              </w:rPr>
            </w:pPr>
            <w:r w:rsidRPr="0009445C">
              <w:t>11</w:t>
            </w:r>
          </w:p>
        </w:tc>
        <w:tc>
          <w:tcPr>
            <w:tcW w:w="426" w:type="dxa"/>
            <w:textDirection w:val="btLr"/>
            <w:vAlign w:val="center"/>
          </w:tcPr>
          <w:p w14:paraId="6B5D6FA3" w14:textId="77777777" w:rsidR="00B47442" w:rsidRPr="0009445C" w:rsidRDefault="00B47442" w:rsidP="0099521D">
            <w:pPr>
              <w:pStyle w:val="Tabellentext"/>
              <w:keepNext/>
              <w:jc w:val="center"/>
              <w:rPr>
                <w:rFonts w:cs="Arial"/>
              </w:rPr>
            </w:pPr>
            <w:r w:rsidRPr="0009445C">
              <w:t>12</w:t>
            </w:r>
          </w:p>
        </w:tc>
        <w:tc>
          <w:tcPr>
            <w:tcW w:w="433" w:type="dxa"/>
            <w:textDirection w:val="btLr"/>
            <w:vAlign w:val="center"/>
          </w:tcPr>
          <w:p w14:paraId="7A90AD9B" w14:textId="77777777" w:rsidR="00B47442" w:rsidRPr="0009445C" w:rsidRDefault="00B47442" w:rsidP="0099521D">
            <w:pPr>
              <w:pStyle w:val="Tabellentext"/>
              <w:keepNext/>
              <w:jc w:val="center"/>
              <w:rPr>
                <w:rFonts w:cs="Arial"/>
              </w:rPr>
            </w:pPr>
            <w:r w:rsidRPr="0009445C">
              <w:t>13</w:t>
            </w:r>
          </w:p>
        </w:tc>
        <w:tc>
          <w:tcPr>
            <w:tcW w:w="426" w:type="dxa"/>
            <w:textDirection w:val="btLr"/>
          </w:tcPr>
          <w:p w14:paraId="1B611B02" w14:textId="77777777" w:rsidR="00B47442" w:rsidRPr="0009445C" w:rsidRDefault="00B47442" w:rsidP="0099521D">
            <w:pPr>
              <w:pStyle w:val="Tabellentext"/>
              <w:keepNext/>
              <w:jc w:val="center"/>
              <w:rPr>
                <w:rFonts w:cs="Arial"/>
              </w:rPr>
            </w:pPr>
            <w:r w:rsidRPr="0009445C">
              <w:t>14</w:t>
            </w:r>
          </w:p>
        </w:tc>
        <w:tc>
          <w:tcPr>
            <w:tcW w:w="427" w:type="dxa"/>
            <w:textDirection w:val="btLr"/>
            <w:vAlign w:val="center"/>
          </w:tcPr>
          <w:p w14:paraId="7755CD67" w14:textId="77777777" w:rsidR="00B47442" w:rsidRPr="0009445C" w:rsidRDefault="00B47442" w:rsidP="0099521D">
            <w:pPr>
              <w:pStyle w:val="Tabellentext"/>
              <w:keepNext/>
              <w:jc w:val="center"/>
              <w:rPr>
                <w:rFonts w:cs="Arial"/>
              </w:rPr>
            </w:pPr>
            <w:r w:rsidRPr="0009445C">
              <w:t>15</w:t>
            </w:r>
          </w:p>
        </w:tc>
        <w:tc>
          <w:tcPr>
            <w:tcW w:w="426" w:type="dxa"/>
            <w:textDirection w:val="btLr"/>
            <w:vAlign w:val="center"/>
          </w:tcPr>
          <w:p w14:paraId="31B5D2AB" w14:textId="77777777" w:rsidR="00B47442" w:rsidRPr="0009445C" w:rsidRDefault="00B47442" w:rsidP="0099521D">
            <w:pPr>
              <w:pStyle w:val="Tabellentext"/>
              <w:keepNext/>
              <w:jc w:val="center"/>
              <w:rPr>
                <w:rFonts w:cs="Arial"/>
              </w:rPr>
            </w:pPr>
            <w:r w:rsidRPr="0009445C">
              <w:t>16</w:t>
            </w:r>
          </w:p>
        </w:tc>
        <w:tc>
          <w:tcPr>
            <w:tcW w:w="427" w:type="dxa"/>
            <w:textDirection w:val="btLr"/>
            <w:vAlign w:val="center"/>
          </w:tcPr>
          <w:p w14:paraId="275FB37A" w14:textId="77777777" w:rsidR="00B47442" w:rsidRPr="0009445C" w:rsidRDefault="00B47442" w:rsidP="0099521D">
            <w:pPr>
              <w:pStyle w:val="Tabellentext"/>
              <w:keepNext/>
              <w:jc w:val="center"/>
              <w:rPr>
                <w:rFonts w:cs="Arial"/>
              </w:rPr>
            </w:pPr>
            <w:r w:rsidRPr="0009445C">
              <w:t>17</w:t>
            </w:r>
          </w:p>
        </w:tc>
      </w:tr>
      <w:tr w:rsidR="00B47442" w:rsidRPr="0009445C" w14:paraId="24E22F5B" w14:textId="77777777" w:rsidTr="0099521D">
        <w:trPr>
          <w:trHeight w:val="264"/>
        </w:trPr>
        <w:tc>
          <w:tcPr>
            <w:tcW w:w="2355" w:type="dxa"/>
            <w:gridSpan w:val="2"/>
          </w:tcPr>
          <w:p w14:paraId="31B90714" w14:textId="77777777" w:rsidR="00B47442" w:rsidRPr="0009445C" w:rsidRDefault="00B47442" w:rsidP="0099521D">
            <w:pPr>
              <w:pStyle w:val="BRL-Tabelle"/>
              <w:keepNext/>
              <w:spacing w:before="60" w:after="40"/>
              <w:rPr>
                <w:b/>
              </w:rPr>
            </w:pPr>
            <w:r w:rsidRPr="0009445C">
              <w:rPr>
                <w:b/>
              </w:rPr>
              <w:t>Performance in case of fire</w:t>
            </w:r>
          </w:p>
        </w:tc>
        <w:tc>
          <w:tcPr>
            <w:tcW w:w="6830" w:type="dxa"/>
            <w:gridSpan w:val="16"/>
          </w:tcPr>
          <w:p w14:paraId="225152CC" w14:textId="77777777" w:rsidR="00B47442" w:rsidRPr="0009445C" w:rsidRDefault="00B47442" w:rsidP="0099521D">
            <w:pPr>
              <w:pStyle w:val="BRL-Tabelle"/>
              <w:keepNext/>
              <w:spacing w:before="60" w:after="40"/>
            </w:pPr>
          </w:p>
        </w:tc>
      </w:tr>
      <w:tr w:rsidR="00B47442" w:rsidRPr="0009445C" w14:paraId="04CBFE5F" w14:textId="77777777" w:rsidTr="0099521D">
        <w:trPr>
          <w:trHeight w:val="264"/>
        </w:trPr>
        <w:tc>
          <w:tcPr>
            <w:tcW w:w="2355" w:type="dxa"/>
            <w:gridSpan w:val="2"/>
          </w:tcPr>
          <w:p w14:paraId="143F8855" w14:textId="77777777" w:rsidR="00B47442" w:rsidRPr="0009445C" w:rsidRDefault="00B47442" w:rsidP="0099521D">
            <w:pPr>
              <w:pStyle w:val="BRL-Tabelle"/>
              <w:spacing w:before="60" w:after="40"/>
            </w:pPr>
            <w:r w:rsidRPr="0009445C">
              <w:t xml:space="preserve">General requirements </w:t>
            </w:r>
          </w:p>
        </w:tc>
        <w:tc>
          <w:tcPr>
            <w:tcW w:w="427" w:type="dxa"/>
            <w:vAlign w:val="center"/>
          </w:tcPr>
          <w:p w14:paraId="645DE94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1CB8F82" w14:textId="77777777" w:rsidR="00B47442" w:rsidRPr="0009445C" w:rsidRDefault="00B47442" w:rsidP="0099521D">
            <w:pPr>
              <w:pStyle w:val="BRL-Tabelle"/>
              <w:spacing w:before="60" w:after="40"/>
              <w:jc w:val="center"/>
              <w:rPr>
                <w:sz w:val="16"/>
              </w:rPr>
            </w:pPr>
          </w:p>
        </w:tc>
        <w:tc>
          <w:tcPr>
            <w:tcW w:w="426" w:type="dxa"/>
            <w:vAlign w:val="center"/>
          </w:tcPr>
          <w:p w14:paraId="794D169C"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D695B35" w14:textId="77777777" w:rsidR="00B47442" w:rsidRPr="0009445C" w:rsidRDefault="00B47442" w:rsidP="0099521D">
            <w:pPr>
              <w:pStyle w:val="BRL-Tabelle"/>
              <w:spacing w:before="60" w:after="40"/>
              <w:jc w:val="center"/>
              <w:rPr>
                <w:sz w:val="16"/>
              </w:rPr>
            </w:pPr>
          </w:p>
        </w:tc>
        <w:tc>
          <w:tcPr>
            <w:tcW w:w="425" w:type="dxa"/>
            <w:vAlign w:val="center"/>
          </w:tcPr>
          <w:p w14:paraId="6DDCC676" w14:textId="77777777" w:rsidR="00B47442" w:rsidRPr="0009445C" w:rsidRDefault="00B47442" w:rsidP="0099521D">
            <w:pPr>
              <w:pStyle w:val="BRL-Tabelle"/>
              <w:spacing w:before="60" w:after="40"/>
              <w:jc w:val="center"/>
              <w:rPr>
                <w:sz w:val="16"/>
              </w:rPr>
            </w:pPr>
          </w:p>
        </w:tc>
        <w:tc>
          <w:tcPr>
            <w:tcW w:w="426" w:type="dxa"/>
            <w:vAlign w:val="center"/>
          </w:tcPr>
          <w:p w14:paraId="49B67E46" w14:textId="77777777" w:rsidR="00B47442" w:rsidRPr="0009445C" w:rsidRDefault="00B47442" w:rsidP="0099521D">
            <w:pPr>
              <w:pStyle w:val="BRL-Tabelle"/>
              <w:spacing w:before="60" w:after="40"/>
              <w:jc w:val="center"/>
              <w:rPr>
                <w:sz w:val="16"/>
              </w:rPr>
            </w:pPr>
          </w:p>
        </w:tc>
        <w:tc>
          <w:tcPr>
            <w:tcW w:w="428" w:type="dxa"/>
            <w:vAlign w:val="center"/>
          </w:tcPr>
          <w:p w14:paraId="7917225C" w14:textId="77777777" w:rsidR="00B47442" w:rsidRPr="0009445C" w:rsidRDefault="00B47442" w:rsidP="0099521D">
            <w:pPr>
              <w:pStyle w:val="BRL-Tabelle"/>
              <w:spacing w:before="60" w:after="40"/>
              <w:jc w:val="center"/>
              <w:rPr>
                <w:sz w:val="16"/>
              </w:rPr>
            </w:pPr>
          </w:p>
        </w:tc>
        <w:tc>
          <w:tcPr>
            <w:tcW w:w="427" w:type="dxa"/>
            <w:vAlign w:val="center"/>
          </w:tcPr>
          <w:p w14:paraId="078E28F3" w14:textId="77777777" w:rsidR="00B47442" w:rsidRPr="0009445C" w:rsidRDefault="00B47442" w:rsidP="0099521D">
            <w:pPr>
              <w:pStyle w:val="BRL-Tabelle"/>
              <w:spacing w:before="60" w:after="40"/>
              <w:jc w:val="center"/>
              <w:rPr>
                <w:sz w:val="16"/>
              </w:rPr>
            </w:pPr>
          </w:p>
        </w:tc>
        <w:tc>
          <w:tcPr>
            <w:tcW w:w="426" w:type="dxa"/>
            <w:vAlign w:val="center"/>
          </w:tcPr>
          <w:p w14:paraId="73C599C3"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EA8C379" w14:textId="77777777" w:rsidR="00B47442" w:rsidRPr="0009445C" w:rsidRDefault="00B47442" w:rsidP="0099521D">
            <w:pPr>
              <w:pStyle w:val="BRL-Tabelle"/>
              <w:spacing w:before="60" w:after="40"/>
              <w:jc w:val="center"/>
              <w:rPr>
                <w:sz w:val="16"/>
              </w:rPr>
            </w:pPr>
          </w:p>
        </w:tc>
        <w:tc>
          <w:tcPr>
            <w:tcW w:w="426" w:type="dxa"/>
            <w:vAlign w:val="center"/>
          </w:tcPr>
          <w:p w14:paraId="2B60000E" w14:textId="77777777" w:rsidR="00B47442" w:rsidRPr="0009445C" w:rsidRDefault="00B47442" w:rsidP="0099521D">
            <w:pPr>
              <w:pStyle w:val="BRL-Tabelle"/>
              <w:spacing w:before="60" w:after="40"/>
              <w:jc w:val="center"/>
              <w:rPr>
                <w:sz w:val="16"/>
              </w:rPr>
            </w:pPr>
          </w:p>
        </w:tc>
        <w:tc>
          <w:tcPr>
            <w:tcW w:w="433" w:type="dxa"/>
            <w:vAlign w:val="center"/>
          </w:tcPr>
          <w:p w14:paraId="1CEEDFBF" w14:textId="77777777" w:rsidR="00B47442" w:rsidRPr="0009445C" w:rsidRDefault="00B47442" w:rsidP="0099521D">
            <w:pPr>
              <w:pStyle w:val="BRL-Tabelle"/>
              <w:spacing w:before="60" w:after="40"/>
              <w:jc w:val="center"/>
              <w:rPr>
                <w:sz w:val="16"/>
              </w:rPr>
            </w:pPr>
          </w:p>
        </w:tc>
        <w:tc>
          <w:tcPr>
            <w:tcW w:w="426" w:type="dxa"/>
            <w:vAlign w:val="center"/>
          </w:tcPr>
          <w:p w14:paraId="130A60E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0335DF3" w14:textId="77777777" w:rsidR="00B47442" w:rsidRPr="0009445C" w:rsidRDefault="00B47442" w:rsidP="0099521D">
            <w:pPr>
              <w:pStyle w:val="BRL-Tabelle"/>
              <w:spacing w:before="60" w:after="40"/>
              <w:jc w:val="center"/>
              <w:rPr>
                <w:sz w:val="16"/>
              </w:rPr>
            </w:pPr>
          </w:p>
        </w:tc>
        <w:tc>
          <w:tcPr>
            <w:tcW w:w="426" w:type="dxa"/>
            <w:vAlign w:val="center"/>
          </w:tcPr>
          <w:p w14:paraId="1DA7EE53" w14:textId="77777777" w:rsidR="00B47442" w:rsidRPr="0009445C" w:rsidRDefault="00B47442" w:rsidP="0099521D">
            <w:pPr>
              <w:pStyle w:val="BRL-Tabelle"/>
              <w:spacing w:before="60" w:after="40"/>
              <w:jc w:val="center"/>
              <w:rPr>
                <w:sz w:val="16"/>
              </w:rPr>
            </w:pPr>
          </w:p>
        </w:tc>
        <w:tc>
          <w:tcPr>
            <w:tcW w:w="427" w:type="dxa"/>
            <w:vAlign w:val="center"/>
          </w:tcPr>
          <w:p w14:paraId="4E6E9EB9" w14:textId="77777777" w:rsidR="00B47442" w:rsidRPr="0009445C" w:rsidRDefault="00B47442" w:rsidP="0099521D">
            <w:pPr>
              <w:pStyle w:val="BRL-Tabelle"/>
              <w:spacing w:before="60" w:after="40"/>
              <w:jc w:val="center"/>
              <w:rPr>
                <w:sz w:val="16"/>
              </w:rPr>
            </w:pPr>
          </w:p>
        </w:tc>
      </w:tr>
      <w:tr w:rsidR="00B47442" w:rsidRPr="0009445C" w14:paraId="193A3696" w14:textId="77777777" w:rsidTr="0099521D">
        <w:trPr>
          <w:trHeight w:val="264"/>
        </w:trPr>
        <w:tc>
          <w:tcPr>
            <w:tcW w:w="2355" w:type="dxa"/>
            <w:gridSpan w:val="2"/>
          </w:tcPr>
          <w:p w14:paraId="20EA29DA" w14:textId="77777777" w:rsidR="00B47442" w:rsidRPr="0009445C" w:rsidRDefault="00B47442" w:rsidP="0099521D">
            <w:pPr>
              <w:pStyle w:val="BRL-Tabelle"/>
              <w:spacing w:before="60" w:after="40"/>
            </w:pPr>
            <w:r w:rsidRPr="0009445C">
              <w:t>General requirements for displays</w:t>
            </w:r>
          </w:p>
        </w:tc>
        <w:tc>
          <w:tcPr>
            <w:tcW w:w="427" w:type="dxa"/>
            <w:vAlign w:val="center"/>
          </w:tcPr>
          <w:p w14:paraId="52545188"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7C8B73C" w14:textId="77777777" w:rsidR="00B47442" w:rsidRPr="0009445C" w:rsidRDefault="00B47442" w:rsidP="0099521D">
            <w:pPr>
              <w:pStyle w:val="BRL-Tabelle"/>
              <w:spacing w:before="60" w:after="40"/>
              <w:jc w:val="center"/>
              <w:rPr>
                <w:sz w:val="16"/>
              </w:rPr>
            </w:pPr>
          </w:p>
        </w:tc>
        <w:tc>
          <w:tcPr>
            <w:tcW w:w="426" w:type="dxa"/>
            <w:vAlign w:val="center"/>
          </w:tcPr>
          <w:p w14:paraId="3A2A30B2" w14:textId="77777777" w:rsidR="00B47442" w:rsidRPr="0009445C" w:rsidRDefault="00B47442" w:rsidP="0099521D">
            <w:pPr>
              <w:pStyle w:val="BRL-Tabelle"/>
              <w:spacing w:before="60" w:after="40"/>
              <w:jc w:val="center"/>
              <w:rPr>
                <w:sz w:val="16"/>
              </w:rPr>
            </w:pPr>
          </w:p>
        </w:tc>
        <w:tc>
          <w:tcPr>
            <w:tcW w:w="427" w:type="dxa"/>
            <w:vAlign w:val="center"/>
          </w:tcPr>
          <w:p w14:paraId="7F9AE378" w14:textId="77777777" w:rsidR="00B47442" w:rsidRPr="0009445C" w:rsidRDefault="00B47442" w:rsidP="0099521D">
            <w:pPr>
              <w:pStyle w:val="BRL-Tabelle"/>
              <w:spacing w:before="60" w:after="40"/>
              <w:jc w:val="center"/>
              <w:rPr>
                <w:sz w:val="16"/>
              </w:rPr>
            </w:pPr>
          </w:p>
        </w:tc>
        <w:tc>
          <w:tcPr>
            <w:tcW w:w="425" w:type="dxa"/>
            <w:vAlign w:val="center"/>
          </w:tcPr>
          <w:p w14:paraId="74156562" w14:textId="77777777" w:rsidR="00B47442" w:rsidRPr="0009445C" w:rsidRDefault="00B47442" w:rsidP="0099521D">
            <w:pPr>
              <w:pStyle w:val="BRL-Tabelle"/>
              <w:spacing w:before="60" w:after="40"/>
              <w:jc w:val="center"/>
              <w:rPr>
                <w:sz w:val="16"/>
              </w:rPr>
            </w:pPr>
          </w:p>
        </w:tc>
        <w:tc>
          <w:tcPr>
            <w:tcW w:w="426" w:type="dxa"/>
            <w:vAlign w:val="center"/>
          </w:tcPr>
          <w:p w14:paraId="73DF44ED" w14:textId="77777777" w:rsidR="00B47442" w:rsidRPr="0009445C" w:rsidRDefault="00B47442" w:rsidP="0099521D">
            <w:pPr>
              <w:pStyle w:val="BRL-Tabelle"/>
              <w:spacing w:before="60" w:after="40"/>
              <w:jc w:val="center"/>
              <w:rPr>
                <w:sz w:val="16"/>
              </w:rPr>
            </w:pPr>
          </w:p>
        </w:tc>
        <w:tc>
          <w:tcPr>
            <w:tcW w:w="428" w:type="dxa"/>
            <w:vAlign w:val="center"/>
          </w:tcPr>
          <w:p w14:paraId="576440B1" w14:textId="77777777" w:rsidR="00B47442" w:rsidRPr="0009445C" w:rsidRDefault="00B47442" w:rsidP="0099521D">
            <w:pPr>
              <w:pStyle w:val="BRL-Tabelle"/>
              <w:spacing w:before="60" w:after="40"/>
              <w:jc w:val="center"/>
              <w:rPr>
                <w:sz w:val="16"/>
              </w:rPr>
            </w:pPr>
          </w:p>
        </w:tc>
        <w:tc>
          <w:tcPr>
            <w:tcW w:w="427" w:type="dxa"/>
            <w:vAlign w:val="center"/>
          </w:tcPr>
          <w:p w14:paraId="3C12A53C" w14:textId="77777777" w:rsidR="00B47442" w:rsidRPr="0009445C" w:rsidRDefault="00B47442" w:rsidP="0099521D">
            <w:pPr>
              <w:pStyle w:val="BRL-Tabelle"/>
              <w:spacing w:before="60" w:after="40"/>
              <w:jc w:val="center"/>
              <w:rPr>
                <w:sz w:val="16"/>
              </w:rPr>
            </w:pPr>
          </w:p>
        </w:tc>
        <w:tc>
          <w:tcPr>
            <w:tcW w:w="426" w:type="dxa"/>
            <w:vAlign w:val="center"/>
          </w:tcPr>
          <w:p w14:paraId="3259CDF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A3EFDB5" w14:textId="77777777" w:rsidR="00B47442" w:rsidRPr="0009445C" w:rsidRDefault="00B47442" w:rsidP="0099521D">
            <w:pPr>
              <w:pStyle w:val="BRL-Tabelle"/>
              <w:spacing w:before="60" w:after="40"/>
              <w:jc w:val="center"/>
              <w:rPr>
                <w:sz w:val="16"/>
              </w:rPr>
            </w:pPr>
          </w:p>
        </w:tc>
        <w:tc>
          <w:tcPr>
            <w:tcW w:w="426" w:type="dxa"/>
            <w:vAlign w:val="center"/>
          </w:tcPr>
          <w:p w14:paraId="1D97CA18" w14:textId="77777777" w:rsidR="00B47442" w:rsidRPr="0009445C" w:rsidRDefault="00B47442" w:rsidP="0099521D">
            <w:pPr>
              <w:pStyle w:val="BRL-Tabelle"/>
              <w:spacing w:before="60" w:after="40"/>
              <w:jc w:val="center"/>
              <w:rPr>
                <w:sz w:val="16"/>
              </w:rPr>
            </w:pPr>
          </w:p>
        </w:tc>
        <w:tc>
          <w:tcPr>
            <w:tcW w:w="433" w:type="dxa"/>
            <w:vAlign w:val="center"/>
          </w:tcPr>
          <w:p w14:paraId="6330BD2E" w14:textId="77777777" w:rsidR="00B47442" w:rsidRPr="0009445C" w:rsidRDefault="00B47442" w:rsidP="0099521D">
            <w:pPr>
              <w:pStyle w:val="BRL-Tabelle"/>
              <w:spacing w:before="60" w:after="40"/>
              <w:jc w:val="center"/>
              <w:rPr>
                <w:sz w:val="16"/>
              </w:rPr>
            </w:pPr>
          </w:p>
        </w:tc>
        <w:tc>
          <w:tcPr>
            <w:tcW w:w="426" w:type="dxa"/>
            <w:vAlign w:val="center"/>
          </w:tcPr>
          <w:p w14:paraId="5FD66BF8" w14:textId="77777777" w:rsidR="00B47442" w:rsidRPr="0009445C" w:rsidRDefault="00B47442" w:rsidP="0099521D">
            <w:pPr>
              <w:pStyle w:val="BRL-Tabelle"/>
              <w:spacing w:before="60" w:after="40"/>
              <w:jc w:val="center"/>
              <w:rPr>
                <w:sz w:val="16"/>
              </w:rPr>
            </w:pPr>
          </w:p>
        </w:tc>
        <w:tc>
          <w:tcPr>
            <w:tcW w:w="427" w:type="dxa"/>
            <w:vAlign w:val="center"/>
          </w:tcPr>
          <w:p w14:paraId="3FF8F644" w14:textId="77777777" w:rsidR="00B47442" w:rsidRPr="0009445C" w:rsidRDefault="00B47442" w:rsidP="0099521D">
            <w:pPr>
              <w:pStyle w:val="BRL-Tabelle"/>
              <w:spacing w:before="60" w:after="40"/>
              <w:jc w:val="center"/>
              <w:rPr>
                <w:sz w:val="16"/>
              </w:rPr>
            </w:pPr>
          </w:p>
        </w:tc>
        <w:tc>
          <w:tcPr>
            <w:tcW w:w="426" w:type="dxa"/>
            <w:vAlign w:val="center"/>
          </w:tcPr>
          <w:p w14:paraId="4D0C5B21" w14:textId="77777777" w:rsidR="00B47442" w:rsidRPr="0009445C" w:rsidRDefault="00B47442" w:rsidP="0099521D">
            <w:pPr>
              <w:pStyle w:val="BRL-Tabelle"/>
              <w:spacing w:before="60" w:after="40"/>
              <w:jc w:val="center"/>
              <w:rPr>
                <w:sz w:val="16"/>
              </w:rPr>
            </w:pPr>
          </w:p>
        </w:tc>
        <w:tc>
          <w:tcPr>
            <w:tcW w:w="427" w:type="dxa"/>
            <w:vAlign w:val="center"/>
          </w:tcPr>
          <w:p w14:paraId="6E10E551" w14:textId="77777777" w:rsidR="00B47442" w:rsidRPr="0009445C" w:rsidRDefault="00B47442" w:rsidP="0099521D">
            <w:pPr>
              <w:pStyle w:val="BRL-Tabelle"/>
              <w:spacing w:before="60" w:after="40"/>
              <w:jc w:val="center"/>
              <w:rPr>
                <w:sz w:val="16"/>
              </w:rPr>
            </w:pPr>
          </w:p>
        </w:tc>
      </w:tr>
      <w:tr w:rsidR="00B47442" w:rsidRPr="0009445C" w14:paraId="6F8ADF13" w14:textId="77777777" w:rsidTr="0099521D">
        <w:trPr>
          <w:trHeight w:val="264"/>
        </w:trPr>
        <w:tc>
          <w:tcPr>
            <w:tcW w:w="2355" w:type="dxa"/>
            <w:gridSpan w:val="2"/>
          </w:tcPr>
          <w:p w14:paraId="694CCA2B" w14:textId="77777777" w:rsidR="00B47442" w:rsidRPr="0009445C" w:rsidRDefault="00B47442" w:rsidP="0099521D">
            <w:pPr>
              <w:pStyle w:val="BRL-Tabelle"/>
              <w:spacing w:before="60" w:after="40"/>
            </w:pPr>
            <w:r w:rsidRPr="0009445C">
              <w:t>Fire alarm status</w:t>
            </w:r>
          </w:p>
        </w:tc>
        <w:tc>
          <w:tcPr>
            <w:tcW w:w="427" w:type="dxa"/>
            <w:vAlign w:val="center"/>
          </w:tcPr>
          <w:p w14:paraId="41F4BDD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6524DD37" w14:textId="77777777" w:rsidR="00B47442" w:rsidRPr="0009445C" w:rsidRDefault="00B47442" w:rsidP="0099521D">
            <w:pPr>
              <w:pStyle w:val="BRL-Tabelle"/>
              <w:spacing w:before="60" w:after="40"/>
              <w:jc w:val="center"/>
              <w:rPr>
                <w:sz w:val="16"/>
              </w:rPr>
            </w:pPr>
          </w:p>
        </w:tc>
        <w:tc>
          <w:tcPr>
            <w:tcW w:w="426" w:type="dxa"/>
            <w:vAlign w:val="center"/>
          </w:tcPr>
          <w:p w14:paraId="52477294" w14:textId="77777777" w:rsidR="00B47442" w:rsidRPr="0009445C" w:rsidRDefault="00B47442" w:rsidP="0099521D">
            <w:pPr>
              <w:pStyle w:val="BRL-Tabelle"/>
              <w:spacing w:before="60" w:after="40"/>
              <w:jc w:val="center"/>
              <w:rPr>
                <w:sz w:val="16"/>
              </w:rPr>
            </w:pPr>
          </w:p>
        </w:tc>
        <w:tc>
          <w:tcPr>
            <w:tcW w:w="427" w:type="dxa"/>
            <w:vAlign w:val="center"/>
          </w:tcPr>
          <w:p w14:paraId="1A036B50" w14:textId="77777777" w:rsidR="00B47442" w:rsidRPr="0009445C" w:rsidRDefault="00B47442" w:rsidP="0099521D">
            <w:pPr>
              <w:pStyle w:val="BRL-Tabelle"/>
              <w:spacing w:before="60" w:after="40"/>
              <w:jc w:val="center"/>
              <w:rPr>
                <w:sz w:val="16"/>
              </w:rPr>
            </w:pPr>
          </w:p>
        </w:tc>
        <w:tc>
          <w:tcPr>
            <w:tcW w:w="425" w:type="dxa"/>
            <w:vAlign w:val="center"/>
          </w:tcPr>
          <w:p w14:paraId="1038A3D9" w14:textId="77777777" w:rsidR="00B47442" w:rsidRPr="0009445C" w:rsidRDefault="00B47442" w:rsidP="0099521D">
            <w:pPr>
              <w:pStyle w:val="BRL-Tabelle"/>
              <w:spacing w:before="60" w:after="40"/>
              <w:jc w:val="center"/>
              <w:rPr>
                <w:sz w:val="16"/>
              </w:rPr>
            </w:pPr>
          </w:p>
        </w:tc>
        <w:tc>
          <w:tcPr>
            <w:tcW w:w="426" w:type="dxa"/>
            <w:vAlign w:val="center"/>
          </w:tcPr>
          <w:p w14:paraId="67F26FC1" w14:textId="77777777" w:rsidR="00B47442" w:rsidRPr="0009445C" w:rsidRDefault="00B47442" w:rsidP="0099521D">
            <w:pPr>
              <w:pStyle w:val="BRL-Tabelle"/>
              <w:spacing w:before="60" w:after="40"/>
              <w:jc w:val="center"/>
              <w:rPr>
                <w:sz w:val="16"/>
              </w:rPr>
            </w:pPr>
          </w:p>
        </w:tc>
        <w:tc>
          <w:tcPr>
            <w:tcW w:w="428" w:type="dxa"/>
            <w:vAlign w:val="center"/>
          </w:tcPr>
          <w:p w14:paraId="5AB63A98" w14:textId="77777777" w:rsidR="00B47442" w:rsidRPr="0009445C" w:rsidRDefault="00B47442" w:rsidP="0099521D">
            <w:pPr>
              <w:pStyle w:val="BRL-Tabelle"/>
              <w:spacing w:before="60" w:after="40"/>
              <w:jc w:val="center"/>
              <w:rPr>
                <w:sz w:val="16"/>
              </w:rPr>
            </w:pPr>
          </w:p>
        </w:tc>
        <w:tc>
          <w:tcPr>
            <w:tcW w:w="427" w:type="dxa"/>
            <w:vAlign w:val="center"/>
          </w:tcPr>
          <w:p w14:paraId="1BF2C03F" w14:textId="77777777" w:rsidR="00B47442" w:rsidRPr="0009445C" w:rsidRDefault="00B47442" w:rsidP="0099521D">
            <w:pPr>
              <w:pStyle w:val="BRL-Tabelle"/>
              <w:spacing w:before="60" w:after="40"/>
              <w:jc w:val="center"/>
              <w:rPr>
                <w:sz w:val="16"/>
              </w:rPr>
            </w:pPr>
          </w:p>
        </w:tc>
        <w:tc>
          <w:tcPr>
            <w:tcW w:w="426" w:type="dxa"/>
            <w:vAlign w:val="center"/>
          </w:tcPr>
          <w:p w14:paraId="4AC6015C" w14:textId="77777777" w:rsidR="00B47442" w:rsidRPr="0009445C" w:rsidRDefault="00B47442" w:rsidP="0099521D">
            <w:pPr>
              <w:pStyle w:val="BRL-Tabelle"/>
              <w:spacing w:before="60" w:after="40"/>
              <w:jc w:val="center"/>
              <w:rPr>
                <w:sz w:val="16"/>
              </w:rPr>
            </w:pPr>
          </w:p>
        </w:tc>
        <w:tc>
          <w:tcPr>
            <w:tcW w:w="426" w:type="dxa"/>
            <w:vAlign w:val="center"/>
          </w:tcPr>
          <w:p w14:paraId="292F0369" w14:textId="77777777" w:rsidR="00B47442" w:rsidRPr="0009445C" w:rsidRDefault="00B47442" w:rsidP="0099521D">
            <w:pPr>
              <w:pStyle w:val="BRL-Tabelle"/>
              <w:spacing w:before="60" w:after="40"/>
              <w:jc w:val="center"/>
              <w:rPr>
                <w:sz w:val="16"/>
              </w:rPr>
            </w:pPr>
          </w:p>
        </w:tc>
        <w:tc>
          <w:tcPr>
            <w:tcW w:w="426" w:type="dxa"/>
            <w:vAlign w:val="center"/>
          </w:tcPr>
          <w:p w14:paraId="0BA29695" w14:textId="77777777" w:rsidR="00B47442" w:rsidRPr="0009445C" w:rsidRDefault="00B47442" w:rsidP="0099521D">
            <w:pPr>
              <w:pStyle w:val="BRL-Tabelle"/>
              <w:spacing w:before="60" w:after="40"/>
              <w:jc w:val="center"/>
              <w:rPr>
                <w:sz w:val="16"/>
              </w:rPr>
            </w:pPr>
          </w:p>
        </w:tc>
        <w:tc>
          <w:tcPr>
            <w:tcW w:w="433" w:type="dxa"/>
            <w:vAlign w:val="center"/>
          </w:tcPr>
          <w:p w14:paraId="777797E2" w14:textId="77777777" w:rsidR="00B47442" w:rsidRPr="0009445C" w:rsidRDefault="00B47442" w:rsidP="0099521D">
            <w:pPr>
              <w:pStyle w:val="BRL-Tabelle"/>
              <w:spacing w:before="60" w:after="40"/>
              <w:jc w:val="center"/>
              <w:rPr>
                <w:sz w:val="16"/>
              </w:rPr>
            </w:pPr>
          </w:p>
        </w:tc>
        <w:tc>
          <w:tcPr>
            <w:tcW w:w="426" w:type="dxa"/>
            <w:vAlign w:val="center"/>
          </w:tcPr>
          <w:p w14:paraId="420ABD6D" w14:textId="77777777" w:rsidR="00B47442" w:rsidRPr="0009445C" w:rsidRDefault="00B47442" w:rsidP="0099521D">
            <w:pPr>
              <w:pStyle w:val="BRL-Tabelle"/>
              <w:spacing w:before="60" w:after="40"/>
              <w:jc w:val="center"/>
              <w:rPr>
                <w:sz w:val="16"/>
              </w:rPr>
            </w:pPr>
          </w:p>
        </w:tc>
        <w:tc>
          <w:tcPr>
            <w:tcW w:w="427" w:type="dxa"/>
            <w:vAlign w:val="center"/>
          </w:tcPr>
          <w:p w14:paraId="3111D00C" w14:textId="77777777" w:rsidR="00B47442" w:rsidRPr="0009445C" w:rsidRDefault="00B47442" w:rsidP="0099521D">
            <w:pPr>
              <w:pStyle w:val="BRL-Tabelle"/>
              <w:spacing w:before="60" w:after="40"/>
              <w:jc w:val="center"/>
              <w:rPr>
                <w:sz w:val="16"/>
              </w:rPr>
            </w:pPr>
          </w:p>
        </w:tc>
        <w:tc>
          <w:tcPr>
            <w:tcW w:w="426" w:type="dxa"/>
            <w:vAlign w:val="center"/>
          </w:tcPr>
          <w:p w14:paraId="136720D9" w14:textId="77777777" w:rsidR="00B47442" w:rsidRPr="0009445C" w:rsidRDefault="00B47442" w:rsidP="0099521D">
            <w:pPr>
              <w:pStyle w:val="BRL-Tabelle"/>
              <w:spacing w:before="60" w:after="40"/>
              <w:jc w:val="center"/>
              <w:rPr>
                <w:sz w:val="16"/>
              </w:rPr>
            </w:pPr>
          </w:p>
        </w:tc>
        <w:tc>
          <w:tcPr>
            <w:tcW w:w="427" w:type="dxa"/>
            <w:vAlign w:val="center"/>
          </w:tcPr>
          <w:p w14:paraId="7663D90E" w14:textId="77777777" w:rsidR="00B47442" w:rsidRPr="0009445C" w:rsidRDefault="00B47442" w:rsidP="0099521D">
            <w:pPr>
              <w:pStyle w:val="BRL-Tabelle"/>
              <w:spacing w:before="60" w:after="40"/>
              <w:jc w:val="center"/>
              <w:rPr>
                <w:sz w:val="16"/>
              </w:rPr>
            </w:pPr>
          </w:p>
        </w:tc>
      </w:tr>
      <w:tr w:rsidR="00B47442" w:rsidRPr="0009445C" w14:paraId="1E9C6EDF" w14:textId="77777777" w:rsidTr="0099521D">
        <w:trPr>
          <w:trHeight w:val="264"/>
        </w:trPr>
        <w:tc>
          <w:tcPr>
            <w:tcW w:w="2355" w:type="dxa"/>
            <w:gridSpan w:val="2"/>
          </w:tcPr>
          <w:p w14:paraId="3D9CD8CF" w14:textId="77777777" w:rsidR="00B47442" w:rsidRPr="0009445C" w:rsidRDefault="00B47442" w:rsidP="0099521D">
            <w:pPr>
              <w:pStyle w:val="BRL-Tabelle"/>
              <w:spacing w:before="60" w:after="40"/>
            </w:pPr>
            <w:r w:rsidRPr="0009445C">
              <w:t>Functions</w:t>
            </w:r>
          </w:p>
        </w:tc>
        <w:tc>
          <w:tcPr>
            <w:tcW w:w="427" w:type="dxa"/>
            <w:vAlign w:val="center"/>
          </w:tcPr>
          <w:p w14:paraId="45364F3F" w14:textId="77777777" w:rsidR="00B47442" w:rsidRPr="0009445C" w:rsidRDefault="00B47442" w:rsidP="0099521D">
            <w:pPr>
              <w:pStyle w:val="BRL-Tabelle"/>
              <w:spacing w:before="60" w:after="40"/>
              <w:jc w:val="center"/>
              <w:rPr>
                <w:sz w:val="16"/>
              </w:rPr>
            </w:pPr>
          </w:p>
        </w:tc>
        <w:tc>
          <w:tcPr>
            <w:tcW w:w="427" w:type="dxa"/>
            <w:vAlign w:val="center"/>
          </w:tcPr>
          <w:p w14:paraId="4F8AF9C1" w14:textId="77777777" w:rsidR="00B47442" w:rsidRPr="0009445C" w:rsidRDefault="00B47442" w:rsidP="0099521D">
            <w:pPr>
              <w:pStyle w:val="BRL-Tabelle"/>
              <w:spacing w:before="60" w:after="40"/>
              <w:jc w:val="center"/>
              <w:rPr>
                <w:sz w:val="16"/>
              </w:rPr>
            </w:pPr>
          </w:p>
        </w:tc>
        <w:tc>
          <w:tcPr>
            <w:tcW w:w="426" w:type="dxa"/>
            <w:vAlign w:val="center"/>
          </w:tcPr>
          <w:p w14:paraId="219C411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27A29B6" w14:textId="77777777" w:rsidR="00B47442" w:rsidRPr="0009445C" w:rsidRDefault="00B47442" w:rsidP="0099521D">
            <w:pPr>
              <w:pStyle w:val="BRL-Tabelle"/>
              <w:spacing w:before="60" w:after="40"/>
              <w:jc w:val="center"/>
              <w:rPr>
                <w:sz w:val="16"/>
              </w:rPr>
            </w:pPr>
          </w:p>
        </w:tc>
        <w:tc>
          <w:tcPr>
            <w:tcW w:w="425" w:type="dxa"/>
            <w:vAlign w:val="center"/>
          </w:tcPr>
          <w:p w14:paraId="239EE57D" w14:textId="77777777" w:rsidR="00B47442" w:rsidRPr="0009445C" w:rsidRDefault="00B47442" w:rsidP="0099521D">
            <w:pPr>
              <w:pStyle w:val="BRL-Tabelle"/>
              <w:spacing w:before="60" w:after="40"/>
              <w:jc w:val="center"/>
              <w:rPr>
                <w:sz w:val="16"/>
              </w:rPr>
            </w:pPr>
          </w:p>
        </w:tc>
        <w:tc>
          <w:tcPr>
            <w:tcW w:w="426" w:type="dxa"/>
            <w:vAlign w:val="center"/>
          </w:tcPr>
          <w:p w14:paraId="21D6B2FF" w14:textId="77777777" w:rsidR="00B47442" w:rsidRPr="0009445C" w:rsidRDefault="00B47442" w:rsidP="0099521D">
            <w:pPr>
              <w:pStyle w:val="BRL-Tabelle"/>
              <w:spacing w:before="60" w:after="40"/>
              <w:jc w:val="center"/>
              <w:rPr>
                <w:sz w:val="16"/>
              </w:rPr>
            </w:pPr>
          </w:p>
        </w:tc>
        <w:tc>
          <w:tcPr>
            <w:tcW w:w="428" w:type="dxa"/>
            <w:vAlign w:val="center"/>
          </w:tcPr>
          <w:p w14:paraId="449DAF29" w14:textId="77777777" w:rsidR="00B47442" w:rsidRPr="0009445C" w:rsidRDefault="00B47442" w:rsidP="0099521D">
            <w:pPr>
              <w:pStyle w:val="BRL-Tabelle"/>
              <w:spacing w:before="60" w:after="40"/>
              <w:jc w:val="center"/>
              <w:rPr>
                <w:sz w:val="16"/>
              </w:rPr>
            </w:pPr>
          </w:p>
        </w:tc>
        <w:tc>
          <w:tcPr>
            <w:tcW w:w="427" w:type="dxa"/>
            <w:vAlign w:val="center"/>
          </w:tcPr>
          <w:p w14:paraId="70559F85" w14:textId="77777777" w:rsidR="00B47442" w:rsidRPr="0009445C" w:rsidRDefault="00B47442" w:rsidP="0099521D">
            <w:pPr>
              <w:pStyle w:val="BRL-Tabelle"/>
              <w:spacing w:before="60" w:after="40"/>
              <w:jc w:val="center"/>
              <w:rPr>
                <w:sz w:val="16"/>
              </w:rPr>
            </w:pPr>
          </w:p>
        </w:tc>
        <w:tc>
          <w:tcPr>
            <w:tcW w:w="426" w:type="dxa"/>
            <w:vAlign w:val="center"/>
          </w:tcPr>
          <w:p w14:paraId="1FD5932D" w14:textId="77777777" w:rsidR="00B47442" w:rsidRPr="0009445C" w:rsidRDefault="00B47442" w:rsidP="0099521D">
            <w:pPr>
              <w:pStyle w:val="BRL-Tabelle"/>
              <w:spacing w:before="60" w:after="40"/>
              <w:jc w:val="center"/>
              <w:rPr>
                <w:sz w:val="16"/>
              </w:rPr>
            </w:pPr>
          </w:p>
        </w:tc>
        <w:tc>
          <w:tcPr>
            <w:tcW w:w="426" w:type="dxa"/>
            <w:vAlign w:val="center"/>
          </w:tcPr>
          <w:p w14:paraId="5F7BE183" w14:textId="77777777" w:rsidR="00B47442" w:rsidRPr="0009445C" w:rsidRDefault="00B47442" w:rsidP="0099521D">
            <w:pPr>
              <w:pStyle w:val="BRL-Tabelle"/>
              <w:spacing w:before="60" w:after="40"/>
              <w:jc w:val="center"/>
              <w:rPr>
                <w:sz w:val="16"/>
              </w:rPr>
            </w:pPr>
          </w:p>
        </w:tc>
        <w:tc>
          <w:tcPr>
            <w:tcW w:w="426" w:type="dxa"/>
            <w:vAlign w:val="center"/>
          </w:tcPr>
          <w:p w14:paraId="2E875953" w14:textId="77777777" w:rsidR="00B47442" w:rsidRPr="0009445C" w:rsidRDefault="00B47442" w:rsidP="0099521D">
            <w:pPr>
              <w:pStyle w:val="BRL-Tabelle"/>
              <w:spacing w:before="60" w:after="40"/>
              <w:jc w:val="center"/>
              <w:rPr>
                <w:sz w:val="16"/>
              </w:rPr>
            </w:pPr>
          </w:p>
        </w:tc>
        <w:tc>
          <w:tcPr>
            <w:tcW w:w="433" w:type="dxa"/>
            <w:vAlign w:val="center"/>
          </w:tcPr>
          <w:p w14:paraId="197A8CDD" w14:textId="77777777" w:rsidR="00B47442" w:rsidRPr="0009445C" w:rsidRDefault="00B47442" w:rsidP="0099521D">
            <w:pPr>
              <w:pStyle w:val="BRL-Tabelle"/>
              <w:spacing w:before="60" w:after="40"/>
              <w:jc w:val="center"/>
              <w:rPr>
                <w:sz w:val="16"/>
              </w:rPr>
            </w:pPr>
          </w:p>
        </w:tc>
        <w:tc>
          <w:tcPr>
            <w:tcW w:w="426" w:type="dxa"/>
            <w:vAlign w:val="center"/>
          </w:tcPr>
          <w:p w14:paraId="0D7AA73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56ECEC4" w14:textId="77777777" w:rsidR="00B47442" w:rsidRPr="0009445C" w:rsidRDefault="00B47442" w:rsidP="0099521D">
            <w:pPr>
              <w:pStyle w:val="BRL-Tabelle"/>
              <w:spacing w:before="60" w:after="40"/>
              <w:jc w:val="center"/>
              <w:rPr>
                <w:sz w:val="16"/>
              </w:rPr>
            </w:pPr>
          </w:p>
        </w:tc>
        <w:tc>
          <w:tcPr>
            <w:tcW w:w="426" w:type="dxa"/>
            <w:vAlign w:val="center"/>
          </w:tcPr>
          <w:p w14:paraId="76FEF57D" w14:textId="77777777" w:rsidR="00B47442" w:rsidRPr="0009445C" w:rsidRDefault="00B47442" w:rsidP="0099521D">
            <w:pPr>
              <w:pStyle w:val="BRL-Tabelle"/>
              <w:spacing w:before="60" w:after="40"/>
              <w:jc w:val="center"/>
              <w:rPr>
                <w:sz w:val="16"/>
              </w:rPr>
            </w:pPr>
          </w:p>
        </w:tc>
        <w:tc>
          <w:tcPr>
            <w:tcW w:w="427" w:type="dxa"/>
            <w:vAlign w:val="center"/>
          </w:tcPr>
          <w:p w14:paraId="2E1CB6C5" w14:textId="77777777" w:rsidR="00B47442" w:rsidRPr="0009445C" w:rsidRDefault="00B47442" w:rsidP="0099521D">
            <w:pPr>
              <w:pStyle w:val="BRL-Tabelle"/>
              <w:spacing w:before="60" w:after="40"/>
              <w:jc w:val="center"/>
              <w:rPr>
                <w:sz w:val="16"/>
              </w:rPr>
            </w:pPr>
          </w:p>
        </w:tc>
      </w:tr>
      <w:tr w:rsidR="00B47442" w:rsidRPr="0009445C" w14:paraId="3ABA9D6C" w14:textId="77777777" w:rsidTr="0099521D">
        <w:trPr>
          <w:trHeight w:val="264"/>
        </w:trPr>
        <w:tc>
          <w:tcPr>
            <w:tcW w:w="2355" w:type="dxa"/>
            <w:gridSpan w:val="2"/>
          </w:tcPr>
          <w:p w14:paraId="7256298A" w14:textId="77777777" w:rsidR="00B47442" w:rsidRPr="0009445C" w:rsidRDefault="00B47442" w:rsidP="0099521D">
            <w:pPr>
              <w:pStyle w:val="BRL-Tabelle"/>
              <w:spacing w:before="60" w:after="40"/>
            </w:pPr>
            <w:r w:rsidRPr="0009445C">
              <w:t>Materials, manufacture and execution</w:t>
            </w:r>
          </w:p>
        </w:tc>
        <w:tc>
          <w:tcPr>
            <w:tcW w:w="427" w:type="dxa"/>
            <w:vAlign w:val="center"/>
          </w:tcPr>
          <w:p w14:paraId="6E848CBD" w14:textId="77777777" w:rsidR="00B47442" w:rsidRPr="0009445C" w:rsidRDefault="00B47442" w:rsidP="0099521D">
            <w:pPr>
              <w:pStyle w:val="BRL-Tabelle"/>
              <w:spacing w:before="60" w:after="40"/>
              <w:jc w:val="center"/>
              <w:rPr>
                <w:sz w:val="16"/>
              </w:rPr>
            </w:pPr>
          </w:p>
        </w:tc>
        <w:tc>
          <w:tcPr>
            <w:tcW w:w="427" w:type="dxa"/>
            <w:vAlign w:val="center"/>
          </w:tcPr>
          <w:p w14:paraId="6E18275E" w14:textId="77777777" w:rsidR="00B47442" w:rsidRPr="0009445C" w:rsidRDefault="00B47442" w:rsidP="0099521D">
            <w:pPr>
              <w:pStyle w:val="BRL-Tabelle"/>
              <w:spacing w:before="60" w:after="40"/>
              <w:jc w:val="center"/>
              <w:rPr>
                <w:sz w:val="16"/>
              </w:rPr>
            </w:pPr>
          </w:p>
        </w:tc>
        <w:tc>
          <w:tcPr>
            <w:tcW w:w="426" w:type="dxa"/>
            <w:vAlign w:val="center"/>
          </w:tcPr>
          <w:p w14:paraId="2FAB32F7"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5CF0446" w14:textId="77777777" w:rsidR="00B47442" w:rsidRPr="0009445C" w:rsidRDefault="00B47442" w:rsidP="0099521D">
            <w:pPr>
              <w:pStyle w:val="BRL-Tabelle"/>
              <w:spacing w:before="60" w:after="40"/>
              <w:jc w:val="center"/>
              <w:rPr>
                <w:sz w:val="16"/>
              </w:rPr>
            </w:pPr>
          </w:p>
        </w:tc>
        <w:tc>
          <w:tcPr>
            <w:tcW w:w="425" w:type="dxa"/>
            <w:vAlign w:val="center"/>
          </w:tcPr>
          <w:p w14:paraId="01E3C368" w14:textId="77777777" w:rsidR="00B47442" w:rsidRPr="0009445C" w:rsidRDefault="00B47442" w:rsidP="0099521D">
            <w:pPr>
              <w:pStyle w:val="BRL-Tabelle"/>
              <w:spacing w:before="60" w:after="40"/>
              <w:jc w:val="center"/>
              <w:rPr>
                <w:sz w:val="16"/>
              </w:rPr>
            </w:pPr>
          </w:p>
        </w:tc>
        <w:tc>
          <w:tcPr>
            <w:tcW w:w="426" w:type="dxa"/>
            <w:vAlign w:val="center"/>
          </w:tcPr>
          <w:p w14:paraId="19CC1552" w14:textId="77777777" w:rsidR="00B47442" w:rsidRPr="0009445C" w:rsidRDefault="00B47442" w:rsidP="0099521D">
            <w:pPr>
              <w:pStyle w:val="BRL-Tabelle"/>
              <w:spacing w:before="60" w:after="40"/>
              <w:jc w:val="center"/>
              <w:rPr>
                <w:sz w:val="16"/>
              </w:rPr>
            </w:pPr>
          </w:p>
        </w:tc>
        <w:tc>
          <w:tcPr>
            <w:tcW w:w="428" w:type="dxa"/>
            <w:vAlign w:val="center"/>
          </w:tcPr>
          <w:p w14:paraId="455AA888" w14:textId="77777777" w:rsidR="00B47442" w:rsidRPr="0009445C" w:rsidRDefault="00B47442" w:rsidP="0099521D">
            <w:pPr>
              <w:pStyle w:val="BRL-Tabelle"/>
              <w:spacing w:before="60" w:after="40"/>
              <w:jc w:val="center"/>
              <w:rPr>
                <w:sz w:val="16"/>
              </w:rPr>
            </w:pPr>
          </w:p>
        </w:tc>
        <w:tc>
          <w:tcPr>
            <w:tcW w:w="427" w:type="dxa"/>
            <w:vAlign w:val="center"/>
          </w:tcPr>
          <w:p w14:paraId="42004DA9" w14:textId="77777777" w:rsidR="00B47442" w:rsidRPr="0009445C" w:rsidRDefault="00B47442" w:rsidP="0099521D">
            <w:pPr>
              <w:pStyle w:val="BRL-Tabelle"/>
              <w:spacing w:before="60" w:after="40"/>
              <w:jc w:val="center"/>
              <w:rPr>
                <w:sz w:val="16"/>
              </w:rPr>
            </w:pPr>
          </w:p>
        </w:tc>
        <w:tc>
          <w:tcPr>
            <w:tcW w:w="426" w:type="dxa"/>
            <w:vAlign w:val="center"/>
          </w:tcPr>
          <w:p w14:paraId="20B02796" w14:textId="77777777" w:rsidR="00B47442" w:rsidRPr="0009445C" w:rsidRDefault="00B47442" w:rsidP="0099521D">
            <w:pPr>
              <w:pStyle w:val="BRL-Tabelle"/>
              <w:spacing w:before="60" w:after="40"/>
              <w:jc w:val="center"/>
              <w:rPr>
                <w:sz w:val="16"/>
              </w:rPr>
            </w:pPr>
          </w:p>
        </w:tc>
        <w:tc>
          <w:tcPr>
            <w:tcW w:w="426" w:type="dxa"/>
            <w:vAlign w:val="center"/>
          </w:tcPr>
          <w:p w14:paraId="20EB5B25" w14:textId="77777777" w:rsidR="00B47442" w:rsidRPr="0009445C" w:rsidRDefault="00B47442" w:rsidP="0099521D">
            <w:pPr>
              <w:pStyle w:val="BRL-Tabelle"/>
              <w:spacing w:before="60" w:after="40"/>
              <w:jc w:val="center"/>
              <w:rPr>
                <w:sz w:val="16"/>
              </w:rPr>
            </w:pPr>
          </w:p>
        </w:tc>
        <w:tc>
          <w:tcPr>
            <w:tcW w:w="426" w:type="dxa"/>
            <w:vAlign w:val="center"/>
          </w:tcPr>
          <w:p w14:paraId="00145005" w14:textId="77777777" w:rsidR="00B47442" w:rsidRPr="0009445C" w:rsidRDefault="00B47442" w:rsidP="0099521D">
            <w:pPr>
              <w:pStyle w:val="BRL-Tabelle"/>
              <w:spacing w:before="60" w:after="40"/>
              <w:jc w:val="center"/>
              <w:rPr>
                <w:sz w:val="16"/>
              </w:rPr>
            </w:pPr>
          </w:p>
        </w:tc>
        <w:tc>
          <w:tcPr>
            <w:tcW w:w="433" w:type="dxa"/>
            <w:vAlign w:val="center"/>
          </w:tcPr>
          <w:p w14:paraId="264E7E6C" w14:textId="77777777" w:rsidR="00B47442" w:rsidRPr="0009445C" w:rsidRDefault="00B47442" w:rsidP="0099521D">
            <w:pPr>
              <w:pStyle w:val="BRL-Tabelle"/>
              <w:spacing w:before="60" w:after="40"/>
              <w:jc w:val="center"/>
              <w:rPr>
                <w:sz w:val="16"/>
              </w:rPr>
            </w:pPr>
          </w:p>
        </w:tc>
        <w:tc>
          <w:tcPr>
            <w:tcW w:w="426" w:type="dxa"/>
            <w:vAlign w:val="center"/>
          </w:tcPr>
          <w:p w14:paraId="2C54CE54"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C7C2C81" w14:textId="77777777" w:rsidR="00B47442" w:rsidRPr="0009445C" w:rsidRDefault="00B47442" w:rsidP="0099521D">
            <w:pPr>
              <w:pStyle w:val="BRL-Tabelle"/>
              <w:spacing w:before="60" w:after="40"/>
              <w:jc w:val="center"/>
              <w:rPr>
                <w:sz w:val="16"/>
              </w:rPr>
            </w:pPr>
          </w:p>
        </w:tc>
        <w:tc>
          <w:tcPr>
            <w:tcW w:w="426" w:type="dxa"/>
            <w:vAlign w:val="center"/>
          </w:tcPr>
          <w:p w14:paraId="52C42F59" w14:textId="77777777" w:rsidR="00B47442" w:rsidRPr="0009445C" w:rsidRDefault="00B47442" w:rsidP="0099521D">
            <w:pPr>
              <w:pStyle w:val="BRL-Tabelle"/>
              <w:spacing w:before="60" w:after="40"/>
              <w:jc w:val="center"/>
              <w:rPr>
                <w:sz w:val="16"/>
              </w:rPr>
            </w:pPr>
          </w:p>
        </w:tc>
        <w:tc>
          <w:tcPr>
            <w:tcW w:w="427" w:type="dxa"/>
            <w:vAlign w:val="center"/>
          </w:tcPr>
          <w:p w14:paraId="4B59450B" w14:textId="77777777" w:rsidR="00B47442" w:rsidRPr="0009445C" w:rsidRDefault="00B47442" w:rsidP="0099521D">
            <w:pPr>
              <w:pStyle w:val="BRL-Tabelle"/>
              <w:spacing w:before="60" w:after="40"/>
              <w:jc w:val="center"/>
              <w:rPr>
                <w:sz w:val="16"/>
              </w:rPr>
            </w:pPr>
          </w:p>
        </w:tc>
      </w:tr>
      <w:tr w:rsidR="00B47442" w:rsidRPr="0009445C" w14:paraId="3F2A45BB" w14:textId="77777777" w:rsidTr="0099521D">
        <w:trPr>
          <w:trHeight w:val="264"/>
        </w:trPr>
        <w:tc>
          <w:tcPr>
            <w:tcW w:w="2355" w:type="dxa"/>
            <w:gridSpan w:val="2"/>
          </w:tcPr>
          <w:p w14:paraId="24361DB0" w14:textId="77777777" w:rsidR="00B47442" w:rsidRPr="0009445C" w:rsidRDefault="00B47442" w:rsidP="0099521D">
            <w:pPr>
              <w:pStyle w:val="BRL-Tabelle"/>
              <w:spacing w:before="60" w:after="40"/>
            </w:pPr>
            <w:r w:rsidRPr="0009445C">
              <w:t>Sound level</w:t>
            </w:r>
          </w:p>
        </w:tc>
        <w:tc>
          <w:tcPr>
            <w:tcW w:w="427" w:type="dxa"/>
            <w:vAlign w:val="center"/>
          </w:tcPr>
          <w:p w14:paraId="4B1DC087" w14:textId="77777777" w:rsidR="00B47442" w:rsidRPr="0009445C" w:rsidRDefault="00B47442" w:rsidP="0099521D">
            <w:pPr>
              <w:pStyle w:val="BRL-Tabelle"/>
              <w:spacing w:before="60" w:after="40"/>
              <w:jc w:val="center"/>
              <w:rPr>
                <w:sz w:val="16"/>
              </w:rPr>
            </w:pPr>
          </w:p>
        </w:tc>
        <w:tc>
          <w:tcPr>
            <w:tcW w:w="427" w:type="dxa"/>
            <w:vAlign w:val="center"/>
          </w:tcPr>
          <w:p w14:paraId="4F6FE1D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237FD67" w14:textId="77777777" w:rsidR="00B47442" w:rsidRPr="0009445C" w:rsidRDefault="00B47442" w:rsidP="0099521D">
            <w:pPr>
              <w:pStyle w:val="BRL-Tabelle"/>
              <w:spacing w:before="60" w:after="40"/>
              <w:jc w:val="center"/>
              <w:rPr>
                <w:sz w:val="16"/>
              </w:rPr>
            </w:pPr>
          </w:p>
        </w:tc>
        <w:tc>
          <w:tcPr>
            <w:tcW w:w="427" w:type="dxa"/>
            <w:vAlign w:val="center"/>
          </w:tcPr>
          <w:p w14:paraId="09011B68" w14:textId="77777777" w:rsidR="00B47442" w:rsidRPr="0009445C" w:rsidRDefault="00B47442" w:rsidP="0099521D">
            <w:pPr>
              <w:pStyle w:val="BRL-Tabelle"/>
              <w:spacing w:before="60" w:after="40"/>
              <w:jc w:val="center"/>
              <w:rPr>
                <w:sz w:val="16"/>
              </w:rPr>
            </w:pPr>
          </w:p>
        </w:tc>
        <w:tc>
          <w:tcPr>
            <w:tcW w:w="425" w:type="dxa"/>
            <w:vAlign w:val="center"/>
          </w:tcPr>
          <w:p w14:paraId="0A852719" w14:textId="77777777" w:rsidR="00B47442" w:rsidRPr="0009445C" w:rsidRDefault="00B47442" w:rsidP="0099521D">
            <w:pPr>
              <w:pStyle w:val="BRL-Tabelle"/>
              <w:spacing w:before="60" w:after="40"/>
              <w:jc w:val="center"/>
              <w:rPr>
                <w:sz w:val="16"/>
              </w:rPr>
            </w:pPr>
          </w:p>
        </w:tc>
        <w:tc>
          <w:tcPr>
            <w:tcW w:w="426" w:type="dxa"/>
            <w:vAlign w:val="center"/>
          </w:tcPr>
          <w:p w14:paraId="3139940B" w14:textId="77777777" w:rsidR="00B47442" w:rsidRPr="0009445C" w:rsidRDefault="00B47442" w:rsidP="0099521D">
            <w:pPr>
              <w:pStyle w:val="BRL-Tabelle"/>
              <w:spacing w:before="60" w:after="40"/>
              <w:jc w:val="center"/>
              <w:rPr>
                <w:sz w:val="16"/>
              </w:rPr>
            </w:pPr>
          </w:p>
        </w:tc>
        <w:tc>
          <w:tcPr>
            <w:tcW w:w="428" w:type="dxa"/>
            <w:vAlign w:val="center"/>
          </w:tcPr>
          <w:p w14:paraId="08F1390D" w14:textId="77777777" w:rsidR="00B47442" w:rsidRPr="0009445C" w:rsidRDefault="00B47442" w:rsidP="0099521D">
            <w:pPr>
              <w:pStyle w:val="BRL-Tabelle"/>
              <w:spacing w:before="60" w:after="40"/>
              <w:jc w:val="center"/>
              <w:rPr>
                <w:sz w:val="16"/>
              </w:rPr>
            </w:pPr>
          </w:p>
        </w:tc>
        <w:tc>
          <w:tcPr>
            <w:tcW w:w="427" w:type="dxa"/>
            <w:vAlign w:val="center"/>
          </w:tcPr>
          <w:p w14:paraId="29264D0A" w14:textId="77777777" w:rsidR="00B47442" w:rsidRPr="0009445C" w:rsidRDefault="00B47442" w:rsidP="0099521D">
            <w:pPr>
              <w:pStyle w:val="BRL-Tabelle"/>
              <w:spacing w:before="60" w:after="40"/>
              <w:jc w:val="center"/>
              <w:rPr>
                <w:sz w:val="16"/>
              </w:rPr>
            </w:pPr>
          </w:p>
        </w:tc>
        <w:tc>
          <w:tcPr>
            <w:tcW w:w="426" w:type="dxa"/>
            <w:vAlign w:val="center"/>
          </w:tcPr>
          <w:p w14:paraId="3D663DA4" w14:textId="77777777" w:rsidR="00B47442" w:rsidRPr="0009445C" w:rsidRDefault="00B47442" w:rsidP="0099521D">
            <w:pPr>
              <w:pStyle w:val="BRL-Tabelle"/>
              <w:spacing w:before="60" w:after="40"/>
              <w:jc w:val="center"/>
              <w:rPr>
                <w:sz w:val="16"/>
              </w:rPr>
            </w:pPr>
          </w:p>
        </w:tc>
        <w:tc>
          <w:tcPr>
            <w:tcW w:w="426" w:type="dxa"/>
            <w:vAlign w:val="center"/>
          </w:tcPr>
          <w:p w14:paraId="1657A196" w14:textId="77777777" w:rsidR="00B47442" w:rsidRPr="0009445C" w:rsidRDefault="00B47442" w:rsidP="0099521D">
            <w:pPr>
              <w:pStyle w:val="BRL-Tabelle"/>
              <w:spacing w:before="60" w:after="40"/>
              <w:jc w:val="center"/>
              <w:rPr>
                <w:sz w:val="16"/>
              </w:rPr>
            </w:pPr>
          </w:p>
        </w:tc>
        <w:tc>
          <w:tcPr>
            <w:tcW w:w="426" w:type="dxa"/>
            <w:vAlign w:val="center"/>
          </w:tcPr>
          <w:p w14:paraId="3ADEA546" w14:textId="77777777" w:rsidR="00B47442" w:rsidRPr="0009445C" w:rsidRDefault="00B47442" w:rsidP="0099521D">
            <w:pPr>
              <w:pStyle w:val="BRL-Tabelle"/>
              <w:spacing w:before="60" w:after="40"/>
              <w:jc w:val="center"/>
              <w:rPr>
                <w:sz w:val="16"/>
              </w:rPr>
            </w:pPr>
          </w:p>
        </w:tc>
        <w:tc>
          <w:tcPr>
            <w:tcW w:w="433" w:type="dxa"/>
            <w:vAlign w:val="center"/>
          </w:tcPr>
          <w:p w14:paraId="0A774799" w14:textId="77777777" w:rsidR="00B47442" w:rsidRPr="0009445C" w:rsidRDefault="00B47442" w:rsidP="0099521D">
            <w:pPr>
              <w:pStyle w:val="BRL-Tabelle"/>
              <w:spacing w:before="60" w:after="40"/>
              <w:jc w:val="center"/>
              <w:rPr>
                <w:sz w:val="16"/>
              </w:rPr>
            </w:pPr>
          </w:p>
        </w:tc>
        <w:tc>
          <w:tcPr>
            <w:tcW w:w="426" w:type="dxa"/>
            <w:vAlign w:val="center"/>
          </w:tcPr>
          <w:p w14:paraId="1D0271E8" w14:textId="77777777" w:rsidR="00B47442" w:rsidRPr="0009445C" w:rsidRDefault="00B47442" w:rsidP="0099521D">
            <w:pPr>
              <w:pStyle w:val="BRL-Tabelle"/>
              <w:spacing w:before="60" w:after="40"/>
              <w:jc w:val="center"/>
              <w:rPr>
                <w:sz w:val="16"/>
              </w:rPr>
            </w:pPr>
          </w:p>
        </w:tc>
        <w:tc>
          <w:tcPr>
            <w:tcW w:w="427" w:type="dxa"/>
            <w:vAlign w:val="center"/>
          </w:tcPr>
          <w:p w14:paraId="01D8830A" w14:textId="77777777" w:rsidR="00B47442" w:rsidRPr="0009445C" w:rsidRDefault="00B47442" w:rsidP="0099521D">
            <w:pPr>
              <w:pStyle w:val="BRL-Tabelle"/>
              <w:spacing w:before="60" w:after="40"/>
              <w:jc w:val="center"/>
              <w:rPr>
                <w:sz w:val="16"/>
              </w:rPr>
            </w:pPr>
          </w:p>
        </w:tc>
        <w:tc>
          <w:tcPr>
            <w:tcW w:w="426" w:type="dxa"/>
            <w:vAlign w:val="center"/>
          </w:tcPr>
          <w:p w14:paraId="6A27BB1F" w14:textId="77777777" w:rsidR="00B47442" w:rsidRPr="0009445C" w:rsidRDefault="00B47442" w:rsidP="0099521D">
            <w:pPr>
              <w:pStyle w:val="BRL-Tabelle"/>
              <w:spacing w:before="60" w:after="40"/>
              <w:jc w:val="center"/>
              <w:rPr>
                <w:sz w:val="16"/>
              </w:rPr>
            </w:pPr>
          </w:p>
        </w:tc>
        <w:tc>
          <w:tcPr>
            <w:tcW w:w="427" w:type="dxa"/>
            <w:vAlign w:val="center"/>
          </w:tcPr>
          <w:p w14:paraId="11427FB7" w14:textId="77777777" w:rsidR="00B47442" w:rsidRPr="0009445C" w:rsidRDefault="00B47442" w:rsidP="0099521D">
            <w:pPr>
              <w:pStyle w:val="BRL-Tabelle"/>
              <w:spacing w:before="60" w:after="40"/>
              <w:jc w:val="center"/>
              <w:rPr>
                <w:sz w:val="16"/>
              </w:rPr>
            </w:pPr>
          </w:p>
        </w:tc>
      </w:tr>
      <w:tr w:rsidR="00B47442" w:rsidRPr="0009445C" w14:paraId="75435BC7" w14:textId="77777777" w:rsidTr="0099521D">
        <w:trPr>
          <w:trHeight w:val="264"/>
        </w:trPr>
        <w:tc>
          <w:tcPr>
            <w:tcW w:w="2355" w:type="dxa"/>
            <w:gridSpan w:val="2"/>
          </w:tcPr>
          <w:p w14:paraId="53C1DDE4" w14:textId="77777777" w:rsidR="00B47442" w:rsidRPr="0009445C" w:rsidRDefault="00B47442" w:rsidP="0099521D">
            <w:pPr>
              <w:pStyle w:val="BRL-Tabelle"/>
              <w:spacing w:before="60" w:after="40"/>
            </w:pPr>
            <w:r w:rsidRPr="0009445C">
              <w:t>Frequency and sound form</w:t>
            </w:r>
          </w:p>
        </w:tc>
        <w:tc>
          <w:tcPr>
            <w:tcW w:w="427" w:type="dxa"/>
            <w:vAlign w:val="center"/>
          </w:tcPr>
          <w:p w14:paraId="4F6A4E31" w14:textId="77777777" w:rsidR="00B47442" w:rsidRPr="0009445C" w:rsidRDefault="00B47442" w:rsidP="0099521D">
            <w:pPr>
              <w:pStyle w:val="BRL-Tabelle"/>
              <w:spacing w:before="60" w:after="40"/>
              <w:jc w:val="center"/>
              <w:rPr>
                <w:sz w:val="16"/>
              </w:rPr>
            </w:pPr>
          </w:p>
        </w:tc>
        <w:tc>
          <w:tcPr>
            <w:tcW w:w="427" w:type="dxa"/>
            <w:vAlign w:val="center"/>
          </w:tcPr>
          <w:p w14:paraId="3C4689E3"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924AC5E" w14:textId="77777777" w:rsidR="00B47442" w:rsidRPr="0009445C" w:rsidRDefault="00B47442" w:rsidP="0099521D">
            <w:pPr>
              <w:pStyle w:val="BRL-Tabelle"/>
              <w:spacing w:before="60" w:after="40"/>
              <w:jc w:val="center"/>
              <w:rPr>
                <w:sz w:val="16"/>
              </w:rPr>
            </w:pPr>
          </w:p>
        </w:tc>
        <w:tc>
          <w:tcPr>
            <w:tcW w:w="427" w:type="dxa"/>
            <w:vAlign w:val="center"/>
          </w:tcPr>
          <w:p w14:paraId="0EF5895D" w14:textId="77777777" w:rsidR="00B47442" w:rsidRPr="0009445C" w:rsidRDefault="00B47442" w:rsidP="0099521D">
            <w:pPr>
              <w:pStyle w:val="BRL-Tabelle"/>
              <w:spacing w:before="60" w:after="40"/>
              <w:jc w:val="center"/>
              <w:rPr>
                <w:sz w:val="16"/>
              </w:rPr>
            </w:pPr>
          </w:p>
        </w:tc>
        <w:tc>
          <w:tcPr>
            <w:tcW w:w="425" w:type="dxa"/>
            <w:vAlign w:val="center"/>
          </w:tcPr>
          <w:p w14:paraId="7CA367F5" w14:textId="77777777" w:rsidR="00B47442" w:rsidRPr="0009445C" w:rsidRDefault="00B47442" w:rsidP="0099521D">
            <w:pPr>
              <w:pStyle w:val="BRL-Tabelle"/>
              <w:spacing w:before="60" w:after="40"/>
              <w:jc w:val="center"/>
              <w:rPr>
                <w:sz w:val="16"/>
              </w:rPr>
            </w:pPr>
          </w:p>
        </w:tc>
        <w:tc>
          <w:tcPr>
            <w:tcW w:w="426" w:type="dxa"/>
            <w:vAlign w:val="center"/>
          </w:tcPr>
          <w:p w14:paraId="23D82488" w14:textId="77777777" w:rsidR="00B47442" w:rsidRPr="0009445C" w:rsidRDefault="00B47442" w:rsidP="0099521D">
            <w:pPr>
              <w:pStyle w:val="BRL-Tabelle"/>
              <w:spacing w:before="60" w:after="40"/>
              <w:jc w:val="center"/>
              <w:rPr>
                <w:sz w:val="16"/>
              </w:rPr>
            </w:pPr>
          </w:p>
        </w:tc>
        <w:tc>
          <w:tcPr>
            <w:tcW w:w="428" w:type="dxa"/>
            <w:vAlign w:val="center"/>
          </w:tcPr>
          <w:p w14:paraId="35FE3911" w14:textId="77777777" w:rsidR="00B47442" w:rsidRPr="0009445C" w:rsidRDefault="00B47442" w:rsidP="0099521D">
            <w:pPr>
              <w:pStyle w:val="BRL-Tabelle"/>
              <w:spacing w:before="60" w:after="40"/>
              <w:jc w:val="center"/>
              <w:rPr>
                <w:sz w:val="16"/>
              </w:rPr>
            </w:pPr>
          </w:p>
        </w:tc>
        <w:tc>
          <w:tcPr>
            <w:tcW w:w="427" w:type="dxa"/>
            <w:vAlign w:val="center"/>
          </w:tcPr>
          <w:p w14:paraId="74E01BD6" w14:textId="77777777" w:rsidR="00B47442" w:rsidRPr="0009445C" w:rsidRDefault="00B47442" w:rsidP="0099521D">
            <w:pPr>
              <w:pStyle w:val="BRL-Tabelle"/>
              <w:spacing w:before="60" w:after="40"/>
              <w:jc w:val="center"/>
              <w:rPr>
                <w:sz w:val="16"/>
              </w:rPr>
            </w:pPr>
          </w:p>
        </w:tc>
        <w:tc>
          <w:tcPr>
            <w:tcW w:w="426" w:type="dxa"/>
            <w:vAlign w:val="center"/>
          </w:tcPr>
          <w:p w14:paraId="5498D8B4" w14:textId="77777777" w:rsidR="00B47442" w:rsidRPr="0009445C" w:rsidRDefault="00B47442" w:rsidP="0099521D">
            <w:pPr>
              <w:pStyle w:val="BRL-Tabelle"/>
              <w:spacing w:before="60" w:after="40"/>
              <w:jc w:val="center"/>
              <w:rPr>
                <w:sz w:val="16"/>
              </w:rPr>
            </w:pPr>
          </w:p>
        </w:tc>
        <w:tc>
          <w:tcPr>
            <w:tcW w:w="426" w:type="dxa"/>
            <w:vAlign w:val="center"/>
          </w:tcPr>
          <w:p w14:paraId="06BE43E4" w14:textId="77777777" w:rsidR="00B47442" w:rsidRPr="0009445C" w:rsidRDefault="00B47442" w:rsidP="0099521D">
            <w:pPr>
              <w:pStyle w:val="BRL-Tabelle"/>
              <w:spacing w:before="60" w:after="40"/>
              <w:jc w:val="center"/>
              <w:rPr>
                <w:sz w:val="16"/>
              </w:rPr>
            </w:pPr>
          </w:p>
        </w:tc>
        <w:tc>
          <w:tcPr>
            <w:tcW w:w="426" w:type="dxa"/>
            <w:vAlign w:val="center"/>
          </w:tcPr>
          <w:p w14:paraId="4C3F34C7" w14:textId="77777777" w:rsidR="00B47442" w:rsidRPr="0009445C" w:rsidRDefault="00B47442" w:rsidP="0099521D">
            <w:pPr>
              <w:pStyle w:val="BRL-Tabelle"/>
              <w:spacing w:before="60" w:after="40"/>
              <w:jc w:val="center"/>
              <w:rPr>
                <w:sz w:val="16"/>
              </w:rPr>
            </w:pPr>
          </w:p>
        </w:tc>
        <w:tc>
          <w:tcPr>
            <w:tcW w:w="433" w:type="dxa"/>
            <w:vAlign w:val="center"/>
          </w:tcPr>
          <w:p w14:paraId="2FD8A3EA" w14:textId="77777777" w:rsidR="00B47442" w:rsidRPr="0009445C" w:rsidRDefault="00B47442" w:rsidP="0099521D">
            <w:pPr>
              <w:pStyle w:val="BRL-Tabelle"/>
              <w:spacing w:before="60" w:after="40"/>
              <w:jc w:val="center"/>
              <w:rPr>
                <w:sz w:val="16"/>
              </w:rPr>
            </w:pPr>
          </w:p>
        </w:tc>
        <w:tc>
          <w:tcPr>
            <w:tcW w:w="426" w:type="dxa"/>
            <w:vAlign w:val="center"/>
          </w:tcPr>
          <w:p w14:paraId="251517E2" w14:textId="77777777" w:rsidR="00B47442" w:rsidRPr="0009445C" w:rsidRDefault="00B47442" w:rsidP="0099521D">
            <w:pPr>
              <w:pStyle w:val="BRL-Tabelle"/>
              <w:spacing w:before="60" w:after="40"/>
              <w:jc w:val="center"/>
              <w:rPr>
                <w:sz w:val="16"/>
              </w:rPr>
            </w:pPr>
          </w:p>
        </w:tc>
        <w:tc>
          <w:tcPr>
            <w:tcW w:w="427" w:type="dxa"/>
            <w:vAlign w:val="center"/>
          </w:tcPr>
          <w:p w14:paraId="354204B5" w14:textId="77777777" w:rsidR="00B47442" w:rsidRPr="0009445C" w:rsidRDefault="00B47442" w:rsidP="0099521D">
            <w:pPr>
              <w:pStyle w:val="BRL-Tabelle"/>
              <w:spacing w:before="60" w:after="40"/>
              <w:jc w:val="center"/>
              <w:rPr>
                <w:sz w:val="16"/>
              </w:rPr>
            </w:pPr>
          </w:p>
        </w:tc>
        <w:tc>
          <w:tcPr>
            <w:tcW w:w="426" w:type="dxa"/>
            <w:vAlign w:val="center"/>
          </w:tcPr>
          <w:p w14:paraId="40BB51CB" w14:textId="77777777" w:rsidR="00B47442" w:rsidRPr="0009445C" w:rsidRDefault="00B47442" w:rsidP="0099521D">
            <w:pPr>
              <w:pStyle w:val="BRL-Tabelle"/>
              <w:spacing w:before="60" w:after="40"/>
              <w:jc w:val="center"/>
              <w:rPr>
                <w:sz w:val="16"/>
              </w:rPr>
            </w:pPr>
          </w:p>
        </w:tc>
        <w:tc>
          <w:tcPr>
            <w:tcW w:w="427" w:type="dxa"/>
            <w:vAlign w:val="center"/>
          </w:tcPr>
          <w:p w14:paraId="6D3DC1DE" w14:textId="77777777" w:rsidR="00B47442" w:rsidRPr="0009445C" w:rsidRDefault="00B47442" w:rsidP="0099521D">
            <w:pPr>
              <w:pStyle w:val="BRL-Tabelle"/>
              <w:spacing w:before="60" w:after="40"/>
              <w:jc w:val="center"/>
              <w:rPr>
                <w:sz w:val="16"/>
              </w:rPr>
            </w:pPr>
          </w:p>
        </w:tc>
      </w:tr>
      <w:tr w:rsidR="00B47442" w:rsidRPr="0009445C" w14:paraId="03BE3075" w14:textId="77777777" w:rsidTr="0099521D">
        <w:trPr>
          <w:trHeight w:val="264"/>
        </w:trPr>
        <w:tc>
          <w:tcPr>
            <w:tcW w:w="2355" w:type="dxa"/>
            <w:gridSpan w:val="2"/>
          </w:tcPr>
          <w:p w14:paraId="3424E47E" w14:textId="77777777" w:rsidR="00B47442" w:rsidRPr="0009445C" w:rsidRDefault="00B47442" w:rsidP="0099521D">
            <w:pPr>
              <w:pStyle w:val="BRL-Tabelle"/>
              <w:spacing w:before="60" w:after="40"/>
            </w:pPr>
            <w:r w:rsidRPr="0009445C">
              <w:t>Spread between samples</w:t>
            </w:r>
          </w:p>
        </w:tc>
        <w:tc>
          <w:tcPr>
            <w:tcW w:w="427" w:type="dxa"/>
            <w:vAlign w:val="center"/>
          </w:tcPr>
          <w:p w14:paraId="065E91B7" w14:textId="77777777" w:rsidR="00B47442" w:rsidRPr="0009445C" w:rsidRDefault="00B47442" w:rsidP="0099521D">
            <w:pPr>
              <w:pStyle w:val="BRL-Tabelle"/>
              <w:spacing w:before="60" w:after="40"/>
              <w:jc w:val="center"/>
              <w:rPr>
                <w:sz w:val="16"/>
              </w:rPr>
            </w:pPr>
          </w:p>
        </w:tc>
        <w:tc>
          <w:tcPr>
            <w:tcW w:w="427" w:type="dxa"/>
            <w:vAlign w:val="center"/>
          </w:tcPr>
          <w:p w14:paraId="7508C81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CF0CD14" w14:textId="77777777" w:rsidR="00B47442" w:rsidRPr="0009445C" w:rsidRDefault="00B47442" w:rsidP="0099521D">
            <w:pPr>
              <w:pStyle w:val="BRL-Tabelle"/>
              <w:spacing w:before="60" w:after="40"/>
              <w:jc w:val="center"/>
              <w:rPr>
                <w:sz w:val="16"/>
              </w:rPr>
            </w:pPr>
          </w:p>
        </w:tc>
        <w:tc>
          <w:tcPr>
            <w:tcW w:w="427" w:type="dxa"/>
            <w:vAlign w:val="center"/>
          </w:tcPr>
          <w:p w14:paraId="6CF8776B"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130A272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78CD093"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402A3CDE" w14:textId="77777777" w:rsidR="00B47442" w:rsidRPr="0009445C" w:rsidRDefault="00B47442" w:rsidP="0099521D">
            <w:pPr>
              <w:pStyle w:val="BRL-Tabelle"/>
              <w:spacing w:before="60" w:after="40"/>
              <w:jc w:val="center"/>
              <w:rPr>
                <w:sz w:val="16"/>
              </w:rPr>
            </w:pPr>
          </w:p>
        </w:tc>
        <w:tc>
          <w:tcPr>
            <w:tcW w:w="427" w:type="dxa"/>
            <w:vAlign w:val="center"/>
          </w:tcPr>
          <w:p w14:paraId="2F6DE39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5C11AFB" w14:textId="77777777" w:rsidR="00B47442" w:rsidRPr="0009445C" w:rsidRDefault="00B47442" w:rsidP="0099521D">
            <w:pPr>
              <w:pStyle w:val="BRL-Tabelle"/>
              <w:spacing w:before="60" w:after="40"/>
              <w:jc w:val="center"/>
              <w:rPr>
                <w:sz w:val="16"/>
              </w:rPr>
            </w:pPr>
          </w:p>
        </w:tc>
        <w:tc>
          <w:tcPr>
            <w:tcW w:w="426" w:type="dxa"/>
            <w:vAlign w:val="center"/>
          </w:tcPr>
          <w:p w14:paraId="7C34E413"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41EA564" w14:textId="77777777" w:rsidR="00B47442" w:rsidRPr="0009445C" w:rsidRDefault="00B47442" w:rsidP="0099521D">
            <w:pPr>
              <w:pStyle w:val="BRL-Tabelle"/>
              <w:spacing w:before="60" w:after="40"/>
              <w:jc w:val="center"/>
              <w:rPr>
                <w:sz w:val="16"/>
              </w:rPr>
            </w:pPr>
          </w:p>
        </w:tc>
        <w:tc>
          <w:tcPr>
            <w:tcW w:w="433" w:type="dxa"/>
            <w:vAlign w:val="center"/>
          </w:tcPr>
          <w:p w14:paraId="76BBA3C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787CB56" w14:textId="77777777" w:rsidR="00B47442" w:rsidRPr="0009445C" w:rsidRDefault="00B47442" w:rsidP="0099521D">
            <w:pPr>
              <w:pStyle w:val="BRL-Tabelle"/>
              <w:spacing w:before="60" w:after="40"/>
              <w:jc w:val="center"/>
              <w:rPr>
                <w:sz w:val="16"/>
              </w:rPr>
            </w:pPr>
          </w:p>
        </w:tc>
        <w:tc>
          <w:tcPr>
            <w:tcW w:w="427" w:type="dxa"/>
            <w:vAlign w:val="center"/>
          </w:tcPr>
          <w:p w14:paraId="4F907064" w14:textId="77777777" w:rsidR="00B47442" w:rsidRPr="0009445C" w:rsidRDefault="00B47442" w:rsidP="0099521D">
            <w:pPr>
              <w:pStyle w:val="BRL-Tabelle"/>
              <w:spacing w:before="60" w:after="40"/>
              <w:jc w:val="center"/>
              <w:rPr>
                <w:sz w:val="16"/>
              </w:rPr>
            </w:pPr>
          </w:p>
        </w:tc>
        <w:tc>
          <w:tcPr>
            <w:tcW w:w="426" w:type="dxa"/>
            <w:vAlign w:val="center"/>
          </w:tcPr>
          <w:p w14:paraId="7334977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3A3F36B" w14:textId="77777777" w:rsidR="00B47442" w:rsidRPr="0009445C" w:rsidRDefault="00B47442" w:rsidP="0099521D">
            <w:pPr>
              <w:pStyle w:val="BRL-Tabelle"/>
              <w:spacing w:before="60" w:after="40"/>
              <w:jc w:val="center"/>
              <w:rPr>
                <w:sz w:val="16"/>
              </w:rPr>
            </w:pPr>
          </w:p>
        </w:tc>
      </w:tr>
      <w:tr w:rsidR="00B47442" w:rsidRPr="0009445C" w14:paraId="3B5B1FF7" w14:textId="77777777" w:rsidTr="0099521D">
        <w:trPr>
          <w:trHeight w:val="264"/>
        </w:trPr>
        <w:tc>
          <w:tcPr>
            <w:tcW w:w="2355" w:type="dxa"/>
            <w:gridSpan w:val="2"/>
          </w:tcPr>
          <w:p w14:paraId="3255B127" w14:textId="77777777" w:rsidR="00B47442" w:rsidRPr="0009445C" w:rsidRDefault="00B47442" w:rsidP="0099521D">
            <w:pPr>
              <w:pStyle w:val="BRL-Tabelle"/>
              <w:spacing w:before="60" w:after="40"/>
            </w:pPr>
            <w:r w:rsidRPr="0009445C">
              <w:t>Function testing</w:t>
            </w:r>
          </w:p>
        </w:tc>
        <w:tc>
          <w:tcPr>
            <w:tcW w:w="427" w:type="dxa"/>
            <w:vAlign w:val="center"/>
          </w:tcPr>
          <w:p w14:paraId="1C79E4EF" w14:textId="77777777" w:rsidR="00B47442" w:rsidRPr="0009445C" w:rsidRDefault="00B47442" w:rsidP="0099521D">
            <w:pPr>
              <w:pStyle w:val="BRL-Tabelle"/>
              <w:spacing w:before="60" w:after="40"/>
              <w:jc w:val="center"/>
              <w:rPr>
                <w:sz w:val="16"/>
              </w:rPr>
            </w:pPr>
          </w:p>
        </w:tc>
        <w:tc>
          <w:tcPr>
            <w:tcW w:w="427" w:type="dxa"/>
            <w:vAlign w:val="center"/>
          </w:tcPr>
          <w:p w14:paraId="0B506E6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7A84D7F" w14:textId="77777777" w:rsidR="00B47442" w:rsidRPr="0009445C" w:rsidRDefault="00B47442" w:rsidP="0099521D">
            <w:pPr>
              <w:pStyle w:val="BRL-Tabelle"/>
              <w:spacing w:before="60" w:after="40"/>
              <w:jc w:val="center"/>
              <w:rPr>
                <w:sz w:val="16"/>
              </w:rPr>
            </w:pPr>
          </w:p>
        </w:tc>
        <w:tc>
          <w:tcPr>
            <w:tcW w:w="427" w:type="dxa"/>
            <w:vAlign w:val="center"/>
          </w:tcPr>
          <w:p w14:paraId="7EB1C013" w14:textId="77777777" w:rsidR="00B47442" w:rsidRPr="0009445C" w:rsidRDefault="00B47442" w:rsidP="0099521D">
            <w:pPr>
              <w:pStyle w:val="BRL-Tabelle"/>
              <w:spacing w:before="60" w:after="40"/>
              <w:jc w:val="center"/>
              <w:rPr>
                <w:sz w:val="16"/>
              </w:rPr>
            </w:pPr>
          </w:p>
        </w:tc>
        <w:tc>
          <w:tcPr>
            <w:tcW w:w="425" w:type="dxa"/>
            <w:vAlign w:val="center"/>
          </w:tcPr>
          <w:p w14:paraId="042288ED" w14:textId="77777777" w:rsidR="00B47442" w:rsidRPr="0009445C" w:rsidRDefault="00B47442" w:rsidP="0099521D">
            <w:pPr>
              <w:pStyle w:val="BRL-Tabelle"/>
              <w:spacing w:before="60" w:after="40"/>
              <w:jc w:val="center"/>
              <w:rPr>
                <w:sz w:val="16"/>
              </w:rPr>
            </w:pPr>
          </w:p>
        </w:tc>
        <w:tc>
          <w:tcPr>
            <w:tcW w:w="426" w:type="dxa"/>
            <w:vAlign w:val="center"/>
          </w:tcPr>
          <w:p w14:paraId="3BEB8E7E" w14:textId="77777777" w:rsidR="00B47442" w:rsidRPr="0009445C" w:rsidRDefault="00B47442" w:rsidP="0099521D">
            <w:pPr>
              <w:pStyle w:val="BRL-Tabelle"/>
              <w:spacing w:before="60" w:after="40"/>
              <w:jc w:val="center"/>
              <w:rPr>
                <w:sz w:val="16"/>
              </w:rPr>
            </w:pPr>
          </w:p>
        </w:tc>
        <w:tc>
          <w:tcPr>
            <w:tcW w:w="428" w:type="dxa"/>
            <w:vAlign w:val="center"/>
          </w:tcPr>
          <w:p w14:paraId="56C6398F" w14:textId="77777777" w:rsidR="00B47442" w:rsidRPr="0009445C" w:rsidRDefault="00B47442" w:rsidP="0099521D">
            <w:pPr>
              <w:pStyle w:val="BRL-Tabelle"/>
              <w:spacing w:before="60" w:after="40"/>
              <w:jc w:val="center"/>
              <w:rPr>
                <w:sz w:val="16"/>
              </w:rPr>
            </w:pPr>
          </w:p>
        </w:tc>
        <w:tc>
          <w:tcPr>
            <w:tcW w:w="427" w:type="dxa"/>
            <w:vAlign w:val="center"/>
          </w:tcPr>
          <w:p w14:paraId="0D9B0F39" w14:textId="77777777" w:rsidR="00B47442" w:rsidRPr="0009445C" w:rsidRDefault="00B47442" w:rsidP="0099521D">
            <w:pPr>
              <w:pStyle w:val="BRL-Tabelle"/>
              <w:spacing w:before="60" w:after="40"/>
              <w:jc w:val="center"/>
              <w:rPr>
                <w:sz w:val="16"/>
              </w:rPr>
            </w:pPr>
          </w:p>
        </w:tc>
        <w:tc>
          <w:tcPr>
            <w:tcW w:w="426" w:type="dxa"/>
            <w:vAlign w:val="center"/>
          </w:tcPr>
          <w:p w14:paraId="10A3C33E" w14:textId="77777777" w:rsidR="00B47442" w:rsidRPr="0009445C" w:rsidRDefault="00B47442" w:rsidP="0099521D">
            <w:pPr>
              <w:pStyle w:val="BRL-Tabelle"/>
              <w:spacing w:before="60" w:after="40"/>
              <w:jc w:val="center"/>
              <w:rPr>
                <w:sz w:val="16"/>
              </w:rPr>
            </w:pPr>
          </w:p>
        </w:tc>
        <w:tc>
          <w:tcPr>
            <w:tcW w:w="426" w:type="dxa"/>
            <w:vAlign w:val="center"/>
          </w:tcPr>
          <w:p w14:paraId="7585EA93" w14:textId="77777777" w:rsidR="00B47442" w:rsidRPr="0009445C" w:rsidRDefault="00B47442" w:rsidP="0099521D">
            <w:pPr>
              <w:pStyle w:val="BRL-Tabelle"/>
              <w:spacing w:before="60" w:after="40"/>
              <w:jc w:val="center"/>
              <w:rPr>
                <w:sz w:val="16"/>
              </w:rPr>
            </w:pPr>
          </w:p>
        </w:tc>
        <w:tc>
          <w:tcPr>
            <w:tcW w:w="426" w:type="dxa"/>
            <w:vAlign w:val="center"/>
          </w:tcPr>
          <w:p w14:paraId="2D850D6D"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6460EA88" w14:textId="77777777" w:rsidR="00B47442" w:rsidRPr="0009445C" w:rsidRDefault="00B47442" w:rsidP="0099521D">
            <w:pPr>
              <w:pStyle w:val="BRL-Tabelle"/>
              <w:spacing w:before="60" w:after="40"/>
              <w:jc w:val="center"/>
              <w:rPr>
                <w:sz w:val="16"/>
              </w:rPr>
            </w:pPr>
          </w:p>
        </w:tc>
        <w:tc>
          <w:tcPr>
            <w:tcW w:w="426" w:type="dxa"/>
            <w:vAlign w:val="center"/>
          </w:tcPr>
          <w:p w14:paraId="75125EBC" w14:textId="77777777" w:rsidR="00B47442" w:rsidRPr="0009445C" w:rsidRDefault="00B47442" w:rsidP="0099521D">
            <w:pPr>
              <w:pStyle w:val="BRL-Tabelle"/>
              <w:spacing w:before="60" w:after="40"/>
              <w:jc w:val="center"/>
              <w:rPr>
                <w:sz w:val="16"/>
              </w:rPr>
            </w:pPr>
          </w:p>
        </w:tc>
        <w:tc>
          <w:tcPr>
            <w:tcW w:w="427" w:type="dxa"/>
            <w:vAlign w:val="center"/>
          </w:tcPr>
          <w:p w14:paraId="5CC951C0" w14:textId="77777777" w:rsidR="00B47442" w:rsidRPr="0009445C" w:rsidRDefault="00B47442" w:rsidP="0099521D">
            <w:pPr>
              <w:pStyle w:val="BRL-Tabelle"/>
              <w:spacing w:before="60" w:after="40"/>
              <w:jc w:val="center"/>
              <w:rPr>
                <w:sz w:val="16"/>
              </w:rPr>
            </w:pPr>
          </w:p>
        </w:tc>
        <w:tc>
          <w:tcPr>
            <w:tcW w:w="426" w:type="dxa"/>
            <w:vAlign w:val="center"/>
          </w:tcPr>
          <w:p w14:paraId="32520B8B" w14:textId="77777777" w:rsidR="00B47442" w:rsidRPr="0009445C" w:rsidRDefault="00B47442" w:rsidP="0099521D">
            <w:pPr>
              <w:pStyle w:val="BRL-Tabelle"/>
              <w:spacing w:before="60" w:after="40"/>
              <w:jc w:val="center"/>
              <w:rPr>
                <w:sz w:val="16"/>
              </w:rPr>
            </w:pPr>
          </w:p>
        </w:tc>
        <w:tc>
          <w:tcPr>
            <w:tcW w:w="427" w:type="dxa"/>
            <w:vAlign w:val="center"/>
          </w:tcPr>
          <w:p w14:paraId="10919057" w14:textId="77777777" w:rsidR="00B47442" w:rsidRPr="0009445C" w:rsidRDefault="00B47442" w:rsidP="0099521D">
            <w:pPr>
              <w:pStyle w:val="BRL-Tabelle"/>
              <w:spacing w:before="60" w:after="40"/>
              <w:jc w:val="center"/>
              <w:rPr>
                <w:sz w:val="16"/>
              </w:rPr>
            </w:pPr>
          </w:p>
        </w:tc>
      </w:tr>
      <w:tr w:rsidR="00B47442" w:rsidRPr="0009445C" w14:paraId="70292657" w14:textId="77777777" w:rsidTr="0099521D">
        <w:trPr>
          <w:trHeight w:val="264"/>
        </w:trPr>
        <w:tc>
          <w:tcPr>
            <w:tcW w:w="2355" w:type="dxa"/>
            <w:gridSpan w:val="2"/>
          </w:tcPr>
          <w:p w14:paraId="182679DA" w14:textId="77777777" w:rsidR="00B47442" w:rsidRPr="0009445C" w:rsidRDefault="00B47442" w:rsidP="0099521D">
            <w:pPr>
              <w:pStyle w:val="BRL-Tabelle"/>
              <w:spacing w:before="60" w:after="40"/>
            </w:pPr>
            <w:r w:rsidRPr="0009445C">
              <w:t>Location of heat-sensitive elements</w:t>
            </w:r>
          </w:p>
        </w:tc>
        <w:tc>
          <w:tcPr>
            <w:tcW w:w="427" w:type="dxa"/>
            <w:vAlign w:val="center"/>
          </w:tcPr>
          <w:p w14:paraId="171D6129" w14:textId="77777777" w:rsidR="00B47442" w:rsidRPr="0009445C" w:rsidRDefault="00B47442" w:rsidP="0099521D">
            <w:pPr>
              <w:pStyle w:val="BRL-Tabelle"/>
              <w:spacing w:before="60" w:after="40"/>
              <w:jc w:val="center"/>
              <w:rPr>
                <w:sz w:val="16"/>
              </w:rPr>
            </w:pPr>
          </w:p>
        </w:tc>
        <w:tc>
          <w:tcPr>
            <w:tcW w:w="427" w:type="dxa"/>
            <w:vAlign w:val="center"/>
          </w:tcPr>
          <w:p w14:paraId="5D2527E0" w14:textId="77777777" w:rsidR="00B47442" w:rsidRPr="0009445C" w:rsidRDefault="00B47442" w:rsidP="0099521D">
            <w:pPr>
              <w:pStyle w:val="BRL-Tabelle"/>
              <w:spacing w:before="60" w:after="40"/>
              <w:jc w:val="center"/>
              <w:rPr>
                <w:sz w:val="16"/>
              </w:rPr>
            </w:pPr>
          </w:p>
        </w:tc>
        <w:tc>
          <w:tcPr>
            <w:tcW w:w="426" w:type="dxa"/>
            <w:vAlign w:val="center"/>
          </w:tcPr>
          <w:p w14:paraId="7577AF3D" w14:textId="77777777" w:rsidR="00B47442" w:rsidRPr="0009445C" w:rsidRDefault="00B47442" w:rsidP="0099521D">
            <w:pPr>
              <w:pStyle w:val="BRL-Tabelle"/>
              <w:spacing w:before="60" w:after="40"/>
              <w:jc w:val="center"/>
              <w:rPr>
                <w:sz w:val="16"/>
              </w:rPr>
            </w:pPr>
          </w:p>
        </w:tc>
        <w:tc>
          <w:tcPr>
            <w:tcW w:w="427" w:type="dxa"/>
            <w:vAlign w:val="center"/>
          </w:tcPr>
          <w:p w14:paraId="0B8AA276"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087408A" w14:textId="77777777" w:rsidR="00B47442" w:rsidRPr="0009445C" w:rsidRDefault="00B47442" w:rsidP="0099521D">
            <w:pPr>
              <w:pStyle w:val="BRL-Tabelle"/>
              <w:spacing w:before="60" w:after="40"/>
              <w:jc w:val="center"/>
              <w:rPr>
                <w:sz w:val="16"/>
              </w:rPr>
            </w:pPr>
          </w:p>
        </w:tc>
        <w:tc>
          <w:tcPr>
            <w:tcW w:w="426" w:type="dxa"/>
            <w:vAlign w:val="center"/>
          </w:tcPr>
          <w:p w14:paraId="3FC3C666" w14:textId="77777777" w:rsidR="00B47442" w:rsidRPr="0009445C" w:rsidRDefault="00B47442" w:rsidP="0099521D">
            <w:pPr>
              <w:pStyle w:val="BRL-Tabelle"/>
              <w:spacing w:before="60" w:after="40"/>
              <w:jc w:val="center"/>
              <w:rPr>
                <w:sz w:val="16"/>
              </w:rPr>
            </w:pPr>
          </w:p>
        </w:tc>
        <w:tc>
          <w:tcPr>
            <w:tcW w:w="428" w:type="dxa"/>
            <w:vAlign w:val="center"/>
          </w:tcPr>
          <w:p w14:paraId="549F0FD8" w14:textId="77777777" w:rsidR="00B47442" w:rsidRPr="0009445C" w:rsidRDefault="00B47442" w:rsidP="0099521D">
            <w:pPr>
              <w:pStyle w:val="BRL-Tabelle"/>
              <w:spacing w:before="60" w:after="40"/>
              <w:jc w:val="center"/>
              <w:rPr>
                <w:sz w:val="16"/>
              </w:rPr>
            </w:pPr>
          </w:p>
        </w:tc>
        <w:tc>
          <w:tcPr>
            <w:tcW w:w="427" w:type="dxa"/>
            <w:vAlign w:val="center"/>
          </w:tcPr>
          <w:p w14:paraId="752FB4AC" w14:textId="77777777" w:rsidR="00B47442" w:rsidRPr="0009445C" w:rsidRDefault="00B47442" w:rsidP="0099521D">
            <w:pPr>
              <w:pStyle w:val="BRL-Tabelle"/>
              <w:spacing w:before="60" w:after="40"/>
              <w:jc w:val="center"/>
              <w:rPr>
                <w:sz w:val="16"/>
              </w:rPr>
            </w:pPr>
          </w:p>
        </w:tc>
        <w:tc>
          <w:tcPr>
            <w:tcW w:w="426" w:type="dxa"/>
            <w:vAlign w:val="center"/>
          </w:tcPr>
          <w:p w14:paraId="42331735" w14:textId="77777777" w:rsidR="00B47442" w:rsidRPr="0009445C" w:rsidRDefault="00B47442" w:rsidP="0099521D">
            <w:pPr>
              <w:pStyle w:val="BRL-Tabelle"/>
              <w:spacing w:before="60" w:after="40"/>
              <w:jc w:val="center"/>
              <w:rPr>
                <w:sz w:val="16"/>
              </w:rPr>
            </w:pPr>
          </w:p>
        </w:tc>
        <w:tc>
          <w:tcPr>
            <w:tcW w:w="426" w:type="dxa"/>
            <w:vAlign w:val="center"/>
          </w:tcPr>
          <w:p w14:paraId="3D0E154F" w14:textId="77777777" w:rsidR="00B47442" w:rsidRPr="0009445C" w:rsidRDefault="00B47442" w:rsidP="0099521D">
            <w:pPr>
              <w:pStyle w:val="BRL-Tabelle"/>
              <w:spacing w:before="60" w:after="40"/>
              <w:jc w:val="center"/>
              <w:rPr>
                <w:sz w:val="16"/>
              </w:rPr>
            </w:pPr>
          </w:p>
        </w:tc>
        <w:tc>
          <w:tcPr>
            <w:tcW w:w="426" w:type="dxa"/>
            <w:vAlign w:val="center"/>
          </w:tcPr>
          <w:p w14:paraId="6054555C" w14:textId="77777777" w:rsidR="00B47442" w:rsidRPr="0009445C" w:rsidRDefault="00B47442" w:rsidP="0099521D">
            <w:pPr>
              <w:pStyle w:val="BRL-Tabelle"/>
              <w:spacing w:before="60" w:after="40"/>
              <w:jc w:val="center"/>
              <w:rPr>
                <w:sz w:val="16"/>
              </w:rPr>
            </w:pPr>
          </w:p>
        </w:tc>
        <w:tc>
          <w:tcPr>
            <w:tcW w:w="433" w:type="dxa"/>
            <w:vAlign w:val="center"/>
          </w:tcPr>
          <w:p w14:paraId="1E5B8636" w14:textId="77777777" w:rsidR="00B47442" w:rsidRPr="0009445C" w:rsidRDefault="00B47442" w:rsidP="0099521D">
            <w:pPr>
              <w:pStyle w:val="BRL-Tabelle"/>
              <w:spacing w:before="60" w:after="40"/>
              <w:jc w:val="center"/>
              <w:rPr>
                <w:sz w:val="16"/>
              </w:rPr>
            </w:pPr>
          </w:p>
        </w:tc>
        <w:tc>
          <w:tcPr>
            <w:tcW w:w="426" w:type="dxa"/>
            <w:vAlign w:val="center"/>
          </w:tcPr>
          <w:p w14:paraId="38388CA6" w14:textId="77777777" w:rsidR="00B47442" w:rsidRPr="0009445C" w:rsidRDefault="00B47442" w:rsidP="0099521D">
            <w:pPr>
              <w:pStyle w:val="BRL-Tabelle"/>
              <w:spacing w:before="60" w:after="40"/>
              <w:jc w:val="center"/>
              <w:rPr>
                <w:sz w:val="16"/>
              </w:rPr>
            </w:pPr>
          </w:p>
        </w:tc>
        <w:tc>
          <w:tcPr>
            <w:tcW w:w="427" w:type="dxa"/>
            <w:vAlign w:val="center"/>
          </w:tcPr>
          <w:p w14:paraId="6C789DA2" w14:textId="77777777" w:rsidR="00B47442" w:rsidRPr="0009445C" w:rsidRDefault="00B47442" w:rsidP="0099521D">
            <w:pPr>
              <w:pStyle w:val="BRL-Tabelle"/>
              <w:spacing w:before="60" w:after="40"/>
              <w:jc w:val="center"/>
              <w:rPr>
                <w:sz w:val="16"/>
              </w:rPr>
            </w:pPr>
          </w:p>
        </w:tc>
        <w:tc>
          <w:tcPr>
            <w:tcW w:w="426" w:type="dxa"/>
            <w:vAlign w:val="center"/>
          </w:tcPr>
          <w:p w14:paraId="6A444E2E" w14:textId="77777777" w:rsidR="00B47442" w:rsidRPr="0009445C" w:rsidRDefault="00B47442" w:rsidP="0099521D">
            <w:pPr>
              <w:pStyle w:val="BRL-Tabelle"/>
              <w:spacing w:before="60" w:after="40"/>
              <w:jc w:val="center"/>
              <w:rPr>
                <w:sz w:val="16"/>
              </w:rPr>
            </w:pPr>
          </w:p>
        </w:tc>
        <w:tc>
          <w:tcPr>
            <w:tcW w:w="427" w:type="dxa"/>
            <w:vAlign w:val="center"/>
          </w:tcPr>
          <w:p w14:paraId="59781E24" w14:textId="77777777" w:rsidR="00B47442" w:rsidRPr="0009445C" w:rsidRDefault="00B47442" w:rsidP="0099521D">
            <w:pPr>
              <w:pStyle w:val="BRL-Tabelle"/>
              <w:spacing w:before="60" w:after="40"/>
              <w:jc w:val="center"/>
              <w:rPr>
                <w:sz w:val="16"/>
              </w:rPr>
            </w:pPr>
          </w:p>
        </w:tc>
      </w:tr>
      <w:tr w:rsidR="00B47442" w:rsidRPr="0009445C" w14:paraId="2DD6C600" w14:textId="77777777" w:rsidTr="0099521D">
        <w:trPr>
          <w:trHeight w:val="264"/>
        </w:trPr>
        <w:tc>
          <w:tcPr>
            <w:tcW w:w="2355" w:type="dxa"/>
            <w:gridSpan w:val="2"/>
          </w:tcPr>
          <w:p w14:paraId="75B0BA95" w14:textId="77777777" w:rsidR="00B47442" w:rsidRPr="0009445C" w:rsidRDefault="00B47442" w:rsidP="0099521D">
            <w:pPr>
              <w:pStyle w:val="BRL-Tabelle"/>
              <w:spacing w:before="60" w:after="40"/>
            </w:pPr>
            <w:r w:rsidRPr="0009445C">
              <w:t>Directional dependence</w:t>
            </w:r>
          </w:p>
        </w:tc>
        <w:tc>
          <w:tcPr>
            <w:tcW w:w="427" w:type="dxa"/>
            <w:vAlign w:val="center"/>
          </w:tcPr>
          <w:p w14:paraId="17F2E463" w14:textId="77777777" w:rsidR="00B47442" w:rsidRPr="0009445C" w:rsidRDefault="00B47442" w:rsidP="0099521D">
            <w:pPr>
              <w:pStyle w:val="BRL-Tabelle"/>
              <w:spacing w:before="60" w:after="40"/>
              <w:jc w:val="center"/>
              <w:rPr>
                <w:sz w:val="16"/>
              </w:rPr>
            </w:pPr>
          </w:p>
        </w:tc>
        <w:tc>
          <w:tcPr>
            <w:tcW w:w="427" w:type="dxa"/>
            <w:vAlign w:val="center"/>
          </w:tcPr>
          <w:p w14:paraId="5C305FFD" w14:textId="77777777" w:rsidR="00B47442" w:rsidRPr="0009445C" w:rsidRDefault="00B47442" w:rsidP="0099521D">
            <w:pPr>
              <w:pStyle w:val="BRL-Tabelle"/>
              <w:spacing w:before="60" w:after="40"/>
              <w:jc w:val="center"/>
              <w:rPr>
                <w:sz w:val="16"/>
              </w:rPr>
            </w:pPr>
          </w:p>
        </w:tc>
        <w:tc>
          <w:tcPr>
            <w:tcW w:w="426" w:type="dxa"/>
            <w:vAlign w:val="center"/>
          </w:tcPr>
          <w:p w14:paraId="46DF4553" w14:textId="77777777" w:rsidR="00B47442" w:rsidRPr="0009445C" w:rsidRDefault="00B47442" w:rsidP="0099521D">
            <w:pPr>
              <w:pStyle w:val="BRL-Tabelle"/>
              <w:spacing w:before="60" w:after="40"/>
              <w:jc w:val="center"/>
              <w:rPr>
                <w:sz w:val="16"/>
              </w:rPr>
            </w:pPr>
          </w:p>
        </w:tc>
        <w:tc>
          <w:tcPr>
            <w:tcW w:w="427" w:type="dxa"/>
            <w:vAlign w:val="center"/>
          </w:tcPr>
          <w:p w14:paraId="7E7367E0"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2C64FDB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965A9A6"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0C2A152F" w14:textId="77777777" w:rsidR="00B47442" w:rsidRPr="0009445C" w:rsidRDefault="00B47442" w:rsidP="0099521D">
            <w:pPr>
              <w:pStyle w:val="BRL-Tabelle"/>
              <w:spacing w:before="60" w:after="40"/>
              <w:jc w:val="center"/>
              <w:rPr>
                <w:sz w:val="16"/>
              </w:rPr>
            </w:pPr>
          </w:p>
        </w:tc>
        <w:tc>
          <w:tcPr>
            <w:tcW w:w="427" w:type="dxa"/>
            <w:vAlign w:val="center"/>
          </w:tcPr>
          <w:p w14:paraId="457B5150" w14:textId="6B701D9D" w:rsidR="00B47442" w:rsidRPr="0009445C" w:rsidRDefault="00B47442" w:rsidP="0099521D">
            <w:pPr>
              <w:pStyle w:val="BRL-Tabelle"/>
              <w:spacing w:before="60" w:after="40"/>
              <w:jc w:val="center"/>
              <w:rPr>
                <w:sz w:val="16"/>
              </w:rPr>
            </w:pPr>
          </w:p>
        </w:tc>
        <w:tc>
          <w:tcPr>
            <w:tcW w:w="426" w:type="dxa"/>
            <w:vAlign w:val="center"/>
          </w:tcPr>
          <w:p w14:paraId="26EB4E78" w14:textId="77777777" w:rsidR="00B47442" w:rsidRPr="0009445C" w:rsidRDefault="00B47442" w:rsidP="0099521D">
            <w:pPr>
              <w:pStyle w:val="BRL-Tabelle"/>
              <w:spacing w:before="60" w:after="40"/>
              <w:jc w:val="center"/>
              <w:rPr>
                <w:sz w:val="16"/>
              </w:rPr>
            </w:pPr>
          </w:p>
        </w:tc>
        <w:tc>
          <w:tcPr>
            <w:tcW w:w="426" w:type="dxa"/>
            <w:vAlign w:val="center"/>
          </w:tcPr>
          <w:p w14:paraId="2C2E145B" w14:textId="77777777" w:rsidR="00B47442" w:rsidRPr="0009445C" w:rsidRDefault="00B47442" w:rsidP="0099521D">
            <w:pPr>
              <w:pStyle w:val="BRL-Tabelle"/>
              <w:spacing w:before="60" w:after="40"/>
              <w:jc w:val="center"/>
              <w:rPr>
                <w:sz w:val="16"/>
              </w:rPr>
            </w:pPr>
          </w:p>
        </w:tc>
        <w:tc>
          <w:tcPr>
            <w:tcW w:w="426" w:type="dxa"/>
            <w:vAlign w:val="center"/>
          </w:tcPr>
          <w:p w14:paraId="7ECFBAD3" w14:textId="77777777" w:rsidR="00B47442" w:rsidRPr="0009445C" w:rsidRDefault="00B47442" w:rsidP="0099521D">
            <w:pPr>
              <w:pStyle w:val="BRL-Tabelle"/>
              <w:spacing w:before="60" w:after="40"/>
              <w:jc w:val="center"/>
              <w:rPr>
                <w:sz w:val="16"/>
              </w:rPr>
            </w:pPr>
          </w:p>
        </w:tc>
        <w:tc>
          <w:tcPr>
            <w:tcW w:w="433" w:type="dxa"/>
            <w:vAlign w:val="center"/>
          </w:tcPr>
          <w:p w14:paraId="023F33B5" w14:textId="77777777" w:rsidR="00B47442" w:rsidRPr="0009445C" w:rsidRDefault="00B47442" w:rsidP="0099521D">
            <w:pPr>
              <w:pStyle w:val="BRL-Tabelle"/>
              <w:spacing w:before="60" w:after="40"/>
              <w:jc w:val="center"/>
              <w:rPr>
                <w:sz w:val="16"/>
              </w:rPr>
            </w:pPr>
          </w:p>
        </w:tc>
        <w:tc>
          <w:tcPr>
            <w:tcW w:w="426" w:type="dxa"/>
            <w:vAlign w:val="center"/>
          </w:tcPr>
          <w:p w14:paraId="4DAF4E64" w14:textId="77777777" w:rsidR="00B47442" w:rsidRPr="0009445C" w:rsidRDefault="00B47442" w:rsidP="0099521D">
            <w:pPr>
              <w:pStyle w:val="BRL-Tabelle"/>
              <w:spacing w:before="60" w:after="40"/>
              <w:jc w:val="center"/>
              <w:rPr>
                <w:sz w:val="16"/>
              </w:rPr>
            </w:pPr>
          </w:p>
        </w:tc>
        <w:tc>
          <w:tcPr>
            <w:tcW w:w="427" w:type="dxa"/>
            <w:vAlign w:val="center"/>
          </w:tcPr>
          <w:p w14:paraId="595F2F8A" w14:textId="77777777" w:rsidR="00B47442" w:rsidRPr="0009445C" w:rsidRDefault="00B47442" w:rsidP="0099521D">
            <w:pPr>
              <w:pStyle w:val="BRL-Tabelle"/>
              <w:spacing w:before="60" w:after="40"/>
              <w:jc w:val="center"/>
              <w:rPr>
                <w:sz w:val="16"/>
              </w:rPr>
            </w:pPr>
          </w:p>
        </w:tc>
        <w:tc>
          <w:tcPr>
            <w:tcW w:w="426" w:type="dxa"/>
            <w:vAlign w:val="center"/>
          </w:tcPr>
          <w:p w14:paraId="33AFB07A" w14:textId="77777777" w:rsidR="00B47442" w:rsidRPr="0009445C" w:rsidRDefault="00B47442" w:rsidP="0099521D">
            <w:pPr>
              <w:pStyle w:val="BRL-Tabelle"/>
              <w:spacing w:before="60" w:after="40"/>
              <w:jc w:val="center"/>
              <w:rPr>
                <w:sz w:val="16"/>
              </w:rPr>
            </w:pPr>
          </w:p>
        </w:tc>
        <w:tc>
          <w:tcPr>
            <w:tcW w:w="427" w:type="dxa"/>
            <w:vAlign w:val="center"/>
          </w:tcPr>
          <w:p w14:paraId="76120F02" w14:textId="77777777" w:rsidR="00B47442" w:rsidRPr="0009445C" w:rsidRDefault="00B47442" w:rsidP="0099521D">
            <w:pPr>
              <w:pStyle w:val="BRL-Tabelle"/>
              <w:spacing w:before="60" w:after="40"/>
              <w:jc w:val="center"/>
              <w:rPr>
                <w:sz w:val="16"/>
              </w:rPr>
            </w:pPr>
          </w:p>
        </w:tc>
      </w:tr>
      <w:tr w:rsidR="00B47442" w:rsidRPr="0009445C" w14:paraId="7BFCFB57" w14:textId="77777777" w:rsidTr="0099521D">
        <w:trPr>
          <w:trHeight w:val="264"/>
        </w:trPr>
        <w:tc>
          <w:tcPr>
            <w:tcW w:w="2355" w:type="dxa"/>
            <w:gridSpan w:val="2"/>
          </w:tcPr>
          <w:p w14:paraId="2376B4A9" w14:textId="77777777" w:rsidR="00B47442" w:rsidRPr="0009445C" w:rsidRDefault="00B47442" w:rsidP="0099521D">
            <w:pPr>
              <w:pStyle w:val="BRL-Tabelle"/>
              <w:spacing w:before="60" w:after="40"/>
            </w:pPr>
            <w:r w:rsidRPr="0009445C">
              <w:t>Static response temperature</w:t>
            </w:r>
          </w:p>
        </w:tc>
        <w:tc>
          <w:tcPr>
            <w:tcW w:w="427" w:type="dxa"/>
            <w:vAlign w:val="center"/>
          </w:tcPr>
          <w:p w14:paraId="1BFD75E3" w14:textId="77777777" w:rsidR="00B47442" w:rsidRPr="0009445C" w:rsidRDefault="00B47442" w:rsidP="0099521D">
            <w:pPr>
              <w:pStyle w:val="BRL-Tabelle"/>
              <w:spacing w:before="60" w:after="40"/>
              <w:jc w:val="center"/>
              <w:rPr>
                <w:sz w:val="16"/>
              </w:rPr>
            </w:pPr>
          </w:p>
        </w:tc>
        <w:tc>
          <w:tcPr>
            <w:tcW w:w="427" w:type="dxa"/>
            <w:vAlign w:val="center"/>
          </w:tcPr>
          <w:p w14:paraId="65A04BAC" w14:textId="77777777" w:rsidR="00B47442" w:rsidRPr="0009445C" w:rsidRDefault="00B47442" w:rsidP="0099521D">
            <w:pPr>
              <w:pStyle w:val="BRL-Tabelle"/>
              <w:spacing w:before="60" w:after="40"/>
              <w:jc w:val="center"/>
              <w:rPr>
                <w:sz w:val="16"/>
              </w:rPr>
            </w:pPr>
          </w:p>
        </w:tc>
        <w:tc>
          <w:tcPr>
            <w:tcW w:w="426" w:type="dxa"/>
            <w:vAlign w:val="center"/>
          </w:tcPr>
          <w:p w14:paraId="5183E6E4" w14:textId="77777777" w:rsidR="00B47442" w:rsidRPr="0009445C" w:rsidRDefault="00B47442" w:rsidP="0099521D">
            <w:pPr>
              <w:pStyle w:val="BRL-Tabelle"/>
              <w:spacing w:before="60" w:after="40"/>
              <w:jc w:val="center"/>
              <w:rPr>
                <w:sz w:val="16"/>
              </w:rPr>
            </w:pPr>
          </w:p>
        </w:tc>
        <w:tc>
          <w:tcPr>
            <w:tcW w:w="427" w:type="dxa"/>
            <w:vAlign w:val="center"/>
          </w:tcPr>
          <w:p w14:paraId="4C3D97C3"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71F3F2FF" w14:textId="77777777" w:rsidR="00B47442" w:rsidRPr="0009445C" w:rsidRDefault="00B47442" w:rsidP="0099521D">
            <w:pPr>
              <w:pStyle w:val="BRL-Tabelle"/>
              <w:spacing w:before="60" w:after="40"/>
              <w:jc w:val="center"/>
              <w:rPr>
                <w:sz w:val="16"/>
              </w:rPr>
            </w:pPr>
          </w:p>
        </w:tc>
        <w:tc>
          <w:tcPr>
            <w:tcW w:w="426" w:type="dxa"/>
            <w:vAlign w:val="center"/>
          </w:tcPr>
          <w:p w14:paraId="36BE14B4" w14:textId="77777777" w:rsidR="00B47442" w:rsidRPr="0009445C" w:rsidRDefault="00B47442" w:rsidP="0099521D">
            <w:pPr>
              <w:pStyle w:val="BRL-Tabelle"/>
              <w:spacing w:before="60" w:after="40"/>
              <w:jc w:val="center"/>
              <w:rPr>
                <w:sz w:val="16"/>
              </w:rPr>
            </w:pPr>
          </w:p>
        </w:tc>
        <w:tc>
          <w:tcPr>
            <w:tcW w:w="428" w:type="dxa"/>
            <w:vAlign w:val="center"/>
          </w:tcPr>
          <w:p w14:paraId="352CFECE" w14:textId="77777777" w:rsidR="00B47442" w:rsidRPr="0009445C" w:rsidRDefault="00B47442" w:rsidP="0099521D">
            <w:pPr>
              <w:pStyle w:val="BRL-Tabelle"/>
              <w:spacing w:before="60" w:after="40"/>
              <w:jc w:val="center"/>
              <w:rPr>
                <w:sz w:val="16"/>
              </w:rPr>
            </w:pPr>
          </w:p>
        </w:tc>
        <w:tc>
          <w:tcPr>
            <w:tcW w:w="427" w:type="dxa"/>
            <w:vAlign w:val="center"/>
          </w:tcPr>
          <w:p w14:paraId="1A37EE45" w14:textId="77777777" w:rsidR="00B47442" w:rsidRPr="0009445C" w:rsidRDefault="00B47442" w:rsidP="0099521D">
            <w:pPr>
              <w:pStyle w:val="BRL-Tabelle"/>
              <w:spacing w:before="60" w:after="40"/>
              <w:jc w:val="center"/>
              <w:rPr>
                <w:sz w:val="16"/>
              </w:rPr>
            </w:pPr>
          </w:p>
        </w:tc>
        <w:tc>
          <w:tcPr>
            <w:tcW w:w="426" w:type="dxa"/>
            <w:vAlign w:val="center"/>
          </w:tcPr>
          <w:p w14:paraId="6EBC80D7" w14:textId="77777777" w:rsidR="00B47442" w:rsidRPr="0009445C" w:rsidRDefault="00B47442" w:rsidP="0099521D">
            <w:pPr>
              <w:pStyle w:val="BRL-Tabelle"/>
              <w:spacing w:before="60" w:after="40"/>
              <w:jc w:val="center"/>
              <w:rPr>
                <w:sz w:val="16"/>
              </w:rPr>
            </w:pPr>
          </w:p>
        </w:tc>
        <w:tc>
          <w:tcPr>
            <w:tcW w:w="426" w:type="dxa"/>
            <w:vAlign w:val="center"/>
          </w:tcPr>
          <w:p w14:paraId="50A7A5A6" w14:textId="77777777" w:rsidR="00B47442" w:rsidRPr="0009445C" w:rsidRDefault="00B47442" w:rsidP="0099521D">
            <w:pPr>
              <w:pStyle w:val="BRL-Tabelle"/>
              <w:spacing w:before="60" w:after="40"/>
              <w:jc w:val="center"/>
              <w:rPr>
                <w:sz w:val="16"/>
              </w:rPr>
            </w:pPr>
          </w:p>
        </w:tc>
        <w:tc>
          <w:tcPr>
            <w:tcW w:w="426" w:type="dxa"/>
            <w:vAlign w:val="center"/>
          </w:tcPr>
          <w:p w14:paraId="4A8AC0B9" w14:textId="77777777" w:rsidR="00B47442" w:rsidRPr="0009445C" w:rsidRDefault="00B47442" w:rsidP="0099521D">
            <w:pPr>
              <w:pStyle w:val="BRL-Tabelle"/>
              <w:spacing w:before="60" w:after="40"/>
              <w:jc w:val="center"/>
              <w:rPr>
                <w:sz w:val="16"/>
              </w:rPr>
            </w:pPr>
          </w:p>
        </w:tc>
        <w:tc>
          <w:tcPr>
            <w:tcW w:w="433" w:type="dxa"/>
            <w:vAlign w:val="center"/>
          </w:tcPr>
          <w:p w14:paraId="481056DE" w14:textId="77777777" w:rsidR="00B47442" w:rsidRPr="0009445C" w:rsidRDefault="00B47442" w:rsidP="0099521D">
            <w:pPr>
              <w:pStyle w:val="BRL-Tabelle"/>
              <w:spacing w:before="60" w:after="40"/>
              <w:jc w:val="center"/>
              <w:rPr>
                <w:sz w:val="16"/>
              </w:rPr>
            </w:pPr>
          </w:p>
        </w:tc>
        <w:tc>
          <w:tcPr>
            <w:tcW w:w="426" w:type="dxa"/>
            <w:vAlign w:val="center"/>
          </w:tcPr>
          <w:p w14:paraId="35E15E70" w14:textId="77777777" w:rsidR="00B47442" w:rsidRPr="0009445C" w:rsidRDefault="00B47442" w:rsidP="0099521D">
            <w:pPr>
              <w:pStyle w:val="BRL-Tabelle"/>
              <w:spacing w:before="60" w:after="40"/>
              <w:jc w:val="center"/>
              <w:rPr>
                <w:sz w:val="16"/>
              </w:rPr>
            </w:pPr>
          </w:p>
        </w:tc>
        <w:tc>
          <w:tcPr>
            <w:tcW w:w="427" w:type="dxa"/>
            <w:vAlign w:val="center"/>
          </w:tcPr>
          <w:p w14:paraId="21F0B5B9" w14:textId="77777777" w:rsidR="00B47442" w:rsidRPr="0009445C" w:rsidRDefault="00B47442" w:rsidP="0099521D">
            <w:pPr>
              <w:pStyle w:val="BRL-Tabelle"/>
              <w:spacing w:before="60" w:after="40"/>
              <w:jc w:val="center"/>
              <w:rPr>
                <w:sz w:val="16"/>
              </w:rPr>
            </w:pPr>
          </w:p>
        </w:tc>
        <w:tc>
          <w:tcPr>
            <w:tcW w:w="426" w:type="dxa"/>
            <w:vAlign w:val="center"/>
          </w:tcPr>
          <w:p w14:paraId="2A78352D" w14:textId="77777777" w:rsidR="00B47442" w:rsidRPr="0009445C" w:rsidRDefault="00B47442" w:rsidP="0099521D">
            <w:pPr>
              <w:pStyle w:val="BRL-Tabelle"/>
              <w:spacing w:before="60" w:after="40"/>
              <w:jc w:val="center"/>
              <w:rPr>
                <w:sz w:val="16"/>
              </w:rPr>
            </w:pPr>
          </w:p>
        </w:tc>
        <w:tc>
          <w:tcPr>
            <w:tcW w:w="427" w:type="dxa"/>
            <w:vAlign w:val="center"/>
          </w:tcPr>
          <w:p w14:paraId="609CD750" w14:textId="77777777" w:rsidR="00B47442" w:rsidRPr="0009445C" w:rsidRDefault="00B47442" w:rsidP="0099521D">
            <w:pPr>
              <w:pStyle w:val="BRL-Tabelle"/>
              <w:spacing w:before="60" w:after="40"/>
              <w:jc w:val="center"/>
              <w:rPr>
                <w:sz w:val="16"/>
              </w:rPr>
            </w:pPr>
          </w:p>
        </w:tc>
      </w:tr>
      <w:tr w:rsidR="00B47442" w:rsidRPr="0009445C" w14:paraId="6DAAC56A" w14:textId="77777777" w:rsidTr="0099521D">
        <w:trPr>
          <w:trHeight w:val="264"/>
        </w:trPr>
        <w:tc>
          <w:tcPr>
            <w:tcW w:w="2355" w:type="dxa"/>
            <w:gridSpan w:val="2"/>
          </w:tcPr>
          <w:p w14:paraId="33432C4C" w14:textId="77777777" w:rsidR="00B47442" w:rsidRPr="0009445C" w:rsidRDefault="00B47442" w:rsidP="0099521D">
            <w:pPr>
              <w:pStyle w:val="BRL-Tabelle"/>
              <w:spacing w:before="60" w:after="40"/>
            </w:pPr>
            <w:r w:rsidRPr="0009445C">
              <w:t>Response times at typical application temperature</w:t>
            </w:r>
          </w:p>
        </w:tc>
        <w:tc>
          <w:tcPr>
            <w:tcW w:w="427" w:type="dxa"/>
            <w:vAlign w:val="center"/>
          </w:tcPr>
          <w:p w14:paraId="33072478" w14:textId="77777777" w:rsidR="00B47442" w:rsidRPr="0009445C" w:rsidRDefault="00B47442" w:rsidP="0099521D">
            <w:pPr>
              <w:pStyle w:val="BRL-Tabelle"/>
              <w:spacing w:before="60" w:after="40"/>
              <w:jc w:val="center"/>
              <w:rPr>
                <w:sz w:val="16"/>
              </w:rPr>
            </w:pPr>
          </w:p>
        </w:tc>
        <w:tc>
          <w:tcPr>
            <w:tcW w:w="427" w:type="dxa"/>
            <w:vAlign w:val="center"/>
          </w:tcPr>
          <w:p w14:paraId="340EE6A9" w14:textId="77777777" w:rsidR="00B47442" w:rsidRPr="0009445C" w:rsidRDefault="00B47442" w:rsidP="0099521D">
            <w:pPr>
              <w:pStyle w:val="BRL-Tabelle"/>
              <w:spacing w:before="60" w:after="40"/>
              <w:jc w:val="center"/>
              <w:rPr>
                <w:sz w:val="16"/>
              </w:rPr>
            </w:pPr>
          </w:p>
        </w:tc>
        <w:tc>
          <w:tcPr>
            <w:tcW w:w="426" w:type="dxa"/>
            <w:vAlign w:val="center"/>
          </w:tcPr>
          <w:p w14:paraId="3AB3BDC8" w14:textId="77777777" w:rsidR="00B47442" w:rsidRPr="0009445C" w:rsidRDefault="00B47442" w:rsidP="0099521D">
            <w:pPr>
              <w:pStyle w:val="BRL-Tabelle"/>
              <w:spacing w:before="60" w:after="40"/>
              <w:jc w:val="center"/>
              <w:rPr>
                <w:sz w:val="16"/>
              </w:rPr>
            </w:pPr>
          </w:p>
        </w:tc>
        <w:tc>
          <w:tcPr>
            <w:tcW w:w="427" w:type="dxa"/>
            <w:vAlign w:val="center"/>
          </w:tcPr>
          <w:p w14:paraId="1C847A13"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214BEB45" w14:textId="77777777" w:rsidR="00B47442" w:rsidRPr="0009445C" w:rsidRDefault="00B47442" w:rsidP="0099521D">
            <w:pPr>
              <w:pStyle w:val="BRL-Tabelle"/>
              <w:spacing w:before="60" w:after="40"/>
              <w:jc w:val="center"/>
              <w:rPr>
                <w:sz w:val="16"/>
              </w:rPr>
            </w:pPr>
          </w:p>
        </w:tc>
        <w:tc>
          <w:tcPr>
            <w:tcW w:w="426" w:type="dxa"/>
            <w:vAlign w:val="center"/>
          </w:tcPr>
          <w:p w14:paraId="788D6AAA" w14:textId="77777777" w:rsidR="00B47442" w:rsidRPr="0009445C" w:rsidRDefault="00B47442" w:rsidP="0099521D">
            <w:pPr>
              <w:pStyle w:val="BRL-Tabelle"/>
              <w:spacing w:before="60" w:after="40"/>
              <w:jc w:val="center"/>
              <w:rPr>
                <w:sz w:val="16"/>
              </w:rPr>
            </w:pPr>
          </w:p>
        </w:tc>
        <w:tc>
          <w:tcPr>
            <w:tcW w:w="428" w:type="dxa"/>
            <w:vAlign w:val="center"/>
          </w:tcPr>
          <w:p w14:paraId="6441E93A" w14:textId="77777777" w:rsidR="00B47442" w:rsidRPr="0009445C" w:rsidRDefault="00B47442" w:rsidP="0099521D">
            <w:pPr>
              <w:pStyle w:val="BRL-Tabelle"/>
              <w:spacing w:before="60" w:after="40"/>
              <w:jc w:val="center"/>
              <w:rPr>
                <w:sz w:val="16"/>
              </w:rPr>
            </w:pPr>
          </w:p>
        </w:tc>
        <w:tc>
          <w:tcPr>
            <w:tcW w:w="427" w:type="dxa"/>
            <w:vAlign w:val="center"/>
          </w:tcPr>
          <w:p w14:paraId="4F9D3E72" w14:textId="77777777" w:rsidR="00B47442" w:rsidRPr="0009445C" w:rsidRDefault="00B47442" w:rsidP="0099521D">
            <w:pPr>
              <w:pStyle w:val="BRL-Tabelle"/>
              <w:spacing w:before="60" w:after="40"/>
              <w:jc w:val="center"/>
              <w:rPr>
                <w:sz w:val="16"/>
              </w:rPr>
            </w:pPr>
          </w:p>
        </w:tc>
        <w:tc>
          <w:tcPr>
            <w:tcW w:w="426" w:type="dxa"/>
            <w:vAlign w:val="center"/>
          </w:tcPr>
          <w:p w14:paraId="5E71763A" w14:textId="77777777" w:rsidR="00B47442" w:rsidRPr="0009445C" w:rsidRDefault="00B47442" w:rsidP="0099521D">
            <w:pPr>
              <w:pStyle w:val="BRL-Tabelle"/>
              <w:spacing w:before="60" w:after="40"/>
              <w:jc w:val="center"/>
              <w:rPr>
                <w:sz w:val="16"/>
              </w:rPr>
            </w:pPr>
          </w:p>
        </w:tc>
        <w:tc>
          <w:tcPr>
            <w:tcW w:w="426" w:type="dxa"/>
            <w:vAlign w:val="center"/>
          </w:tcPr>
          <w:p w14:paraId="41D16E9B" w14:textId="77777777" w:rsidR="00B47442" w:rsidRPr="0009445C" w:rsidRDefault="00B47442" w:rsidP="0099521D">
            <w:pPr>
              <w:pStyle w:val="BRL-Tabelle"/>
              <w:spacing w:before="60" w:after="40"/>
              <w:jc w:val="center"/>
              <w:rPr>
                <w:sz w:val="16"/>
              </w:rPr>
            </w:pPr>
          </w:p>
        </w:tc>
        <w:tc>
          <w:tcPr>
            <w:tcW w:w="426" w:type="dxa"/>
            <w:vAlign w:val="center"/>
          </w:tcPr>
          <w:p w14:paraId="1A8CFA7D" w14:textId="77777777" w:rsidR="00B47442" w:rsidRPr="0009445C" w:rsidRDefault="00B47442" w:rsidP="0099521D">
            <w:pPr>
              <w:pStyle w:val="BRL-Tabelle"/>
              <w:spacing w:before="60" w:after="40"/>
              <w:jc w:val="center"/>
              <w:rPr>
                <w:sz w:val="16"/>
              </w:rPr>
            </w:pPr>
          </w:p>
        </w:tc>
        <w:tc>
          <w:tcPr>
            <w:tcW w:w="433" w:type="dxa"/>
            <w:vAlign w:val="center"/>
          </w:tcPr>
          <w:p w14:paraId="2D726082" w14:textId="77777777" w:rsidR="00B47442" w:rsidRPr="0009445C" w:rsidRDefault="00B47442" w:rsidP="0099521D">
            <w:pPr>
              <w:pStyle w:val="BRL-Tabelle"/>
              <w:spacing w:before="60" w:after="40"/>
              <w:jc w:val="center"/>
              <w:rPr>
                <w:sz w:val="16"/>
              </w:rPr>
            </w:pPr>
          </w:p>
        </w:tc>
        <w:tc>
          <w:tcPr>
            <w:tcW w:w="426" w:type="dxa"/>
            <w:vAlign w:val="center"/>
          </w:tcPr>
          <w:p w14:paraId="17ED1F90" w14:textId="77777777" w:rsidR="00B47442" w:rsidRPr="0009445C" w:rsidRDefault="00B47442" w:rsidP="0099521D">
            <w:pPr>
              <w:pStyle w:val="BRL-Tabelle"/>
              <w:spacing w:before="60" w:after="40"/>
              <w:jc w:val="center"/>
              <w:rPr>
                <w:sz w:val="16"/>
              </w:rPr>
            </w:pPr>
          </w:p>
        </w:tc>
        <w:tc>
          <w:tcPr>
            <w:tcW w:w="427" w:type="dxa"/>
            <w:vAlign w:val="center"/>
          </w:tcPr>
          <w:p w14:paraId="7EE0A3F6" w14:textId="77777777" w:rsidR="00B47442" w:rsidRPr="0009445C" w:rsidRDefault="00B47442" w:rsidP="0099521D">
            <w:pPr>
              <w:pStyle w:val="BRL-Tabelle"/>
              <w:spacing w:before="60" w:after="40"/>
              <w:jc w:val="center"/>
              <w:rPr>
                <w:sz w:val="16"/>
              </w:rPr>
            </w:pPr>
          </w:p>
        </w:tc>
        <w:tc>
          <w:tcPr>
            <w:tcW w:w="426" w:type="dxa"/>
            <w:vAlign w:val="center"/>
          </w:tcPr>
          <w:p w14:paraId="0AFF0D9B" w14:textId="77777777" w:rsidR="00B47442" w:rsidRPr="0009445C" w:rsidRDefault="00B47442" w:rsidP="0099521D">
            <w:pPr>
              <w:pStyle w:val="BRL-Tabelle"/>
              <w:spacing w:before="60" w:after="40"/>
              <w:jc w:val="center"/>
              <w:rPr>
                <w:sz w:val="16"/>
              </w:rPr>
            </w:pPr>
          </w:p>
        </w:tc>
        <w:tc>
          <w:tcPr>
            <w:tcW w:w="427" w:type="dxa"/>
            <w:vAlign w:val="center"/>
          </w:tcPr>
          <w:p w14:paraId="75B9A2E3" w14:textId="77777777" w:rsidR="00B47442" w:rsidRPr="0009445C" w:rsidRDefault="00B47442" w:rsidP="0099521D">
            <w:pPr>
              <w:pStyle w:val="BRL-Tabelle"/>
              <w:spacing w:before="60" w:after="40"/>
              <w:jc w:val="center"/>
              <w:rPr>
                <w:sz w:val="16"/>
              </w:rPr>
            </w:pPr>
          </w:p>
        </w:tc>
      </w:tr>
      <w:tr w:rsidR="00B47442" w:rsidRPr="0009445C" w14:paraId="739E177D" w14:textId="77777777" w:rsidTr="0099521D">
        <w:trPr>
          <w:trHeight w:val="264"/>
        </w:trPr>
        <w:tc>
          <w:tcPr>
            <w:tcW w:w="2355" w:type="dxa"/>
            <w:gridSpan w:val="2"/>
          </w:tcPr>
          <w:p w14:paraId="4B646386" w14:textId="472CF3EA" w:rsidR="00B47442" w:rsidRPr="0009445C" w:rsidRDefault="00B47442" w:rsidP="0099521D">
            <w:pPr>
              <w:pStyle w:val="BRL-Tabelle"/>
              <w:spacing w:before="60" w:after="40"/>
            </w:pPr>
            <w:r w:rsidRPr="0009445C">
              <w:t>Response times at 25 C</w:t>
            </w:r>
          </w:p>
        </w:tc>
        <w:tc>
          <w:tcPr>
            <w:tcW w:w="427" w:type="dxa"/>
            <w:vAlign w:val="center"/>
          </w:tcPr>
          <w:p w14:paraId="654AFACC" w14:textId="77777777" w:rsidR="00B47442" w:rsidRPr="0009445C" w:rsidRDefault="00B47442" w:rsidP="0099521D">
            <w:pPr>
              <w:pStyle w:val="BRL-Tabelle"/>
              <w:spacing w:before="60" w:after="40"/>
              <w:jc w:val="center"/>
              <w:rPr>
                <w:sz w:val="16"/>
              </w:rPr>
            </w:pPr>
          </w:p>
        </w:tc>
        <w:tc>
          <w:tcPr>
            <w:tcW w:w="427" w:type="dxa"/>
            <w:vAlign w:val="center"/>
          </w:tcPr>
          <w:p w14:paraId="08844C43" w14:textId="77777777" w:rsidR="00B47442" w:rsidRPr="0009445C" w:rsidRDefault="00B47442" w:rsidP="0099521D">
            <w:pPr>
              <w:pStyle w:val="BRL-Tabelle"/>
              <w:spacing w:before="60" w:after="40"/>
              <w:jc w:val="center"/>
              <w:rPr>
                <w:sz w:val="16"/>
              </w:rPr>
            </w:pPr>
          </w:p>
        </w:tc>
        <w:tc>
          <w:tcPr>
            <w:tcW w:w="426" w:type="dxa"/>
            <w:vAlign w:val="center"/>
          </w:tcPr>
          <w:p w14:paraId="566E6C3F" w14:textId="77777777" w:rsidR="00B47442" w:rsidRPr="0009445C" w:rsidRDefault="00B47442" w:rsidP="0099521D">
            <w:pPr>
              <w:pStyle w:val="BRL-Tabelle"/>
              <w:spacing w:before="60" w:after="40"/>
              <w:jc w:val="center"/>
              <w:rPr>
                <w:sz w:val="16"/>
              </w:rPr>
            </w:pPr>
          </w:p>
        </w:tc>
        <w:tc>
          <w:tcPr>
            <w:tcW w:w="427" w:type="dxa"/>
            <w:vAlign w:val="center"/>
          </w:tcPr>
          <w:p w14:paraId="653B98C8"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3A612013" w14:textId="77777777" w:rsidR="00B47442" w:rsidRPr="0009445C" w:rsidRDefault="00B47442" w:rsidP="0099521D">
            <w:pPr>
              <w:pStyle w:val="BRL-Tabelle"/>
              <w:spacing w:before="60" w:after="40"/>
              <w:jc w:val="center"/>
              <w:rPr>
                <w:sz w:val="16"/>
              </w:rPr>
            </w:pPr>
          </w:p>
        </w:tc>
        <w:tc>
          <w:tcPr>
            <w:tcW w:w="426" w:type="dxa"/>
            <w:vAlign w:val="center"/>
          </w:tcPr>
          <w:p w14:paraId="3B185690" w14:textId="77777777" w:rsidR="00B47442" w:rsidRPr="0009445C" w:rsidRDefault="00B47442" w:rsidP="0099521D">
            <w:pPr>
              <w:pStyle w:val="BRL-Tabelle"/>
              <w:spacing w:before="60" w:after="40"/>
              <w:jc w:val="center"/>
              <w:rPr>
                <w:sz w:val="16"/>
              </w:rPr>
            </w:pPr>
          </w:p>
        </w:tc>
        <w:tc>
          <w:tcPr>
            <w:tcW w:w="428" w:type="dxa"/>
            <w:vAlign w:val="center"/>
          </w:tcPr>
          <w:p w14:paraId="2FBDAE1A" w14:textId="77777777" w:rsidR="00B47442" w:rsidRPr="0009445C" w:rsidRDefault="00B47442" w:rsidP="0099521D">
            <w:pPr>
              <w:pStyle w:val="BRL-Tabelle"/>
              <w:spacing w:before="60" w:after="40"/>
              <w:jc w:val="center"/>
              <w:rPr>
                <w:sz w:val="16"/>
              </w:rPr>
            </w:pPr>
          </w:p>
        </w:tc>
        <w:tc>
          <w:tcPr>
            <w:tcW w:w="427" w:type="dxa"/>
            <w:vAlign w:val="center"/>
          </w:tcPr>
          <w:p w14:paraId="1ACCE27B" w14:textId="77777777" w:rsidR="00B47442" w:rsidRPr="0009445C" w:rsidRDefault="00B47442" w:rsidP="0099521D">
            <w:pPr>
              <w:pStyle w:val="BRL-Tabelle"/>
              <w:spacing w:before="60" w:after="40"/>
              <w:jc w:val="center"/>
              <w:rPr>
                <w:sz w:val="16"/>
              </w:rPr>
            </w:pPr>
          </w:p>
        </w:tc>
        <w:tc>
          <w:tcPr>
            <w:tcW w:w="426" w:type="dxa"/>
            <w:vAlign w:val="center"/>
          </w:tcPr>
          <w:p w14:paraId="411943A7" w14:textId="77777777" w:rsidR="00B47442" w:rsidRPr="0009445C" w:rsidRDefault="00B47442" w:rsidP="0099521D">
            <w:pPr>
              <w:pStyle w:val="BRL-Tabelle"/>
              <w:spacing w:before="60" w:after="40"/>
              <w:jc w:val="center"/>
              <w:rPr>
                <w:sz w:val="16"/>
              </w:rPr>
            </w:pPr>
          </w:p>
        </w:tc>
        <w:tc>
          <w:tcPr>
            <w:tcW w:w="426" w:type="dxa"/>
            <w:vAlign w:val="center"/>
          </w:tcPr>
          <w:p w14:paraId="014535A3" w14:textId="77777777" w:rsidR="00B47442" w:rsidRPr="0009445C" w:rsidRDefault="00B47442" w:rsidP="0099521D">
            <w:pPr>
              <w:pStyle w:val="BRL-Tabelle"/>
              <w:spacing w:before="60" w:after="40"/>
              <w:jc w:val="center"/>
              <w:rPr>
                <w:sz w:val="16"/>
              </w:rPr>
            </w:pPr>
          </w:p>
        </w:tc>
        <w:tc>
          <w:tcPr>
            <w:tcW w:w="426" w:type="dxa"/>
            <w:vAlign w:val="center"/>
          </w:tcPr>
          <w:p w14:paraId="57276B21" w14:textId="77777777" w:rsidR="00B47442" w:rsidRPr="0009445C" w:rsidRDefault="00B47442" w:rsidP="0099521D">
            <w:pPr>
              <w:pStyle w:val="BRL-Tabelle"/>
              <w:spacing w:before="60" w:after="40"/>
              <w:jc w:val="center"/>
              <w:rPr>
                <w:sz w:val="16"/>
              </w:rPr>
            </w:pPr>
          </w:p>
        </w:tc>
        <w:tc>
          <w:tcPr>
            <w:tcW w:w="433" w:type="dxa"/>
            <w:vAlign w:val="center"/>
          </w:tcPr>
          <w:p w14:paraId="1E45C4AE" w14:textId="77777777" w:rsidR="00B47442" w:rsidRPr="0009445C" w:rsidRDefault="00B47442" w:rsidP="0099521D">
            <w:pPr>
              <w:pStyle w:val="BRL-Tabelle"/>
              <w:spacing w:before="60" w:after="40"/>
              <w:jc w:val="center"/>
              <w:rPr>
                <w:sz w:val="16"/>
              </w:rPr>
            </w:pPr>
          </w:p>
        </w:tc>
        <w:tc>
          <w:tcPr>
            <w:tcW w:w="426" w:type="dxa"/>
            <w:vAlign w:val="center"/>
          </w:tcPr>
          <w:p w14:paraId="75971788" w14:textId="77777777" w:rsidR="00B47442" w:rsidRPr="0009445C" w:rsidRDefault="00B47442" w:rsidP="0099521D">
            <w:pPr>
              <w:pStyle w:val="BRL-Tabelle"/>
              <w:spacing w:before="60" w:after="40"/>
              <w:jc w:val="center"/>
              <w:rPr>
                <w:sz w:val="16"/>
              </w:rPr>
            </w:pPr>
          </w:p>
        </w:tc>
        <w:tc>
          <w:tcPr>
            <w:tcW w:w="427" w:type="dxa"/>
            <w:vAlign w:val="center"/>
          </w:tcPr>
          <w:p w14:paraId="406EB1D2" w14:textId="77777777" w:rsidR="00B47442" w:rsidRPr="0009445C" w:rsidRDefault="00B47442" w:rsidP="0099521D">
            <w:pPr>
              <w:pStyle w:val="BRL-Tabelle"/>
              <w:spacing w:before="60" w:after="40"/>
              <w:jc w:val="center"/>
              <w:rPr>
                <w:sz w:val="16"/>
              </w:rPr>
            </w:pPr>
          </w:p>
        </w:tc>
        <w:tc>
          <w:tcPr>
            <w:tcW w:w="426" w:type="dxa"/>
            <w:vAlign w:val="center"/>
          </w:tcPr>
          <w:p w14:paraId="71A8910A" w14:textId="77777777" w:rsidR="00B47442" w:rsidRPr="0009445C" w:rsidRDefault="00B47442" w:rsidP="0099521D">
            <w:pPr>
              <w:pStyle w:val="BRL-Tabelle"/>
              <w:spacing w:before="60" w:after="40"/>
              <w:jc w:val="center"/>
              <w:rPr>
                <w:sz w:val="16"/>
              </w:rPr>
            </w:pPr>
          </w:p>
        </w:tc>
        <w:tc>
          <w:tcPr>
            <w:tcW w:w="427" w:type="dxa"/>
            <w:vAlign w:val="center"/>
          </w:tcPr>
          <w:p w14:paraId="6AD11EF9" w14:textId="77777777" w:rsidR="00B47442" w:rsidRPr="0009445C" w:rsidRDefault="00B47442" w:rsidP="0099521D">
            <w:pPr>
              <w:pStyle w:val="BRL-Tabelle"/>
              <w:spacing w:before="60" w:after="40"/>
              <w:jc w:val="center"/>
              <w:rPr>
                <w:sz w:val="16"/>
              </w:rPr>
            </w:pPr>
          </w:p>
        </w:tc>
      </w:tr>
      <w:tr w:rsidR="00B47442" w:rsidRPr="0009445C" w14:paraId="69D96F07" w14:textId="77777777" w:rsidTr="0099521D">
        <w:trPr>
          <w:trHeight w:val="528"/>
        </w:trPr>
        <w:tc>
          <w:tcPr>
            <w:tcW w:w="2355" w:type="dxa"/>
            <w:gridSpan w:val="2"/>
          </w:tcPr>
          <w:p w14:paraId="12F7F8F2" w14:textId="5FF3091D" w:rsidR="00B47442" w:rsidRPr="0009445C" w:rsidRDefault="00B47442" w:rsidP="0099521D">
            <w:pPr>
              <w:pStyle w:val="BRL-Tabelle"/>
              <w:spacing w:before="60" w:after="40"/>
            </w:pPr>
            <w:r w:rsidRPr="0009445C">
              <w:t xml:space="preserve">Response times at high ambient temperature </w:t>
            </w:r>
          </w:p>
        </w:tc>
        <w:tc>
          <w:tcPr>
            <w:tcW w:w="427" w:type="dxa"/>
            <w:vAlign w:val="center"/>
          </w:tcPr>
          <w:p w14:paraId="4E1609FF" w14:textId="77777777" w:rsidR="00B47442" w:rsidRPr="0009445C" w:rsidRDefault="00B47442" w:rsidP="0099521D">
            <w:pPr>
              <w:pStyle w:val="BRL-Tabelle"/>
              <w:spacing w:before="60" w:after="40"/>
              <w:jc w:val="center"/>
              <w:rPr>
                <w:sz w:val="16"/>
              </w:rPr>
            </w:pPr>
          </w:p>
        </w:tc>
        <w:tc>
          <w:tcPr>
            <w:tcW w:w="427" w:type="dxa"/>
            <w:vAlign w:val="center"/>
          </w:tcPr>
          <w:p w14:paraId="3E8A4A50" w14:textId="77777777" w:rsidR="00B47442" w:rsidRPr="0009445C" w:rsidRDefault="00B47442" w:rsidP="0099521D">
            <w:pPr>
              <w:pStyle w:val="BRL-Tabelle"/>
              <w:spacing w:before="60" w:after="40"/>
              <w:jc w:val="center"/>
              <w:rPr>
                <w:sz w:val="16"/>
              </w:rPr>
            </w:pPr>
          </w:p>
        </w:tc>
        <w:tc>
          <w:tcPr>
            <w:tcW w:w="426" w:type="dxa"/>
            <w:vAlign w:val="center"/>
          </w:tcPr>
          <w:p w14:paraId="5A51AE43" w14:textId="77777777" w:rsidR="00B47442" w:rsidRPr="0009445C" w:rsidRDefault="00B47442" w:rsidP="0099521D">
            <w:pPr>
              <w:pStyle w:val="BRL-Tabelle"/>
              <w:spacing w:before="60" w:after="40"/>
              <w:jc w:val="center"/>
              <w:rPr>
                <w:sz w:val="16"/>
              </w:rPr>
            </w:pPr>
          </w:p>
        </w:tc>
        <w:tc>
          <w:tcPr>
            <w:tcW w:w="427" w:type="dxa"/>
            <w:vAlign w:val="center"/>
          </w:tcPr>
          <w:p w14:paraId="0A9719F5"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1CB88C5" w14:textId="77777777" w:rsidR="00B47442" w:rsidRPr="0009445C" w:rsidRDefault="00B47442" w:rsidP="0099521D">
            <w:pPr>
              <w:pStyle w:val="BRL-Tabelle"/>
              <w:spacing w:before="60" w:after="40"/>
              <w:jc w:val="center"/>
              <w:rPr>
                <w:sz w:val="16"/>
              </w:rPr>
            </w:pPr>
          </w:p>
        </w:tc>
        <w:tc>
          <w:tcPr>
            <w:tcW w:w="426" w:type="dxa"/>
            <w:vAlign w:val="center"/>
          </w:tcPr>
          <w:p w14:paraId="584AD351" w14:textId="77777777" w:rsidR="00B47442" w:rsidRPr="0009445C" w:rsidRDefault="00B47442" w:rsidP="0099521D">
            <w:pPr>
              <w:pStyle w:val="BRL-Tabelle"/>
              <w:spacing w:before="60" w:after="40"/>
              <w:jc w:val="center"/>
              <w:rPr>
                <w:sz w:val="16"/>
              </w:rPr>
            </w:pPr>
          </w:p>
        </w:tc>
        <w:tc>
          <w:tcPr>
            <w:tcW w:w="428" w:type="dxa"/>
            <w:vAlign w:val="center"/>
          </w:tcPr>
          <w:p w14:paraId="4999BDE4" w14:textId="77777777" w:rsidR="00B47442" w:rsidRPr="0009445C" w:rsidRDefault="00B47442" w:rsidP="0099521D">
            <w:pPr>
              <w:pStyle w:val="BRL-Tabelle"/>
              <w:spacing w:before="60" w:after="40"/>
              <w:jc w:val="center"/>
              <w:rPr>
                <w:sz w:val="16"/>
              </w:rPr>
            </w:pPr>
          </w:p>
        </w:tc>
        <w:tc>
          <w:tcPr>
            <w:tcW w:w="427" w:type="dxa"/>
            <w:vAlign w:val="center"/>
          </w:tcPr>
          <w:p w14:paraId="2A16AA26" w14:textId="77777777" w:rsidR="00B47442" w:rsidRPr="0009445C" w:rsidRDefault="00B47442" w:rsidP="0099521D">
            <w:pPr>
              <w:pStyle w:val="BRL-Tabelle"/>
              <w:spacing w:before="60" w:after="40"/>
              <w:jc w:val="center"/>
              <w:rPr>
                <w:sz w:val="16"/>
              </w:rPr>
            </w:pPr>
          </w:p>
        </w:tc>
        <w:tc>
          <w:tcPr>
            <w:tcW w:w="426" w:type="dxa"/>
            <w:vAlign w:val="center"/>
          </w:tcPr>
          <w:p w14:paraId="428A30DF" w14:textId="77777777" w:rsidR="00B47442" w:rsidRPr="0009445C" w:rsidRDefault="00B47442" w:rsidP="0099521D">
            <w:pPr>
              <w:pStyle w:val="BRL-Tabelle"/>
              <w:spacing w:before="60" w:after="40"/>
              <w:jc w:val="center"/>
              <w:rPr>
                <w:sz w:val="16"/>
              </w:rPr>
            </w:pPr>
          </w:p>
        </w:tc>
        <w:tc>
          <w:tcPr>
            <w:tcW w:w="426" w:type="dxa"/>
            <w:vAlign w:val="center"/>
          </w:tcPr>
          <w:p w14:paraId="4A81B646" w14:textId="77777777" w:rsidR="00B47442" w:rsidRPr="0009445C" w:rsidRDefault="00B47442" w:rsidP="0099521D">
            <w:pPr>
              <w:pStyle w:val="BRL-Tabelle"/>
              <w:spacing w:before="60" w:after="40"/>
              <w:jc w:val="center"/>
              <w:rPr>
                <w:sz w:val="16"/>
              </w:rPr>
            </w:pPr>
          </w:p>
        </w:tc>
        <w:tc>
          <w:tcPr>
            <w:tcW w:w="426" w:type="dxa"/>
            <w:vAlign w:val="center"/>
          </w:tcPr>
          <w:p w14:paraId="6D3A7E68" w14:textId="77777777" w:rsidR="00B47442" w:rsidRPr="0009445C" w:rsidRDefault="00B47442" w:rsidP="0099521D">
            <w:pPr>
              <w:pStyle w:val="BRL-Tabelle"/>
              <w:spacing w:before="60" w:after="40"/>
              <w:jc w:val="center"/>
              <w:rPr>
                <w:sz w:val="16"/>
              </w:rPr>
            </w:pPr>
          </w:p>
        </w:tc>
        <w:tc>
          <w:tcPr>
            <w:tcW w:w="433" w:type="dxa"/>
            <w:vAlign w:val="center"/>
          </w:tcPr>
          <w:p w14:paraId="781059F5" w14:textId="77777777" w:rsidR="00B47442" w:rsidRPr="0009445C" w:rsidRDefault="00B47442" w:rsidP="0099521D">
            <w:pPr>
              <w:pStyle w:val="BRL-Tabelle"/>
              <w:spacing w:before="60" w:after="40"/>
              <w:jc w:val="center"/>
              <w:rPr>
                <w:sz w:val="16"/>
              </w:rPr>
            </w:pPr>
          </w:p>
        </w:tc>
        <w:tc>
          <w:tcPr>
            <w:tcW w:w="426" w:type="dxa"/>
            <w:vAlign w:val="center"/>
          </w:tcPr>
          <w:p w14:paraId="265807B6" w14:textId="77777777" w:rsidR="00B47442" w:rsidRPr="0009445C" w:rsidRDefault="00B47442" w:rsidP="0099521D">
            <w:pPr>
              <w:pStyle w:val="BRL-Tabelle"/>
              <w:spacing w:before="60" w:after="40"/>
              <w:jc w:val="center"/>
              <w:rPr>
                <w:sz w:val="16"/>
              </w:rPr>
            </w:pPr>
          </w:p>
        </w:tc>
        <w:tc>
          <w:tcPr>
            <w:tcW w:w="427" w:type="dxa"/>
            <w:vAlign w:val="center"/>
          </w:tcPr>
          <w:p w14:paraId="1A2CA6C3" w14:textId="77777777" w:rsidR="00B47442" w:rsidRPr="0009445C" w:rsidRDefault="00B47442" w:rsidP="0099521D">
            <w:pPr>
              <w:pStyle w:val="BRL-Tabelle"/>
              <w:spacing w:before="60" w:after="40"/>
              <w:jc w:val="center"/>
              <w:rPr>
                <w:sz w:val="16"/>
              </w:rPr>
            </w:pPr>
          </w:p>
        </w:tc>
        <w:tc>
          <w:tcPr>
            <w:tcW w:w="426" w:type="dxa"/>
            <w:vAlign w:val="center"/>
          </w:tcPr>
          <w:p w14:paraId="3E0651EB" w14:textId="77777777" w:rsidR="00B47442" w:rsidRPr="0009445C" w:rsidRDefault="00B47442" w:rsidP="0099521D">
            <w:pPr>
              <w:pStyle w:val="BRL-Tabelle"/>
              <w:spacing w:before="60" w:after="40"/>
              <w:jc w:val="center"/>
              <w:rPr>
                <w:sz w:val="16"/>
              </w:rPr>
            </w:pPr>
          </w:p>
        </w:tc>
        <w:tc>
          <w:tcPr>
            <w:tcW w:w="427" w:type="dxa"/>
            <w:vAlign w:val="center"/>
          </w:tcPr>
          <w:p w14:paraId="13817E5D" w14:textId="77777777" w:rsidR="00B47442" w:rsidRPr="0009445C" w:rsidRDefault="00B47442" w:rsidP="0099521D">
            <w:pPr>
              <w:pStyle w:val="BRL-Tabelle"/>
              <w:spacing w:before="60" w:after="40"/>
              <w:jc w:val="center"/>
              <w:rPr>
                <w:sz w:val="16"/>
              </w:rPr>
            </w:pPr>
          </w:p>
        </w:tc>
      </w:tr>
      <w:tr w:rsidR="00B95F65" w:rsidRPr="0009445C" w14:paraId="2D4751F9" w14:textId="77777777" w:rsidTr="0099521D">
        <w:trPr>
          <w:trHeight w:val="264"/>
        </w:trPr>
        <w:tc>
          <w:tcPr>
            <w:tcW w:w="2355" w:type="dxa"/>
            <w:gridSpan w:val="2"/>
          </w:tcPr>
          <w:p w14:paraId="5585570D" w14:textId="77777777" w:rsidR="00B95F65" w:rsidRPr="0009445C" w:rsidRDefault="0066485E" w:rsidP="0099521D">
            <w:pPr>
              <w:pStyle w:val="BRL-Tabelle"/>
              <w:spacing w:before="60" w:after="40"/>
            </w:pPr>
            <w:r w:rsidRPr="0009445C">
              <w:t>Additional check for detectors with category S</w:t>
            </w:r>
            <w:r w:rsidRPr="0009445C">
              <w:rPr>
                <w:vertAlign w:val="superscript"/>
              </w:rPr>
              <w:t xml:space="preserve"> 1</w:t>
            </w:r>
          </w:p>
        </w:tc>
        <w:tc>
          <w:tcPr>
            <w:tcW w:w="427" w:type="dxa"/>
            <w:vAlign w:val="center"/>
          </w:tcPr>
          <w:p w14:paraId="7769830F" w14:textId="77777777" w:rsidR="00B95F65" w:rsidRPr="0009445C" w:rsidRDefault="00B95F65" w:rsidP="0099521D">
            <w:pPr>
              <w:pStyle w:val="BRL-Tabelle"/>
              <w:spacing w:before="60" w:after="40"/>
              <w:jc w:val="center"/>
              <w:rPr>
                <w:sz w:val="16"/>
              </w:rPr>
            </w:pPr>
          </w:p>
        </w:tc>
        <w:tc>
          <w:tcPr>
            <w:tcW w:w="427" w:type="dxa"/>
            <w:vAlign w:val="center"/>
          </w:tcPr>
          <w:p w14:paraId="25D5C186" w14:textId="77777777" w:rsidR="00B95F65" w:rsidRPr="0009445C" w:rsidRDefault="00B95F65" w:rsidP="0099521D">
            <w:pPr>
              <w:pStyle w:val="BRL-Tabelle"/>
              <w:spacing w:before="60" w:after="40"/>
              <w:jc w:val="center"/>
              <w:rPr>
                <w:sz w:val="16"/>
              </w:rPr>
            </w:pPr>
          </w:p>
        </w:tc>
        <w:tc>
          <w:tcPr>
            <w:tcW w:w="426" w:type="dxa"/>
            <w:vAlign w:val="center"/>
          </w:tcPr>
          <w:p w14:paraId="146DFAE3" w14:textId="77777777" w:rsidR="00B95F65" w:rsidRPr="0009445C" w:rsidRDefault="00B95F65" w:rsidP="0099521D">
            <w:pPr>
              <w:pStyle w:val="BRL-Tabelle"/>
              <w:spacing w:before="60" w:after="40"/>
              <w:jc w:val="center"/>
              <w:rPr>
                <w:sz w:val="16"/>
              </w:rPr>
            </w:pPr>
          </w:p>
        </w:tc>
        <w:tc>
          <w:tcPr>
            <w:tcW w:w="427" w:type="dxa"/>
            <w:vAlign w:val="center"/>
          </w:tcPr>
          <w:p w14:paraId="5A3E9BB3" w14:textId="77777777" w:rsidR="00B95F65" w:rsidRPr="0009445C" w:rsidRDefault="0066485E" w:rsidP="0099521D">
            <w:pPr>
              <w:pStyle w:val="BRL-Tabelle"/>
              <w:spacing w:before="60" w:after="40"/>
              <w:jc w:val="center"/>
              <w:rPr>
                <w:sz w:val="16"/>
              </w:rPr>
            </w:pPr>
            <w:r w:rsidRPr="0009445C">
              <w:rPr>
                <w:sz w:val="16"/>
              </w:rPr>
              <w:t>X</w:t>
            </w:r>
          </w:p>
        </w:tc>
        <w:tc>
          <w:tcPr>
            <w:tcW w:w="425" w:type="dxa"/>
            <w:vAlign w:val="center"/>
          </w:tcPr>
          <w:p w14:paraId="2EE7F593" w14:textId="77777777" w:rsidR="00B95F65" w:rsidRPr="0009445C" w:rsidRDefault="00B95F65" w:rsidP="0099521D">
            <w:pPr>
              <w:pStyle w:val="BRL-Tabelle"/>
              <w:spacing w:before="60" w:after="40"/>
              <w:jc w:val="center"/>
              <w:rPr>
                <w:sz w:val="16"/>
              </w:rPr>
            </w:pPr>
          </w:p>
        </w:tc>
        <w:tc>
          <w:tcPr>
            <w:tcW w:w="426" w:type="dxa"/>
            <w:vAlign w:val="center"/>
          </w:tcPr>
          <w:p w14:paraId="13C4D030" w14:textId="77777777" w:rsidR="00B95F65" w:rsidRPr="0009445C" w:rsidRDefault="00B95F65" w:rsidP="0099521D">
            <w:pPr>
              <w:pStyle w:val="BRL-Tabelle"/>
              <w:spacing w:before="60" w:after="40"/>
              <w:jc w:val="center"/>
              <w:rPr>
                <w:sz w:val="16"/>
              </w:rPr>
            </w:pPr>
          </w:p>
        </w:tc>
        <w:tc>
          <w:tcPr>
            <w:tcW w:w="428" w:type="dxa"/>
            <w:vAlign w:val="center"/>
          </w:tcPr>
          <w:p w14:paraId="0073755E" w14:textId="77777777" w:rsidR="00B95F65" w:rsidRPr="0009445C" w:rsidRDefault="00B95F65" w:rsidP="0099521D">
            <w:pPr>
              <w:pStyle w:val="BRL-Tabelle"/>
              <w:spacing w:before="60" w:after="40"/>
              <w:jc w:val="center"/>
              <w:rPr>
                <w:sz w:val="16"/>
              </w:rPr>
            </w:pPr>
          </w:p>
        </w:tc>
        <w:tc>
          <w:tcPr>
            <w:tcW w:w="427" w:type="dxa"/>
            <w:vAlign w:val="center"/>
          </w:tcPr>
          <w:p w14:paraId="686A45E7" w14:textId="77777777" w:rsidR="00B95F65" w:rsidRPr="0009445C" w:rsidRDefault="00B95F65" w:rsidP="0099521D">
            <w:pPr>
              <w:pStyle w:val="BRL-Tabelle"/>
              <w:spacing w:before="60" w:after="40"/>
              <w:jc w:val="center"/>
              <w:rPr>
                <w:sz w:val="16"/>
              </w:rPr>
            </w:pPr>
          </w:p>
        </w:tc>
        <w:tc>
          <w:tcPr>
            <w:tcW w:w="426" w:type="dxa"/>
            <w:vAlign w:val="center"/>
          </w:tcPr>
          <w:p w14:paraId="500895F2" w14:textId="77777777" w:rsidR="00B95F65" w:rsidRPr="0009445C" w:rsidRDefault="00B95F65" w:rsidP="0099521D">
            <w:pPr>
              <w:pStyle w:val="BRL-Tabelle"/>
              <w:spacing w:before="60" w:after="40"/>
              <w:jc w:val="center"/>
              <w:rPr>
                <w:sz w:val="16"/>
              </w:rPr>
            </w:pPr>
          </w:p>
        </w:tc>
        <w:tc>
          <w:tcPr>
            <w:tcW w:w="426" w:type="dxa"/>
            <w:vAlign w:val="center"/>
          </w:tcPr>
          <w:p w14:paraId="746D40D9" w14:textId="77777777" w:rsidR="00B95F65" w:rsidRPr="0009445C" w:rsidRDefault="00B95F65" w:rsidP="0099521D">
            <w:pPr>
              <w:pStyle w:val="BRL-Tabelle"/>
              <w:spacing w:before="60" w:after="40"/>
              <w:jc w:val="center"/>
              <w:rPr>
                <w:sz w:val="16"/>
              </w:rPr>
            </w:pPr>
          </w:p>
        </w:tc>
        <w:tc>
          <w:tcPr>
            <w:tcW w:w="426" w:type="dxa"/>
            <w:vAlign w:val="center"/>
          </w:tcPr>
          <w:p w14:paraId="1E5DC02B" w14:textId="77777777" w:rsidR="00B95F65" w:rsidRPr="0009445C" w:rsidRDefault="00B95F65" w:rsidP="0099521D">
            <w:pPr>
              <w:pStyle w:val="BRL-Tabelle"/>
              <w:spacing w:before="60" w:after="40"/>
              <w:jc w:val="center"/>
              <w:rPr>
                <w:sz w:val="16"/>
              </w:rPr>
            </w:pPr>
          </w:p>
        </w:tc>
        <w:tc>
          <w:tcPr>
            <w:tcW w:w="433" w:type="dxa"/>
            <w:vAlign w:val="center"/>
          </w:tcPr>
          <w:p w14:paraId="0DA1E480" w14:textId="77777777" w:rsidR="00B95F65" w:rsidRPr="0009445C" w:rsidRDefault="00B95F65" w:rsidP="0099521D">
            <w:pPr>
              <w:pStyle w:val="BRL-Tabelle"/>
              <w:spacing w:before="60" w:after="40"/>
              <w:jc w:val="center"/>
              <w:rPr>
                <w:sz w:val="16"/>
              </w:rPr>
            </w:pPr>
          </w:p>
        </w:tc>
        <w:tc>
          <w:tcPr>
            <w:tcW w:w="426" w:type="dxa"/>
            <w:vAlign w:val="center"/>
          </w:tcPr>
          <w:p w14:paraId="16C7C2CB" w14:textId="77777777" w:rsidR="00B95F65" w:rsidRPr="0009445C" w:rsidRDefault="00B95F65" w:rsidP="0099521D">
            <w:pPr>
              <w:pStyle w:val="BRL-Tabelle"/>
              <w:spacing w:before="60" w:after="40"/>
              <w:jc w:val="center"/>
              <w:rPr>
                <w:sz w:val="16"/>
              </w:rPr>
            </w:pPr>
          </w:p>
        </w:tc>
        <w:tc>
          <w:tcPr>
            <w:tcW w:w="427" w:type="dxa"/>
            <w:vAlign w:val="center"/>
          </w:tcPr>
          <w:p w14:paraId="08889362" w14:textId="77777777" w:rsidR="00B95F65" w:rsidRPr="0009445C" w:rsidRDefault="00B95F65" w:rsidP="0099521D">
            <w:pPr>
              <w:pStyle w:val="BRL-Tabelle"/>
              <w:spacing w:before="60" w:after="40"/>
              <w:jc w:val="center"/>
              <w:rPr>
                <w:sz w:val="16"/>
              </w:rPr>
            </w:pPr>
          </w:p>
        </w:tc>
        <w:tc>
          <w:tcPr>
            <w:tcW w:w="426" w:type="dxa"/>
            <w:vAlign w:val="center"/>
          </w:tcPr>
          <w:p w14:paraId="7A8ABB77" w14:textId="77777777" w:rsidR="00B95F65" w:rsidRPr="0009445C" w:rsidRDefault="00B95F65" w:rsidP="0099521D">
            <w:pPr>
              <w:pStyle w:val="BRL-Tabelle"/>
              <w:spacing w:before="60" w:after="40"/>
              <w:jc w:val="center"/>
              <w:rPr>
                <w:sz w:val="16"/>
              </w:rPr>
            </w:pPr>
          </w:p>
        </w:tc>
        <w:tc>
          <w:tcPr>
            <w:tcW w:w="427" w:type="dxa"/>
            <w:vAlign w:val="center"/>
          </w:tcPr>
          <w:p w14:paraId="3746AC28" w14:textId="77777777" w:rsidR="00B95F65" w:rsidRPr="0009445C" w:rsidRDefault="00B95F65" w:rsidP="0099521D">
            <w:pPr>
              <w:pStyle w:val="BRL-Tabelle"/>
              <w:spacing w:before="60" w:after="40"/>
              <w:jc w:val="center"/>
              <w:rPr>
                <w:sz w:val="16"/>
              </w:rPr>
            </w:pPr>
          </w:p>
        </w:tc>
      </w:tr>
      <w:tr w:rsidR="00B95F65" w:rsidRPr="0009445C" w14:paraId="7927AFE7" w14:textId="77777777" w:rsidTr="0099521D">
        <w:trPr>
          <w:trHeight w:val="264"/>
        </w:trPr>
        <w:tc>
          <w:tcPr>
            <w:tcW w:w="2355" w:type="dxa"/>
            <w:gridSpan w:val="2"/>
          </w:tcPr>
          <w:p w14:paraId="24209653" w14:textId="77777777" w:rsidR="00B95F65" w:rsidRPr="0009445C" w:rsidRDefault="0066485E" w:rsidP="0099521D">
            <w:pPr>
              <w:pStyle w:val="BRL-Tabelle"/>
              <w:spacing w:before="60" w:after="40"/>
            </w:pPr>
            <w:r w:rsidRPr="0009445C">
              <w:t>Additional check for detectors with category index R</w:t>
            </w:r>
            <w:r w:rsidRPr="0009445C">
              <w:rPr>
                <w:vertAlign w:val="superscript"/>
              </w:rPr>
              <w:t xml:space="preserve"> 1</w:t>
            </w:r>
          </w:p>
        </w:tc>
        <w:tc>
          <w:tcPr>
            <w:tcW w:w="427" w:type="dxa"/>
            <w:vAlign w:val="center"/>
          </w:tcPr>
          <w:p w14:paraId="1133B1F7" w14:textId="77777777" w:rsidR="00B95F65" w:rsidRPr="0009445C" w:rsidRDefault="00B95F65" w:rsidP="0099521D">
            <w:pPr>
              <w:pStyle w:val="BRL-Tabelle"/>
              <w:spacing w:before="60" w:after="40"/>
              <w:jc w:val="center"/>
              <w:rPr>
                <w:sz w:val="16"/>
              </w:rPr>
            </w:pPr>
          </w:p>
        </w:tc>
        <w:tc>
          <w:tcPr>
            <w:tcW w:w="427" w:type="dxa"/>
            <w:vAlign w:val="center"/>
          </w:tcPr>
          <w:p w14:paraId="073F12F9" w14:textId="77777777" w:rsidR="00B95F65" w:rsidRPr="0009445C" w:rsidRDefault="00B95F65" w:rsidP="0099521D">
            <w:pPr>
              <w:pStyle w:val="BRL-Tabelle"/>
              <w:spacing w:before="60" w:after="40"/>
              <w:jc w:val="center"/>
              <w:rPr>
                <w:sz w:val="16"/>
              </w:rPr>
            </w:pPr>
          </w:p>
        </w:tc>
        <w:tc>
          <w:tcPr>
            <w:tcW w:w="426" w:type="dxa"/>
            <w:vAlign w:val="center"/>
          </w:tcPr>
          <w:p w14:paraId="19C77D74" w14:textId="77777777" w:rsidR="00B95F65" w:rsidRPr="0009445C" w:rsidRDefault="00B95F65" w:rsidP="0099521D">
            <w:pPr>
              <w:pStyle w:val="BRL-Tabelle"/>
              <w:spacing w:before="60" w:after="40"/>
              <w:jc w:val="center"/>
              <w:rPr>
                <w:sz w:val="16"/>
              </w:rPr>
            </w:pPr>
          </w:p>
        </w:tc>
        <w:tc>
          <w:tcPr>
            <w:tcW w:w="427" w:type="dxa"/>
            <w:vAlign w:val="center"/>
          </w:tcPr>
          <w:p w14:paraId="152477F3" w14:textId="77777777" w:rsidR="00B95F65" w:rsidRPr="0009445C" w:rsidRDefault="0066485E" w:rsidP="0099521D">
            <w:pPr>
              <w:pStyle w:val="BRL-Tabelle"/>
              <w:spacing w:before="60" w:after="40"/>
              <w:jc w:val="center"/>
              <w:rPr>
                <w:sz w:val="16"/>
              </w:rPr>
            </w:pPr>
            <w:r w:rsidRPr="0009445C">
              <w:rPr>
                <w:sz w:val="16"/>
              </w:rPr>
              <w:t>X</w:t>
            </w:r>
          </w:p>
        </w:tc>
        <w:tc>
          <w:tcPr>
            <w:tcW w:w="425" w:type="dxa"/>
            <w:vAlign w:val="center"/>
          </w:tcPr>
          <w:p w14:paraId="331A7095" w14:textId="77777777" w:rsidR="00B95F65" w:rsidRPr="0009445C" w:rsidRDefault="00B95F65" w:rsidP="0099521D">
            <w:pPr>
              <w:pStyle w:val="BRL-Tabelle"/>
              <w:spacing w:before="60" w:after="40"/>
              <w:jc w:val="center"/>
              <w:rPr>
                <w:sz w:val="16"/>
              </w:rPr>
            </w:pPr>
          </w:p>
        </w:tc>
        <w:tc>
          <w:tcPr>
            <w:tcW w:w="426" w:type="dxa"/>
            <w:vAlign w:val="center"/>
          </w:tcPr>
          <w:p w14:paraId="185DCCAA" w14:textId="77777777" w:rsidR="00B95F65" w:rsidRPr="0009445C" w:rsidRDefault="00B95F65" w:rsidP="0099521D">
            <w:pPr>
              <w:pStyle w:val="BRL-Tabelle"/>
              <w:spacing w:before="60" w:after="40"/>
              <w:jc w:val="center"/>
              <w:rPr>
                <w:sz w:val="16"/>
              </w:rPr>
            </w:pPr>
          </w:p>
        </w:tc>
        <w:tc>
          <w:tcPr>
            <w:tcW w:w="428" w:type="dxa"/>
            <w:vAlign w:val="center"/>
          </w:tcPr>
          <w:p w14:paraId="618142A3" w14:textId="77777777" w:rsidR="00B95F65" w:rsidRPr="0009445C" w:rsidRDefault="00B95F65" w:rsidP="0099521D">
            <w:pPr>
              <w:pStyle w:val="BRL-Tabelle"/>
              <w:spacing w:before="60" w:after="40"/>
              <w:jc w:val="center"/>
              <w:rPr>
                <w:sz w:val="16"/>
              </w:rPr>
            </w:pPr>
          </w:p>
        </w:tc>
        <w:tc>
          <w:tcPr>
            <w:tcW w:w="427" w:type="dxa"/>
            <w:vAlign w:val="center"/>
          </w:tcPr>
          <w:p w14:paraId="36E65FDA" w14:textId="77777777" w:rsidR="00B95F65" w:rsidRPr="0009445C" w:rsidRDefault="00B95F65" w:rsidP="0099521D">
            <w:pPr>
              <w:pStyle w:val="BRL-Tabelle"/>
              <w:spacing w:before="60" w:after="40"/>
              <w:jc w:val="center"/>
              <w:rPr>
                <w:sz w:val="16"/>
              </w:rPr>
            </w:pPr>
          </w:p>
        </w:tc>
        <w:tc>
          <w:tcPr>
            <w:tcW w:w="426" w:type="dxa"/>
            <w:vAlign w:val="center"/>
          </w:tcPr>
          <w:p w14:paraId="3EF7F29B" w14:textId="77777777" w:rsidR="00B95F65" w:rsidRPr="0009445C" w:rsidRDefault="00B95F65" w:rsidP="0099521D">
            <w:pPr>
              <w:pStyle w:val="BRL-Tabelle"/>
              <w:spacing w:before="60" w:after="40"/>
              <w:jc w:val="center"/>
              <w:rPr>
                <w:sz w:val="16"/>
              </w:rPr>
            </w:pPr>
          </w:p>
        </w:tc>
        <w:tc>
          <w:tcPr>
            <w:tcW w:w="426" w:type="dxa"/>
            <w:vAlign w:val="center"/>
          </w:tcPr>
          <w:p w14:paraId="4922F7EE" w14:textId="77777777" w:rsidR="00B95F65" w:rsidRPr="0009445C" w:rsidRDefault="00B95F65" w:rsidP="0099521D">
            <w:pPr>
              <w:pStyle w:val="BRL-Tabelle"/>
              <w:spacing w:before="60" w:after="40"/>
              <w:jc w:val="center"/>
              <w:rPr>
                <w:sz w:val="16"/>
              </w:rPr>
            </w:pPr>
          </w:p>
        </w:tc>
        <w:tc>
          <w:tcPr>
            <w:tcW w:w="426" w:type="dxa"/>
            <w:vAlign w:val="center"/>
          </w:tcPr>
          <w:p w14:paraId="5D8E3436" w14:textId="77777777" w:rsidR="00B95F65" w:rsidRPr="0009445C" w:rsidRDefault="00B95F65" w:rsidP="0099521D">
            <w:pPr>
              <w:pStyle w:val="BRL-Tabelle"/>
              <w:spacing w:before="60" w:after="40"/>
              <w:jc w:val="center"/>
              <w:rPr>
                <w:sz w:val="16"/>
              </w:rPr>
            </w:pPr>
          </w:p>
        </w:tc>
        <w:tc>
          <w:tcPr>
            <w:tcW w:w="433" w:type="dxa"/>
            <w:vAlign w:val="center"/>
          </w:tcPr>
          <w:p w14:paraId="3375D1C9" w14:textId="77777777" w:rsidR="00B95F65" w:rsidRPr="0009445C" w:rsidRDefault="00B95F65" w:rsidP="0099521D">
            <w:pPr>
              <w:pStyle w:val="BRL-Tabelle"/>
              <w:spacing w:before="60" w:after="40"/>
              <w:jc w:val="center"/>
              <w:rPr>
                <w:sz w:val="16"/>
              </w:rPr>
            </w:pPr>
          </w:p>
        </w:tc>
        <w:tc>
          <w:tcPr>
            <w:tcW w:w="426" w:type="dxa"/>
            <w:vAlign w:val="center"/>
          </w:tcPr>
          <w:p w14:paraId="49FDE183" w14:textId="77777777" w:rsidR="00B95F65" w:rsidRPr="0009445C" w:rsidRDefault="00B95F65" w:rsidP="0099521D">
            <w:pPr>
              <w:pStyle w:val="BRL-Tabelle"/>
              <w:spacing w:before="60" w:after="40"/>
              <w:jc w:val="center"/>
              <w:rPr>
                <w:sz w:val="16"/>
              </w:rPr>
            </w:pPr>
          </w:p>
        </w:tc>
        <w:tc>
          <w:tcPr>
            <w:tcW w:w="427" w:type="dxa"/>
            <w:vAlign w:val="center"/>
          </w:tcPr>
          <w:p w14:paraId="2BC14219" w14:textId="77777777" w:rsidR="00B95F65" w:rsidRPr="0009445C" w:rsidRDefault="00B95F65" w:rsidP="0099521D">
            <w:pPr>
              <w:pStyle w:val="BRL-Tabelle"/>
              <w:spacing w:before="60" w:after="40"/>
              <w:jc w:val="center"/>
              <w:rPr>
                <w:sz w:val="16"/>
              </w:rPr>
            </w:pPr>
          </w:p>
        </w:tc>
        <w:tc>
          <w:tcPr>
            <w:tcW w:w="426" w:type="dxa"/>
            <w:vAlign w:val="center"/>
          </w:tcPr>
          <w:p w14:paraId="301174F3" w14:textId="77777777" w:rsidR="00B95F65" w:rsidRPr="0009445C" w:rsidRDefault="00B95F65" w:rsidP="0099521D">
            <w:pPr>
              <w:pStyle w:val="BRL-Tabelle"/>
              <w:spacing w:before="60" w:after="40"/>
              <w:jc w:val="center"/>
              <w:rPr>
                <w:sz w:val="16"/>
              </w:rPr>
            </w:pPr>
          </w:p>
        </w:tc>
        <w:tc>
          <w:tcPr>
            <w:tcW w:w="427" w:type="dxa"/>
            <w:vAlign w:val="center"/>
          </w:tcPr>
          <w:p w14:paraId="28C06D23" w14:textId="77777777" w:rsidR="00B95F65" w:rsidRPr="0009445C" w:rsidRDefault="00B95F65" w:rsidP="0099521D">
            <w:pPr>
              <w:pStyle w:val="BRL-Tabelle"/>
              <w:spacing w:before="60" w:after="40"/>
              <w:jc w:val="center"/>
              <w:rPr>
                <w:sz w:val="16"/>
              </w:rPr>
            </w:pPr>
          </w:p>
        </w:tc>
      </w:tr>
      <w:tr w:rsidR="00B47442" w:rsidRPr="0009445C" w14:paraId="5B267E74" w14:textId="77777777" w:rsidTr="0099521D">
        <w:trPr>
          <w:trHeight w:val="264"/>
        </w:trPr>
        <w:tc>
          <w:tcPr>
            <w:tcW w:w="2355" w:type="dxa"/>
            <w:gridSpan w:val="2"/>
          </w:tcPr>
          <w:p w14:paraId="0294291B" w14:textId="77777777" w:rsidR="00B47442" w:rsidRPr="0009445C" w:rsidRDefault="00B47442" w:rsidP="0099521D">
            <w:pPr>
              <w:pStyle w:val="BRL-Tabelle"/>
              <w:spacing w:before="60" w:after="40"/>
            </w:pPr>
            <w:r w:rsidRPr="0009445C">
              <w:t>Response to slowly developing fires</w:t>
            </w:r>
          </w:p>
        </w:tc>
        <w:tc>
          <w:tcPr>
            <w:tcW w:w="427" w:type="dxa"/>
            <w:vAlign w:val="center"/>
          </w:tcPr>
          <w:p w14:paraId="08F9B1C6" w14:textId="77777777" w:rsidR="00B47442" w:rsidRPr="0009445C" w:rsidRDefault="00B47442" w:rsidP="0099521D">
            <w:pPr>
              <w:pStyle w:val="BRL-Tabelle"/>
              <w:spacing w:before="60" w:after="40"/>
              <w:jc w:val="center"/>
              <w:rPr>
                <w:sz w:val="16"/>
              </w:rPr>
            </w:pPr>
          </w:p>
        </w:tc>
        <w:tc>
          <w:tcPr>
            <w:tcW w:w="427" w:type="dxa"/>
            <w:vAlign w:val="center"/>
          </w:tcPr>
          <w:p w14:paraId="6E25BEEA" w14:textId="77777777" w:rsidR="00B47442" w:rsidRPr="0009445C" w:rsidRDefault="00B47442" w:rsidP="0099521D">
            <w:pPr>
              <w:pStyle w:val="BRL-Tabelle"/>
              <w:spacing w:before="60" w:after="40"/>
              <w:jc w:val="center"/>
              <w:rPr>
                <w:sz w:val="16"/>
              </w:rPr>
            </w:pPr>
          </w:p>
        </w:tc>
        <w:tc>
          <w:tcPr>
            <w:tcW w:w="426" w:type="dxa"/>
            <w:vAlign w:val="center"/>
          </w:tcPr>
          <w:p w14:paraId="3919FA81" w14:textId="77777777" w:rsidR="00B47442" w:rsidRPr="0009445C" w:rsidRDefault="00B47442" w:rsidP="0099521D">
            <w:pPr>
              <w:pStyle w:val="BRL-Tabelle"/>
              <w:spacing w:before="60" w:after="40"/>
              <w:jc w:val="center"/>
              <w:rPr>
                <w:sz w:val="16"/>
              </w:rPr>
            </w:pPr>
          </w:p>
        </w:tc>
        <w:tc>
          <w:tcPr>
            <w:tcW w:w="427" w:type="dxa"/>
            <w:vAlign w:val="center"/>
          </w:tcPr>
          <w:p w14:paraId="34ABF9F6" w14:textId="77777777" w:rsidR="00B47442" w:rsidRPr="0009445C" w:rsidRDefault="00B47442" w:rsidP="0099521D">
            <w:pPr>
              <w:pStyle w:val="BRL-Tabelle"/>
              <w:spacing w:before="60" w:after="40"/>
              <w:jc w:val="center"/>
              <w:rPr>
                <w:sz w:val="16"/>
              </w:rPr>
            </w:pPr>
          </w:p>
        </w:tc>
        <w:tc>
          <w:tcPr>
            <w:tcW w:w="425" w:type="dxa"/>
            <w:vAlign w:val="center"/>
          </w:tcPr>
          <w:p w14:paraId="44A116B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2F0C40A" w14:textId="77777777" w:rsidR="00B47442" w:rsidRPr="0009445C" w:rsidRDefault="00B47442" w:rsidP="0099521D">
            <w:pPr>
              <w:pStyle w:val="BRL-Tabelle"/>
              <w:spacing w:before="60" w:after="40"/>
              <w:jc w:val="center"/>
              <w:rPr>
                <w:sz w:val="16"/>
              </w:rPr>
            </w:pPr>
          </w:p>
        </w:tc>
        <w:tc>
          <w:tcPr>
            <w:tcW w:w="428" w:type="dxa"/>
            <w:vAlign w:val="center"/>
          </w:tcPr>
          <w:p w14:paraId="199DACDF" w14:textId="77777777" w:rsidR="00B47442" w:rsidRPr="0009445C" w:rsidRDefault="00B47442" w:rsidP="0099521D">
            <w:pPr>
              <w:pStyle w:val="BRL-Tabelle"/>
              <w:spacing w:before="60" w:after="40"/>
              <w:jc w:val="center"/>
              <w:rPr>
                <w:sz w:val="16"/>
              </w:rPr>
            </w:pPr>
          </w:p>
        </w:tc>
        <w:tc>
          <w:tcPr>
            <w:tcW w:w="427" w:type="dxa"/>
            <w:vAlign w:val="center"/>
          </w:tcPr>
          <w:p w14:paraId="50FD9697" w14:textId="77777777" w:rsidR="00B47442" w:rsidRPr="0009445C" w:rsidRDefault="00B47442" w:rsidP="0099521D">
            <w:pPr>
              <w:pStyle w:val="BRL-Tabelle"/>
              <w:spacing w:before="60" w:after="40"/>
              <w:jc w:val="center"/>
              <w:rPr>
                <w:sz w:val="16"/>
              </w:rPr>
            </w:pPr>
          </w:p>
        </w:tc>
        <w:tc>
          <w:tcPr>
            <w:tcW w:w="426" w:type="dxa"/>
            <w:vAlign w:val="center"/>
          </w:tcPr>
          <w:p w14:paraId="2B8705CF" w14:textId="77777777" w:rsidR="00B47442" w:rsidRPr="0009445C" w:rsidRDefault="00B47442" w:rsidP="0099521D">
            <w:pPr>
              <w:pStyle w:val="BRL-Tabelle"/>
              <w:spacing w:before="60" w:after="40"/>
              <w:jc w:val="center"/>
              <w:rPr>
                <w:sz w:val="16"/>
              </w:rPr>
            </w:pPr>
          </w:p>
        </w:tc>
        <w:tc>
          <w:tcPr>
            <w:tcW w:w="426" w:type="dxa"/>
            <w:vAlign w:val="center"/>
          </w:tcPr>
          <w:p w14:paraId="75F69FB3" w14:textId="77777777" w:rsidR="00B47442" w:rsidRPr="0009445C" w:rsidRDefault="00B47442" w:rsidP="0099521D">
            <w:pPr>
              <w:pStyle w:val="BRL-Tabelle"/>
              <w:spacing w:before="60" w:after="40"/>
              <w:jc w:val="center"/>
              <w:rPr>
                <w:sz w:val="16"/>
              </w:rPr>
            </w:pPr>
          </w:p>
        </w:tc>
        <w:tc>
          <w:tcPr>
            <w:tcW w:w="426" w:type="dxa"/>
            <w:vAlign w:val="center"/>
          </w:tcPr>
          <w:p w14:paraId="11599D80" w14:textId="77777777" w:rsidR="00B47442" w:rsidRPr="0009445C" w:rsidRDefault="00B47442" w:rsidP="0099521D">
            <w:pPr>
              <w:pStyle w:val="BRL-Tabelle"/>
              <w:spacing w:before="60" w:after="40"/>
              <w:jc w:val="center"/>
              <w:rPr>
                <w:sz w:val="16"/>
              </w:rPr>
            </w:pPr>
          </w:p>
        </w:tc>
        <w:tc>
          <w:tcPr>
            <w:tcW w:w="433" w:type="dxa"/>
            <w:vAlign w:val="center"/>
          </w:tcPr>
          <w:p w14:paraId="35FBFA9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EC82F98" w14:textId="77777777" w:rsidR="00B47442" w:rsidRPr="0009445C" w:rsidRDefault="00B47442" w:rsidP="0099521D">
            <w:pPr>
              <w:pStyle w:val="BRL-Tabelle"/>
              <w:spacing w:before="60" w:after="40"/>
              <w:jc w:val="center"/>
              <w:rPr>
                <w:sz w:val="16"/>
              </w:rPr>
            </w:pPr>
          </w:p>
        </w:tc>
        <w:tc>
          <w:tcPr>
            <w:tcW w:w="427" w:type="dxa"/>
            <w:vAlign w:val="center"/>
          </w:tcPr>
          <w:p w14:paraId="00D6A66D" w14:textId="77777777" w:rsidR="00B47442" w:rsidRPr="0009445C" w:rsidRDefault="00B47442" w:rsidP="0099521D">
            <w:pPr>
              <w:pStyle w:val="BRL-Tabelle"/>
              <w:spacing w:before="60" w:after="40"/>
              <w:jc w:val="center"/>
              <w:rPr>
                <w:sz w:val="16"/>
              </w:rPr>
            </w:pPr>
          </w:p>
        </w:tc>
        <w:tc>
          <w:tcPr>
            <w:tcW w:w="426" w:type="dxa"/>
            <w:vAlign w:val="center"/>
          </w:tcPr>
          <w:p w14:paraId="45BB4CA9" w14:textId="77777777" w:rsidR="00B47442" w:rsidRPr="0009445C" w:rsidRDefault="00B47442" w:rsidP="0099521D">
            <w:pPr>
              <w:pStyle w:val="BRL-Tabelle"/>
              <w:spacing w:before="60" w:after="40"/>
              <w:jc w:val="center"/>
              <w:rPr>
                <w:sz w:val="16"/>
              </w:rPr>
            </w:pPr>
          </w:p>
        </w:tc>
        <w:tc>
          <w:tcPr>
            <w:tcW w:w="427" w:type="dxa"/>
            <w:vAlign w:val="center"/>
          </w:tcPr>
          <w:p w14:paraId="3D78B78D" w14:textId="77777777" w:rsidR="00B47442" w:rsidRPr="0009445C" w:rsidRDefault="00B47442" w:rsidP="0099521D">
            <w:pPr>
              <w:pStyle w:val="BRL-Tabelle"/>
              <w:spacing w:before="60" w:after="40"/>
              <w:jc w:val="center"/>
              <w:rPr>
                <w:sz w:val="16"/>
              </w:rPr>
            </w:pPr>
          </w:p>
        </w:tc>
      </w:tr>
      <w:tr w:rsidR="00B47442" w:rsidRPr="0009445C" w14:paraId="3950A768" w14:textId="77777777" w:rsidTr="0099521D">
        <w:trPr>
          <w:trHeight w:val="264"/>
        </w:trPr>
        <w:tc>
          <w:tcPr>
            <w:tcW w:w="2355" w:type="dxa"/>
            <w:gridSpan w:val="2"/>
          </w:tcPr>
          <w:p w14:paraId="6ECE06FF" w14:textId="77777777" w:rsidR="00B47442" w:rsidRPr="0009445C" w:rsidRDefault="00B47442" w:rsidP="0099521D">
            <w:pPr>
              <w:pStyle w:val="BRL-Tabelle"/>
              <w:spacing w:before="60" w:after="40"/>
            </w:pPr>
            <w:r w:rsidRPr="0009445C">
              <w:t>Repeatability/repeat precision</w:t>
            </w:r>
          </w:p>
        </w:tc>
        <w:tc>
          <w:tcPr>
            <w:tcW w:w="427" w:type="dxa"/>
            <w:vAlign w:val="center"/>
          </w:tcPr>
          <w:p w14:paraId="70EF6330" w14:textId="77777777" w:rsidR="00B47442" w:rsidRPr="0009445C" w:rsidRDefault="00B47442" w:rsidP="0099521D">
            <w:pPr>
              <w:pStyle w:val="BRL-Tabelle"/>
              <w:spacing w:before="60" w:after="40"/>
              <w:jc w:val="center"/>
              <w:rPr>
                <w:sz w:val="16"/>
              </w:rPr>
            </w:pPr>
          </w:p>
        </w:tc>
        <w:tc>
          <w:tcPr>
            <w:tcW w:w="427" w:type="dxa"/>
            <w:vAlign w:val="center"/>
          </w:tcPr>
          <w:p w14:paraId="2ABD20B3" w14:textId="77777777" w:rsidR="00B47442" w:rsidRPr="0009445C" w:rsidRDefault="00B47442" w:rsidP="0099521D">
            <w:pPr>
              <w:pStyle w:val="BRL-Tabelle"/>
              <w:spacing w:before="60" w:after="40"/>
              <w:jc w:val="center"/>
              <w:rPr>
                <w:sz w:val="16"/>
              </w:rPr>
            </w:pPr>
          </w:p>
        </w:tc>
        <w:tc>
          <w:tcPr>
            <w:tcW w:w="426" w:type="dxa"/>
            <w:vAlign w:val="center"/>
          </w:tcPr>
          <w:p w14:paraId="349C3B09" w14:textId="77777777" w:rsidR="00B47442" w:rsidRPr="0009445C" w:rsidRDefault="00B47442" w:rsidP="0099521D">
            <w:pPr>
              <w:pStyle w:val="BRL-Tabelle"/>
              <w:spacing w:before="60" w:after="40"/>
              <w:jc w:val="center"/>
              <w:rPr>
                <w:sz w:val="16"/>
              </w:rPr>
            </w:pPr>
          </w:p>
        </w:tc>
        <w:tc>
          <w:tcPr>
            <w:tcW w:w="427" w:type="dxa"/>
            <w:vAlign w:val="center"/>
          </w:tcPr>
          <w:p w14:paraId="68919119" w14:textId="77777777" w:rsidR="00B47442" w:rsidRPr="0009445C" w:rsidRDefault="00B47442" w:rsidP="0099521D">
            <w:pPr>
              <w:pStyle w:val="BRL-Tabelle"/>
              <w:spacing w:before="60" w:after="40"/>
              <w:jc w:val="center"/>
              <w:rPr>
                <w:sz w:val="16"/>
              </w:rPr>
            </w:pPr>
          </w:p>
        </w:tc>
        <w:tc>
          <w:tcPr>
            <w:tcW w:w="425" w:type="dxa"/>
            <w:vAlign w:val="center"/>
          </w:tcPr>
          <w:p w14:paraId="33785B3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B4F9BAE"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2814281F" w14:textId="77777777" w:rsidR="00B47442" w:rsidRPr="0009445C" w:rsidRDefault="00B47442" w:rsidP="0099521D">
            <w:pPr>
              <w:pStyle w:val="BRL-Tabelle"/>
              <w:spacing w:before="60" w:after="40"/>
              <w:jc w:val="center"/>
              <w:rPr>
                <w:sz w:val="16"/>
              </w:rPr>
            </w:pPr>
          </w:p>
        </w:tc>
        <w:tc>
          <w:tcPr>
            <w:tcW w:w="427" w:type="dxa"/>
            <w:vAlign w:val="center"/>
          </w:tcPr>
          <w:p w14:paraId="2853F2C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796452A" w14:textId="77777777" w:rsidR="00B47442" w:rsidRPr="0009445C" w:rsidRDefault="00B47442" w:rsidP="0099521D">
            <w:pPr>
              <w:pStyle w:val="BRL-Tabelle"/>
              <w:spacing w:before="60" w:after="40"/>
              <w:jc w:val="center"/>
              <w:rPr>
                <w:sz w:val="16"/>
              </w:rPr>
            </w:pPr>
          </w:p>
        </w:tc>
        <w:tc>
          <w:tcPr>
            <w:tcW w:w="426" w:type="dxa"/>
            <w:vAlign w:val="center"/>
          </w:tcPr>
          <w:p w14:paraId="1AE839EC" w14:textId="77777777" w:rsidR="00B47442" w:rsidRPr="0009445C" w:rsidRDefault="00B47442" w:rsidP="0099521D">
            <w:pPr>
              <w:pStyle w:val="BRL-Tabelle"/>
              <w:spacing w:before="60" w:after="40"/>
              <w:jc w:val="center"/>
              <w:rPr>
                <w:sz w:val="16"/>
              </w:rPr>
            </w:pPr>
          </w:p>
        </w:tc>
        <w:tc>
          <w:tcPr>
            <w:tcW w:w="426" w:type="dxa"/>
            <w:vAlign w:val="center"/>
          </w:tcPr>
          <w:p w14:paraId="5A02C828" w14:textId="77777777" w:rsidR="00B47442" w:rsidRPr="0009445C" w:rsidRDefault="00B47442" w:rsidP="0099521D">
            <w:pPr>
              <w:pStyle w:val="BRL-Tabelle"/>
              <w:spacing w:before="60" w:after="40"/>
              <w:jc w:val="center"/>
              <w:rPr>
                <w:sz w:val="16"/>
              </w:rPr>
            </w:pPr>
          </w:p>
        </w:tc>
        <w:tc>
          <w:tcPr>
            <w:tcW w:w="433" w:type="dxa"/>
            <w:vAlign w:val="center"/>
          </w:tcPr>
          <w:p w14:paraId="37C593ED"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1C8CC6E" w14:textId="77777777" w:rsidR="00B47442" w:rsidRPr="0009445C" w:rsidRDefault="00B47442" w:rsidP="0099521D">
            <w:pPr>
              <w:pStyle w:val="BRL-Tabelle"/>
              <w:spacing w:before="60" w:after="40"/>
              <w:jc w:val="center"/>
              <w:rPr>
                <w:sz w:val="16"/>
              </w:rPr>
            </w:pPr>
          </w:p>
        </w:tc>
        <w:tc>
          <w:tcPr>
            <w:tcW w:w="427" w:type="dxa"/>
            <w:vAlign w:val="center"/>
          </w:tcPr>
          <w:p w14:paraId="7F576FEC" w14:textId="77777777" w:rsidR="00B47442" w:rsidRPr="0009445C" w:rsidRDefault="00B47442" w:rsidP="0099521D">
            <w:pPr>
              <w:pStyle w:val="BRL-Tabelle"/>
              <w:spacing w:before="60" w:after="40"/>
              <w:jc w:val="center"/>
              <w:rPr>
                <w:sz w:val="16"/>
              </w:rPr>
            </w:pPr>
          </w:p>
        </w:tc>
        <w:tc>
          <w:tcPr>
            <w:tcW w:w="426" w:type="dxa"/>
            <w:vAlign w:val="center"/>
          </w:tcPr>
          <w:p w14:paraId="586DBA60" w14:textId="77777777" w:rsidR="00B47442" w:rsidRPr="0009445C" w:rsidRDefault="00B47442" w:rsidP="0099521D">
            <w:pPr>
              <w:pStyle w:val="BRL-Tabelle"/>
              <w:spacing w:before="60" w:after="40"/>
              <w:jc w:val="center"/>
              <w:rPr>
                <w:sz w:val="16"/>
              </w:rPr>
            </w:pPr>
          </w:p>
        </w:tc>
        <w:tc>
          <w:tcPr>
            <w:tcW w:w="427" w:type="dxa"/>
            <w:vAlign w:val="center"/>
          </w:tcPr>
          <w:p w14:paraId="0493E8A5" w14:textId="77777777" w:rsidR="00B47442" w:rsidRPr="0009445C" w:rsidRDefault="00B47442" w:rsidP="0099521D">
            <w:pPr>
              <w:pStyle w:val="BRL-Tabelle"/>
              <w:spacing w:before="60" w:after="40"/>
              <w:jc w:val="center"/>
              <w:rPr>
                <w:sz w:val="16"/>
              </w:rPr>
            </w:pPr>
          </w:p>
        </w:tc>
      </w:tr>
      <w:tr w:rsidR="00B47442" w:rsidRPr="0009445C" w14:paraId="561F69A5" w14:textId="77777777" w:rsidTr="0099521D">
        <w:trPr>
          <w:trHeight w:val="264"/>
        </w:trPr>
        <w:tc>
          <w:tcPr>
            <w:tcW w:w="2355" w:type="dxa"/>
            <w:gridSpan w:val="2"/>
          </w:tcPr>
          <w:p w14:paraId="663313BA" w14:textId="77777777" w:rsidR="00B47442" w:rsidRPr="0009445C" w:rsidRDefault="00B47442" w:rsidP="0099521D">
            <w:pPr>
              <w:pStyle w:val="BRL-Tabelle"/>
              <w:spacing w:before="60" w:after="40"/>
            </w:pPr>
            <w:r w:rsidRPr="0009445C">
              <w:t>Air movement</w:t>
            </w:r>
          </w:p>
        </w:tc>
        <w:tc>
          <w:tcPr>
            <w:tcW w:w="427" w:type="dxa"/>
            <w:vAlign w:val="center"/>
          </w:tcPr>
          <w:p w14:paraId="5088A355" w14:textId="77777777" w:rsidR="00B47442" w:rsidRPr="0009445C" w:rsidRDefault="00B47442" w:rsidP="0099521D">
            <w:pPr>
              <w:pStyle w:val="BRL-Tabelle"/>
              <w:spacing w:before="60" w:after="40"/>
              <w:jc w:val="center"/>
              <w:rPr>
                <w:sz w:val="16"/>
              </w:rPr>
            </w:pPr>
          </w:p>
        </w:tc>
        <w:tc>
          <w:tcPr>
            <w:tcW w:w="427" w:type="dxa"/>
            <w:vAlign w:val="center"/>
          </w:tcPr>
          <w:p w14:paraId="24EEC8C6" w14:textId="77777777" w:rsidR="00B47442" w:rsidRPr="0009445C" w:rsidRDefault="00B47442" w:rsidP="0099521D">
            <w:pPr>
              <w:pStyle w:val="BRL-Tabelle"/>
              <w:spacing w:before="60" w:after="40"/>
              <w:jc w:val="center"/>
              <w:rPr>
                <w:sz w:val="16"/>
              </w:rPr>
            </w:pPr>
          </w:p>
        </w:tc>
        <w:tc>
          <w:tcPr>
            <w:tcW w:w="426" w:type="dxa"/>
            <w:vAlign w:val="center"/>
          </w:tcPr>
          <w:p w14:paraId="7799260C" w14:textId="77777777" w:rsidR="00B47442" w:rsidRPr="0009445C" w:rsidRDefault="00B47442" w:rsidP="0099521D">
            <w:pPr>
              <w:pStyle w:val="BRL-Tabelle"/>
              <w:spacing w:before="60" w:after="40"/>
              <w:jc w:val="center"/>
              <w:rPr>
                <w:sz w:val="16"/>
              </w:rPr>
            </w:pPr>
          </w:p>
        </w:tc>
        <w:tc>
          <w:tcPr>
            <w:tcW w:w="427" w:type="dxa"/>
            <w:vAlign w:val="center"/>
          </w:tcPr>
          <w:p w14:paraId="49559D8F" w14:textId="77777777" w:rsidR="00B47442" w:rsidRPr="0009445C" w:rsidRDefault="00B47442" w:rsidP="0099521D">
            <w:pPr>
              <w:pStyle w:val="BRL-Tabelle"/>
              <w:spacing w:before="60" w:after="40"/>
              <w:jc w:val="center"/>
              <w:rPr>
                <w:sz w:val="16"/>
              </w:rPr>
            </w:pPr>
          </w:p>
        </w:tc>
        <w:tc>
          <w:tcPr>
            <w:tcW w:w="425" w:type="dxa"/>
            <w:vAlign w:val="center"/>
          </w:tcPr>
          <w:p w14:paraId="748A52E2"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99AA36E" w14:textId="77777777" w:rsidR="00B47442" w:rsidRPr="0009445C" w:rsidRDefault="00B47442" w:rsidP="0099521D">
            <w:pPr>
              <w:pStyle w:val="BRL-Tabelle"/>
              <w:spacing w:before="60" w:after="40"/>
              <w:jc w:val="center"/>
              <w:rPr>
                <w:sz w:val="16"/>
              </w:rPr>
            </w:pPr>
          </w:p>
        </w:tc>
        <w:tc>
          <w:tcPr>
            <w:tcW w:w="428" w:type="dxa"/>
            <w:vAlign w:val="center"/>
          </w:tcPr>
          <w:p w14:paraId="3C7CB290" w14:textId="77777777" w:rsidR="00B47442" w:rsidRPr="0009445C" w:rsidRDefault="00B47442" w:rsidP="0099521D">
            <w:pPr>
              <w:pStyle w:val="BRL-Tabelle"/>
              <w:spacing w:before="60" w:after="40"/>
              <w:jc w:val="center"/>
              <w:rPr>
                <w:sz w:val="16"/>
              </w:rPr>
            </w:pPr>
          </w:p>
        </w:tc>
        <w:tc>
          <w:tcPr>
            <w:tcW w:w="427" w:type="dxa"/>
            <w:vAlign w:val="center"/>
          </w:tcPr>
          <w:p w14:paraId="16DB250B" w14:textId="77777777" w:rsidR="00B47442" w:rsidRPr="0009445C" w:rsidRDefault="00B47442" w:rsidP="0099521D">
            <w:pPr>
              <w:pStyle w:val="BRL-Tabelle"/>
              <w:spacing w:before="60" w:after="40"/>
              <w:jc w:val="center"/>
              <w:rPr>
                <w:sz w:val="16"/>
              </w:rPr>
            </w:pPr>
          </w:p>
        </w:tc>
        <w:tc>
          <w:tcPr>
            <w:tcW w:w="426" w:type="dxa"/>
            <w:vAlign w:val="center"/>
          </w:tcPr>
          <w:p w14:paraId="7028CB98" w14:textId="77777777" w:rsidR="00B47442" w:rsidRPr="0009445C" w:rsidRDefault="00B47442" w:rsidP="0099521D">
            <w:pPr>
              <w:pStyle w:val="BRL-Tabelle"/>
              <w:spacing w:before="60" w:after="40"/>
              <w:jc w:val="center"/>
              <w:rPr>
                <w:sz w:val="16"/>
              </w:rPr>
            </w:pPr>
          </w:p>
        </w:tc>
        <w:tc>
          <w:tcPr>
            <w:tcW w:w="426" w:type="dxa"/>
            <w:vAlign w:val="center"/>
          </w:tcPr>
          <w:p w14:paraId="681773B0" w14:textId="77777777" w:rsidR="00B47442" w:rsidRPr="0009445C" w:rsidRDefault="00B47442" w:rsidP="0099521D">
            <w:pPr>
              <w:pStyle w:val="BRL-Tabelle"/>
              <w:spacing w:before="60" w:after="40"/>
              <w:jc w:val="center"/>
              <w:rPr>
                <w:sz w:val="16"/>
              </w:rPr>
            </w:pPr>
          </w:p>
        </w:tc>
        <w:tc>
          <w:tcPr>
            <w:tcW w:w="426" w:type="dxa"/>
            <w:vAlign w:val="center"/>
          </w:tcPr>
          <w:p w14:paraId="66BE0F50" w14:textId="77777777" w:rsidR="00B47442" w:rsidRPr="0009445C" w:rsidRDefault="00B47442" w:rsidP="0099521D">
            <w:pPr>
              <w:pStyle w:val="BRL-Tabelle"/>
              <w:spacing w:before="60" w:after="40"/>
              <w:jc w:val="center"/>
              <w:rPr>
                <w:sz w:val="16"/>
              </w:rPr>
            </w:pPr>
          </w:p>
        </w:tc>
        <w:tc>
          <w:tcPr>
            <w:tcW w:w="433" w:type="dxa"/>
            <w:vAlign w:val="center"/>
          </w:tcPr>
          <w:p w14:paraId="245E4AE1" w14:textId="77777777" w:rsidR="00B47442" w:rsidRPr="0009445C" w:rsidRDefault="00B47442" w:rsidP="0099521D">
            <w:pPr>
              <w:pStyle w:val="BRL-Tabelle"/>
              <w:spacing w:before="60" w:after="40"/>
              <w:jc w:val="center"/>
              <w:rPr>
                <w:sz w:val="16"/>
              </w:rPr>
            </w:pPr>
          </w:p>
        </w:tc>
        <w:tc>
          <w:tcPr>
            <w:tcW w:w="426" w:type="dxa"/>
            <w:vAlign w:val="center"/>
          </w:tcPr>
          <w:p w14:paraId="506B52E8" w14:textId="77777777" w:rsidR="00B47442" w:rsidRPr="0009445C" w:rsidRDefault="00B47442" w:rsidP="0099521D">
            <w:pPr>
              <w:pStyle w:val="BRL-Tabelle"/>
              <w:spacing w:before="60" w:after="40"/>
              <w:jc w:val="center"/>
              <w:rPr>
                <w:sz w:val="16"/>
              </w:rPr>
            </w:pPr>
          </w:p>
        </w:tc>
        <w:tc>
          <w:tcPr>
            <w:tcW w:w="427" w:type="dxa"/>
            <w:vAlign w:val="center"/>
          </w:tcPr>
          <w:p w14:paraId="40587ED3" w14:textId="77777777" w:rsidR="00B47442" w:rsidRPr="0009445C" w:rsidRDefault="00B47442" w:rsidP="0099521D">
            <w:pPr>
              <w:pStyle w:val="BRL-Tabelle"/>
              <w:spacing w:before="60" w:after="40"/>
              <w:jc w:val="center"/>
              <w:rPr>
                <w:sz w:val="16"/>
              </w:rPr>
            </w:pPr>
          </w:p>
        </w:tc>
        <w:tc>
          <w:tcPr>
            <w:tcW w:w="426" w:type="dxa"/>
            <w:vAlign w:val="center"/>
          </w:tcPr>
          <w:p w14:paraId="1E0637C0" w14:textId="77777777" w:rsidR="00B47442" w:rsidRPr="0009445C" w:rsidRDefault="00B47442" w:rsidP="0099521D">
            <w:pPr>
              <w:pStyle w:val="BRL-Tabelle"/>
              <w:spacing w:before="60" w:after="40"/>
              <w:jc w:val="center"/>
              <w:rPr>
                <w:sz w:val="16"/>
              </w:rPr>
            </w:pPr>
          </w:p>
        </w:tc>
        <w:tc>
          <w:tcPr>
            <w:tcW w:w="427" w:type="dxa"/>
            <w:vAlign w:val="center"/>
          </w:tcPr>
          <w:p w14:paraId="6F958515" w14:textId="77777777" w:rsidR="00B47442" w:rsidRPr="0009445C" w:rsidRDefault="00B47442" w:rsidP="0099521D">
            <w:pPr>
              <w:pStyle w:val="BRL-Tabelle"/>
              <w:spacing w:before="60" w:after="40"/>
              <w:jc w:val="center"/>
              <w:rPr>
                <w:sz w:val="16"/>
              </w:rPr>
            </w:pPr>
          </w:p>
        </w:tc>
      </w:tr>
      <w:tr w:rsidR="00B47442" w:rsidRPr="0009445C" w14:paraId="766CCEAC" w14:textId="77777777" w:rsidTr="0099521D">
        <w:trPr>
          <w:trHeight w:val="264"/>
        </w:trPr>
        <w:tc>
          <w:tcPr>
            <w:tcW w:w="2355" w:type="dxa"/>
            <w:gridSpan w:val="2"/>
          </w:tcPr>
          <w:p w14:paraId="0E24B1E4" w14:textId="77777777" w:rsidR="00B47442" w:rsidRPr="0009445C" w:rsidRDefault="00B47442" w:rsidP="0099521D">
            <w:pPr>
              <w:pStyle w:val="BRL-Tabelle"/>
              <w:spacing w:before="60" w:after="40"/>
            </w:pPr>
            <w:r w:rsidRPr="0009445C">
              <w:t>Glare</w:t>
            </w:r>
          </w:p>
        </w:tc>
        <w:tc>
          <w:tcPr>
            <w:tcW w:w="427" w:type="dxa"/>
            <w:vAlign w:val="center"/>
          </w:tcPr>
          <w:p w14:paraId="30C92E3A" w14:textId="77777777" w:rsidR="00B47442" w:rsidRPr="0009445C" w:rsidRDefault="00B47442" w:rsidP="0099521D">
            <w:pPr>
              <w:pStyle w:val="BRL-Tabelle"/>
              <w:spacing w:before="60" w:after="40"/>
              <w:jc w:val="center"/>
              <w:rPr>
                <w:sz w:val="16"/>
              </w:rPr>
            </w:pPr>
          </w:p>
        </w:tc>
        <w:tc>
          <w:tcPr>
            <w:tcW w:w="427" w:type="dxa"/>
            <w:vAlign w:val="center"/>
          </w:tcPr>
          <w:p w14:paraId="30FF3BF7" w14:textId="77777777" w:rsidR="00B47442" w:rsidRPr="0009445C" w:rsidRDefault="00B47442" w:rsidP="0099521D">
            <w:pPr>
              <w:pStyle w:val="BRL-Tabelle"/>
              <w:spacing w:before="60" w:after="40"/>
              <w:jc w:val="center"/>
              <w:rPr>
                <w:sz w:val="16"/>
              </w:rPr>
            </w:pPr>
          </w:p>
        </w:tc>
        <w:tc>
          <w:tcPr>
            <w:tcW w:w="426" w:type="dxa"/>
            <w:vAlign w:val="center"/>
          </w:tcPr>
          <w:p w14:paraId="4AAC44DA" w14:textId="77777777" w:rsidR="00B47442" w:rsidRPr="0009445C" w:rsidRDefault="00B47442" w:rsidP="0099521D">
            <w:pPr>
              <w:pStyle w:val="BRL-Tabelle"/>
              <w:spacing w:before="60" w:after="40"/>
              <w:jc w:val="center"/>
              <w:rPr>
                <w:sz w:val="16"/>
              </w:rPr>
            </w:pPr>
          </w:p>
        </w:tc>
        <w:tc>
          <w:tcPr>
            <w:tcW w:w="427" w:type="dxa"/>
            <w:vAlign w:val="center"/>
          </w:tcPr>
          <w:p w14:paraId="4DDA3C08" w14:textId="77777777" w:rsidR="00B47442" w:rsidRPr="0009445C" w:rsidRDefault="00B47442" w:rsidP="0099521D">
            <w:pPr>
              <w:pStyle w:val="BRL-Tabelle"/>
              <w:spacing w:before="60" w:after="40"/>
              <w:jc w:val="center"/>
              <w:rPr>
                <w:sz w:val="16"/>
              </w:rPr>
            </w:pPr>
          </w:p>
        </w:tc>
        <w:tc>
          <w:tcPr>
            <w:tcW w:w="425" w:type="dxa"/>
            <w:vAlign w:val="center"/>
          </w:tcPr>
          <w:p w14:paraId="483DDAC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7FE8592" w14:textId="77777777" w:rsidR="00B47442" w:rsidRPr="0009445C" w:rsidRDefault="00B47442" w:rsidP="0099521D">
            <w:pPr>
              <w:pStyle w:val="BRL-Tabelle"/>
              <w:spacing w:before="60" w:after="40"/>
              <w:jc w:val="center"/>
              <w:rPr>
                <w:sz w:val="16"/>
              </w:rPr>
            </w:pPr>
          </w:p>
        </w:tc>
        <w:tc>
          <w:tcPr>
            <w:tcW w:w="428" w:type="dxa"/>
            <w:vAlign w:val="center"/>
          </w:tcPr>
          <w:p w14:paraId="4A56E8E3" w14:textId="77777777" w:rsidR="00B47442" w:rsidRPr="0009445C" w:rsidRDefault="00B47442" w:rsidP="0099521D">
            <w:pPr>
              <w:pStyle w:val="BRL-Tabelle"/>
              <w:spacing w:before="60" w:after="40"/>
              <w:jc w:val="center"/>
              <w:rPr>
                <w:sz w:val="16"/>
              </w:rPr>
            </w:pPr>
          </w:p>
        </w:tc>
        <w:tc>
          <w:tcPr>
            <w:tcW w:w="427" w:type="dxa"/>
            <w:vAlign w:val="center"/>
          </w:tcPr>
          <w:p w14:paraId="033124CF" w14:textId="77777777" w:rsidR="00B47442" w:rsidRPr="0009445C" w:rsidRDefault="00B47442" w:rsidP="0099521D">
            <w:pPr>
              <w:pStyle w:val="BRL-Tabelle"/>
              <w:spacing w:before="60" w:after="40"/>
              <w:jc w:val="center"/>
              <w:rPr>
                <w:sz w:val="16"/>
              </w:rPr>
            </w:pPr>
          </w:p>
        </w:tc>
        <w:tc>
          <w:tcPr>
            <w:tcW w:w="426" w:type="dxa"/>
            <w:vAlign w:val="center"/>
          </w:tcPr>
          <w:p w14:paraId="0F5DD299" w14:textId="77777777" w:rsidR="00B47442" w:rsidRPr="0009445C" w:rsidRDefault="00B47442" w:rsidP="0099521D">
            <w:pPr>
              <w:pStyle w:val="BRL-Tabelle"/>
              <w:spacing w:before="60" w:after="40"/>
              <w:jc w:val="center"/>
              <w:rPr>
                <w:sz w:val="16"/>
              </w:rPr>
            </w:pPr>
          </w:p>
        </w:tc>
        <w:tc>
          <w:tcPr>
            <w:tcW w:w="426" w:type="dxa"/>
            <w:vAlign w:val="center"/>
          </w:tcPr>
          <w:p w14:paraId="1D64F04F" w14:textId="77777777" w:rsidR="00B47442" w:rsidRPr="0009445C" w:rsidRDefault="00B47442" w:rsidP="0099521D">
            <w:pPr>
              <w:pStyle w:val="BRL-Tabelle"/>
              <w:spacing w:before="60" w:after="40"/>
              <w:jc w:val="center"/>
              <w:rPr>
                <w:sz w:val="16"/>
              </w:rPr>
            </w:pPr>
          </w:p>
        </w:tc>
        <w:tc>
          <w:tcPr>
            <w:tcW w:w="426" w:type="dxa"/>
            <w:vAlign w:val="center"/>
          </w:tcPr>
          <w:p w14:paraId="4463BE12" w14:textId="77777777" w:rsidR="00B47442" w:rsidRPr="0009445C" w:rsidRDefault="00B47442" w:rsidP="0099521D">
            <w:pPr>
              <w:pStyle w:val="BRL-Tabelle"/>
              <w:spacing w:before="60" w:after="40"/>
              <w:jc w:val="center"/>
              <w:rPr>
                <w:sz w:val="16"/>
              </w:rPr>
            </w:pPr>
          </w:p>
        </w:tc>
        <w:tc>
          <w:tcPr>
            <w:tcW w:w="433" w:type="dxa"/>
            <w:vAlign w:val="center"/>
          </w:tcPr>
          <w:p w14:paraId="417F9B4B" w14:textId="77777777" w:rsidR="00B47442" w:rsidRPr="0009445C" w:rsidRDefault="00B47442" w:rsidP="0099521D">
            <w:pPr>
              <w:pStyle w:val="BRL-Tabelle"/>
              <w:spacing w:before="60" w:after="40"/>
              <w:jc w:val="center"/>
              <w:rPr>
                <w:sz w:val="16"/>
              </w:rPr>
            </w:pPr>
          </w:p>
        </w:tc>
        <w:tc>
          <w:tcPr>
            <w:tcW w:w="426" w:type="dxa"/>
            <w:vAlign w:val="center"/>
          </w:tcPr>
          <w:p w14:paraId="57757585" w14:textId="77777777" w:rsidR="00B47442" w:rsidRPr="0009445C" w:rsidRDefault="00B47442" w:rsidP="0099521D">
            <w:pPr>
              <w:pStyle w:val="BRL-Tabelle"/>
              <w:spacing w:before="60" w:after="40"/>
              <w:jc w:val="center"/>
              <w:rPr>
                <w:sz w:val="16"/>
              </w:rPr>
            </w:pPr>
          </w:p>
        </w:tc>
        <w:tc>
          <w:tcPr>
            <w:tcW w:w="427" w:type="dxa"/>
            <w:vAlign w:val="center"/>
          </w:tcPr>
          <w:p w14:paraId="502A5106" w14:textId="77777777" w:rsidR="00B47442" w:rsidRPr="0009445C" w:rsidRDefault="00B47442" w:rsidP="0099521D">
            <w:pPr>
              <w:pStyle w:val="BRL-Tabelle"/>
              <w:spacing w:before="60" w:after="40"/>
              <w:jc w:val="center"/>
              <w:rPr>
                <w:sz w:val="16"/>
              </w:rPr>
            </w:pPr>
          </w:p>
        </w:tc>
        <w:tc>
          <w:tcPr>
            <w:tcW w:w="426" w:type="dxa"/>
            <w:vAlign w:val="center"/>
          </w:tcPr>
          <w:p w14:paraId="027327A1" w14:textId="77777777" w:rsidR="00B47442" w:rsidRPr="0009445C" w:rsidRDefault="00B47442" w:rsidP="0099521D">
            <w:pPr>
              <w:pStyle w:val="BRL-Tabelle"/>
              <w:spacing w:before="60" w:after="40"/>
              <w:jc w:val="center"/>
              <w:rPr>
                <w:sz w:val="16"/>
              </w:rPr>
            </w:pPr>
          </w:p>
        </w:tc>
        <w:tc>
          <w:tcPr>
            <w:tcW w:w="427" w:type="dxa"/>
            <w:vAlign w:val="center"/>
          </w:tcPr>
          <w:p w14:paraId="16C3F3CD" w14:textId="77777777" w:rsidR="00B47442" w:rsidRPr="0009445C" w:rsidRDefault="00B47442" w:rsidP="0099521D">
            <w:pPr>
              <w:pStyle w:val="BRL-Tabelle"/>
              <w:spacing w:before="60" w:after="40"/>
              <w:jc w:val="center"/>
              <w:rPr>
                <w:sz w:val="16"/>
              </w:rPr>
            </w:pPr>
          </w:p>
        </w:tc>
      </w:tr>
      <w:tr w:rsidR="00B47442" w:rsidRPr="0009445C" w14:paraId="3B120DB5" w14:textId="77777777" w:rsidTr="0099521D">
        <w:trPr>
          <w:trHeight w:val="264"/>
        </w:trPr>
        <w:tc>
          <w:tcPr>
            <w:tcW w:w="2355" w:type="dxa"/>
            <w:gridSpan w:val="2"/>
          </w:tcPr>
          <w:p w14:paraId="47418D1A" w14:textId="77777777" w:rsidR="00B47442" w:rsidRPr="0009445C" w:rsidRDefault="00B47442" w:rsidP="0099521D">
            <w:pPr>
              <w:pStyle w:val="Tabellentext"/>
              <w:spacing w:before="60" w:after="40"/>
              <w:rPr>
                <w:rFonts w:cs="Arial"/>
              </w:rPr>
            </w:pPr>
            <w:r w:rsidRPr="0009445C">
              <w:t>Fire sensitivity</w:t>
            </w:r>
          </w:p>
        </w:tc>
        <w:tc>
          <w:tcPr>
            <w:tcW w:w="427" w:type="dxa"/>
            <w:vAlign w:val="center"/>
          </w:tcPr>
          <w:p w14:paraId="38CEF896" w14:textId="77777777" w:rsidR="00B47442" w:rsidRPr="0009445C" w:rsidRDefault="00B47442" w:rsidP="0099521D">
            <w:pPr>
              <w:pStyle w:val="Tabellentext"/>
              <w:spacing w:before="60" w:after="40"/>
              <w:rPr>
                <w:rFonts w:cs="Arial"/>
                <w:sz w:val="16"/>
              </w:rPr>
            </w:pPr>
          </w:p>
        </w:tc>
        <w:tc>
          <w:tcPr>
            <w:tcW w:w="427" w:type="dxa"/>
            <w:vAlign w:val="center"/>
          </w:tcPr>
          <w:p w14:paraId="772359AC" w14:textId="77777777" w:rsidR="00B47442" w:rsidRPr="0009445C" w:rsidRDefault="00B47442" w:rsidP="0099521D">
            <w:pPr>
              <w:pStyle w:val="Tabellentext"/>
              <w:spacing w:before="60" w:after="40"/>
              <w:rPr>
                <w:rFonts w:cs="Arial"/>
                <w:sz w:val="16"/>
              </w:rPr>
            </w:pPr>
          </w:p>
        </w:tc>
        <w:tc>
          <w:tcPr>
            <w:tcW w:w="426" w:type="dxa"/>
            <w:vAlign w:val="center"/>
          </w:tcPr>
          <w:p w14:paraId="22340AC1" w14:textId="77777777" w:rsidR="00B47442" w:rsidRPr="0009445C" w:rsidRDefault="00B47442" w:rsidP="0099521D">
            <w:pPr>
              <w:pStyle w:val="Tabellentext"/>
              <w:spacing w:before="60" w:after="40"/>
              <w:rPr>
                <w:rFonts w:cs="Arial"/>
                <w:sz w:val="16"/>
              </w:rPr>
            </w:pPr>
          </w:p>
        </w:tc>
        <w:tc>
          <w:tcPr>
            <w:tcW w:w="427" w:type="dxa"/>
            <w:vAlign w:val="center"/>
          </w:tcPr>
          <w:p w14:paraId="418D5DEA" w14:textId="77777777" w:rsidR="00B47442" w:rsidRPr="0009445C" w:rsidRDefault="00B47442" w:rsidP="0099521D">
            <w:pPr>
              <w:pStyle w:val="Tabellentext"/>
              <w:spacing w:before="60" w:after="40"/>
              <w:rPr>
                <w:rFonts w:cs="Arial"/>
                <w:sz w:val="16"/>
              </w:rPr>
            </w:pPr>
          </w:p>
        </w:tc>
        <w:tc>
          <w:tcPr>
            <w:tcW w:w="425" w:type="dxa"/>
            <w:vAlign w:val="center"/>
          </w:tcPr>
          <w:p w14:paraId="67589EA4"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6" w:type="dxa"/>
            <w:vAlign w:val="center"/>
          </w:tcPr>
          <w:p w14:paraId="4DCAE21A"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8" w:type="dxa"/>
            <w:vAlign w:val="center"/>
          </w:tcPr>
          <w:p w14:paraId="7B50E831" w14:textId="77777777" w:rsidR="00B47442" w:rsidRPr="0009445C" w:rsidRDefault="00B47442" w:rsidP="0099521D">
            <w:pPr>
              <w:pStyle w:val="Tabellentext"/>
              <w:spacing w:before="60" w:after="40"/>
              <w:rPr>
                <w:rFonts w:cs="Arial"/>
                <w:sz w:val="16"/>
              </w:rPr>
            </w:pPr>
          </w:p>
        </w:tc>
        <w:tc>
          <w:tcPr>
            <w:tcW w:w="427" w:type="dxa"/>
            <w:vAlign w:val="center"/>
          </w:tcPr>
          <w:p w14:paraId="69E89D74"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6" w:type="dxa"/>
            <w:vAlign w:val="center"/>
          </w:tcPr>
          <w:p w14:paraId="1BED5C82" w14:textId="77777777" w:rsidR="00B47442" w:rsidRPr="0009445C" w:rsidRDefault="00B47442" w:rsidP="0099521D">
            <w:pPr>
              <w:pStyle w:val="Tabellentext"/>
              <w:spacing w:before="60" w:after="40"/>
              <w:rPr>
                <w:rFonts w:cs="Arial"/>
                <w:sz w:val="16"/>
              </w:rPr>
            </w:pPr>
          </w:p>
        </w:tc>
        <w:tc>
          <w:tcPr>
            <w:tcW w:w="426" w:type="dxa"/>
            <w:vAlign w:val="center"/>
          </w:tcPr>
          <w:p w14:paraId="7C02BA3E" w14:textId="77777777" w:rsidR="00B47442" w:rsidRPr="0009445C" w:rsidRDefault="00B47442" w:rsidP="0099521D">
            <w:pPr>
              <w:pStyle w:val="Tabellentext"/>
              <w:spacing w:before="60" w:after="40"/>
              <w:rPr>
                <w:rFonts w:cs="Arial"/>
                <w:sz w:val="16"/>
              </w:rPr>
            </w:pPr>
          </w:p>
        </w:tc>
        <w:tc>
          <w:tcPr>
            <w:tcW w:w="426" w:type="dxa"/>
            <w:vAlign w:val="center"/>
          </w:tcPr>
          <w:p w14:paraId="0FAFE69F" w14:textId="77777777" w:rsidR="00B47442" w:rsidRPr="0009445C" w:rsidRDefault="00B47442" w:rsidP="0099521D">
            <w:pPr>
              <w:pStyle w:val="Tabellentext"/>
              <w:spacing w:before="60" w:after="40"/>
              <w:rPr>
                <w:rFonts w:cs="Arial"/>
                <w:sz w:val="16"/>
              </w:rPr>
            </w:pPr>
          </w:p>
        </w:tc>
        <w:tc>
          <w:tcPr>
            <w:tcW w:w="433" w:type="dxa"/>
            <w:vAlign w:val="center"/>
          </w:tcPr>
          <w:p w14:paraId="6A2F0C3E"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6" w:type="dxa"/>
            <w:vAlign w:val="center"/>
          </w:tcPr>
          <w:p w14:paraId="29F5A65A" w14:textId="77777777" w:rsidR="00B47442" w:rsidRPr="0009445C" w:rsidRDefault="00B47442" w:rsidP="0099521D">
            <w:pPr>
              <w:pStyle w:val="Tabellentext"/>
              <w:spacing w:before="60" w:after="40"/>
              <w:jc w:val="center"/>
              <w:rPr>
                <w:rFonts w:cs="Arial"/>
                <w:sz w:val="16"/>
              </w:rPr>
            </w:pPr>
          </w:p>
        </w:tc>
        <w:tc>
          <w:tcPr>
            <w:tcW w:w="427" w:type="dxa"/>
            <w:vAlign w:val="center"/>
          </w:tcPr>
          <w:p w14:paraId="4FFB9FE3" w14:textId="77777777" w:rsidR="00B47442" w:rsidRPr="0009445C" w:rsidRDefault="00B47442" w:rsidP="0099521D">
            <w:pPr>
              <w:pStyle w:val="Tabellentext"/>
              <w:spacing w:before="60" w:after="40"/>
              <w:rPr>
                <w:rFonts w:cs="Arial"/>
                <w:sz w:val="16"/>
              </w:rPr>
            </w:pPr>
          </w:p>
        </w:tc>
        <w:tc>
          <w:tcPr>
            <w:tcW w:w="426" w:type="dxa"/>
            <w:vAlign w:val="center"/>
          </w:tcPr>
          <w:p w14:paraId="0331B577" w14:textId="77777777" w:rsidR="00B47442" w:rsidRPr="0009445C" w:rsidRDefault="00B47442" w:rsidP="0099521D">
            <w:pPr>
              <w:pStyle w:val="Tabellentext"/>
              <w:spacing w:before="60" w:after="40"/>
              <w:rPr>
                <w:rFonts w:cs="Arial"/>
                <w:sz w:val="16"/>
              </w:rPr>
            </w:pPr>
          </w:p>
        </w:tc>
        <w:tc>
          <w:tcPr>
            <w:tcW w:w="427" w:type="dxa"/>
            <w:vAlign w:val="center"/>
          </w:tcPr>
          <w:p w14:paraId="250B3C39" w14:textId="77777777" w:rsidR="00B47442" w:rsidRPr="0009445C" w:rsidRDefault="00B47442" w:rsidP="0099521D">
            <w:pPr>
              <w:pStyle w:val="Tabellentext"/>
              <w:spacing w:before="60" w:after="40"/>
              <w:rPr>
                <w:rFonts w:cs="Arial"/>
                <w:sz w:val="16"/>
              </w:rPr>
            </w:pPr>
          </w:p>
        </w:tc>
      </w:tr>
      <w:tr w:rsidR="00B47442" w:rsidRPr="0009445C" w14:paraId="6BCB36A8" w14:textId="77777777" w:rsidTr="0099521D">
        <w:trPr>
          <w:trHeight w:val="264"/>
        </w:trPr>
        <w:tc>
          <w:tcPr>
            <w:tcW w:w="2355" w:type="dxa"/>
            <w:gridSpan w:val="2"/>
          </w:tcPr>
          <w:p w14:paraId="3EA4AFAC" w14:textId="77777777" w:rsidR="00B47442" w:rsidRPr="0009445C" w:rsidRDefault="00B47442" w:rsidP="0099521D">
            <w:pPr>
              <w:pStyle w:val="BRL-Tabelle"/>
              <w:spacing w:before="60" w:after="40"/>
            </w:pPr>
            <w:r w:rsidRPr="0009445C">
              <w:t>Classification</w:t>
            </w:r>
          </w:p>
        </w:tc>
        <w:tc>
          <w:tcPr>
            <w:tcW w:w="427" w:type="dxa"/>
            <w:vAlign w:val="center"/>
          </w:tcPr>
          <w:p w14:paraId="4EF427EF" w14:textId="77777777" w:rsidR="00B47442" w:rsidRPr="0009445C" w:rsidRDefault="00B47442" w:rsidP="0099521D">
            <w:pPr>
              <w:pStyle w:val="BRL-Tabelle"/>
              <w:spacing w:before="60" w:after="40"/>
              <w:jc w:val="center"/>
              <w:rPr>
                <w:sz w:val="16"/>
              </w:rPr>
            </w:pPr>
          </w:p>
        </w:tc>
        <w:tc>
          <w:tcPr>
            <w:tcW w:w="427" w:type="dxa"/>
            <w:vAlign w:val="center"/>
          </w:tcPr>
          <w:p w14:paraId="07ACDC7C" w14:textId="77777777" w:rsidR="00B47442" w:rsidRPr="0009445C" w:rsidRDefault="00B47442" w:rsidP="0099521D">
            <w:pPr>
              <w:pStyle w:val="BRL-Tabelle"/>
              <w:spacing w:before="60" w:after="40"/>
              <w:jc w:val="center"/>
              <w:rPr>
                <w:sz w:val="16"/>
              </w:rPr>
            </w:pPr>
          </w:p>
        </w:tc>
        <w:tc>
          <w:tcPr>
            <w:tcW w:w="426" w:type="dxa"/>
            <w:vAlign w:val="center"/>
          </w:tcPr>
          <w:p w14:paraId="0D9340AA" w14:textId="77777777" w:rsidR="00B47442" w:rsidRPr="0009445C" w:rsidRDefault="00B47442" w:rsidP="0099521D">
            <w:pPr>
              <w:pStyle w:val="BRL-Tabelle"/>
              <w:spacing w:before="60" w:after="40"/>
              <w:jc w:val="center"/>
              <w:rPr>
                <w:sz w:val="16"/>
              </w:rPr>
            </w:pPr>
          </w:p>
        </w:tc>
        <w:tc>
          <w:tcPr>
            <w:tcW w:w="427" w:type="dxa"/>
            <w:vAlign w:val="center"/>
          </w:tcPr>
          <w:p w14:paraId="65247566" w14:textId="77777777" w:rsidR="00B47442" w:rsidRPr="0009445C" w:rsidRDefault="00B47442" w:rsidP="0099521D">
            <w:pPr>
              <w:pStyle w:val="BRL-Tabelle"/>
              <w:spacing w:before="60" w:after="40"/>
              <w:jc w:val="center"/>
              <w:rPr>
                <w:sz w:val="16"/>
              </w:rPr>
            </w:pPr>
          </w:p>
        </w:tc>
        <w:tc>
          <w:tcPr>
            <w:tcW w:w="425" w:type="dxa"/>
            <w:vAlign w:val="center"/>
          </w:tcPr>
          <w:p w14:paraId="42B8BA5F" w14:textId="77777777" w:rsidR="00B47442" w:rsidRPr="0009445C" w:rsidRDefault="00B47442" w:rsidP="0099521D">
            <w:pPr>
              <w:pStyle w:val="BRL-Tabelle"/>
              <w:spacing w:before="60" w:after="40"/>
              <w:jc w:val="center"/>
              <w:rPr>
                <w:sz w:val="16"/>
              </w:rPr>
            </w:pPr>
          </w:p>
        </w:tc>
        <w:tc>
          <w:tcPr>
            <w:tcW w:w="426" w:type="dxa"/>
            <w:vAlign w:val="center"/>
          </w:tcPr>
          <w:p w14:paraId="43D2B311"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052C63E1" w14:textId="77777777" w:rsidR="00B47442" w:rsidRPr="0009445C" w:rsidRDefault="00B47442" w:rsidP="0099521D">
            <w:pPr>
              <w:pStyle w:val="BRL-Tabelle"/>
              <w:spacing w:before="60" w:after="40"/>
              <w:jc w:val="center"/>
              <w:rPr>
                <w:sz w:val="16"/>
              </w:rPr>
            </w:pPr>
          </w:p>
        </w:tc>
        <w:tc>
          <w:tcPr>
            <w:tcW w:w="427" w:type="dxa"/>
            <w:vAlign w:val="center"/>
          </w:tcPr>
          <w:p w14:paraId="130053E8" w14:textId="77777777" w:rsidR="00B47442" w:rsidRPr="0009445C" w:rsidRDefault="00B47442" w:rsidP="0099521D">
            <w:pPr>
              <w:pStyle w:val="BRL-Tabelle"/>
              <w:spacing w:before="60" w:after="40"/>
              <w:jc w:val="center"/>
              <w:rPr>
                <w:sz w:val="16"/>
              </w:rPr>
            </w:pPr>
          </w:p>
        </w:tc>
        <w:tc>
          <w:tcPr>
            <w:tcW w:w="426" w:type="dxa"/>
            <w:vAlign w:val="center"/>
          </w:tcPr>
          <w:p w14:paraId="0E9FA25B" w14:textId="77777777" w:rsidR="00B47442" w:rsidRPr="0009445C" w:rsidRDefault="00B47442" w:rsidP="0099521D">
            <w:pPr>
              <w:pStyle w:val="BRL-Tabelle"/>
              <w:spacing w:before="60" w:after="40"/>
              <w:jc w:val="center"/>
              <w:rPr>
                <w:sz w:val="16"/>
              </w:rPr>
            </w:pPr>
          </w:p>
        </w:tc>
        <w:tc>
          <w:tcPr>
            <w:tcW w:w="426" w:type="dxa"/>
            <w:vAlign w:val="center"/>
          </w:tcPr>
          <w:p w14:paraId="1D2443F1" w14:textId="77777777" w:rsidR="00B47442" w:rsidRPr="0009445C" w:rsidRDefault="00B47442" w:rsidP="0099521D">
            <w:pPr>
              <w:pStyle w:val="BRL-Tabelle"/>
              <w:spacing w:before="60" w:after="40"/>
              <w:jc w:val="center"/>
              <w:rPr>
                <w:sz w:val="16"/>
              </w:rPr>
            </w:pPr>
          </w:p>
        </w:tc>
        <w:tc>
          <w:tcPr>
            <w:tcW w:w="426" w:type="dxa"/>
            <w:vAlign w:val="center"/>
          </w:tcPr>
          <w:p w14:paraId="134F47F3" w14:textId="77777777" w:rsidR="00B47442" w:rsidRPr="0009445C" w:rsidRDefault="00B47442" w:rsidP="0099521D">
            <w:pPr>
              <w:pStyle w:val="BRL-Tabelle"/>
              <w:spacing w:before="60" w:after="40"/>
              <w:jc w:val="center"/>
              <w:rPr>
                <w:sz w:val="16"/>
              </w:rPr>
            </w:pPr>
          </w:p>
        </w:tc>
        <w:tc>
          <w:tcPr>
            <w:tcW w:w="433" w:type="dxa"/>
            <w:vAlign w:val="center"/>
          </w:tcPr>
          <w:p w14:paraId="6387EF1F" w14:textId="77777777" w:rsidR="00B47442" w:rsidRPr="0009445C" w:rsidRDefault="00B47442" w:rsidP="0099521D">
            <w:pPr>
              <w:pStyle w:val="BRL-Tabelle"/>
              <w:spacing w:before="60" w:after="40"/>
              <w:jc w:val="center"/>
              <w:rPr>
                <w:sz w:val="16"/>
              </w:rPr>
            </w:pPr>
          </w:p>
        </w:tc>
        <w:tc>
          <w:tcPr>
            <w:tcW w:w="426" w:type="dxa"/>
            <w:vAlign w:val="center"/>
          </w:tcPr>
          <w:p w14:paraId="70ED5ACA" w14:textId="77777777" w:rsidR="00B47442" w:rsidRPr="0009445C" w:rsidRDefault="00B47442" w:rsidP="0099521D">
            <w:pPr>
              <w:pStyle w:val="BRL-Tabelle"/>
              <w:spacing w:before="60" w:after="40"/>
              <w:jc w:val="center"/>
              <w:rPr>
                <w:sz w:val="16"/>
              </w:rPr>
            </w:pPr>
          </w:p>
        </w:tc>
        <w:tc>
          <w:tcPr>
            <w:tcW w:w="427" w:type="dxa"/>
            <w:vAlign w:val="center"/>
          </w:tcPr>
          <w:p w14:paraId="5CC0F21D" w14:textId="77777777" w:rsidR="00B47442" w:rsidRPr="0009445C" w:rsidRDefault="00B47442" w:rsidP="0099521D">
            <w:pPr>
              <w:pStyle w:val="BRL-Tabelle"/>
              <w:spacing w:before="60" w:after="40"/>
              <w:jc w:val="center"/>
              <w:rPr>
                <w:sz w:val="16"/>
              </w:rPr>
            </w:pPr>
          </w:p>
        </w:tc>
        <w:tc>
          <w:tcPr>
            <w:tcW w:w="426" w:type="dxa"/>
            <w:vAlign w:val="center"/>
          </w:tcPr>
          <w:p w14:paraId="711530C1" w14:textId="77777777" w:rsidR="00B47442" w:rsidRPr="0009445C" w:rsidRDefault="00B47442" w:rsidP="0099521D">
            <w:pPr>
              <w:pStyle w:val="BRL-Tabelle"/>
              <w:spacing w:before="60" w:after="40"/>
              <w:jc w:val="center"/>
              <w:rPr>
                <w:sz w:val="16"/>
              </w:rPr>
            </w:pPr>
          </w:p>
        </w:tc>
        <w:tc>
          <w:tcPr>
            <w:tcW w:w="427" w:type="dxa"/>
            <w:vAlign w:val="center"/>
          </w:tcPr>
          <w:p w14:paraId="54FC3D5F" w14:textId="77777777" w:rsidR="00B47442" w:rsidRPr="0009445C" w:rsidRDefault="00B47442" w:rsidP="0099521D">
            <w:pPr>
              <w:pStyle w:val="BRL-Tabelle"/>
              <w:spacing w:before="60" w:after="40"/>
              <w:jc w:val="center"/>
              <w:rPr>
                <w:sz w:val="16"/>
              </w:rPr>
            </w:pPr>
          </w:p>
        </w:tc>
      </w:tr>
      <w:tr w:rsidR="00B47442" w:rsidRPr="0009445C" w14:paraId="5D4E7B43" w14:textId="77777777" w:rsidTr="0099521D">
        <w:trPr>
          <w:trHeight w:val="264"/>
        </w:trPr>
        <w:tc>
          <w:tcPr>
            <w:tcW w:w="2355" w:type="dxa"/>
            <w:gridSpan w:val="2"/>
          </w:tcPr>
          <w:p w14:paraId="6DFCC05E" w14:textId="77777777" w:rsidR="00B47442" w:rsidRPr="0009445C" w:rsidRDefault="00B47442" w:rsidP="0099521D">
            <w:pPr>
              <w:pStyle w:val="BRL-Tabelle"/>
              <w:spacing w:before="60" w:after="40"/>
            </w:pPr>
            <w:r w:rsidRPr="0009445C">
              <w:t>Glare test (in operation)</w:t>
            </w:r>
          </w:p>
        </w:tc>
        <w:tc>
          <w:tcPr>
            <w:tcW w:w="427" w:type="dxa"/>
            <w:vAlign w:val="center"/>
          </w:tcPr>
          <w:p w14:paraId="146CC160" w14:textId="77777777" w:rsidR="00B47442" w:rsidRPr="0009445C" w:rsidRDefault="00B47442" w:rsidP="0099521D">
            <w:pPr>
              <w:pStyle w:val="BRL-Tabelle"/>
              <w:spacing w:before="60" w:after="40"/>
              <w:jc w:val="center"/>
              <w:rPr>
                <w:sz w:val="16"/>
              </w:rPr>
            </w:pPr>
          </w:p>
        </w:tc>
        <w:tc>
          <w:tcPr>
            <w:tcW w:w="427" w:type="dxa"/>
            <w:vAlign w:val="center"/>
          </w:tcPr>
          <w:p w14:paraId="2B4330A8" w14:textId="77777777" w:rsidR="00B47442" w:rsidRPr="0009445C" w:rsidRDefault="00B47442" w:rsidP="0099521D">
            <w:pPr>
              <w:pStyle w:val="BRL-Tabelle"/>
              <w:spacing w:before="60" w:after="40"/>
              <w:jc w:val="center"/>
              <w:rPr>
                <w:sz w:val="16"/>
              </w:rPr>
            </w:pPr>
          </w:p>
        </w:tc>
        <w:tc>
          <w:tcPr>
            <w:tcW w:w="426" w:type="dxa"/>
            <w:vAlign w:val="center"/>
          </w:tcPr>
          <w:p w14:paraId="4BAE5A06" w14:textId="77777777" w:rsidR="00B47442" w:rsidRPr="0009445C" w:rsidRDefault="00B47442" w:rsidP="0099521D">
            <w:pPr>
              <w:pStyle w:val="BRL-Tabelle"/>
              <w:spacing w:before="60" w:after="40"/>
              <w:jc w:val="center"/>
              <w:rPr>
                <w:sz w:val="16"/>
              </w:rPr>
            </w:pPr>
          </w:p>
        </w:tc>
        <w:tc>
          <w:tcPr>
            <w:tcW w:w="427" w:type="dxa"/>
            <w:vAlign w:val="center"/>
          </w:tcPr>
          <w:p w14:paraId="7AC06C79" w14:textId="77777777" w:rsidR="00B47442" w:rsidRPr="0009445C" w:rsidRDefault="00B47442" w:rsidP="0099521D">
            <w:pPr>
              <w:pStyle w:val="BRL-Tabelle"/>
              <w:spacing w:before="60" w:after="40"/>
              <w:jc w:val="center"/>
              <w:rPr>
                <w:sz w:val="16"/>
              </w:rPr>
            </w:pPr>
          </w:p>
        </w:tc>
        <w:tc>
          <w:tcPr>
            <w:tcW w:w="425" w:type="dxa"/>
            <w:vAlign w:val="center"/>
          </w:tcPr>
          <w:p w14:paraId="430E450F" w14:textId="77777777" w:rsidR="00B47442" w:rsidRPr="0009445C" w:rsidRDefault="00B47442" w:rsidP="0099521D">
            <w:pPr>
              <w:pStyle w:val="BRL-Tabelle"/>
              <w:spacing w:before="60" w:after="40"/>
              <w:jc w:val="center"/>
              <w:rPr>
                <w:sz w:val="16"/>
              </w:rPr>
            </w:pPr>
          </w:p>
        </w:tc>
        <w:tc>
          <w:tcPr>
            <w:tcW w:w="426" w:type="dxa"/>
            <w:vAlign w:val="center"/>
          </w:tcPr>
          <w:p w14:paraId="157C27E5"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57132EB1" w14:textId="77777777" w:rsidR="00B47442" w:rsidRPr="0009445C" w:rsidRDefault="00B47442" w:rsidP="0099521D">
            <w:pPr>
              <w:pStyle w:val="BRL-Tabelle"/>
              <w:spacing w:before="60" w:after="40"/>
              <w:jc w:val="center"/>
              <w:rPr>
                <w:sz w:val="16"/>
              </w:rPr>
            </w:pPr>
          </w:p>
        </w:tc>
        <w:tc>
          <w:tcPr>
            <w:tcW w:w="427" w:type="dxa"/>
            <w:vAlign w:val="center"/>
          </w:tcPr>
          <w:p w14:paraId="15F3267A" w14:textId="77777777" w:rsidR="00B47442" w:rsidRPr="0009445C" w:rsidRDefault="00B47442" w:rsidP="0099521D">
            <w:pPr>
              <w:pStyle w:val="BRL-Tabelle"/>
              <w:spacing w:before="60" w:after="40"/>
              <w:jc w:val="center"/>
              <w:rPr>
                <w:sz w:val="16"/>
              </w:rPr>
            </w:pPr>
          </w:p>
        </w:tc>
        <w:tc>
          <w:tcPr>
            <w:tcW w:w="426" w:type="dxa"/>
            <w:vAlign w:val="center"/>
          </w:tcPr>
          <w:p w14:paraId="2C17D88F" w14:textId="77777777" w:rsidR="00B47442" w:rsidRPr="0009445C" w:rsidRDefault="00B47442" w:rsidP="0099521D">
            <w:pPr>
              <w:pStyle w:val="BRL-Tabelle"/>
              <w:spacing w:before="60" w:after="40"/>
              <w:jc w:val="center"/>
              <w:rPr>
                <w:sz w:val="16"/>
              </w:rPr>
            </w:pPr>
          </w:p>
        </w:tc>
        <w:tc>
          <w:tcPr>
            <w:tcW w:w="426" w:type="dxa"/>
            <w:vAlign w:val="center"/>
          </w:tcPr>
          <w:p w14:paraId="29DBAF4E" w14:textId="77777777" w:rsidR="00B47442" w:rsidRPr="0009445C" w:rsidRDefault="00B47442" w:rsidP="0099521D">
            <w:pPr>
              <w:pStyle w:val="BRL-Tabelle"/>
              <w:spacing w:before="60" w:after="40"/>
              <w:jc w:val="center"/>
              <w:rPr>
                <w:sz w:val="16"/>
              </w:rPr>
            </w:pPr>
          </w:p>
        </w:tc>
        <w:tc>
          <w:tcPr>
            <w:tcW w:w="426" w:type="dxa"/>
            <w:vAlign w:val="center"/>
          </w:tcPr>
          <w:p w14:paraId="6BE11681" w14:textId="77777777" w:rsidR="00B47442" w:rsidRPr="0009445C" w:rsidRDefault="00B47442" w:rsidP="0099521D">
            <w:pPr>
              <w:pStyle w:val="BRL-Tabelle"/>
              <w:spacing w:before="60" w:after="40"/>
              <w:jc w:val="center"/>
              <w:rPr>
                <w:sz w:val="16"/>
              </w:rPr>
            </w:pPr>
          </w:p>
        </w:tc>
        <w:tc>
          <w:tcPr>
            <w:tcW w:w="433" w:type="dxa"/>
            <w:vAlign w:val="center"/>
          </w:tcPr>
          <w:p w14:paraId="35294488" w14:textId="77777777" w:rsidR="00B47442" w:rsidRPr="0009445C" w:rsidRDefault="00B47442" w:rsidP="0099521D">
            <w:pPr>
              <w:pStyle w:val="BRL-Tabelle"/>
              <w:spacing w:before="60" w:after="40"/>
              <w:jc w:val="center"/>
              <w:rPr>
                <w:sz w:val="16"/>
              </w:rPr>
            </w:pPr>
          </w:p>
        </w:tc>
        <w:tc>
          <w:tcPr>
            <w:tcW w:w="426" w:type="dxa"/>
            <w:vAlign w:val="center"/>
          </w:tcPr>
          <w:p w14:paraId="0B36DE04" w14:textId="77777777" w:rsidR="00B47442" w:rsidRPr="0009445C" w:rsidRDefault="00B47442" w:rsidP="0099521D">
            <w:pPr>
              <w:pStyle w:val="BRL-Tabelle"/>
              <w:spacing w:before="60" w:after="40"/>
              <w:jc w:val="center"/>
              <w:rPr>
                <w:sz w:val="16"/>
              </w:rPr>
            </w:pPr>
          </w:p>
        </w:tc>
        <w:tc>
          <w:tcPr>
            <w:tcW w:w="427" w:type="dxa"/>
            <w:vAlign w:val="center"/>
          </w:tcPr>
          <w:p w14:paraId="52EFF34D" w14:textId="77777777" w:rsidR="00B47442" w:rsidRPr="0009445C" w:rsidRDefault="00B47442" w:rsidP="0099521D">
            <w:pPr>
              <w:pStyle w:val="BRL-Tabelle"/>
              <w:spacing w:before="60" w:after="40"/>
              <w:jc w:val="center"/>
              <w:rPr>
                <w:sz w:val="16"/>
              </w:rPr>
            </w:pPr>
          </w:p>
        </w:tc>
        <w:tc>
          <w:tcPr>
            <w:tcW w:w="426" w:type="dxa"/>
            <w:vAlign w:val="center"/>
          </w:tcPr>
          <w:p w14:paraId="5A55C57C" w14:textId="77777777" w:rsidR="00B47442" w:rsidRPr="0009445C" w:rsidRDefault="00B47442" w:rsidP="0099521D">
            <w:pPr>
              <w:pStyle w:val="BRL-Tabelle"/>
              <w:spacing w:before="60" w:after="40"/>
              <w:jc w:val="center"/>
              <w:rPr>
                <w:sz w:val="16"/>
              </w:rPr>
            </w:pPr>
          </w:p>
        </w:tc>
        <w:tc>
          <w:tcPr>
            <w:tcW w:w="427" w:type="dxa"/>
            <w:vAlign w:val="center"/>
          </w:tcPr>
          <w:p w14:paraId="27861132" w14:textId="77777777" w:rsidR="00B47442" w:rsidRPr="0009445C" w:rsidRDefault="00B47442" w:rsidP="0099521D">
            <w:pPr>
              <w:pStyle w:val="BRL-Tabelle"/>
              <w:spacing w:before="60" w:after="40"/>
              <w:jc w:val="center"/>
              <w:rPr>
                <w:sz w:val="16"/>
              </w:rPr>
            </w:pPr>
          </w:p>
        </w:tc>
      </w:tr>
      <w:tr w:rsidR="00B47442" w:rsidRPr="0009445C" w14:paraId="75DCECE8" w14:textId="77777777" w:rsidTr="0099521D">
        <w:trPr>
          <w:trHeight w:val="264"/>
        </w:trPr>
        <w:tc>
          <w:tcPr>
            <w:tcW w:w="2355" w:type="dxa"/>
            <w:gridSpan w:val="2"/>
          </w:tcPr>
          <w:p w14:paraId="26DB99D9" w14:textId="77777777" w:rsidR="00B47442" w:rsidRPr="0009445C" w:rsidRDefault="00B47442" w:rsidP="0099521D">
            <w:pPr>
              <w:pStyle w:val="BRL-Tabelle"/>
              <w:spacing w:before="60" w:after="40"/>
            </w:pPr>
            <w:r w:rsidRPr="0009445C">
              <w:t>Alarm status</w:t>
            </w:r>
          </w:p>
        </w:tc>
        <w:tc>
          <w:tcPr>
            <w:tcW w:w="427" w:type="dxa"/>
            <w:vAlign w:val="center"/>
          </w:tcPr>
          <w:p w14:paraId="51A9F1DF" w14:textId="77777777" w:rsidR="00B47442" w:rsidRPr="0009445C" w:rsidRDefault="00B47442" w:rsidP="0099521D">
            <w:pPr>
              <w:pStyle w:val="BRL-Tabelle"/>
              <w:spacing w:before="60" w:after="40"/>
              <w:jc w:val="center"/>
              <w:rPr>
                <w:sz w:val="16"/>
              </w:rPr>
            </w:pPr>
          </w:p>
        </w:tc>
        <w:tc>
          <w:tcPr>
            <w:tcW w:w="427" w:type="dxa"/>
            <w:vAlign w:val="center"/>
          </w:tcPr>
          <w:p w14:paraId="7FB0E242" w14:textId="77777777" w:rsidR="00B47442" w:rsidRPr="0009445C" w:rsidRDefault="00B47442" w:rsidP="0099521D">
            <w:pPr>
              <w:pStyle w:val="BRL-Tabelle"/>
              <w:spacing w:before="60" w:after="40"/>
              <w:jc w:val="center"/>
              <w:rPr>
                <w:sz w:val="16"/>
              </w:rPr>
            </w:pPr>
          </w:p>
        </w:tc>
        <w:tc>
          <w:tcPr>
            <w:tcW w:w="426" w:type="dxa"/>
            <w:vAlign w:val="center"/>
          </w:tcPr>
          <w:p w14:paraId="3FE4ED8C" w14:textId="77777777" w:rsidR="00B47442" w:rsidRPr="0009445C" w:rsidRDefault="00B47442" w:rsidP="0099521D">
            <w:pPr>
              <w:pStyle w:val="BRL-Tabelle"/>
              <w:spacing w:before="60" w:after="40"/>
              <w:jc w:val="center"/>
              <w:rPr>
                <w:sz w:val="16"/>
              </w:rPr>
            </w:pPr>
          </w:p>
        </w:tc>
        <w:tc>
          <w:tcPr>
            <w:tcW w:w="427" w:type="dxa"/>
            <w:vAlign w:val="center"/>
          </w:tcPr>
          <w:p w14:paraId="4C79D92B" w14:textId="77777777" w:rsidR="00B47442" w:rsidRPr="0009445C" w:rsidRDefault="00B47442" w:rsidP="0099521D">
            <w:pPr>
              <w:pStyle w:val="BRL-Tabelle"/>
              <w:spacing w:before="60" w:after="40"/>
              <w:jc w:val="center"/>
              <w:rPr>
                <w:sz w:val="16"/>
              </w:rPr>
            </w:pPr>
          </w:p>
        </w:tc>
        <w:tc>
          <w:tcPr>
            <w:tcW w:w="425" w:type="dxa"/>
            <w:vAlign w:val="center"/>
          </w:tcPr>
          <w:p w14:paraId="798D2122" w14:textId="77777777" w:rsidR="00B47442" w:rsidRPr="0009445C" w:rsidRDefault="00B47442" w:rsidP="0099521D">
            <w:pPr>
              <w:pStyle w:val="BRL-Tabelle"/>
              <w:spacing w:before="60" w:after="40"/>
              <w:jc w:val="center"/>
              <w:rPr>
                <w:sz w:val="16"/>
              </w:rPr>
            </w:pPr>
          </w:p>
        </w:tc>
        <w:tc>
          <w:tcPr>
            <w:tcW w:w="426" w:type="dxa"/>
            <w:vAlign w:val="center"/>
          </w:tcPr>
          <w:p w14:paraId="363CFF60" w14:textId="77777777" w:rsidR="00B47442" w:rsidRPr="0009445C" w:rsidRDefault="00B47442" w:rsidP="0099521D">
            <w:pPr>
              <w:pStyle w:val="BRL-Tabelle"/>
              <w:spacing w:before="60" w:after="40"/>
              <w:jc w:val="center"/>
              <w:rPr>
                <w:sz w:val="16"/>
              </w:rPr>
            </w:pPr>
          </w:p>
        </w:tc>
        <w:tc>
          <w:tcPr>
            <w:tcW w:w="428" w:type="dxa"/>
            <w:vAlign w:val="center"/>
          </w:tcPr>
          <w:p w14:paraId="5D1DE09D"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E3EBF99" w14:textId="77777777" w:rsidR="00B47442" w:rsidRPr="0009445C" w:rsidRDefault="00B47442" w:rsidP="0099521D">
            <w:pPr>
              <w:pStyle w:val="BRL-Tabelle"/>
              <w:spacing w:before="60" w:after="40"/>
              <w:jc w:val="center"/>
              <w:rPr>
                <w:sz w:val="16"/>
              </w:rPr>
            </w:pPr>
          </w:p>
        </w:tc>
        <w:tc>
          <w:tcPr>
            <w:tcW w:w="426" w:type="dxa"/>
            <w:vAlign w:val="center"/>
          </w:tcPr>
          <w:p w14:paraId="2849453F" w14:textId="77777777" w:rsidR="00B47442" w:rsidRPr="0009445C" w:rsidRDefault="00B47442" w:rsidP="0099521D">
            <w:pPr>
              <w:pStyle w:val="BRL-Tabelle"/>
              <w:spacing w:before="60" w:after="40"/>
              <w:jc w:val="center"/>
              <w:rPr>
                <w:sz w:val="16"/>
              </w:rPr>
            </w:pPr>
          </w:p>
        </w:tc>
        <w:tc>
          <w:tcPr>
            <w:tcW w:w="426" w:type="dxa"/>
            <w:vAlign w:val="center"/>
          </w:tcPr>
          <w:p w14:paraId="1DF2549C" w14:textId="77777777" w:rsidR="00B47442" w:rsidRPr="0009445C" w:rsidRDefault="00B47442" w:rsidP="0099521D">
            <w:pPr>
              <w:pStyle w:val="BRL-Tabelle"/>
              <w:spacing w:before="60" w:after="40"/>
              <w:jc w:val="center"/>
              <w:rPr>
                <w:sz w:val="16"/>
              </w:rPr>
            </w:pPr>
          </w:p>
        </w:tc>
        <w:tc>
          <w:tcPr>
            <w:tcW w:w="426" w:type="dxa"/>
            <w:vAlign w:val="center"/>
          </w:tcPr>
          <w:p w14:paraId="74A4AC86" w14:textId="77777777" w:rsidR="00B47442" w:rsidRPr="0009445C" w:rsidRDefault="00B47442" w:rsidP="0099521D">
            <w:pPr>
              <w:pStyle w:val="BRL-Tabelle"/>
              <w:spacing w:before="60" w:after="40"/>
              <w:jc w:val="center"/>
              <w:rPr>
                <w:sz w:val="16"/>
              </w:rPr>
            </w:pPr>
          </w:p>
        </w:tc>
        <w:tc>
          <w:tcPr>
            <w:tcW w:w="433" w:type="dxa"/>
            <w:vAlign w:val="center"/>
          </w:tcPr>
          <w:p w14:paraId="6C7B984C" w14:textId="77777777" w:rsidR="00B47442" w:rsidRPr="0009445C" w:rsidRDefault="00B47442" w:rsidP="0099521D">
            <w:pPr>
              <w:pStyle w:val="BRL-Tabelle"/>
              <w:spacing w:before="60" w:after="40"/>
              <w:jc w:val="center"/>
              <w:rPr>
                <w:sz w:val="16"/>
              </w:rPr>
            </w:pPr>
          </w:p>
        </w:tc>
        <w:tc>
          <w:tcPr>
            <w:tcW w:w="426" w:type="dxa"/>
            <w:vAlign w:val="center"/>
          </w:tcPr>
          <w:p w14:paraId="5C8E931E" w14:textId="77777777" w:rsidR="00B47442" w:rsidRPr="0009445C" w:rsidRDefault="00B47442" w:rsidP="0099521D">
            <w:pPr>
              <w:pStyle w:val="BRL-Tabelle"/>
              <w:spacing w:before="60" w:after="40"/>
              <w:jc w:val="center"/>
              <w:rPr>
                <w:sz w:val="16"/>
              </w:rPr>
            </w:pPr>
          </w:p>
        </w:tc>
        <w:tc>
          <w:tcPr>
            <w:tcW w:w="427" w:type="dxa"/>
            <w:vAlign w:val="center"/>
          </w:tcPr>
          <w:p w14:paraId="64AEDB4F" w14:textId="77777777" w:rsidR="00B47442" w:rsidRPr="0009445C" w:rsidRDefault="00B47442" w:rsidP="0099521D">
            <w:pPr>
              <w:pStyle w:val="BRL-Tabelle"/>
              <w:spacing w:before="60" w:after="40"/>
              <w:jc w:val="center"/>
              <w:rPr>
                <w:sz w:val="16"/>
              </w:rPr>
            </w:pPr>
          </w:p>
        </w:tc>
        <w:tc>
          <w:tcPr>
            <w:tcW w:w="426" w:type="dxa"/>
            <w:vAlign w:val="center"/>
          </w:tcPr>
          <w:p w14:paraId="232057BE" w14:textId="77777777" w:rsidR="00B47442" w:rsidRPr="0009445C" w:rsidRDefault="00B47442" w:rsidP="0099521D">
            <w:pPr>
              <w:pStyle w:val="BRL-Tabelle"/>
              <w:spacing w:before="60" w:after="40"/>
              <w:jc w:val="center"/>
              <w:rPr>
                <w:sz w:val="16"/>
              </w:rPr>
            </w:pPr>
          </w:p>
        </w:tc>
        <w:tc>
          <w:tcPr>
            <w:tcW w:w="427" w:type="dxa"/>
            <w:vAlign w:val="center"/>
          </w:tcPr>
          <w:p w14:paraId="2AD2D909" w14:textId="77777777" w:rsidR="00B47442" w:rsidRPr="0009445C" w:rsidRDefault="00B47442" w:rsidP="0099521D">
            <w:pPr>
              <w:pStyle w:val="BRL-Tabelle"/>
              <w:spacing w:before="60" w:after="40"/>
              <w:jc w:val="center"/>
              <w:rPr>
                <w:sz w:val="16"/>
              </w:rPr>
            </w:pPr>
          </w:p>
        </w:tc>
      </w:tr>
      <w:tr w:rsidR="00B47442" w:rsidRPr="0009445C" w14:paraId="4222DF23" w14:textId="77777777" w:rsidTr="0099521D">
        <w:trPr>
          <w:trHeight w:val="264"/>
        </w:trPr>
        <w:tc>
          <w:tcPr>
            <w:tcW w:w="2355" w:type="dxa"/>
            <w:gridSpan w:val="2"/>
          </w:tcPr>
          <w:p w14:paraId="37797ACA" w14:textId="77777777" w:rsidR="00B47442" w:rsidRPr="0009445C" w:rsidRDefault="00B47442" w:rsidP="0099521D">
            <w:pPr>
              <w:pStyle w:val="BRL-Tabelle"/>
              <w:spacing w:before="60" w:after="40"/>
            </w:pPr>
            <w:r w:rsidRPr="0009445C">
              <w:t>Alarm status displays</w:t>
            </w:r>
          </w:p>
        </w:tc>
        <w:tc>
          <w:tcPr>
            <w:tcW w:w="427" w:type="dxa"/>
            <w:vAlign w:val="center"/>
          </w:tcPr>
          <w:p w14:paraId="4A68709F" w14:textId="77777777" w:rsidR="00B47442" w:rsidRPr="0009445C" w:rsidRDefault="00B47442" w:rsidP="0099521D">
            <w:pPr>
              <w:pStyle w:val="BRL-Tabelle"/>
              <w:spacing w:before="60" w:after="40"/>
              <w:jc w:val="center"/>
              <w:rPr>
                <w:sz w:val="16"/>
              </w:rPr>
            </w:pPr>
          </w:p>
        </w:tc>
        <w:tc>
          <w:tcPr>
            <w:tcW w:w="427" w:type="dxa"/>
            <w:vAlign w:val="center"/>
          </w:tcPr>
          <w:p w14:paraId="23B56A6A" w14:textId="77777777" w:rsidR="00B47442" w:rsidRPr="0009445C" w:rsidRDefault="00B47442" w:rsidP="0099521D">
            <w:pPr>
              <w:pStyle w:val="BRL-Tabelle"/>
              <w:spacing w:before="60" w:after="40"/>
              <w:jc w:val="center"/>
              <w:rPr>
                <w:sz w:val="16"/>
              </w:rPr>
            </w:pPr>
          </w:p>
        </w:tc>
        <w:tc>
          <w:tcPr>
            <w:tcW w:w="426" w:type="dxa"/>
            <w:vAlign w:val="center"/>
          </w:tcPr>
          <w:p w14:paraId="01C03882" w14:textId="77777777" w:rsidR="00B47442" w:rsidRPr="0009445C" w:rsidRDefault="00B47442" w:rsidP="0099521D">
            <w:pPr>
              <w:pStyle w:val="BRL-Tabelle"/>
              <w:spacing w:before="60" w:after="40"/>
              <w:jc w:val="center"/>
              <w:rPr>
                <w:sz w:val="16"/>
              </w:rPr>
            </w:pPr>
          </w:p>
        </w:tc>
        <w:tc>
          <w:tcPr>
            <w:tcW w:w="427" w:type="dxa"/>
            <w:vAlign w:val="center"/>
          </w:tcPr>
          <w:p w14:paraId="46447817" w14:textId="77777777" w:rsidR="00B47442" w:rsidRPr="0009445C" w:rsidRDefault="00B47442" w:rsidP="0099521D">
            <w:pPr>
              <w:pStyle w:val="BRL-Tabelle"/>
              <w:spacing w:before="60" w:after="40"/>
              <w:jc w:val="center"/>
              <w:rPr>
                <w:sz w:val="16"/>
              </w:rPr>
            </w:pPr>
          </w:p>
        </w:tc>
        <w:tc>
          <w:tcPr>
            <w:tcW w:w="425" w:type="dxa"/>
            <w:vAlign w:val="center"/>
          </w:tcPr>
          <w:p w14:paraId="4BBFF248" w14:textId="77777777" w:rsidR="00B47442" w:rsidRPr="0009445C" w:rsidRDefault="00B47442" w:rsidP="0099521D">
            <w:pPr>
              <w:pStyle w:val="BRL-Tabelle"/>
              <w:spacing w:before="60" w:after="40"/>
              <w:jc w:val="center"/>
              <w:rPr>
                <w:sz w:val="16"/>
              </w:rPr>
            </w:pPr>
          </w:p>
        </w:tc>
        <w:tc>
          <w:tcPr>
            <w:tcW w:w="426" w:type="dxa"/>
            <w:vAlign w:val="center"/>
          </w:tcPr>
          <w:p w14:paraId="1DBEA287" w14:textId="77777777" w:rsidR="00B47442" w:rsidRPr="0009445C" w:rsidRDefault="00B47442" w:rsidP="0099521D">
            <w:pPr>
              <w:pStyle w:val="BRL-Tabelle"/>
              <w:spacing w:before="60" w:after="40"/>
              <w:jc w:val="center"/>
              <w:rPr>
                <w:sz w:val="16"/>
              </w:rPr>
            </w:pPr>
          </w:p>
        </w:tc>
        <w:tc>
          <w:tcPr>
            <w:tcW w:w="428" w:type="dxa"/>
            <w:vAlign w:val="center"/>
          </w:tcPr>
          <w:p w14:paraId="356DDDE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2E5A321" w14:textId="77777777" w:rsidR="00B47442" w:rsidRPr="0009445C" w:rsidRDefault="00B47442" w:rsidP="0099521D">
            <w:pPr>
              <w:pStyle w:val="BRL-Tabelle"/>
              <w:spacing w:before="60" w:after="40"/>
              <w:jc w:val="center"/>
              <w:rPr>
                <w:sz w:val="16"/>
              </w:rPr>
            </w:pPr>
          </w:p>
        </w:tc>
        <w:tc>
          <w:tcPr>
            <w:tcW w:w="426" w:type="dxa"/>
            <w:vAlign w:val="center"/>
          </w:tcPr>
          <w:p w14:paraId="4EB01123" w14:textId="77777777" w:rsidR="00B47442" w:rsidRPr="0009445C" w:rsidRDefault="00B47442" w:rsidP="0099521D">
            <w:pPr>
              <w:pStyle w:val="BRL-Tabelle"/>
              <w:spacing w:before="60" w:after="40"/>
              <w:jc w:val="center"/>
              <w:rPr>
                <w:sz w:val="16"/>
              </w:rPr>
            </w:pPr>
          </w:p>
        </w:tc>
        <w:tc>
          <w:tcPr>
            <w:tcW w:w="426" w:type="dxa"/>
            <w:vAlign w:val="center"/>
          </w:tcPr>
          <w:p w14:paraId="538E57FC" w14:textId="77777777" w:rsidR="00B47442" w:rsidRPr="0009445C" w:rsidRDefault="00B47442" w:rsidP="0099521D">
            <w:pPr>
              <w:pStyle w:val="BRL-Tabelle"/>
              <w:spacing w:before="60" w:after="40"/>
              <w:jc w:val="center"/>
              <w:rPr>
                <w:sz w:val="16"/>
              </w:rPr>
            </w:pPr>
          </w:p>
        </w:tc>
        <w:tc>
          <w:tcPr>
            <w:tcW w:w="426" w:type="dxa"/>
            <w:vAlign w:val="center"/>
          </w:tcPr>
          <w:p w14:paraId="16D24A72" w14:textId="77777777" w:rsidR="00B47442" w:rsidRPr="0009445C" w:rsidRDefault="00B47442" w:rsidP="0099521D">
            <w:pPr>
              <w:pStyle w:val="BRL-Tabelle"/>
              <w:spacing w:before="60" w:after="40"/>
              <w:jc w:val="center"/>
              <w:rPr>
                <w:sz w:val="16"/>
              </w:rPr>
            </w:pPr>
          </w:p>
        </w:tc>
        <w:tc>
          <w:tcPr>
            <w:tcW w:w="433" w:type="dxa"/>
            <w:vAlign w:val="center"/>
          </w:tcPr>
          <w:p w14:paraId="1C7EC079" w14:textId="77777777" w:rsidR="00B47442" w:rsidRPr="0009445C" w:rsidRDefault="00B47442" w:rsidP="0099521D">
            <w:pPr>
              <w:pStyle w:val="BRL-Tabelle"/>
              <w:spacing w:before="60" w:after="40"/>
              <w:jc w:val="center"/>
              <w:rPr>
                <w:sz w:val="16"/>
              </w:rPr>
            </w:pPr>
          </w:p>
        </w:tc>
        <w:tc>
          <w:tcPr>
            <w:tcW w:w="426" w:type="dxa"/>
            <w:vAlign w:val="center"/>
          </w:tcPr>
          <w:p w14:paraId="45AA9941" w14:textId="77777777" w:rsidR="00B47442" w:rsidRPr="0009445C" w:rsidRDefault="00B47442" w:rsidP="0099521D">
            <w:pPr>
              <w:pStyle w:val="BRL-Tabelle"/>
              <w:spacing w:before="60" w:after="40"/>
              <w:jc w:val="center"/>
              <w:rPr>
                <w:sz w:val="16"/>
              </w:rPr>
            </w:pPr>
          </w:p>
        </w:tc>
        <w:tc>
          <w:tcPr>
            <w:tcW w:w="427" w:type="dxa"/>
            <w:vAlign w:val="center"/>
          </w:tcPr>
          <w:p w14:paraId="3CC62E67" w14:textId="77777777" w:rsidR="00B47442" w:rsidRPr="0009445C" w:rsidRDefault="00B47442" w:rsidP="0099521D">
            <w:pPr>
              <w:pStyle w:val="BRL-Tabelle"/>
              <w:spacing w:before="60" w:after="40"/>
              <w:jc w:val="center"/>
              <w:rPr>
                <w:sz w:val="16"/>
              </w:rPr>
            </w:pPr>
          </w:p>
        </w:tc>
        <w:tc>
          <w:tcPr>
            <w:tcW w:w="426" w:type="dxa"/>
            <w:vAlign w:val="center"/>
          </w:tcPr>
          <w:p w14:paraId="19EEEC74" w14:textId="77777777" w:rsidR="00B47442" w:rsidRPr="0009445C" w:rsidRDefault="00B47442" w:rsidP="0099521D">
            <w:pPr>
              <w:pStyle w:val="BRL-Tabelle"/>
              <w:spacing w:before="60" w:after="40"/>
              <w:jc w:val="center"/>
              <w:rPr>
                <w:sz w:val="16"/>
              </w:rPr>
            </w:pPr>
          </w:p>
        </w:tc>
        <w:tc>
          <w:tcPr>
            <w:tcW w:w="427" w:type="dxa"/>
            <w:vAlign w:val="center"/>
          </w:tcPr>
          <w:p w14:paraId="7DF1D91B" w14:textId="77777777" w:rsidR="00B47442" w:rsidRPr="0009445C" w:rsidRDefault="00B47442" w:rsidP="0099521D">
            <w:pPr>
              <w:pStyle w:val="BRL-Tabelle"/>
              <w:spacing w:before="60" w:after="40"/>
              <w:jc w:val="center"/>
              <w:rPr>
                <w:sz w:val="16"/>
              </w:rPr>
            </w:pPr>
          </w:p>
        </w:tc>
      </w:tr>
      <w:tr w:rsidR="00B47442" w:rsidRPr="0009445C" w14:paraId="072D32EE" w14:textId="77777777" w:rsidTr="0099521D">
        <w:trPr>
          <w:trHeight w:val="264"/>
        </w:trPr>
        <w:tc>
          <w:tcPr>
            <w:tcW w:w="2355" w:type="dxa"/>
            <w:gridSpan w:val="2"/>
          </w:tcPr>
          <w:p w14:paraId="4ED72525" w14:textId="77777777" w:rsidR="00B47442" w:rsidRPr="0009445C" w:rsidRDefault="00B47442" w:rsidP="0099521D">
            <w:pPr>
              <w:pStyle w:val="BRL-Tabelle"/>
              <w:spacing w:before="60" w:after="40"/>
            </w:pPr>
            <w:r w:rsidRPr="0009445C">
              <w:t>Safety aspects</w:t>
            </w:r>
          </w:p>
        </w:tc>
        <w:tc>
          <w:tcPr>
            <w:tcW w:w="427" w:type="dxa"/>
            <w:vAlign w:val="center"/>
          </w:tcPr>
          <w:p w14:paraId="2EB8D7B5" w14:textId="77777777" w:rsidR="00B47442" w:rsidRPr="0009445C" w:rsidRDefault="00B47442" w:rsidP="0099521D">
            <w:pPr>
              <w:pStyle w:val="BRL-Tabelle"/>
              <w:spacing w:before="60" w:after="40"/>
              <w:jc w:val="center"/>
              <w:rPr>
                <w:sz w:val="16"/>
              </w:rPr>
            </w:pPr>
          </w:p>
        </w:tc>
        <w:tc>
          <w:tcPr>
            <w:tcW w:w="427" w:type="dxa"/>
            <w:vAlign w:val="center"/>
          </w:tcPr>
          <w:p w14:paraId="0437F760" w14:textId="77777777" w:rsidR="00B47442" w:rsidRPr="0009445C" w:rsidRDefault="00B47442" w:rsidP="0099521D">
            <w:pPr>
              <w:pStyle w:val="BRL-Tabelle"/>
              <w:spacing w:before="60" w:after="40"/>
              <w:jc w:val="center"/>
              <w:rPr>
                <w:sz w:val="16"/>
              </w:rPr>
            </w:pPr>
          </w:p>
        </w:tc>
        <w:tc>
          <w:tcPr>
            <w:tcW w:w="426" w:type="dxa"/>
            <w:vAlign w:val="center"/>
          </w:tcPr>
          <w:p w14:paraId="7219CF53" w14:textId="77777777" w:rsidR="00B47442" w:rsidRPr="0009445C" w:rsidRDefault="00B47442" w:rsidP="0099521D">
            <w:pPr>
              <w:pStyle w:val="BRL-Tabelle"/>
              <w:spacing w:before="60" w:after="40"/>
              <w:jc w:val="center"/>
              <w:rPr>
                <w:sz w:val="16"/>
              </w:rPr>
            </w:pPr>
          </w:p>
        </w:tc>
        <w:tc>
          <w:tcPr>
            <w:tcW w:w="427" w:type="dxa"/>
            <w:vAlign w:val="center"/>
          </w:tcPr>
          <w:p w14:paraId="63339EDB" w14:textId="77777777" w:rsidR="00B47442" w:rsidRPr="0009445C" w:rsidRDefault="00B47442" w:rsidP="0099521D">
            <w:pPr>
              <w:pStyle w:val="BRL-Tabelle"/>
              <w:spacing w:before="60" w:after="40"/>
              <w:jc w:val="center"/>
              <w:rPr>
                <w:sz w:val="16"/>
              </w:rPr>
            </w:pPr>
          </w:p>
        </w:tc>
        <w:tc>
          <w:tcPr>
            <w:tcW w:w="425" w:type="dxa"/>
            <w:vAlign w:val="center"/>
          </w:tcPr>
          <w:p w14:paraId="4E623390" w14:textId="77777777" w:rsidR="00B47442" w:rsidRPr="0009445C" w:rsidRDefault="00B47442" w:rsidP="0099521D">
            <w:pPr>
              <w:pStyle w:val="BRL-Tabelle"/>
              <w:spacing w:before="60" w:after="40"/>
              <w:jc w:val="center"/>
              <w:rPr>
                <w:sz w:val="16"/>
              </w:rPr>
            </w:pPr>
          </w:p>
        </w:tc>
        <w:tc>
          <w:tcPr>
            <w:tcW w:w="426" w:type="dxa"/>
            <w:vAlign w:val="center"/>
          </w:tcPr>
          <w:p w14:paraId="28610CC1" w14:textId="77777777" w:rsidR="00B47442" w:rsidRPr="0009445C" w:rsidRDefault="00B47442" w:rsidP="0099521D">
            <w:pPr>
              <w:pStyle w:val="BRL-Tabelle"/>
              <w:spacing w:before="60" w:after="40"/>
              <w:jc w:val="center"/>
              <w:rPr>
                <w:sz w:val="16"/>
              </w:rPr>
            </w:pPr>
          </w:p>
        </w:tc>
        <w:tc>
          <w:tcPr>
            <w:tcW w:w="428" w:type="dxa"/>
            <w:vAlign w:val="center"/>
          </w:tcPr>
          <w:p w14:paraId="2E33221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AB01F0D" w14:textId="77777777" w:rsidR="00B47442" w:rsidRPr="0009445C" w:rsidRDefault="00B47442" w:rsidP="0099521D">
            <w:pPr>
              <w:pStyle w:val="BRL-Tabelle"/>
              <w:spacing w:before="60" w:after="40"/>
              <w:jc w:val="center"/>
              <w:rPr>
                <w:sz w:val="16"/>
              </w:rPr>
            </w:pPr>
          </w:p>
        </w:tc>
        <w:tc>
          <w:tcPr>
            <w:tcW w:w="426" w:type="dxa"/>
            <w:vAlign w:val="center"/>
          </w:tcPr>
          <w:p w14:paraId="51A42D3C" w14:textId="77777777" w:rsidR="00B47442" w:rsidRPr="0009445C" w:rsidRDefault="00B47442" w:rsidP="0099521D">
            <w:pPr>
              <w:pStyle w:val="BRL-Tabelle"/>
              <w:spacing w:before="60" w:after="40"/>
              <w:jc w:val="center"/>
              <w:rPr>
                <w:sz w:val="16"/>
              </w:rPr>
            </w:pPr>
          </w:p>
        </w:tc>
        <w:tc>
          <w:tcPr>
            <w:tcW w:w="426" w:type="dxa"/>
            <w:vAlign w:val="center"/>
          </w:tcPr>
          <w:p w14:paraId="226825D9" w14:textId="77777777" w:rsidR="00B47442" w:rsidRPr="0009445C" w:rsidRDefault="00B47442" w:rsidP="0099521D">
            <w:pPr>
              <w:pStyle w:val="BRL-Tabelle"/>
              <w:spacing w:before="60" w:after="40"/>
              <w:jc w:val="center"/>
              <w:rPr>
                <w:sz w:val="16"/>
              </w:rPr>
            </w:pPr>
          </w:p>
        </w:tc>
        <w:tc>
          <w:tcPr>
            <w:tcW w:w="426" w:type="dxa"/>
            <w:vAlign w:val="center"/>
          </w:tcPr>
          <w:p w14:paraId="1080C183" w14:textId="77777777" w:rsidR="00B47442" w:rsidRPr="0009445C" w:rsidRDefault="00B47442" w:rsidP="0099521D">
            <w:pPr>
              <w:pStyle w:val="BRL-Tabelle"/>
              <w:spacing w:before="60" w:after="40"/>
              <w:jc w:val="center"/>
              <w:rPr>
                <w:sz w:val="16"/>
              </w:rPr>
            </w:pPr>
          </w:p>
        </w:tc>
        <w:tc>
          <w:tcPr>
            <w:tcW w:w="433" w:type="dxa"/>
            <w:vAlign w:val="center"/>
          </w:tcPr>
          <w:p w14:paraId="368C839A" w14:textId="77777777" w:rsidR="00B47442" w:rsidRPr="0009445C" w:rsidRDefault="00B47442" w:rsidP="0099521D">
            <w:pPr>
              <w:pStyle w:val="BRL-Tabelle"/>
              <w:spacing w:before="60" w:after="40"/>
              <w:jc w:val="center"/>
              <w:rPr>
                <w:sz w:val="16"/>
              </w:rPr>
            </w:pPr>
          </w:p>
        </w:tc>
        <w:tc>
          <w:tcPr>
            <w:tcW w:w="426" w:type="dxa"/>
            <w:vAlign w:val="center"/>
          </w:tcPr>
          <w:p w14:paraId="47A16996" w14:textId="77777777" w:rsidR="00B47442" w:rsidRPr="0009445C" w:rsidRDefault="00B47442" w:rsidP="0099521D">
            <w:pPr>
              <w:pStyle w:val="BRL-Tabelle"/>
              <w:spacing w:before="60" w:after="40"/>
              <w:jc w:val="center"/>
              <w:rPr>
                <w:sz w:val="16"/>
              </w:rPr>
            </w:pPr>
          </w:p>
        </w:tc>
        <w:tc>
          <w:tcPr>
            <w:tcW w:w="427" w:type="dxa"/>
            <w:vAlign w:val="center"/>
          </w:tcPr>
          <w:p w14:paraId="165C73A4" w14:textId="77777777" w:rsidR="00B47442" w:rsidRPr="0009445C" w:rsidRDefault="00B47442" w:rsidP="0099521D">
            <w:pPr>
              <w:pStyle w:val="BRL-Tabelle"/>
              <w:spacing w:before="60" w:after="40"/>
              <w:jc w:val="center"/>
              <w:rPr>
                <w:sz w:val="16"/>
              </w:rPr>
            </w:pPr>
          </w:p>
        </w:tc>
        <w:tc>
          <w:tcPr>
            <w:tcW w:w="426" w:type="dxa"/>
            <w:vAlign w:val="center"/>
          </w:tcPr>
          <w:p w14:paraId="73CD0D60" w14:textId="77777777" w:rsidR="00B47442" w:rsidRPr="0009445C" w:rsidRDefault="00B47442" w:rsidP="0099521D">
            <w:pPr>
              <w:pStyle w:val="BRL-Tabelle"/>
              <w:spacing w:before="60" w:after="40"/>
              <w:jc w:val="center"/>
              <w:rPr>
                <w:sz w:val="16"/>
              </w:rPr>
            </w:pPr>
          </w:p>
        </w:tc>
        <w:tc>
          <w:tcPr>
            <w:tcW w:w="427" w:type="dxa"/>
            <w:vAlign w:val="center"/>
          </w:tcPr>
          <w:p w14:paraId="1C8721ED" w14:textId="77777777" w:rsidR="00B47442" w:rsidRPr="0009445C" w:rsidRDefault="00B47442" w:rsidP="0099521D">
            <w:pPr>
              <w:pStyle w:val="BRL-Tabelle"/>
              <w:spacing w:before="60" w:after="40"/>
              <w:jc w:val="center"/>
              <w:rPr>
                <w:sz w:val="16"/>
              </w:rPr>
            </w:pPr>
          </w:p>
        </w:tc>
      </w:tr>
      <w:tr w:rsidR="00B47442" w:rsidRPr="0009445C" w14:paraId="419F764F" w14:textId="77777777" w:rsidTr="0099521D">
        <w:trPr>
          <w:trHeight w:val="264"/>
        </w:trPr>
        <w:tc>
          <w:tcPr>
            <w:tcW w:w="2355" w:type="dxa"/>
            <w:gridSpan w:val="2"/>
          </w:tcPr>
          <w:p w14:paraId="6C077FEB" w14:textId="77777777" w:rsidR="00B47442" w:rsidRPr="0009445C" w:rsidRDefault="00B47442" w:rsidP="0099521D">
            <w:pPr>
              <w:pStyle w:val="BRL-Tabelle"/>
              <w:spacing w:before="60" w:after="40"/>
            </w:pPr>
            <w:r w:rsidRPr="0009445C">
              <w:t>Protection from unintentional triggering</w:t>
            </w:r>
          </w:p>
        </w:tc>
        <w:tc>
          <w:tcPr>
            <w:tcW w:w="427" w:type="dxa"/>
            <w:vAlign w:val="center"/>
          </w:tcPr>
          <w:p w14:paraId="76C341B2" w14:textId="77777777" w:rsidR="00B47442" w:rsidRPr="0009445C" w:rsidRDefault="00B47442" w:rsidP="0099521D">
            <w:pPr>
              <w:pStyle w:val="BRL-Tabelle"/>
              <w:spacing w:before="60" w:after="40"/>
              <w:jc w:val="center"/>
              <w:rPr>
                <w:sz w:val="16"/>
              </w:rPr>
            </w:pPr>
          </w:p>
        </w:tc>
        <w:tc>
          <w:tcPr>
            <w:tcW w:w="427" w:type="dxa"/>
            <w:vAlign w:val="center"/>
          </w:tcPr>
          <w:p w14:paraId="3BBC3616" w14:textId="77777777" w:rsidR="00B47442" w:rsidRPr="0009445C" w:rsidRDefault="00B47442" w:rsidP="0099521D">
            <w:pPr>
              <w:pStyle w:val="BRL-Tabelle"/>
              <w:spacing w:before="60" w:after="40"/>
              <w:jc w:val="center"/>
              <w:rPr>
                <w:sz w:val="16"/>
              </w:rPr>
            </w:pPr>
          </w:p>
        </w:tc>
        <w:tc>
          <w:tcPr>
            <w:tcW w:w="426" w:type="dxa"/>
            <w:vAlign w:val="center"/>
          </w:tcPr>
          <w:p w14:paraId="3E73BD8A" w14:textId="77777777" w:rsidR="00B47442" w:rsidRPr="0009445C" w:rsidRDefault="00B47442" w:rsidP="0099521D">
            <w:pPr>
              <w:pStyle w:val="BRL-Tabelle"/>
              <w:spacing w:before="60" w:after="40"/>
              <w:jc w:val="center"/>
              <w:rPr>
                <w:sz w:val="16"/>
              </w:rPr>
            </w:pPr>
          </w:p>
        </w:tc>
        <w:tc>
          <w:tcPr>
            <w:tcW w:w="427" w:type="dxa"/>
            <w:vAlign w:val="center"/>
          </w:tcPr>
          <w:p w14:paraId="793B1EE9" w14:textId="77777777" w:rsidR="00B47442" w:rsidRPr="0009445C" w:rsidRDefault="00B47442" w:rsidP="0099521D">
            <w:pPr>
              <w:pStyle w:val="BRL-Tabelle"/>
              <w:spacing w:before="60" w:after="40"/>
              <w:jc w:val="center"/>
              <w:rPr>
                <w:sz w:val="16"/>
              </w:rPr>
            </w:pPr>
          </w:p>
        </w:tc>
        <w:tc>
          <w:tcPr>
            <w:tcW w:w="425" w:type="dxa"/>
            <w:vAlign w:val="center"/>
          </w:tcPr>
          <w:p w14:paraId="6C1DD14B" w14:textId="77777777" w:rsidR="00B47442" w:rsidRPr="0009445C" w:rsidRDefault="00B47442" w:rsidP="0099521D">
            <w:pPr>
              <w:pStyle w:val="BRL-Tabelle"/>
              <w:spacing w:before="60" w:after="40"/>
              <w:jc w:val="center"/>
              <w:rPr>
                <w:sz w:val="16"/>
              </w:rPr>
            </w:pPr>
          </w:p>
        </w:tc>
        <w:tc>
          <w:tcPr>
            <w:tcW w:w="426" w:type="dxa"/>
            <w:vAlign w:val="center"/>
          </w:tcPr>
          <w:p w14:paraId="4EF325CD" w14:textId="77777777" w:rsidR="00B47442" w:rsidRPr="0009445C" w:rsidRDefault="00B47442" w:rsidP="0099521D">
            <w:pPr>
              <w:pStyle w:val="BRL-Tabelle"/>
              <w:spacing w:before="60" w:after="40"/>
              <w:jc w:val="center"/>
              <w:rPr>
                <w:sz w:val="16"/>
              </w:rPr>
            </w:pPr>
          </w:p>
        </w:tc>
        <w:tc>
          <w:tcPr>
            <w:tcW w:w="428" w:type="dxa"/>
            <w:vAlign w:val="center"/>
          </w:tcPr>
          <w:p w14:paraId="60FE178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EDA02D2" w14:textId="77777777" w:rsidR="00B47442" w:rsidRPr="0009445C" w:rsidRDefault="00B47442" w:rsidP="0099521D">
            <w:pPr>
              <w:pStyle w:val="BRL-Tabelle"/>
              <w:spacing w:before="60" w:after="40"/>
              <w:jc w:val="center"/>
              <w:rPr>
                <w:sz w:val="16"/>
              </w:rPr>
            </w:pPr>
          </w:p>
        </w:tc>
        <w:tc>
          <w:tcPr>
            <w:tcW w:w="426" w:type="dxa"/>
            <w:vAlign w:val="center"/>
          </w:tcPr>
          <w:p w14:paraId="5CAAE52A" w14:textId="77777777" w:rsidR="00B47442" w:rsidRPr="0009445C" w:rsidRDefault="00B47442" w:rsidP="0099521D">
            <w:pPr>
              <w:pStyle w:val="BRL-Tabelle"/>
              <w:spacing w:before="60" w:after="40"/>
              <w:jc w:val="center"/>
              <w:rPr>
                <w:sz w:val="16"/>
              </w:rPr>
            </w:pPr>
          </w:p>
        </w:tc>
        <w:tc>
          <w:tcPr>
            <w:tcW w:w="426" w:type="dxa"/>
            <w:vAlign w:val="center"/>
          </w:tcPr>
          <w:p w14:paraId="232662E9" w14:textId="77777777" w:rsidR="00B47442" w:rsidRPr="0009445C" w:rsidRDefault="00B47442" w:rsidP="0099521D">
            <w:pPr>
              <w:pStyle w:val="BRL-Tabelle"/>
              <w:spacing w:before="60" w:after="40"/>
              <w:jc w:val="center"/>
              <w:rPr>
                <w:sz w:val="16"/>
              </w:rPr>
            </w:pPr>
          </w:p>
        </w:tc>
        <w:tc>
          <w:tcPr>
            <w:tcW w:w="426" w:type="dxa"/>
            <w:vAlign w:val="center"/>
          </w:tcPr>
          <w:p w14:paraId="12AD58A4" w14:textId="77777777" w:rsidR="00B47442" w:rsidRPr="0009445C" w:rsidRDefault="00B47442" w:rsidP="0099521D">
            <w:pPr>
              <w:pStyle w:val="BRL-Tabelle"/>
              <w:spacing w:before="60" w:after="40"/>
              <w:jc w:val="center"/>
              <w:rPr>
                <w:sz w:val="16"/>
              </w:rPr>
            </w:pPr>
          </w:p>
        </w:tc>
        <w:tc>
          <w:tcPr>
            <w:tcW w:w="433" w:type="dxa"/>
            <w:vAlign w:val="center"/>
          </w:tcPr>
          <w:p w14:paraId="1F2E56CF" w14:textId="77777777" w:rsidR="00B47442" w:rsidRPr="0009445C" w:rsidRDefault="00B47442" w:rsidP="0099521D">
            <w:pPr>
              <w:pStyle w:val="BRL-Tabelle"/>
              <w:spacing w:before="60" w:after="40"/>
              <w:jc w:val="center"/>
              <w:rPr>
                <w:sz w:val="16"/>
              </w:rPr>
            </w:pPr>
          </w:p>
        </w:tc>
        <w:tc>
          <w:tcPr>
            <w:tcW w:w="426" w:type="dxa"/>
            <w:vAlign w:val="center"/>
          </w:tcPr>
          <w:p w14:paraId="4FC504C3" w14:textId="77777777" w:rsidR="00B47442" w:rsidRPr="0009445C" w:rsidRDefault="00B47442" w:rsidP="0099521D">
            <w:pPr>
              <w:pStyle w:val="BRL-Tabelle"/>
              <w:spacing w:before="60" w:after="40"/>
              <w:jc w:val="center"/>
              <w:rPr>
                <w:sz w:val="16"/>
              </w:rPr>
            </w:pPr>
          </w:p>
        </w:tc>
        <w:tc>
          <w:tcPr>
            <w:tcW w:w="427" w:type="dxa"/>
            <w:vAlign w:val="center"/>
          </w:tcPr>
          <w:p w14:paraId="54548435" w14:textId="77777777" w:rsidR="00B47442" w:rsidRPr="0009445C" w:rsidRDefault="00B47442" w:rsidP="0099521D">
            <w:pPr>
              <w:pStyle w:val="BRL-Tabelle"/>
              <w:spacing w:before="60" w:after="40"/>
              <w:jc w:val="center"/>
              <w:rPr>
                <w:sz w:val="16"/>
              </w:rPr>
            </w:pPr>
          </w:p>
        </w:tc>
        <w:tc>
          <w:tcPr>
            <w:tcW w:w="426" w:type="dxa"/>
            <w:vAlign w:val="center"/>
          </w:tcPr>
          <w:p w14:paraId="4960B726" w14:textId="77777777" w:rsidR="00B47442" w:rsidRPr="0009445C" w:rsidRDefault="00B47442" w:rsidP="0099521D">
            <w:pPr>
              <w:pStyle w:val="BRL-Tabelle"/>
              <w:spacing w:before="60" w:after="40"/>
              <w:jc w:val="center"/>
              <w:rPr>
                <w:sz w:val="16"/>
              </w:rPr>
            </w:pPr>
          </w:p>
        </w:tc>
        <w:tc>
          <w:tcPr>
            <w:tcW w:w="427" w:type="dxa"/>
            <w:vAlign w:val="center"/>
          </w:tcPr>
          <w:p w14:paraId="1E5F1B1A" w14:textId="77777777" w:rsidR="00B47442" w:rsidRPr="0009445C" w:rsidRDefault="00B47442" w:rsidP="0099521D">
            <w:pPr>
              <w:pStyle w:val="BRL-Tabelle"/>
              <w:spacing w:before="60" w:after="40"/>
              <w:jc w:val="center"/>
              <w:rPr>
                <w:sz w:val="16"/>
              </w:rPr>
            </w:pPr>
          </w:p>
        </w:tc>
      </w:tr>
      <w:tr w:rsidR="00B47442" w:rsidRPr="0009445C" w14:paraId="052015A2" w14:textId="77777777" w:rsidTr="0099521D">
        <w:trPr>
          <w:trHeight w:val="264"/>
        </w:trPr>
        <w:tc>
          <w:tcPr>
            <w:tcW w:w="2355" w:type="dxa"/>
            <w:gridSpan w:val="2"/>
          </w:tcPr>
          <w:p w14:paraId="1D8A8194" w14:textId="77777777" w:rsidR="00B47442" w:rsidRPr="0009445C" w:rsidRDefault="00B47442" w:rsidP="0099521D">
            <w:pPr>
              <w:pStyle w:val="BRL-Tabelle"/>
              <w:keepNext/>
              <w:spacing w:before="60" w:after="40"/>
            </w:pPr>
            <w:r w:rsidRPr="0009445C">
              <w:t>Suitability for use test</w:t>
            </w:r>
          </w:p>
        </w:tc>
        <w:tc>
          <w:tcPr>
            <w:tcW w:w="427" w:type="dxa"/>
            <w:vAlign w:val="center"/>
          </w:tcPr>
          <w:p w14:paraId="6599CC2D" w14:textId="77777777" w:rsidR="00B47442" w:rsidRPr="0009445C" w:rsidRDefault="00B47442" w:rsidP="0099521D">
            <w:pPr>
              <w:pStyle w:val="BRL-Tabelle"/>
              <w:spacing w:before="60" w:after="40"/>
              <w:jc w:val="center"/>
              <w:rPr>
                <w:sz w:val="16"/>
              </w:rPr>
            </w:pPr>
          </w:p>
        </w:tc>
        <w:tc>
          <w:tcPr>
            <w:tcW w:w="427" w:type="dxa"/>
            <w:vAlign w:val="center"/>
          </w:tcPr>
          <w:p w14:paraId="583ACA24" w14:textId="77777777" w:rsidR="00B47442" w:rsidRPr="0009445C" w:rsidRDefault="00B47442" w:rsidP="0099521D">
            <w:pPr>
              <w:pStyle w:val="BRL-Tabelle"/>
              <w:spacing w:before="60" w:after="40"/>
              <w:jc w:val="center"/>
              <w:rPr>
                <w:sz w:val="16"/>
              </w:rPr>
            </w:pPr>
          </w:p>
        </w:tc>
        <w:tc>
          <w:tcPr>
            <w:tcW w:w="426" w:type="dxa"/>
            <w:vAlign w:val="center"/>
          </w:tcPr>
          <w:p w14:paraId="6269A137" w14:textId="77777777" w:rsidR="00B47442" w:rsidRPr="0009445C" w:rsidRDefault="00B47442" w:rsidP="0099521D">
            <w:pPr>
              <w:pStyle w:val="BRL-Tabelle"/>
              <w:spacing w:before="60" w:after="40"/>
              <w:jc w:val="center"/>
              <w:rPr>
                <w:sz w:val="16"/>
              </w:rPr>
            </w:pPr>
          </w:p>
        </w:tc>
        <w:tc>
          <w:tcPr>
            <w:tcW w:w="427" w:type="dxa"/>
            <w:vAlign w:val="center"/>
          </w:tcPr>
          <w:p w14:paraId="095AA887" w14:textId="77777777" w:rsidR="00B47442" w:rsidRPr="0009445C" w:rsidRDefault="00B47442" w:rsidP="0099521D">
            <w:pPr>
              <w:pStyle w:val="BRL-Tabelle"/>
              <w:spacing w:before="60" w:after="40"/>
              <w:jc w:val="center"/>
              <w:rPr>
                <w:sz w:val="16"/>
              </w:rPr>
            </w:pPr>
          </w:p>
        </w:tc>
        <w:tc>
          <w:tcPr>
            <w:tcW w:w="425" w:type="dxa"/>
            <w:vAlign w:val="center"/>
          </w:tcPr>
          <w:p w14:paraId="76000BF2" w14:textId="77777777" w:rsidR="00B47442" w:rsidRPr="0009445C" w:rsidRDefault="00B47442" w:rsidP="0099521D">
            <w:pPr>
              <w:pStyle w:val="BRL-Tabelle"/>
              <w:spacing w:before="60" w:after="40"/>
              <w:jc w:val="center"/>
              <w:rPr>
                <w:sz w:val="16"/>
              </w:rPr>
            </w:pPr>
          </w:p>
        </w:tc>
        <w:tc>
          <w:tcPr>
            <w:tcW w:w="426" w:type="dxa"/>
            <w:vAlign w:val="center"/>
          </w:tcPr>
          <w:p w14:paraId="7AD738FF" w14:textId="77777777" w:rsidR="00B47442" w:rsidRPr="0009445C" w:rsidRDefault="00B47442" w:rsidP="0099521D">
            <w:pPr>
              <w:pStyle w:val="BRL-Tabelle"/>
              <w:spacing w:before="60" w:after="40"/>
              <w:jc w:val="center"/>
              <w:rPr>
                <w:sz w:val="16"/>
              </w:rPr>
            </w:pPr>
          </w:p>
        </w:tc>
        <w:tc>
          <w:tcPr>
            <w:tcW w:w="428" w:type="dxa"/>
            <w:vAlign w:val="center"/>
          </w:tcPr>
          <w:p w14:paraId="2DB29908"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7A58E44" w14:textId="77777777" w:rsidR="00B47442" w:rsidRPr="0009445C" w:rsidRDefault="00B47442" w:rsidP="0099521D">
            <w:pPr>
              <w:pStyle w:val="BRL-Tabelle"/>
              <w:spacing w:before="60" w:after="40"/>
              <w:jc w:val="center"/>
              <w:rPr>
                <w:sz w:val="16"/>
              </w:rPr>
            </w:pPr>
          </w:p>
        </w:tc>
        <w:tc>
          <w:tcPr>
            <w:tcW w:w="426" w:type="dxa"/>
            <w:vAlign w:val="center"/>
          </w:tcPr>
          <w:p w14:paraId="654F8FAE" w14:textId="77777777" w:rsidR="00B47442" w:rsidRPr="0009445C" w:rsidRDefault="00B47442" w:rsidP="0099521D">
            <w:pPr>
              <w:pStyle w:val="BRL-Tabelle"/>
              <w:spacing w:before="60" w:after="40"/>
              <w:jc w:val="center"/>
              <w:rPr>
                <w:sz w:val="16"/>
              </w:rPr>
            </w:pPr>
          </w:p>
        </w:tc>
        <w:tc>
          <w:tcPr>
            <w:tcW w:w="426" w:type="dxa"/>
            <w:vAlign w:val="center"/>
          </w:tcPr>
          <w:p w14:paraId="38480344" w14:textId="77777777" w:rsidR="00B47442" w:rsidRPr="0009445C" w:rsidRDefault="00B47442" w:rsidP="0099521D">
            <w:pPr>
              <w:pStyle w:val="BRL-Tabelle"/>
              <w:spacing w:before="60" w:after="40"/>
              <w:jc w:val="center"/>
              <w:rPr>
                <w:sz w:val="16"/>
              </w:rPr>
            </w:pPr>
          </w:p>
        </w:tc>
        <w:tc>
          <w:tcPr>
            <w:tcW w:w="426" w:type="dxa"/>
            <w:vAlign w:val="center"/>
          </w:tcPr>
          <w:p w14:paraId="3DB2279D" w14:textId="77777777" w:rsidR="00B47442" w:rsidRPr="0009445C" w:rsidRDefault="00B47442" w:rsidP="0099521D">
            <w:pPr>
              <w:pStyle w:val="BRL-Tabelle"/>
              <w:spacing w:before="60" w:after="40"/>
              <w:jc w:val="center"/>
              <w:rPr>
                <w:sz w:val="16"/>
              </w:rPr>
            </w:pPr>
          </w:p>
        </w:tc>
        <w:tc>
          <w:tcPr>
            <w:tcW w:w="433" w:type="dxa"/>
            <w:vAlign w:val="center"/>
          </w:tcPr>
          <w:p w14:paraId="76A678B1" w14:textId="77777777" w:rsidR="00B47442" w:rsidRPr="0009445C" w:rsidRDefault="00B47442" w:rsidP="0099521D">
            <w:pPr>
              <w:pStyle w:val="BRL-Tabelle"/>
              <w:spacing w:before="60" w:after="40"/>
              <w:jc w:val="center"/>
              <w:rPr>
                <w:sz w:val="16"/>
              </w:rPr>
            </w:pPr>
          </w:p>
        </w:tc>
        <w:tc>
          <w:tcPr>
            <w:tcW w:w="426" w:type="dxa"/>
            <w:vAlign w:val="center"/>
          </w:tcPr>
          <w:p w14:paraId="6B710327" w14:textId="77777777" w:rsidR="00B47442" w:rsidRPr="0009445C" w:rsidRDefault="00B47442" w:rsidP="0099521D">
            <w:pPr>
              <w:pStyle w:val="BRL-Tabelle"/>
              <w:spacing w:before="60" w:after="40"/>
              <w:jc w:val="center"/>
              <w:rPr>
                <w:sz w:val="16"/>
              </w:rPr>
            </w:pPr>
          </w:p>
        </w:tc>
        <w:tc>
          <w:tcPr>
            <w:tcW w:w="427" w:type="dxa"/>
            <w:vAlign w:val="center"/>
          </w:tcPr>
          <w:p w14:paraId="6992DBE3" w14:textId="77777777" w:rsidR="00B47442" w:rsidRPr="0009445C" w:rsidRDefault="00B47442" w:rsidP="0099521D">
            <w:pPr>
              <w:pStyle w:val="BRL-Tabelle"/>
              <w:spacing w:before="60" w:after="40"/>
              <w:jc w:val="center"/>
              <w:rPr>
                <w:sz w:val="16"/>
              </w:rPr>
            </w:pPr>
          </w:p>
        </w:tc>
        <w:tc>
          <w:tcPr>
            <w:tcW w:w="426" w:type="dxa"/>
            <w:vAlign w:val="center"/>
          </w:tcPr>
          <w:p w14:paraId="420A82E2" w14:textId="77777777" w:rsidR="00B47442" w:rsidRPr="0009445C" w:rsidRDefault="00B47442" w:rsidP="0099521D">
            <w:pPr>
              <w:pStyle w:val="BRL-Tabelle"/>
              <w:spacing w:before="60" w:after="40"/>
              <w:jc w:val="center"/>
              <w:rPr>
                <w:sz w:val="16"/>
              </w:rPr>
            </w:pPr>
          </w:p>
        </w:tc>
        <w:tc>
          <w:tcPr>
            <w:tcW w:w="427" w:type="dxa"/>
            <w:vAlign w:val="center"/>
          </w:tcPr>
          <w:p w14:paraId="284BF5C4" w14:textId="77777777" w:rsidR="00B47442" w:rsidRPr="0009445C" w:rsidRDefault="00B47442" w:rsidP="0099521D">
            <w:pPr>
              <w:pStyle w:val="BRL-Tabelle"/>
              <w:spacing w:before="60" w:after="40"/>
              <w:jc w:val="center"/>
              <w:rPr>
                <w:sz w:val="16"/>
              </w:rPr>
            </w:pPr>
          </w:p>
        </w:tc>
      </w:tr>
      <w:tr w:rsidR="00B47442" w:rsidRPr="0009445C" w14:paraId="61083C39" w14:textId="77777777" w:rsidTr="0099521D">
        <w:trPr>
          <w:trHeight w:val="264"/>
        </w:trPr>
        <w:tc>
          <w:tcPr>
            <w:tcW w:w="2355" w:type="dxa"/>
            <w:gridSpan w:val="2"/>
          </w:tcPr>
          <w:p w14:paraId="3AEA8885" w14:textId="77777777" w:rsidR="00B47442" w:rsidRPr="0009445C" w:rsidRDefault="00B47442" w:rsidP="0099521D">
            <w:pPr>
              <w:pStyle w:val="BRL-Tabelle"/>
              <w:spacing w:before="60" w:after="40"/>
            </w:pPr>
            <w:r w:rsidRPr="0009445C">
              <w:t>Verification of function</w:t>
            </w:r>
          </w:p>
        </w:tc>
        <w:tc>
          <w:tcPr>
            <w:tcW w:w="427" w:type="dxa"/>
            <w:vAlign w:val="center"/>
          </w:tcPr>
          <w:p w14:paraId="528437A6" w14:textId="77777777" w:rsidR="00B47442" w:rsidRPr="0009445C" w:rsidRDefault="00B47442" w:rsidP="0099521D">
            <w:pPr>
              <w:pStyle w:val="BRL-Tabelle"/>
              <w:spacing w:before="60" w:after="40"/>
              <w:jc w:val="center"/>
              <w:rPr>
                <w:sz w:val="16"/>
              </w:rPr>
            </w:pPr>
          </w:p>
        </w:tc>
        <w:tc>
          <w:tcPr>
            <w:tcW w:w="427" w:type="dxa"/>
            <w:vAlign w:val="center"/>
          </w:tcPr>
          <w:p w14:paraId="3557B345" w14:textId="77777777" w:rsidR="00B47442" w:rsidRPr="0009445C" w:rsidRDefault="00B47442" w:rsidP="0099521D">
            <w:pPr>
              <w:pStyle w:val="BRL-Tabelle"/>
              <w:spacing w:before="60" w:after="40"/>
              <w:jc w:val="center"/>
              <w:rPr>
                <w:sz w:val="16"/>
              </w:rPr>
            </w:pPr>
          </w:p>
        </w:tc>
        <w:tc>
          <w:tcPr>
            <w:tcW w:w="426" w:type="dxa"/>
            <w:vAlign w:val="center"/>
          </w:tcPr>
          <w:p w14:paraId="0085415A" w14:textId="77777777" w:rsidR="00B47442" w:rsidRPr="0009445C" w:rsidRDefault="00B47442" w:rsidP="0099521D">
            <w:pPr>
              <w:pStyle w:val="BRL-Tabelle"/>
              <w:spacing w:before="60" w:after="40"/>
              <w:jc w:val="center"/>
              <w:rPr>
                <w:sz w:val="16"/>
              </w:rPr>
            </w:pPr>
          </w:p>
        </w:tc>
        <w:tc>
          <w:tcPr>
            <w:tcW w:w="427" w:type="dxa"/>
            <w:vAlign w:val="center"/>
          </w:tcPr>
          <w:p w14:paraId="1328C0A9" w14:textId="77777777" w:rsidR="00B47442" w:rsidRPr="0009445C" w:rsidRDefault="00B47442" w:rsidP="0099521D">
            <w:pPr>
              <w:pStyle w:val="BRL-Tabelle"/>
              <w:spacing w:before="60" w:after="40"/>
              <w:jc w:val="center"/>
              <w:rPr>
                <w:sz w:val="16"/>
              </w:rPr>
            </w:pPr>
          </w:p>
        </w:tc>
        <w:tc>
          <w:tcPr>
            <w:tcW w:w="425" w:type="dxa"/>
            <w:vAlign w:val="center"/>
          </w:tcPr>
          <w:p w14:paraId="1D73D842" w14:textId="77777777" w:rsidR="00B47442" w:rsidRPr="0009445C" w:rsidRDefault="00B47442" w:rsidP="0099521D">
            <w:pPr>
              <w:pStyle w:val="BRL-Tabelle"/>
              <w:spacing w:before="60" w:after="40"/>
              <w:jc w:val="center"/>
              <w:rPr>
                <w:sz w:val="16"/>
              </w:rPr>
            </w:pPr>
          </w:p>
        </w:tc>
        <w:tc>
          <w:tcPr>
            <w:tcW w:w="426" w:type="dxa"/>
            <w:vAlign w:val="center"/>
          </w:tcPr>
          <w:p w14:paraId="003C1830" w14:textId="77777777" w:rsidR="00B47442" w:rsidRPr="0009445C" w:rsidRDefault="00B47442" w:rsidP="0099521D">
            <w:pPr>
              <w:pStyle w:val="BRL-Tabelle"/>
              <w:spacing w:before="60" w:after="40"/>
              <w:jc w:val="center"/>
              <w:rPr>
                <w:sz w:val="16"/>
              </w:rPr>
            </w:pPr>
          </w:p>
        </w:tc>
        <w:tc>
          <w:tcPr>
            <w:tcW w:w="428" w:type="dxa"/>
            <w:vAlign w:val="center"/>
          </w:tcPr>
          <w:p w14:paraId="1C7887C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6FC8337" w14:textId="77777777" w:rsidR="00B47442" w:rsidRPr="0009445C" w:rsidRDefault="00B47442" w:rsidP="0099521D">
            <w:pPr>
              <w:pStyle w:val="BRL-Tabelle"/>
              <w:spacing w:before="60" w:after="40"/>
              <w:jc w:val="center"/>
              <w:rPr>
                <w:sz w:val="16"/>
              </w:rPr>
            </w:pPr>
          </w:p>
        </w:tc>
        <w:tc>
          <w:tcPr>
            <w:tcW w:w="426" w:type="dxa"/>
            <w:vAlign w:val="center"/>
          </w:tcPr>
          <w:p w14:paraId="3042B6E0" w14:textId="77777777" w:rsidR="00B47442" w:rsidRPr="0009445C" w:rsidRDefault="00B47442" w:rsidP="0099521D">
            <w:pPr>
              <w:pStyle w:val="BRL-Tabelle"/>
              <w:spacing w:before="60" w:after="40"/>
              <w:jc w:val="center"/>
              <w:rPr>
                <w:sz w:val="16"/>
              </w:rPr>
            </w:pPr>
          </w:p>
        </w:tc>
        <w:tc>
          <w:tcPr>
            <w:tcW w:w="426" w:type="dxa"/>
            <w:vAlign w:val="center"/>
          </w:tcPr>
          <w:p w14:paraId="0A6E8219" w14:textId="77777777" w:rsidR="00B47442" w:rsidRPr="0009445C" w:rsidRDefault="00B47442" w:rsidP="0099521D">
            <w:pPr>
              <w:pStyle w:val="BRL-Tabelle"/>
              <w:spacing w:before="60" w:after="40"/>
              <w:jc w:val="center"/>
              <w:rPr>
                <w:sz w:val="16"/>
              </w:rPr>
            </w:pPr>
          </w:p>
        </w:tc>
        <w:tc>
          <w:tcPr>
            <w:tcW w:w="426" w:type="dxa"/>
            <w:vAlign w:val="center"/>
          </w:tcPr>
          <w:p w14:paraId="4C81C0F0" w14:textId="77777777" w:rsidR="00B47442" w:rsidRPr="0009445C" w:rsidRDefault="00B47442" w:rsidP="0099521D">
            <w:pPr>
              <w:pStyle w:val="BRL-Tabelle"/>
              <w:spacing w:before="60" w:after="40"/>
              <w:jc w:val="center"/>
              <w:rPr>
                <w:sz w:val="16"/>
              </w:rPr>
            </w:pPr>
          </w:p>
        </w:tc>
        <w:tc>
          <w:tcPr>
            <w:tcW w:w="433" w:type="dxa"/>
            <w:vAlign w:val="center"/>
          </w:tcPr>
          <w:p w14:paraId="28D39872" w14:textId="77777777" w:rsidR="00B47442" w:rsidRPr="0009445C" w:rsidRDefault="00B47442" w:rsidP="0099521D">
            <w:pPr>
              <w:pStyle w:val="BRL-Tabelle"/>
              <w:spacing w:before="60" w:after="40"/>
              <w:jc w:val="center"/>
              <w:rPr>
                <w:sz w:val="16"/>
              </w:rPr>
            </w:pPr>
          </w:p>
        </w:tc>
        <w:tc>
          <w:tcPr>
            <w:tcW w:w="426" w:type="dxa"/>
            <w:vAlign w:val="center"/>
          </w:tcPr>
          <w:p w14:paraId="588C1E69" w14:textId="77777777" w:rsidR="00B47442" w:rsidRPr="0009445C" w:rsidRDefault="00B47442" w:rsidP="0099521D">
            <w:pPr>
              <w:pStyle w:val="BRL-Tabelle"/>
              <w:spacing w:before="60" w:after="40"/>
              <w:jc w:val="center"/>
              <w:rPr>
                <w:sz w:val="16"/>
              </w:rPr>
            </w:pPr>
          </w:p>
        </w:tc>
        <w:tc>
          <w:tcPr>
            <w:tcW w:w="427" w:type="dxa"/>
            <w:vAlign w:val="center"/>
          </w:tcPr>
          <w:p w14:paraId="1277898C" w14:textId="77777777" w:rsidR="00B47442" w:rsidRPr="0009445C" w:rsidRDefault="00B47442" w:rsidP="0099521D">
            <w:pPr>
              <w:pStyle w:val="BRL-Tabelle"/>
              <w:spacing w:before="60" w:after="40"/>
              <w:jc w:val="center"/>
              <w:rPr>
                <w:sz w:val="16"/>
              </w:rPr>
            </w:pPr>
          </w:p>
        </w:tc>
        <w:tc>
          <w:tcPr>
            <w:tcW w:w="426" w:type="dxa"/>
            <w:vAlign w:val="center"/>
          </w:tcPr>
          <w:p w14:paraId="0EE48CD0" w14:textId="77777777" w:rsidR="00B47442" w:rsidRPr="0009445C" w:rsidRDefault="00B47442" w:rsidP="0099521D">
            <w:pPr>
              <w:pStyle w:val="BRL-Tabelle"/>
              <w:spacing w:before="60" w:after="40"/>
              <w:jc w:val="center"/>
              <w:rPr>
                <w:sz w:val="16"/>
              </w:rPr>
            </w:pPr>
          </w:p>
        </w:tc>
        <w:tc>
          <w:tcPr>
            <w:tcW w:w="427" w:type="dxa"/>
            <w:vAlign w:val="center"/>
          </w:tcPr>
          <w:p w14:paraId="70FACFF1" w14:textId="77777777" w:rsidR="00B47442" w:rsidRPr="0009445C" w:rsidRDefault="00B47442" w:rsidP="0099521D">
            <w:pPr>
              <w:pStyle w:val="BRL-Tabelle"/>
              <w:spacing w:before="60" w:after="40"/>
              <w:jc w:val="center"/>
              <w:rPr>
                <w:sz w:val="16"/>
              </w:rPr>
            </w:pPr>
          </w:p>
        </w:tc>
      </w:tr>
      <w:tr w:rsidR="00B47442" w:rsidRPr="0009445C" w14:paraId="2FA63CF5" w14:textId="77777777" w:rsidTr="0099521D">
        <w:trPr>
          <w:trHeight w:val="264"/>
        </w:trPr>
        <w:tc>
          <w:tcPr>
            <w:tcW w:w="2355" w:type="dxa"/>
            <w:gridSpan w:val="2"/>
          </w:tcPr>
          <w:p w14:paraId="0947F279" w14:textId="09B174AE" w:rsidR="00B47442" w:rsidRPr="0009445C" w:rsidRDefault="007A4BCD" w:rsidP="0099521D">
            <w:pPr>
              <w:pStyle w:val="BRL-Tabelle"/>
              <w:spacing w:before="60" w:after="40"/>
            </w:pPr>
            <w:r w:rsidRPr="0009445C">
              <w:lastRenderedPageBreak/>
              <w:t>Response to slowly developing fires</w:t>
            </w:r>
          </w:p>
        </w:tc>
        <w:tc>
          <w:tcPr>
            <w:tcW w:w="427" w:type="dxa"/>
            <w:vAlign w:val="center"/>
          </w:tcPr>
          <w:p w14:paraId="282DBE03" w14:textId="77777777" w:rsidR="00B47442" w:rsidRPr="0009445C" w:rsidRDefault="00B47442" w:rsidP="0099521D">
            <w:pPr>
              <w:pStyle w:val="BRL-Tabelle"/>
              <w:spacing w:before="60" w:after="40"/>
              <w:jc w:val="center"/>
              <w:rPr>
                <w:sz w:val="16"/>
              </w:rPr>
            </w:pPr>
          </w:p>
        </w:tc>
        <w:tc>
          <w:tcPr>
            <w:tcW w:w="427" w:type="dxa"/>
            <w:vAlign w:val="center"/>
          </w:tcPr>
          <w:p w14:paraId="7DDF3973" w14:textId="77777777" w:rsidR="00B47442" w:rsidRPr="0009445C" w:rsidRDefault="00B47442" w:rsidP="0099521D">
            <w:pPr>
              <w:pStyle w:val="BRL-Tabelle"/>
              <w:spacing w:before="60" w:after="40"/>
              <w:jc w:val="center"/>
              <w:rPr>
                <w:sz w:val="16"/>
              </w:rPr>
            </w:pPr>
          </w:p>
        </w:tc>
        <w:tc>
          <w:tcPr>
            <w:tcW w:w="426" w:type="dxa"/>
            <w:vAlign w:val="center"/>
          </w:tcPr>
          <w:p w14:paraId="77ABF21A" w14:textId="77777777" w:rsidR="00B47442" w:rsidRPr="0009445C" w:rsidRDefault="00B47442" w:rsidP="0099521D">
            <w:pPr>
              <w:pStyle w:val="BRL-Tabelle"/>
              <w:spacing w:before="60" w:after="40"/>
              <w:jc w:val="center"/>
              <w:rPr>
                <w:sz w:val="16"/>
              </w:rPr>
            </w:pPr>
          </w:p>
        </w:tc>
        <w:tc>
          <w:tcPr>
            <w:tcW w:w="427" w:type="dxa"/>
            <w:vAlign w:val="center"/>
          </w:tcPr>
          <w:p w14:paraId="1A73BD11" w14:textId="77777777" w:rsidR="00B47442" w:rsidRPr="0009445C" w:rsidRDefault="00B47442" w:rsidP="0099521D">
            <w:pPr>
              <w:pStyle w:val="BRL-Tabelle"/>
              <w:spacing w:before="60" w:after="40"/>
              <w:jc w:val="center"/>
              <w:rPr>
                <w:sz w:val="16"/>
              </w:rPr>
            </w:pPr>
          </w:p>
        </w:tc>
        <w:tc>
          <w:tcPr>
            <w:tcW w:w="425" w:type="dxa"/>
            <w:vAlign w:val="center"/>
          </w:tcPr>
          <w:p w14:paraId="6529051F" w14:textId="77777777" w:rsidR="00B47442" w:rsidRPr="0009445C" w:rsidRDefault="00B47442" w:rsidP="0099521D">
            <w:pPr>
              <w:pStyle w:val="BRL-Tabelle"/>
              <w:spacing w:before="60" w:after="40"/>
              <w:jc w:val="center"/>
              <w:rPr>
                <w:sz w:val="16"/>
              </w:rPr>
            </w:pPr>
          </w:p>
        </w:tc>
        <w:tc>
          <w:tcPr>
            <w:tcW w:w="426" w:type="dxa"/>
            <w:vAlign w:val="center"/>
          </w:tcPr>
          <w:p w14:paraId="71B66F31" w14:textId="77777777" w:rsidR="00B47442" w:rsidRPr="0009445C" w:rsidRDefault="00B47442" w:rsidP="0099521D">
            <w:pPr>
              <w:pStyle w:val="BRL-Tabelle"/>
              <w:spacing w:before="60" w:after="40"/>
              <w:jc w:val="center"/>
              <w:rPr>
                <w:sz w:val="16"/>
              </w:rPr>
            </w:pPr>
          </w:p>
        </w:tc>
        <w:tc>
          <w:tcPr>
            <w:tcW w:w="428" w:type="dxa"/>
            <w:vAlign w:val="center"/>
          </w:tcPr>
          <w:p w14:paraId="7ED4B172" w14:textId="77777777" w:rsidR="00B47442" w:rsidRPr="0009445C" w:rsidRDefault="00B47442" w:rsidP="0099521D">
            <w:pPr>
              <w:pStyle w:val="BRL-Tabelle"/>
              <w:spacing w:before="60" w:after="40"/>
              <w:jc w:val="center"/>
              <w:rPr>
                <w:sz w:val="16"/>
              </w:rPr>
            </w:pPr>
          </w:p>
        </w:tc>
        <w:tc>
          <w:tcPr>
            <w:tcW w:w="427" w:type="dxa"/>
            <w:vAlign w:val="center"/>
          </w:tcPr>
          <w:p w14:paraId="40A84BFD"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3780034" w14:textId="77777777" w:rsidR="00B47442" w:rsidRPr="0009445C" w:rsidRDefault="00B47442" w:rsidP="0099521D">
            <w:pPr>
              <w:pStyle w:val="BRL-Tabelle"/>
              <w:spacing w:before="60" w:after="40"/>
              <w:jc w:val="center"/>
              <w:rPr>
                <w:sz w:val="16"/>
              </w:rPr>
            </w:pPr>
          </w:p>
        </w:tc>
        <w:tc>
          <w:tcPr>
            <w:tcW w:w="426" w:type="dxa"/>
            <w:vAlign w:val="center"/>
          </w:tcPr>
          <w:p w14:paraId="7DAC95D1" w14:textId="77777777" w:rsidR="00B47442" w:rsidRPr="0009445C" w:rsidRDefault="00B47442" w:rsidP="0099521D">
            <w:pPr>
              <w:pStyle w:val="BRL-Tabelle"/>
              <w:spacing w:before="60" w:after="40"/>
              <w:jc w:val="center"/>
              <w:rPr>
                <w:sz w:val="16"/>
              </w:rPr>
            </w:pPr>
          </w:p>
        </w:tc>
        <w:tc>
          <w:tcPr>
            <w:tcW w:w="426" w:type="dxa"/>
            <w:vAlign w:val="center"/>
          </w:tcPr>
          <w:p w14:paraId="60FC6557" w14:textId="77777777" w:rsidR="00B47442" w:rsidRPr="0009445C" w:rsidRDefault="00B47442" w:rsidP="0099521D">
            <w:pPr>
              <w:pStyle w:val="BRL-Tabelle"/>
              <w:spacing w:before="60" w:after="40"/>
              <w:jc w:val="center"/>
              <w:rPr>
                <w:sz w:val="16"/>
              </w:rPr>
            </w:pPr>
          </w:p>
        </w:tc>
        <w:tc>
          <w:tcPr>
            <w:tcW w:w="433" w:type="dxa"/>
            <w:vAlign w:val="center"/>
          </w:tcPr>
          <w:p w14:paraId="4DC8A288" w14:textId="77777777" w:rsidR="00B47442" w:rsidRPr="0009445C" w:rsidRDefault="00B47442" w:rsidP="0099521D">
            <w:pPr>
              <w:pStyle w:val="BRL-Tabelle"/>
              <w:spacing w:before="60" w:after="40"/>
              <w:jc w:val="center"/>
              <w:rPr>
                <w:sz w:val="16"/>
              </w:rPr>
            </w:pPr>
          </w:p>
        </w:tc>
        <w:tc>
          <w:tcPr>
            <w:tcW w:w="426" w:type="dxa"/>
            <w:vAlign w:val="center"/>
          </w:tcPr>
          <w:p w14:paraId="251012C6" w14:textId="77777777" w:rsidR="00B47442" w:rsidRPr="0009445C" w:rsidRDefault="00B47442" w:rsidP="0099521D">
            <w:pPr>
              <w:pStyle w:val="BRL-Tabelle"/>
              <w:spacing w:before="60" w:after="40"/>
              <w:jc w:val="center"/>
              <w:rPr>
                <w:sz w:val="16"/>
              </w:rPr>
            </w:pPr>
          </w:p>
        </w:tc>
        <w:tc>
          <w:tcPr>
            <w:tcW w:w="427" w:type="dxa"/>
            <w:vAlign w:val="center"/>
          </w:tcPr>
          <w:p w14:paraId="74AD07D3" w14:textId="77777777" w:rsidR="00B47442" w:rsidRPr="0009445C" w:rsidRDefault="00B47442" w:rsidP="0099521D">
            <w:pPr>
              <w:pStyle w:val="BRL-Tabelle"/>
              <w:spacing w:before="60" w:after="40"/>
              <w:jc w:val="center"/>
              <w:rPr>
                <w:sz w:val="16"/>
              </w:rPr>
            </w:pPr>
          </w:p>
        </w:tc>
        <w:tc>
          <w:tcPr>
            <w:tcW w:w="426" w:type="dxa"/>
            <w:vAlign w:val="center"/>
          </w:tcPr>
          <w:p w14:paraId="2D1217F3" w14:textId="77777777" w:rsidR="00B47442" w:rsidRPr="0009445C" w:rsidRDefault="00B47442" w:rsidP="0099521D">
            <w:pPr>
              <w:pStyle w:val="BRL-Tabelle"/>
              <w:spacing w:before="60" w:after="40"/>
              <w:jc w:val="center"/>
              <w:rPr>
                <w:sz w:val="16"/>
              </w:rPr>
            </w:pPr>
          </w:p>
        </w:tc>
        <w:tc>
          <w:tcPr>
            <w:tcW w:w="427" w:type="dxa"/>
            <w:vAlign w:val="center"/>
          </w:tcPr>
          <w:p w14:paraId="2A2D8724" w14:textId="77777777" w:rsidR="00B47442" w:rsidRPr="0009445C" w:rsidRDefault="00B47442" w:rsidP="0099521D">
            <w:pPr>
              <w:pStyle w:val="BRL-Tabelle"/>
              <w:spacing w:before="60" w:after="40"/>
              <w:jc w:val="center"/>
              <w:rPr>
                <w:sz w:val="16"/>
              </w:rPr>
            </w:pPr>
          </w:p>
        </w:tc>
      </w:tr>
      <w:tr w:rsidR="00B47442" w:rsidRPr="0009445C" w14:paraId="5D3D257C" w14:textId="77777777" w:rsidTr="0099521D">
        <w:trPr>
          <w:trHeight w:val="264"/>
        </w:trPr>
        <w:tc>
          <w:tcPr>
            <w:tcW w:w="2355" w:type="dxa"/>
            <w:gridSpan w:val="2"/>
          </w:tcPr>
          <w:p w14:paraId="177D446B" w14:textId="77777777" w:rsidR="00B47442" w:rsidRPr="0009445C" w:rsidRDefault="00B47442" w:rsidP="0099521D">
            <w:pPr>
              <w:pStyle w:val="BRL-Tabelle"/>
              <w:spacing w:before="60" w:after="40"/>
            </w:pPr>
            <w:r w:rsidRPr="0009445C">
              <w:t>Dependence on length of the optical measuring Section</w:t>
            </w:r>
          </w:p>
        </w:tc>
        <w:tc>
          <w:tcPr>
            <w:tcW w:w="427" w:type="dxa"/>
            <w:vAlign w:val="center"/>
          </w:tcPr>
          <w:p w14:paraId="3BB6864D" w14:textId="77777777" w:rsidR="00B47442" w:rsidRPr="0009445C" w:rsidRDefault="00B47442" w:rsidP="0099521D">
            <w:pPr>
              <w:pStyle w:val="BRL-Tabelle"/>
              <w:spacing w:before="60" w:after="40"/>
              <w:jc w:val="center"/>
              <w:rPr>
                <w:sz w:val="16"/>
              </w:rPr>
            </w:pPr>
          </w:p>
        </w:tc>
        <w:tc>
          <w:tcPr>
            <w:tcW w:w="427" w:type="dxa"/>
            <w:vAlign w:val="center"/>
          </w:tcPr>
          <w:p w14:paraId="644B121C" w14:textId="77777777" w:rsidR="00B47442" w:rsidRPr="0009445C" w:rsidRDefault="00B47442" w:rsidP="0099521D">
            <w:pPr>
              <w:pStyle w:val="BRL-Tabelle"/>
              <w:spacing w:before="60" w:after="40"/>
              <w:jc w:val="center"/>
              <w:rPr>
                <w:sz w:val="16"/>
              </w:rPr>
            </w:pPr>
          </w:p>
        </w:tc>
        <w:tc>
          <w:tcPr>
            <w:tcW w:w="426" w:type="dxa"/>
            <w:vAlign w:val="center"/>
          </w:tcPr>
          <w:p w14:paraId="2F02A9B8" w14:textId="77777777" w:rsidR="00B47442" w:rsidRPr="0009445C" w:rsidRDefault="00B47442" w:rsidP="0099521D">
            <w:pPr>
              <w:pStyle w:val="BRL-Tabelle"/>
              <w:spacing w:before="60" w:after="40"/>
              <w:jc w:val="center"/>
              <w:rPr>
                <w:sz w:val="16"/>
              </w:rPr>
            </w:pPr>
          </w:p>
        </w:tc>
        <w:tc>
          <w:tcPr>
            <w:tcW w:w="427" w:type="dxa"/>
            <w:vAlign w:val="center"/>
          </w:tcPr>
          <w:p w14:paraId="1435C0C1" w14:textId="77777777" w:rsidR="00B47442" w:rsidRPr="0009445C" w:rsidRDefault="00B47442" w:rsidP="0099521D">
            <w:pPr>
              <w:pStyle w:val="BRL-Tabelle"/>
              <w:spacing w:before="60" w:after="40"/>
              <w:jc w:val="center"/>
              <w:rPr>
                <w:sz w:val="16"/>
              </w:rPr>
            </w:pPr>
          </w:p>
        </w:tc>
        <w:tc>
          <w:tcPr>
            <w:tcW w:w="425" w:type="dxa"/>
            <w:vAlign w:val="center"/>
          </w:tcPr>
          <w:p w14:paraId="6D305579" w14:textId="77777777" w:rsidR="00B47442" w:rsidRPr="0009445C" w:rsidRDefault="00B47442" w:rsidP="0099521D">
            <w:pPr>
              <w:pStyle w:val="BRL-Tabelle"/>
              <w:spacing w:before="60" w:after="40"/>
              <w:jc w:val="center"/>
              <w:rPr>
                <w:sz w:val="16"/>
              </w:rPr>
            </w:pPr>
          </w:p>
        </w:tc>
        <w:tc>
          <w:tcPr>
            <w:tcW w:w="426" w:type="dxa"/>
            <w:vAlign w:val="center"/>
          </w:tcPr>
          <w:p w14:paraId="724BE6FC" w14:textId="77777777" w:rsidR="00B47442" w:rsidRPr="0009445C" w:rsidRDefault="00B47442" w:rsidP="0099521D">
            <w:pPr>
              <w:pStyle w:val="BRL-Tabelle"/>
              <w:spacing w:before="60" w:after="40"/>
              <w:jc w:val="center"/>
              <w:rPr>
                <w:sz w:val="16"/>
              </w:rPr>
            </w:pPr>
          </w:p>
        </w:tc>
        <w:tc>
          <w:tcPr>
            <w:tcW w:w="428" w:type="dxa"/>
            <w:vAlign w:val="center"/>
          </w:tcPr>
          <w:p w14:paraId="64E93E44" w14:textId="77777777" w:rsidR="00B47442" w:rsidRPr="0009445C" w:rsidRDefault="00B47442" w:rsidP="0099521D">
            <w:pPr>
              <w:pStyle w:val="BRL-Tabelle"/>
              <w:spacing w:before="60" w:after="40"/>
              <w:jc w:val="center"/>
              <w:rPr>
                <w:sz w:val="16"/>
              </w:rPr>
            </w:pPr>
          </w:p>
        </w:tc>
        <w:tc>
          <w:tcPr>
            <w:tcW w:w="427" w:type="dxa"/>
            <w:vAlign w:val="center"/>
          </w:tcPr>
          <w:p w14:paraId="6306A61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11FD0ED" w14:textId="77777777" w:rsidR="00B47442" w:rsidRPr="0009445C" w:rsidRDefault="00B47442" w:rsidP="0099521D">
            <w:pPr>
              <w:pStyle w:val="BRL-Tabelle"/>
              <w:spacing w:before="60" w:after="40"/>
              <w:jc w:val="center"/>
              <w:rPr>
                <w:sz w:val="16"/>
              </w:rPr>
            </w:pPr>
          </w:p>
        </w:tc>
        <w:tc>
          <w:tcPr>
            <w:tcW w:w="426" w:type="dxa"/>
            <w:vAlign w:val="center"/>
          </w:tcPr>
          <w:p w14:paraId="0C9EC986" w14:textId="77777777" w:rsidR="00B47442" w:rsidRPr="0009445C" w:rsidRDefault="00B47442" w:rsidP="0099521D">
            <w:pPr>
              <w:pStyle w:val="BRL-Tabelle"/>
              <w:spacing w:before="60" w:after="40"/>
              <w:jc w:val="center"/>
              <w:rPr>
                <w:sz w:val="16"/>
              </w:rPr>
            </w:pPr>
          </w:p>
        </w:tc>
        <w:tc>
          <w:tcPr>
            <w:tcW w:w="426" w:type="dxa"/>
            <w:vAlign w:val="center"/>
          </w:tcPr>
          <w:p w14:paraId="42A5E0B6" w14:textId="77777777" w:rsidR="00B47442" w:rsidRPr="0009445C" w:rsidRDefault="00B47442" w:rsidP="0099521D">
            <w:pPr>
              <w:pStyle w:val="BRL-Tabelle"/>
              <w:spacing w:before="60" w:after="40"/>
              <w:jc w:val="center"/>
              <w:rPr>
                <w:sz w:val="16"/>
              </w:rPr>
            </w:pPr>
          </w:p>
        </w:tc>
        <w:tc>
          <w:tcPr>
            <w:tcW w:w="433" w:type="dxa"/>
            <w:vAlign w:val="center"/>
          </w:tcPr>
          <w:p w14:paraId="70AA8772" w14:textId="77777777" w:rsidR="00B47442" w:rsidRPr="0009445C" w:rsidRDefault="00B47442" w:rsidP="0099521D">
            <w:pPr>
              <w:pStyle w:val="BRL-Tabelle"/>
              <w:spacing w:before="60" w:after="40"/>
              <w:jc w:val="center"/>
              <w:rPr>
                <w:sz w:val="16"/>
              </w:rPr>
            </w:pPr>
          </w:p>
        </w:tc>
        <w:tc>
          <w:tcPr>
            <w:tcW w:w="426" w:type="dxa"/>
            <w:vAlign w:val="center"/>
          </w:tcPr>
          <w:p w14:paraId="591B1EBE" w14:textId="77777777" w:rsidR="00B47442" w:rsidRPr="0009445C" w:rsidRDefault="00B47442" w:rsidP="0099521D">
            <w:pPr>
              <w:pStyle w:val="BRL-Tabelle"/>
              <w:spacing w:before="60" w:after="40"/>
              <w:jc w:val="center"/>
              <w:rPr>
                <w:sz w:val="16"/>
              </w:rPr>
            </w:pPr>
          </w:p>
        </w:tc>
        <w:tc>
          <w:tcPr>
            <w:tcW w:w="427" w:type="dxa"/>
            <w:vAlign w:val="center"/>
          </w:tcPr>
          <w:p w14:paraId="00774275" w14:textId="77777777" w:rsidR="00B47442" w:rsidRPr="0009445C" w:rsidRDefault="00B47442" w:rsidP="0099521D">
            <w:pPr>
              <w:pStyle w:val="BRL-Tabelle"/>
              <w:spacing w:before="60" w:after="40"/>
              <w:jc w:val="center"/>
              <w:rPr>
                <w:sz w:val="16"/>
              </w:rPr>
            </w:pPr>
          </w:p>
        </w:tc>
        <w:tc>
          <w:tcPr>
            <w:tcW w:w="426" w:type="dxa"/>
            <w:vAlign w:val="center"/>
          </w:tcPr>
          <w:p w14:paraId="7A3D3766" w14:textId="77777777" w:rsidR="00B47442" w:rsidRPr="0009445C" w:rsidRDefault="00B47442" w:rsidP="0099521D">
            <w:pPr>
              <w:pStyle w:val="BRL-Tabelle"/>
              <w:spacing w:before="60" w:after="40"/>
              <w:jc w:val="center"/>
              <w:rPr>
                <w:sz w:val="16"/>
              </w:rPr>
            </w:pPr>
          </w:p>
        </w:tc>
        <w:tc>
          <w:tcPr>
            <w:tcW w:w="427" w:type="dxa"/>
            <w:vAlign w:val="center"/>
          </w:tcPr>
          <w:p w14:paraId="19834D67" w14:textId="77777777" w:rsidR="00B47442" w:rsidRPr="0009445C" w:rsidRDefault="00B47442" w:rsidP="0099521D">
            <w:pPr>
              <w:pStyle w:val="BRL-Tabelle"/>
              <w:spacing w:before="60" w:after="40"/>
              <w:jc w:val="center"/>
              <w:rPr>
                <w:sz w:val="16"/>
              </w:rPr>
            </w:pPr>
          </w:p>
        </w:tc>
      </w:tr>
      <w:tr w:rsidR="00B47442" w:rsidRPr="0009445C" w14:paraId="691F2569" w14:textId="77777777" w:rsidTr="0099521D">
        <w:trPr>
          <w:trHeight w:val="264"/>
        </w:trPr>
        <w:tc>
          <w:tcPr>
            <w:tcW w:w="2355" w:type="dxa"/>
            <w:gridSpan w:val="2"/>
          </w:tcPr>
          <w:p w14:paraId="0DD3E150" w14:textId="77777777" w:rsidR="00B47442" w:rsidRPr="0009445C" w:rsidRDefault="00B47442" w:rsidP="0099521D">
            <w:pPr>
              <w:pStyle w:val="BRL-Tabelle"/>
              <w:spacing w:before="60" w:after="40"/>
            </w:pPr>
            <w:r w:rsidRPr="0009445C">
              <w:t>Scattered light</w:t>
            </w:r>
          </w:p>
        </w:tc>
        <w:tc>
          <w:tcPr>
            <w:tcW w:w="427" w:type="dxa"/>
            <w:vAlign w:val="center"/>
          </w:tcPr>
          <w:p w14:paraId="147776AF" w14:textId="77777777" w:rsidR="00B47442" w:rsidRPr="0009445C" w:rsidRDefault="00B47442" w:rsidP="0099521D">
            <w:pPr>
              <w:pStyle w:val="BRL-Tabelle"/>
              <w:spacing w:before="60" w:after="40"/>
              <w:jc w:val="center"/>
              <w:rPr>
                <w:sz w:val="16"/>
              </w:rPr>
            </w:pPr>
          </w:p>
        </w:tc>
        <w:tc>
          <w:tcPr>
            <w:tcW w:w="427" w:type="dxa"/>
            <w:vAlign w:val="center"/>
          </w:tcPr>
          <w:p w14:paraId="4610C907" w14:textId="77777777" w:rsidR="00B47442" w:rsidRPr="0009445C" w:rsidRDefault="00B47442" w:rsidP="0099521D">
            <w:pPr>
              <w:pStyle w:val="BRL-Tabelle"/>
              <w:spacing w:before="60" w:after="40"/>
              <w:jc w:val="center"/>
              <w:rPr>
                <w:sz w:val="16"/>
              </w:rPr>
            </w:pPr>
          </w:p>
        </w:tc>
        <w:tc>
          <w:tcPr>
            <w:tcW w:w="426" w:type="dxa"/>
            <w:vAlign w:val="center"/>
          </w:tcPr>
          <w:p w14:paraId="0CFCE6E4" w14:textId="77777777" w:rsidR="00B47442" w:rsidRPr="0009445C" w:rsidRDefault="00B47442" w:rsidP="0099521D">
            <w:pPr>
              <w:pStyle w:val="BRL-Tabelle"/>
              <w:spacing w:before="60" w:after="40"/>
              <w:jc w:val="center"/>
              <w:rPr>
                <w:sz w:val="16"/>
              </w:rPr>
            </w:pPr>
          </w:p>
        </w:tc>
        <w:tc>
          <w:tcPr>
            <w:tcW w:w="427" w:type="dxa"/>
            <w:vAlign w:val="center"/>
          </w:tcPr>
          <w:p w14:paraId="5D326808" w14:textId="77777777" w:rsidR="00B47442" w:rsidRPr="0009445C" w:rsidRDefault="00B47442" w:rsidP="0099521D">
            <w:pPr>
              <w:pStyle w:val="BRL-Tabelle"/>
              <w:spacing w:before="60" w:after="40"/>
              <w:jc w:val="center"/>
              <w:rPr>
                <w:sz w:val="16"/>
              </w:rPr>
            </w:pPr>
          </w:p>
        </w:tc>
        <w:tc>
          <w:tcPr>
            <w:tcW w:w="425" w:type="dxa"/>
            <w:vAlign w:val="center"/>
          </w:tcPr>
          <w:p w14:paraId="71CDE560" w14:textId="77777777" w:rsidR="00B47442" w:rsidRPr="0009445C" w:rsidRDefault="00B47442" w:rsidP="0099521D">
            <w:pPr>
              <w:pStyle w:val="BRL-Tabelle"/>
              <w:spacing w:before="60" w:after="40"/>
              <w:jc w:val="center"/>
              <w:rPr>
                <w:sz w:val="16"/>
              </w:rPr>
            </w:pPr>
          </w:p>
        </w:tc>
        <w:tc>
          <w:tcPr>
            <w:tcW w:w="426" w:type="dxa"/>
            <w:vAlign w:val="center"/>
          </w:tcPr>
          <w:p w14:paraId="02E5985A" w14:textId="77777777" w:rsidR="00B47442" w:rsidRPr="0009445C" w:rsidRDefault="00B47442" w:rsidP="0099521D">
            <w:pPr>
              <w:pStyle w:val="BRL-Tabelle"/>
              <w:spacing w:before="60" w:after="40"/>
              <w:jc w:val="center"/>
              <w:rPr>
                <w:sz w:val="16"/>
              </w:rPr>
            </w:pPr>
          </w:p>
        </w:tc>
        <w:tc>
          <w:tcPr>
            <w:tcW w:w="428" w:type="dxa"/>
            <w:vAlign w:val="center"/>
          </w:tcPr>
          <w:p w14:paraId="3D126D91" w14:textId="77777777" w:rsidR="00B47442" w:rsidRPr="0009445C" w:rsidRDefault="00B47442" w:rsidP="0099521D">
            <w:pPr>
              <w:pStyle w:val="BRL-Tabelle"/>
              <w:spacing w:before="60" w:after="40"/>
              <w:jc w:val="center"/>
              <w:rPr>
                <w:sz w:val="16"/>
              </w:rPr>
            </w:pPr>
          </w:p>
        </w:tc>
        <w:tc>
          <w:tcPr>
            <w:tcW w:w="427" w:type="dxa"/>
            <w:vAlign w:val="center"/>
          </w:tcPr>
          <w:p w14:paraId="0702285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8D2B28C" w14:textId="77777777" w:rsidR="00B47442" w:rsidRPr="0009445C" w:rsidRDefault="00B47442" w:rsidP="0099521D">
            <w:pPr>
              <w:pStyle w:val="BRL-Tabelle"/>
              <w:spacing w:before="60" w:after="40"/>
              <w:jc w:val="center"/>
              <w:rPr>
                <w:sz w:val="16"/>
              </w:rPr>
            </w:pPr>
          </w:p>
        </w:tc>
        <w:tc>
          <w:tcPr>
            <w:tcW w:w="426" w:type="dxa"/>
            <w:vAlign w:val="center"/>
          </w:tcPr>
          <w:p w14:paraId="4618AB5B" w14:textId="77777777" w:rsidR="00B47442" w:rsidRPr="0009445C" w:rsidRDefault="00B47442" w:rsidP="0099521D">
            <w:pPr>
              <w:pStyle w:val="BRL-Tabelle"/>
              <w:spacing w:before="60" w:after="40"/>
              <w:jc w:val="center"/>
              <w:rPr>
                <w:sz w:val="16"/>
              </w:rPr>
            </w:pPr>
          </w:p>
        </w:tc>
        <w:tc>
          <w:tcPr>
            <w:tcW w:w="426" w:type="dxa"/>
            <w:vAlign w:val="center"/>
          </w:tcPr>
          <w:p w14:paraId="3B729DB2" w14:textId="77777777" w:rsidR="00B47442" w:rsidRPr="0009445C" w:rsidRDefault="00B47442" w:rsidP="0099521D">
            <w:pPr>
              <w:pStyle w:val="BRL-Tabelle"/>
              <w:spacing w:before="60" w:after="40"/>
              <w:jc w:val="center"/>
              <w:rPr>
                <w:sz w:val="16"/>
              </w:rPr>
            </w:pPr>
          </w:p>
        </w:tc>
        <w:tc>
          <w:tcPr>
            <w:tcW w:w="433" w:type="dxa"/>
            <w:vAlign w:val="center"/>
          </w:tcPr>
          <w:p w14:paraId="37189520" w14:textId="77777777" w:rsidR="00B47442" w:rsidRPr="0009445C" w:rsidRDefault="00B47442" w:rsidP="0099521D">
            <w:pPr>
              <w:pStyle w:val="BRL-Tabelle"/>
              <w:spacing w:before="60" w:after="40"/>
              <w:jc w:val="center"/>
              <w:rPr>
                <w:sz w:val="16"/>
              </w:rPr>
            </w:pPr>
          </w:p>
        </w:tc>
        <w:tc>
          <w:tcPr>
            <w:tcW w:w="426" w:type="dxa"/>
            <w:vAlign w:val="center"/>
          </w:tcPr>
          <w:p w14:paraId="451DAFD6" w14:textId="77777777" w:rsidR="00B47442" w:rsidRPr="0009445C" w:rsidRDefault="00B47442" w:rsidP="0099521D">
            <w:pPr>
              <w:pStyle w:val="BRL-Tabelle"/>
              <w:spacing w:before="60" w:after="40"/>
              <w:jc w:val="center"/>
              <w:rPr>
                <w:sz w:val="16"/>
              </w:rPr>
            </w:pPr>
          </w:p>
        </w:tc>
        <w:tc>
          <w:tcPr>
            <w:tcW w:w="427" w:type="dxa"/>
            <w:vAlign w:val="center"/>
          </w:tcPr>
          <w:p w14:paraId="1EEF7BF6" w14:textId="77777777" w:rsidR="00B47442" w:rsidRPr="0009445C" w:rsidRDefault="00B47442" w:rsidP="0099521D">
            <w:pPr>
              <w:pStyle w:val="BRL-Tabelle"/>
              <w:spacing w:before="60" w:after="40"/>
              <w:jc w:val="center"/>
              <w:rPr>
                <w:sz w:val="16"/>
              </w:rPr>
            </w:pPr>
          </w:p>
        </w:tc>
        <w:tc>
          <w:tcPr>
            <w:tcW w:w="426" w:type="dxa"/>
            <w:vAlign w:val="center"/>
          </w:tcPr>
          <w:p w14:paraId="64735053" w14:textId="77777777" w:rsidR="00B47442" w:rsidRPr="0009445C" w:rsidRDefault="00B47442" w:rsidP="0099521D">
            <w:pPr>
              <w:pStyle w:val="BRL-Tabelle"/>
              <w:spacing w:before="60" w:after="40"/>
              <w:jc w:val="center"/>
              <w:rPr>
                <w:sz w:val="16"/>
              </w:rPr>
            </w:pPr>
          </w:p>
        </w:tc>
        <w:tc>
          <w:tcPr>
            <w:tcW w:w="427" w:type="dxa"/>
            <w:vAlign w:val="center"/>
          </w:tcPr>
          <w:p w14:paraId="36DD76B1" w14:textId="77777777" w:rsidR="00B47442" w:rsidRPr="0009445C" w:rsidRDefault="00B47442" w:rsidP="0099521D">
            <w:pPr>
              <w:pStyle w:val="BRL-Tabelle"/>
              <w:spacing w:before="60" w:after="40"/>
              <w:jc w:val="center"/>
              <w:rPr>
                <w:sz w:val="16"/>
              </w:rPr>
            </w:pPr>
          </w:p>
        </w:tc>
      </w:tr>
      <w:tr w:rsidR="00B47442" w:rsidRPr="0009445C" w14:paraId="0F2E8C7A" w14:textId="77777777" w:rsidTr="0099521D">
        <w:trPr>
          <w:trHeight w:val="264"/>
        </w:trPr>
        <w:tc>
          <w:tcPr>
            <w:tcW w:w="2355" w:type="dxa"/>
            <w:gridSpan w:val="2"/>
          </w:tcPr>
          <w:p w14:paraId="6AEB276D" w14:textId="77777777" w:rsidR="00B47442" w:rsidRPr="0009445C" w:rsidRDefault="00B47442" w:rsidP="0099521D">
            <w:pPr>
              <w:pStyle w:val="BRL-Tabelle"/>
              <w:spacing w:before="60" w:after="40"/>
            </w:pPr>
            <w:r w:rsidRPr="0009445C">
              <w:t>Voice alarm status</w:t>
            </w:r>
          </w:p>
        </w:tc>
        <w:tc>
          <w:tcPr>
            <w:tcW w:w="427" w:type="dxa"/>
            <w:vAlign w:val="center"/>
          </w:tcPr>
          <w:p w14:paraId="5A546B38" w14:textId="77777777" w:rsidR="00B47442" w:rsidRPr="0009445C" w:rsidRDefault="00B47442" w:rsidP="0099521D">
            <w:pPr>
              <w:pStyle w:val="BRL-Tabelle"/>
              <w:spacing w:before="60" w:after="40"/>
              <w:jc w:val="center"/>
              <w:rPr>
                <w:sz w:val="16"/>
              </w:rPr>
            </w:pPr>
          </w:p>
        </w:tc>
        <w:tc>
          <w:tcPr>
            <w:tcW w:w="427" w:type="dxa"/>
            <w:vAlign w:val="center"/>
          </w:tcPr>
          <w:p w14:paraId="73A22F76" w14:textId="77777777" w:rsidR="00B47442" w:rsidRPr="0009445C" w:rsidRDefault="00B47442" w:rsidP="0099521D">
            <w:pPr>
              <w:pStyle w:val="BRL-Tabelle"/>
              <w:spacing w:before="60" w:after="40"/>
              <w:jc w:val="center"/>
              <w:rPr>
                <w:sz w:val="16"/>
              </w:rPr>
            </w:pPr>
          </w:p>
        </w:tc>
        <w:tc>
          <w:tcPr>
            <w:tcW w:w="426" w:type="dxa"/>
            <w:vAlign w:val="center"/>
          </w:tcPr>
          <w:p w14:paraId="3003C631" w14:textId="77777777" w:rsidR="00B47442" w:rsidRPr="0009445C" w:rsidRDefault="00B47442" w:rsidP="0099521D">
            <w:pPr>
              <w:pStyle w:val="BRL-Tabelle"/>
              <w:spacing w:before="60" w:after="40"/>
              <w:jc w:val="center"/>
              <w:rPr>
                <w:sz w:val="16"/>
              </w:rPr>
            </w:pPr>
          </w:p>
        </w:tc>
        <w:tc>
          <w:tcPr>
            <w:tcW w:w="427" w:type="dxa"/>
            <w:vAlign w:val="center"/>
          </w:tcPr>
          <w:p w14:paraId="1BD71740" w14:textId="77777777" w:rsidR="00B47442" w:rsidRPr="0009445C" w:rsidRDefault="00B47442" w:rsidP="0099521D">
            <w:pPr>
              <w:pStyle w:val="BRL-Tabelle"/>
              <w:spacing w:before="60" w:after="40"/>
              <w:jc w:val="center"/>
              <w:rPr>
                <w:sz w:val="16"/>
              </w:rPr>
            </w:pPr>
          </w:p>
        </w:tc>
        <w:tc>
          <w:tcPr>
            <w:tcW w:w="425" w:type="dxa"/>
            <w:vAlign w:val="center"/>
          </w:tcPr>
          <w:p w14:paraId="25A3B6BD" w14:textId="77777777" w:rsidR="00B47442" w:rsidRPr="0009445C" w:rsidRDefault="00B47442" w:rsidP="0099521D">
            <w:pPr>
              <w:pStyle w:val="BRL-Tabelle"/>
              <w:spacing w:before="60" w:after="40"/>
              <w:jc w:val="center"/>
              <w:rPr>
                <w:sz w:val="16"/>
              </w:rPr>
            </w:pPr>
          </w:p>
        </w:tc>
        <w:tc>
          <w:tcPr>
            <w:tcW w:w="426" w:type="dxa"/>
            <w:vAlign w:val="center"/>
          </w:tcPr>
          <w:p w14:paraId="14A624E3" w14:textId="77777777" w:rsidR="00B47442" w:rsidRPr="0009445C" w:rsidRDefault="00B47442" w:rsidP="0099521D">
            <w:pPr>
              <w:pStyle w:val="BRL-Tabelle"/>
              <w:spacing w:before="60" w:after="40"/>
              <w:jc w:val="center"/>
              <w:rPr>
                <w:sz w:val="16"/>
              </w:rPr>
            </w:pPr>
          </w:p>
        </w:tc>
        <w:tc>
          <w:tcPr>
            <w:tcW w:w="428" w:type="dxa"/>
            <w:vAlign w:val="center"/>
          </w:tcPr>
          <w:p w14:paraId="44E1E318" w14:textId="77777777" w:rsidR="00B47442" w:rsidRPr="0009445C" w:rsidRDefault="00B47442" w:rsidP="0099521D">
            <w:pPr>
              <w:pStyle w:val="BRL-Tabelle"/>
              <w:spacing w:before="60" w:after="40"/>
              <w:jc w:val="center"/>
              <w:rPr>
                <w:sz w:val="16"/>
              </w:rPr>
            </w:pPr>
          </w:p>
        </w:tc>
        <w:tc>
          <w:tcPr>
            <w:tcW w:w="427" w:type="dxa"/>
            <w:vAlign w:val="center"/>
          </w:tcPr>
          <w:p w14:paraId="28D1E643" w14:textId="77777777" w:rsidR="00B47442" w:rsidRPr="0009445C" w:rsidRDefault="00B47442" w:rsidP="0099521D">
            <w:pPr>
              <w:pStyle w:val="BRL-Tabelle"/>
              <w:spacing w:before="60" w:after="40"/>
              <w:jc w:val="center"/>
              <w:rPr>
                <w:sz w:val="16"/>
              </w:rPr>
            </w:pPr>
          </w:p>
        </w:tc>
        <w:tc>
          <w:tcPr>
            <w:tcW w:w="426" w:type="dxa"/>
            <w:vAlign w:val="center"/>
          </w:tcPr>
          <w:p w14:paraId="177B6A5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4AA4DF6" w14:textId="77777777" w:rsidR="00B47442" w:rsidRPr="0009445C" w:rsidRDefault="00B47442" w:rsidP="0099521D">
            <w:pPr>
              <w:pStyle w:val="BRL-Tabelle"/>
              <w:spacing w:before="60" w:after="40"/>
              <w:jc w:val="center"/>
              <w:rPr>
                <w:sz w:val="16"/>
              </w:rPr>
            </w:pPr>
          </w:p>
        </w:tc>
        <w:tc>
          <w:tcPr>
            <w:tcW w:w="426" w:type="dxa"/>
            <w:vAlign w:val="center"/>
          </w:tcPr>
          <w:p w14:paraId="447DBA79" w14:textId="77777777" w:rsidR="00B47442" w:rsidRPr="0009445C" w:rsidRDefault="00B47442" w:rsidP="0099521D">
            <w:pPr>
              <w:pStyle w:val="BRL-Tabelle"/>
              <w:spacing w:before="60" w:after="40"/>
              <w:jc w:val="center"/>
              <w:rPr>
                <w:sz w:val="16"/>
              </w:rPr>
            </w:pPr>
          </w:p>
        </w:tc>
        <w:tc>
          <w:tcPr>
            <w:tcW w:w="433" w:type="dxa"/>
            <w:vAlign w:val="center"/>
          </w:tcPr>
          <w:p w14:paraId="26678136" w14:textId="77777777" w:rsidR="00B47442" w:rsidRPr="0009445C" w:rsidRDefault="00B47442" w:rsidP="0099521D">
            <w:pPr>
              <w:pStyle w:val="BRL-Tabelle"/>
              <w:spacing w:before="60" w:after="40"/>
              <w:jc w:val="center"/>
              <w:rPr>
                <w:sz w:val="16"/>
              </w:rPr>
            </w:pPr>
          </w:p>
        </w:tc>
        <w:tc>
          <w:tcPr>
            <w:tcW w:w="426" w:type="dxa"/>
            <w:vAlign w:val="center"/>
          </w:tcPr>
          <w:p w14:paraId="6BD4B281" w14:textId="77777777" w:rsidR="00B47442" w:rsidRPr="0009445C" w:rsidRDefault="00B47442" w:rsidP="0099521D">
            <w:pPr>
              <w:pStyle w:val="BRL-Tabelle"/>
              <w:spacing w:before="60" w:after="40"/>
              <w:jc w:val="center"/>
              <w:rPr>
                <w:sz w:val="16"/>
              </w:rPr>
            </w:pPr>
          </w:p>
        </w:tc>
        <w:tc>
          <w:tcPr>
            <w:tcW w:w="427" w:type="dxa"/>
            <w:vAlign w:val="center"/>
          </w:tcPr>
          <w:p w14:paraId="59D1006A" w14:textId="77777777" w:rsidR="00B47442" w:rsidRPr="0009445C" w:rsidRDefault="00B47442" w:rsidP="0099521D">
            <w:pPr>
              <w:pStyle w:val="BRL-Tabelle"/>
              <w:spacing w:before="60" w:after="40"/>
              <w:jc w:val="center"/>
              <w:rPr>
                <w:sz w:val="16"/>
              </w:rPr>
            </w:pPr>
          </w:p>
        </w:tc>
        <w:tc>
          <w:tcPr>
            <w:tcW w:w="426" w:type="dxa"/>
            <w:vAlign w:val="center"/>
          </w:tcPr>
          <w:p w14:paraId="4209BE98" w14:textId="77777777" w:rsidR="00B47442" w:rsidRPr="0009445C" w:rsidRDefault="00B47442" w:rsidP="0099521D">
            <w:pPr>
              <w:pStyle w:val="BRL-Tabelle"/>
              <w:spacing w:before="60" w:after="40"/>
              <w:jc w:val="center"/>
              <w:rPr>
                <w:sz w:val="16"/>
              </w:rPr>
            </w:pPr>
          </w:p>
        </w:tc>
        <w:tc>
          <w:tcPr>
            <w:tcW w:w="427" w:type="dxa"/>
            <w:vAlign w:val="center"/>
          </w:tcPr>
          <w:p w14:paraId="0AE1B021" w14:textId="77777777" w:rsidR="00B47442" w:rsidRPr="0009445C" w:rsidRDefault="00B47442" w:rsidP="0099521D">
            <w:pPr>
              <w:pStyle w:val="BRL-Tabelle"/>
              <w:spacing w:before="60" w:after="40"/>
              <w:jc w:val="center"/>
              <w:rPr>
                <w:sz w:val="16"/>
              </w:rPr>
            </w:pPr>
          </w:p>
        </w:tc>
      </w:tr>
      <w:tr w:rsidR="00B47442" w:rsidRPr="0009445C" w14:paraId="661B1A6D" w14:textId="77777777" w:rsidTr="0099521D">
        <w:trPr>
          <w:trHeight w:val="264"/>
        </w:trPr>
        <w:tc>
          <w:tcPr>
            <w:tcW w:w="2355" w:type="dxa"/>
            <w:gridSpan w:val="2"/>
          </w:tcPr>
          <w:p w14:paraId="07CFD76D" w14:textId="77777777" w:rsidR="00B47442" w:rsidRPr="0009445C" w:rsidRDefault="00B47442" w:rsidP="0099521D">
            <w:pPr>
              <w:pStyle w:val="BRL-Tabelle"/>
              <w:spacing w:before="60" w:after="40"/>
            </w:pPr>
            <w:r w:rsidRPr="0009445C">
              <w:t>Manual triggering of voice alarm</w:t>
            </w:r>
          </w:p>
        </w:tc>
        <w:tc>
          <w:tcPr>
            <w:tcW w:w="427" w:type="dxa"/>
            <w:vAlign w:val="center"/>
          </w:tcPr>
          <w:p w14:paraId="4B881F6D" w14:textId="77777777" w:rsidR="00B47442" w:rsidRPr="0009445C" w:rsidRDefault="00B47442" w:rsidP="0099521D">
            <w:pPr>
              <w:pStyle w:val="BRL-Tabelle"/>
              <w:spacing w:before="60" w:after="40"/>
              <w:jc w:val="center"/>
              <w:rPr>
                <w:sz w:val="16"/>
              </w:rPr>
            </w:pPr>
          </w:p>
        </w:tc>
        <w:tc>
          <w:tcPr>
            <w:tcW w:w="427" w:type="dxa"/>
            <w:vAlign w:val="center"/>
          </w:tcPr>
          <w:p w14:paraId="402A8698" w14:textId="77777777" w:rsidR="00B47442" w:rsidRPr="0009445C" w:rsidRDefault="00B47442" w:rsidP="0099521D">
            <w:pPr>
              <w:pStyle w:val="BRL-Tabelle"/>
              <w:spacing w:before="60" w:after="40"/>
              <w:jc w:val="center"/>
              <w:rPr>
                <w:sz w:val="16"/>
              </w:rPr>
            </w:pPr>
          </w:p>
        </w:tc>
        <w:tc>
          <w:tcPr>
            <w:tcW w:w="426" w:type="dxa"/>
            <w:vAlign w:val="center"/>
          </w:tcPr>
          <w:p w14:paraId="3A7A4192" w14:textId="77777777" w:rsidR="00B47442" w:rsidRPr="0009445C" w:rsidRDefault="00B47442" w:rsidP="0099521D">
            <w:pPr>
              <w:pStyle w:val="BRL-Tabelle"/>
              <w:spacing w:before="60" w:after="40"/>
              <w:jc w:val="center"/>
              <w:rPr>
                <w:sz w:val="16"/>
              </w:rPr>
            </w:pPr>
          </w:p>
        </w:tc>
        <w:tc>
          <w:tcPr>
            <w:tcW w:w="427" w:type="dxa"/>
            <w:vAlign w:val="center"/>
          </w:tcPr>
          <w:p w14:paraId="7F325B65" w14:textId="77777777" w:rsidR="00B47442" w:rsidRPr="0009445C" w:rsidRDefault="00B47442" w:rsidP="0099521D">
            <w:pPr>
              <w:pStyle w:val="BRL-Tabelle"/>
              <w:spacing w:before="60" w:after="40"/>
              <w:jc w:val="center"/>
              <w:rPr>
                <w:sz w:val="16"/>
              </w:rPr>
            </w:pPr>
          </w:p>
        </w:tc>
        <w:tc>
          <w:tcPr>
            <w:tcW w:w="425" w:type="dxa"/>
            <w:vAlign w:val="center"/>
          </w:tcPr>
          <w:p w14:paraId="49E93E55" w14:textId="77777777" w:rsidR="00B47442" w:rsidRPr="0009445C" w:rsidRDefault="00B47442" w:rsidP="0099521D">
            <w:pPr>
              <w:pStyle w:val="BRL-Tabelle"/>
              <w:spacing w:before="60" w:after="40"/>
              <w:jc w:val="center"/>
              <w:rPr>
                <w:sz w:val="16"/>
              </w:rPr>
            </w:pPr>
          </w:p>
        </w:tc>
        <w:tc>
          <w:tcPr>
            <w:tcW w:w="426" w:type="dxa"/>
            <w:vAlign w:val="center"/>
          </w:tcPr>
          <w:p w14:paraId="14091A79" w14:textId="77777777" w:rsidR="00B47442" w:rsidRPr="0009445C" w:rsidRDefault="00B47442" w:rsidP="0099521D">
            <w:pPr>
              <w:pStyle w:val="BRL-Tabelle"/>
              <w:spacing w:before="60" w:after="40"/>
              <w:jc w:val="center"/>
              <w:rPr>
                <w:sz w:val="16"/>
              </w:rPr>
            </w:pPr>
          </w:p>
        </w:tc>
        <w:tc>
          <w:tcPr>
            <w:tcW w:w="428" w:type="dxa"/>
            <w:vAlign w:val="center"/>
          </w:tcPr>
          <w:p w14:paraId="3C495465" w14:textId="77777777" w:rsidR="00B47442" w:rsidRPr="0009445C" w:rsidRDefault="00B47442" w:rsidP="0099521D">
            <w:pPr>
              <w:pStyle w:val="BRL-Tabelle"/>
              <w:spacing w:before="60" w:after="40"/>
              <w:jc w:val="center"/>
              <w:rPr>
                <w:sz w:val="16"/>
              </w:rPr>
            </w:pPr>
          </w:p>
        </w:tc>
        <w:tc>
          <w:tcPr>
            <w:tcW w:w="427" w:type="dxa"/>
            <w:vAlign w:val="center"/>
          </w:tcPr>
          <w:p w14:paraId="6437889F" w14:textId="77777777" w:rsidR="00B47442" w:rsidRPr="0009445C" w:rsidRDefault="00B47442" w:rsidP="0099521D">
            <w:pPr>
              <w:pStyle w:val="BRL-Tabelle"/>
              <w:spacing w:before="60" w:after="40"/>
              <w:jc w:val="center"/>
              <w:rPr>
                <w:sz w:val="16"/>
              </w:rPr>
            </w:pPr>
          </w:p>
        </w:tc>
        <w:tc>
          <w:tcPr>
            <w:tcW w:w="426" w:type="dxa"/>
            <w:vAlign w:val="center"/>
          </w:tcPr>
          <w:p w14:paraId="4181251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2798BDA" w14:textId="77777777" w:rsidR="00B47442" w:rsidRPr="0009445C" w:rsidRDefault="00B47442" w:rsidP="0099521D">
            <w:pPr>
              <w:pStyle w:val="BRL-Tabelle"/>
              <w:spacing w:before="60" w:after="40"/>
              <w:jc w:val="center"/>
              <w:rPr>
                <w:sz w:val="16"/>
              </w:rPr>
            </w:pPr>
          </w:p>
        </w:tc>
        <w:tc>
          <w:tcPr>
            <w:tcW w:w="426" w:type="dxa"/>
            <w:vAlign w:val="center"/>
          </w:tcPr>
          <w:p w14:paraId="5BF6D427" w14:textId="77777777" w:rsidR="00B47442" w:rsidRPr="0009445C" w:rsidRDefault="00B47442" w:rsidP="0099521D">
            <w:pPr>
              <w:pStyle w:val="BRL-Tabelle"/>
              <w:spacing w:before="60" w:after="40"/>
              <w:jc w:val="center"/>
              <w:rPr>
                <w:sz w:val="16"/>
              </w:rPr>
            </w:pPr>
          </w:p>
        </w:tc>
        <w:tc>
          <w:tcPr>
            <w:tcW w:w="433" w:type="dxa"/>
            <w:vAlign w:val="center"/>
          </w:tcPr>
          <w:p w14:paraId="2735D195" w14:textId="77777777" w:rsidR="00B47442" w:rsidRPr="0009445C" w:rsidRDefault="00B47442" w:rsidP="0099521D">
            <w:pPr>
              <w:pStyle w:val="BRL-Tabelle"/>
              <w:spacing w:before="60" w:after="40"/>
              <w:jc w:val="center"/>
              <w:rPr>
                <w:sz w:val="16"/>
              </w:rPr>
            </w:pPr>
          </w:p>
        </w:tc>
        <w:tc>
          <w:tcPr>
            <w:tcW w:w="426" w:type="dxa"/>
            <w:vAlign w:val="center"/>
          </w:tcPr>
          <w:p w14:paraId="56B60CCE" w14:textId="77777777" w:rsidR="00B47442" w:rsidRPr="0009445C" w:rsidRDefault="00B47442" w:rsidP="0099521D">
            <w:pPr>
              <w:pStyle w:val="BRL-Tabelle"/>
              <w:spacing w:before="60" w:after="40"/>
              <w:jc w:val="center"/>
              <w:rPr>
                <w:sz w:val="16"/>
              </w:rPr>
            </w:pPr>
          </w:p>
        </w:tc>
        <w:tc>
          <w:tcPr>
            <w:tcW w:w="427" w:type="dxa"/>
            <w:vAlign w:val="center"/>
          </w:tcPr>
          <w:p w14:paraId="21162636" w14:textId="77777777" w:rsidR="00B47442" w:rsidRPr="0009445C" w:rsidRDefault="00B47442" w:rsidP="0099521D">
            <w:pPr>
              <w:pStyle w:val="BRL-Tabelle"/>
              <w:spacing w:before="60" w:after="40"/>
              <w:jc w:val="center"/>
              <w:rPr>
                <w:sz w:val="16"/>
              </w:rPr>
            </w:pPr>
          </w:p>
        </w:tc>
        <w:tc>
          <w:tcPr>
            <w:tcW w:w="426" w:type="dxa"/>
            <w:vAlign w:val="center"/>
          </w:tcPr>
          <w:p w14:paraId="69C4A441" w14:textId="77777777" w:rsidR="00B47442" w:rsidRPr="0009445C" w:rsidRDefault="00B47442" w:rsidP="0099521D">
            <w:pPr>
              <w:pStyle w:val="BRL-Tabelle"/>
              <w:spacing w:before="60" w:after="40"/>
              <w:jc w:val="center"/>
              <w:rPr>
                <w:sz w:val="16"/>
              </w:rPr>
            </w:pPr>
          </w:p>
        </w:tc>
        <w:tc>
          <w:tcPr>
            <w:tcW w:w="427" w:type="dxa"/>
            <w:vAlign w:val="center"/>
          </w:tcPr>
          <w:p w14:paraId="37DE4C1F" w14:textId="77777777" w:rsidR="00B47442" w:rsidRPr="0009445C" w:rsidRDefault="00B47442" w:rsidP="0099521D">
            <w:pPr>
              <w:pStyle w:val="BRL-Tabelle"/>
              <w:spacing w:before="60" w:after="40"/>
              <w:jc w:val="center"/>
              <w:rPr>
                <w:sz w:val="16"/>
              </w:rPr>
            </w:pPr>
          </w:p>
        </w:tc>
      </w:tr>
      <w:tr w:rsidR="00B47442" w:rsidRPr="0009445C" w14:paraId="4FBD0ADB" w14:textId="77777777" w:rsidTr="0099521D">
        <w:trPr>
          <w:trHeight w:val="264"/>
        </w:trPr>
        <w:tc>
          <w:tcPr>
            <w:tcW w:w="2355" w:type="dxa"/>
            <w:gridSpan w:val="2"/>
          </w:tcPr>
          <w:p w14:paraId="38D1A748" w14:textId="77777777" w:rsidR="00B47442" w:rsidRPr="0009445C" w:rsidRDefault="00B47442" w:rsidP="0099521D">
            <w:pPr>
              <w:pStyle w:val="BRL-Tabelle"/>
              <w:spacing w:before="60" w:after="40"/>
            </w:pPr>
            <w:r w:rsidRPr="0009445C">
              <w:t>Emergency microphone</w:t>
            </w:r>
          </w:p>
        </w:tc>
        <w:tc>
          <w:tcPr>
            <w:tcW w:w="427" w:type="dxa"/>
            <w:vAlign w:val="center"/>
          </w:tcPr>
          <w:p w14:paraId="5E0B4D45" w14:textId="77777777" w:rsidR="00B47442" w:rsidRPr="0009445C" w:rsidRDefault="00B47442" w:rsidP="0099521D">
            <w:pPr>
              <w:pStyle w:val="BRL-Tabelle"/>
              <w:spacing w:before="60" w:after="40"/>
              <w:jc w:val="center"/>
              <w:rPr>
                <w:sz w:val="16"/>
              </w:rPr>
            </w:pPr>
          </w:p>
        </w:tc>
        <w:tc>
          <w:tcPr>
            <w:tcW w:w="427" w:type="dxa"/>
            <w:vAlign w:val="center"/>
          </w:tcPr>
          <w:p w14:paraId="72A04148" w14:textId="77777777" w:rsidR="00B47442" w:rsidRPr="0009445C" w:rsidRDefault="00B47442" w:rsidP="0099521D">
            <w:pPr>
              <w:pStyle w:val="BRL-Tabelle"/>
              <w:spacing w:before="60" w:after="40"/>
              <w:jc w:val="center"/>
              <w:rPr>
                <w:sz w:val="16"/>
              </w:rPr>
            </w:pPr>
          </w:p>
        </w:tc>
        <w:tc>
          <w:tcPr>
            <w:tcW w:w="426" w:type="dxa"/>
            <w:vAlign w:val="center"/>
          </w:tcPr>
          <w:p w14:paraId="08F5529B" w14:textId="77777777" w:rsidR="00B47442" w:rsidRPr="0009445C" w:rsidRDefault="00B47442" w:rsidP="0099521D">
            <w:pPr>
              <w:pStyle w:val="BRL-Tabelle"/>
              <w:spacing w:before="60" w:after="40"/>
              <w:jc w:val="center"/>
              <w:rPr>
                <w:sz w:val="16"/>
              </w:rPr>
            </w:pPr>
          </w:p>
        </w:tc>
        <w:tc>
          <w:tcPr>
            <w:tcW w:w="427" w:type="dxa"/>
            <w:vAlign w:val="center"/>
          </w:tcPr>
          <w:p w14:paraId="466ECA11" w14:textId="77777777" w:rsidR="00B47442" w:rsidRPr="0009445C" w:rsidRDefault="00B47442" w:rsidP="0099521D">
            <w:pPr>
              <w:pStyle w:val="BRL-Tabelle"/>
              <w:spacing w:before="60" w:after="40"/>
              <w:jc w:val="center"/>
              <w:rPr>
                <w:sz w:val="16"/>
              </w:rPr>
            </w:pPr>
          </w:p>
        </w:tc>
        <w:tc>
          <w:tcPr>
            <w:tcW w:w="425" w:type="dxa"/>
            <w:vAlign w:val="center"/>
          </w:tcPr>
          <w:p w14:paraId="234ACC23" w14:textId="77777777" w:rsidR="00B47442" w:rsidRPr="0009445C" w:rsidRDefault="00B47442" w:rsidP="0099521D">
            <w:pPr>
              <w:pStyle w:val="BRL-Tabelle"/>
              <w:spacing w:before="60" w:after="40"/>
              <w:jc w:val="center"/>
              <w:rPr>
                <w:sz w:val="16"/>
              </w:rPr>
            </w:pPr>
          </w:p>
        </w:tc>
        <w:tc>
          <w:tcPr>
            <w:tcW w:w="426" w:type="dxa"/>
            <w:vAlign w:val="center"/>
          </w:tcPr>
          <w:p w14:paraId="07862C04" w14:textId="77777777" w:rsidR="00B47442" w:rsidRPr="0009445C" w:rsidRDefault="00B47442" w:rsidP="0099521D">
            <w:pPr>
              <w:pStyle w:val="BRL-Tabelle"/>
              <w:spacing w:before="60" w:after="40"/>
              <w:jc w:val="center"/>
              <w:rPr>
                <w:sz w:val="16"/>
              </w:rPr>
            </w:pPr>
          </w:p>
        </w:tc>
        <w:tc>
          <w:tcPr>
            <w:tcW w:w="428" w:type="dxa"/>
            <w:vAlign w:val="center"/>
          </w:tcPr>
          <w:p w14:paraId="41534C00" w14:textId="77777777" w:rsidR="00B47442" w:rsidRPr="0009445C" w:rsidRDefault="00B47442" w:rsidP="0099521D">
            <w:pPr>
              <w:pStyle w:val="BRL-Tabelle"/>
              <w:spacing w:before="60" w:after="40"/>
              <w:jc w:val="center"/>
              <w:rPr>
                <w:sz w:val="16"/>
              </w:rPr>
            </w:pPr>
          </w:p>
        </w:tc>
        <w:tc>
          <w:tcPr>
            <w:tcW w:w="427" w:type="dxa"/>
            <w:vAlign w:val="center"/>
          </w:tcPr>
          <w:p w14:paraId="33977ED5" w14:textId="77777777" w:rsidR="00B47442" w:rsidRPr="0009445C" w:rsidRDefault="00B47442" w:rsidP="0099521D">
            <w:pPr>
              <w:pStyle w:val="BRL-Tabelle"/>
              <w:spacing w:before="60" w:after="40"/>
              <w:jc w:val="center"/>
              <w:rPr>
                <w:sz w:val="16"/>
              </w:rPr>
            </w:pPr>
          </w:p>
        </w:tc>
        <w:tc>
          <w:tcPr>
            <w:tcW w:w="426" w:type="dxa"/>
            <w:vAlign w:val="center"/>
          </w:tcPr>
          <w:p w14:paraId="55E97B42"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92A708F" w14:textId="77777777" w:rsidR="00B47442" w:rsidRPr="0009445C" w:rsidRDefault="00B47442" w:rsidP="0099521D">
            <w:pPr>
              <w:pStyle w:val="BRL-Tabelle"/>
              <w:spacing w:before="60" w:after="40"/>
              <w:jc w:val="center"/>
              <w:rPr>
                <w:sz w:val="16"/>
              </w:rPr>
            </w:pPr>
          </w:p>
        </w:tc>
        <w:tc>
          <w:tcPr>
            <w:tcW w:w="426" w:type="dxa"/>
            <w:vAlign w:val="center"/>
          </w:tcPr>
          <w:p w14:paraId="6C2D1921" w14:textId="77777777" w:rsidR="00B47442" w:rsidRPr="0009445C" w:rsidRDefault="00B47442" w:rsidP="0099521D">
            <w:pPr>
              <w:pStyle w:val="BRL-Tabelle"/>
              <w:spacing w:before="60" w:after="40"/>
              <w:jc w:val="center"/>
              <w:rPr>
                <w:sz w:val="16"/>
              </w:rPr>
            </w:pPr>
          </w:p>
        </w:tc>
        <w:tc>
          <w:tcPr>
            <w:tcW w:w="433" w:type="dxa"/>
            <w:vAlign w:val="center"/>
          </w:tcPr>
          <w:p w14:paraId="1929F882" w14:textId="77777777" w:rsidR="00B47442" w:rsidRPr="0009445C" w:rsidRDefault="00B47442" w:rsidP="0099521D">
            <w:pPr>
              <w:pStyle w:val="BRL-Tabelle"/>
              <w:spacing w:before="60" w:after="40"/>
              <w:jc w:val="center"/>
              <w:rPr>
                <w:sz w:val="16"/>
              </w:rPr>
            </w:pPr>
          </w:p>
        </w:tc>
        <w:tc>
          <w:tcPr>
            <w:tcW w:w="426" w:type="dxa"/>
          </w:tcPr>
          <w:p w14:paraId="7A2F4DE4" w14:textId="77777777" w:rsidR="00B47442" w:rsidRPr="0009445C" w:rsidRDefault="00B47442" w:rsidP="0099521D">
            <w:pPr>
              <w:pStyle w:val="BRL-Tabelle"/>
              <w:spacing w:before="60" w:after="40"/>
              <w:jc w:val="center"/>
              <w:rPr>
                <w:sz w:val="16"/>
              </w:rPr>
            </w:pPr>
          </w:p>
        </w:tc>
        <w:tc>
          <w:tcPr>
            <w:tcW w:w="427" w:type="dxa"/>
            <w:vAlign w:val="center"/>
          </w:tcPr>
          <w:p w14:paraId="03CC2CA7" w14:textId="77777777" w:rsidR="00B47442" w:rsidRPr="0009445C" w:rsidRDefault="00B47442" w:rsidP="0099521D">
            <w:pPr>
              <w:pStyle w:val="BRL-Tabelle"/>
              <w:spacing w:before="60" w:after="40"/>
              <w:jc w:val="center"/>
              <w:rPr>
                <w:sz w:val="16"/>
              </w:rPr>
            </w:pPr>
          </w:p>
        </w:tc>
        <w:tc>
          <w:tcPr>
            <w:tcW w:w="426" w:type="dxa"/>
            <w:vAlign w:val="center"/>
          </w:tcPr>
          <w:p w14:paraId="4AD9A9DB" w14:textId="77777777" w:rsidR="00B47442" w:rsidRPr="0009445C" w:rsidRDefault="00B47442" w:rsidP="0099521D">
            <w:pPr>
              <w:pStyle w:val="BRL-Tabelle"/>
              <w:spacing w:before="60" w:after="40"/>
              <w:jc w:val="center"/>
              <w:rPr>
                <w:sz w:val="16"/>
              </w:rPr>
            </w:pPr>
          </w:p>
        </w:tc>
        <w:tc>
          <w:tcPr>
            <w:tcW w:w="427" w:type="dxa"/>
            <w:vAlign w:val="center"/>
          </w:tcPr>
          <w:p w14:paraId="1B561053" w14:textId="77777777" w:rsidR="00B47442" w:rsidRPr="0009445C" w:rsidRDefault="00B47442" w:rsidP="0099521D">
            <w:pPr>
              <w:pStyle w:val="BRL-Tabelle"/>
              <w:spacing w:before="60" w:after="40"/>
              <w:jc w:val="center"/>
              <w:rPr>
                <w:sz w:val="16"/>
              </w:rPr>
            </w:pPr>
          </w:p>
        </w:tc>
      </w:tr>
      <w:tr w:rsidR="00B47442" w:rsidRPr="0009445C" w14:paraId="5EA72CCD" w14:textId="77777777" w:rsidTr="0099521D">
        <w:trPr>
          <w:trHeight w:val="264"/>
        </w:trPr>
        <w:tc>
          <w:tcPr>
            <w:tcW w:w="2355" w:type="dxa"/>
            <w:gridSpan w:val="2"/>
          </w:tcPr>
          <w:p w14:paraId="22565112" w14:textId="77777777" w:rsidR="00B47442" w:rsidRPr="0009445C" w:rsidRDefault="00B47442" w:rsidP="0099521D">
            <w:pPr>
              <w:pStyle w:val="BRL-Tabelle"/>
              <w:spacing w:before="60" w:after="40"/>
            </w:pPr>
            <w:r w:rsidRPr="0009445C">
              <w:t>Signal-to-noise ratio</w:t>
            </w:r>
          </w:p>
        </w:tc>
        <w:tc>
          <w:tcPr>
            <w:tcW w:w="427" w:type="dxa"/>
            <w:vAlign w:val="center"/>
          </w:tcPr>
          <w:p w14:paraId="6470ED63" w14:textId="77777777" w:rsidR="00B47442" w:rsidRPr="0009445C" w:rsidRDefault="00B47442" w:rsidP="0099521D">
            <w:pPr>
              <w:pStyle w:val="BRL-Tabelle"/>
              <w:spacing w:before="60" w:after="40"/>
              <w:jc w:val="center"/>
              <w:rPr>
                <w:sz w:val="16"/>
              </w:rPr>
            </w:pPr>
          </w:p>
        </w:tc>
        <w:tc>
          <w:tcPr>
            <w:tcW w:w="427" w:type="dxa"/>
            <w:vAlign w:val="center"/>
          </w:tcPr>
          <w:p w14:paraId="5B4FE49A" w14:textId="77777777" w:rsidR="00B47442" w:rsidRPr="0009445C" w:rsidRDefault="00B47442" w:rsidP="0099521D">
            <w:pPr>
              <w:pStyle w:val="BRL-Tabelle"/>
              <w:spacing w:before="60" w:after="40"/>
              <w:jc w:val="center"/>
              <w:rPr>
                <w:sz w:val="16"/>
              </w:rPr>
            </w:pPr>
          </w:p>
        </w:tc>
        <w:tc>
          <w:tcPr>
            <w:tcW w:w="426" w:type="dxa"/>
            <w:vAlign w:val="center"/>
          </w:tcPr>
          <w:p w14:paraId="2301C888" w14:textId="77777777" w:rsidR="00B47442" w:rsidRPr="0009445C" w:rsidRDefault="00B47442" w:rsidP="0099521D">
            <w:pPr>
              <w:pStyle w:val="BRL-Tabelle"/>
              <w:spacing w:before="60" w:after="40"/>
              <w:jc w:val="center"/>
              <w:rPr>
                <w:sz w:val="16"/>
              </w:rPr>
            </w:pPr>
          </w:p>
        </w:tc>
        <w:tc>
          <w:tcPr>
            <w:tcW w:w="427" w:type="dxa"/>
            <w:vAlign w:val="center"/>
          </w:tcPr>
          <w:p w14:paraId="1676C20E" w14:textId="77777777" w:rsidR="00B47442" w:rsidRPr="0009445C" w:rsidRDefault="00B47442" w:rsidP="0099521D">
            <w:pPr>
              <w:pStyle w:val="BRL-Tabelle"/>
              <w:spacing w:before="60" w:after="40"/>
              <w:jc w:val="center"/>
              <w:rPr>
                <w:sz w:val="16"/>
              </w:rPr>
            </w:pPr>
          </w:p>
        </w:tc>
        <w:tc>
          <w:tcPr>
            <w:tcW w:w="425" w:type="dxa"/>
            <w:vAlign w:val="center"/>
          </w:tcPr>
          <w:p w14:paraId="64FF52D9" w14:textId="77777777" w:rsidR="00B47442" w:rsidRPr="0009445C" w:rsidRDefault="00B47442" w:rsidP="0099521D">
            <w:pPr>
              <w:pStyle w:val="BRL-Tabelle"/>
              <w:spacing w:before="60" w:after="40"/>
              <w:jc w:val="center"/>
              <w:rPr>
                <w:sz w:val="16"/>
              </w:rPr>
            </w:pPr>
          </w:p>
        </w:tc>
        <w:tc>
          <w:tcPr>
            <w:tcW w:w="426" w:type="dxa"/>
            <w:vAlign w:val="center"/>
          </w:tcPr>
          <w:p w14:paraId="321A3EC7" w14:textId="77777777" w:rsidR="00B47442" w:rsidRPr="0009445C" w:rsidRDefault="00B47442" w:rsidP="0099521D">
            <w:pPr>
              <w:pStyle w:val="BRL-Tabelle"/>
              <w:spacing w:before="60" w:after="40"/>
              <w:jc w:val="center"/>
              <w:rPr>
                <w:sz w:val="16"/>
              </w:rPr>
            </w:pPr>
          </w:p>
        </w:tc>
        <w:tc>
          <w:tcPr>
            <w:tcW w:w="428" w:type="dxa"/>
            <w:vAlign w:val="center"/>
          </w:tcPr>
          <w:p w14:paraId="33E71A02" w14:textId="77777777" w:rsidR="00B47442" w:rsidRPr="0009445C" w:rsidRDefault="00B47442" w:rsidP="0099521D">
            <w:pPr>
              <w:pStyle w:val="BRL-Tabelle"/>
              <w:spacing w:before="60" w:after="40"/>
              <w:jc w:val="center"/>
              <w:rPr>
                <w:sz w:val="16"/>
              </w:rPr>
            </w:pPr>
          </w:p>
        </w:tc>
        <w:tc>
          <w:tcPr>
            <w:tcW w:w="427" w:type="dxa"/>
            <w:vAlign w:val="center"/>
          </w:tcPr>
          <w:p w14:paraId="43DD7DAB" w14:textId="77777777" w:rsidR="00B47442" w:rsidRPr="0009445C" w:rsidRDefault="00B47442" w:rsidP="0099521D">
            <w:pPr>
              <w:pStyle w:val="BRL-Tabelle"/>
              <w:spacing w:before="60" w:after="40"/>
              <w:jc w:val="center"/>
              <w:rPr>
                <w:sz w:val="16"/>
              </w:rPr>
            </w:pPr>
          </w:p>
        </w:tc>
        <w:tc>
          <w:tcPr>
            <w:tcW w:w="426" w:type="dxa"/>
            <w:vAlign w:val="center"/>
          </w:tcPr>
          <w:p w14:paraId="232AD2C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CE4E4F9" w14:textId="77777777" w:rsidR="00B47442" w:rsidRPr="0009445C" w:rsidRDefault="00B47442" w:rsidP="0099521D">
            <w:pPr>
              <w:pStyle w:val="BRL-Tabelle"/>
              <w:spacing w:before="60" w:after="40"/>
              <w:jc w:val="center"/>
              <w:rPr>
                <w:sz w:val="16"/>
              </w:rPr>
            </w:pPr>
          </w:p>
        </w:tc>
        <w:tc>
          <w:tcPr>
            <w:tcW w:w="426" w:type="dxa"/>
            <w:vAlign w:val="center"/>
          </w:tcPr>
          <w:p w14:paraId="343105A4" w14:textId="77777777" w:rsidR="00B47442" w:rsidRPr="0009445C" w:rsidRDefault="00B47442" w:rsidP="0099521D">
            <w:pPr>
              <w:pStyle w:val="BRL-Tabelle"/>
              <w:spacing w:before="60" w:after="40"/>
              <w:jc w:val="center"/>
              <w:rPr>
                <w:sz w:val="16"/>
              </w:rPr>
            </w:pPr>
          </w:p>
        </w:tc>
        <w:tc>
          <w:tcPr>
            <w:tcW w:w="433" w:type="dxa"/>
            <w:vAlign w:val="center"/>
          </w:tcPr>
          <w:p w14:paraId="57B22E9B" w14:textId="77777777" w:rsidR="00B47442" w:rsidRPr="0009445C" w:rsidRDefault="00B47442" w:rsidP="0099521D">
            <w:pPr>
              <w:pStyle w:val="BRL-Tabelle"/>
              <w:spacing w:before="60" w:after="40"/>
              <w:jc w:val="center"/>
              <w:rPr>
                <w:sz w:val="16"/>
              </w:rPr>
            </w:pPr>
          </w:p>
        </w:tc>
        <w:tc>
          <w:tcPr>
            <w:tcW w:w="426" w:type="dxa"/>
          </w:tcPr>
          <w:p w14:paraId="69B2DBD4" w14:textId="77777777" w:rsidR="00B47442" w:rsidRPr="0009445C" w:rsidRDefault="00B47442" w:rsidP="0099521D">
            <w:pPr>
              <w:pStyle w:val="BRL-Tabelle"/>
              <w:spacing w:before="60" w:after="40"/>
              <w:jc w:val="center"/>
              <w:rPr>
                <w:sz w:val="16"/>
              </w:rPr>
            </w:pPr>
          </w:p>
        </w:tc>
        <w:tc>
          <w:tcPr>
            <w:tcW w:w="427" w:type="dxa"/>
            <w:vAlign w:val="center"/>
          </w:tcPr>
          <w:p w14:paraId="0DA846F6" w14:textId="77777777" w:rsidR="00B47442" w:rsidRPr="0009445C" w:rsidRDefault="00B47442" w:rsidP="0099521D">
            <w:pPr>
              <w:pStyle w:val="BRL-Tabelle"/>
              <w:spacing w:before="60" w:after="40"/>
              <w:jc w:val="center"/>
              <w:rPr>
                <w:sz w:val="16"/>
              </w:rPr>
            </w:pPr>
          </w:p>
        </w:tc>
        <w:tc>
          <w:tcPr>
            <w:tcW w:w="426" w:type="dxa"/>
            <w:vAlign w:val="center"/>
          </w:tcPr>
          <w:p w14:paraId="0BB6F0E9" w14:textId="77777777" w:rsidR="00B47442" w:rsidRPr="0009445C" w:rsidRDefault="00B47442" w:rsidP="0099521D">
            <w:pPr>
              <w:pStyle w:val="BRL-Tabelle"/>
              <w:spacing w:before="60" w:after="40"/>
              <w:jc w:val="center"/>
              <w:rPr>
                <w:sz w:val="16"/>
              </w:rPr>
            </w:pPr>
          </w:p>
        </w:tc>
        <w:tc>
          <w:tcPr>
            <w:tcW w:w="427" w:type="dxa"/>
            <w:vAlign w:val="center"/>
          </w:tcPr>
          <w:p w14:paraId="0444CE33" w14:textId="77777777" w:rsidR="00B47442" w:rsidRPr="0009445C" w:rsidRDefault="00B47442" w:rsidP="0099521D">
            <w:pPr>
              <w:pStyle w:val="BRL-Tabelle"/>
              <w:spacing w:before="60" w:after="40"/>
              <w:jc w:val="center"/>
              <w:rPr>
                <w:sz w:val="16"/>
              </w:rPr>
            </w:pPr>
          </w:p>
        </w:tc>
      </w:tr>
      <w:tr w:rsidR="00B47442" w:rsidRPr="0009445C" w14:paraId="19D8922D" w14:textId="77777777" w:rsidTr="0099521D">
        <w:trPr>
          <w:trHeight w:val="264"/>
        </w:trPr>
        <w:tc>
          <w:tcPr>
            <w:tcW w:w="2355" w:type="dxa"/>
            <w:gridSpan w:val="2"/>
          </w:tcPr>
          <w:p w14:paraId="4E6EB01B" w14:textId="77777777" w:rsidR="00B47442" w:rsidRPr="0009445C" w:rsidRDefault="00B47442" w:rsidP="0099521D">
            <w:pPr>
              <w:pStyle w:val="BRL-Tabelle"/>
              <w:spacing w:before="60" w:after="40"/>
            </w:pPr>
            <w:r w:rsidRPr="0009445C">
              <w:t>Frequency response of the voice alarm system without microphone</w:t>
            </w:r>
          </w:p>
        </w:tc>
        <w:tc>
          <w:tcPr>
            <w:tcW w:w="427" w:type="dxa"/>
            <w:vAlign w:val="center"/>
          </w:tcPr>
          <w:p w14:paraId="0766CA6A" w14:textId="77777777" w:rsidR="00B47442" w:rsidRPr="0009445C" w:rsidRDefault="00B47442" w:rsidP="0099521D">
            <w:pPr>
              <w:pStyle w:val="BRL-Tabelle"/>
              <w:spacing w:before="60" w:after="40"/>
              <w:jc w:val="center"/>
              <w:rPr>
                <w:sz w:val="16"/>
              </w:rPr>
            </w:pPr>
          </w:p>
        </w:tc>
        <w:tc>
          <w:tcPr>
            <w:tcW w:w="427" w:type="dxa"/>
            <w:vAlign w:val="center"/>
          </w:tcPr>
          <w:p w14:paraId="0D6FE661" w14:textId="77777777" w:rsidR="00B47442" w:rsidRPr="0009445C" w:rsidRDefault="00B47442" w:rsidP="0099521D">
            <w:pPr>
              <w:pStyle w:val="BRL-Tabelle"/>
              <w:spacing w:before="60" w:after="40"/>
              <w:jc w:val="center"/>
              <w:rPr>
                <w:sz w:val="16"/>
              </w:rPr>
            </w:pPr>
          </w:p>
        </w:tc>
        <w:tc>
          <w:tcPr>
            <w:tcW w:w="426" w:type="dxa"/>
            <w:vAlign w:val="center"/>
          </w:tcPr>
          <w:p w14:paraId="18E5CE9D" w14:textId="77777777" w:rsidR="00B47442" w:rsidRPr="0009445C" w:rsidRDefault="00B47442" w:rsidP="0099521D">
            <w:pPr>
              <w:pStyle w:val="BRL-Tabelle"/>
              <w:spacing w:before="60" w:after="40"/>
              <w:jc w:val="center"/>
              <w:rPr>
                <w:sz w:val="16"/>
              </w:rPr>
            </w:pPr>
          </w:p>
        </w:tc>
        <w:tc>
          <w:tcPr>
            <w:tcW w:w="427" w:type="dxa"/>
            <w:vAlign w:val="center"/>
          </w:tcPr>
          <w:p w14:paraId="4334196D" w14:textId="77777777" w:rsidR="00B47442" w:rsidRPr="0009445C" w:rsidRDefault="00B47442" w:rsidP="0099521D">
            <w:pPr>
              <w:pStyle w:val="BRL-Tabelle"/>
              <w:spacing w:before="60" w:after="40"/>
              <w:jc w:val="center"/>
              <w:rPr>
                <w:sz w:val="16"/>
              </w:rPr>
            </w:pPr>
          </w:p>
        </w:tc>
        <w:tc>
          <w:tcPr>
            <w:tcW w:w="425" w:type="dxa"/>
            <w:vAlign w:val="center"/>
          </w:tcPr>
          <w:p w14:paraId="40C053DF" w14:textId="77777777" w:rsidR="00B47442" w:rsidRPr="0009445C" w:rsidRDefault="00B47442" w:rsidP="0099521D">
            <w:pPr>
              <w:pStyle w:val="BRL-Tabelle"/>
              <w:spacing w:before="60" w:after="40"/>
              <w:jc w:val="center"/>
              <w:rPr>
                <w:sz w:val="16"/>
              </w:rPr>
            </w:pPr>
          </w:p>
        </w:tc>
        <w:tc>
          <w:tcPr>
            <w:tcW w:w="426" w:type="dxa"/>
            <w:vAlign w:val="center"/>
          </w:tcPr>
          <w:p w14:paraId="2D5E73B8" w14:textId="77777777" w:rsidR="00B47442" w:rsidRPr="0009445C" w:rsidRDefault="00B47442" w:rsidP="0099521D">
            <w:pPr>
              <w:pStyle w:val="BRL-Tabelle"/>
              <w:spacing w:before="60" w:after="40"/>
              <w:jc w:val="center"/>
              <w:rPr>
                <w:sz w:val="16"/>
              </w:rPr>
            </w:pPr>
          </w:p>
        </w:tc>
        <w:tc>
          <w:tcPr>
            <w:tcW w:w="428" w:type="dxa"/>
            <w:vAlign w:val="center"/>
          </w:tcPr>
          <w:p w14:paraId="1B8A2E4A" w14:textId="77777777" w:rsidR="00B47442" w:rsidRPr="0009445C" w:rsidRDefault="00B47442" w:rsidP="0099521D">
            <w:pPr>
              <w:pStyle w:val="BRL-Tabelle"/>
              <w:spacing w:before="60" w:after="40"/>
              <w:jc w:val="center"/>
              <w:rPr>
                <w:sz w:val="16"/>
              </w:rPr>
            </w:pPr>
          </w:p>
        </w:tc>
        <w:tc>
          <w:tcPr>
            <w:tcW w:w="427" w:type="dxa"/>
            <w:vAlign w:val="center"/>
          </w:tcPr>
          <w:p w14:paraId="1F1E9B8F" w14:textId="77777777" w:rsidR="00B47442" w:rsidRPr="0009445C" w:rsidRDefault="00B47442" w:rsidP="0099521D">
            <w:pPr>
              <w:pStyle w:val="BRL-Tabelle"/>
              <w:spacing w:before="60" w:after="40"/>
              <w:jc w:val="center"/>
              <w:rPr>
                <w:sz w:val="16"/>
              </w:rPr>
            </w:pPr>
          </w:p>
        </w:tc>
        <w:tc>
          <w:tcPr>
            <w:tcW w:w="426" w:type="dxa"/>
            <w:vAlign w:val="center"/>
          </w:tcPr>
          <w:p w14:paraId="74428C2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807676B" w14:textId="77777777" w:rsidR="00B47442" w:rsidRPr="0009445C" w:rsidRDefault="00B47442" w:rsidP="0099521D">
            <w:pPr>
              <w:pStyle w:val="BRL-Tabelle"/>
              <w:spacing w:before="60" w:after="40"/>
              <w:jc w:val="center"/>
              <w:rPr>
                <w:sz w:val="16"/>
              </w:rPr>
            </w:pPr>
          </w:p>
        </w:tc>
        <w:tc>
          <w:tcPr>
            <w:tcW w:w="426" w:type="dxa"/>
            <w:vAlign w:val="center"/>
          </w:tcPr>
          <w:p w14:paraId="0F175701" w14:textId="77777777" w:rsidR="00B47442" w:rsidRPr="0009445C" w:rsidRDefault="00B47442" w:rsidP="0099521D">
            <w:pPr>
              <w:pStyle w:val="BRL-Tabelle"/>
              <w:spacing w:before="60" w:after="40"/>
              <w:jc w:val="center"/>
              <w:rPr>
                <w:sz w:val="16"/>
              </w:rPr>
            </w:pPr>
          </w:p>
        </w:tc>
        <w:tc>
          <w:tcPr>
            <w:tcW w:w="433" w:type="dxa"/>
            <w:vAlign w:val="center"/>
          </w:tcPr>
          <w:p w14:paraId="0D7180C2" w14:textId="77777777" w:rsidR="00B47442" w:rsidRPr="0009445C" w:rsidRDefault="00B47442" w:rsidP="0099521D">
            <w:pPr>
              <w:pStyle w:val="BRL-Tabelle"/>
              <w:spacing w:before="60" w:after="40"/>
              <w:jc w:val="center"/>
              <w:rPr>
                <w:sz w:val="16"/>
              </w:rPr>
            </w:pPr>
          </w:p>
        </w:tc>
        <w:tc>
          <w:tcPr>
            <w:tcW w:w="426" w:type="dxa"/>
          </w:tcPr>
          <w:p w14:paraId="56653937" w14:textId="77777777" w:rsidR="00B47442" w:rsidRPr="0009445C" w:rsidRDefault="00B47442" w:rsidP="0099521D">
            <w:pPr>
              <w:pStyle w:val="BRL-Tabelle"/>
              <w:spacing w:before="60" w:after="40"/>
              <w:jc w:val="center"/>
              <w:rPr>
                <w:sz w:val="16"/>
              </w:rPr>
            </w:pPr>
          </w:p>
        </w:tc>
        <w:tc>
          <w:tcPr>
            <w:tcW w:w="427" w:type="dxa"/>
            <w:vAlign w:val="center"/>
          </w:tcPr>
          <w:p w14:paraId="0450C94D" w14:textId="77777777" w:rsidR="00B47442" w:rsidRPr="0009445C" w:rsidRDefault="00B47442" w:rsidP="0099521D">
            <w:pPr>
              <w:pStyle w:val="BRL-Tabelle"/>
              <w:spacing w:before="60" w:after="40"/>
              <w:jc w:val="center"/>
              <w:rPr>
                <w:sz w:val="16"/>
              </w:rPr>
            </w:pPr>
          </w:p>
        </w:tc>
        <w:tc>
          <w:tcPr>
            <w:tcW w:w="426" w:type="dxa"/>
            <w:vAlign w:val="center"/>
          </w:tcPr>
          <w:p w14:paraId="2A474C0A" w14:textId="77777777" w:rsidR="00B47442" w:rsidRPr="0009445C" w:rsidRDefault="00B47442" w:rsidP="0099521D">
            <w:pPr>
              <w:pStyle w:val="BRL-Tabelle"/>
              <w:spacing w:before="60" w:after="40"/>
              <w:jc w:val="center"/>
              <w:rPr>
                <w:sz w:val="16"/>
              </w:rPr>
            </w:pPr>
          </w:p>
        </w:tc>
        <w:tc>
          <w:tcPr>
            <w:tcW w:w="427" w:type="dxa"/>
            <w:vAlign w:val="center"/>
          </w:tcPr>
          <w:p w14:paraId="0C3CF6E6" w14:textId="77777777" w:rsidR="00B47442" w:rsidRPr="0009445C" w:rsidRDefault="00B47442" w:rsidP="0099521D">
            <w:pPr>
              <w:pStyle w:val="BRL-Tabelle"/>
              <w:spacing w:before="60" w:after="40"/>
              <w:jc w:val="center"/>
              <w:rPr>
                <w:sz w:val="16"/>
              </w:rPr>
            </w:pPr>
          </w:p>
        </w:tc>
      </w:tr>
      <w:tr w:rsidR="00B47442" w:rsidRPr="0009445C" w14:paraId="76812FBC" w14:textId="77777777" w:rsidTr="0099521D">
        <w:trPr>
          <w:trHeight w:val="264"/>
        </w:trPr>
        <w:tc>
          <w:tcPr>
            <w:tcW w:w="2355" w:type="dxa"/>
            <w:gridSpan w:val="2"/>
          </w:tcPr>
          <w:p w14:paraId="246C79CD" w14:textId="77777777" w:rsidR="00B47442" w:rsidRPr="0009445C" w:rsidRDefault="00B47442" w:rsidP="0099521D">
            <w:pPr>
              <w:pStyle w:val="BRL-Tabelle"/>
              <w:spacing w:before="60" w:after="40"/>
            </w:pPr>
            <w:r w:rsidRPr="0009445C">
              <w:t>Frequency response of the voice alarm system with microphone</w:t>
            </w:r>
          </w:p>
        </w:tc>
        <w:tc>
          <w:tcPr>
            <w:tcW w:w="427" w:type="dxa"/>
            <w:vAlign w:val="center"/>
          </w:tcPr>
          <w:p w14:paraId="708982D0" w14:textId="77777777" w:rsidR="00B47442" w:rsidRPr="0009445C" w:rsidRDefault="00B47442" w:rsidP="0099521D">
            <w:pPr>
              <w:pStyle w:val="BRL-Tabelle"/>
              <w:spacing w:before="60" w:after="40"/>
              <w:jc w:val="center"/>
              <w:rPr>
                <w:sz w:val="16"/>
              </w:rPr>
            </w:pPr>
          </w:p>
        </w:tc>
        <w:tc>
          <w:tcPr>
            <w:tcW w:w="427" w:type="dxa"/>
            <w:vAlign w:val="center"/>
          </w:tcPr>
          <w:p w14:paraId="666C617E" w14:textId="77777777" w:rsidR="00B47442" w:rsidRPr="0009445C" w:rsidRDefault="00B47442" w:rsidP="0099521D">
            <w:pPr>
              <w:pStyle w:val="BRL-Tabelle"/>
              <w:spacing w:before="60" w:after="40"/>
              <w:jc w:val="center"/>
              <w:rPr>
                <w:sz w:val="16"/>
              </w:rPr>
            </w:pPr>
          </w:p>
        </w:tc>
        <w:tc>
          <w:tcPr>
            <w:tcW w:w="426" w:type="dxa"/>
            <w:vAlign w:val="center"/>
          </w:tcPr>
          <w:p w14:paraId="66E50965" w14:textId="77777777" w:rsidR="00B47442" w:rsidRPr="0009445C" w:rsidRDefault="00B47442" w:rsidP="0099521D">
            <w:pPr>
              <w:pStyle w:val="BRL-Tabelle"/>
              <w:spacing w:before="60" w:after="40"/>
              <w:jc w:val="center"/>
              <w:rPr>
                <w:sz w:val="16"/>
              </w:rPr>
            </w:pPr>
          </w:p>
        </w:tc>
        <w:tc>
          <w:tcPr>
            <w:tcW w:w="427" w:type="dxa"/>
            <w:vAlign w:val="center"/>
          </w:tcPr>
          <w:p w14:paraId="7BA653BC" w14:textId="77777777" w:rsidR="00B47442" w:rsidRPr="0009445C" w:rsidRDefault="00B47442" w:rsidP="0099521D">
            <w:pPr>
              <w:pStyle w:val="BRL-Tabelle"/>
              <w:spacing w:before="60" w:after="40"/>
              <w:jc w:val="center"/>
              <w:rPr>
                <w:sz w:val="16"/>
              </w:rPr>
            </w:pPr>
          </w:p>
        </w:tc>
        <w:tc>
          <w:tcPr>
            <w:tcW w:w="425" w:type="dxa"/>
            <w:vAlign w:val="center"/>
          </w:tcPr>
          <w:p w14:paraId="36E750A7" w14:textId="77777777" w:rsidR="00B47442" w:rsidRPr="0009445C" w:rsidRDefault="00B47442" w:rsidP="0099521D">
            <w:pPr>
              <w:pStyle w:val="BRL-Tabelle"/>
              <w:spacing w:before="60" w:after="40"/>
              <w:jc w:val="center"/>
              <w:rPr>
                <w:sz w:val="16"/>
              </w:rPr>
            </w:pPr>
          </w:p>
        </w:tc>
        <w:tc>
          <w:tcPr>
            <w:tcW w:w="426" w:type="dxa"/>
            <w:vAlign w:val="center"/>
          </w:tcPr>
          <w:p w14:paraId="630DEC29" w14:textId="77777777" w:rsidR="00B47442" w:rsidRPr="0009445C" w:rsidRDefault="00B47442" w:rsidP="0099521D">
            <w:pPr>
              <w:pStyle w:val="BRL-Tabelle"/>
              <w:spacing w:before="60" w:after="40"/>
              <w:jc w:val="center"/>
              <w:rPr>
                <w:sz w:val="16"/>
              </w:rPr>
            </w:pPr>
          </w:p>
        </w:tc>
        <w:tc>
          <w:tcPr>
            <w:tcW w:w="428" w:type="dxa"/>
            <w:vAlign w:val="center"/>
          </w:tcPr>
          <w:p w14:paraId="2829C467" w14:textId="77777777" w:rsidR="00B47442" w:rsidRPr="0009445C" w:rsidRDefault="00B47442" w:rsidP="0099521D">
            <w:pPr>
              <w:pStyle w:val="BRL-Tabelle"/>
              <w:spacing w:before="60" w:after="40"/>
              <w:jc w:val="center"/>
              <w:rPr>
                <w:sz w:val="16"/>
              </w:rPr>
            </w:pPr>
          </w:p>
        </w:tc>
        <w:tc>
          <w:tcPr>
            <w:tcW w:w="427" w:type="dxa"/>
            <w:vAlign w:val="center"/>
          </w:tcPr>
          <w:p w14:paraId="65605F49" w14:textId="77777777" w:rsidR="00B47442" w:rsidRPr="0009445C" w:rsidRDefault="00B47442" w:rsidP="0099521D">
            <w:pPr>
              <w:pStyle w:val="BRL-Tabelle"/>
              <w:spacing w:before="60" w:after="40"/>
              <w:jc w:val="center"/>
              <w:rPr>
                <w:sz w:val="16"/>
              </w:rPr>
            </w:pPr>
          </w:p>
        </w:tc>
        <w:tc>
          <w:tcPr>
            <w:tcW w:w="426" w:type="dxa"/>
            <w:vAlign w:val="center"/>
          </w:tcPr>
          <w:p w14:paraId="3D34526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B492B6E" w14:textId="77777777" w:rsidR="00B47442" w:rsidRPr="0009445C" w:rsidRDefault="00B47442" w:rsidP="0099521D">
            <w:pPr>
              <w:pStyle w:val="BRL-Tabelle"/>
              <w:spacing w:before="60" w:after="40"/>
              <w:jc w:val="center"/>
              <w:rPr>
                <w:sz w:val="16"/>
              </w:rPr>
            </w:pPr>
          </w:p>
        </w:tc>
        <w:tc>
          <w:tcPr>
            <w:tcW w:w="426" w:type="dxa"/>
            <w:vAlign w:val="center"/>
          </w:tcPr>
          <w:p w14:paraId="6113ECC8" w14:textId="77777777" w:rsidR="00B47442" w:rsidRPr="0009445C" w:rsidRDefault="00B47442" w:rsidP="0099521D">
            <w:pPr>
              <w:pStyle w:val="BRL-Tabelle"/>
              <w:spacing w:before="60" w:after="40"/>
              <w:jc w:val="center"/>
              <w:rPr>
                <w:sz w:val="16"/>
              </w:rPr>
            </w:pPr>
          </w:p>
        </w:tc>
        <w:tc>
          <w:tcPr>
            <w:tcW w:w="433" w:type="dxa"/>
            <w:vAlign w:val="center"/>
          </w:tcPr>
          <w:p w14:paraId="546F9BFB" w14:textId="77777777" w:rsidR="00B47442" w:rsidRPr="0009445C" w:rsidRDefault="00B47442" w:rsidP="0099521D">
            <w:pPr>
              <w:pStyle w:val="BRL-Tabelle"/>
              <w:spacing w:before="60" w:after="40"/>
              <w:jc w:val="center"/>
              <w:rPr>
                <w:sz w:val="16"/>
              </w:rPr>
            </w:pPr>
          </w:p>
        </w:tc>
        <w:tc>
          <w:tcPr>
            <w:tcW w:w="426" w:type="dxa"/>
          </w:tcPr>
          <w:p w14:paraId="58BFD887" w14:textId="77777777" w:rsidR="00B47442" w:rsidRPr="0009445C" w:rsidRDefault="00B47442" w:rsidP="0099521D">
            <w:pPr>
              <w:pStyle w:val="BRL-Tabelle"/>
              <w:spacing w:before="60" w:after="40"/>
              <w:jc w:val="center"/>
              <w:rPr>
                <w:sz w:val="16"/>
              </w:rPr>
            </w:pPr>
          </w:p>
        </w:tc>
        <w:tc>
          <w:tcPr>
            <w:tcW w:w="427" w:type="dxa"/>
            <w:vAlign w:val="center"/>
          </w:tcPr>
          <w:p w14:paraId="52E2A5E8" w14:textId="77777777" w:rsidR="00B47442" w:rsidRPr="0009445C" w:rsidRDefault="00B47442" w:rsidP="0099521D">
            <w:pPr>
              <w:pStyle w:val="BRL-Tabelle"/>
              <w:spacing w:before="60" w:after="40"/>
              <w:jc w:val="center"/>
              <w:rPr>
                <w:sz w:val="16"/>
              </w:rPr>
            </w:pPr>
          </w:p>
        </w:tc>
        <w:tc>
          <w:tcPr>
            <w:tcW w:w="426" w:type="dxa"/>
            <w:vAlign w:val="center"/>
          </w:tcPr>
          <w:p w14:paraId="5C03A094" w14:textId="77777777" w:rsidR="00B47442" w:rsidRPr="0009445C" w:rsidRDefault="00B47442" w:rsidP="0099521D">
            <w:pPr>
              <w:pStyle w:val="BRL-Tabelle"/>
              <w:spacing w:before="60" w:after="40"/>
              <w:jc w:val="center"/>
              <w:rPr>
                <w:sz w:val="16"/>
              </w:rPr>
            </w:pPr>
          </w:p>
        </w:tc>
        <w:tc>
          <w:tcPr>
            <w:tcW w:w="427" w:type="dxa"/>
            <w:vAlign w:val="center"/>
          </w:tcPr>
          <w:p w14:paraId="12342BCE" w14:textId="77777777" w:rsidR="00B47442" w:rsidRPr="0009445C" w:rsidRDefault="00B47442" w:rsidP="0099521D">
            <w:pPr>
              <w:pStyle w:val="BRL-Tabelle"/>
              <w:spacing w:before="60" w:after="40"/>
              <w:jc w:val="center"/>
              <w:rPr>
                <w:sz w:val="16"/>
              </w:rPr>
            </w:pPr>
          </w:p>
        </w:tc>
      </w:tr>
      <w:tr w:rsidR="00B47442" w:rsidRPr="0009445C" w14:paraId="63DC0162" w14:textId="77777777" w:rsidTr="0099521D">
        <w:trPr>
          <w:trHeight w:val="264"/>
        </w:trPr>
        <w:tc>
          <w:tcPr>
            <w:tcW w:w="2355" w:type="dxa"/>
            <w:gridSpan w:val="2"/>
          </w:tcPr>
          <w:p w14:paraId="55113E73" w14:textId="77777777" w:rsidR="00B47442" w:rsidRPr="0009445C" w:rsidRDefault="00B47442" w:rsidP="0099521D">
            <w:pPr>
              <w:pStyle w:val="BRL-Tabelle"/>
              <w:spacing w:before="60" w:after="40"/>
            </w:pPr>
            <w:r w:rsidRPr="0009445C">
              <w:t>Signalling range</w:t>
            </w:r>
          </w:p>
        </w:tc>
        <w:tc>
          <w:tcPr>
            <w:tcW w:w="427" w:type="dxa"/>
            <w:vAlign w:val="center"/>
          </w:tcPr>
          <w:p w14:paraId="1195A50F" w14:textId="77777777" w:rsidR="00B47442" w:rsidRPr="0009445C" w:rsidRDefault="00B47442" w:rsidP="0099521D">
            <w:pPr>
              <w:pStyle w:val="BRL-Tabelle"/>
              <w:spacing w:before="60" w:after="40"/>
              <w:jc w:val="center"/>
              <w:rPr>
                <w:sz w:val="16"/>
              </w:rPr>
            </w:pPr>
          </w:p>
        </w:tc>
        <w:tc>
          <w:tcPr>
            <w:tcW w:w="427" w:type="dxa"/>
            <w:vAlign w:val="center"/>
          </w:tcPr>
          <w:p w14:paraId="34E9FDC7" w14:textId="77777777" w:rsidR="00B47442" w:rsidRPr="0009445C" w:rsidRDefault="00B47442" w:rsidP="0099521D">
            <w:pPr>
              <w:pStyle w:val="BRL-Tabelle"/>
              <w:spacing w:before="60" w:after="40"/>
              <w:jc w:val="center"/>
              <w:rPr>
                <w:sz w:val="16"/>
              </w:rPr>
            </w:pPr>
          </w:p>
        </w:tc>
        <w:tc>
          <w:tcPr>
            <w:tcW w:w="426" w:type="dxa"/>
            <w:vAlign w:val="center"/>
          </w:tcPr>
          <w:p w14:paraId="0FB98028" w14:textId="77777777" w:rsidR="00B47442" w:rsidRPr="0009445C" w:rsidRDefault="00B47442" w:rsidP="0099521D">
            <w:pPr>
              <w:pStyle w:val="BRL-Tabelle"/>
              <w:spacing w:before="60" w:after="40"/>
              <w:jc w:val="center"/>
              <w:rPr>
                <w:sz w:val="16"/>
              </w:rPr>
            </w:pPr>
          </w:p>
        </w:tc>
        <w:tc>
          <w:tcPr>
            <w:tcW w:w="427" w:type="dxa"/>
            <w:vAlign w:val="center"/>
          </w:tcPr>
          <w:p w14:paraId="5A762F3C" w14:textId="77777777" w:rsidR="00B47442" w:rsidRPr="0009445C" w:rsidRDefault="00B47442" w:rsidP="0099521D">
            <w:pPr>
              <w:pStyle w:val="BRL-Tabelle"/>
              <w:spacing w:before="60" w:after="40"/>
              <w:jc w:val="center"/>
              <w:rPr>
                <w:sz w:val="16"/>
              </w:rPr>
            </w:pPr>
          </w:p>
        </w:tc>
        <w:tc>
          <w:tcPr>
            <w:tcW w:w="425" w:type="dxa"/>
            <w:vAlign w:val="center"/>
          </w:tcPr>
          <w:p w14:paraId="02FEED30" w14:textId="77777777" w:rsidR="00B47442" w:rsidRPr="0009445C" w:rsidRDefault="00B47442" w:rsidP="0099521D">
            <w:pPr>
              <w:pStyle w:val="BRL-Tabelle"/>
              <w:spacing w:before="60" w:after="40"/>
              <w:jc w:val="center"/>
              <w:rPr>
                <w:sz w:val="16"/>
              </w:rPr>
            </w:pPr>
          </w:p>
        </w:tc>
        <w:tc>
          <w:tcPr>
            <w:tcW w:w="426" w:type="dxa"/>
            <w:vAlign w:val="center"/>
          </w:tcPr>
          <w:p w14:paraId="08DDFC7E" w14:textId="77777777" w:rsidR="00B47442" w:rsidRPr="0009445C" w:rsidRDefault="00B47442" w:rsidP="0099521D">
            <w:pPr>
              <w:pStyle w:val="BRL-Tabelle"/>
              <w:spacing w:before="60" w:after="40"/>
              <w:jc w:val="center"/>
              <w:rPr>
                <w:sz w:val="16"/>
              </w:rPr>
            </w:pPr>
          </w:p>
        </w:tc>
        <w:tc>
          <w:tcPr>
            <w:tcW w:w="428" w:type="dxa"/>
            <w:vAlign w:val="center"/>
          </w:tcPr>
          <w:p w14:paraId="472C2E24" w14:textId="77777777" w:rsidR="00B47442" w:rsidRPr="0009445C" w:rsidRDefault="00B47442" w:rsidP="0099521D">
            <w:pPr>
              <w:pStyle w:val="BRL-Tabelle"/>
              <w:spacing w:before="60" w:after="40"/>
              <w:jc w:val="center"/>
              <w:rPr>
                <w:sz w:val="16"/>
              </w:rPr>
            </w:pPr>
          </w:p>
        </w:tc>
        <w:tc>
          <w:tcPr>
            <w:tcW w:w="427" w:type="dxa"/>
            <w:vAlign w:val="center"/>
          </w:tcPr>
          <w:p w14:paraId="04F2E6AD" w14:textId="77777777" w:rsidR="00B47442" w:rsidRPr="0009445C" w:rsidRDefault="00B47442" w:rsidP="0099521D">
            <w:pPr>
              <w:pStyle w:val="BRL-Tabelle"/>
              <w:spacing w:before="60" w:after="40"/>
              <w:jc w:val="center"/>
              <w:rPr>
                <w:sz w:val="16"/>
              </w:rPr>
            </w:pPr>
          </w:p>
        </w:tc>
        <w:tc>
          <w:tcPr>
            <w:tcW w:w="426" w:type="dxa"/>
            <w:vAlign w:val="center"/>
          </w:tcPr>
          <w:p w14:paraId="7588299A" w14:textId="77777777" w:rsidR="00B47442" w:rsidRPr="0009445C" w:rsidRDefault="00B47442" w:rsidP="0099521D">
            <w:pPr>
              <w:pStyle w:val="BRL-Tabelle"/>
              <w:spacing w:before="60" w:after="40"/>
              <w:jc w:val="center"/>
              <w:rPr>
                <w:sz w:val="16"/>
              </w:rPr>
            </w:pPr>
          </w:p>
        </w:tc>
        <w:tc>
          <w:tcPr>
            <w:tcW w:w="426" w:type="dxa"/>
            <w:vAlign w:val="center"/>
          </w:tcPr>
          <w:p w14:paraId="03B0DFFA" w14:textId="77777777" w:rsidR="00B47442" w:rsidRPr="0009445C" w:rsidRDefault="00B47442" w:rsidP="0099521D">
            <w:pPr>
              <w:pStyle w:val="BRL-Tabelle"/>
              <w:spacing w:before="60" w:after="40"/>
              <w:jc w:val="center"/>
              <w:rPr>
                <w:sz w:val="16"/>
              </w:rPr>
            </w:pPr>
          </w:p>
        </w:tc>
        <w:tc>
          <w:tcPr>
            <w:tcW w:w="426" w:type="dxa"/>
            <w:vAlign w:val="center"/>
          </w:tcPr>
          <w:p w14:paraId="338D2402" w14:textId="77777777" w:rsidR="00B47442" w:rsidRPr="0009445C" w:rsidRDefault="00B47442" w:rsidP="0099521D">
            <w:pPr>
              <w:pStyle w:val="BRL-Tabelle"/>
              <w:spacing w:before="60" w:after="40"/>
              <w:jc w:val="center"/>
              <w:rPr>
                <w:sz w:val="16"/>
              </w:rPr>
            </w:pPr>
          </w:p>
        </w:tc>
        <w:tc>
          <w:tcPr>
            <w:tcW w:w="433" w:type="dxa"/>
            <w:vAlign w:val="center"/>
          </w:tcPr>
          <w:p w14:paraId="48AB1E51" w14:textId="77777777" w:rsidR="00B47442" w:rsidRPr="0009445C" w:rsidRDefault="00B47442" w:rsidP="0099521D">
            <w:pPr>
              <w:pStyle w:val="BRL-Tabelle"/>
              <w:spacing w:before="60" w:after="40"/>
              <w:jc w:val="center"/>
              <w:rPr>
                <w:sz w:val="16"/>
              </w:rPr>
            </w:pPr>
          </w:p>
        </w:tc>
        <w:tc>
          <w:tcPr>
            <w:tcW w:w="426" w:type="dxa"/>
          </w:tcPr>
          <w:p w14:paraId="67B6EF1A" w14:textId="77777777" w:rsidR="00B47442" w:rsidRPr="0009445C" w:rsidRDefault="00B47442" w:rsidP="0099521D">
            <w:pPr>
              <w:pStyle w:val="BRL-Tabelle"/>
              <w:spacing w:before="60" w:after="40"/>
              <w:jc w:val="center"/>
              <w:rPr>
                <w:sz w:val="16"/>
              </w:rPr>
            </w:pPr>
          </w:p>
        </w:tc>
        <w:tc>
          <w:tcPr>
            <w:tcW w:w="427" w:type="dxa"/>
            <w:vAlign w:val="center"/>
          </w:tcPr>
          <w:p w14:paraId="6FFFA4F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D678BFD" w14:textId="77777777" w:rsidR="00B47442" w:rsidRPr="0009445C" w:rsidRDefault="00B47442" w:rsidP="0099521D">
            <w:pPr>
              <w:pStyle w:val="BRL-Tabelle"/>
              <w:spacing w:before="60" w:after="40"/>
              <w:jc w:val="center"/>
              <w:rPr>
                <w:sz w:val="16"/>
              </w:rPr>
            </w:pPr>
          </w:p>
        </w:tc>
        <w:tc>
          <w:tcPr>
            <w:tcW w:w="427" w:type="dxa"/>
            <w:vAlign w:val="center"/>
          </w:tcPr>
          <w:p w14:paraId="48724C0A" w14:textId="77777777" w:rsidR="00B47442" w:rsidRPr="0009445C" w:rsidRDefault="00B47442" w:rsidP="0099521D">
            <w:pPr>
              <w:pStyle w:val="BRL-Tabelle"/>
              <w:spacing w:before="60" w:after="40"/>
              <w:jc w:val="center"/>
              <w:rPr>
                <w:sz w:val="16"/>
              </w:rPr>
            </w:pPr>
          </w:p>
        </w:tc>
      </w:tr>
      <w:tr w:rsidR="00B47442" w:rsidRPr="0009445C" w14:paraId="4E10285F" w14:textId="77777777" w:rsidTr="0099521D">
        <w:trPr>
          <w:trHeight w:val="264"/>
        </w:trPr>
        <w:tc>
          <w:tcPr>
            <w:tcW w:w="2355" w:type="dxa"/>
            <w:gridSpan w:val="2"/>
          </w:tcPr>
          <w:p w14:paraId="0A2E0012" w14:textId="77777777" w:rsidR="00B47442" w:rsidRPr="0009445C" w:rsidRDefault="00B47442" w:rsidP="0099521D">
            <w:pPr>
              <w:pStyle w:val="BRL-Tabelle"/>
              <w:spacing w:before="60" w:after="40"/>
            </w:pPr>
            <w:r w:rsidRPr="0009445C">
              <w:t>Change in light emission</w:t>
            </w:r>
          </w:p>
        </w:tc>
        <w:tc>
          <w:tcPr>
            <w:tcW w:w="427" w:type="dxa"/>
            <w:vAlign w:val="center"/>
          </w:tcPr>
          <w:p w14:paraId="21C5627F" w14:textId="77777777" w:rsidR="00B47442" w:rsidRPr="0009445C" w:rsidRDefault="00B47442" w:rsidP="0099521D">
            <w:pPr>
              <w:pStyle w:val="BRL-Tabelle"/>
              <w:spacing w:before="60" w:after="40"/>
              <w:jc w:val="center"/>
              <w:rPr>
                <w:sz w:val="16"/>
              </w:rPr>
            </w:pPr>
          </w:p>
        </w:tc>
        <w:tc>
          <w:tcPr>
            <w:tcW w:w="427" w:type="dxa"/>
            <w:vAlign w:val="center"/>
          </w:tcPr>
          <w:p w14:paraId="2C605F34" w14:textId="77777777" w:rsidR="00B47442" w:rsidRPr="0009445C" w:rsidRDefault="00B47442" w:rsidP="0099521D">
            <w:pPr>
              <w:pStyle w:val="BRL-Tabelle"/>
              <w:spacing w:before="60" w:after="40"/>
              <w:jc w:val="center"/>
              <w:rPr>
                <w:sz w:val="16"/>
              </w:rPr>
            </w:pPr>
          </w:p>
        </w:tc>
        <w:tc>
          <w:tcPr>
            <w:tcW w:w="426" w:type="dxa"/>
            <w:vAlign w:val="center"/>
          </w:tcPr>
          <w:p w14:paraId="08312928" w14:textId="77777777" w:rsidR="00B47442" w:rsidRPr="0009445C" w:rsidRDefault="00B47442" w:rsidP="0099521D">
            <w:pPr>
              <w:pStyle w:val="BRL-Tabelle"/>
              <w:spacing w:before="60" w:after="40"/>
              <w:jc w:val="center"/>
              <w:rPr>
                <w:sz w:val="16"/>
              </w:rPr>
            </w:pPr>
          </w:p>
        </w:tc>
        <w:tc>
          <w:tcPr>
            <w:tcW w:w="427" w:type="dxa"/>
            <w:vAlign w:val="center"/>
          </w:tcPr>
          <w:p w14:paraId="6104A026" w14:textId="77777777" w:rsidR="00B47442" w:rsidRPr="0009445C" w:rsidRDefault="00B47442" w:rsidP="0099521D">
            <w:pPr>
              <w:pStyle w:val="BRL-Tabelle"/>
              <w:spacing w:before="60" w:after="40"/>
              <w:jc w:val="center"/>
              <w:rPr>
                <w:sz w:val="16"/>
              </w:rPr>
            </w:pPr>
          </w:p>
        </w:tc>
        <w:tc>
          <w:tcPr>
            <w:tcW w:w="425" w:type="dxa"/>
            <w:vAlign w:val="center"/>
          </w:tcPr>
          <w:p w14:paraId="0980A9A0" w14:textId="77777777" w:rsidR="00B47442" w:rsidRPr="0009445C" w:rsidRDefault="00B47442" w:rsidP="0099521D">
            <w:pPr>
              <w:pStyle w:val="BRL-Tabelle"/>
              <w:spacing w:before="60" w:after="40"/>
              <w:jc w:val="center"/>
              <w:rPr>
                <w:sz w:val="16"/>
              </w:rPr>
            </w:pPr>
          </w:p>
        </w:tc>
        <w:tc>
          <w:tcPr>
            <w:tcW w:w="426" w:type="dxa"/>
            <w:vAlign w:val="center"/>
          </w:tcPr>
          <w:p w14:paraId="27F80E1B" w14:textId="77777777" w:rsidR="00B47442" w:rsidRPr="0009445C" w:rsidRDefault="00B47442" w:rsidP="0099521D">
            <w:pPr>
              <w:pStyle w:val="BRL-Tabelle"/>
              <w:spacing w:before="60" w:after="40"/>
              <w:jc w:val="center"/>
              <w:rPr>
                <w:sz w:val="16"/>
              </w:rPr>
            </w:pPr>
          </w:p>
        </w:tc>
        <w:tc>
          <w:tcPr>
            <w:tcW w:w="428" w:type="dxa"/>
            <w:vAlign w:val="center"/>
          </w:tcPr>
          <w:p w14:paraId="7241F760" w14:textId="77777777" w:rsidR="00B47442" w:rsidRPr="0009445C" w:rsidRDefault="00B47442" w:rsidP="0099521D">
            <w:pPr>
              <w:pStyle w:val="BRL-Tabelle"/>
              <w:spacing w:before="60" w:after="40"/>
              <w:jc w:val="center"/>
              <w:rPr>
                <w:sz w:val="16"/>
              </w:rPr>
            </w:pPr>
          </w:p>
        </w:tc>
        <w:tc>
          <w:tcPr>
            <w:tcW w:w="427" w:type="dxa"/>
            <w:vAlign w:val="center"/>
          </w:tcPr>
          <w:p w14:paraId="67BC0859" w14:textId="77777777" w:rsidR="00B47442" w:rsidRPr="0009445C" w:rsidRDefault="00B47442" w:rsidP="0099521D">
            <w:pPr>
              <w:pStyle w:val="BRL-Tabelle"/>
              <w:spacing w:before="60" w:after="40"/>
              <w:jc w:val="center"/>
              <w:rPr>
                <w:sz w:val="16"/>
              </w:rPr>
            </w:pPr>
          </w:p>
        </w:tc>
        <w:tc>
          <w:tcPr>
            <w:tcW w:w="426" w:type="dxa"/>
            <w:vAlign w:val="center"/>
          </w:tcPr>
          <w:p w14:paraId="33991C85" w14:textId="77777777" w:rsidR="00B47442" w:rsidRPr="0009445C" w:rsidRDefault="00B47442" w:rsidP="0099521D">
            <w:pPr>
              <w:pStyle w:val="BRL-Tabelle"/>
              <w:spacing w:before="60" w:after="40"/>
              <w:jc w:val="center"/>
              <w:rPr>
                <w:sz w:val="16"/>
              </w:rPr>
            </w:pPr>
          </w:p>
        </w:tc>
        <w:tc>
          <w:tcPr>
            <w:tcW w:w="426" w:type="dxa"/>
            <w:vAlign w:val="center"/>
          </w:tcPr>
          <w:p w14:paraId="13E7DA29" w14:textId="77777777" w:rsidR="00B47442" w:rsidRPr="0009445C" w:rsidRDefault="00B47442" w:rsidP="0099521D">
            <w:pPr>
              <w:pStyle w:val="BRL-Tabelle"/>
              <w:spacing w:before="60" w:after="40"/>
              <w:jc w:val="center"/>
              <w:rPr>
                <w:sz w:val="16"/>
              </w:rPr>
            </w:pPr>
          </w:p>
        </w:tc>
        <w:tc>
          <w:tcPr>
            <w:tcW w:w="426" w:type="dxa"/>
            <w:vAlign w:val="center"/>
          </w:tcPr>
          <w:p w14:paraId="40A90114" w14:textId="77777777" w:rsidR="00B47442" w:rsidRPr="0009445C" w:rsidRDefault="00B47442" w:rsidP="0099521D">
            <w:pPr>
              <w:pStyle w:val="BRL-Tabelle"/>
              <w:spacing w:before="60" w:after="40"/>
              <w:jc w:val="center"/>
              <w:rPr>
                <w:sz w:val="16"/>
              </w:rPr>
            </w:pPr>
          </w:p>
        </w:tc>
        <w:tc>
          <w:tcPr>
            <w:tcW w:w="433" w:type="dxa"/>
            <w:vAlign w:val="center"/>
          </w:tcPr>
          <w:p w14:paraId="2E9B4039" w14:textId="77777777" w:rsidR="00B47442" w:rsidRPr="0009445C" w:rsidRDefault="00B47442" w:rsidP="0099521D">
            <w:pPr>
              <w:pStyle w:val="BRL-Tabelle"/>
              <w:spacing w:before="60" w:after="40"/>
              <w:jc w:val="center"/>
              <w:rPr>
                <w:sz w:val="16"/>
              </w:rPr>
            </w:pPr>
          </w:p>
        </w:tc>
        <w:tc>
          <w:tcPr>
            <w:tcW w:w="426" w:type="dxa"/>
          </w:tcPr>
          <w:p w14:paraId="14FB8A06" w14:textId="77777777" w:rsidR="00B47442" w:rsidRPr="0009445C" w:rsidRDefault="00B47442" w:rsidP="0099521D">
            <w:pPr>
              <w:pStyle w:val="BRL-Tabelle"/>
              <w:spacing w:before="60" w:after="40"/>
              <w:jc w:val="center"/>
              <w:rPr>
                <w:sz w:val="16"/>
              </w:rPr>
            </w:pPr>
          </w:p>
        </w:tc>
        <w:tc>
          <w:tcPr>
            <w:tcW w:w="427" w:type="dxa"/>
            <w:vAlign w:val="center"/>
          </w:tcPr>
          <w:p w14:paraId="10EACE5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AF9AD81" w14:textId="77777777" w:rsidR="00B47442" w:rsidRPr="0009445C" w:rsidRDefault="00B47442" w:rsidP="0099521D">
            <w:pPr>
              <w:pStyle w:val="BRL-Tabelle"/>
              <w:spacing w:before="60" w:after="40"/>
              <w:jc w:val="center"/>
              <w:rPr>
                <w:sz w:val="16"/>
              </w:rPr>
            </w:pPr>
          </w:p>
        </w:tc>
        <w:tc>
          <w:tcPr>
            <w:tcW w:w="427" w:type="dxa"/>
            <w:vAlign w:val="center"/>
          </w:tcPr>
          <w:p w14:paraId="7781EA8D" w14:textId="77777777" w:rsidR="00B47442" w:rsidRPr="0009445C" w:rsidRDefault="00B47442" w:rsidP="0099521D">
            <w:pPr>
              <w:pStyle w:val="BRL-Tabelle"/>
              <w:spacing w:before="60" w:after="40"/>
              <w:jc w:val="center"/>
              <w:rPr>
                <w:sz w:val="16"/>
              </w:rPr>
            </w:pPr>
          </w:p>
        </w:tc>
      </w:tr>
      <w:tr w:rsidR="00B47442" w:rsidRPr="0009445C" w14:paraId="6C40AF63" w14:textId="77777777" w:rsidTr="0099521D">
        <w:trPr>
          <w:trHeight w:val="264"/>
        </w:trPr>
        <w:tc>
          <w:tcPr>
            <w:tcW w:w="2355" w:type="dxa"/>
            <w:gridSpan w:val="2"/>
          </w:tcPr>
          <w:p w14:paraId="5CE995CF" w14:textId="77777777" w:rsidR="00B47442" w:rsidRPr="0009445C" w:rsidRDefault="00B47442" w:rsidP="0099521D">
            <w:pPr>
              <w:pStyle w:val="BRL-Tabelle"/>
              <w:spacing w:before="60" w:after="40"/>
            </w:pPr>
            <w:r w:rsidRPr="0009445C">
              <w:t>Smallest &amp; largest effective light intensity</w:t>
            </w:r>
          </w:p>
        </w:tc>
        <w:tc>
          <w:tcPr>
            <w:tcW w:w="427" w:type="dxa"/>
            <w:vAlign w:val="center"/>
          </w:tcPr>
          <w:p w14:paraId="0825031D" w14:textId="77777777" w:rsidR="00B47442" w:rsidRPr="0009445C" w:rsidRDefault="00B47442" w:rsidP="0099521D">
            <w:pPr>
              <w:pStyle w:val="BRL-Tabelle"/>
              <w:spacing w:before="60" w:after="40"/>
              <w:jc w:val="center"/>
              <w:rPr>
                <w:sz w:val="16"/>
              </w:rPr>
            </w:pPr>
          </w:p>
        </w:tc>
        <w:tc>
          <w:tcPr>
            <w:tcW w:w="427" w:type="dxa"/>
            <w:vAlign w:val="center"/>
          </w:tcPr>
          <w:p w14:paraId="0EF52C01" w14:textId="77777777" w:rsidR="00B47442" w:rsidRPr="0009445C" w:rsidRDefault="00B47442" w:rsidP="0099521D">
            <w:pPr>
              <w:pStyle w:val="BRL-Tabelle"/>
              <w:spacing w:before="60" w:after="40"/>
              <w:jc w:val="center"/>
              <w:rPr>
                <w:sz w:val="16"/>
              </w:rPr>
            </w:pPr>
          </w:p>
        </w:tc>
        <w:tc>
          <w:tcPr>
            <w:tcW w:w="426" w:type="dxa"/>
            <w:vAlign w:val="center"/>
          </w:tcPr>
          <w:p w14:paraId="6EA5EC3D" w14:textId="77777777" w:rsidR="00B47442" w:rsidRPr="0009445C" w:rsidRDefault="00B47442" w:rsidP="0099521D">
            <w:pPr>
              <w:pStyle w:val="BRL-Tabelle"/>
              <w:spacing w:before="60" w:after="40"/>
              <w:jc w:val="center"/>
              <w:rPr>
                <w:sz w:val="16"/>
              </w:rPr>
            </w:pPr>
          </w:p>
        </w:tc>
        <w:tc>
          <w:tcPr>
            <w:tcW w:w="427" w:type="dxa"/>
            <w:vAlign w:val="center"/>
          </w:tcPr>
          <w:p w14:paraId="6E64E41B" w14:textId="77777777" w:rsidR="00B47442" w:rsidRPr="0009445C" w:rsidRDefault="00B47442" w:rsidP="0099521D">
            <w:pPr>
              <w:pStyle w:val="BRL-Tabelle"/>
              <w:spacing w:before="60" w:after="40"/>
              <w:jc w:val="center"/>
              <w:rPr>
                <w:sz w:val="16"/>
              </w:rPr>
            </w:pPr>
          </w:p>
        </w:tc>
        <w:tc>
          <w:tcPr>
            <w:tcW w:w="425" w:type="dxa"/>
            <w:vAlign w:val="center"/>
          </w:tcPr>
          <w:p w14:paraId="2F8FDB11" w14:textId="77777777" w:rsidR="00B47442" w:rsidRPr="0009445C" w:rsidRDefault="00B47442" w:rsidP="0099521D">
            <w:pPr>
              <w:pStyle w:val="BRL-Tabelle"/>
              <w:spacing w:before="60" w:after="40"/>
              <w:jc w:val="center"/>
              <w:rPr>
                <w:sz w:val="16"/>
              </w:rPr>
            </w:pPr>
          </w:p>
        </w:tc>
        <w:tc>
          <w:tcPr>
            <w:tcW w:w="426" w:type="dxa"/>
            <w:vAlign w:val="center"/>
          </w:tcPr>
          <w:p w14:paraId="3CD3ED5F" w14:textId="77777777" w:rsidR="00B47442" w:rsidRPr="0009445C" w:rsidRDefault="00B47442" w:rsidP="0099521D">
            <w:pPr>
              <w:pStyle w:val="BRL-Tabelle"/>
              <w:spacing w:before="60" w:after="40"/>
              <w:jc w:val="center"/>
              <w:rPr>
                <w:sz w:val="16"/>
              </w:rPr>
            </w:pPr>
          </w:p>
        </w:tc>
        <w:tc>
          <w:tcPr>
            <w:tcW w:w="428" w:type="dxa"/>
            <w:vAlign w:val="center"/>
          </w:tcPr>
          <w:p w14:paraId="29463951" w14:textId="77777777" w:rsidR="00B47442" w:rsidRPr="0009445C" w:rsidRDefault="00B47442" w:rsidP="0099521D">
            <w:pPr>
              <w:pStyle w:val="BRL-Tabelle"/>
              <w:spacing w:before="60" w:after="40"/>
              <w:jc w:val="center"/>
              <w:rPr>
                <w:sz w:val="16"/>
              </w:rPr>
            </w:pPr>
          </w:p>
        </w:tc>
        <w:tc>
          <w:tcPr>
            <w:tcW w:w="427" w:type="dxa"/>
            <w:vAlign w:val="center"/>
          </w:tcPr>
          <w:p w14:paraId="0611B02C" w14:textId="77777777" w:rsidR="00B47442" w:rsidRPr="0009445C" w:rsidRDefault="00B47442" w:rsidP="0099521D">
            <w:pPr>
              <w:pStyle w:val="BRL-Tabelle"/>
              <w:spacing w:before="60" w:after="40"/>
              <w:jc w:val="center"/>
              <w:rPr>
                <w:sz w:val="16"/>
              </w:rPr>
            </w:pPr>
          </w:p>
        </w:tc>
        <w:tc>
          <w:tcPr>
            <w:tcW w:w="426" w:type="dxa"/>
            <w:vAlign w:val="center"/>
          </w:tcPr>
          <w:p w14:paraId="6FA02FFE" w14:textId="77777777" w:rsidR="00B47442" w:rsidRPr="0009445C" w:rsidRDefault="00B47442" w:rsidP="0099521D">
            <w:pPr>
              <w:pStyle w:val="BRL-Tabelle"/>
              <w:spacing w:before="60" w:after="40"/>
              <w:jc w:val="center"/>
              <w:rPr>
                <w:sz w:val="16"/>
              </w:rPr>
            </w:pPr>
          </w:p>
        </w:tc>
        <w:tc>
          <w:tcPr>
            <w:tcW w:w="426" w:type="dxa"/>
            <w:vAlign w:val="center"/>
          </w:tcPr>
          <w:p w14:paraId="6F5E2353" w14:textId="77777777" w:rsidR="00B47442" w:rsidRPr="0009445C" w:rsidRDefault="00B47442" w:rsidP="0099521D">
            <w:pPr>
              <w:pStyle w:val="BRL-Tabelle"/>
              <w:spacing w:before="60" w:after="40"/>
              <w:jc w:val="center"/>
              <w:rPr>
                <w:sz w:val="16"/>
              </w:rPr>
            </w:pPr>
          </w:p>
        </w:tc>
        <w:tc>
          <w:tcPr>
            <w:tcW w:w="426" w:type="dxa"/>
            <w:vAlign w:val="center"/>
          </w:tcPr>
          <w:p w14:paraId="097E1154" w14:textId="77777777" w:rsidR="00B47442" w:rsidRPr="0009445C" w:rsidRDefault="00B47442" w:rsidP="0099521D">
            <w:pPr>
              <w:pStyle w:val="BRL-Tabelle"/>
              <w:spacing w:before="60" w:after="40"/>
              <w:jc w:val="center"/>
              <w:rPr>
                <w:sz w:val="16"/>
              </w:rPr>
            </w:pPr>
          </w:p>
        </w:tc>
        <w:tc>
          <w:tcPr>
            <w:tcW w:w="433" w:type="dxa"/>
            <w:vAlign w:val="center"/>
          </w:tcPr>
          <w:p w14:paraId="446B85D4" w14:textId="77777777" w:rsidR="00B47442" w:rsidRPr="0009445C" w:rsidRDefault="00B47442" w:rsidP="0099521D">
            <w:pPr>
              <w:pStyle w:val="BRL-Tabelle"/>
              <w:spacing w:before="60" w:after="40"/>
              <w:jc w:val="center"/>
              <w:rPr>
                <w:sz w:val="16"/>
              </w:rPr>
            </w:pPr>
          </w:p>
        </w:tc>
        <w:tc>
          <w:tcPr>
            <w:tcW w:w="426" w:type="dxa"/>
          </w:tcPr>
          <w:p w14:paraId="6BF9E656" w14:textId="77777777" w:rsidR="00B47442" w:rsidRPr="0009445C" w:rsidRDefault="00B47442" w:rsidP="0099521D">
            <w:pPr>
              <w:pStyle w:val="BRL-Tabelle"/>
              <w:spacing w:before="60" w:after="40"/>
              <w:jc w:val="center"/>
              <w:rPr>
                <w:sz w:val="16"/>
              </w:rPr>
            </w:pPr>
          </w:p>
        </w:tc>
        <w:tc>
          <w:tcPr>
            <w:tcW w:w="427" w:type="dxa"/>
            <w:vAlign w:val="center"/>
          </w:tcPr>
          <w:p w14:paraId="6D0666A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99D06C9" w14:textId="77777777" w:rsidR="00B47442" w:rsidRPr="0009445C" w:rsidRDefault="00B47442" w:rsidP="0099521D">
            <w:pPr>
              <w:pStyle w:val="BRL-Tabelle"/>
              <w:spacing w:before="60" w:after="40"/>
              <w:jc w:val="center"/>
              <w:rPr>
                <w:sz w:val="16"/>
              </w:rPr>
            </w:pPr>
          </w:p>
        </w:tc>
        <w:tc>
          <w:tcPr>
            <w:tcW w:w="427" w:type="dxa"/>
            <w:vAlign w:val="center"/>
          </w:tcPr>
          <w:p w14:paraId="081A1913" w14:textId="77777777" w:rsidR="00B47442" w:rsidRPr="0009445C" w:rsidRDefault="00B47442" w:rsidP="0099521D">
            <w:pPr>
              <w:pStyle w:val="BRL-Tabelle"/>
              <w:spacing w:before="60" w:after="40"/>
              <w:jc w:val="center"/>
              <w:rPr>
                <w:sz w:val="16"/>
              </w:rPr>
            </w:pPr>
          </w:p>
        </w:tc>
      </w:tr>
      <w:tr w:rsidR="00B47442" w:rsidRPr="0009445C" w14:paraId="77C22A3D" w14:textId="77777777" w:rsidTr="0099521D">
        <w:trPr>
          <w:trHeight w:val="264"/>
        </w:trPr>
        <w:tc>
          <w:tcPr>
            <w:tcW w:w="2355" w:type="dxa"/>
            <w:gridSpan w:val="2"/>
          </w:tcPr>
          <w:p w14:paraId="08955FBB" w14:textId="77777777" w:rsidR="00B47442" w:rsidRPr="0009445C" w:rsidRDefault="00B47442" w:rsidP="0099521D">
            <w:pPr>
              <w:pStyle w:val="BRL-Tabelle"/>
              <w:spacing w:before="60" w:after="40"/>
            </w:pPr>
            <w:r w:rsidRPr="0009445C">
              <w:t>Light colour</w:t>
            </w:r>
          </w:p>
        </w:tc>
        <w:tc>
          <w:tcPr>
            <w:tcW w:w="427" w:type="dxa"/>
            <w:vAlign w:val="center"/>
          </w:tcPr>
          <w:p w14:paraId="658638A9" w14:textId="77777777" w:rsidR="00B47442" w:rsidRPr="0009445C" w:rsidRDefault="00B47442" w:rsidP="0099521D">
            <w:pPr>
              <w:pStyle w:val="BRL-Tabelle"/>
              <w:spacing w:before="60" w:after="40"/>
              <w:jc w:val="center"/>
              <w:rPr>
                <w:sz w:val="16"/>
              </w:rPr>
            </w:pPr>
          </w:p>
        </w:tc>
        <w:tc>
          <w:tcPr>
            <w:tcW w:w="427" w:type="dxa"/>
            <w:vAlign w:val="center"/>
          </w:tcPr>
          <w:p w14:paraId="6938A048" w14:textId="77777777" w:rsidR="00B47442" w:rsidRPr="0009445C" w:rsidRDefault="00B47442" w:rsidP="0099521D">
            <w:pPr>
              <w:pStyle w:val="BRL-Tabelle"/>
              <w:spacing w:before="60" w:after="40"/>
              <w:jc w:val="center"/>
              <w:rPr>
                <w:sz w:val="16"/>
              </w:rPr>
            </w:pPr>
          </w:p>
        </w:tc>
        <w:tc>
          <w:tcPr>
            <w:tcW w:w="426" w:type="dxa"/>
            <w:vAlign w:val="center"/>
          </w:tcPr>
          <w:p w14:paraId="3C69D1C8" w14:textId="77777777" w:rsidR="00B47442" w:rsidRPr="0009445C" w:rsidRDefault="00B47442" w:rsidP="0099521D">
            <w:pPr>
              <w:pStyle w:val="BRL-Tabelle"/>
              <w:spacing w:before="60" w:after="40"/>
              <w:jc w:val="center"/>
              <w:rPr>
                <w:sz w:val="16"/>
              </w:rPr>
            </w:pPr>
          </w:p>
        </w:tc>
        <w:tc>
          <w:tcPr>
            <w:tcW w:w="427" w:type="dxa"/>
            <w:vAlign w:val="center"/>
          </w:tcPr>
          <w:p w14:paraId="42A1C783" w14:textId="77777777" w:rsidR="00B47442" w:rsidRPr="0009445C" w:rsidRDefault="00B47442" w:rsidP="0099521D">
            <w:pPr>
              <w:pStyle w:val="BRL-Tabelle"/>
              <w:spacing w:before="60" w:after="40"/>
              <w:jc w:val="center"/>
              <w:rPr>
                <w:sz w:val="16"/>
              </w:rPr>
            </w:pPr>
          </w:p>
        </w:tc>
        <w:tc>
          <w:tcPr>
            <w:tcW w:w="425" w:type="dxa"/>
            <w:vAlign w:val="center"/>
          </w:tcPr>
          <w:p w14:paraId="536FCEF8" w14:textId="77777777" w:rsidR="00B47442" w:rsidRPr="0009445C" w:rsidRDefault="00B47442" w:rsidP="0099521D">
            <w:pPr>
              <w:pStyle w:val="BRL-Tabelle"/>
              <w:spacing w:before="60" w:after="40"/>
              <w:jc w:val="center"/>
              <w:rPr>
                <w:sz w:val="16"/>
              </w:rPr>
            </w:pPr>
          </w:p>
        </w:tc>
        <w:tc>
          <w:tcPr>
            <w:tcW w:w="426" w:type="dxa"/>
            <w:vAlign w:val="center"/>
          </w:tcPr>
          <w:p w14:paraId="0363ECE5" w14:textId="77777777" w:rsidR="00B47442" w:rsidRPr="0009445C" w:rsidRDefault="00B47442" w:rsidP="0099521D">
            <w:pPr>
              <w:pStyle w:val="BRL-Tabelle"/>
              <w:spacing w:before="60" w:after="40"/>
              <w:jc w:val="center"/>
              <w:rPr>
                <w:sz w:val="16"/>
              </w:rPr>
            </w:pPr>
          </w:p>
        </w:tc>
        <w:tc>
          <w:tcPr>
            <w:tcW w:w="428" w:type="dxa"/>
            <w:vAlign w:val="center"/>
          </w:tcPr>
          <w:p w14:paraId="2B83B6C7" w14:textId="77777777" w:rsidR="00B47442" w:rsidRPr="0009445C" w:rsidRDefault="00B47442" w:rsidP="0099521D">
            <w:pPr>
              <w:pStyle w:val="BRL-Tabelle"/>
              <w:spacing w:before="60" w:after="40"/>
              <w:jc w:val="center"/>
              <w:rPr>
                <w:sz w:val="16"/>
              </w:rPr>
            </w:pPr>
          </w:p>
        </w:tc>
        <w:tc>
          <w:tcPr>
            <w:tcW w:w="427" w:type="dxa"/>
            <w:vAlign w:val="center"/>
          </w:tcPr>
          <w:p w14:paraId="7707C2DC" w14:textId="77777777" w:rsidR="00B47442" w:rsidRPr="0009445C" w:rsidRDefault="00B47442" w:rsidP="0099521D">
            <w:pPr>
              <w:pStyle w:val="BRL-Tabelle"/>
              <w:spacing w:before="60" w:after="40"/>
              <w:jc w:val="center"/>
              <w:rPr>
                <w:sz w:val="16"/>
              </w:rPr>
            </w:pPr>
          </w:p>
        </w:tc>
        <w:tc>
          <w:tcPr>
            <w:tcW w:w="426" w:type="dxa"/>
            <w:vAlign w:val="center"/>
          </w:tcPr>
          <w:p w14:paraId="7FCB7890" w14:textId="77777777" w:rsidR="00B47442" w:rsidRPr="0009445C" w:rsidRDefault="00B47442" w:rsidP="0099521D">
            <w:pPr>
              <w:pStyle w:val="BRL-Tabelle"/>
              <w:spacing w:before="60" w:after="40"/>
              <w:jc w:val="center"/>
              <w:rPr>
                <w:sz w:val="16"/>
              </w:rPr>
            </w:pPr>
          </w:p>
        </w:tc>
        <w:tc>
          <w:tcPr>
            <w:tcW w:w="426" w:type="dxa"/>
            <w:vAlign w:val="center"/>
          </w:tcPr>
          <w:p w14:paraId="3BDD3C40" w14:textId="77777777" w:rsidR="00B47442" w:rsidRPr="0009445C" w:rsidRDefault="00B47442" w:rsidP="0099521D">
            <w:pPr>
              <w:pStyle w:val="BRL-Tabelle"/>
              <w:spacing w:before="60" w:after="40"/>
              <w:jc w:val="center"/>
              <w:rPr>
                <w:sz w:val="16"/>
              </w:rPr>
            </w:pPr>
          </w:p>
        </w:tc>
        <w:tc>
          <w:tcPr>
            <w:tcW w:w="426" w:type="dxa"/>
            <w:vAlign w:val="center"/>
          </w:tcPr>
          <w:p w14:paraId="315D3A8B" w14:textId="77777777" w:rsidR="00B47442" w:rsidRPr="0009445C" w:rsidRDefault="00B47442" w:rsidP="0099521D">
            <w:pPr>
              <w:pStyle w:val="BRL-Tabelle"/>
              <w:spacing w:before="60" w:after="40"/>
              <w:jc w:val="center"/>
              <w:rPr>
                <w:sz w:val="16"/>
              </w:rPr>
            </w:pPr>
          </w:p>
        </w:tc>
        <w:tc>
          <w:tcPr>
            <w:tcW w:w="433" w:type="dxa"/>
            <w:vAlign w:val="center"/>
          </w:tcPr>
          <w:p w14:paraId="609BB16C" w14:textId="77777777" w:rsidR="00B47442" w:rsidRPr="0009445C" w:rsidRDefault="00B47442" w:rsidP="0099521D">
            <w:pPr>
              <w:pStyle w:val="BRL-Tabelle"/>
              <w:spacing w:before="60" w:after="40"/>
              <w:jc w:val="center"/>
              <w:rPr>
                <w:sz w:val="16"/>
              </w:rPr>
            </w:pPr>
          </w:p>
        </w:tc>
        <w:tc>
          <w:tcPr>
            <w:tcW w:w="426" w:type="dxa"/>
          </w:tcPr>
          <w:p w14:paraId="4FF26EA6" w14:textId="77777777" w:rsidR="00B47442" w:rsidRPr="0009445C" w:rsidRDefault="00B47442" w:rsidP="0099521D">
            <w:pPr>
              <w:pStyle w:val="BRL-Tabelle"/>
              <w:spacing w:before="60" w:after="40"/>
              <w:jc w:val="center"/>
              <w:rPr>
                <w:sz w:val="16"/>
              </w:rPr>
            </w:pPr>
          </w:p>
        </w:tc>
        <w:tc>
          <w:tcPr>
            <w:tcW w:w="427" w:type="dxa"/>
            <w:vAlign w:val="center"/>
          </w:tcPr>
          <w:p w14:paraId="228BBE2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60AD4ED" w14:textId="77777777" w:rsidR="00B47442" w:rsidRPr="0009445C" w:rsidRDefault="00B47442" w:rsidP="0099521D">
            <w:pPr>
              <w:pStyle w:val="BRL-Tabelle"/>
              <w:spacing w:before="60" w:after="40"/>
              <w:jc w:val="center"/>
              <w:rPr>
                <w:sz w:val="16"/>
              </w:rPr>
            </w:pPr>
          </w:p>
        </w:tc>
        <w:tc>
          <w:tcPr>
            <w:tcW w:w="427" w:type="dxa"/>
            <w:vAlign w:val="center"/>
          </w:tcPr>
          <w:p w14:paraId="4897847A" w14:textId="77777777" w:rsidR="00B47442" w:rsidRPr="0009445C" w:rsidRDefault="00B47442" w:rsidP="0099521D">
            <w:pPr>
              <w:pStyle w:val="BRL-Tabelle"/>
              <w:spacing w:before="60" w:after="40"/>
              <w:jc w:val="center"/>
              <w:rPr>
                <w:sz w:val="16"/>
              </w:rPr>
            </w:pPr>
          </w:p>
        </w:tc>
      </w:tr>
      <w:tr w:rsidR="00B47442" w:rsidRPr="0009445C" w14:paraId="65007AD5" w14:textId="77777777" w:rsidTr="0099521D">
        <w:trPr>
          <w:trHeight w:val="264"/>
        </w:trPr>
        <w:tc>
          <w:tcPr>
            <w:tcW w:w="2355" w:type="dxa"/>
            <w:gridSpan w:val="2"/>
          </w:tcPr>
          <w:p w14:paraId="6EDB51E8" w14:textId="77777777" w:rsidR="00B47442" w:rsidRPr="0009445C" w:rsidRDefault="00B47442" w:rsidP="0099521D">
            <w:pPr>
              <w:pStyle w:val="BRL-Tabelle"/>
              <w:spacing w:before="60" w:after="40"/>
            </w:pPr>
            <w:r w:rsidRPr="0009445C">
              <w:t>Light pattern over time and flash frequency</w:t>
            </w:r>
          </w:p>
        </w:tc>
        <w:tc>
          <w:tcPr>
            <w:tcW w:w="427" w:type="dxa"/>
            <w:vAlign w:val="center"/>
          </w:tcPr>
          <w:p w14:paraId="6EE212E9" w14:textId="77777777" w:rsidR="00B47442" w:rsidRPr="0009445C" w:rsidRDefault="00B47442" w:rsidP="0099521D">
            <w:pPr>
              <w:pStyle w:val="BRL-Tabelle"/>
              <w:spacing w:before="60" w:after="40"/>
              <w:jc w:val="center"/>
              <w:rPr>
                <w:sz w:val="16"/>
              </w:rPr>
            </w:pPr>
          </w:p>
        </w:tc>
        <w:tc>
          <w:tcPr>
            <w:tcW w:w="427" w:type="dxa"/>
            <w:vAlign w:val="center"/>
          </w:tcPr>
          <w:p w14:paraId="71FC688E" w14:textId="77777777" w:rsidR="00B47442" w:rsidRPr="0009445C" w:rsidRDefault="00B47442" w:rsidP="0099521D">
            <w:pPr>
              <w:pStyle w:val="BRL-Tabelle"/>
              <w:spacing w:before="60" w:after="40"/>
              <w:jc w:val="center"/>
              <w:rPr>
                <w:sz w:val="16"/>
              </w:rPr>
            </w:pPr>
          </w:p>
        </w:tc>
        <w:tc>
          <w:tcPr>
            <w:tcW w:w="426" w:type="dxa"/>
            <w:vAlign w:val="center"/>
          </w:tcPr>
          <w:p w14:paraId="7B440FC9" w14:textId="77777777" w:rsidR="00B47442" w:rsidRPr="0009445C" w:rsidRDefault="00B47442" w:rsidP="0099521D">
            <w:pPr>
              <w:pStyle w:val="BRL-Tabelle"/>
              <w:spacing w:before="60" w:after="40"/>
              <w:jc w:val="center"/>
              <w:rPr>
                <w:sz w:val="16"/>
              </w:rPr>
            </w:pPr>
          </w:p>
        </w:tc>
        <w:tc>
          <w:tcPr>
            <w:tcW w:w="427" w:type="dxa"/>
            <w:vAlign w:val="center"/>
          </w:tcPr>
          <w:p w14:paraId="7D1E8A20" w14:textId="77777777" w:rsidR="00B47442" w:rsidRPr="0009445C" w:rsidRDefault="00B47442" w:rsidP="0099521D">
            <w:pPr>
              <w:pStyle w:val="BRL-Tabelle"/>
              <w:spacing w:before="60" w:after="40"/>
              <w:jc w:val="center"/>
              <w:rPr>
                <w:sz w:val="16"/>
              </w:rPr>
            </w:pPr>
          </w:p>
        </w:tc>
        <w:tc>
          <w:tcPr>
            <w:tcW w:w="425" w:type="dxa"/>
            <w:vAlign w:val="center"/>
          </w:tcPr>
          <w:p w14:paraId="17A5F46C" w14:textId="77777777" w:rsidR="00B47442" w:rsidRPr="0009445C" w:rsidRDefault="00B47442" w:rsidP="0099521D">
            <w:pPr>
              <w:pStyle w:val="BRL-Tabelle"/>
              <w:spacing w:before="60" w:after="40"/>
              <w:jc w:val="center"/>
              <w:rPr>
                <w:sz w:val="16"/>
              </w:rPr>
            </w:pPr>
          </w:p>
        </w:tc>
        <w:tc>
          <w:tcPr>
            <w:tcW w:w="426" w:type="dxa"/>
            <w:vAlign w:val="center"/>
          </w:tcPr>
          <w:p w14:paraId="549EA461" w14:textId="77777777" w:rsidR="00B47442" w:rsidRPr="0009445C" w:rsidRDefault="00B47442" w:rsidP="0099521D">
            <w:pPr>
              <w:pStyle w:val="BRL-Tabelle"/>
              <w:spacing w:before="60" w:after="40"/>
              <w:jc w:val="center"/>
              <w:rPr>
                <w:sz w:val="16"/>
              </w:rPr>
            </w:pPr>
          </w:p>
        </w:tc>
        <w:tc>
          <w:tcPr>
            <w:tcW w:w="428" w:type="dxa"/>
            <w:vAlign w:val="center"/>
          </w:tcPr>
          <w:p w14:paraId="65151293" w14:textId="77777777" w:rsidR="00B47442" w:rsidRPr="0009445C" w:rsidRDefault="00B47442" w:rsidP="0099521D">
            <w:pPr>
              <w:pStyle w:val="BRL-Tabelle"/>
              <w:spacing w:before="60" w:after="40"/>
              <w:jc w:val="center"/>
              <w:rPr>
                <w:sz w:val="16"/>
              </w:rPr>
            </w:pPr>
          </w:p>
        </w:tc>
        <w:tc>
          <w:tcPr>
            <w:tcW w:w="427" w:type="dxa"/>
            <w:vAlign w:val="center"/>
          </w:tcPr>
          <w:p w14:paraId="74767C79" w14:textId="77777777" w:rsidR="00B47442" w:rsidRPr="0009445C" w:rsidRDefault="00B47442" w:rsidP="0099521D">
            <w:pPr>
              <w:pStyle w:val="BRL-Tabelle"/>
              <w:spacing w:before="60" w:after="40"/>
              <w:jc w:val="center"/>
              <w:rPr>
                <w:sz w:val="16"/>
              </w:rPr>
            </w:pPr>
          </w:p>
        </w:tc>
        <w:tc>
          <w:tcPr>
            <w:tcW w:w="426" w:type="dxa"/>
            <w:vAlign w:val="center"/>
          </w:tcPr>
          <w:p w14:paraId="00921D74" w14:textId="77777777" w:rsidR="00B47442" w:rsidRPr="0009445C" w:rsidRDefault="00B47442" w:rsidP="0099521D">
            <w:pPr>
              <w:pStyle w:val="BRL-Tabelle"/>
              <w:spacing w:before="60" w:after="40"/>
              <w:jc w:val="center"/>
              <w:rPr>
                <w:sz w:val="16"/>
              </w:rPr>
            </w:pPr>
          </w:p>
        </w:tc>
        <w:tc>
          <w:tcPr>
            <w:tcW w:w="426" w:type="dxa"/>
            <w:vAlign w:val="center"/>
          </w:tcPr>
          <w:p w14:paraId="0080A969" w14:textId="77777777" w:rsidR="00B47442" w:rsidRPr="0009445C" w:rsidRDefault="00B47442" w:rsidP="0099521D">
            <w:pPr>
              <w:pStyle w:val="BRL-Tabelle"/>
              <w:spacing w:before="60" w:after="40"/>
              <w:jc w:val="center"/>
              <w:rPr>
                <w:sz w:val="16"/>
              </w:rPr>
            </w:pPr>
          </w:p>
        </w:tc>
        <w:tc>
          <w:tcPr>
            <w:tcW w:w="426" w:type="dxa"/>
            <w:vAlign w:val="center"/>
          </w:tcPr>
          <w:p w14:paraId="62EFD272" w14:textId="77777777" w:rsidR="00B47442" w:rsidRPr="0009445C" w:rsidRDefault="00B47442" w:rsidP="0099521D">
            <w:pPr>
              <w:pStyle w:val="BRL-Tabelle"/>
              <w:spacing w:before="60" w:after="40"/>
              <w:jc w:val="center"/>
              <w:rPr>
                <w:sz w:val="16"/>
              </w:rPr>
            </w:pPr>
          </w:p>
        </w:tc>
        <w:tc>
          <w:tcPr>
            <w:tcW w:w="433" w:type="dxa"/>
            <w:vAlign w:val="center"/>
          </w:tcPr>
          <w:p w14:paraId="256958AF" w14:textId="77777777" w:rsidR="00B47442" w:rsidRPr="0009445C" w:rsidRDefault="00B47442" w:rsidP="0099521D">
            <w:pPr>
              <w:pStyle w:val="BRL-Tabelle"/>
              <w:spacing w:before="60" w:after="40"/>
              <w:jc w:val="center"/>
              <w:rPr>
                <w:sz w:val="16"/>
              </w:rPr>
            </w:pPr>
          </w:p>
        </w:tc>
        <w:tc>
          <w:tcPr>
            <w:tcW w:w="426" w:type="dxa"/>
          </w:tcPr>
          <w:p w14:paraId="557C0711" w14:textId="77777777" w:rsidR="00B47442" w:rsidRPr="0009445C" w:rsidRDefault="00B47442" w:rsidP="0099521D">
            <w:pPr>
              <w:pStyle w:val="BRL-Tabelle"/>
              <w:spacing w:before="60" w:after="40"/>
              <w:jc w:val="center"/>
              <w:rPr>
                <w:sz w:val="16"/>
              </w:rPr>
            </w:pPr>
          </w:p>
        </w:tc>
        <w:tc>
          <w:tcPr>
            <w:tcW w:w="427" w:type="dxa"/>
            <w:vAlign w:val="center"/>
          </w:tcPr>
          <w:p w14:paraId="1227FAA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2C8C772" w14:textId="77777777" w:rsidR="00B47442" w:rsidRPr="0009445C" w:rsidRDefault="00B47442" w:rsidP="0099521D">
            <w:pPr>
              <w:pStyle w:val="BRL-Tabelle"/>
              <w:spacing w:before="60" w:after="40"/>
              <w:jc w:val="center"/>
              <w:rPr>
                <w:sz w:val="16"/>
              </w:rPr>
            </w:pPr>
          </w:p>
        </w:tc>
        <w:tc>
          <w:tcPr>
            <w:tcW w:w="427" w:type="dxa"/>
            <w:vAlign w:val="center"/>
          </w:tcPr>
          <w:p w14:paraId="0B9818EA" w14:textId="77777777" w:rsidR="00B47442" w:rsidRPr="0009445C" w:rsidRDefault="00B47442" w:rsidP="0099521D">
            <w:pPr>
              <w:pStyle w:val="BRL-Tabelle"/>
              <w:spacing w:before="60" w:after="40"/>
              <w:jc w:val="center"/>
              <w:rPr>
                <w:sz w:val="16"/>
              </w:rPr>
            </w:pPr>
          </w:p>
        </w:tc>
      </w:tr>
      <w:tr w:rsidR="007A4BCD" w:rsidRPr="0009445C" w14:paraId="53899789" w14:textId="77777777" w:rsidTr="0099521D">
        <w:trPr>
          <w:trHeight w:val="264"/>
        </w:trPr>
        <w:tc>
          <w:tcPr>
            <w:tcW w:w="2355" w:type="dxa"/>
            <w:gridSpan w:val="2"/>
          </w:tcPr>
          <w:p w14:paraId="5E753590" w14:textId="77777777" w:rsidR="007A4BCD" w:rsidRPr="0009445C" w:rsidRDefault="007A4BCD" w:rsidP="0099521D">
            <w:pPr>
              <w:pStyle w:val="BRL-Tabelle"/>
              <w:spacing w:before="60" w:after="40"/>
            </w:pPr>
            <w:r w:rsidRPr="0009445C">
              <w:t>Tolerance for misalignment of the beam</w:t>
            </w:r>
          </w:p>
        </w:tc>
        <w:tc>
          <w:tcPr>
            <w:tcW w:w="427" w:type="dxa"/>
            <w:vAlign w:val="center"/>
          </w:tcPr>
          <w:p w14:paraId="5194BCA3" w14:textId="77777777" w:rsidR="007A4BCD" w:rsidRPr="0009445C" w:rsidRDefault="007A4BCD" w:rsidP="0099521D">
            <w:pPr>
              <w:pStyle w:val="BRL-Tabelle"/>
              <w:spacing w:before="60" w:after="40"/>
              <w:jc w:val="center"/>
              <w:rPr>
                <w:sz w:val="16"/>
              </w:rPr>
            </w:pPr>
          </w:p>
        </w:tc>
        <w:tc>
          <w:tcPr>
            <w:tcW w:w="427" w:type="dxa"/>
            <w:vAlign w:val="center"/>
          </w:tcPr>
          <w:p w14:paraId="5215A58F" w14:textId="77777777" w:rsidR="007A4BCD" w:rsidRPr="0009445C" w:rsidRDefault="007A4BCD" w:rsidP="0099521D">
            <w:pPr>
              <w:pStyle w:val="BRL-Tabelle"/>
              <w:spacing w:before="60" w:after="40"/>
              <w:jc w:val="center"/>
              <w:rPr>
                <w:sz w:val="16"/>
              </w:rPr>
            </w:pPr>
          </w:p>
        </w:tc>
        <w:tc>
          <w:tcPr>
            <w:tcW w:w="426" w:type="dxa"/>
            <w:vAlign w:val="center"/>
          </w:tcPr>
          <w:p w14:paraId="237D51D1" w14:textId="77777777" w:rsidR="007A4BCD" w:rsidRPr="0009445C" w:rsidRDefault="007A4BCD" w:rsidP="0099521D">
            <w:pPr>
              <w:pStyle w:val="BRL-Tabelle"/>
              <w:spacing w:before="60" w:after="40"/>
              <w:jc w:val="center"/>
              <w:rPr>
                <w:sz w:val="16"/>
              </w:rPr>
            </w:pPr>
          </w:p>
        </w:tc>
        <w:tc>
          <w:tcPr>
            <w:tcW w:w="427" w:type="dxa"/>
            <w:vAlign w:val="center"/>
          </w:tcPr>
          <w:p w14:paraId="19B883DD" w14:textId="77777777" w:rsidR="007A4BCD" w:rsidRPr="0009445C" w:rsidRDefault="007A4BCD" w:rsidP="0099521D">
            <w:pPr>
              <w:pStyle w:val="BRL-Tabelle"/>
              <w:spacing w:before="60" w:after="40"/>
              <w:jc w:val="center"/>
              <w:rPr>
                <w:sz w:val="16"/>
              </w:rPr>
            </w:pPr>
          </w:p>
        </w:tc>
        <w:tc>
          <w:tcPr>
            <w:tcW w:w="425" w:type="dxa"/>
            <w:vAlign w:val="center"/>
          </w:tcPr>
          <w:p w14:paraId="56A76CF5" w14:textId="77777777" w:rsidR="007A4BCD" w:rsidRPr="0009445C" w:rsidRDefault="007A4BCD" w:rsidP="0099521D">
            <w:pPr>
              <w:pStyle w:val="BRL-Tabelle"/>
              <w:spacing w:before="60" w:after="40"/>
              <w:jc w:val="center"/>
              <w:rPr>
                <w:sz w:val="16"/>
              </w:rPr>
            </w:pPr>
          </w:p>
        </w:tc>
        <w:tc>
          <w:tcPr>
            <w:tcW w:w="426" w:type="dxa"/>
            <w:vAlign w:val="center"/>
          </w:tcPr>
          <w:p w14:paraId="700BCB44" w14:textId="77777777" w:rsidR="007A4BCD" w:rsidRPr="0009445C" w:rsidRDefault="007A4BCD" w:rsidP="0099521D">
            <w:pPr>
              <w:pStyle w:val="BRL-Tabelle"/>
              <w:spacing w:before="60" w:after="40"/>
              <w:jc w:val="center"/>
              <w:rPr>
                <w:sz w:val="16"/>
              </w:rPr>
            </w:pPr>
          </w:p>
        </w:tc>
        <w:tc>
          <w:tcPr>
            <w:tcW w:w="428" w:type="dxa"/>
            <w:vAlign w:val="center"/>
          </w:tcPr>
          <w:p w14:paraId="0F81EEDC" w14:textId="77777777" w:rsidR="007A4BCD" w:rsidRPr="0009445C" w:rsidRDefault="007A4BCD" w:rsidP="0099521D">
            <w:pPr>
              <w:pStyle w:val="BRL-Tabelle"/>
              <w:spacing w:before="60" w:after="40"/>
              <w:jc w:val="center"/>
              <w:rPr>
                <w:sz w:val="16"/>
              </w:rPr>
            </w:pPr>
          </w:p>
        </w:tc>
        <w:tc>
          <w:tcPr>
            <w:tcW w:w="427" w:type="dxa"/>
            <w:vAlign w:val="center"/>
          </w:tcPr>
          <w:p w14:paraId="06B52AD8" w14:textId="77777777" w:rsidR="007A4BCD" w:rsidRPr="0009445C" w:rsidRDefault="007A4BCD" w:rsidP="0099521D">
            <w:pPr>
              <w:pStyle w:val="BRL-Tabelle"/>
              <w:spacing w:before="60" w:after="40"/>
              <w:jc w:val="center"/>
              <w:rPr>
                <w:sz w:val="16"/>
              </w:rPr>
            </w:pPr>
            <w:r w:rsidRPr="0009445C">
              <w:rPr>
                <w:sz w:val="16"/>
              </w:rPr>
              <w:t>X</w:t>
            </w:r>
          </w:p>
        </w:tc>
        <w:tc>
          <w:tcPr>
            <w:tcW w:w="426" w:type="dxa"/>
            <w:vAlign w:val="center"/>
          </w:tcPr>
          <w:p w14:paraId="6F39476E" w14:textId="77777777" w:rsidR="007A4BCD" w:rsidRPr="0009445C" w:rsidRDefault="007A4BCD" w:rsidP="0099521D">
            <w:pPr>
              <w:pStyle w:val="BRL-Tabelle"/>
              <w:spacing w:before="60" w:after="40"/>
              <w:jc w:val="center"/>
              <w:rPr>
                <w:sz w:val="16"/>
              </w:rPr>
            </w:pPr>
          </w:p>
        </w:tc>
        <w:tc>
          <w:tcPr>
            <w:tcW w:w="426" w:type="dxa"/>
            <w:vAlign w:val="center"/>
          </w:tcPr>
          <w:p w14:paraId="03763230" w14:textId="77777777" w:rsidR="007A4BCD" w:rsidRPr="0009445C" w:rsidRDefault="007A4BCD" w:rsidP="0099521D">
            <w:pPr>
              <w:pStyle w:val="BRL-Tabelle"/>
              <w:spacing w:before="60" w:after="40"/>
              <w:jc w:val="center"/>
              <w:rPr>
                <w:sz w:val="16"/>
              </w:rPr>
            </w:pPr>
          </w:p>
        </w:tc>
        <w:tc>
          <w:tcPr>
            <w:tcW w:w="426" w:type="dxa"/>
            <w:vAlign w:val="center"/>
          </w:tcPr>
          <w:p w14:paraId="68700C37" w14:textId="77777777" w:rsidR="007A4BCD" w:rsidRPr="0009445C" w:rsidRDefault="007A4BCD" w:rsidP="0099521D">
            <w:pPr>
              <w:pStyle w:val="BRL-Tabelle"/>
              <w:spacing w:before="60" w:after="40"/>
              <w:jc w:val="center"/>
              <w:rPr>
                <w:sz w:val="16"/>
              </w:rPr>
            </w:pPr>
          </w:p>
        </w:tc>
        <w:tc>
          <w:tcPr>
            <w:tcW w:w="433" w:type="dxa"/>
            <w:vAlign w:val="center"/>
          </w:tcPr>
          <w:p w14:paraId="2D917D56" w14:textId="77777777" w:rsidR="007A4BCD" w:rsidRPr="0009445C" w:rsidRDefault="007A4BCD" w:rsidP="0099521D">
            <w:pPr>
              <w:pStyle w:val="BRL-Tabelle"/>
              <w:spacing w:before="60" w:after="40"/>
              <w:jc w:val="center"/>
              <w:rPr>
                <w:sz w:val="16"/>
              </w:rPr>
            </w:pPr>
          </w:p>
        </w:tc>
        <w:tc>
          <w:tcPr>
            <w:tcW w:w="426" w:type="dxa"/>
          </w:tcPr>
          <w:p w14:paraId="41822089" w14:textId="77777777" w:rsidR="007A4BCD" w:rsidRPr="0009445C" w:rsidRDefault="007A4BCD" w:rsidP="0099521D">
            <w:pPr>
              <w:pStyle w:val="BRL-Tabelle"/>
              <w:spacing w:before="60" w:after="40"/>
              <w:jc w:val="center"/>
              <w:rPr>
                <w:sz w:val="16"/>
              </w:rPr>
            </w:pPr>
          </w:p>
        </w:tc>
        <w:tc>
          <w:tcPr>
            <w:tcW w:w="427" w:type="dxa"/>
            <w:vAlign w:val="center"/>
          </w:tcPr>
          <w:p w14:paraId="38270EDF" w14:textId="77777777" w:rsidR="007A4BCD" w:rsidRPr="0009445C" w:rsidRDefault="007A4BCD" w:rsidP="0099521D">
            <w:pPr>
              <w:pStyle w:val="BRL-Tabelle"/>
              <w:spacing w:before="60" w:after="40"/>
              <w:jc w:val="center"/>
              <w:rPr>
                <w:sz w:val="16"/>
              </w:rPr>
            </w:pPr>
          </w:p>
        </w:tc>
        <w:tc>
          <w:tcPr>
            <w:tcW w:w="426" w:type="dxa"/>
            <w:vAlign w:val="center"/>
          </w:tcPr>
          <w:p w14:paraId="4D725874" w14:textId="77777777" w:rsidR="007A4BCD" w:rsidRPr="0009445C" w:rsidRDefault="007A4BCD" w:rsidP="0099521D">
            <w:pPr>
              <w:pStyle w:val="BRL-Tabelle"/>
              <w:spacing w:before="60" w:after="40"/>
              <w:jc w:val="center"/>
              <w:rPr>
                <w:sz w:val="16"/>
              </w:rPr>
            </w:pPr>
          </w:p>
        </w:tc>
        <w:tc>
          <w:tcPr>
            <w:tcW w:w="427" w:type="dxa"/>
            <w:vAlign w:val="center"/>
          </w:tcPr>
          <w:p w14:paraId="36B83302" w14:textId="77777777" w:rsidR="007A4BCD" w:rsidRPr="0009445C" w:rsidRDefault="007A4BCD" w:rsidP="0099521D">
            <w:pPr>
              <w:pStyle w:val="BRL-Tabelle"/>
              <w:spacing w:before="60" w:after="40"/>
              <w:jc w:val="center"/>
              <w:rPr>
                <w:sz w:val="16"/>
              </w:rPr>
            </w:pPr>
          </w:p>
        </w:tc>
      </w:tr>
      <w:tr w:rsidR="00B47442" w:rsidRPr="0009445C" w14:paraId="46B0817C" w14:textId="77777777" w:rsidTr="0099521D">
        <w:trPr>
          <w:trHeight w:val="264"/>
        </w:trPr>
        <w:tc>
          <w:tcPr>
            <w:tcW w:w="2355" w:type="dxa"/>
            <w:gridSpan w:val="2"/>
          </w:tcPr>
          <w:p w14:paraId="60874B5E" w14:textId="77777777" w:rsidR="00B47442" w:rsidRPr="0009445C" w:rsidRDefault="00B47442" w:rsidP="0099521D">
            <w:pPr>
              <w:pStyle w:val="BRL-Tabelle"/>
              <w:spacing w:before="60" w:after="40"/>
            </w:pPr>
            <w:r w:rsidRPr="0009445C">
              <w:t>Synchronisation</w:t>
            </w:r>
          </w:p>
        </w:tc>
        <w:tc>
          <w:tcPr>
            <w:tcW w:w="427" w:type="dxa"/>
            <w:vAlign w:val="center"/>
          </w:tcPr>
          <w:p w14:paraId="416344DE" w14:textId="77777777" w:rsidR="00B47442" w:rsidRPr="0009445C" w:rsidRDefault="00B47442" w:rsidP="0099521D">
            <w:pPr>
              <w:pStyle w:val="BRL-Tabelle"/>
              <w:spacing w:before="60" w:after="40"/>
              <w:jc w:val="center"/>
              <w:rPr>
                <w:sz w:val="16"/>
              </w:rPr>
            </w:pPr>
          </w:p>
        </w:tc>
        <w:tc>
          <w:tcPr>
            <w:tcW w:w="427" w:type="dxa"/>
            <w:vAlign w:val="center"/>
          </w:tcPr>
          <w:p w14:paraId="1855CBD2" w14:textId="77777777" w:rsidR="00B47442" w:rsidRPr="0009445C" w:rsidRDefault="00B47442" w:rsidP="0099521D">
            <w:pPr>
              <w:pStyle w:val="BRL-Tabelle"/>
              <w:spacing w:before="60" w:after="40"/>
              <w:jc w:val="center"/>
              <w:rPr>
                <w:sz w:val="16"/>
              </w:rPr>
            </w:pPr>
          </w:p>
        </w:tc>
        <w:tc>
          <w:tcPr>
            <w:tcW w:w="426" w:type="dxa"/>
            <w:vAlign w:val="center"/>
          </w:tcPr>
          <w:p w14:paraId="2E790298" w14:textId="77777777" w:rsidR="00B47442" w:rsidRPr="0009445C" w:rsidRDefault="00B47442" w:rsidP="0099521D">
            <w:pPr>
              <w:pStyle w:val="BRL-Tabelle"/>
              <w:spacing w:before="60" w:after="40"/>
              <w:jc w:val="center"/>
              <w:rPr>
                <w:sz w:val="16"/>
              </w:rPr>
            </w:pPr>
          </w:p>
        </w:tc>
        <w:tc>
          <w:tcPr>
            <w:tcW w:w="427" w:type="dxa"/>
            <w:vAlign w:val="center"/>
          </w:tcPr>
          <w:p w14:paraId="736549BF" w14:textId="77777777" w:rsidR="00B47442" w:rsidRPr="0009445C" w:rsidRDefault="00B47442" w:rsidP="0099521D">
            <w:pPr>
              <w:pStyle w:val="BRL-Tabelle"/>
              <w:spacing w:before="60" w:after="40"/>
              <w:jc w:val="center"/>
              <w:rPr>
                <w:sz w:val="16"/>
              </w:rPr>
            </w:pPr>
          </w:p>
        </w:tc>
        <w:tc>
          <w:tcPr>
            <w:tcW w:w="425" w:type="dxa"/>
            <w:vAlign w:val="center"/>
          </w:tcPr>
          <w:p w14:paraId="0FCB1E00" w14:textId="77777777" w:rsidR="00B47442" w:rsidRPr="0009445C" w:rsidRDefault="00B47442" w:rsidP="0099521D">
            <w:pPr>
              <w:pStyle w:val="BRL-Tabelle"/>
              <w:spacing w:before="60" w:after="40"/>
              <w:jc w:val="center"/>
              <w:rPr>
                <w:sz w:val="16"/>
              </w:rPr>
            </w:pPr>
          </w:p>
        </w:tc>
        <w:tc>
          <w:tcPr>
            <w:tcW w:w="426" w:type="dxa"/>
            <w:vAlign w:val="center"/>
          </w:tcPr>
          <w:p w14:paraId="7E4A91FB" w14:textId="77777777" w:rsidR="00B47442" w:rsidRPr="0009445C" w:rsidRDefault="00B47442" w:rsidP="0099521D">
            <w:pPr>
              <w:pStyle w:val="BRL-Tabelle"/>
              <w:spacing w:before="60" w:after="40"/>
              <w:jc w:val="center"/>
              <w:rPr>
                <w:sz w:val="16"/>
              </w:rPr>
            </w:pPr>
          </w:p>
        </w:tc>
        <w:tc>
          <w:tcPr>
            <w:tcW w:w="428" w:type="dxa"/>
            <w:vAlign w:val="center"/>
          </w:tcPr>
          <w:p w14:paraId="0DCF3BEE" w14:textId="77777777" w:rsidR="00B47442" w:rsidRPr="0009445C" w:rsidRDefault="00B47442" w:rsidP="0099521D">
            <w:pPr>
              <w:pStyle w:val="BRL-Tabelle"/>
              <w:spacing w:before="60" w:after="40"/>
              <w:jc w:val="center"/>
              <w:rPr>
                <w:sz w:val="16"/>
              </w:rPr>
            </w:pPr>
          </w:p>
        </w:tc>
        <w:tc>
          <w:tcPr>
            <w:tcW w:w="427" w:type="dxa"/>
            <w:vAlign w:val="center"/>
          </w:tcPr>
          <w:p w14:paraId="623AC2BF" w14:textId="77777777" w:rsidR="00B47442" w:rsidRPr="0009445C" w:rsidRDefault="00B47442" w:rsidP="0099521D">
            <w:pPr>
              <w:pStyle w:val="BRL-Tabelle"/>
              <w:spacing w:before="60" w:after="40"/>
              <w:jc w:val="center"/>
              <w:rPr>
                <w:sz w:val="16"/>
              </w:rPr>
            </w:pPr>
          </w:p>
        </w:tc>
        <w:tc>
          <w:tcPr>
            <w:tcW w:w="426" w:type="dxa"/>
            <w:vAlign w:val="center"/>
          </w:tcPr>
          <w:p w14:paraId="034DF674" w14:textId="77777777" w:rsidR="00B47442" w:rsidRPr="0009445C" w:rsidRDefault="00B47442" w:rsidP="0099521D">
            <w:pPr>
              <w:pStyle w:val="BRL-Tabelle"/>
              <w:spacing w:before="60" w:after="40"/>
              <w:jc w:val="center"/>
              <w:rPr>
                <w:sz w:val="16"/>
              </w:rPr>
            </w:pPr>
          </w:p>
        </w:tc>
        <w:tc>
          <w:tcPr>
            <w:tcW w:w="426" w:type="dxa"/>
            <w:vAlign w:val="center"/>
          </w:tcPr>
          <w:p w14:paraId="60F4642E" w14:textId="77777777" w:rsidR="00B47442" w:rsidRPr="0009445C" w:rsidRDefault="00B47442" w:rsidP="0099521D">
            <w:pPr>
              <w:pStyle w:val="BRL-Tabelle"/>
              <w:spacing w:before="60" w:after="40"/>
              <w:jc w:val="center"/>
              <w:rPr>
                <w:sz w:val="16"/>
              </w:rPr>
            </w:pPr>
          </w:p>
        </w:tc>
        <w:tc>
          <w:tcPr>
            <w:tcW w:w="426" w:type="dxa"/>
            <w:vAlign w:val="center"/>
          </w:tcPr>
          <w:p w14:paraId="1AB420B7" w14:textId="77777777" w:rsidR="00B47442" w:rsidRPr="0009445C" w:rsidRDefault="00B47442" w:rsidP="0099521D">
            <w:pPr>
              <w:pStyle w:val="BRL-Tabelle"/>
              <w:spacing w:before="60" w:after="40"/>
              <w:jc w:val="center"/>
              <w:rPr>
                <w:sz w:val="16"/>
              </w:rPr>
            </w:pPr>
          </w:p>
        </w:tc>
        <w:tc>
          <w:tcPr>
            <w:tcW w:w="433" w:type="dxa"/>
            <w:vAlign w:val="center"/>
          </w:tcPr>
          <w:p w14:paraId="0B57DB75" w14:textId="77777777" w:rsidR="00B47442" w:rsidRPr="0009445C" w:rsidRDefault="00B47442" w:rsidP="0099521D">
            <w:pPr>
              <w:pStyle w:val="BRL-Tabelle"/>
              <w:spacing w:before="60" w:after="40"/>
              <w:jc w:val="center"/>
              <w:rPr>
                <w:sz w:val="16"/>
              </w:rPr>
            </w:pPr>
          </w:p>
        </w:tc>
        <w:tc>
          <w:tcPr>
            <w:tcW w:w="426" w:type="dxa"/>
          </w:tcPr>
          <w:p w14:paraId="448ADC37" w14:textId="77777777" w:rsidR="00B47442" w:rsidRPr="0009445C" w:rsidRDefault="00B47442" w:rsidP="0099521D">
            <w:pPr>
              <w:pStyle w:val="BRL-Tabelle"/>
              <w:spacing w:before="60" w:after="40"/>
              <w:jc w:val="center"/>
              <w:rPr>
                <w:sz w:val="16"/>
              </w:rPr>
            </w:pPr>
          </w:p>
        </w:tc>
        <w:tc>
          <w:tcPr>
            <w:tcW w:w="427" w:type="dxa"/>
            <w:vAlign w:val="center"/>
          </w:tcPr>
          <w:p w14:paraId="1E2EF31D"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A315DCE" w14:textId="77777777" w:rsidR="00B47442" w:rsidRPr="0009445C" w:rsidRDefault="00B47442" w:rsidP="0099521D">
            <w:pPr>
              <w:pStyle w:val="BRL-Tabelle"/>
              <w:spacing w:before="60" w:after="40"/>
              <w:jc w:val="center"/>
              <w:rPr>
                <w:sz w:val="16"/>
              </w:rPr>
            </w:pPr>
          </w:p>
        </w:tc>
        <w:tc>
          <w:tcPr>
            <w:tcW w:w="427" w:type="dxa"/>
            <w:vAlign w:val="center"/>
          </w:tcPr>
          <w:p w14:paraId="22E85924" w14:textId="77777777" w:rsidR="00B47442" w:rsidRPr="0009445C" w:rsidRDefault="00B47442" w:rsidP="0099521D">
            <w:pPr>
              <w:pStyle w:val="BRL-Tabelle"/>
              <w:spacing w:before="60" w:after="40"/>
              <w:jc w:val="center"/>
              <w:rPr>
                <w:sz w:val="16"/>
              </w:rPr>
            </w:pPr>
          </w:p>
        </w:tc>
      </w:tr>
      <w:tr w:rsidR="00B47442" w:rsidRPr="0009445C" w14:paraId="1AFE9F39" w14:textId="77777777" w:rsidTr="0099521D">
        <w:trPr>
          <w:trHeight w:val="264"/>
        </w:trPr>
        <w:tc>
          <w:tcPr>
            <w:tcW w:w="2355" w:type="dxa"/>
            <w:gridSpan w:val="2"/>
          </w:tcPr>
          <w:p w14:paraId="7C644FDB" w14:textId="77777777" w:rsidR="00B47442" w:rsidRPr="0009445C" w:rsidRDefault="00B47442" w:rsidP="0099521D">
            <w:pPr>
              <w:pStyle w:val="BRL-Tabelle"/>
              <w:spacing w:before="60" w:after="40"/>
            </w:pPr>
            <w:r w:rsidRPr="0009445C">
              <w:t>Frequency response limits</w:t>
            </w:r>
          </w:p>
        </w:tc>
        <w:tc>
          <w:tcPr>
            <w:tcW w:w="427" w:type="dxa"/>
            <w:vAlign w:val="center"/>
          </w:tcPr>
          <w:p w14:paraId="2F586E49" w14:textId="77777777" w:rsidR="00B47442" w:rsidRPr="0009445C" w:rsidRDefault="00B47442" w:rsidP="0099521D">
            <w:pPr>
              <w:pStyle w:val="BRL-Tabelle"/>
              <w:spacing w:before="60" w:after="40"/>
              <w:jc w:val="center"/>
              <w:rPr>
                <w:sz w:val="16"/>
              </w:rPr>
            </w:pPr>
          </w:p>
        </w:tc>
        <w:tc>
          <w:tcPr>
            <w:tcW w:w="427" w:type="dxa"/>
            <w:vAlign w:val="center"/>
          </w:tcPr>
          <w:p w14:paraId="6E8BA562" w14:textId="77777777" w:rsidR="00B47442" w:rsidRPr="0009445C" w:rsidRDefault="00B47442" w:rsidP="0099521D">
            <w:pPr>
              <w:pStyle w:val="BRL-Tabelle"/>
              <w:spacing w:before="60" w:after="40"/>
              <w:jc w:val="center"/>
              <w:rPr>
                <w:sz w:val="16"/>
              </w:rPr>
            </w:pPr>
          </w:p>
        </w:tc>
        <w:tc>
          <w:tcPr>
            <w:tcW w:w="426" w:type="dxa"/>
            <w:vAlign w:val="center"/>
          </w:tcPr>
          <w:p w14:paraId="7E5489A6" w14:textId="77777777" w:rsidR="00B47442" w:rsidRPr="0009445C" w:rsidRDefault="00B47442" w:rsidP="0099521D">
            <w:pPr>
              <w:pStyle w:val="BRL-Tabelle"/>
              <w:spacing w:before="60" w:after="40"/>
              <w:jc w:val="center"/>
              <w:rPr>
                <w:sz w:val="16"/>
              </w:rPr>
            </w:pPr>
          </w:p>
        </w:tc>
        <w:tc>
          <w:tcPr>
            <w:tcW w:w="427" w:type="dxa"/>
            <w:vAlign w:val="center"/>
          </w:tcPr>
          <w:p w14:paraId="0C31989F" w14:textId="77777777" w:rsidR="00B47442" w:rsidRPr="0009445C" w:rsidRDefault="00B47442" w:rsidP="0099521D">
            <w:pPr>
              <w:pStyle w:val="BRL-Tabelle"/>
              <w:spacing w:before="60" w:after="40"/>
              <w:jc w:val="center"/>
              <w:rPr>
                <w:sz w:val="16"/>
              </w:rPr>
            </w:pPr>
          </w:p>
        </w:tc>
        <w:tc>
          <w:tcPr>
            <w:tcW w:w="425" w:type="dxa"/>
            <w:vAlign w:val="center"/>
          </w:tcPr>
          <w:p w14:paraId="65B8D437" w14:textId="77777777" w:rsidR="00B47442" w:rsidRPr="0009445C" w:rsidRDefault="00B47442" w:rsidP="0099521D">
            <w:pPr>
              <w:pStyle w:val="BRL-Tabelle"/>
              <w:spacing w:before="60" w:after="40"/>
              <w:jc w:val="center"/>
              <w:rPr>
                <w:sz w:val="16"/>
              </w:rPr>
            </w:pPr>
          </w:p>
        </w:tc>
        <w:tc>
          <w:tcPr>
            <w:tcW w:w="426" w:type="dxa"/>
            <w:vAlign w:val="center"/>
          </w:tcPr>
          <w:p w14:paraId="7EB2349E" w14:textId="77777777" w:rsidR="00B47442" w:rsidRPr="0009445C" w:rsidRDefault="00B47442" w:rsidP="0099521D">
            <w:pPr>
              <w:pStyle w:val="BRL-Tabelle"/>
              <w:spacing w:before="60" w:after="40"/>
              <w:jc w:val="center"/>
              <w:rPr>
                <w:sz w:val="16"/>
              </w:rPr>
            </w:pPr>
          </w:p>
        </w:tc>
        <w:tc>
          <w:tcPr>
            <w:tcW w:w="428" w:type="dxa"/>
            <w:vAlign w:val="center"/>
          </w:tcPr>
          <w:p w14:paraId="15998E28" w14:textId="77777777" w:rsidR="00B47442" w:rsidRPr="0009445C" w:rsidRDefault="00B47442" w:rsidP="0099521D">
            <w:pPr>
              <w:pStyle w:val="BRL-Tabelle"/>
              <w:spacing w:before="60" w:after="40"/>
              <w:jc w:val="center"/>
              <w:rPr>
                <w:sz w:val="16"/>
              </w:rPr>
            </w:pPr>
          </w:p>
        </w:tc>
        <w:tc>
          <w:tcPr>
            <w:tcW w:w="427" w:type="dxa"/>
            <w:vAlign w:val="center"/>
          </w:tcPr>
          <w:p w14:paraId="3EEF58A4" w14:textId="77777777" w:rsidR="00B47442" w:rsidRPr="0009445C" w:rsidRDefault="00B47442" w:rsidP="0099521D">
            <w:pPr>
              <w:pStyle w:val="BRL-Tabelle"/>
              <w:spacing w:before="60" w:after="40"/>
              <w:jc w:val="center"/>
              <w:rPr>
                <w:sz w:val="16"/>
              </w:rPr>
            </w:pPr>
          </w:p>
        </w:tc>
        <w:tc>
          <w:tcPr>
            <w:tcW w:w="426" w:type="dxa"/>
            <w:vAlign w:val="center"/>
          </w:tcPr>
          <w:p w14:paraId="7F2869AF" w14:textId="77777777" w:rsidR="00B47442" w:rsidRPr="0009445C" w:rsidRDefault="00B47442" w:rsidP="0099521D">
            <w:pPr>
              <w:pStyle w:val="BRL-Tabelle"/>
              <w:spacing w:before="60" w:after="40"/>
              <w:jc w:val="center"/>
              <w:rPr>
                <w:sz w:val="16"/>
              </w:rPr>
            </w:pPr>
          </w:p>
        </w:tc>
        <w:tc>
          <w:tcPr>
            <w:tcW w:w="426" w:type="dxa"/>
            <w:vAlign w:val="center"/>
          </w:tcPr>
          <w:p w14:paraId="4C6B642C" w14:textId="77777777" w:rsidR="00B47442" w:rsidRPr="0009445C" w:rsidRDefault="00B47442" w:rsidP="0099521D">
            <w:pPr>
              <w:pStyle w:val="BRL-Tabelle"/>
              <w:spacing w:before="60" w:after="40"/>
              <w:jc w:val="center"/>
              <w:rPr>
                <w:sz w:val="16"/>
              </w:rPr>
            </w:pPr>
          </w:p>
        </w:tc>
        <w:tc>
          <w:tcPr>
            <w:tcW w:w="426" w:type="dxa"/>
            <w:vAlign w:val="center"/>
          </w:tcPr>
          <w:p w14:paraId="4EEEC0BA" w14:textId="77777777" w:rsidR="00B47442" w:rsidRPr="0009445C" w:rsidRDefault="00B47442" w:rsidP="0099521D">
            <w:pPr>
              <w:pStyle w:val="BRL-Tabelle"/>
              <w:spacing w:before="60" w:after="40"/>
              <w:jc w:val="center"/>
              <w:rPr>
                <w:sz w:val="16"/>
              </w:rPr>
            </w:pPr>
          </w:p>
        </w:tc>
        <w:tc>
          <w:tcPr>
            <w:tcW w:w="433" w:type="dxa"/>
            <w:vAlign w:val="center"/>
          </w:tcPr>
          <w:p w14:paraId="38648A1E" w14:textId="77777777" w:rsidR="00B47442" w:rsidRPr="0009445C" w:rsidRDefault="00B47442" w:rsidP="0099521D">
            <w:pPr>
              <w:pStyle w:val="BRL-Tabelle"/>
              <w:spacing w:before="60" w:after="40"/>
              <w:jc w:val="center"/>
              <w:rPr>
                <w:sz w:val="16"/>
              </w:rPr>
            </w:pPr>
          </w:p>
        </w:tc>
        <w:tc>
          <w:tcPr>
            <w:tcW w:w="426" w:type="dxa"/>
          </w:tcPr>
          <w:p w14:paraId="041385FB" w14:textId="77777777" w:rsidR="00B47442" w:rsidRPr="0009445C" w:rsidRDefault="00B47442" w:rsidP="0099521D">
            <w:pPr>
              <w:pStyle w:val="BRL-Tabelle"/>
              <w:spacing w:before="60" w:after="40"/>
              <w:jc w:val="center"/>
              <w:rPr>
                <w:sz w:val="16"/>
              </w:rPr>
            </w:pPr>
          </w:p>
        </w:tc>
        <w:tc>
          <w:tcPr>
            <w:tcW w:w="427" w:type="dxa"/>
            <w:vAlign w:val="center"/>
          </w:tcPr>
          <w:p w14:paraId="7C07A2EE" w14:textId="77777777" w:rsidR="00B47442" w:rsidRPr="0009445C" w:rsidRDefault="00B47442" w:rsidP="0099521D">
            <w:pPr>
              <w:pStyle w:val="BRL-Tabelle"/>
              <w:spacing w:before="60" w:after="40"/>
              <w:jc w:val="center"/>
              <w:rPr>
                <w:sz w:val="16"/>
              </w:rPr>
            </w:pPr>
          </w:p>
        </w:tc>
        <w:tc>
          <w:tcPr>
            <w:tcW w:w="426" w:type="dxa"/>
            <w:vAlign w:val="center"/>
          </w:tcPr>
          <w:p w14:paraId="4C027FDE"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6F047C9" w14:textId="77777777" w:rsidR="00B47442" w:rsidRPr="0009445C" w:rsidRDefault="00B47442" w:rsidP="0099521D">
            <w:pPr>
              <w:pStyle w:val="BRL-Tabelle"/>
              <w:spacing w:before="60" w:after="40"/>
              <w:jc w:val="center"/>
              <w:rPr>
                <w:sz w:val="16"/>
              </w:rPr>
            </w:pPr>
          </w:p>
        </w:tc>
      </w:tr>
      <w:tr w:rsidR="00B47442" w:rsidRPr="0009445C" w14:paraId="6882FE88" w14:textId="77777777" w:rsidTr="0099521D">
        <w:trPr>
          <w:trHeight w:val="264"/>
        </w:trPr>
        <w:tc>
          <w:tcPr>
            <w:tcW w:w="2355" w:type="dxa"/>
            <w:gridSpan w:val="2"/>
          </w:tcPr>
          <w:p w14:paraId="352EFFD6" w14:textId="77777777" w:rsidR="00B47442" w:rsidRPr="0009445C" w:rsidRDefault="00B47442" w:rsidP="0099521D">
            <w:pPr>
              <w:pStyle w:val="BRL-Tabelle"/>
              <w:spacing w:before="60" w:after="40"/>
            </w:pPr>
            <w:r w:rsidRPr="0009445C">
              <w:t>Nominal impedance</w:t>
            </w:r>
          </w:p>
        </w:tc>
        <w:tc>
          <w:tcPr>
            <w:tcW w:w="427" w:type="dxa"/>
            <w:vAlign w:val="center"/>
          </w:tcPr>
          <w:p w14:paraId="67197C12" w14:textId="77777777" w:rsidR="00B47442" w:rsidRPr="0009445C" w:rsidRDefault="00B47442" w:rsidP="0099521D">
            <w:pPr>
              <w:pStyle w:val="BRL-Tabelle"/>
              <w:spacing w:before="60" w:after="40"/>
              <w:jc w:val="center"/>
              <w:rPr>
                <w:sz w:val="16"/>
              </w:rPr>
            </w:pPr>
          </w:p>
        </w:tc>
        <w:tc>
          <w:tcPr>
            <w:tcW w:w="427" w:type="dxa"/>
            <w:vAlign w:val="center"/>
          </w:tcPr>
          <w:p w14:paraId="57B9BBBE" w14:textId="77777777" w:rsidR="00B47442" w:rsidRPr="0009445C" w:rsidRDefault="00B47442" w:rsidP="0099521D">
            <w:pPr>
              <w:pStyle w:val="BRL-Tabelle"/>
              <w:spacing w:before="60" w:after="40"/>
              <w:jc w:val="center"/>
              <w:rPr>
                <w:sz w:val="16"/>
              </w:rPr>
            </w:pPr>
          </w:p>
        </w:tc>
        <w:tc>
          <w:tcPr>
            <w:tcW w:w="426" w:type="dxa"/>
            <w:vAlign w:val="center"/>
          </w:tcPr>
          <w:p w14:paraId="0B6455DF" w14:textId="77777777" w:rsidR="00B47442" w:rsidRPr="0009445C" w:rsidRDefault="00B47442" w:rsidP="0099521D">
            <w:pPr>
              <w:pStyle w:val="BRL-Tabelle"/>
              <w:spacing w:before="60" w:after="40"/>
              <w:jc w:val="center"/>
              <w:rPr>
                <w:sz w:val="16"/>
              </w:rPr>
            </w:pPr>
          </w:p>
        </w:tc>
        <w:tc>
          <w:tcPr>
            <w:tcW w:w="427" w:type="dxa"/>
            <w:vAlign w:val="center"/>
          </w:tcPr>
          <w:p w14:paraId="233F0A6E" w14:textId="77777777" w:rsidR="00B47442" w:rsidRPr="0009445C" w:rsidRDefault="00B47442" w:rsidP="0099521D">
            <w:pPr>
              <w:pStyle w:val="BRL-Tabelle"/>
              <w:spacing w:before="60" w:after="40"/>
              <w:jc w:val="center"/>
              <w:rPr>
                <w:sz w:val="16"/>
              </w:rPr>
            </w:pPr>
          </w:p>
        </w:tc>
        <w:tc>
          <w:tcPr>
            <w:tcW w:w="425" w:type="dxa"/>
            <w:vAlign w:val="center"/>
          </w:tcPr>
          <w:p w14:paraId="447FDD33" w14:textId="77777777" w:rsidR="00B47442" w:rsidRPr="0009445C" w:rsidRDefault="00B47442" w:rsidP="0099521D">
            <w:pPr>
              <w:pStyle w:val="BRL-Tabelle"/>
              <w:spacing w:before="60" w:after="40"/>
              <w:jc w:val="center"/>
              <w:rPr>
                <w:sz w:val="16"/>
              </w:rPr>
            </w:pPr>
          </w:p>
        </w:tc>
        <w:tc>
          <w:tcPr>
            <w:tcW w:w="426" w:type="dxa"/>
            <w:vAlign w:val="center"/>
          </w:tcPr>
          <w:p w14:paraId="7855D30D" w14:textId="77777777" w:rsidR="00B47442" w:rsidRPr="0009445C" w:rsidRDefault="00B47442" w:rsidP="0099521D">
            <w:pPr>
              <w:pStyle w:val="BRL-Tabelle"/>
              <w:spacing w:before="60" w:after="40"/>
              <w:jc w:val="center"/>
              <w:rPr>
                <w:sz w:val="16"/>
              </w:rPr>
            </w:pPr>
          </w:p>
        </w:tc>
        <w:tc>
          <w:tcPr>
            <w:tcW w:w="428" w:type="dxa"/>
            <w:vAlign w:val="center"/>
          </w:tcPr>
          <w:p w14:paraId="0F8E9EA6" w14:textId="77777777" w:rsidR="00B47442" w:rsidRPr="0009445C" w:rsidRDefault="00B47442" w:rsidP="0099521D">
            <w:pPr>
              <w:pStyle w:val="BRL-Tabelle"/>
              <w:spacing w:before="60" w:after="40"/>
              <w:jc w:val="center"/>
              <w:rPr>
                <w:sz w:val="16"/>
              </w:rPr>
            </w:pPr>
          </w:p>
        </w:tc>
        <w:tc>
          <w:tcPr>
            <w:tcW w:w="427" w:type="dxa"/>
            <w:vAlign w:val="center"/>
          </w:tcPr>
          <w:p w14:paraId="6D6902C5" w14:textId="77777777" w:rsidR="00B47442" w:rsidRPr="0009445C" w:rsidRDefault="00B47442" w:rsidP="0099521D">
            <w:pPr>
              <w:pStyle w:val="BRL-Tabelle"/>
              <w:spacing w:before="60" w:after="40"/>
              <w:jc w:val="center"/>
              <w:rPr>
                <w:sz w:val="16"/>
              </w:rPr>
            </w:pPr>
          </w:p>
        </w:tc>
        <w:tc>
          <w:tcPr>
            <w:tcW w:w="426" w:type="dxa"/>
            <w:vAlign w:val="center"/>
          </w:tcPr>
          <w:p w14:paraId="709C2FCE" w14:textId="77777777" w:rsidR="00B47442" w:rsidRPr="0009445C" w:rsidRDefault="00B47442" w:rsidP="0099521D">
            <w:pPr>
              <w:pStyle w:val="BRL-Tabelle"/>
              <w:spacing w:before="60" w:after="40"/>
              <w:jc w:val="center"/>
              <w:rPr>
                <w:sz w:val="16"/>
              </w:rPr>
            </w:pPr>
          </w:p>
        </w:tc>
        <w:tc>
          <w:tcPr>
            <w:tcW w:w="426" w:type="dxa"/>
            <w:vAlign w:val="center"/>
          </w:tcPr>
          <w:p w14:paraId="32E2F5F0" w14:textId="77777777" w:rsidR="00B47442" w:rsidRPr="0009445C" w:rsidRDefault="00B47442" w:rsidP="0099521D">
            <w:pPr>
              <w:pStyle w:val="BRL-Tabelle"/>
              <w:spacing w:before="60" w:after="40"/>
              <w:jc w:val="center"/>
              <w:rPr>
                <w:sz w:val="16"/>
              </w:rPr>
            </w:pPr>
          </w:p>
        </w:tc>
        <w:tc>
          <w:tcPr>
            <w:tcW w:w="426" w:type="dxa"/>
            <w:vAlign w:val="center"/>
          </w:tcPr>
          <w:p w14:paraId="4801B4A8" w14:textId="77777777" w:rsidR="00B47442" w:rsidRPr="0009445C" w:rsidRDefault="00B47442" w:rsidP="0099521D">
            <w:pPr>
              <w:pStyle w:val="BRL-Tabelle"/>
              <w:spacing w:before="60" w:after="40"/>
              <w:jc w:val="center"/>
              <w:rPr>
                <w:sz w:val="16"/>
              </w:rPr>
            </w:pPr>
          </w:p>
        </w:tc>
        <w:tc>
          <w:tcPr>
            <w:tcW w:w="433" w:type="dxa"/>
            <w:vAlign w:val="center"/>
          </w:tcPr>
          <w:p w14:paraId="047C5AEA" w14:textId="77777777" w:rsidR="00B47442" w:rsidRPr="0009445C" w:rsidRDefault="00B47442" w:rsidP="0099521D">
            <w:pPr>
              <w:pStyle w:val="BRL-Tabelle"/>
              <w:spacing w:before="60" w:after="40"/>
              <w:jc w:val="center"/>
              <w:rPr>
                <w:sz w:val="16"/>
              </w:rPr>
            </w:pPr>
          </w:p>
        </w:tc>
        <w:tc>
          <w:tcPr>
            <w:tcW w:w="426" w:type="dxa"/>
          </w:tcPr>
          <w:p w14:paraId="31B87A3B" w14:textId="77777777" w:rsidR="00B47442" w:rsidRPr="0009445C" w:rsidRDefault="00B47442" w:rsidP="0099521D">
            <w:pPr>
              <w:pStyle w:val="BRL-Tabelle"/>
              <w:spacing w:before="60" w:after="40"/>
              <w:jc w:val="center"/>
              <w:rPr>
                <w:sz w:val="16"/>
              </w:rPr>
            </w:pPr>
          </w:p>
        </w:tc>
        <w:tc>
          <w:tcPr>
            <w:tcW w:w="427" w:type="dxa"/>
            <w:vAlign w:val="center"/>
          </w:tcPr>
          <w:p w14:paraId="0D35FE41" w14:textId="77777777" w:rsidR="00B47442" w:rsidRPr="0009445C" w:rsidRDefault="00B47442" w:rsidP="0099521D">
            <w:pPr>
              <w:pStyle w:val="BRL-Tabelle"/>
              <w:spacing w:before="60" w:after="40"/>
              <w:jc w:val="center"/>
              <w:rPr>
                <w:sz w:val="16"/>
              </w:rPr>
            </w:pPr>
          </w:p>
        </w:tc>
        <w:tc>
          <w:tcPr>
            <w:tcW w:w="426" w:type="dxa"/>
            <w:vAlign w:val="center"/>
          </w:tcPr>
          <w:p w14:paraId="6B67CEC4"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874162A" w14:textId="77777777" w:rsidR="00B47442" w:rsidRPr="0009445C" w:rsidRDefault="00B47442" w:rsidP="0099521D">
            <w:pPr>
              <w:pStyle w:val="BRL-Tabelle"/>
              <w:spacing w:before="60" w:after="40"/>
              <w:jc w:val="center"/>
              <w:rPr>
                <w:sz w:val="16"/>
              </w:rPr>
            </w:pPr>
          </w:p>
        </w:tc>
      </w:tr>
      <w:tr w:rsidR="00B47442" w:rsidRPr="0009445C" w14:paraId="18330271" w14:textId="77777777" w:rsidTr="0099521D">
        <w:trPr>
          <w:trHeight w:val="264"/>
        </w:trPr>
        <w:tc>
          <w:tcPr>
            <w:tcW w:w="2355" w:type="dxa"/>
            <w:gridSpan w:val="2"/>
          </w:tcPr>
          <w:p w14:paraId="2C21B5DC" w14:textId="61B75ABD" w:rsidR="00B47442" w:rsidRPr="0009445C" w:rsidRDefault="00B47442" w:rsidP="0043405C">
            <w:pPr>
              <w:pStyle w:val="BRL-Tabelle"/>
              <w:spacing w:before="60" w:after="40"/>
            </w:pPr>
            <w:r w:rsidRPr="0009445C">
              <w:t>Horizontal and vertical beam angle</w:t>
            </w:r>
          </w:p>
        </w:tc>
        <w:tc>
          <w:tcPr>
            <w:tcW w:w="427" w:type="dxa"/>
            <w:vAlign w:val="center"/>
          </w:tcPr>
          <w:p w14:paraId="244A9024" w14:textId="77777777" w:rsidR="00B47442" w:rsidRPr="0009445C" w:rsidRDefault="00B47442" w:rsidP="0099521D">
            <w:pPr>
              <w:pStyle w:val="BRL-Tabelle"/>
              <w:spacing w:before="60" w:after="40"/>
              <w:jc w:val="center"/>
              <w:rPr>
                <w:sz w:val="16"/>
              </w:rPr>
            </w:pPr>
          </w:p>
        </w:tc>
        <w:tc>
          <w:tcPr>
            <w:tcW w:w="427" w:type="dxa"/>
            <w:vAlign w:val="center"/>
          </w:tcPr>
          <w:p w14:paraId="5B887909" w14:textId="77777777" w:rsidR="00B47442" w:rsidRPr="0009445C" w:rsidRDefault="00B47442" w:rsidP="0099521D">
            <w:pPr>
              <w:pStyle w:val="BRL-Tabelle"/>
              <w:spacing w:before="60" w:after="40"/>
              <w:jc w:val="center"/>
              <w:rPr>
                <w:sz w:val="16"/>
              </w:rPr>
            </w:pPr>
          </w:p>
        </w:tc>
        <w:tc>
          <w:tcPr>
            <w:tcW w:w="426" w:type="dxa"/>
            <w:vAlign w:val="center"/>
          </w:tcPr>
          <w:p w14:paraId="1D9844CF" w14:textId="77777777" w:rsidR="00B47442" w:rsidRPr="0009445C" w:rsidRDefault="00B47442" w:rsidP="0099521D">
            <w:pPr>
              <w:pStyle w:val="BRL-Tabelle"/>
              <w:spacing w:before="60" w:after="40"/>
              <w:jc w:val="center"/>
              <w:rPr>
                <w:sz w:val="16"/>
              </w:rPr>
            </w:pPr>
          </w:p>
        </w:tc>
        <w:tc>
          <w:tcPr>
            <w:tcW w:w="427" w:type="dxa"/>
            <w:vAlign w:val="center"/>
          </w:tcPr>
          <w:p w14:paraId="75947A4F" w14:textId="77777777" w:rsidR="00B47442" w:rsidRPr="0009445C" w:rsidRDefault="00B47442" w:rsidP="0099521D">
            <w:pPr>
              <w:pStyle w:val="BRL-Tabelle"/>
              <w:spacing w:before="60" w:after="40"/>
              <w:jc w:val="center"/>
              <w:rPr>
                <w:sz w:val="16"/>
              </w:rPr>
            </w:pPr>
          </w:p>
        </w:tc>
        <w:tc>
          <w:tcPr>
            <w:tcW w:w="425" w:type="dxa"/>
            <w:vAlign w:val="center"/>
          </w:tcPr>
          <w:p w14:paraId="5C2522FB" w14:textId="77777777" w:rsidR="00B47442" w:rsidRPr="0009445C" w:rsidRDefault="00B47442" w:rsidP="0099521D">
            <w:pPr>
              <w:pStyle w:val="BRL-Tabelle"/>
              <w:spacing w:before="60" w:after="40"/>
              <w:jc w:val="center"/>
              <w:rPr>
                <w:sz w:val="16"/>
              </w:rPr>
            </w:pPr>
          </w:p>
        </w:tc>
        <w:tc>
          <w:tcPr>
            <w:tcW w:w="426" w:type="dxa"/>
            <w:vAlign w:val="center"/>
          </w:tcPr>
          <w:p w14:paraId="17BBE1CF" w14:textId="77777777" w:rsidR="00B47442" w:rsidRPr="0009445C" w:rsidRDefault="00B47442" w:rsidP="0099521D">
            <w:pPr>
              <w:pStyle w:val="BRL-Tabelle"/>
              <w:spacing w:before="60" w:after="40"/>
              <w:jc w:val="center"/>
              <w:rPr>
                <w:sz w:val="16"/>
              </w:rPr>
            </w:pPr>
          </w:p>
        </w:tc>
        <w:tc>
          <w:tcPr>
            <w:tcW w:w="428" w:type="dxa"/>
            <w:vAlign w:val="center"/>
          </w:tcPr>
          <w:p w14:paraId="1DD287E3" w14:textId="77777777" w:rsidR="00B47442" w:rsidRPr="0009445C" w:rsidRDefault="00B47442" w:rsidP="0099521D">
            <w:pPr>
              <w:pStyle w:val="BRL-Tabelle"/>
              <w:spacing w:before="60" w:after="40"/>
              <w:jc w:val="center"/>
              <w:rPr>
                <w:sz w:val="16"/>
              </w:rPr>
            </w:pPr>
          </w:p>
        </w:tc>
        <w:tc>
          <w:tcPr>
            <w:tcW w:w="427" w:type="dxa"/>
            <w:vAlign w:val="center"/>
          </w:tcPr>
          <w:p w14:paraId="30B3C018" w14:textId="77777777" w:rsidR="00B47442" w:rsidRPr="0009445C" w:rsidRDefault="00B47442" w:rsidP="0099521D">
            <w:pPr>
              <w:pStyle w:val="BRL-Tabelle"/>
              <w:spacing w:before="60" w:after="40"/>
              <w:jc w:val="center"/>
              <w:rPr>
                <w:sz w:val="16"/>
              </w:rPr>
            </w:pPr>
          </w:p>
        </w:tc>
        <w:tc>
          <w:tcPr>
            <w:tcW w:w="426" w:type="dxa"/>
            <w:vAlign w:val="center"/>
          </w:tcPr>
          <w:p w14:paraId="7ADD2E22" w14:textId="77777777" w:rsidR="00B47442" w:rsidRPr="0009445C" w:rsidRDefault="00B47442" w:rsidP="0099521D">
            <w:pPr>
              <w:pStyle w:val="BRL-Tabelle"/>
              <w:spacing w:before="60" w:after="40"/>
              <w:jc w:val="center"/>
              <w:rPr>
                <w:sz w:val="16"/>
              </w:rPr>
            </w:pPr>
          </w:p>
        </w:tc>
        <w:tc>
          <w:tcPr>
            <w:tcW w:w="426" w:type="dxa"/>
            <w:vAlign w:val="center"/>
          </w:tcPr>
          <w:p w14:paraId="123FD141" w14:textId="77777777" w:rsidR="00B47442" w:rsidRPr="0009445C" w:rsidRDefault="00B47442" w:rsidP="0099521D">
            <w:pPr>
              <w:pStyle w:val="BRL-Tabelle"/>
              <w:spacing w:before="60" w:after="40"/>
              <w:jc w:val="center"/>
              <w:rPr>
                <w:sz w:val="16"/>
              </w:rPr>
            </w:pPr>
          </w:p>
        </w:tc>
        <w:tc>
          <w:tcPr>
            <w:tcW w:w="426" w:type="dxa"/>
            <w:vAlign w:val="center"/>
          </w:tcPr>
          <w:p w14:paraId="354B6AAE" w14:textId="77777777" w:rsidR="00B47442" w:rsidRPr="0009445C" w:rsidRDefault="00B47442" w:rsidP="0099521D">
            <w:pPr>
              <w:pStyle w:val="BRL-Tabelle"/>
              <w:spacing w:before="60" w:after="40"/>
              <w:jc w:val="center"/>
              <w:rPr>
                <w:sz w:val="16"/>
              </w:rPr>
            </w:pPr>
          </w:p>
        </w:tc>
        <w:tc>
          <w:tcPr>
            <w:tcW w:w="433" w:type="dxa"/>
            <w:vAlign w:val="center"/>
          </w:tcPr>
          <w:p w14:paraId="2948544D" w14:textId="77777777" w:rsidR="00B47442" w:rsidRPr="0009445C" w:rsidRDefault="00B47442" w:rsidP="0099521D">
            <w:pPr>
              <w:pStyle w:val="BRL-Tabelle"/>
              <w:spacing w:before="60" w:after="40"/>
              <w:jc w:val="center"/>
              <w:rPr>
                <w:sz w:val="16"/>
              </w:rPr>
            </w:pPr>
          </w:p>
        </w:tc>
        <w:tc>
          <w:tcPr>
            <w:tcW w:w="426" w:type="dxa"/>
          </w:tcPr>
          <w:p w14:paraId="56D6E590" w14:textId="77777777" w:rsidR="00B47442" w:rsidRPr="0009445C" w:rsidRDefault="00B47442" w:rsidP="0099521D">
            <w:pPr>
              <w:pStyle w:val="BRL-Tabelle"/>
              <w:spacing w:before="60" w:after="40"/>
              <w:jc w:val="center"/>
              <w:rPr>
                <w:sz w:val="16"/>
              </w:rPr>
            </w:pPr>
          </w:p>
        </w:tc>
        <w:tc>
          <w:tcPr>
            <w:tcW w:w="427" w:type="dxa"/>
            <w:vAlign w:val="center"/>
          </w:tcPr>
          <w:p w14:paraId="0D31AC1E" w14:textId="77777777" w:rsidR="00B47442" w:rsidRPr="0009445C" w:rsidRDefault="00B47442" w:rsidP="0099521D">
            <w:pPr>
              <w:pStyle w:val="BRL-Tabelle"/>
              <w:spacing w:before="60" w:after="40"/>
              <w:jc w:val="center"/>
              <w:rPr>
                <w:sz w:val="16"/>
              </w:rPr>
            </w:pPr>
          </w:p>
        </w:tc>
        <w:tc>
          <w:tcPr>
            <w:tcW w:w="426" w:type="dxa"/>
            <w:vAlign w:val="center"/>
          </w:tcPr>
          <w:p w14:paraId="45A4B677"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AF8DC94" w14:textId="77777777" w:rsidR="00B47442" w:rsidRPr="0009445C" w:rsidRDefault="00B47442" w:rsidP="0099521D">
            <w:pPr>
              <w:pStyle w:val="BRL-Tabelle"/>
              <w:spacing w:before="60" w:after="40"/>
              <w:jc w:val="center"/>
              <w:rPr>
                <w:sz w:val="16"/>
              </w:rPr>
            </w:pPr>
          </w:p>
        </w:tc>
      </w:tr>
      <w:tr w:rsidR="00B47442" w:rsidRPr="0009445C" w14:paraId="400574A3" w14:textId="77777777" w:rsidTr="0099521D">
        <w:trPr>
          <w:trHeight w:val="264"/>
        </w:trPr>
        <w:tc>
          <w:tcPr>
            <w:tcW w:w="2355" w:type="dxa"/>
            <w:gridSpan w:val="2"/>
          </w:tcPr>
          <w:p w14:paraId="77F1795F" w14:textId="77777777" w:rsidR="00B47442" w:rsidRPr="0009445C" w:rsidRDefault="00B47442" w:rsidP="0099521D">
            <w:pPr>
              <w:pStyle w:val="BRL-Tabelle"/>
              <w:spacing w:before="60" w:after="40"/>
            </w:pPr>
            <w:r w:rsidRPr="0009445C">
              <w:t>Maximum sound level</w:t>
            </w:r>
          </w:p>
        </w:tc>
        <w:tc>
          <w:tcPr>
            <w:tcW w:w="427" w:type="dxa"/>
            <w:vAlign w:val="center"/>
          </w:tcPr>
          <w:p w14:paraId="05CA26EE" w14:textId="77777777" w:rsidR="00B47442" w:rsidRPr="0009445C" w:rsidRDefault="00B47442" w:rsidP="0099521D">
            <w:pPr>
              <w:pStyle w:val="BRL-Tabelle"/>
              <w:spacing w:before="60" w:after="40"/>
              <w:jc w:val="center"/>
              <w:rPr>
                <w:sz w:val="16"/>
              </w:rPr>
            </w:pPr>
          </w:p>
        </w:tc>
        <w:tc>
          <w:tcPr>
            <w:tcW w:w="427" w:type="dxa"/>
            <w:vAlign w:val="center"/>
          </w:tcPr>
          <w:p w14:paraId="37441DDA" w14:textId="77777777" w:rsidR="00B47442" w:rsidRPr="0009445C" w:rsidRDefault="00B47442" w:rsidP="0099521D">
            <w:pPr>
              <w:pStyle w:val="BRL-Tabelle"/>
              <w:spacing w:before="60" w:after="40"/>
              <w:jc w:val="center"/>
              <w:rPr>
                <w:sz w:val="16"/>
              </w:rPr>
            </w:pPr>
          </w:p>
        </w:tc>
        <w:tc>
          <w:tcPr>
            <w:tcW w:w="426" w:type="dxa"/>
            <w:vAlign w:val="center"/>
          </w:tcPr>
          <w:p w14:paraId="4B3A002C" w14:textId="77777777" w:rsidR="00B47442" w:rsidRPr="0009445C" w:rsidRDefault="00B47442" w:rsidP="0099521D">
            <w:pPr>
              <w:pStyle w:val="BRL-Tabelle"/>
              <w:spacing w:before="60" w:after="40"/>
              <w:jc w:val="center"/>
              <w:rPr>
                <w:sz w:val="16"/>
              </w:rPr>
            </w:pPr>
          </w:p>
        </w:tc>
        <w:tc>
          <w:tcPr>
            <w:tcW w:w="427" w:type="dxa"/>
            <w:vAlign w:val="center"/>
          </w:tcPr>
          <w:p w14:paraId="0B2578DF" w14:textId="77777777" w:rsidR="00B47442" w:rsidRPr="0009445C" w:rsidRDefault="00B47442" w:rsidP="0099521D">
            <w:pPr>
              <w:pStyle w:val="BRL-Tabelle"/>
              <w:spacing w:before="60" w:after="40"/>
              <w:jc w:val="center"/>
              <w:rPr>
                <w:sz w:val="16"/>
              </w:rPr>
            </w:pPr>
          </w:p>
        </w:tc>
        <w:tc>
          <w:tcPr>
            <w:tcW w:w="425" w:type="dxa"/>
            <w:vAlign w:val="center"/>
          </w:tcPr>
          <w:p w14:paraId="379AB12B" w14:textId="77777777" w:rsidR="00B47442" w:rsidRPr="0009445C" w:rsidRDefault="00B47442" w:rsidP="0099521D">
            <w:pPr>
              <w:pStyle w:val="BRL-Tabelle"/>
              <w:spacing w:before="60" w:after="40"/>
              <w:jc w:val="center"/>
              <w:rPr>
                <w:sz w:val="16"/>
              </w:rPr>
            </w:pPr>
          </w:p>
        </w:tc>
        <w:tc>
          <w:tcPr>
            <w:tcW w:w="426" w:type="dxa"/>
            <w:vAlign w:val="center"/>
          </w:tcPr>
          <w:p w14:paraId="448B9444" w14:textId="77777777" w:rsidR="00B47442" w:rsidRPr="0009445C" w:rsidRDefault="00B47442" w:rsidP="0099521D">
            <w:pPr>
              <w:pStyle w:val="BRL-Tabelle"/>
              <w:spacing w:before="60" w:after="40"/>
              <w:jc w:val="center"/>
              <w:rPr>
                <w:sz w:val="16"/>
              </w:rPr>
            </w:pPr>
          </w:p>
        </w:tc>
        <w:tc>
          <w:tcPr>
            <w:tcW w:w="428" w:type="dxa"/>
            <w:vAlign w:val="center"/>
          </w:tcPr>
          <w:p w14:paraId="39C3BFC8" w14:textId="77777777" w:rsidR="00B47442" w:rsidRPr="0009445C" w:rsidRDefault="00B47442" w:rsidP="0099521D">
            <w:pPr>
              <w:pStyle w:val="BRL-Tabelle"/>
              <w:spacing w:before="60" w:after="40"/>
              <w:jc w:val="center"/>
              <w:rPr>
                <w:sz w:val="16"/>
              </w:rPr>
            </w:pPr>
          </w:p>
        </w:tc>
        <w:tc>
          <w:tcPr>
            <w:tcW w:w="427" w:type="dxa"/>
            <w:vAlign w:val="center"/>
          </w:tcPr>
          <w:p w14:paraId="25A135A6" w14:textId="77777777" w:rsidR="00B47442" w:rsidRPr="0009445C" w:rsidRDefault="00B47442" w:rsidP="0099521D">
            <w:pPr>
              <w:pStyle w:val="BRL-Tabelle"/>
              <w:spacing w:before="60" w:after="40"/>
              <w:jc w:val="center"/>
              <w:rPr>
                <w:sz w:val="16"/>
              </w:rPr>
            </w:pPr>
          </w:p>
        </w:tc>
        <w:tc>
          <w:tcPr>
            <w:tcW w:w="426" w:type="dxa"/>
            <w:vAlign w:val="center"/>
          </w:tcPr>
          <w:p w14:paraId="3493DA8D" w14:textId="77777777" w:rsidR="00B47442" w:rsidRPr="0009445C" w:rsidRDefault="00B47442" w:rsidP="0099521D">
            <w:pPr>
              <w:pStyle w:val="BRL-Tabelle"/>
              <w:spacing w:before="60" w:after="40"/>
              <w:jc w:val="center"/>
              <w:rPr>
                <w:sz w:val="16"/>
              </w:rPr>
            </w:pPr>
          </w:p>
        </w:tc>
        <w:tc>
          <w:tcPr>
            <w:tcW w:w="426" w:type="dxa"/>
            <w:vAlign w:val="center"/>
          </w:tcPr>
          <w:p w14:paraId="2734245F" w14:textId="77777777" w:rsidR="00B47442" w:rsidRPr="0009445C" w:rsidRDefault="00B47442" w:rsidP="0099521D">
            <w:pPr>
              <w:pStyle w:val="BRL-Tabelle"/>
              <w:spacing w:before="60" w:after="40"/>
              <w:jc w:val="center"/>
              <w:rPr>
                <w:sz w:val="16"/>
              </w:rPr>
            </w:pPr>
          </w:p>
        </w:tc>
        <w:tc>
          <w:tcPr>
            <w:tcW w:w="426" w:type="dxa"/>
            <w:vAlign w:val="center"/>
          </w:tcPr>
          <w:p w14:paraId="16641F7D" w14:textId="77777777" w:rsidR="00B47442" w:rsidRPr="0009445C" w:rsidRDefault="00B47442" w:rsidP="0099521D">
            <w:pPr>
              <w:pStyle w:val="BRL-Tabelle"/>
              <w:spacing w:before="60" w:after="40"/>
              <w:jc w:val="center"/>
              <w:rPr>
                <w:sz w:val="16"/>
              </w:rPr>
            </w:pPr>
          </w:p>
        </w:tc>
        <w:tc>
          <w:tcPr>
            <w:tcW w:w="433" w:type="dxa"/>
            <w:vAlign w:val="center"/>
          </w:tcPr>
          <w:p w14:paraId="1A18C31F" w14:textId="77777777" w:rsidR="00B47442" w:rsidRPr="0009445C" w:rsidRDefault="00B47442" w:rsidP="0099521D">
            <w:pPr>
              <w:pStyle w:val="BRL-Tabelle"/>
              <w:spacing w:before="60" w:after="40"/>
              <w:jc w:val="center"/>
              <w:rPr>
                <w:sz w:val="16"/>
              </w:rPr>
            </w:pPr>
          </w:p>
        </w:tc>
        <w:tc>
          <w:tcPr>
            <w:tcW w:w="426" w:type="dxa"/>
          </w:tcPr>
          <w:p w14:paraId="43024564" w14:textId="77777777" w:rsidR="00B47442" w:rsidRPr="0009445C" w:rsidRDefault="00B47442" w:rsidP="0099521D">
            <w:pPr>
              <w:pStyle w:val="BRL-Tabelle"/>
              <w:spacing w:before="60" w:after="40"/>
              <w:jc w:val="center"/>
              <w:rPr>
                <w:sz w:val="16"/>
              </w:rPr>
            </w:pPr>
          </w:p>
        </w:tc>
        <w:tc>
          <w:tcPr>
            <w:tcW w:w="427" w:type="dxa"/>
            <w:vAlign w:val="center"/>
          </w:tcPr>
          <w:p w14:paraId="492CF1F5" w14:textId="77777777" w:rsidR="00B47442" w:rsidRPr="0009445C" w:rsidRDefault="00B47442" w:rsidP="0099521D">
            <w:pPr>
              <w:pStyle w:val="BRL-Tabelle"/>
              <w:spacing w:before="60" w:after="40"/>
              <w:jc w:val="center"/>
              <w:rPr>
                <w:sz w:val="16"/>
              </w:rPr>
            </w:pPr>
          </w:p>
        </w:tc>
        <w:tc>
          <w:tcPr>
            <w:tcW w:w="426" w:type="dxa"/>
            <w:vAlign w:val="center"/>
          </w:tcPr>
          <w:p w14:paraId="5C4B1BA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8715CE4" w14:textId="77777777" w:rsidR="00B47442" w:rsidRPr="0009445C" w:rsidRDefault="00B47442" w:rsidP="0099521D">
            <w:pPr>
              <w:pStyle w:val="BRL-Tabelle"/>
              <w:spacing w:before="60" w:after="40"/>
              <w:jc w:val="center"/>
              <w:rPr>
                <w:sz w:val="16"/>
              </w:rPr>
            </w:pPr>
          </w:p>
        </w:tc>
      </w:tr>
      <w:tr w:rsidR="00B47442" w:rsidRPr="0009445C" w14:paraId="660BA1AF" w14:textId="77777777" w:rsidTr="0099521D">
        <w:trPr>
          <w:trHeight w:val="264"/>
        </w:trPr>
        <w:tc>
          <w:tcPr>
            <w:tcW w:w="2355" w:type="dxa"/>
            <w:gridSpan w:val="2"/>
          </w:tcPr>
          <w:p w14:paraId="2C587AF1" w14:textId="77777777" w:rsidR="00B47442" w:rsidRPr="0009445C" w:rsidRDefault="00B47442" w:rsidP="0099521D">
            <w:pPr>
              <w:pStyle w:val="BRL-Tabelle"/>
              <w:spacing w:before="60" w:after="40"/>
              <w:rPr>
                <w:b/>
              </w:rPr>
            </w:pPr>
            <w:r w:rsidRPr="0009445C">
              <w:rPr>
                <w:b/>
              </w:rPr>
              <w:t>Response delay</w:t>
            </w:r>
          </w:p>
        </w:tc>
        <w:tc>
          <w:tcPr>
            <w:tcW w:w="6830" w:type="dxa"/>
            <w:gridSpan w:val="16"/>
          </w:tcPr>
          <w:p w14:paraId="59712E57" w14:textId="77777777" w:rsidR="00B47442" w:rsidRPr="0009445C" w:rsidRDefault="00B47442" w:rsidP="0099521D">
            <w:pPr>
              <w:pStyle w:val="Tabellentext"/>
              <w:spacing w:before="60" w:after="40"/>
              <w:rPr>
                <w:rFonts w:cs="Arial"/>
                <w:b/>
                <w:sz w:val="16"/>
              </w:rPr>
            </w:pPr>
          </w:p>
        </w:tc>
      </w:tr>
      <w:tr w:rsidR="00B47442" w:rsidRPr="0009445C" w14:paraId="66ECFC85" w14:textId="77777777" w:rsidTr="0099521D">
        <w:trPr>
          <w:trHeight w:val="264"/>
        </w:trPr>
        <w:tc>
          <w:tcPr>
            <w:tcW w:w="2355" w:type="dxa"/>
            <w:gridSpan w:val="2"/>
          </w:tcPr>
          <w:p w14:paraId="6746ADDC" w14:textId="77777777" w:rsidR="00B47442" w:rsidRPr="0009445C" w:rsidRDefault="00B47442" w:rsidP="0099521D">
            <w:pPr>
              <w:pStyle w:val="BRL-Tabelle"/>
              <w:spacing w:before="60" w:after="40"/>
            </w:pPr>
            <w:r w:rsidRPr="0009445C">
              <w:t>Reception and processing of fire alarms</w:t>
            </w:r>
          </w:p>
        </w:tc>
        <w:tc>
          <w:tcPr>
            <w:tcW w:w="427" w:type="dxa"/>
            <w:vAlign w:val="center"/>
          </w:tcPr>
          <w:p w14:paraId="1D88B15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008C122" w14:textId="77777777" w:rsidR="00B47442" w:rsidRPr="0009445C" w:rsidRDefault="00B47442" w:rsidP="0099521D">
            <w:pPr>
              <w:pStyle w:val="BRL-Tabelle"/>
              <w:spacing w:before="60" w:after="40"/>
              <w:jc w:val="center"/>
              <w:rPr>
                <w:sz w:val="16"/>
              </w:rPr>
            </w:pPr>
          </w:p>
        </w:tc>
        <w:tc>
          <w:tcPr>
            <w:tcW w:w="426" w:type="dxa"/>
            <w:vAlign w:val="center"/>
          </w:tcPr>
          <w:p w14:paraId="0AE5FD5C" w14:textId="77777777" w:rsidR="00B47442" w:rsidRPr="0009445C" w:rsidRDefault="00B47442" w:rsidP="0099521D">
            <w:pPr>
              <w:pStyle w:val="BRL-Tabelle"/>
              <w:spacing w:before="60" w:after="40"/>
              <w:jc w:val="center"/>
              <w:rPr>
                <w:sz w:val="16"/>
              </w:rPr>
            </w:pPr>
          </w:p>
        </w:tc>
        <w:tc>
          <w:tcPr>
            <w:tcW w:w="427" w:type="dxa"/>
            <w:vAlign w:val="center"/>
          </w:tcPr>
          <w:p w14:paraId="34357B41" w14:textId="77777777" w:rsidR="00B47442" w:rsidRPr="0009445C" w:rsidRDefault="00B47442" w:rsidP="0099521D">
            <w:pPr>
              <w:pStyle w:val="BRL-Tabelle"/>
              <w:spacing w:before="60" w:after="40"/>
              <w:jc w:val="center"/>
              <w:rPr>
                <w:sz w:val="16"/>
              </w:rPr>
            </w:pPr>
          </w:p>
        </w:tc>
        <w:tc>
          <w:tcPr>
            <w:tcW w:w="425" w:type="dxa"/>
            <w:vAlign w:val="center"/>
          </w:tcPr>
          <w:p w14:paraId="02C6355F" w14:textId="77777777" w:rsidR="00B47442" w:rsidRPr="0009445C" w:rsidRDefault="00B47442" w:rsidP="0099521D">
            <w:pPr>
              <w:pStyle w:val="BRL-Tabelle"/>
              <w:spacing w:before="60" w:after="40"/>
              <w:jc w:val="center"/>
              <w:rPr>
                <w:sz w:val="16"/>
              </w:rPr>
            </w:pPr>
          </w:p>
        </w:tc>
        <w:tc>
          <w:tcPr>
            <w:tcW w:w="426" w:type="dxa"/>
            <w:vAlign w:val="center"/>
          </w:tcPr>
          <w:p w14:paraId="08FA3F4D" w14:textId="77777777" w:rsidR="00B47442" w:rsidRPr="0009445C" w:rsidRDefault="00B47442" w:rsidP="0099521D">
            <w:pPr>
              <w:pStyle w:val="BRL-Tabelle"/>
              <w:spacing w:before="60" w:after="40"/>
              <w:jc w:val="center"/>
              <w:rPr>
                <w:sz w:val="16"/>
              </w:rPr>
            </w:pPr>
          </w:p>
        </w:tc>
        <w:tc>
          <w:tcPr>
            <w:tcW w:w="428" w:type="dxa"/>
            <w:vAlign w:val="center"/>
          </w:tcPr>
          <w:p w14:paraId="035B32E3" w14:textId="77777777" w:rsidR="00B47442" w:rsidRPr="0009445C" w:rsidRDefault="00B47442" w:rsidP="0099521D">
            <w:pPr>
              <w:pStyle w:val="BRL-Tabelle"/>
              <w:spacing w:before="60" w:after="40"/>
              <w:jc w:val="center"/>
              <w:rPr>
                <w:sz w:val="16"/>
              </w:rPr>
            </w:pPr>
          </w:p>
        </w:tc>
        <w:tc>
          <w:tcPr>
            <w:tcW w:w="427" w:type="dxa"/>
            <w:vAlign w:val="center"/>
          </w:tcPr>
          <w:p w14:paraId="5CBBE4A1" w14:textId="77777777" w:rsidR="00B47442" w:rsidRPr="0009445C" w:rsidRDefault="00B47442" w:rsidP="0099521D">
            <w:pPr>
              <w:pStyle w:val="BRL-Tabelle"/>
              <w:spacing w:before="60" w:after="40"/>
              <w:jc w:val="center"/>
              <w:rPr>
                <w:sz w:val="16"/>
              </w:rPr>
            </w:pPr>
          </w:p>
        </w:tc>
        <w:tc>
          <w:tcPr>
            <w:tcW w:w="426" w:type="dxa"/>
            <w:vAlign w:val="center"/>
          </w:tcPr>
          <w:p w14:paraId="2F3ECB9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714F6F0" w14:textId="77777777" w:rsidR="00B47442" w:rsidRPr="0009445C" w:rsidRDefault="00B47442" w:rsidP="0099521D">
            <w:pPr>
              <w:pStyle w:val="BRL-Tabelle"/>
              <w:spacing w:before="60" w:after="40"/>
              <w:jc w:val="center"/>
              <w:rPr>
                <w:sz w:val="16"/>
              </w:rPr>
            </w:pPr>
          </w:p>
        </w:tc>
        <w:tc>
          <w:tcPr>
            <w:tcW w:w="426" w:type="dxa"/>
            <w:vAlign w:val="center"/>
          </w:tcPr>
          <w:p w14:paraId="1A520691" w14:textId="77777777" w:rsidR="00B47442" w:rsidRPr="0009445C" w:rsidRDefault="00B47442" w:rsidP="0099521D">
            <w:pPr>
              <w:pStyle w:val="BRL-Tabelle"/>
              <w:spacing w:before="60" w:after="40"/>
              <w:jc w:val="center"/>
              <w:rPr>
                <w:sz w:val="16"/>
              </w:rPr>
            </w:pPr>
          </w:p>
        </w:tc>
        <w:tc>
          <w:tcPr>
            <w:tcW w:w="433" w:type="dxa"/>
            <w:vAlign w:val="center"/>
          </w:tcPr>
          <w:p w14:paraId="57D2B70D" w14:textId="77777777" w:rsidR="00B47442" w:rsidRPr="0009445C" w:rsidRDefault="00B47442" w:rsidP="0099521D">
            <w:pPr>
              <w:pStyle w:val="BRL-Tabelle"/>
              <w:spacing w:before="60" w:after="40"/>
              <w:jc w:val="center"/>
              <w:rPr>
                <w:sz w:val="16"/>
              </w:rPr>
            </w:pPr>
          </w:p>
        </w:tc>
        <w:tc>
          <w:tcPr>
            <w:tcW w:w="426" w:type="dxa"/>
          </w:tcPr>
          <w:p w14:paraId="49C54769" w14:textId="77777777" w:rsidR="00B47442" w:rsidRPr="0009445C" w:rsidRDefault="00B47442" w:rsidP="0099521D">
            <w:pPr>
              <w:pStyle w:val="BRL-Tabelle"/>
              <w:spacing w:before="60" w:after="40"/>
              <w:jc w:val="center"/>
              <w:rPr>
                <w:sz w:val="16"/>
              </w:rPr>
            </w:pPr>
          </w:p>
        </w:tc>
        <w:tc>
          <w:tcPr>
            <w:tcW w:w="427" w:type="dxa"/>
            <w:vAlign w:val="center"/>
          </w:tcPr>
          <w:p w14:paraId="3051713F" w14:textId="77777777" w:rsidR="00B47442" w:rsidRPr="0009445C" w:rsidRDefault="00B47442" w:rsidP="0099521D">
            <w:pPr>
              <w:pStyle w:val="BRL-Tabelle"/>
              <w:spacing w:before="60" w:after="40"/>
              <w:jc w:val="center"/>
              <w:rPr>
                <w:sz w:val="16"/>
              </w:rPr>
            </w:pPr>
          </w:p>
        </w:tc>
        <w:tc>
          <w:tcPr>
            <w:tcW w:w="426" w:type="dxa"/>
            <w:vAlign w:val="center"/>
          </w:tcPr>
          <w:p w14:paraId="3F723928" w14:textId="77777777" w:rsidR="00B47442" w:rsidRPr="0009445C" w:rsidRDefault="00B47442" w:rsidP="0099521D">
            <w:pPr>
              <w:pStyle w:val="BRL-Tabelle"/>
              <w:spacing w:before="60" w:after="40"/>
              <w:jc w:val="center"/>
              <w:rPr>
                <w:sz w:val="16"/>
              </w:rPr>
            </w:pPr>
          </w:p>
        </w:tc>
        <w:tc>
          <w:tcPr>
            <w:tcW w:w="427" w:type="dxa"/>
            <w:vAlign w:val="center"/>
          </w:tcPr>
          <w:p w14:paraId="1C078102" w14:textId="77777777" w:rsidR="00B47442" w:rsidRPr="0009445C" w:rsidRDefault="00B47442" w:rsidP="0099521D">
            <w:pPr>
              <w:pStyle w:val="BRL-Tabelle"/>
              <w:spacing w:before="60" w:after="40"/>
              <w:jc w:val="center"/>
              <w:rPr>
                <w:sz w:val="16"/>
              </w:rPr>
            </w:pPr>
          </w:p>
        </w:tc>
      </w:tr>
      <w:tr w:rsidR="00B47442" w:rsidRPr="0009445C" w14:paraId="118D0EFC" w14:textId="77777777" w:rsidTr="0099521D">
        <w:trPr>
          <w:trHeight w:val="264"/>
        </w:trPr>
        <w:tc>
          <w:tcPr>
            <w:tcW w:w="2355" w:type="dxa"/>
            <w:gridSpan w:val="2"/>
          </w:tcPr>
          <w:p w14:paraId="2CA06F81" w14:textId="77777777" w:rsidR="00B47442" w:rsidRPr="0009445C" w:rsidRDefault="00B47442" w:rsidP="0099521D">
            <w:pPr>
              <w:pStyle w:val="BRL-Tabelle"/>
              <w:spacing w:before="60" w:after="40"/>
            </w:pPr>
            <w:r w:rsidRPr="0009445C">
              <w:t>Output for forwarding the fire alarm state</w:t>
            </w:r>
          </w:p>
        </w:tc>
        <w:tc>
          <w:tcPr>
            <w:tcW w:w="427" w:type="dxa"/>
            <w:vAlign w:val="center"/>
          </w:tcPr>
          <w:p w14:paraId="21E2850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A152260" w14:textId="77777777" w:rsidR="00B47442" w:rsidRPr="0009445C" w:rsidRDefault="00B47442" w:rsidP="0099521D">
            <w:pPr>
              <w:pStyle w:val="BRL-Tabelle"/>
              <w:spacing w:before="60" w:after="40"/>
              <w:jc w:val="center"/>
              <w:rPr>
                <w:sz w:val="16"/>
              </w:rPr>
            </w:pPr>
          </w:p>
        </w:tc>
        <w:tc>
          <w:tcPr>
            <w:tcW w:w="426" w:type="dxa"/>
            <w:vAlign w:val="center"/>
          </w:tcPr>
          <w:p w14:paraId="67D47A64" w14:textId="77777777" w:rsidR="00B47442" w:rsidRPr="0009445C" w:rsidRDefault="00B47442" w:rsidP="0099521D">
            <w:pPr>
              <w:pStyle w:val="BRL-Tabelle"/>
              <w:spacing w:before="60" w:after="40"/>
              <w:jc w:val="center"/>
              <w:rPr>
                <w:sz w:val="16"/>
              </w:rPr>
            </w:pPr>
          </w:p>
        </w:tc>
        <w:tc>
          <w:tcPr>
            <w:tcW w:w="427" w:type="dxa"/>
            <w:vAlign w:val="center"/>
          </w:tcPr>
          <w:p w14:paraId="5D682D09" w14:textId="77777777" w:rsidR="00B47442" w:rsidRPr="0009445C" w:rsidRDefault="00B47442" w:rsidP="0099521D">
            <w:pPr>
              <w:pStyle w:val="BRL-Tabelle"/>
              <w:spacing w:before="60" w:after="40"/>
              <w:jc w:val="center"/>
              <w:rPr>
                <w:sz w:val="16"/>
              </w:rPr>
            </w:pPr>
          </w:p>
        </w:tc>
        <w:tc>
          <w:tcPr>
            <w:tcW w:w="425" w:type="dxa"/>
            <w:vAlign w:val="center"/>
          </w:tcPr>
          <w:p w14:paraId="0094A2E4" w14:textId="77777777" w:rsidR="00B47442" w:rsidRPr="0009445C" w:rsidRDefault="00B47442" w:rsidP="0099521D">
            <w:pPr>
              <w:pStyle w:val="BRL-Tabelle"/>
              <w:spacing w:before="60" w:after="40"/>
              <w:jc w:val="center"/>
              <w:rPr>
                <w:sz w:val="16"/>
              </w:rPr>
            </w:pPr>
          </w:p>
        </w:tc>
        <w:tc>
          <w:tcPr>
            <w:tcW w:w="426" w:type="dxa"/>
            <w:vAlign w:val="center"/>
          </w:tcPr>
          <w:p w14:paraId="6139B887" w14:textId="77777777" w:rsidR="00B47442" w:rsidRPr="0009445C" w:rsidRDefault="00B47442" w:rsidP="0099521D">
            <w:pPr>
              <w:pStyle w:val="BRL-Tabelle"/>
              <w:spacing w:before="60" w:after="40"/>
              <w:jc w:val="center"/>
              <w:rPr>
                <w:sz w:val="16"/>
              </w:rPr>
            </w:pPr>
          </w:p>
        </w:tc>
        <w:tc>
          <w:tcPr>
            <w:tcW w:w="428" w:type="dxa"/>
            <w:vAlign w:val="center"/>
          </w:tcPr>
          <w:p w14:paraId="7E68F99E" w14:textId="77777777" w:rsidR="00B47442" w:rsidRPr="0009445C" w:rsidRDefault="00B47442" w:rsidP="0099521D">
            <w:pPr>
              <w:pStyle w:val="BRL-Tabelle"/>
              <w:spacing w:before="60" w:after="40"/>
              <w:jc w:val="center"/>
              <w:rPr>
                <w:sz w:val="16"/>
              </w:rPr>
            </w:pPr>
          </w:p>
        </w:tc>
        <w:tc>
          <w:tcPr>
            <w:tcW w:w="427" w:type="dxa"/>
            <w:vAlign w:val="center"/>
          </w:tcPr>
          <w:p w14:paraId="1C3D2141" w14:textId="77777777" w:rsidR="00B47442" w:rsidRPr="0009445C" w:rsidRDefault="00B47442" w:rsidP="0099521D">
            <w:pPr>
              <w:pStyle w:val="BRL-Tabelle"/>
              <w:spacing w:before="60" w:after="40"/>
              <w:jc w:val="center"/>
              <w:rPr>
                <w:sz w:val="16"/>
              </w:rPr>
            </w:pPr>
          </w:p>
        </w:tc>
        <w:tc>
          <w:tcPr>
            <w:tcW w:w="426" w:type="dxa"/>
            <w:vAlign w:val="center"/>
          </w:tcPr>
          <w:p w14:paraId="70318204" w14:textId="77777777" w:rsidR="00B47442" w:rsidRPr="0009445C" w:rsidRDefault="00B47442" w:rsidP="0099521D">
            <w:pPr>
              <w:pStyle w:val="BRL-Tabelle"/>
              <w:spacing w:before="60" w:after="40"/>
              <w:jc w:val="center"/>
              <w:rPr>
                <w:sz w:val="16"/>
              </w:rPr>
            </w:pPr>
          </w:p>
        </w:tc>
        <w:tc>
          <w:tcPr>
            <w:tcW w:w="426" w:type="dxa"/>
            <w:vAlign w:val="center"/>
          </w:tcPr>
          <w:p w14:paraId="3655D7A1" w14:textId="77777777" w:rsidR="00B47442" w:rsidRPr="0009445C" w:rsidRDefault="00B47442" w:rsidP="0099521D">
            <w:pPr>
              <w:pStyle w:val="BRL-Tabelle"/>
              <w:spacing w:before="60" w:after="40"/>
              <w:jc w:val="center"/>
              <w:rPr>
                <w:sz w:val="16"/>
              </w:rPr>
            </w:pPr>
          </w:p>
        </w:tc>
        <w:tc>
          <w:tcPr>
            <w:tcW w:w="426" w:type="dxa"/>
            <w:vAlign w:val="center"/>
          </w:tcPr>
          <w:p w14:paraId="163DFEDA" w14:textId="77777777" w:rsidR="00B47442" w:rsidRPr="0009445C" w:rsidRDefault="00B47442" w:rsidP="0099521D">
            <w:pPr>
              <w:pStyle w:val="BRL-Tabelle"/>
              <w:spacing w:before="60" w:after="40"/>
              <w:jc w:val="center"/>
              <w:rPr>
                <w:sz w:val="16"/>
              </w:rPr>
            </w:pPr>
          </w:p>
        </w:tc>
        <w:tc>
          <w:tcPr>
            <w:tcW w:w="433" w:type="dxa"/>
            <w:vAlign w:val="center"/>
          </w:tcPr>
          <w:p w14:paraId="6366AFFC" w14:textId="77777777" w:rsidR="00B47442" w:rsidRPr="0009445C" w:rsidRDefault="00B47442" w:rsidP="0099521D">
            <w:pPr>
              <w:pStyle w:val="BRL-Tabelle"/>
              <w:spacing w:before="60" w:after="40"/>
              <w:jc w:val="center"/>
              <w:rPr>
                <w:sz w:val="16"/>
              </w:rPr>
            </w:pPr>
          </w:p>
        </w:tc>
        <w:tc>
          <w:tcPr>
            <w:tcW w:w="426" w:type="dxa"/>
          </w:tcPr>
          <w:p w14:paraId="757A38A0" w14:textId="77777777" w:rsidR="00B47442" w:rsidRPr="0009445C" w:rsidRDefault="00B47442" w:rsidP="0099521D">
            <w:pPr>
              <w:pStyle w:val="BRL-Tabelle"/>
              <w:spacing w:before="60" w:after="40"/>
              <w:jc w:val="center"/>
              <w:rPr>
                <w:sz w:val="16"/>
              </w:rPr>
            </w:pPr>
          </w:p>
        </w:tc>
        <w:tc>
          <w:tcPr>
            <w:tcW w:w="427" w:type="dxa"/>
            <w:vAlign w:val="center"/>
          </w:tcPr>
          <w:p w14:paraId="6CDB4969" w14:textId="77777777" w:rsidR="00B47442" w:rsidRPr="0009445C" w:rsidRDefault="00B47442" w:rsidP="0099521D">
            <w:pPr>
              <w:pStyle w:val="BRL-Tabelle"/>
              <w:spacing w:before="60" w:after="40"/>
              <w:jc w:val="center"/>
              <w:rPr>
                <w:sz w:val="16"/>
              </w:rPr>
            </w:pPr>
          </w:p>
        </w:tc>
        <w:tc>
          <w:tcPr>
            <w:tcW w:w="426" w:type="dxa"/>
            <w:vAlign w:val="center"/>
          </w:tcPr>
          <w:p w14:paraId="339C2194" w14:textId="77777777" w:rsidR="00B47442" w:rsidRPr="0009445C" w:rsidRDefault="00B47442" w:rsidP="0099521D">
            <w:pPr>
              <w:pStyle w:val="BRL-Tabelle"/>
              <w:spacing w:before="60" w:after="40"/>
              <w:jc w:val="center"/>
              <w:rPr>
                <w:sz w:val="16"/>
              </w:rPr>
            </w:pPr>
          </w:p>
        </w:tc>
        <w:tc>
          <w:tcPr>
            <w:tcW w:w="427" w:type="dxa"/>
            <w:vAlign w:val="center"/>
          </w:tcPr>
          <w:p w14:paraId="07C0FBEB" w14:textId="77777777" w:rsidR="00B47442" w:rsidRPr="0009445C" w:rsidRDefault="00B47442" w:rsidP="0099521D">
            <w:pPr>
              <w:pStyle w:val="BRL-Tabelle"/>
              <w:spacing w:before="60" w:after="40"/>
              <w:jc w:val="center"/>
              <w:rPr>
                <w:sz w:val="16"/>
              </w:rPr>
            </w:pPr>
          </w:p>
        </w:tc>
      </w:tr>
      <w:tr w:rsidR="00B47442" w:rsidRPr="0009445C" w14:paraId="218268C9" w14:textId="77777777" w:rsidTr="0099521D">
        <w:trPr>
          <w:trHeight w:val="528"/>
        </w:trPr>
        <w:tc>
          <w:tcPr>
            <w:tcW w:w="2355" w:type="dxa"/>
            <w:gridSpan w:val="2"/>
          </w:tcPr>
          <w:p w14:paraId="6B849E41" w14:textId="77777777" w:rsidR="00B47442" w:rsidRPr="0009445C" w:rsidRDefault="00B47442" w:rsidP="0099521D">
            <w:pPr>
              <w:pStyle w:val="BRL-Tabelle"/>
              <w:spacing w:before="60" w:after="40"/>
            </w:pPr>
            <w:r w:rsidRPr="0009445C">
              <w:t>Dependence of the fire alarm state on more than one alarm signal</w:t>
            </w:r>
          </w:p>
        </w:tc>
        <w:tc>
          <w:tcPr>
            <w:tcW w:w="427" w:type="dxa"/>
            <w:vAlign w:val="center"/>
          </w:tcPr>
          <w:p w14:paraId="59B8131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5C1D771" w14:textId="77777777" w:rsidR="00B47442" w:rsidRPr="0009445C" w:rsidRDefault="00B47442" w:rsidP="0099521D">
            <w:pPr>
              <w:pStyle w:val="BRL-Tabelle"/>
              <w:spacing w:before="60" w:after="40"/>
              <w:jc w:val="center"/>
              <w:rPr>
                <w:sz w:val="16"/>
              </w:rPr>
            </w:pPr>
          </w:p>
        </w:tc>
        <w:tc>
          <w:tcPr>
            <w:tcW w:w="426" w:type="dxa"/>
            <w:vAlign w:val="center"/>
          </w:tcPr>
          <w:p w14:paraId="7872BB5A" w14:textId="77777777" w:rsidR="00B47442" w:rsidRPr="0009445C" w:rsidRDefault="00B47442" w:rsidP="0099521D">
            <w:pPr>
              <w:pStyle w:val="BRL-Tabelle"/>
              <w:spacing w:before="60" w:after="40"/>
              <w:jc w:val="center"/>
              <w:rPr>
                <w:sz w:val="16"/>
              </w:rPr>
            </w:pPr>
          </w:p>
        </w:tc>
        <w:tc>
          <w:tcPr>
            <w:tcW w:w="427" w:type="dxa"/>
            <w:vAlign w:val="center"/>
          </w:tcPr>
          <w:p w14:paraId="648A5977" w14:textId="77777777" w:rsidR="00B47442" w:rsidRPr="0009445C" w:rsidRDefault="00B47442" w:rsidP="0099521D">
            <w:pPr>
              <w:pStyle w:val="BRL-Tabelle"/>
              <w:spacing w:before="60" w:after="40"/>
              <w:jc w:val="center"/>
              <w:rPr>
                <w:sz w:val="16"/>
              </w:rPr>
            </w:pPr>
          </w:p>
        </w:tc>
        <w:tc>
          <w:tcPr>
            <w:tcW w:w="425" w:type="dxa"/>
            <w:vAlign w:val="center"/>
          </w:tcPr>
          <w:p w14:paraId="2A97081E" w14:textId="77777777" w:rsidR="00B47442" w:rsidRPr="0009445C" w:rsidRDefault="00B47442" w:rsidP="0099521D">
            <w:pPr>
              <w:pStyle w:val="BRL-Tabelle"/>
              <w:spacing w:before="60" w:after="40"/>
              <w:jc w:val="center"/>
              <w:rPr>
                <w:sz w:val="16"/>
              </w:rPr>
            </w:pPr>
          </w:p>
        </w:tc>
        <w:tc>
          <w:tcPr>
            <w:tcW w:w="426" w:type="dxa"/>
            <w:vAlign w:val="center"/>
          </w:tcPr>
          <w:p w14:paraId="7F1F3139" w14:textId="77777777" w:rsidR="00B47442" w:rsidRPr="0009445C" w:rsidRDefault="00B47442" w:rsidP="0099521D">
            <w:pPr>
              <w:pStyle w:val="BRL-Tabelle"/>
              <w:spacing w:before="60" w:after="40"/>
              <w:jc w:val="center"/>
              <w:rPr>
                <w:sz w:val="16"/>
              </w:rPr>
            </w:pPr>
          </w:p>
        </w:tc>
        <w:tc>
          <w:tcPr>
            <w:tcW w:w="428" w:type="dxa"/>
            <w:vAlign w:val="center"/>
          </w:tcPr>
          <w:p w14:paraId="6AB05F1A" w14:textId="77777777" w:rsidR="00B47442" w:rsidRPr="0009445C" w:rsidRDefault="00B47442" w:rsidP="0099521D">
            <w:pPr>
              <w:pStyle w:val="BRL-Tabelle"/>
              <w:spacing w:before="60" w:after="40"/>
              <w:jc w:val="center"/>
              <w:rPr>
                <w:sz w:val="16"/>
              </w:rPr>
            </w:pPr>
          </w:p>
        </w:tc>
        <w:tc>
          <w:tcPr>
            <w:tcW w:w="427" w:type="dxa"/>
            <w:vAlign w:val="center"/>
          </w:tcPr>
          <w:p w14:paraId="0B3D4AFB" w14:textId="77777777" w:rsidR="00B47442" w:rsidRPr="0009445C" w:rsidRDefault="00B47442" w:rsidP="0099521D">
            <w:pPr>
              <w:pStyle w:val="BRL-Tabelle"/>
              <w:spacing w:before="60" w:after="40"/>
              <w:jc w:val="center"/>
              <w:rPr>
                <w:sz w:val="16"/>
              </w:rPr>
            </w:pPr>
          </w:p>
        </w:tc>
        <w:tc>
          <w:tcPr>
            <w:tcW w:w="426" w:type="dxa"/>
            <w:vAlign w:val="center"/>
          </w:tcPr>
          <w:p w14:paraId="49722D30" w14:textId="77777777" w:rsidR="00B47442" w:rsidRPr="0009445C" w:rsidRDefault="00B47442" w:rsidP="0099521D">
            <w:pPr>
              <w:pStyle w:val="BRL-Tabelle"/>
              <w:spacing w:before="60" w:after="40"/>
              <w:jc w:val="center"/>
              <w:rPr>
                <w:sz w:val="16"/>
              </w:rPr>
            </w:pPr>
          </w:p>
        </w:tc>
        <w:tc>
          <w:tcPr>
            <w:tcW w:w="426" w:type="dxa"/>
            <w:vAlign w:val="center"/>
          </w:tcPr>
          <w:p w14:paraId="3C3C7882" w14:textId="77777777" w:rsidR="00B47442" w:rsidRPr="0009445C" w:rsidRDefault="00B47442" w:rsidP="0099521D">
            <w:pPr>
              <w:pStyle w:val="BRL-Tabelle"/>
              <w:spacing w:before="60" w:after="40"/>
              <w:jc w:val="center"/>
              <w:rPr>
                <w:sz w:val="16"/>
              </w:rPr>
            </w:pPr>
          </w:p>
        </w:tc>
        <w:tc>
          <w:tcPr>
            <w:tcW w:w="426" w:type="dxa"/>
            <w:vAlign w:val="center"/>
          </w:tcPr>
          <w:p w14:paraId="76E7E68B" w14:textId="77777777" w:rsidR="00B47442" w:rsidRPr="0009445C" w:rsidRDefault="00B47442" w:rsidP="0099521D">
            <w:pPr>
              <w:pStyle w:val="BRL-Tabelle"/>
              <w:spacing w:before="60" w:after="40"/>
              <w:jc w:val="center"/>
              <w:rPr>
                <w:sz w:val="16"/>
              </w:rPr>
            </w:pPr>
          </w:p>
        </w:tc>
        <w:tc>
          <w:tcPr>
            <w:tcW w:w="433" w:type="dxa"/>
            <w:vAlign w:val="center"/>
          </w:tcPr>
          <w:p w14:paraId="3984621A" w14:textId="77777777" w:rsidR="00B47442" w:rsidRPr="0009445C" w:rsidRDefault="00B47442" w:rsidP="0099521D">
            <w:pPr>
              <w:pStyle w:val="BRL-Tabelle"/>
              <w:spacing w:before="60" w:after="40"/>
              <w:jc w:val="center"/>
              <w:rPr>
                <w:sz w:val="16"/>
              </w:rPr>
            </w:pPr>
          </w:p>
        </w:tc>
        <w:tc>
          <w:tcPr>
            <w:tcW w:w="426" w:type="dxa"/>
          </w:tcPr>
          <w:p w14:paraId="26B43FD0" w14:textId="77777777" w:rsidR="00B47442" w:rsidRPr="0009445C" w:rsidRDefault="00B47442" w:rsidP="0099521D">
            <w:pPr>
              <w:pStyle w:val="BRL-Tabelle"/>
              <w:spacing w:before="60" w:after="40"/>
              <w:jc w:val="center"/>
              <w:rPr>
                <w:sz w:val="16"/>
              </w:rPr>
            </w:pPr>
          </w:p>
        </w:tc>
        <w:tc>
          <w:tcPr>
            <w:tcW w:w="427" w:type="dxa"/>
            <w:vAlign w:val="center"/>
          </w:tcPr>
          <w:p w14:paraId="6C00C329" w14:textId="77777777" w:rsidR="00B47442" w:rsidRPr="0009445C" w:rsidRDefault="00B47442" w:rsidP="0099521D">
            <w:pPr>
              <w:pStyle w:val="BRL-Tabelle"/>
              <w:spacing w:before="60" w:after="40"/>
              <w:jc w:val="center"/>
              <w:rPr>
                <w:sz w:val="16"/>
              </w:rPr>
            </w:pPr>
          </w:p>
        </w:tc>
        <w:tc>
          <w:tcPr>
            <w:tcW w:w="426" w:type="dxa"/>
            <w:vAlign w:val="center"/>
          </w:tcPr>
          <w:p w14:paraId="744BE95D" w14:textId="77777777" w:rsidR="00B47442" w:rsidRPr="0009445C" w:rsidRDefault="00B47442" w:rsidP="0099521D">
            <w:pPr>
              <w:pStyle w:val="BRL-Tabelle"/>
              <w:spacing w:before="60" w:after="40"/>
              <w:jc w:val="center"/>
              <w:rPr>
                <w:sz w:val="16"/>
              </w:rPr>
            </w:pPr>
          </w:p>
        </w:tc>
        <w:tc>
          <w:tcPr>
            <w:tcW w:w="427" w:type="dxa"/>
            <w:vAlign w:val="center"/>
          </w:tcPr>
          <w:p w14:paraId="1F447D2A" w14:textId="77777777" w:rsidR="00B47442" w:rsidRPr="0009445C" w:rsidRDefault="00B47442" w:rsidP="0099521D">
            <w:pPr>
              <w:pStyle w:val="BRL-Tabelle"/>
              <w:spacing w:before="60" w:after="40"/>
              <w:jc w:val="center"/>
              <w:rPr>
                <w:sz w:val="16"/>
              </w:rPr>
            </w:pPr>
          </w:p>
        </w:tc>
      </w:tr>
      <w:tr w:rsidR="00B47442" w:rsidRPr="0009445C" w14:paraId="53F48FE8" w14:textId="77777777" w:rsidTr="0099521D">
        <w:trPr>
          <w:trHeight w:val="264"/>
        </w:trPr>
        <w:tc>
          <w:tcPr>
            <w:tcW w:w="2355" w:type="dxa"/>
            <w:gridSpan w:val="2"/>
          </w:tcPr>
          <w:p w14:paraId="22FAA729" w14:textId="77777777" w:rsidR="00B47442" w:rsidRPr="0009445C" w:rsidRDefault="00B47442" w:rsidP="0099521D">
            <w:pPr>
              <w:pStyle w:val="BRL-Tabelle"/>
              <w:spacing w:before="60" w:after="40"/>
            </w:pPr>
            <w:r w:rsidRPr="0009445C">
              <w:t>Rapid changes in light attenuation</w:t>
            </w:r>
          </w:p>
        </w:tc>
        <w:tc>
          <w:tcPr>
            <w:tcW w:w="427" w:type="dxa"/>
            <w:vAlign w:val="center"/>
          </w:tcPr>
          <w:p w14:paraId="04EB95F5" w14:textId="77777777" w:rsidR="00B47442" w:rsidRPr="0009445C" w:rsidRDefault="00B47442" w:rsidP="0099521D">
            <w:pPr>
              <w:pStyle w:val="BRL-Tabelle"/>
              <w:spacing w:before="60" w:after="40"/>
              <w:jc w:val="center"/>
              <w:rPr>
                <w:sz w:val="16"/>
              </w:rPr>
            </w:pPr>
          </w:p>
        </w:tc>
        <w:tc>
          <w:tcPr>
            <w:tcW w:w="427" w:type="dxa"/>
            <w:vAlign w:val="center"/>
          </w:tcPr>
          <w:p w14:paraId="5CE4851C" w14:textId="77777777" w:rsidR="00B47442" w:rsidRPr="0009445C" w:rsidRDefault="00B47442" w:rsidP="0099521D">
            <w:pPr>
              <w:pStyle w:val="BRL-Tabelle"/>
              <w:spacing w:before="60" w:after="40"/>
              <w:jc w:val="center"/>
              <w:rPr>
                <w:sz w:val="16"/>
              </w:rPr>
            </w:pPr>
          </w:p>
        </w:tc>
        <w:tc>
          <w:tcPr>
            <w:tcW w:w="426" w:type="dxa"/>
            <w:vAlign w:val="center"/>
          </w:tcPr>
          <w:p w14:paraId="45D36A59" w14:textId="77777777" w:rsidR="00B47442" w:rsidRPr="0009445C" w:rsidRDefault="00B47442" w:rsidP="0099521D">
            <w:pPr>
              <w:pStyle w:val="BRL-Tabelle"/>
              <w:spacing w:before="60" w:after="40"/>
              <w:jc w:val="center"/>
              <w:rPr>
                <w:sz w:val="16"/>
              </w:rPr>
            </w:pPr>
          </w:p>
        </w:tc>
        <w:tc>
          <w:tcPr>
            <w:tcW w:w="427" w:type="dxa"/>
            <w:vAlign w:val="center"/>
          </w:tcPr>
          <w:p w14:paraId="5AA3B6BE" w14:textId="77777777" w:rsidR="00B47442" w:rsidRPr="0009445C" w:rsidRDefault="00B47442" w:rsidP="0099521D">
            <w:pPr>
              <w:pStyle w:val="BRL-Tabelle"/>
              <w:spacing w:before="60" w:after="40"/>
              <w:jc w:val="center"/>
              <w:rPr>
                <w:sz w:val="16"/>
              </w:rPr>
            </w:pPr>
          </w:p>
        </w:tc>
        <w:tc>
          <w:tcPr>
            <w:tcW w:w="425" w:type="dxa"/>
            <w:vAlign w:val="center"/>
          </w:tcPr>
          <w:p w14:paraId="55A66BC4" w14:textId="77777777" w:rsidR="00B47442" w:rsidRPr="0009445C" w:rsidRDefault="00B47442" w:rsidP="0099521D">
            <w:pPr>
              <w:pStyle w:val="BRL-Tabelle"/>
              <w:spacing w:before="60" w:after="40"/>
              <w:jc w:val="center"/>
              <w:rPr>
                <w:sz w:val="16"/>
              </w:rPr>
            </w:pPr>
          </w:p>
        </w:tc>
        <w:tc>
          <w:tcPr>
            <w:tcW w:w="426" w:type="dxa"/>
            <w:vAlign w:val="center"/>
          </w:tcPr>
          <w:p w14:paraId="6C8128C0" w14:textId="77777777" w:rsidR="00B47442" w:rsidRPr="0009445C" w:rsidRDefault="00B47442" w:rsidP="0099521D">
            <w:pPr>
              <w:pStyle w:val="BRL-Tabelle"/>
              <w:spacing w:before="60" w:after="40"/>
              <w:jc w:val="center"/>
              <w:rPr>
                <w:sz w:val="16"/>
              </w:rPr>
            </w:pPr>
          </w:p>
        </w:tc>
        <w:tc>
          <w:tcPr>
            <w:tcW w:w="428" w:type="dxa"/>
            <w:vAlign w:val="center"/>
          </w:tcPr>
          <w:p w14:paraId="320532D4" w14:textId="77777777" w:rsidR="00B47442" w:rsidRPr="0009445C" w:rsidRDefault="00B47442" w:rsidP="0099521D">
            <w:pPr>
              <w:pStyle w:val="BRL-Tabelle"/>
              <w:spacing w:before="60" w:after="40"/>
              <w:jc w:val="center"/>
              <w:rPr>
                <w:sz w:val="16"/>
              </w:rPr>
            </w:pPr>
          </w:p>
        </w:tc>
        <w:tc>
          <w:tcPr>
            <w:tcW w:w="427" w:type="dxa"/>
            <w:vAlign w:val="center"/>
          </w:tcPr>
          <w:p w14:paraId="0C7BCA3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40908E8" w14:textId="77777777" w:rsidR="00B47442" w:rsidRPr="0009445C" w:rsidRDefault="00B47442" w:rsidP="0099521D">
            <w:pPr>
              <w:pStyle w:val="BRL-Tabelle"/>
              <w:spacing w:before="60" w:after="40"/>
              <w:jc w:val="center"/>
              <w:rPr>
                <w:sz w:val="16"/>
              </w:rPr>
            </w:pPr>
          </w:p>
        </w:tc>
        <w:tc>
          <w:tcPr>
            <w:tcW w:w="426" w:type="dxa"/>
            <w:vAlign w:val="center"/>
          </w:tcPr>
          <w:p w14:paraId="69A761DA" w14:textId="77777777" w:rsidR="00B47442" w:rsidRPr="0009445C" w:rsidRDefault="00B47442" w:rsidP="0099521D">
            <w:pPr>
              <w:pStyle w:val="BRL-Tabelle"/>
              <w:spacing w:before="60" w:after="40"/>
              <w:jc w:val="center"/>
              <w:rPr>
                <w:sz w:val="16"/>
              </w:rPr>
            </w:pPr>
          </w:p>
        </w:tc>
        <w:tc>
          <w:tcPr>
            <w:tcW w:w="426" w:type="dxa"/>
            <w:vAlign w:val="center"/>
          </w:tcPr>
          <w:p w14:paraId="5561E387" w14:textId="77777777" w:rsidR="00B47442" w:rsidRPr="0009445C" w:rsidRDefault="00B47442" w:rsidP="0099521D">
            <w:pPr>
              <w:pStyle w:val="BRL-Tabelle"/>
              <w:spacing w:before="60" w:after="40"/>
              <w:jc w:val="center"/>
              <w:rPr>
                <w:sz w:val="16"/>
              </w:rPr>
            </w:pPr>
          </w:p>
        </w:tc>
        <w:tc>
          <w:tcPr>
            <w:tcW w:w="433" w:type="dxa"/>
            <w:vAlign w:val="center"/>
          </w:tcPr>
          <w:p w14:paraId="27628B22" w14:textId="77777777" w:rsidR="00B47442" w:rsidRPr="0009445C" w:rsidRDefault="00B47442" w:rsidP="0099521D">
            <w:pPr>
              <w:pStyle w:val="BRL-Tabelle"/>
              <w:spacing w:before="60" w:after="40"/>
              <w:jc w:val="center"/>
              <w:rPr>
                <w:sz w:val="16"/>
              </w:rPr>
            </w:pPr>
          </w:p>
        </w:tc>
        <w:tc>
          <w:tcPr>
            <w:tcW w:w="426" w:type="dxa"/>
          </w:tcPr>
          <w:p w14:paraId="0A807012" w14:textId="77777777" w:rsidR="00B47442" w:rsidRPr="0009445C" w:rsidRDefault="00B47442" w:rsidP="0099521D">
            <w:pPr>
              <w:pStyle w:val="BRL-Tabelle"/>
              <w:spacing w:before="60" w:after="40"/>
              <w:jc w:val="center"/>
              <w:rPr>
                <w:sz w:val="16"/>
              </w:rPr>
            </w:pPr>
          </w:p>
        </w:tc>
        <w:tc>
          <w:tcPr>
            <w:tcW w:w="427" w:type="dxa"/>
            <w:vAlign w:val="center"/>
          </w:tcPr>
          <w:p w14:paraId="7C581869" w14:textId="77777777" w:rsidR="00B47442" w:rsidRPr="0009445C" w:rsidRDefault="00B47442" w:rsidP="0099521D">
            <w:pPr>
              <w:pStyle w:val="BRL-Tabelle"/>
              <w:spacing w:before="60" w:after="40"/>
              <w:jc w:val="center"/>
              <w:rPr>
                <w:sz w:val="16"/>
              </w:rPr>
            </w:pPr>
          </w:p>
        </w:tc>
        <w:tc>
          <w:tcPr>
            <w:tcW w:w="426" w:type="dxa"/>
            <w:vAlign w:val="center"/>
          </w:tcPr>
          <w:p w14:paraId="5AAD64FC" w14:textId="77777777" w:rsidR="00B47442" w:rsidRPr="0009445C" w:rsidRDefault="00B47442" w:rsidP="0099521D">
            <w:pPr>
              <w:pStyle w:val="BRL-Tabelle"/>
              <w:spacing w:before="60" w:after="40"/>
              <w:jc w:val="center"/>
              <w:rPr>
                <w:sz w:val="16"/>
              </w:rPr>
            </w:pPr>
          </w:p>
        </w:tc>
        <w:tc>
          <w:tcPr>
            <w:tcW w:w="427" w:type="dxa"/>
            <w:vAlign w:val="center"/>
          </w:tcPr>
          <w:p w14:paraId="490806AA" w14:textId="77777777" w:rsidR="00B47442" w:rsidRPr="0009445C" w:rsidRDefault="00B47442" w:rsidP="0099521D">
            <w:pPr>
              <w:pStyle w:val="BRL-Tabelle"/>
              <w:spacing w:before="60" w:after="40"/>
              <w:jc w:val="center"/>
              <w:rPr>
                <w:sz w:val="16"/>
              </w:rPr>
            </w:pPr>
          </w:p>
        </w:tc>
      </w:tr>
      <w:tr w:rsidR="00B47442" w:rsidRPr="0009445C" w14:paraId="03401AA9" w14:textId="77777777" w:rsidTr="0099521D">
        <w:trPr>
          <w:trHeight w:val="264"/>
        </w:trPr>
        <w:tc>
          <w:tcPr>
            <w:tcW w:w="2355" w:type="dxa"/>
            <w:gridSpan w:val="2"/>
          </w:tcPr>
          <w:p w14:paraId="6841A38D" w14:textId="77777777" w:rsidR="00B47442" w:rsidRPr="0009445C" w:rsidRDefault="00B47442" w:rsidP="0099521D">
            <w:pPr>
              <w:pStyle w:val="BRL-Tabelle"/>
              <w:spacing w:before="60" w:after="40"/>
              <w:rPr>
                <w:rFonts w:cs="Arial"/>
              </w:rPr>
            </w:pPr>
            <w:r w:rsidRPr="0009445C">
              <w:t>Delay in the transition to the voice alarm state</w:t>
            </w:r>
          </w:p>
        </w:tc>
        <w:tc>
          <w:tcPr>
            <w:tcW w:w="427" w:type="dxa"/>
            <w:vAlign w:val="center"/>
          </w:tcPr>
          <w:p w14:paraId="392C441F" w14:textId="77777777" w:rsidR="00B47442" w:rsidRPr="0009445C" w:rsidRDefault="00B47442" w:rsidP="0099521D">
            <w:pPr>
              <w:pStyle w:val="Tabellentext"/>
              <w:spacing w:before="60" w:after="40"/>
              <w:rPr>
                <w:rFonts w:cs="Arial"/>
                <w:sz w:val="16"/>
              </w:rPr>
            </w:pPr>
          </w:p>
        </w:tc>
        <w:tc>
          <w:tcPr>
            <w:tcW w:w="427" w:type="dxa"/>
            <w:vAlign w:val="center"/>
          </w:tcPr>
          <w:p w14:paraId="723E2250" w14:textId="77777777" w:rsidR="00B47442" w:rsidRPr="0009445C" w:rsidRDefault="00B47442" w:rsidP="0099521D">
            <w:pPr>
              <w:pStyle w:val="Tabellentext"/>
              <w:spacing w:before="60" w:after="40"/>
              <w:rPr>
                <w:rFonts w:cs="Arial"/>
                <w:sz w:val="16"/>
              </w:rPr>
            </w:pPr>
          </w:p>
        </w:tc>
        <w:tc>
          <w:tcPr>
            <w:tcW w:w="426" w:type="dxa"/>
            <w:vAlign w:val="center"/>
          </w:tcPr>
          <w:p w14:paraId="54B75B16" w14:textId="77777777" w:rsidR="00B47442" w:rsidRPr="0009445C" w:rsidRDefault="00B47442" w:rsidP="0099521D">
            <w:pPr>
              <w:pStyle w:val="Tabellentext"/>
              <w:spacing w:before="60" w:after="40"/>
              <w:rPr>
                <w:rFonts w:cs="Arial"/>
                <w:sz w:val="16"/>
              </w:rPr>
            </w:pPr>
          </w:p>
        </w:tc>
        <w:tc>
          <w:tcPr>
            <w:tcW w:w="427" w:type="dxa"/>
            <w:vAlign w:val="center"/>
          </w:tcPr>
          <w:p w14:paraId="192E36EF" w14:textId="77777777" w:rsidR="00B47442" w:rsidRPr="0009445C" w:rsidRDefault="00B47442" w:rsidP="0099521D">
            <w:pPr>
              <w:pStyle w:val="Tabellentext"/>
              <w:spacing w:before="60" w:after="40"/>
              <w:rPr>
                <w:rFonts w:cs="Arial"/>
                <w:sz w:val="16"/>
              </w:rPr>
            </w:pPr>
          </w:p>
        </w:tc>
        <w:tc>
          <w:tcPr>
            <w:tcW w:w="425" w:type="dxa"/>
            <w:vAlign w:val="center"/>
          </w:tcPr>
          <w:p w14:paraId="1CFE1D6F" w14:textId="77777777" w:rsidR="00B47442" w:rsidRPr="0009445C" w:rsidRDefault="00B47442" w:rsidP="0099521D">
            <w:pPr>
              <w:pStyle w:val="Tabellentext"/>
              <w:spacing w:before="60" w:after="40"/>
              <w:rPr>
                <w:rFonts w:cs="Arial"/>
                <w:sz w:val="16"/>
              </w:rPr>
            </w:pPr>
          </w:p>
        </w:tc>
        <w:tc>
          <w:tcPr>
            <w:tcW w:w="426" w:type="dxa"/>
            <w:vAlign w:val="center"/>
          </w:tcPr>
          <w:p w14:paraId="5BBBDE0D" w14:textId="77777777" w:rsidR="00B47442" w:rsidRPr="0009445C" w:rsidRDefault="00B47442" w:rsidP="0099521D">
            <w:pPr>
              <w:pStyle w:val="Tabellentext"/>
              <w:spacing w:before="60" w:after="40"/>
              <w:rPr>
                <w:rFonts w:cs="Arial"/>
                <w:sz w:val="16"/>
              </w:rPr>
            </w:pPr>
          </w:p>
        </w:tc>
        <w:tc>
          <w:tcPr>
            <w:tcW w:w="428" w:type="dxa"/>
            <w:vAlign w:val="center"/>
          </w:tcPr>
          <w:p w14:paraId="51427170" w14:textId="77777777" w:rsidR="00B47442" w:rsidRPr="0009445C" w:rsidRDefault="00B47442" w:rsidP="0099521D">
            <w:pPr>
              <w:pStyle w:val="Tabellentext"/>
              <w:spacing w:before="60" w:after="40"/>
              <w:rPr>
                <w:rFonts w:cs="Arial"/>
                <w:sz w:val="16"/>
              </w:rPr>
            </w:pPr>
          </w:p>
        </w:tc>
        <w:tc>
          <w:tcPr>
            <w:tcW w:w="427" w:type="dxa"/>
            <w:vAlign w:val="center"/>
          </w:tcPr>
          <w:p w14:paraId="7D06B1EC" w14:textId="77777777" w:rsidR="00B47442" w:rsidRPr="0009445C" w:rsidRDefault="00B47442" w:rsidP="0099521D">
            <w:pPr>
              <w:pStyle w:val="Tabellentext"/>
              <w:spacing w:before="60" w:after="40"/>
              <w:rPr>
                <w:rFonts w:cs="Arial"/>
                <w:sz w:val="16"/>
              </w:rPr>
            </w:pPr>
          </w:p>
        </w:tc>
        <w:tc>
          <w:tcPr>
            <w:tcW w:w="426" w:type="dxa"/>
            <w:vAlign w:val="center"/>
          </w:tcPr>
          <w:p w14:paraId="04E49B95"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6" w:type="dxa"/>
            <w:vAlign w:val="center"/>
          </w:tcPr>
          <w:p w14:paraId="51314585" w14:textId="77777777" w:rsidR="00B47442" w:rsidRPr="0009445C" w:rsidRDefault="00B47442" w:rsidP="0099521D">
            <w:pPr>
              <w:pStyle w:val="Tabellentext"/>
              <w:spacing w:before="60" w:after="40"/>
              <w:rPr>
                <w:rFonts w:cs="Arial"/>
                <w:sz w:val="16"/>
              </w:rPr>
            </w:pPr>
          </w:p>
        </w:tc>
        <w:tc>
          <w:tcPr>
            <w:tcW w:w="426" w:type="dxa"/>
            <w:vAlign w:val="center"/>
          </w:tcPr>
          <w:p w14:paraId="6A44E777" w14:textId="77777777" w:rsidR="00B47442" w:rsidRPr="0009445C" w:rsidRDefault="00B47442" w:rsidP="0099521D">
            <w:pPr>
              <w:spacing w:before="60" w:after="40" w:line="240" w:lineRule="auto"/>
              <w:rPr>
                <w:rFonts w:eastAsia="Calibri" w:cs="Arial"/>
                <w:kern w:val="28"/>
                <w:sz w:val="16"/>
                <w:lang w:eastAsia="en-US"/>
              </w:rPr>
            </w:pPr>
          </w:p>
        </w:tc>
        <w:tc>
          <w:tcPr>
            <w:tcW w:w="433" w:type="dxa"/>
            <w:vAlign w:val="center"/>
          </w:tcPr>
          <w:p w14:paraId="7070AC80" w14:textId="77777777" w:rsidR="00B47442" w:rsidRPr="0009445C" w:rsidRDefault="00B47442" w:rsidP="0099521D">
            <w:pPr>
              <w:spacing w:before="60" w:after="40" w:line="240" w:lineRule="auto"/>
              <w:rPr>
                <w:rFonts w:eastAsia="Calibri" w:cs="Arial"/>
                <w:kern w:val="28"/>
                <w:sz w:val="16"/>
                <w:lang w:eastAsia="en-US"/>
              </w:rPr>
            </w:pPr>
          </w:p>
        </w:tc>
        <w:tc>
          <w:tcPr>
            <w:tcW w:w="426" w:type="dxa"/>
          </w:tcPr>
          <w:p w14:paraId="2D969666" w14:textId="77777777" w:rsidR="00B47442" w:rsidRPr="0009445C" w:rsidRDefault="00B47442" w:rsidP="0099521D">
            <w:pPr>
              <w:spacing w:before="60" w:after="40" w:line="240" w:lineRule="auto"/>
              <w:rPr>
                <w:rFonts w:eastAsia="Calibri" w:cs="Arial"/>
                <w:kern w:val="28"/>
                <w:sz w:val="16"/>
                <w:lang w:eastAsia="en-US"/>
              </w:rPr>
            </w:pPr>
          </w:p>
        </w:tc>
        <w:tc>
          <w:tcPr>
            <w:tcW w:w="427" w:type="dxa"/>
            <w:vAlign w:val="center"/>
          </w:tcPr>
          <w:p w14:paraId="0514901D" w14:textId="77777777" w:rsidR="00B47442" w:rsidRPr="0009445C" w:rsidRDefault="00B47442" w:rsidP="0099521D">
            <w:pPr>
              <w:spacing w:before="60" w:after="40" w:line="240" w:lineRule="auto"/>
              <w:rPr>
                <w:rFonts w:eastAsia="Calibri" w:cs="Arial"/>
                <w:kern w:val="28"/>
                <w:sz w:val="16"/>
                <w:lang w:eastAsia="en-US"/>
              </w:rPr>
            </w:pPr>
          </w:p>
        </w:tc>
        <w:tc>
          <w:tcPr>
            <w:tcW w:w="426" w:type="dxa"/>
            <w:vAlign w:val="center"/>
          </w:tcPr>
          <w:p w14:paraId="00E95FD6" w14:textId="77777777" w:rsidR="00B47442" w:rsidRPr="0009445C" w:rsidRDefault="00B47442" w:rsidP="0099521D">
            <w:pPr>
              <w:spacing w:before="60" w:after="40" w:line="240" w:lineRule="auto"/>
              <w:rPr>
                <w:rFonts w:eastAsia="Calibri" w:cs="Arial"/>
                <w:kern w:val="28"/>
                <w:sz w:val="16"/>
                <w:lang w:eastAsia="en-US"/>
              </w:rPr>
            </w:pPr>
          </w:p>
        </w:tc>
        <w:tc>
          <w:tcPr>
            <w:tcW w:w="427" w:type="dxa"/>
            <w:vAlign w:val="center"/>
          </w:tcPr>
          <w:p w14:paraId="140E4A2B" w14:textId="77777777" w:rsidR="00B47442" w:rsidRPr="0009445C" w:rsidRDefault="00B47442" w:rsidP="0099521D">
            <w:pPr>
              <w:spacing w:before="60" w:after="40" w:line="240" w:lineRule="auto"/>
              <w:rPr>
                <w:rFonts w:eastAsia="Calibri" w:cs="Arial"/>
                <w:kern w:val="28"/>
                <w:sz w:val="16"/>
                <w:lang w:eastAsia="en-US"/>
              </w:rPr>
            </w:pPr>
          </w:p>
        </w:tc>
      </w:tr>
      <w:tr w:rsidR="00B47442" w:rsidRPr="0009445C" w14:paraId="261EB65A" w14:textId="77777777" w:rsidTr="0099521D">
        <w:trPr>
          <w:trHeight w:val="264"/>
        </w:trPr>
        <w:tc>
          <w:tcPr>
            <w:tcW w:w="2355" w:type="dxa"/>
            <w:gridSpan w:val="2"/>
          </w:tcPr>
          <w:p w14:paraId="4D4B6580" w14:textId="77777777" w:rsidR="00B47442" w:rsidRPr="0009445C" w:rsidRDefault="00B47442" w:rsidP="0099521D">
            <w:pPr>
              <w:pStyle w:val="BRL-Tabelle"/>
              <w:spacing w:before="60" w:after="40"/>
              <w:rPr>
                <w:rFonts w:cs="Arial"/>
              </w:rPr>
            </w:pPr>
            <w:r w:rsidRPr="0009445C">
              <w:t>Output to alarm systems</w:t>
            </w:r>
          </w:p>
        </w:tc>
        <w:tc>
          <w:tcPr>
            <w:tcW w:w="427" w:type="dxa"/>
            <w:vAlign w:val="center"/>
          </w:tcPr>
          <w:p w14:paraId="6081C61D" w14:textId="77777777" w:rsidR="00B47442" w:rsidRPr="0009445C" w:rsidRDefault="00B47442" w:rsidP="0099521D">
            <w:pPr>
              <w:pStyle w:val="Tabellentext"/>
              <w:spacing w:before="60" w:after="40"/>
              <w:rPr>
                <w:rFonts w:cs="Arial"/>
                <w:sz w:val="16"/>
              </w:rPr>
            </w:pPr>
          </w:p>
        </w:tc>
        <w:tc>
          <w:tcPr>
            <w:tcW w:w="427" w:type="dxa"/>
            <w:vAlign w:val="center"/>
          </w:tcPr>
          <w:p w14:paraId="6D9A4131" w14:textId="77777777" w:rsidR="00B47442" w:rsidRPr="0009445C" w:rsidRDefault="00B47442" w:rsidP="0099521D">
            <w:pPr>
              <w:pStyle w:val="Tabellentext"/>
              <w:spacing w:before="60" w:after="40"/>
              <w:rPr>
                <w:rFonts w:cs="Arial"/>
                <w:sz w:val="16"/>
              </w:rPr>
            </w:pPr>
          </w:p>
        </w:tc>
        <w:tc>
          <w:tcPr>
            <w:tcW w:w="426" w:type="dxa"/>
            <w:vAlign w:val="center"/>
          </w:tcPr>
          <w:p w14:paraId="51C3DBE7" w14:textId="77777777" w:rsidR="00B47442" w:rsidRPr="0009445C" w:rsidRDefault="00B47442" w:rsidP="0099521D">
            <w:pPr>
              <w:pStyle w:val="Tabellentext"/>
              <w:spacing w:before="60" w:after="40"/>
              <w:rPr>
                <w:rFonts w:cs="Arial"/>
                <w:sz w:val="16"/>
              </w:rPr>
            </w:pPr>
          </w:p>
        </w:tc>
        <w:tc>
          <w:tcPr>
            <w:tcW w:w="427" w:type="dxa"/>
            <w:vAlign w:val="center"/>
          </w:tcPr>
          <w:p w14:paraId="61D8045C" w14:textId="77777777" w:rsidR="00B47442" w:rsidRPr="0009445C" w:rsidRDefault="00B47442" w:rsidP="0099521D">
            <w:pPr>
              <w:pStyle w:val="Tabellentext"/>
              <w:spacing w:before="60" w:after="40"/>
              <w:rPr>
                <w:rFonts w:cs="Arial"/>
                <w:sz w:val="16"/>
              </w:rPr>
            </w:pPr>
          </w:p>
        </w:tc>
        <w:tc>
          <w:tcPr>
            <w:tcW w:w="425" w:type="dxa"/>
            <w:vAlign w:val="center"/>
          </w:tcPr>
          <w:p w14:paraId="372C164A" w14:textId="77777777" w:rsidR="00B47442" w:rsidRPr="0009445C" w:rsidRDefault="00B47442" w:rsidP="0099521D">
            <w:pPr>
              <w:pStyle w:val="Tabellentext"/>
              <w:spacing w:before="60" w:after="40"/>
              <w:rPr>
                <w:rFonts w:cs="Arial"/>
                <w:sz w:val="16"/>
              </w:rPr>
            </w:pPr>
          </w:p>
        </w:tc>
        <w:tc>
          <w:tcPr>
            <w:tcW w:w="426" w:type="dxa"/>
            <w:vAlign w:val="center"/>
          </w:tcPr>
          <w:p w14:paraId="315FD8B2" w14:textId="77777777" w:rsidR="00B47442" w:rsidRPr="0009445C" w:rsidRDefault="00B47442" w:rsidP="0099521D">
            <w:pPr>
              <w:pStyle w:val="Tabellentext"/>
              <w:spacing w:before="60" w:after="40"/>
              <w:rPr>
                <w:rFonts w:cs="Arial"/>
                <w:sz w:val="16"/>
              </w:rPr>
            </w:pPr>
          </w:p>
        </w:tc>
        <w:tc>
          <w:tcPr>
            <w:tcW w:w="428" w:type="dxa"/>
            <w:vAlign w:val="center"/>
          </w:tcPr>
          <w:p w14:paraId="4508E6E7" w14:textId="77777777" w:rsidR="00B47442" w:rsidRPr="0009445C" w:rsidRDefault="00B47442" w:rsidP="0099521D">
            <w:pPr>
              <w:pStyle w:val="Tabellentext"/>
              <w:spacing w:before="60" w:after="40"/>
              <w:rPr>
                <w:rFonts w:cs="Arial"/>
                <w:sz w:val="16"/>
              </w:rPr>
            </w:pPr>
          </w:p>
        </w:tc>
        <w:tc>
          <w:tcPr>
            <w:tcW w:w="427" w:type="dxa"/>
            <w:vAlign w:val="center"/>
          </w:tcPr>
          <w:p w14:paraId="018EF547" w14:textId="77777777" w:rsidR="00B47442" w:rsidRPr="0009445C" w:rsidRDefault="00B47442" w:rsidP="0099521D">
            <w:pPr>
              <w:pStyle w:val="Tabellentext"/>
              <w:spacing w:before="60" w:after="40"/>
              <w:rPr>
                <w:rFonts w:cs="Arial"/>
                <w:sz w:val="16"/>
              </w:rPr>
            </w:pPr>
          </w:p>
        </w:tc>
        <w:tc>
          <w:tcPr>
            <w:tcW w:w="426" w:type="dxa"/>
            <w:vAlign w:val="center"/>
          </w:tcPr>
          <w:p w14:paraId="64645199"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6" w:type="dxa"/>
            <w:vAlign w:val="center"/>
          </w:tcPr>
          <w:p w14:paraId="779B4C3F" w14:textId="77777777" w:rsidR="00B47442" w:rsidRPr="0009445C" w:rsidRDefault="00B47442" w:rsidP="0099521D">
            <w:pPr>
              <w:pStyle w:val="Tabellentext"/>
              <w:spacing w:before="60" w:after="40"/>
              <w:rPr>
                <w:rFonts w:cs="Arial"/>
                <w:sz w:val="16"/>
              </w:rPr>
            </w:pPr>
          </w:p>
        </w:tc>
        <w:tc>
          <w:tcPr>
            <w:tcW w:w="426" w:type="dxa"/>
            <w:vAlign w:val="center"/>
          </w:tcPr>
          <w:p w14:paraId="1BC9073F" w14:textId="77777777" w:rsidR="00B47442" w:rsidRPr="0009445C" w:rsidRDefault="00B47442" w:rsidP="0099521D">
            <w:pPr>
              <w:spacing w:before="60" w:after="40" w:line="240" w:lineRule="auto"/>
              <w:jc w:val="center"/>
              <w:rPr>
                <w:rFonts w:eastAsia="Calibri" w:cs="Arial"/>
                <w:kern w:val="28"/>
                <w:sz w:val="16"/>
                <w:lang w:eastAsia="en-US"/>
              </w:rPr>
            </w:pPr>
          </w:p>
        </w:tc>
        <w:tc>
          <w:tcPr>
            <w:tcW w:w="433" w:type="dxa"/>
            <w:vAlign w:val="center"/>
          </w:tcPr>
          <w:p w14:paraId="0A27C731" w14:textId="77777777" w:rsidR="00B47442" w:rsidRPr="0009445C" w:rsidRDefault="00B47442" w:rsidP="0099521D">
            <w:pPr>
              <w:spacing w:before="60" w:after="40" w:line="240" w:lineRule="auto"/>
              <w:jc w:val="center"/>
              <w:rPr>
                <w:rFonts w:eastAsia="Calibri" w:cs="Arial"/>
                <w:kern w:val="28"/>
                <w:sz w:val="16"/>
                <w:lang w:eastAsia="en-US"/>
              </w:rPr>
            </w:pPr>
          </w:p>
        </w:tc>
        <w:tc>
          <w:tcPr>
            <w:tcW w:w="426" w:type="dxa"/>
          </w:tcPr>
          <w:p w14:paraId="33116B55" w14:textId="77777777" w:rsidR="00B47442" w:rsidRPr="0009445C" w:rsidRDefault="00B47442" w:rsidP="0099521D">
            <w:pPr>
              <w:spacing w:before="60" w:after="40" w:line="240" w:lineRule="auto"/>
              <w:jc w:val="center"/>
              <w:rPr>
                <w:rFonts w:eastAsia="Calibri" w:cs="Arial"/>
                <w:kern w:val="28"/>
                <w:sz w:val="16"/>
                <w:lang w:eastAsia="en-US"/>
              </w:rPr>
            </w:pPr>
          </w:p>
        </w:tc>
        <w:tc>
          <w:tcPr>
            <w:tcW w:w="427" w:type="dxa"/>
            <w:vAlign w:val="center"/>
          </w:tcPr>
          <w:p w14:paraId="3E4F6F20" w14:textId="77777777" w:rsidR="00B47442" w:rsidRPr="0009445C" w:rsidRDefault="00B47442" w:rsidP="0099521D">
            <w:pPr>
              <w:spacing w:before="60" w:after="40" w:line="240" w:lineRule="auto"/>
              <w:jc w:val="center"/>
              <w:rPr>
                <w:rFonts w:eastAsia="Calibri" w:cs="Arial"/>
                <w:kern w:val="28"/>
                <w:sz w:val="16"/>
                <w:lang w:eastAsia="en-US"/>
              </w:rPr>
            </w:pPr>
          </w:p>
        </w:tc>
        <w:tc>
          <w:tcPr>
            <w:tcW w:w="426" w:type="dxa"/>
            <w:vAlign w:val="center"/>
          </w:tcPr>
          <w:p w14:paraId="0866F0E6" w14:textId="77777777" w:rsidR="00B47442" w:rsidRPr="0009445C" w:rsidRDefault="00B47442" w:rsidP="0099521D">
            <w:pPr>
              <w:spacing w:before="60" w:after="40" w:line="240" w:lineRule="auto"/>
              <w:jc w:val="center"/>
              <w:rPr>
                <w:rFonts w:eastAsia="Calibri" w:cs="Arial"/>
                <w:kern w:val="28"/>
                <w:sz w:val="16"/>
                <w:lang w:eastAsia="en-US"/>
              </w:rPr>
            </w:pPr>
          </w:p>
        </w:tc>
        <w:tc>
          <w:tcPr>
            <w:tcW w:w="427" w:type="dxa"/>
            <w:vAlign w:val="center"/>
          </w:tcPr>
          <w:p w14:paraId="70346BF6" w14:textId="77777777" w:rsidR="00B47442" w:rsidRPr="0009445C" w:rsidRDefault="00B47442" w:rsidP="0099521D">
            <w:pPr>
              <w:spacing w:before="60" w:after="40" w:line="240" w:lineRule="auto"/>
              <w:jc w:val="center"/>
              <w:rPr>
                <w:rFonts w:eastAsia="Calibri" w:cs="Arial"/>
                <w:kern w:val="28"/>
                <w:sz w:val="16"/>
                <w:lang w:eastAsia="en-US"/>
              </w:rPr>
            </w:pPr>
          </w:p>
        </w:tc>
      </w:tr>
      <w:tr w:rsidR="00B47442" w:rsidRPr="0009445C" w14:paraId="7FFB002D" w14:textId="77777777" w:rsidTr="0099521D">
        <w:trPr>
          <w:trHeight w:val="264"/>
        </w:trPr>
        <w:tc>
          <w:tcPr>
            <w:tcW w:w="2355" w:type="dxa"/>
            <w:gridSpan w:val="2"/>
          </w:tcPr>
          <w:p w14:paraId="03466973" w14:textId="77777777" w:rsidR="00B47442" w:rsidRPr="0009445C" w:rsidRDefault="00B47442" w:rsidP="0099521D">
            <w:pPr>
              <w:pStyle w:val="BRL-Tabelle"/>
              <w:spacing w:before="60" w:after="40"/>
              <w:rPr>
                <w:rFonts w:cs="Arial"/>
              </w:rPr>
            </w:pPr>
            <w:r w:rsidRPr="0009445C">
              <w:t>Emergency microphone</w:t>
            </w:r>
          </w:p>
        </w:tc>
        <w:tc>
          <w:tcPr>
            <w:tcW w:w="427" w:type="dxa"/>
            <w:vAlign w:val="center"/>
          </w:tcPr>
          <w:p w14:paraId="3F481095" w14:textId="77777777" w:rsidR="00B47442" w:rsidRPr="0009445C" w:rsidRDefault="00B47442" w:rsidP="0099521D">
            <w:pPr>
              <w:pStyle w:val="Tabellentext"/>
              <w:spacing w:before="60" w:after="40"/>
              <w:rPr>
                <w:rFonts w:cs="Arial"/>
                <w:sz w:val="16"/>
              </w:rPr>
            </w:pPr>
          </w:p>
        </w:tc>
        <w:tc>
          <w:tcPr>
            <w:tcW w:w="427" w:type="dxa"/>
            <w:vAlign w:val="center"/>
          </w:tcPr>
          <w:p w14:paraId="4AB0F9A0" w14:textId="77777777" w:rsidR="00B47442" w:rsidRPr="0009445C" w:rsidRDefault="00B47442" w:rsidP="0099521D">
            <w:pPr>
              <w:pStyle w:val="Tabellentext"/>
              <w:spacing w:before="60" w:after="40"/>
              <w:rPr>
                <w:rFonts w:cs="Arial"/>
                <w:sz w:val="16"/>
              </w:rPr>
            </w:pPr>
          </w:p>
        </w:tc>
        <w:tc>
          <w:tcPr>
            <w:tcW w:w="426" w:type="dxa"/>
            <w:vAlign w:val="center"/>
          </w:tcPr>
          <w:p w14:paraId="02654346" w14:textId="77777777" w:rsidR="00B47442" w:rsidRPr="0009445C" w:rsidRDefault="00B47442" w:rsidP="0099521D">
            <w:pPr>
              <w:pStyle w:val="Tabellentext"/>
              <w:spacing w:before="60" w:after="40"/>
              <w:rPr>
                <w:rFonts w:cs="Arial"/>
                <w:sz w:val="16"/>
              </w:rPr>
            </w:pPr>
          </w:p>
        </w:tc>
        <w:tc>
          <w:tcPr>
            <w:tcW w:w="427" w:type="dxa"/>
            <w:vAlign w:val="center"/>
          </w:tcPr>
          <w:p w14:paraId="01D2873C" w14:textId="77777777" w:rsidR="00B47442" w:rsidRPr="0009445C" w:rsidRDefault="00B47442" w:rsidP="0099521D">
            <w:pPr>
              <w:pStyle w:val="Tabellentext"/>
              <w:spacing w:before="60" w:after="40"/>
              <w:rPr>
                <w:rFonts w:cs="Arial"/>
                <w:sz w:val="16"/>
              </w:rPr>
            </w:pPr>
          </w:p>
        </w:tc>
        <w:tc>
          <w:tcPr>
            <w:tcW w:w="425" w:type="dxa"/>
            <w:vAlign w:val="center"/>
          </w:tcPr>
          <w:p w14:paraId="049AC220" w14:textId="77777777" w:rsidR="00B47442" w:rsidRPr="0009445C" w:rsidRDefault="00B47442" w:rsidP="0099521D">
            <w:pPr>
              <w:pStyle w:val="Tabellentext"/>
              <w:spacing w:before="60" w:after="40"/>
              <w:rPr>
                <w:rFonts w:cs="Arial"/>
                <w:sz w:val="16"/>
              </w:rPr>
            </w:pPr>
          </w:p>
        </w:tc>
        <w:tc>
          <w:tcPr>
            <w:tcW w:w="426" w:type="dxa"/>
            <w:vAlign w:val="center"/>
          </w:tcPr>
          <w:p w14:paraId="4015E803" w14:textId="77777777" w:rsidR="00B47442" w:rsidRPr="0009445C" w:rsidRDefault="00B47442" w:rsidP="0099521D">
            <w:pPr>
              <w:pStyle w:val="Tabellentext"/>
              <w:spacing w:before="60" w:after="40"/>
              <w:rPr>
                <w:rFonts w:cs="Arial"/>
                <w:sz w:val="16"/>
              </w:rPr>
            </w:pPr>
          </w:p>
        </w:tc>
        <w:tc>
          <w:tcPr>
            <w:tcW w:w="428" w:type="dxa"/>
            <w:vAlign w:val="center"/>
          </w:tcPr>
          <w:p w14:paraId="23729B9D" w14:textId="77777777" w:rsidR="00B47442" w:rsidRPr="0009445C" w:rsidRDefault="00B47442" w:rsidP="0099521D">
            <w:pPr>
              <w:pStyle w:val="Tabellentext"/>
              <w:spacing w:before="60" w:after="40"/>
              <w:rPr>
                <w:rFonts w:cs="Arial"/>
                <w:sz w:val="16"/>
              </w:rPr>
            </w:pPr>
          </w:p>
        </w:tc>
        <w:tc>
          <w:tcPr>
            <w:tcW w:w="427" w:type="dxa"/>
            <w:vAlign w:val="center"/>
          </w:tcPr>
          <w:p w14:paraId="7EC89E90" w14:textId="77777777" w:rsidR="00B47442" w:rsidRPr="0009445C" w:rsidRDefault="00B47442" w:rsidP="0099521D">
            <w:pPr>
              <w:pStyle w:val="Tabellentext"/>
              <w:spacing w:before="60" w:after="40"/>
              <w:rPr>
                <w:rFonts w:cs="Arial"/>
                <w:sz w:val="16"/>
              </w:rPr>
            </w:pPr>
          </w:p>
        </w:tc>
        <w:tc>
          <w:tcPr>
            <w:tcW w:w="426" w:type="dxa"/>
            <w:vAlign w:val="center"/>
          </w:tcPr>
          <w:p w14:paraId="7177F3EB" w14:textId="77777777" w:rsidR="00B47442" w:rsidRPr="0009445C" w:rsidRDefault="00B47442" w:rsidP="0099521D">
            <w:pPr>
              <w:pStyle w:val="Tabellentext"/>
              <w:spacing w:before="60" w:after="40"/>
              <w:ind w:right="0"/>
              <w:jc w:val="center"/>
              <w:rPr>
                <w:rFonts w:cs="Arial"/>
                <w:sz w:val="16"/>
              </w:rPr>
            </w:pPr>
            <w:r w:rsidRPr="0009445C">
              <w:rPr>
                <w:sz w:val="16"/>
              </w:rPr>
              <w:t>X</w:t>
            </w:r>
          </w:p>
        </w:tc>
        <w:tc>
          <w:tcPr>
            <w:tcW w:w="426" w:type="dxa"/>
            <w:vAlign w:val="center"/>
          </w:tcPr>
          <w:p w14:paraId="21D57715" w14:textId="77777777" w:rsidR="00B47442" w:rsidRPr="0009445C" w:rsidRDefault="00B47442" w:rsidP="0099521D">
            <w:pPr>
              <w:pStyle w:val="Tabellentext"/>
              <w:spacing w:before="60" w:after="40"/>
              <w:rPr>
                <w:rFonts w:cs="Arial"/>
                <w:sz w:val="16"/>
              </w:rPr>
            </w:pPr>
          </w:p>
        </w:tc>
        <w:tc>
          <w:tcPr>
            <w:tcW w:w="426" w:type="dxa"/>
            <w:vAlign w:val="center"/>
          </w:tcPr>
          <w:p w14:paraId="15462C16" w14:textId="77777777" w:rsidR="00B47442" w:rsidRPr="0009445C" w:rsidRDefault="00B47442" w:rsidP="0099521D">
            <w:pPr>
              <w:pStyle w:val="Tabellentext"/>
              <w:spacing w:before="60" w:after="40"/>
              <w:rPr>
                <w:rFonts w:cs="Arial"/>
                <w:sz w:val="16"/>
              </w:rPr>
            </w:pPr>
          </w:p>
        </w:tc>
        <w:tc>
          <w:tcPr>
            <w:tcW w:w="433" w:type="dxa"/>
            <w:vAlign w:val="center"/>
          </w:tcPr>
          <w:p w14:paraId="4015F819" w14:textId="77777777" w:rsidR="00B47442" w:rsidRPr="0009445C" w:rsidRDefault="00B47442" w:rsidP="0099521D">
            <w:pPr>
              <w:pStyle w:val="Tabellentext"/>
              <w:spacing w:before="60" w:after="40"/>
              <w:rPr>
                <w:rFonts w:cs="Arial"/>
                <w:sz w:val="16"/>
              </w:rPr>
            </w:pPr>
          </w:p>
        </w:tc>
        <w:tc>
          <w:tcPr>
            <w:tcW w:w="426" w:type="dxa"/>
          </w:tcPr>
          <w:p w14:paraId="25DBA216" w14:textId="77777777" w:rsidR="00B47442" w:rsidRPr="0009445C" w:rsidRDefault="00B47442" w:rsidP="0099521D">
            <w:pPr>
              <w:pStyle w:val="Tabellentext"/>
              <w:spacing w:before="60" w:after="40"/>
              <w:rPr>
                <w:rFonts w:cs="Arial"/>
                <w:sz w:val="16"/>
              </w:rPr>
            </w:pPr>
          </w:p>
        </w:tc>
        <w:tc>
          <w:tcPr>
            <w:tcW w:w="427" w:type="dxa"/>
            <w:vAlign w:val="center"/>
          </w:tcPr>
          <w:p w14:paraId="75E5F903" w14:textId="77777777" w:rsidR="00B47442" w:rsidRPr="0009445C" w:rsidRDefault="00B47442" w:rsidP="0099521D">
            <w:pPr>
              <w:pStyle w:val="Tabellentext"/>
              <w:spacing w:before="60" w:after="40"/>
              <w:rPr>
                <w:rFonts w:cs="Arial"/>
                <w:sz w:val="16"/>
              </w:rPr>
            </w:pPr>
          </w:p>
        </w:tc>
        <w:tc>
          <w:tcPr>
            <w:tcW w:w="426" w:type="dxa"/>
            <w:vAlign w:val="center"/>
          </w:tcPr>
          <w:p w14:paraId="128ECBD3" w14:textId="77777777" w:rsidR="00B47442" w:rsidRPr="0009445C" w:rsidRDefault="00B47442" w:rsidP="0099521D">
            <w:pPr>
              <w:pStyle w:val="Tabellentext"/>
              <w:spacing w:before="60" w:after="40"/>
              <w:rPr>
                <w:rFonts w:cs="Arial"/>
                <w:sz w:val="16"/>
              </w:rPr>
            </w:pPr>
          </w:p>
        </w:tc>
        <w:tc>
          <w:tcPr>
            <w:tcW w:w="427" w:type="dxa"/>
            <w:vAlign w:val="center"/>
          </w:tcPr>
          <w:p w14:paraId="0B2E0824" w14:textId="77777777" w:rsidR="00B47442" w:rsidRPr="0009445C" w:rsidRDefault="00B47442" w:rsidP="0099521D">
            <w:pPr>
              <w:pStyle w:val="Tabellentext"/>
              <w:spacing w:before="60" w:after="40"/>
              <w:rPr>
                <w:rFonts w:cs="Arial"/>
                <w:sz w:val="16"/>
              </w:rPr>
            </w:pPr>
          </w:p>
        </w:tc>
      </w:tr>
      <w:tr w:rsidR="00B47442" w:rsidRPr="0009445C" w14:paraId="7B127D3A" w14:textId="77777777" w:rsidTr="0099521D">
        <w:trPr>
          <w:trHeight w:val="264"/>
        </w:trPr>
        <w:tc>
          <w:tcPr>
            <w:tcW w:w="2355" w:type="dxa"/>
            <w:gridSpan w:val="2"/>
          </w:tcPr>
          <w:p w14:paraId="5B42B9E7" w14:textId="77777777" w:rsidR="00B47442" w:rsidRPr="0009445C" w:rsidRDefault="00B47442" w:rsidP="0099521D">
            <w:pPr>
              <w:pStyle w:val="BRL-Tabelle"/>
              <w:spacing w:before="60" w:after="40"/>
              <w:rPr>
                <w:rFonts w:cs="Arial"/>
                <w:b/>
              </w:rPr>
            </w:pPr>
            <w:r w:rsidRPr="0009445C">
              <w:rPr>
                <w:b/>
              </w:rPr>
              <w:t>Operational reliability</w:t>
            </w:r>
          </w:p>
        </w:tc>
        <w:tc>
          <w:tcPr>
            <w:tcW w:w="6830" w:type="dxa"/>
            <w:gridSpan w:val="16"/>
          </w:tcPr>
          <w:p w14:paraId="29E2C0FD" w14:textId="77777777" w:rsidR="00B47442" w:rsidRPr="0009445C" w:rsidRDefault="00B47442" w:rsidP="0099521D">
            <w:pPr>
              <w:pStyle w:val="Tabellentext"/>
              <w:spacing w:before="60" w:after="40"/>
              <w:rPr>
                <w:rFonts w:cs="Arial"/>
                <w:sz w:val="16"/>
              </w:rPr>
            </w:pPr>
          </w:p>
        </w:tc>
      </w:tr>
      <w:tr w:rsidR="00B47442" w:rsidRPr="0009445C" w14:paraId="6CB39299" w14:textId="77777777" w:rsidTr="0099521D">
        <w:trPr>
          <w:trHeight w:val="264"/>
        </w:trPr>
        <w:tc>
          <w:tcPr>
            <w:tcW w:w="2355" w:type="dxa"/>
            <w:gridSpan w:val="2"/>
          </w:tcPr>
          <w:p w14:paraId="0F5B19AD" w14:textId="77777777" w:rsidR="00B47442" w:rsidRPr="0009445C" w:rsidRDefault="00B47442" w:rsidP="0099521D">
            <w:pPr>
              <w:pStyle w:val="BRL-Tabelle"/>
              <w:spacing w:before="60" w:after="40"/>
            </w:pPr>
            <w:r w:rsidRPr="0009445C">
              <w:t xml:space="preserve">General requirements </w:t>
            </w:r>
          </w:p>
        </w:tc>
        <w:tc>
          <w:tcPr>
            <w:tcW w:w="427" w:type="dxa"/>
            <w:vAlign w:val="center"/>
          </w:tcPr>
          <w:p w14:paraId="34F4C236"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CCB6C95" w14:textId="77777777" w:rsidR="00B47442" w:rsidRPr="0009445C" w:rsidRDefault="00B47442" w:rsidP="0099521D">
            <w:pPr>
              <w:pStyle w:val="BRL-Tabelle"/>
              <w:spacing w:before="60" w:after="40"/>
              <w:jc w:val="center"/>
              <w:rPr>
                <w:sz w:val="16"/>
              </w:rPr>
            </w:pPr>
          </w:p>
        </w:tc>
        <w:tc>
          <w:tcPr>
            <w:tcW w:w="426" w:type="dxa"/>
            <w:vAlign w:val="center"/>
          </w:tcPr>
          <w:p w14:paraId="1311573D"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B4C811A" w14:textId="77777777" w:rsidR="00B47442" w:rsidRPr="0009445C" w:rsidRDefault="00B47442" w:rsidP="0099521D">
            <w:pPr>
              <w:pStyle w:val="BRL-Tabelle"/>
              <w:spacing w:before="60" w:after="40"/>
              <w:jc w:val="center"/>
              <w:rPr>
                <w:sz w:val="16"/>
              </w:rPr>
            </w:pPr>
          </w:p>
        </w:tc>
        <w:tc>
          <w:tcPr>
            <w:tcW w:w="425" w:type="dxa"/>
            <w:vAlign w:val="center"/>
          </w:tcPr>
          <w:p w14:paraId="61016FED" w14:textId="77777777" w:rsidR="00B47442" w:rsidRPr="0009445C" w:rsidRDefault="00B47442" w:rsidP="0099521D">
            <w:pPr>
              <w:pStyle w:val="BRL-Tabelle"/>
              <w:spacing w:before="60" w:after="40"/>
              <w:jc w:val="center"/>
              <w:rPr>
                <w:sz w:val="16"/>
              </w:rPr>
            </w:pPr>
          </w:p>
        </w:tc>
        <w:tc>
          <w:tcPr>
            <w:tcW w:w="426" w:type="dxa"/>
            <w:vAlign w:val="center"/>
          </w:tcPr>
          <w:p w14:paraId="0F2FBAC1" w14:textId="77777777" w:rsidR="00B47442" w:rsidRPr="0009445C" w:rsidRDefault="00B47442" w:rsidP="0099521D">
            <w:pPr>
              <w:pStyle w:val="BRL-Tabelle"/>
              <w:spacing w:before="60" w:after="40"/>
              <w:jc w:val="center"/>
              <w:rPr>
                <w:sz w:val="16"/>
              </w:rPr>
            </w:pPr>
          </w:p>
        </w:tc>
        <w:tc>
          <w:tcPr>
            <w:tcW w:w="428" w:type="dxa"/>
            <w:vAlign w:val="center"/>
          </w:tcPr>
          <w:p w14:paraId="351C47EB" w14:textId="77777777" w:rsidR="00B47442" w:rsidRPr="0009445C" w:rsidRDefault="00B47442" w:rsidP="0099521D">
            <w:pPr>
              <w:pStyle w:val="BRL-Tabelle"/>
              <w:spacing w:before="60" w:after="40"/>
              <w:jc w:val="center"/>
              <w:rPr>
                <w:sz w:val="16"/>
              </w:rPr>
            </w:pPr>
          </w:p>
        </w:tc>
        <w:tc>
          <w:tcPr>
            <w:tcW w:w="427" w:type="dxa"/>
            <w:vAlign w:val="center"/>
          </w:tcPr>
          <w:p w14:paraId="18FFD8FE" w14:textId="77777777" w:rsidR="00B47442" w:rsidRPr="0009445C" w:rsidRDefault="00B47442" w:rsidP="0099521D">
            <w:pPr>
              <w:pStyle w:val="BRL-Tabelle"/>
              <w:spacing w:before="60" w:after="40"/>
              <w:jc w:val="center"/>
              <w:rPr>
                <w:sz w:val="16"/>
              </w:rPr>
            </w:pPr>
          </w:p>
        </w:tc>
        <w:tc>
          <w:tcPr>
            <w:tcW w:w="426" w:type="dxa"/>
            <w:vAlign w:val="center"/>
          </w:tcPr>
          <w:p w14:paraId="2A343AD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0C287F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1E73FF0" w14:textId="77777777" w:rsidR="00B47442" w:rsidRPr="0009445C" w:rsidRDefault="00B47442" w:rsidP="0099521D">
            <w:pPr>
              <w:pStyle w:val="BRL-Tabelle"/>
              <w:spacing w:before="60" w:after="40"/>
              <w:jc w:val="center"/>
              <w:rPr>
                <w:sz w:val="16"/>
              </w:rPr>
            </w:pPr>
          </w:p>
        </w:tc>
        <w:tc>
          <w:tcPr>
            <w:tcW w:w="433" w:type="dxa"/>
            <w:vAlign w:val="center"/>
          </w:tcPr>
          <w:p w14:paraId="0F8CA3EC" w14:textId="77777777" w:rsidR="00B47442" w:rsidRPr="0009445C" w:rsidRDefault="00B47442" w:rsidP="0099521D">
            <w:pPr>
              <w:pStyle w:val="BRL-Tabelle"/>
              <w:spacing w:before="60" w:after="40"/>
              <w:jc w:val="center"/>
              <w:rPr>
                <w:sz w:val="16"/>
              </w:rPr>
            </w:pPr>
          </w:p>
        </w:tc>
        <w:tc>
          <w:tcPr>
            <w:tcW w:w="426" w:type="dxa"/>
            <w:vAlign w:val="center"/>
          </w:tcPr>
          <w:p w14:paraId="21793E06"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34D22E1" w14:textId="77777777" w:rsidR="00B47442" w:rsidRPr="0009445C" w:rsidRDefault="00B47442" w:rsidP="0099521D">
            <w:pPr>
              <w:pStyle w:val="BRL-Tabelle"/>
              <w:spacing w:before="60" w:after="40"/>
              <w:jc w:val="center"/>
              <w:rPr>
                <w:sz w:val="16"/>
              </w:rPr>
            </w:pPr>
          </w:p>
        </w:tc>
        <w:tc>
          <w:tcPr>
            <w:tcW w:w="426" w:type="dxa"/>
            <w:vAlign w:val="center"/>
          </w:tcPr>
          <w:p w14:paraId="013FDC25" w14:textId="77777777" w:rsidR="00B47442" w:rsidRPr="0009445C" w:rsidRDefault="00B47442" w:rsidP="0099521D">
            <w:pPr>
              <w:pStyle w:val="BRL-Tabelle"/>
              <w:spacing w:before="60" w:after="40"/>
              <w:jc w:val="center"/>
              <w:rPr>
                <w:sz w:val="16"/>
              </w:rPr>
            </w:pPr>
          </w:p>
        </w:tc>
        <w:tc>
          <w:tcPr>
            <w:tcW w:w="427" w:type="dxa"/>
            <w:vAlign w:val="center"/>
          </w:tcPr>
          <w:p w14:paraId="09ED3915"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52686915" w14:textId="77777777" w:rsidTr="0099521D">
        <w:trPr>
          <w:trHeight w:val="264"/>
        </w:trPr>
        <w:tc>
          <w:tcPr>
            <w:tcW w:w="2355" w:type="dxa"/>
            <w:gridSpan w:val="2"/>
          </w:tcPr>
          <w:p w14:paraId="400BF739" w14:textId="77777777" w:rsidR="00B47442" w:rsidRPr="0009445C" w:rsidRDefault="00B47442" w:rsidP="0099521D">
            <w:pPr>
              <w:pStyle w:val="BRL-Tabelle"/>
              <w:spacing w:before="60" w:after="40"/>
            </w:pPr>
            <w:r w:rsidRPr="0009445C">
              <w:lastRenderedPageBreak/>
              <w:t>General requirements for displays</w:t>
            </w:r>
          </w:p>
        </w:tc>
        <w:tc>
          <w:tcPr>
            <w:tcW w:w="427" w:type="dxa"/>
            <w:vAlign w:val="center"/>
          </w:tcPr>
          <w:p w14:paraId="26181CB3"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611D473" w14:textId="77777777" w:rsidR="00B47442" w:rsidRPr="0009445C" w:rsidRDefault="00B47442" w:rsidP="0099521D">
            <w:pPr>
              <w:pStyle w:val="BRL-Tabelle"/>
              <w:spacing w:before="60" w:after="40"/>
              <w:jc w:val="center"/>
              <w:rPr>
                <w:sz w:val="16"/>
              </w:rPr>
            </w:pPr>
          </w:p>
        </w:tc>
        <w:tc>
          <w:tcPr>
            <w:tcW w:w="426" w:type="dxa"/>
            <w:vAlign w:val="center"/>
          </w:tcPr>
          <w:p w14:paraId="750FF5F3" w14:textId="77777777" w:rsidR="00B47442" w:rsidRPr="0009445C" w:rsidRDefault="00B47442" w:rsidP="0099521D">
            <w:pPr>
              <w:pStyle w:val="BRL-Tabelle"/>
              <w:spacing w:before="60" w:after="40"/>
              <w:jc w:val="center"/>
              <w:rPr>
                <w:sz w:val="16"/>
              </w:rPr>
            </w:pPr>
          </w:p>
        </w:tc>
        <w:tc>
          <w:tcPr>
            <w:tcW w:w="427" w:type="dxa"/>
            <w:vAlign w:val="center"/>
          </w:tcPr>
          <w:p w14:paraId="005B51A2" w14:textId="77777777" w:rsidR="00B47442" w:rsidRPr="0009445C" w:rsidRDefault="00B47442" w:rsidP="0099521D">
            <w:pPr>
              <w:pStyle w:val="BRL-Tabelle"/>
              <w:spacing w:before="60" w:after="40"/>
              <w:jc w:val="center"/>
              <w:rPr>
                <w:sz w:val="16"/>
              </w:rPr>
            </w:pPr>
          </w:p>
        </w:tc>
        <w:tc>
          <w:tcPr>
            <w:tcW w:w="425" w:type="dxa"/>
            <w:vAlign w:val="center"/>
          </w:tcPr>
          <w:p w14:paraId="4A576C1F" w14:textId="77777777" w:rsidR="00B47442" w:rsidRPr="0009445C" w:rsidRDefault="00B47442" w:rsidP="0099521D">
            <w:pPr>
              <w:pStyle w:val="BRL-Tabelle"/>
              <w:spacing w:before="60" w:after="40"/>
              <w:jc w:val="center"/>
              <w:rPr>
                <w:sz w:val="16"/>
              </w:rPr>
            </w:pPr>
          </w:p>
        </w:tc>
        <w:tc>
          <w:tcPr>
            <w:tcW w:w="426" w:type="dxa"/>
            <w:vAlign w:val="center"/>
          </w:tcPr>
          <w:p w14:paraId="16DBCAEA" w14:textId="77777777" w:rsidR="00B47442" w:rsidRPr="0009445C" w:rsidRDefault="00B47442" w:rsidP="0099521D">
            <w:pPr>
              <w:pStyle w:val="BRL-Tabelle"/>
              <w:spacing w:before="60" w:after="40"/>
              <w:jc w:val="center"/>
              <w:rPr>
                <w:sz w:val="16"/>
              </w:rPr>
            </w:pPr>
          </w:p>
        </w:tc>
        <w:tc>
          <w:tcPr>
            <w:tcW w:w="428" w:type="dxa"/>
            <w:vAlign w:val="center"/>
          </w:tcPr>
          <w:p w14:paraId="09043938" w14:textId="77777777" w:rsidR="00B47442" w:rsidRPr="0009445C" w:rsidRDefault="00B47442" w:rsidP="0099521D">
            <w:pPr>
              <w:pStyle w:val="BRL-Tabelle"/>
              <w:spacing w:before="60" w:after="40"/>
              <w:jc w:val="center"/>
              <w:rPr>
                <w:sz w:val="16"/>
              </w:rPr>
            </w:pPr>
          </w:p>
        </w:tc>
        <w:tc>
          <w:tcPr>
            <w:tcW w:w="427" w:type="dxa"/>
            <w:vAlign w:val="center"/>
          </w:tcPr>
          <w:p w14:paraId="0213D464" w14:textId="77777777" w:rsidR="00B47442" w:rsidRPr="0009445C" w:rsidRDefault="00B47442" w:rsidP="0099521D">
            <w:pPr>
              <w:pStyle w:val="BRL-Tabelle"/>
              <w:spacing w:before="60" w:after="40"/>
              <w:jc w:val="center"/>
              <w:rPr>
                <w:sz w:val="16"/>
              </w:rPr>
            </w:pPr>
          </w:p>
        </w:tc>
        <w:tc>
          <w:tcPr>
            <w:tcW w:w="426" w:type="dxa"/>
            <w:vAlign w:val="center"/>
          </w:tcPr>
          <w:p w14:paraId="4DC7B8E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20D2EB8" w14:textId="77777777" w:rsidR="00B47442" w:rsidRPr="0009445C" w:rsidRDefault="00B47442" w:rsidP="0099521D">
            <w:pPr>
              <w:pStyle w:val="BRL-Tabelle"/>
              <w:spacing w:before="60" w:after="40"/>
              <w:jc w:val="center"/>
              <w:rPr>
                <w:sz w:val="16"/>
              </w:rPr>
            </w:pPr>
          </w:p>
        </w:tc>
        <w:tc>
          <w:tcPr>
            <w:tcW w:w="426" w:type="dxa"/>
            <w:vAlign w:val="center"/>
          </w:tcPr>
          <w:p w14:paraId="4EC6072F" w14:textId="77777777" w:rsidR="00B47442" w:rsidRPr="0009445C" w:rsidRDefault="00B47442" w:rsidP="0099521D">
            <w:pPr>
              <w:pStyle w:val="BRL-Tabelle"/>
              <w:spacing w:before="60" w:after="40"/>
              <w:jc w:val="center"/>
              <w:rPr>
                <w:sz w:val="16"/>
              </w:rPr>
            </w:pPr>
          </w:p>
        </w:tc>
        <w:tc>
          <w:tcPr>
            <w:tcW w:w="433" w:type="dxa"/>
            <w:vAlign w:val="center"/>
          </w:tcPr>
          <w:p w14:paraId="1E0E74B7" w14:textId="77777777" w:rsidR="00B47442" w:rsidRPr="0009445C" w:rsidRDefault="00B47442" w:rsidP="0099521D">
            <w:pPr>
              <w:pStyle w:val="BRL-Tabelle"/>
              <w:spacing w:before="60" w:after="40"/>
              <w:jc w:val="center"/>
              <w:rPr>
                <w:sz w:val="16"/>
              </w:rPr>
            </w:pPr>
          </w:p>
        </w:tc>
        <w:tc>
          <w:tcPr>
            <w:tcW w:w="426" w:type="dxa"/>
            <w:vAlign w:val="center"/>
          </w:tcPr>
          <w:p w14:paraId="2BA04468" w14:textId="77777777" w:rsidR="00B47442" w:rsidRPr="0009445C" w:rsidRDefault="00B47442" w:rsidP="0099521D">
            <w:pPr>
              <w:pStyle w:val="BRL-Tabelle"/>
              <w:spacing w:before="60" w:after="40"/>
              <w:jc w:val="center"/>
              <w:rPr>
                <w:sz w:val="16"/>
              </w:rPr>
            </w:pPr>
          </w:p>
        </w:tc>
        <w:tc>
          <w:tcPr>
            <w:tcW w:w="427" w:type="dxa"/>
            <w:vAlign w:val="center"/>
          </w:tcPr>
          <w:p w14:paraId="3E6D1EE6" w14:textId="77777777" w:rsidR="00B47442" w:rsidRPr="0009445C" w:rsidRDefault="00B47442" w:rsidP="0099521D">
            <w:pPr>
              <w:pStyle w:val="BRL-Tabelle"/>
              <w:spacing w:before="60" w:after="40"/>
              <w:jc w:val="center"/>
              <w:rPr>
                <w:sz w:val="16"/>
              </w:rPr>
            </w:pPr>
          </w:p>
        </w:tc>
        <w:tc>
          <w:tcPr>
            <w:tcW w:w="426" w:type="dxa"/>
            <w:vAlign w:val="center"/>
          </w:tcPr>
          <w:p w14:paraId="7B474494" w14:textId="77777777" w:rsidR="00B47442" w:rsidRPr="0009445C" w:rsidRDefault="00B47442" w:rsidP="0099521D">
            <w:pPr>
              <w:pStyle w:val="BRL-Tabelle"/>
              <w:spacing w:before="60" w:after="40"/>
              <w:jc w:val="center"/>
              <w:rPr>
                <w:sz w:val="16"/>
              </w:rPr>
            </w:pPr>
          </w:p>
        </w:tc>
        <w:tc>
          <w:tcPr>
            <w:tcW w:w="427" w:type="dxa"/>
            <w:vAlign w:val="center"/>
          </w:tcPr>
          <w:p w14:paraId="781ED899" w14:textId="77777777" w:rsidR="00B47442" w:rsidRPr="0009445C" w:rsidRDefault="00B47442" w:rsidP="0099521D">
            <w:pPr>
              <w:pStyle w:val="BRL-Tabelle"/>
              <w:spacing w:before="60" w:after="40"/>
              <w:jc w:val="center"/>
              <w:rPr>
                <w:sz w:val="16"/>
              </w:rPr>
            </w:pPr>
          </w:p>
        </w:tc>
      </w:tr>
      <w:tr w:rsidR="00B47442" w:rsidRPr="0009445C" w14:paraId="02DE383D" w14:textId="77777777" w:rsidTr="0099521D">
        <w:trPr>
          <w:trHeight w:val="264"/>
        </w:trPr>
        <w:tc>
          <w:tcPr>
            <w:tcW w:w="2355" w:type="dxa"/>
            <w:gridSpan w:val="2"/>
          </w:tcPr>
          <w:p w14:paraId="0A941C14" w14:textId="77777777" w:rsidR="00B47442" w:rsidRPr="0009445C" w:rsidRDefault="00B47442" w:rsidP="0099521D">
            <w:pPr>
              <w:pStyle w:val="BRL-Tabelle"/>
              <w:spacing w:before="60" w:after="40"/>
            </w:pPr>
            <w:r w:rsidRPr="0009445C">
              <w:t>Operational readiness state</w:t>
            </w:r>
          </w:p>
        </w:tc>
        <w:tc>
          <w:tcPr>
            <w:tcW w:w="427" w:type="dxa"/>
            <w:vAlign w:val="center"/>
          </w:tcPr>
          <w:p w14:paraId="6F05EFB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1CB7356" w14:textId="77777777" w:rsidR="00B47442" w:rsidRPr="0009445C" w:rsidRDefault="00B47442" w:rsidP="0099521D">
            <w:pPr>
              <w:pStyle w:val="BRL-Tabelle"/>
              <w:spacing w:before="60" w:after="40"/>
              <w:jc w:val="center"/>
              <w:rPr>
                <w:sz w:val="16"/>
              </w:rPr>
            </w:pPr>
          </w:p>
        </w:tc>
        <w:tc>
          <w:tcPr>
            <w:tcW w:w="426" w:type="dxa"/>
            <w:vAlign w:val="center"/>
          </w:tcPr>
          <w:p w14:paraId="05149B50" w14:textId="77777777" w:rsidR="00B47442" w:rsidRPr="0009445C" w:rsidRDefault="00B47442" w:rsidP="0099521D">
            <w:pPr>
              <w:pStyle w:val="BRL-Tabelle"/>
              <w:spacing w:before="60" w:after="40"/>
              <w:jc w:val="center"/>
              <w:rPr>
                <w:sz w:val="16"/>
              </w:rPr>
            </w:pPr>
          </w:p>
        </w:tc>
        <w:tc>
          <w:tcPr>
            <w:tcW w:w="427" w:type="dxa"/>
            <w:vAlign w:val="center"/>
          </w:tcPr>
          <w:p w14:paraId="02970337" w14:textId="77777777" w:rsidR="00B47442" w:rsidRPr="0009445C" w:rsidRDefault="00B47442" w:rsidP="0099521D">
            <w:pPr>
              <w:pStyle w:val="BRL-Tabelle"/>
              <w:spacing w:before="60" w:after="40"/>
              <w:jc w:val="center"/>
              <w:rPr>
                <w:sz w:val="16"/>
              </w:rPr>
            </w:pPr>
          </w:p>
        </w:tc>
        <w:tc>
          <w:tcPr>
            <w:tcW w:w="425" w:type="dxa"/>
            <w:vAlign w:val="center"/>
          </w:tcPr>
          <w:p w14:paraId="7662FC77" w14:textId="77777777" w:rsidR="00B47442" w:rsidRPr="0009445C" w:rsidRDefault="00B47442" w:rsidP="0099521D">
            <w:pPr>
              <w:pStyle w:val="BRL-Tabelle"/>
              <w:spacing w:before="60" w:after="40"/>
              <w:jc w:val="center"/>
              <w:rPr>
                <w:sz w:val="16"/>
              </w:rPr>
            </w:pPr>
          </w:p>
        </w:tc>
        <w:tc>
          <w:tcPr>
            <w:tcW w:w="426" w:type="dxa"/>
            <w:vAlign w:val="center"/>
          </w:tcPr>
          <w:p w14:paraId="4E7C56DF" w14:textId="77777777" w:rsidR="00B47442" w:rsidRPr="0009445C" w:rsidRDefault="00B47442" w:rsidP="0099521D">
            <w:pPr>
              <w:pStyle w:val="BRL-Tabelle"/>
              <w:spacing w:before="60" w:after="40"/>
              <w:jc w:val="center"/>
              <w:rPr>
                <w:sz w:val="16"/>
              </w:rPr>
            </w:pPr>
          </w:p>
        </w:tc>
        <w:tc>
          <w:tcPr>
            <w:tcW w:w="428" w:type="dxa"/>
            <w:vAlign w:val="center"/>
          </w:tcPr>
          <w:p w14:paraId="131D7A50" w14:textId="77777777" w:rsidR="00B47442" w:rsidRPr="0009445C" w:rsidRDefault="00B47442" w:rsidP="0099521D">
            <w:pPr>
              <w:pStyle w:val="BRL-Tabelle"/>
              <w:spacing w:before="60" w:after="40"/>
              <w:jc w:val="center"/>
              <w:rPr>
                <w:sz w:val="16"/>
              </w:rPr>
            </w:pPr>
          </w:p>
        </w:tc>
        <w:tc>
          <w:tcPr>
            <w:tcW w:w="427" w:type="dxa"/>
            <w:vAlign w:val="center"/>
          </w:tcPr>
          <w:p w14:paraId="6CEA059C" w14:textId="77777777" w:rsidR="00B47442" w:rsidRPr="0009445C" w:rsidRDefault="00B47442" w:rsidP="0099521D">
            <w:pPr>
              <w:pStyle w:val="BRL-Tabelle"/>
              <w:spacing w:before="60" w:after="40"/>
              <w:jc w:val="center"/>
              <w:rPr>
                <w:sz w:val="16"/>
              </w:rPr>
            </w:pPr>
          </w:p>
        </w:tc>
        <w:tc>
          <w:tcPr>
            <w:tcW w:w="426" w:type="dxa"/>
            <w:vAlign w:val="center"/>
          </w:tcPr>
          <w:p w14:paraId="68E6148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DAD62D1" w14:textId="77777777" w:rsidR="00B47442" w:rsidRPr="0009445C" w:rsidRDefault="00B47442" w:rsidP="0099521D">
            <w:pPr>
              <w:pStyle w:val="BRL-Tabelle"/>
              <w:spacing w:before="60" w:after="40"/>
              <w:jc w:val="center"/>
              <w:rPr>
                <w:sz w:val="16"/>
              </w:rPr>
            </w:pPr>
          </w:p>
        </w:tc>
        <w:tc>
          <w:tcPr>
            <w:tcW w:w="426" w:type="dxa"/>
            <w:vAlign w:val="center"/>
          </w:tcPr>
          <w:p w14:paraId="5FB4D07A" w14:textId="77777777" w:rsidR="00B47442" w:rsidRPr="0009445C" w:rsidRDefault="00B47442" w:rsidP="0099521D">
            <w:pPr>
              <w:pStyle w:val="BRL-Tabelle"/>
              <w:spacing w:before="60" w:after="40"/>
              <w:jc w:val="center"/>
              <w:rPr>
                <w:sz w:val="16"/>
              </w:rPr>
            </w:pPr>
          </w:p>
        </w:tc>
        <w:tc>
          <w:tcPr>
            <w:tcW w:w="433" w:type="dxa"/>
            <w:vAlign w:val="center"/>
          </w:tcPr>
          <w:p w14:paraId="36AECF62" w14:textId="77777777" w:rsidR="00B47442" w:rsidRPr="0009445C" w:rsidRDefault="00B47442" w:rsidP="0099521D">
            <w:pPr>
              <w:pStyle w:val="BRL-Tabelle"/>
              <w:spacing w:before="60" w:after="40"/>
              <w:jc w:val="center"/>
              <w:rPr>
                <w:sz w:val="16"/>
              </w:rPr>
            </w:pPr>
          </w:p>
        </w:tc>
        <w:tc>
          <w:tcPr>
            <w:tcW w:w="426" w:type="dxa"/>
            <w:vAlign w:val="center"/>
          </w:tcPr>
          <w:p w14:paraId="6B56AE21" w14:textId="77777777" w:rsidR="00B47442" w:rsidRPr="0009445C" w:rsidRDefault="00B47442" w:rsidP="0099521D">
            <w:pPr>
              <w:pStyle w:val="BRL-Tabelle"/>
              <w:spacing w:before="60" w:after="40"/>
              <w:jc w:val="center"/>
              <w:rPr>
                <w:sz w:val="16"/>
              </w:rPr>
            </w:pPr>
          </w:p>
        </w:tc>
        <w:tc>
          <w:tcPr>
            <w:tcW w:w="427" w:type="dxa"/>
            <w:vAlign w:val="center"/>
          </w:tcPr>
          <w:p w14:paraId="7763056C" w14:textId="77777777" w:rsidR="00B47442" w:rsidRPr="0009445C" w:rsidRDefault="00B47442" w:rsidP="0099521D">
            <w:pPr>
              <w:pStyle w:val="BRL-Tabelle"/>
              <w:spacing w:before="60" w:after="40"/>
              <w:jc w:val="center"/>
              <w:rPr>
                <w:sz w:val="16"/>
              </w:rPr>
            </w:pPr>
          </w:p>
        </w:tc>
        <w:tc>
          <w:tcPr>
            <w:tcW w:w="426" w:type="dxa"/>
            <w:vAlign w:val="center"/>
          </w:tcPr>
          <w:p w14:paraId="2CD3ED8E" w14:textId="77777777" w:rsidR="00B47442" w:rsidRPr="0009445C" w:rsidRDefault="00B47442" w:rsidP="0099521D">
            <w:pPr>
              <w:pStyle w:val="BRL-Tabelle"/>
              <w:spacing w:before="60" w:after="40"/>
              <w:jc w:val="center"/>
              <w:rPr>
                <w:sz w:val="16"/>
              </w:rPr>
            </w:pPr>
          </w:p>
        </w:tc>
        <w:tc>
          <w:tcPr>
            <w:tcW w:w="427" w:type="dxa"/>
            <w:vAlign w:val="center"/>
          </w:tcPr>
          <w:p w14:paraId="594D3B06" w14:textId="77777777" w:rsidR="00B47442" w:rsidRPr="0009445C" w:rsidRDefault="00B47442" w:rsidP="0099521D">
            <w:pPr>
              <w:pStyle w:val="BRL-Tabelle"/>
              <w:spacing w:before="60" w:after="40"/>
              <w:jc w:val="center"/>
              <w:rPr>
                <w:sz w:val="16"/>
              </w:rPr>
            </w:pPr>
          </w:p>
        </w:tc>
      </w:tr>
      <w:tr w:rsidR="00B47442" w:rsidRPr="0009445C" w14:paraId="2F828DC9" w14:textId="77777777" w:rsidTr="0099521D">
        <w:trPr>
          <w:trHeight w:val="264"/>
        </w:trPr>
        <w:tc>
          <w:tcPr>
            <w:tcW w:w="2355" w:type="dxa"/>
            <w:gridSpan w:val="2"/>
          </w:tcPr>
          <w:p w14:paraId="22203495" w14:textId="77777777" w:rsidR="00B47442" w:rsidRPr="0009445C" w:rsidRDefault="00B47442" w:rsidP="0099521D">
            <w:pPr>
              <w:pStyle w:val="BRL-Tabelle"/>
              <w:spacing w:before="60" w:after="40"/>
            </w:pPr>
            <w:r w:rsidRPr="0009445C">
              <w:t>Fire alarm status</w:t>
            </w:r>
          </w:p>
        </w:tc>
        <w:tc>
          <w:tcPr>
            <w:tcW w:w="427" w:type="dxa"/>
            <w:vAlign w:val="center"/>
          </w:tcPr>
          <w:p w14:paraId="488E095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C09AEA5" w14:textId="77777777" w:rsidR="00B47442" w:rsidRPr="0009445C" w:rsidRDefault="00B47442" w:rsidP="0099521D">
            <w:pPr>
              <w:pStyle w:val="BRL-Tabelle"/>
              <w:spacing w:before="60" w:after="40"/>
              <w:jc w:val="center"/>
              <w:rPr>
                <w:sz w:val="16"/>
              </w:rPr>
            </w:pPr>
          </w:p>
        </w:tc>
        <w:tc>
          <w:tcPr>
            <w:tcW w:w="426" w:type="dxa"/>
            <w:vAlign w:val="center"/>
          </w:tcPr>
          <w:p w14:paraId="6A7DA776" w14:textId="77777777" w:rsidR="00B47442" w:rsidRPr="0009445C" w:rsidRDefault="00B47442" w:rsidP="0099521D">
            <w:pPr>
              <w:pStyle w:val="BRL-Tabelle"/>
              <w:spacing w:before="60" w:after="40"/>
              <w:jc w:val="center"/>
              <w:rPr>
                <w:sz w:val="16"/>
              </w:rPr>
            </w:pPr>
          </w:p>
        </w:tc>
        <w:tc>
          <w:tcPr>
            <w:tcW w:w="427" w:type="dxa"/>
            <w:vAlign w:val="center"/>
          </w:tcPr>
          <w:p w14:paraId="718E4A8E" w14:textId="77777777" w:rsidR="00B47442" w:rsidRPr="0009445C" w:rsidRDefault="00B47442" w:rsidP="0099521D">
            <w:pPr>
              <w:pStyle w:val="BRL-Tabelle"/>
              <w:spacing w:before="60" w:after="40"/>
              <w:jc w:val="center"/>
              <w:rPr>
                <w:sz w:val="16"/>
              </w:rPr>
            </w:pPr>
          </w:p>
        </w:tc>
        <w:tc>
          <w:tcPr>
            <w:tcW w:w="425" w:type="dxa"/>
            <w:vAlign w:val="center"/>
          </w:tcPr>
          <w:p w14:paraId="7ACF30FA" w14:textId="77777777" w:rsidR="00B47442" w:rsidRPr="0009445C" w:rsidRDefault="00B47442" w:rsidP="0099521D">
            <w:pPr>
              <w:pStyle w:val="BRL-Tabelle"/>
              <w:spacing w:before="60" w:after="40"/>
              <w:jc w:val="center"/>
              <w:rPr>
                <w:sz w:val="16"/>
              </w:rPr>
            </w:pPr>
          </w:p>
        </w:tc>
        <w:tc>
          <w:tcPr>
            <w:tcW w:w="426" w:type="dxa"/>
            <w:vAlign w:val="center"/>
          </w:tcPr>
          <w:p w14:paraId="7996EFB6" w14:textId="77777777" w:rsidR="00B47442" w:rsidRPr="0009445C" w:rsidRDefault="00B47442" w:rsidP="0099521D">
            <w:pPr>
              <w:pStyle w:val="BRL-Tabelle"/>
              <w:spacing w:before="60" w:after="40"/>
              <w:jc w:val="center"/>
              <w:rPr>
                <w:sz w:val="16"/>
              </w:rPr>
            </w:pPr>
          </w:p>
        </w:tc>
        <w:tc>
          <w:tcPr>
            <w:tcW w:w="428" w:type="dxa"/>
            <w:vAlign w:val="center"/>
          </w:tcPr>
          <w:p w14:paraId="2E7713ED" w14:textId="77777777" w:rsidR="00B47442" w:rsidRPr="0009445C" w:rsidRDefault="00B47442" w:rsidP="0099521D">
            <w:pPr>
              <w:pStyle w:val="BRL-Tabelle"/>
              <w:spacing w:before="60" w:after="40"/>
              <w:jc w:val="center"/>
              <w:rPr>
                <w:sz w:val="16"/>
              </w:rPr>
            </w:pPr>
          </w:p>
        </w:tc>
        <w:tc>
          <w:tcPr>
            <w:tcW w:w="427" w:type="dxa"/>
            <w:vAlign w:val="center"/>
          </w:tcPr>
          <w:p w14:paraId="294439D9" w14:textId="77777777" w:rsidR="00B47442" w:rsidRPr="0009445C" w:rsidRDefault="00B47442" w:rsidP="0099521D">
            <w:pPr>
              <w:pStyle w:val="BRL-Tabelle"/>
              <w:spacing w:before="60" w:after="40"/>
              <w:jc w:val="center"/>
              <w:rPr>
                <w:sz w:val="16"/>
              </w:rPr>
            </w:pPr>
          </w:p>
        </w:tc>
        <w:tc>
          <w:tcPr>
            <w:tcW w:w="426" w:type="dxa"/>
            <w:vAlign w:val="center"/>
          </w:tcPr>
          <w:p w14:paraId="396C1000" w14:textId="77777777" w:rsidR="00B47442" w:rsidRPr="0009445C" w:rsidRDefault="00B47442" w:rsidP="0099521D">
            <w:pPr>
              <w:pStyle w:val="BRL-Tabelle"/>
              <w:spacing w:before="60" w:after="40"/>
              <w:jc w:val="center"/>
              <w:rPr>
                <w:sz w:val="16"/>
              </w:rPr>
            </w:pPr>
          </w:p>
        </w:tc>
        <w:tc>
          <w:tcPr>
            <w:tcW w:w="426" w:type="dxa"/>
            <w:vAlign w:val="center"/>
          </w:tcPr>
          <w:p w14:paraId="01AEA57F" w14:textId="77777777" w:rsidR="00B47442" w:rsidRPr="0009445C" w:rsidRDefault="00B47442" w:rsidP="0099521D">
            <w:pPr>
              <w:pStyle w:val="BRL-Tabelle"/>
              <w:spacing w:before="60" w:after="40"/>
              <w:jc w:val="center"/>
              <w:rPr>
                <w:sz w:val="16"/>
              </w:rPr>
            </w:pPr>
          </w:p>
        </w:tc>
        <w:tc>
          <w:tcPr>
            <w:tcW w:w="426" w:type="dxa"/>
            <w:vAlign w:val="center"/>
          </w:tcPr>
          <w:p w14:paraId="240FB648" w14:textId="77777777" w:rsidR="00B47442" w:rsidRPr="0009445C" w:rsidRDefault="00B47442" w:rsidP="0099521D">
            <w:pPr>
              <w:pStyle w:val="BRL-Tabelle"/>
              <w:spacing w:before="60" w:after="40"/>
              <w:jc w:val="center"/>
              <w:rPr>
                <w:sz w:val="16"/>
              </w:rPr>
            </w:pPr>
          </w:p>
        </w:tc>
        <w:tc>
          <w:tcPr>
            <w:tcW w:w="433" w:type="dxa"/>
            <w:vAlign w:val="center"/>
          </w:tcPr>
          <w:p w14:paraId="09D0A408" w14:textId="77777777" w:rsidR="00B47442" w:rsidRPr="0009445C" w:rsidRDefault="00B47442" w:rsidP="0099521D">
            <w:pPr>
              <w:pStyle w:val="BRL-Tabelle"/>
              <w:spacing w:before="60" w:after="40"/>
              <w:jc w:val="center"/>
              <w:rPr>
                <w:sz w:val="16"/>
              </w:rPr>
            </w:pPr>
          </w:p>
        </w:tc>
        <w:tc>
          <w:tcPr>
            <w:tcW w:w="426" w:type="dxa"/>
            <w:vAlign w:val="center"/>
          </w:tcPr>
          <w:p w14:paraId="2431700B" w14:textId="77777777" w:rsidR="00B47442" w:rsidRPr="0009445C" w:rsidRDefault="00B47442" w:rsidP="0099521D">
            <w:pPr>
              <w:pStyle w:val="BRL-Tabelle"/>
              <w:spacing w:before="60" w:after="40"/>
              <w:jc w:val="center"/>
              <w:rPr>
                <w:sz w:val="16"/>
              </w:rPr>
            </w:pPr>
          </w:p>
        </w:tc>
        <w:tc>
          <w:tcPr>
            <w:tcW w:w="427" w:type="dxa"/>
            <w:vAlign w:val="center"/>
          </w:tcPr>
          <w:p w14:paraId="17A42520" w14:textId="77777777" w:rsidR="00B47442" w:rsidRPr="0009445C" w:rsidRDefault="00B47442" w:rsidP="0099521D">
            <w:pPr>
              <w:pStyle w:val="BRL-Tabelle"/>
              <w:spacing w:before="60" w:after="40"/>
              <w:jc w:val="center"/>
              <w:rPr>
                <w:sz w:val="16"/>
              </w:rPr>
            </w:pPr>
          </w:p>
        </w:tc>
        <w:tc>
          <w:tcPr>
            <w:tcW w:w="426" w:type="dxa"/>
            <w:vAlign w:val="center"/>
          </w:tcPr>
          <w:p w14:paraId="0F30E8E9" w14:textId="77777777" w:rsidR="00B47442" w:rsidRPr="0009445C" w:rsidRDefault="00B47442" w:rsidP="0099521D">
            <w:pPr>
              <w:pStyle w:val="BRL-Tabelle"/>
              <w:spacing w:before="60" w:after="40"/>
              <w:jc w:val="center"/>
              <w:rPr>
                <w:sz w:val="16"/>
              </w:rPr>
            </w:pPr>
          </w:p>
        </w:tc>
        <w:tc>
          <w:tcPr>
            <w:tcW w:w="427" w:type="dxa"/>
            <w:vAlign w:val="center"/>
          </w:tcPr>
          <w:p w14:paraId="6263F388" w14:textId="77777777" w:rsidR="00B47442" w:rsidRPr="0009445C" w:rsidRDefault="00B47442" w:rsidP="0099521D">
            <w:pPr>
              <w:pStyle w:val="BRL-Tabelle"/>
              <w:spacing w:before="60" w:after="40"/>
              <w:jc w:val="center"/>
              <w:rPr>
                <w:sz w:val="16"/>
              </w:rPr>
            </w:pPr>
          </w:p>
        </w:tc>
      </w:tr>
      <w:tr w:rsidR="00B47442" w:rsidRPr="0009445C" w14:paraId="527EDAFC" w14:textId="77777777" w:rsidTr="0099521D">
        <w:trPr>
          <w:trHeight w:val="264"/>
        </w:trPr>
        <w:tc>
          <w:tcPr>
            <w:tcW w:w="2355" w:type="dxa"/>
            <w:gridSpan w:val="2"/>
          </w:tcPr>
          <w:p w14:paraId="3E8628A5" w14:textId="77777777" w:rsidR="00B47442" w:rsidRPr="0009445C" w:rsidRDefault="00B47442" w:rsidP="0099521D">
            <w:pPr>
              <w:pStyle w:val="BRL-Tabelle"/>
              <w:spacing w:before="60" w:after="40"/>
            </w:pPr>
            <w:r w:rsidRPr="0009445C">
              <w:t>Fault alarm status</w:t>
            </w:r>
          </w:p>
        </w:tc>
        <w:tc>
          <w:tcPr>
            <w:tcW w:w="427" w:type="dxa"/>
            <w:vAlign w:val="center"/>
          </w:tcPr>
          <w:p w14:paraId="3BD2068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3503E10" w14:textId="77777777" w:rsidR="00B47442" w:rsidRPr="0009445C" w:rsidRDefault="00B47442" w:rsidP="0099521D">
            <w:pPr>
              <w:pStyle w:val="BRL-Tabelle"/>
              <w:spacing w:before="60" w:after="40"/>
              <w:jc w:val="center"/>
              <w:rPr>
                <w:sz w:val="16"/>
              </w:rPr>
            </w:pPr>
          </w:p>
        </w:tc>
        <w:tc>
          <w:tcPr>
            <w:tcW w:w="426" w:type="dxa"/>
            <w:vAlign w:val="center"/>
          </w:tcPr>
          <w:p w14:paraId="38698BF5" w14:textId="77777777" w:rsidR="00B47442" w:rsidRPr="0009445C" w:rsidRDefault="00B47442" w:rsidP="0099521D">
            <w:pPr>
              <w:pStyle w:val="BRL-Tabelle"/>
              <w:spacing w:before="60" w:after="40"/>
              <w:jc w:val="center"/>
              <w:rPr>
                <w:sz w:val="16"/>
              </w:rPr>
            </w:pPr>
          </w:p>
        </w:tc>
        <w:tc>
          <w:tcPr>
            <w:tcW w:w="427" w:type="dxa"/>
            <w:vAlign w:val="center"/>
          </w:tcPr>
          <w:p w14:paraId="442B0CEC" w14:textId="77777777" w:rsidR="00B47442" w:rsidRPr="0009445C" w:rsidRDefault="00B47442" w:rsidP="0099521D">
            <w:pPr>
              <w:pStyle w:val="BRL-Tabelle"/>
              <w:spacing w:before="60" w:after="40"/>
              <w:jc w:val="center"/>
              <w:rPr>
                <w:sz w:val="16"/>
              </w:rPr>
            </w:pPr>
          </w:p>
        </w:tc>
        <w:tc>
          <w:tcPr>
            <w:tcW w:w="425" w:type="dxa"/>
            <w:vAlign w:val="center"/>
          </w:tcPr>
          <w:p w14:paraId="429B9F30" w14:textId="77777777" w:rsidR="00B47442" w:rsidRPr="0009445C" w:rsidRDefault="00B47442" w:rsidP="0099521D">
            <w:pPr>
              <w:pStyle w:val="BRL-Tabelle"/>
              <w:spacing w:before="60" w:after="40"/>
              <w:jc w:val="center"/>
              <w:rPr>
                <w:sz w:val="16"/>
              </w:rPr>
            </w:pPr>
          </w:p>
        </w:tc>
        <w:tc>
          <w:tcPr>
            <w:tcW w:w="426" w:type="dxa"/>
            <w:vAlign w:val="center"/>
          </w:tcPr>
          <w:p w14:paraId="6736CC07" w14:textId="77777777" w:rsidR="00B47442" w:rsidRPr="0009445C" w:rsidRDefault="00B47442" w:rsidP="0099521D">
            <w:pPr>
              <w:pStyle w:val="BRL-Tabelle"/>
              <w:spacing w:before="60" w:after="40"/>
              <w:jc w:val="center"/>
              <w:rPr>
                <w:sz w:val="16"/>
              </w:rPr>
            </w:pPr>
          </w:p>
        </w:tc>
        <w:tc>
          <w:tcPr>
            <w:tcW w:w="428" w:type="dxa"/>
            <w:vAlign w:val="center"/>
          </w:tcPr>
          <w:p w14:paraId="3C3E0F58" w14:textId="77777777" w:rsidR="00B47442" w:rsidRPr="0009445C" w:rsidRDefault="00B47442" w:rsidP="0099521D">
            <w:pPr>
              <w:pStyle w:val="BRL-Tabelle"/>
              <w:spacing w:before="60" w:after="40"/>
              <w:jc w:val="center"/>
              <w:rPr>
                <w:sz w:val="16"/>
              </w:rPr>
            </w:pPr>
          </w:p>
        </w:tc>
        <w:tc>
          <w:tcPr>
            <w:tcW w:w="427" w:type="dxa"/>
            <w:vAlign w:val="center"/>
          </w:tcPr>
          <w:p w14:paraId="33DF84E7" w14:textId="77777777" w:rsidR="00B47442" w:rsidRPr="0009445C" w:rsidRDefault="00B47442" w:rsidP="0099521D">
            <w:pPr>
              <w:pStyle w:val="BRL-Tabelle"/>
              <w:spacing w:before="60" w:after="40"/>
              <w:jc w:val="center"/>
              <w:rPr>
                <w:sz w:val="16"/>
              </w:rPr>
            </w:pPr>
          </w:p>
        </w:tc>
        <w:tc>
          <w:tcPr>
            <w:tcW w:w="426" w:type="dxa"/>
            <w:vAlign w:val="center"/>
          </w:tcPr>
          <w:p w14:paraId="20FA54E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E980A98" w14:textId="77777777" w:rsidR="00B47442" w:rsidRPr="0009445C" w:rsidRDefault="00B47442" w:rsidP="0099521D">
            <w:pPr>
              <w:pStyle w:val="BRL-Tabelle"/>
              <w:spacing w:before="60" w:after="40"/>
              <w:jc w:val="center"/>
              <w:rPr>
                <w:sz w:val="16"/>
              </w:rPr>
            </w:pPr>
          </w:p>
        </w:tc>
        <w:tc>
          <w:tcPr>
            <w:tcW w:w="426" w:type="dxa"/>
            <w:vAlign w:val="center"/>
          </w:tcPr>
          <w:p w14:paraId="69DB398A" w14:textId="77777777" w:rsidR="00B47442" w:rsidRPr="0009445C" w:rsidRDefault="00B47442" w:rsidP="0099521D">
            <w:pPr>
              <w:pStyle w:val="BRL-Tabelle"/>
              <w:spacing w:before="60" w:after="40"/>
              <w:jc w:val="center"/>
              <w:rPr>
                <w:sz w:val="16"/>
              </w:rPr>
            </w:pPr>
          </w:p>
        </w:tc>
        <w:tc>
          <w:tcPr>
            <w:tcW w:w="433" w:type="dxa"/>
            <w:vAlign w:val="center"/>
          </w:tcPr>
          <w:p w14:paraId="1A3B588C" w14:textId="77777777" w:rsidR="00B47442" w:rsidRPr="0009445C" w:rsidRDefault="00B47442" w:rsidP="0099521D">
            <w:pPr>
              <w:pStyle w:val="BRL-Tabelle"/>
              <w:spacing w:before="60" w:after="40"/>
              <w:jc w:val="center"/>
              <w:rPr>
                <w:sz w:val="16"/>
              </w:rPr>
            </w:pPr>
          </w:p>
        </w:tc>
        <w:tc>
          <w:tcPr>
            <w:tcW w:w="426" w:type="dxa"/>
            <w:vAlign w:val="center"/>
          </w:tcPr>
          <w:p w14:paraId="71C0BE89" w14:textId="77777777" w:rsidR="00B47442" w:rsidRPr="0009445C" w:rsidRDefault="00B47442" w:rsidP="0099521D">
            <w:pPr>
              <w:pStyle w:val="BRL-Tabelle"/>
              <w:spacing w:before="60" w:after="40"/>
              <w:jc w:val="center"/>
              <w:rPr>
                <w:sz w:val="16"/>
              </w:rPr>
            </w:pPr>
          </w:p>
        </w:tc>
        <w:tc>
          <w:tcPr>
            <w:tcW w:w="427" w:type="dxa"/>
            <w:vAlign w:val="center"/>
          </w:tcPr>
          <w:p w14:paraId="0A5A7925" w14:textId="77777777" w:rsidR="00B47442" w:rsidRPr="0009445C" w:rsidRDefault="00B47442" w:rsidP="0099521D">
            <w:pPr>
              <w:pStyle w:val="BRL-Tabelle"/>
              <w:spacing w:before="60" w:after="40"/>
              <w:jc w:val="center"/>
              <w:rPr>
                <w:sz w:val="16"/>
              </w:rPr>
            </w:pPr>
          </w:p>
        </w:tc>
        <w:tc>
          <w:tcPr>
            <w:tcW w:w="426" w:type="dxa"/>
            <w:vAlign w:val="center"/>
          </w:tcPr>
          <w:p w14:paraId="4BE63F28" w14:textId="77777777" w:rsidR="00B47442" w:rsidRPr="0009445C" w:rsidRDefault="00B47442" w:rsidP="0099521D">
            <w:pPr>
              <w:pStyle w:val="BRL-Tabelle"/>
              <w:spacing w:before="60" w:after="40"/>
              <w:jc w:val="center"/>
              <w:rPr>
                <w:sz w:val="16"/>
              </w:rPr>
            </w:pPr>
          </w:p>
        </w:tc>
        <w:tc>
          <w:tcPr>
            <w:tcW w:w="427" w:type="dxa"/>
            <w:vAlign w:val="center"/>
          </w:tcPr>
          <w:p w14:paraId="5B11BCA5" w14:textId="77777777" w:rsidR="00B47442" w:rsidRPr="0009445C" w:rsidRDefault="00B47442" w:rsidP="0099521D">
            <w:pPr>
              <w:pStyle w:val="BRL-Tabelle"/>
              <w:spacing w:before="60" w:after="40"/>
              <w:jc w:val="center"/>
              <w:rPr>
                <w:sz w:val="16"/>
              </w:rPr>
            </w:pPr>
          </w:p>
        </w:tc>
      </w:tr>
      <w:tr w:rsidR="00B47442" w:rsidRPr="0009445C" w14:paraId="775CACEE" w14:textId="77777777" w:rsidTr="0099521D">
        <w:trPr>
          <w:trHeight w:val="264"/>
        </w:trPr>
        <w:tc>
          <w:tcPr>
            <w:tcW w:w="2355" w:type="dxa"/>
            <w:gridSpan w:val="2"/>
          </w:tcPr>
          <w:p w14:paraId="67A3D59A" w14:textId="77777777" w:rsidR="00B47442" w:rsidRPr="0009445C" w:rsidRDefault="00B47442" w:rsidP="0099521D">
            <w:pPr>
              <w:pStyle w:val="BRL-Tabelle"/>
              <w:spacing w:before="60" w:after="40"/>
            </w:pPr>
            <w:r w:rsidRPr="0009445C">
              <w:t>Shutdown status</w:t>
            </w:r>
          </w:p>
        </w:tc>
        <w:tc>
          <w:tcPr>
            <w:tcW w:w="427" w:type="dxa"/>
            <w:vAlign w:val="center"/>
          </w:tcPr>
          <w:p w14:paraId="13466FE8"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03FCD88" w14:textId="77777777" w:rsidR="00B47442" w:rsidRPr="0009445C" w:rsidRDefault="00B47442" w:rsidP="0099521D">
            <w:pPr>
              <w:pStyle w:val="BRL-Tabelle"/>
              <w:spacing w:before="60" w:after="40"/>
              <w:jc w:val="center"/>
              <w:rPr>
                <w:sz w:val="16"/>
              </w:rPr>
            </w:pPr>
          </w:p>
        </w:tc>
        <w:tc>
          <w:tcPr>
            <w:tcW w:w="426" w:type="dxa"/>
            <w:vAlign w:val="center"/>
          </w:tcPr>
          <w:p w14:paraId="7ABCA15C" w14:textId="77777777" w:rsidR="00B47442" w:rsidRPr="0009445C" w:rsidRDefault="00B47442" w:rsidP="0099521D">
            <w:pPr>
              <w:pStyle w:val="BRL-Tabelle"/>
              <w:spacing w:before="60" w:after="40"/>
              <w:jc w:val="center"/>
              <w:rPr>
                <w:sz w:val="16"/>
              </w:rPr>
            </w:pPr>
          </w:p>
        </w:tc>
        <w:tc>
          <w:tcPr>
            <w:tcW w:w="427" w:type="dxa"/>
            <w:vAlign w:val="center"/>
          </w:tcPr>
          <w:p w14:paraId="31874726" w14:textId="77777777" w:rsidR="00B47442" w:rsidRPr="0009445C" w:rsidRDefault="00B47442" w:rsidP="0099521D">
            <w:pPr>
              <w:pStyle w:val="BRL-Tabelle"/>
              <w:spacing w:before="60" w:after="40"/>
              <w:jc w:val="center"/>
              <w:rPr>
                <w:sz w:val="16"/>
              </w:rPr>
            </w:pPr>
          </w:p>
        </w:tc>
        <w:tc>
          <w:tcPr>
            <w:tcW w:w="425" w:type="dxa"/>
            <w:vAlign w:val="center"/>
          </w:tcPr>
          <w:p w14:paraId="2DC1590B" w14:textId="77777777" w:rsidR="00B47442" w:rsidRPr="0009445C" w:rsidRDefault="00B47442" w:rsidP="0099521D">
            <w:pPr>
              <w:pStyle w:val="BRL-Tabelle"/>
              <w:spacing w:before="60" w:after="40"/>
              <w:jc w:val="center"/>
              <w:rPr>
                <w:sz w:val="16"/>
              </w:rPr>
            </w:pPr>
          </w:p>
        </w:tc>
        <w:tc>
          <w:tcPr>
            <w:tcW w:w="426" w:type="dxa"/>
            <w:vAlign w:val="center"/>
          </w:tcPr>
          <w:p w14:paraId="6D81C579" w14:textId="77777777" w:rsidR="00B47442" w:rsidRPr="0009445C" w:rsidRDefault="00B47442" w:rsidP="0099521D">
            <w:pPr>
              <w:pStyle w:val="BRL-Tabelle"/>
              <w:spacing w:before="60" w:after="40"/>
              <w:jc w:val="center"/>
              <w:rPr>
                <w:sz w:val="16"/>
              </w:rPr>
            </w:pPr>
          </w:p>
        </w:tc>
        <w:tc>
          <w:tcPr>
            <w:tcW w:w="428" w:type="dxa"/>
            <w:vAlign w:val="center"/>
          </w:tcPr>
          <w:p w14:paraId="2681A1ED" w14:textId="77777777" w:rsidR="00B47442" w:rsidRPr="0009445C" w:rsidRDefault="00B47442" w:rsidP="0099521D">
            <w:pPr>
              <w:pStyle w:val="BRL-Tabelle"/>
              <w:spacing w:before="60" w:after="40"/>
              <w:jc w:val="center"/>
              <w:rPr>
                <w:sz w:val="16"/>
              </w:rPr>
            </w:pPr>
          </w:p>
        </w:tc>
        <w:tc>
          <w:tcPr>
            <w:tcW w:w="427" w:type="dxa"/>
            <w:vAlign w:val="center"/>
          </w:tcPr>
          <w:p w14:paraId="562DDB63" w14:textId="77777777" w:rsidR="00B47442" w:rsidRPr="0009445C" w:rsidRDefault="00B47442" w:rsidP="0099521D">
            <w:pPr>
              <w:pStyle w:val="BRL-Tabelle"/>
              <w:spacing w:before="60" w:after="40"/>
              <w:jc w:val="center"/>
              <w:rPr>
                <w:sz w:val="16"/>
              </w:rPr>
            </w:pPr>
          </w:p>
        </w:tc>
        <w:tc>
          <w:tcPr>
            <w:tcW w:w="426" w:type="dxa"/>
            <w:vAlign w:val="center"/>
          </w:tcPr>
          <w:p w14:paraId="38463A16" w14:textId="77777777" w:rsidR="00B47442" w:rsidRPr="0009445C" w:rsidRDefault="00B47442" w:rsidP="0099521D">
            <w:pPr>
              <w:pStyle w:val="BRL-Tabelle"/>
              <w:spacing w:before="60" w:after="40"/>
              <w:jc w:val="center"/>
              <w:rPr>
                <w:sz w:val="16"/>
              </w:rPr>
            </w:pPr>
          </w:p>
        </w:tc>
        <w:tc>
          <w:tcPr>
            <w:tcW w:w="426" w:type="dxa"/>
            <w:vAlign w:val="center"/>
          </w:tcPr>
          <w:p w14:paraId="792F1EA7" w14:textId="77777777" w:rsidR="00B47442" w:rsidRPr="0009445C" w:rsidRDefault="00B47442" w:rsidP="0099521D">
            <w:pPr>
              <w:pStyle w:val="BRL-Tabelle"/>
              <w:spacing w:before="60" w:after="40"/>
              <w:jc w:val="center"/>
              <w:rPr>
                <w:sz w:val="16"/>
              </w:rPr>
            </w:pPr>
          </w:p>
        </w:tc>
        <w:tc>
          <w:tcPr>
            <w:tcW w:w="426" w:type="dxa"/>
            <w:vAlign w:val="center"/>
          </w:tcPr>
          <w:p w14:paraId="1FB7E382" w14:textId="77777777" w:rsidR="00B47442" w:rsidRPr="0009445C" w:rsidRDefault="00B47442" w:rsidP="0099521D">
            <w:pPr>
              <w:pStyle w:val="BRL-Tabelle"/>
              <w:spacing w:before="60" w:after="40"/>
              <w:jc w:val="center"/>
              <w:rPr>
                <w:sz w:val="16"/>
              </w:rPr>
            </w:pPr>
          </w:p>
        </w:tc>
        <w:tc>
          <w:tcPr>
            <w:tcW w:w="433" w:type="dxa"/>
            <w:vAlign w:val="center"/>
          </w:tcPr>
          <w:p w14:paraId="6C9FA8FF" w14:textId="77777777" w:rsidR="00B47442" w:rsidRPr="0009445C" w:rsidRDefault="00B47442" w:rsidP="0099521D">
            <w:pPr>
              <w:pStyle w:val="BRL-Tabelle"/>
              <w:spacing w:before="60" w:after="40"/>
              <w:jc w:val="center"/>
              <w:rPr>
                <w:sz w:val="16"/>
              </w:rPr>
            </w:pPr>
          </w:p>
        </w:tc>
        <w:tc>
          <w:tcPr>
            <w:tcW w:w="426" w:type="dxa"/>
            <w:vAlign w:val="center"/>
          </w:tcPr>
          <w:p w14:paraId="4423365F" w14:textId="77777777" w:rsidR="00B47442" w:rsidRPr="0009445C" w:rsidRDefault="00B47442" w:rsidP="0099521D">
            <w:pPr>
              <w:pStyle w:val="BRL-Tabelle"/>
              <w:spacing w:before="60" w:after="40"/>
              <w:jc w:val="center"/>
              <w:rPr>
                <w:sz w:val="16"/>
              </w:rPr>
            </w:pPr>
          </w:p>
        </w:tc>
        <w:tc>
          <w:tcPr>
            <w:tcW w:w="427" w:type="dxa"/>
            <w:vAlign w:val="center"/>
          </w:tcPr>
          <w:p w14:paraId="15E9BE8B" w14:textId="77777777" w:rsidR="00B47442" w:rsidRPr="0009445C" w:rsidRDefault="00B47442" w:rsidP="0099521D">
            <w:pPr>
              <w:pStyle w:val="BRL-Tabelle"/>
              <w:spacing w:before="60" w:after="40"/>
              <w:jc w:val="center"/>
              <w:rPr>
                <w:sz w:val="16"/>
              </w:rPr>
            </w:pPr>
          </w:p>
        </w:tc>
        <w:tc>
          <w:tcPr>
            <w:tcW w:w="426" w:type="dxa"/>
            <w:vAlign w:val="center"/>
          </w:tcPr>
          <w:p w14:paraId="433FA0C7" w14:textId="77777777" w:rsidR="00B47442" w:rsidRPr="0009445C" w:rsidRDefault="00B47442" w:rsidP="0099521D">
            <w:pPr>
              <w:pStyle w:val="BRL-Tabelle"/>
              <w:spacing w:before="60" w:after="40"/>
              <w:jc w:val="center"/>
              <w:rPr>
                <w:sz w:val="16"/>
              </w:rPr>
            </w:pPr>
          </w:p>
        </w:tc>
        <w:tc>
          <w:tcPr>
            <w:tcW w:w="427" w:type="dxa"/>
            <w:vAlign w:val="center"/>
          </w:tcPr>
          <w:p w14:paraId="7B07DAAA" w14:textId="77777777" w:rsidR="00B47442" w:rsidRPr="0009445C" w:rsidRDefault="00B47442" w:rsidP="0099521D">
            <w:pPr>
              <w:pStyle w:val="BRL-Tabelle"/>
              <w:spacing w:before="60" w:after="40"/>
              <w:jc w:val="center"/>
              <w:rPr>
                <w:sz w:val="16"/>
              </w:rPr>
            </w:pPr>
          </w:p>
        </w:tc>
      </w:tr>
      <w:tr w:rsidR="00B47442" w:rsidRPr="0009445C" w14:paraId="3675911A" w14:textId="77777777" w:rsidTr="0099521D">
        <w:trPr>
          <w:trHeight w:val="264"/>
        </w:trPr>
        <w:tc>
          <w:tcPr>
            <w:tcW w:w="2355" w:type="dxa"/>
            <w:gridSpan w:val="2"/>
          </w:tcPr>
          <w:p w14:paraId="39632C5C" w14:textId="77777777" w:rsidR="00B47442" w:rsidRPr="0009445C" w:rsidRDefault="00B47442" w:rsidP="0099521D">
            <w:pPr>
              <w:pStyle w:val="BRL-Tabelle"/>
              <w:spacing w:before="60" w:after="40"/>
            </w:pPr>
            <w:r w:rsidRPr="0009445C">
              <w:t>Requirements for execution</w:t>
            </w:r>
          </w:p>
        </w:tc>
        <w:tc>
          <w:tcPr>
            <w:tcW w:w="427" w:type="dxa"/>
            <w:vAlign w:val="center"/>
          </w:tcPr>
          <w:p w14:paraId="2CA98FAD"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FF9B9E8" w14:textId="77777777" w:rsidR="00B47442" w:rsidRPr="0009445C" w:rsidRDefault="00B47442" w:rsidP="0099521D">
            <w:pPr>
              <w:pStyle w:val="BRL-Tabelle"/>
              <w:spacing w:before="60" w:after="40"/>
              <w:jc w:val="center"/>
              <w:rPr>
                <w:sz w:val="16"/>
              </w:rPr>
            </w:pPr>
          </w:p>
        </w:tc>
        <w:tc>
          <w:tcPr>
            <w:tcW w:w="426" w:type="dxa"/>
            <w:vAlign w:val="center"/>
          </w:tcPr>
          <w:p w14:paraId="2A5E0639" w14:textId="77777777" w:rsidR="00B47442" w:rsidRPr="0009445C" w:rsidRDefault="00B47442" w:rsidP="0099521D">
            <w:pPr>
              <w:pStyle w:val="BRL-Tabelle"/>
              <w:spacing w:before="60" w:after="40"/>
              <w:jc w:val="center"/>
              <w:rPr>
                <w:sz w:val="16"/>
              </w:rPr>
            </w:pPr>
          </w:p>
        </w:tc>
        <w:tc>
          <w:tcPr>
            <w:tcW w:w="427" w:type="dxa"/>
            <w:vAlign w:val="center"/>
          </w:tcPr>
          <w:p w14:paraId="742185CE" w14:textId="77777777" w:rsidR="00B47442" w:rsidRPr="0009445C" w:rsidRDefault="00B47442" w:rsidP="0099521D">
            <w:pPr>
              <w:pStyle w:val="BRL-Tabelle"/>
              <w:spacing w:before="60" w:after="40"/>
              <w:jc w:val="center"/>
              <w:rPr>
                <w:sz w:val="16"/>
              </w:rPr>
            </w:pPr>
          </w:p>
        </w:tc>
        <w:tc>
          <w:tcPr>
            <w:tcW w:w="425" w:type="dxa"/>
            <w:vAlign w:val="center"/>
          </w:tcPr>
          <w:p w14:paraId="45172C84" w14:textId="77777777" w:rsidR="00B47442" w:rsidRPr="0009445C" w:rsidRDefault="00B47442" w:rsidP="0099521D">
            <w:pPr>
              <w:pStyle w:val="BRL-Tabelle"/>
              <w:spacing w:before="60" w:after="40"/>
              <w:jc w:val="center"/>
              <w:rPr>
                <w:sz w:val="16"/>
              </w:rPr>
            </w:pPr>
          </w:p>
        </w:tc>
        <w:tc>
          <w:tcPr>
            <w:tcW w:w="426" w:type="dxa"/>
            <w:vAlign w:val="center"/>
          </w:tcPr>
          <w:p w14:paraId="2513A763" w14:textId="77777777" w:rsidR="00B47442" w:rsidRPr="0009445C" w:rsidRDefault="00B47442" w:rsidP="0099521D">
            <w:pPr>
              <w:pStyle w:val="BRL-Tabelle"/>
              <w:spacing w:before="60" w:after="40"/>
              <w:jc w:val="center"/>
              <w:rPr>
                <w:sz w:val="16"/>
              </w:rPr>
            </w:pPr>
          </w:p>
        </w:tc>
        <w:tc>
          <w:tcPr>
            <w:tcW w:w="428" w:type="dxa"/>
            <w:vAlign w:val="center"/>
          </w:tcPr>
          <w:p w14:paraId="7E0935DC" w14:textId="77777777" w:rsidR="00B47442" w:rsidRPr="0009445C" w:rsidRDefault="00B47442" w:rsidP="0099521D">
            <w:pPr>
              <w:pStyle w:val="BRL-Tabelle"/>
              <w:spacing w:before="60" w:after="40"/>
              <w:jc w:val="center"/>
              <w:rPr>
                <w:sz w:val="16"/>
              </w:rPr>
            </w:pPr>
          </w:p>
        </w:tc>
        <w:tc>
          <w:tcPr>
            <w:tcW w:w="427" w:type="dxa"/>
            <w:vAlign w:val="center"/>
          </w:tcPr>
          <w:p w14:paraId="42644244" w14:textId="77777777" w:rsidR="00B47442" w:rsidRPr="0009445C" w:rsidRDefault="00B47442" w:rsidP="0099521D">
            <w:pPr>
              <w:pStyle w:val="BRL-Tabelle"/>
              <w:spacing w:before="60" w:after="40"/>
              <w:jc w:val="center"/>
              <w:rPr>
                <w:sz w:val="16"/>
              </w:rPr>
            </w:pPr>
          </w:p>
        </w:tc>
        <w:tc>
          <w:tcPr>
            <w:tcW w:w="426" w:type="dxa"/>
            <w:vAlign w:val="center"/>
          </w:tcPr>
          <w:p w14:paraId="1B4F0299"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1235D88" w14:textId="77777777" w:rsidR="00B47442" w:rsidRPr="0009445C" w:rsidRDefault="00B47442" w:rsidP="0099521D">
            <w:pPr>
              <w:pStyle w:val="BRL-Tabelle"/>
              <w:spacing w:before="60" w:after="40"/>
              <w:jc w:val="center"/>
              <w:rPr>
                <w:sz w:val="16"/>
              </w:rPr>
            </w:pPr>
          </w:p>
        </w:tc>
        <w:tc>
          <w:tcPr>
            <w:tcW w:w="426" w:type="dxa"/>
            <w:vAlign w:val="center"/>
          </w:tcPr>
          <w:p w14:paraId="04C7FBDB" w14:textId="77777777" w:rsidR="00B47442" w:rsidRPr="0009445C" w:rsidRDefault="00B47442" w:rsidP="0099521D">
            <w:pPr>
              <w:pStyle w:val="BRL-Tabelle"/>
              <w:spacing w:before="60" w:after="40"/>
              <w:jc w:val="center"/>
              <w:rPr>
                <w:sz w:val="16"/>
              </w:rPr>
            </w:pPr>
          </w:p>
        </w:tc>
        <w:tc>
          <w:tcPr>
            <w:tcW w:w="433" w:type="dxa"/>
            <w:vAlign w:val="center"/>
          </w:tcPr>
          <w:p w14:paraId="0715C50C" w14:textId="77777777" w:rsidR="00B47442" w:rsidRPr="0009445C" w:rsidRDefault="00B47442" w:rsidP="0099521D">
            <w:pPr>
              <w:pStyle w:val="BRL-Tabelle"/>
              <w:spacing w:before="60" w:after="40"/>
              <w:jc w:val="center"/>
              <w:rPr>
                <w:sz w:val="16"/>
              </w:rPr>
            </w:pPr>
          </w:p>
        </w:tc>
        <w:tc>
          <w:tcPr>
            <w:tcW w:w="426" w:type="dxa"/>
            <w:vAlign w:val="center"/>
          </w:tcPr>
          <w:p w14:paraId="69351195"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3F0721F" w14:textId="77777777" w:rsidR="00B47442" w:rsidRPr="0009445C" w:rsidRDefault="00B47442" w:rsidP="0099521D">
            <w:pPr>
              <w:pStyle w:val="BRL-Tabelle"/>
              <w:spacing w:before="60" w:after="40"/>
              <w:jc w:val="center"/>
              <w:rPr>
                <w:sz w:val="16"/>
              </w:rPr>
            </w:pPr>
          </w:p>
        </w:tc>
        <w:tc>
          <w:tcPr>
            <w:tcW w:w="426" w:type="dxa"/>
            <w:vAlign w:val="center"/>
          </w:tcPr>
          <w:p w14:paraId="2A56E5CE" w14:textId="77777777" w:rsidR="00B47442" w:rsidRPr="0009445C" w:rsidRDefault="00B47442" w:rsidP="0099521D">
            <w:pPr>
              <w:pStyle w:val="BRL-Tabelle"/>
              <w:spacing w:before="60" w:after="40"/>
              <w:jc w:val="center"/>
              <w:rPr>
                <w:sz w:val="16"/>
              </w:rPr>
            </w:pPr>
          </w:p>
        </w:tc>
        <w:tc>
          <w:tcPr>
            <w:tcW w:w="427" w:type="dxa"/>
            <w:vAlign w:val="center"/>
          </w:tcPr>
          <w:p w14:paraId="62BAE1CE" w14:textId="77777777" w:rsidR="00B47442" w:rsidRPr="0009445C" w:rsidRDefault="00B47442" w:rsidP="0099521D">
            <w:pPr>
              <w:pStyle w:val="BRL-Tabelle"/>
              <w:spacing w:before="60" w:after="40"/>
              <w:jc w:val="center"/>
              <w:rPr>
                <w:sz w:val="16"/>
              </w:rPr>
            </w:pPr>
          </w:p>
        </w:tc>
      </w:tr>
      <w:tr w:rsidR="00B47442" w:rsidRPr="0009445C" w14:paraId="7A2F9D81" w14:textId="77777777" w:rsidTr="0099521D">
        <w:trPr>
          <w:trHeight w:val="528"/>
        </w:trPr>
        <w:tc>
          <w:tcPr>
            <w:tcW w:w="2355" w:type="dxa"/>
            <w:gridSpan w:val="2"/>
          </w:tcPr>
          <w:p w14:paraId="574C502F" w14:textId="77777777" w:rsidR="00B47442" w:rsidRPr="0009445C" w:rsidRDefault="00B47442" w:rsidP="0099521D">
            <w:pPr>
              <w:pStyle w:val="BRL-Tabelle"/>
              <w:spacing w:before="60" w:after="40"/>
            </w:pPr>
            <w:r w:rsidRPr="0009445C">
              <w:t>Additional requirements for the execution of software-controlled fire alarm systems</w:t>
            </w:r>
          </w:p>
        </w:tc>
        <w:tc>
          <w:tcPr>
            <w:tcW w:w="427" w:type="dxa"/>
            <w:vAlign w:val="center"/>
          </w:tcPr>
          <w:p w14:paraId="25AD0EB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B195A30" w14:textId="77777777" w:rsidR="00B47442" w:rsidRPr="0009445C" w:rsidRDefault="00B47442" w:rsidP="0099521D">
            <w:pPr>
              <w:pStyle w:val="BRL-Tabelle"/>
              <w:spacing w:before="60" w:after="40"/>
              <w:jc w:val="center"/>
              <w:rPr>
                <w:sz w:val="16"/>
              </w:rPr>
            </w:pPr>
          </w:p>
        </w:tc>
        <w:tc>
          <w:tcPr>
            <w:tcW w:w="426" w:type="dxa"/>
            <w:vAlign w:val="center"/>
          </w:tcPr>
          <w:p w14:paraId="16A5E4FE" w14:textId="77777777" w:rsidR="00B47442" w:rsidRPr="0009445C" w:rsidRDefault="00B47442" w:rsidP="0099521D">
            <w:pPr>
              <w:pStyle w:val="BRL-Tabelle"/>
              <w:spacing w:before="60" w:after="40"/>
              <w:jc w:val="center"/>
              <w:rPr>
                <w:sz w:val="16"/>
              </w:rPr>
            </w:pPr>
          </w:p>
        </w:tc>
        <w:tc>
          <w:tcPr>
            <w:tcW w:w="427" w:type="dxa"/>
            <w:vAlign w:val="center"/>
          </w:tcPr>
          <w:p w14:paraId="754E99FE" w14:textId="77777777" w:rsidR="00B47442" w:rsidRPr="0009445C" w:rsidRDefault="00B47442" w:rsidP="0099521D">
            <w:pPr>
              <w:pStyle w:val="BRL-Tabelle"/>
              <w:spacing w:before="60" w:after="40"/>
              <w:jc w:val="center"/>
              <w:rPr>
                <w:sz w:val="16"/>
              </w:rPr>
            </w:pPr>
          </w:p>
        </w:tc>
        <w:tc>
          <w:tcPr>
            <w:tcW w:w="425" w:type="dxa"/>
            <w:vAlign w:val="center"/>
          </w:tcPr>
          <w:p w14:paraId="6376AE8A" w14:textId="77777777" w:rsidR="00B47442" w:rsidRPr="0009445C" w:rsidRDefault="00B47442" w:rsidP="0099521D">
            <w:pPr>
              <w:pStyle w:val="BRL-Tabelle"/>
              <w:spacing w:before="60" w:after="40"/>
              <w:jc w:val="center"/>
              <w:rPr>
                <w:sz w:val="16"/>
              </w:rPr>
            </w:pPr>
          </w:p>
        </w:tc>
        <w:tc>
          <w:tcPr>
            <w:tcW w:w="426" w:type="dxa"/>
            <w:vAlign w:val="center"/>
          </w:tcPr>
          <w:p w14:paraId="5B12DB58" w14:textId="77777777" w:rsidR="00B47442" w:rsidRPr="0009445C" w:rsidRDefault="00B47442" w:rsidP="0099521D">
            <w:pPr>
              <w:pStyle w:val="BRL-Tabelle"/>
              <w:spacing w:before="60" w:after="40"/>
              <w:jc w:val="center"/>
              <w:rPr>
                <w:sz w:val="16"/>
              </w:rPr>
            </w:pPr>
          </w:p>
        </w:tc>
        <w:tc>
          <w:tcPr>
            <w:tcW w:w="428" w:type="dxa"/>
            <w:vAlign w:val="center"/>
          </w:tcPr>
          <w:p w14:paraId="7D75986E" w14:textId="77777777" w:rsidR="00B47442" w:rsidRPr="0009445C" w:rsidRDefault="00B47442" w:rsidP="0099521D">
            <w:pPr>
              <w:pStyle w:val="BRL-Tabelle"/>
              <w:spacing w:before="60" w:after="40"/>
              <w:jc w:val="center"/>
              <w:rPr>
                <w:sz w:val="16"/>
              </w:rPr>
            </w:pPr>
          </w:p>
        </w:tc>
        <w:tc>
          <w:tcPr>
            <w:tcW w:w="427" w:type="dxa"/>
            <w:vAlign w:val="center"/>
          </w:tcPr>
          <w:p w14:paraId="2365AF85" w14:textId="77777777" w:rsidR="00B47442" w:rsidRPr="0009445C" w:rsidRDefault="00B47442" w:rsidP="0099521D">
            <w:pPr>
              <w:pStyle w:val="BRL-Tabelle"/>
              <w:spacing w:before="60" w:after="40"/>
              <w:jc w:val="center"/>
              <w:rPr>
                <w:sz w:val="16"/>
              </w:rPr>
            </w:pPr>
          </w:p>
        </w:tc>
        <w:tc>
          <w:tcPr>
            <w:tcW w:w="426" w:type="dxa"/>
            <w:vAlign w:val="center"/>
          </w:tcPr>
          <w:p w14:paraId="0F0B4907" w14:textId="77777777" w:rsidR="00B47442" w:rsidRPr="0009445C" w:rsidRDefault="00B47442" w:rsidP="0099521D">
            <w:pPr>
              <w:pStyle w:val="BRL-Tabelle"/>
              <w:spacing w:before="60" w:after="40"/>
              <w:jc w:val="center"/>
              <w:rPr>
                <w:sz w:val="16"/>
              </w:rPr>
            </w:pPr>
          </w:p>
        </w:tc>
        <w:tc>
          <w:tcPr>
            <w:tcW w:w="426" w:type="dxa"/>
            <w:vAlign w:val="center"/>
          </w:tcPr>
          <w:p w14:paraId="3EFD3E80" w14:textId="77777777" w:rsidR="00B47442" w:rsidRPr="0009445C" w:rsidRDefault="00B47442" w:rsidP="0099521D">
            <w:pPr>
              <w:pStyle w:val="BRL-Tabelle"/>
              <w:spacing w:before="60" w:after="40"/>
              <w:jc w:val="center"/>
              <w:rPr>
                <w:sz w:val="16"/>
              </w:rPr>
            </w:pPr>
          </w:p>
        </w:tc>
        <w:tc>
          <w:tcPr>
            <w:tcW w:w="426" w:type="dxa"/>
            <w:vAlign w:val="center"/>
          </w:tcPr>
          <w:p w14:paraId="14538DBE" w14:textId="77777777" w:rsidR="00B47442" w:rsidRPr="0009445C" w:rsidRDefault="00B47442" w:rsidP="0099521D">
            <w:pPr>
              <w:pStyle w:val="BRL-Tabelle"/>
              <w:spacing w:before="60" w:after="40"/>
              <w:jc w:val="center"/>
              <w:rPr>
                <w:sz w:val="16"/>
              </w:rPr>
            </w:pPr>
          </w:p>
        </w:tc>
        <w:tc>
          <w:tcPr>
            <w:tcW w:w="433" w:type="dxa"/>
            <w:vAlign w:val="center"/>
          </w:tcPr>
          <w:p w14:paraId="6471724F" w14:textId="77777777" w:rsidR="00B47442" w:rsidRPr="0009445C" w:rsidRDefault="00B47442" w:rsidP="0099521D">
            <w:pPr>
              <w:pStyle w:val="BRL-Tabelle"/>
              <w:spacing w:before="60" w:after="40"/>
              <w:jc w:val="center"/>
              <w:rPr>
                <w:sz w:val="16"/>
              </w:rPr>
            </w:pPr>
          </w:p>
        </w:tc>
        <w:tc>
          <w:tcPr>
            <w:tcW w:w="426" w:type="dxa"/>
            <w:vAlign w:val="center"/>
          </w:tcPr>
          <w:p w14:paraId="6F3B3B0E" w14:textId="77777777" w:rsidR="00B47442" w:rsidRPr="0009445C" w:rsidRDefault="00B47442" w:rsidP="0099521D">
            <w:pPr>
              <w:pStyle w:val="BRL-Tabelle"/>
              <w:spacing w:before="60" w:after="40"/>
              <w:jc w:val="center"/>
              <w:rPr>
                <w:sz w:val="16"/>
              </w:rPr>
            </w:pPr>
          </w:p>
        </w:tc>
        <w:tc>
          <w:tcPr>
            <w:tcW w:w="427" w:type="dxa"/>
            <w:vAlign w:val="center"/>
          </w:tcPr>
          <w:p w14:paraId="4E5579AD" w14:textId="77777777" w:rsidR="00B47442" w:rsidRPr="0009445C" w:rsidRDefault="00B47442" w:rsidP="0099521D">
            <w:pPr>
              <w:pStyle w:val="BRL-Tabelle"/>
              <w:spacing w:before="60" w:after="40"/>
              <w:jc w:val="center"/>
              <w:rPr>
                <w:sz w:val="16"/>
              </w:rPr>
            </w:pPr>
          </w:p>
        </w:tc>
        <w:tc>
          <w:tcPr>
            <w:tcW w:w="426" w:type="dxa"/>
            <w:vAlign w:val="center"/>
          </w:tcPr>
          <w:p w14:paraId="4029C9C6" w14:textId="77777777" w:rsidR="00B47442" w:rsidRPr="0009445C" w:rsidRDefault="00B47442" w:rsidP="0099521D">
            <w:pPr>
              <w:pStyle w:val="BRL-Tabelle"/>
              <w:spacing w:before="60" w:after="40"/>
              <w:jc w:val="center"/>
              <w:rPr>
                <w:sz w:val="16"/>
              </w:rPr>
            </w:pPr>
          </w:p>
        </w:tc>
        <w:tc>
          <w:tcPr>
            <w:tcW w:w="427" w:type="dxa"/>
            <w:vAlign w:val="center"/>
          </w:tcPr>
          <w:p w14:paraId="1E2E884C" w14:textId="77777777" w:rsidR="00B47442" w:rsidRPr="0009445C" w:rsidRDefault="00B47442" w:rsidP="0099521D">
            <w:pPr>
              <w:pStyle w:val="BRL-Tabelle"/>
              <w:spacing w:before="60" w:after="40"/>
              <w:jc w:val="center"/>
              <w:rPr>
                <w:sz w:val="16"/>
              </w:rPr>
            </w:pPr>
          </w:p>
        </w:tc>
      </w:tr>
      <w:tr w:rsidR="00B47442" w:rsidRPr="0009445C" w14:paraId="12FB98E5" w14:textId="77777777" w:rsidTr="0099521D">
        <w:trPr>
          <w:trHeight w:val="264"/>
        </w:trPr>
        <w:tc>
          <w:tcPr>
            <w:tcW w:w="2355" w:type="dxa"/>
            <w:gridSpan w:val="2"/>
          </w:tcPr>
          <w:p w14:paraId="0FBA4C29" w14:textId="77777777" w:rsidR="00B47442" w:rsidRPr="0009445C" w:rsidRDefault="00B47442" w:rsidP="0099521D">
            <w:pPr>
              <w:pStyle w:val="BRL-Tabelle"/>
              <w:spacing w:before="60" w:after="40"/>
            </w:pPr>
            <w:r w:rsidRPr="0009445C">
              <w:t>Labelling</w:t>
            </w:r>
          </w:p>
        </w:tc>
        <w:tc>
          <w:tcPr>
            <w:tcW w:w="427" w:type="dxa"/>
            <w:vAlign w:val="center"/>
          </w:tcPr>
          <w:p w14:paraId="790882C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68D195A" w14:textId="77777777" w:rsidR="00B47442" w:rsidRPr="0009445C" w:rsidRDefault="00B47442" w:rsidP="0099521D">
            <w:pPr>
              <w:pStyle w:val="BRL-Tabelle"/>
              <w:spacing w:before="60" w:after="40"/>
              <w:jc w:val="center"/>
              <w:rPr>
                <w:sz w:val="16"/>
              </w:rPr>
            </w:pPr>
          </w:p>
        </w:tc>
        <w:tc>
          <w:tcPr>
            <w:tcW w:w="426" w:type="dxa"/>
            <w:vAlign w:val="center"/>
          </w:tcPr>
          <w:p w14:paraId="7E12799E"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5D0A021" w14:textId="745C89AA" w:rsidR="00B47442" w:rsidRPr="0009445C" w:rsidRDefault="00B47442" w:rsidP="0099521D">
            <w:pPr>
              <w:pStyle w:val="BRL-Tabelle"/>
              <w:spacing w:before="60" w:after="40"/>
              <w:jc w:val="center"/>
              <w:rPr>
                <w:sz w:val="16"/>
              </w:rPr>
            </w:pPr>
          </w:p>
        </w:tc>
        <w:tc>
          <w:tcPr>
            <w:tcW w:w="425" w:type="dxa"/>
            <w:vAlign w:val="center"/>
          </w:tcPr>
          <w:p w14:paraId="4F9BE409" w14:textId="1D1A3F0A" w:rsidR="00B47442" w:rsidRPr="0009445C" w:rsidRDefault="00B47442" w:rsidP="0099521D">
            <w:pPr>
              <w:pStyle w:val="BRL-Tabelle"/>
              <w:spacing w:before="60" w:after="40"/>
              <w:jc w:val="center"/>
              <w:rPr>
                <w:sz w:val="16"/>
              </w:rPr>
            </w:pPr>
          </w:p>
        </w:tc>
        <w:tc>
          <w:tcPr>
            <w:tcW w:w="426" w:type="dxa"/>
            <w:vAlign w:val="center"/>
          </w:tcPr>
          <w:p w14:paraId="2A880324" w14:textId="77777777" w:rsidR="00B47442" w:rsidRPr="0009445C" w:rsidRDefault="00B47442" w:rsidP="0099521D">
            <w:pPr>
              <w:pStyle w:val="BRL-Tabelle"/>
              <w:spacing w:before="60" w:after="40"/>
              <w:jc w:val="center"/>
              <w:rPr>
                <w:sz w:val="16"/>
              </w:rPr>
            </w:pPr>
          </w:p>
        </w:tc>
        <w:tc>
          <w:tcPr>
            <w:tcW w:w="428" w:type="dxa"/>
            <w:vAlign w:val="center"/>
          </w:tcPr>
          <w:p w14:paraId="3EED35B3" w14:textId="77777777" w:rsidR="00B47442" w:rsidRPr="0009445C" w:rsidRDefault="00B47442" w:rsidP="0099521D">
            <w:pPr>
              <w:pStyle w:val="BRL-Tabelle"/>
              <w:spacing w:before="60" w:after="40"/>
              <w:jc w:val="center"/>
              <w:rPr>
                <w:sz w:val="16"/>
              </w:rPr>
            </w:pPr>
          </w:p>
        </w:tc>
        <w:tc>
          <w:tcPr>
            <w:tcW w:w="427" w:type="dxa"/>
            <w:vAlign w:val="center"/>
          </w:tcPr>
          <w:p w14:paraId="2D31E1A8" w14:textId="77777777" w:rsidR="00B47442" w:rsidRPr="0009445C" w:rsidRDefault="00B47442" w:rsidP="0099521D">
            <w:pPr>
              <w:pStyle w:val="BRL-Tabelle"/>
              <w:spacing w:before="60" w:after="40"/>
              <w:jc w:val="center"/>
              <w:rPr>
                <w:sz w:val="16"/>
              </w:rPr>
            </w:pPr>
          </w:p>
        </w:tc>
        <w:tc>
          <w:tcPr>
            <w:tcW w:w="426" w:type="dxa"/>
            <w:vAlign w:val="center"/>
          </w:tcPr>
          <w:p w14:paraId="6DAAA466" w14:textId="77777777" w:rsidR="00B47442" w:rsidRPr="0009445C" w:rsidRDefault="00B47442" w:rsidP="0099521D">
            <w:pPr>
              <w:pStyle w:val="BRL-Tabelle"/>
              <w:spacing w:before="60" w:after="40"/>
              <w:jc w:val="center"/>
              <w:rPr>
                <w:sz w:val="16"/>
              </w:rPr>
            </w:pPr>
          </w:p>
        </w:tc>
        <w:tc>
          <w:tcPr>
            <w:tcW w:w="426" w:type="dxa"/>
            <w:vAlign w:val="center"/>
          </w:tcPr>
          <w:p w14:paraId="4671CA00" w14:textId="77777777" w:rsidR="00B47442" w:rsidRPr="0009445C" w:rsidRDefault="00B47442" w:rsidP="0099521D">
            <w:pPr>
              <w:pStyle w:val="BRL-Tabelle"/>
              <w:spacing w:before="60" w:after="40"/>
              <w:jc w:val="center"/>
              <w:rPr>
                <w:sz w:val="16"/>
              </w:rPr>
            </w:pPr>
          </w:p>
        </w:tc>
        <w:tc>
          <w:tcPr>
            <w:tcW w:w="426" w:type="dxa"/>
            <w:vAlign w:val="center"/>
          </w:tcPr>
          <w:p w14:paraId="165F400A" w14:textId="77777777" w:rsidR="00B47442" w:rsidRPr="0009445C" w:rsidRDefault="00B47442" w:rsidP="0099521D">
            <w:pPr>
              <w:pStyle w:val="BRL-Tabelle"/>
              <w:spacing w:before="60" w:after="40"/>
              <w:jc w:val="center"/>
              <w:rPr>
                <w:sz w:val="16"/>
              </w:rPr>
            </w:pPr>
          </w:p>
        </w:tc>
        <w:tc>
          <w:tcPr>
            <w:tcW w:w="433" w:type="dxa"/>
            <w:vAlign w:val="center"/>
          </w:tcPr>
          <w:p w14:paraId="5F287189" w14:textId="77777777" w:rsidR="00B47442" w:rsidRPr="0009445C" w:rsidRDefault="00B47442" w:rsidP="0099521D">
            <w:pPr>
              <w:pStyle w:val="BRL-Tabelle"/>
              <w:spacing w:before="60" w:after="40"/>
              <w:jc w:val="center"/>
              <w:rPr>
                <w:sz w:val="16"/>
              </w:rPr>
            </w:pPr>
          </w:p>
        </w:tc>
        <w:tc>
          <w:tcPr>
            <w:tcW w:w="426" w:type="dxa"/>
            <w:vAlign w:val="center"/>
          </w:tcPr>
          <w:p w14:paraId="2D986D9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BAFEA2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6B6C6E4" w14:textId="77777777" w:rsidR="00B47442" w:rsidRPr="0009445C" w:rsidRDefault="00B47442" w:rsidP="0099521D">
            <w:pPr>
              <w:pStyle w:val="BRL-Tabelle"/>
              <w:spacing w:before="60" w:after="40"/>
              <w:jc w:val="center"/>
              <w:rPr>
                <w:sz w:val="16"/>
              </w:rPr>
            </w:pPr>
          </w:p>
        </w:tc>
        <w:tc>
          <w:tcPr>
            <w:tcW w:w="427" w:type="dxa"/>
            <w:vAlign w:val="center"/>
          </w:tcPr>
          <w:p w14:paraId="1CF8E1D0" w14:textId="77777777" w:rsidR="00B47442" w:rsidRPr="0009445C" w:rsidRDefault="00B47442" w:rsidP="0099521D">
            <w:pPr>
              <w:pStyle w:val="BRL-Tabelle"/>
              <w:spacing w:before="60" w:after="40"/>
              <w:jc w:val="center"/>
              <w:rPr>
                <w:sz w:val="16"/>
              </w:rPr>
            </w:pPr>
          </w:p>
        </w:tc>
      </w:tr>
      <w:tr w:rsidR="00B47442" w:rsidRPr="0009445C" w14:paraId="1CD38D88" w14:textId="77777777" w:rsidTr="0099521D">
        <w:trPr>
          <w:trHeight w:val="264"/>
        </w:trPr>
        <w:tc>
          <w:tcPr>
            <w:tcW w:w="2355" w:type="dxa"/>
            <w:gridSpan w:val="2"/>
          </w:tcPr>
          <w:p w14:paraId="592542BC" w14:textId="77777777" w:rsidR="00B47442" w:rsidRPr="0009445C" w:rsidRDefault="00B47442" w:rsidP="0099521D">
            <w:pPr>
              <w:pStyle w:val="BRL-Tabelle"/>
              <w:spacing w:before="60" w:after="40"/>
            </w:pPr>
            <w:r w:rsidRPr="0009445C">
              <w:t>Functions</w:t>
            </w:r>
          </w:p>
        </w:tc>
        <w:tc>
          <w:tcPr>
            <w:tcW w:w="427" w:type="dxa"/>
            <w:vAlign w:val="center"/>
          </w:tcPr>
          <w:p w14:paraId="057E1352" w14:textId="77777777" w:rsidR="00B47442" w:rsidRPr="0009445C" w:rsidRDefault="00B47442" w:rsidP="0099521D">
            <w:pPr>
              <w:pStyle w:val="BRL-Tabelle"/>
              <w:spacing w:before="60" w:after="40"/>
              <w:jc w:val="center"/>
              <w:rPr>
                <w:sz w:val="16"/>
              </w:rPr>
            </w:pPr>
          </w:p>
        </w:tc>
        <w:tc>
          <w:tcPr>
            <w:tcW w:w="427" w:type="dxa"/>
            <w:vAlign w:val="center"/>
          </w:tcPr>
          <w:p w14:paraId="50B7EF47" w14:textId="77777777" w:rsidR="00B47442" w:rsidRPr="0009445C" w:rsidRDefault="00B47442" w:rsidP="0099521D">
            <w:pPr>
              <w:pStyle w:val="BRL-Tabelle"/>
              <w:spacing w:before="60" w:after="40"/>
              <w:jc w:val="center"/>
              <w:rPr>
                <w:sz w:val="16"/>
              </w:rPr>
            </w:pPr>
          </w:p>
        </w:tc>
        <w:tc>
          <w:tcPr>
            <w:tcW w:w="426" w:type="dxa"/>
            <w:vAlign w:val="center"/>
          </w:tcPr>
          <w:p w14:paraId="3B63635D"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6EE7C830" w14:textId="77777777" w:rsidR="00B47442" w:rsidRPr="0009445C" w:rsidRDefault="00B47442" w:rsidP="0099521D">
            <w:pPr>
              <w:pStyle w:val="BRL-Tabelle"/>
              <w:spacing w:before="60" w:after="40"/>
              <w:jc w:val="center"/>
              <w:rPr>
                <w:sz w:val="16"/>
              </w:rPr>
            </w:pPr>
          </w:p>
        </w:tc>
        <w:tc>
          <w:tcPr>
            <w:tcW w:w="425" w:type="dxa"/>
            <w:vAlign w:val="center"/>
          </w:tcPr>
          <w:p w14:paraId="4CF7DEBC" w14:textId="77777777" w:rsidR="00B47442" w:rsidRPr="0009445C" w:rsidRDefault="00B47442" w:rsidP="0099521D">
            <w:pPr>
              <w:pStyle w:val="BRL-Tabelle"/>
              <w:spacing w:before="60" w:after="40"/>
              <w:jc w:val="center"/>
              <w:rPr>
                <w:sz w:val="16"/>
              </w:rPr>
            </w:pPr>
          </w:p>
        </w:tc>
        <w:tc>
          <w:tcPr>
            <w:tcW w:w="426" w:type="dxa"/>
            <w:vAlign w:val="center"/>
          </w:tcPr>
          <w:p w14:paraId="5C28B188" w14:textId="77777777" w:rsidR="00B47442" w:rsidRPr="0009445C" w:rsidRDefault="00B47442" w:rsidP="0099521D">
            <w:pPr>
              <w:pStyle w:val="BRL-Tabelle"/>
              <w:spacing w:before="60" w:after="40"/>
              <w:jc w:val="center"/>
              <w:rPr>
                <w:sz w:val="16"/>
              </w:rPr>
            </w:pPr>
          </w:p>
        </w:tc>
        <w:tc>
          <w:tcPr>
            <w:tcW w:w="428" w:type="dxa"/>
            <w:vAlign w:val="center"/>
          </w:tcPr>
          <w:p w14:paraId="202F8314" w14:textId="77777777" w:rsidR="00B47442" w:rsidRPr="0009445C" w:rsidRDefault="00B47442" w:rsidP="0099521D">
            <w:pPr>
              <w:pStyle w:val="BRL-Tabelle"/>
              <w:spacing w:before="60" w:after="40"/>
              <w:jc w:val="center"/>
              <w:rPr>
                <w:sz w:val="16"/>
              </w:rPr>
            </w:pPr>
          </w:p>
        </w:tc>
        <w:tc>
          <w:tcPr>
            <w:tcW w:w="427" w:type="dxa"/>
            <w:vAlign w:val="center"/>
          </w:tcPr>
          <w:p w14:paraId="59C4537B" w14:textId="77777777" w:rsidR="00B47442" w:rsidRPr="0009445C" w:rsidRDefault="00B47442" w:rsidP="0099521D">
            <w:pPr>
              <w:pStyle w:val="BRL-Tabelle"/>
              <w:spacing w:before="60" w:after="40"/>
              <w:jc w:val="center"/>
              <w:rPr>
                <w:sz w:val="16"/>
              </w:rPr>
            </w:pPr>
          </w:p>
        </w:tc>
        <w:tc>
          <w:tcPr>
            <w:tcW w:w="426" w:type="dxa"/>
            <w:vAlign w:val="center"/>
          </w:tcPr>
          <w:p w14:paraId="5BC37EE2" w14:textId="77777777" w:rsidR="00B47442" w:rsidRPr="0009445C" w:rsidRDefault="00B47442" w:rsidP="0099521D">
            <w:pPr>
              <w:pStyle w:val="BRL-Tabelle"/>
              <w:spacing w:before="60" w:after="40"/>
              <w:jc w:val="center"/>
              <w:rPr>
                <w:sz w:val="16"/>
              </w:rPr>
            </w:pPr>
          </w:p>
        </w:tc>
        <w:tc>
          <w:tcPr>
            <w:tcW w:w="426" w:type="dxa"/>
            <w:vAlign w:val="center"/>
          </w:tcPr>
          <w:p w14:paraId="75E77ED6" w14:textId="77777777" w:rsidR="00B47442" w:rsidRPr="0009445C" w:rsidRDefault="00B47442" w:rsidP="0099521D">
            <w:pPr>
              <w:pStyle w:val="BRL-Tabelle"/>
              <w:spacing w:before="60" w:after="40"/>
              <w:jc w:val="center"/>
              <w:rPr>
                <w:sz w:val="16"/>
              </w:rPr>
            </w:pPr>
          </w:p>
        </w:tc>
        <w:tc>
          <w:tcPr>
            <w:tcW w:w="426" w:type="dxa"/>
            <w:vAlign w:val="center"/>
          </w:tcPr>
          <w:p w14:paraId="4CF9D6AC" w14:textId="77777777" w:rsidR="00B47442" w:rsidRPr="0009445C" w:rsidRDefault="00B47442" w:rsidP="0099521D">
            <w:pPr>
              <w:pStyle w:val="BRL-Tabelle"/>
              <w:spacing w:before="60" w:after="40"/>
              <w:jc w:val="center"/>
              <w:rPr>
                <w:sz w:val="16"/>
              </w:rPr>
            </w:pPr>
          </w:p>
        </w:tc>
        <w:tc>
          <w:tcPr>
            <w:tcW w:w="433" w:type="dxa"/>
            <w:vAlign w:val="center"/>
          </w:tcPr>
          <w:p w14:paraId="27AD52F0" w14:textId="77777777" w:rsidR="00B47442" w:rsidRPr="0009445C" w:rsidRDefault="00B47442" w:rsidP="0099521D">
            <w:pPr>
              <w:pStyle w:val="BRL-Tabelle"/>
              <w:spacing w:before="60" w:after="40"/>
              <w:jc w:val="center"/>
              <w:rPr>
                <w:sz w:val="16"/>
              </w:rPr>
            </w:pPr>
          </w:p>
        </w:tc>
        <w:tc>
          <w:tcPr>
            <w:tcW w:w="426" w:type="dxa"/>
            <w:vAlign w:val="center"/>
          </w:tcPr>
          <w:p w14:paraId="3F537B7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0B503AA" w14:textId="77777777" w:rsidR="00B47442" w:rsidRPr="0009445C" w:rsidRDefault="00B47442" w:rsidP="0099521D">
            <w:pPr>
              <w:pStyle w:val="BRL-Tabelle"/>
              <w:spacing w:before="60" w:after="40"/>
              <w:jc w:val="center"/>
              <w:rPr>
                <w:sz w:val="16"/>
              </w:rPr>
            </w:pPr>
          </w:p>
        </w:tc>
        <w:tc>
          <w:tcPr>
            <w:tcW w:w="426" w:type="dxa"/>
            <w:vAlign w:val="center"/>
          </w:tcPr>
          <w:p w14:paraId="3B5A4C67" w14:textId="77777777" w:rsidR="00B47442" w:rsidRPr="0009445C" w:rsidRDefault="00B47442" w:rsidP="0099521D">
            <w:pPr>
              <w:pStyle w:val="BRL-Tabelle"/>
              <w:spacing w:before="60" w:after="40"/>
              <w:jc w:val="center"/>
              <w:rPr>
                <w:sz w:val="16"/>
              </w:rPr>
            </w:pPr>
          </w:p>
        </w:tc>
        <w:tc>
          <w:tcPr>
            <w:tcW w:w="427" w:type="dxa"/>
            <w:vAlign w:val="center"/>
          </w:tcPr>
          <w:p w14:paraId="1231D560" w14:textId="77777777" w:rsidR="00B47442" w:rsidRPr="0009445C" w:rsidRDefault="00B47442" w:rsidP="0099521D">
            <w:pPr>
              <w:pStyle w:val="BRL-Tabelle"/>
              <w:spacing w:before="60" w:after="40"/>
              <w:jc w:val="center"/>
              <w:rPr>
                <w:sz w:val="16"/>
              </w:rPr>
            </w:pPr>
          </w:p>
        </w:tc>
      </w:tr>
      <w:tr w:rsidR="00B47442" w:rsidRPr="0009445C" w14:paraId="26F34EA5" w14:textId="77777777" w:rsidTr="0099521D">
        <w:trPr>
          <w:trHeight w:val="264"/>
        </w:trPr>
        <w:tc>
          <w:tcPr>
            <w:tcW w:w="2355" w:type="dxa"/>
            <w:gridSpan w:val="2"/>
          </w:tcPr>
          <w:p w14:paraId="7AE96315" w14:textId="77777777" w:rsidR="00B47442" w:rsidRPr="0009445C" w:rsidRDefault="00B47442" w:rsidP="0099521D">
            <w:pPr>
              <w:pStyle w:val="BRL-Tabelle"/>
              <w:spacing w:before="60" w:after="40"/>
            </w:pPr>
            <w:r w:rsidRPr="0009445C">
              <w:t>Materials, manufacture and execution</w:t>
            </w:r>
          </w:p>
        </w:tc>
        <w:tc>
          <w:tcPr>
            <w:tcW w:w="427" w:type="dxa"/>
            <w:vAlign w:val="center"/>
          </w:tcPr>
          <w:p w14:paraId="668B242C" w14:textId="77777777" w:rsidR="00B47442" w:rsidRPr="0009445C" w:rsidRDefault="00B47442" w:rsidP="0099521D">
            <w:pPr>
              <w:pStyle w:val="BRL-Tabelle"/>
              <w:spacing w:before="60" w:after="40"/>
              <w:jc w:val="center"/>
              <w:rPr>
                <w:sz w:val="16"/>
              </w:rPr>
            </w:pPr>
          </w:p>
        </w:tc>
        <w:tc>
          <w:tcPr>
            <w:tcW w:w="427" w:type="dxa"/>
            <w:vAlign w:val="center"/>
          </w:tcPr>
          <w:p w14:paraId="02F79C75" w14:textId="77777777" w:rsidR="00B47442" w:rsidRPr="0009445C" w:rsidRDefault="00B47442" w:rsidP="0099521D">
            <w:pPr>
              <w:pStyle w:val="BRL-Tabelle"/>
              <w:spacing w:before="60" w:after="40"/>
              <w:jc w:val="center"/>
              <w:rPr>
                <w:sz w:val="16"/>
              </w:rPr>
            </w:pPr>
          </w:p>
        </w:tc>
        <w:tc>
          <w:tcPr>
            <w:tcW w:w="426" w:type="dxa"/>
            <w:vAlign w:val="center"/>
          </w:tcPr>
          <w:p w14:paraId="7039DA44"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6775185" w14:textId="77777777" w:rsidR="00B47442" w:rsidRPr="0009445C" w:rsidRDefault="00B47442" w:rsidP="0099521D">
            <w:pPr>
              <w:pStyle w:val="BRL-Tabelle"/>
              <w:spacing w:before="60" w:after="40"/>
              <w:jc w:val="center"/>
              <w:rPr>
                <w:sz w:val="16"/>
              </w:rPr>
            </w:pPr>
          </w:p>
        </w:tc>
        <w:tc>
          <w:tcPr>
            <w:tcW w:w="425" w:type="dxa"/>
            <w:vAlign w:val="center"/>
          </w:tcPr>
          <w:p w14:paraId="5A7F64F5" w14:textId="77777777" w:rsidR="00B47442" w:rsidRPr="0009445C" w:rsidRDefault="00B47442" w:rsidP="0099521D">
            <w:pPr>
              <w:pStyle w:val="BRL-Tabelle"/>
              <w:spacing w:before="60" w:after="40"/>
              <w:jc w:val="center"/>
              <w:rPr>
                <w:sz w:val="16"/>
              </w:rPr>
            </w:pPr>
          </w:p>
        </w:tc>
        <w:tc>
          <w:tcPr>
            <w:tcW w:w="426" w:type="dxa"/>
            <w:vAlign w:val="center"/>
          </w:tcPr>
          <w:p w14:paraId="6450FEC4" w14:textId="77777777" w:rsidR="00B47442" w:rsidRPr="0009445C" w:rsidRDefault="00B47442" w:rsidP="0099521D">
            <w:pPr>
              <w:pStyle w:val="BRL-Tabelle"/>
              <w:spacing w:before="60" w:after="40"/>
              <w:jc w:val="center"/>
              <w:rPr>
                <w:sz w:val="16"/>
              </w:rPr>
            </w:pPr>
          </w:p>
        </w:tc>
        <w:tc>
          <w:tcPr>
            <w:tcW w:w="428" w:type="dxa"/>
            <w:vAlign w:val="center"/>
          </w:tcPr>
          <w:p w14:paraId="124A9766" w14:textId="77777777" w:rsidR="00B47442" w:rsidRPr="0009445C" w:rsidRDefault="00B47442" w:rsidP="0099521D">
            <w:pPr>
              <w:pStyle w:val="BRL-Tabelle"/>
              <w:spacing w:before="60" w:after="40"/>
              <w:jc w:val="center"/>
              <w:rPr>
                <w:sz w:val="16"/>
              </w:rPr>
            </w:pPr>
          </w:p>
        </w:tc>
        <w:tc>
          <w:tcPr>
            <w:tcW w:w="427" w:type="dxa"/>
            <w:vAlign w:val="center"/>
          </w:tcPr>
          <w:p w14:paraId="529ED0A3" w14:textId="77777777" w:rsidR="00B47442" w:rsidRPr="0009445C" w:rsidRDefault="00B47442" w:rsidP="0099521D">
            <w:pPr>
              <w:pStyle w:val="BRL-Tabelle"/>
              <w:spacing w:before="60" w:after="40"/>
              <w:jc w:val="center"/>
              <w:rPr>
                <w:sz w:val="16"/>
              </w:rPr>
            </w:pPr>
          </w:p>
        </w:tc>
        <w:tc>
          <w:tcPr>
            <w:tcW w:w="426" w:type="dxa"/>
            <w:vAlign w:val="center"/>
          </w:tcPr>
          <w:p w14:paraId="31B6D9FA" w14:textId="77777777" w:rsidR="00B47442" w:rsidRPr="0009445C" w:rsidRDefault="00B47442" w:rsidP="0099521D">
            <w:pPr>
              <w:pStyle w:val="BRL-Tabelle"/>
              <w:spacing w:before="60" w:after="40"/>
              <w:jc w:val="center"/>
              <w:rPr>
                <w:sz w:val="16"/>
              </w:rPr>
            </w:pPr>
          </w:p>
        </w:tc>
        <w:tc>
          <w:tcPr>
            <w:tcW w:w="426" w:type="dxa"/>
            <w:vAlign w:val="center"/>
          </w:tcPr>
          <w:p w14:paraId="4ED520B7" w14:textId="77777777" w:rsidR="00B47442" w:rsidRPr="0009445C" w:rsidRDefault="00B47442" w:rsidP="0099521D">
            <w:pPr>
              <w:pStyle w:val="BRL-Tabelle"/>
              <w:spacing w:before="60" w:after="40"/>
              <w:jc w:val="center"/>
              <w:rPr>
                <w:sz w:val="16"/>
              </w:rPr>
            </w:pPr>
          </w:p>
        </w:tc>
        <w:tc>
          <w:tcPr>
            <w:tcW w:w="426" w:type="dxa"/>
            <w:vAlign w:val="center"/>
          </w:tcPr>
          <w:p w14:paraId="6154DE9A" w14:textId="77777777" w:rsidR="00B47442" w:rsidRPr="0009445C" w:rsidRDefault="00B47442" w:rsidP="0099521D">
            <w:pPr>
              <w:pStyle w:val="BRL-Tabelle"/>
              <w:spacing w:before="60" w:after="40"/>
              <w:jc w:val="center"/>
              <w:rPr>
                <w:sz w:val="16"/>
              </w:rPr>
            </w:pPr>
          </w:p>
        </w:tc>
        <w:tc>
          <w:tcPr>
            <w:tcW w:w="433" w:type="dxa"/>
            <w:vAlign w:val="center"/>
          </w:tcPr>
          <w:p w14:paraId="0FEC96C9" w14:textId="77777777" w:rsidR="00B47442" w:rsidRPr="0009445C" w:rsidRDefault="00B47442" w:rsidP="0099521D">
            <w:pPr>
              <w:pStyle w:val="BRL-Tabelle"/>
              <w:spacing w:before="60" w:after="40"/>
              <w:jc w:val="center"/>
              <w:rPr>
                <w:sz w:val="16"/>
              </w:rPr>
            </w:pPr>
          </w:p>
        </w:tc>
        <w:tc>
          <w:tcPr>
            <w:tcW w:w="426" w:type="dxa"/>
            <w:vAlign w:val="center"/>
          </w:tcPr>
          <w:p w14:paraId="02615286" w14:textId="12F114EA" w:rsidR="00B47442" w:rsidRPr="0009445C" w:rsidRDefault="00B47442" w:rsidP="0099521D">
            <w:pPr>
              <w:pStyle w:val="BRL-Tabelle"/>
              <w:spacing w:before="60" w:after="40"/>
              <w:jc w:val="center"/>
              <w:rPr>
                <w:sz w:val="16"/>
              </w:rPr>
            </w:pPr>
          </w:p>
        </w:tc>
        <w:tc>
          <w:tcPr>
            <w:tcW w:w="427" w:type="dxa"/>
            <w:vAlign w:val="center"/>
          </w:tcPr>
          <w:p w14:paraId="6AA78651" w14:textId="77777777" w:rsidR="00B47442" w:rsidRPr="0009445C" w:rsidRDefault="00B47442" w:rsidP="0099521D">
            <w:pPr>
              <w:pStyle w:val="BRL-Tabelle"/>
              <w:spacing w:before="60" w:after="40"/>
              <w:jc w:val="center"/>
              <w:rPr>
                <w:sz w:val="16"/>
              </w:rPr>
            </w:pPr>
          </w:p>
        </w:tc>
        <w:tc>
          <w:tcPr>
            <w:tcW w:w="426" w:type="dxa"/>
            <w:vAlign w:val="center"/>
          </w:tcPr>
          <w:p w14:paraId="37D8AEA4" w14:textId="77777777" w:rsidR="00B47442" w:rsidRPr="0009445C" w:rsidRDefault="00B47442" w:rsidP="0099521D">
            <w:pPr>
              <w:pStyle w:val="BRL-Tabelle"/>
              <w:spacing w:before="60" w:after="40"/>
              <w:jc w:val="center"/>
              <w:rPr>
                <w:sz w:val="16"/>
              </w:rPr>
            </w:pPr>
          </w:p>
        </w:tc>
        <w:tc>
          <w:tcPr>
            <w:tcW w:w="427" w:type="dxa"/>
            <w:vAlign w:val="center"/>
          </w:tcPr>
          <w:p w14:paraId="0EB09290" w14:textId="77777777" w:rsidR="00B47442" w:rsidRPr="0009445C" w:rsidRDefault="00B47442" w:rsidP="0099521D">
            <w:pPr>
              <w:pStyle w:val="BRL-Tabelle"/>
              <w:spacing w:before="60" w:after="40"/>
              <w:jc w:val="center"/>
              <w:rPr>
                <w:sz w:val="16"/>
              </w:rPr>
            </w:pPr>
          </w:p>
        </w:tc>
      </w:tr>
      <w:tr w:rsidR="00B47442" w:rsidRPr="0009445C" w14:paraId="21974724" w14:textId="77777777" w:rsidTr="0099521D">
        <w:trPr>
          <w:trHeight w:val="264"/>
        </w:trPr>
        <w:tc>
          <w:tcPr>
            <w:tcW w:w="2355" w:type="dxa"/>
            <w:gridSpan w:val="2"/>
          </w:tcPr>
          <w:p w14:paraId="5F1CC97C" w14:textId="77777777" w:rsidR="00B47442" w:rsidRPr="0009445C" w:rsidRDefault="00B47442" w:rsidP="0099521D">
            <w:pPr>
              <w:pStyle w:val="BRL-Tabelle"/>
              <w:spacing w:before="60" w:after="40"/>
            </w:pPr>
            <w:r w:rsidRPr="0009445C">
              <w:t>Documentation.</w:t>
            </w:r>
          </w:p>
        </w:tc>
        <w:tc>
          <w:tcPr>
            <w:tcW w:w="427" w:type="dxa"/>
            <w:vAlign w:val="center"/>
          </w:tcPr>
          <w:p w14:paraId="6E6A8711" w14:textId="77777777" w:rsidR="00B47442" w:rsidRPr="0009445C" w:rsidRDefault="00B47442" w:rsidP="0099521D">
            <w:pPr>
              <w:pStyle w:val="BRL-Tabelle"/>
              <w:spacing w:before="60" w:after="40"/>
              <w:jc w:val="center"/>
              <w:rPr>
                <w:sz w:val="16"/>
              </w:rPr>
            </w:pPr>
          </w:p>
        </w:tc>
        <w:tc>
          <w:tcPr>
            <w:tcW w:w="427" w:type="dxa"/>
            <w:vAlign w:val="center"/>
          </w:tcPr>
          <w:p w14:paraId="07CC7C08" w14:textId="77777777" w:rsidR="00B47442" w:rsidRPr="0009445C" w:rsidRDefault="00B47442" w:rsidP="0099521D">
            <w:pPr>
              <w:pStyle w:val="BRL-Tabelle"/>
              <w:spacing w:before="60" w:after="40"/>
              <w:jc w:val="center"/>
              <w:rPr>
                <w:sz w:val="16"/>
              </w:rPr>
            </w:pPr>
          </w:p>
        </w:tc>
        <w:tc>
          <w:tcPr>
            <w:tcW w:w="426" w:type="dxa"/>
            <w:vAlign w:val="center"/>
          </w:tcPr>
          <w:p w14:paraId="4ABF0543"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D39CAB0" w14:textId="45BC03EA" w:rsidR="00B47442" w:rsidRPr="0009445C" w:rsidRDefault="00B47442" w:rsidP="0099521D">
            <w:pPr>
              <w:pStyle w:val="BRL-Tabelle"/>
              <w:spacing w:before="60" w:after="40"/>
              <w:jc w:val="center"/>
              <w:rPr>
                <w:sz w:val="16"/>
              </w:rPr>
            </w:pPr>
          </w:p>
        </w:tc>
        <w:tc>
          <w:tcPr>
            <w:tcW w:w="425" w:type="dxa"/>
            <w:vAlign w:val="center"/>
          </w:tcPr>
          <w:p w14:paraId="4D217244" w14:textId="58EEF69B" w:rsidR="00B47442" w:rsidRPr="0009445C" w:rsidRDefault="00B47442" w:rsidP="0099521D">
            <w:pPr>
              <w:pStyle w:val="BRL-Tabelle"/>
              <w:spacing w:before="60" w:after="40"/>
              <w:jc w:val="center"/>
              <w:rPr>
                <w:sz w:val="16"/>
              </w:rPr>
            </w:pPr>
          </w:p>
        </w:tc>
        <w:tc>
          <w:tcPr>
            <w:tcW w:w="426" w:type="dxa"/>
            <w:vAlign w:val="center"/>
          </w:tcPr>
          <w:p w14:paraId="17297A9D"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2D519FB2"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F682E28" w14:textId="77777777" w:rsidR="00B47442" w:rsidRPr="0009445C" w:rsidRDefault="00B47442" w:rsidP="0099521D">
            <w:pPr>
              <w:pStyle w:val="BRL-Tabelle"/>
              <w:spacing w:before="60" w:after="40"/>
              <w:jc w:val="center"/>
              <w:rPr>
                <w:sz w:val="16"/>
              </w:rPr>
            </w:pPr>
          </w:p>
        </w:tc>
        <w:tc>
          <w:tcPr>
            <w:tcW w:w="426" w:type="dxa"/>
            <w:vAlign w:val="center"/>
          </w:tcPr>
          <w:p w14:paraId="4ABF7ABD" w14:textId="77777777" w:rsidR="00B47442" w:rsidRPr="0009445C" w:rsidRDefault="00B47442" w:rsidP="0099521D">
            <w:pPr>
              <w:pStyle w:val="BRL-Tabelle"/>
              <w:spacing w:before="60" w:after="40"/>
              <w:jc w:val="center"/>
              <w:rPr>
                <w:sz w:val="16"/>
              </w:rPr>
            </w:pPr>
          </w:p>
        </w:tc>
        <w:tc>
          <w:tcPr>
            <w:tcW w:w="426" w:type="dxa"/>
            <w:vAlign w:val="center"/>
          </w:tcPr>
          <w:p w14:paraId="2ED48611" w14:textId="77777777" w:rsidR="00B47442" w:rsidRPr="0009445C" w:rsidRDefault="00B47442" w:rsidP="0099521D">
            <w:pPr>
              <w:pStyle w:val="BRL-Tabelle"/>
              <w:spacing w:before="60" w:after="40"/>
              <w:jc w:val="center"/>
              <w:rPr>
                <w:sz w:val="16"/>
              </w:rPr>
            </w:pPr>
          </w:p>
        </w:tc>
        <w:tc>
          <w:tcPr>
            <w:tcW w:w="426" w:type="dxa"/>
            <w:vAlign w:val="center"/>
          </w:tcPr>
          <w:p w14:paraId="2A28191D" w14:textId="77777777" w:rsidR="00B47442" w:rsidRPr="0009445C" w:rsidRDefault="00B47442" w:rsidP="0099521D">
            <w:pPr>
              <w:pStyle w:val="BRL-Tabelle"/>
              <w:spacing w:before="60" w:after="40"/>
              <w:jc w:val="center"/>
              <w:rPr>
                <w:sz w:val="16"/>
              </w:rPr>
            </w:pPr>
          </w:p>
        </w:tc>
        <w:tc>
          <w:tcPr>
            <w:tcW w:w="433" w:type="dxa"/>
            <w:vAlign w:val="center"/>
          </w:tcPr>
          <w:p w14:paraId="5F58265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3C35894" w14:textId="627786E7" w:rsidR="00B47442" w:rsidRPr="0009445C" w:rsidRDefault="00B47442" w:rsidP="0099521D">
            <w:pPr>
              <w:pStyle w:val="BRL-Tabelle"/>
              <w:spacing w:before="60" w:after="40"/>
              <w:jc w:val="center"/>
              <w:rPr>
                <w:sz w:val="16"/>
              </w:rPr>
            </w:pPr>
          </w:p>
        </w:tc>
        <w:tc>
          <w:tcPr>
            <w:tcW w:w="427" w:type="dxa"/>
            <w:vAlign w:val="center"/>
          </w:tcPr>
          <w:p w14:paraId="082A0D78" w14:textId="77777777" w:rsidR="00B47442" w:rsidRPr="0009445C" w:rsidRDefault="00B47442" w:rsidP="0099521D">
            <w:pPr>
              <w:pStyle w:val="BRL-Tabelle"/>
              <w:spacing w:before="60" w:after="40"/>
              <w:jc w:val="center"/>
              <w:rPr>
                <w:sz w:val="16"/>
              </w:rPr>
            </w:pPr>
          </w:p>
        </w:tc>
        <w:tc>
          <w:tcPr>
            <w:tcW w:w="426" w:type="dxa"/>
            <w:vAlign w:val="center"/>
          </w:tcPr>
          <w:p w14:paraId="5053770E" w14:textId="77777777" w:rsidR="00B47442" w:rsidRPr="0009445C" w:rsidRDefault="00B47442" w:rsidP="0099521D">
            <w:pPr>
              <w:pStyle w:val="BRL-Tabelle"/>
              <w:spacing w:before="60" w:after="40"/>
              <w:jc w:val="center"/>
              <w:rPr>
                <w:sz w:val="16"/>
              </w:rPr>
            </w:pPr>
          </w:p>
        </w:tc>
        <w:tc>
          <w:tcPr>
            <w:tcW w:w="427" w:type="dxa"/>
            <w:vAlign w:val="center"/>
          </w:tcPr>
          <w:p w14:paraId="2D0B3259"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2CC685B0" w14:textId="77777777" w:rsidTr="0099521D">
        <w:trPr>
          <w:trHeight w:val="264"/>
        </w:trPr>
        <w:tc>
          <w:tcPr>
            <w:tcW w:w="2355" w:type="dxa"/>
            <w:gridSpan w:val="2"/>
          </w:tcPr>
          <w:p w14:paraId="4390FC81" w14:textId="77777777" w:rsidR="00B47442" w:rsidRPr="0009445C" w:rsidRDefault="00B47442" w:rsidP="0099521D">
            <w:pPr>
              <w:pStyle w:val="BRL-Tabelle"/>
              <w:spacing w:before="60" w:after="40"/>
            </w:pPr>
            <w:r w:rsidRPr="0009445C">
              <w:t>Service life</w:t>
            </w:r>
          </w:p>
        </w:tc>
        <w:tc>
          <w:tcPr>
            <w:tcW w:w="427" w:type="dxa"/>
            <w:vAlign w:val="center"/>
          </w:tcPr>
          <w:p w14:paraId="2C33C532" w14:textId="77777777" w:rsidR="00B47442" w:rsidRPr="0009445C" w:rsidRDefault="00B47442" w:rsidP="0099521D">
            <w:pPr>
              <w:pStyle w:val="BRL-Tabelle"/>
              <w:spacing w:before="60" w:after="40"/>
              <w:jc w:val="center"/>
              <w:rPr>
                <w:sz w:val="16"/>
              </w:rPr>
            </w:pPr>
          </w:p>
        </w:tc>
        <w:tc>
          <w:tcPr>
            <w:tcW w:w="427" w:type="dxa"/>
            <w:vAlign w:val="center"/>
          </w:tcPr>
          <w:p w14:paraId="5920CAF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A16F0E5" w14:textId="77777777" w:rsidR="00B47442" w:rsidRPr="0009445C" w:rsidRDefault="00B47442" w:rsidP="0099521D">
            <w:pPr>
              <w:pStyle w:val="BRL-Tabelle"/>
              <w:spacing w:before="60" w:after="40"/>
              <w:jc w:val="center"/>
              <w:rPr>
                <w:sz w:val="16"/>
              </w:rPr>
            </w:pPr>
          </w:p>
        </w:tc>
        <w:tc>
          <w:tcPr>
            <w:tcW w:w="427" w:type="dxa"/>
            <w:vAlign w:val="center"/>
          </w:tcPr>
          <w:p w14:paraId="3D245D81" w14:textId="77777777" w:rsidR="00B47442" w:rsidRPr="0009445C" w:rsidRDefault="00B47442" w:rsidP="0099521D">
            <w:pPr>
              <w:pStyle w:val="BRL-Tabelle"/>
              <w:spacing w:before="60" w:after="40"/>
              <w:jc w:val="center"/>
              <w:rPr>
                <w:sz w:val="16"/>
              </w:rPr>
            </w:pPr>
          </w:p>
        </w:tc>
        <w:tc>
          <w:tcPr>
            <w:tcW w:w="425" w:type="dxa"/>
            <w:vAlign w:val="center"/>
          </w:tcPr>
          <w:p w14:paraId="3723EF50" w14:textId="77777777" w:rsidR="00B47442" w:rsidRPr="0009445C" w:rsidRDefault="00B47442" w:rsidP="0099521D">
            <w:pPr>
              <w:pStyle w:val="BRL-Tabelle"/>
              <w:spacing w:before="60" w:after="40"/>
              <w:jc w:val="center"/>
              <w:rPr>
                <w:sz w:val="16"/>
              </w:rPr>
            </w:pPr>
          </w:p>
        </w:tc>
        <w:tc>
          <w:tcPr>
            <w:tcW w:w="426" w:type="dxa"/>
            <w:vAlign w:val="center"/>
          </w:tcPr>
          <w:p w14:paraId="78A0948B" w14:textId="77777777" w:rsidR="00B47442" w:rsidRPr="0009445C" w:rsidRDefault="00B47442" w:rsidP="0099521D">
            <w:pPr>
              <w:pStyle w:val="BRL-Tabelle"/>
              <w:spacing w:before="60" w:after="40"/>
              <w:jc w:val="center"/>
              <w:rPr>
                <w:sz w:val="16"/>
              </w:rPr>
            </w:pPr>
          </w:p>
        </w:tc>
        <w:tc>
          <w:tcPr>
            <w:tcW w:w="428" w:type="dxa"/>
            <w:vAlign w:val="center"/>
          </w:tcPr>
          <w:p w14:paraId="436F9973" w14:textId="77777777" w:rsidR="00B47442" w:rsidRPr="0009445C" w:rsidRDefault="00B47442" w:rsidP="0099521D">
            <w:pPr>
              <w:pStyle w:val="BRL-Tabelle"/>
              <w:spacing w:before="60" w:after="40"/>
              <w:jc w:val="center"/>
              <w:rPr>
                <w:sz w:val="16"/>
              </w:rPr>
            </w:pPr>
          </w:p>
        </w:tc>
        <w:tc>
          <w:tcPr>
            <w:tcW w:w="427" w:type="dxa"/>
            <w:vAlign w:val="center"/>
          </w:tcPr>
          <w:p w14:paraId="2B5E9B7C" w14:textId="77777777" w:rsidR="00B47442" w:rsidRPr="0009445C" w:rsidRDefault="00B47442" w:rsidP="0099521D">
            <w:pPr>
              <w:pStyle w:val="BRL-Tabelle"/>
              <w:spacing w:before="60" w:after="40"/>
              <w:jc w:val="center"/>
              <w:rPr>
                <w:sz w:val="16"/>
              </w:rPr>
            </w:pPr>
          </w:p>
        </w:tc>
        <w:tc>
          <w:tcPr>
            <w:tcW w:w="426" w:type="dxa"/>
            <w:vAlign w:val="center"/>
          </w:tcPr>
          <w:p w14:paraId="677F9B31" w14:textId="77777777" w:rsidR="00B47442" w:rsidRPr="0009445C" w:rsidRDefault="00B47442" w:rsidP="0099521D">
            <w:pPr>
              <w:pStyle w:val="BRL-Tabelle"/>
              <w:spacing w:before="60" w:after="40"/>
              <w:jc w:val="center"/>
              <w:rPr>
                <w:sz w:val="16"/>
              </w:rPr>
            </w:pPr>
          </w:p>
        </w:tc>
        <w:tc>
          <w:tcPr>
            <w:tcW w:w="426" w:type="dxa"/>
            <w:vAlign w:val="center"/>
          </w:tcPr>
          <w:p w14:paraId="25719B04" w14:textId="77777777" w:rsidR="00B47442" w:rsidRPr="0009445C" w:rsidRDefault="00B47442" w:rsidP="0099521D">
            <w:pPr>
              <w:pStyle w:val="BRL-Tabelle"/>
              <w:spacing w:before="60" w:after="40"/>
              <w:jc w:val="center"/>
              <w:rPr>
                <w:sz w:val="16"/>
              </w:rPr>
            </w:pPr>
          </w:p>
        </w:tc>
        <w:tc>
          <w:tcPr>
            <w:tcW w:w="426" w:type="dxa"/>
            <w:vAlign w:val="center"/>
          </w:tcPr>
          <w:p w14:paraId="1254B7BB" w14:textId="77777777" w:rsidR="00B47442" w:rsidRPr="0009445C" w:rsidRDefault="00B47442" w:rsidP="0099521D">
            <w:pPr>
              <w:pStyle w:val="BRL-Tabelle"/>
              <w:spacing w:before="60" w:after="40"/>
              <w:jc w:val="center"/>
              <w:rPr>
                <w:sz w:val="16"/>
              </w:rPr>
            </w:pPr>
          </w:p>
        </w:tc>
        <w:tc>
          <w:tcPr>
            <w:tcW w:w="433" w:type="dxa"/>
            <w:vAlign w:val="center"/>
          </w:tcPr>
          <w:p w14:paraId="57193B27" w14:textId="77777777" w:rsidR="00B47442" w:rsidRPr="0009445C" w:rsidRDefault="00B47442" w:rsidP="0099521D">
            <w:pPr>
              <w:pStyle w:val="BRL-Tabelle"/>
              <w:spacing w:before="60" w:after="40"/>
              <w:jc w:val="center"/>
              <w:rPr>
                <w:sz w:val="16"/>
              </w:rPr>
            </w:pPr>
          </w:p>
        </w:tc>
        <w:tc>
          <w:tcPr>
            <w:tcW w:w="426" w:type="dxa"/>
            <w:vAlign w:val="center"/>
          </w:tcPr>
          <w:p w14:paraId="7DFF262C" w14:textId="77777777" w:rsidR="00B47442" w:rsidRPr="0009445C" w:rsidRDefault="00B47442" w:rsidP="0099521D">
            <w:pPr>
              <w:pStyle w:val="BRL-Tabelle"/>
              <w:spacing w:before="60" w:after="40"/>
              <w:jc w:val="center"/>
              <w:rPr>
                <w:sz w:val="16"/>
              </w:rPr>
            </w:pPr>
          </w:p>
        </w:tc>
        <w:tc>
          <w:tcPr>
            <w:tcW w:w="427" w:type="dxa"/>
            <w:vAlign w:val="center"/>
          </w:tcPr>
          <w:p w14:paraId="4068727A" w14:textId="77777777" w:rsidR="00B47442" w:rsidRPr="0009445C" w:rsidRDefault="00B47442" w:rsidP="0099521D">
            <w:pPr>
              <w:pStyle w:val="BRL-Tabelle"/>
              <w:spacing w:before="60" w:after="40"/>
              <w:jc w:val="center"/>
              <w:rPr>
                <w:sz w:val="16"/>
              </w:rPr>
            </w:pPr>
          </w:p>
        </w:tc>
        <w:tc>
          <w:tcPr>
            <w:tcW w:w="426" w:type="dxa"/>
            <w:vAlign w:val="center"/>
          </w:tcPr>
          <w:p w14:paraId="01FC7BFB" w14:textId="77777777" w:rsidR="00B47442" w:rsidRPr="0009445C" w:rsidRDefault="00B47442" w:rsidP="0099521D">
            <w:pPr>
              <w:pStyle w:val="BRL-Tabelle"/>
              <w:spacing w:before="60" w:after="40"/>
              <w:jc w:val="center"/>
              <w:rPr>
                <w:sz w:val="16"/>
              </w:rPr>
            </w:pPr>
          </w:p>
        </w:tc>
        <w:tc>
          <w:tcPr>
            <w:tcW w:w="427" w:type="dxa"/>
            <w:vAlign w:val="center"/>
          </w:tcPr>
          <w:p w14:paraId="4E2CEE80" w14:textId="77777777" w:rsidR="00B47442" w:rsidRPr="0009445C" w:rsidRDefault="00B47442" w:rsidP="0099521D">
            <w:pPr>
              <w:pStyle w:val="BRL-Tabelle"/>
              <w:spacing w:before="60" w:after="40"/>
              <w:jc w:val="center"/>
              <w:rPr>
                <w:sz w:val="16"/>
              </w:rPr>
            </w:pPr>
          </w:p>
        </w:tc>
      </w:tr>
      <w:tr w:rsidR="00B47442" w:rsidRPr="0009445C" w14:paraId="7B64A488" w14:textId="77777777" w:rsidTr="0099521D">
        <w:trPr>
          <w:trHeight w:val="264"/>
        </w:trPr>
        <w:tc>
          <w:tcPr>
            <w:tcW w:w="2355" w:type="dxa"/>
            <w:gridSpan w:val="2"/>
          </w:tcPr>
          <w:p w14:paraId="57036B9B" w14:textId="77777777" w:rsidR="00B47442" w:rsidRPr="0009445C" w:rsidRDefault="00B47442" w:rsidP="0099521D">
            <w:pPr>
              <w:pStyle w:val="BRL-Tabelle"/>
              <w:spacing w:before="60" w:after="40"/>
            </w:pPr>
            <w:r w:rsidRPr="0009445C">
              <w:t>Structure</w:t>
            </w:r>
          </w:p>
        </w:tc>
        <w:tc>
          <w:tcPr>
            <w:tcW w:w="427" w:type="dxa"/>
            <w:vAlign w:val="center"/>
          </w:tcPr>
          <w:p w14:paraId="3943FBC4" w14:textId="77777777" w:rsidR="00B47442" w:rsidRPr="0009445C" w:rsidRDefault="00B47442" w:rsidP="0099521D">
            <w:pPr>
              <w:pStyle w:val="BRL-Tabelle"/>
              <w:spacing w:before="60" w:after="40"/>
              <w:jc w:val="center"/>
              <w:rPr>
                <w:sz w:val="16"/>
              </w:rPr>
            </w:pPr>
          </w:p>
        </w:tc>
        <w:tc>
          <w:tcPr>
            <w:tcW w:w="427" w:type="dxa"/>
            <w:vAlign w:val="center"/>
          </w:tcPr>
          <w:p w14:paraId="001E5B9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7AD1523" w14:textId="77777777" w:rsidR="00B47442" w:rsidRPr="0009445C" w:rsidRDefault="00B47442" w:rsidP="0099521D">
            <w:pPr>
              <w:pStyle w:val="BRL-Tabelle"/>
              <w:spacing w:before="60" w:after="40"/>
              <w:jc w:val="center"/>
              <w:rPr>
                <w:sz w:val="16"/>
              </w:rPr>
            </w:pPr>
          </w:p>
        </w:tc>
        <w:tc>
          <w:tcPr>
            <w:tcW w:w="427" w:type="dxa"/>
            <w:vAlign w:val="center"/>
          </w:tcPr>
          <w:p w14:paraId="3610B2AA" w14:textId="77777777" w:rsidR="00B47442" w:rsidRPr="0009445C" w:rsidRDefault="00B47442" w:rsidP="0099521D">
            <w:pPr>
              <w:pStyle w:val="BRL-Tabelle"/>
              <w:spacing w:before="60" w:after="40"/>
              <w:jc w:val="center"/>
              <w:rPr>
                <w:sz w:val="16"/>
              </w:rPr>
            </w:pPr>
          </w:p>
        </w:tc>
        <w:tc>
          <w:tcPr>
            <w:tcW w:w="425" w:type="dxa"/>
            <w:vAlign w:val="center"/>
          </w:tcPr>
          <w:p w14:paraId="39A2E88B" w14:textId="77777777" w:rsidR="00B47442" w:rsidRPr="0009445C" w:rsidRDefault="00B47442" w:rsidP="0099521D">
            <w:pPr>
              <w:pStyle w:val="BRL-Tabelle"/>
              <w:spacing w:before="60" w:after="40"/>
              <w:jc w:val="center"/>
              <w:rPr>
                <w:sz w:val="16"/>
              </w:rPr>
            </w:pPr>
          </w:p>
        </w:tc>
        <w:tc>
          <w:tcPr>
            <w:tcW w:w="426" w:type="dxa"/>
            <w:vAlign w:val="center"/>
          </w:tcPr>
          <w:p w14:paraId="39BFEC98" w14:textId="77777777" w:rsidR="00B47442" w:rsidRPr="0009445C" w:rsidRDefault="00B47442" w:rsidP="0099521D">
            <w:pPr>
              <w:pStyle w:val="BRL-Tabelle"/>
              <w:spacing w:before="60" w:after="40"/>
              <w:jc w:val="center"/>
              <w:rPr>
                <w:sz w:val="16"/>
              </w:rPr>
            </w:pPr>
          </w:p>
        </w:tc>
        <w:tc>
          <w:tcPr>
            <w:tcW w:w="428" w:type="dxa"/>
            <w:vAlign w:val="center"/>
          </w:tcPr>
          <w:p w14:paraId="12E463BB" w14:textId="77777777" w:rsidR="00B47442" w:rsidRPr="0009445C" w:rsidRDefault="00B47442" w:rsidP="0099521D">
            <w:pPr>
              <w:pStyle w:val="BRL-Tabelle"/>
              <w:spacing w:before="60" w:after="40"/>
              <w:jc w:val="center"/>
              <w:rPr>
                <w:sz w:val="16"/>
              </w:rPr>
            </w:pPr>
          </w:p>
        </w:tc>
        <w:tc>
          <w:tcPr>
            <w:tcW w:w="427" w:type="dxa"/>
            <w:vAlign w:val="center"/>
          </w:tcPr>
          <w:p w14:paraId="5ED2AE9C" w14:textId="77777777" w:rsidR="00B47442" w:rsidRPr="0009445C" w:rsidRDefault="00B47442" w:rsidP="0099521D">
            <w:pPr>
              <w:pStyle w:val="BRL-Tabelle"/>
              <w:spacing w:before="60" w:after="40"/>
              <w:jc w:val="center"/>
              <w:rPr>
                <w:sz w:val="16"/>
              </w:rPr>
            </w:pPr>
          </w:p>
        </w:tc>
        <w:tc>
          <w:tcPr>
            <w:tcW w:w="426" w:type="dxa"/>
            <w:vAlign w:val="center"/>
          </w:tcPr>
          <w:p w14:paraId="538180EB" w14:textId="77777777" w:rsidR="00B47442" w:rsidRPr="0009445C" w:rsidRDefault="00B47442" w:rsidP="0099521D">
            <w:pPr>
              <w:pStyle w:val="BRL-Tabelle"/>
              <w:spacing w:before="60" w:after="40"/>
              <w:jc w:val="center"/>
              <w:rPr>
                <w:sz w:val="16"/>
              </w:rPr>
            </w:pPr>
          </w:p>
        </w:tc>
        <w:tc>
          <w:tcPr>
            <w:tcW w:w="426" w:type="dxa"/>
            <w:vAlign w:val="center"/>
          </w:tcPr>
          <w:p w14:paraId="2A3BA6F1" w14:textId="77777777" w:rsidR="00B47442" w:rsidRPr="0009445C" w:rsidRDefault="00B47442" w:rsidP="0099521D">
            <w:pPr>
              <w:pStyle w:val="BRL-Tabelle"/>
              <w:spacing w:before="60" w:after="40"/>
              <w:jc w:val="center"/>
              <w:rPr>
                <w:sz w:val="16"/>
              </w:rPr>
            </w:pPr>
          </w:p>
        </w:tc>
        <w:tc>
          <w:tcPr>
            <w:tcW w:w="426" w:type="dxa"/>
            <w:vAlign w:val="center"/>
          </w:tcPr>
          <w:p w14:paraId="4D8030C9" w14:textId="77777777" w:rsidR="00B47442" w:rsidRPr="0009445C" w:rsidRDefault="00B47442" w:rsidP="0099521D">
            <w:pPr>
              <w:pStyle w:val="BRL-Tabelle"/>
              <w:spacing w:before="60" w:after="40"/>
              <w:jc w:val="center"/>
              <w:rPr>
                <w:sz w:val="16"/>
              </w:rPr>
            </w:pPr>
          </w:p>
        </w:tc>
        <w:tc>
          <w:tcPr>
            <w:tcW w:w="433" w:type="dxa"/>
            <w:vAlign w:val="center"/>
          </w:tcPr>
          <w:p w14:paraId="49DC6290" w14:textId="77777777" w:rsidR="00B47442" w:rsidRPr="0009445C" w:rsidRDefault="00B47442" w:rsidP="0099521D">
            <w:pPr>
              <w:pStyle w:val="BRL-Tabelle"/>
              <w:spacing w:before="60" w:after="40"/>
              <w:jc w:val="center"/>
              <w:rPr>
                <w:sz w:val="16"/>
              </w:rPr>
            </w:pPr>
          </w:p>
        </w:tc>
        <w:tc>
          <w:tcPr>
            <w:tcW w:w="426" w:type="dxa"/>
            <w:vAlign w:val="center"/>
          </w:tcPr>
          <w:p w14:paraId="26BE1C75" w14:textId="77777777" w:rsidR="00B47442" w:rsidRPr="0009445C" w:rsidRDefault="00B47442" w:rsidP="0099521D">
            <w:pPr>
              <w:pStyle w:val="BRL-Tabelle"/>
              <w:spacing w:before="60" w:after="40"/>
              <w:jc w:val="center"/>
              <w:rPr>
                <w:sz w:val="16"/>
              </w:rPr>
            </w:pPr>
          </w:p>
        </w:tc>
        <w:tc>
          <w:tcPr>
            <w:tcW w:w="427" w:type="dxa"/>
            <w:vAlign w:val="center"/>
          </w:tcPr>
          <w:p w14:paraId="66568ECA" w14:textId="77777777" w:rsidR="00B47442" w:rsidRPr="0009445C" w:rsidRDefault="00B47442" w:rsidP="0099521D">
            <w:pPr>
              <w:pStyle w:val="BRL-Tabelle"/>
              <w:spacing w:before="60" w:after="40"/>
              <w:jc w:val="center"/>
              <w:rPr>
                <w:sz w:val="16"/>
              </w:rPr>
            </w:pPr>
          </w:p>
        </w:tc>
        <w:tc>
          <w:tcPr>
            <w:tcW w:w="426" w:type="dxa"/>
            <w:vAlign w:val="center"/>
          </w:tcPr>
          <w:p w14:paraId="21B0D6DE" w14:textId="77777777" w:rsidR="00B47442" w:rsidRPr="0009445C" w:rsidRDefault="00B47442" w:rsidP="0099521D">
            <w:pPr>
              <w:pStyle w:val="BRL-Tabelle"/>
              <w:spacing w:before="60" w:after="40"/>
              <w:jc w:val="center"/>
              <w:rPr>
                <w:sz w:val="16"/>
              </w:rPr>
            </w:pPr>
          </w:p>
        </w:tc>
        <w:tc>
          <w:tcPr>
            <w:tcW w:w="427" w:type="dxa"/>
            <w:vAlign w:val="center"/>
          </w:tcPr>
          <w:p w14:paraId="182FC350" w14:textId="77777777" w:rsidR="00B47442" w:rsidRPr="0009445C" w:rsidRDefault="00B47442" w:rsidP="0099521D">
            <w:pPr>
              <w:pStyle w:val="BRL-Tabelle"/>
              <w:spacing w:before="60" w:after="40"/>
              <w:jc w:val="center"/>
              <w:rPr>
                <w:sz w:val="16"/>
              </w:rPr>
            </w:pPr>
          </w:p>
        </w:tc>
      </w:tr>
      <w:tr w:rsidR="00B47442" w:rsidRPr="0009445C" w14:paraId="2F09425B" w14:textId="77777777" w:rsidTr="0099521D">
        <w:trPr>
          <w:cantSplit/>
          <w:trHeight w:val="264"/>
        </w:trPr>
        <w:tc>
          <w:tcPr>
            <w:tcW w:w="2355" w:type="dxa"/>
            <w:gridSpan w:val="2"/>
          </w:tcPr>
          <w:p w14:paraId="5F08F8C1" w14:textId="77777777" w:rsidR="00B47442" w:rsidRPr="0009445C" w:rsidRDefault="00B47442" w:rsidP="0099521D">
            <w:pPr>
              <w:pStyle w:val="BRL-Tabelle"/>
              <w:spacing w:before="60" w:after="40"/>
            </w:pPr>
            <w:r w:rsidRPr="0009445C">
              <w:t>Labelling and data</w:t>
            </w:r>
          </w:p>
        </w:tc>
        <w:tc>
          <w:tcPr>
            <w:tcW w:w="427" w:type="dxa"/>
            <w:vAlign w:val="center"/>
          </w:tcPr>
          <w:p w14:paraId="763BEDFC" w14:textId="77777777" w:rsidR="00B47442" w:rsidRPr="0009445C" w:rsidRDefault="00B47442" w:rsidP="0099521D">
            <w:pPr>
              <w:pStyle w:val="BRL-Tabelle"/>
              <w:spacing w:before="60" w:after="40"/>
              <w:jc w:val="center"/>
              <w:rPr>
                <w:sz w:val="16"/>
              </w:rPr>
            </w:pPr>
          </w:p>
        </w:tc>
        <w:tc>
          <w:tcPr>
            <w:tcW w:w="427" w:type="dxa"/>
            <w:vAlign w:val="center"/>
          </w:tcPr>
          <w:p w14:paraId="7425CFA2"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99B7A0D" w14:textId="77777777" w:rsidR="00B47442" w:rsidRPr="0009445C" w:rsidRDefault="00B47442" w:rsidP="0099521D">
            <w:pPr>
              <w:pStyle w:val="BRL-Tabelle"/>
              <w:spacing w:before="60" w:after="40"/>
              <w:jc w:val="center"/>
              <w:rPr>
                <w:sz w:val="16"/>
              </w:rPr>
            </w:pPr>
          </w:p>
        </w:tc>
        <w:tc>
          <w:tcPr>
            <w:tcW w:w="427" w:type="dxa"/>
            <w:vAlign w:val="center"/>
          </w:tcPr>
          <w:p w14:paraId="0CA63CD6" w14:textId="77777777" w:rsidR="00B47442" w:rsidRPr="0009445C" w:rsidRDefault="00B47442" w:rsidP="0099521D">
            <w:pPr>
              <w:pStyle w:val="BRL-Tabelle"/>
              <w:spacing w:before="60" w:after="40"/>
              <w:jc w:val="center"/>
              <w:rPr>
                <w:sz w:val="16"/>
              </w:rPr>
            </w:pPr>
          </w:p>
        </w:tc>
        <w:tc>
          <w:tcPr>
            <w:tcW w:w="425" w:type="dxa"/>
            <w:vAlign w:val="center"/>
          </w:tcPr>
          <w:p w14:paraId="607897BC" w14:textId="77777777" w:rsidR="00B47442" w:rsidRPr="0009445C" w:rsidRDefault="00B47442" w:rsidP="0099521D">
            <w:pPr>
              <w:pStyle w:val="BRL-Tabelle"/>
              <w:spacing w:before="60" w:after="40"/>
              <w:jc w:val="center"/>
              <w:rPr>
                <w:sz w:val="16"/>
              </w:rPr>
            </w:pPr>
          </w:p>
        </w:tc>
        <w:tc>
          <w:tcPr>
            <w:tcW w:w="426" w:type="dxa"/>
            <w:vAlign w:val="center"/>
          </w:tcPr>
          <w:p w14:paraId="0D61F7C5" w14:textId="77777777" w:rsidR="00B47442" w:rsidRPr="0009445C" w:rsidRDefault="00B47442" w:rsidP="0099521D">
            <w:pPr>
              <w:pStyle w:val="BRL-Tabelle"/>
              <w:spacing w:before="60" w:after="40"/>
              <w:jc w:val="center"/>
              <w:rPr>
                <w:sz w:val="16"/>
              </w:rPr>
            </w:pPr>
          </w:p>
        </w:tc>
        <w:tc>
          <w:tcPr>
            <w:tcW w:w="428" w:type="dxa"/>
            <w:vAlign w:val="center"/>
          </w:tcPr>
          <w:p w14:paraId="026AE656" w14:textId="77777777" w:rsidR="00B47442" w:rsidRPr="0009445C" w:rsidRDefault="00B47442" w:rsidP="0099521D">
            <w:pPr>
              <w:pStyle w:val="BRL-Tabelle"/>
              <w:spacing w:before="60" w:after="40"/>
              <w:jc w:val="center"/>
              <w:rPr>
                <w:sz w:val="16"/>
              </w:rPr>
            </w:pPr>
          </w:p>
        </w:tc>
        <w:tc>
          <w:tcPr>
            <w:tcW w:w="427" w:type="dxa"/>
            <w:vAlign w:val="center"/>
          </w:tcPr>
          <w:p w14:paraId="5A131355" w14:textId="77777777" w:rsidR="00B47442" w:rsidRPr="0009445C" w:rsidRDefault="00B47442" w:rsidP="0099521D">
            <w:pPr>
              <w:pStyle w:val="BRL-Tabelle"/>
              <w:spacing w:before="60" w:after="40"/>
              <w:jc w:val="center"/>
              <w:rPr>
                <w:sz w:val="16"/>
              </w:rPr>
            </w:pPr>
          </w:p>
        </w:tc>
        <w:tc>
          <w:tcPr>
            <w:tcW w:w="426" w:type="dxa"/>
            <w:vAlign w:val="center"/>
          </w:tcPr>
          <w:p w14:paraId="28D99686" w14:textId="77777777" w:rsidR="00B47442" w:rsidRPr="0009445C" w:rsidRDefault="00B47442" w:rsidP="0099521D">
            <w:pPr>
              <w:pStyle w:val="BRL-Tabelle"/>
              <w:spacing w:before="60" w:after="40"/>
              <w:jc w:val="center"/>
              <w:rPr>
                <w:sz w:val="16"/>
              </w:rPr>
            </w:pPr>
          </w:p>
        </w:tc>
        <w:tc>
          <w:tcPr>
            <w:tcW w:w="426" w:type="dxa"/>
            <w:vAlign w:val="center"/>
          </w:tcPr>
          <w:p w14:paraId="3E7059B6" w14:textId="77777777" w:rsidR="00B47442" w:rsidRPr="0009445C" w:rsidRDefault="00B47442" w:rsidP="0099521D">
            <w:pPr>
              <w:pStyle w:val="BRL-Tabelle"/>
              <w:spacing w:before="60" w:after="40"/>
              <w:jc w:val="center"/>
              <w:rPr>
                <w:sz w:val="16"/>
              </w:rPr>
            </w:pPr>
          </w:p>
        </w:tc>
        <w:tc>
          <w:tcPr>
            <w:tcW w:w="426" w:type="dxa"/>
            <w:vAlign w:val="center"/>
          </w:tcPr>
          <w:p w14:paraId="772E7C72" w14:textId="77777777" w:rsidR="00B47442" w:rsidRPr="0009445C" w:rsidRDefault="00B47442" w:rsidP="0099521D">
            <w:pPr>
              <w:pStyle w:val="BRL-Tabelle"/>
              <w:spacing w:before="60" w:after="40"/>
              <w:jc w:val="center"/>
              <w:rPr>
                <w:sz w:val="16"/>
              </w:rPr>
            </w:pPr>
          </w:p>
        </w:tc>
        <w:tc>
          <w:tcPr>
            <w:tcW w:w="433" w:type="dxa"/>
            <w:vAlign w:val="center"/>
          </w:tcPr>
          <w:p w14:paraId="4D691FBE" w14:textId="77777777" w:rsidR="00B47442" w:rsidRPr="0009445C" w:rsidRDefault="00B47442" w:rsidP="0099521D">
            <w:pPr>
              <w:pStyle w:val="BRL-Tabelle"/>
              <w:spacing w:before="60" w:after="40"/>
              <w:jc w:val="center"/>
              <w:rPr>
                <w:sz w:val="16"/>
              </w:rPr>
            </w:pPr>
          </w:p>
        </w:tc>
        <w:tc>
          <w:tcPr>
            <w:tcW w:w="426" w:type="dxa"/>
            <w:vAlign w:val="center"/>
          </w:tcPr>
          <w:p w14:paraId="54F39F74"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1390068" w14:textId="77777777" w:rsidR="00B47442" w:rsidRPr="0009445C" w:rsidRDefault="00B47442" w:rsidP="0099521D">
            <w:pPr>
              <w:pStyle w:val="BRL-Tabelle"/>
              <w:spacing w:before="60" w:after="40"/>
              <w:jc w:val="center"/>
              <w:rPr>
                <w:sz w:val="16"/>
              </w:rPr>
            </w:pPr>
          </w:p>
        </w:tc>
        <w:tc>
          <w:tcPr>
            <w:tcW w:w="426" w:type="dxa"/>
            <w:vAlign w:val="center"/>
          </w:tcPr>
          <w:p w14:paraId="22D15266"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352EADF"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18B2AA93" w14:textId="77777777" w:rsidTr="0099521D">
        <w:trPr>
          <w:trHeight w:val="264"/>
        </w:trPr>
        <w:tc>
          <w:tcPr>
            <w:tcW w:w="2355" w:type="dxa"/>
            <w:gridSpan w:val="2"/>
          </w:tcPr>
          <w:p w14:paraId="114372A1" w14:textId="77777777" w:rsidR="00B47442" w:rsidRPr="0009445C" w:rsidRDefault="00B47442" w:rsidP="0099521D">
            <w:pPr>
              <w:pStyle w:val="BRL-Tabelle"/>
              <w:spacing w:before="60" w:after="40"/>
            </w:pPr>
            <w:r w:rsidRPr="0009445C">
              <w:t>Life span test</w:t>
            </w:r>
          </w:p>
        </w:tc>
        <w:tc>
          <w:tcPr>
            <w:tcW w:w="427" w:type="dxa"/>
            <w:vAlign w:val="center"/>
          </w:tcPr>
          <w:p w14:paraId="63914E99" w14:textId="77777777" w:rsidR="00B47442" w:rsidRPr="0009445C" w:rsidRDefault="00B47442" w:rsidP="0099521D">
            <w:pPr>
              <w:pStyle w:val="BRL-Tabelle"/>
              <w:spacing w:before="60" w:after="40"/>
              <w:jc w:val="center"/>
              <w:rPr>
                <w:sz w:val="16"/>
              </w:rPr>
            </w:pPr>
          </w:p>
        </w:tc>
        <w:tc>
          <w:tcPr>
            <w:tcW w:w="427" w:type="dxa"/>
            <w:vAlign w:val="center"/>
          </w:tcPr>
          <w:p w14:paraId="588121B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CF66288" w14:textId="77777777" w:rsidR="00B47442" w:rsidRPr="0009445C" w:rsidRDefault="00B47442" w:rsidP="0099521D">
            <w:pPr>
              <w:pStyle w:val="BRL-Tabelle"/>
              <w:spacing w:before="60" w:after="40"/>
              <w:jc w:val="center"/>
              <w:rPr>
                <w:sz w:val="16"/>
              </w:rPr>
            </w:pPr>
          </w:p>
        </w:tc>
        <w:tc>
          <w:tcPr>
            <w:tcW w:w="427" w:type="dxa"/>
            <w:vAlign w:val="center"/>
          </w:tcPr>
          <w:p w14:paraId="432EF670" w14:textId="77777777" w:rsidR="00B47442" w:rsidRPr="0009445C" w:rsidRDefault="00B47442" w:rsidP="0099521D">
            <w:pPr>
              <w:pStyle w:val="BRL-Tabelle"/>
              <w:spacing w:before="60" w:after="40"/>
              <w:jc w:val="center"/>
              <w:rPr>
                <w:sz w:val="16"/>
              </w:rPr>
            </w:pPr>
          </w:p>
        </w:tc>
        <w:tc>
          <w:tcPr>
            <w:tcW w:w="425" w:type="dxa"/>
            <w:vAlign w:val="center"/>
          </w:tcPr>
          <w:p w14:paraId="7BB10A6A" w14:textId="77777777" w:rsidR="00B47442" w:rsidRPr="0009445C" w:rsidRDefault="00B47442" w:rsidP="0099521D">
            <w:pPr>
              <w:pStyle w:val="BRL-Tabelle"/>
              <w:spacing w:before="60" w:after="40"/>
              <w:jc w:val="center"/>
              <w:rPr>
                <w:sz w:val="16"/>
              </w:rPr>
            </w:pPr>
          </w:p>
        </w:tc>
        <w:tc>
          <w:tcPr>
            <w:tcW w:w="426" w:type="dxa"/>
            <w:vAlign w:val="center"/>
          </w:tcPr>
          <w:p w14:paraId="51E97BA5" w14:textId="77777777" w:rsidR="00B47442" w:rsidRPr="0009445C" w:rsidRDefault="00B47442" w:rsidP="0099521D">
            <w:pPr>
              <w:pStyle w:val="BRL-Tabelle"/>
              <w:spacing w:before="60" w:after="40"/>
              <w:jc w:val="center"/>
              <w:rPr>
                <w:sz w:val="16"/>
              </w:rPr>
            </w:pPr>
          </w:p>
        </w:tc>
        <w:tc>
          <w:tcPr>
            <w:tcW w:w="428" w:type="dxa"/>
            <w:vAlign w:val="center"/>
          </w:tcPr>
          <w:p w14:paraId="05393B97" w14:textId="77777777" w:rsidR="00B47442" w:rsidRPr="0009445C" w:rsidRDefault="00B47442" w:rsidP="0099521D">
            <w:pPr>
              <w:pStyle w:val="BRL-Tabelle"/>
              <w:spacing w:before="60" w:after="40"/>
              <w:jc w:val="center"/>
              <w:rPr>
                <w:sz w:val="16"/>
              </w:rPr>
            </w:pPr>
          </w:p>
        </w:tc>
        <w:tc>
          <w:tcPr>
            <w:tcW w:w="427" w:type="dxa"/>
            <w:vAlign w:val="center"/>
          </w:tcPr>
          <w:p w14:paraId="7FAFD0BD" w14:textId="77777777" w:rsidR="00B47442" w:rsidRPr="0009445C" w:rsidRDefault="00B47442" w:rsidP="0099521D">
            <w:pPr>
              <w:pStyle w:val="BRL-Tabelle"/>
              <w:spacing w:before="60" w:after="40"/>
              <w:jc w:val="center"/>
              <w:rPr>
                <w:sz w:val="16"/>
              </w:rPr>
            </w:pPr>
          </w:p>
        </w:tc>
        <w:tc>
          <w:tcPr>
            <w:tcW w:w="426" w:type="dxa"/>
            <w:vAlign w:val="center"/>
          </w:tcPr>
          <w:p w14:paraId="16E7EE67" w14:textId="77777777" w:rsidR="00B47442" w:rsidRPr="0009445C" w:rsidRDefault="00B47442" w:rsidP="0099521D">
            <w:pPr>
              <w:pStyle w:val="BRL-Tabelle"/>
              <w:spacing w:before="60" w:after="40"/>
              <w:jc w:val="center"/>
              <w:rPr>
                <w:sz w:val="16"/>
              </w:rPr>
            </w:pPr>
          </w:p>
        </w:tc>
        <w:tc>
          <w:tcPr>
            <w:tcW w:w="426" w:type="dxa"/>
            <w:vAlign w:val="center"/>
          </w:tcPr>
          <w:p w14:paraId="5AB1B61D" w14:textId="77777777" w:rsidR="00B47442" w:rsidRPr="0009445C" w:rsidRDefault="00B47442" w:rsidP="0099521D">
            <w:pPr>
              <w:pStyle w:val="BRL-Tabelle"/>
              <w:spacing w:before="60" w:after="40"/>
              <w:jc w:val="center"/>
              <w:rPr>
                <w:sz w:val="16"/>
              </w:rPr>
            </w:pPr>
          </w:p>
        </w:tc>
        <w:tc>
          <w:tcPr>
            <w:tcW w:w="426" w:type="dxa"/>
            <w:vAlign w:val="center"/>
          </w:tcPr>
          <w:p w14:paraId="6EA4686C" w14:textId="77777777" w:rsidR="00B47442" w:rsidRPr="0009445C" w:rsidRDefault="00B47442" w:rsidP="0099521D">
            <w:pPr>
              <w:pStyle w:val="BRL-Tabelle"/>
              <w:spacing w:before="60" w:after="40"/>
              <w:jc w:val="center"/>
              <w:rPr>
                <w:sz w:val="16"/>
              </w:rPr>
            </w:pPr>
          </w:p>
        </w:tc>
        <w:tc>
          <w:tcPr>
            <w:tcW w:w="433" w:type="dxa"/>
            <w:vAlign w:val="center"/>
          </w:tcPr>
          <w:p w14:paraId="3446FB09" w14:textId="77777777" w:rsidR="00B47442" w:rsidRPr="0009445C" w:rsidRDefault="00B47442" w:rsidP="0099521D">
            <w:pPr>
              <w:pStyle w:val="BRL-Tabelle"/>
              <w:spacing w:before="60" w:after="40"/>
              <w:jc w:val="center"/>
              <w:rPr>
                <w:sz w:val="16"/>
              </w:rPr>
            </w:pPr>
          </w:p>
        </w:tc>
        <w:tc>
          <w:tcPr>
            <w:tcW w:w="426" w:type="dxa"/>
            <w:vAlign w:val="center"/>
          </w:tcPr>
          <w:p w14:paraId="22194F3B" w14:textId="77777777" w:rsidR="00B47442" w:rsidRPr="0009445C" w:rsidRDefault="00B47442" w:rsidP="0099521D">
            <w:pPr>
              <w:pStyle w:val="BRL-Tabelle"/>
              <w:spacing w:before="60" w:after="40"/>
              <w:jc w:val="center"/>
              <w:rPr>
                <w:sz w:val="16"/>
              </w:rPr>
            </w:pPr>
          </w:p>
        </w:tc>
        <w:tc>
          <w:tcPr>
            <w:tcW w:w="427" w:type="dxa"/>
            <w:vAlign w:val="center"/>
          </w:tcPr>
          <w:p w14:paraId="40013E6F" w14:textId="77777777" w:rsidR="00B47442" w:rsidRPr="0009445C" w:rsidRDefault="00B47442" w:rsidP="0099521D">
            <w:pPr>
              <w:pStyle w:val="BRL-Tabelle"/>
              <w:spacing w:before="60" w:after="40"/>
              <w:jc w:val="center"/>
              <w:rPr>
                <w:sz w:val="16"/>
              </w:rPr>
            </w:pPr>
          </w:p>
        </w:tc>
        <w:tc>
          <w:tcPr>
            <w:tcW w:w="426" w:type="dxa"/>
            <w:vAlign w:val="center"/>
          </w:tcPr>
          <w:p w14:paraId="0AC5046A" w14:textId="77777777" w:rsidR="00B47442" w:rsidRPr="0009445C" w:rsidRDefault="00B47442" w:rsidP="0099521D">
            <w:pPr>
              <w:pStyle w:val="BRL-Tabelle"/>
              <w:spacing w:before="60" w:after="40"/>
              <w:jc w:val="center"/>
              <w:rPr>
                <w:sz w:val="16"/>
              </w:rPr>
            </w:pPr>
          </w:p>
        </w:tc>
        <w:tc>
          <w:tcPr>
            <w:tcW w:w="427" w:type="dxa"/>
            <w:vAlign w:val="center"/>
          </w:tcPr>
          <w:p w14:paraId="4347130D" w14:textId="77777777" w:rsidR="00B47442" w:rsidRPr="0009445C" w:rsidRDefault="00B47442" w:rsidP="0099521D">
            <w:pPr>
              <w:pStyle w:val="BRL-Tabelle"/>
              <w:spacing w:before="60" w:after="40"/>
              <w:jc w:val="center"/>
              <w:rPr>
                <w:sz w:val="16"/>
              </w:rPr>
            </w:pPr>
          </w:p>
        </w:tc>
      </w:tr>
      <w:tr w:rsidR="00B47442" w:rsidRPr="0009445C" w14:paraId="730B29E9" w14:textId="77777777" w:rsidTr="0099521D">
        <w:trPr>
          <w:trHeight w:val="264"/>
        </w:trPr>
        <w:tc>
          <w:tcPr>
            <w:tcW w:w="2355" w:type="dxa"/>
            <w:gridSpan w:val="2"/>
          </w:tcPr>
          <w:p w14:paraId="19467C82" w14:textId="77777777" w:rsidR="00B47442" w:rsidRPr="0009445C" w:rsidRDefault="00B47442" w:rsidP="0099521D">
            <w:pPr>
              <w:pStyle w:val="BRL-Tabelle"/>
              <w:spacing w:before="60" w:after="40"/>
            </w:pPr>
            <w:r w:rsidRPr="0009445C">
              <w:t>Individual alarm display</w:t>
            </w:r>
          </w:p>
        </w:tc>
        <w:tc>
          <w:tcPr>
            <w:tcW w:w="427" w:type="dxa"/>
            <w:vAlign w:val="center"/>
          </w:tcPr>
          <w:p w14:paraId="4023360F" w14:textId="77777777" w:rsidR="00B47442" w:rsidRPr="0009445C" w:rsidRDefault="00B47442" w:rsidP="0099521D">
            <w:pPr>
              <w:pStyle w:val="BRL-Tabelle"/>
              <w:spacing w:before="60" w:after="40"/>
              <w:jc w:val="center"/>
              <w:rPr>
                <w:sz w:val="16"/>
              </w:rPr>
            </w:pPr>
          </w:p>
        </w:tc>
        <w:tc>
          <w:tcPr>
            <w:tcW w:w="427" w:type="dxa"/>
            <w:vAlign w:val="center"/>
          </w:tcPr>
          <w:p w14:paraId="21DDA515" w14:textId="77777777" w:rsidR="00B47442" w:rsidRPr="0009445C" w:rsidRDefault="00B47442" w:rsidP="0099521D">
            <w:pPr>
              <w:pStyle w:val="BRL-Tabelle"/>
              <w:spacing w:before="60" w:after="40"/>
              <w:jc w:val="center"/>
              <w:rPr>
                <w:sz w:val="16"/>
              </w:rPr>
            </w:pPr>
          </w:p>
        </w:tc>
        <w:tc>
          <w:tcPr>
            <w:tcW w:w="426" w:type="dxa"/>
            <w:vAlign w:val="center"/>
          </w:tcPr>
          <w:p w14:paraId="4F12E2FB" w14:textId="77777777" w:rsidR="00B47442" w:rsidRPr="0009445C" w:rsidRDefault="00B47442" w:rsidP="0099521D">
            <w:pPr>
              <w:pStyle w:val="BRL-Tabelle"/>
              <w:spacing w:before="60" w:after="40"/>
              <w:jc w:val="center"/>
              <w:rPr>
                <w:sz w:val="16"/>
              </w:rPr>
            </w:pPr>
          </w:p>
        </w:tc>
        <w:tc>
          <w:tcPr>
            <w:tcW w:w="427" w:type="dxa"/>
            <w:vAlign w:val="center"/>
          </w:tcPr>
          <w:p w14:paraId="229A948C"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1F417EC7" w14:textId="77777777" w:rsidR="00B47442" w:rsidRPr="0009445C" w:rsidRDefault="0066485E" w:rsidP="0099521D">
            <w:pPr>
              <w:pStyle w:val="BRL-Tabelle"/>
              <w:spacing w:before="60" w:after="40"/>
              <w:jc w:val="center"/>
              <w:rPr>
                <w:sz w:val="16"/>
              </w:rPr>
            </w:pPr>
            <w:r w:rsidRPr="0009445C">
              <w:rPr>
                <w:sz w:val="16"/>
              </w:rPr>
              <w:t>X</w:t>
            </w:r>
          </w:p>
        </w:tc>
        <w:tc>
          <w:tcPr>
            <w:tcW w:w="426" w:type="dxa"/>
            <w:vAlign w:val="center"/>
          </w:tcPr>
          <w:p w14:paraId="2EA94973"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2F737A40" w14:textId="77777777" w:rsidR="00B47442" w:rsidRPr="0009445C" w:rsidRDefault="00B47442" w:rsidP="0099521D">
            <w:pPr>
              <w:pStyle w:val="BRL-Tabelle"/>
              <w:spacing w:before="60" w:after="40"/>
              <w:jc w:val="center"/>
              <w:rPr>
                <w:sz w:val="16"/>
              </w:rPr>
            </w:pPr>
          </w:p>
        </w:tc>
        <w:tc>
          <w:tcPr>
            <w:tcW w:w="427" w:type="dxa"/>
            <w:vAlign w:val="center"/>
          </w:tcPr>
          <w:p w14:paraId="7C25A8F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BCEE829" w14:textId="77777777" w:rsidR="00B47442" w:rsidRPr="0009445C" w:rsidRDefault="00B47442" w:rsidP="0099521D">
            <w:pPr>
              <w:pStyle w:val="BRL-Tabelle"/>
              <w:spacing w:before="60" w:after="40"/>
              <w:jc w:val="center"/>
              <w:rPr>
                <w:sz w:val="16"/>
              </w:rPr>
            </w:pPr>
          </w:p>
        </w:tc>
        <w:tc>
          <w:tcPr>
            <w:tcW w:w="426" w:type="dxa"/>
            <w:vAlign w:val="center"/>
          </w:tcPr>
          <w:p w14:paraId="5BAD592A" w14:textId="77777777" w:rsidR="00B47442" w:rsidRPr="0009445C" w:rsidRDefault="00B47442" w:rsidP="0099521D">
            <w:pPr>
              <w:pStyle w:val="BRL-Tabelle"/>
              <w:spacing w:before="60" w:after="40"/>
              <w:jc w:val="center"/>
              <w:rPr>
                <w:sz w:val="16"/>
              </w:rPr>
            </w:pPr>
          </w:p>
        </w:tc>
        <w:tc>
          <w:tcPr>
            <w:tcW w:w="426" w:type="dxa"/>
            <w:vAlign w:val="center"/>
          </w:tcPr>
          <w:p w14:paraId="24428C28" w14:textId="77777777" w:rsidR="00B47442" w:rsidRPr="0009445C" w:rsidRDefault="00B47442" w:rsidP="0099521D">
            <w:pPr>
              <w:pStyle w:val="BRL-Tabelle"/>
              <w:spacing w:before="60" w:after="40"/>
              <w:jc w:val="center"/>
              <w:rPr>
                <w:sz w:val="16"/>
              </w:rPr>
            </w:pPr>
          </w:p>
        </w:tc>
        <w:tc>
          <w:tcPr>
            <w:tcW w:w="433" w:type="dxa"/>
            <w:vAlign w:val="center"/>
          </w:tcPr>
          <w:p w14:paraId="2807A39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81B8F27" w14:textId="77777777" w:rsidR="00B47442" w:rsidRPr="0009445C" w:rsidRDefault="00B47442" w:rsidP="0099521D">
            <w:pPr>
              <w:pStyle w:val="BRL-Tabelle"/>
              <w:spacing w:before="60" w:after="40"/>
              <w:jc w:val="center"/>
              <w:rPr>
                <w:sz w:val="16"/>
              </w:rPr>
            </w:pPr>
          </w:p>
        </w:tc>
        <w:tc>
          <w:tcPr>
            <w:tcW w:w="427" w:type="dxa"/>
            <w:vAlign w:val="center"/>
          </w:tcPr>
          <w:p w14:paraId="644FA6F4" w14:textId="77777777" w:rsidR="00B47442" w:rsidRPr="0009445C" w:rsidRDefault="00B47442" w:rsidP="0099521D">
            <w:pPr>
              <w:pStyle w:val="BRL-Tabelle"/>
              <w:spacing w:before="60" w:after="40"/>
              <w:jc w:val="center"/>
              <w:rPr>
                <w:sz w:val="16"/>
              </w:rPr>
            </w:pPr>
          </w:p>
        </w:tc>
        <w:tc>
          <w:tcPr>
            <w:tcW w:w="426" w:type="dxa"/>
            <w:vAlign w:val="center"/>
          </w:tcPr>
          <w:p w14:paraId="5EC4CC09" w14:textId="77777777" w:rsidR="00B47442" w:rsidRPr="0009445C" w:rsidRDefault="00B47442" w:rsidP="0099521D">
            <w:pPr>
              <w:pStyle w:val="BRL-Tabelle"/>
              <w:spacing w:before="60" w:after="40"/>
              <w:jc w:val="center"/>
              <w:rPr>
                <w:sz w:val="16"/>
              </w:rPr>
            </w:pPr>
          </w:p>
        </w:tc>
        <w:tc>
          <w:tcPr>
            <w:tcW w:w="427" w:type="dxa"/>
            <w:vAlign w:val="center"/>
          </w:tcPr>
          <w:p w14:paraId="3ED4569A" w14:textId="77777777" w:rsidR="00B47442" w:rsidRPr="0009445C" w:rsidRDefault="00B47442" w:rsidP="0099521D">
            <w:pPr>
              <w:pStyle w:val="BRL-Tabelle"/>
              <w:spacing w:before="60" w:after="40"/>
              <w:jc w:val="center"/>
              <w:rPr>
                <w:sz w:val="16"/>
              </w:rPr>
            </w:pPr>
          </w:p>
        </w:tc>
      </w:tr>
      <w:tr w:rsidR="00B47442" w:rsidRPr="0009445C" w14:paraId="3C4C8C3A" w14:textId="77777777" w:rsidTr="0099521D">
        <w:trPr>
          <w:trHeight w:val="264"/>
        </w:trPr>
        <w:tc>
          <w:tcPr>
            <w:tcW w:w="2355" w:type="dxa"/>
            <w:gridSpan w:val="2"/>
          </w:tcPr>
          <w:p w14:paraId="0E53B2EE" w14:textId="77777777" w:rsidR="00B47442" w:rsidRPr="0009445C" w:rsidRDefault="00B47442" w:rsidP="0099521D">
            <w:pPr>
              <w:pStyle w:val="BRL-Tabelle"/>
              <w:spacing w:before="60" w:after="40"/>
            </w:pPr>
            <w:r w:rsidRPr="0009445C">
              <w:t>Connection of auxiliary devices</w:t>
            </w:r>
          </w:p>
        </w:tc>
        <w:tc>
          <w:tcPr>
            <w:tcW w:w="427" w:type="dxa"/>
            <w:vAlign w:val="center"/>
          </w:tcPr>
          <w:p w14:paraId="3C03FB80" w14:textId="77777777" w:rsidR="00B47442" w:rsidRPr="0009445C" w:rsidRDefault="00B47442" w:rsidP="0099521D">
            <w:pPr>
              <w:pStyle w:val="BRL-Tabelle"/>
              <w:spacing w:before="60" w:after="40"/>
              <w:jc w:val="center"/>
              <w:rPr>
                <w:sz w:val="16"/>
              </w:rPr>
            </w:pPr>
          </w:p>
        </w:tc>
        <w:tc>
          <w:tcPr>
            <w:tcW w:w="427" w:type="dxa"/>
            <w:vAlign w:val="center"/>
          </w:tcPr>
          <w:p w14:paraId="7FD42953" w14:textId="77777777" w:rsidR="00B47442" w:rsidRPr="0009445C" w:rsidRDefault="00B47442" w:rsidP="0099521D">
            <w:pPr>
              <w:pStyle w:val="BRL-Tabelle"/>
              <w:spacing w:before="60" w:after="40"/>
              <w:jc w:val="center"/>
              <w:rPr>
                <w:sz w:val="16"/>
              </w:rPr>
            </w:pPr>
          </w:p>
        </w:tc>
        <w:tc>
          <w:tcPr>
            <w:tcW w:w="426" w:type="dxa"/>
            <w:vAlign w:val="center"/>
          </w:tcPr>
          <w:p w14:paraId="09424E77" w14:textId="77777777" w:rsidR="00B47442" w:rsidRPr="0009445C" w:rsidRDefault="00B47442" w:rsidP="0099521D">
            <w:pPr>
              <w:pStyle w:val="BRL-Tabelle"/>
              <w:spacing w:before="60" w:after="40"/>
              <w:jc w:val="center"/>
              <w:rPr>
                <w:sz w:val="16"/>
              </w:rPr>
            </w:pPr>
          </w:p>
        </w:tc>
        <w:tc>
          <w:tcPr>
            <w:tcW w:w="427" w:type="dxa"/>
            <w:vAlign w:val="center"/>
          </w:tcPr>
          <w:p w14:paraId="4FC8E1B4"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8879240" w14:textId="77777777" w:rsidR="00B47442" w:rsidRPr="0009445C" w:rsidRDefault="0066485E" w:rsidP="0099521D">
            <w:pPr>
              <w:pStyle w:val="BRL-Tabelle"/>
              <w:spacing w:before="60" w:after="40"/>
              <w:jc w:val="center"/>
              <w:rPr>
                <w:sz w:val="16"/>
              </w:rPr>
            </w:pPr>
            <w:r w:rsidRPr="0009445C">
              <w:rPr>
                <w:sz w:val="16"/>
              </w:rPr>
              <w:t>X</w:t>
            </w:r>
          </w:p>
        </w:tc>
        <w:tc>
          <w:tcPr>
            <w:tcW w:w="426" w:type="dxa"/>
            <w:vAlign w:val="center"/>
          </w:tcPr>
          <w:p w14:paraId="3402959D"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6232853F" w14:textId="77777777" w:rsidR="00B47442" w:rsidRPr="0009445C" w:rsidRDefault="00B47442" w:rsidP="0099521D">
            <w:pPr>
              <w:pStyle w:val="BRL-Tabelle"/>
              <w:spacing w:before="60" w:after="40"/>
              <w:jc w:val="center"/>
              <w:rPr>
                <w:sz w:val="16"/>
              </w:rPr>
            </w:pPr>
          </w:p>
        </w:tc>
        <w:tc>
          <w:tcPr>
            <w:tcW w:w="427" w:type="dxa"/>
            <w:vAlign w:val="center"/>
          </w:tcPr>
          <w:p w14:paraId="472E9A3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1DF82D4" w14:textId="77777777" w:rsidR="00B47442" w:rsidRPr="0009445C" w:rsidRDefault="00B47442" w:rsidP="0099521D">
            <w:pPr>
              <w:pStyle w:val="BRL-Tabelle"/>
              <w:spacing w:before="60" w:after="40"/>
              <w:jc w:val="center"/>
              <w:rPr>
                <w:sz w:val="16"/>
              </w:rPr>
            </w:pPr>
          </w:p>
        </w:tc>
        <w:tc>
          <w:tcPr>
            <w:tcW w:w="426" w:type="dxa"/>
            <w:vAlign w:val="center"/>
          </w:tcPr>
          <w:p w14:paraId="56AADE19" w14:textId="77777777" w:rsidR="00B47442" w:rsidRPr="0009445C" w:rsidRDefault="00B47442" w:rsidP="0099521D">
            <w:pPr>
              <w:pStyle w:val="BRL-Tabelle"/>
              <w:spacing w:before="60" w:after="40"/>
              <w:jc w:val="center"/>
              <w:rPr>
                <w:sz w:val="16"/>
              </w:rPr>
            </w:pPr>
          </w:p>
        </w:tc>
        <w:tc>
          <w:tcPr>
            <w:tcW w:w="426" w:type="dxa"/>
            <w:vAlign w:val="center"/>
          </w:tcPr>
          <w:p w14:paraId="7417522D" w14:textId="77777777" w:rsidR="00B47442" w:rsidRPr="0009445C" w:rsidRDefault="00B47442" w:rsidP="0099521D">
            <w:pPr>
              <w:pStyle w:val="BRL-Tabelle"/>
              <w:spacing w:before="60" w:after="40"/>
              <w:jc w:val="center"/>
              <w:rPr>
                <w:sz w:val="16"/>
              </w:rPr>
            </w:pPr>
          </w:p>
        </w:tc>
        <w:tc>
          <w:tcPr>
            <w:tcW w:w="433" w:type="dxa"/>
            <w:vAlign w:val="center"/>
          </w:tcPr>
          <w:p w14:paraId="3DB8742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84D7E25" w14:textId="77777777" w:rsidR="00B47442" w:rsidRPr="0009445C" w:rsidRDefault="00B47442" w:rsidP="0099521D">
            <w:pPr>
              <w:pStyle w:val="BRL-Tabelle"/>
              <w:spacing w:before="60" w:after="40"/>
              <w:jc w:val="center"/>
              <w:rPr>
                <w:sz w:val="16"/>
              </w:rPr>
            </w:pPr>
          </w:p>
        </w:tc>
        <w:tc>
          <w:tcPr>
            <w:tcW w:w="427" w:type="dxa"/>
            <w:vAlign w:val="center"/>
          </w:tcPr>
          <w:p w14:paraId="7FED3A30" w14:textId="77777777" w:rsidR="00B47442" w:rsidRPr="0009445C" w:rsidRDefault="00B47442" w:rsidP="0099521D">
            <w:pPr>
              <w:pStyle w:val="BRL-Tabelle"/>
              <w:spacing w:before="60" w:after="40"/>
              <w:jc w:val="center"/>
              <w:rPr>
                <w:sz w:val="16"/>
              </w:rPr>
            </w:pPr>
          </w:p>
        </w:tc>
        <w:tc>
          <w:tcPr>
            <w:tcW w:w="426" w:type="dxa"/>
            <w:vAlign w:val="center"/>
          </w:tcPr>
          <w:p w14:paraId="4ADE4118" w14:textId="77777777" w:rsidR="00B47442" w:rsidRPr="0009445C" w:rsidRDefault="00B47442" w:rsidP="0099521D">
            <w:pPr>
              <w:pStyle w:val="BRL-Tabelle"/>
              <w:spacing w:before="60" w:after="40"/>
              <w:jc w:val="center"/>
              <w:rPr>
                <w:sz w:val="16"/>
              </w:rPr>
            </w:pPr>
          </w:p>
        </w:tc>
        <w:tc>
          <w:tcPr>
            <w:tcW w:w="427" w:type="dxa"/>
            <w:vAlign w:val="center"/>
          </w:tcPr>
          <w:p w14:paraId="4B7400B9" w14:textId="77777777" w:rsidR="00B47442" w:rsidRPr="0009445C" w:rsidRDefault="00B47442" w:rsidP="0099521D">
            <w:pPr>
              <w:pStyle w:val="BRL-Tabelle"/>
              <w:spacing w:before="60" w:after="40"/>
              <w:jc w:val="center"/>
              <w:rPr>
                <w:sz w:val="16"/>
              </w:rPr>
            </w:pPr>
          </w:p>
        </w:tc>
      </w:tr>
      <w:tr w:rsidR="00B47442" w:rsidRPr="0009445C" w14:paraId="6210F4CF" w14:textId="77777777" w:rsidTr="0099521D">
        <w:trPr>
          <w:trHeight w:val="264"/>
        </w:trPr>
        <w:tc>
          <w:tcPr>
            <w:tcW w:w="2355" w:type="dxa"/>
            <w:gridSpan w:val="2"/>
          </w:tcPr>
          <w:p w14:paraId="5FAC70CC" w14:textId="77777777" w:rsidR="00B47442" w:rsidRPr="0009445C" w:rsidRDefault="00B47442" w:rsidP="0099521D">
            <w:pPr>
              <w:pStyle w:val="BRL-Tabelle"/>
              <w:spacing w:before="60" w:after="40"/>
            </w:pPr>
            <w:r w:rsidRPr="0009445C">
              <w:t>Monitoring detachable detectors</w:t>
            </w:r>
            <w:r w:rsidRPr="0009445C">
              <w:rPr>
                <w:vertAlign w:val="superscript"/>
              </w:rPr>
              <w:t xml:space="preserve"> 2</w:t>
            </w:r>
          </w:p>
        </w:tc>
        <w:tc>
          <w:tcPr>
            <w:tcW w:w="427" w:type="dxa"/>
            <w:vAlign w:val="center"/>
          </w:tcPr>
          <w:p w14:paraId="7570393E" w14:textId="77777777" w:rsidR="00B47442" w:rsidRPr="0009445C" w:rsidRDefault="00B47442" w:rsidP="0099521D">
            <w:pPr>
              <w:pStyle w:val="BRL-Tabelle"/>
              <w:spacing w:before="60" w:after="40"/>
              <w:jc w:val="center"/>
              <w:rPr>
                <w:sz w:val="16"/>
              </w:rPr>
            </w:pPr>
          </w:p>
        </w:tc>
        <w:tc>
          <w:tcPr>
            <w:tcW w:w="427" w:type="dxa"/>
            <w:vAlign w:val="center"/>
          </w:tcPr>
          <w:p w14:paraId="6D50F861" w14:textId="77777777" w:rsidR="00B47442" w:rsidRPr="0009445C" w:rsidRDefault="00B47442" w:rsidP="0099521D">
            <w:pPr>
              <w:pStyle w:val="BRL-Tabelle"/>
              <w:spacing w:before="60" w:after="40"/>
              <w:jc w:val="center"/>
              <w:rPr>
                <w:sz w:val="16"/>
              </w:rPr>
            </w:pPr>
          </w:p>
        </w:tc>
        <w:tc>
          <w:tcPr>
            <w:tcW w:w="426" w:type="dxa"/>
            <w:vAlign w:val="center"/>
          </w:tcPr>
          <w:p w14:paraId="5655A0FD" w14:textId="77777777" w:rsidR="00B47442" w:rsidRPr="0009445C" w:rsidRDefault="00B47442" w:rsidP="0099521D">
            <w:pPr>
              <w:pStyle w:val="BRL-Tabelle"/>
              <w:spacing w:before="60" w:after="40"/>
              <w:jc w:val="center"/>
              <w:rPr>
                <w:sz w:val="16"/>
              </w:rPr>
            </w:pPr>
          </w:p>
        </w:tc>
        <w:tc>
          <w:tcPr>
            <w:tcW w:w="427" w:type="dxa"/>
            <w:vAlign w:val="center"/>
          </w:tcPr>
          <w:p w14:paraId="2E0DFE93"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9EC201F" w14:textId="77777777" w:rsidR="00B47442" w:rsidRPr="0009445C" w:rsidRDefault="0066485E" w:rsidP="0099521D">
            <w:pPr>
              <w:pStyle w:val="BRL-Tabelle"/>
              <w:spacing w:before="60" w:after="40"/>
              <w:jc w:val="center"/>
              <w:rPr>
                <w:sz w:val="16"/>
              </w:rPr>
            </w:pPr>
            <w:r w:rsidRPr="0009445C">
              <w:rPr>
                <w:sz w:val="16"/>
              </w:rPr>
              <w:t>X</w:t>
            </w:r>
          </w:p>
        </w:tc>
        <w:tc>
          <w:tcPr>
            <w:tcW w:w="426" w:type="dxa"/>
            <w:vAlign w:val="center"/>
          </w:tcPr>
          <w:p w14:paraId="2299337C"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6A58D6F0" w14:textId="77777777" w:rsidR="00B47442" w:rsidRPr="0009445C" w:rsidRDefault="00B47442" w:rsidP="0099521D">
            <w:pPr>
              <w:pStyle w:val="BRL-Tabelle"/>
              <w:spacing w:before="60" w:after="40"/>
              <w:jc w:val="center"/>
              <w:rPr>
                <w:sz w:val="16"/>
              </w:rPr>
            </w:pPr>
          </w:p>
        </w:tc>
        <w:tc>
          <w:tcPr>
            <w:tcW w:w="427" w:type="dxa"/>
            <w:vAlign w:val="center"/>
          </w:tcPr>
          <w:p w14:paraId="6D3AAC8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EFA5E42" w14:textId="77777777" w:rsidR="00B47442" w:rsidRPr="0009445C" w:rsidRDefault="00B47442" w:rsidP="0099521D">
            <w:pPr>
              <w:pStyle w:val="BRL-Tabelle"/>
              <w:spacing w:before="60" w:after="40"/>
              <w:jc w:val="center"/>
              <w:rPr>
                <w:sz w:val="16"/>
              </w:rPr>
            </w:pPr>
          </w:p>
        </w:tc>
        <w:tc>
          <w:tcPr>
            <w:tcW w:w="426" w:type="dxa"/>
            <w:vAlign w:val="center"/>
          </w:tcPr>
          <w:p w14:paraId="65FEFD4A" w14:textId="77777777" w:rsidR="00B47442" w:rsidRPr="0009445C" w:rsidRDefault="00B47442" w:rsidP="0099521D">
            <w:pPr>
              <w:pStyle w:val="BRL-Tabelle"/>
              <w:spacing w:before="60" w:after="40"/>
              <w:jc w:val="center"/>
              <w:rPr>
                <w:sz w:val="16"/>
              </w:rPr>
            </w:pPr>
          </w:p>
        </w:tc>
        <w:tc>
          <w:tcPr>
            <w:tcW w:w="426" w:type="dxa"/>
            <w:vAlign w:val="center"/>
          </w:tcPr>
          <w:p w14:paraId="0247EEB5" w14:textId="77777777" w:rsidR="00B47442" w:rsidRPr="0009445C" w:rsidRDefault="00B47442" w:rsidP="0099521D">
            <w:pPr>
              <w:pStyle w:val="BRL-Tabelle"/>
              <w:spacing w:before="60" w:after="40"/>
              <w:jc w:val="center"/>
              <w:rPr>
                <w:sz w:val="16"/>
              </w:rPr>
            </w:pPr>
          </w:p>
        </w:tc>
        <w:tc>
          <w:tcPr>
            <w:tcW w:w="433" w:type="dxa"/>
            <w:vAlign w:val="center"/>
          </w:tcPr>
          <w:p w14:paraId="1C9D3BAC" w14:textId="77777777" w:rsidR="00B47442" w:rsidRPr="0009445C" w:rsidRDefault="00B47442" w:rsidP="0099521D">
            <w:pPr>
              <w:pStyle w:val="BRL-Tabelle"/>
              <w:spacing w:before="60" w:after="40"/>
              <w:jc w:val="center"/>
              <w:rPr>
                <w:sz w:val="16"/>
              </w:rPr>
            </w:pPr>
          </w:p>
        </w:tc>
        <w:tc>
          <w:tcPr>
            <w:tcW w:w="426" w:type="dxa"/>
            <w:vAlign w:val="center"/>
          </w:tcPr>
          <w:p w14:paraId="5706E584" w14:textId="77777777" w:rsidR="00B47442" w:rsidRPr="0009445C" w:rsidRDefault="00B47442" w:rsidP="0099521D">
            <w:pPr>
              <w:pStyle w:val="BRL-Tabelle"/>
              <w:spacing w:before="60" w:after="40"/>
              <w:jc w:val="center"/>
              <w:rPr>
                <w:sz w:val="16"/>
              </w:rPr>
            </w:pPr>
          </w:p>
        </w:tc>
        <w:tc>
          <w:tcPr>
            <w:tcW w:w="427" w:type="dxa"/>
            <w:vAlign w:val="center"/>
          </w:tcPr>
          <w:p w14:paraId="3E9FD3FE" w14:textId="77777777" w:rsidR="00B47442" w:rsidRPr="0009445C" w:rsidRDefault="00B47442" w:rsidP="0099521D">
            <w:pPr>
              <w:pStyle w:val="BRL-Tabelle"/>
              <w:spacing w:before="60" w:after="40"/>
              <w:jc w:val="center"/>
              <w:rPr>
                <w:sz w:val="16"/>
              </w:rPr>
            </w:pPr>
          </w:p>
        </w:tc>
        <w:tc>
          <w:tcPr>
            <w:tcW w:w="426" w:type="dxa"/>
            <w:vAlign w:val="center"/>
          </w:tcPr>
          <w:p w14:paraId="1494855A" w14:textId="77777777" w:rsidR="00B47442" w:rsidRPr="0009445C" w:rsidRDefault="00B47442" w:rsidP="0099521D">
            <w:pPr>
              <w:pStyle w:val="BRL-Tabelle"/>
              <w:spacing w:before="60" w:after="40"/>
              <w:jc w:val="center"/>
              <w:rPr>
                <w:sz w:val="16"/>
              </w:rPr>
            </w:pPr>
          </w:p>
        </w:tc>
        <w:tc>
          <w:tcPr>
            <w:tcW w:w="427" w:type="dxa"/>
            <w:vAlign w:val="center"/>
          </w:tcPr>
          <w:p w14:paraId="20CC8B83" w14:textId="77777777" w:rsidR="00B47442" w:rsidRPr="0009445C" w:rsidRDefault="00B47442" w:rsidP="0099521D">
            <w:pPr>
              <w:pStyle w:val="BRL-Tabelle"/>
              <w:spacing w:before="60" w:after="40"/>
              <w:jc w:val="center"/>
              <w:rPr>
                <w:sz w:val="16"/>
              </w:rPr>
            </w:pPr>
          </w:p>
        </w:tc>
      </w:tr>
      <w:tr w:rsidR="00B47442" w:rsidRPr="0009445C" w14:paraId="2D561136" w14:textId="77777777" w:rsidTr="0099521D">
        <w:trPr>
          <w:trHeight w:val="264"/>
        </w:trPr>
        <w:tc>
          <w:tcPr>
            <w:tcW w:w="2355" w:type="dxa"/>
            <w:gridSpan w:val="2"/>
          </w:tcPr>
          <w:p w14:paraId="3F8C8955" w14:textId="77777777" w:rsidR="00B47442" w:rsidRPr="0009445C" w:rsidRDefault="00B47442" w:rsidP="0099521D">
            <w:pPr>
              <w:pStyle w:val="BRL-Tabelle"/>
              <w:spacing w:before="60" w:after="40"/>
            </w:pPr>
            <w:r w:rsidRPr="0009445C">
              <w:t>Manufacturer comparisons</w:t>
            </w:r>
          </w:p>
        </w:tc>
        <w:tc>
          <w:tcPr>
            <w:tcW w:w="427" w:type="dxa"/>
            <w:vAlign w:val="center"/>
          </w:tcPr>
          <w:p w14:paraId="0D7D5D72" w14:textId="77777777" w:rsidR="00B47442" w:rsidRPr="0009445C" w:rsidRDefault="00B47442" w:rsidP="0099521D">
            <w:pPr>
              <w:pStyle w:val="BRL-Tabelle"/>
              <w:spacing w:before="60" w:after="40"/>
              <w:jc w:val="center"/>
              <w:rPr>
                <w:sz w:val="16"/>
              </w:rPr>
            </w:pPr>
          </w:p>
        </w:tc>
        <w:tc>
          <w:tcPr>
            <w:tcW w:w="427" w:type="dxa"/>
            <w:vAlign w:val="center"/>
          </w:tcPr>
          <w:p w14:paraId="1D76908B" w14:textId="77777777" w:rsidR="00B47442" w:rsidRPr="0009445C" w:rsidRDefault="00B47442" w:rsidP="0099521D">
            <w:pPr>
              <w:pStyle w:val="BRL-Tabelle"/>
              <w:spacing w:before="60" w:after="40"/>
              <w:jc w:val="center"/>
              <w:rPr>
                <w:sz w:val="16"/>
              </w:rPr>
            </w:pPr>
          </w:p>
        </w:tc>
        <w:tc>
          <w:tcPr>
            <w:tcW w:w="426" w:type="dxa"/>
            <w:vAlign w:val="center"/>
          </w:tcPr>
          <w:p w14:paraId="6893EBD3" w14:textId="77777777" w:rsidR="00B47442" w:rsidRPr="0009445C" w:rsidRDefault="00B47442" w:rsidP="0099521D">
            <w:pPr>
              <w:pStyle w:val="BRL-Tabelle"/>
              <w:spacing w:before="60" w:after="40"/>
              <w:jc w:val="center"/>
              <w:rPr>
                <w:sz w:val="16"/>
              </w:rPr>
            </w:pPr>
          </w:p>
        </w:tc>
        <w:tc>
          <w:tcPr>
            <w:tcW w:w="427" w:type="dxa"/>
            <w:vAlign w:val="center"/>
          </w:tcPr>
          <w:p w14:paraId="0DCAFADC"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3F069167" w14:textId="77777777" w:rsidR="00B47442" w:rsidRPr="0009445C" w:rsidRDefault="00B47442" w:rsidP="0099521D">
            <w:pPr>
              <w:pStyle w:val="BRL-Tabelle"/>
              <w:spacing w:before="60" w:after="40"/>
              <w:jc w:val="center"/>
              <w:rPr>
                <w:sz w:val="16"/>
              </w:rPr>
            </w:pPr>
          </w:p>
        </w:tc>
        <w:tc>
          <w:tcPr>
            <w:tcW w:w="426" w:type="dxa"/>
            <w:vAlign w:val="center"/>
          </w:tcPr>
          <w:p w14:paraId="7A050131"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2D0BC0C5" w14:textId="77777777" w:rsidR="00B47442" w:rsidRPr="0009445C" w:rsidRDefault="00B47442" w:rsidP="0099521D">
            <w:pPr>
              <w:pStyle w:val="BRL-Tabelle"/>
              <w:spacing w:before="60" w:after="40"/>
              <w:jc w:val="center"/>
              <w:rPr>
                <w:sz w:val="16"/>
              </w:rPr>
            </w:pPr>
          </w:p>
        </w:tc>
        <w:tc>
          <w:tcPr>
            <w:tcW w:w="427" w:type="dxa"/>
            <w:vAlign w:val="center"/>
          </w:tcPr>
          <w:p w14:paraId="36EF04B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A95587F" w14:textId="77777777" w:rsidR="00B47442" w:rsidRPr="0009445C" w:rsidRDefault="00B47442" w:rsidP="0099521D">
            <w:pPr>
              <w:pStyle w:val="BRL-Tabelle"/>
              <w:spacing w:before="60" w:after="40"/>
              <w:jc w:val="center"/>
              <w:rPr>
                <w:sz w:val="16"/>
              </w:rPr>
            </w:pPr>
          </w:p>
        </w:tc>
        <w:tc>
          <w:tcPr>
            <w:tcW w:w="426" w:type="dxa"/>
            <w:vAlign w:val="center"/>
          </w:tcPr>
          <w:p w14:paraId="1E70BC75" w14:textId="77777777" w:rsidR="00B47442" w:rsidRPr="0009445C" w:rsidRDefault="00B47442" w:rsidP="0099521D">
            <w:pPr>
              <w:pStyle w:val="BRL-Tabelle"/>
              <w:spacing w:before="60" w:after="40"/>
              <w:jc w:val="center"/>
              <w:rPr>
                <w:sz w:val="16"/>
              </w:rPr>
            </w:pPr>
          </w:p>
        </w:tc>
        <w:tc>
          <w:tcPr>
            <w:tcW w:w="426" w:type="dxa"/>
            <w:vAlign w:val="center"/>
          </w:tcPr>
          <w:p w14:paraId="65FA9072" w14:textId="77777777" w:rsidR="00B47442" w:rsidRPr="0009445C" w:rsidRDefault="00B47442" w:rsidP="0099521D">
            <w:pPr>
              <w:pStyle w:val="BRL-Tabelle"/>
              <w:spacing w:before="60" w:after="40"/>
              <w:jc w:val="center"/>
              <w:rPr>
                <w:sz w:val="16"/>
              </w:rPr>
            </w:pPr>
          </w:p>
        </w:tc>
        <w:tc>
          <w:tcPr>
            <w:tcW w:w="433" w:type="dxa"/>
            <w:vAlign w:val="center"/>
          </w:tcPr>
          <w:p w14:paraId="58844B3E"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6475D97" w14:textId="77777777" w:rsidR="00B47442" w:rsidRPr="0009445C" w:rsidRDefault="00B47442" w:rsidP="0099521D">
            <w:pPr>
              <w:pStyle w:val="BRL-Tabelle"/>
              <w:spacing w:before="60" w:after="40"/>
              <w:jc w:val="center"/>
              <w:rPr>
                <w:sz w:val="16"/>
              </w:rPr>
            </w:pPr>
          </w:p>
        </w:tc>
        <w:tc>
          <w:tcPr>
            <w:tcW w:w="427" w:type="dxa"/>
            <w:vAlign w:val="center"/>
          </w:tcPr>
          <w:p w14:paraId="5ADE626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0726051" w14:textId="77777777" w:rsidR="00B47442" w:rsidRPr="0009445C" w:rsidRDefault="00B47442" w:rsidP="0099521D">
            <w:pPr>
              <w:pStyle w:val="BRL-Tabelle"/>
              <w:spacing w:before="60" w:after="40"/>
              <w:jc w:val="center"/>
              <w:rPr>
                <w:sz w:val="16"/>
              </w:rPr>
            </w:pPr>
          </w:p>
        </w:tc>
        <w:tc>
          <w:tcPr>
            <w:tcW w:w="427" w:type="dxa"/>
            <w:vAlign w:val="center"/>
          </w:tcPr>
          <w:p w14:paraId="5EE5B4CD" w14:textId="77777777" w:rsidR="00B47442" w:rsidRPr="0009445C" w:rsidRDefault="00B47442" w:rsidP="0099521D">
            <w:pPr>
              <w:pStyle w:val="BRL-Tabelle"/>
              <w:spacing w:before="60" w:after="40"/>
              <w:jc w:val="center"/>
              <w:rPr>
                <w:sz w:val="16"/>
              </w:rPr>
            </w:pPr>
          </w:p>
        </w:tc>
      </w:tr>
      <w:tr w:rsidR="00B47442" w:rsidRPr="0009445C" w14:paraId="397761A9" w14:textId="77777777" w:rsidTr="0099521D">
        <w:trPr>
          <w:trHeight w:val="264"/>
        </w:trPr>
        <w:tc>
          <w:tcPr>
            <w:tcW w:w="2355" w:type="dxa"/>
            <w:gridSpan w:val="2"/>
          </w:tcPr>
          <w:p w14:paraId="59DF1E4E" w14:textId="77777777" w:rsidR="00B47442" w:rsidRPr="0009445C" w:rsidRDefault="00B47442" w:rsidP="0099521D">
            <w:pPr>
              <w:pStyle w:val="BRL-Tabelle"/>
              <w:spacing w:before="60" w:after="40"/>
            </w:pPr>
            <w:r w:rsidRPr="0009445C">
              <w:t>Setting the response behaviour on site</w:t>
            </w:r>
          </w:p>
        </w:tc>
        <w:tc>
          <w:tcPr>
            <w:tcW w:w="427" w:type="dxa"/>
            <w:vAlign w:val="center"/>
          </w:tcPr>
          <w:p w14:paraId="5F9A806F" w14:textId="77777777" w:rsidR="00B47442" w:rsidRPr="0009445C" w:rsidRDefault="00B47442" w:rsidP="0099521D">
            <w:pPr>
              <w:pStyle w:val="BRL-Tabelle"/>
              <w:spacing w:before="60" w:after="40"/>
              <w:jc w:val="center"/>
              <w:rPr>
                <w:sz w:val="16"/>
              </w:rPr>
            </w:pPr>
          </w:p>
        </w:tc>
        <w:tc>
          <w:tcPr>
            <w:tcW w:w="427" w:type="dxa"/>
            <w:vAlign w:val="center"/>
          </w:tcPr>
          <w:p w14:paraId="453E03F5" w14:textId="77777777" w:rsidR="00B47442" w:rsidRPr="0009445C" w:rsidRDefault="00B47442" w:rsidP="0099521D">
            <w:pPr>
              <w:pStyle w:val="BRL-Tabelle"/>
              <w:spacing w:before="60" w:after="40"/>
              <w:jc w:val="center"/>
              <w:rPr>
                <w:sz w:val="16"/>
              </w:rPr>
            </w:pPr>
          </w:p>
        </w:tc>
        <w:tc>
          <w:tcPr>
            <w:tcW w:w="426" w:type="dxa"/>
            <w:vAlign w:val="center"/>
          </w:tcPr>
          <w:p w14:paraId="772A9B7A" w14:textId="77777777" w:rsidR="00B47442" w:rsidRPr="0009445C" w:rsidRDefault="00B47442" w:rsidP="0099521D">
            <w:pPr>
              <w:pStyle w:val="BRL-Tabelle"/>
              <w:spacing w:before="60" w:after="40"/>
              <w:jc w:val="center"/>
              <w:rPr>
                <w:sz w:val="16"/>
              </w:rPr>
            </w:pPr>
          </w:p>
        </w:tc>
        <w:tc>
          <w:tcPr>
            <w:tcW w:w="427" w:type="dxa"/>
            <w:vAlign w:val="center"/>
          </w:tcPr>
          <w:p w14:paraId="389B907B" w14:textId="77777777" w:rsidR="00B47442" w:rsidRPr="0009445C" w:rsidRDefault="00B47442" w:rsidP="0099521D">
            <w:pPr>
              <w:pStyle w:val="BRL-Tabelle"/>
              <w:spacing w:before="60" w:after="40"/>
              <w:jc w:val="center"/>
              <w:rPr>
                <w:sz w:val="16"/>
              </w:rPr>
            </w:pPr>
            <w:r w:rsidRPr="0009445C">
              <w:rPr>
                <w:sz w:val="16"/>
              </w:rPr>
              <w:t>X2</w:t>
            </w:r>
          </w:p>
        </w:tc>
        <w:tc>
          <w:tcPr>
            <w:tcW w:w="425" w:type="dxa"/>
            <w:vAlign w:val="center"/>
          </w:tcPr>
          <w:p w14:paraId="43028D95" w14:textId="77777777" w:rsidR="00B47442" w:rsidRPr="0009445C" w:rsidRDefault="00B47442" w:rsidP="0099521D">
            <w:pPr>
              <w:pStyle w:val="BRL-Tabelle"/>
              <w:spacing w:before="60" w:after="40"/>
              <w:jc w:val="center"/>
              <w:rPr>
                <w:sz w:val="16"/>
              </w:rPr>
            </w:pPr>
          </w:p>
        </w:tc>
        <w:tc>
          <w:tcPr>
            <w:tcW w:w="426" w:type="dxa"/>
            <w:vAlign w:val="center"/>
          </w:tcPr>
          <w:p w14:paraId="53FE713B"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634AD80C" w14:textId="77777777" w:rsidR="00B47442" w:rsidRPr="0009445C" w:rsidRDefault="00B47442" w:rsidP="0099521D">
            <w:pPr>
              <w:pStyle w:val="BRL-Tabelle"/>
              <w:spacing w:before="60" w:after="40"/>
              <w:jc w:val="center"/>
              <w:rPr>
                <w:sz w:val="16"/>
              </w:rPr>
            </w:pPr>
          </w:p>
        </w:tc>
        <w:tc>
          <w:tcPr>
            <w:tcW w:w="427" w:type="dxa"/>
            <w:vAlign w:val="center"/>
          </w:tcPr>
          <w:p w14:paraId="494F289D"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CD5EA38" w14:textId="77777777" w:rsidR="00B47442" w:rsidRPr="0009445C" w:rsidRDefault="00B47442" w:rsidP="0099521D">
            <w:pPr>
              <w:pStyle w:val="BRL-Tabelle"/>
              <w:spacing w:before="60" w:after="40"/>
              <w:jc w:val="center"/>
              <w:rPr>
                <w:sz w:val="16"/>
              </w:rPr>
            </w:pPr>
          </w:p>
        </w:tc>
        <w:tc>
          <w:tcPr>
            <w:tcW w:w="426" w:type="dxa"/>
            <w:vAlign w:val="center"/>
          </w:tcPr>
          <w:p w14:paraId="358768B8" w14:textId="77777777" w:rsidR="00B47442" w:rsidRPr="0009445C" w:rsidRDefault="00B47442" w:rsidP="0099521D">
            <w:pPr>
              <w:pStyle w:val="BRL-Tabelle"/>
              <w:spacing w:before="60" w:after="40"/>
              <w:jc w:val="center"/>
              <w:rPr>
                <w:sz w:val="16"/>
              </w:rPr>
            </w:pPr>
          </w:p>
        </w:tc>
        <w:tc>
          <w:tcPr>
            <w:tcW w:w="426" w:type="dxa"/>
            <w:vAlign w:val="center"/>
          </w:tcPr>
          <w:p w14:paraId="26C936C8" w14:textId="77777777" w:rsidR="00B47442" w:rsidRPr="0009445C" w:rsidRDefault="00B47442" w:rsidP="0099521D">
            <w:pPr>
              <w:pStyle w:val="BRL-Tabelle"/>
              <w:spacing w:before="60" w:after="40"/>
              <w:jc w:val="center"/>
              <w:rPr>
                <w:sz w:val="16"/>
              </w:rPr>
            </w:pPr>
          </w:p>
        </w:tc>
        <w:tc>
          <w:tcPr>
            <w:tcW w:w="433" w:type="dxa"/>
            <w:vAlign w:val="center"/>
          </w:tcPr>
          <w:p w14:paraId="10476BA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EF8B238" w14:textId="77777777" w:rsidR="00B47442" w:rsidRPr="0009445C" w:rsidRDefault="00B47442" w:rsidP="0099521D">
            <w:pPr>
              <w:pStyle w:val="BRL-Tabelle"/>
              <w:spacing w:before="60" w:after="40"/>
              <w:jc w:val="center"/>
              <w:rPr>
                <w:sz w:val="16"/>
              </w:rPr>
            </w:pPr>
          </w:p>
        </w:tc>
        <w:tc>
          <w:tcPr>
            <w:tcW w:w="427" w:type="dxa"/>
            <w:vAlign w:val="center"/>
          </w:tcPr>
          <w:p w14:paraId="45D9C0B2"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DC248E6" w14:textId="77777777" w:rsidR="00B47442" w:rsidRPr="0009445C" w:rsidRDefault="00B47442" w:rsidP="0099521D">
            <w:pPr>
              <w:pStyle w:val="BRL-Tabelle"/>
              <w:spacing w:before="60" w:after="40"/>
              <w:jc w:val="center"/>
              <w:rPr>
                <w:sz w:val="16"/>
              </w:rPr>
            </w:pPr>
          </w:p>
        </w:tc>
        <w:tc>
          <w:tcPr>
            <w:tcW w:w="427" w:type="dxa"/>
            <w:vAlign w:val="center"/>
          </w:tcPr>
          <w:p w14:paraId="31739066" w14:textId="77777777" w:rsidR="00B47442" w:rsidRPr="0009445C" w:rsidRDefault="00B47442" w:rsidP="0099521D">
            <w:pPr>
              <w:pStyle w:val="BRL-Tabelle"/>
              <w:spacing w:before="60" w:after="40"/>
              <w:jc w:val="center"/>
              <w:rPr>
                <w:sz w:val="16"/>
              </w:rPr>
            </w:pPr>
          </w:p>
        </w:tc>
      </w:tr>
      <w:tr w:rsidR="00B47442" w:rsidRPr="0009445C" w14:paraId="4D216F7C" w14:textId="77777777" w:rsidTr="0099521D">
        <w:trPr>
          <w:trHeight w:val="528"/>
        </w:trPr>
        <w:tc>
          <w:tcPr>
            <w:tcW w:w="2355" w:type="dxa"/>
            <w:gridSpan w:val="2"/>
          </w:tcPr>
          <w:p w14:paraId="33EA6A9C" w14:textId="77777777" w:rsidR="00B47442" w:rsidRPr="0009445C" w:rsidRDefault="00B47442" w:rsidP="0099521D">
            <w:pPr>
              <w:pStyle w:val="BRL-Tabelle"/>
              <w:spacing w:before="60" w:after="40"/>
            </w:pPr>
            <w:r w:rsidRPr="0009445C">
              <w:t>Additional requirements for software-controlled detectors</w:t>
            </w:r>
            <w:r w:rsidRPr="0009445C">
              <w:rPr>
                <w:vertAlign w:val="superscript"/>
              </w:rPr>
              <w:t xml:space="preserve"> 2</w:t>
            </w:r>
            <w:r w:rsidRPr="0009445C">
              <w:t xml:space="preserve"> </w:t>
            </w:r>
          </w:p>
        </w:tc>
        <w:tc>
          <w:tcPr>
            <w:tcW w:w="427" w:type="dxa"/>
            <w:vAlign w:val="center"/>
          </w:tcPr>
          <w:p w14:paraId="4308B0D2" w14:textId="77777777" w:rsidR="00B47442" w:rsidRPr="0009445C" w:rsidRDefault="00B47442" w:rsidP="0099521D">
            <w:pPr>
              <w:pStyle w:val="BRL-Tabelle"/>
              <w:spacing w:before="60" w:after="40"/>
              <w:jc w:val="center"/>
              <w:rPr>
                <w:sz w:val="16"/>
              </w:rPr>
            </w:pPr>
          </w:p>
        </w:tc>
        <w:tc>
          <w:tcPr>
            <w:tcW w:w="427" w:type="dxa"/>
            <w:vAlign w:val="center"/>
          </w:tcPr>
          <w:p w14:paraId="3F745370" w14:textId="77777777" w:rsidR="00B47442" w:rsidRPr="0009445C" w:rsidRDefault="00B47442" w:rsidP="0099521D">
            <w:pPr>
              <w:pStyle w:val="BRL-Tabelle"/>
              <w:spacing w:before="60" w:after="40"/>
              <w:jc w:val="center"/>
              <w:rPr>
                <w:sz w:val="16"/>
              </w:rPr>
            </w:pPr>
          </w:p>
        </w:tc>
        <w:tc>
          <w:tcPr>
            <w:tcW w:w="426" w:type="dxa"/>
            <w:vAlign w:val="center"/>
          </w:tcPr>
          <w:p w14:paraId="6CB1BFC9" w14:textId="77777777" w:rsidR="00B47442" w:rsidRPr="0009445C" w:rsidRDefault="00B47442" w:rsidP="0099521D">
            <w:pPr>
              <w:pStyle w:val="BRL-Tabelle"/>
              <w:spacing w:before="60" w:after="40"/>
              <w:jc w:val="center"/>
              <w:rPr>
                <w:sz w:val="16"/>
              </w:rPr>
            </w:pPr>
          </w:p>
        </w:tc>
        <w:tc>
          <w:tcPr>
            <w:tcW w:w="427" w:type="dxa"/>
            <w:vAlign w:val="center"/>
          </w:tcPr>
          <w:p w14:paraId="7A176286"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E2BAD1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C9BE8F4"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2444A8E4" w14:textId="77777777" w:rsidR="00B47442" w:rsidRPr="0009445C" w:rsidRDefault="00B47442" w:rsidP="0099521D">
            <w:pPr>
              <w:pStyle w:val="BRL-Tabelle"/>
              <w:spacing w:before="60" w:after="40"/>
              <w:jc w:val="center"/>
              <w:rPr>
                <w:sz w:val="16"/>
              </w:rPr>
            </w:pPr>
          </w:p>
        </w:tc>
        <w:tc>
          <w:tcPr>
            <w:tcW w:w="427" w:type="dxa"/>
            <w:vAlign w:val="center"/>
          </w:tcPr>
          <w:p w14:paraId="790FFAE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5198C71" w14:textId="77777777" w:rsidR="00B47442" w:rsidRPr="0009445C" w:rsidRDefault="00B47442" w:rsidP="0099521D">
            <w:pPr>
              <w:pStyle w:val="BRL-Tabelle"/>
              <w:spacing w:before="60" w:after="40"/>
              <w:jc w:val="center"/>
              <w:rPr>
                <w:sz w:val="16"/>
              </w:rPr>
            </w:pPr>
          </w:p>
        </w:tc>
        <w:tc>
          <w:tcPr>
            <w:tcW w:w="426" w:type="dxa"/>
            <w:vAlign w:val="center"/>
          </w:tcPr>
          <w:p w14:paraId="702DB61F" w14:textId="77777777" w:rsidR="00B47442" w:rsidRPr="0009445C" w:rsidRDefault="00B47442" w:rsidP="0099521D">
            <w:pPr>
              <w:pStyle w:val="BRL-Tabelle"/>
              <w:spacing w:before="60" w:after="40"/>
              <w:jc w:val="center"/>
              <w:rPr>
                <w:sz w:val="16"/>
              </w:rPr>
            </w:pPr>
          </w:p>
        </w:tc>
        <w:tc>
          <w:tcPr>
            <w:tcW w:w="426" w:type="dxa"/>
            <w:vAlign w:val="center"/>
          </w:tcPr>
          <w:p w14:paraId="24B0B2D5" w14:textId="77777777" w:rsidR="00B47442" w:rsidRPr="0009445C" w:rsidRDefault="00B47442" w:rsidP="0099521D">
            <w:pPr>
              <w:pStyle w:val="BRL-Tabelle"/>
              <w:spacing w:before="60" w:after="40"/>
              <w:jc w:val="center"/>
              <w:rPr>
                <w:sz w:val="16"/>
              </w:rPr>
            </w:pPr>
          </w:p>
        </w:tc>
        <w:tc>
          <w:tcPr>
            <w:tcW w:w="433" w:type="dxa"/>
            <w:vAlign w:val="center"/>
          </w:tcPr>
          <w:p w14:paraId="29C95AB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CA8EC74" w14:textId="77777777" w:rsidR="00B47442" w:rsidRPr="0009445C" w:rsidRDefault="00B47442" w:rsidP="0099521D">
            <w:pPr>
              <w:pStyle w:val="BRL-Tabelle"/>
              <w:spacing w:before="60" w:after="40"/>
              <w:jc w:val="center"/>
              <w:rPr>
                <w:sz w:val="16"/>
              </w:rPr>
            </w:pPr>
          </w:p>
        </w:tc>
        <w:tc>
          <w:tcPr>
            <w:tcW w:w="427" w:type="dxa"/>
            <w:vAlign w:val="center"/>
          </w:tcPr>
          <w:p w14:paraId="6783E1CC" w14:textId="77777777" w:rsidR="00B47442" w:rsidRPr="0009445C" w:rsidRDefault="00B47442" w:rsidP="0099521D">
            <w:pPr>
              <w:pStyle w:val="BRL-Tabelle"/>
              <w:spacing w:before="60" w:after="40"/>
              <w:jc w:val="center"/>
              <w:rPr>
                <w:sz w:val="16"/>
              </w:rPr>
            </w:pPr>
          </w:p>
        </w:tc>
        <w:tc>
          <w:tcPr>
            <w:tcW w:w="426" w:type="dxa"/>
            <w:vAlign w:val="center"/>
          </w:tcPr>
          <w:p w14:paraId="497A5023" w14:textId="77777777" w:rsidR="00B47442" w:rsidRPr="0009445C" w:rsidRDefault="00B47442" w:rsidP="0099521D">
            <w:pPr>
              <w:pStyle w:val="BRL-Tabelle"/>
              <w:spacing w:before="60" w:after="40"/>
              <w:jc w:val="center"/>
              <w:rPr>
                <w:sz w:val="16"/>
              </w:rPr>
            </w:pPr>
          </w:p>
        </w:tc>
        <w:tc>
          <w:tcPr>
            <w:tcW w:w="427" w:type="dxa"/>
            <w:vAlign w:val="center"/>
          </w:tcPr>
          <w:p w14:paraId="7461204F" w14:textId="77777777" w:rsidR="00B47442" w:rsidRPr="0009445C" w:rsidRDefault="00B47442" w:rsidP="0099521D">
            <w:pPr>
              <w:pStyle w:val="BRL-Tabelle"/>
              <w:spacing w:before="60" w:after="40"/>
              <w:jc w:val="center"/>
              <w:rPr>
                <w:sz w:val="16"/>
              </w:rPr>
            </w:pPr>
          </w:p>
        </w:tc>
      </w:tr>
      <w:tr w:rsidR="00B47442" w:rsidRPr="0009445C" w14:paraId="4657A1F2" w14:textId="77777777" w:rsidTr="0099521D">
        <w:trPr>
          <w:trHeight w:val="264"/>
        </w:trPr>
        <w:tc>
          <w:tcPr>
            <w:tcW w:w="2355" w:type="dxa"/>
            <w:gridSpan w:val="2"/>
          </w:tcPr>
          <w:p w14:paraId="16BEBA65" w14:textId="77777777" w:rsidR="00B47442" w:rsidRPr="0009445C" w:rsidRDefault="00B47442" w:rsidP="0099521D">
            <w:pPr>
              <w:pStyle w:val="BRL-Tabelle"/>
              <w:spacing w:before="60" w:after="40"/>
            </w:pPr>
            <w:r w:rsidRPr="0009445C">
              <w:t>Protection from the penetration of foreign bodies</w:t>
            </w:r>
          </w:p>
        </w:tc>
        <w:tc>
          <w:tcPr>
            <w:tcW w:w="427" w:type="dxa"/>
            <w:vAlign w:val="center"/>
          </w:tcPr>
          <w:p w14:paraId="2E018012" w14:textId="77777777" w:rsidR="00B47442" w:rsidRPr="0009445C" w:rsidRDefault="00B47442" w:rsidP="0099521D">
            <w:pPr>
              <w:pStyle w:val="BRL-Tabelle"/>
              <w:spacing w:before="60" w:after="40"/>
              <w:jc w:val="center"/>
              <w:rPr>
                <w:sz w:val="16"/>
              </w:rPr>
            </w:pPr>
          </w:p>
        </w:tc>
        <w:tc>
          <w:tcPr>
            <w:tcW w:w="427" w:type="dxa"/>
            <w:vAlign w:val="center"/>
          </w:tcPr>
          <w:p w14:paraId="0A9B020B" w14:textId="77777777" w:rsidR="00B47442" w:rsidRPr="0009445C" w:rsidRDefault="00B47442" w:rsidP="0099521D">
            <w:pPr>
              <w:pStyle w:val="BRL-Tabelle"/>
              <w:spacing w:before="60" w:after="40"/>
              <w:jc w:val="center"/>
              <w:rPr>
                <w:sz w:val="16"/>
              </w:rPr>
            </w:pPr>
          </w:p>
        </w:tc>
        <w:tc>
          <w:tcPr>
            <w:tcW w:w="426" w:type="dxa"/>
            <w:vAlign w:val="center"/>
          </w:tcPr>
          <w:p w14:paraId="77AA08C1" w14:textId="77777777" w:rsidR="00B47442" w:rsidRPr="0009445C" w:rsidRDefault="00B47442" w:rsidP="0099521D">
            <w:pPr>
              <w:pStyle w:val="BRL-Tabelle"/>
              <w:spacing w:before="60" w:after="40"/>
              <w:jc w:val="center"/>
              <w:rPr>
                <w:sz w:val="16"/>
              </w:rPr>
            </w:pPr>
          </w:p>
        </w:tc>
        <w:tc>
          <w:tcPr>
            <w:tcW w:w="427" w:type="dxa"/>
            <w:vAlign w:val="center"/>
          </w:tcPr>
          <w:p w14:paraId="511ECD1F" w14:textId="77777777" w:rsidR="00B47442" w:rsidRPr="0009445C" w:rsidRDefault="00B47442" w:rsidP="0099521D">
            <w:pPr>
              <w:pStyle w:val="BRL-Tabelle"/>
              <w:spacing w:before="60" w:after="40"/>
              <w:jc w:val="center"/>
              <w:rPr>
                <w:sz w:val="16"/>
              </w:rPr>
            </w:pPr>
          </w:p>
        </w:tc>
        <w:tc>
          <w:tcPr>
            <w:tcW w:w="425" w:type="dxa"/>
            <w:vAlign w:val="center"/>
          </w:tcPr>
          <w:p w14:paraId="25B0059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CD337D6" w14:textId="77777777" w:rsidR="00B47442" w:rsidRPr="0009445C" w:rsidRDefault="00B47442" w:rsidP="0099521D">
            <w:pPr>
              <w:pStyle w:val="BRL-Tabelle"/>
              <w:spacing w:before="60" w:after="40"/>
              <w:jc w:val="center"/>
              <w:rPr>
                <w:sz w:val="16"/>
              </w:rPr>
            </w:pPr>
          </w:p>
        </w:tc>
        <w:tc>
          <w:tcPr>
            <w:tcW w:w="428" w:type="dxa"/>
            <w:vAlign w:val="center"/>
          </w:tcPr>
          <w:p w14:paraId="7E11FF9B" w14:textId="1E7F29A8" w:rsidR="00B47442" w:rsidRPr="0009445C" w:rsidRDefault="00B47442" w:rsidP="0099521D">
            <w:pPr>
              <w:pStyle w:val="BRL-Tabelle"/>
              <w:spacing w:before="60" w:after="40"/>
              <w:jc w:val="center"/>
              <w:rPr>
                <w:sz w:val="16"/>
              </w:rPr>
            </w:pPr>
          </w:p>
        </w:tc>
        <w:tc>
          <w:tcPr>
            <w:tcW w:w="427" w:type="dxa"/>
            <w:vAlign w:val="center"/>
          </w:tcPr>
          <w:p w14:paraId="1387C8A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B2AA04A" w14:textId="77777777" w:rsidR="00B47442" w:rsidRPr="0009445C" w:rsidRDefault="00B47442" w:rsidP="0099521D">
            <w:pPr>
              <w:pStyle w:val="BRL-Tabelle"/>
              <w:spacing w:before="60" w:after="40"/>
              <w:jc w:val="center"/>
              <w:rPr>
                <w:sz w:val="16"/>
              </w:rPr>
            </w:pPr>
          </w:p>
        </w:tc>
        <w:tc>
          <w:tcPr>
            <w:tcW w:w="426" w:type="dxa"/>
            <w:vAlign w:val="center"/>
          </w:tcPr>
          <w:p w14:paraId="0D541200" w14:textId="77777777" w:rsidR="00B47442" w:rsidRPr="0009445C" w:rsidRDefault="00B47442" w:rsidP="0099521D">
            <w:pPr>
              <w:pStyle w:val="BRL-Tabelle"/>
              <w:spacing w:before="60" w:after="40"/>
              <w:jc w:val="center"/>
              <w:rPr>
                <w:sz w:val="16"/>
              </w:rPr>
            </w:pPr>
          </w:p>
        </w:tc>
        <w:tc>
          <w:tcPr>
            <w:tcW w:w="426" w:type="dxa"/>
            <w:vAlign w:val="center"/>
          </w:tcPr>
          <w:p w14:paraId="6D4338AE" w14:textId="77777777" w:rsidR="00B47442" w:rsidRPr="0009445C" w:rsidRDefault="00B47442" w:rsidP="0099521D">
            <w:pPr>
              <w:pStyle w:val="BRL-Tabelle"/>
              <w:spacing w:before="60" w:after="40"/>
              <w:jc w:val="center"/>
              <w:rPr>
                <w:sz w:val="16"/>
              </w:rPr>
            </w:pPr>
          </w:p>
        </w:tc>
        <w:tc>
          <w:tcPr>
            <w:tcW w:w="433" w:type="dxa"/>
            <w:vAlign w:val="center"/>
          </w:tcPr>
          <w:p w14:paraId="46E24B45" w14:textId="77777777" w:rsidR="00B47442" w:rsidRPr="0009445C" w:rsidRDefault="00B47442" w:rsidP="0099521D">
            <w:pPr>
              <w:pStyle w:val="BRL-Tabelle"/>
              <w:spacing w:before="60" w:after="40"/>
              <w:jc w:val="center"/>
              <w:rPr>
                <w:sz w:val="16"/>
              </w:rPr>
            </w:pPr>
          </w:p>
        </w:tc>
        <w:tc>
          <w:tcPr>
            <w:tcW w:w="426" w:type="dxa"/>
            <w:vAlign w:val="center"/>
          </w:tcPr>
          <w:p w14:paraId="726E6ACF" w14:textId="77777777" w:rsidR="00B47442" w:rsidRPr="0009445C" w:rsidRDefault="00B47442" w:rsidP="0099521D">
            <w:pPr>
              <w:pStyle w:val="BRL-Tabelle"/>
              <w:spacing w:before="60" w:after="40"/>
              <w:jc w:val="center"/>
              <w:rPr>
                <w:sz w:val="16"/>
              </w:rPr>
            </w:pPr>
          </w:p>
        </w:tc>
        <w:tc>
          <w:tcPr>
            <w:tcW w:w="427" w:type="dxa"/>
            <w:vAlign w:val="center"/>
          </w:tcPr>
          <w:p w14:paraId="110471C0" w14:textId="77777777" w:rsidR="00B47442" w:rsidRPr="0009445C" w:rsidRDefault="00B47442" w:rsidP="0099521D">
            <w:pPr>
              <w:pStyle w:val="BRL-Tabelle"/>
              <w:spacing w:before="60" w:after="40"/>
              <w:jc w:val="center"/>
              <w:rPr>
                <w:sz w:val="16"/>
              </w:rPr>
            </w:pPr>
          </w:p>
        </w:tc>
        <w:tc>
          <w:tcPr>
            <w:tcW w:w="426" w:type="dxa"/>
            <w:vAlign w:val="center"/>
          </w:tcPr>
          <w:p w14:paraId="728C919D" w14:textId="77777777" w:rsidR="00B47442" w:rsidRPr="0009445C" w:rsidRDefault="00B47442" w:rsidP="0099521D">
            <w:pPr>
              <w:pStyle w:val="BRL-Tabelle"/>
              <w:spacing w:before="60" w:after="40"/>
              <w:jc w:val="center"/>
              <w:rPr>
                <w:sz w:val="16"/>
              </w:rPr>
            </w:pPr>
          </w:p>
        </w:tc>
        <w:tc>
          <w:tcPr>
            <w:tcW w:w="427" w:type="dxa"/>
            <w:vAlign w:val="center"/>
          </w:tcPr>
          <w:p w14:paraId="15BB1D16" w14:textId="77777777" w:rsidR="00B47442" w:rsidRPr="0009445C" w:rsidRDefault="00B47442" w:rsidP="0099521D">
            <w:pPr>
              <w:pStyle w:val="BRL-Tabelle"/>
              <w:spacing w:before="60" w:after="40"/>
              <w:jc w:val="center"/>
              <w:rPr>
                <w:sz w:val="16"/>
              </w:rPr>
            </w:pPr>
          </w:p>
        </w:tc>
      </w:tr>
      <w:tr w:rsidR="00B47442" w:rsidRPr="0009445C" w14:paraId="61B352C3" w14:textId="77777777" w:rsidTr="0099521D">
        <w:trPr>
          <w:trHeight w:val="264"/>
        </w:trPr>
        <w:tc>
          <w:tcPr>
            <w:tcW w:w="2355" w:type="dxa"/>
            <w:gridSpan w:val="2"/>
          </w:tcPr>
          <w:p w14:paraId="09188332" w14:textId="77777777" w:rsidR="00B47442" w:rsidRPr="0009445C" w:rsidRDefault="00B47442" w:rsidP="0099521D">
            <w:pPr>
              <w:pStyle w:val="BRL-Tabelle"/>
              <w:spacing w:before="60" w:after="40"/>
            </w:pPr>
            <w:r w:rsidRPr="0009445C">
              <w:t>Reset device</w:t>
            </w:r>
          </w:p>
        </w:tc>
        <w:tc>
          <w:tcPr>
            <w:tcW w:w="427" w:type="dxa"/>
            <w:vAlign w:val="center"/>
          </w:tcPr>
          <w:p w14:paraId="0C6DBD41" w14:textId="77777777" w:rsidR="00B47442" w:rsidRPr="0009445C" w:rsidRDefault="00B47442" w:rsidP="0099521D">
            <w:pPr>
              <w:pStyle w:val="BRL-Tabelle"/>
              <w:spacing w:before="60" w:after="40"/>
              <w:jc w:val="center"/>
              <w:rPr>
                <w:sz w:val="16"/>
              </w:rPr>
            </w:pPr>
          </w:p>
        </w:tc>
        <w:tc>
          <w:tcPr>
            <w:tcW w:w="427" w:type="dxa"/>
            <w:vAlign w:val="center"/>
          </w:tcPr>
          <w:p w14:paraId="69022C68" w14:textId="77777777" w:rsidR="00B47442" w:rsidRPr="0009445C" w:rsidRDefault="00B47442" w:rsidP="0099521D">
            <w:pPr>
              <w:pStyle w:val="BRL-Tabelle"/>
              <w:spacing w:before="60" w:after="40"/>
              <w:jc w:val="center"/>
              <w:rPr>
                <w:sz w:val="16"/>
              </w:rPr>
            </w:pPr>
          </w:p>
        </w:tc>
        <w:tc>
          <w:tcPr>
            <w:tcW w:w="426" w:type="dxa"/>
            <w:vAlign w:val="center"/>
          </w:tcPr>
          <w:p w14:paraId="136E8669" w14:textId="77777777" w:rsidR="00B47442" w:rsidRPr="0009445C" w:rsidRDefault="00B47442" w:rsidP="0099521D">
            <w:pPr>
              <w:pStyle w:val="BRL-Tabelle"/>
              <w:spacing w:before="60" w:after="40"/>
              <w:jc w:val="center"/>
              <w:rPr>
                <w:sz w:val="16"/>
              </w:rPr>
            </w:pPr>
          </w:p>
        </w:tc>
        <w:tc>
          <w:tcPr>
            <w:tcW w:w="427" w:type="dxa"/>
            <w:vAlign w:val="center"/>
          </w:tcPr>
          <w:p w14:paraId="1227263D" w14:textId="77777777" w:rsidR="00B47442" w:rsidRPr="0009445C" w:rsidRDefault="00B47442" w:rsidP="0099521D">
            <w:pPr>
              <w:pStyle w:val="BRL-Tabelle"/>
              <w:spacing w:before="60" w:after="40"/>
              <w:jc w:val="center"/>
              <w:rPr>
                <w:sz w:val="16"/>
              </w:rPr>
            </w:pPr>
          </w:p>
        </w:tc>
        <w:tc>
          <w:tcPr>
            <w:tcW w:w="425" w:type="dxa"/>
            <w:vAlign w:val="center"/>
          </w:tcPr>
          <w:p w14:paraId="02F2BF91" w14:textId="77777777" w:rsidR="00B47442" w:rsidRPr="0009445C" w:rsidRDefault="00B47442" w:rsidP="0099521D">
            <w:pPr>
              <w:pStyle w:val="BRL-Tabelle"/>
              <w:spacing w:before="60" w:after="40"/>
              <w:jc w:val="center"/>
              <w:rPr>
                <w:sz w:val="16"/>
              </w:rPr>
            </w:pPr>
          </w:p>
        </w:tc>
        <w:tc>
          <w:tcPr>
            <w:tcW w:w="426" w:type="dxa"/>
            <w:vAlign w:val="center"/>
          </w:tcPr>
          <w:p w14:paraId="35ABC324" w14:textId="77777777" w:rsidR="00B47442" w:rsidRPr="0009445C" w:rsidRDefault="00B47442" w:rsidP="0099521D">
            <w:pPr>
              <w:pStyle w:val="BRL-Tabelle"/>
              <w:spacing w:before="60" w:after="40"/>
              <w:jc w:val="center"/>
              <w:rPr>
                <w:sz w:val="16"/>
              </w:rPr>
            </w:pPr>
          </w:p>
        </w:tc>
        <w:tc>
          <w:tcPr>
            <w:tcW w:w="428" w:type="dxa"/>
            <w:vAlign w:val="center"/>
          </w:tcPr>
          <w:p w14:paraId="196A0F07"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4CF4CF2" w14:textId="77777777" w:rsidR="00B47442" w:rsidRPr="0009445C" w:rsidRDefault="00B47442" w:rsidP="0099521D">
            <w:pPr>
              <w:pStyle w:val="BRL-Tabelle"/>
              <w:spacing w:before="60" w:after="40"/>
              <w:jc w:val="center"/>
              <w:rPr>
                <w:sz w:val="16"/>
              </w:rPr>
            </w:pPr>
          </w:p>
        </w:tc>
        <w:tc>
          <w:tcPr>
            <w:tcW w:w="426" w:type="dxa"/>
            <w:vAlign w:val="center"/>
          </w:tcPr>
          <w:p w14:paraId="6FC7ABBD" w14:textId="77777777" w:rsidR="00B47442" w:rsidRPr="0009445C" w:rsidRDefault="00B47442" w:rsidP="0099521D">
            <w:pPr>
              <w:pStyle w:val="BRL-Tabelle"/>
              <w:spacing w:before="60" w:after="40"/>
              <w:jc w:val="center"/>
              <w:rPr>
                <w:sz w:val="16"/>
              </w:rPr>
            </w:pPr>
          </w:p>
        </w:tc>
        <w:tc>
          <w:tcPr>
            <w:tcW w:w="426" w:type="dxa"/>
            <w:vAlign w:val="center"/>
          </w:tcPr>
          <w:p w14:paraId="5A146AF8" w14:textId="77777777" w:rsidR="00B47442" w:rsidRPr="0009445C" w:rsidRDefault="00B47442" w:rsidP="0099521D">
            <w:pPr>
              <w:pStyle w:val="BRL-Tabelle"/>
              <w:spacing w:before="60" w:after="40"/>
              <w:jc w:val="center"/>
              <w:rPr>
                <w:sz w:val="16"/>
              </w:rPr>
            </w:pPr>
          </w:p>
        </w:tc>
        <w:tc>
          <w:tcPr>
            <w:tcW w:w="426" w:type="dxa"/>
            <w:vAlign w:val="center"/>
          </w:tcPr>
          <w:p w14:paraId="5C5888EE" w14:textId="77777777" w:rsidR="00B47442" w:rsidRPr="0009445C" w:rsidRDefault="00B47442" w:rsidP="0099521D">
            <w:pPr>
              <w:pStyle w:val="BRL-Tabelle"/>
              <w:spacing w:before="60" w:after="40"/>
              <w:jc w:val="center"/>
              <w:rPr>
                <w:sz w:val="16"/>
              </w:rPr>
            </w:pPr>
          </w:p>
        </w:tc>
        <w:tc>
          <w:tcPr>
            <w:tcW w:w="433" w:type="dxa"/>
            <w:vAlign w:val="center"/>
          </w:tcPr>
          <w:p w14:paraId="4B89EE53" w14:textId="77777777" w:rsidR="00B47442" w:rsidRPr="0009445C" w:rsidRDefault="00B47442" w:rsidP="0099521D">
            <w:pPr>
              <w:pStyle w:val="BRL-Tabelle"/>
              <w:spacing w:before="60" w:after="40"/>
              <w:jc w:val="center"/>
              <w:rPr>
                <w:sz w:val="16"/>
              </w:rPr>
            </w:pPr>
          </w:p>
        </w:tc>
        <w:tc>
          <w:tcPr>
            <w:tcW w:w="426" w:type="dxa"/>
            <w:vAlign w:val="center"/>
          </w:tcPr>
          <w:p w14:paraId="0588B428" w14:textId="77777777" w:rsidR="00B47442" w:rsidRPr="0009445C" w:rsidRDefault="00B47442" w:rsidP="0099521D">
            <w:pPr>
              <w:pStyle w:val="BRL-Tabelle"/>
              <w:spacing w:before="60" w:after="40"/>
              <w:jc w:val="center"/>
              <w:rPr>
                <w:sz w:val="16"/>
              </w:rPr>
            </w:pPr>
          </w:p>
        </w:tc>
        <w:tc>
          <w:tcPr>
            <w:tcW w:w="427" w:type="dxa"/>
            <w:vAlign w:val="center"/>
          </w:tcPr>
          <w:p w14:paraId="68741960" w14:textId="77777777" w:rsidR="00B47442" w:rsidRPr="0009445C" w:rsidRDefault="00B47442" w:rsidP="0099521D">
            <w:pPr>
              <w:pStyle w:val="BRL-Tabelle"/>
              <w:spacing w:before="60" w:after="40"/>
              <w:jc w:val="center"/>
              <w:rPr>
                <w:sz w:val="16"/>
              </w:rPr>
            </w:pPr>
          </w:p>
        </w:tc>
        <w:tc>
          <w:tcPr>
            <w:tcW w:w="426" w:type="dxa"/>
            <w:vAlign w:val="center"/>
          </w:tcPr>
          <w:p w14:paraId="48FE7694" w14:textId="77777777" w:rsidR="00B47442" w:rsidRPr="0009445C" w:rsidRDefault="00B47442" w:rsidP="0099521D">
            <w:pPr>
              <w:pStyle w:val="BRL-Tabelle"/>
              <w:spacing w:before="60" w:after="40"/>
              <w:jc w:val="center"/>
              <w:rPr>
                <w:sz w:val="16"/>
              </w:rPr>
            </w:pPr>
          </w:p>
        </w:tc>
        <w:tc>
          <w:tcPr>
            <w:tcW w:w="427" w:type="dxa"/>
            <w:vAlign w:val="center"/>
          </w:tcPr>
          <w:p w14:paraId="6517EB86" w14:textId="77777777" w:rsidR="00B47442" w:rsidRPr="0009445C" w:rsidRDefault="00B47442" w:rsidP="0099521D">
            <w:pPr>
              <w:pStyle w:val="BRL-Tabelle"/>
              <w:spacing w:before="60" w:after="40"/>
              <w:jc w:val="center"/>
              <w:rPr>
                <w:sz w:val="16"/>
              </w:rPr>
            </w:pPr>
          </w:p>
        </w:tc>
      </w:tr>
      <w:tr w:rsidR="00B47442" w:rsidRPr="0009445C" w14:paraId="3AA92D72" w14:textId="77777777" w:rsidTr="0099521D">
        <w:trPr>
          <w:trHeight w:val="264"/>
        </w:trPr>
        <w:tc>
          <w:tcPr>
            <w:tcW w:w="2355" w:type="dxa"/>
            <w:gridSpan w:val="2"/>
          </w:tcPr>
          <w:p w14:paraId="377AEFF0" w14:textId="77777777" w:rsidR="00B47442" w:rsidRPr="0009445C" w:rsidRDefault="00B47442" w:rsidP="0099521D">
            <w:pPr>
              <w:pStyle w:val="BRL-Tabelle"/>
              <w:spacing w:before="60" w:after="40"/>
            </w:pPr>
            <w:r w:rsidRPr="0009445C">
              <w:t>Testing device</w:t>
            </w:r>
          </w:p>
        </w:tc>
        <w:tc>
          <w:tcPr>
            <w:tcW w:w="427" w:type="dxa"/>
            <w:vAlign w:val="center"/>
          </w:tcPr>
          <w:p w14:paraId="02538FA6" w14:textId="77777777" w:rsidR="00B47442" w:rsidRPr="0009445C" w:rsidRDefault="00B47442" w:rsidP="0099521D">
            <w:pPr>
              <w:pStyle w:val="BRL-Tabelle"/>
              <w:spacing w:before="60" w:after="40"/>
              <w:jc w:val="center"/>
              <w:rPr>
                <w:sz w:val="16"/>
              </w:rPr>
            </w:pPr>
          </w:p>
        </w:tc>
        <w:tc>
          <w:tcPr>
            <w:tcW w:w="427" w:type="dxa"/>
            <w:vAlign w:val="center"/>
          </w:tcPr>
          <w:p w14:paraId="5ABA9564" w14:textId="77777777" w:rsidR="00B47442" w:rsidRPr="0009445C" w:rsidRDefault="00B47442" w:rsidP="0099521D">
            <w:pPr>
              <w:pStyle w:val="BRL-Tabelle"/>
              <w:spacing w:before="60" w:after="40"/>
              <w:jc w:val="center"/>
              <w:rPr>
                <w:sz w:val="16"/>
              </w:rPr>
            </w:pPr>
          </w:p>
        </w:tc>
        <w:tc>
          <w:tcPr>
            <w:tcW w:w="426" w:type="dxa"/>
            <w:vAlign w:val="center"/>
          </w:tcPr>
          <w:p w14:paraId="4301FF1D" w14:textId="77777777" w:rsidR="00B47442" w:rsidRPr="0009445C" w:rsidRDefault="00B47442" w:rsidP="0099521D">
            <w:pPr>
              <w:pStyle w:val="BRL-Tabelle"/>
              <w:spacing w:before="60" w:after="40"/>
              <w:jc w:val="center"/>
              <w:rPr>
                <w:sz w:val="16"/>
              </w:rPr>
            </w:pPr>
          </w:p>
        </w:tc>
        <w:tc>
          <w:tcPr>
            <w:tcW w:w="427" w:type="dxa"/>
            <w:vAlign w:val="center"/>
          </w:tcPr>
          <w:p w14:paraId="3EA4C796" w14:textId="77777777" w:rsidR="00B47442" w:rsidRPr="0009445C" w:rsidRDefault="00B47442" w:rsidP="0099521D">
            <w:pPr>
              <w:pStyle w:val="BRL-Tabelle"/>
              <w:spacing w:before="60" w:after="40"/>
              <w:jc w:val="center"/>
              <w:rPr>
                <w:sz w:val="16"/>
              </w:rPr>
            </w:pPr>
          </w:p>
        </w:tc>
        <w:tc>
          <w:tcPr>
            <w:tcW w:w="425" w:type="dxa"/>
            <w:vAlign w:val="center"/>
          </w:tcPr>
          <w:p w14:paraId="5289AD58" w14:textId="77777777" w:rsidR="00B47442" w:rsidRPr="0009445C" w:rsidRDefault="00B47442" w:rsidP="0099521D">
            <w:pPr>
              <w:pStyle w:val="BRL-Tabelle"/>
              <w:spacing w:before="60" w:after="40"/>
              <w:jc w:val="center"/>
              <w:rPr>
                <w:sz w:val="16"/>
              </w:rPr>
            </w:pPr>
          </w:p>
        </w:tc>
        <w:tc>
          <w:tcPr>
            <w:tcW w:w="426" w:type="dxa"/>
            <w:vAlign w:val="center"/>
          </w:tcPr>
          <w:p w14:paraId="06CBD95F" w14:textId="77777777" w:rsidR="00B47442" w:rsidRPr="0009445C" w:rsidRDefault="00B47442" w:rsidP="0099521D">
            <w:pPr>
              <w:pStyle w:val="BRL-Tabelle"/>
              <w:spacing w:before="60" w:after="40"/>
              <w:jc w:val="center"/>
              <w:rPr>
                <w:sz w:val="16"/>
              </w:rPr>
            </w:pPr>
          </w:p>
        </w:tc>
        <w:tc>
          <w:tcPr>
            <w:tcW w:w="428" w:type="dxa"/>
            <w:vAlign w:val="center"/>
          </w:tcPr>
          <w:p w14:paraId="555EC12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F25562E" w14:textId="77777777" w:rsidR="00B47442" w:rsidRPr="0009445C" w:rsidRDefault="00B47442" w:rsidP="0099521D">
            <w:pPr>
              <w:pStyle w:val="BRL-Tabelle"/>
              <w:spacing w:before="60" w:after="40"/>
              <w:jc w:val="center"/>
              <w:rPr>
                <w:sz w:val="16"/>
              </w:rPr>
            </w:pPr>
          </w:p>
        </w:tc>
        <w:tc>
          <w:tcPr>
            <w:tcW w:w="426" w:type="dxa"/>
            <w:vAlign w:val="center"/>
          </w:tcPr>
          <w:p w14:paraId="4667E818" w14:textId="77777777" w:rsidR="00B47442" w:rsidRPr="0009445C" w:rsidRDefault="00B47442" w:rsidP="0099521D">
            <w:pPr>
              <w:pStyle w:val="BRL-Tabelle"/>
              <w:spacing w:before="60" w:after="40"/>
              <w:jc w:val="center"/>
              <w:rPr>
                <w:sz w:val="16"/>
              </w:rPr>
            </w:pPr>
          </w:p>
        </w:tc>
        <w:tc>
          <w:tcPr>
            <w:tcW w:w="426" w:type="dxa"/>
            <w:vAlign w:val="center"/>
          </w:tcPr>
          <w:p w14:paraId="1B3FC234" w14:textId="77777777" w:rsidR="00B47442" w:rsidRPr="0009445C" w:rsidRDefault="00B47442" w:rsidP="0099521D">
            <w:pPr>
              <w:pStyle w:val="BRL-Tabelle"/>
              <w:spacing w:before="60" w:after="40"/>
              <w:jc w:val="center"/>
              <w:rPr>
                <w:sz w:val="16"/>
              </w:rPr>
            </w:pPr>
          </w:p>
        </w:tc>
        <w:tc>
          <w:tcPr>
            <w:tcW w:w="426" w:type="dxa"/>
            <w:vAlign w:val="center"/>
          </w:tcPr>
          <w:p w14:paraId="780A046D" w14:textId="77777777" w:rsidR="00B47442" w:rsidRPr="0009445C" w:rsidRDefault="00B47442" w:rsidP="0099521D">
            <w:pPr>
              <w:pStyle w:val="BRL-Tabelle"/>
              <w:spacing w:before="60" w:after="40"/>
              <w:jc w:val="center"/>
              <w:rPr>
                <w:sz w:val="16"/>
              </w:rPr>
            </w:pPr>
          </w:p>
        </w:tc>
        <w:tc>
          <w:tcPr>
            <w:tcW w:w="433" w:type="dxa"/>
            <w:vAlign w:val="center"/>
          </w:tcPr>
          <w:p w14:paraId="3358CB00" w14:textId="77777777" w:rsidR="00B47442" w:rsidRPr="0009445C" w:rsidRDefault="00B47442" w:rsidP="0099521D">
            <w:pPr>
              <w:pStyle w:val="BRL-Tabelle"/>
              <w:spacing w:before="60" w:after="40"/>
              <w:jc w:val="center"/>
              <w:rPr>
                <w:sz w:val="16"/>
              </w:rPr>
            </w:pPr>
          </w:p>
        </w:tc>
        <w:tc>
          <w:tcPr>
            <w:tcW w:w="426" w:type="dxa"/>
            <w:vAlign w:val="center"/>
          </w:tcPr>
          <w:p w14:paraId="70708D26" w14:textId="77777777" w:rsidR="00B47442" w:rsidRPr="0009445C" w:rsidRDefault="00B47442" w:rsidP="0099521D">
            <w:pPr>
              <w:pStyle w:val="BRL-Tabelle"/>
              <w:spacing w:before="60" w:after="40"/>
              <w:jc w:val="center"/>
              <w:rPr>
                <w:sz w:val="16"/>
              </w:rPr>
            </w:pPr>
          </w:p>
        </w:tc>
        <w:tc>
          <w:tcPr>
            <w:tcW w:w="427" w:type="dxa"/>
            <w:vAlign w:val="center"/>
          </w:tcPr>
          <w:p w14:paraId="28E3D5F4" w14:textId="77777777" w:rsidR="00B47442" w:rsidRPr="0009445C" w:rsidRDefault="00B47442" w:rsidP="0099521D">
            <w:pPr>
              <w:pStyle w:val="BRL-Tabelle"/>
              <w:spacing w:before="60" w:after="40"/>
              <w:jc w:val="center"/>
              <w:rPr>
                <w:sz w:val="16"/>
              </w:rPr>
            </w:pPr>
          </w:p>
        </w:tc>
        <w:tc>
          <w:tcPr>
            <w:tcW w:w="426" w:type="dxa"/>
            <w:vAlign w:val="center"/>
          </w:tcPr>
          <w:p w14:paraId="4793C1E4" w14:textId="77777777" w:rsidR="00B47442" w:rsidRPr="0009445C" w:rsidRDefault="00B47442" w:rsidP="0099521D">
            <w:pPr>
              <w:pStyle w:val="BRL-Tabelle"/>
              <w:spacing w:before="60" w:after="40"/>
              <w:jc w:val="center"/>
              <w:rPr>
                <w:sz w:val="16"/>
              </w:rPr>
            </w:pPr>
          </w:p>
        </w:tc>
        <w:tc>
          <w:tcPr>
            <w:tcW w:w="427" w:type="dxa"/>
            <w:vAlign w:val="center"/>
          </w:tcPr>
          <w:p w14:paraId="0A820FEA" w14:textId="77777777" w:rsidR="00B47442" w:rsidRPr="0009445C" w:rsidRDefault="00B47442" w:rsidP="0099521D">
            <w:pPr>
              <w:pStyle w:val="BRL-Tabelle"/>
              <w:spacing w:before="60" w:after="40"/>
              <w:jc w:val="center"/>
              <w:rPr>
                <w:sz w:val="16"/>
              </w:rPr>
            </w:pPr>
          </w:p>
        </w:tc>
      </w:tr>
      <w:tr w:rsidR="00B47442" w:rsidRPr="0009445C" w14:paraId="0C14682A" w14:textId="77777777" w:rsidTr="0099521D">
        <w:trPr>
          <w:trHeight w:val="264"/>
        </w:trPr>
        <w:tc>
          <w:tcPr>
            <w:tcW w:w="2355" w:type="dxa"/>
            <w:gridSpan w:val="2"/>
          </w:tcPr>
          <w:p w14:paraId="0741330D" w14:textId="77777777" w:rsidR="00B47442" w:rsidRPr="0009445C" w:rsidRDefault="00B47442" w:rsidP="0099521D">
            <w:pPr>
              <w:pStyle w:val="BRL-Tabelle"/>
              <w:spacing w:before="60" w:after="40"/>
            </w:pPr>
            <w:r w:rsidRPr="0009445C">
              <w:t>Shape, dimensions, and colours</w:t>
            </w:r>
          </w:p>
        </w:tc>
        <w:tc>
          <w:tcPr>
            <w:tcW w:w="427" w:type="dxa"/>
            <w:vAlign w:val="center"/>
          </w:tcPr>
          <w:p w14:paraId="6B503BE2" w14:textId="77777777" w:rsidR="00B47442" w:rsidRPr="0009445C" w:rsidRDefault="00B47442" w:rsidP="0099521D">
            <w:pPr>
              <w:pStyle w:val="BRL-Tabelle"/>
              <w:spacing w:before="60" w:after="40"/>
              <w:jc w:val="center"/>
              <w:rPr>
                <w:sz w:val="16"/>
              </w:rPr>
            </w:pPr>
          </w:p>
        </w:tc>
        <w:tc>
          <w:tcPr>
            <w:tcW w:w="427" w:type="dxa"/>
            <w:vAlign w:val="center"/>
          </w:tcPr>
          <w:p w14:paraId="001635DB" w14:textId="77777777" w:rsidR="00B47442" w:rsidRPr="0009445C" w:rsidRDefault="00B47442" w:rsidP="0099521D">
            <w:pPr>
              <w:pStyle w:val="BRL-Tabelle"/>
              <w:spacing w:before="60" w:after="40"/>
              <w:jc w:val="center"/>
              <w:rPr>
                <w:sz w:val="16"/>
              </w:rPr>
            </w:pPr>
          </w:p>
        </w:tc>
        <w:tc>
          <w:tcPr>
            <w:tcW w:w="426" w:type="dxa"/>
            <w:vAlign w:val="center"/>
          </w:tcPr>
          <w:p w14:paraId="6F1CC3A2" w14:textId="77777777" w:rsidR="00B47442" w:rsidRPr="0009445C" w:rsidRDefault="00B47442" w:rsidP="0099521D">
            <w:pPr>
              <w:pStyle w:val="BRL-Tabelle"/>
              <w:spacing w:before="60" w:after="40"/>
              <w:jc w:val="center"/>
              <w:rPr>
                <w:sz w:val="16"/>
              </w:rPr>
            </w:pPr>
          </w:p>
        </w:tc>
        <w:tc>
          <w:tcPr>
            <w:tcW w:w="427" w:type="dxa"/>
            <w:vAlign w:val="center"/>
          </w:tcPr>
          <w:p w14:paraId="3D8A1D15" w14:textId="77777777" w:rsidR="00B47442" w:rsidRPr="0009445C" w:rsidRDefault="00B47442" w:rsidP="0099521D">
            <w:pPr>
              <w:pStyle w:val="BRL-Tabelle"/>
              <w:spacing w:before="60" w:after="40"/>
              <w:jc w:val="center"/>
              <w:rPr>
                <w:sz w:val="16"/>
              </w:rPr>
            </w:pPr>
          </w:p>
        </w:tc>
        <w:tc>
          <w:tcPr>
            <w:tcW w:w="425" w:type="dxa"/>
            <w:vAlign w:val="center"/>
          </w:tcPr>
          <w:p w14:paraId="768A8039" w14:textId="77777777" w:rsidR="00B47442" w:rsidRPr="0009445C" w:rsidRDefault="00B47442" w:rsidP="0099521D">
            <w:pPr>
              <w:pStyle w:val="BRL-Tabelle"/>
              <w:spacing w:before="60" w:after="40"/>
              <w:jc w:val="center"/>
              <w:rPr>
                <w:sz w:val="16"/>
              </w:rPr>
            </w:pPr>
          </w:p>
        </w:tc>
        <w:tc>
          <w:tcPr>
            <w:tcW w:w="426" w:type="dxa"/>
            <w:vAlign w:val="center"/>
          </w:tcPr>
          <w:p w14:paraId="3A66037E" w14:textId="77777777" w:rsidR="00B47442" w:rsidRPr="0009445C" w:rsidRDefault="00B47442" w:rsidP="0099521D">
            <w:pPr>
              <w:pStyle w:val="BRL-Tabelle"/>
              <w:spacing w:before="60" w:after="40"/>
              <w:jc w:val="center"/>
              <w:rPr>
                <w:sz w:val="16"/>
              </w:rPr>
            </w:pPr>
          </w:p>
        </w:tc>
        <w:tc>
          <w:tcPr>
            <w:tcW w:w="428" w:type="dxa"/>
            <w:vAlign w:val="center"/>
          </w:tcPr>
          <w:p w14:paraId="76A0CB1E"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19D2FA5" w14:textId="77777777" w:rsidR="00B47442" w:rsidRPr="0009445C" w:rsidRDefault="00B47442" w:rsidP="0099521D">
            <w:pPr>
              <w:pStyle w:val="BRL-Tabelle"/>
              <w:spacing w:before="60" w:after="40"/>
              <w:jc w:val="center"/>
              <w:rPr>
                <w:sz w:val="16"/>
              </w:rPr>
            </w:pPr>
          </w:p>
        </w:tc>
        <w:tc>
          <w:tcPr>
            <w:tcW w:w="426" w:type="dxa"/>
            <w:vAlign w:val="center"/>
          </w:tcPr>
          <w:p w14:paraId="5639763A" w14:textId="77777777" w:rsidR="00B47442" w:rsidRPr="0009445C" w:rsidRDefault="00B47442" w:rsidP="0099521D">
            <w:pPr>
              <w:pStyle w:val="BRL-Tabelle"/>
              <w:spacing w:before="60" w:after="40"/>
              <w:jc w:val="center"/>
              <w:rPr>
                <w:sz w:val="16"/>
              </w:rPr>
            </w:pPr>
          </w:p>
        </w:tc>
        <w:tc>
          <w:tcPr>
            <w:tcW w:w="426" w:type="dxa"/>
            <w:vAlign w:val="center"/>
          </w:tcPr>
          <w:p w14:paraId="75796C21" w14:textId="77777777" w:rsidR="00B47442" w:rsidRPr="0009445C" w:rsidRDefault="00B47442" w:rsidP="0099521D">
            <w:pPr>
              <w:pStyle w:val="BRL-Tabelle"/>
              <w:spacing w:before="60" w:after="40"/>
              <w:jc w:val="center"/>
              <w:rPr>
                <w:sz w:val="16"/>
              </w:rPr>
            </w:pPr>
          </w:p>
        </w:tc>
        <w:tc>
          <w:tcPr>
            <w:tcW w:w="426" w:type="dxa"/>
            <w:vAlign w:val="center"/>
          </w:tcPr>
          <w:p w14:paraId="4E361EC1" w14:textId="77777777" w:rsidR="00B47442" w:rsidRPr="0009445C" w:rsidRDefault="00B47442" w:rsidP="0099521D">
            <w:pPr>
              <w:pStyle w:val="BRL-Tabelle"/>
              <w:spacing w:before="60" w:after="40"/>
              <w:jc w:val="center"/>
              <w:rPr>
                <w:sz w:val="16"/>
              </w:rPr>
            </w:pPr>
          </w:p>
        </w:tc>
        <w:tc>
          <w:tcPr>
            <w:tcW w:w="433" w:type="dxa"/>
            <w:vAlign w:val="center"/>
          </w:tcPr>
          <w:p w14:paraId="0D46BA31" w14:textId="77777777" w:rsidR="00B47442" w:rsidRPr="0009445C" w:rsidRDefault="00B47442" w:rsidP="0099521D">
            <w:pPr>
              <w:pStyle w:val="BRL-Tabelle"/>
              <w:spacing w:before="60" w:after="40"/>
              <w:jc w:val="center"/>
              <w:rPr>
                <w:sz w:val="16"/>
              </w:rPr>
            </w:pPr>
          </w:p>
        </w:tc>
        <w:tc>
          <w:tcPr>
            <w:tcW w:w="426" w:type="dxa"/>
            <w:vAlign w:val="center"/>
          </w:tcPr>
          <w:p w14:paraId="6D61A8BD" w14:textId="77777777" w:rsidR="00B47442" w:rsidRPr="0009445C" w:rsidRDefault="00B47442" w:rsidP="0099521D">
            <w:pPr>
              <w:pStyle w:val="BRL-Tabelle"/>
              <w:spacing w:before="60" w:after="40"/>
              <w:jc w:val="center"/>
              <w:rPr>
                <w:sz w:val="16"/>
              </w:rPr>
            </w:pPr>
          </w:p>
        </w:tc>
        <w:tc>
          <w:tcPr>
            <w:tcW w:w="427" w:type="dxa"/>
            <w:vAlign w:val="center"/>
          </w:tcPr>
          <w:p w14:paraId="56934AAD" w14:textId="77777777" w:rsidR="00B47442" w:rsidRPr="0009445C" w:rsidRDefault="00B47442" w:rsidP="0099521D">
            <w:pPr>
              <w:pStyle w:val="BRL-Tabelle"/>
              <w:spacing w:before="60" w:after="40"/>
              <w:jc w:val="center"/>
              <w:rPr>
                <w:sz w:val="16"/>
              </w:rPr>
            </w:pPr>
          </w:p>
        </w:tc>
        <w:tc>
          <w:tcPr>
            <w:tcW w:w="426" w:type="dxa"/>
            <w:vAlign w:val="center"/>
          </w:tcPr>
          <w:p w14:paraId="6BA4BDF7" w14:textId="77777777" w:rsidR="00B47442" w:rsidRPr="0009445C" w:rsidRDefault="00B47442" w:rsidP="0099521D">
            <w:pPr>
              <w:pStyle w:val="BRL-Tabelle"/>
              <w:spacing w:before="60" w:after="40"/>
              <w:jc w:val="center"/>
              <w:rPr>
                <w:sz w:val="16"/>
              </w:rPr>
            </w:pPr>
          </w:p>
        </w:tc>
        <w:tc>
          <w:tcPr>
            <w:tcW w:w="427" w:type="dxa"/>
            <w:vAlign w:val="center"/>
          </w:tcPr>
          <w:p w14:paraId="2A1894E2" w14:textId="77777777" w:rsidR="00B47442" w:rsidRPr="0009445C" w:rsidRDefault="00B47442" w:rsidP="0099521D">
            <w:pPr>
              <w:pStyle w:val="BRL-Tabelle"/>
              <w:spacing w:before="60" w:after="40"/>
              <w:jc w:val="center"/>
              <w:rPr>
                <w:sz w:val="16"/>
              </w:rPr>
            </w:pPr>
          </w:p>
        </w:tc>
      </w:tr>
      <w:tr w:rsidR="00B47442" w:rsidRPr="0009445C" w14:paraId="796A393E" w14:textId="77777777" w:rsidTr="0099521D">
        <w:trPr>
          <w:trHeight w:val="264"/>
        </w:trPr>
        <w:tc>
          <w:tcPr>
            <w:tcW w:w="2355" w:type="dxa"/>
            <w:gridSpan w:val="2"/>
          </w:tcPr>
          <w:p w14:paraId="05ECC05E" w14:textId="77777777" w:rsidR="00B47442" w:rsidRPr="0009445C" w:rsidRDefault="00B47442" w:rsidP="0099521D">
            <w:pPr>
              <w:pStyle w:val="BRL-Tabelle"/>
              <w:spacing w:before="60" w:after="40"/>
            </w:pPr>
            <w:r w:rsidRPr="0009445C">
              <w:t>Symbols and labelling</w:t>
            </w:r>
          </w:p>
        </w:tc>
        <w:tc>
          <w:tcPr>
            <w:tcW w:w="427" w:type="dxa"/>
            <w:vAlign w:val="center"/>
          </w:tcPr>
          <w:p w14:paraId="669C96F6" w14:textId="77777777" w:rsidR="00B47442" w:rsidRPr="0009445C" w:rsidRDefault="00B47442" w:rsidP="0099521D">
            <w:pPr>
              <w:pStyle w:val="BRL-Tabelle"/>
              <w:spacing w:before="60" w:after="40"/>
              <w:jc w:val="center"/>
              <w:rPr>
                <w:sz w:val="16"/>
              </w:rPr>
            </w:pPr>
          </w:p>
        </w:tc>
        <w:tc>
          <w:tcPr>
            <w:tcW w:w="427" w:type="dxa"/>
            <w:vAlign w:val="center"/>
          </w:tcPr>
          <w:p w14:paraId="205839C7" w14:textId="77777777" w:rsidR="00B47442" w:rsidRPr="0009445C" w:rsidRDefault="00B47442" w:rsidP="0099521D">
            <w:pPr>
              <w:pStyle w:val="BRL-Tabelle"/>
              <w:spacing w:before="60" w:after="40"/>
              <w:jc w:val="center"/>
              <w:rPr>
                <w:sz w:val="16"/>
              </w:rPr>
            </w:pPr>
          </w:p>
        </w:tc>
        <w:tc>
          <w:tcPr>
            <w:tcW w:w="426" w:type="dxa"/>
            <w:vAlign w:val="center"/>
          </w:tcPr>
          <w:p w14:paraId="73AD5C09" w14:textId="77777777" w:rsidR="00B47442" w:rsidRPr="0009445C" w:rsidRDefault="00B47442" w:rsidP="0099521D">
            <w:pPr>
              <w:pStyle w:val="BRL-Tabelle"/>
              <w:spacing w:before="60" w:after="40"/>
              <w:jc w:val="center"/>
              <w:rPr>
                <w:sz w:val="16"/>
              </w:rPr>
            </w:pPr>
          </w:p>
        </w:tc>
        <w:tc>
          <w:tcPr>
            <w:tcW w:w="427" w:type="dxa"/>
            <w:vAlign w:val="center"/>
          </w:tcPr>
          <w:p w14:paraId="5CB0AFD1" w14:textId="77777777" w:rsidR="00B47442" w:rsidRPr="0009445C" w:rsidRDefault="00B47442" w:rsidP="0099521D">
            <w:pPr>
              <w:pStyle w:val="BRL-Tabelle"/>
              <w:spacing w:before="60" w:after="40"/>
              <w:jc w:val="center"/>
              <w:rPr>
                <w:sz w:val="16"/>
              </w:rPr>
            </w:pPr>
          </w:p>
        </w:tc>
        <w:tc>
          <w:tcPr>
            <w:tcW w:w="425" w:type="dxa"/>
            <w:vAlign w:val="center"/>
          </w:tcPr>
          <w:p w14:paraId="0155CA28" w14:textId="77777777" w:rsidR="00B47442" w:rsidRPr="0009445C" w:rsidRDefault="00B47442" w:rsidP="0099521D">
            <w:pPr>
              <w:pStyle w:val="BRL-Tabelle"/>
              <w:spacing w:before="60" w:after="40"/>
              <w:jc w:val="center"/>
              <w:rPr>
                <w:sz w:val="16"/>
              </w:rPr>
            </w:pPr>
          </w:p>
        </w:tc>
        <w:tc>
          <w:tcPr>
            <w:tcW w:w="426" w:type="dxa"/>
            <w:vAlign w:val="center"/>
          </w:tcPr>
          <w:p w14:paraId="53392337" w14:textId="77777777" w:rsidR="00B47442" w:rsidRPr="0009445C" w:rsidRDefault="00B47442" w:rsidP="0099521D">
            <w:pPr>
              <w:pStyle w:val="BRL-Tabelle"/>
              <w:spacing w:before="60" w:after="40"/>
              <w:jc w:val="center"/>
              <w:rPr>
                <w:sz w:val="16"/>
              </w:rPr>
            </w:pPr>
          </w:p>
        </w:tc>
        <w:tc>
          <w:tcPr>
            <w:tcW w:w="428" w:type="dxa"/>
            <w:vAlign w:val="center"/>
          </w:tcPr>
          <w:p w14:paraId="5208E825"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ABEBFB7" w14:textId="77777777" w:rsidR="00B47442" w:rsidRPr="0009445C" w:rsidRDefault="00B47442" w:rsidP="0099521D">
            <w:pPr>
              <w:pStyle w:val="BRL-Tabelle"/>
              <w:spacing w:before="60" w:after="40"/>
              <w:jc w:val="center"/>
              <w:rPr>
                <w:sz w:val="16"/>
              </w:rPr>
            </w:pPr>
          </w:p>
        </w:tc>
        <w:tc>
          <w:tcPr>
            <w:tcW w:w="426" w:type="dxa"/>
            <w:vAlign w:val="center"/>
          </w:tcPr>
          <w:p w14:paraId="42CD9504" w14:textId="77777777" w:rsidR="00B47442" w:rsidRPr="0009445C" w:rsidRDefault="00B47442" w:rsidP="0099521D">
            <w:pPr>
              <w:pStyle w:val="BRL-Tabelle"/>
              <w:spacing w:before="60" w:after="40"/>
              <w:jc w:val="center"/>
              <w:rPr>
                <w:sz w:val="16"/>
              </w:rPr>
            </w:pPr>
          </w:p>
        </w:tc>
        <w:tc>
          <w:tcPr>
            <w:tcW w:w="426" w:type="dxa"/>
            <w:vAlign w:val="center"/>
          </w:tcPr>
          <w:p w14:paraId="63DA8382" w14:textId="77777777" w:rsidR="00B47442" w:rsidRPr="0009445C" w:rsidRDefault="00B47442" w:rsidP="0099521D">
            <w:pPr>
              <w:pStyle w:val="BRL-Tabelle"/>
              <w:spacing w:before="60" w:after="40"/>
              <w:jc w:val="center"/>
              <w:rPr>
                <w:sz w:val="16"/>
              </w:rPr>
            </w:pPr>
          </w:p>
        </w:tc>
        <w:tc>
          <w:tcPr>
            <w:tcW w:w="426" w:type="dxa"/>
            <w:vAlign w:val="center"/>
          </w:tcPr>
          <w:p w14:paraId="50F3EFE3" w14:textId="77777777" w:rsidR="00B47442" w:rsidRPr="0009445C" w:rsidRDefault="00B47442" w:rsidP="0099521D">
            <w:pPr>
              <w:pStyle w:val="BRL-Tabelle"/>
              <w:spacing w:before="60" w:after="40"/>
              <w:jc w:val="center"/>
              <w:rPr>
                <w:sz w:val="16"/>
              </w:rPr>
            </w:pPr>
          </w:p>
        </w:tc>
        <w:tc>
          <w:tcPr>
            <w:tcW w:w="433" w:type="dxa"/>
            <w:vAlign w:val="center"/>
          </w:tcPr>
          <w:p w14:paraId="3946B341" w14:textId="77777777" w:rsidR="00B47442" w:rsidRPr="0009445C" w:rsidRDefault="00B47442" w:rsidP="0099521D">
            <w:pPr>
              <w:pStyle w:val="BRL-Tabelle"/>
              <w:spacing w:before="60" w:after="40"/>
              <w:jc w:val="center"/>
              <w:rPr>
                <w:sz w:val="16"/>
              </w:rPr>
            </w:pPr>
          </w:p>
        </w:tc>
        <w:tc>
          <w:tcPr>
            <w:tcW w:w="426" w:type="dxa"/>
            <w:vAlign w:val="center"/>
          </w:tcPr>
          <w:p w14:paraId="68578BA5" w14:textId="77777777" w:rsidR="00B47442" w:rsidRPr="0009445C" w:rsidRDefault="00B47442" w:rsidP="0099521D">
            <w:pPr>
              <w:pStyle w:val="BRL-Tabelle"/>
              <w:spacing w:before="60" w:after="40"/>
              <w:jc w:val="center"/>
              <w:rPr>
                <w:sz w:val="16"/>
              </w:rPr>
            </w:pPr>
          </w:p>
        </w:tc>
        <w:tc>
          <w:tcPr>
            <w:tcW w:w="427" w:type="dxa"/>
            <w:vAlign w:val="center"/>
          </w:tcPr>
          <w:p w14:paraId="01951A47" w14:textId="77777777" w:rsidR="00B47442" w:rsidRPr="0009445C" w:rsidRDefault="00B47442" w:rsidP="0099521D">
            <w:pPr>
              <w:pStyle w:val="BRL-Tabelle"/>
              <w:spacing w:before="60" w:after="40"/>
              <w:jc w:val="center"/>
              <w:rPr>
                <w:sz w:val="16"/>
              </w:rPr>
            </w:pPr>
          </w:p>
        </w:tc>
        <w:tc>
          <w:tcPr>
            <w:tcW w:w="426" w:type="dxa"/>
            <w:vAlign w:val="center"/>
          </w:tcPr>
          <w:p w14:paraId="501DC765" w14:textId="77777777" w:rsidR="00B47442" w:rsidRPr="0009445C" w:rsidRDefault="00B47442" w:rsidP="0099521D">
            <w:pPr>
              <w:pStyle w:val="BRL-Tabelle"/>
              <w:spacing w:before="60" w:after="40"/>
              <w:jc w:val="center"/>
              <w:rPr>
                <w:sz w:val="16"/>
              </w:rPr>
            </w:pPr>
          </w:p>
        </w:tc>
        <w:tc>
          <w:tcPr>
            <w:tcW w:w="427" w:type="dxa"/>
            <w:vAlign w:val="center"/>
          </w:tcPr>
          <w:p w14:paraId="217750FA" w14:textId="77777777" w:rsidR="00B47442" w:rsidRPr="0009445C" w:rsidRDefault="00B47442" w:rsidP="0099521D">
            <w:pPr>
              <w:pStyle w:val="BRL-Tabelle"/>
              <w:spacing w:before="60" w:after="40"/>
              <w:jc w:val="center"/>
              <w:rPr>
                <w:sz w:val="16"/>
              </w:rPr>
            </w:pPr>
          </w:p>
        </w:tc>
      </w:tr>
      <w:tr w:rsidR="00B47442" w:rsidRPr="0009445C" w14:paraId="448501EC" w14:textId="77777777" w:rsidTr="0099521D">
        <w:trPr>
          <w:trHeight w:val="264"/>
        </w:trPr>
        <w:tc>
          <w:tcPr>
            <w:tcW w:w="2355" w:type="dxa"/>
            <w:gridSpan w:val="2"/>
          </w:tcPr>
          <w:p w14:paraId="7B230917" w14:textId="77777777" w:rsidR="00B47442" w:rsidRPr="0009445C" w:rsidRDefault="00B47442" w:rsidP="0099521D">
            <w:pPr>
              <w:pStyle w:val="BRL-Tabelle"/>
              <w:spacing w:before="60" w:after="40"/>
            </w:pPr>
            <w:r w:rsidRPr="0009445C">
              <w:t>Environmental category</w:t>
            </w:r>
          </w:p>
        </w:tc>
        <w:tc>
          <w:tcPr>
            <w:tcW w:w="427" w:type="dxa"/>
            <w:vAlign w:val="center"/>
          </w:tcPr>
          <w:p w14:paraId="0A20A414" w14:textId="77777777" w:rsidR="00B47442" w:rsidRPr="0009445C" w:rsidRDefault="00B47442" w:rsidP="0099521D">
            <w:pPr>
              <w:pStyle w:val="BRL-Tabelle"/>
              <w:spacing w:before="60" w:after="40"/>
              <w:jc w:val="center"/>
              <w:rPr>
                <w:rFonts w:eastAsia="Calibri"/>
                <w:sz w:val="16"/>
                <w:lang w:eastAsia="en-US"/>
              </w:rPr>
            </w:pPr>
          </w:p>
        </w:tc>
        <w:tc>
          <w:tcPr>
            <w:tcW w:w="427" w:type="dxa"/>
            <w:vAlign w:val="center"/>
          </w:tcPr>
          <w:p w14:paraId="21435C53" w14:textId="77777777" w:rsidR="00B47442" w:rsidRPr="0009445C" w:rsidRDefault="00B47442" w:rsidP="0099521D">
            <w:pPr>
              <w:pStyle w:val="BRL-Tabelle"/>
              <w:spacing w:before="60" w:after="40"/>
              <w:jc w:val="center"/>
              <w:rPr>
                <w:sz w:val="16"/>
              </w:rPr>
            </w:pPr>
          </w:p>
        </w:tc>
        <w:tc>
          <w:tcPr>
            <w:tcW w:w="426" w:type="dxa"/>
            <w:vAlign w:val="center"/>
          </w:tcPr>
          <w:p w14:paraId="30399373" w14:textId="77777777" w:rsidR="00B47442" w:rsidRPr="0009445C" w:rsidRDefault="00B47442" w:rsidP="0099521D">
            <w:pPr>
              <w:pStyle w:val="BRL-Tabelle"/>
              <w:spacing w:before="60" w:after="40"/>
              <w:jc w:val="center"/>
              <w:rPr>
                <w:sz w:val="16"/>
              </w:rPr>
            </w:pPr>
          </w:p>
        </w:tc>
        <w:tc>
          <w:tcPr>
            <w:tcW w:w="427" w:type="dxa"/>
            <w:vAlign w:val="center"/>
          </w:tcPr>
          <w:p w14:paraId="2BDA7E91" w14:textId="77777777" w:rsidR="00B47442" w:rsidRPr="0009445C" w:rsidRDefault="00B47442" w:rsidP="0099521D">
            <w:pPr>
              <w:pStyle w:val="BRL-Tabelle"/>
              <w:spacing w:before="60" w:after="40"/>
              <w:jc w:val="center"/>
              <w:rPr>
                <w:sz w:val="16"/>
              </w:rPr>
            </w:pPr>
          </w:p>
        </w:tc>
        <w:tc>
          <w:tcPr>
            <w:tcW w:w="425" w:type="dxa"/>
            <w:vAlign w:val="center"/>
          </w:tcPr>
          <w:p w14:paraId="783647B4" w14:textId="77777777" w:rsidR="00B47442" w:rsidRPr="0009445C" w:rsidRDefault="00B47442" w:rsidP="0099521D">
            <w:pPr>
              <w:pStyle w:val="BRL-Tabelle"/>
              <w:spacing w:before="60" w:after="40"/>
              <w:jc w:val="center"/>
              <w:rPr>
                <w:sz w:val="16"/>
              </w:rPr>
            </w:pPr>
          </w:p>
        </w:tc>
        <w:tc>
          <w:tcPr>
            <w:tcW w:w="426" w:type="dxa"/>
            <w:vAlign w:val="center"/>
          </w:tcPr>
          <w:p w14:paraId="5569CC16" w14:textId="77777777" w:rsidR="00B47442" w:rsidRPr="0009445C" w:rsidRDefault="00B47442" w:rsidP="0099521D">
            <w:pPr>
              <w:pStyle w:val="BRL-Tabelle"/>
              <w:spacing w:before="60" w:after="40"/>
              <w:jc w:val="center"/>
              <w:rPr>
                <w:sz w:val="16"/>
              </w:rPr>
            </w:pPr>
          </w:p>
        </w:tc>
        <w:tc>
          <w:tcPr>
            <w:tcW w:w="428" w:type="dxa"/>
            <w:vAlign w:val="center"/>
          </w:tcPr>
          <w:p w14:paraId="56C74008"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4F05D28" w14:textId="77777777" w:rsidR="00B47442" w:rsidRPr="0009445C" w:rsidRDefault="00B47442" w:rsidP="0099521D">
            <w:pPr>
              <w:pStyle w:val="BRL-Tabelle"/>
              <w:spacing w:before="60" w:after="40"/>
              <w:jc w:val="center"/>
              <w:rPr>
                <w:sz w:val="16"/>
              </w:rPr>
            </w:pPr>
          </w:p>
        </w:tc>
        <w:tc>
          <w:tcPr>
            <w:tcW w:w="426" w:type="dxa"/>
            <w:vAlign w:val="center"/>
          </w:tcPr>
          <w:p w14:paraId="043290BD" w14:textId="77777777" w:rsidR="00B47442" w:rsidRPr="0009445C" w:rsidRDefault="00B47442" w:rsidP="0099521D">
            <w:pPr>
              <w:pStyle w:val="BRL-Tabelle"/>
              <w:spacing w:before="60" w:after="40"/>
              <w:jc w:val="center"/>
              <w:rPr>
                <w:sz w:val="16"/>
              </w:rPr>
            </w:pPr>
          </w:p>
        </w:tc>
        <w:tc>
          <w:tcPr>
            <w:tcW w:w="426" w:type="dxa"/>
            <w:vAlign w:val="center"/>
          </w:tcPr>
          <w:p w14:paraId="22E767E5" w14:textId="77777777" w:rsidR="00B47442" w:rsidRPr="0009445C" w:rsidRDefault="00B47442" w:rsidP="0099521D">
            <w:pPr>
              <w:pStyle w:val="BRL-Tabelle"/>
              <w:spacing w:before="60" w:after="40"/>
              <w:jc w:val="center"/>
              <w:rPr>
                <w:sz w:val="16"/>
              </w:rPr>
            </w:pPr>
          </w:p>
        </w:tc>
        <w:tc>
          <w:tcPr>
            <w:tcW w:w="426" w:type="dxa"/>
            <w:vAlign w:val="center"/>
          </w:tcPr>
          <w:p w14:paraId="22898FBD" w14:textId="77777777" w:rsidR="00B47442" w:rsidRPr="0009445C" w:rsidRDefault="00B47442" w:rsidP="0099521D">
            <w:pPr>
              <w:pStyle w:val="BRL-Tabelle"/>
              <w:spacing w:before="60" w:after="40"/>
              <w:jc w:val="center"/>
              <w:rPr>
                <w:sz w:val="16"/>
              </w:rPr>
            </w:pPr>
          </w:p>
        </w:tc>
        <w:tc>
          <w:tcPr>
            <w:tcW w:w="433" w:type="dxa"/>
            <w:vAlign w:val="center"/>
          </w:tcPr>
          <w:p w14:paraId="125C0D72" w14:textId="77777777" w:rsidR="00B47442" w:rsidRPr="0009445C" w:rsidRDefault="00B47442" w:rsidP="0099521D">
            <w:pPr>
              <w:pStyle w:val="BRL-Tabelle"/>
              <w:spacing w:before="60" w:after="40"/>
              <w:jc w:val="center"/>
              <w:rPr>
                <w:sz w:val="16"/>
              </w:rPr>
            </w:pPr>
          </w:p>
        </w:tc>
        <w:tc>
          <w:tcPr>
            <w:tcW w:w="426" w:type="dxa"/>
            <w:vAlign w:val="center"/>
          </w:tcPr>
          <w:p w14:paraId="707C8256" w14:textId="77777777" w:rsidR="00B47442" w:rsidRPr="0009445C" w:rsidRDefault="00B47442" w:rsidP="0099521D">
            <w:pPr>
              <w:pStyle w:val="BRL-Tabelle"/>
              <w:spacing w:before="60" w:after="40"/>
              <w:jc w:val="center"/>
              <w:rPr>
                <w:sz w:val="16"/>
              </w:rPr>
            </w:pPr>
          </w:p>
        </w:tc>
        <w:tc>
          <w:tcPr>
            <w:tcW w:w="427" w:type="dxa"/>
            <w:vAlign w:val="center"/>
          </w:tcPr>
          <w:p w14:paraId="73A118B9" w14:textId="77777777" w:rsidR="00B47442" w:rsidRPr="0009445C" w:rsidRDefault="00B47442" w:rsidP="0099521D">
            <w:pPr>
              <w:pStyle w:val="BRL-Tabelle"/>
              <w:spacing w:before="60" w:after="40"/>
              <w:jc w:val="center"/>
              <w:rPr>
                <w:sz w:val="16"/>
              </w:rPr>
            </w:pPr>
          </w:p>
        </w:tc>
        <w:tc>
          <w:tcPr>
            <w:tcW w:w="426" w:type="dxa"/>
            <w:vAlign w:val="center"/>
          </w:tcPr>
          <w:p w14:paraId="063E583D" w14:textId="77777777" w:rsidR="00B47442" w:rsidRPr="0009445C" w:rsidRDefault="00B47442" w:rsidP="0099521D">
            <w:pPr>
              <w:pStyle w:val="BRL-Tabelle"/>
              <w:spacing w:before="60" w:after="40"/>
              <w:jc w:val="center"/>
              <w:rPr>
                <w:sz w:val="16"/>
              </w:rPr>
            </w:pPr>
          </w:p>
        </w:tc>
        <w:tc>
          <w:tcPr>
            <w:tcW w:w="427" w:type="dxa"/>
            <w:vAlign w:val="center"/>
          </w:tcPr>
          <w:p w14:paraId="20CBC659" w14:textId="77777777" w:rsidR="00B47442" w:rsidRPr="0009445C" w:rsidRDefault="00B47442" w:rsidP="0099521D">
            <w:pPr>
              <w:pStyle w:val="BRL-Tabelle"/>
              <w:spacing w:before="60" w:after="40"/>
              <w:jc w:val="center"/>
              <w:rPr>
                <w:rFonts w:eastAsia="Calibri"/>
                <w:sz w:val="16"/>
                <w:lang w:eastAsia="en-US"/>
              </w:rPr>
            </w:pPr>
          </w:p>
        </w:tc>
      </w:tr>
      <w:tr w:rsidR="00B47442" w:rsidRPr="0009445C" w14:paraId="2F6E02AA" w14:textId="77777777" w:rsidTr="0099521D">
        <w:trPr>
          <w:trHeight w:val="264"/>
        </w:trPr>
        <w:tc>
          <w:tcPr>
            <w:tcW w:w="2355" w:type="dxa"/>
            <w:gridSpan w:val="2"/>
          </w:tcPr>
          <w:p w14:paraId="3DA7A06A" w14:textId="0294EE83" w:rsidR="00B47442" w:rsidRPr="0009445C" w:rsidRDefault="00B47442" w:rsidP="0099521D">
            <w:pPr>
              <w:pStyle w:val="BRL-Tabelle"/>
              <w:spacing w:before="60" w:after="40"/>
            </w:pPr>
            <w:r w:rsidRPr="0009445C">
              <w:t>Additional requirements for software-controlled handheld fire detectors</w:t>
            </w:r>
            <w:r w:rsidRPr="0009445C">
              <w:rPr>
                <w:vertAlign w:val="superscript"/>
              </w:rPr>
              <w:t xml:space="preserve"> 2</w:t>
            </w:r>
          </w:p>
        </w:tc>
        <w:tc>
          <w:tcPr>
            <w:tcW w:w="427" w:type="dxa"/>
            <w:vAlign w:val="center"/>
          </w:tcPr>
          <w:p w14:paraId="62C1C8A4" w14:textId="77777777" w:rsidR="00B47442" w:rsidRPr="0009445C" w:rsidRDefault="00B47442" w:rsidP="0099521D">
            <w:pPr>
              <w:pStyle w:val="BRL-Tabelle"/>
              <w:spacing w:before="60" w:after="40"/>
              <w:jc w:val="center"/>
              <w:rPr>
                <w:rFonts w:eastAsia="Calibri"/>
                <w:sz w:val="16"/>
                <w:lang w:eastAsia="en-US"/>
              </w:rPr>
            </w:pPr>
          </w:p>
        </w:tc>
        <w:tc>
          <w:tcPr>
            <w:tcW w:w="427" w:type="dxa"/>
            <w:vAlign w:val="center"/>
          </w:tcPr>
          <w:p w14:paraId="3F3B1604" w14:textId="77777777" w:rsidR="00B47442" w:rsidRPr="0009445C" w:rsidRDefault="00B47442" w:rsidP="0099521D">
            <w:pPr>
              <w:pStyle w:val="BRL-Tabelle"/>
              <w:spacing w:before="60" w:after="40"/>
              <w:jc w:val="center"/>
              <w:rPr>
                <w:sz w:val="16"/>
              </w:rPr>
            </w:pPr>
          </w:p>
        </w:tc>
        <w:tc>
          <w:tcPr>
            <w:tcW w:w="426" w:type="dxa"/>
            <w:vAlign w:val="center"/>
          </w:tcPr>
          <w:p w14:paraId="58C87A82" w14:textId="77777777" w:rsidR="00B47442" w:rsidRPr="0009445C" w:rsidRDefault="00B47442" w:rsidP="0099521D">
            <w:pPr>
              <w:pStyle w:val="BRL-Tabelle"/>
              <w:spacing w:before="60" w:after="40"/>
              <w:jc w:val="center"/>
              <w:rPr>
                <w:sz w:val="16"/>
              </w:rPr>
            </w:pPr>
          </w:p>
        </w:tc>
        <w:tc>
          <w:tcPr>
            <w:tcW w:w="427" w:type="dxa"/>
            <w:vAlign w:val="center"/>
          </w:tcPr>
          <w:p w14:paraId="1E10AC03" w14:textId="77777777" w:rsidR="00B47442" w:rsidRPr="0009445C" w:rsidRDefault="00B47442" w:rsidP="0099521D">
            <w:pPr>
              <w:pStyle w:val="BRL-Tabelle"/>
              <w:spacing w:before="60" w:after="40"/>
              <w:jc w:val="center"/>
              <w:rPr>
                <w:sz w:val="16"/>
              </w:rPr>
            </w:pPr>
          </w:p>
        </w:tc>
        <w:tc>
          <w:tcPr>
            <w:tcW w:w="425" w:type="dxa"/>
            <w:vAlign w:val="center"/>
          </w:tcPr>
          <w:p w14:paraId="00A3C051" w14:textId="77777777" w:rsidR="00B47442" w:rsidRPr="0009445C" w:rsidRDefault="00B47442" w:rsidP="0099521D">
            <w:pPr>
              <w:pStyle w:val="BRL-Tabelle"/>
              <w:spacing w:before="60" w:after="40"/>
              <w:jc w:val="center"/>
              <w:rPr>
                <w:sz w:val="16"/>
              </w:rPr>
            </w:pPr>
          </w:p>
        </w:tc>
        <w:tc>
          <w:tcPr>
            <w:tcW w:w="426" w:type="dxa"/>
            <w:vAlign w:val="center"/>
          </w:tcPr>
          <w:p w14:paraId="25159302" w14:textId="77777777" w:rsidR="00B47442" w:rsidRPr="0009445C" w:rsidRDefault="00B47442" w:rsidP="0099521D">
            <w:pPr>
              <w:pStyle w:val="BRL-Tabelle"/>
              <w:spacing w:before="60" w:after="40"/>
              <w:jc w:val="center"/>
              <w:rPr>
                <w:sz w:val="16"/>
              </w:rPr>
            </w:pPr>
          </w:p>
        </w:tc>
        <w:tc>
          <w:tcPr>
            <w:tcW w:w="428" w:type="dxa"/>
            <w:vAlign w:val="center"/>
          </w:tcPr>
          <w:p w14:paraId="47B5745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73C1C6F" w14:textId="77777777" w:rsidR="00B47442" w:rsidRPr="0009445C" w:rsidRDefault="00B47442" w:rsidP="0099521D">
            <w:pPr>
              <w:pStyle w:val="BRL-Tabelle"/>
              <w:spacing w:before="60" w:after="40"/>
              <w:jc w:val="center"/>
              <w:rPr>
                <w:sz w:val="16"/>
              </w:rPr>
            </w:pPr>
          </w:p>
        </w:tc>
        <w:tc>
          <w:tcPr>
            <w:tcW w:w="426" w:type="dxa"/>
            <w:vAlign w:val="center"/>
          </w:tcPr>
          <w:p w14:paraId="781B97C0" w14:textId="77777777" w:rsidR="00B47442" w:rsidRPr="0009445C" w:rsidRDefault="00B47442" w:rsidP="0099521D">
            <w:pPr>
              <w:pStyle w:val="BRL-Tabelle"/>
              <w:spacing w:before="60" w:after="40"/>
              <w:jc w:val="center"/>
              <w:rPr>
                <w:sz w:val="16"/>
              </w:rPr>
            </w:pPr>
          </w:p>
        </w:tc>
        <w:tc>
          <w:tcPr>
            <w:tcW w:w="426" w:type="dxa"/>
            <w:vAlign w:val="center"/>
          </w:tcPr>
          <w:p w14:paraId="5599A140" w14:textId="77777777" w:rsidR="00B47442" w:rsidRPr="0009445C" w:rsidRDefault="00B47442" w:rsidP="0099521D">
            <w:pPr>
              <w:pStyle w:val="BRL-Tabelle"/>
              <w:spacing w:before="60" w:after="40"/>
              <w:jc w:val="center"/>
              <w:rPr>
                <w:sz w:val="16"/>
              </w:rPr>
            </w:pPr>
          </w:p>
        </w:tc>
        <w:tc>
          <w:tcPr>
            <w:tcW w:w="426" w:type="dxa"/>
            <w:vAlign w:val="center"/>
          </w:tcPr>
          <w:p w14:paraId="01CC01E0" w14:textId="77777777" w:rsidR="00B47442" w:rsidRPr="0009445C" w:rsidRDefault="00B47442" w:rsidP="0099521D">
            <w:pPr>
              <w:pStyle w:val="BRL-Tabelle"/>
              <w:spacing w:before="60" w:after="40"/>
              <w:jc w:val="center"/>
              <w:rPr>
                <w:sz w:val="16"/>
              </w:rPr>
            </w:pPr>
          </w:p>
        </w:tc>
        <w:tc>
          <w:tcPr>
            <w:tcW w:w="433" w:type="dxa"/>
            <w:vAlign w:val="center"/>
          </w:tcPr>
          <w:p w14:paraId="0A7097E4" w14:textId="77777777" w:rsidR="00B47442" w:rsidRPr="0009445C" w:rsidRDefault="00B47442" w:rsidP="0099521D">
            <w:pPr>
              <w:pStyle w:val="BRL-Tabelle"/>
              <w:spacing w:before="60" w:after="40"/>
              <w:jc w:val="center"/>
              <w:rPr>
                <w:sz w:val="16"/>
              </w:rPr>
            </w:pPr>
          </w:p>
        </w:tc>
        <w:tc>
          <w:tcPr>
            <w:tcW w:w="426" w:type="dxa"/>
            <w:vAlign w:val="center"/>
          </w:tcPr>
          <w:p w14:paraId="1C7FAB13" w14:textId="77777777" w:rsidR="00B47442" w:rsidRPr="0009445C" w:rsidRDefault="00B47442" w:rsidP="0099521D">
            <w:pPr>
              <w:pStyle w:val="BRL-Tabelle"/>
              <w:spacing w:before="60" w:after="40"/>
              <w:jc w:val="center"/>
              <w:rPr>
                <w:sz w:val="16"/>
              </w:rPr>
            </w:pPr>
          </w:p>
        </w:tc>
        <w:tc>
          <w:tcPr>
            <w:tcW w:w="427" w:type="dxa"/>
            <w:vAlign w:val="center"/>
          </w:tcPr>
          <w:p w14:paraId="68D2A692" w14:textId="77777777" w:rsidR="00B47442" w:rsidRPr="0009445C" w:rsidRDefault="00B47442" w:rsidP="0099521D">
            <w:pPr>
              <w:pStyle w:val="BRL-Tabelle"/>
              <w:spacing w:before="60" w:after="40"/>
              <w:jc w:val="center"/>
              <w:rPr>
                <w:sz w:val="16"/>
              </w:rPr>
            </w:pPr>
          </w:p>
        </w:tc>
        <w:tc>
          <w:tcPr>
            <w:tcW w:w="426" w:type="dxa"/>
            <w:vAlign w:val="center"/>
          </w:tcPr>
          <w:p w14:paraId="744D2636" w14:textId="77777777" w:rsidR="00B47442" w:rsidRPr="0009445C" w:rsidRDefault="00B47442" w:rsidP="0099521D">
            <w:pPr>
              <w:pStyle w:val="BRL-Tabelle"/>
              <w:spacing w:before="60" w:after="40"/>
              <w:jc w:val="center"/>
              <w:rPr>
                <w:sz w:val="16"/>
              </w:rPr>
            </w:pPr>
          </w:p>
        </w:tc>
        <w:tc>
          <w:tcPr>
            <w:tcW w:w="427" w:type="dxa"/>
            <w:vAlign w:val="center"/>
          </w:tcPr>
          <w:p w14:paraId="4EBFCED1" w14:textId="77777777" w:rsidR="00B47442" w:rsidRPr="0009445C" w:rsidRDefault="00B47442" w:rsidP="0099521D">
            <w:pPr>
              <w:pStyle w:val="BRL-Tabelle"/>
              <w:spacing w:before="60" w:after="40"/>
              <w:jc w:val="center"/>
              <w:rPr>
                <w:rFonts w:eastAsia="Calibri"/>
                <w:sz w:val="16"/>
                <w:lang w:eastAsia="en-US"/>
              </w:rPr>
            </w:pPr>
          </w:p>
        </w:tc>
      </w:tr>
      <w:tr w:rsidR="00B47442" w:rsidRPr="0009445C" w14:paraId="49500E00" w14:textId="77777777" w:rsidTr="0099521D">
        <w:trPr>
          <w:trHeight w:val="264"/>
        </w:trPr>
        <w:tc>
          <w:tcPr>
            <w:tcW w:w="2355" w:type="dxa"/>
            <w:gridSpan w:val="2"/>
          </w:tcPr>
          <w:p w14:paraId="2A690C53" w14:textId="77777777" w:rsidR="00B47442" w:rsidRPr="0009445C" w:rsidRDefault="00B47442" w:rsidP="0099521D">
            <w:pPr>
              <w:pStyle w:val="BRL-Tabelle"/>
              <w:spacing w:before="60" w:after="40"/>
            </w:pPr>
            <w:r w:rsidRPr="0009445C">
              <w:t xml:space="preserve">Inspection of the testing device </w:t>
            </w:r>
          </w:p>
          <w:p w14:paraId="1B0A9A74" w14:textId="77777777" w:rsidR="00B47442" w:rsidRPr="0009445C" w:rsidRDefault="00B47442" w:rsidP="0099521D">
            <w:pPr>
              <w:pStyle w:val="BRL-Tabelle"/>
              <w:spacing w:before="60" w:after="40"/>
            </w:pPr>
            <w:r w:rsidRPr="0009445C">
              <w:t>(In operation)</w:t>
            </w:r>
          </w:p>
        </w:tc>
        <w:tc>
          <w:tcPr>
            <w:tcW w:w="427" w:type="dxa"/>
            <w:vAlign w:val="center"/>
          </w:tcPr>
          <w:p w14:paraId="00D426DE" w14:textId="77777777" w:rsidR="00B47442" w:rsidRPr="0009445C" w:rsidRDefault="00B47442" w:rsidP="0099521D">
            <w:pPr>
              <w:pStyle w:val="BRL-Tabelle"/>
              <w:spacing w:before="60" w:after="40"/>
              <w:jc w:val="center"/>
              <w:rPr>
                <w:sz w:val="16"/>
              </w:rPr>
            </w:pPr>
          </w:p>
        </w:tc>
        <w:tc>
          <w:tcPr>
            <w:tcW w:w="427" w:type="dxa"/>
            <w:vAlign w:val="center"/>
          </w:tcPr>
          <w:p w14:paraId="65E3B424" w14:textId="77777777" w:rsidR="00B47442" w:rsidRPr="0009445C" w:rsidRDefault="00B47442" w:rsidP="0099521D">
            <w:pPr>
              <w:pStyle w:val="BRL-Tabelle"/>
              <w:spacing w:before="60" w:after="40"/>
              <w:jc w:val="center"/>
              <w:rPr>
                <w:sz w:val="16"/>
              </w:rPr>
            </w:pPr>
          </w:p>
        </w:tc>
        <w:tc>
          <w:tcPr>
            <w:tcW w:w="426" w:type="dxa"/>
            <w:vAlign w:val="center"/>
          </w:tcPr>
          <w:p w14:paraId="6B82AA55" w14:textId="77777777" w:rsidR="00B47442" w:rsidRPr="0009445C" w:rsidRDefault="00B47442" w:rsidP="0099521D">
            <w:pPr>
              <w:pStyle w:val="BRL-Tabelle"/>
              <w:spacing w:before="60" w:after="40"/>
              <w:jc w:val="center"/>
              <w:rPr>
                <w:sz w:val="16"/>
              </w:rPr>
            </w:pPr>
          </w:p>
        </w:tc>
        <w:tc>
          <w:tcPr>
            <w:tcW w:w="427" w:type="dxa"/>
            <w:vAlign w:val="center"/>
          </w:tcPr>
          <w:p w14:paraId="0ECD81B5" w14:textId="77777777" w:rsidR="00B47442" w:rsidRPr="0009445C" w:rsidRDefault="00B47442" w:rsidP="0099521D">
            <w:pPr>
              <w:pStyle w:val="BRL-Tabelle"/>
              <w:spacing w:before="60" w:after="40"/>
              <w:jc w:val="center"/>
              <w:rPr>
                <w:sz w:val="16"/>
              </w:rPr>
            </w:pPr>
          </w:p>
        </w:tc>
        <w:tc>
          <w:tcPr>
            <w:tcW w:w="425" w:type="dxa"/>
            <w:vAlign w:val="center"/>
          </w:tcPr>
          <w:p w14:paraId="7CF5B5EC" w14:textId="77777777" w:rsidR="00B47442" w:rsidRPr="0009445C" w:rsidRDefault="00B47442" w:rsidP="0099521D">
            <w:pPr>
              <w:pStyle w:val="BRL-Tabelle"/>
              <w:spacing w:before="60" w:after="40"/>
              <w:jc w:val="center"/>
              <w:rPr>
                <w:sz w:val="16"/>
              </w:rPr>
            </w:pPr>
          </w:p>
        </w:tc>
        <w:tc>
          <w:tcPr>
            <w:tcW w:w="426" w:type="dxa"/>
            <w:vAlign w:val="center"/>
          </w:tcPr>
          <w:p w14:paraId="79510F46" w14:textId="77777777" w:rsidR="00B47442" w:rsidRPr="0009445C" w:rsidRDefault="00B47442" w:rsidP="0099521D">
            <w:pPr>
              <w:pStyle w:val="BRL-Tabelle"/>
              <w:spacing w:before="60" w:after="40"/>
              <w:jc w:val="center"/>
              <w:rPr>
                <w:sz w:val="16"/>
              </w:rPr>
            </w:pPr>
          </w:p>
        </w:tc>
        <w:tc>
          <w:tcPr>
            <w:tcW w:w="428" w:type="dxa"/>
            <w:vAlign w:val="center"/>
          </w:tcPr>
          <w:p w14:paraId="35C3EA0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7F653FB" w14:textId="77777777" w:rsidR="00B47442" w:rsidRPr="0009445C" w:rsidRDefault="00B47442" w:rsidP="0099521D">
            <w:pPr>
              <w:pStyle w:val="BRL-Tabelle"/>
              <w:spacing w:before="60" w:after="40"/>
              <w:jc w:val="center"/>
              <w:rPr>
                <w:sz w:val="16"/>
              </w:rPr>
            </w:pPr>
          </w:p>
        </w:tc>
        <w:tc>
          <w:tcPr>
            <w:tcW w:w="426" w:type="dxa"/>
            <w:vAlign w:val="center"/>
          </w:tcPr>
          <w:p w14:paraId="00008F91" w14:textId="77777777" w:rsidR="00B47442" w:rsidRPr="0009445C" w:rsidRDefault="00B47442" w:rsidP="0099521D">
            <w:pPr>
              <w:pStyle w:val="BRL-Tabelle"/>
              <w:spacing w:before="60" w:after="40"/>
              <w:jc w:val="center"/>
              <w:rPr>
                <w:sz w:val="16"/>
              </w:rPr>
            </w:pPr>
          </w:p>
        </w:tc>
        <w:tc>
          <w:tcPr>
            <w:tcW w:w="426" w:type="dxa"/>
            <w:vAlign w:val="center"/>
          </w:tcPr>
          <w:p w14:paraId="309056D0" w14:textId="77777777" w:rsidR="00B47442" w:rsidRPr="0009445C" w:rsidRDefault="00B47442" w:rsidP="0099521D">
            <w:pPr>
              <w:pStyle w:val="BRL-Tabelle"/>
              <w:spacing w:before="60" w:after="40"/>
              <w:jc w:val="center"/>
              <w:rPr>
                <w:sz w:val="16"/>
              </w:rPr>
            </w:pPr>
          </w:p>
        </w:tc>
        <w:tc>
          <w:tcPr>
            <w:tcW w:w="426" w:type="dxa"/>
            <w:vAlign w:val="center"/>
          </w:tcPr>
          <w:p w14:paraId="2C5F38B1" w14:textId="77777777" w:rsidR="00B47442" w:rsidRPr="0009445C" w:rsidRDefault="00B47442" w:rsidP="0099521D">
            <w:pPr>
              <w:pStyle w:val="BRL-Tabelle"/>
              <w:spacing w:before="60" w:after="40"/>
              <w:jc w:val="center"/>
              <w:rPr>
                <w:sz w:val="16"/>
              </w:rPr>
            </w:pPr>
          </w:p>
        </w:tc>
        <w:tc>
          <w:tcPr>
            <w:tcW w:w="433" w:type="dxa"/>
            <w:vAlign w:val="center"/>
          </w:tcPr>
          <w:p w14:paraId="5C0E985E" w14:textId="77777777" w:rsidR="00B47442" w:rsidRPr="0009445C" w:rsidRDefault="00B47442" w:rsidP="0099521D">
            <w:pPr>
              <w:pStyle w:val="BRL-Tabelle"/>
              <w:spacing w:before="60" w:after="40"/>
              <w:jc w:val="center"/>
              <w:rPr>
                <w:sz w:val="16"/>
              </w:rPr>
            </w:pPr>
          </w:p>
        </w:tc>
        <w:tc>
          <w:tcPr>
            <w:tcW w:w="426" w:type="dxa"/>
            <w:vAlign w:val="center"/>
          </w:tcPr>
          <w:p w14:paraId="36F84596" w14:textId="77777777" w:rsidR="00B47442" w:rsidRPr="0009445C" w:rsidRDefault="00B47442" w:rsidP="0099521D">
            <w:pPr>
              <w:pStyle w:val="BRL-Tabelle"/>
              <w:spacing w:before="60" w:after="40"/>
              <w:jc w:val="center"/>
              <w:rPr>
                <w:sz w:val="16"/>
              </w:rPr>
            </w:pPr>
          </w:p>
        </w:tc>
        <w:tc>
          <w:tcPr>
            <w:tcW w:w="427" w:type="dxa"/>
            <w:vAlign w:val="center"/>
          </w:tcPr>
          <w:p w14:paraId="6D92537F" w14:textId="77777777" w:rsidR="00B47442" w:rsidRPr="0009445C" w:rsidRDefault="00B47442" w:rsidP="0099521D">
            <w:pPr>
              <w:pStyle w:val="BRL-Tabelle"/>
              <w:spacing w:before="60" w:after="40"/>
              <w:jc w:val="center"/>
              <w:rPr>
                <w:sz w:val="16"/>
              </w:rPr>
            </w:pPr>
          </w:p>
        </w:tc>
        <w:tc>
          <w:tcPr>
            <w:tcW w:w="426" w:type="dxa"/>
            <w:vAlign w:val="center"/>
          </w:tcPr>
          <w:p w14:paraId="219A1E55" w14:textId="77777777" w:rsidR="00B47442" w:rsidRPr="0009445C" w:rsidRDefault="00B47442" w:rsidP="0099521D">
            <w:pPr>
              <w:pStyle w:val="BRL-Tabelle"/>
              <w:spacing w:before="60" w:after="40"/>
              <w:jc w:val="center"/>
              <w:rPr>
                <w:sz w:val="16"/>
              </w:rPr>
            </w:pPr>
          </w:p>
        </w:tc>
        <w:tc>
          <w:tcPr>
            <w:tcW w:w="427" w:type="dxa"/>
            <w:vAlign w:val="center"/>
          </w:tcPr>
          <w:p w14:paraId="308A6BA3" w14:textId="77777777" w:rsidR="00B47442" w:rsidRPr="0009445C" w:rsidRDefault="00B47442" w:rsidP="0099521D">
            <w:pPr>
              <w:pStyle w:val="BRL-Tabelle"/>
              <w:spacing w:before="60" w:after="40"/>
              <w:jc w:val="center"/>
              <w:rPr>
                <w:sz w:val="16"/>
              </w:rPr>
            </w:pPr>
          </w:p>
        </w:tc>
      </w:tr>
      <w:tr w:rsidR="00B47442" w:rsidRPr="0009445C" w14:paraId="2E488A22" w14:textId="77777777" w:rsidTr="0099521D">
        <w:trPr>
          <w:trHeight w:val="264"/>
        </w:trPr>
        <w:tc>
          <w:tcPr>
            <w:tcW w:w="2355" w:type="dxa"/>
            <w:gridSpan w:val="2"/>
          </w:tcPr>
          <w:p w14:paraId="1F360246" w14:textId="77777777" w:rsidR="00B47442" w:rsidRPr="0009445C" w:rsidRDefault="00B47442" w:rsidP="0099521D">
            <w:pPr>
              <w:pStyle w:val="BRL-Tabelle"/>
              <w:spacing w:before="60" w:after="40"/>
            </w:pPr>
            <w:r w:rsidRPr="0009445C">
              <w:lastRenderedPageBreak/>
              <w:t>Reliability test (durability test)</w:t>
            </w:r>
          </w:p>
        </w:tc>
        <w:tc>
          <w:tcPr>
            <w:tcW w:w="427" w:type="dxa"/>
            <w:vAlign w:val="center"/>
          </w:tcPr>
          <w:p w14:paraId="7601FCF6" w14:textId="77777777" w:rsidR="00B47442" w:rsidRPr="0009445C" w:rsidRDefault="00B47442" w:rsidP="0099521D">
            <w:pPr>
              <w:pStyle w:val="BRL-Tabelle"/>
              <w:spacing w:before="60" w:after="40"/>
              <w:jc w:val="center"/>
              <w:rPr>
                <w:sz w:val="16"/>
              </w:rPr>
            </w:pPr>
          </w:p>
        </w:tc>
        <w:tc>
          <w:tcPr>
            <w:tcW w:w="427" w:type="dxa"/>
            <w:vAlign w:val="center"/>
          </w:tcPr>
          <w:p w14:paraId="455258C9" w14:textId="77777777" w:rsidR="00B47442" w:rsidRPr="0009445C" w:rsidRDefault="00B47442" w:rsidP="0099521D">
            <w:pPr>
              <w:pStyle w:val="BRL-Tabelle"/>
              <w:spacing w:before="60" w:after="40"/>
              <w:jc w:val="center"/>
              <w:rPr>
                <w:sz w:val="16"/>
              </w:rPr>
            </w:pPr>
          </w:p>
        </w:tc>
        <w:tc>
          <w:tcPr>
            <w:tcW w:w="426" w:type="dxa"/>
            <w:vAlign w:val="center"/>
          </w:tcPr>
          <w:p w14:paraId="0324F4C2" w14:textId="77777777" w:rsidR="00B47442" w:rsidRPr="0009445C" w:rsidRDefault="00B47442" w:rsidP="0099521D">
            <w:pPr>
              <w:pStyle w:val="BRL-Tabelle"/>
              <w:spacing w:before="60" w:after="40"/>
              <w:jc w:val="center"/>
              <w:rPr>
                <w:sz w:val="16"/>
              </w:rPr>
            </w:pPr>
          </w:p>
        </w:tc>
        <w:tc>
          <w:tcPr>
            <w:tcW w:w="427" w:type="dxa"/>
            <w:vAlign w:val="center"/>
          </w:tcPr>
          <w:p w14:paraId="3BCE72DF" w14:textId="77777777" w:rsidR="00B47442" w:rsidRPr="0009445C" w:rsidRDefault="00B47442" w:rsidP="0099521D">
            <w:pPr>
              <w:pStyle w:val="BRL-Tabelle"/>
              <w:spacing w:before="60" w:after="40"/>
              <w:jc w:val="center"/>
              <w:rPr>
                <w:sz w:val="16"/>
              </w:rPr>
            </w:pPr>
          </w:p>
        </w:tc>
        <w:tc>
          <w:tcPr>
            <w:tcW w:w="425" w:type="dxa"/>
            <w:vAlign w:val="center"/>
          </w:tcPr>
          <w:p w14:paraId="7A1997EC" w14:textId="77777777" w:rsidR="00B47442" w:rsidRPr="0009445C" w:rsidRDefault="00B47442" w:rsidP="0099521D">
            <w:pPr>
              <w:pStyle w:val="BRL-Tabelle"/>
              <w:spacing w:before="60" w:after="40"/>
              <w:jc w:val="center"/>
              <w:rPr>
                <w:sz w:val="16"/>
              </w:rPr>
            </w:pPr>
          </w:p>
        </w:tc>
        <w:tc>
          <w:tcPr>
            <w:tcW w:w="426" w:type="dxa"/>
            <w:vAlign w:val="center"/>
          </w:tcPr>
          <w:p w14:paraId="42E63172" w14:textId="77777777" w:rsidR="00B47442" w:rsidRPr="0009445C" w:rsidRDefault="00B47442" w:rsidP="0099521D">
            <w:pPr>
              <w:pStyle w:val="BRL-Tabelle"/>
              <w:spacing w:before="60" w:after="40"/>
              <w:jc w:val="center"/>
              <w:rPr>
                <w:sz w:val="16"/>
              </w:rPr>
            </w:pPr>
          </w:p>
        </w:tc>
        <w:tc>
          <w:tcPr>
            <w:tcW w:w="428" w:type="dxa"/>
            <w:vAlign w:val="center"/>
          </w:tcPr>
          <w:p w14:paraId="1403ADD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6C31F41D" w14:textId="77777777" w:rsidR="00B47442" w:rsidRPr="0009445C" w:rsidRDefault="00B47442" w:rsidP="0099521D">
            <w:pPr>
              <w:pStyle w:val="BRL-Tabelle"/>
              <w:spacing w:before="60" w:after="40"/>
              <w:jc w:val="center"/>
              <w:rPr>
                <w:sz w:val="16"/>
              </w:rPr>
            </w:pPr>
          </w:p>
        </w:tc>
        <w:tc>
          <w:tcPr>
            <w:tcW w:w="426" w:type="dxa"/>
            <w:vAlign w:val="center"/>
          </w:tcPr>
          <w:p w14:paraId="536EEDE7" w14:textId="77777777" w:rsidR="00B47442" w:rsidRPr="0009445C" w:rsidRDefault="00B47442" w:rsidP="0099521D">
            <w:pPr>
              <w:pStyle w:val="BRL-Tabelle"/>
              <w:spacing w:before="60" w:after="40"/>
              <w:jc w:val="center"/>
              <w:rPr>
                <w:sz w:val="16"/>
              </w:rPr>
            </w:pPr>
          </w:p>
        </w:tc>
        <w:tc>
          <w:tcPr>
            <w:tcW w:w="426" w:type="dxa"/>
            <w:vAlign w:val="center"/>
          </w:tcPr>
          <w:p w14:paraId="61A98A03" w14:textId="77777777" w:rsidR="00B47442" w:rsidRPr="0009445C" w:rsidRDefault="00B47442" w:rsidP="0099521D">
            <w:pPr>
              <w:pStyle w:val="BRL-Tabelle"/>
              <w:spacing w:before="60" w:after="40"/>
              <w:jc w:val="center"/>
              <w:rPr>
                <w:sz w:val="16"/>
              </w:rPr>
            </w:pPr>
          </w:p>
        </w:tc>
        <w:tc>
          <w:tcPr>
            <w:tcW w:w="426" w:type="dxa"/>
            <w:vAlign w:val="center"/>
          </w:tcPr>
          <w:p w14:paraId="40207FCA" w14:textId="77777777" w:rsidR="00B47442" w:rsidRPr="0009445C" w:rsidRDefault="00B47442" w:rsidP="0099521D">
            <w:pPr>
              <w:pStyle w:val="BRL-Tabelle"/>
              <w:spacing w:before="60" w:after="40"/>
              <w:jc w:val="center"/>
              <w:rPr>
                <w:sz w:val="16"/>
              </w:rPr>
            </w:pPr>
          </w:p>
        </w:tc>
        <w:tc>
          <w:tcPr>
            <w:tcW w:w="433" w:type="dxa"/>
            <w:vAlign w:val="center"/>
          </w:tcPr>
          <w:p w14:paraId="39D33509" w14:textId="77777777" w:rsidR="00B47442" w:rsidRPr="0009445C" w:rsidRDefault="00B47442" w:rsidP="0099521D">
            <w:pPr>
              <w:pStyle w:val="BRL-Tabelle"/>
              <w:spacing w:before="60" w:after="40"/>
              <w:jc w:val="center"/>
              <w:rPr>
                <w:sz w:val="16"/>
              </w:rPr>
            </w:pPr>
          </w:p>
        </w:tc>
        <w:tc>
          <w:tcPr>
            <w:tcW w:w="426" w:type="dxa"/>
            <w:vAlign w:val="center"/>
          </w:tcPr>
          <w:p w14:paraId="76A66D23" w14:textId="77777777" w:rsidR="00B47442" w:rsidRPr="0009445C" w:rsidRDefault="00B47442" w:rsidP="0099521D">
            <w:pPr>
              <w:pStyle w:val="BRL-Tabelle"/>
              <w:spacing w:before="60" w:after="40"/>
              <w:jc w:val="center"/>
              <w:rPr>
                <w:sz w:val="16"/>
              </w:rPr>
            </w:pPr>
          </w:p>
        </w:tc>
        <w:tc>
          <w:tcPr>
            <w:tcW w:w="427" w:type="dxa"/>
            <w:vAlign w:val="center"/>
          </w:tcPr>
          <w:p w14:paraId="69B5D3DE" w14:textId="77777777" w:rsidR="00B47442" w:rsidRPr="0009445C" w:rsidRDefault="00B47442" w:rsidP="0099521D">
            <w:pPr>
              <w:pStyle w:val="BRL-Tabelle"/>
              <w:spacing w:before="60" w:after="40"/>
              <w:jc w:val="center"/>
              <w:rPr>
                <w:sz w:val="16"/>
              </w:rPr>
            </w:pPr>
          </w:p>
        </w:tc>
        <w:tc>
          <w:tcPr>
            <w:tcW w:w="426" w:type="dxa"/>
            <w:vAlign w:val="center"/>
          </w:tcPr>
          <w:p w14:paraId="7F8DEB19" w14:textId="77777777" w:rsidR="00B47442" w:rsidRPr="0009445C" w:rsidRDefault="00B47442" w:rsidP="0099521D">
            <w:pPr>
              <w:pStyle w:val="BRL-Tabelle"/>
              <w:spacing w:before="60" w:after="40"/>
              <w:jc w:val="center"/>
              <w:rPr>
                <w:sz w:val="16"/>
              </w:rPr>
            </w:pPr>
          </w:p>
        </w:tc>
        <w:tc>
          <w:tcPr>
            <w:tcW w:w="427" w:type="dxa"/>
            <w:vAlign w:val="center"/>
          </w:tcPr>
          <w:p w14:paraId="02811D2A" w14:textId="77777777" w:rsidR="00B47442" w:rsidRPr="0009445C" w:rsidRDefault="00B47442" w:rsidP="0099521D">
            <w:pPr>
              <w:pStyle w:val="BRL-Tabelle"/>
              <w:spacing w:before="60" w:after="40"/>
              <w:jc w:val="center"/>
              <w:rPr>
                <w:sz w:val="16"/>
              </w:rPr>
            </w:pPr>
          </w:p>
        </w:tc>
      </w:tr>
      <w:tr w:rsidR="00B47442" w:rsidRPr="0009445C" w14:paraId="3C8F39B7" w14:textId="77777777" w:rsidTr="0099521D">
        <w:trPr>
          <w:trHeight w:val="264"/>
        </w:trPr>
        <w:tc>
          <w:tcPr>
            <w:tcW w:w="2355" w:type="dxa"/>
            <w:gridSpan w:val="2"/>
          </w:tcPr>
          <w:p w14:paraId="2FE804D5" w14:textId="77777777" w:rsidR="00B47442" w:rsidRPr="0009445C" w:rsidRDefault="00B47442" w:rsidP="0099521D">
            <w:pPr>
              <w:pStyle w:val="BRL-Tabelle"/>
              <w:spacing w:before="60" w:after="40"/>
            </w:pPr>
            <w:r w:rsidRPr="0009445C">
              <w:t>Voice alarm status</w:t>
            </w:r>
          </w:p>
        </w:tc>
        <w:tc>
          <w:tcPr>
            <w:tcW w:w="427" w:type="dxa"/>
            <w:vAlign w:val="center"/>
          </w:tcPr>
          <w:p w14:paraId="730E3EFC" w14:textId="77777777" w:rsidR="00B47442" w:rsidRPr="0009445C" w:rsidRDefault="00B47442" w:rsidP="0099521D">
            <w:pPr>
              <w:pStyle w:val="BRL-Tabelle"/>
              <w:spacing w:before="60" w:after="40"/>
              <w:jc w:val="center"/>
              <w:rPr>
                <w:sz w:val="16"/>
              </w:rPr>
            </w:pPr>
          </w:p>
        </w:tc>
        <w:tc>
          <w:tcPr>
            <w:tcW w:w="427" w:type="dxa"/>
            <w:vAlign w:val="center"/>
          </w:tcPr>
          <w:p w14:paraId="04934110" w14:textId="77777777" w:rsidR="00B47442" w:rsidRPr="0009445C" w:rsidRDefault="00B47442" w:rsidP="0099521D">
            <w:pPr>
              <w:pStyle w:val="BRL-Tabelle"/>
              <w:spacing w:before="60" w:after="40"/>
              <w:jc w:val="center"/>
              <w:rPr>
                <w:sz w:val="16"/>
              </w:rPr>
            </w:pPr>
          </w:p>
        </w:tc>
        <w:tc>
          <w:tcPr>
            <w:tcW w:w="426" w:type="dxa"/>
            <w:vAlign w:val="center"/>
          </w:tcPr>
          <w:p w14:paraId="2033AB80" w14:textId="77777777" w:rsidR="00B47442" w:rsidRPr="0009445C" w:rsidRDefault="00B47442" w:rsidP="0099521D">
            <w:pPr>
              <w:pStyle w:val="BRL-Tabelle"/>
              <w:spacing w:before="60" w:after="40"/>
              <w:jc w:val="center"/>
              <w:rPr>
                <w:sz w:val="16"/>
              </w:rPr>
            </w:pPr>
          </w:p>
        </w:tc>
        <w:tc>
          <w:tcPr>
            <w:tcW w:w="427" w:type="dxa"/>
            <w:vAlign w:val="center"/>
          </w:tcPr>
          <w:p w14:paraId="7947192D" w14:textId="77777777" w:rsidR="00B47442" w:rsidRPr="0009445C" w:rsidRDefault="00B47442" w:rsidP="0099521D">
            <w:pPr>
              <w:pStyle w:val="BRL-Tabelle"/>
              <w:spacing w:before="60" w:after="40"/>
              <w:jc w:val="center"/>
              <w:rPr>
                <w:sz w:val="16"/>
              </w:rPr>
            </w:pPr>
          </w:p>
        </w:tc>
        <w:tc>
          <w:tcPr>
            <w:tcW w:w="425" w:type="dxa"/>
            <w:vAlign w:val="center"/>
          </w:tcPr>
          <w:p w14:paraId="379DBEB9" w14:textId="77777777" w:rsidR="00B47442" w:rsidRPr="0009445C" w:rsidRDefault="00B47442" w:rsidP="0099521D">
            <w:pPr>
              <w:pStyle w:val="BRL-Tabelle"/>
              <w:spacing w:before="60" w:after="40"/>
              <w:jc w:val="center"/>
              <w:rPr>
                <w:sz w:val="16"/>
              </w:rPr>
            </w:pPr>
          </w:p>
        </w:tc>
        <w:tc>
          <w:tcPr>
            <w:tcW w:w="426" w:type="dxa"/>
            <w:vAlign w:val="center"/>
          </w:tcPr>
          <w:p w14:paraId="39AA7DEC" w14:textId="77777777" w:rsidR="00B47442" w:rsidRPr="0009445C" w:rsidRDefault="00B47442" w:rsidP="0099521D">
            <w:pPr>
              <w:pStyle w:val="BRL-Tabelle"/>
              <w:spacing w:before="60" w:after="40"/>
              <w:jc w:val="center"/>
              <w:rPr>
                <w:sz w:val="16"/>
              </w:rPr>
            </w:pPr>
          </w:p>
        </w:tc>
        <w:tc>
          <w:tcPr>
            <w:tcW w:w="428" w:type="dxa"/>
            <w:vAlign w:val="center"/>
          </w:tcPr>
          <w:p w14:paraId="5CADA1D9" w14:textId="77777777" w:rsidR="00B47442" w:rsidRPr="0009445C" w:rsidRDefault="00B47442" w:rsidP="0099521D">
            <w:pPr>
              <w:pStyle w:val="BRL-Tabelle"/>
              <w:spacing w:before="60" w:after="40"/>
              <w:jc w:val="center"/>
              <w:rPr>
                <w:sz w:val="16"/>
              </w:rPr>
            </w:pPr>
          </w:p>
        </w:tc>
        <w:tc>
          <w:tcPr>
            <w:tcW w:w="427" w:type="dxa"/>
            <w:vAlign w:val="center"/>
          </w:tcPr>
          <w:p w14:paraId="0C26D6E1" w14:textId="77777777" w:rsidR="00B47442" w:rsidRPr="0009445C" w:rsidRDefault="00B47442" w:rsidP="0099521D">
            <w:pPr>
              <w:pStyle w:val="BRL-Tabelle"/>
              <w:spacing w:before="60" w:after="40"/>
              <w:jc w:val="center"/>
              <w:rPr>
                <w:sz w:val="16"/>
              </w:rPr>
            </w:pPr>
          </w:p>
        </w:tc>
        <w:tc>
          <w:tcPr>
            <w:tcW w:w="426" w:type="dxa"/>
            <w:vAlign w:val="center"/>
          </w:tcPr>
          <w:p w14:paraId="490E2F6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03E89EB" w14:textId="77777777" w:rsidR="00B47442" w:rsidRPr="0009445C" w:rsidRDefault="00B47442" w:rsidP="0099521D">
            <w:pPr>
              <w:pStyle w:val="BRL-Tabelle"/>
              <w:spacing w:before="60" w:after="40"/>
              <w:jc w:val="center"/>
              <w:rPr>
                <w:sz w:val="16"/>
              </w:rPr>
            </w:pPr>
          </w:p>
        </w:tc>
        <w:tc>
          <w:tcPr>
            <w:tcW w:w="426" w:type="dxa"/>
            <w:vAlign w:val="center"/>
          </w:tcPr>
          <w:p w14:paraId="3A3DD8FC" w14:textId="77777777" w:rsidR="00B47442" w:rsidRPr="0009445C" w:rsidRDefault="00B47442" w:rsidP="0099521D">
            <w:pPr>
              <w:pStyle w:val="BRL-Tabelle"/>
              <w:spacing w:before="60" w:after="40"/>
              <w:jc w:val="center"/>
              <w:rPr>
                <w:sz w:val="16"/>
              </w:rPr>
            </w:pPr>
          </w:p>
        </w:tc>
        <w:tc>
          <w:tcPr>
            <w:tcW w:w="433" w:type="dxa"/>
            <w:vAlign w:val="center"/>
          </w:tcPr>
          <w:p w14:paraId="71BA0280" w14:textId="77777777" w:rsidR="00B47442" w:rsidRPr="0009445C" w:rsidRDefault="00B47442" w:rsidP="0099521D">
            <w:pPr>
              <w:pStyle w:val="BRL-Tabelle"/>
              <w:spacing w:before="60" w:after="40"/>
              <w:jc w:val="center"/>
              <w:rPr>
                <w:sz w:val="16"/>
              </w:rPr>
            </w:pPr>
          </w:p>
        </w:tc>
        <w:tc>
          <w:tcPr>
            <w:tcW w:w="426" w:type="dxa"/>
            <w:vAlign w:val="center"/>
          </w:tcPr>
          <w:p w14:paraId="07FEE93B" w14:textId="77777777" w:rsidR="00B47442" w:rsidRPr="0009445C" w:rsidRDefault="00B47442" w:rsidP="0099521D">
            <w:pPr>
              <w:pStyle w:val="BRL-Tabelle"/>
              <w:spacing w:before="60" w:after="40"/>
              <w:jc w:val="center"/>
              <w:rPr>
                <w:sz w:val="16"/>
              </w:rPr>
            </w:pPr>
          </w:p>
        </w:tc>
        <w:tc>
          <w:tcPr>
            <w:tcW w:w="427" w:type="dxa"/>
            <w:vAlign w:val="center"/>
          </w:tcPr>
          <w:p w14:paraId="5946324E" w14:textId="77777777" w:rsidR="00B47442" w:rsidRPr="0009445C" w:rsidRDefault="00B47442" w:rsidP="0099521D">
            <w:pPr>
              <w:pStyle w:val="BRL-Tabelle"/>
              <w:spacing w:before="60" w:after="40"/>
              <w:jc w:val="center"/>
              <w:rPr>
                <w:sz w:val="16"/>
              </w:rPr>
            </w:pPr>
          </w:p>
        </w:tc>
        <w:tc>
          <w:tcPr>
            <w:tcW w:w="426" w:type="dxa"/>
            <w:vAlign w:val="center"/>
          </w:tcPr>
          <w:p w14:paraId="7504CB2D" w14:textId="77777777" w:rsidR="00B47442" w:rsidRPr="0009445C" w:rsidRDefault="00B47442" w:rsidP="0099521D">
            <w:pPr>
              <w:pStyle w:val="BRL-Tabelle"/>
              <w:spacing w:before="60" w:after="40"/>
              <w:jc w:val="center"/>
              <w:rPr>
                <w:sz w:val="16"/>
              </w:rPr>
            </w:pPr>
          </w:p>
        </w:tc>
        <w:tc>
          <w:tcPr>
            <w:tcW w:w="427" w:type="dxa"/>
            <w:vAlign w:val="center"/>
          </w:tcPr>
          <w:p w14:paraId="53F36C51" w14:textId="77777777" w:rsidR="00B47442" w:rsidRPr="0009445C" w:rsidRDefault="00B47442" w:rsidP="0099521D">
            <w:pPr>
              <w:pStyle w:val="BRL-Tabelle"/>
              <w:spacing w:before="60" w:after="40"/>
              <w:jc w:val="center"/>
              <w:rPr>
                <w:sz w:val="16"/>
              </w:rPr>
            </w:pPr>
          </w:p>
        </w:tc>
      </w:tr>
      <w:tr w:rsidR="00B47442" w:rsidRPr="0009445C" w14:paraId="201EFA02" w14:textId="77777777" w:rsidTr="0099521D">
        <w:trPr>
          <w:trHeight w:val="264"/>
        </w:trPr>
        <w:tc>
          <w:tcPr>
            <w:tcW w:w="2355" w:type="dxa"/>
            <w:gridSpan w:val="2"/>
          </w:tcPr>
          <w:p w14:paraId="5DA5F699" w14:textId="77777777" w:rsidR="00B47442" w:rsidRPr="0009445C" w:rsidRDefault="00B47442" w:rsidP="0099521D">
            <w:pPr>
              <w:pStyle w:val="BRL-Tabelle"/>
              <w:spacing w:before="60" w:after="40"/>
            </w:pPr>
            <w:r w:rsidRPr="0009445C">
              <w:t>Manual triggering of voice alarm</w:t>
            </w:r>
          </w:p>
        </w:tc>
        <w:tc>
          <w:tcPr>
            <w:tcW w:w="427" w:type="dxa"/>
            <w:vAlign w:val="center"/>
          </w:tcPr>
          <w:p w14:paraId="42F2329C" w14:textId="77777777" w:rsidR="00B47442" w:rsidRPr="0009445C" w:rsidRDefault="00B47442" w:rsidP="0099521D">
            <w:pPr>
              <w:pStyle w:val="BRL-Tabelle"/>
              <w:spacing w:before="60" w:after="40"/>
              <w:jc w:val="center"/>
              <w:rPr>
                <w:sz w:val="16"/>
              </w:rPr>
            </w:pPr>
          </w:p>
        </w:tc>
        <w:tc>
          <w:tcPr>
            <w:tcW w:w="427" w:type="dxa"/>
            <w:vAlign w:val="center"/>
          </w:tcPr>
          <w:p w14:paraId="608C5B25" w14:textId="77777777" w:rsidR="00B47442" w:rsidRPr="0009445C" w:rsidRDefault="00B47442" w:rsidP="0099521D">
            <w:pPr>
              <w:pStyle w:val="BRL-Tabelle"/>
              <w:spacing w:before="60" w:after="40"/>
              <w:jc w:val="center"/>
              <w:rPr>
                <w:sz w:val="16"/>
              </w:rPr>
            </w:pPr>
          </w:p>
        </w:tc>
        <w:tc>
          <w:tcPr>
            <w:tcW w:w="426" w:type="dxa"/>
            <w:vAlign w:val="center"/>
          </w:tcPr>
          <w:p w14:paraId="0391776E" w14:textId="77777777" w:rsidR="00B47442" w:rsidRPr="0009445C" w:rsidRDefault="00B47442" w:rsidP="0099521D">
            <w:pPr>
              <w:pStyle w:val="BRL-Tabelle"/>
              <w:spacing w:before="60" w:after="40"/>
              <w:jc w:val="center"/>
              <w:rPr>
                <w:sz w:val="16"/>
              </w:rPr>
            </w:pPr>
          </w:p>
        </w:tc>
        <w:tc>
          <w:tcPr>
            <w:tcW w:w="427" w:type="dxa"/>
            <w:vAlign w:val="center"/>
          </w:tcPr>
          <w:p w14:paraId="7E9F7A65" w14:textId="77777777" w:rsidR="00B47442" w:rsidRPr="0009445C" w:rsidRDefault="00B47442" w:rsidP="0099521D">
            <w:pPr>
              <w:pStyle w:val="BRL-Tabelle"/>
              <w:spacing w:before="60" w:after="40"/>
              <w:jc w:val="center"/>
              <w:rPr>
                <w:sz w:val="16"/>
              </w:rPr>
            </w:pPr>
          </w:p>
        </w:tc>
        <w:tc>
          <w:tcPr>
            <w:tcW w:w="425" w:type="dxa"/>
            <w:vAlign w:val="center"/>
          </w:tcPr>
          <w:p w14:paraId="472760D0" w14:textId="77777777" w:rsidR="00B47442" w:rsidRPr="0009445C" w:rsidRDefault="00B47442" w:rsidP="0099521D">
            <w:pPr>
              <w:pStyle w:val="BRL-Tabelle"/>
              <w:spacing w:before="60" w:after="40"/>
              <w:jc w:val="center"/>
              <w:rPr>
                <w:sz w:val="16"/>
              </w:rPr>
            </w:pPr>
          </w:p>
        </w:tc>
        <w:tc>
          <w:tcPr>
            <w:tcW w:w="426" w:type="dxa"/>
            <w:vAlign w:val="center"/>
          </w:tcPr>
          <w:p w14:paraId="4CB9E999" w14:textId="77777777" w:rsidR="00B47442" w:rsidRPr="0009445C" w:rsidRDefault="00B47442" w:rsidP="0099521D">
            <w:pPr>
              <w:pStyle w:val="BRL-Tabelle"/>
              <w:spacing w:before="60" w:after="40"/>
              <w:jc w:val="center"/>
              <w:rPr>
                <w:sz w:val="16"/>
              </w:rPr>
            </w:pPr>
          </w:p>
        </w:tc>
        <w:tc>
          <w:tcPr>
            <w:tcW w:w="428" w:type="dxa"/>
            <w:vAlign w:val="center"/>
          </w:tcPr>
          <w:p w14:paraId="13436ADA" w14:textId="77777777" w:rsidR="00B47442" w:rsidRPr="0009445C" w:rsidRDefault="00B47442" w:rsidP="0099521D">
            <w:pPr>
              <w:pStyle w:val="BRL-Tabelle"/>
              <w:spacing w:before="60" w:after="40"/>
              <w:jc w:val="center"/>
              <w:rPr>
                <w:sz w:val="16"/>
              </w:rPr>
            </w:pPr>
          </w:p>
        </w:tc>
        <w:tc>
          <w:tcPr>
            <w:tcW w:w="427" w:type="dxa"/>
            <w:vAlign w:val="center"/>
          </w:tcPr>
          <w:p w14:paraId="1C66DFA0" w14:textId="77777777" w:rsidR="00B47442" w:rsidRPr="0009445C" w:rsidRDefault="00B47442" w:rsidP="0099521D">
            <w:pPr>
              <w:pStyle w:val="BRL-Tabelle"/>
              <w:spacing w:before="60" w:after="40"/>
              <w:jc w:val="center"/>
              <w:rPr>
                <w:sz w:val="16"/>
              </w:rPr>
            </w:pPr>
          </w:p>
        </w:tc>
        <w:tc>
          <w:tcPr>
            <w:tcW w:w="426" w:type="dxa"/>
            <w:vAlign w:val="center"/>
          </w:tcPr>
          <w:p w14:paraId="319DB9F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AF42574" w14:textId="77777777" w:rsidR="00B47442" w:rsidRPr="0009445C" w:rsidRDefault="00B47442" w:rsidP="0099521D">
            <w:pPr>
              <w:pStyle w:val="BRL-Tabelle"/>
              <w:spacing w:before="60" w:after="40"/>
              <w:jc w:val="center"/>
              <w:rPr>
                <w:sz w:val="16"/>
              </w:rPr>
            </w:pPr>
          </w:p>
        </w:tc>
        <w:tc>
          <w:tcPr>
            <w:tcW w:w="426" w:type="dxa"/>
            <w:vAlign w:val="center"/>
          </w:tcPr>
          <w:p w14:paraId="534D9C1F" w14:textId="77777777" w:rsidR="00B47442" w:rsidRPr="0009445C" w:rsidRDefault="00B47442" w:rsidP="0099521D">
            <w:pPr>
              <w:pStyle w:val="BRL-Tabelle"/>
              <w:spacing w:before="60" w:after="40"/>
              <w:jc w:val="center"/>
              <w:rPr>
                <w:sz w:val="16"/>
              </w:rPr>
            </w:pPr>
          </w:p>
        </w:tc>
        <w:tc>
          <w:tcPr>
            <w:tcW w:w="433" w:type="dxa"/>
            <w:vAlign w:val="center"/>
          </w:tcPr>
          <w:p w14:paraId="636B27F4" w14:textId="77777777" w:rsidR="00B47442" w:rsidRPr="0009445C" w:rsidRDefault="00B47442" w:rsidP="0099521D">
            <w:pPr>
              <w:pStyle w:val="BRL-Tabelle"/>
              <w:spacing w:before="60" w:after="40"/>
              <w:jc w:val="center"/>
              <w:rPr>
                <w:sz w:val="16"/>
              </w:rPr>
            </w:pPr>
          </w:p>
        </w:tc>
        <w:tc>
          <w:tcPr>
            <w:tcW w:w="426" w:type="dxa"/>
            <w:vAlign w:val="center"/>
          </w:tcPr>
          <w:p w14:paraId="20E89B8D" w14:textId="77777777" w:rsidR="00B47442" w:rsidRPr="0009445C" w:rsidRDefault="00B47442" w:rsidP="0099521D">
            <w:pPr>
              <w:pStyle w:val="BRL-Tabelle"/>
              <w:spacing w:before="60" w:after="40"/>
              <w:jc w:val="center"/>
              <w:rPr>
                <w:sz w:val="16"/>
              </w:rPr>
            </w:pPr>
          </w:p>
        </w:tc>
        <w:tc>
          <w:tcPr>
            <w:tcW w:w="427" w:type="dxa"/>
            <w:vAlign w:val="center"/>
          </w:tcPr>
          <w:p w14:paraId="16A436E2" w14:textId="77777777" w:rsidR="00B47442" w:rsidRPr="0009445C" w:rsidRDefault="00B47442" w:rsidP="0099521D">
            <w:pPr>
              <w:pStyle w:val="BRL-Tabelle"/>
              <w:spacing w:before="60" w:after="40"/>
              <w:jc w:val="center"/>
              <w:rPr>
                <w:sz w:val="16"/>
              </w:rPr>
            </w:pPr>
          </w:p>
        </w:tc>
        <w:tc>
          <w:tcPr>
            <w:tcW w:w="426" w:type="dxa"/>
            <w:vAlign w:val="center"/>
          </w:tcPr>
          <w:p w14:paraId="34DA3A98" w14:textId="77777777" w:rsidR="00B47442" w:rsidRPr="0009445C" w:rsidRDefault="00B47442" w:rsidP="0099521D">
            <w:pPr>
              <w:pStyle w:val="BRL-Tabelle"/>
              <w:spacing w:before="60" w:after="40"/>
              <w:jc w:val="center"/>
              <w:rPr>
                <w:sz w:val="16"/>
              </w:rPr>
            </w:pPr>
          </w:p>
        </w:tc>
        <w:tc>
          <w:tcPr>
            <w:tcW w:w="427" w:type="dxa"/>
            <w:vAlign w:val="center"/>
          </w:tcPr>
          <w:p w14:paraId="33069F6D" w14:textId="77777777" w:rsidR="00B47442" w:rsidRPr="0009445C" w:rsidRDefault="00B47442" w:rsidP="0099521D">
            <w:pPr>
              <w:pStyle w:val="BRL-Tabelle"/>
              <w:spacing w:before="60" w:after="40"/>
              <w:jc w:val="center"/>
              <w:rPr>
                <w:sz w:val="16"/>
              </w:rPr>
            </w:pPr>
          </w:p>
        </w:tc>
      </w:tr>
      <w:tr w:rsidR="00B47442" w:rsidRPr="0009445C" w14:paraId="22B550CA" w14:textId="77777777" w:rsidTr="0099521D">
        <w:trPr>
          <w:trHeight w:val="264"/>
        </w:trPr>
        <w:tc>
          <w:tcPr>
            <w:tcW w:w="2355" w:type="dxa"/>
            <w:gridSpan w:val="2"/>
          </w:tcPr>
          <w:p w14:paraId="5F69D74C" w14:textId="77777777" w:rsidR="00B47442" w:rsidRPr="0009445C" w:rsidRDefault="00B47442" w:rsidP="0099521D">
            <w:pPr>
              <w:pStyle w:val="BRL-Tabelle"/>
              <w:spacing w:before="60" w:after="40"/>
            </w:pPr>
            <w:r w:rsidRPr="0009445C">
              <w:t>Interface to external controls</w:t>
            </w:r>
          </w:p>
        </w:tc>
        <w:tc>
          <w:tcPr>
            <w:tcW w:w="427" w:type="dxa"/>
            <w:vAlign w:val="center"/>
          </w:tcPr>
          <w:p w14:paraId="7A755DC4" w14:textId="77777777" w:rsidR="00B47442" w:rsidRPr="0009445C" w:rsidRDefault="00B47442" w:rsidP="0099521D">
            <w:pPr>
              <w:pStyle w:val="BRL-Tabelle"/>
              <w:spacing w:before="60" w:after="40"/>
              <w:jc w:val="center"/>
              <w:rPr>
                <w:sz w:val="16"/>
              </w:rPr>
            </w:pPr>
          </w:p>
        </w:tc>
        <w:tc>
          <w:tcPr>
            <w:tcW w:w="427" w:type="dxa"/>
            <w:vAlign w:val="center"/>
          </w:tcPr>
          <w:p w14:paraId="039B1C45" w14:textId="77777777" w:rsidR="00B47442" w:rsidRPr="0009445C" w:rsidRDefault="00B47442" w:rsidP="0099521D">
            <w:pPr>
              <w:pStyle w:val="BRL-Tabelle"/>
              <w:spacing w:before="60" w:after="40"/>
              <w:jc w:val="center"/>
              <w:rPr>
                <w:sz w:val="16"/>
              </w:rPr>
            </w:pPr>
          </w:p>
        </w:tc>
        <w:tc>
          <w:tcPr>
            <w:tcW w:w="426" w:type="dxa"/>
            <w:vAlign w:val="center"/>
          </w:tcPr>
          <w:p w14:paraId="7098447A" w14:textId="77777777" w:rsidR="00B47442" w:rsidRPr="0009445C" w:rsidRDefault="00B47442" w:rsidP="0099521D">
            <w:pPr>
              <w:pStyle w:val="BRL-Tabelle"/>
              <w:spacing w:before="60" w:after="40"/>
              <w:jc w:val="center"/>
              <w:rPr>
                <w:sz w:val="16"/>
              </w:rPr>
            </w:pPr>
          </w:p>
        </w:tc>
        <w:tc>
          <w:tcPr>
            <w:tcW w:w="427" w:type="dxa"/>
            <w:vAlign w:val="center"/>
          </w:tcPr>
          <w:p w14:paraId="1C87EC1E" w14:textId="77777777" w:rsidR="00B47442" w:rsidRPr="0009445C" w:rsidRDefault="00B47442" w:rsidP="0099521D">
            <w:pPr>
              <w:pStyle w:val="BRL-Tabelle"/>
              <w:spacing w:before="60" w:after="40"/>
              <w:jc w:val="center"/>
              <w:rPr>
                <w:sz w:val="16"/>
              </w:rPr>
            </w:pPr>
          </w:p>
        </w:tc>
        <w:tc>
          <w:tcPr>
            <w:tcW w:w="425" w:type="dxa"/>
            <w:vAlign w:val="center"/>
          </w:tcPr>
          <w:p w14:paraId="2579EEAD" w14:textId="77777777" w:rsidR="00B47442" w:rsidRPr="0009445C" w:rsidRDefault="00B47442" w:rsidP="0099521D">
            <w:pPr>
              <w:pStyle w:val="BRL-Tabelle"/>
              <w:spacing w:before="60" w:after="40"/>
              <w:jc w:val="center"/>
              <w:rPr>
                <w:sz w:val="16"/>
              </w:rPr>
            </w:pPr>
          </w:p>
        </w:tc>
        <w:tc>
          <w:tcPr>
            <w:tcW w:w="426" w:type="dxa"/>
            <w:vAlign w:val="center"/>
          </w:tcPr>
          <w:p w14:paraId="51C62A07" w14:textId="77777777" w:rsidR="00B47442" w:rsidRPr="0009445C" w:rsidRDefault="00B47442" w:rsidP="0099521D">
            <w:pPr>
              <w:pStyle w:val="BRL-Tabelle"/>
              <w:spacing w:before="60" w:after="40"/>
              <w:jc w:val="center"/>
              <w:rPr>
                <w:sz w:val="16"/>
              </w:rPr>
            </w:pPr>
          </w:p>
        </w:tc>
        <w:tc>
          <w:tcPr>
            <w:tcW w:w="428" w:type="dxa"/>
            <w:vAlign w:val="center"/>
          </w:tcPr>
          <w:p w14:paraId="3A473DD0" w14:textId="77777777" w:rsidR="00B47442" w:rsidRPr="0009445C" w:rsidRDefault="00B47442" w:rsidP="0099521D">
            <w:pPr>
              <w:pStyle w:val="BRL-Tabelle"/>
              <w:spacing w:before="60" w:after="40"/>
              <w:jc w:val="center"/>
              <w:rPr>
                <w:sz w:val="16"/>
              </w:rPr>
            </w:pPr>
          </w:p>
        </w:tc>
        <w:tc>
          <w:tcPr>
            <w:tcW w:w="427" w:type="dxa"/>
            <w:vAlign w:val="center"/>
          </w:tcPr>
          <w:p w14:paraId="5A1B2449" w14:textId="77777777" w:rsidR="00B47442" w:rsidRPr="0009445C" w:rsidRDefault="00B47442" w:rsidP="0099521D">
            <w:pPr>
              <w:pStyle w:val="BRL-Tabelle"/>
              <w:spacing w:before="60" w:after="40"/>
              <w:jc w:val="center"/>
              <w:rPr>
                <w:sz w:val="16"/>
              </w:rPr>
            </w:pPr>
          </w:p>
        </w:tc>
        <w:tc>
          <w:tcPr>
            <w:tcW w:w="426" w:type="dxa"/>
            <w:vAlign w:val="center"/>
          </w:tcPr>
          <w:p w14:paraId="5E4BE88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1252F82" w14:textId="77777777" w:rsidR="00B47442" w:rsidRPr="0009445C" w:rsidRDefault="00B47442" w:rsidP="0099521D">
            <w:pPr>
              <w:pStyle w:val="BRL-Tabelle"/>
              <w:spacing w:before="60" w:after="40"/>
              <w:jc w:val="center"/>
              <w:rPr>
                <w:sz w:val="16"/>
              </w:rPr>
            </w:pPr>
          </w:p>
        </w:tc>
        <w:tc>
          <w:tcPr>
            <w:tcW w:w="426" w:type="dxa"/>
            <w:vAlign w:val="center"/>
          </w:tcPr>
          <w:p w14:paraId="2A9C503D" w14:textId="77777777" w:rsidR="00B47442" w:rsidRPr="0009445C" w:rsidRDefault="00B47442" w:rsidP="0099521D">
            <w:pPr>
              <w:pStyle w:val="BRL-Tabelle"/>
              <w:spacing w:before="60" w:after="40"/>
              <w:jc w:val="center"/>
              <w:rPr>
                <w:sz w:val="16"/>
              </w:rPr>
            </w:pPr>
          </w:p>
        </w:tc>
        <w:tc>
          <w:tcPr>
            <w:tcW w:w="433" w:type="dxa"/>
            <w:vAlign w:val="center"/>
          </w:tcPr>
          <w:p w14:paraId="49BF0EF9" w14:textId="77777777" w:rsidR="00B47442" w:rsidRPr="0009445C" w:rsidRDefault="00B47442" w:rsidP="0099521D">
            <w:pPr>
              <w:pStyle w:val="BRL-Tabelle"/>
              <w:spacing w:before="60" w:after="40"/>
              <w:jc w:val="center"/>
              <w:rPr>
                <w:sz w:val="16"/>
              </w:rPr>
            </w:pPr>
          </w:p>
        </w:tc>
        <w:tc>
          <w:tcPr>
            <w:tcW w:w="426" w:type="dxa"/>
            <w:vAlign w:val="center"/>
          </w:tcPr>
          <w:p w14:paraId="41AE45FE" w14:textId="77777777" w:rsidR="00B47442" w:rsidRPr="0009445C" w:rsidRDefault="00B47442" w:rsidP="0099521D">
            <w:pPr>
              <w:pStyle w:val="BRL-Tabelle"/>
              <w:spacing w:before="60" w:after="40"/>
              <w:jc w:val="center"/>
              <w:rPr>
                <w:sz w:val="16"/>
              </w:rPr>
            </w:pPr>
          </w:p>
        </w:tc>
        <w:tc>
          <w:tcPr>
            <w:tcW w:w="427" w:type="dxa"/>
            <w:vAlign w:val="center"/>
          </w:tcPr>
          <w:p w14:paraId="55BFEB74" w14:textId="77777777" w:rsidR="00B47442" w:rsidRPr="0009445C" w:rsidRDefault="00B47442" w:rsidP="0099521D">
            <w:pPr>
              <w:pStyle w:val="BRL-Tabelle"/>
              <w:spacing w:before="60" w:after="40"/>
              <w:jc w:val="center"/>
              <w:rPr>
                <w:sz w:val="16"/>
              </w:rPr>
            </w:pPr>
          </w:p>
        </w:tc>
        <w:tc>
          <w:tcPr>
            <w:tcW w:w="426" w:type="dxa"/>
            <w:vAlign w:val="center"/>
          </w:tcPr>
          <w:p w14:paraId="3EB8943D" w14:textId="77777777" w:rsidR="00B47442" w:rsidRPr="0009445C" w:rsidRDefault="00B47442" w:rsidP="0099521D">
            <w:pPr>
              <w:pStyle w:val="BRL-Tabelle"/>
              <w:spacing w:before="60" w:after="40"/>
              <w:jc w:val="center"/>
              <w:rPr>
                <w:sz w:val="16"/>
              </w:rPr>
            </w:pPr>
          </w:p>
        </w:tc>
        <w:tc>
          <w:tcPr>
            <w:tcW w:w="427" w:type="dxa"/>
            <w:vAlign w:val="center"/>
          </w:tcPr>
          <w:p w14:paraId="4A1BAC7F" w14:textId="77777777" w:rsidR="00B47442" w:rsidRPr="0009445C" w:rsidRDefault="00B47442" w:rsidP="0099521D">
            <w:pPr>
              <w:pStyle w:val="BRL-Tabelle"/>
              <w:spacing w:before="60" w:after="40"/>
              <w:jc w:val="center"/>
              <w:rPr>
                <w:sz w:val="16"/>
              </w:rPr>
            </w:pPr>
          </w:p>
        </w:tc>
      </w:tr>
      <w:tr w:rsidR="00B47442" w:rsidRPr="0009445C" w14:paraId="37F69698" w14:textId="77777777" w:rsidTr="0099521D">
        <w:trPr>
          <w:trHeight w:val="528"/>
        </w:trPr>
        <w:tc>
          <w:tcPr>
            <w:tcW w:w="2355" w:type="dxa"/>
            <w:gridSpan w:val="2"/>
          </w:tcPr>
          <w:p w14:paraId="20E92841" w14:textId="77777777" w:rsidR="00B47442" w:rsidRPr="0009445C" w:rsidRDefault="00B47442" w:rsidP="0099521D">
            <w:pPr>
              <w:pStyle w:val="BRL-Tabelle"/>
              <w:spacing w:before="60" w:after="40"/>
            </w:pPr>
            <w:r w:rsidRPr="0009445C">
              <w:t>Additional requirements for the execution of software-controlled voice alarm systems</w:t>
            </w:r>
          </w:p>
        </w:tc>
        <w:tc>
          <w:tcPr>
            <w:tcW w:w="427" w:type="dxa"/>
            <w:vAlign w:val="center"/>
          </w:tcPr>
          <w:p w14:paraId="2BBA1B68" w14:textId="77777777" w:rsidR="00B47442" w:rsidRPr="0009445C" w:rsidRDefault="00B47442" w:rsidP="0099521D">
            <w:pPr>
              <w:pStyle w:val="BRL-Tabelle"/>
              <w:spacing w:before="60" w:after="40"/>
              <w:jc w:val="center"/>
              <w:rPr>
                <w:sz w:val="16"/>
              </w:rPr>
            </w:pPr>
          </w:p>
        </w:tc>
        <w:tc>
          <w:tcPr>
            <w:tcW w:w="427" w:type="dxa"/>
            <w:vAlign w:val="center"/>
          </w:tcPr>
          <w:p w14:paraId="1DBA3DCC" w14:textId="77777777" w:rsidR="00B47442" w:rsidRPr="0009445C" w:rsidRDefault="00B47442" w:rsidP="0099521D">
            <w:pPr>
              <w:pStyle w:val="BRL-Tabelle"/>
              <w:spacing w:before="60" w:after="40"/>
              <w:jc w:val="center"/>
              <w:rPr>
                <w:sz w:val="16"/>
              </w:rPr>
            </w:pPr>
          </w:p>
        </w:tc>
        <w:tc>
          <w:tcPr>
            <w:tcW w:w="426" w:type="dxa"/>
            <w:vAlign w:val="center"/>
          </w:tcPr>
          <w:p w14:paraId="0CE18CDC" w14:textId="77777777" w:rsidR="00B47442" w:rsidRPr="0009445C" w:rsidRDefault="00B47442" w:rsidP="0099521D">
            <w:pPr>
              <w:pStyle w:val="BRL-Tabelle"/>
              <w:spacing w:before="60" w:after="40"/>
              <w:jc w:val="center"/>
              <w:rPr>
                <w:sz w:val="16"/>
              </w:rPr>
            </w:pPr>
          </w:p>
        </w:tc>
        <w:tc>
          <w:tcPr>
            <w:tcW w:w="427" w:type="dxa"/>
            <w:vAlign w:val="center"/>
          </w:tcPr>
          <w:p w14:paraId="43E58DEB" w14:textId="77777777" w:rsidR="00B47442" w:rsidRPr="0009445C" w:rsidRDefault="00B47442" w:rsidP="0099521D">
            <w:pPr>
              <w:pStyle w:val="BRL-Tabelle"/>
              <w:spacing w:before="60" w:after="40"/>
              <w:jc w:val="center"/>
              <w:rPr>
                <w:sz w:val="16"/>
              </w:rPr>
            </w:pPr>
          </w:p>
        </w:tc>
        <w:tc>
          <w:tcPr>
            <w:tcW w:w="425" w:type="dxa"/>
            <w:vAlign w:val="center"/>
          </w:tcPr>
          <w:p w14:paraId="58823A79" w14:textId="77777777" w:rsidR="00B47442" w:rsidRPr="0009445C" w:rsidRDefault="00B47442" w:rsidP="0099521D">
            <w:pPr>
              <w:pStyle w:val="BRL-Tabelle"/>
              <w:spacing w:before="60" w:after="40"/>
              <w:jc w:val="center"/>
              <w:rPr>
                <w:sz w:val="16"/>
              </w:rPr>
            </w:pPr>
          </w:p>
        </w:tc>
        <w:tc>
          <w:tcPr>
            <w:tcW w:w="426" w:type="dxa"/>
            <w:vAlign w:val="center"/>
          </w:tcPr>
          <w:p w14:paraId="170A2673" w14:textId="77777777" w:rsidR="00B47442" w:rsidRPr="0009445C" w:rsidRDefault="00B47442" w:rsidP="0099521D">
            <w:pPr>
              <w:pStyle w:val="BRL-Tabelle"/>
              <w:spacing w:before="60" w:after="40"/>
              <w:jc w:val="center"/>
              <w:rPr>
                <w:sz w:val="16"/>
              </w:rPr>
            </w:pPr>
          </w:p>
        </w:tc>
        <w:tc>
          <w:tcPr>
            <w:tcW w:w="428" w:type="dxa"/>
            <w:vAlign w:val="center"/>
          </w:tcPr>
          <w:p w14:paraId="7B71D23B" w14:textId="77777777" w:rsidR="00B47442" w:rsidRPr="0009445C" w:rsidRDefault="00B47442" w:rsidP="0099521D">
            <w:pPr>
              <w:pStyle w:val="BRL-Tabelle"/>
              <w:spacing w:before="60" w:after="40"/>
              <w:jc w:val="center"/>
              <w:rPr>
                <w:sz w:val="16"/>
              </w:rPr>
            </w:pPr>
          </w:p>
        </w:tc>
        <w:tc>
          <w:tcPr>
            <w:tcW w:w="427" w:type="dxa"/>
            <w:vAlign w:val="center"/>
          </w:tcPr>
          <w:p w14:paraId="589B1413" w14:textId="77777777" w:rsidR="00B47442" w:rsidRPr="0009445C" w:rsidRDefault="00B47442" w:rsidP="0099521D">
            <w:pPr>
              <w:pStyle w:val="BRL-Tabelle"/>
              <w:spacing w:before="60" w:after="40"/>
              <w:jc w:val="center"/>
              <w:rPr>
                <w:sz w:val="16"/>
              </w:rPr>
            </w:pPr>
          </w:p>
        </w:tc>
        <w:tc>
          <w:tcPr>
            <w:tcW w:w="426" w:type="dxa"/>
            <w:vAlign w:val="center"/>
          </w:tcPr>
          <w:p w14:paraId="505DF372"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F512E63" w14:textId="77777777" w:rsidR="00B47442" w:rsidRPr="0009445C" w:rsidRDefault="00B47442" w:rsidP="0099521D">
            <w:pPr>
              <w:pStyle w:val="BRL-Tabelle"/>
              <w:spacing w:before="60" w:after="40"/>
              <w:jc w:val="center"/>
              <w:rPr>
                <w:sz w:val="16"/>
              </w:rPr>
            </w:pPr>
          </w:p>
        </w:tc>
        <w:tc>
          <w:tcPr>
            <w:tcW w:w="426" w:type="dxa"/>
            <w:vAlign w:val="center"/>
          </w:tcPr>
          <w:p w14:paraId="286D5ADE" w14:textId="77777777" w:rsidR="00B47442" w:rsidRPr="0009445C" w:rsidRDefault="00B47442" w:rsidP="0099521D">
            <w:pPr>
              <w:pStyle w:val="BRL-Tabelle"/>
              <w:spacing w:before="60" w:after="40"/>
              <w:jc w:val="center"/>
              <w:rPr>
                <w:sz w:val="16"/>
              </w:rPr>
            </w:pPr>
          </w:p>
        </w:tc>
        <w:tc>
          <w:tcPr>
            <w:tcW w:w="433" w:type="dxa"/>
            <w:vAlign w:val="center"/>
          </w:tcPr>
          <w:p w14:paraId="0643B465" w14:textId="77777777" w:rsidR="00B47442" w:rsidRPr="0009445C" w:rsidRDefault="00B47442" w:rsidP="0099521D">
            <w:pPr>
              <w:pStyle w:val="BRL-Tabelle"/>
              <w:spacing w:before="60" w:after="40"/>
              <w:jc w:val="center"/>
              <w:rPr>
                <w:sz w:val="16"/>
              </w:rPr>
            </w:pPr>
          </w:p>
        </w:tc>
        <w:tc>
          <w:tcPr>
            <w:tcW w:w="426" w:type="dxa"/>
            <w:vAlign w:val="center"/>
          </w:tcPr>
          <w:p w14:paraId="6E6C2D94" w14:textId="77777777" w:rsidR="00B47442" w:rsidRPr="0009445C" w:rsidRDefault="00B47442" w:rsidP="0099521D">
            <w:pPr>
              <w:pStyle w:val="BRL-Tabelle"/>
              <w:spacing w:before="60" w:after="40"/>
              <w:jc w:val="center"/>
              <w:rPr>
                <w:sz w:val="16"/>
              </w:rPr>
            </w:pPr>
          </w:p>
        </w:tc>
        <w:tc>
          <w:tcPr>
            <w:tcW w:w="427" w:type="dxa"/>
            <w:vAlign w:val="center"/>
          </w:tcPr>
          <w:p w14:paraId="471D6B05" w14:textId="77777777" w:rsidR="00B47442" w:rsidRPr="0009445C" w:rsidRDefault="00B47442" w:rsidP="0099521D">
            <w:pPr>
              <w:pStyle w:val="BRL-Tabelle"/>
              <w:spacing w:before="60" w:after="40"/>
              <w:jc w:val="center"/>
              <w:rPr>
                <w:sz w:val="16"/>
              </w:rPr>
            </w:pPr>
          </w:p>
        </w:tc>
        <w:tc>
          <w:tcPr>
            <w:tcW w:w="426" w:type="dxa"/>
            <w:vAlign w:val="center"/>
          </w:tcPr>
          <w:p w14:paraId="4E9F7A27" w14:textId="77777777" w:rsidR="00B47442" w:rsidRPr="0009445C" w:rsidRDefault="00B47442" w:rsidP="0099521D">
            <w:pPr>
              <w:pStyle w:val="BRL-Tabelle"/>
              <w:spacing w:before="60" w:after="40"/>
              <w:jc w:val="center"/>
              <w:rPr>
                <w:sz w:val="16"/>
              </w:rPr>
            </w:pPr>
          </w:p>
        </w:tc>
        <w:tc>
          <w:tcPr>
            <w:tcW w:w="427" w:type="dxa"/>
            <w:vAlign w:val="center"/>
          </w:tcPr>
          <w:p w14:paraId="571E141E" w14:textId="77777777" w:rsidR="00B47442" w:rsidRPr="0009445C" w:rsidRDefault="00B47442" w:rsidP="0099521D">
            <w:pPr>
              <w:pStyle w:val="BRL-Tabelle"/>
              <w:spacing w:before="60" w:after="40"/>
              <w:jc w:val="center"/>
              <w:rPr>
                <w:sz w:val="16"/>
              </w:rPr>
            </w:pPr>
          </w:p>
        </w:tc>
      </w:tr>
      <w:tr w:rsidR="00B47442" w:rsidRPr="0009445C" w14:paraId="35E6044D" w14:textId="77777777" w:rsidTr="0099521D">
        <w:trPr>
          <w:trHeight w:val="264"/>
        </w:trPr>
        <w:tc>
          <w:tcPr>
            <w:tcW w:w="2355" w:type="dxa"/>
            <w:gridSpan w:val="2"/>
          </w:tcPr>
          <w:p w14:paraId="09FC1AF1" w14:textId="77777777" w:rsidR="00B47442" w:rsidRPr="0009445C" w:rsidRDefault="00B47442" w:rsidP="0099521D">
            <w:pPr>
              <w:pStyle w:val="BRL-Tabelle"/>
              <w:spacing w:before="60" w:after="40"/>
            </w:pPr>
            <w:r w:rsidRPr="0009445C">
              <w:t>Mechanical strength of the pipeline</w:t>
            </w:r>
          </w:p>
        </w:tc>
        <w:tc>
          <w:tcPr>
            <w:tcW w:w="427" w:type="dxa"/>
            <w:vAlign w:val="center"/>
          </w:tcPr>
          <w:p w14:paraId="27A23B3C" w14:textId="77777777" w:rsidR="00B47442" w:rsidRPr="0009445C" w:rsidRDefault="00B47442" w:rsidP="0099521D">
            <w:pPr>
              <w:pStyle w:val="BRL-Tabelle"/>
              <w:spacing w:before="60" w:after="40"/>
              <w:jc w:val="center"/>
              <w:rPr>
                <w:sz w:val="16"/>
              </w:rPr>
            </w:pPr>
          </w:p>
        </w:tc>
        <w:tc>
          <w:tcPr>
            <w:tcW w:w="427" w:type="dxa"/>
            <w:vAlign w:val="center"/>
          </w:tcPr>
          <w:p w14:paraId="15C742AB" w14:textId="77777777" w:rsidR="00B47442" w:rsidRPr="0009445C" w:rsidRDefault="00B47442" w:rsidP="0099521D">
            <w:pPr>
              <w:pStyle w:val="BRL-Tabelle"/>
              <w:spacing w:before="60" w:after="40"/>
              <w:jc w:val="center"/>
              <w:rPr>
                <w:sz w:val="16"/>
              </w:rPr>
            </w:pPr>
          </w:p>
        </w:tc>
        <w:tc>
          <w:tcPr>
            <w:tcW w:w="426" w:type="dxa"/>
            <w:vAlign w:val="center"/>
          </w:tcPr>
          <w:p w14:paraId="185553BE" w14:textId="77777777" w:rsidR="00B47442" w:rsidRPr="0009445C" w:rsidRDefault="00B47442" w:rsidP="0099521D">
            <w:pPr>
              <w:pStyle w:val="BRL-Tabelle"/>
              <w:spacing w:before="60" w:after="40"/>
              <w:jc w:val="center"/>
              <w:rPr>
                <w:sz w:val="16"/>
              </w:rPr>
            </w:pPr>
          </w:p>
        </w:tc>
        <w:tc>
          <w:tcPr>
            <w:tcW w:w="427" w:type="dxa"/>
            <w:vAlign w:val="center"/>
          </w:tcPr>
          <w:p w14:paraId="1C7A6DA7" w14:textId="77777777" w:rsidR="00B47442" w:rsidRPr="0009445C" w:rsidRDefault="00B47442" w:rsidP="0099521D">
            <w:pPr>
              <w:pStyle w:val="BRL-Tabelle"/>
              <w:spacing w:before="60" w:after="40"/>
              <w:jc w:val="center"/>
              <w:rPr>
                <w:sz w:val="16"/>
              </w:rPr>
            </w:pPr>
          </w:p>
        </w:tc>
        <w:tc>
          <w:tcPr>
            <w:tcW w:w="425" w:type="dxa"/>
            <w:vAlign w:val="center"/>
          </w:tcPr>
          <w:p w14:paraId="1FCD5A0A" w14:textId="77777777" w:rsidR="00B47442" w:rsidRPr="0009445C" w:rsidRDefault="00B47442" w:rsidP="0099521D">
            <w:pPr>
              <w:pStyle w:val="BRL-Tabelle"/>
              <w:spacing w:before="60" w:after="40"/>
              <w:jc w:val="center"/>
              <w:rPr>
                <w:sz w:val="16"/>
              </w:rPr>
            </w:pPr>
          </w:p>
        </w:tc>
        <w:tc>
          <w:tcPr>
            <w:tcW w:w="426" w:type="dxa"/>
            <w:vAlign w:val="center"/>
          </w:tcPr>
          <w:p w14:paraId="2403F838" w14:textId="77777777" w:rsidR="00B47442" w:rsidRPr="0009445C" w:rsidRDefault="00B47442" w:rsidP="0099521D">
            <w:pPr>
              <w:pStyle w:val="BRL-Tabelle"/>
              <w:spacing w:before="60" w:after="40"/>
              <w:jc w:val="center"/>
              <w:rPr>
                <w:sz w:val="16"/>
              </w:rPr>
            </w:pPr>
          </w:p>
        </w:tc>
        <w:tc>
          <w:tcPr>
            <w:tcW w:w="428" w:type="dxa"/>
            <w:vAlign w:val="center"/>
          </w:tcPr>
          <w:p w14:paraId="475633DE" w14:textId="77777777" w:rsidR="00B47442" w:rsidRPr="0009445C" w:rsidRDefault="00B47442" w:rsidP="0099521D">
            <w:pPr>
              <w:pStyle w:val="BRL-Tabelle"/>
              <w:spacing w:before="60" w:after="40"/>
              <w:jc w:val="center"/>
              <w:rPr>
                <w:sz w:val="16"/>
              </w:rPr>
            </w:pPr>
          </w:p>
        </w:tc>
        <w:tc>
          <w:tcPr>
            <w:tcW w:w="427" w:type="dxa"/>
            <w:vAlign w:val="center"/>
          </w:tcPr>
          <w:p w14:paraId="511095FA" w14:textId="77777777" w:rsidR="00B47442" w:rsidRPr="0009445C" w:rsidRDefault="00B47442" w:rsidP="0099521D">
            <w:pPr>
              <w:pStyle w:val="BRL-Tabelle"/>
              <w:spacing w:before="60" w:after="40"/>
              <w:jc w:val="center"/>
              <w:rPr>
                <w:sz w:val="16"/>
              </w:rPr>
            </w:pPr>
          </w:p>
        </w:tc>
        <w:tc>
          <w:tcPr>
            <w:tcW w:w="426" w:type="dxa"/>
            <w:vAlign w:val="center"/>
          </w:tcPr>
          <w:p w14:paraId="045678DB" w14:textId="77777777" w:rsidR="00B47442" w:rsidRPr="0009445C" w:rsidRDefault="00B47442" w:rsidP="0099521D">
            <w:pPr>
              <w:pStyle w:val="BRL-Tabelle"/>
              <w:spacing w:before="60" w:after="40"/>
              <w:jc w:val="center"/>
              <w:rPr>
                <w:sz w:val="16"/>
              </w:rPr>
            </w:pPr>
          </w:p>
        </w:tc>
        <w:tc>
          <w:tcPr>
            <w:tcW w:w="426" w:type="dxa"/>
            <w:vAlign w:val="center"/>
          </w:tcPr>
          <w:p w14:paraId="046725A8" w14:textId="77777777" w:rsidR="00B47442" w:rsidRPr="0009445C" w:rsidRDefault="00B47442" w:rsidP="0099521D">
            <w:pPr>
              <w:pStyle w:val="BRL-Tabelle"/>
              <w:spacing w:before="60" w:after="40"/>
              <w:jc w:val="center"/>
              <w:rPr>
                <w:sz w:val="16"/>
              </w:rPr>
            </w:pPr>
          </w:p>
        </w:tc>
        <w:tc>
          <w:tcPr>
            <w:tcW w:w="426" w:type="dxa"/>
            <w:vAlign w:val="center"/>
          </w:tcPr>
          <w:p w14:paraId="041C4513" w14:textId="77777777" w:rsidR="00B47442" w:rsidRPr="0009445C" w:rsidRDefault="00B47442" w:rsidP="0099521D">
            <w:pPr>
              <w:pStyle w:val="BRL-Tabelle"/>
              <w:spacing w:before="60" w:after="40"/>
              <w:jc w:val="center"/>
              <w:rPr>
                <w:sz w:val="16"/>
              </w:rPr>
            </w:pPr>
          </w:p>
        </w:tc>
        <w:tc>
          <w:tcPr>
            <w:tcW w:w="433" w:type="dxa"/>
            <w:vAlign w:val="center"/>
          </w:tcPr>
          <w:p w14:paraId="4B928F5E"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092DC18" w14:textId="77777777" w:rsidR="00B47442" w:rsidRPr="0009445C" w:rsidRDefault="00B47442" w:rsidP="0099521D">
            <w:pPr>
              <w:pStyle w:val="BRL-Tabelle"/>
              <w:spacing w:before="60" w:after="40"/>
              <w:jc w:val="center"/>
              <w:rPr>
                <w:sz w:val="16"/>
              </w:rPr>
            </w:pPr>
          </w:p>
        </w:tc>
        <w:tc>
          <w:tcPr>
            <w:tcW w:w="427" w:type="dxa"/>
            <w:vAlign w:val="center"/>
          </w:tcPr>
          <w:p w14:paraId="2D12617B" w14:textId="77777777" w:rsidR="00B47442" w:rsidRPr="0009445C" w:rsidRDefault="00B47442" w:rsidP="0099521D">
            <w:pPr>
              <w:pStyle w:val="BRL-Tabelle"/>
              <w:spacing w:before="60" w:after="40"/>
              <w:jc w:val="center"/>
              <w:rPr>
                <w:sz w:val="16"/>
              </w:rPr>
            </w:pPr>
          </w:p>
        </w:tc>
        <w:tc>
          <w:tcPr>
            <w:tcW w:w="426" w:type="dxa"/>
            <w:vAlign w:val="center"/>
          </w:tcPr>
          <w:p w14:paraId="35328094" w14:textId="77777777" w:rsidR="00B47442" w:rsidRPr="0009445C" w:rsidRDefault="00B47442" w:rsidP="0099521D">
            <w:pPr>
              <w:pStyle w:val="BRL-Tabelle"/>
              <w:spacing w:before="60" w:after="40"/>
              <w:jc w:val="center"/>
              <w:rPr>
                <w:sz w:val="16"/>
              </w:rPr>
            </w:pPr>
          </w:p>
        </w:tc>
        <w:tc>
          <w:tcPr>
            <w:tcW w:w="427" w:type="dxa"/>
            <w:vAlign w:val="center"/>
          </w:tcPr>
          <w:p w14:paraId="6D7B7FE2" w14:textId="77777777" w:rsidR="00B47442" w:rsidRPr="0009445C" w:rsidRDefault="00B47442" w:rsidP="0099521D">
            <w:pPr>
              <w:pStyle w:val="BRL-Tabelle"/>
              <w:spacing w:before="60" w:after="40"/>
              <w:jc w:val="center"/>
              <w:rPr>
                <w:sz w:val="16"/>
              </w:rPr>
            </w:pPr>
          </w:p>
        </w:tc>
      </w:tr>
      <w:tr w:rsidR="00B47442" w:rsidRPr="0009445C" w14:paraId="34B5E61D" w14:textId="77777777" w:rsidTr="0099521D">
        <w:trPr>
          <w:trHeight w:val="528"/>
        </w:trPr>
        <w:tc>
          <w:tcPr>
            <w:tcW w:w="2355" w:type="dxa"/>
            <w:gridSpan w:val="2"/>
          </w:tcPr>
          <w:p w14:paraId="543FD9E9" w14:textId="77777777" w:rsidR="00B47442" w:rsidRPr="0009445C" w:rsidRDefault="00B47442" w:rsidP="0099521D">
            <w:pPr>
              <w:pStyle w:val="BRL-Tabelle"/>
              <w:spacing w:before="60" w:after="40"/>
            </w:pPr>
            <w:r w:rsidRPr="0009445C">
              <w:t>Hardware structural elements and additional sensor units in the suction system</w:t>
            </w:r>
          </w:p>
        </w:tc>
        <w:tc>
          <w:tcPr>
            <w:tcW w:w="427" w:type="dxa"/>
            <w:vAlign w:val="center"/>
          </w:tcPr>
          <w:p w14:paraId="3097949D" w14:textId="77777777" w:rsidR="00B47442" w:rsidRPr="0009445C" w:rsidRDefault="00B47442" w:rsidP="0099521D">
            <w:pPr>
              <w:pStyle w:val="BRL-Tabelle"/>
              <w:spacing w:before="60" w:after="40"/>
              <w:jc w:val="center"/>
              <w:rPr>
                <w:sz w:val="16"/>
              </w:rPr>
            </w:pPr>
          </w:p>
        </w:tc>
        <w:tc>
          <w:tcPr>
            <w:tcW w:w="427" w:type="dxa"/>
            <w:vAlign w:val="center"/>
          </w:tcPr>
          <w:p w14:paraId="422D2420" w14:textId="77777777" w:rsidR="00B47442" w:rsidRPr="0009445C" w:rsidRDefault="00B47442" w:rsidP="0099521D">
            <w:pPr>
              <w:pStyle w:val="BRL-Tabelle"/>
              <w:spacing w:before="60" w:after="40"/>
              <w:jc w:val="center"/>
              <w:rPr>
                <w:sz w:val="16"/>
              </w:rPr>
            </w:pPr>
          </w:p>
        </w:tc>
        <w:tc>
          <w:tcPr>
            <w:tcW w:w="426" w:type="dxa"/>
            <w:vAlign w:val="center"/>
          </w:tcPr>
          <w:p w14:paraId="58CFB857" w14:textId="77777777" w:rsidR="00B47442" w:rsidRPr="0009445C" w:rsidRDefault="00B47442" w:rsidP="0099521D">
            <w:pPr>
              <w:pStyle w:val="BRL-Tabelle"/>
              <w:spacing w:before="60" w:after="40"/>
              <w:jc w:val="center"/>
              <w:rPr>
                <w:sz w:val="16"/>
              </w:rPr>
            </w:pPr>
          </w:p>
        </w:tc>
        <w:tc>
          <w:tcPr>
            <w:tcW w:w="427" w:type="dxa"/>
            <w:vAlign w:val="center"/>
          </w:tcPr>
          <w:p w14:paraId="33DFBDD8" w14:textId="77777777" w:rsidR="00B47442" w:rsidRPr="0009445C" w:rsidRDefault="00B47442" w:rsidP="0099521D">
            <w:pPr>
              <w:pStyle w:val="BRL-Tabelle"/>
              <w:spacing w:before="60" w:after="40"/>
              <w:jc w:val="center"/>
              <w:rPr>
                <w:sz w:val="16"/>
              </w:rPr>
            </w:pPr>
          </w:p>
        </w:tc>
        <w:tc>
          <w:tcPr>
            <w:tcW w:w="425" w:type="dxa"/>
            <w:vAlign w:val="center"/>
          </w:tcPr>
          <w:p w14:paraId="2982D1F3" w14:textId="77777777" w:rsidR="00B47442" w:rsidRPr="0009445C" w:rsidRDefault="00B47442" w:rsidP="0099521D">
            <w:pPr>
              <w:pStyle w:val="BRL-Tabelle"/>
              <w:spacing w:before="60" w:after="40"/>
              <w:jc w:val="center"/>
              <w:rPr>
                <w:sz w:val="16"/>
              </w:rPr>
            </w:pPr>
          </w:p>
        </w:tc>
        <w:tc>
          <w:tcPr>
            <w:tcW w:w="426" w:type="dxa"/>
            <w:vAlign w:val="center"/>
          </w:tcPr>
          <w:p w14:paraId="1ABD1FE3" w14:textId="77777777" w:rsidR="00B47442" w:rsidRPr="0009445C" w:rsidRDefault="00B47442" w:rsidP="0099521D">
            <w:pPr>
              <w:pStyle w:val="BRL-Tabelle"/>
              <w:spacing w:before="60" w:after="40"/>
              <w:jc w:val="center"/>
              <w:rPr>
                <w:sz w:val="16"/>
              </w:rPr>
            </w:pPr>
          </w:p>
        </w:tc>
        <w:tc>
          <w:tcPr>
            <w:tcW w:w="428" w:type="dxa"/>
            <w:vAlign w:val="center"/>
          </w:tcPr>
          <w:p w14:paraId="647CFB50" w14:textId="77777777" w:rsidR="00B47442" w:rsidRPr="0009445C" w:rsidRDefault="00B47442" w:rsidP="0099521D">
            <w:pPr>
              <w:pStyle w:val="BRL-Tabelle"/>
              <w:spacing w:before="60" w:after="40"/>
              <w:jc w:val="center"/>
              <w:rPr>
                <w:sz w:val="16"/>
              </w:rPr>
            </w:pPr>
          </w:p>
        </w:tc>
        <w:tc>
          <w:tcPr>
            <w:tcW w:w="427" w:type="dxa"/>
            <w:vAlign w:val="center"/>
          </w:tcPr>
          <w:p w14:paraId="29C22094" w14:textId="77777777" w:rsidR="00B47442" w:rsidRPr="0009445C" w:rsidRDefault="00B47442" w:rsidP="0099521D">
            <w:pPr>
              <w:pStyle w:val="BRL-Tabelle"/>
              <w:spacing w:before="60" w:after="40"/>
              <w:jc w:val="center"/>
              <w:rPr>
                <w:sz w:val="16"/>
              </w:rPr>
            </w:pPr>
          </w:p>
        </w:tc>
        <w:tc>
          <w:tcPr>
            <w:tcW w:w="426" w:type="dxa"/>
            <w:vAlign w:val="center"/>
          </w:tcPr>
          <w:p w14:paraId="1768928D" w14:textId="77777777" w:rsidR="00B47442" w:rsidRPr="0009445C" w:rsidRDefault="00B47442" w:rsidP="0099521D">
            <w:pPr>
              <w:pStyle w:val="BRL-Tabelle"/>
              <w:spacing w:before="60" w:after="40"/>
              <w:jc w:val="center"/>
              <w:rPr>
                <w:sz w:val="16"/>
              </w:rPr>
            </w:pPr>
          </w:p>
        </w:tc>
        <w:tc>
          <w:tcPr>
            <w:tcW w:w="426" w:type="dxa"/>
            <w:vAlign w:val="center"/>
          </w:tcPr>
          <w:p w14:paraId="21CAFB53" w14:textId="77777777" w:rsidR="00B47442" w:rsidRPr="0009445C" w:rsidRDefault="00B47442" w:rsidP="0099521D">
            <w:pPr>
              <w:pStyle w:val="BRL-Tabelle"/>
              <w:spacing w:before="60" w:after="40"/>
              <w:jc w:val="center"/>
              <w:rPr>
                <w:sz w:val="16"/>
              </w:rPr>
            </w:pPr>
          </w:p>
        </w:tc>
        <w:tc>
          <w:tcPr>
            <w:tcW w:w="426" w:type="dxa"/>
            <w:vAlign w:val="center"/>
          </w:tcPr>
          <w:p w14:paraId="0318594D" w14:textId="77777777" w:rsidR="00B47442" w:rsidRPr="0009445C" w:rsidRDefault="00B47442" w:rsidP="0099521D">
            <w:pPr>
              <w:pStyle w:val="BRL-Tabelle"/>
              <w:spacing w:before="60" w:after="40"/>
              <w:jc w:val="center"/>
              <w:rPr>
                <w:sz w:val="16"/>
              </w:rPr>
            </w:pPr>
          </w:p>
        </w:tc>
        <w:tc>
          <w:tcPr>
            <w:tcW w:w="433" w:type="dxa"/>
            <w:vAlign w:val="center"/>
          </w:tcPr>
          <w:p w14:paraId="582690A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A881A8E" w14:textId="77777777" w:rsidR="00B47442" w:rsidRPr="0009445C" w:rsidRDefault="00B47442" w:rsidP="0099521D">
            <w:pPr>
              <w:pStyle w:val="BRL-Tabelle"/>
              <w:spacing w:before="60" w:after="40"/>
              <w:jc w:val="center"/>
              <w:rPr>
                <w:sz w:val="16"/>
              </w:rPr>
            </w:pPr>
          </w:p>
        </w:tc>
        <w:tc>
          <w:tcPr>
            <w:tcW w:w="427" w:type="dxa"/>
            <w:vAlign w:val="center"/>
          </w:tcPr>
          <w:p w14:paraId="326F99CC" w14:textId="77777777" w:rsidR="00B47442" w:rsidRPr="0009445C" w:rsidRDefault="00B47442" w:rsidP="0099521D">
            <w:pPr>
              <w:pStyle w:val="BRL-Tabelle"/>
              <w:spacing w:before="60" w:after="40"/>
              <w:jc w:val="center"/>
              <w:rPr>
                <w:sz w:val="16"/>
              </w:rPr>
            </w:pPr>
          </w:p>
        </w:tc>
        <w:tc>
          <w:tcPr>
            <w:tcW w:w="426" w:type="dxa"/>
            <w:vAlign w:val="center"/>
          </w:tcPr>
          <w:p w14:paraId="7E6BE346" w14:textId="77777777" w:rsidR="00B47442" w:rsidRPr="0009445C" w:rsidRDefault="00B47442" w:rsidP="0099521D">
            <w:pPr>
              <w:pStyle w:val="BRL-Tabelle"/>
              <w:spacing w:before="60" w:after="40"/>
              <w:jc w:val="center"/>
              <w:rPr>
                <w:sz w:val="16"/>
              </w:rPr>
            </w:pPr>
          </w:p>
        </w:tc>
        <w:tc>
          <w:tcPr>
            <w:tcW w:w="427" w:type="dxa"/>
            <w:vAlign w:val="center"/>
          </w:tcPr>
          <w:p w14:paraId="0BFAEF2A" w14:textId="77777777" w:rsidR="00B47442" w:rsidRPr="0009445C" w:rsidRDefault="00B47442" w:rsidP="0099521D">
            <w:pPr>
              <w:pStyle w:val="BRL-Tabelle"/>
              <w:spacing w:before="60" w:after="40"/>
              <w:jc w:val="center"/>
              <w:rPr>
                <w:sz w:val="16"/>
              </w:rPr>
            </w:pPr>
          </w:p>
        </w:tc>
      </w:tr>
      <w:tr w:rsidR="00B47442" w:rsidRPr="0009445C" w14:paraId="62A3BA53" w14:textId="77777777" w:rsidTr="0099521D">
        <w:trPr>
          <w:trHeight w:val="264"/>
        </w:trPr>
        <w:tc>
          <w:tcPr>
            <w:tcW w:w="2355" w:type="dxa"/>
            <w:gridSpan w:val="2"/>
          </w:tcPr>
          <w:p w14:paraId="4149C7CB" w14:textId="77777777" w:rsidR="00B47442" w:rsidRPr="0009445C" w:rsidRDefault="00B47442" w:rsidP="0099521D">
            <w:pPr>
              <w:pStyle w:val="BRL-Tabelle"/>
              <w:spacing w:before="60" w:after="40"/>
            </w:pPr>
            <w:r w:rsidRPr="0009445C">
              <w:t>Air flow monitoring</w:t>
            </w:r>
          </w:p>
        </w:tc>
        <w:tc>
          <w:tcPr>
            <w:tcW w:w="427" w:type="dxa"/>
            <w:vAlign w:val="center"/>
          </w:tcPr>
          <w:p w14:paraId="468287BE" w14:textId="77777777" w:rsidR="00B47442" w:rsidRPr="0009445C" w:rsidRDefault="00B47442" w:rsidP="0099521D">
            <w:pPr>
              <w:pStyle w:val="BRL-Tabelle"/>
              <w:spacing w:before="60" w:after="40"/>
              <w:jc w:val="center"/>
              <w:rPr>
                <w:sz w:val="16"/>
              </w:rPr>
            </w:pPr>
          </w:p>
        </w:tc>
        <w:tc>
          <w:tcPr>
            <w:tcW w:w="427" w:type="dxa"/>
            <w:vAlign w:val="center"/>
          </w:tcPr>
          <w:p w14:paraId="189E6B6D" w14:textId="77777777" w:rsidR="00B47442" w:rsidRPr="0009445C" w:rsidRDefault="00B47442" w:rsidP="0099521D">
            <w:pPr>
              <w:pStyle w:val="BRL-Tabelle"/>
              <w:spacing w:before="60" w:after="40"/>
              <w:jc w:val="center"/>
              <w:rPr>
                <w:sz w:val="16"/>
              </w:rPr>
            </w:pPr>
          </w:p>
        </w:tc>
        <w:tc>
          <w:tcPr>
            <w:tcW w:w="426" w:type="dxa"/>
            <w:vAlign w:val="center"/>
          </w:tcPr>
          <w:p w14:paraId="108C018D" w14:textId="77777777" w:rsidR="00B47442" w:rsidRPr="0009445C" w:rsidRDefault="00B47442" w:rsidP="0099521D">
            <w:pPr>
              <w:pStyle w:val="BRL-Tabelle"/>
              <w:spacing w:before="60" w:after="40"/>
              <w:jc w:val="center"/>
              <w:rPr>
                <w:sz w:val="16"/>
              </w:rPr>
            </w:pPr>
          </w:p>
        </w:tc>
        <w:tc>
          <w:tcPr>
            <w:tcW w:w="427" w:type="dxa"/>
            <w:vAlign w:val="center"/>
          </w:tcPr>
          <w:p w14:paraId="6624469A" w14:textId="77777777" w:rsidR="00B47442" w:rsidRPr="0009445C" w:rsidRDefault="00B47442" w:rsidP="0099521D">
            <w:pPr>
              <w:pStyle w:val="BRL-Tabelle"/>
              <w:spacing w:before="60" w:after="40"/>
              <w:jc w:val="center"/>
              <w:rPr>
                <w:sz w:val="16"/>
              </w:rPr>
            </w:pPr>
          </w:p>
        </w:tc>
        <w:tc>
          <w:tcPr>
            <w:tcW w:w="425" w:type="dxa"/>
            <w:vAlign w:val="center"/>
          </w:tcPr>
          <w:p w14:paraId="18B56D9F" w14:textId="77777777" w:rsidR="00B47442" w:rsidRPr="0009445C" w:rsidRDefault="00B47442" w:rsidP="0099521D">
            <w:pPr>
              <w:pStyle w:val="BRL-Tabelle"/>
              <w:spacing w:before="60" w:after="40"/>
              <w:jc w:val="center"/>
              <w:rPr>
                <w:sz w:val="16"/>
              </w:rPr>
            </w:pPr>
          </w:p>
        </w:tc>
        <w:tc>
          <w:tcPr>
            <w:tcW w:w="426" w:type="dxa"/>
            <w:vAlign w:val="center"/>
          </w:tcPr>
          <w:p w14:paraId="033B20EA" w14:textId="77777777" w:rsidR="00B47442" w:rsidRPr="0009445C" w:rsidRDefault="00B47442" w:rsidP="0099521D">
            <w:pPr>
              <w:pStyle w:val="BRL-Tabelle"/>
              <w:spacing w:before="60" w:after="40"/>
              <w:jc w:val="center"/>
              <w:rPr>
                <w:sz w:val="16"/>
              </w:rPr>
            </w:pPr>
          </w:p>
        </w:tc>
        <w:tc>
          <w:tcPr>
            <w:tcW w:w="428" w:type="dxa"/>
            <w:vAlign w:val="center"/>
          </w:tcPr>
          <w:p w14:paraId="0E6A74AC" w14:textId="77777777" w:rsidR="00B47442" w:rsidRPr="0009445C" w:rsidRDefault="00B47442" w:rsidP="0099521D">
            <w:pPr>
              <w:pStyle w:val="BRL-Tabelle"/>
              <w:spacing w:before="60" w:after="40"/>
              <w:jc w:val="center"/>
              <w:rPr>
                <w:sz w:val="16"/>
              </w:rPr>
            </w:pPr>
          </w:p>
        </w:tc>
        <w:tc>
          <w:tcPr>
            <w:tcW w:w="427" w:type="dxa"/>
            <w:vAlign w:val="center"/>
          </w:tcPr>
          <w:p w14:paraId="250A9ECA" w14:textId="77777777" w:rsidR="00B47442" w:rsidRPr="0009445C" w:rsidRDefault="00B47442" w:rsidP="0099521D">
            <w:pPr>
              <w:pStyle w:val="BRL-Tabelle"/>
              <w:spacing w:before="60" w:after="40"/>
              <w:jc w:val="center"/>
              <w:rPr>
                <w:sz w:val="16"/>
              </w:rPr>
            </w:pPr>
          </w:p>
        </w:tc>
        <w:tc>
          <w:tcPr>
            <w:tcW w:w="426" w:type="dxa"/>
            <w:vAlign w:val="center"/>
          </w:tcPr>
          <w:p w14:paraId="237A6D9F" w14:textId="77777777" w:rsidR="00B47442" w:rsidRPr="0009445C" w:rsidRDefault="00B47442" w:rsidP="0099521D">
            <w:pPr>
              <w:pStyle w:val="BRL-Tabelle"/>
              <w:spacing w:before="60" w:after="40"/>
              <w:jc w:val="center"/>
              <w:rPr>
                <w:sz w:val="16"/>
              </w:rPr>
            </w:pPr>
          </w:p>
        </w:tc>
        <w:tc>
          <w:tcPr>
            <w:tcW w:w="426" w:type="dxa"/>
            <w:vAlign w:val="center"/>
          </w:tcPr>
          <w:p w14:paraId="2ACC361E" w14:textId="77777777" w:rsidR="00B47442" w:rsidRPr="0009445C" w:rsidRDefault="00B47442" w:rsidP="0099521D">
            <w:pPr>
              <w:pStyle w:val="BRL-Tabelle"/>
              <w:spacing w:before="60" w:after="40"/>
              <w:jc w:val="center"/>
              <w:rPr>
                <w:sz w:val="16"/>
              </w:rPr>
            </w:pPr>
          </w:p>
        </w:tc>
        <w:tc>
          <w:tcPr>
            <w:tcW w:w="426" w:type="dxa"/>
            <w:vAlign w:val="center"/>
          </w:tcPr>
          <w:p w14:paraId="7744F011" w14:textId="77777777" w:rsidR="00B47442" w:rsidRPr="0009445C" w:rsidRDefault="00B47442" w:rsidP="0099521D">
            <w:pPr>
              <w:pStyle w:val="BRL-Tabelle"/>
              <w:spacing w:before="60" w:after="40"/>
              <w:jc w:val="center"/>
              <w:rPr>
                <w:sz w:val="16"/>
              </w:rPr>
            </w:pPr>
          </w:p>
        </w:tc>
        <w:tc>
          <w:tcPr>
            <w:tcW w:w="433" w:type="dxa"/>
            <w:vAlign w:val="center"/>
          </w:tcPr>
          <w:p w14:paraId="2ABAADD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6AC0013" w14:textId="77777777" w:rsidR="00B47442" w:rsidRPr="0009445C" w:rsidRDefault="00B47442" w:rsidP="0099521D">
            <w:pPr>
              <w:pStyle w:val="BRL-Tabelle"/>
              <w:spacing w:before="60" w:after="40"/>
              <w:jc w:val="center"/>
              <w:rPr>
                <w:sz w:val="16"/>
              </w:rPr>
            </w:pPr>
          </w:p>
        </w:tc>
        <w:tc>
          <w:tcPr>
            <w:tcW w:w="427" w:type="dxa"/>
            <w:vAlign w:val="center"/>
          </w:tcPr>
          <w:p w14:paraId="1F8BB31E" w14:textId="77777777" w:rsidR="00B47442" w:rsidRPr="0009445C" w:rsidRDefault="00B47442" w:rsidP="0099521D">
            <w:pPr>
              <w:pStyle w:val="BRL-Tabelle"/>
              <w:spacing w:before="60" w:after="40"/>
              <w:jc w:val="center"/>
              <w:rPr>
                <w:sz w:val="16"/>
              </w:rPr>
            </w:pPr>
          </w:p>
        </w:tc>
        <w:tc>
          <w:tcPr>
            <w:tcW w:w="426" w:type="dxa"/>
            <w:vAlign w:val="center"/>
          </w:tcPr>
          <w:p w14:paraId="4D63540C" w14:textId="77777777" w:rsidR="00B47442" w:rsidRPr="0009445C" w:rsidRDefault="00B47442" w:rsidP="0099521D">
            <w:pPr>
              <w:pStyle w:val="BRL-Tabelle"/>
              <w:spacing w:before="60" w:after="40"/>
              <w:jc w:val="center"/>
              <w:rPr>
                <w:sz w:val="16"/>
              </w:rPr>
            </w:pPr>
          </w:p>
        </w:tc>
        <w:tc>
          <w:tcPr>
            <w:tcW w:w="427" w:type="dxa"/>
            <w:vAlign w:val="center"/>
          </w:tcPr>
          <w:p w14:paraId="769C3B81" w14:textId="77777777" w:rsidR="00B47442" w:rsidRPr="0009445C" w:rsidRDefault="00B47442" w:rsidP="0099521D">
            <w:pPr>
              <w:pStyle w:val="BRL-Tabelle"/>
              <w:spacing w:before="60" w:after="40"/>
              <w:jc w:val="center"/>
              <w:rPr>
                <w:sz w:val="16"/>
              </w:rPr>
            </w:pPr>
          </w:p>
        </w:tc>
      </w:tr>
      <w:tr w:rsidR="00B47442" w:rsidRPr="0009445C" w14:paraId="40D82E9F" w14:textId="77777777" w:rsidTr="0099521D">
        <w:trPr>
          <w:trHeight w:val="264"/>
        </w:trPr>
        <w:tc>
          <w:tcPr>
            <w:tcW w:w="2355" w:type="dxa"/>
            <w:gridSpan w:val="2"/>
          </w:tcPr>
          <w:p w14:paraId="3E2FE2BC" w14:textId="77777777" w:rsidR="00B47442" w:rsidRPr="0009445C" w:rsidRDefault="00B47442" w:rsidP="0099521D">
            <w:pPr>
              <w:pStyle w:val="BRL-Tabelle"/>
              <w:spacing w:before="60" w:after="40"/>
            </w:pPr>
            <w:r w:rsidRPr="0009445C">
              <w:t>Power supply</w:t>
            </w:r>
          </w:p>
        </w:tc>
        <w:tc>
          <w:tcPr>
            <w:tcW w:w="427" w:type="dxa"/>
            <w:vAlign w:val="center"/>
          </w:tcPr>
          <w:p w14:paraId="4E1A254E" w14:textId="77777777" w:rsidR="00B47442" w:rsidRPr="0009445C" w:rsidRDefault="00B47442" w:rsidP="0099521D">
            <w:pPr>
              <w:pStyle w:val="BRL-Tabelle"/>
              <w:spacing w:before="60" w:after="40"/>
              <w:jc w:val="center"/>
              <w:rPr>
                <w:sz w:val="16"/>
              </w:rPr>
            </w:pPr>
          </w:p>
        </w:tc>
        <w:tc>
          <w:tcPr>
            <w:tcW w:w="427" w:type="dxa"/>
            <w:vAlign w:val="center"/>
          </w:tcPr>
          <w:p w14:paraId="5C160776" w14:textId="77777777" w:rsidR="00B47442" w:rsidRPr="0009445C" w:rsidRDefault="00B47442" w:rsidP="0099521D">
            <w:pPr>
              <w:pStyle w:val="BRL-Tabelle"/>
              <w:spacing w:before="60" w:after="40"/>
              <w:jc w:val="center"/>
              <w:rPr>
                <w:sz w:val="16"/>
              </w:rPr>
            </w:pPr>
          </w:p>
        </w:tc>
        <w:tc>
          <w:tcPr>
            <w:tcW w:w="426" w:type="dxa"/>
            <w:vAlign w:val="center"/>
          </w:tcPr>
          <w:p w14:paraId="542929CF" w14:textId="77777777" w:rsidR="00B47442" w:rsidRPr="0009445C" w:rsidRDefault="00B47442" w:rsidP="0099521D">
            <w:pPr>
              <w:pStyle w:val="BRL-Tabelle"/>
              <w:spacing w:before="60" w:after="40"/>
              <w:jc w:val="center"/>
              <w:rPr>
                <w:sz w:val="16"/>
              </w:rPr>
            </w:pPr>
          </w:p>
        </w:tc>
        <w:tc>
          <w:tcPr>
            <w:tcW w:w="427" w:type="dxa"/>
            <w:vAlign w:val="center"/>
          </w:tcPr>
          <w:p w14:paraId="4A35D246" w14:textId="77777777" w:rsidR="00B47442" w:rsidRPr="0009445C" w:rsidRDefault="00B47442" w:rsidP="0099521D">
            <w:pPr>
              <w:pStyle w:val="BRL-Tabelle"/>
              <w:spacing w:before="60" w:after="40"/>
              <w:jc w:val="center"/>
              <w:rPr>
                <w:sz w:val="16"/>
              </w:rPr>
            </w:pPr>
          </w:p>
        </w:tc>
        <w:tc>
          <w:tcPr>
            <w:tcW w:w="425" w:type="dxa"/>
            <w:vAlign w:val="center"/>
          </w:tcPr>
          <w:p w14:paraId="0DD0ACBC" w14:textId="77777777" w:rsidR="00B47442" w:rsidRPr="0009445C" w:rsidRDefault="00B47442" w:rsidP="0099521D">
            <w:pPr>
              <w:pStyle w:val="BRL-Tabelle"/>
              <w:spacing w:before="60" w:after="40"/>
              <w:jc w:val="center"/>
              <w:rPr>
                <w:sz w:val="16"/>
              </w:rPr>
            </w:pPr>
          </w:p>
        </w:tc>
        <w:tc>
          <w:tcPr>
            <w:tcW w:w="426" w:type="dxa"/>
            <w:vAlign w:val="center"/>
          </w:tcPr>
          <w:p w14:paraId="197F71F4" w14:textId="77777777" w:rsidR="00B47442" w:rsidRPr="0009445C" w:rsidRDefault="00B47442" w:rsidP="0099521D">
            <w:pPr>
              <w:pStyle w:val="BRL-Tabelle"/>
              <w:spacing w:before="60" w:after="40"/>
              <w:jc w:val="center"/>
              <w:rPr>
                <w:sz w:val="16"/>
              </w:rPr>
            </w:pPr>
          </w:p>
        </w:tc>
        <w:tc>
          <w:tcPr>
            <w:tcW w:w="428" w:type="dxa"/>
            <w:vAlign w:val="center"/>
          </w:tcPr>
          <w:p w14:paraId="49436652" w14:textId="77777777" w:rsidR="00B47442" w:rsidRPr="0009445C" w:rsidRDefault="00B47442" w:rsidP="0099521D">
            <w:pPr>
              <w:pStyle w:val="BRL-Tabelle"/>
              <w:spacing w:before="60" w:after="40"/>
              <w:jc w:val="center"/>
              <w:rPr>
                <w:sz w:val="16"/>
              </w:rPr>
            </w:pPr>
          </w:p>
        </w:tc>
        <w:tc>
          <w:tcPr>
            <w:tcW w:w="427" w:type="dxa"/>
            <w:vAlign w:val="center"/>
          </w:tcPr>
          <w:p w14:paraId="39B938F9" w14:textId="77777777" w:rsidR="00B47442" w:rsidRPr="0009445C" w:rsidRDefault="00B47442" w:rsidP="0099521D">
            <w:pPr>
              <w:pStyle w:val="BRL-Tabelle"/>
              <w:spacing w:before="60" w:after="40"/>
              <w:jc w:val="center"/>
              <w:rPr>
                <w:sz w:val="16"/>
              </w:rPr>
            </w:pPr>
          </w:p>
        </w:tc>
        <w:tc>
          <w:tcPr>
            <w:tcW w:w="426" w:type="dxa"/>
            <w:vAlign w:val="center"/>
          </w:tcPr>
          <w:p w14:paraId="11CB727D" w14:textId="77777777" w:rsidR="00B47442" w:rsidRPr="0009445C" w:rsidRDefault="00B47442" w:rsidP="0099521D">
            <w:pPr>
              <w:pStyle w:val="BRL-Tabelle"/>
              <w:spacing w:before="60" w:after="40"/>
              <w:jc w:val="center"/>
              <w:rPr>
                <w:sz w:val="16"/>
              </w:rPr>
            </w:pPr>
          </w:p>
        </w:tc>
        <w:tc>
          <w:tcPr>
            <w:tcW w:w="426" w:type="dxa"/>
            <w:vAlign w:val="center"/>
          </w:tcPr>
          <w:p w14:paraId="44F3EA92" w14:textId="77777777" w:rsidR="00B47442" w:rsidRPr="0009445C" w:rsidRDefault="00B47442" w:rsidP="0099521D">
            <w:pPr>
              <w:pStyle w:val="BRL-Tabelle"/>
              <w:spacing w:before="60" w:after="40"/>
              <w:jc w:val="center"/>
              <w:rPr>
                <w:sz w:val="16"/>
              </w:rPr>
            </w:pPr>
          </w:p>
        </w:tc>
        <w:tc>
          <w:tcPr>
            <w:tcW w:w="426" w:type="dxa"/>
            <w:vAlign w:val="center"/>
          </w:tcPr>
          <w:p w14:paraId="5C7AAF9D" w14:textId="77777777" w:rsidR="00B47442" w:rsidRPr="0009445C" w:rsidRDefault="00B47442" w:rsidP="0099521D">
            <w:pPr>
              <w:pStyle w:val="BRL-Tabelle"/>
              <w:spacing w:before="60" w:after="40"/>
              <w:jc w:val="center"/>
              <w:rPr>
                <w:sz w:val="16"/>
              </w:rPr>
            </w:pPr>
          </w:p>
        </w:tc>
        <w:tc>
          <w:tcPr>
            <w:tcW w:w="433" w:type="dxa"/>
            <w:vAlign w:val="center"/>
          </w:tcPr>
          <w:p w14:paraId="69B00C4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1D4BFE4" w14:textId="77777777" w:rsidR="00B47442" w:rsidRPr="0009445C" w:rsidRDefault="00B47442" w:rsidP="0099521D">
            <w:pPr>
              <w:pStyle w:val="BRL-Tabelle"/>
              <w:spacing w:before="60" w:after="40"/>
              <w:jc w:val="center"/>
              <w:rPr>
                <w:sz w:val="16"/>
              </w:rPr>
            </w:pPr>
          </w:p>
        </w:tc>
        <w:tc>
          <w:tcPr>
            <w:tcW w:w="427" w:type="dxa"/>
            <w:vAlign w:val="center"/>
          </w:tcPr>
          <w:p w14:paraId="79D2401A" w14:textId="77777777" w:rsidR="00B47442" w:rsidRPr="0009445C" w:rsidRDefault="00B47442" w:rsidP="0099521D">
            <w:pPr>
              <w:pStyle w:val="BRL-Tabelle"/>
              <w:spacing w:before="60" w:after="40"/>
              <w:jc w:val="center"/>
              <w:rPr>
                <w:sz w:val="16"/>
              </w:rPr>
            </w:pPr>
          </w:p>
        </w:tc>
        <w:tc>
          <w:tcPr>
            <w:tcW w:w="426" w:type="dxa"/>
            <w:vAlign w:val="center"/>
          </w:tcPr>
          <w:p w14:paraId="11F22115" w14:textId="77777777" w:rsidR="00B47442" w:rsidRPr="0009445C" w:rsidRDefault="00B47442" w:rsidP="0099521D">
            <w:pPr>
              <w:pStyle w:val="BRL-Tabelle"/>
              <w:spacing w:before="60" w:after="40"/>
              <w:jc w:val="center"/>
              <w:rPr>
                <w:sz w:val="16"/>
              </w:rPr>
            </w:pPr>
          </w:p>
        </w:tc>
        <w:tc>
          <w:tcPr>
            <w:tcW w:w="427" w:type="dxa"/>
            <w:vAlign w:val="center"/>
          </w:tcPr>
          <w:p w14:paraId="10EBCB05" w14:textId="77777777" w:rsidR="00B47442" w:rsidRPr="0009445C" w:rsidRDefault="00B47442" w:rsidP="0099521D">
            <w:pPr>
              <w:pStyle w:val="BRL-Tabelle"/>
              <w:spacing w:before="60" w:after="40"/>
              <w:jc w:val="center"/>
              <w:rPr>
                <w:sz w:val="16"/>
              </w:rPr>
            </w:pPr>
          </w:p>
        </w:tc>
      </w:tr>
      <w:tr w:rsidR="00B47442" w:rsidRPr="0009445C" w14:paraId="34B72C9D" w14:textId="77777777" w:rsidTr="0099521D">
        <w:trPr>
          <w:trHeight w:val="264"/>
        </w:trPr>
        <w:tc>
          <w:tcPr>
            <w:tcW w:w="2355" w:type="dxa"/>
            <w:gridSpan w:val="2"/>
          </w:tcPr>
          <w:p w14:paraId="40815F41" w14:textId="77777777" w:rsidR="00B47442" w:rsidRPr="0009445C" w:rsidRDefault="00B47442" w:rsidP="0099521D">
            <w:pPr>
              <w:pStyle w:val="BRL-Tabelle"/>
              <w:spacing w:before="60" w:after="40"/>
            </w:pPr>
            <w:r w:rsidRPr="0009445C">
              <w:t>Duration of operation</w:t>
            </w:r>
          </w:p>
        </w:tc>
        <w:tc>
          <w:tcPr>
            <w:tcW w:w="427" w:type="dxa"/>
            <w:vAlign w:val="center"/>
          </w:tcPr>
          <w:p w14:paraId="3E30241E" w14:textId="77777777" w:rsidR="00B47442" w:rsidRPr="0009445C" w:rsidRDefault="00B47442" w:rsidP="0099521D">
            <w:pPr>
              <w:pStyle w:val="BRL-Tabelle"/>
              <w:spacing w:before="60" w:after="40"/>
              <w:jc w:val="center"/>
              <w:rPr>
                <w:sz w:val="16"/>
              </w:rPr>
            </w:pPr>
          </w:p>
        </w:tc>
        <w:tc>
          <w:tcPr>
            <w:tcW w:w="427" w:type="dxa"/>
            <w:vAlign w:val="center"/>
          </w:tcPr>
          <w:p w14:paraId="57E67521" w14:textId="77777777" w:rsidR="00B47442" w:rsidRPr="0009445C" w:rsidRDefault="00B47442" w:rsidP="0099521D">
            <w:pPr>
              <w:pStyle w:val="BRL-Tabelle"/>
              <w:spacing w:before="60" w:after="40"/>
              <w:jc w:val="center"/>
              <w:rPr>
                <w:sz w:val="16"/>
              </w:rPr>
            </w:pPr>
          </w:p>
        </w:tc>
        <w:tc>
          <w:tcPr>
            <w:tcW w:w="426" w:type="dxa"/>
            <w:vAlign w:val="center"/>
          </w:tcPr>
          <w:p w14:paraId="3F2851D9" w14:textId="77777777" w:rsidR="00B47442" w:rsidRPr="0009445C" w:rsidRDefault="00B47442" w:rsidP="0099521D">
            <w:pPr>
              <w:pStyle w:val="BRL-Tabelle"/>
              <w:spacing w:before="60" w:after="40"/>
              <w:jc w:val="center"/>
              <w:rPr>
                <w:sz w:val="16"/>
              </w:rPr>
            </w:pPr>
          </w:p>
        </w:tc>
        <w:tc>
          <w:tcPr>
            <w:tcW w:w="427" w:type="dxa"/>
            <w:vAlign w:val="center"/>
          </w:tcPr>
          <w:p w14:paraId="08D8CA07" w14:textId="77777777" w:rsidR="00B47442" w:rsidRPr="0009445C" w:rsidRDefault="00B47442" w:rsidP="0099521D">
            <w:pPr>
              <w:pStyle w:val="BRL-Tabelle"/>
              <w:spacing w:before="60" w:after="40"/>
              <w:jc w:val="center"/>
              <w:rPr>
                <w:sz w:val="16"/>
              </w:rPr>
            </w:pPr>
          </w:p>
        </w:tc>
        <w:tc>
          <w:tcPr>
            <w:tcW w:w="425" w:type="dxa"/>
            <w:vAlign w:val="center"/>
          </w:tcPr>
          <w:p w14:paraId="7FCB19FF" w14:textId="77777777" w:rsidR="00B47442" w:rsidRPr="0009445C" w:rsidRDefault="00B47442" w:rsidP="0099521D">
            <w:pPr>
              <w:pStyle w:val="BRL-Tabelle"/>
              <w:spacing w:before="60" w:after="40"/>
              <w:jc w:val="center"/>
              <w:rPr>
                <w:sz w:val="16"/>
              </w:rPr>
            </w:pPr>
          </w:p>
        </w:tc>
        <w:tc>
          <w:tcPr>
            <w:tcW w:w="426" w:type="dxa"/>
            <w:vAlign w:val="center"/>
          </w:tcPr>
          <w:p w14:paraId="2DB15954" w14:textId="77777777" w:rsidR="00B47442" w:rsidRPr="0009445C" w:rsidRDefault="00B47442" w:rsidP="0099521D">
            <w:pPr>
              <w:pStyle w:val="BRL-Tabelle"/>
              <w:spacing w:before="60" w:after="40"/>
              <w:jc w:val="center"/>
              <w:rPr>
                <w:sz w:val="16"/>
              </w:rPr>
            </w:pPr>
          </w:p>
        </w:tc>
        <w:tc>
          <w:tcPr>
            <w:tcW w:w="428" w:type="dxa"/>
            <w:vAlign w:val="center"/>
          </w:tcPr>
          <w:p w14:paraId="07BCB194" w14:textId="77777777" w:rsidR="00B47442" w:rsidRPr="0009445C" w:rsidRDefault="00B47442" w:rsidP="0099521D">
            <w:pPr>
              <w:pStyle w:val="BRL-Tabelle"/>
              <w:spacing w:before="60" w:after="40"/>
              <w:jc w:val="center"/>
              <w:rPr>
                <w:sz w:val="16"/>
              </w:rPr>
            </w:pPr>
          </w:p>
        </w:tc>
        <w:tc>
          <w:tcPr>
            <w:tcW w:w="427" w:type="dxa"/>
            <w:vAlign w:val="center"/>
          </w:tcPr>
          <w:p w14:paraId="6CF527DF" w14:textId="77777777" w:rsidR="00B47442" w:rsidRPr="0009445C" w:rsidRDefault="00B47442" w:rsidP="0099521D">
            <w:pPr>
              <w:pStyle w:val="BRL-Tabelle"/>
              <w:spacing w:before="60" w:after="40"/>
              <w:jc w:val="center"/>
              <w:rPr>
                <w:sz w:val="16"/>
              </w:rPr>
            </w:pPr>
          </w:p>
        </w:tc>
        <w:tc>
          <w:tcPr>
            <w:tcW w:w="426" w:type="dxa"/>
            <w:vAlign w:val="center"/>
          </w:tcPr>
          <w:p w14:paraId="14077D31" w14:textId="77777777" w:rsidR="00B47442" w:rsidRPr="0009445C" w:rsidRDefault="00B47442" w:rsidP="0099521D">
            <w:pPr>
              <w:pStyle w:val="BRL-Tabelle"/>
              <w:spacing w:before="60" w:after="40"/>
              <w:jc w:val="center"/>
              <w:rPr>
                <w:sz w:val="16"/>
              </w:rPr>
            </w:pPr>
          </w:p>
        </w:tc>
        <w:tc>
          <w:tcPr>
            <w:tcW w:w="426" w:type="dxa"/>
            <w:vAlign w:val="center"/>
          </w:tcPr>
          <w:p w14:paraId="7E5A78EB" w14:textId="77777777" w:rsidR="00B47442" w:rsidRPr="0009445C" w:rsidRDefault="00B47442" w:rsidP="0099521D">
            <w:pPr>
              <w:pStyle w:val="BRL-Tabelle"/>
              <w:spacing w:before="60" w:after="40"/>
              <w:jc w:val="center"/>
              <w:rPr>
                <w:sz w:val="16"/>
              </w:rPr>
            </w:pPr>
          </w:p>
        </w:tc>
        <w:tc>
          <w:tcPr>
            <w:tcW w:w="426" w:type="dxa"/>
            <w:vAlign w:val="center"/>
          </w:tcPr>
          <w:p w14:paraId="6FDDD172" w14:textId="77777777" w:rsidR="00B47442" w:rsidRPr="0009445C" w:rsidRDefault="00B47442" w:rsidP="0099521D">
            <w:pPr>
              <w:pStyle w:val="BRL-Tabelle"/>
              <w:spacing w:before="60" w:after="40"/>
              <w:jc w:val="center"/>
              <w:rPr>
                <w:sz w:val="16"/>
              </w:rPr>
            </w:pPr>
          </w:p>
        </w:tc>
        <w:tc>
          <w:tcPr>
            <w:tcW w:w="433" w:type="dxa"/>
            <w:vAlign w:val="center"/>
          </w:tcPr>
          <w:p w14:paraId="2BB8E8D8" w14:textId="77777777" w:rsidR="00B47442" w:rsidRPr="0009445C" w:rsidRDefault="00B47442" w:rsidP="0099521D">
            <w:pPr>
              <w:pStyle w:val="BRL-Tabelle"/>
              <w:spacing w:before="60" w:after="40"/>
              <w:jc w:val="center"/>
              <w:rPr>
                <w:sz w:val="16"/>
              </w:rPr>
            </w:pPr>
          </w:p>
        </w:tc>
        <w:tc>
          <w:tcPr>
            <w:tcW w:w="426" w:type="dxa"/>
            <w:vAlign w:val="center"/>
          </w:tcPr>
          <w:p w14:paraId="6FC965A1" w14:textId="77777777" w:rsidR="00B47442" w:rsidRPr="0009445C" w:rsidRDefault="00B47442" w:rsidP="0099521D">
            <w:pPr>
              <w:pStyle w:val="BRL-Tabelle"/>
              <w:spacing w:before="60" w:after="40"/>
              <w:jc w:val="center"/>
              <w:rPr>
                <w:sz w:val="16"/>
              </w:rPr>
            </w:pPr>
          </w:p>
        </w:tc>
        <w:tc>
          <w:tcPr>
            <w:tcW w:w="427" w:type="dxa"/>
            <w:vAlign w:val="center"/>
          </w:tcPr>
          <w:p w14:paraId="1C4CD66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ACA5CFA" w14:textId="77777777" w:rsidR="00B47442" w:rsidRPr="0009445C" w:rsidRDefault="00B47442" w:rsidP="0099521D">
            <w:pPr>
              <w:pStyle w:val="BRL-Tabelle"/>
              <w:spacing w:before="60" w:after="40"/>
              <w:jc w:val="center"/>
              <w:rPr>
                <w:sz w:val="16"/>
              </w:rPr>
            </w:pPr>
          </w:p>
        </w:tc>
        <w:tc>
          <w:tcPr>
            <w:tcW w:w="427" w:type="dxa"/>
            <w:vAlign w:val="center"/>
          </w:tcPr>
          <w:p w14:paraId="505DACB3" w14:textId="77777777" w:rsidR="00B47442" w:rsidRPr="0009445C" w:rsidRDefault="00B47442" w:rsidP="0099521D">
            <w:pPr>
              <w:pStyle w:val="BRL-Tabelle"/>
              <w:spacing w:before="60" w:after="40"/>
              <w:jc w:val="center"/>
              <w:rPr>
                <w:sz w:val="16"/>
              </w:rPr>
            </w:pPr>
          </w:p>
        </w:tc>
      </w:tr>
      <w:tr w:rsidR="00B47442" w:rsidRPr="0009445C" w14:paraId="485AB628" w14:textId="77777777" w:rsidTr="0099521D">
        <w:trPr>
          <w:trHeight w:val="264"/>
        </w:trPr>
        <w:tc>
          <w:tcPr>
            <w:tcW w:w="2355" w:type="dxa"/>
            <w:gridSpan w:val="2"/>
          </w:tcPr>
          <w:p w14:paraId="723757DA" w14:textId="77777777" w:rsidR="00B47442" w:rsidRPr="0009445C" w:rsidRDefault="00B47442" w:rsidP="0099521D">
            <w:pPr>
              <w:pStyle w:val="BRL-Tabelle"/>
              <w:spacing w:before="60" w:after="40"/>
            </w:pPr>
            <w:r w:rsidRPr="0009445C">
              <w:t>Preventive measures for outdoor cables</w:t>
            </w:r>
          </w:p>
        </w:tc>
        <w:tc>
          <w:tcPr>
            <w:tcW w:w="427" w:type="dxa"/>
            <w:vAlign w:val="center"/>
          </w:tcPr>
          <w:p w14:paraId="503237B6" w14:textId="77777777" w:rsidR="00B47442" w:rsidRPr="0009445C" w:rsidRDefault="00B47442" w:rsidP="0099521D">
            <w:pPr>
              <w:pStyle w:val="BRL-Tabelle"/>
              <w:spacing w:before="60" w:after="40"/>
              <w:jc w:val="center"/>
              <w:rPr>
                <w:sz w:val="16"/>
              </w:rPr>
            </w:pPr>
          </w:p>
        </w:tc>
        <w:tc>
          <w:tcPr>
            <w:tcW w:w="427" w:type="dxa"/>
            <w:vAlign w:val="center"/>
          </w:tcPr>
          <w:p w14:paraId="31902227" w14:textId="77777777" w:rsidR="00B47442" w:rsidRPr="0009445C" w:rsidRDefault="00B47442" w:rsidP="0099521D">
            <w:pPr>
              <w:pStyle w:val="BRL-Tabelle"/>
              <w:spacing w:before="60" w:after="40"/>
              <w:jc w:val="center"/>
              <w:rPr>
                <w:sz w:val="16"/>
              </w:rPr>
            </w:pPr>
          </w:p>
        </w:tc>
        <w:tc>
          <w:tcPr>
            <w:tcW w:w="426" w:type="dxa"/>
            <w:vAlign w:val="center"/>
          </w:tcPr>
          <w:p w14:paraId="017AEE44" w14:textId="77777777" w:rsidR="00B47442" w:rsidRPr="0009445C" w:rsidRDefault="00B47442" w:rsidP="0099521D">
            <w:pPr>
              <w:pStyle w:val="BRL-Tabelle"/>
              <w:spacing w:before="60" w:after="40"/>
              <w:jc w:val="center"/>
              <w:rPr>
                <w:sz w:val="16"/>
              </w:rPr>
            </w:pPr>
          </w:p>
        </w:tc>
        <w:tc>
          <w:tcPr>
            <w:tcW w:w="427" w:type="dxa"/>
            <w:vAlign w:val="center"/>
          </w:tcPr>
          <w:p w14:paraId="64134DBD" w14:textId="77777777" w:rsidR="00B47442" w:rsidRPr="0009445C" w:rsidRDefault="00B47442" w:rsidP="0099521D">
            <w:pPr>
              <w:pStyle w:val="BRL-Tabelle"/>
              <w:spacing w:before="60" w:after="40"/>
              <w:jc w:val="center"/>
              <w:rPr>
                <w:sz w:val="16"/>
              </w:rPr>
            </w:pPr>
          </w:p>
        </w:tc>
        <w:tc>
          <w:tcPr>
            <w:tcW w:w="425" w:type="dxa"/>
            <w:vAlign w:val="center"/>
          </w:tcPr>
          <w:p w14:paraId="539A3DDA" w14:textId="77777777" w:rsidR="00B47442" w:rsidRPr="0009445C" w:rsidRDefault="00B47442" w:rsidP="0099521D">
            <w:pPr>
              <w:pStyle w:val="BRL-Tabelle"/>
              <w:spacing w:before="60" w:after="40"/>
              <w:jc w:val="center"/>
              <w:rPr>
                <w:sz w:val="16"/>
              </w:rPr>
            </w:pPr>
          </w:p>
        </w:tc>
        <w:tc>
          <w:tcPr>
            <w:tcW w:w="426" w:type="dxa"/>
            <w:vAlign w:val="center"/>
          </w:tcPr>
          <w:p w14:paraId="5F43B29A" w14:textId="77777777" w:rsidR="00B47442" w:rsidRPr="0009445C" w:rsidRDefault="00B47442" w:rsidP="0099521D">
            <w:pPr>
              <w:pStyle w:val="BRL-Tabelle"/>
              <w:spacing w:before="60" w:after="40"/>
              <w:jc w:val="center"/>
              <w:rPr>
                <w:sz w:val="16"/>
              </w:rPr>
            </w:pPr>
          </w:p>
        </w:tc>
        <w:tc>
          <w:tcPr>
            <w:tcW w:w="428" w:type="dxa"/>
            <w:vAlign w:val="center"/>
          </w:tcPr>
          <w:p w14:paraId="4327B90D" w14:textId="77777777" w:rsidR="00B47442" w:rsidRPr="0009445C" w:rsidRDefault="00B47442" w:rsidP="0099521D">
            <w:pPr>
              <w:pStyle w:val="BRL-Tabelle"/>
              <w:spacing w:before="60" w:after="40"/>
              <w:jc w:val="center"/>
              <w:rPr>
                <w:sz w:val="16"/>
              </w:rPr>
            </w:pPr>
          </w:p>
        </w:tc>
        <w:tc>
          <w:tcPr>
            <w:tcW w:w="427" w:type="dxa"/>
            <w:vAlign w:val="center"/>
          </w:tcPr>
          <w:p w14:paraId="65F31245" w14:textId="77777777" w:rsidR="00B47442" w:rsidRPr="0009445C" w:rsidRDefault="00B47442" w:rsidP="0099521D">
            <w:pPr>
              <w:pStyle w:val="BRL-Tabelle"/>
              <w:spacing w:before="60" w:after="40"/>
              <w:jc w:val="center"/>
              <w:rPr>
                <w:sz w:val="16"/>
              </w:rPr>
            </w:pPr>
          </w:p>
        </w:tc>
        <w:tc>
          <w:tcPr>
            <w:tcW w:w="426" w:type="dxa"/>
            <w:vAlign w:val="center"/>
          </w:tcPr>
          <w:p w14:paraId="3910C625" w14:textId="77777777" w:rsidR="00B47442" w:rsidRPr="0009445C" w:rsidRDefault="00B47442" w:rsidP="0099521D">
            <w:pPr>
              <w:pStyle w:val="BRL-Tabelle"/>
              <w:spacing w:before="60" w:after="40"/>
              <w:jc w:val="center"/>
              <w:rPr>
                <w:sz w:val="16"/>
              </w:rPr>
            </w:pPr>
          </w:p>
        </w:tc>
        <w:tc>
          <w:tcPr>
            <w:tcW w:w="426" w:type="dxa"/>
            <w:vAlign w:val="center"/>
          </w:tcPr>
          <w:p w14:paraId="538E548E" w14:textId="77777777" w:rsidR="00B47442" w:rsidRPr="0009445C" w:rsidRDefault="00B47442" w:rsidP="0099521D">
            <w:pPr>
              <w:pStyle w:val="BRL-Tabelle"/>
              <w:spacing w:before="60" w:after="40"/>
              <w:jc w:val="center"/>
              <w:rPr>
                <w:sz w:val="16"/>
              </w:rPr>
            </w:pPr>
          </w:p>
        </w:tc>
        <w:tc>
          <w:tcPr>
            <w:tcW w:w="426" w:type="dxa"/>
            <w:vAlign w:val="center"/>
          </w:tcPr>
          <w:p w14:paraId="164EA0A2" w14:textId="77777777" w:rsidR="00B47442" w:rsidRPr="0009445C" w:rsidRDefault="00B47442" w:rsidP="0099521D">
            <w:pPr>
              <w:pStyle w:val="BRL-Tabelle"/>
              <w:spacing w:before="60" w:after="40"/>
              <w:jc w:val="center"/>
              <w:rPr>
                <w:sz w:val="16"/>
              </w:rPr>
            </w:pPr>
          </w:p>
        </w:tc>
        <w:tc>
          <w:tcPr>
            <w:tcW w:w="433" w:type="dxa"/>
            <w:vAlign w:val="center"/>
          </w:tcPr>
          <w:p w14:paraId="6175208B" w14:textId="77777777" w:rsidR="00B47442" w:rsidRPr="0009445C" w:rsidRDefault="00B47442" w:rsidP="0099521D">
            <w:pPr>
              <w:pStyle w:val="BRL-Tabelle"/>
              <w:spacing w:before="60" w:after="40"/>
              <w:jc w:val="center"/>
              <w:rPr>
                <w:sz w:val="16"/>
              </w:rPr>
            </w:pPr>
          </w:p>
        </w:tc>
        <w:tc>
          <w:tcPr>
            <w:tcW w:w="426" w:type="dxa"/>
            <w:vAlign w:val="center"/>
          </w:tcPr>
          <w:p w14:paraId="656E6F74" w14:textId="77777777" w:rsidR="00B47442" w:rsidRPr="0009445C" w:rsidRDefault="00B47442" w:rsidP="0099521D">
            <w:pPr>
              <w:pStyle w:val="BRL-Tabelle"/>
              <w:spacing w:before="60" w:after="40"/>
              <w:jc w:val="center"/>
              <w:rPr>
                <w:sz w:val="16"/>
              </w:rPr>
            </w:pPr>
          </w:p>
        </w:tc>
        <w:tc>
          <w:tcPr>
            <w:tcW w:w="427" w:type="dxa"/>
            <w:vAlign w:val="center"/>
          </w:tcPr>
          <w:p w14:paraId="58B691C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F026011" w14:textId="77777777" w:rsidR="00B47442" w:rsidRPr="0009445C" w:rsidRDefault="00B47442" w:rsidP="0099521D">
            <w:pPr>
              <w:pStyle w:val="BRL-Tabelle"/>
              <w:spacing w:before="60" w:after="40"/>
              <w:jc w:val="center"/>
              <w:rPr>
                <w:sz w:val="16"/>
              </w:rPr>
            </w:pPr>
          </w:p>
        </w:tc>
        <w:tc>
          <w:tcPr>
            <w:tcW w:w="427" w:type="dxa"/>
            <w:vAlign w:val="center"/>
          </w:tcPr>
          <w:p w14:paraId="492C6CE7" w14:textId="77777777" w:rsidR="00B47442" w:rsidRPr="0009445C" w:rsidRDefault="00B47442" w:rsidP="0099521D">
            <w:pPr>
              <w:pStyle w:val="BRL-Tabelle"/>
              <w:spacing w:before="60" w:after="40"/>
              <w:jc w:val="center"/>
              <w:rPr>
                <w:sz w:val="16"/>
              </w:rPr>
            </w:pPr>
          </w:p>
        </w:tc>
      </w:tr>
      <w:tr w:rsidR="00B47442" w:rsidRPr="0009445C" w14:paraId="097B3201" w14:textId="77777777" w:rsidTr="0099521D">
        <w:trPr>
          <w:trHeight w:val="264"/>
        </w:trPr>
        <w:tc>
          <w:tcPr>
            <w:tcW w:w="2355" w:type="dxa"/>
            <w:gridSpan w:val="2"/>
          </w:tcPr>
          <w:p w14:paraId="5B0AE702" w14:textId="77777777" w:rsidR="00B47442" w:rsidRPr="0009445C" w:rsidRDefault="00B47442" w:rsidP="0099521D">
            <w:pPr>
              <w:pStyle w:val="BRL-Tabelle"/>
              <w:spacing w:before="60" w:after="40"/>
            </w:pPr>
            <w:r w:rsidRPr="0009445C">
              <w:t>Flammability of materials</w:t>
            </w:r>
          </w:p>
        </w:tc>
        <w:tc>
          <w:tcPr>
            <w:tcW w:w="427" w:type="dxa"/>
            <w:vAlign w:val="center"/>
          </w:tcPr>
          <w:p w14:paraId="4C4D26B2" w14:textId="77777777" w:rsidR="00B47442" w:rsidRPr="0009445C" w:rsidRDefault="00B47442" w:rsidP="0099521D">
            <w:pPr>
              <w:pStyle w:val="BRL-Tabelle"/>
              <w:spacing w:before="60" w:after="40"/>
              <w:jc w:val="center"/>
              <w:rPr>
                <w:sz w:val="16"/>
              </w:rPr>
            </w:pPr>
          </w:p>
        </w:tc>
        <w:tc>
          <w:tcPr>
            <w:tcW w:w="427" w:type="dxa"/>
            <w:vAlign w:val="center"/>
          </w:tcPr>
          <w:p w14:paraId="46D254E1" w14:textId="77777777" w:rsidR="00B47442" w:rsidRPr="0009445C" w:rsidRDefault="00B47442" w:rsidP="0099521D">
            <w:pPr>
              <w:pStyle w:val="BRL-Tabelle"/>
              <w:spacing w:before="60" w:after="40"/>
              <w:jc w:val="center"/>
              <w:rPr>
                <w:sz w:val="16"/>
              </w:rPr>
            </w:pPr>
          </w:p>
        </w:tc>
        <w:tc>
          <w:tcPr>
            <w:tcW w:w="426" w:type="dxa"/>
            <w:vAlign w:val="center"/>
          </w:tcPr>
          <w:p w14:paraId="0E0F09E4" w14:textId="77777777" w:rsidR="00B47442" w:rsidRPr="0009445C" w:rsidRDefault="00B47442" w:rsidP="0099521D">
            <w:pPr>
              <w:pStyle w:val="BRL-Tabelle"/>
              <w:spacing w:before="60" w:after="40"/>
              <w:jc w:val="center"/>
              <w:rPr>
                <w:sz w:val="16"/>
              </w:rPr>
            </w:pPr>
          </w:p>
        </w:tc>
        <w:tc>
          <w:tcPr>
            <w:tcW w:w="427" w:type="dxa"/>
            <w:vAlign w:val="center"/>
          </w:tcPr>
          <w:p w14:paraId="71FB349C" w14:textId="77777777" w:rsidR="00B47442" w:rsidRPr="0009445C" w:rsidRDefault="00B47442" w:rsidP="0099521D">
            <w:pPr>
              <w:pStyle w:val="BRL-Tabelle"/>
              <w:spacing w:before="60" w:after="40"/>
              <w:jc w:val="center"/>
              <w:rPr>
                <w:sz w:val="16"/>
              </w:rPr>
            </w:pPr>
          </w:p>
        </w:tc>
        <w:tc>
          <w:tcPr>
            <w:tcW w:w="425" w:type="dxa"/>
            <w:vAlign w:val="center"/>
          </w:tcPr>
          <w:p w14:paraId="4D1E3B22" w14:textId="77777777" w:rsidR="00B47442" w:rsidRPr="0009445C" w:rsidRDefault="00B47442" w:rsidP="0099521D">
            <w:pPr>
              <w:pStyle w:val="BRL-Tabelle"/>
              <w:spacing w:before="60" w:after="40"/>
              <w:jc w:val="center"/>
              <w:rPr>
                <w:sz w:val="16"/>
              </w:rPr>
            </w:pPr>
          </w:p>
        </w:tc>
        <w:tc>
          <w:tcPr>
            <w:tcW w:w="426" w:type="dxa"/>
            <w:vAlign w:val="center"/>
          </w:tcPr>
          <w:p w14:paraId="1BCF67F0" w14:textId="77777777" w:rsidR="00B47442" w:rsidRPr="0009445C" w:rsidRDefault="00B47442" w:rsidP="0099521D">
            <w:pPr>
              <w:pStyle w:val="BRL-Tabelle"/>
              <w:spacing w:before="60" w:after="40"/>
              <w:jc w:val="center"/>
              <w:rPr>
                <w:sz w:val="16"/>
              </w:rPr>
            </w:pPr>
          </w:p>
        </w:tc>
        <w:tc>
          <w:tcPr>
            <w:tcW w:w="428" w:type="dxa"/>
            <w:vAlign w:val="center"/>
          </w:tcPr>
          <w:p w14:paraId="7ED31AD4" w14:textId="77777777" w:rsidR="00B47442" w:rsidRPr="0009445C" w:rsidRDefault="00B47442" w:rsidP="0099521D">
            <w:pPr>
              <w:pStyle w:val="BRL-Tabelle"/>
              <w:spacing w:before="60" w:after="40"/>
              <w:jc w:val="center"/>
              <w:rPr>
                <w:sz w:val="16"/>
              </w:rPr>
            </w:pPr>
          </w:p>
        </w:tc>
        <w:tc>
          <w:tcPr>
            <w:tcW w:w="427" w:type="dxa"/>
            <w:vAlign w:val="center"/>
          </w:tcPr>
          <w:p w14:paraId="03B94383" w14:textId="77777777" w:rsidR="00B47442" w:rsidRPr="0009445C" w:rsidRDefault="00B47442" w:rsidP="0099521D">
            <w:pPr>
              <w:pStyle w:val="BRL-Tabelle"/>
              <w:spacing w:before="60" w:after="40"/>
              <w:jc w:val="center"/>
              <w:rPr>
                <w:sz w:val="16"/>
              </w:rPr>
            </w:pPr>
          </w:p>
        </w:tc>
        <w:tc>
          <w:tcPr>
            <w:tcW w:w="426" w:type="dxa"/>
            <w:vAlign w:val="center"/>
          </w:tcPr>
          <w:p w14:paraId="755F9BE1" w14:textId="77777777" w:rsidR="00B47442" w:rsidRPr="0009445C" w:rsidRDefault="00B47442" w:rsidP="0099521D">
            <w:pPr>
              <w:pStyle w:val="BRL-Tabelle"/>
              <w:spacing w:before="60" w:after="40"/>
              <w:jc w:val="center"/>
              <w:rPr>
                <w:sz w:val="16"/>
              </w:rPr>
            </w:pPr>
          </w:p>
        </w:tc>
        <w:tc>
          <w:tcPr>
            <w:tcW w:w="426" w:type="dxa"/>
            <w:vAlign w:val="center"/>
          </w:tcPr>
          <w:p w14:paraId="6FEBF5C8" w14:textId="77777777" w:rsidR="00B47442" w:rsidRPr="0009445C" w:rsidRDefault="00B47442" w:rsidP="0099521D">
            <w:pPr>
              <w:pStyle w:val="BRL-Tabelle"/>
              <w:spacing w:before="60" w:after="40"/>
              <w:jc w:val="center"/>
              <w:rPr>
                <w:sz w:val="16"/>
              </w:rPr>
            </w:pPr>
          </w:p>
        </w:tc>
        <w:tc>
          <w:tcPr>
            <w:tcW w:w="426" w:type="dxa"/>
            <w:vAlign w:val="center"/>
          </w:tcPr>
          <w:p w14:paraId="4A40DAFD" w14:textId="77777777" w:rsidR="00B47442" w:rsidRPr="0009445C" w:rsidRDefault="00B47442" w:rsidP="0099521D">
            <w:pPr>
              <w:pStyle w:val="BRL-Tabelle"/>
              <w:spacing w:before="60" w:after="40"/>
              <w:jc w:val="center"/>
              <w:rPr>
                <w:sz w:val="16"/>
              </w:rPr>
            </w:pPr>
          </w:p>
        </w:tc>
        <w:tc>
          <w:tcPr>
            <w:tcW w:w="433" w:type="dxa"/>
            <w:vAlign w:val="center"/>
          </w:tcPr>
          <w:p w14:paraId="351DF3F4" w14:textId="77777777" w:rsidR="00B47442" w:rsidRPr="0009445C" w:rsidRDefault="00B47442" w:rsidP="0099521D">
            <w:pPr>
              <w:pStyle w:val="BRL-Tabelle"/>
              <w:spacing w:before="60" w:after="40"/>
              <w:jc w:val="center"/>
              <w:rPr>
                <w:sz w:val="16"/>
              </w:rPr>
            </w:pPr>
          </w:p>
        </w:tc>
        <w:tc>
          <w:tcPr>
            <w:tcW w:w="426" w:type="dxa"/>
            <w:vAlign w:val="center"/>
          </w:tcPr>
          <w:p w14:paraId="59249B86" w14:textId="77777777" w:rsidR="00B47442" w:rsidRPr="0009445C" w:rsidRDefault="00B47442" w:rsidP="0099521D">
            <w:pPr>
              <w:pStyle w:val="BRL-Tabelle"/>
              <w:spacing w:before="60" w:after="40"/>
              <w:jc w:val="center"/>
              <w:rPr>
                <w:sz w:val="16"/>
              </w:rPr>
            </w:pPr>
          </w:p>
        </w:tc>
        <w:tc>
          <w:tcPr>
            <w:tcW w:w="427" w:type="dxa"/>
            <w:vAlign w:val="center"/>
          </w:tcPr>
          <w:p w14:paraId="6C6F533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5D9837D" w14:textId="77777777" w:rsidR="00B47442" w:rsidRPr="0009445C" w:rsidRDefault="00B47442" w:rsidP="0099521D">
            <w:pPr>
              <w:pStyle w:val="BRL-Tabelle"/>
              <w:spacing w:before="60" w:after="40"/>
              <w:jc w:val="center"/>
              <w:rPr>
                <w:sz w:val="16"/>
              </w:rPr>
            </w:pPr>
          </w:p>
        </w:tc>
        <w:tc>
          <w:tcPr>
            <w:tcW w:w="427" w:type="dxa"/>
            <w:vAlign w:val="center"/>
          </w:tcPr>
          <w:p w14:paraId="0495FF99" w14:textId="77777777" w:rsidR="00B47442" w:rsidRPr="0009445C" w:rsidRDefault="00B47442" w:rsidP="0099521D">
            <w:pPr>
              <w:pStyle w:val="BRL-Tabelle"/>
              <w:spacing w:before="60" w:after="40"/>
              <w:jc w:val="center"/>
              <w:rPr>
                <w:sz w:val="16"/>
              </w:rPr>
            </w:pPr>
          </w:p>
        </w:tc>
      </w:tr>
      <w:tr w:rsidR="00B47442" w:rsidRPr="0009445C" w14:paraId="1FBC7BA2" w14:textId="77777777" w:rsidTr="0099521D">
        <w:trPr>
          <w:trHeight w:val="264"/>
        </w:trPr>
        <w:tc>
          <w:tcPr>
            <w:tcW w:w="2355" w:type="dxa"/>
            <w:gridSpan w:val="2"/>
          </w:tcPr>
          <w:p w14:paraId="563A044A" w14:textId="77777777" w:rsidR="00B47442" w:rsidRPr="0009445C" w:rsidRDefault="00B47442" w:rsidP="0099521D">
            <w:pPr>
              <w:pStyle w:val="BRL-Tabelle"/>
              <w:spacing w:before="60" w:after="40"/>
            </w:pPr>
            <w:r w:rsidRPr="0009445C">
              <w:t>Access</w:t>
            </w:r>
          </w:p>
        </w:tc>
        <w:tc>
          <w:tcPr>
            <w:tcW w:w="427" w:type="dxa"/>
            <w:vAlign w:val="center"/>
          </w:tcPr>
          <w:p w14:paraId="0AC36001" w14:textId="77777777" w:rsidR="00B47442" w:rsidRPr="0009445C" w:rsidRDefault="00B47442" w:rsidP="0099521D">
            <w:pPr>
              <w:pStyle w:val="BRL-Tabelle"/>
              <w:spacing w:before="60" w:after="40"/>
              <w:jc w:val="center"/>
              <w:rPr>
                <w:sz w:val="16"/>
              </w:rPr>
            </w:pPr>
          </w:p>
        </w:tc>
        <w:tc>
          <w:tcPr>
            <w:tcW w:w="427" w:type="dxa"/>
            <w:vAlign w:val="center"/>
          </w:tcPr>
          <w:p w14:paraId="0446C708" w14:textId="77777777" w:rsidR="00B47442" w:rsidRPr="0009445C" w:rsidRDefault="00B47442" w:rsidP="0099521D">
            <w:pPr>
              <w:pStyle w:val="BRL-Tabelle"/>
              <w:spacing w:before="60" w:after="40"/>
              <w:jc w:val="center"/>
              <w:rPr>
                <w:sz w:val="16"/>
              </w:rPr>
            </w:pPr>
          </w:p>
        </w:tc>
        <w:tc>
          <w:tcPr>
            <w:tcW w:w="426" w:type="dxa"/>
            <w:vAlign w:val="center"/>
          </w:tcPr>
          <w:p w14:paraId="2A4E2805" w14:textId="77777777" w:rsidR="00B47442" w:rsidRPr="0009445C" w:rsidRDefault="00B47442" w:rsidP="0099521D">
            <w:pPr>
              <w:pStyle w:val="BRL-Tabelle"/>
              <w:spacing w:before="60" w:after="40"/>
              <w:jc w:val="center"/>
              <w:rPr>
                <w:sz w:val="16"/>
              </w:rPr>
            </w:pPr>
          </w:p>
        </w:tc>
        <w:tc>
          <w:tcPr>
            <w:tcW w:w="427" w:type="dxa"/>
            <w:vAlign w:val="center"/>
          </w:tcPr>
          <w:p w14:paraId="1361FE71" w14:textId="77777777" w:rsidR="00B47442" w:rsidRPr="0009445C" w:rsidRDefault="00B47442" w:rsidP="0099521D">
            <w:pPr>
              <w:pStyle w:val="BRL-Tabelle"/>
              <w:spacing w:before="60" w:after="40"/>
              <w:jc w:val="center"/>
              <w:rPr>
                <w:sz w:val="16"/>
              </w:rPr>
            </w:pPr>
          </w:p>
        </w:tc>
        <w:tc>
          <w:tcPr>
            <w:tcW w:w="425" w:type="dxa"/>
            <w:vAlign w:val="center"/>
          </w:tcPr>
          <w:p w14:paraId="316AF87D" w14:textId="77777777" w:rsidR="00B47442" w:rsidRPr="0009445C" w:rsidRDefault="00B47442" w:rsidP="0099521D">
            <w:pPr>
              <w:pStyle w:val="BRL-Tabelle"/>
              <w:spacing w:before="60" w:after="40"/>
              <w:jc w:val="center"/>
              <w:rPr>
                <w:sz w:val="16"/>
              </w:rPr>
            </w:pPr>
          </w:p>
        </w:tc>
        <w:tc>
          <w:tcPr>
            <w:tcW w:w="426" w:type="dxa"/>
            <w:vAlign w:val="center"/>
          </w:tcPr>
          <w:p w14:paraId="6FCB992A" w14:textId="77777777" w:rsidR="00B47442" w:rsidRPr="0009445C" w:rsidRDefault="00B47442" w:rsidP="0099521D">
            <w:pPr>
              <w:pStyle w:val="BRL-Tabelle"/>
              <w:spacing w:before="60" w:after="40"/>
              <w:jc w:val="center"/>
              <w:rPr>
                <w:sz w:val="16"/>
              </w:rPr>
            </w:pPr>
          </w:p>
        </w:tc>
        <w:tc>
          <w:tcPr>
            <w:tcW w:w="428" w:type="dxa"/>
            <w:vAlign w:val="center"/>
          </w:tcPr>
          <w:p w14:paraId="70BFE494" w14:textId="77777777" w:rsidR="00B47442" w:rsidRPr="0009445C" w:rsidRDefault="00B47442" w:rsidP="0099521D">
            <w:pPr>
              <w:pStyle w:val="BRL-Tabelle"/>
              <w:spacing w:before="60" w:after="40"/>
              <w:jc w:val="center"/>
              <w:rPr>
                <w:sz w:val="16"/>
              </w:rPr>
            </w:pPr>
          </w:p>
        </w:tc>
        <w:tc>
          <w:tcPr>
            <w:tcW w:w="427" w:type="dxa"/>
            <w:vAlign w:val="center"/>
          </w:tcPr>
          <w:p w14:paraId="0CB0F994" w14:textId="77777777" w:rsidR="00B47442" w:rsidRPr="0009445C" w:rsidRDefault="00B47442" w:rsidP="0099521D">
            <w:pPr>
              <w:pStyle w:val="BRL-Tabelle"/>
              <w:spacing w:before="60" w:after="40"/>
              <w:jc w:val="center"/>
              <w:rPr>
                <w:sz w:val="16"/>
              </w:rPr>
            </w:pPr>
          </w:p>
        </w:tc>
        <w:tc>
          <w:tcPr>
            <w:tcW w:w="426" w:type="dxa"/>
            <w:vAlign w:val="center"/>
          </w:tcPr>
          <w:p w14:paraId="7C636752" w14:textId="77777777" w:rsidR="00B47442" w:rsidRPr="0009445C" w:rsidRDefault="00B47442" w:rsidP="0099521D">
            <w:pPr>
              <w:pStyle w:val="BRL-Tabelle"/>
              <w:spacing w:before="60" w:after="40"/>
              <w:jc w:val="center"/>
              <w:rPr>
                <w:sz w:val="16"/>
              </w:rPr>
            </w:pPr>
          </w:p>
        </w:tc>
        <w:tc>
          <w:tcPr>
            <w:tcW w:w="426" w:type="dxa"/>
            <w:vAlign w:val="center"/>
          </w:tcPr>
          <w:p w14:paraId="0C7FBCB6" w14:textId="77777777" w:rsidR="00B47442" w:rsidRPr="0009445C" w:rsidRDefault="00B47442" w:rsidP="0099521D">
            <w:pPr>
              <w:pStyle w:val="BRL-Tabelle"/>
              <w:spacing w:before="60" w:after="40"/>
              <w:jc w:val="center"/>
              <w:rPr>
                <w:sz w:val="16"/>
              </w:rPr>
            </w:pPr>
          </w:p>
        </w:tc>
        <w:tc>
          <w:tcPr>
            <w:tcW w:w="426" w:type="dxa"/>
            <w:vAlign w:val="center"/>
          </w:tcPr>
          <w:p w14:paraId="1B7758C7" w14:textId="77777777" w:rsidR="00B47442" w:rsidRPr="0009445C" w:rsidRDefault="00B47442" w:rsidP="0099521D">
            <w:pPr>
              <w:pStyle w:val="BRL-Tabelle"/>
              <w:spacing w:before="60" w:after="40"/>
              <w:jc w:val="center"/>
              <w:rPr>
                <w:sz w:val="16"/>
              </w:rPr>
            </w:pPr>
          </w:p>
        </w:tc>
        <w:tc>
          <w:tcPr>
            <w:tcW w:w="433" w:type="dxa"/>
            <w:vAlign w:val="center"/>
          </w:tcPr>
          <w:p w14:paraId="4C9588C8" w14:textId="77777777" w:rsidR="00B47442" w:rsidRPr="0009445C" w:rsidRDefault="00B47442" w:rsidP="0099521D">
            <w:pPr>
              <w:pStyle w:val="BRL-Tabelle"/>
              <w:spacing w:before="60" w:after="40"/>
              <w:jc w:val="center"/>
              <w:rPr>
                <w:sz w:val="16"/>
              </w:rPr>
            </w:pPr>
          </w:p>
        </w:tc>
        <w:tc>
          <w:tcPr>
            <w:tcW w:w="426" w:type="dxa"/>
            <w:vAlign w:val="center"/>
          </w:tcPr>
          <w:p w14:paraId="1FAD4D3B" w14:textId="77777777" w:rsidR="00B47442" w:rsidRPr="0009445C" w:rsidRDefault="00B47442" w:rsidP="0099521D">
            <w:pPr>
              <w:pStyle w:val="BRL-Tabelle"/>
              <w:spacing w:before="60" w:after="40"/>
              <w:jc w:val="center"/>
              <w:rPr>
                <w:sz w:val="16"/>
              </w:rPr>
            </w:pPr>
          </w:p>
        </w:tc>
        <w:tc>
          <w:tcPr>
            <w:tcW w:w="427" w:type="dxa"/>
            <w:vAlign w:val="center"/>
          </w:tcPr>
          <w:p w14:paraId="56788B7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98BA641" w14:textId="77777777" w:rsidR="00B47442" w:rsidRPr="0009445C" w:rsidRDefault="00B47442" w:rsidP="0099521D">
            <w:pPr>
              <w:pStyle w:val="BRL-Tabelle"/>
              <w:spacing w:before="60" w:after="40"/>
              <w:jc w:val="center"/>
              <w:rPr>
                <w:sz w:val="16"/>
              </w:rPr>
            </w:pPr>
          </w:p>
        </w:tc>
        <w:tc>
          <w:tcPr>
            <w:tcW w:w="427" w:type="dxa"/>
            <w:vAlign w:val="center"/>
          </w:tcPr>
          <w:p w14:paraId="2D75EAC6" w14:textId="77777777" w:rsidR="00B47442" w:rsidRPr="0009445C" w:rsidRDefault="00B47442" w:rsidP="0099521D">
            <w:pPr>
              <w:pStyle w:val="BRL-Tabelle"/>
              <w:spacing w:before="60" w:after="40"/>
              <w:jc w:val="center"/>
              <w:rPr>
                <w:sz w:val="16"/>
              </w:rPr>
            </w:pPr>
          </w:p>
        </w:tc>
      </w:tr>
      <w:tr w:rsidR="00B47442" w:rsidRPr="0009445C" w14:paraId="627F97C9" w14:textId="77777777" w:rsidTr="0099521D">
        <w:trPr>
          <w:trHeight w:val="264"/>
        </w:trPr>
        <w:tc>
          <w:tcPr>
            <w:tcW w:w="2355" w:type="dxa"/>
            <w:gridSpan w:val="2"/>
          </w:tcPr>
          <w:p w14:paraId="1CDFB731" w14:textId="77777777" w:rsidR="00B47442" w:rsidRPr="0009445C" w:rsidRDefault="00B47442" w:rsidP="0099521D">
            <w:pPr>
              <w:pStyle w:val="BRL-Tabelle"/>
              <w:spacing w:before="60" w:after="40"/>
            </w:pPr>
            <w:r w:rsidRPr="0009445C">
              <w:t>Requirements for software-controlled devices</w:t>
            </w:r>
          </w:p>
        </w:tc>
        <w:tc>
          <w:tcPr>
            <w:tcW w:w="427" w:type="dxa"/>
            <w:vAlign w:val="center"/>
          </w:tcPr>
          <w:p w14:paraId="4D839543" w14:textId="77777777" w:rsidR="00B47442" w:rsidRPr="0009445C" w:rsidRDefault="00B47442" w:rsidP="0099521D">
            <w:pPr>
              <w:pStyle w:val="BRL-Tabelle"/>
              <w:spacing w:before="60" w:after="40"/>
              <w:jc w:val="center"/>
              <w:rPr>
                <w:sz w:val="16"/>
              </w:rPr>
            </w:pPr>
          </w:p>
        </w:tc>
        <w:tc>
          <w:tcPr>
            <w:tcW w:w="427" w:type="dxa"/>
            <w:vAlign w:val="center"/>
          </w:tcPr>
          <w:p w14:paraId="4C020999" w14:textId="77777777" w:rsidR="00B47442" w:rsidRPr="0009445C" w:rsidRDefault="00B47442" w:rsidP="0099521D">
            <w:pPr>
              <w:pStyle w:val="BRL-Tabelle"/>
              <w:spacing w:before="60" w:after="40"/>
              <w:jc w:val="center"/>
              <w:rPr>
                <w:sz w:val="16"/>
              </w:rPr>
            </w:pPr>
          </w:p>
        </w:tc>
        <w:tc>
          <w:tcPr>
            <w:tcW w:w="426" w:type="dxa"/>
            <w:vAlign w:val="center"/>
          </w:tcPr>
          <w:p w14:paraId="05371FC2" w14:textId="77777777" w:rsidR="00B47442" w:rsidRPr="0009445C" w:rsidRDefault="00B47442" w:rsidP="0099521D">
            <w:pPr>
              <w:pStyle w:val="BRL-Tabelle"/>
              <w:spacing w:before="60" w:after="40"/>
              <w:jc w:val="center"/>
              <w:rPr>
                <w:sz w:val="16"/>
              </w:rPr>
            </w:pPr>
          </w:p>
        </w:tc>
        <w:tc>
          <w:tcPr>
            <w:tcW w:w="427" w:type="dxa"/>
            <w:vAlign w:val="center"/>
          </w:tcPr>
          <w:p w14:paraId="2EC9FB8B" w14:textId="77777777" w:rsidR="00B47442" w:rsidRPr="0009445C" w:rsidRDefault="00B47442" w:rsidP="0099521D">
            <w:pPr>
              <w:pStyle w:val="BRL-Tabelle"/>
              <w:spacing w:before="60" w:after="40"/>
              <w:jc w:val="center"/>
              <w:rPr>
                <w:sz w:val="16"/>
              </w:rPr>
            </w:pPr>
          </w:p>
        </w:tc>
        <w:tc>
          <w:tcPr>
            <w:tcW w:w="425" w:type="dxa"/>
            <w:vAlign w:val="center"/>
          </w:tcPr>
          <w:p w14:paraId="15C3C177" w14:textId="77777777" w:rsidR="00B47442" w:rsidRPr="0009445C" w:rsidRDefault="00B47442" w:rsidP="0099521D">
            <w:pPr>
              <w:pStyle w:val="BRL-Tabelle"/>
              <w:spacing w:before="60" w:after="40"/>
              <w:jc w:val="center"/>
              <w:rPr>
                <w:sz w:val="16"/>
              </w:rPr>
            </w:pPr>
          </w:p>
        </w:tc>
        <w:tc>
          <w:tcPr>
            <w:tcW w:w="426" w:type="dxa"/>
            <w:vAlign w:val="center"/>
          </w:tcPr>
          <w:p w14:paraId="11E1AE07" w14:textId="77777777" w:rsidR="00B47442" w:rsidRPr="0009445C" w:rsidRDefault="00B47442" w:rsidP="0099521D">
            <w:pPr>
              <w:pStyle w:val="BRL-Tabelle"/>
              <w:spacing w:before="60" w:after="40"/>
              <w:jc w:val="center"/>
              <w:rPr>
                <w:sz w:val="16"/>
              </w:rPr>
            </w:pPr>
          </w:p>
        </w:tc>
        <w:tc>
          <w:tcPr>
            <w:tcW w:w="428" w:type="dxa"/>
            <w:vAlign w:val="center"/>
          </w:tcPr>
          <w:p w14:paraId="19DDF413" w14:textId="77777777" w:rsidR="00B47442" w:rsidRPr="0009445C" w:rsidRDefault="00B47442" w:rsidP="0099521D">
            <w:pPr>
              <w:pStyle w:val="BRL-Tabelle"/>
              <w:spacing w:before="60" w:after="40"/>
              <w:jc w:val="center"/>
              <w:rPr>
                <w:sz w:val="16"/>
              </w:rPr>
            </w:pPr>
          </w:p>
        </w:tc>
        <w:tc>
          <w:tcPr>
            <w:tcW w:w="427" w:type="dxa"/>
            <w:vAlign w:val="center"/>
          </w:tcPr>
          <w:p w14:paraId="72E932D9" w14:textId="77777777" w:rsidR="00B47442" w:rsidRPr="0009445C" w:rsidRDefault="00B47442" w:rsidP="0099521D">
            <w:pPr>
              <w:pStyle w:val="BRL-Tabelle"/>
              <w:spacing w:before="60" w:after="40"/>
              <w:jc w:val="center"/>
              <w:rPr>
                <w:sz w:val="16"/>
              </w:rPr>
            </w:pPr>
          </w:p>
        </w:tc>
        <w:tc>
          <w:tcPr>
            <w:tcW w:w="426" w:type="dxa"/>
            <w:vAlign w:val="center"/>
          </w:tcPr>
          <w:p w14:paraId="7750A6A4" w14:textId="77777777" w:rsidR="00B47442" w:rsidRPr="0009445C" w:rsidRDefault="00B47442" w:rsidP="0099521D">
            <w:pPr>
              <w:pStyle w:val="BRL-Tabelle"/>
              <w:spacing w:before="60" w:after="40"/>
              <w:jc w:val="center"/>
              <w:rPr>
                <w:sz w:val="16"/>
              </w:rPr>
            </w:pPr>
          </w:p>
        </w:tc>
        <w:tc>
          <w:tcPr>
            <w:tcW w:w="426" w:type="dxa"/>
            <w:vAlign w:val="center"/>
          </w:tcPr>
          <w:p w14:paraId="6C15CC80" w14:textId="77777777" w:rsidR="00B47442" w:rsidRPr="0009445C" w:rsidRDefault="00B47442" w:rsidP="0099521D">
            <w:pPr>
              <w:pStyle w:val="BRL-Tabelle"/>
              <w:spacing w:before="60" w:after="40"/>
              <w:jc w:val="center"/>
              <w:rPr>
                <w:sz w:val="16"/>
              </w:rPr>
            </w:pPr>
          </w:p>
        </w:tc>
        <w:tc>
          <w:tcPr>
            <w:tcW w:w="426" w:type="dxa"/>
            <w:vAlign w:val="center"/>
          </w:tcPr>
          <w:p w14:paraId="1B532C22" w14:textId="77777777" w:rsidR="00B47442" w:rsidRPr="0009445C" w:rsidRDefault="00B47442" w:rsidP="0099521D">
            <w:pPr>
              <w:pStyle w:val="BRL-Tabelle"/>
              <w:spacing w:before="60" w:after="40"/>
              <w:jc w:val="center"/>
              <w:rPr>
                <w:sz w:val="16"/>
              </w:rPr>
            </w:pPr>
          </w:p>
        </w:tc>
        <w:tc>
          <w:tcPr>
            <w:tcW w:w="433" w:type="dxa"/>
            <w:vAlign w:val="center"/>
          </w:tcPr>
          <w:p w14:paraId="60D0E1E7" w14:textId="77777777" w:rsidR="00B47442" w:rsidRPr="0009445C" w:rsidRDefault="00B47442" w:rsidP="0099521D">
            <w:pPr>
              <w:pStyle w:val="BRL-Tabelle"/>
              <w:spacing w:before="60" w:after="40"/>
              <w:jc w:val="center"/>
              <w:rPr>
                <w:sz w:val="16"/>
              </w:rPr>
            </w:pPr>
          </w:p>
        </w:tc>
        <w:tc>
          <w:tcPr>
            <w:tcW w:w="426" w:type="dxa"/>
            <w:vAlign w:val="center"/>
          </w:tcPr>
          <w:p w14:paraId="487734AF" w14:textId="77777777" w:rsidR="00B47442" w:rsidRPr="0009445C" w:rsidRDefault="00B47442" w:rsidP="0099521D">
            <w:pPr>
              <w:pStyle w:val="BRL-Tabelle"/>
              <w:spacing w:before="60" w:after="40"/>
              <w:jc w:val="center"/>
              <w:rPr>
                <w:sz w:val="16"/>
              </w:rPr>
            </w:pPr>
          </w:p>
        </w:tc>
        <w:tc>
          <w:tcPr>
            <w:tcW w:w="427" w:type="dxa"/>
            <w:vAlign w:val="center"/>
          </w:tcPr>
          <w:p w14:paraId="202CE84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5D7C94D" w14:textId="77777777" w:rsidR="00B47442" w:rsidRPr="0009445C" w:rsidRDefault="00B47442" w:rsidP="0099521D">
            <w:pPr>
              <w:pStyle w:val="BRL-Tabelle"/>
              <w:spacing w:before="60" w:after="40"/>
              <w:jc w:val="center"/>
              <w:rPr>
                <w:sz w:val="16"/>
              </w:rPr>
            </w:pPr>
          </w:p>
        </w:tc>
        <w:tc>
          <w:tcPr>
            <w:tcW w:w="427" w:type="dxa"/>
            <w:vAlign w:val="center"/>
          </w:tcPr>
          <w:p w14:paraId="7252832F" w14:textId="77777777" w:rsidR="00B47442" w:rsidRPr="0009445C" w:rsidRDefault="00B47442" w:rsidP="0099521D">
            <w:pPr>
              <w:pStyle w:val="BRL-Tabelle"/>
              <w:spacing w:before="60" w:after="40"/>
              <w:jc w:val="center"/>
              <w:rPr>
                <w:sz w:val="16"/>
              </w:rPr>
            </w:pPr>
          </w:p>
        </w:tc>
      </w:tr>
      <w:tr w:rsidR="00B47442" w:rsidRPr="0009445C" w14:paraId="1000CDB1" w14:textId="77777777" w:rsidTr="0099521D">
        <w:trPr>
          <w:trHeight w:val="264"/>
        </w:trPr>
        <w:tc>
          <w:tcPr>
            <w:tcW w:w="2355" w:type="dxa"/>
            <w:gridSpan w:val="2"/>
          </w:tcPr>
          <w:p w14:paraId="53EEE1A5" w14:textId="77777777" w:rsidR="00B47442" w:rsidRPr="0009445C" w:rsidRDefault="00B47442" w:rsidP="0099521D">
            <w:pPr>
              <w:pStyle w:val="BRL-Tabelle"/>
              <w:spacing w:before="60" w:after="40"/>
            </w:pPr>
            <w:r w:rsidRPr="0009445C">
              <w:t>Durability</w:t>
            </w:r>
          </w:p>
        </w:tc>
        <w:tc>
          <w:tcPr>
            <w:tcW w:w="427" w:type="dxa"/>
            <w:vAlign w:val="center"/>
          </w:tcPr>
          <w:p w14:paraId="0E5358CD" w14:textId="77777777" w:rsidR="00B47442" w:rsidRPr="0009445C" w:rsidRDefault="00B47442" w:rsidP="0099521D">
            <w:pPr>
              <w:pStyle w:val="BRL-Tabelle"/>
              <w:spacing w:before="60" w:after="40"/>
              <w:jc w:val="center"/>
              <w:rPr>
                <w:sz w:val="16"/>
              </w:rPr>
            </w:pPr>
          </w:p>
        </w:tc>
        <w:tc>
          <w:tcPr>
            <w:tcW w:w="427" w:type="dxa"/>
            <w:vAlign w:val="center"/>
          </w:tcPr>
          <w:p w14:paraId="2E826C7E" w14:textId="77777777" w:rsidR="00B47442" w:rsidRPr="0009445C" w:rsidRDefault="00B47442" w:rsidP="0099521D">
            <w:pPr>
              <w:pStyle w:val="BRL-Tabelle"/>
              <w:spacing w:before="60" w:after="40"/>
              <w:jc w:val="center"/>
              <w:rPr>
                <w:sz w:val="16"/>
              </w:rPr>
            </w:pPr>
          </w:p>
        </w:tc>
        <w:tc>
          <w:tcPr>
            <w:tcW w:w="426" w:type="dxa"/>
            <w:vAlign w:val="center"/>
          </w:tcPr>
          <w:p w14:paraId="5C88E434" w14:textId="77777777" w:rsidR="00B47442" w:rsidRPr="0009445C" w:rsidRDefault="00B47442" w:rsidP="0099521D">
            <w:pPr>
              <w:pStyle w:val="BRL-Tabelle"/>
              <w:spacing w:before="60" w:after="40"/>
              <w:jc w:val="center"/>
              <w:rPr>
                <w:sz w:val="16"/>
              </w:rPr>
            </w:pPr>
          </w:p>
        </w:tc>
        <w:tc>
          <w:tcPr>
            <w:tcW w:w="427" w:type="dxa"/>
            <w:vAlign w:val="center"/>
          </w:tcPr>
          <w:p w14:paraId="0AA79535" w14:textId="77777777" w:rsidR="00B47442" w:rsidRPr="0009445C" w:rsidRDefault="00B47442" w:rsidP="0099521D">
            <w:pPr>
              <w:pStyle w:val="BRL-Tabelle"/>
              <w:spacing w:before="60" w:after="40"/>
              <w:jc w:val="center"/>
              <w:rPr>
                <w:sz w:val="16"/>
              </w:rPr>
            </w:pPr>
          </w:p>
        </w:tc>
        <w:tc>
          <w:tcPr>
            <w:tcW w:w="425" w:type="dxa"/>
            <w:vAlign w:val="center"/>
          </w:tcPr>
          <w:p w14:paraId="5A13BE76" w14:textId="77777777" w:rsidR="00B47442" w:rsidRPr="0009445C" w:rsidRDefault="00B47442" w:rsidP="0099521D">
            <w:pPr>
              <w:pStyle w:val="BRL-Tabelle"/>
              <w:spacing w:before="60" w:after="40"/>
              <w:jc w:val="center"/>
              <w:rPr>
                <w:sz w:val="16"/>
              </w:rPr>
            </w:pPr>
          </w:p>
        </w:tc>
        <w:tc>
          <w:tcPr>
            <w:tcW w:w="426" w:type="dxa"/>
            <w:vAlign w:val="center"/>
          </w:tcPr>
          <w:p w14:paraId="427E9526" w14:textId="77777777" w:rsidR="00B47442" w:rsidRPr="0009445C" w:rsidRDefault="00B47442" w:rsidP="0099521D">
            <w:pPr>
              <w:pStyle w:val="BRL-Tabelle"/>
              <w:spacing w:before="60" w:after="40"/>
              <w:jc w:val="center"/>
              <w:rPr>
                <w:sz w:val="16"/>
              </w:rPr>
            </w:pPr>
          </w:p>
        </w:tc>
        <w:tc>
          <w:tcPr>
            <w:tcW w:w="428" w:type="dxa"/>
            <w:vAlign w:val="center"/>
          </w:tcPr>
          <w:p w14:paraId="0D2CBC4F" w14:textId="77777777" w:rsidR="00B47442" w:rsidRPr="0009445C" w:rsidRDefault="00B47442" w:rsidP="0099521D">
            <w:pPr>
              <w:pStyle w:val="BRL-Tabelle"/>
              <w:spacing w:before="60" w:after="40"/>
              <w:jc w:val="center"/>
              <w:rPr>
                <w:sz w:val="16"/>
              </w:rPr>
            </w:pPr>
          </w:p>
        </w:tc>
        <w:tc>
          <w:tcPr>
            <w:tcW w:w="427" w:type="dxa"/>
            <w:vAlign w:val="center"/>
          </w:tcPr>
          <w:p w14:paraId="0840CC96" w14:textId="77777777" w:rsidR="00B47442" w:rsidRPr="0009445C" w:rsidRDefault="00B47442" w:rsidP="0099521D">
            <w:pPr>
              <w:pStyle w:val="BRL-Tabelle"/>
              <w:spacing w:before="60" w:after="40"/>
              <w:jc w:val="center"/>
              <w:rPr>
                <w:sz w:val="16"/>
              </w:rPr>
            </w:pPr>
          </w:p>
        </w:tc>
        <w:tc>
          <w:tcPr>
            <w:tcW w:w="426" w:type="dxa"/>
            <w:vAlign w:val="center"/>
          </w:tcPr>
          <w:p w14:paraId="38F55E93" w14:textId="77777777" w:rsidR="00B47442" w:rsidRPr="0009445C" w:rsidRDefault="00B47442" w:rsidP="0099521D">
            <w:pPr>
              <w:pStyle w:val="BRL-Tabelle"/>
              <w:spacing w:before="60" w:after="40"/>
              <w:jc w:val="center"/>
              <w:rPr>
                <w:sz w:val="16"/>
              </w:rPr>
            </w:pPr>
          </w:p>
        </w:tc>
        <w:tc>
          <w:tcPr>
            <w:tcW w:w="426" w:type="dxa"/>
            <w:vAlign w:val="center"/>
          </w:tcPr>
          <w:p w14:paraId="3839FD34" w14:textId="77777777" w:rsidR="00B47442" w:rsidRPr="0009445C" w:rsidRDefault="00B47442" w:rsidP="0099521D">
            <w:pPr>
              <w:pStyle w:val="BRL-Tabelle"/>
              <w:spacing w:before="60" w:after="40"/>
              <w:jc w:val="center"/>
              <w:rPr>
                <w:sz w:val="16"/>
              </w:rPr>
            </w:pPr>
          </w:p>
        </w:tc>
        <w:tc>
          <w:tcPr>
            <w:tcW w:w="426" w:type="dxa"/>
            <w:vAlign w:val="center"/>
          </w:tcPr>
          <w:p w14:paraId="23B37887" w14:textId="77777777" w:rsidR="00B47442" w:rsidRPr="0009445C" w:rsidRDefault="00B47442" w:rsidP="0099521D">
            <w:pPr>
              <w:pStyle w:val="BRL-Tabelle"/>
              <w:spacing w:before="60" w:after="40"/>
              <w:jc w:val="center"/>
              <w:rPr>
                <w:sz w:val="16"/>
              </w:rPr>
            </w:pPr>
          </w:p>
        </w:tc>
        <w:tc>
          <w:tcPr>
            <w:tcW w:w="433" w:type="dxa"/>
            <w:vAlign w:val="center"/>
          </w:tcPr>
          <w:p w14:paraId="37239535" w14:textId="77777777" w:rsidR="00B47442" w:rsidRPr="0009445C" w:rsidRDefault="00B47442" w:rsidP="0099521D">
            <w:pPr>
              <w:pStyle w:val="BRL-Tabelle"/>
              <w:spacing w:before="60" w:after="40"/>
              <w:jc w:val="center"/>
              <w:rPr>
                <w:sz w:val="16"/>
              </w:rPr>
            </w:pPr>
          </w:p>
        </w:tc>
        <w:tc>
          <w:tcPr>
            <w:tcW w:w="426" w:type="dxa"/>
            <w:vAlign w:val="center"/>
          </w:tcPr>
          <w:p w14:paraId="6B1FD4A3" w14:textId="77777777" w:rsidR="00B47442" w:rsidRPr="0009445C" w:rsidRDefault="00B47442" w:rsidP="0099521D">
            <w:pPr>
              <w:pStyle w:val="BRL-Tabelle"/>
              <w:spacing w:before="60" w:after="40"/>
              <w:jc w:val="center"/>
              <w:rPr>
                <w:sz w:val="16"/>
              </w:rPr>
            </w:pPr>
          </w:p>
        </w:tc>
        <w:tc>
          <w:tcPr>
            <w:tcW w:w="427" w:type="dxa"/>
            <w:vAlign w:val="center"/>
          </w:tcPr>
          <w:p w14:paraId="3F2D6EDF" w14:textId="77777777" w:rsidR="00B47442" w:rsidRPr="0009445C" w:rsidRDefault="00B47442" w:rsidP="0099521D">
            <w:pPr>
              <w:pStyle w:val="BRL-Tabelle"/>
              <w:spacing w:before="60" w:after="40"/>
              <w:jc w:val="center"/>
              <w:rPr>
                <w:sz w:val="16"/>
              </w:rPr>
            </w:pPr>
          </w:p>
        </w:tc>
        <w:tc>
          <w:tcPr>
            <w:tcW w:w="426" w:type="dxa"/>
            <w:vAlign w:val="center"/>
          </w:tcPr>
          <w:p w14:paraId="4D032C04"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DBC687A" w14:textId="77777777" w:rsidR="00B47442" w:rsidRPr="0009445C" w:rsidRDefault="00B47442" w:rsidP="0099521D">
            <w:pPr>
              <w:pStyle w:val="BRL-Tabelle"/>
              <w:spacing w:before="60" w:after="40"/>
              <w:jc w:val="center"/>
              <w:rPr>
                <w:sz w:val="16"/>
              </w:rPr>
            </w:pPr>
          </w:p>
        </w:tc>
      </w:tr>
      <w:tr w:rsidR="00B47442" w:rsidRPr="0009445C" w14:paraId="29067D6E" w14:textId="77777777" w:rsidTr="0099521D">
        <w:trPr>
          <w:trHeight w:val="264"/>
        </w:trPr>
        <w:tc>
          <w:tcPr>
            <w:tcW w:w="2355" w:type="dxa"/>
            <w:gridSpan w:val="2"/>
          </w:tcPr>
          <w:p w14:paraId="09DFA9B7" w14:textId="77777777" w:rsidR="00B47442" w:rsidRPr="0009445C" w:rsidRDefault="00B47442" w:rsidP="0099521D">
            <w:pPr>
              <w:pStyle w:val="BRL-Tabelle"/>
              <w:spacing w:before="60" w:after="40"/>
            </w:pPr>
            <w:r w:rsidRPr="0009445C">
              <w:t>Construction</w:t>
            </w:r>
          </w:p>
        </w:tc>
        <w:tc>
          <w:tcPr>
            <w:tcW w:w="427" w:type="dxa"/>
            <w:vAlign w:val="center"/>
          </w:tcPr>
          <w:p w14:paraId="647E7D9D" w14:textId="77777777" w:rsidR="00B47442" w:rsidRPr="0009445C" w:rsidRDefault="00B47442" w:rsidP="0099521D">
            <w:pPr>
              <w:pStyle w:val="BRL-Tabelle"/>
              <w:spacing w:before="60" w:after="40"/>
              <w:jc w:val="center"/>
              <w:rPr>
                <w:sz w:val="16"/>
              </w:rPr>
            </w:pPr>
          </w:p>
        </w:tc>
        <w:tc>
          <w:tcPr>
            <w:tcW w:w="427" w:type="dxa"/>
            <w:vAlign w:val="center"/>
          </w:tcPr>
          <w:p w14:paraId="63A5C959" w14:textId="77777777" w:rsidR="00B47442" w:rsidRPr="0009445C" w:rsidRDefault="00B47442" w:rsidP="0099521D">
            <w:pPr>
              <w:pStyle w:val="BRL-Tabelle"/>
              <w:spacing w:before="60" w:after="40"/>
              <w:jc w:val="center"/>
              <w:rPr>
                <w:sz w:val="16"/>
              </w:rPr>
            </w:pPr>
          </w:p>
        </w:tc>
        <w:tc>
          <w:tcPr>
            <w:tcW w:w="426" w:type="dxa"/>
            <w:vAlign w:val="center"/>
          </w:tcPr>
          <w:p w14:paraId="6A2A48F3" w14:textId="77777777" w:rsidR="00B47442" w:rsidRPr="0009445C" w:rsidRDefault="00B47442" w:rsidP="0099521D">
            <w:pPr>
              <w:pStyle w:val="BRL-Tabelle"/>
              <w:spacing w:before="60" w:after="40"/>
              <w:jc w:val="center"/>
              <w:rPr>
                <w:sz w:val="16"/>
              </w:rPr>
            </w:pPr>
          </w:p>
        </w:tc>
        <w:tc>
          <w:tcPr>
            <w:tcW w:w="427" w:type="dxa"/>
            <w:vAlign w:val="center"/>
          </w:tcPr>
          <w:p w14:paraId="733D8883" w14:textId="77777777" w:rsidR="00B47442" w:rsidRPr="0009445C" w:rsidRDefault="00B47442" w:rsidP="0099521D">
            <w:pPr>
              <w:pStyle w:val="BRL-Tabelle"/>
              <w:spacing w:before="60" w:after="40"/>
              <w:jc w:val="center"/>
              <w:rPr>
                <w:sz w:val="16"/>
              </w:rPr>
            </w:pPr>
          </w:p>
        </w:tc>
        <w:tc>
          <w:tcPr>
            <w:tcW w:w="425" w:type="dxa"/>
            <w:vAlign w:val="center"/>
          </w:tcPr>
          <w:p w14:paraId="1AAAFB8F" w14:textId="77777777" w:rsidR="00B47442" w:rsidRPr="0009445C" w:rsidRDefault="00B47442" w:rsidP="0099521D">
            <w:pPr>
              <w:pStyle w:val="BRL-Tabelle"/>
              <w:spacing w:before="60" w:after="40"/>
              <w:jc w:val="center"/>
              <w:rPr>
                <w:sz w:val="16"/>
              </w:rPr>
            </w:pPr>
          </w:p>
        </w:tc>
        <w:tc>
          <w:tcPr>
            <w:tcW w:w="426" w:type="dxa"/>
            <w:vAlign w:val="center"/>
          </w:tcPr>
          <w:p w14:paraId="2C815B11" w14:textId="77777777" w:rsidR="00B47442" w:rsidRPr="0009445C" w:rsidRDefault="00B47442" w:rsidP="0099521D">
            <w:pPr>
              <w:pStyle w:val="BRL-Tabelle"/>
              <w:spacing w:before="60" w:after="40"/>
              <w:jc w:val="center"/>
              <w:rPr>
                <w:sz w:val="16"/>
              </w:rPr>
            </w:pPr>
          </w:p>
        </w:tc>
        <w:tc>
          <w:tcPr>
            <w:tcW w:w="428" w:type="dxa"/>
            <w:vAlign w:val="center"/>
          </w:tcPr>
          <w:p w14:paraId="798F64E7" w14:textId="77777777" w:rsidR="00B47442" w:rsidRPr="0009445C" w:rsidRDefault="00B47442" w:rsidP="0099521D">
            <w:pPr>
              <w:pStyle w:val="BRL-Tabelle"/>
              <w:spacing w:before="60" w:after="40"/>
              <w:jc w:val="center"/>
              <w:rPr>
                <w:sz w:val="16"/>
              </w:rPr>
            </w:pPr>
          </w:p>
        </w:tc>
        <w:tc>
          <w:tcPr>
            <w:tcW w:w="427" w:type="dxa"/>
            <w:vAlign w:val="center"/>
          </w:tcPr>
          <w:p w14:paraId="0D1EE7EF" w14:textId="77777777" w:rsidR="00B47442" w:rsidRPr="0009445C" w:rsidRDefault="00B47442" w:rsidP="0099521D">
            <w:pPr>
              <w:pStyle w:val="BRL-Tabelle"/>
              <w:spacing w:before="60" w:after="40"/>
              <w:jc w:val="center"/>
              <w:rPr>
                <w:sz w:val="16"/>
              </w:rPr>
            </w:pPr>
          </w:p>
        </w:tc>
        <w:tc>
          <w:tcPr>
            <w:tcW w:w="426" w:type="dxa"/>
            <w:vAlign w:val="center"/>
          </w:tcPr>
          <w:p w14:paraId="75B47298" w14:textId="77777777" w:rsidR="00B47442" w:rsidRPr="0009445C" w:rsidRDefault="00B47442" w:rsidP="0099521D">
            <w:pPr>
              <w:pStyle w:val="BRL-Tabelle"/>
              <w:spacing w:before="60" w:after="40"/>
              <w:jc w:val="center"/>
              <w:rPr>
                <w:sz w:val="16"/>
              </w:rPr>
            </w:pPr>
          </w:p>
        </w:tc>
        <w:tc>
          <w:tcPr>
            <w:tcW w:w="426" w:type="dxa"/>
            <w:vAlign w:val="center"/>
          </w:tcPr>
          <w:p w14:paraId="269D28F5" w14:textId="77777777" w:rsidR="00B47442" w:rsidRPr="0009445C" w:rsidRDefault="00B47442" w:rsidP="0099521D">
            <w:pPr>
              <w:pStyle w:val="BRL-Tabelle"/>
              <w:spacing w:before="60" w:after="40"/>
              <w:jc w:val="center"/>
              <w:rPr>
                <w:sz w:val="16"/>
              </w:rPr>
            </w:pPr>
          </w:p>
        </w:tc>
        <w:tc>
          <w:tcPr>
            <w:tcW w:w="426" w:type="dxa"/>
            <w:vAlign w:val="center"/>
          </w:tcPr>
          <w:p w14:paraId="7638FCAB" w14:textId="77777777" w:rsidR="00B47442" w:rsidRPr="0009445C" w:rsidRDefault="00B47442" w:rsidP="0099521D">
            <w:pPr>
              <w:pStyle w:val="BRL-Tabelle"/>
              <w:spacing w:before="60" w:after="40"/>
              <w:jc w:val="center"/>
              <w:rPr>
                <w:sz w:val="16"/>
              </w:rPr>
            </w:pPr>
          </w:p>
        </w:tc>
        <w:tc>
          <w:tcPr>
            <w:tcW w:w="433" w:type="dxa"/>
            <w:vAlign w:val="center"/>
          </w:tcPr>
          <w:p w14:paraId="034218C5" w14:textId="77777777" w:rsidR="00B47442" w:rsidRPr="0009445C" w:rsidRDefault="00B47442" w:rsidP="0099521D">
            <w:pPr>
              <w:pStyle w:val="BRL-Tabelle"/>
              <w:spacing w:before="60" w:after="40"/>
              <w:jc w:val="center"/>
              <w:rPr>
                <w:sz w:val="16"/>
              </w:rPr>
            </w:pPr>
          </w:p>
        </w:tc>
        <w:tc>
          <w:tcPr>
            <w:tcW w:w="426" w:type="dxa"/>
            <w:vAlign w:val="center"/>
          </w:tcPr>
          <w:p w14:paraId="19BCFFBB" w14:textId="77777777" w:rsidR="00B47442" w:rsidRPr="0009445C" w:rsidRDefault="00B47442" w:rsidP="0099521D">
            <w:pPr>
              <w:pStyle w:val="BRL-Tabelle"/>
              <w:spacing w:before="60" w:after="40"/>
              <w:jc w:val="center"/>
              <w:rPr>
                <w:sz w:val="16"/>
              </w:rPr>
            </w:pPr>
          </w:p>
        </w:tc>
        <w:tc>
          <w:tcPr>
            <w:tcW w:w="427" w:type="dxa"/>
            <w:vAlign w:val="center"/>
          </w:tcPr>
          <w:p w14:paraId="02AB6B54" w14:textId="77777777" w:rsidR="00B47442" w:rsidRPr="0009445C" w:rsidRDefault="00B47442" w:rsidP="0099521D">
            <w:pPr>
              <w:pStyle w:val="BRL-Tabelle"/>
              <w:spacing w:before="60" w:after="40"/>
              <w:jc w:val="center"/>
              <w:rPr>
                <w:sz w:val="16"/>
              </w:rPr>
            </w:pPr>
          </w:p>
        </w:tc>
        <w:tc>
          <w:tcPr>
            <w:tcW w:w="426" w:type="dxa"/>
            <w:vAlign w:val="center"/>
          </w:tcPr>
          <w:p w14:paraId="05411716"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D1F68DC" w14:textId="77777777" w:rsidR="00B47442" w:rsidRPr="0009445C" w:rsidRDefault="00B47442" w:rsidP="0099521D">
            <w:pPr>
              <w:pStyle w:val="BRL-Tabelle"/>
              <w:spacing w:before="60" w:after="40"/>
              <w:jc w:val="center"/>
              <w:rPr>
                <w:sz w:val="16"/>
              </w:rPr>
            </w:pPr>
          </w:p>
        </w:tc>
      </w:tr>
      <w:tr w:rsidR="00B47442" w:rsidRPr="0009445C" w14:paraId="537264A6" w14:textId="77777777" w:rsidTr="0099521D">
        <w:trPr>
          <w:trHeight w:val="264"/>
        </w:trPr>
        <w:tc>
          <w:tcPr>
            <w:tcW w:w="2355" w:type="dxa"/>
            <w:gridSpan w:val="2"/>
          </w:tcPr>
          <w:p w14:paraId="7906B46B" w14:textId="77777777" w:rsidR="00B47442" w:rsidRPr="0009445C" w:rsidRDefault="00B47442" w:rsidP="0099521D">
            <w:pPr>
              <w:pStyle w:val="BRL-Tabelle"/>
              <w:spacing w:before="60" w:after="40"/>
            </w:pPr>
            <w:r w:rsidRPr="0009445C">
              <w:t>Nominal noise power (durability)</w:t>
            </w:r>
          </w:p>
        </w:tc>
        <w:tc>
          <w:tcPr>
            <w:tcW w:w="427" w:type="dxa"/>
            <w:vAlign w:val="center"/>
          </w:tcPr>
          <w:p w14:paraId="1144720F" w14:textId="77777777" w:rsidR="00B47442" w:rsidRPr="0009445C" w:rsidRDefault="00B47442" w:rsidP="0099521D">
            <w:pPr>
              <w:pStyle w:val="BRL-Tabelle"/>
              <w:spacing w:before="60" w:after="40"/>
              <w:jc w:val="center"/>
              <w:rPr>
                <w:sz w:val="16"/>
              </w:rPr>
            </w:pPr>
          </w:p>
        </w:tc>
        <w:tc>
          <w:tcPr>
            <w:tcW w:w="427" w:type="dxa"/>
            <w:vAlign w:val="center"/>
          </w:tcPr>
          <w:p w14:paraId="09D86B04" w14:textId="77777777" w:rsidR="00B47442" w:rsidRPr="0009445C" w:rsidRDefault="00B47442" w:rsidP="0099521D">
            <w:pPr>
              <w:pStyle w:val="BRL-Tabelle"/>
              <w:spacing w:before="60" w:after="40"/>
              <w:jc w:val="center"/>
              <w:rPr>
                <w:sz w:val="16"/>
              </w:rPr>
            </w:pPr>
          </w:p>
        </w:tc>
        <w:tc>
          <w:tcPr>
            <w:tcW w:w="426" w:type="dxa"/>
            <w:vAlign w:val="center"/>
          </w:tcPr>
          <w:p w14:paraId="4E8E2975" w14:textId="77777777" w:rsidR="00B47442" w:rsidRPr="0009445C" w:rsidRDefault="00B47442" w:rsidP="0099521D">
            <w:pPr>
              <w:pStyle w:val="BRL-Tabelle"/>
              <w:spacing w:before="60" w:after="40"/>
              <w:jc w:val="center"/>
              <w:rPr>
                <w:sz w:val="16"/>
              </w:rPr>
            </w:pPr>
          </w:p>
        </w:tc>
        <w:tc>
          <w:tcPr>
            <w:tcW w:w="427" w:type="dxa"/>
            <w:vAlign w:val="center"/>
          </w:tcPr>
          <w:p w14:paraId="3ED93F67" w14:textId="77777777" w:rsidR="00B47442" w:rsidRPr="0009445C" w:rsidRDefault="00B47442" w:rsidP="0099521D">
            <w:pPr>
              <w:pStyle w:val="BRL-Tabelle"/>
              <w:spacing w:before="60" w:after="40"/>
              <w:jc w:val="center"/>
              <w:rPr>
                <w:sz w:val="16"/>
              </w:rPr>
            </w:pPr>
          </w:p>
        </w:tc>
        <w:tc>
          <w:tcPr>
            <w:tcW w:w="425" w:type="dxa"/>
            <w:vAlign w:val="center"/>
          </w:tcPr>
          <w:p w14:paraId="2F621A5A" w14:textId="77777777" w:rsidR="00B47442" w:rsidRPr="0009445C" w:rsidRDefault="00B47442" w:rsidP="0099521D">
            <w:pPr>
              <w:pStyle w:val="BRL-Tabelle"/>
              <w:spacing w:before="60" w:after="40"/>
              <w:jc w:val="center"/>
              <w:rPr>
                <w:sz w:val="16"/>
              </w:rPr>
            </w:pPr>
          </w:p>
        </w:tc>
        <w:tc>
          <w:tcPr>
            <w:tcW w:w="426" w:type="dxa"/>
            <w:vAlign w:val="center"/>
          </w:tcPr>
          <w:p w14:paraId="6199B08E" w14:textId="77777777" w:rsidR="00B47442" w:rsidRPr="0009445C" w:rsidRDefault="00B47442" w:rsidP="0099521D">
            <w:pPr>
              <w:pStyle w:val="BRL-Tabelle"/>
              <w:spacing w:before="60" w:after="40"/>
              <w:jc w:val="center"/>
              <w:rPr>
                <w:sz w:val="16"/>
              </w:rPr>
            </w:pPr>
          </w:p>
        </w:tc>
        <w:tc>
          <w:tcPr>
            <w:tcW w:w="428" w:type="dxa"/>
            <w:vAlign w:val="center"/>
          </w:tcPr>
          <w:p w14:paraId="60172AD3" w14:textId="77777777" w:rsidR="00B47442" w:rsidRPr="0009445C" w:rsidRDefault="00B47442" w:rsidP="0099521D">
            <w:pPr>
              <w:pStyle w:val="BRL-Tabelle"/>
              <w:spacing w:before="60" w:after="40"/>
              <w:jc w:val="center"/>
              <w:rPr>
                <w:sz w:val="16"/>
              </w:rPr>
            </w:pPr>
          </w:p>
        </w:tc>
        <w:tc>
          <w:tcPr>
            <w:tcW w:w="427" w:type="dxa"/>
            <w:vAlign w:val="center"/>
          </w:tcPr>
          <w:p w14:paraId="73D2C86D" w14:textId="77777777" w:rsidR="00B47442" w:rsidRPr="0009445C" w:rsidRDefault="00B47442" w:rsidP="0099521D">
            <w:pPr>
              <w:pStyle w:val="BRL-Tabelle"/>
              <w:spacing w:before="60" w:after="40"/>
              <w:jc w:val="center"/>
              <w:rPr>
                <w:sz w:val="16"/>
              </w:rPr>
            </w:pPr>
          </w:p>
        </w:tc>
        <w:tc>
          <w:tcPr>
            <w:tcW w:w="426" w:type="dxa"/>
            <w:vAlign w:val="center"/>
          </w:tcPr>
          <w:p w14:paraId="785FED63" w14:textId="77777777" w:rsidR="00B47442" w:rsidRPr="0009445C" w:rsidRDefault="00B47442" w:rsidP="0099521D">
            <w:pPr>
              <w:pStyle w:val="BRL-Tabelle"/>
              <w:spacing w:before="60" w:after="40"/>
              <w:jc w:val="center"/>
              <w:rPr>
                <w:sz w:val="16"/>
              </w:rPr>
            </w:pPr>
          </w:p>
        </w:tc>
        <w:tc>
          <w:tcPr>
            <w:tcW w:w="426" w:type="dxa"/>
            <w:vAlign w:val="center"/>
          </w:tcPr>
          <w:p w14:paraId="1322EF78" w14:textId="77777777" w:rsidR="00B47442" w:rsidRPr="0009445C" w:rsidRDefault="00B47442" w:rsidP="0099521D">
            <w:pPr>
              <w:pStyle w:val="BRL-Tabelle"/>
              <w:spacing w:before="60" w:after="40"/>
              <w:jc w:val="center"/>
              <w:rPr>
                <w:sz w:val="16"/>
              </w:rPr>
            </w:pPr>
          </w:p>
        </w:tc>
        <w:tc>
          <w:tcPr>
            <w:tcW w:w="426" w:type="dxa"/>
            <w:vAlign w:val="center"/>
          </w:tcPr>
          <w:p w14:paraId="3E4995DA" w14:textId="77777777" w:rsidR="00B47442" w:rsidRPr="0009445C" w:rsidRDefault="00B47442" w:rsidP="0099521D">
            <w:pPr>
              <w:pStyle w:val="BRL-Tabelle"/>
              <w:spacing w:before="60" w:after="40"/>
              <w:jc w:val="center"/>
              <w:rPr>
                <w:sz w:val="16"/>
              </w:rPr>
            </w:pPr>
          </w:p>
        </w:tc>
        <w:tc>
          <w:tcPr>
            <w:tcW w:w="433" w:type="dxa"/>
            <w:vAlign w:val="center"/>
          </w:tcPr>
          <w:p w14:paraId="28069C12" w14:textId="77777777" w:rsidR="00B47442" w:rsidRPr="0009445C" w:rsidRDefault="00B47442" w:rsidP="0099521D">
            <w:pPr>
              <w:pStyle w:val="BRL-Tabelle"/>
              <w:spacing w:before="60" w:after="40"/>
              <w:jc w:val="center"/>
              <w:rPr>
                <w:sz w:val="16"/>
              </w:rPr>
            </w:pPr>
          </w:p>
        </w:tc>
        <w:tc>
          <w:tcPr>
            <w:tcW w:w="426" w:type="dxa"/>
            <w:vAlign w:val="center"/>
          </w:tcPr>
          <w:p w14:paraId="209E2A25" w14:textId="77777777" w:rsidR="00B47442" w:rsidRPr="0009445C" w:rsidRDefault="00B47442" w:rsidP="0099521D">
            <w:pPr>
              <w:pStyle w:val="BRL-Tabelle"/>
              <w:spacing w:before="60" w:after="40"/>
              <w:jc w:val="center"/>
              <w:rPr>
                <w:sz w:val="16"/>
              </w:rPr>
            </w:pPr>
          </w:p>
        </w:tc>
        <w:tc>
          <w:tcPr>
            <w:tcW w:w="427" w:type="dxa"/>
            <w:vAlign w:val="center"/>
          </w:tcPr>
          <w:p w14:paraId="6EC38B7B" w14:textId="77777777" w:rsidR="00B47442" w:rsidRPr="0009445C" w:rsidRDefault="00B47442" w:rsidP="0099521D">
            <w:pPr>
              <w:pStyle w:val="BRL-Tabelle"/>
              <w:spacing w:before="60" w:after="40"/>
              <w:jc w:val="center"/>
              <w:rPr>
                <w:sz w:val="16"/>
              </w:rPr>
            </w:pPr>
          </w:p>
        </w:tc>
        <w:tc>
          <w:tcPr>
            <w:tcW w:w="426" w:type="dxa"/>
            <w:vAlign w:val="center"/>
          </w:tcPr>
          <w:p w14:paraId="5ECAD6CE"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69F970C" w14:textId="77777777" w:rsidR="00B47442" w:rsidRPr="0009445C" w:rsidRDefault="00B47442" w:rsidP="0099521D">
            <w:pPr>
              <w:pStyle w:val="BRL-Tabelle"/>
              <w:spacing w:before="60" w:after="40"/>
              <w:jc w:val="center"/>
              <w:rPr>
                <w:sz w:val="16"/>
              </w:rPr>
            </w:pPr>
          </w:p>
        </w:tc>
      </w:tr>
      <w:tr w:rsidR="00B47442" w:rsidRPr="0009445C" w14:paraId="6D15F1FC" w14:textId="77777777" w:rsidTr="0099521D">
        <w:trPr>
          <w:trHeight w:val="264"/>
        </w:trPr>
        <w:tc>
          <w:tcPr>
            <w:tcW w:w="2355" w:type="dxa"/>
            <w:gridSpan w:val="2"/>
          </w:tcPr>
          <w:p w14:paraId="668C2478" w14:textId="77777777" w:rsidR="00B47442" w:rsidRPr="0009445C" w:rsidRDefault="00B47442" w:rsidP="0099521D">
            <w:pPr>
              <w:pStyle w:val="BRL-Tabelle"/>
              <w:spacing w:before="60" w:after="40"/>
            </w:pPr>
            <w:r w:rsidRPr="0009445C">
              <w:t>Housing protection</w:t>
            </w:r>
          </w:p>
        </w:tc>
        <w:tc>
          <w:tcPr>
            <w:tcW w:w="427" w:type="dxa"/>
            <w:vAlign w:val="center"/>
          </w:tcPr>
          <w:p w14:paraId="29600C93" w14:textId="77777777" w:rsidR="00B47442" w:rsidRPr="0009445C" w:rsidRDefault="00B47442" w:rsidP="0099521D">
            <w:pPr>
              <w:pStyle w:val="BRL-Tabelle"/>
              <w:spacing w:before="60" w:after="40"/>
              <w:jc w:val="center"/>
              <w:rPr>
                <w:sz w:val="16"/>
              </w:rPr>
            </w:pPr>
          </w:p>
        </w:tc>
        <w:tc>
          <w:tcPr>
            <w:tcW w:w="427" w:type="dxa"/>
            <w:vAlign w:val="center"/>
          </w:tcPr>
          <w:p w14:paraId="64CF3C57" w14:textId="77777777" w:rsidR="00B47442" w:rsidRPr="0009445C" w:rsidRDefault="00B47442" w:rsidP="0099521D">
            <w:pPr>
              <w:pStyle w:val="BRL-Tabelle"/>
              <w:spacing w:before="60" w:after="40"/>
              <w:jc w:val="center"/>
              <w:rPr>
                <w:sz w:val="16"/>
              </w:rPr>
            </w:pPr>
          </w:p>
        </w:tc>
        <w:tc>
          <w:tcPr>
            <w:tcW w:w="426" w:type="dxa"/>
            <w:vAlign w:val="center"/>
          </w:tcPr>
          <w:p w14:paraId="7D4AC6BE" w14:textId="77777777" w:rsidR="00B47442" w:rsidRPr="0009445C" w:rsidRDefault="00B47442" w:rsidP="0099521D">
            <w:pPr>
              <w:pStyle w:val="BRL-Tabelle"/>
              <w:spacing w:before="60" w:after="40"/>
              <w:jc w:val="center"/>
              <w:rPr>
                <w:sz w:val="16"/>
              </w:rPr>
            </w:pPr>
          </w:p>
        </w:tc>
        <w:tc>
          <w:tcPr>
            <w:tcW w:w="427" w:type="dxa"/>
            <w:vAlign w:val="center"/>
          </w:tcPr>
          <w:p w14:paraId="38B771DE" w14:textId="77777777" w:rsidR="00B47442" w:rsidRPr="0009445C" w:rsidRDefault="00B47442" w:rsidP="0099521D">
            <w:pPr>
              <w:pStyle w:val="BRL-Tabelle"/>
              <w:spacing w:before="60" w:after="40"/>
              <w:jc w:val="center"/>
              <w:rPr>
                <w:sz w:val="16"/>
              </w:rPr>
            </w:pPr>
          </w:p>
        </w:tc>
        <w:tc>
          <w:tcPr>
            <w:tcW w:w="425" w:type="dxa"/>
            <w:vAlign w:val="center"/>
          </w:tcPr>
          <w:p w14:paraId="70981B73" w14:textId="77777777" w:rsidR="00B47442" w:rsidRPr="0009445C" w:rsidRDefault="00B47442" w:rsidP="0099521D">
            <w:pPr>
              <w:pStyle w:val="BRL-Tabelle"/>
              <w:spacing w:before="60" w:after="40"/>
              <w:jc w:val="center"/>
              <w:rPr>
                <w:sz w:val="16"/>
              </w:rPr>
            </w:pPr>
          </w:p>
        </w:tc>
        <w:tc>
          <w:tcPr>
            <w:tcW w:w="426" w:type="dxa"/>
            <w:vAlign w:val="center"/>
          </w:tcPr>
          <w:p w14:paraId="166207C3" w14:textId="77777777" w:rsidR="00B47442" w:rsidRPr="0009445C" w:rsidRDefault="00B47442" w:rsidP="0099521D">
            <w:pPr>
              <w:pStyle w:val="BRL-Tabelle"/>
              <w:spacing w:before="60" w:after="40"/>
              <w:jc w:val="center"/>
              <w:rPr>
                <w:sz w:val="16"/>
              </w:rPr>
            </w:pPr>
          </w:p>
        </w:tc>
        <w:tc>
          <w:tcPr>
            <w:tcW w:w="428" w:type="dxa"/>
            <w:vAlign w:val="center"/>
          </w:tcPr>
          <w:p w14:paraId="49D0766B" w14:textId="77777777" w:rsidR="00B47442" w:rsidRPr="0009445C" w:rsidRDefault="00B47442" w:rsidP="0099521D">
            <w:pPr>
              <w:pStyle w:val="BRL-Tabelle"/>
              <w:spacing w:before="60" w:after="40"/>
              <w:jc w:val="center"/>
              <w:rPr>
                <w:sz w:val="16"/>
              </w:rPr>
            </w:pPr>
          </w:p>
        </w:tc>
        <w:tc>
          <w:tcPr>
            <w:tcW w:w="427" w:type="dxa"/>
            <w:vAlign w:val="center"/>
          </w:tcPr>
          <w:p w14:paraId="5D5BB1A6" w14:textId="77777777" w:rsidR="00B47442" w:rsidRPr="0009445C" w:rsidRDefault="00B47442" w:rsidP="0099521D">
            <w:pPr>
              <w:pStyle w:val="BRL-Tabelle"/>
              <w:spacing w:before="60" w:after="40"/>
              <w:jc w:val="center"/>
              <w:rPr>
                <w:sz w:val="16"/>
              </w:rPr>
            </w:pPr>
          </w:p>
        </w:tc>
        <w:tc>
          <w:tcPr>
            <w:tcW w:w="426" w:type="dxa"/>
            <w:vAlign w:val="center"/>
          </w:tcPr>
          <w:p w14:paraId="21BB11C9" w14:textId="77777777" w:rsidR="00B47442" w:rsidRPr="0009445C" w:rsidRDefault="00B47442" w:rsidP="0099521D">
            <w:pPr>
              <w:pStyle w:val="BRL-Tabelle"/>
              <w:spacing w:before="60" w:after="40"/>
              <w:jc w:val="center"/>
              <w:rPr>
                <w:sz w:val="16"/>
              </w:rPr>
            </w:pPr>
          </w:p>
        </w:tc>
        <w:tc>
          <w:tcPr>
            <w:tcW w:w="426" w:type="dxa"/>
            <w:vAlign w:val="center"/>
          </w:tcPr>
          <w:p w14:paraId="20A615C0" w14:textId="77777777" w:rsidR="00B47442" w:rsidRPr="0009445C" w:rsidRDefault="00B47442" w:rsidP="0099521D">
            <w:pPr>
              <w:pStyle w:val="BRL-Tabelle"/>
              <w:spacing w:before="60" w:after="40"/>
              <w:jc w:val="center"/>
              <w:rPr>
                <w:sz w:val="16"/>
              </w:rPr>
            </w:pPr>
          </w:p>
        </w:tc>
        <w:tc>
          <w:tcPr>
            <w:tcW w:w="426" w:type="dxa"/>
            <w:vAlign w:val="center"/>
          </w:tcPr>
          <w:p w14:paraId="1E9D3667" w14:textId="77777777" w:rsidR="00B47442" w:rsidRPr="0009445C" w:rsidRDefault="00B47442" w:rsidP="0099521D">
            <w:pPr>
              <w:pStyle w:val="BRL-Tabelle"/>
              <w:spacing w:before="60" w:after="40"/>
              <w:jc w:val="center"/>
              <w:rPr>
                <w:sz w:val="16"/>
              </w:rPr>
            </w:pPr>
          </w:p>
        </w:tc>
        <w:tc>
          <w:tcPr>
            <w:tcW w:w="433" w:type="dxa"/>
            <w:vAlign w:val="center"/>
          </w:tcPr>
          <w:p w14:paraId="103CC41E" w14:textId="77777777" w:rsidR="00B47442" w:rsidRPr="0009445C" w:rsidRDefault="00B47442" w:rsidP="0099521D">
            <w:pPr>
              <w:pStyle w:val="BRL-Tabelle"/>
              <w:spacing w:before="60" w:after="40"/>
              <w:jc w:val="center"/>
              <w:rPr>
                <w:sz w:val="16"/>
              </w:rPr>
            </w:pPr>
          </w:p>
        </w:tc>
        <w:tc>
          <w:tcPr>
            <w:tcW w:w="426" w:type="dxa"/>
            <w:vAlign w:val="center"/>
          </w:tcPr>
          <w:p w14:paraId="063C7D4E" w14:textId="77777777" w:rsidR="00B47442" w:rsidRPr="0009445C" w:rsidRDefault="00B47442" w:rsidP="0099521D">
            <w:pPr>
              <w:pStyle w:val="BRL-Tabelle"/>
              <w:spacing w:before="60" w:after="40"/>
              <w:jc w:val="center"/>
              <w:rPr>
                <w:sz w:val="16"/>
              </w:rPr>
            </w:pPr>
          </w:p>
        </w:tc>
        <w:tc>
          <w:tcPr>
            <w:tcW w:w="427" w:type="dxa"/>
            <w:vAlign w:val="center"/>
          </w:tcPr>
          <w:p w14:paraId="599FDAF9" w14:textId="77777777" w:rsidR="00B47442" w:rsidRPr="0009445C" w:rsidRDefault="00B47442" w:rsidP="0099521D">
            <w:pPr>
              <w:pStyle w:val="BRL-Tabelle"/>
              <w:spacing w:before="60" w:after="40"/>
              <w:jc w:val="center"/>
              <w:rPr>
                <w:sz w:val="16"/>
              </w:rPr>
            </w:pPr>
          </w:p>
        </w:tc>
        <w:tc>
          <w:tcPr>
            <w:tcW w:w="426" w:type="dxa"/>
            <w:vAlign w:val="center"/>
          </w:tcPr>
          <w:p w14:paraId="64A060C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7AE1985" w14:textId="77777777" w:rsidR="00B47442" w:rsidRPr="0009445C" w:rsidRDefault="00B47442" w:rsidP="0099521D">
            <w:pPr>
              <w:pStyle w:val="BRL-Tabelle"/>
              <w:spacing w:before="60" w:after="40"/>
              <w:jc w:val="center"/>
              <w:rPr>
                <w:sz w:val="16"/>
              </w:rPr>
            </w:pPr>
          </w:p>
        </w:tc>
      </w:tr>
      <w:tr w:rsidR="00B47442" w:rsidRPr="0009445C" w14:paraId="09957C1C" w14:textId="77777777" w:rsidTr="0099521D">
        <w:trPr>
          <w:trHeight w:val="264"/>
        </w:trPr>
        <w:tc>
          <w:tcPr>
            <w:tcW w:w="2355" w:type="dxa"/>
            <w:gridSpan w:val="2"/>
          </w:tcPr>
          <w:p w14:paraId="7DF13552" w14:textId="77777777" w:rsidR="00B47442" w:rsidRPr="0009445C" w:rsidRDefault="00B47442" w:rsidP="0099521D">
            <w:pPr>
              <w:pStyle w:val="BRL-Tabelle"/>
              <w:spacing w:before="60" w:after="40"/>
            </w:pPr>
            <w:r w:rsidRPr="0009445C">
              <w:t>Distance loss immunity</w:t>
            </w:r>
          </w:p>
        </w:tc>
        <w:tc>
          <w:tcPr>
            <w:tcW w:w="427" w:type="dxa"/>
            <w:vAlign w:val="center"/>
          </w:tcPr>
          <w:p w14:paraId="299796D5" w14:textId="77777777" w:rsidR="00B47442" w:rsidRPr="0009445C" w:rsidRDefault="00B47442" w:rsidP="0099521D">
            <w:pPr>
              <w:pStyle w:val="BRL-Tabelle"/>
              <w:spacing w:before="60" w:after="40"/>
              <w:jc w:val="center"/>
              <w:rPr>
                <w:sz w:val="16"/>
              </w:rPr>
            </w:pPr>
          </w:p>
        </w:tc>
        <w:tc>
          <w:tcPr>
            <w:tcW w:w="427" w:type="dxa"/>
            <w:vAlign w:val="center"/>
          </w:tcPr>
          <w:p w14:paraId="37822F96" w14:textId="77777777" w:rsidR="00B47442" w:rsidRPr="0009445C" w:rsidRDefault="00B47442" w:rsidP="0099521D">
            <w:pPr>
              <w:pStyle w:val="BRL-Tabelle"/>
              <w:spacing w:before="60" w:after="40"/>
              <w:jc w:val="center"/>
              <w:rPr>
                <w:sz w:val="16"/>
              </w:rPr>
            </w:pPr>
          </w:p>
        </w:tc>
        <w:tc>
          <w:tcPr>
            <w:tcW w:w="426" w:type="dxa"/>
            <w:vAlign w:val="center"/>
          </w:tcPr>
          <w:p w14:paraId="18686EE7" w14:textId="77777777" w:rsidR="00B47442" w:rsidRPr="0009445C" w:rsidRDefault="00B47442" w:rsidP="0099521D">
            <w:pPr>
              <w:pStyle w:val="BRL-Tabelle"/>
              <w:spacing w:before="60" w:after="40"/>
              <w:jc w:val="center"/>
              <w:rPr>
                <w:sz w:val="16"/>
              </w:rPr>
            </w:pPr>
          </w:p>
        </w:tc>
        <w:tc>
          <w:tcPr>
            <w:tcW w:w="427" w:type="dxa"/>
            <w:vAlign w:val="center"/>
          </w:tcPr>
          <w:p w14:paraId="79734C7C" w14:textId="77777777" w:rsidR="00B47442" w:rsidRPr="0009445C" w:rsidRDefault="00B47442" w:rsidP="0099521D">
            <w:pPr>
              <w:pStyle w:val="BRL-Tabelle"/>
              <w:spacing w:before="60" w:after="40"/>
              <w:jc w:val="center"/>
              <w:rPr>
                <w:sz w:val="16"/>
              </w:rPr>
            </w:pPr>
          </w:p>
        </w:tc>
        <w:tc>
          <w:tcPr>
            <w:tcW w:w="425" w:type="dxa"/>
            <w:vAlign w:val="center"/>
          </w:tcPr>
          <w:p w14:paraId="574A3691" w14:textId="77777777" w:rsidR="00B47442" w:rsidRPr="0009445C" w:rsidRDefault="00B47442" w:rsidP="0099521D">
            <w:pPr>
              <w:pStyle w:val="BRL-Tabelle"/>
              <w:spacing w:before="60" w:after="40"/>
              <w:jc w:val="center"/>
              <w:rPr>
                <w:sz w:val="16"/>
              </w:rPr>
            </w:pPr>
          </w:p>
        </w:tc>
        <w:tc>
          <w:tcPr>
            <w:tcW w:w="426" w:type="dxa"/>
            <w:vAlign w:val="center"/>
          </w:tcPr>
          <w:p w14:paraId="551C4CE3" w14:textId="77777777" w:rsidR="00B47442" w:rsidRPr="0009445C" w:rsidRDefault="00B47442" w:rsidP="0099521D">
            <w:pPr>
              <w:pStyle w:val="BRL-Tabelle"/>
              <w:spacing w:before="60" w:after="40"/>
              <w:jc w:val="center"/>
              <w:rPr>
                <w:sz w:val="16"/>
              </w:rPr>
            </w:pPr>
          </w:p>
        </w:tc>
        <w:tc>
          <w:tcPr>
            <w:tcW w:w="428" w:type="dxa"/>
            <w:vAlign w:val="center"/>
          </w:tcPr>
          <w:p w14:paraId="39BE961A" w14:textId="77777777" w:rsidR="00B47442" w:rsidRPr="0009445C" w:rsidRDefault="00B47442" w:rsidP="0099521D">
            <w:pPr>
              <w:pStyle w:val="BRL-Tabelle"/>
              <w:spacing w:before="60" w:after="40"/>
              <w:jc w:val="center"/>
              <w:rPr>
                <w:sz w:val="16"/>
              </w:rPr>
            </w:pPr>
          </w:p>
        </w:tc>
        <w:tc>
          <w:tcPr>
            <w:tcW w:w="427" w:type="dxa"/>
            <w:vAlign w:val="center"/>
          </w:tcPr>
          <w:p w14:paraId="5F914407" w14:textId="77777777" w:rsidR="00B47442" w:rsidRPr="0009445C" w:rsidRDefault="00B47442" w:rsidP="0099521D">
            <w:pPr>
              <w:pStyle w:val="BRL-Tabelle"/>
              <w:spacing w:before="60" w:after="40"/>
              <w:jc w:val="center"/>
              <w:rPr>
                <w:sz w:val="16"/>
              </w:rPr>
            </w:pPr>
          </w:p>
        </w:tc>
        <w:tc>
          <w:tcPr>
            <w:tcW w:w="426" w:type="dxa"/>
            <w:vAlign w:val="center"/>
          </w:tcPr>
          <w:p w14:paraId="62EB9F8D" w14:textId="77777777" w:rsidR="00B47442" w:rsidRPr="0009445C" w:rsidRDefault="00B47442" w:rsidP="0099521D">
            <w:pPr>
              <w:pStyle w:val="BRL-Tabelle"/>
              <w:spacing w:before="60" w:after="40"/>
              <w:jc w:val="center"/>
              <w:rPr>
                <w:sz w:val="16"/>
              </w:rPr>
            </w:pPr>
          </w:p>
        </w:tc>
        <w:tc>
          <w:tcPr>
            <w:tcW w:w="426" w:type="dxa"/>
            <w:vAlign w:val="center"/>
          </w:tcPr>
          <w:p w14:paraId="0454CA5B" w14:textId="77777777" w:rsidR="00B47442" w:rsidRPr="0009445C" w:rsidRDefault="00B47442" w:rsidP="0099521D">
            <w:pPr>
              <w:pStyle w:val="BRL-Tabelle"/>
              <w:spacing w:before="60" w:after="40"/>
              <w:jc w:val="center"/>
              <w:rPr>
                <w:sz w:val="16"/>
              </w:rPr>
            </w:pPr>
          </w:p>
        </w:tc>
        <w:tc>
          <w:tcPr>
            <w:tcW w:w="426" w:type="dxa"/>
            <w:vAlign w:val="center"/>
          </w:tcPr>
          <w:p w14:paraId="43E3A846" w14:textId="77777777" w:rsidR="00B47442" w:rsidRPr="0009445C" w:rsidRDefault="00B47442" w:rsidP="0099521D">
            <w:pPr>
              <w:pStyle w:val="BRL-Tabelle"/>
              <w:spacing w:before="60" w:after="40"/>
              <w:jc w:val="center"/>
              <w:rPr>
                <w:sz w:val="16"/>
              </w:rPr>
            </w:pPr>
          </w:p>
        </w:tc>
        <w:tc>
          <w:tcPr>
            <w:tcW w:w="433" w:type="dxa"/>
            <w:vAlign w:val="center"/>
          </w:tcPr>
          <w:p w14:paraId="0FBB6D82" w14:textId="77777777" w:rsidR="00B47442" w:rsidRPr="0009445C" w:rsidRDefault="00B47442" w:rsidP="0099521D">
            <w:pPr>
              <w:pStyle w:val="BRL-Tabelle"/>
              <w:spacing w:before="60" w:after="40"/>
              <w:jc w:val="center"/>
              <w:rPr>
                <w:sz w:val="16"/>
              </w:rPr>
            </w:pPr>
          </w:p>
        </w:tc>
        <w:tc>
          <w:tcPr>
            <w:tcW w:w="426" w:type="dxa"/>
            <w:vAlign w:val="center"/>
          </w:tcPr>
          <w:p w14:paraId="2464D32B" w14:textId="77777777" w:rsidR="00B47442" w:rsidRPr="0009445C" w:rsidRDefault="00B47442" w:rsidP="0099521D">
            <w:pPr>
              <w:pStyle w:val="BRL-Tabelle"/>
              <w:spacing w:before="60" w:after="40"/>
              <w:jc w:val="center"/>
              <w:rPr>
                <w:sz w:val="16"/>
              </w:rPr>
            </w:pPr>
          </w:p>
        </w:tc>
        <w:tc>
          <w:tcPr>
            <w:tcW w:w="427" w:type="dxa"/>
            <w:vAlign w:val="center"/>
          </w:tcPr>
          <w:p w14:paraId="4B05E246" w14:textId="77777777" w:rsidR="00B47442" w:rsidRPr="0009445C" w:rsidRDefault="00B47442" w:rsidP="0099521D">
            <w:pPr>
              <w:pStyle w:val="BRL-Tabelle"/>
              <w:spacing w:before="60" w:after="40"/>
              <w:jc w:val="center"/>
              <w:rPr>
                <w:sz w:val="16"/>
              </w:rPr>
            </w:pPr>
          </w:p>
        </w:tc>
        <w:tc>
          <w:tcPr>
            <w:tcW w:w="426" w:type="dxa"/>
            <w:vAlign w:val="center"/>
          </w:tcPr>
          <w:p w14:paraId="3BC68679" w14:textId="77777777" w:rsidR="00B47442" w:rsidRPr="0009445C" w:rsidRDefault="00B47442" w:rsidP="0099521D">
            <w:pPr>
              <w:pStyle w:val="BRL-Tabelle"/>
              <w:spacing w:before="60" w:after="40"/>
              <w:jc w:val="center"/>
              <w:rPr>
                <w:sz w:val="16"/>
              </w:rPr>
            </w:pPr>
          </w:p>
        </w:tc>
        <w:tc>
          <w:tcPr>
            <w:tcW w:w="427" w:type="dxa"/>
            <w:vAlign w:val="center"/>
          </w:tcPr>
          <w:p w14:paraId="4A21B124"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57E65A47" w14:textId="77777777" w:rsidTr="0099521D">
        <w:trPr>
          <w:trHeight w:val="264"/>
        </w:trPr>
        <w:tc>
          <w:tcPr>
            <w:tcW w:w="2355" w:type="dxa"/>
            <w:gridSpan w:val="2"/>
          </w:tcPr>
          <w:p w14:paraId="46C70355" w14:textId="77777777" w:rsidR="00B47442" w:rsidRPr="0009445C" w:rsidRDefault="00B47442" w:rsidP="0099521D">
            <w:pPr>
              <w:pStyle w:val="BRL-Tabelle"/>
              <w:spacing w:before="60" w:after="40"/>
            </w:pPr>
            <w:r w:rsidRPr="0009445C">
              <w:t>Identification of the RF-connected component</w:t>
            </w:r>
          </w:p>
        </w:tc>
        <w:tc>
          <w:tcPr>
            <w:tcW w:w="427" w:type="dxa"/>
            <w:vAlign w:val="center"/>
          </w:tcPr>
          <w:p w14:paraId="5BD7A074" w14:textId="77777777" w:rsidR="00B47442" w:rsidRPr="0009445C" w:rsidRDefault="00B47442" w:rsidP="0099521D">
            <w:pPr>
              <w:pStyle w:val="BRL-Tabelle"/>
              <w:spacing w:before="60" w:after="40"/>
              <w:jc w:val="center"/>
              <w:rPr>
                <w:sz w:val="16"/>
              </w:rPr>
            </w:pPr>
          </w:p>
        </w:tc>
        <w:tc>
          <w:tcPr>
            <w:tcW w:w="427" w:type="dxa"/>
            <w:vAlign w:val="center"/>
          </w:tcPr>
          <w:p w14:paraId="7A337467" w14:textId="77777777" w:rsidR="00B47442" w:rsidRPr="0009445C" w:rsidRDefault="00B47442" w:rsidP="0099521D">
            <w:pPr>
              <w:pStyle w:val="BRL-Tabelle"/>
              <w:spacing w:before="60" w:after="40"/>
              <w:jc w:val="center"/>
              <w:rPr>
                <w:sz w:val="16"/>
              </w:rPr>
            </w:pPr>
          </w:p>
        </w:tc>
        <w:tc>
          <w:tcPr>
            <w:tcW w:w="426" w:type="dxa"/>
            <w:vAlign w:val="center"/>
          </w:tcPr>
          <w:p w14:paraId="230593B3" w14:textId="77777777" w:rsidR="00B47442" w:rsidRPr="0009445C" w:rsidRDefault="00B47442" w:rsidP="0099521D">
            <w:pPr>
              <w:pStyle w:val="BRL-Tabelle"/>
              <w:spacing w:before="60" w:after="40"/>
              <w:jc w:val="center"/>
              <w:rPr>
                <w:sz w:val="16"/>
              </w:rPr>
            </w:pPr>
          </w:p>
        </w:tc>
        <w:tc>
          <w:tcPr>
            <w:tcW w:w="427" w:type="dxa"/>
            <w:vAlign w:val="center"/>
          </w:tcPr>
          <w:p w14:paraId="27FFEC4E" w14:textId="77777777" w:rsidR="00B47442" w:rsidRPr="0009445C" w:rsidRDefault="00B47442" w:rsidP="0099521D">
            <w:pPr>
              <w:pStyle w:val="BRL-Tabelle"/>
              <w:spacing w:before="60" w:after="40"/>
              <w:jc w:val="center"/>
              <w:rPr>
                <w:sz w:val="16"/>
              </w:rPr>
            </w:pPr>
          </w:p>
        </w:tc>
        <w:tc>
          <w:tcPr>
            <w:tcW w:w="425" w:type="dxa"/>
            <w:vAlign w:val="center"/>
          </w:tcPr>
          <w:p w14:paraId="2019419B" w14:textId="77777777" w:rsidR="00B47442" w:rsidRPr="0009445C" w:rsidRDefault="00B47442" w:rsidP="0099521D">
            <w:pPr>
              <w:pStyle w:val="BRL-Tabelle"/>
              <w:spacing w:before="60" w:after="40"/>
              <w:jc w:val="center"/>
              <w:rPr>
                <w:sz w:val="16"/>
              </w:rPr>
            </w:pPr>
          </w:p>
        </w:tc>
        <w:tc>
          <w:tcPr>
            <w:tcW w:w="426" w:type="dxa"/>
            <w:vAlign w:val="center"/>
          </w:tcPr>
          <w:p w14:paraId="03F6A5EA" w14:textId="77777777" w:rsidR="00B47442" w:rsidRPr="0009445C" w:rsidRDefault="00B47442" w:rsidP="0099521D">
            <w:pPr>
              <w:pStyle w:val="BRL-Tabelle"/>
              <w:spacing w:before="60" w:after="40"/>
              <w:jc w:val="center"/>
              <w:rPr>
                <w:sz w:val="16"/>
              </w:rPr>
            </w:pPr>
          </w:p>
        </w:tc>
        <w:tc>
          <w:tcPr>
            <w:tcW w:w="428" w:type="dxa"/>
            <w:vAlign w:val="center"/>
          </w:tcPr>
          <w:p w14:paraId="2847A3E1" w14:textId="77777777" w:rsidR="00B47442" w:rsidRPr="0009445C" w:rsidRDefault="00B47442" w:rsidP="0099521D">
            <w:pPr>
              <w:pStyle w:val="BRL-Tabelle"/>
              <w:spacing w:before="60" w:after="40"/>
              <w:jc w:val="center"/>
              <w:rPr>
                <w:sz w:val="16"/>
              </w:rPr>
            </w:pPr>
          </w:p>
        </w:tc>
        <w:tc>
          <w:tcPr>
            <w:tcW w:w="427" w:type="dxa"/>
            <w:vAlign w:val="center"/>
          </w:tcPr>
          <w:p w14:paraId="5F66A61C" w14:textId="77777777" w:rsidR="00B47442" w:rsidRPr="0009445C" w:rsidRDefault="00B47442" w:rsidP="0099521D">
            <w:pPr>
              <w:pStyle w:val="BRL-Tabelle"/>
              <w:spacing w:before="60" w:after="40"/>
              <w:jc w:val="center"/>
              <w:rPr>
                <w:sz w:val="16"/>
              </w:rPr>
            </w:pPr>
          </w:p>
        </w:tc>
        <w:tc>
          <w:tcPr>
            <w:tcW w:w="426" w:type="dxa"/>
            <w:vAlign w:val="center"/>
          </w:tcPr>
          <w:p w14:paraId="7FFF62EC" w14:textId="77777777" w:rsidR="00B47442" w:rsidRPr="0009445C" w:rsidRDefault="00B47442" w:rsidP="0099521D">
            <w:pPr>
              <w:pStyle w:val="BRL-Tabelle"/>
              <w:spacing w:before="60" w:after="40"/>
              <w:jc w:val="center"/>
              <w:rPr>
                <w:sz w:val="16"/>
              </w:rPr>
            </w:pPr>
          </w:p>
        </w:tc>
        <w:tc>
          <w:tcPr>
            <w:tcW w:w="426" w:type="dxa"/>
            <w:vAlign w:val="center"/>
          </w:tcPr>
          <w:p w14:paraId="03830760" w14:textId="77777777" w:rsidR="00B47442" w:rsidRPr="0009445C" w:rsidRDefault="00B47442" w:rsidP="0099521D">
            <w:pPr>
              <w:pStyle w:val="BRL-Tabelle"/>
              <w:spacing w:before="60" w:after="40"/>
              <w:jc w:val="center"/>
              <w:rPr>
                <w:sz w:val="16"/>
              </w:rPr>
            </w:pPr>
          </w:p>
        </w:tc>
        <w:tc>
          <w:tcPr>
            <w:tcW w:w="426" w:type="dxa"/>
            <w:vAlign w:val="center"/>
          </w:tcPr>
          <w:p w14:paraId="54BEA94B" w14:textId="77777777" w:rsidR="00B47442" w:rsidRPr="0009445C" w:rsidRDefault="00B47442" w:rsidP="0099521D">
            <w:pPr>
              <w:pStyle w:val="BRL-Tabelle"/>
              <w:spacing w:before="60" w:after="40"/>
              <w:jc w:val="center"/>
              <w:rPr>
                <w:sz w:val="16"/>
              </w:rPr>
            </w:pPr>
          </w:p>
        </w:tc>
        <w:tc>
          <w:tcPr>
            <w:tcW w:w="433" w:type="dxa"/>
            <w:vAlign w:val="center"/>
          </w:tcPr>
          <w:p w14:paraId="31717DA9" w14:textId="77777777" w:rsidR="00B47442" w:rsidRPr="0009445C" w:rsidRDefault="00B47442" w:rsidP="0099521D">
            <w:pPr>
              <w:pStyle w:val="BRL-Tabelle"/>
              <w:spacing w:before="60" w:after="40"/>
              <w:jc w:val="center"/>
              <w:rPr>
                <w:sz w:val="16"/>
              </w:rPr>
            </w:pPr>
          </w:p>
        </w:tc>
        <w:tc>
          <w:tcPr>
            <w:tcW w:w="426" w:type="dxa"/>
            <w:vAlign w:val="center"/>
          </w:tcPr>
          <w:p w14:paraId="69EE86F2" w14:textId="77777777" w:rsidR="00B47442" w:rsidRPr="0009445C" w:rsidRDefault="00B47442" w:rsidP="0099521D">
            <w:pPr>
              <w:pStyle w:val="BRL-Tabelle"/>
              <w:spacing w:before="60" w:after="40"/>
              <w:jc w:val="center"/>
              <w:rPr>
                <w:sz w:val="16"/>
              </w:rPr>
            </w:pPr>
          </w:p>
        </w:tc>
        <w:tc>
          <w:tcPr>
            <w:tcW w:w="427" w:type="dxa"/>
            <w:vAlign w:val="center"/>
          </w:tcPr>
          <w:p w14:paraId="7EBBE7D9" w14:textId="77777777" w:rsidR="00B47442" w:rsidRPr="0009445C" w:rsidRDefault="00B47442" w:rsidP="0099521D">
            <w:pPr>
              <w:pStyle w:val="BRL-Tabelle"/>
              <w:spacing w:before="60" w:after="40"/>
              <w:jc w:val="center"/>
              <w:rPr>
                <w:sz w:val="16"/>
              </w:rPr>
            </w:pPr>
          </w:p>
        </w:tc>
        <w:tc>
          <w:tcPr>
            <w:tcW w:w="426" w:type="dxa"/>
            <w:vAlign w:val="center"/>
          </w:tcPr>
          <w:p w14:paraId="09BA6C4B" w14:textId="77777777" w:rsidR="00B47442" w:rsidRPr="0009445C" w:rsidRDefault="00B47442" w:rsidP="0099521D">
            <w:pPr>
              <w:pStyle w:val="BRL-Tabelle"/>
              <w:spacing w:before="60" w:after="40"/>
              <w:jc w:val="center"/>
              <w:rPr>
                <w:sz w:val="16"/>
              </w:rPr>
            </w:pPr>
          </w:p>
        </w:tc>
        <w:tc>
          <w:tcPr>
            <w:tcW w:w="427" w:type="dxa"/>
            <w:vAlign w:val="center"/>
          </w:tcPr>
          <w:p w14:paraId="4FD9217B"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57C74C1D" w14:textId="77777777" w:rsidTr="0099521D">
        <w:trPr>
          <w:trHeight w:val="264"/>
        </w:trPr>
        <w:tc>
          <w:tcPr>
            <w:tcW w:w="2355" w:type="dxa"/>
            <w:gridSpan w:val="2"/>
          </w:tcPr>
          <w:p w14:paraId="3B223387" w14:textId="77777777" w:rsidR="00B47442" w:rsidRPr="0009445C" w:rsidRDefault="00B47442" w:rsidP="0099521D">
            <w:pPr>
              <w:pStyle w:val="BRL-Tabelle"/>
              <w:spacing w:before="60" w:after="40"/>
            </w:pPr>
            <w:r w:rsidRPr="0009445C">
              <w:t>Performance characteristics of the receiver</w:t>
            </w:r>
          </w:p>
        </w:tc>
        <w:tc>
          <w:tcPr>
            <w:tcW w:w="427" w:type="dxa"/>
            <w:vAlign w:val="center"/>
          </w:tcPr>
          <w:p w14:paraId="2A1FA4CD" w14:textId="77777777" w:rsidR="00B47442" w:rsidRPr="0009445C" w:rsidRDefault="00B47442" w:rsidP="0099521D">
            <w:pPr>
              <w:pStyle w:val="BRL-Tabelle"/>
              <w:spacing w:before="60" w:after="40"/>
              <w:jc w:val="center"/>
              <w:rPr>
                <w:sz w:val="16"/>
              </w:rPr>
            </w:pPr>
          </w:p>
        </w:tc>
        <w:tc>
          <w:tcPr>
            <w:tcW w:w="427" w:type="dxa"/>
            <w:vAlign w:val="center"/>
          </w:tcPr>
          <w:p w14:paraId="1B020F63" w14:textId="77777777" w:rsidR="00B47442" w:rsidRPr="0009445C" w:rsidRDefault="00B47442" w:rsidP="0099521D">
            <w:pPr>
              <w:pStyle w:val="BRL-Tabelle"/>
              <w:spacing w:before="60" w:after="40"/>
              <w:jc w:val="center"/>
              <w:rPr>
                <w:sz w:val="16"/>
              </w:rPr>
            </w:pPr>
          </w:p>
        </w:tc>
        <w:tc>
          <w:tcPr>
            <w:tcW w:w="426" w:type="dxa"/>
            <w:vAlign w:val="center"/>
          </w:tcPr>
          <w:p w14:paraId="3915044F" w14:textId="77777777" w:rsidR="00B47442" w:rsidRPr="0009445C" w:rsidRDefault="00B47442" w:rsidP="0099521D">
            <w:pPr>
              <w:pStyle w:val="BRL-Tabelle"/>
              <w:spacing w:before="60" w:after="40"/>
              <w:jc w:val="center"/>
              <w:rPr>
                <w:sz w:val="16"/>
              </w:rPr>
            </w:pPr>
          </w:p>
        </w:tc>
        <w:tc>
          <w:tcPr>
            <w:tcW w:w="427" w:type="dxa"/>
            <w:vAlign w:val="center"/>
          </w:tcPr>
          <w:p w14:paraId="76531F24" w14:textId="77777777" w:rsidR="00B47442" w:rsidRPr="0009445C" w:rsidRDefault="00B47442" w:rsidP="0099521D">
            <w:pPr>
              <w:pStyle w:val="BRL-Tabelle"/>
              <w:spacing w:before="60" w:after="40"/>
              <w:jc w:val="center"/>
              <w:rPr>
                <w:sz w:val="16"/>
              </w:rPr>
            </w:pPr>
          </w:p>
        </w:tc>
        <w:tc>
          <w:tcPr>
            <w:tcW w:w="425" w:type="dxa"/>
            <w:vAlign w:val="center"/>
          </w:tcPr>
          <w:p w14:paraId="6DDE9D1D" w14:textId="77777777" w:rsidR="00B47442" w:rsidRPr="0009445C" w:rsidRDefault="00B47442" w:rsidP="0099521D">
            <w:pPr>
              <w:pStyle w:val="BRL-Tabelle"/>
              <w:spacing w:before="60" w:after="40"/>
              <w:jc w:val="center"/>
              <w:rPr>
                <w:sz w:val="16"/>
              </w:rPr>
            </w:pPr>
          </w:p>
        </w:tc>
        <w:tc>
          <w:tcPr>
            <w:tcW w:w="426" w:type="dxa"/>
            <w:vAlign w:val="center"/>
          </w:tcPr>
          <w:p w14:paraId="103E5740" w14:textId="77777777" w:rsidR="00B47442" w:rsidRPr="0009445C" w:rsidRDefault="00B47442" w:rsidP="0099521D">
            <w:pPr>
              <w:pStyle w:val="BRL-Tabelle"/>
              <w:spacing w:before="60" w:after="40"/>
              <w:jc w:val="center"/>
              <w:rPr>
                <w:sz w:val="16"/>
              </w:rPr>
            </w:pPr>
          </w:p>
        </w:tc>
        <w:tc>
          <w:tcPr>
            <w:tcW w:w="428" w:type="dxa"/>
            <w:vAlign w:val="center"/>
          </w:tcPr>
          <w:p w14:paraId="42A5F383" w14:textId="77777777" w:rsidR="00B47442" w:rsidRPr="0009445C" w:rsidRDefault="00B47442" w:rsidP="0099521D">
            <w:pPr>
              <w:pStyle w:val="BRL-Tabelle"/>
              <w:spacing w:before="60" w:after="40"/>
              <w:jc w:val="center"/>
              <w:rPr>
                <w:sz w:val="16"/>
              </w:rPr>
            </w:pPr>
          </w:p>
        </w:tc>
        <w:tc>
          <w:tcPr>
            <w:tcW w:w="427" w:type="dxa"/>
            <w:vAlign w:val="center"/>
          </w:tcPr>
          <w:p w14:paraId="737BCA72" w14:textId="77777777" w:rsidR="00B47442" w:rsidRPr="0009445C" w:rsidRDefault="00B47442" w:rsidP="0099521D">
            <w:pPr>
              <w:pStyle w:val="BRL-Tabelle"/>
              <w:spacing w:before="60" w:after="40"/>
              <w:jc w:val="center"/>
              <w:rPr>
                <w:sz w:val="16"/>
              </w:rPr>
            </w:pPr>
          </w:p>
        </w:tc>
        <w:tc>
          <w:tcPr>
            <w:tcW w:w="426" w:type="dxa"/>
            <w:vAlign w:val="center"/>
          </w:tcPr>
          <w:p w14:paraId="6F1259CB" w14:textId="77777777" w:rsidR="00B47442" w:rsidRPr="0009445C" w:rsidRDefault="00B47442" w:rsidP="0099521D">
            <w:pPr>
              <w:pStyle w:val="BRL-Tabelle"/>
              <w:spacing w:before="60" w:after="40"/>
              <w:jc w:val="center"/>
              <w:rPr>
                <w:sz w:val="16"/>
              </w:rPr>
            </w:pPr>
          </w:p>
        </w:tc>
        <w:tc>
          <w:tcPr>
            <w:tcW w:w="426" w:type="dxa"/>
            <w:vAlign w:val="center"/>
          </w:tcPr>
          <w:p w14:paraId="2E0BAD9E" w14:textId="77777777" w:rsidR="00B47442" w:rsidRPr="0009445C" w:rsidRDefault="00B47442" w:rsidP="0099521D">
            <w:pPr>
              <w:pStyle w:val="BRL-Tabelle"/>
              <w:spacing w:before="60" w:after="40"/>
              <w:jc w:val="center"/>
              <w:rPr>
                <w:sz w:val="16"/>
              </w:rPr>
            </w:pPr>
          </w:p>
        </w:tc>
        <w:tc>
          <w:tcPr>
            <w:tcW w:w="426" w:type="dxa"/>
            <w:vAlign w:val="center"/>
          </w:tcPr>
          <w:p w14:paraId="11105D65" w14:textId="77777777" w:rsidR="00B47442" w:rsidRPr="0009445C" w:rsidRDefault="00B47442" w:rsidP="0099521D">
            <w:pPr>
              <w:pStyle w:val="BRL-Tabelle"/>
              <w:spacing w:before="60" w:after="40"/>
              <w:jc w:val="center"/>
              <w:rPr>
                <w:sz w:val="16"/>
              </w:rPr>
            </w:pPr>
          </w:p>
        </w:tc>
        <w:tc>
          <w:tcPr>
            <w:tcW w:w="433" w:type="dxa"/>
            <w:vAlign w:val="center"/>
          </w:tcPr>
          <w:p w14:paraId="3BDB9ABF" w14:textId="77777777" w:rsidR="00B47442" w:rsidRPr="0009445C" w:rsidRDefault="00B47442" w:rsidP="0099521D">
            <w:pPr>
              <w:pStyle w:val="BRL-Tabelle"/>
              <w:spacing w:before="60" w:after="40"/>
              <w:jc w:val="center"/>
              <w:rPr>
                <w:sz w:val="16"/>
              </w:rPr>
            </w:pPr>
          </w:p>
        </w:tc>
        <w:tc>
          <w:tcPr>
            <w:tcW w:w="426" w:type="dxa"/>
            <w:vAlign w:val="center"/>
          </w:tcPr>
          <w:p w14:paraId="72CC6DEC" w14:textId="77777777" w:rsidR="00B47442" w:rsidRPr="0009445C" w:rsidRDefault="00B47442" w:rsidP="0099521D">
            <w:pPr>
              <w:pStyle w:val="BRL-Tabelle"/>
              <w:spacing w:before="60" w:after="40"/>
              <w:jc w:val="center"/>
              <w:rPr>
                <w:sz w:val="16"/>
              </w:rPr>
            </w:pPr>
          </w:p>
        </w:tc>
        <w:tc>
          <w:tcPr>
            <w:tcW w:w="427" w:type="dxa"/>
            <w:vAlign w:val="center"/>
          </w:tcPr>
          <w:p w14:paraId="27A1DD17" w14:textId="77777777" w:rsidR="00B47442" w:rsidRPr="0009445C" w:rsidRDefault="00B47442" w:rsidP="0099521D">
            <w:pPr>
              <w:pStyle w:val="BRL-Tabelle"/>
              <w:spacing w:before="60" w:after="40"/>
              <w:jc w:val="center"/>
              <w:rPr>
                <w:sz w:val="16"/>
              </w:rPr>
            </w:pPr>
          </w:p>
        </w:tc>
        <w:tc>
          <w:tcPr>
            <w:tcW w:w="426" w:type="dxa"/>
            <w:vAlign w:val="center"/>
          </w:tcPr>
          <w:p w14:paraId="07AB73A1" w14:textId="77777777" w:rsidR="00B47442" w:rsidRPr="0009445C" w:rsidRDefault="00B47442" w:rsidP="0099521D">
            <w:pPr>
              <w:pStyle w:val="BRL-Tabelle"/>
              <w:spacing w:before="60" w:after="40"/>
              <w:jc w:val="center"/>
              <w:rPr>
                <w:sz w:val="16"/>
              </w:rPr>
            </w:pPr>
          </w:p>
        </w:tc>
        <w:tc>
          <w:tcPr>
            <w:tcW w:w="427" w:type="dxa"/>
            <w:vAlign w:val="center"/>
          </w:tcPr>
          <w:p w14:paraId="577FAAC6"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1D3F19CE" w14:textId="77777777" w:rsidTr="0099521D">
        <w:trPr>
          <w:trHeight w:val="264"/>
        </w:trPr>
        <w:tc>
          <w:tcPr>
            <w:tcW w:w="2355" w:type="dxa"/>
            <w:gridSpan w:val="2"/>
          </w:tcPr>
          <w:p w14:paraId="13BFDABE" w14:textId="77777777" w:rsidR="00B47442" w:rsidRPr="0009445C" w:rsidRDefault="00B47442" w:rsidP="0099521D">
            <w:pPr>
              <w:pStyle w:val="BRL-Tabelle"/>
              <w:spacing w:before="60" w:after="40"/>
            </w:pPr>
            <w:r w:rsidRPr="0009445C">
              <w:t>Immunity from interference</w:t>
            </w:r>
          </w:p>
        </w:tc>
        <w:tc>
          <w:tcPr>
            <w:tcW w:w="427" w:type="dxa"/>
            <w:vAlign w:val="center"/>
          </w:tcPr>
          <w:p w14:paraId="42375535" w14:textId="77777777" w:rsidR="00B47442" w:rsidRPr="0009445C" w:rsidRDefault="00B47442" w:rsidP="0099521D">
            <w:pPr>
              <w:pStyle w:val="BRL-Tabelle"/>
              <w:spacing w:before="60" w:after="40"/>
              <w:jc w:val="center"/>
              <w:rPr>
                <w:sz w:val="16"/>
              </w:rPr>
            </w:pPr>
          </w:p>
        </w:tc>
        <w:tc>
          <w:tcPr>
            <w:tcW w:w="427" w:type="dxa"/>
            <w:vAlign w:val="center"/>
          </w:tcPr>
          <w:p w14:paraId="5FCCB635" w14:textId="77777777" w:rsidR="00B47442" w:rsidRPr="0009445C" w:rsidRDefault="00B47442" w:rsidP="0099521D">
            <w:pPr>
              <w:pStyle w:val="BRL-Tabelle"/>
              <w:spacing w:before="60" w:after="40"/>
              <w:jc w:val="center"/>
              <w:rPr>
                <w:sz w:val="16"/>
              </w:rPr>
            </w:pPr>
          </w:p>
        </w:tc>
        <w:tc>
          <w:tcPr>
            <w:tcW w:w="426" w:type="dxa"/>
            <w:vAlign w:val="center"/>
          </w:tcPr>
          <w:p w14:paraId="4B76F4EE" w14:textId="77777777" w:rsidR="00B47442" w:rsidRPr="0009445C" w:rsidRDefault="00B47442" w:rsidP="0099521D">
            <w:pPr>
              <w:pStyle w:val="BRL-Tabelle"/>
              <w:spacing w:before="60" w:after="40"/>
              <w:jc w:val="center"/>
              <w:rPr>
                <w:sz w:val="16"/>
              </w:rPr>
            </w:pPr>
          </w:p>
        </w:tc>
        <w:tc>
          <w:tcPr>
            <w:tcW w:w="427" w:type="dxa"/>
            <w:vAlign w:val="center"/>
          </w:tcPr>
          <w:p w14:paraId="2D9F3AF5" w14:textId="77777777" w:rsidR="00B47442" w:rsidRPr="0009445C" w:rsidRDefault="00B47442" w:rsidP="0099521D">
            <w:pPr>
              <w:pStyle w:val="BRL-Tabelle"/>
              <w:spacing w:before="60" w:after="40"/>
              <w:jc w:val="center"/>
              <w:rPr>
                <w:sz w:val="16"/>
              </w:rPr>
            </w:pPr>
          </w:p>
        </w:tc>
        <w:tc>
          <w:tcPr>
            <w:tcW w:w="425" w:type="dxa"/>
            <w:vAlign w:val="center"/>
          </w:tcPr>
          <w:p w14:paraId="50A5A371" w14:textId="77777777" w:rsidR="00B47442" w:rsidRPr="0009445C" w:rsidRDefault="00B47442" w:rsidP="0099521D">
            <w:pPr>
              <w:pStyle w:val="BRL-Tabelle"/>
              <w:spacing w:before="60" w:after="40"/>
              <w:jc w:val="center"/>
              <w:rPr>
                <w:sz w:val="16"/>
              </w:rPr>
            </w:pPr>
          </w:p>
        </w:tc>
        <w:tc>
          <w:tcPr>
            <w:tcW w:w="426" w:type="dxa"/>
            <w:vAlign w:val="center"/>
          </w:tcPr>
          <w:p w14:paraId="7D7C091A" w14:textId="77777777" w:rsidR="00B47442" w:rsidRPr="0009445C" w:rsidRDefault="00B47442" w:rsidP="0099521D">
            <w:pPr>
              <w:pStyle w:val="BRL-Tabelle"/>
              <w:spacing w:before="60" w:after="40"/>
              <w:jc w:val="center"/>
              <w:rPr>
                <w:sz w:val="16"/>
              </w:rPr>
            </w:pPr>
          </w:p>
        </w:tc>
        <w:tc>
          <w:tcPr>
            <w:tcW w:w="428" w:type="dxa"/>
            <w:vAlign w:val="center"/>
          </w:tcPr>
          <w:p w14:paraId="1A762F98" w14:textId="77777777" w:rsidR="00B47442" w:rsidRPr="0009445C" w:rsidRDefault="00B47442" w:rsidP="0099521D">
            <w:pPr>
              <w:pStyle w:val="BRL-Tabelle"/>
              <w:spacing w:before="60" w:after="40"/>
              <w:jc w:val="center"/>
              <w:rPr>
                <w:sz w:val="16"/>
              </w:rPr>
            </w:pPr>
          </w:p>
        </w:tc>
        <w:tc>
          <w:tcPr>
            <w:tcW w:w="427" w:type="dxa"/>
            <w:vAlign w:val="center"/>
          </w:tcPr>
          <w:p w14:paraId="430CAB84" w14:textId="77777777" w:rsidR="00B47442" w:rsidRPr="0009445C" w:rsidRDefault="00B47442" w:rsidP="0099521D">
            <w:pPr>
              <w:pStyle w:val="BRL-Tabelle"/>
              <w:spacing w:before="60" w:after="40"/>
              <w:jc w:val="center"/>
              <w:rPr>
                <w:sz w:val="16"/>
              </w:rPr>
            </w:pPr>
          </w:p>
        </w:tc>
        <w:tc>
          <w:tcPr>
            <w:tcW w:w="426" w:type="dxa"/>
            <w:vAlign w:val="center"/>
          </w:tcPr>
          <w:p w14:paraId="581CC3DD" w14:textId="77777777" w:rsidR="00B47442" w:rsidRPr="0009445C" w:rsidRDefault="00B47442" w:rsidP="0099521D">
            <w:pPr>
              <w:pStyle w:val="BRL-Tabelle"/>
              <w:spacing w:before="60" w:after="40"/>
              <w:jc w:val="center"/>
              <w:rPr>
                <w:sz w:val="16"/>
              </w:rPr>
            </w:pPr>
          </w:p>
        </w:tc>
        <w:tc>
          <w:tcPr>
            <w:tcW w:w="426" w:type="dxa"/>
            <w:vAlign w:val="center"/>
          </w:tcPr>
          <w:p w14:paraId="6292D81D" w14:textId="77777777" w:rsidR="00B47442" w:rsidRPr="0009445C" w:rsidRDefault="00B47442" w:rsidP="0099521D">
            <w:pPr>
              <w:pStyle w:val="BRL-Tabelle"/>
              <w:spacing w:before="60" w:after="40"/>
              <w:jc w:val="center"/>
              <w:rPr>
                <w:sz w:val="16"/>
              </w:rPr>
            </w:pPr>
          </w:p>
        </w:tc>
        <w:tc>
          <w:tcPr>
            <w:tcW w:w="426" w:type="dxa"/>
            <w:vAlign w:val="center"/>
          </w:tcPr>
          <w:p w14:paraId="3679C0C7" w14:textId="77777777" w:rsidR="00B47442" w:rsidRPr="0009445C" w:rsidRDefault="00B47442" w:rsidP="0099521D">
            <w:pPr>
              <w:pStyle w:val="BRL-Tabelle"/>
              <w:spacing w:before="60" w:after="40"/>
              <w:jc w:val="center"/>
              <w:rPr>
                <w:sz w:val="16"/>
              </w:rPr>
            </w:pPr>
          </w:p>
        </w:tc>
        <w:tc>
          <w:tcPr>
            <w:tcW w:w="433" w:type="dxa"/>
            <w:vAlign w:val="center"/>
          </w:tcPr>
          <w:p w14:paraId="77E56FE0" w14:textId="77777777" w:rsidR="00B47442" w:rsidRPr="0009445C" w:rsidRDefault="00B47442" w:rsidP="0099521D">
            <w:pPr>
              <w:pStyle w:val="BRL-Tabelle"/>
              <w:spacing w:before="60" w:after="40"/>
              <w:jc w:val="center"/>
              <w:rPr>
                <w:sz w:val="16"/>
              </w:rPr>
            </w:pPr>
          </w:p>
        </w:tc>
        <w:tc>
          <w:tcPr>
            <w:tcW w:w="426" w:type="dxa"/>
            <w:vAlign w:val="center"/>
          </w:tcPr>
          <w:p w14:paraId="3801DF8F" w14:textId="77777777" w:rsidR="00B47442" w:rsidRPr="0009445C" w:rsidRDefault="00B47442" w:rsidP="0099521D">
            <w:pPr>
              <w:pStyle w:val="BRL-Tabelle"/>
              <w:spacing w:before="60" w:after="40"/>
              <w:jc w:val="center"/>
              <w:rPr>
                <w:sz w:val="16"/>
              </w:rPr>
            </w:pPr>
          </w:p>
        </w:tc>
        <w:tc>
          <w:tcPr>
            <w:tcW w:w="427" w:type="dxa"/>
            <w:vAlign w:val="center"/>
          </w:tcPr>
          <w:p w14:paraId="3AEA3C1A" w14:textId="77777777" w:rsidR="00B47442" w:rsidRPr="0009445C" w:rsidRDefault="00B47442" w:rsidP="0099521D">
            <w:pPr>
              <w:pStyle w:val="BRL-Tabelle"/>
              <w:spacing w:before="60" w:after="40"/>
              <w:jc w:val="center"/>
              <w:rPr>
                <w:sz w:val="16"/>
              </w:rPr>
            </w:pPr>
          </w:p>
        </w:tc>
        <w:tc>
          <w:tcPr>
            <w:tcW w:w="426" w:type="dxa"/>
            <w:vAlign w:val="center"/>
          </w:tcPr>
          <w:p w14:paraId="47109267" w14:textId="77777777" w:rsidR="00B47442" w:rsidRPr="0009445C" w:rsidRDefault="00B47442" w:rsidP="0099521D">
            <w:pPr>
              <w:pStyle w:val="BRL-Tabelle"/>
              <w:spacing w:before="60" w:after="40"/>
              <w:jc w:val="center"/>
              <w:rPr>
                <w:sz w:val="16"/>
              </w:rPr>
            </w:pPr>
          </w:p>
        </w:tc>
        <w:tc>
          <w:tcPr>
            <w:tcW w:w="427" w:type="dxa"/>
            <w:vAlign w:val="center"/>
          </w:tcPr>
          <w:p w14:paraId="61CD54E7"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1D86C289" w14:textId="77777777" w:rsidTr="0099521D">
        <w:trPr>
          <w:trHeight w:val="264"/>
        </w:trPr>
        <w:tc>
          <w:tcPr>
            <w:tcW w:w="2355" w:type="dxa"/>
            <w:gridSpan w:val="2"/>
          </w:tcPr>
          <w:p w14:paraId="18CDBF4B" w14:textId="77777777" w:rsidR="00B47442" w:rsidRPr="0009445C" w:rsidRDefault="00B47442" w:rsidP="0099521D">
            <w:pPr>
              <w:pStyle w:val="BRL-Tabelle"/>
              <w:spacing w:before="60" w:after="40"/>
            </w:pPr>
            <w:r w:rsidRPr="0009445C">
              <w:t>Loss of communication</w:t>
            </w:r>
          </w:p>
        </w:tc>
        <w:tc>
          <w:tcPr>
            <w:tcW w:w="427" w:type="dxa"/>
            <w:vAlign w:val="center"/>
          </w:tcPr>
          <w:p w14:paraId="2830505A" w14:textId="77777777" w:rsidR="00B47442" w:rsidRPr="0009445C" w:rsidRDefault="00B47442" w:rsidP="0099521D">
            <w:pPr>
              <w:pStyle w:val="BRL-Tabelle"/>
              <w:spacing w:before="60" w:after="40"/>
              <w:jc w:val="center"/>
              <w:rPr>
                <w:sz w:val="16"/>
              </w:rPr>
            </w:pPr>
          </w:p>
        </w:tc>
        <w:tc>
          <w:tcPr>
            <w:tcW w:w="427" w:type="dxa"/>
            <w:vAlign w:val="center"/>
          </w:tcPr>
          <w:p w14:paraId="608757B2" w14:textId="77777777" w:rsidR="00B47442" w:rsidRPr="0009445C" w:rsidRDefault="00B47442" w:rsidP="0099521D">
            <w:pPr>
              <w:pStyle w:val="BRL-Tabelle"/>
              <w:spacing w:before="60" w:after="40"/>
              <w:jc w:val="center"/>
              <w:rPr>
                <w:sz w:val="16"/>
              </w:rPr>
            </w:pPr>
          </w:p>
        </w:tc>
        <w:tc>
          <w:tcPr>
            <w:tcW w:w="426" w:type="dxa"/>
            <w:vAlign w:val="center"/>
          </w:tcPr>
          <w:p w14:paraId="433C410C" w14:textId="77777777" w:rsidR="00B47442" w:rsidRPr="0009445C" w:rsidRDefault="00B47442" w:rsidP="0099521D">
            <w:pPr>
              <w:pStyle w:val="BRL-Tabelle"/>
              <w:spacing w:before="60" w:after="40"/>
              <w:jc w:val="center"/>
              <w:rPr>
                <w:sz w:val="16"/>
              </w:rPr>
            </w:pPr>
          </w:p>
        </w:tc>
        <w:tc>
          <w:tcPr>
            <w:tcW w:w="427" w:type="dxa"/>
            <w:vAlign w:val="center"/>
          </w:tcPr>
          <w:p w14:paraId="79984D16" w14:textId="77777777" w:rsidR="00B47442" w:rsidRPr="0009445C" w:rsidRDefault="00B47442" w:rsidP="0099521D">
            <w:pPr>
              <w:pStyle w:val="BRL-Tabelle"/>
              <w:spacing w:before="60" w:after="40"/>
              <w:jc w:val="center"/>
              <w:rPr>
                <w:sz w:val="16"/>
              </w:rPr>
            </w:pPr>
          </w:p>
        </w:tc>
        <w:tc>
          <w:tcPr>
            <w:tcW w:w="425" w:type="dxa"/>
            <w:vAlign w:val="center"/>
          </w:tcPr>
          <w:p w14:paraId="62D23C20" w14:textId="77777777" w:rsidR="00B47442" w:rsidRPr="0009445C" w:rsidRDefault="00B47442" w:rsidP="0099521D">
            <w:pPr>
              <w:pStyle w:val="BRL-Tabelle"/>
              <w:spacing w:before="60" w:after="40"/>
              <w:jc w:val="center"/>
              <w:rPr>
                <w:sz w:val="16"/>
              </w:rPr>
            </w:pPr>
          </w:p>
        </w:tc>
        <w:tc>
          <w:tcPr>
            <w:tcW w:w="426" w:type="dxa"/>
            <w:vAlign w:val="center"/>
          </w:tcPr>
          <w:p w14:paraId="365990A3" w14:textId="77777777" w:rsidR="00B47442" w:rsidRPr="0009445C" w:rsidRDefault="00B47442" w:rsidP="0099521D">
            <w:pPr>
              <w:pStyle w:val="BRL-Tabelle"/>
              <w:spacing w:before="60" w:after="40"/>
              <w:jc w:val="center"/>
              <w:rPr>
                <w:sz w:val="16"/>
              </w:rPr>
            </w:pPr>
          </w:p>
        </w:tc>
        <w:tc>
          <w:tcPr>
            <w:tcW w:w="428" w:type="dxa"/>
            <w:vAlign w:val="center"/>
          </w:tcPr>
          <w:p w14:paraId="250E7E1B" w14:textId="77777777" w:rsidR="00B47442" w:rsidRPr="0009445C" w:rsidRDefault="00B47442" w:rsidP="0099521D">
            <w:pPr>
              <w:pStyle w:val="BRL-Tabelle"/>
              <w:spacing w:before="60" w:after="40"/>
              <w:jc w:val="center"/>
              <w:rPr>
                <w:sz w:val="16"/>
              </w:rPr>
            </w:pPr>
          </w:p>
        </w:tc>
        <w:tc>
          <w:tcPr>
            <w:tcW w:w="427" w:type="dxa"/>
            <w:vAlign w:val="center"/>
          </w:tcPr>
          <w:p w14:paraId="380890D3" w14:textId="77777777" w:rsidR="00B47442" w:rsidRPr="0009445C" w:rsidRDefault="00B47442" w:rsidP="0099521D">
            <w:pPr>
              <w:pStyle w:val="BRL-Tabelle"/>
              <w:spacing w:before="60" w:after="40"/>
              <w:jc w:val="center"/>
              <w:rPr>
                <w:sz w:val="16"/>
              </w:rPr>
            </w:pPr>
          </w:p>
        </w:tc>
        <w:tc>
          <w:tcPr>
            <w:tcW w:w="426" w:type="dxa"/>
            <w:vAlign w:val="center"/>
          </w:tcPr>
          <w:p w14:paraId="3BA8BF47" w14:textId="77777777" w:rsidR="00B47442" w:rsidRPr="0009445C" w:rsidRDefault="00B47442" w:rsidP="0099521D">
            <w:pPr>
              <w:pStyle w:val="BRL-Tabelle"/>
              <w:spacing w:before="60" w:after="40"/>
              <w:jc w:val="center"/>
              <w:rPr>
                <w:sz w:val="16"/>
              </w:rPr>
            </w:pPr>
          </w:p>
        </w:tc>
        <w:tc>
          <w:tcPr>
            <w:tcW w:w="426" w:type="dxa"/>
            <w:vAlign w:val="center"/>
          </w:tcPr>
          <w:p w14:paraId="53BECB5A" w14:textId="77777777" w:rsidR="00B47442" w:rsidRPr="0009445C" w:rsidRDefault="00B47442" w:rsidP="0099521D">
            <w:pPr>
              <w:pStyle w:val="BRL-Tabelle"/>
              <w:spacing w:before="60" w:after="40"/>
              <w:jc w:val="center"/>
              <w:rPr>
                <w:sz w:val="16"/>
              </w:rPr>
            </w:pPr>
          </w:p>
        </w:tc>
        <w:tc>
          <w:tcPr>
            <w:tcW w:w="426" w:type="dxa"/>
            <w:vAlign w:val="center"/>
          </w:tcPr>
          <w:p w14:paraId="598C1D40" w14:textId="77777777" w:rsidR="00B47442" w:rsidRPr="0009445C" w:rsidRDefault="00B47442" w:rsidP="0099521D">
            <w:pPr>
              <w:pStyle w:val="BRL-Tabelle"/>
              <w:spacing w:before="60" w:after="40"/>
              <w:jc w:val="center"/>
              <w:rPr>
                <w:sz w:val="16"/>
              </w:rPr>
            </w:pPr>
          </w:p>
        </w:tc>
        <w:tc>
          <w:tcPr>
            <w:tcW w:w="433" w:type="dxa"/>
            <w:vAlign w:val="center"/>
          </w:tcPr>
          <w:p w14:paraId="6F4B0D1E" w14:textId="77777777" w:rsidR="00B47442" w:rsidRPr="0009445C" w:rsidRDefault="00B47442" w:rsidP="0099521D">
            <w:pPr>
              <w:pStyle w:val="BRL-Tabelle"/>
              <w:spacing w:before="60" w:after="40"/>
              <w:jc w:val="center"/>
              <w:rPr>
                <w:sz w:val="16"/>
              </w:rPr>
            </w:pPr>
          </w:p>
        </w:tc>
        <w:tc>
          <w:tcPr>
            <w:tcW w:w="426" w:type="dxa"/>
            <w:vAlign w:val="center"/>
          </w:tcPr>
          <w:p w14:paraId="2D43352E" w14:textId="77777777" w:rsidR="00B47442" w:rsidRPr="0009445C" w:rsidRDefault="00B47442" w:rsidP="0099521D">
            <w:pPr>
              <w:pStyle w:val="BRL-Tabelle"/>
              <w:spacing w:before="60" w:after="40"/>
              <w:jc w:val="center"/>
              <w:rPr>
                <w:sz w:val="16"/>
              </w:rPr>
            </w:pPr>
          </w:p>
        </w:tc>
        <w:tc>
          <w:tcPr>
            <w:tcW w:w="427" w:type="dxa"/>
            <w:vAlign w:val="center"/>
          </w:tcPr>
          <w:p w14:paraId="065BF42A" w14:textId="77777777" w:rsidR="00B47442" w:rsidRPr="0009445C" w:rsidRDefault="00B47442" w:rsidP="0099521D">
            <w:pPr>
              <w:pStyle w:val="BRL-Tabelle"/>
              <w:spacing w:before="60" w:after="40"/>
              <w:jc w:val="center"/>
              <w:rPr>
                <w:sz w:val="16"/>
              </w:rPr>
            </w:pPr>
          </w:p>
        </w:tc>
        <w:tc>
          <w:tcPr>
            <w:tcW w:w="426" w:type="dxa"/>
            <w:vAlign w:val="center"/>
          </w:tcPr>
          <w:p w14:paraId="10B2A98E" w14:textId="77777777" w:rsidR="00B47442" w:rsidRPr="0009445C" w:rsidRDefault="00B47442" w:rsidP="0099521D">
            <w:pPr>
              <w:pStyle w:val="BRL-Tabelle"/>
              <w:spacing w:before="60" w:after="40"/>
              <w:jc w:val="center"/>
              <w:rPr>
                <w:sz w:val="16"/>
              </w:rPr>
            </w:pPr>
          </w:p>
        </w:tc>
        <w:tc>
          <w:tcPr>
            <w:tcW w:w="427" w:type="dxa"/>
            <w:vAlign w:val="center"/>
          </w:tcPr>
          <w:p w14:paraId="311F6C34"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58668421" w14:textId="77777777" w:rsidTr="0099521D">
        <w:trPr>
          <w:trHeight w:val="264"/>
        </w:trPr>
        <w:tc>
          <w:tcPr>
            <w:tcW w:w="2355" w:type="dxa"/>
            <w:gridSpan w:val="2"/>
          </w:tcPr>
          <w:p w14:paraId="55E1CBB9" w14:textId="77777777" w:rsidR="00B47442" w:rsidRPr="0009445C" w:rsidRDefault="00B47442" w:rsidP="0099521D">
            <w:pPr>
              <w:pStyle w:val="BRL-Tabelle"/>
              <w:spacing w:before="60" w:after="40"/>
            </w:pPr>
            <w:r w:rsidRPr="0009445C">
              <w:t>Antenna</w:t>
            </w:r>
          </w:p>
        </w:tc>
        <w:tc>
          <w:tcPr>
            <w:tcW w:w="427" w:type="dxa"/>
            <w:vAlign w:val="center"/>
          </w:tcPr>
          <w:p w14:paraId="52515CC3" w14:textId="77777777" w:rsidR="00B47442" w:rsidRPr="0009445C" w:rsidRDefault="00B47442" w:rsidP="0099521D">
            <w:pPr>
              <w:pStyle w:val="BRL-Tabelle"/>
              <w:spacing w:before="60" w:after="40"/>
              <w:jc w:val="center"/>
              <w:rPr>
                <w:sz w:val="16"/>
              </w:rPr>
            </w:pPr>
          </w:p>
        </w:tc>
        <w:tc>
          <w:tcPr>
            <w:tcW w:w="427" w:type="dxa"/>
            <w:vAlign w:val="center"/>
          </w:tcPr>
          <w:p w14:paraId="1660758A" w14:textId="77777777" w:rsidR="00B47442" w:rsidRPr="0009445C" w:rsidRDefault="00B47442" w:rsidP="0099521D">
            <w:pPr>
              <w:pStyle w:val="BRL-Tabelle"/>
              <w:spacing w:before="60" w:after="40"/>
              <w:jc w:val="center"/>
              <w:rPr>
                <w:sz w:val="16"/>
              </w:rPr>
            </w:pPr>
          </w:p>
        </w:tc>
        <w:tc>
          <w:tcPr>
            <w:tcW w:w="426" w:type="dxa"/>
            <w:vAlign w:val="center"/>
          </w:tcPr>
          <w:p w14:paraId="0D89FAAA" w14:textId="77777777" w:rsidR="00B47442" w:rsidRPr="0009445C" w:rsidRDefault="00B47442" w:rsidP="0099521D">
            <w:pPr>
              <w:pStyle w:val="BRL-Tabelle"/>
              <w:spacing w:before="60" w:after="40"/>
              <w:jc w:val="center"/>
              <w:rPr>
                <w:sz w:val="16"/>
              </w:rPr>
            </w:pPr>
          </w:p>
        </w:tc>
        <w:tc>
          <w:tcPr>
            <w:tcW w:w="427" w:type="dxa"/>
            <w:vAlign w:val="center"/>
          </w:tcPr>
          <w:p w14:paraId="016202D6" w14:textId="77777777" w:rsidR="00B47442" w:rsidRPr="0009445C" w:rsidRDefault="00B47442" w:rsidP="0099521D">
            <w:pPr>
              <w:pStyle w:val="BRL-Tabelle"/>
              <w:spacing w:before="60" w:after="40"/>
              <w:jc w:val="center"/>
              <w:rPr>
                <w:sz w:val="16"/>
              </w:rPr>
            </w:pPr>
          </w:p>
        </w:tc>
        <w:tc>
          <w:tcPr>
            <w:tcW w:w="425" w:type="dxa"/>
            <w:vAlign w:val="center"/>
          </w:tcPr>
          <w:p w14:paraId="28136C43" w14:textId="77777777" w:rsidR="00B47442" w:rsidRPr="0009445C" w:rsidRDefault="00B47442" w:rsidP="0099521D">
            <w:pPr>
              <w:pStyle w:val="BRL-Tabelle"/>
              <w:spacing w:before="60" w:after="40"/>
              <w:jc w:val="center"/>
              <w:rPr>
                <w:sz w:val="16"/>
              </w:rPr>
            </w:pPr>
          </w:p>
        </w:tc>
        <w:tc>
          <w:tcPr>
            <w:tcW w:w="426" w:type="dxa"/>
            <w:vAlign w:val="center"/>
          </w:tcPr>
          <w:p w14:paraId="0C2D19BD" w14:textId="77777777" w:rsidR="00B47442" w:rsidRPr="0009445C" w:rsidRDefault="00B47442" w:rsidP="0099521D">
            <w:pPr>
              <w:pStyle w:val="BRL-Tabelle"/>
              <w:spacing w:before="60" w:after="40"/>
              <w:jc w:val="center"/>
              <w:rPr>
                <w:sz w:val="16"/>
              </w:rPr>
            </w:pPr>
          </w:p>
        </w:tc>
        <w:tc>
          <w:tcPr>
            <w:tcW w:w="428" w:type="dxa"/>
            <w:vAlign w:val="center"/>
          </w:tcPr>
          <w:p w14:paraId="39412D02" w14:textId="77777777" w:rsidR="00B47442" w:rsidRPr="0009445C" w:rsidRDefault="00B47442" w:rsidP="0099521D">
            <w:pPr>
              <w:pStyle w:val="BRL-Tabelle"/>
              <w:spacing w:before="60" w:after="40"/>
              <w:jc w:val="center"/>
              <w:rPr>
                <w:sz w:val="16"/>
              </w:rPr>
            </w:pPr>
          </w:p>
        </w:tc>
        <w:tc>
          <w:tcPr>
            <w:tcW w:w="427" w:type="dxa"/>
            <w:vAlign w:val="center"/>
          </w:tcPr>
          <w:p w14:paraId="1468708C" w14:textId="77777777" w:rsidR="00B47442" w:rsidRPr="0009445C" w:rsidRDefault="00B47442" w:rsidP="0099521D">
            <w:pPr>
              <w:pStyle w:val="BRL-Tabelle"/>
              <w:spacing w:before="60" w:after="40"/>
              <w:jc w:val="center"/>
              <w:rPr>
                <w:sz w:val="16"/>
              </w:rPr>
            </w:pPr>
          </w:p>
        </w:tc>
        <w:tc>
          <w:tcPr>
            <w:tcW w:w="426" w:type="dxa"/>
            <w:vAlign w:val="center"/>
          </w:tcPr>
          <w:p w14:paraId="05B25952" w14:textId="77777777" w:rsidR="00B47442" w:rsidRPr="0009445C" w:rsidRDefault="00B47442" w:rsidP="0099521D">
            <w:pPr>
              <w:pStyle w:val="BRL-Tabelle"/>
              <w:spacing w:before="60" w:after="40"/>
              <w:jc w:val="center"/>
              <w:rPr>
                <w:sz w:val="16"/>
              </w:rPr>
            </w:pPr>
          </w:p>
        </w:tc>
        <w:tc>
          <w:tcPr>
            <w:tcW w:w="426" w:type="dxa"/>
            <w:vAlign w:val="center"/>
          </w:tcPr>
          <w:p w14:paraId="26194395" w14:textId="77777777" w:rsidR="00B47442" w:rsidRPr="0009445C" w:rsidRDefault="00B47442" w:rsidP="0099521D">
            <w:pPr>
              <w:pStyle w:val="BRL-Tabelle"/>
              <w:spacing w:before="60" w:after="40"/>
              <w:jc w:val="center"/>
              <w:rPr>
                <w:sz w:val="16"/>
              </w:rPr>
            </w:pPr>
          </w:p>
        </w:tc>
        <w:tc>
          <w:tcPr>
            <w:tcW w:w="426" w:type="dxa"/>
            <w:vAlign w:val="center"/>
          </w:tcPr>
          <w:p w14:paraId="324265B9" w14:textId="77777777" w:rsidR="00B47442" w:rsidRPr="0009445C" w:rsidRDefault="00B47442" w:rsidP="0099521D">
            <w:pPr>
              <w:pStyle w:val="BRL-Tabelle"/>
              <w:spacing w:before="60" w:after="40"/>
              <w:jc w:val="center"/>
              <w:rPr>
                <w:sz w:val="16"/>
              </w:rPr>
            </w:pPr>
          </w:p>
        </w:tc>
        <w:tc>
          <w:tcPr>
            <w:tcW w:w="433" w:type="dxa"/>
            <w:vAlign w:val="center"/>
          </w:tcPr>
          <w:p w14:paraId="384545B2" w14:textId="77777777" w:rsidR="00B47442" w:rsidRPr="0009445C" w:rsidRDefault="00B47442" w:rsidP="0099521D">
            <w:pPr>
              <w:pStyle w:val="BRL-Tabelle"/>
              <w:spacing w:before="60" w:after="40"/>
              <w:jc w:val="center"/>
              <w:rPr>
                <w:sz w:val="16"/>
              </w:rPr>
            </w:pPr>
          </w:p>
        </w:tc>
        <w:tc>
          <w:tcPr>
            <w:tcW w:w="426" w:type="dxa"/>
            <w:vAlign w:val="center"/>
          </w:tcPr>
          <w:p w14:paraId="548F8F2F" w14:textId="77777777" w:rsidR="00B47442" w:rsidRPr="0009445C" w:rsidRDefault="00B47442" w:rsidP="0099521D">
            <w:pPr>
              <w:pStyle w:val="BRL-Tabelle"/>
              <w:spacing w:before="60" w:after="40"/>
              <w:jc w:val="center"/>
              <w:rPr>
                <w:sz w:val="16"/>
              </w:rPr>
            </w:pPr>
          </w:p>
        </w:tc>
        <w:tc>
          <w:tcPr>
            <w:tcW w:w="427" w:type="dxa"/>
            <w:vAlign w:val="center"/>
          </w:tcPr>
          <w:p w14:paraId="2274EFE4" w14:textId="77777777" w:rsidR="00B47442" w:rsidRPr="0009445C" w:rsidRDefault="00B47442" w:rsidP="0099521D">
            <w:pPr>
              <w:pStyle w:val="BRL-Tabelle"/>
              <w:spacing w:before="60" w:after="40"/>
              <w:jc w:val="center"/>
              <w:rPr>
                <w:sz w:val="16"/>
              </w:rPr>
            </w:pPr>
          </w:p>
        </w:tc>
        <w:tc>
          <w:tcPr>
            <w:tcW w:w="426" w:type="dxa"/>
            <w:vAlign w:val="center"/>
          </w:tcPr>
          <w:p w14:paraId="7B23D44B" w14:textId="77777777" w:rsidR="00B47442" w:rsidRPr="0009445C" w:rsidRDefault="00B47442" w:rsidP="0099521D">
            <w:pPr>
              <w:pStyle w:val="BRL-Tabelle"/>
              <w:spacing w:before="60" w:after="40"/>
              <w:jc w:val="center"/>
              <w:rPr>
                <w:sz w:val="16"/>
              </w:rPr>
            </w:pPr>
          </w:p>
        </w:tc>
        <w:tc>
          <w:tcPr>
            <w:tcW w:w="427" w:type="dxa"/>
            <w:vAlign w:val="center"/>
          </w:tcPr>
          <w:p w14:paraId="2894329D"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72FBCEAA" w14:textId="77777777" w:rsidTr="0099521D">
        <w:trPr>
          <w:trHeight w:val="264"/>
        </w:trPr>
        <w:tc>
          <w:tcPr>
            <w:tcW w:w="2355" w:type="dxa"/>
            <w:gridSpan w:val="2"/>
          </w:tcPr>
          <w:p w14:paraId="6FE7D0AF" w14:textId="77777777" w:rsidR="00B47442" w:rsidRPr="0009445C" w:rsidRDefault="00B47442" w:rsidP="0099521D">
            <w:pPr>
              <w:pStyle w:val="BRL-Tabelle"/>
              <w:spacing w:before="60" w:after="40"/>
            </w:pPr>
            <w:r w:rsidRPr="0009445C">
              <w:t>Power supply device</w:t>
            </w:r>
          </w:p>
        </w:tc>
        <w:tc>
          <w:tcPr>
            <w:tcW w:w="427" w:type="dxa"/>
            <w:vAlign w:val="center"/>
          </w:tcPr>
          <w:p w14:paraId="2B3DBC97" w14:textId="77777777" w:rsidR="00B47442" w:rsidRPr="0009445C" w:rsidRDefault="00B47442" w:rsidP="0099521D">
            <w:pPr>
              <w:pStyle w:val="BRL-Tabelle"/>
              <w:spacing w:before="60" w:after="40"/>
              <w:jc w:val="center"/>
              <w:rPr>
                <w:sz w:val="16"/>
              </w:rPr>
            </w:pPr>
          </w:p>
        </w:tc>
        <w:tc>
          <w:tcPr>
            <w:tcW w:w="427" w:type="dxa"/>
            <w:vAlign w:val="center"/>
          </w:tcPr>
          <w:p w14:paraId="7A78BFCC" w14:textId="77777777" w:rsidR="00B47442" w:rsidRPr="0009445C" w:rsidRDefault="00B47442" w:rsidP="0099521D">
            <w:pPr>
              <w:pStyle w:val="BRL-Tabelle"/>
              <w:spacing w:before="60" w:after="40"/>
              <w:jc w:val="center"/>
              <w:rPr>
                <w:sz w:val="16"/>
              </w:rPr>
            </w:pPr>
          </w:p>
        </w:tc>
        <w:tc>
          <w:tcPr>
            <w:tcW w:w="426" w:type="dxa"/>
            <w:vAlign w:val="center"/>
          </w:tcPr>
          <w:p w14:paraId="0562F83D" w14:textId="77777777" w:rsidR="00B47442" w:rsidRPr="0009445C" w:rsidRDefault="00B47442" w:rsidP="0099521D">
            <w:pPr>
              <w:pStyle w:val="BRL-Tabelle"/>
              <w:spacing w:before="60" w:after="40"/>
              <w:jc w:val="center"/>
              <w:rPr>
                <w:sz w:val="16"/>
              </w:rPr>
            </w:pPr>
          </w:p>
        </w:tc>
        <w:tc>
          <w:tcPr>
            <w:tcW w:w="427" w:type="dxa"/>
            <w:vAlign w:val="center"/>
          </w:tcPr>
          <w:p w14:paraId="40D9EAD7" w14:textId="77777777" w:rsidR="00B47442" w:rsidRPr="0009445C" w:rsidRDefault="00B47442" w:rsidP="0099521D">
            <w:pPr>
              <w:pStyle w:val="BRL-Tabelle"/>
              <w:spacing w:before="60" w:after="40"/>
              <w:jc w:val="center"/>
              <w:rPr>
                <w:sz w:val="16"/>
              </w:rPr>
            </w:pPr>
          </w:p>
        </w:tc>
        <w:tc>
          <w:tcPr>
            <w:tcW w:w="425" w:type="dxa"/>
            <w:vAlign w:val="center"/>
          </w:tcPr>
          <w:p w14:paraId="03131A2B" w14:textId="77777777" w:rsidR="00B47442" w:rsidRPr="0009445C" w:rsidRDefault="00B47442" w:rsidP="0099521D">
            <w:pPr>
              <w:pStyle w:val="BRL-Tabelle"/>
              <w:spacing w:before="60" w:after="40"/>
              <w:jc w:val="center"/>
              <w:rPr>
                <w:sz w:val="16"/>
              </w:rPr>
            </w:pPr>
          </w:p>
        </w:tc>
        <w:tc>
          <w:tcPr>
            <w:tcW w:w="426" w:type="dxa"/>
            <w:vAlign w:val="center"/>
          </w:tcPr>
          <w:p w14:paraId="0EDF91DB" w14:textId="77777777" w:rsidR="00B47442" w:rsidRPr="0009445C" w:rsidRDefault="00B47442" w:rsidP="0099521D">
            <w:pPr>
              <w:pStyle w:val="BRL-Tabelle"/>
              <w:spacing w:before="60" w:after="40"/>
              <w:jc w:val="center"/>
              <w:rPr>
                <w:sz w:val="16"/>
              </w:rPr>
            </w:pPr>
          </w:p>
        </w:tc>
        <w:tc>
          <w:tcPr>
            <w:tcW w:w="428" w:type="dxa"/>
            <w:vAlign w:val="center"/>
          </w:tcPr>
          <w:p w14:paraId="31EB34CF" w14:textId="77777777" w:rsidR="00B47442" w:rsidRPr="0009445C" w:rsidRDefault="00B47442" w:rsidP="0099521D">
            <w:pPr>
              <w:pStyle w:val="BRL-Tabelle"/>
              <w:spacing w:before="60" w:after="40"/>
              <w:jc w:val="center"/>
              <w:rPr>
                <w:sz w:val="16"/>
              </w:rPr>
            </w:pPr>
          </w:p>
        </w:tc>
        <w:tc>
          <w:tcPr>
            <w:tcW w:w="427" w:type="dxa"/>
            <w:vAlign w:val="center"/>
          </w:tcPr>
          <w:p w14:paraId="2755C729" w14:textId="77777777" w:rsidR="00B47442" w:rsidRPr="0009445C" w:rsidRDefault="00B47442" w:rsidP="0099521D">
            <w:pPr>
              <w:pStyle w:val="BRL-Tabelle"/>
              <w:spacing w:before="60" w:after="40"/>
              <w:jc w:val="center"/>
              <w:rPr>
                <w:sz w:val="16"/>
              </w:rPr>
            </w:pPr>
          </w:p>
        </w:tc>
        <w:tc>
          <w:tcPr>
            <w:tcW w:w="426" w:type="dxa"/>
            <w:vAlign w:val="center"/>
          </w:tcPr>
          <w:p w14:paraId="20C64132" w14:textId="77777777" w:rsidR="00B47442" w:rsidRPr="0009445C" w:rsidRDefault="00B47442" w:rsidP="0099521D">
            <w:pPr>
              <w:pStyle w:val="BRL-Tabelle"/>
              <w:spacing w:before="60" w:after="40"/>
              <w:jc w:val="center"/>
              <w:rPr>
                <w:sz w:val="16"/>
              </w:rPr>
            </w:pPr>
          </w:p>
        </w:tc>
        <w:tc>
          <w:tcPr>
            <w:tcW w:w="426" w:type="dxa"/>
            <w:vAlign w:val="center"/>
          </w:tcPr>
          <w:p w14:paraId="70BFD1B6" w14:textId="77777777" w:rsidR="00B47442" w:rsidRPr="0009445C" w:rsidRDefault="00B47442" w:rsidP="0099521D">
            <w:pPr>
              <w:pStyle w:val="BRL-Tabelle"/>
              <w:spacing w:before="60" w:after="40"/>
              <w:jc w:val="center"/>
              <w:rPr>
                <w:sz w:val="16"/>
              </w:rPr>
            </w:pPr>
          </w:p>
        </w:tc>
        <w:tc>
          <w:tcPr>
            <w:tcW w:w="426" w:type="dxa"/>
            <w:vAlign w:val="center"/>
          </w:tcPr>
          <w:p w14:paraId="09DD15F4" w14:textId="77777777" w:rsidR="00B47442" w:rsidRPr="0009445C" w:rsidRDefault="00B47442" w:rsidP="0099521D">
            <w:pPr>
              <w:pStyle w:val="BRL-Tabelle"/>
              <w:spacing w:before="60" w:after="40"/>
              <w:jc w:val="center"/>
              <w:rPr>
                <w:sz w:val="16"/>
              </w:rPr>
            </w:pPr>
          </w:p>
        </w:tc>
        <w:tc>
          <w:tcPr>
            <w:tcW w:w="433" w:type="dxa"/>
            <w:vAlign w:val="center"/>
          </w:tcPr>
          <w:p w14:paraId="019FD53C" w14:textId="77777777" w:rsidR="00B47442" w:rsidRPr="0009445C" w:rsidRDefault="00B47442" w:rsidP="0099521D">
            <w:pPr>
              <w:pStyle w:val="BRL-Tabelle"/>
              <w:spacing w:before="60" w:after="40"/>
              <w:jc w:val="center"/>
              <w:rPr>
                <w:sz w:val="16"/>
              </w:rPr>
            </w:pPr>
          </w:p>
        </w:tc>
        <w:tc>
          <w:tcPr>
            <w:tcW w:w="426" w:type="dxa"/>
            <w:vAlign w:val="center"/>
          </w:tcPr>
          <w:p w14:paraId="6BC41CFC"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D98E69C" w14:textId="77777777" w:rsidR="00B47442" w:rsidRPr="0009445C" w:rsidRDefault="00B47442" w:rsidP="0099521D">
            <w:pPr>
              <w:pStyle w:val="BRL-Tabelle"/>
              <w:spacing w:before="60" w:after="40"/>
              <w:jc w:val="center"/>
              <w:rPr>
                <w:sz w:val="16"/>
              </w:rPr>
            </w:pPr>
          </w:p>
        </w:tc>
        <w:tc>
          <w:tcPr>
            <w:tcW w:w="426" w:type="dxa"/>
            <w:vAlign w:val="center"/>
          </w:tcPr>
          <w:p w14:paraId="4DD3C5D0" w14:textId="77777777" w:rsidR="00B47442" w:rsidRPr="0009445C" w:rsidRDefault="00B47442" w:rsidP="0099521D">
            <w:pPr>
              <w:pStyle w:val="BRL-Tabelle"/>
              <w:spacing w:before="60" w:after="40"/>
              <w:jc w:val="center"/>
              <w:rPr>
                <w:sz w:val="16"/>
              </w:rPr>
            </w:pPr>
          </w:p>
        </w:tc>
        <w:tc>
          <w:tcPr>
            <w:tcW w:w="427" w:type="dxa"/>
            <w:vAlign w:val="center"/>
          </w:tcPr>
          <w:p w14:paraId="50589FEB"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56819D57" w14:textId="77777777" w:rsidTr="0099521D">
        <w:trPr>
          <w:trHeight w:val="264"/>
        </w:trPr>
        <w:tc>
          <w:tcPr>
            <w:tcW w:w="2355" w:type="dxa"/>
            <w:gridSpan w:val="2"/>
          </w:tcPr>
          <w:p w14:paraId="413436DC" w14:textId="77777777" w:rsidR="00B47442" w:rsidRPr="0009445C" w:rsidRDefault="00B47442" w:rsidP="0099521D">
            <w:pPr>
              <w:pStyle w:val="BRL-Tabelle"/>
              <w:spacing w:before="60" w:after="40"/>
            </w:pPr>
            <w:r w:rsidRPr="0009445C">
              <w:t>Requirements for environmental assessment</w:t>
            </w:r>
          </w:p>
        </w:tc>
        <w:tc>
          <w:tcPr>
            <w:tcW w:w="427" w:type="dxa"/>
            <w:vAlign w:val="center"/>
          </w:tcPr>
          <w:p w14:paraId="0B296D5E" w14:textId="77777777" w:rsidR="00B47442" w:rsidRPr="0009445C" w:rsidRDefault="00B47442" w:rsidP="0099521D">
            <w:pPr>
              <w:pStyle w:val="BRL-Tabelle"/>
              <w:spacing w:before="60" w:after="40"/>
              <w:jc w:val="center"/>
              <w:rPr>
                <w:sz w:val="16"/>
              </w:rPr>
            </w:pPr>
          </w:p>
        </w:tc>
        <w:tc>
          <w:tcPr>
            <w:tcW w:w="427" w:type="dxa"/>
            <w:vAlign w:val="center"/>
          </w:tcPr>
          <w:p w14:paraId="4F5561A6" w14:textId="77777777" w:rsidR="00B47442" w:rsidRPr="0009445C" w:rsidRDefault="00B47442" w:rsidP="0099521D">
            <w:pPr>
              <w:pStyle w:val="BRL-Tabelle"/>
              <w:spacing w:before="60" w:after="40"/>
              <w:jc w:val="center"/>
              <w:rPr>
                <w:sz w:val="16"/>
              </w:rPr>
            </w:pPr>
          </w:p>
        </w:tc>
        <w:tc>
          <w:tcPr>
            <w:tcW w:w="426" w:type="dxa"/>
            <w:vAlign w:val="center"/>
          </w:tcPr>
          <w:p w14:paraId="1990077B" w14:textId="77777777" w:rsidR="00B47442" w:rsidRPr="0009445C" w:rsidRDefault="00B47442" w:rsidP="0099521D">
            <w:pPr>
              <w:pStyle w:val="BRL-Tabelle"/>
              <w:spacing w:before="60" w:after="40"/>
              <w:jc w:val="center"/>
              <w:rPr>
                <w:sz w:val="16"/>
              </w:rPr>
            </w:pPr>
          </w:p>
        </w:tc>
        <w:tc>
          <w:tcPr>
            <w:tcW w:w="427" w:type="dxa"/>
            <w:vAlign w:val="center"/>
          </w:tcPr>
          <w:p w14:paraId="457BBBEC" w14:textId="77777777" w:rsidR="00B47442" w:rsidRPr="0009445C" w:rsidRDefault="00B47442" w:rsidP="0099521D">
            <w:pPr>
              <w:pStyle w:val="BRL-Tabelle"/>
              <w:spacing w:before="60" w:after="40"/>
              <w:jc w:val="center"/>
              <w:rPr>
                <w:sz w:val="16"/>
              </w:rPr>
            </w:pPr>
          </w:p>
        </w:tc>
        <w:tc>
          <w:tcPr>
            <w:tcW w:w="425" w:type="dxa"/>
            <w:vAlign w:val="center"/>
          </w:tcPr>
          <w:p w14:paraId="36E51617" w14:textId="77777777" w:rsidR="00B47442" w:rsidRPr="0009445C" w:rsidRDefault="00B47442" w:rsidP="0099521D">
            <w:pPr>
              <w:pStyle w:val="BRL-Tabelle"/>
              <w:spacing w:before="60" w:after="40"/>
              <w:jc w:val="center"/>
              <w:rPr>
                <w:sz w:val="16"/>
              </w:rPr>
            </w:pPr>
          </w:p>
        </w:tc>
        <w:tc>
          <w:tcPr>
            <w:tcW w:w="426" w:type="dxa"/>
            <w:vAlign w:val="center"/>
          </w:tcPr>
          <w:p w14:paraId="0D8D4387" w14:textId="77777777" w:rsidR="00B47442" w:rsidRPr="0009445C" w:rsidRDefault="00B47442" w:rsidP="0099521D">
            <w:pPr>
              <w:pStyle w:val="BRL-Tabelle"/>
              <w:spacing w:before="60" w:after="40"/>
              <w:jc w:val="center"/>
              <w:rPr>
                <w:sz w:val="16"/>
              </w:rPr>
            </w:pPr>
          </w:p>
        </w:tc>
        <w:tc>
          <w:tcPr>
            <w:tcW w:w="428" w:type="dxa"/>
            <w:vAlign w:val="center"/>
          </w:tcPr>
          <w:p w14:paraId="7F645D58" w14:textId="77777777" w:rsidR="00B47442" w:rsidRPr="0009445C" w:rsidRDefault="00B47442" w:rsidP="0099521D">
            <w:pPr>
              <w:pStyle w:val="BRL-Tabelle"/>
              <w:spacing w:before="60" w:after="40"/>
              <w:jc w:val="center"/>
              <w:rPr>
                <w:sz w:val="16"/>
              </w:rPr>
            </w:pPr>
          </w:p>
        </w:tc>
        <w:tc>
          <w:tcPr>
            <w:tcW w:w="427" w:type="dxa"/>
            <w:vAlign w:val="center"/>
          </w:tcPr>
          <w:p w14:paraId="485DE7DD" w14:textId="77777777" w:rsidR="00B47442" w:rsidRPr="0009445C" w:rsidRDefault="00B47442" w:rsidP="0099521D">
            <w:pPr>
              <w:pStyle w:val="BRL-Tabelle"/>
              <w:spacing w:before="60" w:after="40"/>
              <w:jc w:val="center"/>
              <w:rPr>
                <w:sz w:val="16"/>
              </w:rPr>
            </w:pPr>
          </w:p>
        </w:tc>
        <w:tc>
          <w:tcPr>
            <w:tcW w:w="426" w:type="dxa"/>
            <w:vAlign w:val="center"/>
          </w:tcPr>
          <w:p w14:paraId="5594DC88" w14:textId="77777777" w:rsidR="00B47442" w:rsidRPr="0009445C" w:rsidRDefault="00B47442" w:rsidP="0099521D">
            <w:pPr>
              <w:pStyle w:val="BRL-Tabelle"/>
              <w:spacing w:before="60" w:after="40"/>
              <w:jc w:val="center"/>
              <w:rPr>
                <w:sz w:val="16"/>
              </w:rPr>
            </w:pPr>
          </w:p>
        </w:tc>
        <w:tc>
          <w:tcPr>
            <w:tcW w:w="426" w:type="dxa"/>
            <w:vAlign w:val="center"/>
          </w:tcPr>
          <w:p w14:paraId="4ADD1FAD" w14:textId="77777777" w:rsidR="00B47442" w:rsidRPr="0009445C" w:rsidRDefault="00B47442" w:rsidP="0099521D">
            <w:pPr>
              <w:pStyle w:val="BRL-Tabelle"/>
              <w:spacing w:before="60" w:after="40"/>
              <w:jc w:val="center"/>
              <w:rPr>
                <w:sz w:val="16"/>
              </w:rPr>
            </w:pPr>
          </w:p>
        </w:tc>
        <w:tc>
          <w:tcPr>
            <w:tcW w:w="426" w:type="dxa"/>
            <w:vAlign w:val="center"/>
          </w:tcPr>
          <w:p w14:paraId="20151A9F" w14:textId="77777777" w:rsidR="00B47442" w:rsidRPr="0009445C" w:rsidRDefault="00B47442" w:rsidP="0099521D">
            <w:pPr>
              <w:pStyle w:val="BRL-Tabelle"/>
              <w:spacing w:before="60" w:after="40"/>
              <w:jc w:val="center"/>
              <w:rPr>
                <w:sz w:val="16"/>
              </w:rPr>
            </w:pPr>
          </w:p>
        </w:tc>
        <w:tc>
          <w:tcPr>
            <w:tcW w:w="433" w:type="dxa"/>
            <w:vAlign w:val="center"/>
          </w:tcPr>
          <w:p w14:paraId="64AB1961" w14:textId="77777777" w:rsidR="00B47442" w:rsidRPr="0009445C" w:rsidRDefault="00B47442" w:rsidP="0099521D">
            <w:pPr>
              <w:pStyle w:val="BRL-Tabelle"/>
              <w:spacing w:before="60" w:after="40"/>
              <w:jc w:val="center"/>
              <w:rPr>
                <w:sz w:val="16"/>
              </w:rPr>
            </w:pPr>
          </w:p>
        </w:tc>
        <w:tc>
          <w:tcPr>
            <w:tcW w:w="426" w:type="dxa"/>
            <w:vAlign w:val="center"/>
          </w:tcPr>
          <w:p w14:paraId="12F9935B" w14:textId="77777777" w:rsidR="00B47442" w:rsidRPr="0009445C" w:rsidRDefault="00B47442" w:rsidP="0099521D">
            <w:pPr>
              <w:pStyle w:val="BRL-Tabelle"/>
              <w:spacing w:before="60" w:after="40"/>
              <w:jc w:val="center"/>
              <w:rPr>
                <w:sz w:val="16"/>
              </w:rPr>
            </w:pPr>
          </w:p>
        </w:tc>
        <w:tc>
          <w:tcPr>
            <w:tcW w:w="427" w:type="dxa"/>
            <w:vAlign w:val="center"/>
          </w:tcPr>
          <w:p w14:paraId="0B96B9DE" w14:textId="77777777" w:rsidR="00B47442" w:rsidRPr="0009445C" w:rsidRDefault="00B47442" w:rsidP="0099521D">
            <w:pPr>
              <w:pStyle w:val="BRL-Tabelle"/>
              <w:spacing w:before="60" w:after="40"/>
              <w:jc w:val="center"/>
              <w:rPr>
                <w:sz w:val="16"/>
              </w:rPr>
            </w:pPr>
          </w:p>
        </w:tc>
        <w:tc>
          <w:tcPr>
            <w:tcW w:w="426" w:type="dxa"/>
            <w:vAlign w:val="center"/>
          </w:tcPr>
          <w:p w14:paraId="306528C8" w14:textId="77777777" w:rsidR="00B47442" w:rsidRPr="0009445C" w:rsidRDefault="00B47442" w:rsidP="0099521D">
            <w:pPr>
              <w:pStyle w:val="BRL-Tabelle"/>
              <w:spacing w:before="60" w:after="40"/>
              <w:jc w:val="center"/>
              <w:rPr>
                <w:sz w:val="16"/>
              </w:rPr>
            </w:pPr>
          </w:p>
        </w:tc>
        <w:tc>
          <w:tcPr>
            <w:tcW w:w="427" w:type="dxa"/>
            <w:vAlign w:val="center"/>
          </w:tcPr>
          <w:p w14:paraId="33DA3DCC"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01F9C740" w14:textId="77777777" w:rsidTr="0099521D">
        <w:trPr>
          <w:trHeight w:val="264"/>
        </w:trPr>
        <w:tc>
          <w:tcPr>
            <w:tcW w:w="2355" w:type="dxa"/>
            <w:gridSpan w:val="2"/>
          </w:tcPr>
          <w:p w14:paraId="457DF177" w14:textId="77777777" w:rsidR="00B47442" w:rsidRPr="0009445C" w:rsidRDefault="00B47442" w:rsidP="0099521D">
            <w:pPr>
              <w:pStyle w:val="BRL-Tabelle"/>
              <w:spacing w:before="60" w:after="40"/>
            </w:pPr>
            <w:r w:rsidRPr="0009445C">
              <w:t>Distance loss immunity testing</w:t>
            </w:r>
          </w:p>
        </w:tc>
        <w:tc>
          <w:tcPr>
            <w:tcW w:w="427" w:type="dxa"/>
            <w:vAlign w:val="center"/>
          </w:tcPr>
          <w:p w14:paraId="0BA53A6D" w14:textId="77777777" w:rsidR="00B47442" w:rsidRPr="0009445C" w:rsidRDefault="00B47442" w:rsidP="0099521D">
            <w:pPr>
              <w:pStyle w:val="BRL-Tabelle"/>
              <w:spacing w:before="60" w:after="40"/>
              <w:jc w:val="center"/>
              <w:rPr>
                <w:sz w:val="16"/>
              </w:rPr>
            </w:pPr>
          </w:p>
        </w:tc>
        <w:tc>
          <w:tcPr>
            <w:tcW w:w="427" w:type="dxa"/>
            <w:vAlign w:val="center"/>
          </w:tcPr>
          <w:p w14:paraId="5CBF130E" w14:textId="77777777" w:rsidR="00B47442" w:rsidRPr="0009445C" w:rsidRDefault="00B47442" w:rsidP="0099521D">
            <w:pPr>
              <w:pStyle w:val="BRL-Tabelle"/>
              <w:spacing w:before="60" w:after="40"/>
              <w:jc w:val="center"/>
              <w:rPr>
                <w:sz w:val="16"/>
              </w:rPr>
            </w:pPr>
          </w:p>
        </w:tc>
        <w:tc>
          <w:tcPr>
            <w:tcW w:w="426" w:type="dxa"/>
            <w:vAlign w:val="center"/>
          </w:tcPr>
          <w:p w14:paraId="294AE76A" w14:textId="77777777" w:rsidR="00B47442" w:rsidRPr="0009445C" w:rsidRDefault="00B47442" w:rsidP="0099521D">
            <w:pPr>
              <w:pStyle w:val="BRL-Tabelle"/>
              <w:spacing w:before="60" w:after="40"/>
              <w:jc w:val="center"/>
              <w:rPr>
                <w:sz w:val="16"/>
              </w:rPr>
            </w:pPr>
          </w:p>
        </w:tc>
        <w:tc>
          <w:tcPr>
            <w:tcW w:w="427" w:type="dxa"/>
            <w:vAlign w:val="center"/>
          </w:tcPr>
          <w:p w14:paraId="399C937E" w14:textId="77777777" w:rsidR="00B47442" w:rsidRPr="0009445C" w:rsidRDefault="00B47442" w:rsidP="0099521D">
            <w:pPr>
              <w:pStyle w:val="BRL-Tabelle"/>
              <w:spacing w:before="60" w:after="40"/>
              <w:jc w:val="center"/>
              <w:rPr>
                <w:sz w:val="16"/>
              </w:rPr>
            </w:pPr>
          </w:p>
        </w:tc>
        <w:tc>
          <w:tcPr>
            <w:tcW w:w="425" w:type="dxa"/>
            <w:vAlign w:val="center"/>
          </w:tcPr>
          <w:p w14:paraId="46D31546" w14:textId="77777777" w:rsidR="00B47442" w:rsidRPr="0009445C" w:rsidRDefault="00B47442" w:rsidP="0099521D">
            <w:pPr>
              <w:pStyle w:val="BRL-Tabelle"/>
              <w:spacing w:before="60" w:after="40"/>
              <w:jc w:val="center"/>
              <w:rPr>
                <w:sz w:val="16"/>
              </w:rPr>
            </w:pPr>
          </w:p>
        </w:tc>
        <w:tc>
          <w:tcPr>
            <w:tcW w:w="426" w:type="dxa"/>
            <w:vAlign w:val="center"/>
          </w:tcPr>
          <w:p w14:paraId="2AE409BB" w14:textId="77777777" w:rsidR="00B47442" w:rsidRPr="0009445C" w:rsidRDefault="00B47442" w:rsidP="0099521D">
            <w:pPr>
              <w:pStyle w:val="BRL-Tabelle"/>
              <w:spacing w:before="60" w:after="40"/>
              <w:jc w:val="center"/>
              <w:rPr>
                <w:sz w:val="16"/>
              </w:rPr>
            </w:pPr>
          </w:p>
        </w:tc>
        <w:tc>
          <w:tcPr>
            <w:tcW w:w="428" w:type="dxa"/>
            <w:vAlign w:val="center"/>
          </w:tcPr>
          <w:p w14:paraId="0956029C" w14:textId="77777777" w:rsidR="00B47442" w:rsidRPr="0009445C" w:rsidRDefault="00B47442" w:rsidP="0099521D">
            <w:pPr>
              <w:pStyle w:val="BRL-Tabelle"/>
              <w:spacing w:before="60" w:after="40"/>
              <w:jc w:val="center"/>
              <w:rPr>
                <w:sz w:val="16"/>
              </w:rPr>
            </w:pPr>
          </w:p>
        </w:tc>
        <w:tc>
          <w:tcPr>
            <w:tcW w:w="427" w:type="dxa"/>
            <w:vAlign w:val="center"/>
          </w:tcPr>
          <w:p w14:paraId="43AECC93" w14:textId="77777777" w:rsidR="00B47442" w:rsidRPr="0009445C" w:rsidRDefault="00B47442" w:rsidP="0099521D">
            <w:pPr>
              <w:pStyle w:val="BRL-Tabelle"/>
              <w:spacing w:before="60" w:after="40"/>
              <w:jc w:val="center"/>
              <w:rPr>
                <w:sz w:val="16"/>
              </w:rPr>
            </w:pPr>
          </w:p>
        </w:tc>
        <w:tc>
          <w:tcPr>
            <w:tcW w:w="426" w:type="dxa"/>
            <w:vAlign w:val="center"/>
          </w:tcPr>
          <w:p w14:paraId="23EAFC32" w14:textId="77777777" w:rsidR="00B47442" w:rsidRPr="0009445C" w:rsidRDefault="00B47442" w:rsidP="0099521D">
            <w:pPr>
              <w:pStyle w:val="BRL-Tabelle"/>
              <w:spacing w:before="60" w:after="40"/>
              <w:jc w:val="center"/>
              <w:rPr>
                <w:sz w:val="16"/>
              </w:rPr>
            </w:pPr>
          </w:p>
        </w:tc>
        <w:tc>
          <w:tcPr>
            <w:tcW w:w="426" w:type="dxa"/>
            <w:vAlign w:val="center"/>
          </w:tcPr>
          <w:p w14:paraId="08D9C702" w14:textId="77777777" w:rsidR="00B47442" w:rsidRPr="0009445C" w:rsidRDefault="00B47442" w:rsidP="0099521D">
            <w:pPr>
              <w:pStyle w:val="BRL-Tabelle"/>
              <w:spacing w:before="60" w:after="40"/>
              <w:jc w:val="center"/>
              <w:rPr>
                <w:sz w:val="16"/>
              </w:rPr>
            </w:pPr>
          </w:p>
        </w:tc>
        <w:tc>
          <w:tcPr>
            <w:tcW w:w="426" w:type="dxa"/>
            <w:vAlign w:val="center"/>
          </w:tcPr>
          <w:p w14:paraId="25B45E16" w14:textId="77777777" w:rsidR="00B47442" w:rsidRPr="0009445C" w:rsidRDefault="00B47442" w:rsidP="0099521D">
            <w:pPr>
              <w:pStyle w:val="BRL-Tabelle"/>
              <w:spacing w:before="60" w:after="40"/>
              <w:jc w:val="center"/>
              <w:rPr>
                <w:sz w:val="16"/>
              </w:rPr>
            </w:pPr>
          </w:p>
        </w:tc>
        <w:tc>
          <w:tcPr>
            <w:tcW w:w="433" w:type="dxa"/>
            <w:vAlign w:val="center"/>
          </w:tcPr>
          <w:p w14:paraId="138A3AFA" w14:textId="77777777" w:rsidR="00B47442" w:rsidRPr="0009445C" w:rsidRDefault="00B47442" w:rsidP="0099521D">
            <w:pPr>
              <w:pStyle w:val="BRL-Tabelle"/>
              <w:spacing w:before="60" w:after="40"/>
              <w:jc w:val="center"/>
              <w:rPr>
                <w:sz w:val="16"/>
              </w:rPr>
            </w:pPr>
          </w:p>
        </w:tc>
        <w:tc>
          <w:tcPr>
            <w:tcW w:w="426" w:type="dxa"/>
            <w:vAlign w:val="center"/>
          </w:tcPr>
          <w:p w14:paraId="39053926" w14:textId="77777777" w:rsidR="00B47442" w:rsidRPr="0009445C" w:rsidRDefault="00B47442" w:rsidP="0099521D">
            <w:pPr>
              <w:pStyle w:val="BRL-Tabelle"/>
              <w:spacing w:before="60" w:after="40"/>
              <w:jc w:val="center"/>
              <w:rPr>
                <w:sz w:val="16"/>
              </w:rPr>
            </w:pPr>
          </w:p>
        </w:tc>
        <w:tc>
          <w:tcPr>
            <w:tcW w:w="427" w:type="dxa"/>
            <w:vAlign w:val="center"/>
          </w:tcPr>
          <w:p w14:paraId="186E46B7" w14:textId="77777777" w:rsidR="00B47442" w:rsidRPr="0009445C" w:rsidRDefault="00B47442" w:rsidP="0099521D">
            <w:pPr>
              <w:pStyle w:val="BRL-Tabelle"/>
              <w:spacing w:before="60" w:after="40"/>
              <w:jc w:val="center"/>
              <w:rPr>
                <w:sz w:val="16"/>
              </w:rPr>
            </w:pPr>
          </w:p>
        </w:tc>
        <w:tc>
          <w:tcPr>
            <w:tcW w:w="426" w:type="dxa"/>
            <w:vAlign w:val="center"/>
          </w:tcPr>
          <w:p w14:paraId="599BA123" w14:textId="77777777" w:rsidR="00B47442" w:rsidRPr="0009445C" w:rsidRDefault="00B47442" w:rsidP="0099521D">
            <w:pPr>
              <w:pStyle w:val="BRL-Tabelle"/>
              <w:spacing w:before="60" w:after="40"/>
              <w:jc w:val="center"/>
              <w:rPr>
                <w:sz w:val="16"/>
              </w:rPr>
            </w:pPr>
          </w:p>
        </w:tc>
        <w:tc>
          <w:tcPr>
            <w:tcW w:w="427" w:type="dxa"/>
            <w:vAlign w:val="center"/>
          </w:tcPr>
          <w:p w14:paraId="4281A092"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1799060C" w14:textId="77777777" w:rsidTr="0099521D">
        <w:trPr>
          <w:trHeight w:val="528"/>
        </w:trPr>
        <w:tc>
          <w:tcPr>
            <w:tcW w:w="2355" w:type="dxa"/>
            <w:gridSpan w:val="2"/>
          </w:tcPr>
          <w:p w14:paraId="665D9D4B" w14:textId="77777777" w:rsidR="00B47442" w:rsidRPr="0009445C" w:rsidRDefault="00B47442" w:rsidP="0099521D">
            <w:pPr>
              <w:pStyle w:val="BRL-Tabelle"/>
              <w:spacing w:before="60" w:after="40"/>
            </w:pPr>
            <w:r w:rsidRPr="0009445C">
              <w:lastRenderedPageBreak/>
              <w:t>Testing to identifying the HF-connected structural elements</w:t>
            </w:r>
          </w:p>
        </w:tc>
        <w:tc>
          <w:tcPr>
            <w:tcW w:w="427" w:type="dxa"/>
            <w:vAlign w:val="center"/>
          </w:tcPr>
          <w:p w14:paraId="3068252F" w14:textId="77777777" w:rsidR="00B47442" w:rsidRPr="0009445C" w:rsidRDefault="00B47442" w:rsidP="0099521D">
            <w:pPr>
              <w:pStyle w:val="BRL-Tabelle"/>
              <w:spacing w:before="60" w:after="40"/>
              <w:jc w:val="center"/>
              <w:rPr>
                <w:sz w:val="16"/>
              </w:rPr>
            </w:pPr>
          </w:p>
        </w:tc>
        <w:tc>
          <w:tcPr>
            <w:tcW w:w="427" w:type="dxa"/>
            <w:vAlign w:val="center"/>
          </w:tcPr>
          <w:p w14:paraId="26674BE0" w14:textId="77777777" w:rsidR="00B47442" w:rsidRPr="0009445C" w:rsidRDefault="00B47442" w:rsidP="0099521D">
            <w:pPr>
              <w:pStyle w:val="BRL-Tabelle"/>
              <w:spacing w:before="60" w:after="40"/>
              <w:jc w:val="center"/>
              <w:rPr>
                <w:sz w:val="16"/>
              </w:rPr>
            </w:pPr>
          </w:p>
        </w:tc>
        <w:tc>
          <w:tcPr>
            <w:tcW w:w="426" w:type="dxa"/>
            <w:vAlign w:val="center"/>
          </w:tcPr>
          <w:p w14:paraId="63D69502" w14:textId="77777777" w:rsidR="00B47442" w:rsidRPr="0009445C" w:rsidRDefault="00B47442" w:rsidP="0099521D">
            <w:pPr>
              <w:pStyle w:val="BRL-Tabelle"/>
              <w:spacing w:before="60" w:after="40"/>
              <w:jc w:val="center"/>
              <w:rPr>
                <w:sz w:val="16"/>
              </w:rPr>
            </w:pPr>
          </w:p>
        </w:tc>
        <w:tc>
          <w:tcPr>
            <w:tcW w:w="427" w:type="dxa"/>
            <w:vAlign w:val="center"/>
          </w:tcPr>
          <w:p w14:paraId="3A1F5641" w14:textId="77777777" w:rsidR="00B47442" w:rsidRPr="0009445C" w:rsidRDefault="00B47442" w:rsidP="0099521D">
            <w:pPr>
              <w:pStyle w:val="BRL-Tabelle"/>
              <w:spacing w:before="60" w:after="40"/>
              <w:jc w:val="center"/>
              <w:rPr>
                <w:sz w:val="16"/>
              </w:rPr>
            </w:pPr>
          </w:p>
        </w:tc>
        <w:tc>
          <w:tcPr>
            <w:tcW w:w="425" w:type="dxa"/>
            <w:vAlign w:val="center"/>
          </w:tcPr>
          <w:p w14:paraId="5F3CBE00" w14:textId="77777777" w:rsidR="00B47442" w:rsidRPr="0009445C" w:rsidRDefault="00B47442" w:rsidP="0099521D">
            <w:pPr>
              <w:pStyle w:val="BRL-Tabelle"/>
              <w:spacing w:before="60" w:after="40"/>
              <w:jc w:val="center"/>
              <w:rPr>
                <w:sz w:val="16"/>
              </w:rPr>
            </w:pPr>
          </w:p>
        </w:tc>
        <w:tc>
          <w:tcPr>
            <w:tcW w:w="426" w:type="dxa"/>
            <w:vAlign w:val="center"/>
          </w:tcPr>
          <w:p w14:paraId="3851DD4B" w14:textId="77777777" w:rsidR="00B47442" w:rsidRPr="0009445C" w:rsidRDefault="00B47442" w:rsidP="0099521D">
            <w:pPr>
              <w:pStyle w:val="BRL-Tabelle"/>
              <w:spacing w:before="60" w:after="40"/>
              <w:jc w:val="center"/>
              <w:rPr>
                <w:sz w:val="16"/>
              </w:rPr>
            </w:pPr>
          </w:p>
        </w:tc>
        <w:tc>
          <w:tcPr>
            <w:tcW w:w="428" w:type="dxa"/>
            <w:vAlign w:val="center"/>
          </w:tcPr>
          <w:p w14:paraId="37A3512D" w14:textId="77777777" w:rsidR="00B47442" w:rsidRPr="0009445C" w:rsidRDefault="00B47442" w:rsidP="0099521D">
            <w:pPr>
              <w:pStyle w:val="BRL-Tabelle"/>
              <w:spacing w:before="60" w:after="40"/>
              <w:jc w:val="center"/>
              <w:rPr>
                <w:sz w:val="16"/>
              </w:rPr>
            </w:pPr>
          </w:p>
        </w:tc>
        <w:tc>
          <w:tcPr>
            <w:tcW w:w="427" w:type="dxa"/>
            <w:vAlign w:val="center"/>
          </w:tcPr>
          <w:p w14:paraId="0F6DF767" w14:textId="77777777" w:rsidR="00B47442" w:rsidRPr="0009445C" w:rsidRDefault="00B47442" w:rsidP="0099521D">
            <w:pPr>
              <w:pStyle w:val="BRL-Tabelle"/>
              <w:spacing w:before="60" w:after="40"/>
              <w:jc w:val="center"/>
              <w:rPr>
                <w:sz w:val="16"/>
              </w:rPr>
            </w:pPr>
          </w:p>
        </w:tc>
        <w:tc>
          <w:tcPr>
            <w:tcW w:w="426" w:type="dxa"/>
            <w:vAlign w:val="center"/>
          </w:tcPr>
          <w:p w14:paraId="08B8EBE9" w14:textId="77777777" w:rsidR="00B47442" w:rsidRPr="0009445C" w:rsidRDefault="00B47442" w:rsidP="0099521D">
            <w:pPr>
              <w:pStyle w:val="BRL-Tabelle"/>
              <w:spacing w:before="60" w:after="40"/>
              <w:jc w:val="center"/>
              <w:rPr>
                <w:sz w:val="16"/>
              </w:rPr>
            </w:pPr>
          </w:p>
        </w:tc>
        <w:tc>
          <w:tcPr>
            <w:tcW w:w="426" w:type="dxa"/>
            <w:vAlign w:val="center"/>
          </w:tcPr>
          <w:p w14:paraId="393EF3AE" w14:textId="77777777" w:rsidR="00B47442" w:rsidRPr="0009445C" w:rsidRDefault="00B47442" w:rsidP="0099521D">
            <w:pPr>
              <w:pStyle w:val="BRL-Tabelle"/>
              <w:spacing w:before="60" w:after="40"/>
              <w:jc w:val="center"/>
              <w:rPr>
                <w:sz w:val="16"/>
              </w:rPr>
            </w:pPr>
          </w:p>
        </w:tc>
        <w:tc>
          <w:tcPr>
            <w:tcW w:w="426" w:type="dxa"/>
            <w:vAlign w:val="center"/>
          </w:tcPr>
          <w:p w14:paraId="3F17303B" w14:textId="77777777" w:rsidR="00B47442" w:rsidRPr="0009445C" w:rsidRDefault="00B47442" w:rsidP="0099521D">
            <w:pPr>
              <w:pStyle w:val="BRL-Tabelle"/>
              <w:spacing w:before="60" w:after="40"/>
              <w:jc w:val="center"/>
              <w:rPr>
                <w:sz w:val="16"/>
              </w:rPr>
            </w:pPr>
          </w:p>
        </w:tc>
        <w:tc>
          <w:tcPr>
            <w:tcW w:w="433" w:type="dxa"/>
            <w:vAlign w:val="center"/>
          </w:tcPr>
          <w:p w14:paraId="77A20EFD" w14:textId="77777777" w:rsidR="00B47442" w:rsidRPr="0009445C" w:rsidRDefault="00B47442" w:rsidP="0099521D">
            <w:pPr>
              <w:pStyle w:val="BRL-Tabelle"/>
              <w:spacing w:before="60" w:after="40"/>
              <w:jc w:val="center"/>
              <w:rPr>
                <w:sz w:val="16"/>
              </w:rPr>
            </w:pPr>
          </w:p>
        </w:tc>
        <w:tc>
          <w:tcPr>
            <w:tcW w:w="426" w:type="dxa"/>
            <w:vAlign w:val="center"/>
          </w:tcPr>
          <w:p w14:paraId="1F25EBA9" w14:textId="77777777" w:rsidR="00B47442" w:rsidRPr="0009445C" w:rsidRDefault="00B47442" w:rsidP="0099521D">
            <w:pPr>
              <w:pStyle w:val="BRL-Tabelle"/>
              <w:spacing w:before="60" w:after="40"/>
              <w:jc w:val="center"/>
              <w:rPr>
                <w:sz w:val="16"/>
              </w:rPr>
            </w:pPr>
          </w:p>
        </w:tc>
        <w:tc>
          <w:tcPr>
            <w:tcW w:w="427" w:type="dxa"/>
            <w:vAlign w:val="center"/>
          </w:tcPr>
          <w:p w14:paraId="0CCE6DAB" w14:textId="77777777" w:rsidR="00B47442" w:rsidRPr="0009445C" w:rsidRDefault="00B47442" w:rsidP="0099521D">
            <w:pPr>
              <w:pStyle w:val="BRL-Tabelle"/>
              <w:spacing w:before="60" w:after="40"/>
              <w:jc w:val="center"/>
              <w:rPr>
                <w:sz w:val="16"/>
              </w:rPr>
            </w:pPr>
          </w:p>
        </w:tc>
        <w:tc>
          <w:tcPr>
            <w:tcW w:w="426" w:type="dxa"/>
            <w:vAlign w:val="center"/>
          </w:tcPr>
          <w:p w14:paraId="6651E03B" w14:textId="77777777" w:rsidR="00B47442" w:rsidRPr="0009445C" w:rsidRDefault="00B47442" w:rsidP="0099521D">
            <w:pPr>
              <w:pStyle w:val="BRL-Tabelle"/>
              <w:spacing w:before="60" w:after="40"/>
              <w:jc w:val="center"/>
              <w:rPr>
                <w:sz w:val="16"/>
              </w:rPr>
            </w:pPr>
          </w:p>
        </w:tc>
        <w:tc>
          <w:tcPr>
            <w:tcW w:w="427" w:type="dxa"/>
            <w:vAlign w:val="center"/>
          </w:tcPr>
          <w:p w14:paraId="6E143097"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30CD3E72" w14:textId="77777777" w:rsidTr="0099521D">
        <w:trPr>
          <w:trHeight w:val="264"/>
        </w:trPr>
        <w:tc>
          <w:tcPr>
            <w:tcW w:w="2355" w:type="dxa"/>
            <w:gridSpan w:val="2"/>
          </w:tcPr>
          <w:p w14:paraId="6489B121" w14:textId="77777777" w:rsidR="00B47442" w:rsidRPr="0009445C" w:rsidRDefault="00B47442" w:rsidP="0099521D">
            <w:pPr>
              <w:pStyle w:val="BRL-Tabelle"/>
              <w:spacing w:before="60" w:after="40"/>
            </w:pPr>
            <w:r w:rsidRPr="0009445C">
              <w:t>Testing the performance characteristics of the receiver</w:t>
            </w:r>
          </w:p>
        </w:tc>
        <w:tc>
          <w:tcPr>
            <w:tcW w:w="427" w:type="dxa"/>
            <w:vAlign w:val="center"/>
          </w:tcPr>
          <w:p w14:paraId="115D36BA" w14:textId="77777777" w:rsidR="00B47442" w:rsidRPr="0009445C" w:rsidRDefault="00B47442" w:rsidP="0099521D">
            <w:pPr>
              <w:pStyle w:val="BRL-Tabelle"/>
              <w:spacing w:before="60" w:after="40"/>
              <w:jc w:val="center"/>
              <w:rPr>
                <w:sz w:val="16"/>
              </w:rPr>
            </w:pPr>
          </w:p>
        </w:tc>
        <w:tc>
          <w:tcPr>
            <w:tcW w:w="427" w:type="dxa"/>
            <w:vAlign w:val="center"/>
          </w:tcPr>
          <w:p w14:paraId="40093B16" w14:textId="77777777" w:rsidR="00B47442" w:rsidRPr="0009445C" w:rsidRDefault="00B47442" w:rsidP="0099521D">
            <w:pPr>
              <w:pStyle w:val="BRL-Tabelle"/>
              <w:spacing w:before="60" w:after="40"/>
              <w:jc w:val="center"/>
              <w:rPr>
                <w:sz w:val="16"/>
              </w:rPr>
            </w:pPr>
          </w:p>
        </w:tc>
        <w:tc>
          <w:tcPr>
            <w:tcW w:w="426" w:type="dxa"/>
            <w:vAlign w:val="center"/>
          </w:tcPr>
          <w:p w14:paraId="3D2C99B4" w14:textId="77777777" w:rsidR="00B47442" w:rsidRPr="0009445C" w:rsidRDefault="00B47442" w:rsidP="0099521D">
            <w:pPr>
              <w:pStyle w:val="BRL-Tabelle"/>
              <w:spacing w:before="60" w:after="40"/>
              <w:jc w:val="center"/>
              <w:rPr>
                <w:sz w:val="16"/>
              </w:rPr>
            </w:pPr>
          </w:p>
        </w:tc>
        <w:tc>
          <w:tcPr>
            <w:tcW w:w="427" w:type="dxa"/>
            <w:vAlign w:val="center"/>
          </w:tcPr>
          <w:p w14:paraId="731158A4" w14:textId="77777777" w:rsidR="00B47442" w:rsidRPr="0009445C" w:rsidRDefault="00B47442" w:rsidP="0099521D">
            <w:pPr>
              <w:pStyle w:val="BRL-Tabelle"/>
              <w:spacing w:before="60" w:after="40"/>
              <w:jc w:val="center"/>
              <w:rPr>
                <w:sz w:val="16"/>
              </w:rPr>
            </w:pPr>
          </w:p>
        </w:tc>
        <w:tc>
          <w:tcPr>
            <w:tcW w:w="425" w:type="dxa"/>
            <w:vAlign w:val="center"/>
          </w:tcPr>
          <w:p w14:paraId="7B828C00" w14:textId="77777777" w:rsidR="00B47442" w:rsidRPr="0009445C" w:rsidRDefault="00B47442" w:rsidP="0099521D">
            <w:pPr>
              <w:pStyle w:val="BRL-Tabelle"/>
              <w:spacing w:before="60" w:after="40"/>
              <w:jc w:val="center"/>
              <w:rPr>
                <w:sz w:val="16"/>
              </w:rPr>
            </w:pPr>
          </w:p>
        </w:tc>
        <w:tc>
          <w:tcPr>
            <w:tcW w:w="426" w:type="dxa"/>
            <w:vAlign w:val="center"/>
          </w:tcPr>
          <w:p w14:paraId="5A41E917" w14:textId="77777777" w:rsidR="00B47442" w:rsidRPr="0009445C" w:rsidRDefault="00B47442" w:rsidP="0099521D">
            <w:pPr>
              <w:pStyle w:val="BRL-Tabelle"/>
              <w:spacing w:before="60" w:after="40"/>
              <w:jc w:val="center"/>
              <w:rPr>
                <w:sz w:val="16"/>
              </w:rPr>
            </w:pPr>
          </w:p>
        </w:tc>
        <w:tc>
          <w:tcPr>
            <w:tcW w:w="428" w:type="dxa"/>
            <w:vAlign w:val="center"/>
          </w:tcPr>
          <w:p w14:paraId="2D97F265" w14:textId="77777777" w:rsidR="00B47442" w:rsidRPr="0009445C" w:rsidRDefault="00B47442" w:rsidP="0099521D">
            <w:pPr>
              <w:pStyle w:val="BRL-Tabelle"/>
              <w:spacing w:before="60" w:after="40"/>
              <w:jc w:val="center"/>
              <w:rPr>
                <w:sz w:val="16"/>
              </w:rPr>
            </w:pPr>
          </w:p>
        </w:tc>
        <w:tc>
          <w:tcPr>
            <w:tcW w:w="427" w:type="dxa"/>
            <w:vAlign w:val="center"/>
          </w:tcPr>
          <w:p w14:paraId="393ADAC4" w14:textId="77777777" w:rsidR="00B47442" w:rsidRPr="0009445C" w:rsidRDefault="00B47442" w:rsidP="0099521D">
            <w:pPr>
              <w:pStyle w:val="BRL-Tabelle"/>
              <w:spacing w:before="60" w:after="40"/>
              <w:jc w:val="center"/>
              <w:rPr>
                <w:sz w:val="16"/>
              </w:rPr>
            </w:pPr>
          </w:p>
        </w:tc>
        <w:tc>
          <w:tcPr>
            <w:tcW w:w="426" w:type="dxa"/>
            <w:vAlign w:val="center"/>
          </w:tcPr>
          <w:p w14:paraId="21E77562" w14:textId="77777777" w:rsidR="00B47442" w:rsidRPr="0009445C" w:rsidRDefault="00B47442" w:rsidP="0099521D">
            <w:pPr>
              <w:pStyle w:val="BRL-Tabelle"/>
              <w:spacing w:before="60" w:after="40"/>
              <w:jc w:val="center"/>
              <w:rPr>
                <w:sz w:val="16"/>
              </w:rPr>
            </w:pPr>
          </w:p>
        </w:tc>
        <w:tc>
          <w:tcPr>
            <w:tcW w:w="426" w:type="dxa"/>
            <w:vAlign w:val="center"/>
          </w:tcPr>
          <w:p w14:paraId="478F04D2" w14:textId="77777777" w:rsidR="00B47442" w:rsidRPr="0009445C" w:rsidRDefault="00B47442" w:rsidP="0099521D">
            <w:pPr>
              <w:pStyle w:val="BRL-Tabelle"/>
              <w:spacing w:before="60" w:after="40"/>
              <w:jc w:val="center"/>
              <w:rPr>
                <w:sz w:val="16"/>
              </w:rPr>
            </w:pPr>
          </w:p>
        </w:tc>
        <w:tc>
          <w:tcPr>
            <w:tcW w:w="426" w:type="dxa"/>
            <w:vAlign w:val="center"/>
          </w:tcPr>
          <w:p w14:paraId="54B8CC6C" w14:textId="77777777" w:rsidR="00B47442" w:rsidRPr="0009445C" w:rsidRDefault="00B47442" w:rsidP="0099521D">
            <w:pPr>
              <w:pStyle w:val="BRL-Tabelle"/>
              <w:spacing w:before="60" w:after="40"/>
              <w:jc w:val="center"/>
              <w:rPr>
                <w:sz w:val="16"/>
              </w:rPr>
            </w:pPr>
          </w:p>
        </w:tc>
        <w:tc>
          <w:tcPr>
            <w:tcW w:w="433" w:type="dxa"/>
            <w:vAlign w:val="center"/>
          </w:tcPr>
          <w:p w14:paraId="508726CC" w14:textId="77777777" w:rsidR="00B47442" w:rsidRPr="0009445C" w:rsidRDefault="00B47442" w:rsidP="0099521D">
            <w:pPr>
              <w:pStyle w:val="BRL-Tabelle"/>
              <w:spacing w:before="60" w:after="40"/>
              <w:jc w:val="center"/>
              <w:rPr>
                <w:sz w:val="16"/>
              </w:rPr>
            </w:pPr>
          </w:p>
        </w:tc>
        <w:tc>
          <w:tcPr>
            <w:tcW w:w="426" w:type="dxa"/>
            <w:vAlign w:val="center"/>
          </w:tcPr>
          <w:p w14:paraId="6BE83899" w14:textId="77777777" w:rsidR="00B47442" w:rsidRPr="0009445C" w:rsidRDefault="00B47442" w:rsidP="0099521D">
            <w:pPr>
              <w:pStyle w:val="BRL-Tabelle"/>
              <w:spacing w:before="60" w:after="40"/>
              <w:jc w:val="center"/>
              <w:rPr>
                <w:sz w:val="16"/>
              </w:rPr>
            </w:pPr>
          </w:p>
        </w:tc>
        <w:tc>
          <w:tcPr>
            <w:tcW w:w="427" w:type="dxa"/>
            <w:vAlign w:val="center"/>
          </w:tcPr>
          <w:p w14:paraId="46D03347" w14:textId="77777777" w:rsidR="00B47442" w:rsidRPr="0009445C" w:rsidRDefault="00B47442" w:rsidP="0099521D">
            <w:pPr>
              <w:pStyle w:val="BRL-Tabelle"/>
              <w:spacing w:before="60" w:after="40"/>
              <w:jc w:val="center"/>
              <w:rPr>
                <w:sz w:val="16"/>
              </w:rPr>
            </w:pPr>
          </w:p>
        </w:tc>
        <w:tc>
          <w:tcPr>
            <w:tcW w:w="426" w:type="dxa"/>
            <w:vAlign w:val="center"/>
          </w:tcPr>
          <w:p w14:paraId="3C4C01A3" w14:textId="77777777" w:rsidR="00B47442" w:rsidRPr="0009445C" w:rsidRDefault="00B47442" w:rsidP="0099521D">
            <w:pPr>
              <w:pStyle w:val="BRL-Tabelle"/>
              <w:spacing w:before="60" w:after="40"/>
              <w:jc w:val="center"/>
              <w:rPr>
                <w:sz w:val="16"/>
              </w:rPr>
            </w:pPr>
          </w:p>
        </w:tc>
        <w:tc>
          <w:tcPr>
            <w:tcW w:w="427" w:type="dxa"/>
            <w:vAlign w:val="center"/>
          </w:tcPr>
          <w:p w14:paraId="4AE791B2"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1B967EE8" w14:textId="77777777" w:rsidTr="0099521D">
        <w:trPr>
          <w:trHeight w:val="528"/>
        </w:trPr>
        <w:tc>
          <w:tcPr>
            <w:tcW w:w="2355" w:type="dxa"/>
            <w:gridSpan w:val="2"/>
          </w:tcPr>
          <w:p w14:paraId="4CE15AA7" w14:textId="77777777" w:rsidR="00B47442" w:rsidRPr="0009445C" w:rsidRDefault="00B47442" w:rsidP="0099521D">
            <w:pPr>
              <w:pStyle w:val="BRL-Tabelle"/>
              <w:spacing w:before="60" w:after="40"/>
            </w:pPr>
            <w:r w:rsidRPr="0009445C">
              <w:t>Verification of compatibility with other users of the frequency band</w:t>
            </w:r>
          </w:p>
        </w:tc>
        <w:tc>
          <w:tcPr>
            <w:tcW w:w="427" w:type="dxa"/>
            <w:vAlign w:val="center"/>
          </w:tcPr>
          <w:p w14:paraId="7C5F9E31" w14:textId="77777777" w:rsidR="00B47442" w:rsidRPr="0009445C" w:rsidRDefault="00B47442" w:rsidP="0099521D">
            <w:pPr>
              <w:pStyle w:val="BRL-Tabelle"/>
              <w:spacing w:before="60" w:after="40"/>
              <w:jc w:val="center"/>
              <w:rPr>
                <w:sz w:val="16"/>
              </w:rPr>
            </w:pPr>
          </w:p>
        </w:tc>
        <w:tc>
          <w:tcPr>
            <w:tcW w:w="427" w:type="dxa"/>
            <w:vAlign w:val="center"/>
          </w:tcPr>
          <w:p w14:paraId="7B44C2B8" w14:textId="77777777" w:rsidR="00B47442" w:rsidRPr="0009445C" w:rsidRDefault="00B47442" w:rsidP="0099521D">
            <w:pPr>
              <w:pStyle w:val="BRL-Tabelle"/>
              <w:spacing w:before="60" w:after="40"/>
              <w:jc w:val="center"/>
              <w:rPr>
                <w:sz w:val="16"/>
              </w:rPr>
            </w:pPr>
          </w:p>
        </w:tc>
        <w:tc>
          <w:tcPr>
            <w:tcW w:w="426" w:type="dxa"/>
            <w:vAlign w:val="center"/>
          </w:tcPr>
          <w:p w14:paraId="17EF160A" w14:textId="77777777" w:rsidR="00B47442" w:rsidRPr="0009445C" w:rsidRDefault="00B47442" w:rsidP="0099521D">
            <w:pPr>
              <w:pStyle w:val="BRL-Tabelle"/>
              <w:spacing w:before="60" w:after="40"/>
              <w:jc w:val="center"/>
              <w:rPr>
                <w:sz w:val="16"/>
              </w:rPr>
            </w:pPr>
          </w:p>
        </w:tc>
        <w:tc>
          <w:tcPr>
            <w:tcW w:w="427" w:type="dxa"/>
            <w:vAlign w:val="center"/>
          </w:tcPr>
          <w:p w14:paraId="4A2D4796" w14:textId="77777777" w:rsidR="00B47442" w:rsidRPr="0009445C" w:rsidRDefault="00B47442" w:rsidP="0099521D">
            <w:pPr>
              <w:pStyle w:val="BRL-Tabelle"/>
              <w:spacing w:before="60" w:after="40"/>
              <w:jc w:val="center"/>
              <w:rPr>
                <w:sz w:val="16"/>
              </w:rPr>
            </w:pPr>
          </w:p>
        </w:tc>
        <w:tc>
          <w:tcPr>
            <w:tcW w:w="425" w:type="dxa"/>
            <w:vAlign w:val="center"/>
          </w:tcPr>
          <w:p w14:paraId="46202A0C" w14:textId="77777777" w:rsidR="00B47442" w:rsidRPr="0009445C" w:rsidRDefault="00B47442" w:rsidP="0099521D">
            <w:pPr>
              <w:pStyle w:val="BRL-Tabelle"/>
              <w:spacing w:before="60" w:after="40"/>
              <w:jc w:val="center"/>
              <w:rPr>
                <w:sz w:val="16"/>
              </w:rPr>
            </w:pPr>
          </w:p>
        </w:tc>
        <w:tc>
          <w:tcPr>
            <w:tcW w:w="426" w:type="dxa"/>
            <w:vAlign w:val="center"/>
          </w:tcPr>
          <w:p w14:paraId="5AF9DF0E" w14:textId="77777777" w:rsidR="00B47442" w:rsidRPr="0009445C" w:rsidRDefault="00B47442" w:rsidP="0099521D">
            <w:pPr>
              <w:pStyle w:val="BRL-Tabelle"/>
              <w:spacing w:before="60" w:after="40"/>
              <w:jc w:val="center"/>
              <w:rPr>
                <w:sz w:val="16"/>
              </w:rPr>
            </w:pPr>
          </w:p>
        </w:tc>
        <w:tc>
          <w:tcPr>
            <w:tcW w:w="428" w:type="dxa"/>
            <w:vAlign w:val="center"/>
          </w:tcPr>
          <w:p w14:paraId="3EEF0DFA" w14:textId="77777777" w:rsidR="00B47442" w:rsidRPr="0009445C" w:rsidRDefault="00B47442" w:rsidP="0099521D">
            <w:pPr>
              <w:pStyle w:val="BRL-Tabelle"/>
              <w:spacing w:before="60" w:after="40"/>
              <w:jc w:val="center"/>
              <w:rPr>
                <w:sz w:val="16"/>
              </w:rPr>
            </w:pPr>
          </w:p>
        </w:tc>
        <w:tc>
          <w:tcPr>
            <w:tcW w:w="427" w:type="dxa"/>
            <w:vAlign w:val="center"/>
          </w:tcPr>
          <w:p w14:paraId="73F80D41" w14:textId="77777777" w:rsidR="00B47442" w:rsidRPr="0009445C" w:rsidRDefault="00B47442" w:rsidP="0099521D">
            <w:pPr>
              <w:pStyle w:val="BRL-Tabelle"/>
              <w:spacing w:before="60" w:after="40"/>
              <w:jc w:val="center"/>
              <w:rPr>
                <w:sz w:val="16"/>
              </w:rPr>
            </w:pPr>
          </w:p>
        </w:tc>
        <w:tc>
          <w:tcPr>
            <w:tcW w:w="426" w:type="dxa"/>
            <w:vAlign w:val="center"/>
          </w:tcPr>
          <w:p w14:paraId="0E2163DD" w14:textId="77777777" w:rsidR="00B47442" w:rsidRPr="0009445C" w:rsidRDefault="00B47442" w:rsidP="0099521D">
            <w:pPr>
              <w:pStyle w:val="BRL-Tabelle"/>
              <w:spacing w:before="60" w:after="40"/>
              <w:jc w:val="center"/>
              <w:rPr>
                <w:sz w:val="16"/>
              </w:rPr>
            </w:pPr>
          </w:p>
        </w:tc>
        <w:tc>
          <w:tcPr>
            <w:tcW w:w="426" w:type="dxa"/>
            <w:vAlign w:val="center"/>
          </w:tcPr>
          <w:p w14:paraId="3200C278" w14:textId="77777777" w:rsidR="00B47442" w:rsidRPr="0009445C" w:rsidRDefault="00B47442" w:rsidP="0099521D">
            <w:pPr>
              <w:pStyle w:val="BRL-Tabelle"/>
              <w:spacing w:before="60" w:after="40"/>
              <w:jc w:val="center"/>
              <w:rPr>
                <w:sz w:val="16"/>
              </w:rPr>
            </w:pPr>
          </w:p>
        </w:tc>
        <w:tc>
          <w:tcPr>
            <w:tcW w:w="426" w:type="dxa"/>
            <w:vAlign w:val="center"/>
          </w:tcPr>
          <w:p w14:paraId="62313D60" w14:textId="77777777" w:rsidR="00B47442" w:rsidRPr="0009445C" w:rsidRDefault="00B47442" w:rsidP="0099521D">
            <w:pPr>
              <w:pStyle w:val="BRL-Tabelle"/>
              <w:spacing w:before="60" w:after="40"/>
              <w:jc w:val="center"/>
              <w:rPr>
                <w:sz w:val="16"/>
              </w:rPr>
            </w:pPr>
          </w:p>
        </w:tc>
        <w:tc>
          <w:tcPr>
            <w:tcW w:w="433" w:type="dxa"/>
            <w:vAlign w:val="center"/>
          </w:tcPr>
          <w:p w14:paraId="160C662B" w14:textId="77777777" w:rsidR="00B47442" w:rsidRPr="0009445C" w:rsidRDefault="00B47442" w:rsidP="0099521D">
            <w:pPr>
              <w:pStyle w:val="BRL-Tabelle"/>
              <w:spacing w:before="60" w:after="40"/>
              <w:jc w:val="center"/>
              <w:rPr>
                <w:sz w:val="16"/>
              </w:rPr>
            </w:pPr>
          </w:p>
        </w:tc>
        <w:tc>
          <w:tcPr>
            <w:tcW w:w="426" w:type="dxa"/>
            <w:vAlign w:val="center"/>
          </w:tcPr>
          <w:p w14:paraId="74B82E60" w14:textId="77777777" w:rsidR="00B47442" w:rsidRPr="0009445C" w:rsidRDefault="00B47442" w:rsidP="0099521D">
            <w:pPr>
              <w:pStyle w:val="BRL-Tabelle"/>
              <w:spacing w:before="60" w:after="40"/>
              <w:jc w:val="center"/>
              <w:rPr>
                <w:sz w:val="16"/>
              </w:rPr>
            </w:pPr>
          </w:p>
        </w:tc>
        <w:tc>
          <w:tcPr>
            <w:tcW w:w="427" w:type="dxa"/>
            <w:vAlign w:val="center"/>
          </w:tcPr>
          <w:p w14:paraId="58D7FFE6" w14:textId="77777777" w:rsidR="00B47442" w:rsidRPr="0009445C" w:rsidRDefault="00B47442" w:rsidP="0099521D">
            <w:pPr>
              <w:pStyle w:val="BRL-Tabelle"/>
              <w:spacing w:before="60" w:after="40"/>
              <w:jc w:val="center"/>
              <w:rPr>
                <w:sz w:val="16"/>
              </w:rPr>
            </w:pPr>
          </w:p>
        </w:tc>
        <w:tc>
          <w:tcPr>
            <w:tcW w:w="426" w:type="dxa"/>
            <w:vAlign w:val="center"/>
          </w:tcPr>
          <w:p w14:paraId="71811177" w14:textId="77777777" w:rsidR="00B47442" w:rsidRPr="0009445C" w:rsidRDefault="00B47442" w:rsidP="0099521D">
            <w:pPr>
              <w:pStyle w:val="BRL-Tabelle"/>
              <w:spacing w:before="60" w:after="40"/>
              <w:jc w:val="center"/>
              <w:rPr>
                <w:sz w:val="16"/>
              </w:rPr>
            </w:pPr>
          </w:p>
        </w:tc>
        <w:tc>
          <w:tcPr>
            <w:tcW w:w="427" w:type="dxa"/>
            <w:vAlign w:val="center"/>
          </w:tcPr>
          <w:p w14:paraId="7F87E62E"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1B28184E" w14:textId="77777777" w:rsidTr="0099521D">
        <w:trPr>
          <w:trHeight w:val="528"/>
        </w:trPr>
        <w:tc>
          <w:tcPr>
            <w:tcW w:w="2355" w:type="dxa"/>
            <w:gridSpan w:val="2"/>
          </w:tcPr>
          <w:p w14:paraId="778F380F" w14:textId="77777777" w:rsidR="00B47442" w:rsidRPr="0009445C" w:rsidRDefault="00B47442" w:rsidP="0099521D">
            <w:pPr>
              <w:pStyle w:val="BRL-Tabelle"/>
              <w:spacing w:before="60" w:after="40"/>
            </w:pPr>
            <w:r w:rsidRPr="0009445C">
              <w:t>Testing detection of loss of communication on a connection</w:t>
            </w:r>
          </w:p>
        </w:tc>
        <w:tc>
          <w:tcPr>
            <w:tcW w:w="427" w:type="dxa"/>
            <w:vAlign w:val="center"/>
          </w:tcPr>
          <w:p w14:paraId="4C6696FA" w14:textId="77777777" w:rsidR="00B47442" w:rsidRPr="0009445C" w:rsidRDefault="00B47442" w:rsidP="0099521D">
            <w:pPr>
              <w:pStyle w:val="BRL-Tabelle"/>
              <w:spacing w:before="60" w:after="40"/>
              <w:jc w:val="center"/>
              <w:rPr>
                <w:sz w:val="16"/>
              </w:rPr>
            </w:pPr>
          </w:p>
        </w:tc>
        <w:tc>
          <w:tcPr>
            <w:tcW w:w="427" w:type="dxa"/>
            <w:vAlign w:val="center"/>
          </w:tcPr>
          <w:p w14:paraId="16BAD4A8" w14:textId="77777777" w:rsidR="00B47442" w:rsidRPr="0009445C" w:rsidRDefault="00B47442" w:rsidP="0099521D">
            <w:pPr>
              <w:pStyle w:val="BRL-Tabelle"/>
              <w:spacing w:before="60" w:after="40"/>
              <w:jc w:val="center"/>
              <w:rPr>
                <w:sz w:val="16"/>
              </w:rPr>
            </w:pPr>
          </w:p>
        </w:tc>
        <w:tc>
          <w:tcPr>
            <w:tcW w:w="426" w:type="dxa"/>
            <w:vAlign w:val="center"/>
          </w:tcPr>
          <w:p w14:paraId="187CF0B9" w14:textId="77777777" w:rsidR="00B47442" w:rsidRPr="0009445C" w:rsidRDefault="00B47442" w:rsidP="0099521D">
            <w:pPr>
              <w:pStyle w:val="BRL-Tabelle"/>
              <w:spacing w:before="60" w:after="40"/>
              <w:jc w:val="center"/>
              <w:rPr>
                <w:sz w:val="16"/>
              </w:rPr>
            </w:pPr>
          </w:p>
        </w:tc>
        <w:tc>
          <w:tcPr>
            <w:tcW w:w="427" w:type="dxa"/>
            <w:vAlign w:val="center"/>
          </w:tcPr>
          <w:p w14:paraId="0C2BABD2" w14:textId="77777777" w:rsidR="00B47442" w:rsidRPr="0009445C" w:rsidRDefault="00B47442" w:rsidP="0099521D">
            <w:pPr>
              <w:pStyle w:val="BRL-Tabelle"/>
              <w:spacing w:before="60" w:after="40"/>
              <w:jc w:val="center"/>
              <w:rPr>
                <w:sz w:val="16"/>
              </w:rPr>
            </w:pPr>
          </w:p>
        </w:tc>
        <w:tc>
          <w:tcPr>
            <w:tcW w:w="425" w:type="dxa"/>
            <w:vAlign w:val="center"/>
          </w:tcPr>
          <w:p w14:paraId="026B5D20" w14:textId="77777777" w:rsidR="00B47442" w:rsidRPr="0009445C" w:rsidRDefault="00B47442" w:rsidP="0099521D">
            <w:pPr>
              <w:pStyle w:val="BRL-Tabelle"/>
              <w:spacing w:before="60" w:after="40"/>
              <w:jc w:val="center"/>
              <w:rPr>
                <w:sz w:val="16"/>
              </w:rPr>
            </w:pPr>
          </w:p>
        </w:tc>
        <w:tc>
          <w:tcPr>
            <w:tcW w:w="426" w:type="dxa"/>
            <w:vAlign w:val="center"/>
          </w:tcPr>
          <w:p w14:paraId="6BE05330" w14:textId="77777777" w:rsidR="00B47442" w:rsidRPr="0009445C" w:rsidRDefault="00B47442" w:rsidP="0099521D">
            <w:pPr>
              <w:pStyle w:val="BRL-Tabelle"/>
              <w:spacing w:before="60" w:after="40"/>
              <w:jc w:val="center"/>
              <w:rPr>
                <w:sz w:val="16"/>
              </w:rPr>
            </w:pPr>
          </w:p>
        </w:tc>
        <w:tc>
          <w:tcPr>
            <w:tcW w:w="428" w:type="dxa"/>
            <w:vAlign w:val="center"/>
          </w:tcPr>
          <w:p w14:paraId="17E44BFB" w14:textId="77777777" w:rsidR="00B47442" w:rsidRPr="0009445C" w:rsidRDefault="00B47442" w:rsidP="0099521D">
            <w:pPr>
              <w:pStyle w:val="BRL-Tabelle"/>
              <w:spacing w:before="60" w:after="40"/>
              <w:jc w:val="center"/>
              <w:rPr>
                <w:sz w:val="16"/>
              </w:rPr>
            </w:pPr>
          </w:p>
        </w:tc>
        <w:tc>
          <w:tcPr>
            <w:tcW w:w="427" w:type="dxa"/>
            <w:vAlign w:val="center"/>
          </w:tcPr>
          <w:p w14:paraId="2C43AA2F" w14:textId="77777777" w:rsidR="00B47442" w:rsidRPr="0009445C" w:rsidRDefault="00B47442" w:rsidP="0099521D">
            <w:pPr>
              <w:pStyle w:val="BRL-Tabelle"/>
              <w:spacing w:before="60" w:after="40"/>
              <w:jc w:val="center"/>
              <w:rPr>
                <w:sz w:val="16"/>
              </w:rPr>
            </w:pPr>
          </w:p>
        </w:tc>
        <w:tc>
          <w:tcPr>
            <w:tcW w:w="426" w:type="dxa"/>
            <w:vAlign w:val="center"/>
          </w:tcPr>
          <w:p w14:paraId="3AE4AA49" w14:textId="77777777" w:rsidR="00B47442" w:rsidRPr="0009445C" w:rsidRDefault="00B47442" w:rsidP="0099521D">
            <w:pPr>
              <w:pStyle w:val="BRL-Tabelle"/>
              <w:spacing w:before="60" w:after="40"/>
              <w:jc w:val="center"/>
              <w:rPr>
                <w:sz w:val="16"/>
              </w:rPr>
            </w:pPr>
          </w:p>
        </w:tc>
        <w:tc>
          <w:tcPr>
            <w:tcW w:w="426" w:type="dxa"/>
            <w:vAlign w:val="center"/>
          </w:tcPr>
          <w:p w14:paraId="71658ADB" w14:textId="77777777" w:rsidR="00B47442" w:rsidRPr="0009445C" w:rsidRDefault="00B47442" w:rsidP="0099521D">
            <w:pPr>
              <w:pStyle w:val="BRL-Tabelle"/>
              <w:spacing w:before="60" w:after="40"/>
              <w:jc w:val="center"/>
              <w:rPr>
                <w:sz w:val="16"/>
              </w:rPr>
            </w:pPr>
          </w:p>
        </w:tc>
        <w:tc>
          <w:tcPr>
            <w:tcW w:w="426" w:type="dxa"/>
            <w:vAlign w:val="center"/>
          </w:tcPr>
          <w:p w14:paraId="5F8CF9AE" w14:textId="77777777" w:rsidR="00B47442" w:rsidRPr="0009445C" w:rsidRDefault="00B47442" w:rsidP="0099521D">
            <w:pPr>
              <w:pStyle w:val="BRL-Tabelle"/>
              <w:spacing w:before="60" w:after="40"/>
              <w:jc w:val="center"/>
              <w:rPr>
                <w:sz w:val="16"/>
              </w:rPr>
            </w:pPr>
          </w:p>
        </w:tc>
        <w:tc>
          <w:tcPr>
            <w:tcW w:w="433" w:type="dxa"/>
            <w:vAlign w:val="center"/>
          </w:tcPr>
          <w:p w14:paraId="3E536772" w14:textId="77777777" w:rsidR="00B47442" w:rsidRPr="0009445C" w:rsidRDefault="00B47442" w:rsidP="0099521D">
            <w:pPr>
              <w:pStyle w:val="BRL-Tabelle"/>
              <w:spacing w:before="60" w:after="40"/>
              <w:jc w:val="center"/>
              <w:rPr>
                <w:sz w:val="16"/>
              </w:rPr>
            </w:pPr>
          </w:p>
        </w:tc>
        <w:tc>
          <w:tcPr>
            <w:tcW w:w="426" w:type="dxa"/>
          </w:tcPr>
          <w:p w14:paraId="20B45516" w14:textId="77777777" w:rsidR="00B47442" w:rsidRPr="0009445C" w:rsidRDefault="00B47442" w:rsidP="0099521D">
            <w:pPr>
              <w:pStyle w:val="BRL-Tabelle"/>
              <w:spacing w:before="60" w:after="40"/>
              <w:jc w:val="center"/>
              <w:rPr>
                <w:sz w:val="16"/>
              </w:rPr>
            </w:pPr>
          </w:p>
        </w:tc>
        <w:tc>
          <w:tcPr>
            <w:tcW w:w="427" w:type="dxa"/>
            <w:vAlign w:val="center"/>
          </w:tcPr>
          <w:p w14:paraId="4130EA35" w14:textId="77777777" w:rsidR="00B47442" w:rsidRPr="0009445C" w:rsidRDefault="00B47442" w:rsidP="0099521D">
            <w:pPr>
              <w:pStyle w:val="BRL-Tabelle"/>
              <w:spacing w:before="60" w:after="40"/>
              <w:jc w:val="center"/>
              <w:rPr>
                <w:sz w:val="16"/>
              </w:rPr>
            </w:pPr>
          </w:p>
        </w:tc>
        <w:tc>
          <w:tcPr>
            <w:tcW w:w="426" w:type="dxa"/>
            <w:vAlign w:val="center"/>
          </w:tcPr>
          <w:p w14:paraId="0C95DC75" w14:textId="77777777" w:rsidR="00B47442" w:rsidRPr="0009445C" w:rsidRDefault="00B47442" w:rsidP="0099521D">
            <w:pPr>
              <w:pStyle w:val="BRL-Tabelle"/>
              <w:spacing w:before="60" w:after="40"/>
              <w:jc w:val="center"/>
              <w:rPr>
                <w:sz w:val="16"/>
              </w:rPr>
            </w:pPr>
          </w:p>
        </w:tc>
        <w:tc>
          <w:tcPr>
            <w:tcW w:w="427" w:type="dxa"/>
            <w:vAlign w:val="center"/>
          </w:tcPr>
          <w:p w14:paraId="6C3728E0"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60C71A30" w14:textId="77777777" w:rsidTr="0099521D">
        <w:trPr>
          <w:trHeight w:val="264"/>
        </w:trPr>
        <w:tc>
          <w:tcPr>
            <w:tcW w:w="2355" w:type="dxa"/>
            <w:gridSpan w:val="2"/>
          </w:tcPr>
          <w:p w14:paraId="6C3936C9" w14:textId="77777777" w:rsidR="00B47442" w:rsidRPr="0009445C" w:rsidRDefault="00B47442" w:rsidP="0099521D">
            <w:pPr>
              <w:pStyle w:val="BRL-Tabelle"/>
              <w:spacing w:before="60" w:after="40"/>
            </w:pPr>
            <w:r w:rsidRPr="0009445C">
              <w:t>Testing the aerial</w:t>
            </w:r>
          </w:p>
        </w:tc>
        <w:tc>
          <w:tcPr>
            <w:tcW w:w="427" w:type="dxa"/>
            <w:vAlign w:val="center"/>
          </w:tcPr>
          <w:p w14:paraId="69F79DAD" w14:textId="77777777" w:rsidR="00B47442" w:rsidRPr="0009445C" w:rsidRDefault="00B47442" w:rsidP="0099521D">
            <w:pPr>
              <w:pStyle w:val="BRL-Tabelle"/>
              <w:spacing w:before="60" w:after="40"/>
              <w:jc w:val="center"/>
              <w:rPr>
                <w:sz w:val="16"/>
              </w:rPr>
            </w:pPr>
          </w:p>
        </w:tc>
        <w:tc>
          <w:tcPr>
            <w:tcW w:w="427" w:type="dxa"/>
            <w:vAlign w:val="center"/>
          </w:tcPr>
          <w:p w14:paraId="5B68DBF9" w14:textId="77777777" w:rsidR="00B47442" w:rsidRPr="0009445C" w:rsidRDefault="00B47442" w:rsidP="0099521D">
            <w:pPr>
              <w:pStyle w:val="BRL-Tabelle"/>
              <w:spacing w:before="60" w:after="40"/>
              <w:jc w:val="center"/>
              <w:rPr>
                <w:sz w:val="16"/>
              </w:rPr>
            </w:pPr>
          </w:p>
        </w:tc>
        <w:tc>
          <w:tcPr>
            <w:tcW w:w="426" w:type="dxa"/>
            <w:vAlign w:val="center"/>
          </w:tcPr>
          <w:p w14:paraId="60CBCF66" w14:textId="77777777" w:rsidR="00B47442" w:rsidRPr="0009445C" w:rsidRDefault="00B47442" w:rsidP="0099521D">
            <w:pPr>
              <w:pStyle w:val="BRL-Tabelle"/>
              <w:spacing w:before="60" w:after="40"/>
              <w:jc w:val="center"/>
              <w:rPr>
                <w:sz w:val="16"/>
              </w:rPr>
            </w:pPr>
          </w:p>
        </w:tc>
        <w:tc>
          <w:tcPr>
            <w:tcW w:w="427" w:type="dxa"/>
            <w:vAlign w:val="center"/>
          </w:tcPr>
          <w:p w14:paraId="05E06422" w14:textId="77777777" w:rsidR="00B47442" w:rsidRPr="0009445C" w:rsidRDefault="00B47442" w:rsidP="0099521D">
            <w:pPr>
              <w:pStyle w:val="BRL-Tabelle"/>
              <w:spacing w:before="60" w:after="40"/>
              <w:jc w:val="center"/>
              <w:rPr>
                <w:sz w:val="16"/>
              </w:rPr>
            </w:pPr>
          </w:p>
        </w:tc>
        <w:tc>
          <w:tcPr>
            <w:tcW w:w="425" w:type="dxa"/>
            <w:vAlign w:val="center"/>
          </w:tcPr>
          <w:p w14:paraId="0C6E2B4B" w14:textId="77777777" w:rsidR="00B47442" w:rsidRPr="0009445C" w:rsidRDefault="00B47442" w:rsidP="0099521D">
            <w:pPr>
              <w:pStyle w:val="BRL-Tabelle"/>
              <w:spacing w:before="60" w:after="40"/>
              <w:jc w:val="center"/>
              <w:rPr>
                <w:sz w:val="16"/>
              </w:rPr>
            </w:pPr>
          </w:p>
        </w:tc>
        <w:tc>
          <w:tcPr>
            <w:tcW w:w="426" w:type="dxa"/>
            <w:vAlign w:val="center"/>
          </w:tcPr>
          <w:p w14:paraId="797FA5E6" w14:textId="77777777" w:rsidR="00B47442" w:rsidRPr="0009445C" w:rsidRDefault="00B47442" w:rsidP="0099521D">
            <w:pPr>
              <w:pStyle w:val="BRL-Tabelle"/>
              <w:spacing w:before="60" w:after="40"/>
              <w:jc w:val="center"/>
              <w:rPr>
                <w:sz w:val="16"/>
              </w:rPr>
            </w:pPr>
          </w:p>
        </w:tc>
        <w:tc>
          <w:tcPr>
            <w:tcW w:w="428" w:type="dxa"/>
            <w:vAlign w:val="center"/>
          </w:tcPr>
          <w:p w14:paraId="310C579A" w14:textId="77777777" w:rsidR="00B47442" w:rsidRPr="0009445C" w:rsidRDefault="00B47442" w:rsidP="0099521D">
            <w:pPr>
              <w:pStyle w:val="BRL-Tabelle"/>
              <w:spacing w:before="60" w:after="40"/>
              <w:jc w:val="center"/>
              <w:rPr>
                <w:sz w:val="16"/>
              </w:rPr>
            </w:pPr>
          </w:p>
        </w:tc>
        <w:tc>
          <w:tcPr>
            <w:tcW w:w="427" w:type="dxa"/>
            <w:vAlign w:val="center"/>
          </w:tcPr>
          <w:p w14:paraId="418969EA" w14:textId="77777777" w:rsidR="00B47442" w:rsidRPr="0009445C" w:rsidRDefault="00B47442" w:rsidP="0099521D">
            <w:pPr>
              <w:pStyle w:val="BRL-Tabelle"/>
              <w:spacing w:before="60" w:after="40"/>
              <w:jc w:val="center"/>
              <w:rPr>
                <w:sz w:val="16"/>
              </w:rPr>
            </w:pPr>
          </w:p>
        </w:tc>
        <w:tc>
          <w:tcPr>
            <w:tcW w:w="426" w:type="dxa"/>
            <w:vAlign w:val="center"/>
          </w:tcPr>
          <w:p w14:paraId="4FB10DF9" w14:textId="77777777" w:rsidR="00B47442" w:rsidRPr="0009445C" w:rsidRDefault="00B47442" w:rsidP="0099521D">
            <w:pPr>
              <w:pStyle w:val="BRL-Tabelle"/>
              <w:spacing w:before="60" w:after="40"/>
              <w:jc w:val="center"/>
              <w:rPr>
                <w:sz w:val="16"/>
              </w:rPr>
            </w:pPr>
          </w:p>
        </w:tc>
        <w:tc>
          <w:tcPr>
            <w:tcW w:w="426" w:type="dxa"/>
            <w:vAlign w:val="center"/>
          </w:tcPr>
          <w:p w14:paraId="5671ECBC" w14:textId="77777777" w:rsidR="00B47442" w:rsidRPr="0009445C" w:rsidRDefault="00B47442" w:rsidP="0099521D">
            <w:pPr>
              <w:pStyle w:val="BRL-Tabelle"/>
              <w:spacing w:before="60" w:after="40"/>
              <w:jc w:val="center"/>
              <w:rPr>
                <w:sz w:val="16"/>
              </w:rPr>
            </w:pPr>
          </w:p>
        </w:tc>
        <w:tc>
          <w:tcPr>
            <w:tcW w:w="426" w:type="dxa"/>
            <w:vAlign w:val="center"/>
          </w:tcPr>
          <w:p w14:paraId="6B93DBFC" w14:textId="77777777" w:rsidR="00B47442" w:rsidRPr="0009445C" w:rsidRDefault="00B47442" w:rsidP="0099521D">
            <w:pPr>
              <w:pStyle w:val="BRL-Tabelle"/>
              <w:spacing w:before="60" w:after="40"/>
              <w:jc w:val="center"/>
              <w:rPr>
                <w:sz w:val="16"/>
              </w:rPr>
            </w:pPr>
          </w:p>
        </w:tc>
        <w:tc>
          <w:tcPr>
            <w:tcW w:w="433" w:type="dxa"/>
            <w:vAlign w:val="center"/>
          </w:tcPr>
          <w:p w14:paraId="226B3DC5" w14:textId="77777777" w:rsidR="00B47442" w:rsidRPr="0009445C" w:rsidRDefault="00B47442" w:rsidP="0099521D">
            <w:pPr>
              <w:pStyle w:val="BRL-Tabelle"/>
              <w:spacing w:before="60" w:after="40"/>
              <w:jc w:val="center"/>
              <w:rPr>
                <w:sz w:val="16"/>
              </w:rPr>
            </w:pPr>
          </w:p>
        </w:tc>
        <w:tc>
          <w:tcPr>
            <w:tcW w:w="426" w:type="dxa"/>
          </w:tcPr>
          <w:p w14:paraId="072D85B6" w14:textId="77777777" w:rsidR="00B47442" w:rsidRPr="0009445C" w:rsidRDefault="00B47442" w:rsidP="0099521D">
            <w:pPr>
              <w:pStyle w:val="BRL-Tabelle"/>
              <w:spacing w:before="60" w:after="40"/>
              <w:jc w:val="center"/>
              <w:rPr>
                <w:sz w:val="16"/>
              </w:rPr>
            </w:pPr>
          </w:p>
        </w:tc>
        <w:tc>
          <w:tcPr>
            <w:tcW w:w="427" w:type="dxa"/>
            <w:vAlign w:val="center"/>
          </w:tcPr>
          <w:p w14:paraId="786F541B" w14:textId="77777777" w:rsidR="00B47442" w:rsidRPr="0009445C" w:rsidRDefault="00B47442" w:rsidP="0099521D">
            <w:pPr>
              <w:pStyle w:val="BRL-Tabelle"/>
              <w:spacing w:before="60" w:after="40"/>
              <w:jc w:val="center"/>
              <w:rPr>
                <w:sz w:val="16"/>
              </w:rPr>
            </w:pPr>
          </w:p>
        </w:tc>
        <w:tc>
          <w:tcPr>
            <w:tcW w:w="426" w:type="dxa"/>
            <w:vAlign w:val="center"/>
          </w:tcPr>
          <w:p w14:paraId="61FA8A77" w14:textId="77777777" w:rsidR="00B47442" w:rsidRPr="0009445C" w:rsidRDefault="00B47442" w:rsidP="0099521D">
            <w:pPr>
              <w:pStyle w:val="BRL-Tabelle"/>
              <w:spacing w:before="60" w:after="40"/>
              <w:jc w:val="center"/>
              <w:rPr>
                <w:sz w:val="16"/>
              </w:rPr>
            </w:pPr>
          </w:p>
        </w:tc>
        <w:tc>
          <w:tcPr>
            <w:tcW w:w="427" w:type="dxa"/>
            <w:vAlign w:val="center"/>
          </w:tcPr>
          <w:p w14:paraId="639EDE68"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349632EC" w14:textId="77777777" w:rsidTr="0099521D">
        <w:trPr>
          <w:trHeight w:val="264"/>
        </w:trPr>
        <w:tc>
          <w:tcPr>
            <w:tcW w:w="2355" w:type="dxa"/>
            <w:gridSpan w:val="2"/>
          </w:tcPr>
          <w:p w14:paraId="51449E8B" w14:textId="77777777" w:rsidR="00B47442" w:rsidRPr="0009445C" w:rsidRDefault="00B47442" w:rsidP="0099521D">
            <w:pPr>
              <w:pStyle w:val="BRL-Tabelle"/>
              <w:spacing w:before="60" w:after="40"/>
            </w:pPr>
            <w:r w:rsidRPr="0009445C">
              <w:t>Test plan for component testing</w:t>
            </w:r>
          </w:p>
        </w:tc>
        <w:tc>
          <w:tcPr>
            <w:tcW w:w="427" w:type="dxa"/>
            <w:vAlign w:val="center"/>
          </w:tcPr>
          <w:p w14:paraId="5083250B" w14:textId="77777777" w:rsidR="00B47442" w:rsidRPr="0009445C" w:rsidRDefault="00B47442" w:rsidP="0099521D">
            <w:pPr>
              <w:pStyle w:val="BRL-Tabelle"/>
              <w:spacing w:before="60" w:after="40"/>
              <w:jc w:val="center"/>
              <w:rPr>
                <w:sz w:val="16"/>
              </w:rPr>
            </w:pPr>
          </w:p>
        </w:tc>
        <w:tc>
          <w:tcPr>
            <w:tcW w:w="427" w:type="dxa"/>
            <w:vAlign w:val="center"/>
          </w:tcPr>
          <w:p w14:paraId="5230FC13" w14:textId="77777777" w:rsidR="00B47442" w:rsidRPr="0009445C" w:rsidRDefault="00B47442" w:rsidP="0099521D">
            <w:pPr>
              <w:pStyle w:val="BRL-Tabelle"/>
              <w:spacing w:before="60" w:after="40"/>
              <w:jc w:val="center"/>
              <w:rPr>
                <w:sz w:val="16"/>
              </w:rPr>
            </w:pPr>
          </w:p>
        </w:tc>
        <w:tc>
          <w:tcPr>
            <w:tcW w:w="426" w:type="dxa"/>
            <w:vAlign w:val="center"/>
          </w:tcPr>
          <w:p w14:paraId="3C434004" w14:textId="77777777" w:rsidR="00B47442" w:rsidRPr="0009445C" w:rsidRDefault="00B47442" w:rsidP="0099521D">
            <w:pPr>
              <w:pStyle w:val="BRL-Tabelle"/>
              <w:spacing w:before="60" w:after="40"/>
              <w:jc w:val="center"/>
              <w:rPr>
                <w:sz w:val="16"/>
              </w:rPr>
            </w:pPr>
          </w:p>
        </w:tc>
        <w:tc>
          <w:tcPr>
            <w:tcW w:w="427" w:type="dxa"/>
            <w:vAlign w:val="center"/>
          </w:tcPr>
          <w:p w14:paraId="7AFBAE7E" w14:textId="77777777" w:rsidR="00B47442" w:rsidRPr="0009445C" w:rsidRDefault="00B47442" w:rsidP="0099521D">
            <w:pPr>
              <w:pStyle w:val="BRL-Tabelle"/>
              <w:spacing w:before="60" w:after="40"/>
              <w:jc w:val="center"/>
              <w:rPr>
                <w:sz w:val="16"/>
              </w:rPr>
            </w:pPr>
          </w:p>
        </w:tc>
        <w:tc>
          <w:tcPr>
            <w:tcW w:w="425" w:type="dxa"/>
            <w:vAlign w:val="center"/>
          </w:tcPr>
          <w:p w14:paraId="24621E32" w14:textId="77777777" w:rsidR="00B47442" w:rsidRPr="0009445C" w:rsidRDefault="00B47442" w:rsidP="0099521D">
            <w:pPr>
              <w:pStyle w:val="BRL-Tabelle"/>
              <w:spacing w:before="60" w:after="40"/>
              <w:jc w:val="center"/>
              <w:rPr>
                <w:sz w:val="16"/>
              </w:rPr>
            </w:pPr>
          </w:p>
        </w:tc>
        <w:tc>
          <w:tcPr>
            <w:tcW w:w="426" w:type="dxa"/>
            <w:vAlign w:val="center"/>
          </w:tcPr>
          <w:p w14:paraId="632D38E8" w14:textId="77777777" w:rsidR="00B47442" w:rsidRPr="0009445C" w:rsidRDefault="00B47442" w:rsidP="0099521D">
            <w:pPr>
              <w:pStyle w:val="BRL-Tabelle"/>
              <w:spacing w:before="60" w:after="40"/>
              <w:jc w:val="center"/>
              <w:rPr>
                <w:sz w:val="16"/>
              </w:rPr>
            </w:pPr>
          </w:p>
        </w:tc>
        <w:tc>
          <w:tcPr>
            <w:tcW w:w="428" w:type="dxa"/>
            <w:vAlign w:val="center"/>
          </w:tcPr>
          <w:p w14:paraId="58ED06D4" w14:textId="77777777" w:rsidR="00B47442" w:rsidRPr="0009445C" w:rsidRDefault="00B47442" w:rsidP="0099521D">
            <w:pPr>
              <w:pStyle w:val="BRL-Tabelle"/>
              <w:spacing w:before="60" w:after="40"/>
              <w:jc w:val="center"/>
              <w:rPr>
                <w:sz w:val="16"/>
              </w:rPr>
            </w:pPr>
          </w:p>
        </w:tc>
        <w:tc>
          <w:tcPr>
            <w:tcW w:w="427" w:type="dxa"/>
            <w:vAlign w:val="center"/>
          </w:tcPr>
          <w:p w14:paraId="182BD819" w14:textId="77777777" w:rsidR="00B47442" w:rsidRPr="0009445C" w:rsidRDefault="00B47442" w:rsidP="0099521D">
            <w:pPr>
              <w:pStyle w:val="BRL-Tabelle"/>
              <w:spacing w:before="60" w:after="40"/>
              <w:jc w:val="center"/>
              <w:rPr>
                <w:sz w:val="16"/>
              </w:rPr>
            </w:pPr>
          </w:p>
        </w:tc>
        <w:tc>
          <w:tcPr>
            <w:tcW w:w="426" w:type="dxa"/>
            <w:vAlign w:val="center"/>
          </w:tcPr>
          <w:p w14:paraId="650DEBD4" w14:textId="77777777" w:rsidR="00B47442" w:rsidRPr="0009445C" w:rsidRDefault="00B47442" w:rsidP="0099521D">
            <w:pPr>
              <w:pStyle w:val="BRL-Tabelle"/>
              <w:spacing w:before="60" w:after="40"/>
              <w:jc w:val="center"/>
              <w:rPr>
                <w:sz w:val="16"/>
              </w:rPr>
            </w:pPr>
          </w:p>
        </w:tc>
        <w:tc>
          <w:tcPr>
            <w:tcW w:w="426" w:type="dxa"/>
            <w:vAlign w:val="center"/>
          </w:tcPr>
          <w:p w14:paraId="621D1F6C" w14:textId="77777777" w:rsidR="00B47442" w:rsidRPr="0009445C" w:rsidRDefault="00B47442" w:rsidP="0099521D">
            <w:pPr>
              <w:pStyle w:val="BRL-Tabelle"/>
              <w:spacing w:before="60" w:after="40"/>
              <w:jc w:val="center"/>
              <w:rPr>
                <w:sz w:val="16"/>
              </w:rPr>
            </w:pPr>
          </w:p>
        </w:tc>
        <w:tc>
          <w:tcPr>
            <w:tcW w:w="426" w:type="dxa"/>
            <w:vAlign w:val="center"/>
          </w:tcPr>
          <w:p w14:paraId="124B524C" w14:textId="77777777" w:rsidR="00B47442" w:rsidRPr="0009445C" w:rsidRDefault="00B47442" w:rsidP="0099521D">
            <w:pPr>
              <w:pStyle w:val="BRL-Tabelle"/>
              <w:spacing w:before="60" w:after="40"/>
              <w:jc w:val="center"/>
              <w:rPr>
                <w:sz w:val="16"/>
              </w:rPr>
            </w:pPr>
          </w:p>
        </w:tc>
        <w:tc>
          <w:tcPr>
            <w:tcW w:w="433" w:type="dxa"/>
            <w:vAlign w:val="center"/>
          </w:tcPr>
          <w:p w14:paraId="6EA0DBD6" w14:textId="77777777" w:rsidR="00B47442" w:rsidRPr="0009445C" w:rsidRDefault="00B47442" w:rsidP="0099521D">
            <w:pPr>
              <w:pStyle w:val="BRL-Tabelle"/>
              <w:spacing w:before="60" w:after="40"/>
              <w:jc w:val="center"/>
              <w:rPr>
                <w:sz w:val="16"/>
              </w:rPr>
            </w:pPr>
          </w:p>
        </w:tc>
        <w:tc>
          <w:tcPr>
            <w:tcW w:w="426" w:type="dxa"/>
          </w:tcPr>
          <w:p w14:paraId="2C1EA3B8" w14:textId="77777777" w:rsidR="00B47442" w:rsidRPr="0009445C" w:rsidRDefault="00B47442" w:rsidP="0099521D">
            <w:pPr>
              <w:pStyle w:val="BRL-Tabelle"/>
              <w:spacing w:before="60" w:after="40"/>
              <w:jc w:val="center"/>
              <w:rPr>
                <w:sz w:val="16"/>
              </w:rPr>
            </w:pPr>
          </w:p>
        </w:tc>
        <w:tc>
          <w:tcPr>
            <w:tcW w:w="427" w:type="dxa"/>
            <w:vAlign w:val="center"/>
          </w:tcPr>
          <w:p w14:paraId="2E7B90CD" w14:textId="77777777" w:rsidR="00B47442" w:rsidRPr="0009445C" w:rsidRDefault="00B47442" w:rsidP="0099521D">
            <w:pPr>
              <w:pStyle w:val="BRL-Tabelle"/>
              <w:spacing w:before="60" w:after="40"/>
              <w:jc w:val="center"/>
              <w:rPr>
                <w:sz w:val="16"/>
              </w:rPr>
            </w:pPr>
          </w:p>
        </w:tc>
        <w:tc>
          <w:tcPr>
            <w:tcW w:w="426" w:type="dxa"/>
            <w:vAlign w:val="center"/>
          </w:tcPr>
          <w:p w14:paraId="556EE2D6" w14:textId="77777777" w:rsidR="00B47442" w:rsidRPr="0009445C" w:rsidRDefault="00B47442" w:rsidP="0099521D">
            <w:pPr>
              <w:pStyle w:val="BRL-Tabelle"/>
              <w:spacing w:before="60" w:after="40"/>
              <w:jc w:val="center"/>
              <w:rPr>
                <w:sz w:val="16"/>
              </w:rPr>
            </w:pPr>
          </w:p>
        </w:tc>
        <w:tc>
          <w:tcPr>
            <w:tcW w:w="427" w:type="dxa"/>
            <w:vAlign w:val="center"/>
          </w:tcPr>
          <w:p w14:paraId="1A0107D5"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7A68E7CC" w14:textId="77777777" w:rsidTr="0099521D">
        <w:trPr>
          <w:trHeight w:val="528"/>
        </w:trPr>
        <w:tc>
          <w:tcPr>
            <w:tcW w:w="2355" w:type="dxa"/>
            <w:gridSpan w:val="2"/>
          </w:tcPr>
          <w:p w14:paraId="012C5896" w14:textId="77777777" w:rsidR="00B47442" w:rsidRPr="0009445C" w:rsidRDefault="00B47442" w:rsidP="0099521D">
            <w:pPr>
              <w:pStyle w:val="BRL-Tabelle"/>
              <w:spacing w:before="60" w:after="40"/>
            </w:pPr>
            <w:r w:rsidRPr="0009445C">
              <w:t>Review of the service life of the autonomous energy source</w:t>
            </w:r>
          </w:p>
        </w:tc>
        <w:tc>
          <w:tcPr>
            <w:tcW w:w="427" w:type="dxa"/>
            <w:vAlign w:val="center"/>
          </w:tcPr>
          <w:p w14:paraId="1D4F2599" w14:textId="77777777" w:rsidR="00B47442" w:rsidRPr="0009445C" w:rsidRDefault="00B47442" w:rsidP="0099521D">
            <w:pPr>
              <w:pStyle w:val="BRL-Tabelle"/>
              <w:spacing w:before="60" w:after="40"/>
              <w:jc w:val="center"/>
              <w:rPr>
                <w:sz w:val="16"/>
              </w:rPr>
            </w:pPr>
          </w:p>
        </w:tc>
        <w:tc>
          <w:tcPr>
            <w:tcW w:w="427" w:type="dxa"/>
            <w:vAlign w:val="center"/>
          </w:tcPr>
          <w:p w14:paraId="00620D6B" w14:textId="77777777" w:rsidR="00B47442" w:rsidRPr="0009445C" w:rsidRDefault="00B47442" w:rsidP="0099521D">
            <w:pPr>
              <w:pStyle w:val="BRL-Tabelle"/>
              <w:spacing w:before="60" w:after="40"/>
              <w:jc w:val="center"/>
              <w:rPr>
                <w:sz w:val="16"/>
              </w:rPr>
            </w:pPr>
          </w:p>
        </w:tc>
        <w:tc>
          <w:tcPr>
            <w:tcW w:w="426" w:type="dxa"/>
            <w:vAlign w:val="center"/>
          </w:tcPr>
          <w:p w14:paraId="4CA96EA4" w14:textId="77777777" w:rsidR="00B47442" w:rsidRPr="0009445C" w:rsidRDefault="00B47442" w:rsidP="0099521D">
            <w:pPr>
              <w:pStyle w:val="BRL-Tabelle"/>
              <w:spacing w:before="60" w:after="40"/>
              <w:jc w:val="center"/>
              <w:rPr>
                <w:sz w:val="16"/>
              </w:rPr>
            </w:pPr>
          </w:p>
        </w:tc>
        <w:tc>
          <w:tcPr>
            <w:tcW w:w="427" w:type="dxa"/>
            <w:vAlign w:val="center"/>
          </w:tcPr>
          <w:p w14:paraId="1B066495" w14:textId="77777777" w:rsidR="00B47442" w:rsidRPr="0009445C" w:rsidRDefault="00B47442" w:rsidP="0099521D">
            <w:pPr>
              <w:pStyle w:val="BRL-Tabelle"/>
              <w:spacing w:before="60" w:after="40"/>
              <w:jc w:val="center"/>
              <w:rPr>
                <w:sz w:val="16"/>
              </w:rPr>
            </w:pPr>
          </w:p>
        </w:tc>
        <w:tc>
          <w:tcPr>
            <w:tcW w:w="425" w:type="dxa"/>
            <w:vAlign w:val="center"/>
          </w:tcPr>
          <w:p w14:paraId="5F4D6DE3" w14:textId="77777777" w:rsidR="00B47442" w:rsidRPr="0009445C" w:rsidRDefault="00B47442" w:rsidP="0099521D">
            <w:pPr>
              <w:pStyle w:val="BRL-Tabelle"/>
              <w:spacing w:before="60" w:after="40"/>
              <w:jc w:val="center"/>
              <w:rPr>
                <w:sz w:val="16"/>
              </w:rPr>
            </w:pPr>
          </w:p>
        </w:tc>
        <w:tc>
          <w:tcPr>
            <w:tcW w:w="426" w:type="dxa"/>
            <w:vAlign w:val="center"/>
          </w:tcPr>
          <w:p w14:paraId="387D7B6D" w14:textId="77777777" w:rsidR="00B47442" w:rsidRPr="0009445C" w:rsidRDefault="00B47442" w:rsidP="0099521D">
            <w:pPr>
              <w:pStyle w:val="BRL-Tabelle"/>
              <w:spacing w:before="60" w:after="40"/>
              <w:jc w:val="center"/>
              <w:rPr>
                <w:sz w:val="16"/>
              </w:rPr>
            </w:pPr>
          </w:p>
        </w:tc>
        <w:tc>
          <w:tcPr>
            <w:tcW w:w="428" w:type="dxa"/>
            <w:vAlign w:val="center"/>
          </w:tcPr>
          <w:p w14:paraId="40F4D5E5" w14:textId="77777777" w:rsidR="00B47442" w:rsidRPr="0009445C" w:rsidRDefault="00B47442" w:rsidP="0099521D">
            <w:pPr>
              <w:pStyle w:val="BRL-Tabelle"/>
              <w:spacing w:before="60" w:after="40"/>
              <w:jc w:val="center"/>
              <w:rPr>
                <w:sz w:val="16"/>
              </w:rPr>
            </w:pPr>
          </w:p>
        </w:tc>
        <w:tc>
          <w:tcPr>
            <w:tcW w:w="427" w:type="dxa"/>
            <w:vAlign w:val="center"/>
          </w:tcPr>
          <w:p w14:paraId="0BBE8F1B" w14:textId="77777777" w:rsidR="00B47442" w:rsidRPr="0009445C" w:rsidRDefault="00B47442" w:rsidP="0099521D">
            <w:pPr>
              <w:pStyle w:val="BRL-Tabelle"/>
              <w:spacing w:before="60" w:after="40"/>
              <w:jc w:val="center"/>
              <w:rPr>
                <w:sz w:val="16"/>
              </w:rPr>
            </w:pPr>
          </w:p>
        </w:tc>
        <w:tc>
          <w:tcPr>
            <w:tcW w:w="426" w:type="dxa"/>
            <w:vAlign w:val="center"/>
          </w:tcPr>
          <w:p w14:paraId="2884BB47" w14:textId="77777777" w:rsidR="00B47442" w:rsidRPr="0009445C" w:rsidRDefault="00B47442" w:rsidP="0099521D">
            <w:pPr>
              <w:pStyle w:val="BRL-Tabelle"/>
              <w:spacing w:before="60" w:after="40"/>
              <w:jc w:val="center"/>
              <w:rPr>
                <w:sz w:val="16"/>
              </w:rPr>
            </w:pPr>
          </w:p>
        </w:tc>
        <w:tc>
          <w:tcPr>
            <w:tcW w:w="426" w:type="dxa"/>
            <w:vAlign w:val="center"/>
          </w:tcPr>
          <w:p w14:paraId="07115CAD" w14:textId="77777777" w:rsidR="00B47442" w:rsidRPr="0009445C" w:rsidRDefault="00B47442" w:rsidP="0099521D">
            <w:pPr>
              <w:pStyle w:val="BRL-Tabelle"/>
              <w:spacing w:before="60" w:after="40"/>
              <w:jc w:val="center"/>
              <w:rPr>
                <w:sz w:val="16"/>
              </w:rPr>
            </w:pPr>
          </w:p>
        </w:tc>
        <w:tc>
          <w:tcPr>
            <w:tcW w:w="426" w:type="dxa"/>
            <w:vAlign w:val="center"/>
          </w:tcPr>
          <w:p w14:paraId="401D1012" w14:textId="77777777" w:rsidR="00B47442" w:rsidRPr="0009445C" w:rsidRDefault="00B47442" w:rsidP="0099521D">
            <w:pPr>
              <w:pStyle w:val="BRL-Tabelle"/>
              <w:spacing w:before="60" w:after="40"/>
              <w:jc w:val="center"/>
              <w:rPr>
                <w:sz w:val="16"/>
              </w:rPr>
            </w:pPr>
          </w:p>
        </w:tc>
        <w:tc>
          <w:tcPr>
            <w:tcW w:w="433" w:type="dxa"/>
            <w:vAlign w:val="center"/>
          </w:tcPr>
          <w:p w14:paraId="35FE575C" w14:textId="77777777" w:rsidR="00B47442" w:rsidRPr="0009445C" w:rsidRDefault="00B47442" w:rsidP="0099521D">
            <w:pPr>
              <w:pStyle w:val="BRL-Tabelle"/>
              <w:spacing w:before="60" w:after="40"/>
              <w:jc w:val="center"/>
              <w:rPr>
                <w:sz w:val="16"/>
              </w:rPr>
            </w:pPr>
          </w:p>
        </w:tc>
        <w:tc>
          <w:tcPr>
            <w:tcW w:w="426" w:type="dxa"/>
          </w:tcPr>
          <w:p w14:paraId="796A2F92" w14:textId="77777777" w:rsidR="00B47442" w:rsidRPr="0009445C" w:rsidRDefault="00B47442" w:rsidP="0099521D">
            <w:pPr>
              <w:pStyle w:val="BRL-Tabelle"/>
              <w:spacing w:before="60" w:after="40"/>
              <w:jc w:val="center"/>
              <w:rPr>
                <w:sz w:val="16"/>
              </w:rPr>
            </w:pPr>
          </w:p>
        </w:tc>
        <w:tc>
          <w:tcPr>
            <w:tcW w:w="427" w:type="dxa"/>
            <w:vAlign w:val="center"/>
          </w:tcPr>
          <w:p w14:paraId="79AFFB5B" w14:textId="77777777" w:rsidR="00B47442" w:rsidRPr="0009445C" w:rsidRDefault="00B47442" w:rsidP="0099521D">
            <w:pPr>
              <w:pStyle w:val="BRL-Tabelle"/>
              <w:spacing w:before="60" w:after="40"/>
              <w:jc w:val="center"/>
              <w:rPr>
                <w:sz w:val="16"/>
              </w:rPr>
            </w:pPr>
          </w:p>
        </w:tc>
        <w:tc>
          <w:tcPr>
            <w:tcW w:w="426" w:type="dxa"/>
            <w:vAlign w:val="center"/>
          </w:tcPr>
          <w:p w14:paraId="6F4AD40E" w14:textId="77777777" w:rsidR="00B47442" w:rsidRPr="0009445C" w:rsidRDefault="00B47442" w:rsidP="0099521D">
            <w:pPr>
              <w:pStyle w:val="BRL-Tabelle"/>
              <w:spacing w:before="60" w:after="40"/>
              <w:jc w:val="center"/>
              <w:rPr>
                <w:sz w:val="16"/>
              </w:rPr>
            </w:pPr>
          </w:p>
        </w:tc>
        <w:tc>
          <w:tcPr>
            <w:tcW w:w="427" w:type="dxa"/>
            <w:vAlign w:val="center"/>
          </w:tcPr>
          <w:p w14:paraId="24B622FC"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762EA40F" w14:textId="77777777" w:rsidTr="0099521D">
        <w:trPr>
          <w:trHeight w:val="528"/>
        </w:trPr>
        <w:tc>
          <w:tcPr>
            <w:tcW w:w="2355" w:type="dxa"/>
            <w:gridSpan w:val="2"/>
          </w:tcPr>
          <w:p w14:paraId="25917D8A" w14:textId="77777777" w:rsidR="00B47442" w:rsidRPr="0009445C" w:rsidRDefault="00B47442" w:rsidP="0099521D">
            <w:pPr>
              <w:pStyle w:val="BRL-Tabelle"/>
              <w:spacing w:before="60" w:after="40"/>
            </w:pPr>
            <w:r w:rsidRPr="0009445C">
              <w:t>Testing fault alarm for the weak energy supply status</w:t>
            </w:r>
          </w:p>
        </w:tc>
        <w:tc>
          <w:tcPr>
            <w:tcW w:w="427" w:type="dxa"/>
            <w:vAlign w:val="center"/>
          </w:tcPr>
          <w:p w14:paraId="5989D77F" w14:textId="77777777" w:rsidR="00B47442" w:rsidRPr="0009445C" w:rsidRDefault="00B47442" w:rsidP="0099521D">
            <w:pPr>
              <w:pStyle w:val="BRL-Tabelle"/>
              <w:spacing w:before="60" w:after="40"/>
              <w:jc w:val="center"/>
              <w:rPr>
                <w:sz w:val="16"/>
              </w:rPr>
            </w:pPr>
          </w:p>
        </w:tc>
        <w:tc>
          <w:tcPr>
            <w:tcW w:w="427" w:type="dxa"/>
            <w:vAlign w:val="center"/>
          </w:tcPr>
          <w:p w14:paraId="181CFE1A" w14:textId="77777777" w:rsidR="00B47442" w:rsidRPr="0009445C" w:rsidRDefault="00B47442" w:rsidP="0099521D">
            <w:pPr>
              <w:pStyle w:val="BRL-Tabelle"/>
              <w:spacing w:before="60" w:after="40"/>
              <w:jc w:val="center"/>
              <w:rPr>
                <w:sz w:val="16"/>
              </w:rPr>
            </w:pPr>
          </w:p>
        </w:tc>
        <w:tc>
          <w:tcPr>
            <w:tcW w:w="426" w:type="dxa"/>
            <w:vAlign w:val="center"/>
          </w:tcPr>
          <w:p w14:paraId="2B4CF28E" w14:textId="77777777" w:rsidR="00B47442" w:rsidRPr="0009445C" w:rsidRDefault="00B47442" w:rsidP="0099521D">
            <w:pPr>
              <w:pStyle w:val="BRL-Tabelle"/>
              <w:spacing w:before="60" w:after="40"/>
              <w:jc w:val="center"/>
              <w:rPr>
                <w:sz w:val="16"/>
              </w:rPr>
            </w:pPr>
          </w:p>
        </w:tc>
        <w:tc>
          <w:tcPr>
            <w:tcW w:w="427" w:type="dxa"/>
            <w:vAlign w:val="center"/>
          </w:tcPr>
          <w:p w14:paraId="4201F386" w14:textId="77777777" w:rsidR="00B47442" w:rsidRPr="0009445C" w:rsidRDefault="00B47442" w:rsidP="0099521D">
            <w:pPr>
              <w:pStyle w:val="BRL-Tabelle"/>
              <w:spacing w:before="60" w:after="40"/>
              <w:jc w:val="center"/>
              <w:rPr>
                <w:sz w:val="16"/>
              </w:rPr>
            </w:pPr>
          </w:p>
        </w:tc>
        <w:tc>
          <w:tcPr>
            <w:tcW w:w="425" w:type="dxa"/>
            <w:vAlign w:val="center"/>
          </w:tcPr>
          <w:p w14:paraId="5FE82F86" w14:textId="77777777" w:rsidR="00B47442" w:rsidRPr="0009445C" w:rsidRDefault="00B47442" w:rsidP="0099521D">
            <w:pPr>
              <w:pStyle w:val="BRL-Tabelle"/>
              <w:spacing w:before="60" w:after="40"/>
              <w:jc w:val="center"/>
              <w:rPr>
                <w:sz w:val="16"/>
              </w:rPr>
            </w:pPr>
          </w:p>
        </w:tc>
        <w:tc>
          <w:tcPr>
            <w:tcW w:w="426" w:type="dxa"/>
            <w:vAlign w:val="center"/>
          </w:tcPr>
          <w:p w14:paraId="69740B55" w14:textId="77777777" w:rsidR="00B47442" w:rsidRPr="0009445C" w:rsidRDefault="00B47442" w:rsidP="0099521D">
            <w:pPr>
              <w:pStyle w:val="BRL-Tabelle"/>
              <w:spacing w:before="60" w:after="40"/>
              <w:jc w:val="center"/>
              <w:rPr>
                <w:sz w:val="16"/>
              </w:rPr>
            </w:pPr>
          </w:p>
        </w:tc>
        <w:tc>
          <w:tcPr>
            <w:tcW w:w="428" w:type="dxa"/>
            <w:vAlign w:val="center"/>
          </w:tcPr>
          <w:p w14:paraId="23E3AC0C" w14:textId="77777777" w:rsidR="00B47442" w:rsidRPr="0009445C" w:rsidRDefault="00B47442" w:rsidP="0099521D">
            <w:pPr>
              <w:pStyle w:val="BRL-Tabelle"/>
              <w:spacing w:before="60" w:after="40"/>
              <w:jc w:val="center"/>
              <w:rPr>
                <w:sz w:val="16"/>
              </w:rPr>
            </w:pPr>
          </w:p>
        </w:tc>
        <w:tc>
          <w:tcPr>
            <w:tcW w:w="427" w:type="dxa"/>
            <w:vAlign w:val="center"/>
          </w:tcPr>
          <w:p w14:paraId="704C1EF9" w14:textId="77777777" w:rsidR="00B47442" w:rsidRPr="0009445C" w:rsidRDefault="00B47442" w:rsidP="0099521D">
            <w:pPr>
              <w:pStyle w:val="BRL-Tabelle"/>
              <w:spacing w:before="60" w:after="40"/>
              <w:jc w:val="center"/>
              <w:rPr>
                <w:sz w:val="16"/>
              </w:rPr>
            </w:pPr>
          </w:p>
        </w:tc>
        <w:tc>
          <w:tcPr>
            <w:tcW w:w="426" w:type="dxa"/>
            <w:vAlign w:val="center"/>
          </w:tcPr>
          <w:p w14:paraId="334D35C3" w14:textId="77777777" w:rsidR="00B47442" w:rsidRPr="0009445C" w:rsidRDefault="00B47442" w:rsidP="0099521D">
            <w:pPr>
              <w:pStyle w:val="BRL-Tabelle"/>
              <w:spacing w:before="60" w:after="40"/>
              <w:jc w:val="center"/>
              <w:rPr>
                <w:sz w:val="16"/>
              </w:rPr>
            </w:pPr>
          </w:p>
        </w:tc>
        <w:tc>
          <w:tcPr>
            <w:tcW w:w="426" w:type="dxa"/>
            <w:vAlign w:val="center"/>
          </w:tcPr>
          <w:p w14:paraId="341444B2" w14:textId="77777777" w:rsidR="00B47442" w:rsidRPr="0009445C" w:rsidRDefault="00B47442" w:rsidP="0099521D">
            <w:pPr>
              <w:pStyle w:val="BRL-Tabelle"/>
              <w:spacing w:before="60" w:after="40"/>
              <w:jc w:val="center"/>
              <w:rPr>
                <w:sz w:val="16"/>
              </w:rPr>
            </w:pPr>
          </w:p>
        </w:tc>
        <w:tc>
          <w:tcPr>
            <w:tcW w:w="426" w:type="dxa"/>
            <w:vAlign w:val="center"/>
          </w:tcPr>
          <w:p w14:paraId="089C25C0" w14:textId="77777777" w:rsidR="00B47442" w:rsidRPr="0009445C" w:rsidRDefault="00B47442" w:rsidP="0099521D">
            <w:pPr>
              <w:pStyle w:val="BRL-Tabelle"/>
              <w:spacing w:before="60" w:after="40"/>
              <w:jc w:val="center"/>
              <w:rPr>
                <w:sz w:val="16"/>
              </w:rPr>
            </w:pPr>
          </w:p>
        </w:tc>
        <w:tc>
          <w:tcPr>
            <w:tcW w:w="433" w:type="dxa"/>
            <w:vAlign w:val="center"/>
          </w:tcPr>
          <w:p w14:paraId="6960FC5B" w14:textId="77777777" w:rsidR="00B47442" w:rsidRPr="0009445C" w:rsidRDefault="00B47442" w:rsidP="0099521D">
            <w:pPr>
              <w:pStyle w:val="BRL-Tabelle"/>
              <w:spacing w:before="60" w:after="40"/>
              <w:jc w:val="center"/>
              <w:rPr>
                <w:sz w:val="16"/>
              </w:rPr>
            </w:pPr>
          </w:p>
        </w:tc>
        <w:tc>
          <w:tcPr>
            <w:tcW w:w="426" w:type="dxa"/>
          </w:tcPr>
          <w:p w14:paraId="48BE2572" w14:textId="77777777" w:rsidR="00B47442" w:rsidRPr="0009445C" w:rsidRDefault="00B47442" w:rsidP="0099521D">
            <w:pPr>
              <w:pStyle w:val="BRL-Tabelle"/>
              <w:spacing w:before="60" w:after="40"/>
              <w:jc w:val="center"/>
              <w:rPr>
                <w:sz w:val="16"/>
              </w:rPr>
            </w:pPr>
          </w:p>
        </w:tc>
        <w:tc>
          <w:tcPr>
            <w:tcW w:w="427" w:type="dxa"/>
            <w:vAlign w:val="center"/>
          </w:tcPr>
          <w:p w14:paraId="41AF5FF4" w14:textId="77777777" w:rsidR="00B47442" w:rsidRPr="0009445C" w:rsidRDefault="00B47442" w:rsidP="0099521D">
            <w:pPr>
              <w:pStyle w:val="BRL-Tabelle"/>
              <w:spacing w:before="60" w:after="40"/>
              <w:jc w:val="center"/>
              <w:rPr>
                <w:sz w:val="16"/>
              </w:rPr>
            </w:pPr>
          </w:p>
        </w:tc>
        <w:tc>
          <w:tcPr>
            <w:tcW w:w="426" w:type="dxa"/>
            <w:vAlign w:val="center"/>
          </w:tcPr>
          <w:p w14:paraId="0000EFCF" w14:textId="77777777" w:rsidR="00B47442" w:rsidRPr="0009445C" w:rsidRDefault="00B47442" w:rsidP="0099521D">
            <w:pPr>
              <w:pStyle w:val="BRL-Tabelle"/>
              <w:spacing w:before="60" w:after="40"/>
              <w:jc w:val="center"/>
              <w:rPr>
                <w:sz w:val="16"/>
              </w:rPr>
            </w:pPr>
          </w:p>
        </w:tc>
        <w:tc>
          <w:tcPr>
            <w:tcW w:w="427" w:type="dxa"/>
            <w:vAlign w:val="center"/>
          </w:tcPr>
          <w:p w14:paraId="3EFC7559"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25A7D5FC" w14:textId="77777777" w:rsidTr="0099521D">
        <w:trPr>
          <w:trHeight w:val="264"/>
        </w:trPr>
        <w:tc>
          <w:tcPr>
            <w:tcW w:w="2355" w:type="dxa"/>
            <w:gridSpan w:val="2"/>
          </w:tcPr>
          <w:p w14:paraId="7658BB12" w14:textId="77777777" w:rsidR="00B47442" w:rsidRPr="0009445C" w:rsidRDefault="00B47442" w:rsidP="0099521D">
            <w:pPr>
              <w:pStyle w:val="BRL-Tabelle"/>
              <w:spacing w:before="60" w:after="40"/>
            </w:pPr>
            <w:r w:rsidRPr="0009445C">
              <w:t>Testing polarity reversal</w:t>
            </w:r>
          </w:p>
        </w:tc>
        <w:tc>
          <w:tcPr>
            <w:tcW w:w="427" w:type="dxa"/>
            <w:vAlign w:val="center"/>
          </w:tcPr>
          <w:p w14:paraId="450DA9D5" w14:textId="77777777" w:rsidR="00B47442" w:rsidRPr="0009445C" w:rsidRDefault="00B47442" w:rsidP="0099521D">
            <w:pPr>
              <w:pStyle w:val="BRL-Tabelle"/>
              <w:spacing w:before="60" w:after="40"/>
              <w:jc w:val="center"/>
              <w:rPr>
                <w:sz w:val="16"/>
              </w:rPr>
            </w:pPr>
          </w:p>
        </w:tc>
        <w:tc>
          <w:tcPr>
            <w:tcW w:w="427" w:type="dxa"/>
            <w:vAlign w:val="center"/>
          </w:tcPr>
          <w:p w14:paraId="383939CE" w14:textId="77777777" w:rsidR="00B47442" w:rsidRPr="0009445C" w:rsidRDefault="00B47442" w:rsidP="0099521D">
            <w:pPr>
              <w:pStyle w:val="BRL-Tabelle"/>
              <w:spacing w:before="60" w:after="40"/>
              <w:jc w:val="center"/>
              <w:rPr>
                <w:sz w:val="16"/>
              </w:rPr>
            </w:pPr>
          </w:p>
        </w:tc>
        <w:tc>
          <w:tcPr>
            <w:tcW w:w="426" w:type="dxa"/>
            <w:vAlign w:val="center"/>
          </w:tcPr>
          <w:p w14:paraId="066B5D1F" w14:textId="77777777" w:rsidR="00B47442" w:rsidRPr="0009445C" w:rsidRDefault="00B47442" w:rsidP="0099521D">
            <w:pPr>
              <w:pStyle w:val="BRL-Tabelle"/>
              <w:spacing w:before="60" w:after="40"/>
              <w:jc w:val="center"/>
              <w:rPr>
                <w:sz w:val="16"/>
              </w:rPr>
            </w:pPr>
          </w:p>
        </w:tc>
        <w:tc>
          <w:tcPr>
            <w:tcW w:w="427" w:type="dxa"/>
            <w:vAlign w:val="center"/>
          </w:tcPr>
          <w:p w14:paraId="5FE01419" w14:textId="77777777" w:rsidR="00B47442" w:rsidRPr="0009445C" w:rsidRDefault="00B47442" w:rsidP="0099521D">
            <w:pPr>
              <w:pStyle w:val="BRL-Tabelle"/>
              <w:spacing w:before="60" w:after="40"/>
              <w:jc w:val="center"/>
              <w:rPr>
                <w:sz w:val="16"/>
              </w:rPr>
            </w:pPr>
          </w:p>
        </w:tc>
        <w:tc>
          <w:tcPr>
            <w:tcW w:w="425" w:type="dxa"/>
            <w:vAlign w:val="center"/>
          </w:tcPr>
          <w:p w14:paraId="326FF8DF" w14:textId="77777777" w:rsidR="00B47442" w:rsidRPr="0009445C" w:rsidRDefault="00B47442" w:rsidP="0099521D">
            <w:pPr>
              <w:pStyle w:val="BRL-Tabelle"/>
              <w:spacing w:before="60" w:after="40"/>
              <w:jc w:val="center"/>
              <w:rPr>
                <w:sz w:val="16"/>
              </w:rPr>
            </w:pPr>
          </w:p>
        </w:tc>
        <w:tc>
          <w:tcPr>
            <w:tcW w:w="426" w:type="dxa"/>
            <w:vAlign w:val="center"/>
          </w:tcPr>
          <w:p w14:paraId="0CAB4B2C" w14:textId="77777777" w:rsidR="00B47442" w:rsidRPr="0009445C" w:rsidRDefault="00B47442" w:rsidP="0099521D">
            <w:pPr>
              <w:pStyle w:val="BRL-Tabelle"/>
              <w:spacing w:before="60" w:after="40"/>
              <w:jc w:val="center"/>
              <w:rPr>
                <w:sz w:val="16"/>
              </w:rPr>
            </w:pPr>
          </w:p>
        </w:tc>
        <w:tc>
          <w:tcPr>
            <w:tcW w:w="428" w:type="dxa"/>
            <w:vAlign w:val="center"/>
          </w:tcPr>
          <w:p w14:paraId="226F8764" w14:textId="77777777" w:rsidR="00B47442" w:rsidRPr="0009445C" w:rsidRDefault="00B47442" w:rsidP="0099521D">
            <w:pPr>
              <w:pStyle w:val="BRL-Tabelle"/>
              <w:spacing w:before="60" w:after="40"/>
              <w:jc w:val="center"/>
              <w:rPr>
                <w:sz w:val="16"/>
              </w:rPr>
            </w:pPr>
          </w:p>
        </w:tc>
        <w:tc>
          <w:tcPr>
            <w:tcW w:w="427" w:type="dxa"/>
            <w:vAlign w:val="center"/>
          </w:tcPr>
          <w:p w14:paraId="2BA9C7D8" w14:textId="77777777" w:rsidR="00B47442" w:rsidRPr="0009445C" w:rsidRDefault="00B47442" w:rsidP="0099521D">
            <w:pPr>
              <w:pStyle w:val="BRL-Tabelle"/>
              <w:spacing w:before="60" w:after="40"/>
              <w:jc w:val="center"/>
              <w:rPr>
                <w:sz w:val="16"/>
              </w:rPr>
            </w:pPr>
          </w:p>
        </w:tc>
        <w:tc>
          <w:tcPr>
            <w:tcW w:w="426" w:type="dxa"/>
            <w:vAlign w:val="center"/>
          </w:tcPr>
          <w:p w14:paraId="2B646C02" w14:textId="77777777" w:rsidR="00B47442" w:rsidRPr="0009445C" w:rsidRDefault="00B47442" w:rsidP="0099521D">
            <w:pPr>
              <w:pStyle w:val="BRL-Tabelle"/>
              <w:spacing w:before="60" w:after="40"/>
              <w:jc w:val="center"/>
              <w:rPr>
                <w:sz w:val="16"/>
              </w:rPr>
            </w:pPr>
          </w:p>
        </w:tc>
        <w:tc>
          <w:tcPr>
            <w:tcW w:w="426" w:type="dxa"/>
            <w:vAlign w:val="center"/>
          </w:tcPr>
          <w:p w14:paraId="46904797" w14:textId="77777777" w:rsidR="00B47442" w:rsidRPr="0009445C" w:rsidRDefault="00B47442" w:rsidP="0099521D">
            <w:pPr>
              <w:pStyle w:val="BRL-Tabelle"/>
              <w:spacing w:before="60" w:after="40"/>
              <w:jc w:val="center"/>
              <w:rPr>
                <w:sz w:val="16"/>
              </w:rPr>
            </w:pPr>
          </w:p>
        </w:tc>
        <w:tc>
          <w:tcPr>
            <w:tcW w:w="426" w:type="dxa"/>
            <w:vAlign w:val="center"/>
          </w:tcPr>
          <w:p w14:paraId="281754E8" w14:textId="77777777" w:rsidR="00B47442" w:rsidRPr="0009445C" w:rsidRDefault="00B47442" w:rsidP="0099521D">
            <w:pPr>
              <w:pStyle w:val="BRL-Tabelle"/>
              <w:spacing w:before="60" w:after="40"/>
              <w:jc w:val="center"/>
              <w:rPr>
                <w:sz w:val="16"/>
              </w:rPr>
            </w:pPr>
          </w:p>
        </w:tc>
        <w:tc>
          <w:tcPr>
            <w:tcW w:w="433" w:type="dxa"/>
            <w:vAlign w:val="center"/>
          </w:tcPr>
          <w:p w14:paraId="22211516" w14:textId="77777777" w:rsidR="00B47442" w:rsidRPr="0009445C" w:rsidRDefault="00B47442" w:rsidP="0099521D">
            <w:pPr>
              <w:pStyle w:val="BRL-Tabelle"/>
              <w:spacing w:before="60" w:after="40"/>
              <w:jc w:val="center"/>
              <w:rPr>
                <w:sz w:val="16"/>
              </w:rPr>
            </w:pPr>
          </w:p>
        </w:tc>
        <w:tc>
          <w:tcPr>
            <w:tcW w:w="426" w:type="dxa"/>
          </w:tcPr>
          <w:p w14:paraId="6A32A76F" w14:textId="77777777" w:rsidR="00B47442" w:rsidRPr="0009445C" w:rsidRDefault="00B47442" w:rsidP="0099521D">
            <w:pPr>
              <w:pStyle w:val="BRL-Tabelle"/>
              <w:spacing w:before="60" w:after="40"/>
              <w:jc w:val="center"/>
              <w:rPr>
                <w:sz w:val="16"/>
              </w:rPr>
            </w:pPr>
          </w:p>
        </w:tc>
        <w:tc>
          <w:tcPr>
            <w:tcW w:w="427" w:type="dxa"/>
            <w:vAlign w:val="center"/>
          </w:tcPr>
          <w:p w14:paraId="344E413D" w14:textId="77777777" w:rsidR="00B47442" w:rsidRPr="0009445C" w:rsidRDefault="00B47442" w:rsidP="0099521D">
            <w:pPr>
              <w:pStyle w:val="BRL-Tabelle"/>
              <w:spacing w:before="60" w:after="40"/>
              <w:jc w:val="center"/>
              <w:rPr>
                <w:sz w:val="16"/>
              </w:rPr>
            </w:pPr>
          </w:p>
        </w:tc>
        <w:tc>
          <w:tcPr>
            <w:tcW w:w="426" w:type="dxa"/>
            <w:vAlign w:val="center"/>
          </w:tcPr>
          <w:p w14:paraId="39299AED" w14:textId="77777777" w:rsidR="00B47442" w:rsidRPr="0009445C" w:rsidRDefault="00B47442" w:rsidP="0099521D">
            <w:pPr>
              <w:pStyle w:val="BRL-Tabelle"/>
              <w:spacing w:before="60" w:after="40"/>
              <w:jc w:val="center"/>
              <w:rPr>
                <w:sz w:val="16"/>
              </w:rPr>
            </w:pPr>
          </w:p>
        </w:tc>
        <w:tc>
          <w:tcPr>
            <w:tcW w:w="427" w:type="dxa"/>
            <w:vAlign w:val="center"/>
          </w:tcPr>
          <w:p w14:paraId="0C2940CE"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103355B4" w14:textId="77777777" w:rsidTr="0099521D">
        <w:trPr>
          <w:trHeight w:val="264"/>
        </w:trPr>
        <w:tc>
          <w:tcPr>
            <w:tcW w:w="2355" w:type="dxa"/>
            <w:gridSpan w:val="2"/>
          </w:tcPr>
          <w:p w14:paraId="32C8F266" w14:textId="77777777" w:rsidR="00B47442" w:rsidRPr="0009445C" w:rsidRDefault="00B47442" w:rsidP="0099521D">
            <w:pPr>
              <w:pStyle w:val="BRL-Tabelle"/>
              <w:spacing w:before="60" w:after="40"/>
            </w:pPr>
            <w:r w:rsidRPr="0009445C">
              <w:t>Repeatability test</w:t>
            </w:r>
          </w:p>
        </w:tc>
        <w:tc>
          <w:tcPr>
            <w:tcW w:w="427" w:type="dxa"/>
            <w:vAlign w:val="center"/>
          </w:tcPr>
          <w:p w14:paraId="62080254" w14:textId="77777777" w:rsidR="00B47442" w:rsidRPr="0009445C" w:rsidRDefault="00B47442" w:rsidP="0099521D">
            <w:pPr>
              <w:pStyle w:val="BRL-Tabelle"/>
              <w:spacing w:before="60" w:after="40"/>
              <w:jc w:val="center"/>
              <w:rPr>
                <w:sz w:val="16"/>
              </w:rPr>
            </w:pPr>
          </w:p>
        </w:tc>
        <w:tc>
          <w:tcPr>
            <w:tcW w:w="427" w:type="dxa"/>
            <w:vAlign w:val="center"/>
          </w:tcPr>
          <w:p w14:paraId="684E3119" w14:textId="77777777" w:rsidR="00B47442" w:rsidRPr="0009445C" w:rsidRDefault="00B47442" w:rsidP="0099521D">
            <w:pPr>
              <w:pStyle w:val="BRL-Tabelle"/>
              <w:spacing w:before="60" w:after="40"/>
              <w:jc w:val="center"/>
              <w:rPr>
                <w:sz w:val="16"/>
              </w:rPr>
            </w:pPr>
          </w:p>
        </w:tc>
        <w:tc>
          <w:tcPr>
            <w:tcW w:w="426" w:type="dxa"/>
            <w:vAlign w:val="center"/>
          </w:tcPr>
          <w:p w14:paraId="1ABE6B18" w14:textId="77777777" w:rsidR="00B47442" w:rsidRPr="0009445C" w:rsidRDefault="00B47442" w:rsidP="0099521D">
            <w:pPr>
              <w:pStyle w:val="BRL-Tabelle"/>
              <w:spacing w:before="60" w:after="40"/>
              <w:jc w:val="center"/>
              <w:rPr>
                <w:sz w:val="16"/>
              </w:rPr>
            </w:pPr>
          </w:p>
        </w:tc>
        <w:tc>
          <w:tcPr>
            <w:tcW w:w="427" w:type="dxa"/>
            <w:vAlign w:val="center"/>
          </w:tcPr>
          <w:p w14:paraId="161F377C" w14:textId="77777777" w:rsidR="00B47442" w:rsidRPr="0009445C" w:rsidRDefault="00B47442" w:rsidP="0099521D">
            <w:pPr>
              <w:pStyle w:val="BRL-Tabelle"/>
              <w:spacing w:before="60" w:after="40"/>
              <w:jc w:val="center"/>
              <w:rPr>
                <w:sz w:val="16"/>
              </w:rPr>
            </w:pPr>
          </w:p>
        </w:tc>
        <w:tc>
          <w:tcPr>
            <w:tcW w:w="425" w:type="dxa"/>
            <w:vAlign w:val="center"/>
          </w:tcPr>
          <w:p w14:paraId="46A059A0" w14:textId="77777777" w:rsidR="00B47442" w:rsidRPr="0009445C" w:rsidRDefault="00B47442" w:rsidP="0099521D">
            <w:pPr>
              <w:pStyle w:val="BRL-Tabelle"/>
              <w:spacing w:before="60" w:after="40"/>
              <w:jc w:val="center"/>
              <w:rPr>
                <w:sz w:val="16"/>
              </w:rPr>
            </w:pPr>
          </w:p>
        </w:tc>
        <w:tc>
          <w:tcPr>
            <w:tcW w:w="426" w:type="dxa"/>
            <w:vAlign w:val="center"/>
          </w:tcPr>
          <w:p w14:paraId="109B3734" w14:textId="77777777" w:rsidR="00B47442" w:rsidRPr="0009445C" w:rsidRDefault="00B47442" w:rsidP="0099521D">
            <w:pPr>
              <w:pStyle w:val="BRL-Tabelle"/>
              <w:spacing w:before="60" w:after="40"/>
              <w:jc w:val="center"/>
              <w:rPr>
                <w:sz w:val="16"/>
              </w:rPr>
            </w:pPr>
          </w:p>
        </w:tc>
        <w:tc>
          <w:tcPr>
            <w:tcW w:w="428" w:type="dxa"/>
            <w:vAlign w:val="center"/>
          </w:tcPr>
          <w:p w14:paraId="2DA184D5" w14:textId="77777777" w:rsidR="00B47442" w:rsidRPr="0009445C" w:rsidRDefault="00B47442" w:rsidP="0099521D">
            <w:pPr>
              <w:pStyle w:val="BRL-Tabelle"/>
              <w:spacing w:before="60" w:after="40"/>
              <w:jc w:val="center"/>
              <w:rPr>
                <w:sz w:val="16"/>
              </w:rPr>
            </w:pPr>
          </w:p>
        </w:tc>
        <w:tc>
          <w:tcPr>
            <w:tcW w:w="427" w:type="dxa"/>
            <w:vAlign w:val="center"/>
          </w:tcPr>
          <w:p w14:paraId="2871A909" w14:textId="77777777" w:rsidR="00B47442" w:rsidRPr="0009445C" w:rsidRDefault="00B47442" w:rsidP="0099521D">
            <w:pPr>
              <w:pStyle w:val="BRL-Tabelle"/>
              <w:spacing w:before="60" w:after="40"/>
              <w:jc w:val="center"/>
              <w:rPr>
                <w:sz w:val="16"/>
              </w:rPr>
            </w:pPr>
          </w:p>
        </w:tc>
        <w:tc>
          <w:tcPr>
            <w:tcW w:w="426" w:type="dxa"/>
            <w:vAlign w:val="center"/>
          </w:tcPr>
          <w:p w14:paraId="2B6E86F4" w14:textId="77777777" w:rsidR="00B47442" w:rsidRPr="0009445C" w:rsidRDefault="00B47442" w:rsidP="0099521D">
            <w:pPr>
              <w:pStyle w:val="BRL-Tabelle"/>
              <w:spacing w:before="60" w:after="40"/>
              <w:jc w:val="center"/>
              <w:rPr>
                <w:sz w:val="16"/>
              </w:rPr>
            </w:pPr>
          </w:p>
        </w:tc>
        <w:tc>
          <w:tcPr>
            <w:tcW w:w="426" w:type="dxa"/>
            <w:vAlign w:val="center"/>
          </w:tcPr>
          <w:p w14:paraId="4A3BF976" w14:textId="77777777" w:rsidR="00B47442" w:rsidRPr="0009445C" w:rsidRDefault="00B47442" w:rsidP="0099521D">
            <w:pPr>
              <w:pStyle w:val="BRL-Tabelle"/>
              <w:spacing w:before="60" w:after="40"/>
              <w:jc w:val="center"/>
              <w:rPr>
                <w:sz w:val="16"/>
              </w:rPr>
            </w:pPr>
          </w:p>
        </w:tc>
        <w:tc>
          <w:tcPr>
            <w:tcW w:w="426" w:type="dxa"/>
            <w:vAlign w:val="center"/>
          </w:tcPr>
          <w:p w14:paraId="79DDEDE5" w14:textId="77777777" w:rsidR="00B47442" w:rsidRPr="0009445C" w:rsidRDefault="00B47442" w:rsidP="0099521D">
            <w:pPr>
              <w:pStyle w:val="BRL-Tabelle"/>
              <w:spacing w:before="60" w:after="40"/>
              <w:jc w:val="center"/>
              <w:rPr>
                <w:sz w:val="16"/>
              </w:rPr>
            </w:pPr>
          </w:p>
        </w:tc>
        <w:tc>
          <w:tcPr>
            <w:tcW w:w="433" w:type="dxa"/>
            <w:vAlign w:val="center"/>
          </w:tcPr>
          <w:p w14:paraId="51FC55B6" w14:textId="77777777" w:rsidR="00B47442" w:rsidRPr="0009445C" w:rsidRDefault="00B47442" w:rsidP="0099521D">
            <w:pPr>
              <w:pStyle w:val="BRL-Tabelle"/>
              <w:spacing w:before="60" w:after="40"/>
              <w:jc w:val="center"/>
              <w:rPr>
                <w:sz w:val="16"/>
              </w:rPr>
            </w:pPr>
          </w:p>
        </w:tc>
        <w:tc>
          <w:tcPr>
            <w:tcW w:w="426" w:type="dxa"/>
          </w:tcPr>
          <w:p w14:paraId="58711A22" w14:textId="77777777" w:rsidR="00B47442" w:rsidRPr="0009445C" w:rsidRDefault="00B47442" w:rsidP="0099521D">
            <w:pPr>
              <w:pStyle w:val="BRL-Tabelle"/>
              <w:spacing w:before="60" w:after="40"/>
              <w:jc w:val="center"/>
              <w:rPr>
                <w:sz w:val="16"/>
              </w:rPr>
            </w:pPr>
          </w:p>
        </w:tc>
        <w:tc>
          <w:tcPr>
            <w:tcW w:w="427" w:type="dxa"/>
            <w:vAlign w:val="center"/>
          </w:tcPr>
          <w:p w14:paraId="06045D3A" w14:textId="77777777" w:rsidR="00B47442" w:rsidRPr="0009445C" w:rsidRDefault="00B47442" w:rsidP="0099521D">
            <w:pPr>
              <w:pStyle w:val="BRL-Tabelle"/>
              <w:spacing w:before="60" w:after="40"/>
              <w:jc w:val="center"/>
              <w:rPr>
                <w:sz w:val="16"/>
              </w:rPr>
            </w:pPr>
          </w:p>
        </w:tc>
        <w:tc>
          <w:tcPr>
            <w:tcW w:w="426" w:type="dxa"/>
            <w:vAlign w:val="center"/>
          </w:tcPr>
          <w:p w14:paraId="7079297F" w14:textId="77777777" w:rsidR="00B47442" w:rsidRPr="0009445C" w:rsidRDefault="00B47442" w:rsidP="0099521D">
            <w:pPr>
              <w:pStyle w:val="BRL-Tabelle"/>
              <w:spacing w:before="60" w:after="40"/>
              <w:jc w:val="center"/>
              <w:rPr>
                <w:sz w:val="16"/>
              </w:rPr>
            </w:pPr>
          </w:p>
        </w:tc>
        <w:tc>
          <w:tcPr>
            <w:tcW w:w="427" w:type="dxa"/>
            <w:vAlign w:val="center"/>
          </w:tcPr>
          <w:p w14:paraId="7339EC83"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24DA3C8F" w14:textId="77777777" w:rsidTr="0099521D">
        <w:trPr>
          <w:trHeight w:val="1056"/>
        </w:trPr>
        <w:tc>
          <w:tcPr>
            <w:tcW w:w="2355" w:type="dxa"/>
            <w:gridSpan w:val="2"/>
          </w:tcPr>
          <w:p w14:paraId="1C6B9476" w14:textId="77777777" w:rsidR="00B47442" w:rsidRPr="0009445C" w:rsidRDefault="00B47442" w:rsidP="0099521D">
            <w:pPr>
              <w:pStyle w:val="BRL-Tabelle"/>
              <w:pageBreakBefore/>
              <w:spacing w:before="60" w:after="40"/>
              <w:rPr>
                <w:b/>
              </w:rPr>
            </w:pPr>
            <w:r w:rsidRPr="0009445C">
              <w:rPr>
                <w:b/>
              </w:rPr>
              <w:lastRenderedPageBreak/>
              <w:t>Permanence of operational reliability, moisture resistance, corrosion resistance, shock and vibration resistance, temperature resistance</w:t>
            </w:r>
          </w:p>
        </w:tc>
        <w:tc>
          <w:tcPr>
            <w:tcW w:w="6830" w:type="dxa"/>
            <w:gridSpan w:val="16"/>
          </w:tcPr>
          <w:p w14:paraId="662B43F0" w14:textId="77777777" w:rsidR="00B47442" w:rsidRPr="0009445C" w:rsidRDefault="00B47442" w:rsidP="0099521D">
            <w:pPr>
              <w:pStyle w:val="Tabellentext"/>
              <w:pageBreakBefore/>
              <w:spacing w:before="60" w:after="40"/>
              <w:rPr>
                <w:rFonts w:cs="Arial"/>
                <w:sz w:val="16"/>
              </w:rPr>
            </w:pPr>
          </w:p>
        </w:tc>
      </w:tr>
      <w:tr w:rsidR="00B47442" w:rsidRPr="0009445C" w14:paraId="45D47EDB" w14:textId="77777777" w:rsidTr="0099521D">
        <w:trPr>
          <w:trHeight w:val="264"/>
        </w:trPr>
        <w:tc>
          <w:tcPr>
            <w:tcW w:w="2355" w:type="dxa"/>
            <w:gridSpan w:val="2"/>
          </w:tcPr>
          <w:p w14:paraId="635202C7" w14:textId="77777777" w:rsidR="00B47442" w:rsidRPr="0009445C" w:rsidRDefault="00B47442" w:rsidP="0099521D">
            <w:pPr>
              <w:pStyle w:val="BRL-Tabelle"/>
              <w:spacing w:before="60" w:after="40"/>
            </w:pPr>
            <w:r w:rsidRPr="0009445C">
              <w:t>Cold in operation</w:t>
            </w:r>
          </w:p>
        </w:tc>
        <w:tc>
          <w:tcPr>
            <w:tcW w:w="427" w:type="dxa"/>
            <w:vAlign w:val="center"/>
          </w:tcPr>
          <w:p w14:paraId="5C417B6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728534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1105085"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9EDC3DA" w14:textId="77777777" w:rsidR="00B47442" w:rsidRPr="0009445C" w:rsidRDefault="0066485E" w:rsidP="0099521D">
            <w:pPr>
              <w:pStyle w:val="BRL-Tabelle"/>
              <w:spacing w:before="60" w:after="40"/>
              <w:jc w:val="center"/>
              <w:rPr>
                <w:sz w:val="16"/>
              </w:rPr>
            </w:pPr>
            <w:r w:rsidRPr="0009445C">
              <w:rPr>
                <w:sz w:val="16"/>
              </w:rPr>
              <w:t>X</w:t>
            </w:r>
          </w:p>
        </w:tc>
        <w:tc>
          <w:tcPr>
            <w:tcW w:w="425" w:type="dxa"/>
            <w:vAlign w:val="center"/>
          </w:tcPr>
          <w:p w14:paraId="217F4B4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B76B3E9"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03E0CD7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6235E25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8399E6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57E3A4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68F3287"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2E92325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9A32B5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3C3B29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5A6B427"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75A1496"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7A174794" w14:textId="77777777" w:rsidTr="0099521D">
        <w:trPr>
          <w:trHeight w:val="264"/>
        </w:trPr>
        <w:tc>
          <w:tcPr>
            <w:tcW w:w="2355" w:type="dxa"/>
            <w:gridSpan w:val="2"/>
          </w:tcPr>
          <w:p w14:paraId="04137287" w14:textId="77777777" w:rsidR="00B47442" w:rsidRPr="0009445C" w:rsidRDefault="00B47442" w:rsidP="0099521D">
            <w:pPr>
              <w:pStyle w:val="BRL-Tabelle"/>
              <w:spacing w:before="60" w:after="40"/>
            </w:pPr>
            <w:r w:rsidRPr="0009445C">
              <w:t xml:space="preserve">Vibration, sinusoidal </w:t>
            </w:r>
            <w:r w:rsidRPr="0009445C">
              <w:br/>
              <w:t>(in operation)</w:t>
            </w:r>
          </w:p>
        </w:tc>
        <w:tc>
          <w:tcPr>
            <w:tcW w:w="427" w:type="dxa"/>
            <w:vAlign w:val="center"/>
          </w:tcPr>
          <w:p w14:paraId="791D45C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30B1851" w14:textId="77777777" w:rsidR="00B47442" w:rsidRPr="0009445C" w:rsidRDefault="00B47442" w:rsidP="0099521D">
            <w:pPr>
              <w:pStyle w:val="BRL-Tabelle"/>
              <w:spacing w:before="60" w:after="40"/>
              <w:jc w:val="center"/>
              <w:rPr>
                <w:sz w:val="16"/>
              </w:rPr>
            </w:pPr>
          </w:p>
        </w:tc>
        <w:tc>
          <w:tcPr>
            <w:tcW w:w="426" w:type="dxa"/>
            <w:vAlign w:val="center"/>
          </w:tcPr>
          <w:p w14:paraId="0BB0D5A3"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A008B95" w14:textId="77777777" w:rsidR="00B47442" w:rsidRPr="0009445C" w:rsidRDefault="00B47442" w:rsidP="0099521D">
            <w:pPr>
              <w:pStyle w:val="BRL-Tabelle"/>
              <w:spacing w:before="60" w:after="40"/>
              <w:jc w:val="center"/>
              <w:rPr>
                <w:sz w:val="16"/>
              </w:rPr>
            </w:pPr>
          </w:p>
        </w:tc>
        <w:tc>
          <w:tcPr>
            <w:tcW w:w="425" w:type="dxa"/>
            <w:vAlign w:val="center"/>
          </w:tcPr>
          <w:p w14:paraId="21F7A3E7" w14:textId="77777777" w:rsidR="00B47442" w:rsidRPr="0009445C" w:rsidRDefault="00B47442" w:rsidP="0099521D">
            <w:pPr>
              <w:pStyle w:val="BRL-Tabelle"/>
              <w:spacing w:before="60" w:after="40"/>
              <w:jc w:val="center"/>
              <w:rPr>
                <w:sz w:val="16"/>
              </w:rPr>
            </w:pPr>
          </w:p>
        </w:tc>
        <w:tc>
          <w:tcPr>
            <w:tcW w:w="426" w:type="dxa"/>
            <w:vAlign w:val="center"/>
          </w:tcPr>
          <w:p w14:paraId="3457A76A" w14:textId="77777777" w:rsidR="00B47442" w:rsidRPr="0009445C" w:rsidRDefault="00B47442" w:rsidP="0099521D">
            <w:pPr>
              <w:pStyle w:val="BRL-Tabelle"/>
              <w:spacing w:before="60" w:after="40"/>
              <w:jc w:val="center"/>
              <w:rPr>
                <w:sz w:val="16"/>
              </w:rPr>
            </w:pPr>
          </w:p>
        </w:tc>
        <w:tc>
          <w:tcPr>
            <w:tcW w:w="428" w:type="dxa"/>
            <w:vAlign w:val="center"/>
          </w:tcPr>
          <w:p w14:paraId="21BE66D3" w14:textId="77777777" w:rsidR="00B47442" w:rsidRPr="0009445C" w:rsidRDefault="00B47442" w:rsidP="0099521D">
            <w:pPr>
              <w:pStyle w:val="BRL-Tabelle"/>
              <w:spacing w:before="60" w:after="40"/>
              <w:jc w:val="center"/>
              <w:rPr>
                <w:sz w:val="16"/>
              </w:rPr>
            </w:pPr>
          </w:p>
        </w:tc>
        <w:tc>
          <w:tcPr>
            <w:tcW w:w="427" w:type="dxa"/>
            <w:vAlign w:val="center"/>
          </w:tcPr>
          <w:p w14:paraId="207B73E9" w14:textId="77777777" w:rsidR="00B47442" w:rsidRPr="0009445C" w:rsidRDefault="00B47442" w:rsidP="0099521D">
            <w:pPr>
              <w:pStyle w:val="BRL-Tabelle"/>
              <w:spacing w:before="60" w:after="40"/>
              <w:jc w:val="center"/>
              <w:rPr>
                <w:sz w:val="16"/>
              </w:rPr>
            </w:pPr>
          </w:p>
        </w:tc>
        <w:tc>
          <w:tcPr>
            <w:tcW w:w="426" w:type="dxa"/>
            <w:vAlign w:val="center"/>
          </w:tcPr>
          <w:p w14:paraId="3B1A8185" w14:textId="77777777" w:rsidR="00B47442" w:rsidRPr="0009445C" w:rsidRDefault="00B47442" w:rsidP="0099521D">
            <w:pPr>
              <w:pStyle w:val="BRL-Tabelle"/>
              <w:spacing w:before="60" w:after="40"/>
              <w:jc w:val="center"/>
              <w:rPr>
                <w:sz w:val="16"/>
              </w:rPr>
            </w:pPr>
          </w:p>
        </w:tc>
        <w:tc>
          <w:tcPr>
            <w:tcW w:w="426" w:type="dxa"/>
            <w:vAlign w:val="center"/>
          </w:tcPr>
          <w:p w14:paraId="02E796EC" w14:textId="77777777" w:rsidR="00B47442" w:rsidRPr="0009445C" w:rsidRDefault="00B47442" w:rsidP="0099521D">
            <w:pPr>
              <w:pStyle w:val="BRL-Tabelle"/>
              <w:spacing w:before="60" w:after="40"/>
              <w:jc w:val="center"/>
              <w:rPr>
                <w:sz w:val="16"/>
              </w:rPr>
            </w:pPr>
          </w:p>
        </w:tc>
        <w:tc>
          <w:tcPr>
            <w:tcW w:w="426" w:type="dxa"/>
            <w:vAlign w:val="center"/>
          </w:tcPr>
          <w:p w14:paraId="099599C7" w14:textId="77777777" w:rsidR="00B47442" w:rsidRPr="0009445C" w:rsidRDefault="00B47442" w:rsidP="0099521D">
            <w:pPr>
              <w:pStyle w:val="BRL-Tabelle"/>
              <w:spacing w:before="60" w:after="40"/>
              <w:jc w:val="center"/>
              <w:rPr>
                <w:sz w:val="16"/>
              </w:rPr>
            </w:pPr>
          </w:p>
        </w:tc>
        <w:tc>
          <w:tcPr>
            <w:tcW w:w="433" w:type="dxa"/>
            <w:vAlign w:val="center"/>
          </w:tcPr>
          <w:p w14:paraId="4B392A0E" w14:textId="77777777" w:rsidR="00B47442" w:rsidRPr="0009445C" w:rsidRDefault="00B47442" w:rsidP="0099521D">
            <w:pPr>
              <w:pStyle w:val="BRL-Tabelle"/>
              <w:spacing w:before="60" w:after="40"/>
              <w:jc w:val="center"/>
              <w:rPr>
                <w:sz w:val="16"/>
              </w:rPr>
            </w:pPr>
          </w:p>
        </w:tc>
        <w:tc>
          <w:tcPr>
            <w:tcW w:w="426" w:type="dxa"/>
            <w:vAlign w:val="center"/>
          </w:tcPr>
          <w:p w14:paraId="6B0F45D9" w14:textId="268ED2EF" w:rsidR="00B47442" w:rsidRPr="0009445C" w:rsidRDefault="00B47442" w:rsidP="0099521D">
            <w:pPr>
              <w:pStyle w:val="BRL-Tabelle"/>
              <w:spacing w:before="60" w:after="40"/>
              <w:jc w:val="center"/>
              <w:rPr>
                <w:sz w:val="16"/>
              </w:rPr>
            </w:pPr>
          </w:p>
        </w:tc>
        <w:tc>
          <w:tcPr>
            <w:tcW w:w="427" w:type="dxa"/>
            <w:vAlign w:val="center"/>
          </w:tcPr>
          <w:p w14:paraId="43F78088" w14:textId="77777777" w:rsidR="00B47442" w:rsidRPr="0009445C" w:rsidRDefault="00B47442" w:rsidP="0099521D">
            <w:pPr>
              <w:pStyle w:val="BRL-Tabelle"/>
              <w:spacing w:before="60" w:after="40"/>
              <w:jc w:val="center"/>
              <w:rPr>
                <w:sz w:val="16"/>
              </w:rPr>
            </w:pPr>
          </w:p>
        </w:tc>
        <w:tc>
          <w:tcPr>
            <w:tcW w:w="426" w:type="dxa"/>
            <w:vAlign w:val="center"/>
          </w:tcPr>
          <w:p w14:paraId="090AAE10" w14:textId="77777777" w:rsidR="00B47442" w:rsidRPr="0009445C" w:rsidRDefault="00B47442" w:rsidP="0099521D">
            <w:pPr>
              <w:pStyle w:val="BRL-Tabelle"/>
              <w:spacing w:before="60" w:after="40"/>
              <w:jc w:val="center"/>
              <w:rPr>
                <w:sz w:val="16"/>
              </w:rPr>
            </w:pPr>
          </w:p>
        </w:tc>
        <w:tc>
          <w:tcPr>
            <w:tcW w:w="427" w:type="dxa"/>
            <w:vAlign w:val="center"/>
          </w:tcPr>
          <w:p w14:paraId="79C44851" w14:textId="77777777" w:rsidR="00B47442" w:rsidRPr="0009445C" w:rsidRDefault="00B47442" w:rsidP="0099521D">
            <w:pPr>
              <w:pStyle w:val="BRL-Tabelle"/>
              <w:spacing w:before="60" w:after="40"/>
              <w:jc w:val="center"/>
              <w:rPr>
                <w:sz w:val="16"/>
              </w:rPr>
            </w:pPr>
          </w:p>
        </w:tc>
      </w:tr>
      <w:tr w:rsidR="00B47442" w:rsidRPr="0009445C" w14:paraId="69FF1567" w14:textId="77777777" w:rsidTr="0099521D">
        <w:trPr>
          <w:trHeight w:val="264"/>
        </w:trPr>
        <w:tc>
          <w:tcPr>
            <w:tcW w:w="2355" w:type="dxa"/>
            <w:gridSpan w:val="2"/>
          </w:tcPr>
          <w:p w14:paraId="6A21F837" w14:textId="77777777" w:rsidR="00B47442" w:rsidRPr="0009445C" w:rsidRDefault="00B47442" w:rsidP="0099521D">
            <w:pPr>
              <w:pStyle w:val="BRL-Tabelle"/>
              <w:spacing w:before="60" w:after="40"/>
            </w:pPr>
            <w:r w:rsidRPr="0009445C">
              <w:t>Vibration, sinusoidal (durability test)</w:t>
            </w:r>
          </w:p>
        </w:tc>
        <w:tc>
          <w:tcPr>
            <w:tcW w:w="427" w:type="dxa"/>
            <w:vAlign w:val="center"/>
          </w:tcPr>
          <w:p w14:paraId="343C5523"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99ADC8F" w14:textId="77777777" w:rsidR="00B47442" w:rsidRPr="0009445C" w:rsidRDefault="00B47442" w:rsidP="0099521D">
            <w:pPr>
              <w:pStyle w:val="BRL-Tabelle"/>
              <w:spacing w:before="60" w:after="40"/>
              <w:jc w:val="center"/>
              <w:rPr>
                <w:sz w:val="16"/>
              </w:rPr>
            </w:pPr>
          </w:p>
        </w:tc>
        <w:tc>
          <w:tcPr>
            <w:tcW w:w="426" w:type="dxa"/>
            <w:vAlign w:val="center"/>
          </w:tcPr>
          <w:p w14:paraId="150C204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D403FAF" w14:textId="77777777" w:rsidR="00B47442" w:rsidRPr="0009445C" w:rsidRDefault="00B47442" w:rsidP="0099521D">
            <w:pPr>
              <w:pStyle w:val="BRL-Tabelle"/>
              <w:spacing w:before="60" w:after="40"/>
              <w:jc w:val="center"/>
              <w:rPr>
                <w:sz w:val="16"/>
              </w:rPr>
            </w:pPr>
          </w:p>
        </w:tc>
        <w:tc>
          <w:tcPr>
            <w:tcW w:w="425" w:type="dxa"/>
            <w:vAlign w:val="center"/>
          </w:tcPr>
          <w:p w14:paraId="74D7CCE6" w14:textId="77777777" w:rsidR="00B47442" w:rsidRPr="0009445C" w:rsidRDefault="00B47442" w:rsidP="0099521D">
            <w:pPr>
              <w:pStyle w:val="BRL-Tabelle"/>
              <w:spacing w:before="60" w:after="40"/>
              <w:jc w:val="center"/>
              <w:rPr>
                <w:sz w:val="16"/>
              </w:rPr>
            </w:pPr>
          </w:p>
        </w:tc>
        <w:tc>
          <w:tcPr>
            <w:tcW w:w="426" w:type="dxa"/>
            <w:vAlign w:val="center"/>
          </w:tcPr>
          <w:p w14:paraId="15DC99D4" w14:textId="77777777" w:rsidR="00B47442" w:rsidRPr="0009445C" w:rsidRDefault="00B47442" w:rsidP="0099521D">
            <w:pPr>
              <w:pStyle w:val="BRL-Tabelle"/>
              <w:spacing w:before="60" w:after="40"/>
              <w:jc w:val="center"/>
              <w:rPr>
                <w:sz w:val="16"/>
              </w:rPr>
            </w:pPr>
          </w:p>
        </w:tc>
        <w:tc>
          <w:tcPr>
            <w:tcW w:w="428" w:type="dxa"/>
            <w:vAlign w:val="center"/>
          </w:tcPr>
          <w:p w14:paraId="4B0620AC" w14:textId="77777777" w:rsidR="00B47442" w:rsidRPr="0009445C" w:rsidRDefault="00B47442" w:rsidP="0099521D">
            <w:pPr>
              <w:pStyle w:val="BRL-Tabelle"/>
              <w:spacing w:before="60" w:after="40"/>
              <w:jc w:val="center"/>
              <w:rPr>
                <w:sz w:val="16"/>
              </w:rPr>
            </w:pPr>
          </w:p>
        </w:tc>
        <w:tc>
          <w:tcPr>
            <w:tcW w:w="427" w:type="dxa"/>
            <w:vAlign w:val="center"/>
          </w:tcPr>
          <w:p w14:paraId="45204B56" w14:textId="77777777" w:rsidR="00B47442" w:rsidRPr="0009445C" w:rsidRDefault="00B47442" w:rsidP="0099521D">
            <w:pPr>
              <w:pStyle w:val="BRL-Tabelle"/>
              <w:spacing w:before="60" w:after="40"/>
              <w:jc w:val="center"/>
              <w:rPr>
                <w:sz w:val="16"/>
              </w:rPr>
            </w:pPr>
          </w:p>
        </w:tc>
        <w:tc>
          <w:tcPr>
            <w:tcW w:w="426" w:type="dxa"/>
            <w:vAlign w:val="center"/>
          </w:tcPr>
          <w:p w14:paraId="02F70ED1" w14:textId="77777777" w:rsidR="00B47442" w:rsidRPr="0009445C" w:rsidRDefault="00B47442" w:rsidP="0099521D">
            <w:pPr>
              <w:pStyle w:val="BRL-Tabelle"/>
              <w:spacing w:before="60" w:after="40"/>
              <w:jc w:val="center"/>
              <w:rPr>
                <w:sz w:val="16"/>
              </w:rPr>
            </w:pPr>
          </w:p>
        </w:tc>
        <w:tc>
          <w:tcPr>
            <w:tcW w:w="426" w:type="dxa"/>
            <w:vAlign w:val="center"/>
          </w:tcPr>
          <w:p w14:paraId="5B0022F8" w14:textId="77777777" w:rsidR="00B47442" w:rsidRPr="0009445C" w:rsidRDefault="00B47442" w:rsidP="0099521D">
            <w:pPr>
              <w:pStyle w:val="BRL-Tabelle"/>
              <w:spacing w:before="60" w:after="40"/>
              <w:jc w:val="center"/>
              <w:rPr>
                <w:sz w:val="16"/>
              </w:rPr>
            </w:pPr>
          </w:p>
        </w:tc>
        <w:tc>
          <w:tcPr>
            <w:tcW w:w="426" w:type="dxa"/>
            <w:vAlign w:val="center"/>
          </w:tcPr>
          <w:p w14:paraId="2F4A6308" w14:textId="77777777" w:rsidR="00B47442" w:rsidRPr="0009445C" w:rsidRDefault="00B47442" w:rsidP="0099521D">
            <w:pPr>
              <w:pStyle w:val="BRL-Tabelle"/>
              <w:spacing w:before="60" w:after="40"/>
              <w:jc w:val="center"/>
              <w:rPr>
                <w:sz w:val="16"/>
              </w:rPr>
            </w:pPr>
          </w:p>
        </w:tc>
        <w:tc>
          <w:tcPr>
            <w:tcW w:w="433" w:type="dxa"/>
            <w:vAlign w:val="center"/>
          </w:tcPr>
          <w:p w14:paraId="53C5F9B4" w14:textId="77777777" w:rsidR="00B47442" w:rsidRPr="0009445C" w:rsidRDefault="00B47442" w:rsidP="0099521D">
            <w:pPr>
              <w:pStyle w:val="BRL-Tabelle"/>
              <w:spacing w:before="60" w:after="40"/>
              <w:jc w:val="center"/>
              <w:rPr>
                <w:sz w:val="16"/>
              </w:rPr>
            </w:pPr>
          </w:p>
        </w:tc>
        <w:tc>
          <w:tcPr>
            <w:tcW w:w="426" w:type="dxa"/>
            <w:vAlign w:val="center"/>
          </w:tcPr>
          <w:p w14:paraId="6D095963" w14:textId="503EEF45" w:rsidR="00B47442" w:rsidRPr="0009445C" w:rsidRDefault="00B47442" w:rsidP="0099521D">
            <w:pPr>
              <w:pStyle w:val="BRL-Tabelle"/>
              <w:spacing w:before="60" w:after="40"/>
              <w:jc w:val="center"/>
              <w:rPr>
                <w:sz w:val="16"/>
              </w:rPr>
            </w:pPr>
          </w:p>
        </w:tc>
        <w:tc>
          <w:tcPr>
            <w:tcW w:w="427" w:type="dxa"/>
            <w:vAlign w:val="center"/>
          </w:tcPr>
          <w:p w14:paraId="1AB7137E" w14:textId="77777777" w:rsidR="00B47442" w:rsidRPr="0009445C" w:rsidRDefault="00B47442" w:rsidP="0099521D">
            <w:pPr>
              <w:pStyle w:val="BRL-Tabelle"/>
              <w:spacing w:before="60" w:after="40"/>
              <w:jc w:val="center"/>
              <w:rPr>
                <w:sz w:val="16"/>
              </w:rPr>
            </w:pPr>
          </w:p>
        </w:tc>
        <w:tc>
          <w:tcPr>
            <w:tcW w:w="426" w:type="dxa"/>
            <w:vAlign w:val="center"/>
          </w:tcPr>
          <w:p w14:paraId="7C738B3B" w14:textId="77777777" w:rsidR="00B47442" w:rsidRPr="0009445C" w:rsidRDefault="00B47442" w:rsidP="0099521D">
            <w:pPr>
              <w:pStyle w:val="BRL-Tabelle"/>
              <w:spacing w:before="60" w:after="40"/>
              <w:jc w:val="center"/>
              <w:rPr>
                <w:sz w:val="16"/>
              </w:rPr>
            </w:pPr>
          </w:p>
        </w:tc>
        <w:tc>
          <w:tcPr>
            <w:tcW w:w="427" w:type="dxa"/>
            <w:vAlign w:val="center"/>
          </w:tcPr>
          <w:p w14:paraId="77B15B0E" w14:textId="77777777" w:rsidR="00B47442" w:rsidRPr="0009445C" w:rsidRDefault="00B47442" w:rsidP="0099521D">
            <w:pPr>
              <w:pStyle w:val="BRL-Tabelle"/>
              <w:spacing w:before="60" w:after="40"/>
              <w:jc w:val="center"/>
              <w:rPr>
                <w:sz w:val="16"/>
              </w:rPr>
            </w:pPr>
          </w:p>
        </w:tc>
      </w:tr>
      <w:tr w:rsidR="00B47442" w:rsidRPr="0009445C" w14:paraId="5184071E" w14:textId="77777777" w:rsidTr="0099521D">
        <w:trPr>
          <w:trHeight w:val="264"/>
        </w:trPr>
        <w:tc>
          <w:tcPr>
            <w:tcW w:w="2355" w:type="dxa"/>
            <w:gridSpan w:val="2"/>
          </w:tcPr>
          <w:p w14:paraId="79E51137" w14:textId="77777777" w:rsidR="00B47442" w:rsidRPr="0009445C" w:rsidRDefault="00B47442" w:rsidP="0099521D">
            <w:pPr>
              <w:pStyle w:val="BRL-Tabelle"/>
              <w:spacing w:before="60" w:after="40"/>
            </w:pPr>
            <w:r w:rsidRPr="0009445C">
              <w:t xml:space="preserve">EMC immunity </w:t>
            </w:r>
            <w:r w:rsidRPr="0009445C">
              <w:br/>
              <w:t>(in operation)</w:t>
            </w:r>
          </w:p>
        </w:tc>
        <w:tc>
          <w:tcPr>
            <w:tcW w:w="427" w:type="dxa"/>
            <w:vAlign w:val="center"/>
          </w:tcPr>
          <w:p w14:paraId="63D27466"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BC84BFE"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c>
          <w:tcPr>
            <w:tcW w:w="426" w:type="dxa"/>
            <w:vAlign w:val="center"/>
          </w:tcPr>
          <w:p w14:paraId="6E18081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AFA683E"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37DD3E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D38679D"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27EBF28A"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c>
          <w:tcPr>
            <w:tcW w:w="427" w:type="dxa"/>
            <w:vAlign w:val="center"/>
          </w:tcPr>
          <w:p w14:paraId="21C45F6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58C4F3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2C7497E"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25B4B2D"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635FE67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11983B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ADF5341" w14:textId="77777777" w:rsidR="00B47442" w:rsidRPr="0009445C" w:rsidRDefault="00B47442" w:rsidP="0099521D">
            <w:pPr>
              <w:pStyle w:val="BRL-Tabelle"/>
              <w:spacing w:before="60" w:after="40"/>
              <w:jc w:val="center"/>
              <w:rPr>
                <w:sz w:val="16"/>
              </w:rPr>
            </w:pPr>
          </w:p>
        </w:tc>
        <w:tc>
          <w:tcPr>
            <w:tcW w:w="426" w:type="dxa"/>
            <w:vAlign w:val="center"/>
          </w:tcPr>
          <w:p w14:paraId="6489D8FA" w14:textId="77777777" w:rsidR="00B47442" w:rsidRPr="0009445C" w:rsidRDefault="00B47442" w:rsidP="0099521D">
            <w:pPr>
              <w:pStyle w:val="BRL-Tabelle"/>
              <w:spacing w:before="60" w:after="40"/>
              <w:jc w:val="center"/>
              <w:rPr>
                <w:sz w:val="16"/>
              </w:rPr>
            </w:pPr>
          </w:p>
        </w:tc>
        <w:tc>
          <w:tcPr>
            <w:tcW w:w="427" w:type="dxa"/>
            <w:vAlign w:val="center"/>
          </w:tcPr>
          <w:p w14:paraId="1755CC1C"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76447CA5" w14:textId="77777777" w:rsidTr="0099521D">
        <w:trPr>
          <w:trHeight w:val="264"/>
        </w:trPr>
        <w:tc>
          <w:tcPr>
            <w:tcW w:w="2355" w:type="dxa"/>
            <w:gridSpan w:val="2"/>
          </w:tcPr>
          <w:p w14:paraId="5111E589" w14:textId="77777777" w:rsidR="00B47442" w:rsidRPr="0009445C" w:rsidRDefault="00B47442" w:rsidP="0099521D">
            <w:pPr>
              <w:pStyle w:val="BRL-Tabelle"/>
              <w:spacing w:before="60" w:after="40"/>
            </w:pPr>
            <w:r w:rsidRPr="0009445C">
              <w:t xml:space="preserve">Supply voltage fluctuations </w:t>
            </w:r>
            <w:r w:rsidRPr="0009445C">
              <w:br/>
              <w:t>(in operation)</w:t>
            </w:r>
          </w:p>
        </w:tc>
        <w:tc>
          <w:tcPr>
            <w:tcW w:w="427" w:type="dxa"/>
            <w:vAlign w:val="center"/>
          </w:tcPr>
          <w:p w14:paraId="369F983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39FD2A5" w14:textId="77777777" w:rsidR="00B47442" w:rsidRPr="0009445C" w:rsidRDefault="00B47442" w:rsidP="0099521D">
            <w:pPr>
              <w:pStyle w:val="BRL-Tabelle"/>
              <w:spacing w:before="60" w:after="40"/>
              <w:jc w:val="center"/>
              <w:rPr>
                <w:sz w:val="16"/>
              </w:rPr>
            </w:pPr>
          </w:p>
        </w:tc>
        <w:tc>
          <w:tcPr>
            <w:tcW w:w="426" w:type="dxa"/>
            <w:vAlign w:val="center"/>
          </w:tcPr>
          <w:p w14:paraId="4560DB28" w14:textId="77777777" w:rsidR="00B47442" w:rsidRPr="0009445C" w:rsidRDefault="00B47442" w:rsidP="0099521D">
            <w:pPr>
              <w:pStyle w:val="BRL-Tabelle"/>
              <w:spacing w:before="60" w:after="40"/>
              <w:jc w:val="center"/>
              <w:rPr>
                <w:sz w:val="16"/>
              </w:rPr>
            </w:pPr>
          </w:p>
        </w:tc>
        <w:tc>
          <w:tcPr>
            <w:tcW w:w="427" w:type="dxa"/>
            <w:vAlign w:val="center"/>
          </w:tcPr>
          <w:p w14:paraId="2FC477DB" w14:textId="77777777" w:rsidR="00B47442" w:rsidRPr="0009445C" w:rsidRDefault="00B47442" w:rsidP="0099521D">
            <w:pPr>
              <w:pStyle w:val="BRL-Tabelle"/>
              <w:spacing w:before="60" w:after="40"/>
              <w:jc w:val="center"/>
              <w:rPr>
                <w:sz w:val="16"/>
              </w:rPr>
            </w:pPr>
          </w:p>
        </w:tc>
        <w:tc>
          <w:tcPr>
            <w:tcW w:w="425" w:type="dxa"/>
            <w:vAlign w:val="center"/>
          </w:tcPr>
          <w:p w14:paraId="1F36DCBC" w14:textId="77777777" w:rsidR="00B47442" w:rsidRPr="0009445C" w:rsidRDefault="00B47442" w:rsidP="0099521D">
            <w:pPr>
              <w:pStyle w:val="BRL-Tabelle"/>
              <w:spacing w:before="60" w:after="40"/>
              <w:jc w:val="center"/>
              <w:rPr>
                <w:sz w:val="16"/>
              </w:rPr>
            </w:pPr>
          </w:p>
        </w:tc>
        <w:tc>
          <w:tcPr>
            <w:tcW w:w="426" w:type="dxa"/>
            <w:vAlign w:val="center"/>
          </w:tcPr>
          <w:p w14:paraId="16BED96A" w14:textId="77777777" w:rsidR="00B47442" w:rsidRPr="0009445C" w:rsidRDefault="00B47442" w:rsidP="0099521D">
            <w:pPr>
              <w:pStyle w:val="BRL-Tabelle"/>
              <w:spacing w:before="60" w:after="40"/>
              <w:jc w:val="center"/>
              <w:rPr>
                <w:sz w:val="16"/>
              </w:rPr>
            </w:pPr>
          </w:p>
        </w:tc>
        <w:tc>
          <w:tcPr>
            <w:tcW w:w="428" w:type="dxa"/>
            <w:vAlign w:val="center"/>
          </w:tcPr>
          <w:p w14:paraId="32A76511" w14:textId="77777777" w:rsidR="00B47442" w:rsidRPr="0009445C" w:rsidRDefault="00B47442" w:rsidP="0099521D">
            <w:pPr>
              <w:pStyle w:val="BRL-Tabelle"/>
              <w:spacing w:before="60" w:after="40"/>
              <w:jc w:val="center"/>
              <w:rPr>
                <w:sz w:val="16"/>
              </w:rPr>
            </w:pPr>
          </w:p>
        </w:tc>
        <w:tc>
          <w:tcPr>
            <w:tcW w:w="427" w:type="dxa"/>
            <w:vAlign w:val="center"/>
          </w:tcPr>
          <w:p w14:paraId="5ADD016F" w14:textId="77777777" w:rsidR="00B47442" w:rsidRPr="0009445C" w:rsidRDefault="00B47442" w:rsidP="0099521D">
            <w:pPr>
              <w:pStyle w:val="BRL-Tabelle"/>
              <w:spacing w:before="60" w:after="40"/>
              <w:jc w:val="center"/>
              <w:rPr>
                <w:sz w:val="16"/>
              </w:rPr>
            </w:pPr>
          </w:p>
        </w:tc>
        <w:tc>
          <w:tcPr>
            <w:tcW w:w="426" w:type="dxa"/>
            <w:vAlign w:val="center"/>
          </w:tcPr>
          <w:p w14:paraId="6B8CEB5E"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82E7282" w14:textId="77777777" w:rsidR="00B47442" w:rsidRPr="0009445C" w:rsidRDefault="00B47442" w:rsidP="0099521D">
            <w:pPr>
              <w:pStyle w:val="BRL-Tabelle"/>
              <w:spacing w:before="60" w:after="40"/>
              <w:jc w:val="center"/>
              <w:rPr>
                <w:sz w:val="16"/>
              </w:rPr>
            </w:pPr>
          </w:p>
        </w:tc>
        <w:tc>
          <w:tcPr>
            <w:tcW w:w="426" w:type="dxa"/>
            <w:vAlign w:val="center"/>
          </w:tcPr>
          <w:p w14:paraId="48EB945B" w14:textId="77777777" w:rsidR="00B47442" w:rsidRPr="0009445C" w:rsidRDefault="00B47442" w:rsidP="0099521D">
            <w:pPr>
              <w:pStyle w:val="BRL-Tabelle"/>
              <w:spacing w:before="60" w:after="40"/>
              <w:jc w:val="center"/>
              <w:rPr>
                <w:sz w:val="16"/>
              </w:rPr>
            </w:pPr>
          </w:p>
        </w:tc>
        <w:tc>
          <w:tcPr>
            <w:tcW w:w="433" w:type="dxa"/>
            <w:vAlign w:val="center"/>
          </w:tcPr>
          <w:p w14:paraId="10A74A91" w14:textId="77777777" w:rsidR="00B47442" w:rsidRPr="0009445C" w:rsidRDefault="00B47442" w:rsidP="0099521D">
            <w:pPr>
              <w:pStyle w:val="BRL-Tabelle"/>
              <w:spacing w:before="60" w:after="40"/>
              <w:jc w:val="center"/>
              <w:rPr>
                <w:sz w:val="16"/>
              </w:rPr>
            </w:pPr>
          </w:p>
        </w:tc>
        <w:tc>
          <w:tcPr>
            <w:tcW w:w="426" w:type="dxa"/>
            <w:vAlign w:val="center"/>
          </w:tcPr>
          <w:p w14:paraId="7CE4588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F25AB5B" w14:textId="77777777" w:rsidR="00B47442" w:rsidRPr="0009445C" w:rsidRDefault="00B47442" w:rsidP="0099521D">
            <w:pPr>
              <w:pStyle w:val="BRL-Tabelle"/>
              <w:spacing w:before="60" w:after="40"/>
              <w:jc w:val="center"/>
              <w:rPr>
                <w:sz w:val="16"/>
              </w:rPr>
            </w:pPr>
          </w:p>
        </w:tc>
        <w:tc>
          <w:tcPr>
            <w:tcW w:w="426" w:type="dxa"/>
            <w:vAlign w:val="center"/>
          </w:tcPr>
          <w:p w14:paraId="432B9A66" w14:textId="77777777" w:rsidR="00B47442" w:rsidRPr="0009445C" w:rsidRDefault="00B47442" w:rsidP="0099521D">
            <w:pPr>
              <w:pStyle w:val="BRL-Tabelle"/>
              <w:spacing w:before="60" w:after="40"/>
              <w:jc w:val="center"/>
              <w:rPr>
                <w:sz w:val="16"/>
              </w:rPr>
            </w:pPr>
          </w:p>
        </w:tc>
        <w:tc>
          <w:tcPr>
            <w:tcW w:w="427" w:type="dxa"/>
            <w:vAlign w:val="center"/>
          </w:tcPr>
          <w:p w14:paraId="7ACF1ACF" w14:textId="77777777" w:rsidR="00B47442" w:rsidRPr="0009445C" w:rsidRDefault="00B47442" w:rsidP="0099521D">
            <w:pPr>
              <w:pStyle w:val="BRL-Tabelle"/>
              <w:spacing w:before="60" w:after="40"/>
              <w:jc w:val="center"/>
              <w:rPr>
                <w:sz w:val="16"/>
              </w:rPr>
            </w:pPr>
          </w:p>
        </w:tc>
      </w:tr>
      <w:tr w:rsidR="00B47442" w:rsidRPr="0009445C" w14:paraId="3C0EAED2" w14:textId="77777777" w:rsidTr="0099521D">
        <w:trPr>
          <w:trHeight w:val="264"/>
        </w:trPr>
        <w:tc>
          <w:tcPr>
            <w:tcW w:w="2355" w:type="dxa"/>
            <w:gridSpan w:val="2"/>
          </w:tcPr>
          <w:p w14:paraId="3C6EB31D" w14:textId="77777777" w:rsidR="00B47442" w:rsidRPr="0009445C" w:rsidRDefault="00B47442" w:rsidP="0099521D">
            <w:pPr>
              <w:pStyle w:val="BRL-Tabelle"/>
              <w:spacing w:before="60" w:after="40"/>
            </w:pPr>
            <w:r w:rsidRPr="0009445C">
              <w:t>Moist heat, constant (in operation)</w:t>
            </w:r>
          </w:p>
        </w:tc>
        <w:tc>
          <w:tcPr>
            <w:tcW w:w="427" w:type="dxa"/>
            <w:vAlign w:val="center"/>
          </w:tcPr>
          <w:p w14:paraId="7DDA2C0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5D84091" w14:textId="77777777" w:rsidR="00B47442" w:rsidRPr="0009445C" w:rsidRDefault="00B47442" w:rsidP="0099521D">
            <w:pPr>
              <w:pStyle w:val="BRL-Tabelle"/>
              <w:spacing w:before="60" w:after="40"/>
              <w:jc w:val="center"/>
              <w:rPr>
                <w:sz w:val="16"/>
              </w:rPr>
            </w:pPr>
          </w:p>
        </w:tc>
        <w:tc>
          <w:tcPr>
            <w:tcW w:w="426" w:type="dxa"/>
            <w:vAlign w:val="center"/>
          </w:tcPr>
          <w:p w14:paraId="4431D8B6"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7539662" w14:textId="77777777" w:rsidR="00B47442" w:rsidRPr="0009445C" w:rsidRDefault="00B47442" w:rsidP="0099521D">
            <w:pPr>
              <w:pStyle w:val="BRL-Tabelle"/>
              <w:spacing w:before="60" w:after="40"/>
              <w:jc w:val="center"/>
              <w:rPr>
                <w:sz w:val="16"/>
              </w:rPr>
            </w:pPr>
          </w:p>
        </w:tc>
        <w:tc>
          <w:tcPr>
            <w:tcW w:w="425" w:type="dxa"/>
            <w:vAlign w:val="center"/>
          </w:tcPr>
          <w:p w14:paraId="6CBD066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AAB0D89" w14:textId="77777777" w:rsidR="00B47442" w:rsidRPr="0009445C" w:rsidRDefault="00B47442" w:rsidP="0099521D">
            <w:pPr>
              <w:pStyle w:val="BRL-Tabelle"/>
              <w:spacing w:before="60" w:after="40"/>
              <w:jc w:val="center"/>
              <w:rPr>
                <w:sz w:val="16"/>
              </w:rPr>
            </w:pPr>
          </w:p>
        </w:tc>
        <w:tc>
          <w:tcPr>
            <w:tcW w:w="428" w:type="dxa"/>
            <w:vAlign w:val="center"/>
          </w:tcPr>
          <w:p w14:paraId="7F330720" w14:textId="77777777" w:rsidR="00B47442" w:rsidRPr="0009445C" w:rsidRDefault="00B47442" w:rsidP="0099521D">
            <w:pPr>
              <w:pStyle w:val="BRL-Tabelle"/>
              <w:spacing w:before="60" w:after="40"/>
              <w:jc w:val="center"/>
              <w:rPr>
                <w:sz w:val="16"/>
              </w:rPr>
            </w:pPr>
          </w:p>
        </w:tc>
        <w:tc>
          <w:tcPr>
            <w:tcW w:w="427" w:type="dxa"/>
            <w:vAlign w:val="center"/>
          </w:tcPr>
          <w:p w14:paraId="63A545F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67A11E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40EEBAC" w14:textId="77777777" w:rsidR="00B47442" w:rsidRPr="0009445C" w:rsidRDefault="00B47442" w:rsidP="0099521D">
            <w:pPr>
              <w:pStyle w:val="BRL-Tabelle"/>
              <w:spacing w:before="60" w:after="40"/>
              <w:jc w:val="center"/>
              <w:rPr>
                <w:sz w:val="16"/>
              </w:rPr>
            </w:pPr>
          </w:p>
        </w:tc>
        <w:tc>
          <w:tcPr>
            <w:tcW w:w="426" w:type="dxa"/>
            <w:vAlign w:val="center"/>
          </w:tcPr>
          <w:p w14:paraId="6B73E3E6" w14:textId="77777777" w:rsidR="00B47442" w:rsidRPr="0009445C" w:rsidRDefault="00B47442" w:rsidP="0099521D">
            <w:pPr>
              <w:pStyle w:val="BRL-Tabelle"/>
              <w:spacing w:before="60" w:after="40"/>
              <w:jc w:val="center"/>
              <w:rPr>
                <w:sz w:val="16"/>
              </w:rPr>
            </w:pPr>
          </w:p>
        </w:tc>
        <w:tc>
          <w:tcPr>
            <w:tcW w:w="433" w:type="dxa"/>
            <w:vAlign w:val="center"/>
          </w:tcPr>
          <w:p w14:paraId="57FAD42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CA9E80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D386603" w14:textId="196E0FBF" w:rsidR="00B47442" w:rsidRPr="0009445C" w:rsidRDefault="00B47442" w:rsidP="0099521D">
            <w:pPr>
              <w:pStyle w:val="BRL-Tabelle"/>
              <w:spacing w:before="60" w:after="40"/>
              <w:jc w:val="center"/>
              <w:rPr>
                <w:sz w:val="16"/>
              </w:rPr>
            </w:pPr>
          </w:p>
        </w:tc>
        <w:tc>
          <w:tcPr>
            <w:tcW w:w="426" w:type="dxa"/>
            <w:vAlign w:val="center"/>
          </w:tcPr>
          <w:p w14:paraId="67AE3D68" w14:textId="77777777" w:rsidR="00B47442" w:rsidRPr="0009445C" w:rsidRDefault="00B47442" w:rsidP="0099521D">
            <w:pPr>
              <w:pStyle w:val="BRL-Tabelle"/>
              <w:spacing w:before="60" w:after="40"/>
              <w:jc w:val="center"/>
              <w:rPr>
                <w:sz w:val="16"/>
              </w:rPr>
            </w:pPr>
          </w:p>
        </w:tc>
        <w:tc>
          <w:tcPr>
            <w:tcW w:w="427" w:type="dxa"/>
            <w:vAlign w:val="center"/>
          </w:tcPr>
          <w:p w14:paraId="2276A117"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26E7F4B1" w14:textId="77777777" w:rsidTr="0099521D">
        <w:trPr>
          <w:trHeight w:val="264"/>
        </w:trPr>
        <w:tc>
          <w:tcPr>
            <w:tcW w:w="2355" w:type="dxa"/>
            <w:gridSpan w:val="2"/>
          </w:tcPr>
          <w:p w14:paraId="1A55825C" w14:textId="77777777" w:rsidR="00B47442" w:rsidRPr="0009445C" w:rsidRDefault="00B47442" w:rsidP="0099521D">
            <w:pPr>
              <w:pStyle w:val="BRL-Tabelle"/>
              <w:spacing w:before="60" w:after="40"/>
            </w:pPr>
            <w:r w:rsidRPr="0009445C">
              <w:t>Moist heat, constant (durability test)</w:t>
            </w:r>
          </w:p>
        </w:tc>
        <w:tc>
          <w:tcPr>
            <w:tcW w:w="427" w:type="dxa"/>
            <w:vAlign w:val="center"/>
          </w:tcPr>
          <w:p w14:paraId="5D76D59E"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2EDF23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D718CA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82CF13A"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2F2F17E9"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CB51751"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0A4C57D2"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DD1BB2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20592E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AE233B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2E6AE00" w14:textId="77777777" w:rsidR="00B47442" w:rsidRPr="0009445C" w:rsidRDefault="00B47442" w:rsidP="0099521D">
            <w:pPr>
              <w:pStyle w:val="BRL-Tabelle"/>
              <w:spacing w:before="60" w:after="40"/>
              <w:jc w:val="center"/>
              <w:rPr>
                <w:sz w:val="16"/>
              </w:rPr>
            </w:pPr>
          </w:p>
        </w:tc>
        <w:tc>
          <w:tcPr>
            <w:tcW w:w="433" w:type="dxa"/>
            <w:vAlign w:val="center"/>
          </w:tcPr>
          <w:p w14:paraId="06AE0A8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DD665F5"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5125973" w14:textId="77777777" w:rsidR="00B47442" w:rsidRPr="0009445C" w:rsidRDefault="00DC3464" w:rsidP="0099521D">
            <w:pPr>
              <w:pStyle w:val="BRL-Tabelle"/>
              <w:spacing w:before="60" w:after="40"/>
              <w:jc w:val="center"/>
              <w:rPr>
                <w:sz w:val="16"/>
              </w:rPr>
            </w:pPr>
            <w:r w:rsidRPr="0009445C">
              <w:rPr>
                <w:sz w:val="16"/>
              </w:rPr>
              <w:t>X</w:t>
            </w:r>
          </w:p>
        </w:tc>
        <w:tc>
          <w:tcPr>
            <w:tcW w:w="426" w:type="dxa"/>
            <w:vAlign w:val="center"/>
          </w:tcPr>
          <w:p w14:paraId="2BFE4468"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4930307"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5F6CE8C0" w14:textId="77777777" w:rsidTr="0099521D">
        <w:trPr>
          <w:trHeight w:val="264"/>
        </w:trPr>
        <w:tc>
          <w:tcPr>
            <w:tcW w:w="2355" w:type="dxa"/>
            <w:gridSpan w:val="2"/>
          </w:tcPr>
          <w:p w14:paraId="2BA2F947" w14:textId="77777777" w:rsidR="00B47442" w:rsidRPr="0009445C" w:rsidRDefault="00B47442" w:rsidP="0099521D">
            <w:pPr>
              <w:pStyle w:val="BRL-Tabelle"/>
              <w:spacing w:before="60" w:after="40"/>
            </w:pPr>
            <w:r w:rsidRPr="0009445C">
              <w:t>Shock (in operation)</w:t>
            </w:r>
          </w:p>
        </w:tc>
        <w:tc>
          <w:tcPr>
            <w:tcW w:w="427" w:type="dxa"/>
            <w:vAlign w:val="center"/>
          </w:tcPr>
          <w:p w14:paraId="2641DD81" w14:textId="77777777" w:rsidR="00B47442" w:rsidRPr="0009445C" w:rsidRDefault="00B47442" w:rsidP="0099521D">
            <w:pPr>
              <w:pStyle w:val="BRL-Tabelle"/>
              <w:spacing w:before="60" w:after="40"/>
              <w:jc w:val="center"/>
              <w:rPr>
                <w:sz w:val="16"/>
              </w:rPr>
            </w:pPr>
          </w:p>
        </w:tc>
        <w:tc>
          <w:tcPr>
            <w:tcW w:w="427" w:type="dxa"/>
            <w:vAlign w:val="center"/>
          </w:tcPr>
          <w:p w14:paraId="47DB66FE" w14:textId="77777777" w:rsidR="00B47442" w:rsidRPr="0009445C" w:rsidRDefault="00B47442" w:rsidP="0099521D">
            <w:pPr>
              <w:pStyle w:val="BRL-Tabelle"/>
              <w:spacing w:before="60" w:after="40"/>
              <w:jc w:val="center"/>
              <w:rPr>
                <w:sz w:val="16"/>
              </w:rPr>
            </w:pPr>
          </w:p>
        </w:tc>
        <w:tc>
          <w:tcPr>
            <w:tcW w:w="426" w:type="dxa"/>
            <w:vAlign w:val="center"/>
          </w:tcPr>
          <w:p w14:paraId="470B02E7"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C7B2F96"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CDD54E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20ED95E"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0EB5AE83"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6AF4966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43A0053"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02B3803"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51085FD"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35F0E58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5A2FB43"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088E2FB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1C9CC1C"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5A82A55"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06C8DD3C" w14:textId="77777777" w:rsidTr="0099521D">
        <w:trPr>
          <w:trHeight w:val="264"/>
        </w:trPr>
        <w:tc>
          <w:tcPr>
            <w:tcW w:w="2355" w:type="dxa"/>
            <w:gridSpan w:val="2"/>
          </w:tcPr>
          <w:p w14:paraId="702A00D6" w14:textId="77777777" w:rsidR="00B47442" w:rsidRPr="0009445C" w:rsidRDefault="00B47442" w:rsidP="0099521D">
            <w:pPr>
              <w:pStyle w:val="BRL-Tabelle"/>
              <w:spacing w:before="60" w:after="40"/>
            </w:pPr>
            <w:r w:rsidRPr="0009445C">
              <w:t xml:space="preserve">Dry heat </w:t>
            </w:r>
            <w:r w:rsidRPr="0009445C">
              <w:br/>
              <w:t>(in operation)</w:t>
            </w:r>
          </w:p>
        </w:tc>
        <w:tc>
          <w:tcPr>
            <w:tcW w:w="427" w:type="dxa"/>
            <w:vAlign w:val="center"/>
          </w:tcPr>
          <w:p w14:paraId="166F11F3" w14:textId="77777777" w:rsidR="00B47442" w:rsidRPr="0009445C" w:rsidRDefault="00B47442" w:rsidP="0099521D">
            <w:pPr>
              <w:pStyle w:val="BRL-Tabelle"/>
              <w:spacing w:before="60" w:after="40"/>
              <w:jc w:val="center"/>
              <w:rPr>
                <w:sz w:val="16"/>
              </w:rPr>
            </w:pPr>
          </w:p>
        </w:tc>
        <w:tc>
          <w:tcPr>
            <w:tcW w:w="427" w:type="dxa"/>
            <w:vAlign w:val="center"/>
          </w:tcPr>
          <w:p w14:paraId="3E1042A9"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0DA2DC1" w14:textId="77777777" w:rsidR="00B47442" w:rsidRPr="0009445C" w:rsidRDefault="00B47442" w:rsidP="0099521D">
            <w:pPr>
              <w:pStyle w:val="BRL-Tabelle"/>
              <w:spacing w:before="60" w:after="40"/>
              <w:jc w:val="center"/>
              <w:rPr>
                <w:sz w:val="16"/>
              </w:rPr>
            </w:pPr>
          </w:p>
        </w:tc>
        <w:tc>
          <w:tcPr>
            <w:tcW w:w="427" w:type="dxa"/>
            <w:vAlign w:val="center"/>
          </w:tcPr>
          <w:p w14:paraId="1D1A0F38" w14:textId="77777777" w:rsidR="00B47442" w:rsidRPr="0009445C" w:rsidRDefault="00B47442" w:rsidP="0099521D">
            <w:pPr>
              <w:pStyle w:val="BRL-Tabelle"/>
              <w:spacing w:before="60" w:after="40"/>
              <w:jc w:val="center"/>
              <w:rPr>
                <w:sz w:val="16"/>
              </w:rPr>
            </w:pPr>
          </w:p>
        </w:tc>
        <w:tc>
          <w:tcPr>
            <w:tcW w:w="425" w:type="dxa"/>
            <w:vAlign w:val="center"/>
          </w:tcPr>
          <w:p w14:paraId="0BC6A379"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E7A2169"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0E60ABC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2DAB146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73AEA8C" w14:textId="77777777" w:rsidR="00B47442" w:rsidRPr="0009445C" w:rsidRDefault="00B47442" w:rsidP="0099521D">
            <w:pPr>
              <w:pStyle w:val="BRL-Tabelle"/>
              <w:spacing w:before="60" w:after="40"/>
              <w:jc w:val="center"/>
              <w:rPr>
                <w:sz w:val="16"/>
              </w:rPr>
            </w:pPr>
          </w:p>
        </w:tc>
        <w:tc>
          <w:tcPr>
            <w:tcW w:w="426" w:type="dxa"/>
            <w:vAlign w:val="center"/>
          </w:tcPr>
          <w:p w14:paraId="4A44ADA3"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7C62992"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18359A5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B6E95FB" w14:textId="77777777" w:rsidR="00B47442" w:rsidRPr="0009445C" w:rsidRDefault="00B47442" w:rsidP="0099521D">
            <w:pPr>
              <w:pStyle w:val="BRL-Tabelle"/>
              <w:spacing w:before="60" w:after="40"/>
              <w:jc w:val="center"/>
              <w:rPr>
                <w:sz w:val="16"/>
              </w:rPr>
            </w:pPr>
          </w:p>
        </w:tc>
        <w:tc>
          <w:tcPr>
            <w:tcW w:w="427" w:type="dxa"/>
            <w:vAlign w:val="center"/>
          </w:tcPr>
          <w:p w14:paraId="3C7C95A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284F3FE"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1911B16"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1803F9A4" w14:textId="77777777" w:rsidTr="0099521D">
        <w:trPr>
          <w:trHeight w:val="264"/>
        </w:trPr>
        <w:tc>
          <w:tcPr>
            <w:tcW w:w="2355" w:type="dxa"/>
            <w:gridSpan w:val="2"/>
          </w:tcPr>
          <w:p w14:paraId="62DBE9C9" w14:textId="77777777" w:rsidR="00B47442" w:rsidRPr="0009445C" w:rsidRDefault="00B47442" w:rsidP="0099521D">
            <w:pPr>
              <w:pStyle w:val="BRL-Tabelle"/>
              <w:spacing w:before="60" w:after="40"/>
            </w:pPr>
            <w:r w:rsidRPr="0009445C">
              <w:t>Dry heat (durability test)</w:t>
            </w:r>
          </w:p>
        </w:tc>
        <w:tc>
          <w:tcPr>
            <w:tcW w:w="427" w:type="dxa"/>
            <w:vAlign w:val="center"/>
          </w:tcPr>
          <w:p w14:paraId="29A4BD8E" w14:textId="77777777" w:rsidR="00B47442" w:rsidRPr="0009445C" w:rsidRDefault="00B47442" w:rsidP="0099521D">
            <w:pPr>
              <w:pStyle w:val="BRL-Tabelle"/>
              <w:spacing w:before="60" w:after="40"/>
              <w:jc w:val="center"/>
              <w:rPr>
                <w:sz w:val="16"/>
              </w:rPr>
            </w:pPr>
          </w:p>
        </w:tc>
        <w:tc>
          <w:tcPr>
            <w:tcW w:w="427" w:type="dxa"/>
            <w:vAlign w:val="center"/>
          </w:tcPr>
          <w:p w14:paraId="3008BBE4"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6" w:type="dxa"/>
            <w:vAlign w:val="center"/>
          </w:tcPr>
          <w:p w14:paraId="5A1CE25C" w14:textId="77777777" w:rsidR="00B47442" w:rsidRPr="0009445C" w:rsidRDefault="00B47442" w:rsidP="0099521D">
            <w:pPr>
              <w:pStyle w:val="BRL-Tabelle"/>
              <w:spacing w:before="60" w:after="40"/>
              <w:jc w:val="center"/>
              <w:rPr>
                <w:sz w:val="16"/>
              </w:rPr>
            </w:pPr>
          </w:p>
        </w:tc>
        <w:tc>
          <w:tcPr>
            <w:tcW w:w="427" w:type="dxa"/>
            <w:vAlign w:val="center"/>
          </w:tcPr>
          <w:p w14:paraId="2124B6AB" w14:textId="77777777" w:rsidR="00B47442" w:rsidRPr="0009445C" w:rsidRDefault="00B47442" w:rsidP="0099521D">
            <w:pPr>
              <w:pStyle w:val="BRL-Tabelle"/>
              <w:spacing w:before="60" w:after="40"/>
              <w:jc w:val="center"/>
              <w:rPr>
                <w:sz w:val="16"/>
              </w:rPr>
            </w:pPr>
          </w:p>
        </w:tc>
        <w:tc>
          <w:tcPr>
            <w:tcW w:w="425" w:type="dxa"/>
            <w:vAlign w:val="center"/>
          </w:tcPr>
          <w:p w14:paraId="18809065" w14:textId="77777777" w:rsidR="00B47442" w:rsidRPr="0009445C" w:rsidRDefault="00B47442" w:rsidP="0099521D">
            <w:pPr>
              <w:pStyle w:val="BRL-Tabelle"/>
              <w:spacing w:before="60" w:after="40"/>
              <w:jc w:val="center"/>
              <w:rPr>
                <w:sz w:val="16"/>
              </w:rPr>
            </w:pPr>
          </w:p>
        </w:tc>
        <w:tc>
          <w:tcPr>
            <w:tcW w:w="426" w:type="dxa"/>
            <w:vAlign w:val="center"/>
          </w:tcPr>
          <w:p w14:paraId="1730371B" w14:textId="77777777" w:rsidR="00B47442" w:rsidRPr="0009445C" w:rsidRDefault="00B47442" w:rsidP="0099521D">
            <w:pPr>
              <w:pStyle w:val="BRL-Tabelle"/>
              <w:spacing w:before="60" w:after="40"/>
              <w:jc w:val="center"/>
              <w:rPr>
                <w:sz w:val="16"/>
              </w:rPr>
            </w:pPr>
          </w:p>
        </w:tc>
        <w:tc>
          <w:tcPr>
            <w:tcW w:w="428" w:type="dxa"/>
            <w:vAlign w:val="center"/>
          </w:tcPr>
          <w:p w14:paraId="2FBEB411"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7" w:type="dxa"/>
            <w:vAlign w:val="center"/>
          </w:tcPr>
          <w:p w14:paraId="420EBEED" w14:textId="77777777" w:rsidR="00B47442" w:rsidRPr="0009445C" w:rsidRDefault="00B47442" w:rsidP="0099521D">
            <w:pPr>
              <w:pStyle w:val="BRL-Tabelle"/>
              <w:spacing w:before="60" w:after="40"/>
              <w:jc w:val="center"/>
              <w:rPr>
                <w:sz w:val="16"/>
              </w:rPr>
            </w:pPr>
          </w:p>
        </w:tc>
        <w:tc>
          <w:tcPr>
            <w:tcW w:w="426" w:type="dxa"/>
            <w:vAlign w:val="center"/>
          </w:tcPr>
          <w:p w14:paraId="4ABF6044" w14:textId="77777777" w:rsidR="00B47442" w:rsidRPr="0009445C" w:rsidRDefault="00B47442" w:rsidP="0099521D">
            <w:pPr>
              <w:pStyle w:val="BRL-Tabelle"/>
              <w:spacing w:before="60" w:after="40"/>
              <w:jc w:val="center"/>
              <w:rPr>
                <w:sz w:val="16"/>
              </w:rPr>
            </w:pPr>
          </w:p>
        </w:tc>
        <w:tc>
          <w:tcPr>
            <w:tcW w:w="426" w:type="dxa"/>
            <w:vAlign w:val="center"/>
          </w:tcPr>
          <w:p w14:paraId="2ADCE633" w14:textId="77777777" w:rsidR="00B47442" w:rsidRPr="0009445C" w:rsidRDefault="00B47442" w:rsidP="0099521D">
            <w:pPr>
              <w:pStyle w:val="BRL-Tabelle"/>
              <w:spacing w:before="60" w:after="40"/>
              <w:jc w:val="center"/>
              <w:rPr>
                <w:sz w:val="16"/>
              </w:rPr>
            </w:pPr>
          </w:p>
        </w:tc>
        <w:tc>
          <w:tcPr>
            <w:tcW w:w="426" w:type="dxa"/>
            <w:vAlign w:val="center"/>
          </w:tcPr>
          <w:p w14:paraId="7777EFAA" w14:textId="77777777" w:rsidR="00B47442" w:rsidRPr="0009445C" w:rsidRDefault="00B47442" w:rsidP="0099521D">
            <w:pPr>
              <w:pStyle w:val="BRL-Tabelle"/>
              <w:spacing w:before="60" w:after="40"/>
              <w:jc w:val="center"/>
              <w:rPr>
                <w:sz w:val="16"/>
              </w:rPr>
            </w:pPr>
          </w:p>
        </w:tc>
        <w:tc>
          <w:tcPr>
            <w:tcW w:w="433" w:type="dxa"/>
            <w:vAlign w:val="center"/>
          </w:tcPr>
          <w:p w14:paraId="4F32555A" w14:textId="77777777" w:rsidR="00B47442" w:rsidRPr="0009445C" w:rsidRDefault="00B47442" w:rsidP="0099521D">
            <w:pPr>
              <w:pStyle w:val="BRL-Tabelle"/>
              <w:spacing w:before="60" w:after="40"/>
              <w:jc w:val="center"/>
              <w:rPr>
                <w:sz w:val="16"/>
              </w:rPr>
            </w:pPr>
          </w:p>
        </w:tc>
        <w:tc>
          <w:tcPr>
            <w:tcW w:w="426" w:type="dxa"/>
            <w:vAlign w:val="center"/>
          </w:tcPr>
          <w:p w14:paraId="59013CA1" w14:textId="77777777" w:rsidR="00B47442" w:rsidRPr="0009445C" w:rsidRDefault="00B47442" w:rsidP="0099521D">
            <w:pPr>
              <w:pStyle w:val="BRL-Tabelle"/>
              <w:spacing w:before="60" w:after="40"/>
              <w:jc w:val="center"/>
              <w:rPr>
                <w:sz w:val="16"/>
              </w:rPr>
            </w:pPr>
          </w:p>
        </w:tc>
        <w:tc>
          <w:tcPr>
            <w:tcW w:w="427" w:type="dxa"/>
            <w:vAlign w:val="center"/>
          </w:tcPr>
          <w:p w14:paraId="1F7FCBA6"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6" w:type="dxa"/>
            <w:vAlign w:val="center"/>
          </w:tcPr>
          <w:p w14:paraId="04B46D02"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7" w:type="dxa"/>
            <w:vAlign w:val="center"/>
          </w:tcPr>
          <w:p w14:paraId="18C6A711"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69922258" w14:textId="77777777" w:rsidTr="0099521D">
        <w:trPr>
          <w:trHeight w:val="264"/>
        </w:trPr>
        <w:tc>
          <w:tcPr>
            <w:tcW w:w="2355" w:type="dxa"/>
            <w:gridSpan w:val="2"/>
          </w:tcPr>
          <w:p w14:paraId="6B8CC079" w14:textId="77777777" w:rsidR="00B47442" w:rsidRPr="0009445C" w:rsidRDefault="00B47442" w:rsidP="0099521D">
            <w:pPr>
              <w:pStyle w:val="BRL-Tabelle"/>
              <w:keepNext/>
              <w:spacing w:before="60" w:after="40"/>
            </w:pPr>
            <w:r w:rsidRPr="0009445C">
              <w:t>Moist heat, cyclic (in operation)</w:t>
            </w:r>
          </w:p>
        </w:tc>
        <w:tc>
          <w:tcPr>
            <w:tcW w:w="427" w:type="dxa"/>
            <w:vAlign w:val="center"/>
          </w:tcPr>
          <w:p w14:paraId="11C0CF21" w14:textId="77777777" w:rsidR="00B47442" w:rsidRPr="0009445C" w:rsidRDefault="00B47442" w:rsidP="0099521D">
            <w:pPr>
              <w:pStyle w:val="BRL-Tabelle"/>
              <w:keepNext/>
              <w:spacing w:before="60" w:after="40"/>
              <w:jc w:val="center"/>
              <w:rPr>
                <w:sz w:val="16"/>
              </w:rPr>
            </w:pPr>
          </w:p>
        </w:tc>
        <w:tc>
          <w:tcPr>
            <w:tcW w:w="427" w:type="dxa"/>
            <w:vAlign w:val="center"/>
          </w:tcPr>
          <w:p w14:paraId="2CD6F17E" w14:textId="77777777" w:rsidR="00B47442" w:rsidRPr="0009445C" w:rsidRDefault="00B47442" w:rsidP="0099521D">
            <w:pPr>
              <w:pStyle w:val="BRL-Tabelle"/>
              <w:keepNext/>
              <w:spacing w:before="60" w:after="40"/>
              <w:jc w:val="center"/>
              <w:rPr>
                <w:sz w:val="16"/>
              </w:rPr>
            </w:pPr>
            <w:r w:rsidRPr="0009445C">
              <w:rPr>
                <w:sz w:val="16"/>
              </w:rPr>
              <w:t>X</w:t>
            </w:r>
          </w:p>
        </w:tc>
        <w:tc>
          <w:tcPr>
            <w:tcW w:w="426" w:type="dxa"/>
            <w:vAlign w:val="center"/>
          </w:tcPr>
          <w:p w14:paraId="4CFB33B5" w14:textId="77777777" w:rsidR="00B47442" w:rsidRPr="0009445C" w:rsidRDefault="00B47442" w:rsidP="0099521D">
            <w:pPr>
              <w:pStyle w:val="BRL-Tabelle"/>
              <w:keepNext/>
              <w:spacing w:before="60" w:after="40"/>
              <w:jc w:val="center"/>
              <w:rPr>
                <w:sz w:val="16"/>
              </w:rPr>
            </w:pPr>
          </w:p>
        </w:tc>
        <w:tc>
          <w:tcPr>
            <w:tcW w:w="427" w:type="dxa"/>
            <w:vAlign w:val="center"/>
          </w:tcPr>
          <w:p w14:paraId="5BFB84CA" w14:textId="77777777" w:rsidR="00B47442" w:rsidRPr="0009445C" w:rsidRDefault="00B47442" w:rsidP="0099521D">
            <w:pPr>
              <w:pStyle w:val="BRL-Tabelle"/>
              <w:keepNext/>
              <w:spacing w:before="60" w:after="40"/>
              <w:jc w:val="center"/>
              <w:rPr>
                <w:sz w:val="16"/>
              </w:rPr>
            </w:pPr>
            <w:r w:rsidRPr="0009445C">
              <w:rPr>
                <w:sz w:val="16"/>
              </w:rPr>
              <w:t>X</w:t>
            </w:r>
          </w:p>
        </w:tc>
        <w:tc>
          <w:tcPr>
            <w:tcW w:w="425" w:type="dxa"/>
            <w:vAlign w:val="center"/>
          </w:tcPr>
          <w:p w14:paraId="5B2211A6" w14:textId="77777777" w:rsidR="00B47442" w:rsidRPr="0009445C" w:rsidRDefault="00B47442" w:rsidP="0099521D">
            <w:pPr>
              <w:pStyle w:val="BRL-Tabelle"/>
              <w:keepNext/>
              <w:spacing w:before="60" w:after="40"/>
              <w:jc w:val="center"/>
              <w:rPr>
                <w:sz w:val="16"/>
              </w:rPr>
            </w:pPr>
          </w:p>
        </w:tc>
        <w:tc>
          <w:tcPr>
            <w:tcW w:w="426" w:type="dxa"/>
            <w:vAlign w:val="center"/>
          </w:tcPr>
          <w:p w14:paraId="450BE618" w14:textId="77777777" w:rsidR="00B47442" w:rsidRPr="0009445C" w:rsidRDefault="00B47442" w:rsidP="0099521D">
            <w:pPr>
              <w:pStyle w:val="BRL-Tabelle"/>
              <w:keepNext/>
              <w:spacing w:before="60" w:after="40"/>
              <w:jc w:val="center"/>
              <w:rPr>
                <w:sz w:val="16"/>
              </w:rPr>
            </w:pPr>
            <w:r w:rsidRPr="0009445C">
              <w:rPr>
                <w:sz w:val="16"/>
              </w:rPr>
              <w:t>X</w:t>
            </w:r>
          </w:p>
        </w:tc>
        <w:tc>
          <w:tcPr>
            <w:tcW w:w="428" w:type="dxa"/>
            <w:vAlign w:val="center"/>
          </w:tcPr>
          <w:p w14:paraId="748709EC" w14:textId="77777777" w:rsidR="00B47442" w:rsidRPr="0009445C" w:rsidRDefault="00B47442" w:rsidP="0099521D">
            <w:pPr>
              <w:pStyle w:val="BRL-Tabelle"/>
              <w:keepNext/>
              <w:spacing w:before="60" w:after="40"/>
              <w:jc w:val="center"/>
              <w:rPr>
                <w:sz w:val="16"/>
              </w:rPr>
            </w:pPr>
            <w:r w:rsidRPr="0009445C">
              <w:rPr>
                <w:sz w:val="16"/>
              </w:rPr>
              <w:t>X</w:t>
            </w:r>
          </w:p>
        </w:tc>
        <w:tc>
          <w:tcPr>
            <w:tcW w:w="427" w:type="dxa"/>
            <w:vAlign w:val="center"/>
          </w:tcPr>
          <w:p w14:paraId="7B948F74" w14:textId="77777777" w:rsidR="00B47442" w:rsidRPr="0009445C" w:rsidRDefault="00B47442" w:rsidP="0099521D">
            <w:pPr>
              <w:pStyle w:val="BRL-Tabelle"/>
              <w:keepNext/>
              <w:spacing w:before="60" w:after="40"/>
              <w:jc w:val="center"/>
              <w:rPr>
                <w:sz w:val="16"/>
              </w:rPr>
            </w:pPr>
          </w:p>
        </w:tc>
        <w:tc>
          <w:tcPr>
            <w:tcW w:w="426" w:type="dxa"/>
            <w:vAlign w:val="center"/>
          </w:tcPr>
          <w:p w14:paraId="0D504490" w14:textId="77777777" w:rsidR="00B47442" w:rsidRPr="0009445C" w:rsidRDefault="00B47442" w:rsidP="0099521D">
            <w:pPr>
              <w:pStyle w:val="BRL-Tabelle"/>
              <w:keepNext/>
              <w:spacing w:before="60" w:after="40"/>
              <w:jc w:val="center"/>
              <w:rPr>
                <w:sz w:val="16"/>
              </w:rPr>
            </w:pPr>
          </w:p>
        </w:tc>
        <w:tc>
          <w:tcPr>
            <w:tcW w:w="426" w:type="dxa"/>
            <w:vAlign w:val="center"/>
          </w:tcPr>
          <w:p w14:paraId="5B62FFAF" w14:textId="77777777" w:rsidR="00B47442" w:rsidRPr="0009445C" w:rsidRDefault="00B47442" w:rsidP="0099521D">
            <w:pPr>
              <w:pStyle w:val="BRL-Tabelle"/>
              <w:keepNext/>
              <w:spacing w:before="60" w:after="40"/>
              <w:jc w:val="center"/>
              <w:rPr>
                <w:sz w:val="16"/>
              </w:rPr>
            </w:pPr>
            <w:r w:rsidRPr="0009445C">
              <w:rPr>
                <w:sz w:val="16"/>
              </w:rPr>
              <w:t>X</w:t>
            </w:r>
          </w:p>
        </w:tc>
        <w:tc>
          <w:tcPr>
            <w:tcW w:w="426" w:type="dxa"/>
            <w:vAlign w:val="center"/>
          </w:tcPr>
          <w:p w14:paraId="7FF7BF53" w14:textId="77777777" w:rsidR="00B47442" w:rsidRPr="0009445C" w:rsidRDefault="00B47442" w:rsidP="0099521D">
            <w:pPr>
              <w:pStyle w:val="BRL-Tabelle"/>
              <w:keepNext/>
              <w:spacing w:before="60" w:after="40"/>
              <w:jc w:val="center"/>
              <w:rPr>
                <w:sz w:val="16"/>
              </w:rPr>
            </w:pPr>
            <w:r w:rsidRPr="0009445C">
              <w:rPr>
                <w:sz w:val="16"/>
              </w:rPr>
              <w:t>X</w:t>
            </w:r>
          </w:p>
        </w:tc>
        <w:tc>
          <w:tcPr>
            <w:tcW w:w="433" w:type="dxa"/>
            <w:vAlign w:val="center"/>
          </w:tcPr>
          <w:p w14:paraId="5E73E2CA" w14:textId="77777777" w:rsidR="00B47442" w:rsidRPr="0009445C" w:rsidRDefault="00B47442" w:rsidP="0099521D">
            <w:pPr>
              <w:pStyle w:val="BRL-Tabelle"/>
              <w:keepNext/>
              <w:spacing w:before="60" w:after="40"/>
              <w:jc w:val="center"/>
              <w:rPr>
                <w:sz w:val="16"/>
              </w:rPr>
            </w:pPr>
          </w:p>
        </w:tc>
        <w:tc>
          <w:tcPr>
            <w:tcW w:w="426" w:type="dxa"/>
          </w:tcPr>
          <w:p w14:paraId="1ED0412B" w14:textId="77777777" w:rsidR="00B47442" w:rsidRPr="0009445C" w:rsidRDefault="00B47442" w:rsidP="0099521D">
            <w:pPr>
              <w:pStyle w:val="BRL-Tabelle"/>
              <w:keepNext/>
              <w:spacing w:before="60" w:after="40"/>
              <w:jc w:val="center"/>
              <w:rPr>
                <w:sz w:val="16"/>
              </w:rPr>
            </w:pPr>
          </w:p>
        </w:tc>
        <w:tc>
          <w:tcPr>
            <w:tcW w:w="427" w:type="dxa"/>
            <w:vAlign w:val="center"/>
          </w:tcPr>
          <w:p w14:paraId="3660C3AC" w14:textId="77777777" w:rsidR="00B47442" w:rsidRPr="0009445C" w:rsidRDefault="00B47442" w:rsidP="0099521D">
            <w:pPr>
              <w:pStyle w:val="BRL-Tabelle"/>
              <w:keepNext/>
              <w:spacing w:before="60" w:after="40"/>
              <w:jc w:val="center"/>
              <w:rPr>
                <w:sz w:val="16"/>
              </w:rPr>
            </w:pPr>
            <w:r w:rsidRPr="0009445C">
              <w:rPr>
                <w:sz w:val="16"/>
              </w:rPr>
              <w:t>X</w:t>
            </w:r>
          </w:p>
        </w:tc>
        <w:tc>
          <w:tcPr>
            <w:tcW w:w="426" w:type="dxa"/>
            <w:vAlign w:val="center"/>
          </w:tcPr>
          <w:p w14:paraId="393F680A" w14:textId="77777777" w:rsidR="00B47442" w:rsidRPr="0009445C" w:rsidRDefault="00B47442" w:rsidP="0099521D">
            <w:pPr>
              <w:pStyle w:val="BRL-Tabelle"/>
              <w:keepNext/>
              <w:spacing w:before="60" w:after="40"/>
              <w:jc w:val="center"/>
              <w:rPr>
                <w:sz w:val="16"/>
              </w:rPr>
            </w:pPr>
            <w:r w:rsidRPr="0009445C">
              <w:rPr>
                <w:sz w:val="16"/>
              </w:rPr>
              <w:t>X</w:t>
            </w:r>
          </w:p>
        </w:tc>
        <w:tc>
          <w:tcPr>
            <w:tcW w:w="427" w:type="dxa"/>
            <w:vAlign w:val="center"/>
          </w:tcPr>
          <w:p w14:paraId="50871735" w14:textId="77777777" w:rsidR="00B47442" w:rsidRPr="0009445C" w:rsidRDefault="00B47442" w:rsidP="0099521D">
            <w:pPr>
              <w:pStyle w:val="BRL-Tabelle"/>
              <w:keepNext/>
              <w:spacing w:before="60" w:after="40"/>
              <w:jc w:val="center"/>
              <w:rPr>
                <w:sz w:val="16"/>
              </w:rPr>
            </w:pPr>
            <w:r w:rsidRPr="0009445C">
              <w:rPr>
                <w:sz w:val="16"/>
              </w:rPr>
              <w:t>X</w:t>
            </w:r>
            <w:r w:rsidRPr="0009445C">
              <w:rPr>
                <w:sz w:val="16"/>
                <w:vertAlign w:val="superscript"/>
              </w:rPr>
              <w:t>2)</w:t>
            </w:r>
          </w:p>
        </w:tc>
      </w:tr>
      <w:tr w:rsidR="00B47442" w:rsidRPr="0009445C" w14:paraId="4840E5FE" w14:textId="77777777" w:rsidTr="0099521D">
        <w:trPr>
          <w:trHeight w:val="264"/>
        </w:trPr>
        <w:tc>
          <w:tcPr>
            <w:tcW w:w="2355" w:type="dxa"/>
            <w:gridSpan w:val="2"/>
          </w:tcPr>
          <w:p w14:paraId="263C7EDC" w14:textId="77777777" w:rsidR="00B47442" w:rsidRPr="0009445C" w:rsidRDefault="00B47442" w:rsidP="0099521D">
            <w:pPr>
              <w:pStyle w:val="BRL-Tabelle"/>
              <w:spacing w:before="60" w:after="40"/>
            </w:pPr>
            <w:r w:rsidRPr="0009445C">
              <w:t>Moist heat, cyclic (durability test)</w:t>
            </w:r>
          </w:p>
        </w:tc>
        <w:tc>
          <w:tcPr>
            <w:tcW w:w="427" w:type="dxa"/>
            <w:vAlign w:val="center"/>
          </w:tcPr>
          <w:p w14:paraId="79DB7F2E" w14:textId="77777777" w:rsidR="00B47442" w:rsidRPr="0009445C" w:rsidRDefault="00B47442" w:rsidP="0099521D">
            <w:pPr>
              <w:pStyle w:val="BRL-Tabelle"/>
              <w:spacing w:before="60" w:after="40"/>
              <w:jc w:val="center"/>
              <w:rPr>
                <w:sz w:val="16"/>
              </w:rPr>
            </w:pPr>
          </w:p>
        </w:tc>
        <w:tc>
          <w:tcPr>
            <w:tcW w:w="427" w:type="dxa"/>
            <w:vAlign w:val="center"/>
          </w:tcPr>
          <w:p w14:paraId="74AB0FED"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6" w:type="dxa"/>
            <w:vAlign w:val="center"/>
          </w:tcPr>
          <w:p w14:paraId="618EFFFD" w14:textId="77777777" w:rsidR="00B47442" w:rsidRPr="0009445C" w:rsidRDefault="00B47442" w:rsidP="0099521D">
            <w:pPr>
              <w:pStyle w:val="BRL-Tabelle"/>
              <w:spacing w:before="60" w:after="40"/>
              <w:jc w:val="center"/>
              <w:rPr>
                <w:sz w:val="16"/>
              </w:rPr>
            </w:pPr>
          </w:p>
        </w:tc>
        <w:tc>
          <w:tcPr>
            <w:tcW w:w="427" w:type="dxa"/>
            <w:vAlign w:val="center"/>
          </w:tcPr>
          <w:p w14:paraId="45FF87B8" w14:textId="77777777" w:rsidR="00B47442" w:rsidRPr="0009445C" w:rsidRDefault="00B47442" w:rsidP="0099521D">
            <w:pPr>
              <w:pStyle w:val="BRL-Tabelle"/>
              <w:spacing w:before="60" w:after="40"/>
              <w:jc w:val="center"/>
              <w:rPr>
                <w:sz w:val="16"/>
              </w:rPr>
            </w:pPr>
          </w:p>
        </w:tc>
        <w:tc>
          <w:tcPr>
            <w:tcW w:w="425" w:type="dxa"/>
            <w:vAlign w:val="center"/>
          </w:tcPr>
          <w:p w14:paraId="77066C84" w14:textId="77777777" w:rsidR="00B47442" w:rsidRPr="0009445C" w:rsidRDefault="00B47442" w:rsidP="0099521D">
            <w:pPr>
              <w:pStyle w:val="BRL-Tabelle"/>
              <w:spacing w:before="60" w:after="40"/>
              <w:jc w:val="center"/>
              <w:rPr>
                <w:sz w:val="16"/>
              </w:rPr>
            </w:pPr>
          </w:p>
        </w:tc>
        <w:tc>
          <w:tcPr>
            <w:tcW w:w="426" w:type="dxa"/>
            <w:vAlign w:val="center"/>
          </w:tcPr>
          <w:p w14:paraId="4C7DF984" w14:textId="77777777" w:rsidR="00B47442" w:rsidRPr="0009445C" w:rsidRDefault="00B47442" w:rsidP="0099521D">
            <w:pPr>
              <w:pStyle w:val="BRL-Tabelle"/>
              <w:spacing w:before="60" w:after="40"/>
              <w:jc w:val="center"/>
              <w:rPr>
                <w:sz w:val="16"/>
              </w:rPr>
            </w:pPr>
          </w:p>
        </w:tc>
        <w:tc>
          <w:tcPr>
            <w:tcW w:w="428" w:type="dxa"/>
            <w:vAlign w:val="center"/>
          </w:tcPr>
          <w:p w14:paraId="17DA16A5"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7" w:type="dxa"/>
            <w:vAlign w:val="center"/>
          </w:tcPr>
          <w:p w14:paraId="24A37BAE" w14:textId="77777777" w:rsidR="00B47442" w:rsidRPr="0009445C" w:rsidRDefault="00B47442" w:rsidP="0099521D">
            <w:pPr>
              <w:pStyle w:val="BRL-Tabelle"/>
              <w:spacing w:before="60" w:after="40"/>
              <w:jc w:val="center"/>
              <w:rPr>
                <w:sz w:val="16"/>
              </w:rPr>
            </w:pPr>
          </w:p>
        </w:tc>
        <w:tc>
          <w:tcPr>
            <w:tcW w:w="426" w:type="dxa"/>
            <w:vAlign w:val="center"/>
          </w:tcPr>
          <w:p w14:paraId="2ECC7D7B" w14:textId="77777777" w:rsidR="00B47442" w:rsidRPr="0009445C" w:rsidRDefault="00B47442" w:rsidP="0099521D">
            <w:pPr>
              <w:pStyle w:val="BRL-Tabelle"/>
              <w:spacing w:before="60" w:after="40"/>
              <w:jc w:val="center"/>
              <w:rPr>
                <w:sz w:val="16"/>
              </w:rPr>
            </w:pPr>
          </w:p>
        </w:tc>
        <w:tc>
          <w:tcPr>
            <w:tcW w:w="426" w:type="dxa"/>
            <w:vAlign w:val="center"/>
          </w:tcPr>
          <w:p w14:paraId="75F6A528" w14:textId="77777777" w:rsidR="00B47442" w:rsidRPr="0009445C" w:rsidRDefault="00B47442" w:rsidP="0099521D">
            <w:pPr>
              <w:pStyle w:val="BRL-Tabelle"/>
              <w:spacing w:before="60" w:after="40"/>
              <w:jc w:val="center"/>
              <w:rPr>
                <w:sz w:val="16"/>
              </w:rPr>
            </w:pPr>
          </w:p>
        </w:tc>
        <w:tc>
          <w:tcPr>
            <w:tcW w:w="426" w:type="dxa"/>
            <w:vAlign w:val="center"/>
          </w:tcPr>
          <w:p w14:paraId="122AE8B2"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132D9D34" w14:textId="77777777" w:rsidR="00B47442" w:rsidRPr="0009445C" w:rsidRDefault="00B47442" w:rsidP="0099521D">
            <w:pPr>
              <w:pStyle w:val="BRL-Tabelle"/>
              <w:spacing w:before="60" w:after="40"/>
              <w:jc w:val="center"/>
              <w:rPr>
                <w:sz w:val="16"/>
              </w:rPr>
            </w:pPr>
          </w:p>
        </w:tc>
        <w:tc>
          <w:tcPr>
            <w:tcW w:w="426" w:type="dxa"/>
          </w:tcPr>
          <w:p w14:paraId="57F491A1" w14:textId="77777777" w:rsidR="00B47442" w:rsidRPr="0009445C" w:rsidRDefault="00B47442" w:rsidP="0099521D">
            <w:pPr>
              <w:pStyle w:val="BRL-Tabelle"/>
              <w:spacing w:before="60" w:after="40"/>
              <w:jc w:val="center"/>
              <w:rPr>
                <w:sz w:val="16"/>
              </w:rPr>
            </w:pPr>
          </w:p>
        </w:tc>
        <w:tc>
          <w:tcPr>
            <w:tcW w:w="427" w:type="dxa"/>
            <w:vAlign w:val="center"/>
          </w:tcPr>
          <w:p w14:paraId="5C83C11A"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6" w:type="dxa"/>
            <w:vAlign w:val="center"/>
          </w:tcPr>
          <w:p w14:paraId="4593E6B3"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7" w:type="dxa"/>
            <w:vAlign w:val="center"/>
          </w:tcPr>
          <w:p w14:paraId="56063C37" w14:textId="77777777" w:rsidR="00B47442" w:rsidRPr="0009445C" w:rsidRDefault="00B47442" w:rsidP="0099521D">
            <w:pPr>
              <w:pStyle w:val="BRL-Tabelle"/>
              <w:spacing w:before="60" w:after="40"/>
              <w:jc w:val="center"/>
              <w:rPr>
                <w:sz w:val="16"/>
              </w:rPr>
            </w:pPr>
          </w:p>
        </w:tc>
      </w:tr>
      <w:tr w:rsidR="00B47442" w:rsidRPr="0009445C" w14:paraId="721B740D" w14:textId="77777777" w:rsidTr="0099521D">
        <w:trPr>
          <w:trHeight w:val="264"/>
        </w:trPr>
        <w:tc>
          <w:tcPr>
            <w:tcW w:w="2355" w:type="dxa"/>
            <w:gridSpan w:val="2"/>
          </w:tcPr>
          <w:p w14:paraId="7CC41D35" w14:textId="77777777" w:rsidR="00B47442" w:rsidRPr="0009445C" w:rsidRDefault="00B47442" w:rsidP="0099521D">
            <w:pPr>
              <w:pStyle w:val="BRL-Tabelle"/>
              <w:spacing w:before="60" w:after="40"/>
            </w:pPr>
            <w:r w:rsidRPr="0009445C">
              <w:t>Sulphur dioxide corrosion (durability test)</w:t>
            </w:r>
          </w:p>
        </w:tc>
        <w:tc>
          <w:tcPr>
            <w:tcW w:w="427" w:type="dxa"/>
            <w:vAlign w:val="center"/>
          </w:tcPr>
          <w:p w14:paraId="0AA17597" w14:textId="77777777" w:rsidR="00B47442" w:rsidRPr="0009445C" w:rsidRDefault="00B47442" w:rsidP="0099521D">
            <w:pPr>
              <w:pStyle w:val="BRL-Tabelle"/>
              <w:spacing w:before="60" w:after="40"/>
              <w:jc w:val="center"/>
              <w:rPr>
                <w:sz w:val="16"/>
              </w:rPr>
            </w:pPr>
          </w:p>
        </w:tc>
        <w:tc>
          <w:tcPr>
            <w:tcW w:w="427" w:type="dxa"/>
            <w:vAlign w:val="center"/>
          </w:tcPr>
          <w:p w14:paraId="6F28D4B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C75F097" w14:textId="77777777" w:rsidR="00B47442" w:rsidRPr="0009445C" w:rsidRDefault="00B47442" w:rsidP="0099521D">
            <w:pPr>
              <w:pStyle w:val="BRL-Tabelle"/>
              <w:spacing w:before="60" w:after="40"/>
              <w:jc w:val="center"/>
              <w:rPr>
                <w:sz w:val="16"/>
              </w:rPr>
            </w:pPr>
          </w:p>
        </w:tc>
        <w:tc>
          <w:tcPr>
            <w:tcW w:w="427" w:type="dxa"/>
            <w:vAlign w:val="center"/>
          </w:tcPr>
          <w:p w14:paraId="239B7EA4"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1F560C62"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325C4EC"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1B0069DA"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9E99B0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1EE06CF" w14:textId="77777777" w:rsidR="00B47442" w:rsidRPr="0009445C" w:rsidRDefault="00B47442" w:rsidP="0099521D">
            <w:pPr>
              <w:pStyle w:val="BRL-Tabelle"/>
              <w:spacing w:before="60" w:after="40"/>
              <w:jc w:val="center"/>
              <w:rPr>
                <w:sz w:val="16"/>
              </w:rPr>
            </w:pPr>
          </w:p>
        </w:tc>
        <w:tc>
          <w:tcPr>
            <w:tcW w:w="426" w:type="dxa"/>
            <w:vAlign w:val="center"/>
          </w:tcPr>
          <w:p w14:paraId="7387F8F4"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266ACF7"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7806512D" w14:textId="77777777" w:rsidR="00B47442" w:rsidRPr="0009445C" w:rsidRDefault="00B47442" w:rsidP="0099521D">
            <w:pPr>
              <w:pStyle w:val="BRL-Tabelle"/>
              <w:spacing w:before="60" w:after="40"/>
              <w:jc w:val="center"/>
              <w:rPr>
                <w:sz w:val="16"/>
              </w:rPr>
            </w:pPr>
            <w:r w:rsidRPr="0009445C">
              <w:rPr>
                <w:sz w:val="16"/>
              </w:rPr>
              <w:t>X</w:t>
            </w:r>
          </w:p>
        </w:tc>
        <w:tc>
          <w:tcPr>
            <w:tcW w:w="426" w:type="dxa"/>
          </w:tcPr>
          <w:p w14:paraId="25651633" w14:textId="77777777" w:rsidR="00B47442" w:rsidRPr="0009445C" w:rsidRDefault="00B47442" w:rsidP="0099521D">
            <w:pPr>
              <w:pStyle w:val="BRL-Tabelle"/>
              <w:spacing w:before="60" w:after="40"/>
              <w:jc w:val="center"/>
              <w:rPr>
                <w:sz w:val="16"/>
              </w:rPr>
            </w:pPr>
          </w:p>
        </w:tc>
        <w:tc>
          <w:tcPr>
            <w:tcW w:w="427" w:type="dxa"/>
            <w:vAlign w:val="center"/>
          </w:tcPr>
          <w:p w14:paraId="321156E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E3FB47B"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CFBC759"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5762609C" w14:textId="77777777" w:rsidTr="0099521D">
        <w:trPr>
          <w:trHeight w:val="264"/>
        </w:trPr>
        <w:tc>
          <w:tcPr>
            <w:tcW w:w="2355" w:type="dxa"/>
            <w:gridSpan w:val="2"/>
          </w:tcPr>
          <w:p w14:paraId="224004F2" w14:textId="77777777" w:rsidR="00B47442" w:rsidRPr="0009445C" w:rsidRDefault="00B47442" w:rsidP="0099521D">
            <w:pPr>
              <w:pStyle w:val="BRL-Tabelle"/>
              <w:spacing w:before="60" w:after="40"/>
            </w:pPr>
            <w:r w:rsidRPr="0009445C">
              <w:t>Impact (in operation)</w:t>
            </w:r>
          </w:p>
        </w:tc>
        <w:tc>
          <w:tcPr>
            <w:tcW w:w="427" w:type="dxa"/>
            <w:vAlign w:val="center"/>
          </w:tcPr>
          <w:p w14:paraId="0D0A72E3" w14:textId="77777777" w:rsidR="00B47442" w:rsidRPr="0009445C" w:rsidRDefault="00B47442" w:rsidP="0099521D">
            <w:pPr>
              <w:pStyle w:val="BRL-Tabelle"/>
              <w:spacing w:before="60" w:after="40"/>
              <w:jc w:val="center"/>
              <w:rPr>
                <w:sz w:val="16"/>
              </w:rPr>
            </w:pPr>
          </w:p>
        </w:tc>
        <w:tc>
          <w:tcPr>
            <w:tcW w:w="427" w:type="dxa"/>
            <w:vAlign w:val="center"/>
          </w:tcPr>
          <w:p w14:paraId="64E6201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6B690F74" w14:textId="77777777" w:rsidR="00B47442" w:rsidRPr="0009445C" w:rsidRDefault="00B47442" w:rsidP="0099521D">
            <w:pPr>
              <w:pStyle w:val="BRL-Tabelle"/>
              <w:spacing w:before="60" w:after="40"/>
              <w:jc w:val="center"/>
              <w:rPr>
                <w:sz w:val="16"/>
              </w:rPr>
            </w:pPr>
          </w:p>
        </w:tc>
        <w:tc>
          <w:tcPr>
            <w:tcW w:w="427" w:type="dxa"/>
            <w:vAlign w:val="center"/>
          </w:tcPr>
          <w:p w14:paraId="3882C8D5"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0C5F583E"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0C8F33A"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7827D474" w14:textId="77777777" w:rsidR="00B47442" w:rsidRPr="0009445C" w:rsidRDefault="00B47442" w:rsidP="0099521D">
            <w:pPr>
              <w:pStyle w:val="BRL-Tabelle"/>
              <w:spacing w:before="60" w:after="40"/>
              <w:jc w:val="center"/>
              <w:rPr>
                <w:sz w:val="16"/>
              </w:rPr>
            </w:pPr>
          </w:p>
        </w:tc>
        <w:tc>
          <w:tcPr>
            <w:tcW w:w="427" w:type="dxa"/>
            <w:vAlign w:val="center"/>
          </w:tcPr>
          <w:p w14:paraId="2B0E64EC" w14:textId="77777777" w:rsidR="00B47442" w:rsidRPr="0009445C" w:rsidRDefault="00B47442" w:rsidP="0099521D">
            <w:pPr>
              <w:pStyle w:val="BRL-Tabelle"/>
              <w:spacing w:before="60" w:after="40"/>
              <w:jc w:val="center"/>
              <w:rPr>
                <w:sz w:val="16"/>
              </w:rPr>
            </w:pPr>
          </w:p>
        </w:tc>
        <w:tc>
          <w:tcPr>
            <w:tcW w:w="426" w:type="dxa"/>
            <w:vAlign w:val="center"/>
          </w:tcPr>
          <w:p w14:paraId="62427219" w14:textId="77777777" w:rsidR="00B47442" w:rsidRPr="0009445C" w:rsidRDefault="00B47442" w:rsidP="0099521D">
            <w:pPr>
              <w:pStyle w:val="BRL-Tabelle"/>
              <w:spacing w:before="60" w:after="40"/>
              <w:jc w:val="center"/>
              <w:rPr>
                <w:sz w:val="16"/>
              </w:rPr>
            </w:pPr>
          </w:p>
        </w:tc>
        <w:tc>
          <w:tcPr>
            <w:tcW w:w="426" w:type="dxa"/>
            <w:vAlign w:val="center"/>
          </w:tcPr>
          <w:p w14:paraId="2A20040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29480778"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4B534888" w14:textId="77777777" w:rsidR="00B47442" w:rsidRPr="0009445C" w:rsidRDefault="00B47442" w:rsidP="0099521D">
            <w:pPr>
              <w:pStyle w:val="BRL-Tabelle"/>
              <w:spacing w:before="60" w:after="40"/>
              <w:jc w:val="center"/>
              <w:rPr>
                <w:sz w:val="16"/>
              </w:rPr>
            </w:pPr>
            <w:r w:rsidRPr="0009445C">
              <w:rPr>
                <w:sz w:val="16"/>
              </w:rPr>
              <w:t>X</w:t>
            </w:r>
          </w:p>
        </w:tc>
        <w:tc>
          <w:tcPr>
            <w:tcW w:w="426" w:type="dxa"/>
          </w:tcPr>
          <w:p w14:paraId="55125D40" w14:textId="77777777" w:rsidR="00B47442" w:rsidRPr="0009445C" w:rsidRDefault="00B47442" w:rsidP="0099521D">
            <w:pPr>
              <w:pStyle w:val="BRL-Tabelle"/>
              <w:spacing w:before="60" w:after="40"/>
              <w:jc w:val="center"/>
              <w:rPr>
                <w:sz w:val="16"/>
              </w:rPr>
            </w:pPr>
          </w:p>
        </w:tc>
        <w:tc>
          <w:tcPr>
            <w:tcW w:w="427" w:type="dxa"/>
            <w:vAlign w:val="center"/>
          </w:tcPr>
          <w:p w14:paraId="3C9043E8"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589E517"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626539D"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2)</w:t>
            </w:r>
          </w:p>
        </w:tc>
      </w:tr>
      <w:tr w:rsidR="00B47442" w:rsidRPr="0009445C" w14:paraId="42385815" w14:textId="77777777" w:rsidTr="0099521D">
        <w:trPr>
          <w:trHeight w:val="264"/>
        </w:trPr>
        <w:tc>
          <w:tcPr>
            <w:tcW w:w="2355" w:type="dxa"/>
            <w:gridSpan w:val="2"/>
          </w:tcPr>
          <w:p w14:paraId="742131D0" w14:textId="77777777" w:rsidR="00B47442" w:rsidRPr="0009445C" w:rsidRDefault="00B47442" w:rsidP="0099521D">
            <w:pPr>
              <w:pStyle w:val="BRL-Tabelle"/>
              <w:spacing w:before="60" w:after="40"/>
            </w:pPr>
            <w:r w:rsidRPr="0009445C">
              <w:t>Oscillation, sinusoidal (in operation)</w:t>
            </w:r>
          </w:p>
        </w:tc>
        <w:tc>
          <w:tcPr>
            <w:tcW w:w="427" w:type="dxa"/>
            <w:vAlign w:val="center"/>
          </w:tcPr>
          <w:p w14:paraId="3880DD0B" w14:textId="77777777" w:rsidR="00B47442" w:rsidRPr="0009445C" w:rsidRDefault="00B47442" w:rsidP="0099521D">
            <w:pPr>
              <w:pStyle w:val="BRL-Tabelle"/>
              <w:spacing w:before="60" w:after="40"/>
              <w:jc w:val="center"/>
              <w:rPr>
                <w:sz w:val="16"/>
              </w:rPr>
            </w:pPr>
          </w:p>
        </w:tc>
        <w:tc>
          <w:tcPr>
            <w:tcW w:w="427" w:type="dxa"/>
            <w:vAlign w:val="center"/>
          </w:tcPr>
          <w:p w14:paraId="42ACB8CD"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73A6716" w14:textId="77777777" w:rsidR="00B47442" w:rsidRPr="0009445C" w:rsidRDefault="00B47442" w:rsidP="0099521D">
            <w:pPr>
              <w:pStyle w:val="BRL-Tabelle"/>
              <w:spacing w:before="60" w:after="40"/>
              <w:jc w:val="center"/>
              <w:rPr>
                <w:sz w:val="16"/>
              </w:rPr>
            </w:pPr>
          </w:p>
        </w:tc>
        <w:tc>
          <w:tcPr>
            <w:tcW w:w="427" w:type="dxa"/>
            <w:vAlign w:val="center"/>
          </w:tcPr>
          <w:p w14:paraId="1691B64C"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6F0B4C7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F813651"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3B0D872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107F40A" w14:textId="77777777" w:rsidR="00B47442" w:rsidRPr="0009445C" w:rsidRDefault="00B47442" w:rsidP="0099521D">
            <w:pPr>
              <w:pStyle w:val="BRL-Tabelle"/>
              <w:spacing w:before="60" w:after="40"/>
              <w:jc w:val="center"/>
              <w:rPr>
                <w:sz w:val="16"/>
              </w:rPr>
            </w:pPr>
          </w:p>
        </w:tc>
        <w:tc>
          <w:tcPr>
            <w:tcW w:w="426" w:type="dxa"/>
            <w:vAlign w:val="center"/>
          </w:tcPr>
          <w:p w14:paraId="7929CE9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3E66D9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A06F653"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08249809"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EE9487D"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68EDE9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41FE385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0C57578"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4FCB3FC5" w14:textId="77777777" w:rsidTr="0099521D">
        <w:trPr>
          <w:trHeight w:val="264"/>
        </w:trPr>
        <w:tc>
          <w:tcPr>
            <w:tcW w:w="2355" w:type="dxa"/>
            <w:gridSpan w:val="2"/>
          </w:tcPr>
          <w:p w14:paraId="0697EF28" w14:textId="77777777" w:rsidR="00B47442" w:rsidRPr="0009445C" w:rsidRDefault="00B47442" w:rsidP="0099521D">
            <w:pPr>
              <w:pStyle w:val="BRL-Tabelle"/>
              <w:spacing w:before="60" w:after="40"/>
            </w:pPr>
            <w:r w:rsidRPr="0009445C">
              <w:t>Oscillation, sinusoid (durability test)</w:t>
            </w:r>
          </w:p>
        </w:tc>
        <w:tc>
          <w:tcPr>
            <w:tcW w:w="427" w:type="dxa"/>
            <w:vAlign w:val="center"/>
          </w:tcPr>
          <w:p w14:paraId="0DBE76A0" w14:textId="77777777" w:rsidR="00B47442" w:rsidRPr="0009445C" w:rsidRDefault="00B47442" w:rsidP="0099521D">
            <w:pPr>
              <w:pStyle w:val="BRL-Tabelle"/>
              <w:spacing w:before="60" w:after="40"/>
              <w:jc w:val="center"/>
              <w:rPr>
                <w:sz w:val="16"/>
              </w:rPr>
            </w:pPr>
          </w:p>
        </w:tc>
        <w:tc>
          <w:tcPr>
            <w:tcW w:w="427" w:type="dxa"/>
            <w:vAlign w:val="center"/>
          </w:tcPr>
          <w:p w14:paraId="5ED9883A"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A4C0A6F" w14:textId="77777777" w:rsidR="00B47442" w:rsidRPr="0009445C" w:rsidRDefault="00B47442" w:rsidP="0099521D">
            <w:pPr>
              <w:pStyle w:val="BRL-Tabelle"/>
              <w:spacing w:before="60" w:after="40"/>
              <w:jc w:val="center"/>
              <w:rPr>
                <w:sz w:val="16"/>
              </w:rPr>
            </w:pPr>
          </w:p>
        </w:tc>
        <w:tc>
          <w:tcPr>
            <w:tcW w:w="427" w:type="dxa"/>
            <w:vAlign w:val="center"/>
          </w:tcPr>
          <w:p w14:paraId="32393DB6"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59012C7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D1461D2"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31F987C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CDB035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91BC18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08DB1B61"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8B5FD7A"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58CA15B9"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BB04354"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1413E7A7"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AAAA7FD"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5FFB8932" w14:textId="77777777" w:rsidR="00B47442" w:rsidRPr="0009445C" w:rsidRDefault="00B47442" w:rsidP="0099521D">
            <w:pPr>
              <w:pStyle w:val="BRL-Tabelle"/>
              <w:spacing w:before="60" w:after="40"/>
              <w:jc w:val="center"/>
              <w:rPr>
                <w:sz w:val="16"/>
              </w:rPr>
            </w:pPr>
            <w:r w:rsidRPr="0009445C">
              <w:rPr>
                <w:sz w:val="16"/>
              </w:rPr>
              <w:t>X</w:t>
            </w:r>
          </w:p>
        </w:tc>
      </w:tr>
      <w:tr w:rsidR="00B47442" w:rsidRPr="0009445C" w14:paraId="2DE06BA3" w14:textId="77777777" w:rsidTr="0099521D">
        <w:trPr>
          <w:trHeight w:val="264"/>
        </w:trPr>
        <w:tc>
          <w:tcPr>
            <w:tcW w:w="2355" w:type="dxa"/>
            <w:gridSpan w:val="2"/>
          </w:tcPr>
          <w:p w14:paraId="435A4507" w14:textId="77777777" w:rsidR="00B47442" w:rsidRPr="0009445C" w:rsidRDefault="00B47442" w:rsidP="0099521D">
            <w:pPr>
              <w:pStyle w:val="BRL-Tabelle"/>
              <w:spacing w:before="60" w:after="40"/>
            </w:pPr>
            <w:r w:rsidRPr="0009445C">
              <w:t>Production by housing</w:t>
            </w:r>
          </w:p>
        </w:tc>
        <w:tc>
          <w:tcPr>
            <w:tcW w:w="427" w:type="dxa"/>
            <w:vAlign w:val="center"/>
          </w:tcPr>
          <w:p w14:paraId="7916FCEC" w14:textId="77777777" w:rsidR="00B47442" w:rsidRPr="0009445C" w:rsidRDefault="00B47442" w:rsidP="0099521D">
            <w:pPr>
              <w:pStyle w:val="BRL-Tabelle"/>
              <w:spacing w:before="60" w:after="40"/>
              <w:jc w:val="center"/>
              <w:rPr>
                <w:sz w:val="16"/>
              </w:rPr>
            </w:pPr>
          </w:p>
        </w:tc>
        <w:tc>
          <w:tcPr>
            <w:tcW w:w="427" w:type="dxa"/>
            <w:vAlign w:val="center"/>
          </w:tcPr>
          <w:p w14:paraId="01F1F2B5"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9F8BEBB" w14:textId="77777777" w:rsidR="00B47442" w:rsidRPr="0009445C" w:rsidRDefault="00B47442" w:rsidP="0099521D">
            <w:pPr>
              <w:pStyle w:val="BRL-Tabelle"/>
              <w:spacing w:before="60" w:after="40"/>
              <w:jc w:val="center"/>
              <w:rPr>
                <w:sz w:val="16"/>
              </w:rPr>
            </w:pPr>
          </w:p>
        </w:tc>
        <w:tc>
          <w:tcPr>
            <w:tcW w:w="427" w:type="dxa"/>
            <w:vAlign w:val="center"/>
          </w:tcPr>
          <w:p w14:paraId="16B9CF86" w14:textId="77777777" w:rsidR="00B47442" w:rsidRPr="0009445C" w:rsidRDefault="00B47442" w:rsidP="0099521D">
            <w:pPr>
              <w:pStyle w:val="BRL-Tabelle"/>
              <w:spacing w:before="60" w:after="40"/>
              <w:jc w:val="center"/>
              <w:rPr>
                <w:sz w:val="16"/>
              </w:rPr>
            </w:pPr>
          </w:p>
        </w:tc>
        <w:tc>
          <w:tcPr>
            <w:tcW w:w="425" w:type="dxa"/>
            <w:vAlign w:val="center"/>
          </w:tcPr>
          <w:p w14:paraId="715B0C03" w14:textId="77777777" w:rsidR="00B47442" w:rsidRPr="0009445C" w:rsidRDefault="00B47442" w:rsidP="0099521D">
            <w:pPr>
              <w:pStyle w:val="BRL-Tabelle"/>
              <w:spacing w:before="60" w:after="40"/>
              <w:jc w:val="center"/>
              <w:rPr>
                <w:sz w:val="16"/>
              </w:rPr>
            </w:pPr>
          </w:p>
        </w:tc>
        <w:tc>
          <w:tcPr>
            <w:tcW w:w="426" w:type="dxa"/>
            <w:vAlign w:val="center"/>
          </w:tcPr>
          <w:p w14:paraId="4CE8C21B" w14:textId="77777777" w:rsidR="00B47442" w:rsidRPr="0009445C" w:rsidRDefault="00B47442" w:rsidP="0099521D">
            <w:pPr>
              <w:pStyle w:val="BRL-Tabelle"/>
              <w:spacing w:before="60" w:after="40"/>
              <w:jc w:val="center"/>
              <w:rPr>
                <w:sz w:val="16"/>
              </w:rPr>
            </w:pPr>
          </w:p>
        </w:tc>
        <w:tc>
          <w:tcPr>
            <w:tcW w:w="428" w:type="dxa"/>
            <w:vAlign w:val="center"/>
          </w:tcPr>
          <w:p w14:paraId="186B58C2" w14:textId="77777777" w:rsidR="00B47442" w:rsidRPr="0009445C" w:rsidRDefault="00B47442" w:rsidP="0099521D">
            <w:pPr>
              <w:pStyle w:val="BRL-Tabelle"/>
              <w:spacing w:before="60" w:after="40"/>
              <w:jc w:val="center"/>
              <w:rPr>
                <w:sz w:val="16"/>
              </w:rPr>
            </w:pPr>
            <w:r w:rsidRPr="0009445C">
              <w:rPr>
                <w:sz w:val="16"/>
              </w:rPr>
              <w:t>X</w:t>
            </w:r>
            <w:r w:rsidRPr="0009445C">
              <w:rPr>
                <w:sz w:val="16"/>
                <w:vertAlign w:val="superscript"/>
              </w:rPr>
              <w:t>1)</w:t>
            </w:r>
          </w:p>
        </w:tc>
        <w:tc>
          <w:tcPr>
            <w:tcW w:w="427" w:type="dxa"/>
            <w:vAlign w:val="center"/>
          </w:tcPr>
          <w:p w14:paraId="6938C0DF" w14:textId="77777777" w:rsidR="00B47442" w:rsidRPr="0009445C" w:rsidRDefault="00B47442" w:rsidP="0099521D">
            <w:pPr>
              <w:pStyle w:val="BRL-Tabelle"/>
              <w:spacing w:before="60" w:after="40"/>
              <w:jc w:val="center"/>
              <w:rPr>
                <w:sz w:val="16"/>
              </w:rPr>
            </w:pPr>
          </w:p>
        </w:tc>
        <w:tc>
          <w:tcPr>
            <w:tcW w:w="426" w:type="dxa"/>
            <w:vAlign w:val="center"/>
          </w:tcPr>
          <w:p w14:paraId="414C2645" w14:textId="77777777" w:rsidR="00B47442" w:rsidRPr="0009445C" w:rsidRDefault="00B47442" w:rsidP="0099521D">
            <w:pPr>
              <w:pStyle w:val="BRL-Tabelle"/>
              <w:spacing w:before="60" w:after="40"/>
              <w:jc w:val="center"/>
              <w:rPr>
                <w:sz w:val="16"/>
              </w:rPr>
            </w:pPr>
          </w:p>
        </w:tc>
        <w:tc>
          <w:tcPr>
            <w:tcW w:w="426" w:type="dxa"/>
            <w:vAlign w:val="center"/>
          </w:tcPr>
          <w:p w14:paraId="2164F731" w14:textId="77777777" w:rsidR="00B47442" w:rsidRPr="0009445C" w:rsidRDefault="00B47442" w:rsidP="0099521D">
            <w:pPr>
              <w:pStyle w:val="BRL-Tabelle"/>
              <w:spacing w:before="60" w:after="40"/>
              <w:jc w:val="center"/>
              <w:rPr>
                <w:sz w:val="16"/>
              </w:rPr>
            </w:pPr>
          </w:p>
        </w:tc>
        <w:tc>
          <w:tcPr>
            <w:tcW w:w="426" w:type="dxa"/>
            <w:vAlign w:val="center"/>
          </w:tcPr>
          <w:p w14:paraId="396BC946" w14:textId="77777777" w:rsidR="00B47442" w:rsidRPr="0009445C" w:rsidRDefault="00B47442" w:rsidP="0099521D">
            <w:pPr>
              <w:pStyle w:val="BRL-Tabelle"/>
              <w:spacing w:before="60" w:after="40"/>
              <w:jc w:val="center"/>
              <w:rPr>
                <w:sz w:val="16"/>
              </w:rPr>
            </w:pPr>
          </w:p>
        </w:tc>
        <w:tc>
          <w:tcPr>
            <w:tcW w:w="433" w:type="dxa"/>
            <w:vAlign w:val="center"/>
          </w:tcPr>
          <w:p w14:paraId="77155E4A" w14:textId="77777777" w:rsidR="00B47442" w:rsidRPr="0009445C" w:rsidRDefault="00B47442" w:rsidP="0099521D">
            <w:pPr>
              <w:pStyle w:val="BRL-Tabelle"/>
              <w:spacing w:before="60" w:after="40"/>
              <w:jc w:val="center"/>
              <w:rPr>
                <w:sz w:val="16"/>
              </w:rPr>
            </w:pPr>
          </w:p>
        </w:tc>
        <w:tc>
          <w:tcPr>
            <w:tcW w:w="426" w:type="dxa"/>
            <w:vAlign w:val="center"/>
          </w:tcPr>
          <w:p w14:paraId="09CF3140" w14:textId="77777777" w:rsidR="00B47442" w:rsidRPr="0009445C" w:rsidRDefault="00B47442" w:rsidP="0099521D">
            <w:pPr>
              <w:pStyle w:val="BRL-Tabelle"/>
              <w:spacing w:before="60" w:after="40"/>
              <w:jc w:val="center"/>
              <w:rPr>
                <w:sz w:val="16"/>
              </w:rPr>
            </w:pPr>
          </w:p>
        </w:tc>
        <w:tc>
          <w:tcPr>
            <w:tcW w:w="427" w:type="dxa"/>
            <w:vAlign w:val="center"/>
          </w:tcPr>
          <w:p w14:paraId="6CA11B2C"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B9C464A" w14:textId="77777777" w:rsidR="00B47442" w:rsidRPr="0009445C" w:rsidRDefault="00B47442" w:rsidP="0099521D">
            <w:pPr>
              <w:pStyle w:val="BRL-Tabelle"/>
              <w:spacing w:before="60" w:after="40"/>
              <w:jc w:val="center"/>
              <w:rPr>
                <w:sz w:val="16"/>
              </w:rPr>
            </w:pPr>
          </w:p>
        </w:tc>
        <w:tc>
          <w:tcPr>
            <w:tcW w:w="427" w:type="dxa"/>
            <w:vAlign w:val="center"/>
          </w:tcPr>
          <w:p w14:paraId="354186E2" w14:textId="77777777" w:rsidR="00B47442" w:rsidRPr="0009445C" w:rsidRDefault="00B47442" w:rsidP="0099521D">
            <w:pPr>
              <w:pStyle w:val="BRL-Tabelle"/>
              <w:spacing w:before="60" w:after="40"/>
              <w:jc w:val="center"/>
              <w:rPr>
                <w:sz w:val="16"/>
              </w:rPr>
            </w:pPr>
          </w:p>
        </w:tc>
      </w:tr>
      <w:tr w:rsidR="00B47442" w:rsidRPr="0009445C" w14:paraId="5AC1CB29" w14:textId="77777777" w:rsidTr="0099521D">
        <w:trPr>
          <w:trHeight w:val="264"/>
        </w:trPr>
        <w:tc>
          <w:tcPr>
            <w:tcW w:w="2355" w:type="dxa"/>
            <w:gridSpan w:val="2"/>
          </w:tcPr>
          <w:p w14:paraId="158E1666" w14:textId="77777777" w:rsidR="00B47442" w:rsidRPr="0009445C" w:rsidRDefault="00B47442" w:rsidP="0099521D">
            <w:pPr>
              <w:pStyle w:val="BRL-Tabelle"/>
              <w:spacing w:before="60" w:after="40"/>
            </w:pPr>
            <w:r w:rsidRPr="0009445C">
              <w:t>Fluctuations in supply parameters</w:t>
            </w:r>
          </w:p>
        </w:tc>
        <w:tc>
          <w:tcPr>
            <w:tcW w:w="427" w:type="dxa"/>
            <w:vAlign w:val="center"/>
          </w:tcPr>
          <w:p w14:paraId="06FDF3CA" w14:textId="77777777" w:rsidR="00B47442" w:rsidRPr="0009445C" w:rsidRDefault="00B47442" w:rsidP="0099521D">
            <w:pPr>
              <w:pStyle w:val="BRL-Tabelle"/>
              <w:spacing w:before="60" w:after="40"/>
              <w:jc w:val="center"/>
              <w:rPr>
                <w:sz w:val="16"/>
              </w:rPr>
            </w:pPr>
          </w:p>
        </w:tc>
        <w:tc>
          <w:tcPr>
            <w:tcW w:w="427" w:type="dxa"/>
            <w:vAlign w:val="center"/>
          </w:tcPr>
          <w:p w14:paraId="577E50B7" w14:textId="77777777" w:rsidR="00B47442" w:rsidRPr="0009445C" w:rsidRDefault="00B47442" w:rsidP="0099521D">
            <w:pPr>
              <w:pStyle w:val="BRL-Tabelle"/>
              <w:spacing w:before="60" w:after="40"/>
              <w:jc w:val="center"/>
              <w:rPr>
                <w:sz w:val="16"/>
              </w:rPr>
            </w:pPr>
          </w:p>
        </w:tc>
        <w:tc>
          <w:tcPr>
            <w:tcW w:w="426" w:type="dxa"/>
            <w:vAlign w:val="center"/>
          </w:tcPr>
          <w:p w14:paraId="23EB6F7F" w14:textId="77777777" w:rsidR="00B47442" w:rsidRPr="0009445C" w:rsidRDefault="00B47442" w:rsidP="0099521D">
            <w:pPr>
              <w:pStyle w:val="BRL-Tabelle"/>
              <w:spacing w:before="60" w:after="40"/>
              <w:jc w:val="center"/>
              <w:rPr>
                <w:sz w:val="16"/>
              </w:rPr>
            </w:pPr>
          </w:p>
        </w:tc>
        <w:tc>
          <w:tcPr>
            <w:tcW w:w="427" w:type="dxa"/>
            <w:vAlign w:val="center"/>
          </w:tcPr>
          <w:p w14:paraId="1A212E03" w14:textId="77777777" w:rsidR="00B47442" w:rsidRPr="0009445C" w:rsidRDefault="00B47442" w:rsidP="0099521D">
            <w:pPr>
              <w:pStyle w:val="BRL-Tabelle"/>
              <w:spacing w:before="60" w:after="40"/>
              <w:jc w:val="center"/>
              <w:rPr>
                <w:sz w:val="16"/>
              </w:rPr>
            </w:pPr>
            <w:r w:rsidRPr="0009445C">
              <w:rPr>
                <w:sz w:val="16"/>
              </w:rPr>
              <w:t>X</w:t>
            </w:r>
          </w:p>
        </w:tc>
        <w:tc>
          <w:tcPr>
            <w:tcW w:w="425" w:type="dxa"/>
            <w:vAlign w:val="center"/>
          </w:tcPr>
          <w:p w14:paraId="05EED886"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36F53F55" w14:textId="77777777" w:rsidR="00B47442" w:rsidRPr="0009445C" w:rsidRDefault="00B47442" w:rsidP="0099521D">
            <w:pPr>
              <w:pStyle w:val="BRL-Tabelle"/>
              <w:spacing w:before="60" w:after="40"/>
              <w:jc w:val="center"/>
              <w:rPr>
                <w:sz w:val="16"/>
              </w:rPr>
            </w:pPr>
            <w:r w:rsidRPr="0009445C">
              <w:rPr>
                <w:sz w:val="16"/>
              </w:rPr>
              <w:t>X</w:t>
            </w:r>
          </w:p>
        </w:tc>
        <w:tc>
          <w:tcPr>
            <w:tcW w:w="428" w:type="dxa"/>
            <w:vAlign w:val="center"/>
          </w:tcPr>
          <w:p w14:paraId="798B719F"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7592E77B"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1FC74A4E" w14:textId="77777777" w:rsidR="00B47442" w:rsidRPr="0009445C" w:rsidRDefault="00B47442" w:rsidP="0099521D">
            <w:pPr>
              <w:pStyle w:val="BRL-Tabelle"/>
              <w:spacing w:before="60" w:after="40"/>
              <w:jc w:val="center"/>
              <w:rPr>
                <w:sz w:val="16"/>
              </w:rPr>
            </w:pPr>
          </w:p>
        </w:tc>
        <w:tc>
          <w:tcPr>
            <w:tcW w:w="426" w:type="dxa"/>
            <w:vAlign w:val="center"/>
          </w:tcPr>
          <w:p w14:paraId="3B7A461D"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CE08DB7" w14:textId="77777777" w:rsidR="00B47442" w:rsidRPr="0009445C" w:rsidRDefault="00B47442" w:rsidP="0099521D">
            <w:pPr>
              <w:pStyle w:val="BRL-Tabelle"/>
              <w:spacing w:before="60" w:after="40"/>
              <w:jc w:val="center"/>
              <w:rPr>
                <w:sz w:val="16"/>
              </w:rPr>
            </w:pPr>
            <w:r w:rsidRPr="0009445C">
              <w:rPr>
                <w:sz w:val="16"/>
              </w:rPr>
              <w:t>X</w:t>
            </w:r>
          </w:p>
        </w:tc>
        <w:tc>
          <w:tcPr>
            <w:tcW w:w="433" w:type="dxa"/>
            <w:vAlign w:val="center"/>
          </w:tcPr>
          <w:p w14:paraId="2DA994C0"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5DBC5979" w14:textId="77777777" w:rsidR="00B47442" w:rsidRPr="0009445C" w:rsidRDefault="00B47442" w:rsidP="0099521D">
            <w:pPr>
              <w:pStyle w:val="BRL-Tabelle"/>
              <w:spacing w:before="60" w:after="40"/>
              <w:jc w:val="center"/>
              <w:rPr>
                <w:sz w:val="16"/>
              </w:rPr>
            </w:pPr>
          </w:p>
        </w:tc>
        <w:tc>
          <w:tcPr>
            <w:tcW w:w="427" w:type="dxa"/>
            <w:vAlign w:val="center"/>
          </w:tcPr>
          <w:p w14:paraId="1DC15AFD" w14:textId="77777777" w:rsidR="00B47442" w:rsidRPr="0009445C" w:rsidRDefault="00B47442" w:rsidP="0099521D">
            <w:pPr>
              <w:pStyle w:val="BRL-Tabelle"/>
              <w:spacing w:before="60" w:after="40"/>
              <w:jc w:val="center"/>
              <w:rPr>
                <w:sz w:val="16"/>
              </w:rPr>
            </w:pPr>
          </w:p>
        </w:tc>
        <w:tc>
          <w:tcPr>
            <w:tcW w:w="426" w:type="dxa"/>
            <w:vAlign w:val="center"/>
          </w:tcPr>
          <w:p w14:paraId="1DCC6232" w14:textId="77777777" w:rsidR="00B47442" w:rsidRPr="0009445C" w:rsidRDefault="00B47442" w:rsidP="0099521D">
            <w:pPr>
              <w:pStyle w:val="BRL-Tabelle"/>
              <w:spacing w:before="60" w:after="40"/>
              <w:jc w:val="center"/>
              <w:rPr>
                <w:sz w:val="16"/>
              </w:rPr>
            </w:pPr>
          </w:p>
        </w:tc>
        <w:tc>
          <w:tcPr>
            <w:tcW w:w="427" w:type="dxa"/>
            <w:vAlign w:val="center"/>
          </w:tcPr>
          <w:p w14:paraId="44DFDA2D" w14:textId="77777777" w:rsidR="00B47442" w:rsidRPr="0009445C" w:rsidRDefault="00B47442" w:rsidP="0099521D">
            <w:pPr>
              <w:pStyle w:val="BRL-Tabelle"/>
              <w:spacing w:before="60" w:after="40"/>
              <w:jc w:val="center"/>
              <w:rPr>
                <w:sz w:val="16"/>
              </w:rPr>
            </w:pPr>
          </w:p>
        </w:tc>
      </w:tr>
      <w:tr w:rsidR="00B47442" w:rsidRPr="0009445C" w14:paraId="7DAEFB9E" w14:textId="77777777" w:rsidTr="0099521D">
        <w:trPr>
          <w:trHeight w:val="264"/>
        </w:trPr>
        <w:tc>
          <w:tcPr>
            <w:tcW w:w="2355" w:type="dxa"/>
            <w:gridSpan w:val="2"/>
          </w:tcPr>
          <w:p w14:paraId="579BC36D" w14:textId="77777777" w:rsidR="00B47442" w:rsidRPr="0009445C" w:rsidRDefault="00B47442" w:rsidP="0099521D">
            <w:pPr>
              <w:pStyle w:val="BRL-Tabelle"/>
              <w:spacing w:before="60" w:after="40"/>
            </w:pPr>
            <w:r w:rsidRPr="0009445C">
              <w:t>Shocks (in operation)</w:t>
            </w:r>
          </w:p>
        </w:tc>
        <w:tc>
          <w:tcPr>
            <w:tcW w:w="427" w:type="dxa"/>
            <w:vAlign w:val="center"/>
          </w:tcPr>
          <w:p w14:paraId="0DA51D25" w14:textId="77777777" w:rsidR="00B47442" w:rsidRPr="0009445C" w:rsidRDefault="00B47442" w:rsidP="0099521D">
            <w:pPr>
              <w:pStyle w:val="BRL-Tabelle"/>
              <w:spacing w:before="60" w:after="40"/>
              <w:jc w:val="center"/>
              <w:rPr>
                <w:sz w:val="16"/>
              </w:rPr>
            </w:pPr>
          </w:p>
        </w:tc>
        <w:tc>
          <w:tcPr>
            <w:tcW w:w="427" w:type="dxa"/>
            <w:vAlign w:val="center"/>
          </w:tcPr>
          <w:p w14:paraId="125BC12D" w14:textId="77777777" w:rsidR="00B47442" w:rsidRPr="0009445C" w:rsidRDefault="00B47442" w:rsidP="0099521D">
            <w:pPr>
              <w:pStyle w:val="BRL-Tabelle"/>
              <w:spacing w:before="60" w:after="40"/>
              <w:jc w:val="center"/>
              <w:rPr>
                <w:sz w:val="16"/>
              </w:rPr>
            </w:pPr>
          </w:p>
        </w:tc>
        <w:tc>
          <w:tcPr>
            <w:tcW w:w="426" w:type="dxa"/>
            <w:vAlign w:val="center"/>
          </w:tcPr>
          <w:p w14:paraId="650E9FAE" w14:textId="77777777" w:rsidR="00B47442" w:rsidRPr="0009445C" w:rsidRDefault="00B47442" w:rsidP="0099521D">
            <w:pPr>
              <w:pStyle w:val="BRL-Tabelle"/>
              <w:spacing w:before="60" w:after="40"/>
              <w:jc w:val="center"/>
              <w:rPr>
                <w:sz w:val="16"/>
              </w:rPr>
            </w:pPr>
          </w:p>
        </w:tc>
        <w:tc>
          <w:tcPr>
            <w:tcW w:w="427" w:type="dxa"/>
            <w:vAlign w:val="center"/>
          </w:tcPr>
          <w:p w14:paraId="7D10C939" w14:textId="77777777" w:rsidR="00B47442" w:rsidRPr="0009445C" w:rsidRDefault="00B47442" w:rsidP="0099521D">
            <w:pPr>
              <w:pStyle w:val="BRL-Tabelle"/>
              <w:spacing w:before="60" w:after="40"/>
              <w:jc w:val="center"/>
              <w:rPr>
                <w:sz w:val="16"/>
              </w:rPr>
            </w:pPr>
          </w:p>
        </w:tc>
        <w:tc>
          <w:tcPr>
            <w:tcW w:w="425" w:type="dxa"/>
            <w:vAlign w:val="center"/>
          </w:tcPr>
          <w:p w14:paraId="080488F2" w14:textId="77777777" w:rsidR="00B47442" w:rsidRPr="0009445C" w:rsidRDefault="00B47442" w:rsidP="0099521D">
            <w:pPr>
              <w:pStyle w:val="BRL-Tabelle"/>
              <w:spacing w:before="60" w:after="40"/>
              <w:jc w:val="center"/>
              <w:rPr>
                <w:sz w:val="16"/>
              </w:rPr>
            </w:pPr>
          </w:p>
        </w:tc>
        <w:tc>
          <w:tcPr>
            <w:tcW w:w="426" w:type="dxa"/>
            <w:vAlign w:val="center"/>
          </w:tcPr>
          <w:p w14:paraId="31065B7F" w14:textId="77777777" w:rsidR="00B47442" w:rsidRPr="0009445C" w:rsidRDefault="00B47442" w:rsidP="0099521D">
            <w:pPr>
              <w:pStyle w:val="BRL-Tabelle"/>
              <w:spacing w:before="60" w:after="40"/>
              <w:jc w:val="center"/>
              <w:rPr>
                <w:sz w:val="16"/>
              </w:rPr>
            </w:pPr>
          </w:p>
        </w:tc>
        <w:tc>
          <w:tcPr>
            <w:tcW w:w="428" w:type="dxa"/>
            <w:vAlign w:val="center"/>
          </w:tcPr>
          <w:p w14:paraId="5BF0D7B9"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4190C413" w14:textId="77777777" w:rsidR="00B47442" w:rsidRPr="0009445C" w:rsidRDefault="00B47442" w:rsidP="0099521D">
            <w:pPr>
              <w:pStyle w:val="BRL-Tabelle"/>
              <w:spacing w:before="60" w:after="40"/>
              <w:jc w:val="center"/>
              <w:rPr>
                <w:sz w:val="16"/>
              </w:rPr>
            </w:pPr>
          </w:p>
        </w:tc>
        <w:tc>
          <w:tcPr>
            <w:tcW w:w="426" w:type="dxa"/>
            <w:vAlign w:val="center"/>
          </w:tcPr>
          <w:p w14:paraId="69BEEE02" w14:textId="77777777" w:rsidR="00B47442" w:rsidRPr="0009445C" w:rsidRDefault="00B47442" w:rsidP="0099521D">
            <w:pPr>
              <w:pStyle w:val="BRL-Tabelle"/>
              <w:spacing w:before="60" w:after="40"/>
              <w:jc w:val="center"/>
              <w:rPr>
                <w:sz w:val="16"/>
              </w:rPr>
            </w:pPr>
          </w:p>
        </w:tc>
        <w:tc>
          <w:tcPr>
            <w:tcW w:w="426" w:type="dxa"/>
            <w:vAlign w:val="center"/>
          </w:tcPr>
          <w:p w14:paraId="5CBDAC26" w14:textId="77777777" w:rsidR="00B47442" w:rsidRPr="0009445C" w:rsidRDefault="00B47442" w:rsidP="0099521D">
            <w:pPr>
              <w:pStyle w:val="BRL-Tabelle"/>
              <w:spacing w:before="60" w:after="40"/>
              <w:jc w:val="center"/>
              <w:rPr>
                <w:sz w:val="16"/>
              </w:rPr>
            </w:pPr>
          </w:p>
        </w:tc>
        <w:tc>
          <w:tcPr>
            <w:tcW w:w="426" w:type="dxa"/>
            <w:vAlign w:val="center"/>
          </w:tcPr>
          <w:p w14:paraId="73821D72" w14:textId="77777777" w:rsidR="00B47442" w:rsidRPr="0009445C" w:rsidRDefault="00B47442" w:rsidP="0099521D">
            <w:pPr>
              <w:pStyle w:val="BRL-Tabelle"/>
              <w:spacing w:before="60" w:after="40"/>
              <w:jc w:val="center"/>
              <w:rPr>
                <w:sz w:val="16"/>
              </w:rPr>
            </w:pPr>
          </w:p>
        </w:tc>
        <w:tc>
          <w:tcPr>
            <w:tcW w:w="433" w:type="dxa"/>
            <w:vAlign w:val="center"/>
          </w:tcPr>
          <w:p w14:paraId="61B090FA" w14:textId="77777777" w:rsidR="00B47442" w:rsidRPr="0009445C" w:rsidRDefault="00B47442" w:rsidP="0099521D">
            <w:pPr>
              <w:pStyle w:val="BRL-Tabelle"/>
              <w:spacing w:before="60" w:after="40"/>
              <w:jc w:val="center"/>
              <w:rPr>
                <w:sz w:val="16"/>
              </w:rPr>
            </w:pPr>
          </w:p>
        </w:tc>
        <w:tc>
          <w:tcPr>
            <w:tcW w:w="426" w:type="dxa"/>
            <w:vAlign w:val="center"/>
          </w:tcPr>
          <w:p w14:paraId="4DB6BCAF" w14:textId="77777777" w:rsidR="00B47442" w:rsidRPr="0009445C" w:rsidRDefault="00B47442" w:rsidP="0099521D">
            <w:pPr>
              <w:pStyle w:val="BRL-Tabelle"/>
              <w:spacing w:before="60" w:after="40"/>
              <w:jc w:val="center"/>
              <w:rPr>
                <w:sz w:val="16"/>
              </w:rPr>
            </w:pPr>
          </w:p>
        </w:tc>
        <w:tc>
          <w:tcPr>
            <w:tcW w:w="427" w:type="dxa"/>
            <w:vAlign w:val="center"/>
          </w:tcPr>
          <w:p w14:paraId="767154B2" w14:textId="77777777" w:rsidR="00B47442" w:rsidRPr="0009445C" w:rsidRDefault="00B47442" w:rsidP="0099521D">
            <w:pPr>
              <w:pStyle w:val="BRL-Tabelle"/>
              <w:spacing w:before="60" w:after="40"/>
              <w:jc w:val="center"/>
              <w:rPr>
                <w:sz w:val="16"/>
              </w:rPr>
            </w:pPr>
          </w:p>
        </w:tc>
        <w:tc>
          <w:tcPr>
            <w:tcW w:w="426" w:type="dxa"/>
            <w:vAlign w:val="center"/>
          </w:tcPr>
          <w:p w14:paraId="74CB29AC" w14:textId="77777777" w:rsidR="00B47442" w:rsidRPr="0009445C" w:rsidRDefault="00B47442" w:rsidP="0099521D">
            <w:pPr>
              <w:pStyle w:val="BRL-Tabelle"/>
              <w:spacing w:before="60" w:after="40"/>
              <w:jc w:val="center"/>
              <w:rPr>
                <w:sz w:val="16"/>
              </w:rPr>
            </w:pPr>
          </w:p>
        </w:tc>
        <w:tc>
          <w:tcPr>
            <w:tcW w:w="427" w:type="dxa"/>
            <w:vAlign w:val="center"/>
          </w:tcPr>
          <w:p w14:paraId="310A92D0" w14:textId="77777777" w:rsidR="00B47442" w:rsidRPr="0009445C" w:rsidRDefault="00B47442" w:rsidP="0099521D">
            <w:pPr>
              <w:pStyle w:val="BRL-Tabelle"/>
              <w:spacing w:before="60" w:after="40"/>
              <w:jc w:val="center"/>
              <w:rPr>
                <w:sz w:val="16"/>
              </w:rPr>
            </w:pPr>
          </w:p>
        </w:tc>
      </w:tr>
      <w:tr w:rsidR="00B47442" w:rsidRPr="0009445C" w14:paraId="441E780E" w14:textId="77777777" w:rsidTr="0099521D">
        <w:trPr>
          <w:trHeight w:val="264"/>
        </w:trPr>
        <w:tc>
          <w:tcPr>
            <w:tcW w:w="2355" w:type="dxa"/>
            <w:gridSpan w:val="2"/>
          </w:tcPr>
          <w:p w14:paraId="3CF7D63B" w14:textId="77777777" w:rsidR="00B47442" w:rsidRPr="0009445C" w:rsidRDefault="00B47442" w:rsidP="0099521D">
            <w:pPr>
              <w:pStyle w:val="BRL-Tabelle"/>
              <w:spacing w:before="60" w:after="40"/>
            </w:pPr>
            <w:r w:rsidRPr="0009445C">
              <w:t>Output power</w:t>
            </w:r>
          </w:p>
        </w:tc>
        <w:tc>
          <w:tcPr>
            <w:tcW w:w="427" w:type="dxa"/>
            <w:vAlign w:val="center"/>
          </w:tcPr>
          <w:p w14:paraId="0AE27CC3" w14:textId="77777777" w:rsidR="00B47442" w:rsidRPr="0009445C" w:rsidRDefault="00B47442" w:rsidP="0099521D">
            <w:pPr>
              <w:pStyle w:val="BRL-Tabelle"/>
              <w:spacing w:before="60" w:after="40"/>
              <w:jc w:val="center"/>
              <w:rPr>
                <w:sz w:val="16"/>
              </w:rPr>
            </w:pPr>
          </w:p>
        </w:tc>
        <w:tc>
          <w:tcPr>
            <w:tcW w:w="427" w:type="dxa"/>
            <w:vAlign w:val="center"/>
          </w:tcPr>
          <w:p w14:paraId="2DD90AD3" w14:textId="77777777" w:rsidR="00B47442" w:rsidRPr="0009445C" w:rsidRDefault="00B47442" w:rsidP="0099521D">
            <w:pPr>
              <w:pStyle w:val="BRL-Tabelle"/>
              <w:spacing w:before="60" w:after="40"/>
              <w:jc w:val="center"/>
              <w:rPr>
                <w:sz w:val="16"/>
              </w:rPr>
            </w:pPr>
          </w:p>
        </w:tc>
        <w:tc>
          <w:tcPr>
            <w:tcW w:w="426" w:type="dxa"/>
            <w:vAlign w:val="center"/>
          </w:tcPr>
          <w:p w14:paraId="7A810D27" w14:textId="77777777" w:rsidR="00B47442" w:rsidRPr="0009445C" w:rsidRDefault="00B47442" w:rsidP="0099521D">
            <w:pPr>
              <w:pStyle w:val="BRL-Tabelle"/>
              <w:spacing w:before="60" w:after="40"/>
              <w:jc w:val="center"/>
              <w:rPr>
                <w:sz w:val="16"/>
              </w:rPr>
            </w:pPr>
          </w:p>
        </w:tc>
        <w:tc>
          <w:tcPr>
            <w:tcW w:w="427" w:type="dxa"/>
            <w:vAlign w:val="center"/>
          </w:tcPr>
          <w:p w14:paraId="43E27C77" w14:textId="77777777" w:rsidR="00B47442" w:rsidRPr="0009445C" w:rsidRDefault="00B47442" w:rsidP="0099521D">
            <w:pPr>
              <w:pStyle w:val="BRL-Tabelle"/>
              <w:spacing w:before="60" w:after="40"/>
              <w:jc w:val="center"/>
              <w:rPr>
                <w:sz w:val="16"/>
              </w:rPr>
            </w:pPr>
          </w:p>
        </w:tc>
        <w:tc>
          <w:tcPr>
            <w:tcW w:w="425" w:type="dxa"/>
            <w:vAlign w:val="center"/>
          </w:tcPr>
          <w:p w14:paraId="62CDBF44" w14:textId="77777777" w:rsidR="00B47442" w:rsidRPr="0009445C" w:rsidRDefault="00B47442" w:rsidP="0099521D">
            <w:pPr>
              <w:pStyle w:val="BRL-Tabelle"/>
              <w:spacing w:before="60" w:after="40"/>
              <w:jc w:val="center"/>
              <w:rPr>
                <w:sz w:val="16"/>
              </w:rPr>
            </w:pPr>
          </w:p>
        </w:tc>
        <w:tc>
          <w:tcPr>
            <w:tcW w:w="426" w:type="dxa"/>
            <w:vAlign w:val="center"/>
          </w:tcPr>
          <w:p w14:paraId="0A2F6BF9" w14:textId="77777777" w:rsidR="00B47442" w:rsidRPr="0009445C" w:rsidRDefault="00B47442" w:rsidP="0099521D">
            <w:pPr>
              <w:pStyle w:val="BRL-Tabelle"/>
              <w:spacing w:before="60" w:after="40"/>
              <w:jc w:val="center"/>
              <w:rPr>
                <w:sz w:val="16"/>
              </w:rPr>
            </w:pPr>
          </w:p>
        </w:tc>
        <w:tc>
          <w:tcPr>
            <w:tcW w:w="428" w:type="dxa"/>
            <w:vAlign w:val="center"/>
          </w:tcPr>
          <w:p w14:paraId="584DE1E2" w14:textId="77777777" w:rsidR="00B47442" w:rsidRPr="0009445C" w:rsidRDefault="00B47442" w:rsidP="0099521D">
            <w:pPr>
              <w:pStyle w:val="BRL-Tabelle"/>
              <w:spacing w:before="60" w:after="40"/>
              <w:jc w:val="center"/>
              <w:rPr>
                <w:sz w:val="16"/>
              </w:rPr>
            </w:pPr>
          </w:p>
        </w:tc>
        <w:tc>
          <w:tcPr>
            <w:tcW w:w="427" w:type="dxa"/>
            <w:vAlign w:val="center"/>
          </w:tcPr>
          <w:p w14:paraId="3EDF7E4F" w14:textId="77777777" w:rsidR="00B47442" w:rsidRPr="0009445C" w:rsidRDefault="00B47442" w:rsidP="0099521D">
            <w:pPr>
              <w:pStyle w:val="BRL-Tabelle"/>
              <w:spacing w:before="60" w:after="40"/>
              <w:jc w:val="center"/>
              <w:rPr>
                <w:sz w:val="16"/>
              </w:rPr>
            </w:pPr>
          </w:p>
        </w:tc>
        <w:tc>
          <w:tcPr>
            <w:tcW w:w="426" w:type="dxa"/>
            <w:vAlign w:val="center"/>
          </w:tcPr>
          <w:p w14:paraId="1EFD630F" w14:textId="77777777" w:rsidR="00B47442" w:rsidRPr="0009445C" w:rsidRDefault="00B47442" w:rsidP="0099521D">
            <w:pPr>
              <w:pStyle w:val="BRL-Tabelle"/>
              <w:spacing w:before="60" w:after="40"/>
              <w:jc w:val="center"/>
              <w:rPr>
                <w:sz w:val="16"/>
              </w:rPr>
            </w:pPr>
            <w:r w:rsidRPr="0009445C">
              <w:rPr>
                <w:sz w:val="16"/>
              </w:rPr>
              <w:t>X</w:t>
            </w:r>
          </w:p>
        </w:tc>
        <w:tc>
          <w:tcPr>
            <w:tcW w:w="426" w:type="dxa"/>
            <w:vAlign w:val="center"/>
          </w:tcPr>
          <w:p w14:paraId="79CDFF6D" w14:textId="77777777" w:rsidR="00B47442" w:rsidRPr="0009445C" w:rsidRDefault="00B47442" w:rsidP="0099521D">
            <w:pPr>
              <w:pStyle w:val="BRL-Tabelle"/>
              <w:spacing w:before="60" w:after="40"/>
              <w:jc w:val="center"/>
              <w:rPr>
                <w:sz w:val="16"/>
              </w:rPr>
            </w:pPr>
          </w:p>
        </w:tc>
        <w:tc>
          <w:tcPr>
            <w:tcW w:w="426" w:type="dxa"/>
            <w:vAlign w:val="center"/>
          </w:tcPr>
          <w:p w14:paraId="6ECCF5A7" w14:textId="77777777" w:rsidR="00B47442" w:rsidRPr="0009445C" w:rsidRDefault="00B47442" w:rsidP="0099521D">
            <w:pPr>
              <w:pStyle w:val="BRL-Tabelle"/>
              <w:spacing w:before="60" w:after="40"/>
              <w:jc w:val="center"/>
              <w:rPr>
                <w:sz w:val="16"/>
              </w:rPr>
            </w:pPr>
          </w:p>
        </w:tc>
        <w:tc>
          <w:tcPr>
            <w:tcW w:w="433" w:type="dxa"/>
            <w:vAlign w:val="center"/>
          </w:tcPr>
          <w:p w14:paraId="47F8E7A7" w14:textId="77777777" w:rsidR="00B47442" w:rsidRPr="0009445C" w:rsidRDefault="00B47442" w:rsidP="0099521D">
            <w:pPr>
              <w:pStyle w:val="BRL-Tabelle"/>
              <w:spacing w:before="60" w:after="40"/>
              <w:jc w:val="center"/>
              <w:rPr>
                <w:sz w:val="16"/>
              </w:rPr>
            </w:pPr>
          </w:p>
        </w:tc>
        <w:tc>
          <w:tcPr>
            <w:tcW w:w="426" w:type="dxa"/>
            <w:vAlign w:val="center"/>
          </w:tcPr>
          <w:p w14:paraId="32DBBF5F" w14:textId="77777777" w:rsidR="00B47442" w:rsidRPr="0009445C" w:rsidRDefault="00B47442" w:rsidP="0099521D">
            <w:pPr>
              <w:pStyle w:val="BRL-Tabelle"/>
              <w:spacing w:before="60" w:after="40"/>
              <w:jc w:val="center"/>
              <w:rPr>
                <w:sz w:val="16"/>
              </w:rPr>
            </w:pPr>
          </w:p>
        </w:tc>
        <w:tc>
          <w:tcPr>
            <w:tcW w:w="427" w:type="dxa"/>
            <w:vAlign w:val="center"/>
          </w:tcPr>
          <w:p w14:paraId="334960DA" w14:textId="77777777" w:rsidR="00B47442" w:rsidRPr="0009445C" w:rsidRDefault="00B47442" w:rsidP="0099521D">
            <w:pPr>
              <w:pStyle w:val="BRL-Tabelle"/>
              <w:spacing w:before="60" w:after="40"/>
              <w:jc w:val="center"/>
              <w:rPr>
                <w:sz w:val="16"/>
              </w:rPr>
            </w:pPr>
          </w:p>
        </w:tc>
        <w:tc>
          <w:tcPr>
            <w:tcW w:w="426" w:type="dxa"/>
            <w:vAlign w:val="center"/>
          </w:tcPr>
          <w:p w14:paraId="21154DA9" w14:textId="77777777" w:rsidR="00B47442" w:rsidRPr="0009445C" w:rsidRDefault="00B47442" w:rsidP="0099521D">
            <w:pPr>
              <w:pStyle w:val="BRL-Tabelle"/>
              <w:spacing w:before="60" w:after="40"/>
              <w:jc w:val="center"/>
              <w:rPr>
                <w:sz w:val="16"/>
              </w:rPr>
            </w:pPr>
          </w:p>
        </w:tc>
        <w:tc>
          <w:tcPr>
            <w:tcW w:w="427" w:type="dxa"/>
            <w:vAlign w:val="center"/>
          </w:tcPr>
          <w:p w14:paraId="4951044A" w14:textId="77777777" w:rsidR="00B47442" w:rsidRPr="0009445C" w:rsidRDefault="00B47442" w:rsidP="0099521D">
            <w:pPr>
              <w:pStyle w:val="BRL-Tabelle"/>
              <w:spacing w:before="60" w:after="40"/>
              <w:jc w:val="center"/>
              <w:rPr>
                <w:sz w:val="16"/>
              </w:rPr>
            </w:pPr>
          </w:p>
        </w:tc>
      </w:tr>
      <w:tr w:rsidR="00B47442" w:rsidRPr="0009445C" w14:paraId="6CD98F86" w14:textId="77777777" w:rsidTr="0099521D">
        <w:trPr>
          <w:trHeight w:val="264"/>
        </w:trPr>
        <w:tc>
          <w:tcPr>
            <w:tcW w:w="2355" w:type="dxa"/>
            <w:gridSpan w:val="2"/>
          </w:tcPr>
          <w:p w14:paraId="5FF07D83" w14:textId="77777777" w:rsidR="00B47442" w:rsidRPr="0009445C" w:rsidRDefault="00B47442" w:rsidP="0099521D">
            <w:pPr>
              <w:pStyle w:val="BRL-Tabelle"/>
              <w:spacing w:before="60" w:after="40"/>
              <w:rPr>
                <w:b/>
              </w:rPr>
            </w:pPr>
            <w:r w:rsidRPr="0009445C">
              <w:rPr>
                <w:b/>
              </w:rPr>
              <w:t>Transmission power</w:t>
            </w:r>
          </w:p>
        </w:tc>
        <w:tc>
          <w:tcPr>
            <w:tcW w:w="6830" w:type="dxa"/>
            <w:gridSpan w:val="16"/>
            <w:vAlign w:val="center"/>
          </w:tcPr>
          <w:p w14:paraId="280BEEEC" w14:textId="77777777" w:rsidR="00B47442" w:rsidRPr="0009445C" w:rsidRDefault="00B47442" w:rsidP="0099521D">
            <w:pPr>
              <w:pStyle w:val="BRL-Tabelle"/>
              <w:spacing w:before="60" w:after="40"/>
              <w:jc w:val="center"/>
              <w:rPr>
                <w:sz w:val="16"/>
              </w:rPr>
            </w:pPr>
          </w:p>
        </w:tc>
      </w:tr>
      <w:tr w:rsidR="00B47442" w:rsidRPr="0009445C" w14:paraId="6F034378" w14:textId="77777777" w:rsidTr="0099521D">
        <w:trPr>
          <w:trHeight w:val="264"/>
        </w:trPr>
        <w:tc>
          <w:tcPr>
            <w:tcW w:w="2355" w:type="dxa"/>
            <w:gridSpan w:val="2"/>
          </w:tcPr>
          <w:p w14:paraId="716405EE" w14:textId="77777777" w:rsidR="00B47442" w:rsidRPr="0009445C" w:rsidRDefault="00B47442" w:rsidP="0099521D">
            <w:pPr>
              <w:pStyle w:val="BRL-Tabelle"/>
              <w:spacing w:before="60" w:after="40"/>
            </w:pPr>
            <w:r w:rsidRPr="0009445C">
              <w:t>General requirements</w:t>
            </w:r>
          </w:p>
        </w:tc>
        <w:tc>
          <w:tcPr>
            <w:tcW w:w="427" w:type="dxa"/>
            <w:vAlign w:val="center"/>
          </w:tcPr>
          <w:p w14:paraId="25447E36" w14:textId="77777777" w:rsidR="00B47442" w:rsidRPr="0009445C" w:rsidRDefault="00B47442" w:rsidP="0099521D">
            <w:pPr>
              <w:pStyle w:val="BRL-Tabelle"/>
              <w:spacing w:before="60" w:after="40"/>
              <w:jc w:val="center"/>
              <w:rPr>
                <w:sz w:val="16"/>
              </w:rPr>
            </w:pPr>
          </w:p>
        </w:tc>
        <w:tc>
          <w:tcPr>
            <w:tcW w:w="427" w:type="dxa"/>
            <w:vAlign w:val="center"/>
          </w:tcPr>
          <w:p w14:paraId="4FAAB61B" w14:textId="77777777" w:rsidR="00B47442" w:rsidRPr="0009445C" w:rsidRDefault="00B47442" w:rsidP="0099521D">
            <w:pPr>
              <w:pStyle w:val="BRL-Tabelle"/>
              <w:spacing w:before="60" w:after="40"/>
              <w:jc w:val="center"/>
              <w:rPr>
                <w:sz w:val="16"/>
              </w:rPr>
            </w:pPr>
          </w:p>
        </w:tc>
        <w:tc>
          <w:tcPr>
            <w:tcW w:w="426" w:type="dxa"/>
            <w:vAlign w:val="center"/>
          </w:tcPr>
          <w:p w14:paraId="63191780" w14:textId="77777777" w:rsidR="00B47442" w:rsidRPr="0009445C" w:rsidRDefault="00B47442" w:rsidP="0099521D">
            <w:pPr>
              <w:pStyle w:val="BRL-Tabelle"/>
              <w:spacing w:before="60" w:after="40"/>
              <w:jc w:val="center"/>
              <w:rPr>
                <w:sz w:val="16"/>
              </w:rPr>
            </w:pPr>
          </w:p>
        </w:tc>
        <w:tc>
          <w:tcPr>
            <w:tcW w:w="427" w:type="dxa"/>
            <w:vAlign w:val="center"/>
          </w:tcPr>
          <w:p w14:paraId="54A786B4" w14:textId="77777777" w:rsidR="00B47442" w:rsidRPr="0009445C" w:rsidRDefault="00B47442" w:rsidP="0099521D">
            <w:pPr>
              <w:pStyle w:val="BRL-Tabelle"/>
              <w:spacing w:before="60" w:after="40"/>
              <w:jc w:val="center"/>
              <w:rPr>
                <w:sz w:val="16"/>
              </w:rPr>
            </w:pPr>
          </w:p>
        </w:tc>
        <w:tc>
          <w:tcPr>
            <w:tcW w:w="425" w:type="dxa"/>
            <w:vAlign w:val="center"/>
          </w:tcPr>
          <w:p w14:paraId="39E7953C" w14:textId="77777777" w:rsidR="00B47442" w:rsidRPr="0009445C" w:rsidRDefault="00B47442" w:rsidP="0099521D">
            <w:pPr>
              <w:pStyle w:val="BRL-Tabelle"/>
              <w:spacing w:before="60" w:after="40"/>
              <w:jc w:val="center"/>
              <w:rPr>
                <w:sz w:val="16"/>
              </w:rPr>
            </w:pPr>
          </w:p>
        </w:tc>
        <w:tc>
          <w:tcPr>
            <w:tcW w:w="426" w:type="dxa"/>
            <w:vAlign w:val="center"/>
          </w:tcPr>
          <w:p w14:paraId="04550394" w14:textId="77777777" w:rsidR="00B47442" w:rsidRPr="0009445C" w:rsidRDefault="00B47442" w:rsidP="0099521D">
            <w:pPr>
              <w:pStyle w:val="BRL-Tabelle"/>
              <w:spacing w:before="60" w:after="40"/>
              <w:jc w:val="center"/>
              <w:rPr>
                <w:sz w:val="16"/>
              </w:rPr>
            </w:pPr>
          </w:p>
        </w:tc>
        <w:tc>
          <w:tcPr>
            <w:tcW w:w="428" w:type="dxa"/>
            <w:vAlign w:val="center"/>
          </w:tcPr>
          <w:p w14:paraId="4C770401" w14:textId="77777777" w:rsidR="00B47442" w:rsidRPr="0009445C" w:rsidRDefault="00B47442" w:rsidP="0099521D">
            <w:pPr>
              <w:pStyle w:val="BRL-Tabelle"/>
              <w:spacing w:before="60" w:after="40"/>
              <w:jc w:val="center"/>
              <w:rPr>
                <w:sz w:val="16"/>
              </w:rPr>
            </w:pPr>
          </w:p>
        </w:tc>
        <w:tc>
          <w:tcPr>
            <w:tcW w:w="427" w:type="dxa"/>
            <w:vAlign w:val="center"/>
          </w:tcPr>
          <w:p w14:paraId="0CE17FE5" w14:textId="77777777" w:rsidR="00B47442" w:rsidRPr="0009445C" w:rsidRDefault="00B47442" w:rsidP="0099521D">
            <w:pPr>
              <w:pStyle w:val="BRL-Tabelle"/>
              <w:spacing w:before="60" w:after="40"/>
              <w:jc w:val="center"/>
              <w:rPr>
                <w:sz w:val="16"/>
              </w:rPr>
            </w:pPr>
          </w:p>
        </w:tc>
        <w:tc>
          <w:tcPr>
            <w:tcW w:w="426" w:type="dxa"/>
            <w:vAlign w:val="center"/>
          </w:tcPr>
          <w:p w14:paraId="41F42C63" w14:textId="77777777" w:rsidR="00B47442" w:rsidRPr="0009445C" w:rsidRDefault="00B47442" w:rsidP="0099521D">
            <w:pPr>
              <w:pStyle w:val="BRL-Tabelle"/>
              <w:spacing w:before="60" w:after="40"/>
              <w:jc w:val="center"/>
              <w:rPr>
                <w:sz w:val="16"/>
              </w:rPr>
            </w:pPr>
          </w:p>
        </w:tc>
        <w:tc>
          <w:tcPr>
            <w:tcW w:w="426" w:type="dxa"/>
            <w:vAlign w:val="center"/>
          </w:tcPr>
          <w:p w14:paraId="4F57B4A5" w14:textId="77777777" w:rsidR="00B47442" w:rsidRPr="0009445C" w:rsidRDefault="00B47442" w:rsidP="0099521D">
            <w:pPr>
              <w:pStyle w:val="BRL-Tabelle"/>
              <w:spacing w:before="60" w:after="40"/>
              <w:jc w:val="center"/>
              <w:rPr>
                <w:sz w:val="16"/>
              </w:rPr>
            </w:pPr>
          </w:p>
        </w:tc>
        <w:tc>
          <w:tcPr>
            <w:tcW w:w="426" w:type="dxa"/>
            <w:vAlign w:val="center"/>
          </w:tcPr>
          <w:p w14:paraId="72BA003F" w14:textId="77777777" w:rsidR="00B47442" w:rsidRPr="0009445C" w:rsidRDefault="00B47442" w:rsidP="0099521D">
            <w:pPr>
              <w:pStyle w:val="BRL-Tabelle"/>
              <w:spacing w:before="60" w:after="40"/>
              <w:jc w:val="center"/>
              <w:rPr>
                <w:sz w:val="16"/>
              </w:rPr>
            </w:pPr>
          </w:p>
        </w:tc>
        <w:tc>
          <w:tcPr>
            <w:tcW w:w="433" w:type="dxa"/>
            <w:vAlign w:val="center"/>
          </w:tcPr>
          <w:p w14:paraId="64A856B6" w14:textId="77777777" w:rsidR="00B47442" w:rsidRPr="0009445C" w:rsidRDefault="00B47442" w:rsidP="0099521D">
            <w:pPr>
              <w:pStyle w:val="BRL-Tabelle"/>
              <w:spacing w:before="60" w:after="40"/>
              <w:jc w:val="center"/>
              <w:rPr>
                <w:sz w:val="16"/>
              </w:rPr>
            </w:pPr>
          </w:p>
        </w:tc>
        <w:tc>
          <w:tcPr>
            <w:tcW w:w="426" w:type="dxa"/>
            <w:vAlign w:val="center"/>
          </w:tcPr>
          <w:p w14:paraId="29137EA0"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6BED994A" w14:textId="77777777" w:rsidR="00B47442" w:rsidRPr="0009445C" w:rsidRDefault="00B47442" w:rsidP="0099521D">
            <w:pPr>
              <w:pStyle w:val="BRL-Tabelle"/>
              <w:spacing w:before="60" w:after="40"/>
              <w:jc w:val="center"/>
              <w:rPr>
                <w:sz w:val="16"/>
              </w:rPr>
            </w:pPr>
          </w:p>
        </w:tc>
        <w:tc>
          <w:tcPr>
            <w:tcW w:w="426" w:type="dxa"/>
            <w:vAlign w:val="center"/>
          </w:tcPr>
          <w:p w14:paraId="151E8B92" w14:textId="77777777" w:rsidR="00B47442" w:rsidRPr="0009445C" w:rsidRDefault="00B47442" w:rsidP="0099521D">
            <w:pPr>
              <w:pStyle w:val="BRL-Tabelle"/>
              <w:spacing w:before="60" w:after="40"/>
              <w:jc w:val="center"/>
              <w:rPr>
                <w:sz w:val="16"/>
              </w:rPr>
            </w:pPr>
          </w:p>
        </w:tc>
        <w:tc>
          <w:tcPr>
            <w:tcW w:w="427" w:type="dxa"/>
            <w:vAlign w:val="center"/>
          </w:tcPr>
          <w:p w14:paraId="4FDD11DE" w14:textId="77777777" w:rsidR="00B47442" w:rsidRPr="0009445C" w:rsidRDefault="00B47442" w:rsidP="0099521D">
            <w:pPr>
              <w:pStyle w:val="BRL-Tabelle"/>
              <w:spacing w:before="60" w:after="40"/>
              <w:jc w:val="center"/>
              <w:rPr>
                <w:sz w:val="16"/>
              </w:rPr>
            </w:pPr>
          </w:p>
        </w:tc>
      </w:tr>
      <w:tr w:rsidR="00B47442" w:rsidRPr="0009445C" w14:paraId="55E42645" w14:textId="77777777" w:rsidTr="0099521D">
        <w:trPr>
          <w:trHeight w:val="264"/>
        </w:trPr>
        <w:tc>
          <w:tcPr>
            <w:tcW w:w="2355" w:type="dxa"/>
            <w:gridSpan w:val="2"/>
          </w:tcPr>
          <w:p w14:paraId="6B4039EB" w14:textId="77777777" w:rsidR="00B47442" w:rsidRPr="0009445C" w:rsidRDefault="00B47442" w:rsidP="0099521D">
            <w:pPr>
              <w:pStyle w:val="BRL-Tabelle"/>
              <w:spacing w:before="60" w:after="40"/>
            </w:pPr>
            <w:r w:rsidRPr="0009445C">
              <w:t>Requirements for functions</w:t>
            </w:r>
          </w:p>
        </w:tc>
        <w:tc>
          <w:tcPr>
            <w:tcW w:w="427" w:type="dxa"/>
            <w:vAlign w:val="center"/>
          </w:tcPr>
          <w:p w14:paraId="19FAD8CC" w14:textId="77777777" w:rsidR="00B47442" w:rsidRPr="0009445C" w:rsidRDefault="00B47442" w:rsidP="0099521D">
            <w:pPr>
              <w:pStyle w:val="BRL-Tabelle"/>
              <w:spacing w:before="60" w:after="40"/>
              <w:jc w:val="center"/>
              <w:rPr>
                <w:sz w:val="16"/>
              </w:rPr>
            </w:pPr>
          </w:p>
        </w:tc>
        <w:tc>
          <w:tcPr>
            <w:tcW w:w="427" w:type="dxa"/>
            <w:vAlign w:val="center"/>
          </w:tcPr>
          <w:p w14:paraId="475BB74B" w14:textId="77777777" w:rsidR="00B47442" w:rsidRPr="0009445C" w:rsidRDefault="00B47442" w:rsidP="0099521D">
            <w:pPr>
              <w:pStyle w:val="BRL-Tabelle"/>
              <w:spacing w:before="60" w:after="40"/>
              <w:jc w:val="center"/>
              <w:rPr>
                <w:sz w:val="16"/>
              </w:rPr>
            </w:pPr>
          </w:p>
        </w:tc>
        <w:tc>
          <w:tcPr>
            <w:tcW w:w="426" w:type="dxa"/>
            <w:vAlign w:val="center"/>
          </w:tcPr>
          <w:p w14:paraId="24938008" w14:textId="77777777" w:rsidR="00B47442" w:rsidRPr="0009445C" w:rsidRDefault="00B47442" w:rsidP="0099521D">
            <w:pPr>
              <w:pStyle w:val="BRL-Tabelle"/>
              <w:spacing w:before="60" w:after="40"/>
              <w:jc w:val="center"/>
              <w:rPr>
                <w:sz w:val="16"/>
              </w:rPr>
            </w:pPr>
          </w:p>
        </w:tc>
        <w:tc>
          <w:tcPr>
            <w:tcW w:w="427" w:type="dxa"/>
            <w:vAlign w:val="center"/>
          </w:tcPr>
          <w:p w14:paraId="49A366D5" w14:textId="77777777" w:rsidR="00B47442" w:rsidRPr="0009445C" w:rsidRDefault="00B47442" w:rsidP="0099521D">
            <w:pPr>
              <w:pStyle w:val="BRL-Tabelle"/>
              <w:spacing w:before="60" w:after="40"/>
              <w:jc w:val="center"/>
              <w:rPr>
                <w:sz w:val="16"/>
              </w:rPr>
            </w:pPr>
          </w:p>
        </w:tc>
        <w:tc>
          <w:tcPr>
            <w:tcW w:w="425" w:type="dxa"/>
            <w:vAlign w:val="center"/>
          </w:tcPr>
          <w:p w14:paraId="1CACCE80" w14:textId="77777777" w:rsidR="00B47442" w:rsidRPr="0009445C" w:rsidRDefault="00B47442" w:rsidP="0099521D">
            <w:pPr>
              <w:pStyle w:val="BRL-Tabelle"/>
              <w:spacing w:before="60" w:after="40"/>
              <w:jc w:val="center"/>
              <w:rPr>
                <w:sz w:val="16"/>
              </w:rPr>
            </w:pPr>
          </w:p>
        </w:tc>
        <w:tc>
          <w:tcPr>
            <w:tcW w:w="426" w:type="dxa"/>
            <w:vAlign w:val="center"/>
          </w:tcPr>
          <w:p w14:paraId="2C7AC52A" w14:textId="77777777" w:rsidR="00B47442" w:rsidRPr="0009445C" w:rsidRDefault="00B47442" w:rsidP="0099521D">
            <w:pPr>
              <w:pStyle w:val="BRL-Tabelle"/>
              <w:spacing w:before="60" w:after="40"/>
              <w:jc w:val="center"/>
              <w:rPr>
                <w:sz w:val="16"/>
              </w:rPr>
            </w:pPr>
          </w:p>
        </w:tc>
        <w:tc>
          <w:tcPr>
            <w:tcW w:w="428" w:type="dxa"/>
            <w:vAlign w:val="center"/>
          </w:tcPr>
          <w:p w14:paraId="7CEAACBA" w14:textId="77777777" w:rsidR="00B47442" w:rsidRPr="0009445C" w:rsidRDefault="00B47442" w:rsidP="0099521D">
            <w:pPr>
              <w:pStyle w:val="BRL-Tabelle"/>
              <w:spacing w:before="60" w:after="40"/>
              <w:jc w:val="center"/>
              <w:rPr>
                <w:sz w:val="16"/>
              </w:rPr>
            </w:pPr>
          </w:p>
        </w:tc>
        <w:tc>
          <w:tcPr>
            <w:tcW w:w="427" w:type="dxa"/>
            <w:vAlign w:val="center"/>
          </w:tcPr>
          <w:p w14:paraId="51F15EEB" w14:textId="77777777" w:rsidR="00B47442" w:rsidRPr="0009445C" w:rsidRDefault="00B47442" w:rsidP="0099521D">
            <w:pPr>
              <w:pStyle w:val="BRL-Tabelle"/>
              <w:spacing w:before="60" w:after="40"/>
              <w:jc w:val="center"/>
              <w:rPr>
                <w:sz w:val="16"/>
              </w:rPr>
            </w:pPr>
          </w:p>
        </w:tc>
        <w:tc>
          <w:tcPr>
            <w:tcW w:w="426" w:type="dxa"/>
            <w:vAlign w:val="center"/>
          </w:tcPr>
          <w:p w14:paraId="33D3473F" w14:textId="77777777" w:rsidR="00B47442" w:rsidRPr="0009445C" w:rsidRDefault="00B47442" w:rsidP="0099521D">
            <w:pPr>
              <w:pStyle w:val="BRL-Tabelle"/>
              <w:spacing w:before="60" w:after="40"/>
              <w:jc w:val="center"/>
              <w:rPr>
                <w:sz w:val="16"/>
              </w:rPr>
            </w:pPr>
          </w:p>
        </w:tc>
        <w:tc>
          <w:tcPr>
            <w:tcW w:w="426" w:type="dxa"/>
            <w:vAlign w:val="center"/>
          </w:tcPr>
          <w:p w14:paraId="4B61089D" w14:textId="77777777" w:rsidR="00B47442" w:rsidRPr="0009445C" w:rsidRDefault="00B47442" w:rsidP="0099521D">
            <w:pPr>
              <w:pStyle w:val="BRL-Tabelle"/>
              <w:spacing w:before="60" w:after="40"/>
              <w:jc w:val="center"/>
              <w:rPr>
                <w:sz w:val="16"/>
              </w:rPr>
            </w:pPr>
          </w:p>
        </w:tc>
        <w:tc>
          <w:tcPr>
            <w:tcW w:w="426" w:type="dxa"/>
            <w:vAlign w:val="center"/>
          </w:tcPr>
          <w:p w14:paraId="649448DF" w14:textId="77777777" w:rsidR="00B47442" w:rsidRPr="0009445C" w:rsidRDefault="00B47442" w:rsidP="0099521D">
            <w:pPr>
              <w:pStyle w:val="BRL-Tabelle"/>
              <w:spacing w:before="60" w:after="40"/>
              <w:jc w:val="center"/>
              <w:rPr>
                <w:sz w:val="16"/>
              </w:rPr>
            </w:pPr>
          </w:p>
        </w:tc>
        <w:tc>
          <w:tcPr>
            <w:tcW w:w="433" w:type="dxa"/>
            <w:vAlign w:val="center"/>
          </w:tcPr>
          <w:p w14:paraId="27BC8B0C" w14:textId="77777777" w:rsidR="00B47442" w:rsidRPr="0009445C" w:rsidRDefault="00B47442" w:rsidP="0099521D">
            <w:pPr>
              <w:pStyle w:val="BRL-Tabelle"/>
              <w:spacing w:before="60" w:after="40"/>
              <w:jc w:val="center"/>
              <w:rPr>
                <w:sz w:val="16"/>
              </w:rPr>
            </w:pPr>
          </w:p>
        </w:tc>
        <w:tc>
          <w:tcPr>
            <w:tcW w:w="426" w:type="dxa"/>
            <w:vAlign w:val="center"/>
          </w:tcPr>
          <w:p w14:paraId="072F24C1" w14:textId="77777777" w:rsidR="00B47442" w:rsidRPr="0009445C" w:rsidRDefault="00B47442" w:rsidP="0099521D">
            <w:pPr>
              <w:pStyle w:val="BRL-Tabelle"/>
              <w:spacing w:before="60" w:after="40"/>
              <w:jc w:val="center"/>
              <w:rPr>
                <w:sz w:val="16"/>
              </w:rPr>
            </w:pPr>
            <w:r w:rsidRPr="0009445C">
              <w:rPr>
                <w:sz w:val="16"/>
              </w:rPr>
              <w:t>X</w:t>
            </w:r>
          </w:p>
        </w:tc>
        <w:tc>
          <w:tcPr>
            <w:tcW w:w="427" w:type="dxa"/>
            <w:vAlign w:val="center"/>
          </w:tcPr>
          <w:p w14:paraId="36A1A7FA" w14:textId="77777777" w:rsidR="00B47442" w:rsidRPr="0009445C" w:rsidRDefault="00B47442" w:rsidP="0099521D">
            <w:pPr>
              <w:pStyle w:val="BRL-Tabelle"/>
              <w:spacing w:before="60" w:after="40"/>
              <w:jc w:val="center"/>
              <w:rPr>
                <w:sz w:val="16"/>
              </w:rPr>
            </w:pPr>
          </w:p>
        </w:tc>
        <w:tc>
          <w:tcPr>
            <w:tcW w:w="426" w:type="dxa"/>
            <w:vAlign w:val="center"/>
          </w:tcPr>
          <w:p w14:paraId="72B5ED92" w14:textId="77777777" w:rsidR="00B47442" w:rsidRPr="0009445C" w:rsidRDefault="00B47442" w:rsidP="0099521D">
            <w:pPr>
              <w:pStyle w:val="BRL-Tabelle"/>
              <w:spacing w:before="60" w:after="40"/>
              <w:jc w:val="center"/>
              <w:rPr>
                <w:sz w:val="16"/>
              </w:rPr>
            </w:pPr>
          </w:p>
        </w:tc>
        <w:tc>
          <w:tcPr>
            <w:tcW w:w="427" w:type="dxa"/>
            <w:vAlign w:val="center"/>
          </w:tcPr>
          <w:p w14:paraId="4867EC61" w14:textId="77777777" w:rsidR="00B47442" w:rsidRPr="0009445C" w:rsidRDefault="00B47442" w:rsidP="0099521D">
            <w:pPr>
              <w:pStyle w:val="BRL-Tabelle"/>
              <w:spacing w:before="60" w:after="40"/>
              <w:jc w:val="center"/>
              <w:rPr>
                <w:sz w:val="16"/>
              </w:rPr>
            </w:pPr>
          </w:p>
        </w:tc>
      </w:tr>
      <w:tr w:rsidR="00B47442" w:rsidRPr="0009445C" w14:paraId="50E37D73" w14:textId="77777777" w:rsidTr="0099521D">
        <w:trPr>
          <w:trHeight w:val="264"/>
        </w:trPr>
        <w:tc>
          <w:tcPr>
            <w:tcW w:w="581" w:type="dxa"/>
          </w:tcPr>
          <w:p w14:paraId="2C9D0786" w14:textId="77777777" w:rsidR="00B47442" w:rsidRPr="0009445C" w:rsidRDefault="00B47442" w:rsidP="0099521D">
            <w:pPr>
              <w:pStyle w:val="BRL-Tabelle"/>
              <w:spacing w:before="60" w:after="40"/>
            </w:pPr>
          </w:p>
        </w:tc>
        <w:tc>
          <w:tcPr>
            <w:tcW w:w="8604" w:type="dxa"/>
            <w:gridSpan w:val="17"/>
          </w:tcPr>
          <w:p w14:paraId="1F366D15" w14:textId="77777777" w:rsidR="00B47442" w:rsidRPr="0009445C" w:rsidRDefault="00B47442" w:rsidP="0099521D">
            <w:pPr>
              <w:pStyle w:val="BRL-Tabelle"/>
              <w:spacing w:before="60" w:after="40"/>
            </w:pPr>
            <w:r w:rsidRPr="0009445C">
              <w:t>X</w:t>
            </w:r>
            <w:r w:rsidRPr="0009445C">
              <w:tab/>
              <w:t>must be fulfilled</w:t>
            </w:r>
          </w:p>
          <w:p w14:paraId="12426166" w14:textId="77777777" w:rsidR="00E56510" w:rsidRDefault="0066485E" w:rsidP="0099521D">
            <w:pPr>
              <w:pStyle w:val="BRL-Tabelle"/>
              <w:spacing w:before="60" w:after="40"/>
            </w:pPr>
            <w:r w:rsidRPr="0009445C">
              <w:t>1</w:t>
            </w:r>
            <w:r w:rsidRPr="0009445C">
              <w:tab/>
              <w:t xml:space="preserve">if the feature is required due to the application </w:t>
            </w:r>
          </w:p>
          <w:p w14:paraId="06038A76" w14:textId="528D4FFC" w:rsidR="00B47442" w:rsidRPr="0009445C" w:rsidRDefault="0066485E" w:rsidP="0099521D">
            <w:pPr>
              <w:pStyle w:val="BRL-Tabelle"/>
              <w:spacing w:before="60" w:after="40"/>
            </w:pPr>
            <w:r w:rsidRPr="0009445C">
              <w:t>2</w:t>
            </w:r>
            <w:r w:rsidRPr="0009445C">
              <w:tab/>
              <w:t>if the feature is applicable to the construction product</w:t>
            </w:r>
          </w:p>
        </w:tc>
      </w:tr>
    </w:tbl>
    <w:p w14:paraId="4250818A" w14:textId="77777777" w:rsidR="00B47442" w:rsidRPr="0009445C" w:rsidRDefault="00B47442" w:rsidP="00B47442">
      <w:pPr>
        <w:pStyle w:val="BRL-Standard"/>
      </w:pPr>
    </w:p>
    <w:p w14:paraId="25866007" w14:textId="6EFCC367" w:rsidR="00B47442" w:rsidRPr="0009445C" w:rsidRDefault="00B47442" w:rsidP="00B47442">
      <w:pPr>
        <w:pStyle w:val="BRL-Standard"/>
      </w:pPr>
      <w:r w:rsidRPr="0009445C">
        <w:t xml:space="preserve">If harmonised standards are not available for structural elements of a fire alarm system, construction products described in DIN 14675-1:2020-01 or DIN VDE 0833-2:2017-10 may also be used. </w:t>
      </w:r>
    </w:p>
    <w:p w14:paraId="2F1EBEAA" w14:textId="77777777" w:rsidR="00B47442" w:rsidRPr="0009445C" w:rsidRDefault="00B47442" w:rsidP="00B47442">
      <w:pPr>
        <w:pStyle w:val="BRL-Standard"/>
      </w:pPr>
    </w:p>
    <w:p w14:paraId="49855C98" w14:textId="77777777" w:rsidR="00B47442" w:rsidRPr="0009445C" w:rsidRDefault="00B47442" w:rsidP="00B47442">
      <w:pPr>
        <w:pStyle w:val="BRL-Standard"/>
      </w:pPr>
      <w:r w:rsidRPr="0009445C">
        <w:t>The cables and lines necessary for the connection of individual construction products may be used if they are suitable for use, sufficiently dimensioned and suitable for the intended purpose according to technical best practices. In addition, the requirements for fire performance and functional integrity under fire impact must be observed in accordance with the Technical Rule included in MVV TB under ser. No A 2.2.1.8, taking into account Section 2 of the Technical Rule included in MVV TB, ser. No A 2.2.1.2.</w:t>
      </w:r>
    </w:p>
    <w:p w14:paraId="1C3E0F15" w14:textId="77777777" w:rsidR="00B47442" w:rsidRPr="0009445C" w:rsidRDefault="00B47442" w:rsidP="00B47442">
      <w:pPr>
        <w:pStyle w:val="BRL-Standard"/>
      </w:pPr>
    </w:p>
    <w:p w14:paraId="13D566A2" w14:textId="77777777" w:rsidR="00B47442" w:rsidRPr="0009445C" w:rsidRDefault="00B47442" w:rsidP="00600F53">
      <w:pPr>
        <w:pStyle w:val="BRL-berschrift"/>
        <w:rPr>
          <w:rFonts w:eastAsia="Calibri"/>
        </w:rPr>
      </w:pPr>
      <w:r w:rsidRPr="0009445C">
        <w:t>2.3</w:t>
      </w:r>
      <w:r w:rsidRPr="0009445C">
        <w:tab/>
        <w:t>Planning, design, and execution of fire alarm systems</w:t>
      </w:r>
    </w:p>
    <w:p w14:paraId="7CCF0BB2" w14:textId="71E13E00" w:rsidR="00B47442" w:rsidRPr="0009445C" w:rsidRDefault="00B47442" w:rsidP="00B47442">
      <w:pPr>
        <w:pStyle w:val="BRL-Standard"/>
      </w:pPr>
      <w:r w:rsidRPr="0009445C">
        <w:t>Fire alarm systems whose technical planning, design and execution is carried out in accordance with DIN 14675</w:t>
      </w:r>
      <w:r w:rsidRPr="0009445C">
        <w:noBreakHyphen/>
        <w:t xml:space="preserve">1:2020-01 in conjunction with DIN VDE 0833-1:2014-10 and -2:2017-10, are deemed to fulfil the building inspection requirements unless more stringent requirements are imposed in the building supervisory procedure. </w:t>
      </w:r>
    </w:p>
    <w:p w14:paraId="2E00AA5F" w14:textId="77777777" w:rsidR="00155F8F" w:rsidRPr="0009445C" w:rsidRDefault="00155F8F" w:rsidP="00B47442">
      <w:pPr>
        <w:pStyle w:val="BRL-Standard"/>
      </w:pPr>
    </w:p>
    <w:p w14:paraId="6A94B7FB" w14:textId="77777777" w:rsidR="00155F8F" w:rsidRPr="0009445C" w:rsidRDefault="00155F8F" w:rsidP="00B47442">
      <w:pPr>
        <w:pStyle w:val="BRL-Standard"/>
      </w:pPr>
      <w:r w:rsidRPr="0009445C">
        <w:t xml:space="preserve">Fire alarm systems must be supplied with electricity for a sufficiently long time even in the event of a failure of the general power supply and remain functional. </w:t>
      </w:r>
    </w:p>
    <w:p w14:paraId="6662FE3C" w14:textId="77777777" w:rsidR="00155F8F" w:rsidRPr="0009445C" w:rsidRDefault="00155F8F" w:rsidP="00B47442">
      <w:pPr>
        <w:pStyle w:val="BRL-Standard"/>
      </w:pPr>
    </w:p>
    <w:p w14:paraId="7EC02CC5" w14:textId="77777777" w:rsidR="00B47442" w:rsidRPr="0009445C" w:rsidRDefault="00B47442" w:rsidP="00B47442">
      <w:pPr>
        <w:pStyle w:val="BRL-Standard"/>
      </w:pPr>
      <w:r w:rsidRPr="0009445C">
        <w:t>The rules of planning, design and execution standards on maintenance are not part of this Technical Rule.</w:t>
      </w:r>
    </w:p>
    <w:p w14:paraId="2D826DC4" w14:textId="77777777" w:rsidR="00CC445B" w:rsidRPr="0009445C" w:rsidRDefault="00CC445B" w:rsidP="00B47442">
      <w:pPr>
        <w:pStyle w:val="BRL-Standard"/>
      </w:pPr>
    </w:p>
    <w:p w14:paraId="7FB9B6C4" w14:textId="77777777" w:rsidR="00CC445B" w:rsidRPr="0009445C" w:rsidRDefault="00CC445B" w:rsidP="00B47442">
      <w:pPr>
        <w:pStyle w:val="BRL-Standard"/>
      </w:pPr>
      <w:r w:rsidRPr="0009445C">
        <w:t>All necessary data must be stated in the fire protection certificate.</w:t>
      </w:r>
    </w:p>
    <w:p w14:paraId="12A570BF" w14:textId="77777777" w:rsidR="00B47442" w:rsidRPr="0009445C" w:rsidRDefault="00B47442" w:rsidP="00B47442">
      <w:pPr>
        <w:pStyle w:val="BRL-Standard"/>
      </w:pPr>
      <w:bookmarkStart w:id="101" w:name="_Toc515443623"/>
    </w:p>
    <w:p w14:paraId="6FE30675" w14:textId="77777777" w:rsidR="00B47442" w:rsidRPr="0009445C" w:rsidRDefault="00B47442" w:rsidP="00600F53">
      <w:pPr>
        <w:pStyle w:val="BRL-berschrift"/>
      </w:pPr>
      <w:r w:rsidRPr="0009445C">
        <w:t>3</w:t>
      </w:r>
      <w:r w:rsidRPr="0009445C">
        <w:tab/>
        <w:t>Alarm systems</w:t>
      </w:r>
      <w:bookmarkEnd w:id="101"/>
    </w:p>
    <w:p w14:paraId="737BA3BF" w14:textId="77777777" w:rsidR="00B47442" w:rsidRPr="0009445C" w:rsidRDefault="00B47442" w:rsidP="00600F53">
      <w:pPr>
        <w:pStyle w:val="BRL-berschrift"/>
        <w:rPr>
          <w:rFonts w:eastAsia="Calibri"/>
        </w:rPr>
      </w:pPr>
      <w:r w:rsidRPr="0009445C">
        <w:t>3.1</w:t>
      </w:r>
      <w:r w:rsidRPr="0009445C">
        <w:tab/>
        <w:t>Purpose of the installation</w:t>
      </w:r>
    </w:p>
    <w:p w14:paraId="6945D04B" w14:textId="3C87AD42" w:rsidR="00B47442" w:rsidRPr="0009445C" w:rsidRDefault="00B47442" w:rsidP="00B47442">
      <w:pPr>
        <w:pStyle w:val="BRL-Standard"/>
      </w:pPr>
      <w:r w:rsidRPr="0009445C">
        <w:t>Alarm systems are hazard alerting systems. In the event of danger, they must alert and cause persons to leave the danger area by disseminating an emergency signal and/or a voice instruction. An alarm system shall consist of at least one control panel, an energy supply, trigger or control devices, signalling devices, and the connecting transmission path.</w:t>
      </w:r>
    </w:p>
    <w:p w14:paraId="3654BB77" w14:textId="77777777" w:rsidR="00B47442" w:rsidRPr="0009445C" w:rsidRDefault="00B47442" w:rsidP="00B47442">
      <w:pPr>
        <w:pStyle w:val="BRL-Standard"/>
      </w:pPr>
      <w:r w:rsidRPr="0009445C">
        <w:t>Voice alarms must be given at least in German language and be sufficiently comprehensible.</w:t>
      </w:r>
    </w:p>
    <w:p w14:paraId="6BA8A57C" w14:textId="17355C2B" w:rsidR="00B47442" w:rsidRPr="0009445C" w:rsidRDefault="00B47442" w:rsidP="00B47442">
      <w:pPr>
        <w:pStyle w:val="BRL-Standard"/>
      </w:pPr>
      <w:r w:rsidRPr="0009445C">
        <w:t>Alarm systems include electro-acoustic alarm systems in particular for issuing instructions, such as voice alarm systems or emergency warning systems. Alarm systems can also be executed as fire alarm systems with alarm function.</w:t>
      </w:r>
    </w:p>
    <w:p w14:paraId="3FE17D68" w14:textId="77777777" w:rsidR="008039A7" w:rsidRPr="0009445C" w:rsidRDefault="008039A7" w:rsidP="00B47442">
      <w:pPr>
        <w:pStyle w:val="BRL-Standard"/>
      </w:pPr>
      <w:r w:rsidRPr="0009445C">
        <w:t>Tasks of alarm systems cannot be taken over by fire warning systems.</w:t>
      </w:r>
    </w:p>
    <w:p w14:paraId="4894E642" w14:textId="77777777" w:rsidR="00B47442" w:rsidRPr="0009445C" w:rsidRDefault="00B47442" w:rsidP="00B47442">
      <w:pPr>
        <w:pStyle w:val="BRL-Standard"/>
      </w:pPr>
    </w:p>
    <w:p w14:paraId="135245E6" w14:textId="77777777" w:rsidR="00B47442" w:rsidRPr="0009445C" w:rsidRDefault="00B47442" w:rsidP="00600F53">
      <w:pPr>
        <w:pStyle w:val="BRL-berschrift"/>
        <w:rPr>
          <w:rFonts w:eastAsia="Calibri"/>
        </w:rPr>
      </w:pPr>
      <w:r w:rsidRPr="0009445C">
        <w:t>3.2</w:t>
      </w:r>
      <w:r w:rsidRPr="0009445C">
        <w:tab/>
        <w:t>Alarm system construction products</w:t>
      </w:r>
    </w:p>
    <w:p w14:paraId="56504CD0" w14:textId="751DA360" w:rsidR="00B47442" w:rsidRPr="0009445C" w:rsidRDefault="00B47442" w:rsidP="00B47442">
      <w:pPr>
        <w:pStyle w:val="BRL-Standard"/>
      </w:pPr>
      <w:r w:rsidRPr="0009445C">
        <w:t>In order to fulfil the building inspection requirements, alarm systems must be permanently reliable in operation and be constructed using construction products that are sufficiently powerful and permanently reliable in case of an alarm and have sufficient response delay; resistance to moisture, corrosion, and temperature; and shock and vibration resistance.</w:t>
      </w:r>
    </w:p>
    <w:p w14:paraId="619FB39B" w14:textId="77777777" w:rsidR="00B47442" w:rsidRPr="0009445C" w:rsidRDefault="00B47442" w:rsidP="00B47442">
      <w:pPr>
        <w:pStyle w:val="BRL-Standard"/>
      </w:pPr>
    </w:p>
    <w:p w14:paraId="46BA3EAA" w14:textId="77777777" w:rsidR="00B47442" w:rsidRPr="0009445C" w:rsidRDefault="00B47442" w:rsidP="00B47442">
      <w:pPr>
        <w:pStyle w:val="BRL-Standard"/>
      </w:pPr>
      <w:r w:rsidRPr="0009445C">
        <w:t>If construction products according to DIN EN 54 Parts 3, 4, 16, 17, 23, and 24 are used for fire alarm systems for the construction of alarm systems, the performance of key features shall be determined and declared at least in accordance with Table 1 of Section 2.2 Fire alarm systems of this Technical Rule.</w:t>
      </w:r>
    </w:p>
    <w:p w14:paraId="7202D52C" w14:textId="77777777" w:rsidR="00B47442" w:rsidRPr="0009445C" w:rsidRDefault="00B47442" w:rsidP="00B47442">
      <w:pPr>
        <w:pStyle w:val="BRL-Standard"/>
      </w:pPr>
    </w:p>
    <w:p w14:paraId="71B8FBE2" w14:textId="77777777" w:rsidR="00B47442" w:rsidRPr="0009445C" w:rsidRDefault="00B47442" w:rsidP="00B47442">
      <w:pPr>
        <w:pStyle w:val="BRL-Standard"/>
      </w:pPr>
      <w:r w:rsidRPr="0009445C">
        <w:t>The cables and lines necessary for the connection of individual construction products may be used if they are fit for use, sufficiently dimensioned, and suitable for the intended purpose. In addition, the requirements for fire characteristics and functional integrity under fire impact in accordance with the Technical Rule included in the MVV TB under ser. No A 2.2.1.8 must be observed, taking into account Section 2 of the Technical Rule included in the MVV TB under ser. No A 2.2.1.2.</w:t>
      </w:r>
    </w:p>
    <w:p w14:paraId="60A3F387" w14:textId="77777777" w:rsidR="00B47442" w:rsidRPr="0009445C" w:rsidRDefault="00B47442" w:rsidP="00B47442">
      <w:pPr>
        <w:pStyle w:val="BRL-Standard"/>
        <w:rPr>
          <w:highlight w:val="yellow"/>
        </w:rPr>
      </w:pPr>
    </w:p>
    <w:p w14:paraId="0CC26793" w14:textId="77777777" w:rsidR="00B47442" w:rsidRPr="0009445C" w:rsidRDefault="00B47442" w:rsidP="00600F53">
      <w:pPr>
        <w:pStyle w:val="BRL-berschrift"/>
        <w:rPr>
          <w:rFonts w:eastAsia="Calibri"/>
        </w:rPr>
      </w:pPr>
      <w:r w:rsidRPr="0009445C">
        <w:t>3.3</w:t>
      </w:r>
      <w:r w:rsidRPr="0009445C">
        <w:tab/>
        <w:t>Design, design, and execution of alarm systems</w:t>
      </w:r>
    </w:p>
    <w:p w14:paraId="190C2A9A" w14:textId="77777777" w:rsidR="00B47442" w:rsidRPr="0009445C" w:rsidRDefault="00B47442" w:rsidP="00B47442">
      <w:pPr>
        <w:pStyle w:val="BRL-Standard"/>
        <w:spacing w:after="60"/>
      </w:pPr>
      <w:r w:rsidRPr="0009445C">
        <w:t xml:space="preserve">Alarm systems whose technical planning, designing, and execution observe the standards </w:t>
      </w:r>
    </w:p>
    <w:p w14:paraId="02CB1244" w14:textId="0D119E34" w:rsidR="00B47442" w:rsidRPr="0009445C" w:rsidRDefault="00B47442" w:rsidP="00B47442">
      <w:pPr>
        <w:pStyle w:val="BRLAufzhlungAnstrich"/>
        <w:numPr>
          <w:ilvl w:val="0"/>
          <w:numId w:val="1"/>
        </w:numPr>
      </w:pPr>
      <w:r w:rsidRPr="0009445C">
        <w:t>DIN 14675-1:2020-01 in conjunction with DIN VDE 0833-1:2014-10 and DIN VDE 0833</w:t>
      </w:r>
      <w:r w:rsidRPr="0009445C">
        <w:noBreakHyphen/>
        <w:t>2:2017-10,</w:t>
      </w:r>
    </w:p>
    <w:p w14:paraId="438876A5" w14:textId="77EEDBF9" w:rsidR="00B47442" w:rsidRPr="0009445C" w:rsidRDefault="00B47442" w:rsidP="00B47442">
      <w:pPr>
        <w:pStyle w:val="BRLAufzhlungAnstrich"/>
        <w:numPr>
          <w:ilvl w:val="0"/>
          <w:numId w:val="1"/>
        </w:numPr>
      </w:pPr>
      <w:r w:rsidRPr="0009445C">
        <w:t>DIN 14675-1:2020-01 in conjunction with DIN VDE 0833-1:2014-10, DIN VDE 0833</w:t>
      </w:r>
      <w:r w:rsidRPr="0009445C">
        <w:noBreakHyphen/>
        <w:t>2:2017-10 and DIN VDE 0833</w:t>
      </w:r>
      <w:r w:rsidRPr="0009445C">
        <w:noBreakHyphen/>
        <w:t>4:2014-10 or</w:t>
      </w:r>
    </w:p>
    <w:p w14:paraId="653C7DC5" w14:textId="77777777" w:rsidR="00B47442" w:rsidRPr="0009445C" w:rsidRDefault="00B47442" w:rsidP="00B47442">
      <w:pPr>
        <w:pStyle w:val="BRLAufzhlungAnstrich"/>
        <w:numPr>
          <w:ilvl w:val="0"/>
          <w:numId w:val="1"/>
        </w:numPr>
        <w:spacing w:after="60"/>
      </w:pPr>
      <w:r w:rsidRPr="0009445C">
        <w:t>DIN EN 50849 (DIN VDE 0828-1):2017-11</w:t>
      </w:r>
    </w:p>
    <w:p w14:paraId="5CB1D9A3" w14:textId="77777777" w:rsidR="00B47442" w:rsidRPr="0009445C" w:rsidRDefault="00B47442" w:rsidP="00B47442">
      <w:pPr>
        <w:pStyle w:val="BRL-Standard"/>
      </w:pPr>
      <w:r w:rsidRPr="0009445C">
        <w:t xml:space="preserve">if the building regulations requirements are met, if there are no further requirements in the building supervision procedure or if further requirements arise for reasons of accessibility according to the Technical Rule referred to in </w:t>
      </w:r>
      <w:r w:rsidRPr="0009445C">
        <w:lastRenderedPageBreak/>
        <w:t>the MVV TB under ser. No A 4.2.2.1. The rules of planning, design and execution standards on maintenance are not part of this Technical Rule.</w:t>
      </w:r>
    </w:p>
    <w:p w14:paraId="2DF731B6" w14:textId="77777777" w:rsidR="00B47442" w:rsidRPr="0009445C" w:rsidRDefault="00B47442" w:rsidP="00B47442">
      <w:pPr>
        <w:pStyle w:val="BRL-Standard"/>
      </w:pPr>
    </w:p>
    <w:p w14:paraId="7F3AD161" w14:textId="77777777" w:rsidR="00B47442" w:rsidRPr="0009445C" w:rsidRDefault="00B47442" w:rsidP="00B47442">
      <w:pPr>
        <w:pStyle w:val="BRL-Standard"/>
      </w:pPr>
      <w:r w:rsidRPr="0009445C">
        <w:t xml:space="preserve">In the case of alarm systems with acoustic signal transmitters, the switch off of the signals must also be possible in the immediate vicinity of the first contact point for the fire brigade or the assisting point. </w:t>
      </w:r>
    </w:p>
    <w:p w14:paraId="0E7F7445" w14:textId="5852ED13" w:rsidR="00B47442" w:rsidRPr="0009445C" w:rsidRDefault="00B47442" w:rsidP="00B47442">
      <w:pPr>
        <w:pStyle w:val="BRL-Standard"/>
        <w:rPr>
          <w:rFonts w:eastAsia="Calibri"/>
        </w:rPr>
      </w:pPr>
      <w:r w:rsidRPr="0009445C">
        <w:t>An alarm system with voice alarm requires a voice alarm control system. The voice alarm system may be a separate unit or physically integrated with the fire alarm system. Fire alarm and voice alarm control may be located at the same location, including the structural elements required for their operation.</w:t>
      </w:r>
    </w:p>
    <w:p w14:paraId="4A9C429F" w14:textId="77777777" w:rsidR="00B47442" w:rsidRPr="0009445C" w:rsidRDefault="00B47442" w:rsidP="00B47442">
      <w:pPr>
        <w:pStyle w:val="BRL-Standard"/>
      </w:pPr>
    </w:p>
    <w:p w14:paraId="67B4B982" w14:textId="77777777" w:rsidR="00CC445B" w:rsidRPr="0009445C" w:rsidRDefault="00CC445B" w:rsidP="00CC445B">
      <w:pPr>
        <w:pStyle w:val="BRL-Standard"/>
      </w:pPr>
      <w:r w:rsidRPr="0009445C">
        <w:t>Alarm systems must be supplied with power for a sufficiently long time even in the event of a failure of the general power supply and remain operational.</w:t>
      </w:r>
    </w:p>
    <w:p w14:paraId="1B3D91B6" w14:textId="77777777" w:rsidR="00CC445B" w:rsidRPr="0009445C" w:rsidRDefault="00CC445B" w:rsidP="00CC445B">
      <w:pPr>
        <w:pStyle w:val="BRL-Standard"/>
      </w:pPr>
    </w:p>
    <w:p w14:paraId="240BB2A9" w14:textId="77777777" w:rsidR="00CC445B" w:rsidRPr="0009445C" w:rsidRDefault="00CC445B" w:rsidP="00CC445B">
      <w:pPr>
        <w:pStyle w:val="BRL-Standard"/>
      </w:pPr>
      <w:r w:rsidRPr="0009445C">
        <w:t>All necessary data must be stated in the fire protection certificate.</w:t>
      </w:r>
    </w:p>
    <w:p w14:paraId="6FD1B211" w14:textId="77777777" w:rsidR="00CC445B" w:rsidRPr="0009445C" w:rsidRDefault="00CC445B" w:rsidP="00B47442">
      <w:pPr>
        <w:pStyle w:val="BRL-Standard"/>
      </w:pPr>
    </w:p>
    <w:p w14:paraId="5AA92A9D" w14:textId="77777777" w:rsidR="00B47442" w:rsidRPr="0009445C" w:rsidRDefault="00B47442" w:rsidP="00600F53">
      <w:pPr>
        <w:pStyle w:val="BRL-berschrift"/>
      </w:pPr>
      <w:bookmarkStart w:id="102" w:name="_Toc515443624"/>
      <w:r w:rsidRPr="0009445C">
        <w:t>4</w:t>
      </w:r>
      <w:r w:rsidRPr="0009445C">
        <w:tab/>
        <w:t>Emergency lighting systems</w:t>
      </w:r>
      <w:bookmarkEnd w:id="102"/>
      <w:r w:rsidRPr="0009445C">
        <w:t xml:space="preserve"> </w:t>
      </w:r>
    </w:p>
    <w:p w14:paraId="26D4AD5E" w14:textId="77777777" w:rsidR="00B47442" w:rsidRPr="0009445C" w:rsidRDefault="00B47442" w:rsidP="00600F53">
      <w:pPr>
        <w:pStyle w:val="BRL-berschrift"/>
        <w:rPr>
          <w:rFonts w:eastAsia="Calibri"/>
        </w:rPr>
      </w:pPr>
      <w:r w:rsidRPr="0009445C">
        <w:t>4.1</w:t>
      </w:r>
      <w:r w:rsidRPr="0009445C">
        <w:tab/>
        <w:t xml:space="preserve">Purpose of the installation </w:t>
      </w:r>
    </w:p>
    <w:p w14:paraId="480BAAF1" w14:textId="77777777" w:rsidR="00B47442" w:rsidRPr="0009445C" w:rsidRDefault="00B47442" w:rsidP="00B47442">
      <w:pPr>
        <w:pStyle w:val="BRL-Standard"/>
        <w:rPr>
          <w:rFonts w:eastAsia="Calibri"/>
        </w:rPr>
      </w:pPr>
      <w:r w:rsidRPr="0009445C">
        <w:t>Emergency lighting systems are electrical systems, including associated wiring, with a power supply and more than one light, that illuminate rooms, escape routes or emergency signs even in case of power failure of the general lighting for as long as is needed to enable persons to safely leave the rooms or the building and – if required under building inspection rules – to reach public traffic areas, as well as to safely complete work operations where appropriate.</w:t>
      </w:r>
    </w:p>
    <w:p w14:paraId="02A9B772" w14:textId="77777777" w:rsidR="00B47442" w:rsidRPr="0009445C" w:rsidRDefault="00B47442" w:rsidP="00B47442">
      <w:pPr>
        <w:pStyle w:val="BRL-Standard"/>
        <w:rPr>
          <w:rFonts w:eastAsia="Calibri"/>
          <w:lang w:eastAsia="en-US"/>
        </w:rPr>
      </w:pPr>
    </w:p>
    <w:p w14:paraId="43EF465D" w14:textId="77777777" w:rsidR="00B47442" w:rsidRPr="0009445C" w:rsidRDefault="00B47442" w:rsidP="00600F53">
      <w:pPr>
        <w:pStyle w:val="BRL-berschrift"/>
        <w:rPr>
          <w:rFonts w:eastAsia="Calibri"/>
        </w:rPr>
      </w:pPr>
      <w:r w:rsidRPr="0009445C">
        <w:t>4.2</w:t>
      </w:r>
      <w:r w:rsidRPr="0009445C">
        <w:tab/>
        <w:t>Construction products of emergency lighting systems</w:t>
      </w:r>
    </w:p>
    <w:p w14:paraId="4D6B2F3C" w14:textId="77777777" w:rsidR="00B47442" w:rsidRPr="0009445C" w:rsidRDefault="00B47442" w:rsidP="00B47442">
      <w:pPr>
        <w:pStyle w:val="BRL-Standard"/>
        <w:rPr>
          <w:rFonts w:eastAsia="Calibri"/>
        </w:rPr>
      </w:pPr>
      <w:r w:rsidRPr="0009445C">
        <w:t xml:space="preserve">In order to comply with the building inspection requirements, emergency lighting systems must be permanently operationally reliable. </w:t>
      </w:r>
    </w:p>
    <w:p w14:paraId="23FFEC49" w14:textId="77777777" w:rsidR="00B47442" w:rsidRPr="0009445C" w:rsidRDefault="00B47442" w:rsidP="00B47442">
      <w:pPr>
        <w:pStyle w:val="BRL-Standard"/>
        <w:rPr>
          <w:rFonts w:eastAsia="Calibri"/>
          <w:lang w:eastAsia="en-US"/>
        </w:rPr>
      </w:pPr>
    </w:p>
    <w:p w14:paraId="2C187E0B" w14:textId="77777777" w:rsidR="00B47442" w:rsidRPr="0009445C" w:rsidRDefault="00B47442" w:rsidP="00B47442">
      <w:pPr>
        <w:pStyle w:val="BRL-Standard"/>
        <w:rPr>
          <w:rFonts w:eastAsia="Calibri"/>
        </w:rPr>
      </w:pPr>
      <w:r w:rsidRPr="0009445C">
        <w:t>Construction products for emergency lighting systems must comply with the product requirements of European standards or, if only national technical rules such as DIN or DIN VDE standards are in place, with those Technical Rules.</w:t>
      </w:r>
    </w:p>
    <w:p w14:paraId="42A83773" w14:textId="77777777" w:rsidR="00B47442" w:rsidRPr="0009445C" w:rsidRDefault="00B47442" w:rsidP="00B47442">
      <w:pPr>
        <w:pStyle w:val="BRL-Standard"/>
        <w:rPr>
          <w:rFonts w:eastAsia="Calibri"/>
          <w:lang w:eastAsia="en-US"/>
        </w:rPr>
      </w:pPr>
    </w:p>
    <w:p w14:paraId="4A640D3F" w14:textId="292D2BE5" w:rsidR="00B47442" w:rsidRPr="0009445C" w:rsidRDefault="00B47442" w:rsidP="00B47442">
      <w:pPr>
        <w:pStyle w:val="BRL-Standard"/>
        <w:rPr>
          <w:rFonts w:eastAsia="Calibri"/>
        </w:rPr>
      </w:pPr>
      <w:r w:rsidRPr="0009445C">
        <w:t>Emergency luminaires complying with the standard DIN EN 60598-2-22 (VDE 0711-2-22):2020-12 meet the building approval requirements.</w:t>
      </w:r>
    </w:p>
    <w:p w14:paraId="7B5CF4E3" w14:textId="77777777" w:rsidR="00B47442" w:rsidRPr="0009445C" w:rsidRDefault="00B47442" w:rsidP="00B47442">
      <w:pPr>
        <w:pStyle w:val="BRL-Standard"/>
        <w:rPr>
          <w:rFonts w:eastAsia="Calibri"/>
          <w:lang w:eastAsia="en-US"/>
        </w:rPr>
      </w:pPr>
    </w:p>
    <w:p w14:paraId="382BA1D9" w14:textId="77777777" w:rsidR="00B47442" w:rsidRPr="0009445C" w:rsidRDefault="00B47442" w:rsidP="00B47442">
      <w:pPr>
        <w:pStyle w:val="BRL-Standard"/>
      </w:pPr>
      <w:r w:rsidRPr="0009445C">
        <w:t>The cables and lines necessary for the connection of individual construction products may be used if they are fit for use, sufficiently dimensioned, and suitable for the intended purpose. In addition, the requirements for fire characteristics and functional integrity under fire impact in accordance with the Technical Rule included in the MVV TB under ser. No A 2.2.1.8 must be observed, taking into account Section 2 of the Technical Rule included in the MVV TB under ser. No A 2.2.1.2.</w:t>
      </w:r>
    </w:p>
    <w:p w14:paraId="7CECE58F" w14:textId="77777777" w:rsidR="00B47442" w:rsidRPr="0009445C" w:rsidRDefault="00B47442" w:rsidP="00B47442">
      <w:pPr>
        <w:pStyle w:val="BRL-Standard"/>
        <w:rPr>
          <w:rFonts w:eastAsia="Calibri"/>
          <w:lang w:eastAsia="en-US"/>
        </w:rPr>
      </w:pPr>
    </w:p>
    <w:p w14:paraId="272F9616" w14:textId="77777777" w:rsidR="00B47442" w:rsidRPr="0009445C" w:rsidRDefault="00B47442" w:rsidP="00600F53">
      <w:pPr>
        <w:pStyle w:val="BRL-berschrift"/>
        <w:rPr>
          <w:rFonts w:eastAsia="Calibri"/>
        </w:rPr>
      </w:pPr>
      <w:r w:rsidRPr="0009445C">
        <w:t>4.3</w:t>
      </w:r>
      <w:r w:rsidRPr="0009445C">
        <w:tab/>
        <w:t>Planning, design, and execution of emergency lighting systems</w:t>
      </w:r>
    </w:p>
    <w:p w14:paraId="679D9CA3" w14:textId="621AB0B6" w:rsidR="00B47442" w:rsidRPr="0009445C" w:rsidRDefault="00B47442" w:rsidP="00B47442">
      <w:pPr>
        <w:pStyle w:val="BRL-Standard"/>
        <w:rPr>
          <w:rFonts w:eastAsia="Calibri"/>
        </w:rPr>
      </w:pPr>
      <w:r w:rsidRPr="0009445C">
        <w:t xml:space="preserve">Emergency lighting systems whose technical planning, designing and execution observes the DIN VDE 0100 series of standards (with the exception of Parts 801 et seq. of each standard), DIN V VDE V 0108-100-1:2018-12 and DIN EN 1838:2019-11 as well as Section 5 ‘Emergency power supply systems’ of this Technical Rule, are deemed to comply with the building inspection requirements unless more stringent requirements are imposed in the building supervisory procedure. </w:t>
      </w:r>
    </w:p>
    <w:p w14:paraId="248F0078" w14:textId="77777777" w:rsidR="00482E2A" w:rsidRPr="0009445C" w:rsidRDefault="00482E2A" w:rsidP="00B47442">
      <w:pPr>
        <w:pStyle w:val="BRL-Standard"/>
        <w:rPr>
          <w:rFonts w:eastAsia="Calibri"/>
          <w:lang w:eastAsia="en-US"/>
        </w:rPr>
      </w:pPr>
    </w:p>
    <w:p w14:paraId="1D11BA9C" w14:textId="77777777" w:rsidR="00482E2A" w:rsidRPr="0009445C" w:rsidRDefault="00482E2A" w:rsidP="00B47442">
      <w:pPr>
        <w:pStyle w:val="BRL-Standard"/>
        <w:rPr>
          <w:rFonts w:eastAsia="Calibri"/>
        </w:rPr>
      </w:pPr>
      <w:r w:rsidRPr="0009445C">
        <w:t>All necessary data must be stated in the fire protection certificate.</w:t>
      </w:r>
    </w:p>
    <w:p w14:paraId="4C30C34B" w14:textId="77777777" w:rsidR="003A0178" w:rsidRPr="0009445C" w:rsidRDefault="003A0178">
      <w:pPr>
        <w:spacing w:after="200" w:line="276" w:lineRule="auto"/>
        <w:rPr>
          <w:szCs w:val="18"/>
        </w:rPr>
      </w:pPr>
      <w:r w:rsidRPr="0009445C">
        <w:br w:type="page"/>
      </w:r>
    </w:p>
    <w:p w14:paraId="05C0FF2C" w14:textId="77777777" w:rsidR="00B47442" w:rsidRPr="0009445C" w:rsidRDefault="00B47442" w:rsidP="00600F53">
      <w:pPr>
        <w:pStyle w:val="BRL-berschrift"/>
      </w:pPr>
      <w:bookmarkStart w:id="103" w:name="_Toc515443625"/>
      <w:r w:rsidRPr="0009445C">
        <w:lastRenderedPageBreak/>
        <w:t>5</w:t>
      </w:r>
      <w:r w:rsidRPr="0009445C">
        <w:tab/>
        <w:t>Emergency power supply systems</w:t>
      </w:r>
      <w:bookmarkEnd w:id="103"/>
    </w:p>
    <w:p w14:paraId="5809F62D" w14:textId="77777777" w:rsidR="00B47442" w:rsidRPr="0009445C" w:rsidRDefault="00B47442" w:rsidP="00600F53">
      <w:pPr>
        <w:pStyle w:val="BRL-berschrift"/>
        <w:rPr>
          <w:rFonts w:eastAsia="Calibri"/>
        </w:rPr>
      </w:pPr>
      <w:r w:rsidRPr="0009445C">
        <w:t>5.1</w:t>
      </w:r>
      <w:r w:rsidRPr="0009445C">
        <w:tab/>
        <w:t>Purpose of the installation</w:t>
      </w:r>
    </w:p>
    <w:p w14:paraId="11360939" w14:textId="77777777" w:rsidR="00B47442" w:rsidRPr="0009445C" w:rsidRDefault="00B47442" w:rsidP="00B47442">
      <w:pPr>
        <w:pStyle w:val="BRL-Standard"/>
      </w:pPr>
      <w:r w:rsidRPr="0009445C">
        <w:t>Emergency power supply systems are electrical installations which, in the event of a failure of the general power supply, maintain the operation of the safety installations for a certain period of time. Emergency power supply systems include the power source (voltage source or energy storage), the required switching and auxiliary equipment, and the associated wiring up to the terminals of the safety equipment to be supplied with power.</w:t>
      </w:r>
    </w:p>
    <w:p w14:paraId="610C8042" w14:textId="77777777" w:rsidR="00B47442" w:rsidRPr="0009445C" w:rsidRDefault="00B47442" w:rsidP="00B47442">
      <w:pPr>
        <w:pStyle w:val="BRL-Standard"/>
      </w:pPr>
    </w:p>
    <w:p w14:paraId="37A158CA" w14:textId="77777777" w:rsidR="00B47442" w:rsidRPr="0009445C" w:rsidRDefault="00B47442" w:rsidP="00B47442">
      <w:pPr>
        <w:pStyle w:val="BRL-Standard"/>
      </w:pPr>
      <w:r w:rsidRPr="0009445C">
        <w:t xml:space="preserve">Backup systems that are needed for operational reasons, are not considered to be emergency power supply systems in the building supervisory sense. </w:t>
      </w:r>
    </w:p>
    <w:p w14:paraId="43D81E0A" w14:textId="77777777" w:rsidR="00B47442" w:rsidRPr="0009445C" w:rsidRDefault="00B47442" w:rsidP="00B47442">
      <w:pPr>
        <w:pStyle w:val="BRL-Standard"/>
      </w:pPr>
    </w:p>
    <w:p w14:paraId="55054B9C" w14:textId="77777777" w:rsidR="00B47442" w:rsidRPr="0009445C" w:rsidRDefault="00B47442" w:rsidP="00600F53">
      <w:pPr>
        <w:pStyle w:val="BRL-berschrift"/>
        <w:rPr>
          <w:rFonts w:eastAsia="Calibri"/>
        </w:rPr>
      </w:pPr>
      <w:r w:rsidRPr="0009445C">
        <w:t>5.2</w:t>
      </w:r>
      <w:r w:rsidRPr="0009445C">
        <w:tab/>
        <w:t>Construction products of emergency power supply systems</w:t>
      </w:r>
    </w:p>
    <w:p w14:paraId="473281AE" w14:textId="77777777" w:rsidR="00B47442" w:rsidRPr="0009445C" w:rsidRDefault="00B47442" w:rsidP="00B47442">
      <w:pPr>
        <w:pStyle w:val="BRL-Standard"/>
      </w:pPr>
      <w:r w:rsidRPr="0009445C">
        <w:t>In order to fulfil the building inspection requirements, emergency power supply systems must be permanently reliable in operation.</w:t>
      </w:r>
    </w:p>
    <w:p w14:paraId="77A5BA29" w14:textId="77777777" w:rsidR="00B47442" w:rsidRPr="0009445C" w:rsidRDefault="00B47442" w:rsidP="00B47442">
      <w:pPr>
        <w:pStyle w:val="BRL-Standard"/>
      </w:pPr>
      <w:r w:rsidRPr="0009445C">
        <w:t>Construction products for emergency power supply systems must comply with the product requirements of European standards or, if only national technical rules such as DIN or DIN VDE</w:t>
      </w:r>
      <w:r w:rsidRPr="0009445C">
        <w:noBreakHyphen/>
        <w:t>standards are in place, with those technical rules.</w:t>
      </w:r>
    </w:p>
    <w:p w14:paraId="2BE3C1D0" w14:textId="77777777" w:rsidR="00B47442" w:rsidRPr="0009445C" w:rsidRDefault="00B47442" w:rsidP="00B47442">
      <w:pPr>
        <w:pStyle w:val="BRL-Standard"/>
      </w:pPr>
    </w:p>
    <w:p w14:paraId="5B8F1969" w14:textId="77777777" w:rsidR="00B47442" w:rsidRPr="0009445C" w:rsidRDefault="00B47442" w:rsidP="00B47442">
      <w:pPr>
        <w:pStyle w:val="BRL-Standard"/>
      </w:pPr>
      <w:r w:rsidRPr="0009445C">
        <w:t>Power generators with reciprocating internal combustion engines that meet the requirements of the DIN 6280 series of standards as well as central power supply systems that meet the requirements of DIN EN 50171:2001-11 (DIN VDE 0558-508) are deemed to be compliant with the building inspection requirements.</w:t>
      </w:r>
    </w:p>
    <w:p w14:paraId="1BCEAA9D" w14:textId="77777777" w:rsidR="00B47442" w:rsidRPr="0009445C" w:rsidRDefault="00B47442" w:rsidP="00B47442">
      <w:pPr>
        <w:pStyle w:val="BRL-Standard"/>
      </w:pPr>
    </w:p>
    <w:p w14:paraId="6273F7DD" w14:textId="77777777" w:rsidR="00B47442" w:rsidRPr="0009445C" w:rsidRDefault="00B47442" w:rsidP="00B47442">
      <w:pPr>
        <w:pStyle w:val="BRL-Standard"/>
      </w:pPr>
      <w:r w:rsidRPr="0009445C">
        <w:t>The cables and lines necessary for the connection of individual construction products may be used if they are fit for use, sufficiently dimensioned, and suitable for the intended purpose. In addition, the requirements for fire characteristics and functional integrity under fire impact in accordance with the Technical Rule included in the MVV TB under ser. No A 2.2.1.8 must be observed, taking into account Section 2 of the Technical Rule included in the MVV TB under ser. No A 2.2.1.2.</w:t>
      </w:r>
    </w:p>
    <w:p w14:paraId="15F8C748" w14:textId="77777777" w:rsidR="00B47442" w:rsidRPr="0009445C" w:rsidRDefault="00B47442" w:rsidP="00B47442">
      <w:pPr>
        <w:pStyle w:val="BRL-Standard"/>
      </w:pPr>
    </w:p>
    <w:p w14:paraId="0401E183" w14:textId="77777777" w:rsidR="00B47442" w:rsidRPr="0009445C" w:rsidRDefault="00B47442" w:rsidP="00600F53">
      <w:pPr>
        <w:pStyle w:val="BRL-berschrift"/>
        <w:rPr>
          <w:rFonts w:eastAsia="Calibri"/>
        </w:rPr>
      </w:pPr>
      <w:r w:rsidRPr="0009445C">
        <w:t>5.3</w:t>
      </w:r>
      <w:r w:rsidRPr="0009445C">
        <w:tab/>
        <w:t>Planning, design and execution of the emergency power supply systems</w:t>
      </w:r>
    </w:p>
    <w:p w14:paraId="57351596" w14:textId="77777777" w:rsidR="00B47442" w:rsidRPr="0009445C" w:rsidRDefault="00B47442" w:rsidP="00B47442">
      <w:pPr>
        <w:pStyle w:val="BRL-Standard"/>
      </w:pPr>
      <w:r w:rsidRPr="0009445C">
        <w:t xml:space="preserve">Emergency power supply </w:t>
      </w:r>
      <w:proofErr w:type="spellStart"/>
      <w:r w:rsidRPr="0009445C">
        <w:t>systems</w:t>
      </w:r>
      <w:proofErr w:type="spellEnd"/>
      <w:r w:rsidRPr="0009445C">
        <w:t xml:space="preserve"> whose technical planning, design and execution observes the DIN VDE 0100 series of standards (with the exception of Parts 801 ff of each standard), or the DIN VDE 0101 series of standards in the case of systems with a nominal voltage over 1000 V, are deemed to be compliant with the building inspection requirements unless more stringent requirements are imposed in the building supervisory procedure. </w:t>
      </w:r>
    </w:p>
    <w:p w14:paraId="2A8A01C5" w14:textId="77777777" w:rsidR="00B47442" w:rsidRPr="0009445C" w:rsidRDefault="00B47442" w:rsidP="00B47442">
      <w:pPr>
        <w:pStyle w:val="BRL-Standard"/>
        <w:rPr>
          <w:b/>
        </w:rPr>
      </w:pPr>
    </w:p>
    <w:p w14:paraId="0B72BA16" w14:textId="77777777" w:rsidR="00B47442" w:rsidRPr="0009445C" w:rsidRDefault="00B47442" w:rsidP="00B47442">
      <w:pPr>
        <w:pStyle w:val="BRL-Standard"/>
      </w:pPr>
      <w:r w:rsidRPr="0009445C">
        <w:t>Emergency power supply systems shall be designed in such a way that, in the event of overload or short circuit, only the affected section is switched off, while the rest of the system remains in operation (selectiveness). Proof of selective fault switch-off may be provided with suitable engineering (calculation) methods.</w:t>
      </w:r>
    </w:p>
    <w:p w14:paraId="4B599776" w14:textId="77777777" w:rsidR="00B47442" w:rsidRPr="0009445C" w:rsidRDefault="00B47442" w:rsidP="00B47442">
      <w:pPr>
        <w:pStyle w:val="BRL-Standard"/>
      </w:pPr>
    </w:p>
    <w:p w14:paraId="47146FEB" w14:textId="77777777" w:rsidR="00B47442" w:rsidRPr="0009445C" w:rsidRDefault="00B47442" w:rsidP="00B47442">
      <w:pPr>
        <w:pStyle w:val="BRL-Standard"/>
      </w:pPr>
      <w:r w:rsidRPr="0009445C">
        <w:t xml:space="preserve">The power source shall be designed such that it can maintain the power supply to the safety equipment for the required period of time. When designing the power source, its performance and start-up behaviour as well as the non-linearity of the consumers must be taken into account. </w:t>
      </w:r>
    </w:p>
    <w:p w14:paraId="76167358" w14:textId="77777777" w:rsidR="00B47442" w:rsidRPr="0009445C" w:rsidRDefault="00B47442" w:rsidP="00B47442">
      <w:pPr>
        <w:pStyle w:val="BRL-Standard"/>
      </w:pPr>
    </w:p>
    <w:p w14:paraId="5653E32A" w14:textId="77777777" w:rsidR="00B47442" w:rsidRPr="0009445C" w:rsidRDefault="00B47442" w:rsidP="00B47442">
      <w:pPr>
        <w:pStyle w:val="BRL-Standard"/>
      </w:pPr>
      <w:r w:rsidRPr="0009445C">
        <w:t>A dual system pursuant to DIN VDE 0100-560:2013-10, Section 6.1 ‘Power sources for emergency purposes’, final indent, is not deemed to fulfil the building inspection requirements for emergency power supply systems.</w:t>
      </w:r>
    </w:p>
    <w:p w14:paraId="6B3EA72F" w14:textId="77777777" w:rsidR="00B47442" w:rsidRPr="0009445C" w:rsidRDefault="00B47442" w:rsidP="00B47442">
      <w:pPr>
        <w:pStyle w:val="BRL-Standard"/>
      </w:pPr>
      <w:bookmarkStart w:id="104" w:name="_Toc515443626"/>
    </w:p>
    <w:p w14:paraId="5DA0A99D" w14:textId="77777777" w:rsidR="00482E2A" w:rsidRPr="0009445C" w:rsidRDefault="00482E2A" w:rsidP="00B47442">
      <w:pPr>
        <w:pStyle w:val="BRL-Standard"/>
      </w:pPr>
      <w:r w:rsidRPr="0009445C">
        <w:t>All necessary data must be stated in the fire protection certificate.</w:t>
      </w:r>
    </w:p>
    <w:p w14:paraId="7797C978" w14:textId="77777777" w:rsidR="00482E2A" w:rsidRPr="0009445C" w:rsidRDefault="00482E2A" w:rsidP="00B47442">
      <w:pPr>
        <w:pStyle w:val="BRL-Standard"/>
      </w:pPr>
    </w:p>
    <w:p w14:paraId="1518EDD8" w14:textId="77777777" w:rsidR="00B47442" w:rsidRPr="0009445C" w:rsidRDefault="00B47442" w:rsidP="00600F53">
      <w:pPr>
        <w:pStyle w:val="BRL-berschrift"/>
      </w:pPr>
      <w:r w:rsidRPr="0009445C">
        <w:t>6</w:t>
      </w:r>
      <w:r w:rsidRPr="0009445C">
        <w:tab/>
        <w:t>Ventilation systems</w:t>
      </w:r>
      <w:bookmarkEnd w:id="104"/>
    </w:p>
    <w:p w14:paraId="786924A6" w14:textId="77777777" w:rsidR="00B47442" w:rsidRPr="0009445C" w:rsidRDefault="00B47442" w:rsidP="00600F53">
      <w:pPr>
        <w:pStyle w:val="BRL-berschrift"/>
        <w:rPr>
          <w:rFonts w:eastAsia="Calibri"/>
        </w:rPr>
      </w:pPr>
      <w:r w:rsidRPr="0009445C">
        <w:t>6.1</w:t>
      </w:r>
      <w:r w:rsidRPr="0009445C">
        <w:tab/>
        <w:t>Purpose of the installation</w:t>
      </w:r>
    </w:p>
    <w:p w14:paraId="74AFE272" w14:textId="77777777" w:rsidR="00B47442" w:rsidRPr="0009445C" w:rsidRDefault="00B47442" w:rsidP="00B47442">
      <w:pPr>
        <w:pStyle w:val="BRL-Standard"/>
      </w:pPr>
      <w:r w:rsidRPr="0009445C">
        <w:t>Ventilation systems are used for the ventilation of rooms. The systems may be natural or mechanical ventilation systems. Mechanical systems include air-conditioning systems, climate control systems, and air heating systems.</w:t>
      </w:r>
    </w:p>
    <w:p w14:paraId="1A8F3038" w14:textId="77777777" w:rsidR="00B47442" w:rsidRPr="0009445C" w:rsidRDefault="00B47442" w:rsidP="00B47442">
      <w:pPr>
        <w:pStyle w:val="BRL-Standard"/>
      </w:pPr>
    </w:p>
    <w:p w14:paraId="0239911D" w14:textId="77777777" w:rsidR="00B47442" w:rsidRPr="0009445C" w:rsidRDefault="00B47442" w:rsidP="00B47442">
      <w:pPr>
        <w:pStyle w:val="BRL-Standard"/>
      </w:pPr>
      <w:r w:rsidRPr="0009445C">
        <w:t>Ventilation systems serve to meet the building inspection requirements for the adequate and effective ventilation of rooms.</w:t>
      </w:r>
    </w:p>
    <w:p w14:paraId="7580C4EC" w14:textId="77777777" w:rsidR="00B47442" w:rsidRPr="0009445C" w:rsidRDefault="00B47442" w:rsidP="00B47442">
      <w:pPr>
        <w:pStyle w:val="BRL-Standard"/>
      </w:pPr>
    </w:p>
    <w:p w14:paraId="680F8533" w14:textId="77777777" w:rsidR="00B47442" w:rsidRPr="0009445C" w:rsidRDefault="00B47442" w:rsidP="00600F53">
      <w:pPr>
        <w:pStyle w:val="BRL-berschrift"/>
        <w:rPr>
          <w:rFonts w:eastAsia="Calibri"/>
        </w:rPr>
      </w:pPr>
      <w:r w:rsidRPr="0009445C">
        <w:lastRenderedPageBreak/>
        <w:t>6.2</w:t>
      </w:r>
      <w:r w:rsidRPr="0009445C">
        <w:tab/>
        <w:t>Planning, designing and execution</w:t>
      </w:r>
    </w:p>
    <w:p w14:paraId="3675E2D9" w14:textId="77777777" w:rsidR="00B47442" w:rsidRPr="0009445C" w:rsidRDefault="00B47442" w:rsidP="00B47442">
      <w:pPr>
        <w:pStyle w:val="BRL-Standard"/>
      </w:pPr>
      <w:r w:rsidRPr="0009445C">
        <w:t xml:space="preserve">Ventilation systems shall be planned, designed and executed in such a way that the building inspection requirements are met. The Technical Rules included in the MVV TB under serial numbers A 2.2.1.11 and A 3.2.6 must be observed. </w:t>
      </w:r>
    </w:p>
    <w:p w14:paraId="1F124F41" w14:textId="77777777" w:rsidR="00B47442" w:rsidRPr="0009445C" w:rsidRDefault="00B47442" w:rsidP="00B47442">
      <w:pPr>
        <w:pStyle w:val="BRL-Standard"/>
      </w:pPr>
      <w:r w:rsidRPr="0009445C">
        <w:t>Building inspection requirements may also be elaborated as technical best practices that have not been enacted in building supervisory rules.</w:t>
      </w:r>
    </w:p>
    <w:p w14:paraId="1C772D28" w14:textId="77777777" w:rsidR="00B47442" w:rsidRPr="0009445C" w:rsidRDefault="00B47442" w:rsidP="00B47442">
      <w:pPr>
        <w:pStyle w:val="BRL-Standard"/>
      </w:pPr>
    </w:p>
    <w:p w14:paraId="230C2862" w14:textId="77777777" w:rsidR="00B47442" w:rsidRPr="0009445C" w:rsidRDefault="00B47442" w:rsidP="00B47442">
      <w:pPr>
        <w:pStyle w:val="BRL-Standard"/>
      </w:pPr>
      <w:r w:rsidRPr="0009445C">
        <w:t xml:space="preserve">Ventilation systems are to be designed in such a way that there is no risk of hygienic pollution of the room air. </w:t>
      </w:r>
    </w:p>
    <w:p w14:paraId="2475EAB4" w14:textId="77777777" w:rsidR="00B47442" w:rsidRPr="0009445C" w:rsidRDefault="00B47442" w:rsidP="00B47442">
      <w:pPr>
        <w:pStyle w:val="BRL-Standard"/>
      </w:pPr>
    </w:p>
    <w:p w14:paraId="5AB9D095" w14:textId="77777777" w:rsidR="00B47442" w:rsidRPr="0009445C" w:rsidRDefault="00B47442" w:rsidP="00B47442">
      <w:pPr>
        <w:pStyle w:val="BRL-Standard"/>
      </w:pPr>
      <w:r w:rsidRPr="0009445C">
        <w:t>Adequate ventilation of human occupancy areas requires a mechanical ventilation system if it cannot be ensured with natural ventilation.</w:t>
      </w:r>
    </w:p>
    <w:p w14:paraId="2583D220" w14:textId="77777777" w:rsidR="00B47442" w:rsidRPr="0009445C" w:rsidRDefault="00B47442" w:rsidP="00B47442">
      <w:pPr>
        <w:pStyle w:val="BRL-Standard"/>
      </w:pPr>
    </w:p>
    <w:p w14:paraId="4D20E1FA" w14:textId="77777777" w:rsidR="00482E2A" w:rsidRPr="0009445C" w:rsidRDefault="00482E2A" w:rsidP="00482E2A">
      <w:pPr>
        <w:pStyle w:val="BRL-Standard"/>
      </w:pPr>
      <w:r w:rsidRPr="0009445C">
        <w:t>If overflow openings are provided in room-closing walls for ventilation reasons, the regulations on overflow openings according to MVV TB, Section A 2.1.3.3.1 shall be observed.</w:t>
      </w:r>
    </w:p>
    <w:p w14:paraId="018A112F" w14:textId="77777777" w:rsidR="00482E2A" w:rsidRPr="0009445C" w:rsidRDefault="00482E2A" w:rsidP="00482E2A">
      <w:pPr>
        <w:pStyle w:val="BRL-Standard"/>
      </w:pPr>
    </w:p>
    <w:p w14:paraId="28C1F7FD" w14:textId="77777777" w:rsidR="00482E2A" w:rsidRPr="0009445C" w:rsidRDefault="00482E2A" w:rsidP="00482E2A">
      <w:pPr>
        <w:pStyle w:val="BRL-Standard"/>
      </w:pPr>
      <w:r w:rsidRPr="0009445C">
        <w:t>In the case of fire dampers, proper closing must be checked after first installation in order to prevent damage during installation.</w:t>
      </w:r>
    </w:p>
    <w:p w14:paraId="34537C6E" w14:textId="77777777" w:rsidR="00482E2A" w:rsidRPr="0009445C" w:rsidRDefault="00482E2A" w:rsidP="00482E2A">
      <w:pPr>
        <w:pStyle w:val="BRL-Standard"/>
      </w:pPr>
    </w:p>
    <w:p w14:paraId="01D94CF0" w14:textId="77777777" w:rsidR="00482E2A" w:rsidRPr="0009445C" w:rsidRDefault="00482E2A" w:rsidP="00482E2A">
      <w:pPr>
        <w:pStyle w:val="BRL-Standard"/>
      </w:pPr>
      <w:r w:rsidRPr="0009445C">
        <w:t>All necessary data must be stated in the fire protection certificate.</w:t>
      </w:r>
    </w:p>
    <w:p w14:paraId="08693B2A" w14:textId="77777777" w:rsidR="00482E2A" w:rsidRPr="0009445C" w:rsidRDefault="00482E2A" w:rsidP="00B47442">
      <w:pPr>
        <w:pStyle w:val="BRL-Standard"/>
      </w:pPr>
    </w:p>
    <w:p w14:paraId="480F7D49" w14:textId="77777777" w:rsidR="00B47442" w:rsidRPr="0009445C" w:rsidRDefault="00B47442" w:rsidP="00600F53">
      <w:pPr>
        <w:pStyle w:val="BRL-berschrift"/>
        <w:rPr>
          <w:rFonts w:eastAsia="Calibri"/>
        </w:rPr>
      </w:pPr>
      <w:r w:rsidRPr="0009445C">
        <w:t>6.3</w:t>
      </w:r>
      <w:r w:rsidRPr="0009445C">
        <w:tab/>
        <w:t>Construction products and designs</w:t>
      </w:r>
    </w:p>
    <w:p w14:paraId="15462321" w14:textId="77777777" w:rsidR="00B47442" w:rsidRPr="0009445C" w:rsidRDefault="00B47442" w:rsidP="00600F53">
      <w:pPr>
        <w:pStyle w:val="BRL-berschrift"/>
        <w:rPr>
          <w:rFonts w:eastAsia="Calibri"/>
        </w:rPr>
      </w:pPr>
      <w:r w:rsidRPr="0009445C">
        <w:t>6.3.1</w:t>
      </w:r>
      <w:r w:rsidRPr="0009445C">
        <w:tab/>
        <w:t>General provisions</w:t>
      </w:r>
    </w:p>
    <w:p w14:paraId="3EBE721E" w14:textId="77777777" w:rsidR="00B47442" w:rsidRPr="0009445C" w:rsidRDefault="00B47442" w:rsidP="00B47442">
      <w:pPr>
        <w:pStyle w:val="BRL-Standard"/>
      </w:pPr>
      <w:r w:rsidRPr="0009445C">
        <w:t>Construction products and designs of ventilation systems shall be selected and used in accordance with technical and hygienic requirements. In particular, the place of installation, required temperature resistance, fire resistance time, the tightness requirements, required volume flow, pressure difference, location and ambient temperatures must all be taken into account.</w:t>
      </w:r>
    </w:p>
    <w:p w14:paraId="2B2CCD87" w14:textId="26D8AFCD" w:rsidR="00B47442" w:rsidRPr="0009445C" w:rsidRDefault="00B47442" w:rsidP="00B47442">
      <w:pPr>
        <w:pStyle w:val="BRL-Standard"/>
      </w:pPr>
      <w:r w:rsidRPr="0009445C">
        <w:t>Fire dampers according to EN 15650:2010</w:t>
      </w:r>
      <w:bookmarkStart w:id="105" w:name="_Ref82183677"/>
      <w:r w:rsidRPr="0009445C">
        <w:rPr>
          <w:rStyle w:val="FootnoteReference"/>
        </w:rPr>
        <w:footnoteReference w:id="103"/>
      </w:r>
      <w:bookmarkEnd w:id="105"/>
      <w:r w:rsidRPr="0009445C">
        <w:t xml:space="preserve"> with mechanical shut-off element may only be used in ventilation systems with the axle position of the mechanical shut-off element, which has been demonstrated by the fire resistance test specified in the above harmonised standard. The nominal trigger temperature of the thermal triggering device of the fire dampers must not exceed 72°C, or 95°C in the supply air for warm air ventilation systems.</w:t>
      </w:r>
    </w:p>
    <w:p w14:paraId="70D58BB5" w14:textId="77777777" w:rsidR="00B47442" w:rsidRPr="0009445C" w:rsidRDefault="00B47442" w:rsidP="00B47442">
      <w:pPr>
        <w:pStyle w:val="BRL-Standard"/>
      </w:pPr>
    </w:p>
    <w:p w14:paraId="4B5D8C86" w14:textId="1221E531" w:rsidR="00B47442" w:rsidRPr="0009445C" w:rsidRDefault="00B47442" w:rsidP="00B47442">
      <w:pPr>
        <w:pStyle w:val="BRL-Standard"/>
      </w:pPr>
      <w:r w:rsidRPr="0009445C">
        <w:t>Fire dampers used in atmospheres that may have a damaging or corrosive effect on them due to planned or unplanned chemical reactions are not in the scope of EN 15650:2010</w:t>
      </w:r>
      <w:r w:rsidRPr="0009445C">
        <w:rPr>
          <w:rStyle w:val="FootnoteReference"/>
        </w:rPr>
        <w:fldChar w:fldCharType="begin"/>
      </w:r>
      <w:r w:rsidRPr="0009445C">
        <w:rPr>
          <w:rStyle w:val="FootnoteReference"/>
        </w:rPr>
        <w:instrText xml:space="preserve"> NOTEREF _Ref82183677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40</w:t>
      </w:r>
      <w:r w:rsidRPr="0009445C">
        <w:rPr>
          <w:rStyle w:val="FootnoteReference"/>
        </w:rPr>
        <w:fldChar w:fldCharType="end"/>
      </w:r>
      <w:r w:rsidRPr="0009445C">
        <w:rPr>
          <w:vertAlign w:val="superscript"/>
        </w:rPr>
        <w:t>.</w:t>
      </w:r>
      <w:r w:rsidRPr="0009445C">
        <w:t xml:space="preserve"> These include atmospheres in exhaust air ducts or ventilation ducts in commercial kitchens.</w:t>
      </w:r>
    </w:p>
    <w:p w14:paraId="5EE4CE90" w14:textId="77777777" w:rsidR="00B47442" w:rsidRPr="0009445C" w:rsidRDefault="00B47442" w:rsidP="00B47442">
      <w:pPr>
        <w:pStyle w:val="BRL-Standard"/>
      </w:pPr>
    </w:p>
    <w:p w14:paraId="0AD55B02" w14:textId="77777777" w:rsidR="00B47442" w:rsidRPr="0009445C" w:rsidRDefault="00B47442" w:rsidP="00600F53">
      <w:pPr>
        <w:pStyle w:val="BRL-berschrift"/>
        <w:rPr>
          <w:rFonts w:eastAsia="Calibri"/>
        </w:rPr>
      </w:pPr>
      <w:r w:rsidRPr="0009445C">
        <w:t>6.3.2</w:t>
      </w:r>
      <w:r w:rsidRPr="0009445C">
        <w:tab/>
        <w:t>Performance required to meet the building requirements</w:t>
      </w:r>
    </w:p>
    <w:p w14:paraId="36111665" w14:textId="3962511B" w:rsidR="00B47442" w:rsidRPr="0009445C" w:rsidRDefault="00B47442" w:rsidP="00B47442">
      <w:pPr>
        <w:pStyle w:val="BRL-Standard"/>
      </w:pPr>
      <w:r w:rsidRPr="0009445C">
        <w:t>When using construction products with proof of fitness for purpose in accordance with § 17 MBO</w:t>
      </w:r>
      <w:bookmarkStart w:id="106" w:name="_Ref82183911"/>
      <w:r w:rsidRPr="0009445C">
        <w:rPr>
          <w:rStyle w:val="FootnoteReference"/>
        </w:rPr>
        <w:footnoteReference w:id="104"/>
      </w:r>
      <w:bookmarkEnd w:id="106"/>
      <w:r w:rsidRPr="0009445C">
        <w:t xml:space="preserve"> or when using designs pursuant to § 16a MBO</w:t>
      </w:r>
      <w:r w:rsidRPr="0009445C">
        <w:rPr>
          <w:rStyle w:val="FootnoteReference"/>
        </w:rPr>
        <w:fldChar w:fldCharType="begin"/>
      </w:r>
      <w:r w:rsidRPr="0009445C">
        <w:rPr>
          <w:rStyle w:val="FootnoteReference"/>
        </w:rPr>
        <w:instrText xml:space="preserve"> NOTEREF _Ref82183911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41</w:t>
      </w:r>
      <w:r w:rsidRPr="0009445C">
        <w:rPr>
          <w:rStyle w:val="FootnoteReference"/>
        </w:rPr>
        <w:fldChar w:fldCharType="end"/>
      </w:r>
      <w:r w:rsidRPr="0009445C">
        <w:t>, the minimum classes shall be as given in Tables 1 to 3 and 6.</w:t>
      </w:r>
    </w:p>
    <w:p w14:paraId="48950326" w14:textId="77777777" w:rsidR="00B47442" w:rsidRPr="0009445C" w:rsidRDefault="00B47442" w:rsidP="00B47442">
      <w:pPr>
        <w:pStyle w:val="BRL-Standard"/>
      </w:pPr>
    </w:p>
    <w:p w14:paraId="17A69635" w14:textId="77777777" w:rsidR="00B47442" w:rsidRPr="0009445C" w:rsidRDefault="00B47442" w:rsidP="00B47442">
      <w:pPr>
        <w:pStyle w:val="BRL-Standard"/>
      </w:pPr>
      <w:r w:rsidRPr="0009445C">
        <w:t xml:space="preserve">When using construction products for ventilation systems for which there are harmonised technical specifications pursuant to Regulation (EU) No 305/2011, the performance of key features shall be at least as given in Table 4 in conjunction with Table 5 and Table 7. </w:t>
      </w:r>
    </w:p>
    <w:p w14:paraId="6CDD3B14" w14:textId="77777777" w:rsidR="003A0178" w:rsidRPr="0009445C" w:rsidRDefault="003A0178">
      <w:pPr>
        <w:spacing w:after="200" w:line="276" w:lineRule="auto"/>
        <w:rPr>
          <w:szCs w:val="18"/>
        </w:rPr>
      </w:pPr>
      <w:r w:rsidRPr="0009445C">
        <w:br w:type="page"/>
      </w:r>
    </w:p>
    <w:p w14:paraId="7E306792" w14:textId="77777777" w:rsidR="00B47442" w:rsidRPr="0009445C" w:rsidRDefault="00B47442" w:rsidP="00B47442">
      <w:pPr>
        <w:pStyle w:val="BRL-Standard"/>
        <w:spacing w:after="60"/>
        <w:rPr>
          <w:b/>
        </w:rPr>
      </w:pPr>
      <w:r w:rsidRPr="0009445C">
        <w:rPr>
          <w:b/>
        </w:rPr>
        <w:lastRenderedPageBreak/>
        <w:t>Table 1:</w:t>
      </w:r>
    </w:p>
    <w:tbl>
      <w:tblPr>
        <w:tblW w:w="90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E0" w:firstRow="1" w:lastRow="1" w:firstColumn="1" w:lastColumn="0" w:noHBand="0" w:noVBand="1"/>
      </w:tblPr>
      <w:tblGrid>
        <w:gridCol w:w="2437"/>
        <w:gridCol w:w="2408"/>
        <w:gridCol w:w="2099"/>
        <w:gridCol w:w="2132"/>
      </w:tblGrid>
      <w:tr w:rsidR="00B47442" w:rsidRPr="0009445C" w14:paraId="4DA6B319" w14:textId="77777777" w:rsidTr="0099521D">
        <w:trPr>
          <w:cantSplit/>
        </w:trPr>
        <w:tc>
          <w:tcPr>
            <w:tcW w:w="9076" w:type="dxa"/>
            <w:gridSpan w:val="4"/>
            <w:shd w:val="clear" w:color="auto" w:fill="FFFFFF"/>
          </w:tcPr>
          <w:p w14:paraId="22024F3E" w14:textId="0BCE5D84" w:rsidR="00B47442" w:rsidRPr="0009445C" w:rsidRDefault="00B47442" w:rsidP="0099521D">
            <w:pPr>
              <w:pStyle w:val="BRLTabelleberschrift"/>
              <w:spacing w:before="60" w:after="40"/>
              <w:ind w:right="113" w:hanging="1273"/>
              <w:rPr>
                <w:b w:val="0"/>
                <w:color w:val="000000"/>
              </w:rPr>
            </w:pPr>
            <w:r w:rsidRPr="0009445C">
              <w:rPr>
                <w:color w:val="000000"/>
              </w:rPr>
              <w:t>Fire dampers in suspended ceilings (not in the scope of EN 15650:2010</w:t>
            </w:r>
            <w:r w:rsidRPr="0009445C">
              <w:rPr>
                <w:rStyle w:val="FootnoteReference"/>
              </w:rPr>
              <w:fldChar w:fldCharType="begin"/>
            </w:r>
            <w:r w:rsidRPr="0009445C">
              <w:rPr>
                <w:rStyle w:val="FootnoteReference"/>
              </w:rPr>
              <w:instrText xml:space="preserve"> NOTEREF _Ref82183677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40</w:t>
            </w:r>
            <w:r w:rsidRPr="0009445C">
              <w:rPr>
                <w:rStyle w:val="FootnoteReference"/>
              </w:rPr>
              <w:fldChar w:fldCharType="end"/>
            </w:r>
            <w:r w:rsidRPr="0009445C">
              <w:rPr>
                <w:color w:val="000000"/>
              </w:rPr>
              <w:t>)</w:t>
            </w:r>
          </w:p>
        </w:tc>
      </w:tr>
      <w:tr w:rsidR="00B47442" w:rsidRPr="0009445C" w14:paraId="540F7647" w14:textId="77777777" w:rsidTr="0099521D">
        <w:trPr>
          <w:cantSplit/>
        </w:trPr>
        <w:tc>
          <w:tcPr>
            <w:tcW w:w="2238" w:type="dxa"/>
            <w:shd w:val="clear" w:color="auto" w:fill="FFFFFF"/>
          </w:tcPr>
          <w:p w14:paraId="0F319B0E" w14:textId="77777777" w:rsidR="00B47442" w:rsidRPr="0009445C" w:rsidRDefault="00B47442" w:rsidP="0099521D">
            <w:pPr>
              <w:pStyle w:val="BRL-Tabelle"/>
              <w:spacing w:before="60" w:after="40"/>
              <w:ind w:left="113" w:right="113"/>
            </w:pPr>
          </w:p>
        </w:tc>
        <w:tc>
          <w:tcPr>
            <w:tcW w:w="6838" w:type="dxa"/>
            <w:gridSpan w:val="3"/>
            <w:shd w:val="clear" w:color="auto" w:fill="FFFFFF"/>
          </w:tcPr>
          <w:p w14:paraId="7D161ACF" w14:textId="77777777" w:rsidR="00B47442" w:rsidRPr="0009445C" w:rsidRDefault="00B47442" w:rsidP="0099521D">
            <w:pPr>
              <w:pStyle w:val="BRL-Tabelle"/>
              <w:spacing w:before="60" w:after="40"/>
              <w:ind w:left="113" w:right="113"/>
              <w:jc w:val="center"/>
              <w:rPr>
                <w:b/>
              </w:rPr>
            </w:pPr>
            <w:r w:rsidRPr="0009445C">
              <w:rPr>
                <w:b/>
              </w:rPr>
              <w:t>Minimum necessary</w:t>
            </w:r>
          </w:p>
        </w:tc>
      </w:tr>
      <w:tr w:rsidR="00B47442" w:rsidRPr="0009445C" w14:paraId="78EE0B8B" w14:textId="77777777" w:rsidTr="0099521D">
        <w:trPr>
          <w:cantSplit/>
          <w:trHeight w:val="61"/>
        </w:trPr>
        <w:tc>
          <w:tcPr>
            <w:tcW w:w="2238" w:type="dxa"/>
            <w:shd w:val="clear" w:color="auto" w:fill="FFFFFF"/>
          </w:tcPr>
          <w:p w14:paraId="70395E07" w14:textId="77777777" w:rsidR="00B47442" w:rsidRPr="0009445C" w:rsidRDefault="00B47442" w:rsidP="0099521D">
            <w:pPr>
              <w:pStyle w:val="BRLTabelleberschrift"/>
              <w:spacing w:before="60" w:after="40"/>
              <w:ind w:right="113" w:hanging="1273"/>
            </w:pPr>
            <w:r w:rsidRPr="0009445C">
              <w:t>Building inspection</w:t>
            </w:r>
          </w:p>
          <w:p w14:paraId="63D92362" w14:textId="77777777" w:rsidR="00B47442" w:rsidRPr="0009445C" w:rsidRDefault="00B47442" w:rsidP="0099521D">
            <w:pPr>
              <w:pStyle w:val="BRLTabelleberschrift"/>
              <w:spacing w:before="60" w:after="40"/>
              <w:ind w:right="113" w:hanging="1273"/>
            </w:pPr>
            <w:r w:rsidRPr="0009445C">
              <w:t>Requirement</w:t>
            </w:r>
          </w:p>
        </w:tc>
        <w:tc>
          <w:tcPr>
            <w:tcW w:w="2482" w:type="dxa"/>
            <w:shd w:val="clear" w:color="auto" w:fill="FFFFFF"/>
          </w:tcPr>
          <w:p w14:paraId="1C2F55B9" w14:textId="77777777" w:rsidR="00B47442" w:rsidRPr="0009445C" w:rsidRDefault="00B47442" w:rsidP="0099521D">
            <w:pPr>
              <w:pStyle w:val="BRLTabelleberschrift"/>
              <w:tabs>
                <w:tab w:val="clear" w:pos="851"/>
              </w:tabs>
              <w:spacing w:before="60" w:after="40"/>
              <w:ind w:left="175" w:right="113" w:firstLine="0"/>
            </w:pPr>
            <w:r w:rsidRPr="0009445C">
              <w:t>Fire resistance class according to DIN 4102-6:1977-09 and additional designation according to proof of fitness for purpose</w:t>
            </w:r>
          </w:p>
        </w:tc>
        <w:tc>
          <w:tcPr>
            <w:tcW w:w="4356" w:type="dxa"/>
            <w:gridSpan w:val="2"/>
            <w:shd w:val="clear" w:color="auto" w:fill="FFFFFF"/>
          </w:tcPr>
          <w:p w14:paraId="5EF85BFE" w14:textId="77777777" w:rsidR="00B47442" w:rsidRPr="0009445C" w:rsidRDefault="00B47442" w:rsidP="0099521D">
            <w:pPr>
              <w:pStyle w:val="BRLTabelleberschrift"/>
              <w:spacing w:before="60" w:after="40"/>
              <w:ind w:right="113" w:hanging="1222"/>
            </w:pPr>
            <w:r w:rsidRPr="0009445C">
              <w:t>Building material class pursuant to DIN 4102-1:1998-05</w:t>
            </w:r>
          </w:p>
        </w:tc>
      </w:tr>
      <w:tr w:rsidR="00B47442" w:rsidRPr="0009445C" w14:paraId="55972BE9" w14:textId="77777777" w:rsidTr="0099521D">
        <w:trPr>
          <w:cantSplit/>
        </w:trPr>
        <w:tc>
          <w:tcPr>
            <w:tcW w:w="2238" w:type="dxa"/>
            <w:shd w:val="clear" w:color="auto" w:fill="FFFFFF"/>
          </w:tcPr>
          <w:p w14:paraId="5F3DBF64" w14:textId="77777777" w:rsidR="00B47442" w:rsidRPr="0009445C" w:rsidRDefault="00B47442" w:rsidP="0099521D">
            <w:pPr>
              <w:pStyle w:val="BRL-Tabelle"/>
              <w:spacing w:before="60" w:after="40"/>
              <w:ind w:left="113" w:right="113"/>
            </w:pPr>
          </w:p>
        </w:tc>
        <w:tc>
          <w:tcPr>
            <w:tcW w:w="2482" w:type="dxa"/>
            <w:shd w:val="clear" w:color="auto" w:fill="FFFFFF"/>
          </w:tcPr>
          <w:p w14:paraId="5EE44EBF" w14:textId="77777777" w:rsidR="00B47442" w:rsidRPr="0009445C" w:rsidRDefault="00B47442" w:rsidP="0099521D">
            <w:pPr>
              <w:pStyle w:val="BRL-Tabelle"/>
              <w:spacing w:before="60" w:after="40"/>
              <w:ind w:left="113" w:right="113"/>
            </w:pPr>
          </w:p>
        </w:tc>
        <w:tc>
          <w:tcPr>
            <w:tcW w:w="2158" w:type="dxa"/>
            <w:shd w:val="clear" w:color="auto" w:fill="FFFFFF"/>
          </w:tcPr>
          <w:p w14:paraId="77ADD30B" w14:textId="77777777" w:rsidR="00B47442" w:rsidRPr="0009445C" w:rsidRDefault="00B47442" w:rsidP="0099521D">
            <w:pPr>
              <w:pStyle w:val="BRL-Tabelle"/>
              <w:spacing w:before="60" w:after="40"/>
              <w:ind w:left="113" w:right="113"/>
            </w:pPr>
            <w:r w:rsidRPr="0009445C">
              <w:t>Housing, switch-off valve</w:t>
            </w:r>
          </w:p>
        </w:tc>
        <w:tc>
          <w:tcPr>
            <w:tcW w:w="2198" w:type="dxa"/>
            <w:shd w:val="clear" w:color="auto" w:fill="FFFFFF"/>
          </w:tcPr>
          <w:p w14:paraId="62864F25" w14:textId="77777777" w:rsidR="00B47442" w:rsidRPr="0009445C" w:rsidRDefault="00B47442" w:rsidP="0099521D">
            <w:pPr>
              <w:pStyle w:val="BRL-Tabelle"/>
              <w:spacing w:before="60" w:after="40"/>
              <w:ind w:left="113" w:right="113"/>
            </w:pPr>
            <w:r w:rsidRPr="0009445C">
              <w:t>Other structural elements</w:t>
            </w:r>
          </w:p>
        </w:tc>
      </w:tr>
      <w:tr w:rsidR="00B47442" w:rsidRPr="0009445C" w14:paraId="04770930" w14:textId="77777777" w:rsidTr="0099521D">
        <w:trPr>
          <w:cantSplit/>
          <w:trHeight w:val="340"/>
        </w:trPr>
        <w:tc>
          <w:tcPr>
            <w:tcW w:w="2238" w:type="dxa"/>
            <w:shd w:val="clear" w:color="auto" w:fill="FFFFFF"/>
          </w:tcPr>
          <w:p w14:paraId="237C71F2" w14:textId="77777777" w:rsidR="00B47442" w:rsidRPr="0009445C" w:rsidRDefault="00B47442" w:rsidP="0099521D">
            <w:pPr>
              <w:pStyle w:val="BRL-Tabelle"/>
              <w:spacing w:before="60" w:after="40"/>
              <w:ind w:left="113" w:right="113"/>
            </w:pPr>
            <w:r w:rsidRPr="0009445C">
              <w:t>Fire-retardant</w:t>
            </w:r>
          </w:p>
        </w:tc>
        <w:tc>
          <w:tcPr>
            <w:tcW w:w="2482" w:type="dxa"/>
            <w:shd w:val="clear" w:color="auto" w:fill="FFFFFF"/>
          </w:tcPr>
          <w:p w14:paraId="782C24C1" w14:textId="77777777" w:rsidR="00B47442" w:rsidRPr="0009445C" w:rsidRDefault="00B47442" w:rsidP="0099521D">
            <w:pPr>
              <w:pStyle w:val="BRL-Tabelle"/>
              <w:spacing w:before="60" w:after="40"/>
              <w:ind w:left="113" w:right="113"/>
              <w:jc w:val="center"/>
            </w:pPr>
            <w:r w:rsidRPr="0009445C">
              <w:t>K 30 U</w:t>
            </w:r>
          </w:p>
        </w:tc>
        <w:tc>
          <w:tcPr>
            <w:tcW w:w="2158" w:type="dxa"/>
            <w:vMerge w:val="restart"/>
            <w:shd w:val="clear" w:color="auto" w:fill="FFFFFF"/>
          </w:tcPr>
          <w:p w14:paraId="508B0A21" w14:textId="77777777" w:rsidR="00B47442" w:rsidRPr="0009445C" w:rsidRDefault="00B47442" w:rsidP="0099521D">
            <w:pPr>
              <w:pStyle w:val="BRL-Tabelle"/>
              <w:spacing w:before="60" w:after="40"/>
              <w:ind w:left="113" w:right="113"/>
              <w:jc w:val="center"/>
            </w:pPr>
          </w:p>
          <w:p w14:paraId="0110844F" w14:textId="77777777" w:rsidR="00B47442" w:rsidRPr="0009445C" w:rsidRDefault="00B47442" w:rsidP="0099521D">
            <w:pPr>
              <w:pStyle w:val="BRL-Tabelle"/>
              <w:spacing w:before="60" w:after="40"/>
              <w:ind w:left="113" w:right="113"/>
              <w:jc w:val="center"/>
            </w:pPr>
            <w:r w:rsidRPr="0009445C">
              <w:t>A2</w:t>
            </w:r>
          </w:p>
        </w:tc>
        <w:tc>
          <w:tcPr>
            <w:tcW w:w="2198" w:type="dxa"/>
            <w:vMerge w:val="restart"/>
            <w:shd w:val="clear" w:color="auto" w:fill="FFFFFF"/>
          </w:tcPr>
          <w:p w14:paraId="71B088E3" w14:textId="77777777" w:rsidR="00B47442" w:rsidRPr="0009445C" w:rsidRDefault="00B47442" w:rsidP="0099521D">
            <w:pPr>
              <w:pStyle w:val="BRL-Tabelle"/>
              <w:spacing w:before="60" w:after="40"/>
              <w:ind w:left="113" w:right="113"/>
              <w:jc w:val="center"/>
            </w:pPr>
          </w:p>
          <w:p w14:paraId="1C806388" w14:textId="77777777" w:rsidR="00B47442" w:rsidRPr="0009445C" w:rsidRDefault="00B47442" w:rsidP="0099521D">
            <w:pPr>
              <w:pStyle w:val="BRL-Tabelle"/>
              <w:spacing w:before="60" w:after="40"/>
              <w:ind w:left="113" w:right="113"/>
              <w:jc w:val="center"/>
            </w:pPr>
            <w:r w:rsidRPr="0009445C">
              <w:t>B2</w:t>
            </w:r>
          </w:p>
        </w:tc>
      </w:tr>
      <w:tr w:rsidR="00B47442" w:rsidRPr="0009445C" w14:paraId="33869010" w14:textId="77777777" w:rsidTr="0099521D">
        <w:trPr>
          <w:cantSplit/>
          <w:trHeight w:val="340"/>
        </w:trPr>
        <w:tc>
          <w:tcPr>
            <w:tcW w:w="2238" w:type="dxa"/>
            <w:shd w:val="clear" w:color="auto" w:fill="FFFFFF"/>
          </w:tcPr>
          <w:p w14:paraId="65A8336D" w14:textId="77777777" w:rsidR="00B47442" w:rsidRPr="0009445C" w:rsidRDefault="00B47442" w:rsidP="0099521D">
            <w:pPr>
              <w:pStyle w:val="BRL-Tabelle"/>
              <w:spacing w:before="100"/>
              <w:ind w:left="113" w:right="113"/>
            </w:pPr>
            <w:r w:rsidRPr="0009445C">
              <w:t>Highly fire-retardant</w:t>
            </w:r>
          </w:p>
        </w:tc>
        <w:tc>
          <w:tcPr>
            <w:tcW w:w="2482" w:type="dxa"/>
            <w:shd w:val="clear" w:color="auto" w:fill="FFFFFF"/>
          </w:tcPr>
          <w:p w14:paraId="00C9D742" w14:textId="77777777" w:rsidR="00B47442" w:rsidRPr="0009445C" w:rsidRDefault="00B47442" w:rsidP="0099521D">
            <w:pPr>
              <w:pStyle w:val="BRL-Tabelle"/>
              <w:spacing w:before="100"/>
              <w:ind w:left="113" w:right="113"/>
              <w:jc w:val="center"/>
            </w:pPr>
            <w:r w:rsidRPr="0009445C">
              <w:t>K 60 U</w:t>
            </w:r>
          </w:p>
        </w:tc>
        <w:tc>
          <w:tcPr>
            <w:tcW w:w="2158" w:type="dxa"/>
            <w:vMerge/>
            <w:shd w:val="clear" w:color="auto" w:fill="FFFFFF"/>
          </w:tcPr>
          <w:p w14:paraId="5A53BFB7" w14:textId="77777777" w:rsidR="00B47442" w:rsidRPr="0009445C" w:rsidRDefault="00B47442" w:rsidP="0099521D">
            <w:pPr>
              <w:pStyle w:val="BRL-Tabelle"/>
              <w:spacing w:before="100"/>
              <w:ind w:left="113" w:right="113"/>
            </w:pPr>
          </w:p>
        </w:tc>
        <w:tc>
          <w:tcPr>
            <w:tcW w:w="2198" w:type="dxa"/>
            <w:vMerge/>
            <w:shd w:val="clear" w:color="auto" w:fill="FFFFFF"/>
          </w:tcPr>
          <w:p w14:paraId="59EEA6EC" w14:textId="77777777" w:rsidR="00B47442" w:rsidRPr="0009445C" w:rsidRDefault="00B47442" w:rsidP="0099521D">
            <w:pPr>
              <w:pStyle w:val="BRL-Tabelle"/>
              <w:spacing w:before="100"/>
              <w:ind w:left="113" w:right="113"/>
            </w:pPr>
          </w:p>
        </w:tc>
      </w:tr>
      <w:tr w:rsidR="00B47442" w:rsidRPr="0009445C" w14:paraId="0FD42900" w14:textId="77777777" w:rsidTr="0099521D">
        <w:trPr>
          <w:cantSplit/>
          <w:trHeight w:val="340"/>
        </w:trPr>
        <w:tc>
          <w:tcPr>
            <w:tcW w:w="2238" w:type="dxa"/>
            <w:shd w:val="clear" w:color="auto" w:fill="FFFFFF"/>
          </w:tcPr>
          <w:p w14:paraId="4C5197F8" w14:textId="77777777" w:rsidR="00B47442" w:rsidRPr="0009445C" w:rsidRDefault="00B47442" w:rsidP="0099521D">
            <w:pPr>
              <w:pStyle w:val="BRL-Tabelle"/>
              <w:spacing w:before="100"/>
              <w:ind w:left="113" w:right="113"/>
              <w:rPr>
                <w:b/>
              </w:rPr>
            </w:pPr>
            <w:r w:rsidRPr="0009445C">
              <w:t>Fire-resistant</w:t>
            </w:r>
          </w:p>
        </w:tc>
        <w:tc>
          <w:tcPr>
            <w:tcW w:w="2482" w:type="dxa"/>
            <w:shd w:val="clear" w:color="auto" w:fill="FFFFFF"/>
          </w:tcPr>
          <w:p w14:paraId="713FDCFB" w14:textId="77777777" w:rsidR="00B47442" w:rsidRPr="0009445C" w:rsidRDefault="00B47442" w:rsidP="0099521D">
            <w:pPr>
              <w:pStyle w:val="BRL-Tabelle"/>
              <w:spacing w:before="100"/>
              <w:ind w:left="113" w:right="113"/>
              <w:jc w:val="center"/>
              <w:rPr>
                <w:b/>
              </w:rPr>
            </w:pPr>
            <w:r w:rsidRPr="0009445C">
              <w:t>K 90 U</w:t>
            </w:r>
          </w:p>
        </w:tc>
        <w:tc>
          <w:tcPr>
            <w:tcW w:w="2158" w:type="dxa"/>
            <w:vMerge/>
            <w:shd w:val="clear" w:color="auto" w:fill="FFFFFF"/>
          </w:tcPr>
          <w:p w14:paraId="3A0D8BDC" w14:textId="77777777" w:rsidR="00B47442" w:rsidRPr="0009445C" w:rsidRDefault="00B47442" w:rsidP="0099521D">
            <w:pPr>
              <w:pStyle w:val="BRL-Tabelle"/>
              <w:spacing w:before="100"/>
              <w:ind w:left="113" w:right="113"/>
              <w:rPr>
                <w:b/>
              </w:rPr>
            </w:pPr>
          </w:p>
        </w:tc>
        <w:tc>
          <w:tcPr>
            <w:tcW w:w="2198" w:type="dxa"/>
            <w:vMerge/>
            <w:shd w:val="clear" w:color="auto" w:fill="FFFFFF"/>
          </w:tcPr>
          <w:p w14:paraId="34BB485F" w14:textId="77777777" w:rsidR="00B47442" w:rsidRPr="0009445C" w:rsidRDefault="00B47442" w:rsidP="0099521D">
            <w:pPr>
              <w:pStyle w:val="BRL-Tabelle"/>
              <w:spacing w:before="100"/>
              <w:ind w:left="113" w:right="113"/>
              <w:rPr>
                <w:b/>
              </w:rPr>
            </w:pPr>
          </w:p>
        </w:tc>
      </w:tr>
    </w:tbl>
    <w:p w14:paraId="59359939" w14:textId="77777777" w:rsidR="00B47442" w:rsidRPr="0009445C" w:rsidRDefault="00B47442" w:rsidP="00B47442">
      <w:pPr>
        <w:pStyle w:val="BRL-Standard"/>
      </w:pPr>
    </w:p>
    <w:p w14:paraId="784410B2" w14:textId="77777777" w:rsidR="00B47442" w:rsidRPr="0009445C" w:rsidRDefault="00B47442" w:rsidP="00B47442">
      <w:pPr>
        <w:pStyle w:val="BRL-Standard"/>
      </w:pPr>
    </w:p>
    <w:p w14:paraId="66417991" w14:textId="77777777" w:rsidR="00B47442" w:rsidRPr="0009445C" w:rsidRDefault="00B47442" w:rsidP="00B47442">
      <w:pPr>
        <w:pStyle w:val="BRL-Standard"/>
        <w:spacing w:after="60"/>
        <w:rPr>
          <w:b/>
        </w:rPr>
      </w:pPr>
      <w:r w:rsidRPr="0009445C">
        <w:rPr>
          <w:b/>
        </w:rPr>
        <w:t>Table 2:</w:t>
      </w:r>
    </w:p>
    <w:tbl>
      <w:tblPr>
        <w:tblW w:w="90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E0" w:firstRow="1" w:lastRow="1" w:firstColumn="1" w:lastColumn="0" w:noHBand="0" w:noVBand="1"/>
      </w:tblPr>
      <w:tblGrid>
        <w:gridCol w:w="2437"/>
        <w:gridCol w:w="2283"/>
        <w:gridCol w:w="2182"/>
        <w:gridCol w:w="2174"/>
      </w:tblGrid>
      <w:tr w:rsidR="00B47442" w:rsidRPr="0009445C" w14:paraId="03FA29DD" w14:textId="77777777" w:rsidTr="0099521D">
        <w:trPr>
          <w:cantSplit/>
        </w:trPr>
        <w:tc>
          <w:tcPr>
            <w:tcW w:w="9076" w:type="dxa"/>
            <w:gridSpan w:val="4"/>
            <w:shd w:val="clear" w:color="auto" w:fill="FFFFFF"/>
          </w:tcPr>
          <w:p w14:paraId="78E1A815" w14:textId="06E6493A" w:rsidR="00B47442" w:rsidRPr="0009445C" w:rsidRDefault="00B47442" w:rsidP="0099521D">
            <w:pPr>
              <w:pStyle w:val="BRLTabelleberschrift"/>
              <w:tabs>
                <w:tab w:val="clear" w:pos="851"/>
                <w:tab w:val="left" w:pos="287"/>
              </w:tabs>
              <w:ind w:left="287" w:right="113" w:hanging="142"/>
              <w:rPr>
                <w:b w:val="0"/>
                <w:color w:val="000000"/>
              </w:rPr>
            </w:pPr>
            <w:r w:rsidRPr="0009445C">
              <w:rPr>
                <w:color w:val="000000"/>
              </w:rPr>
              <w:t>-</w:t>
            </w:r>
            <w:r w:rsidRPr="0009445C">
              <w:tab/>
            </w:r>
            <w:r w:rsidRPr="0009445C">
              <w:rPr>
                <w:color w:val="000000"/>
              </w:rPr>
              <w:t>Fire dampers in ventilation systems in waste or exhaust air ducts of commercial kitchens do not fall into the scope of EN 15650:2010</w:t>
            </w:r>
            <w:r w:rsidRPr="0009445C">
              <w:rPr>
                <w:rStyle w:val="FootnoteReference"/>
              </w:rPr>
              <w:fldChar w:fldCharType="begin"/>
            </w:r>
            <w:r w:rsidRPr="0009445C">
              <w:rPr>
                <w:rStyle w:val="FootnoteReference"/>
              </w:rPr>
              <w:instrText xml:space="preserve"> NOTEREF _Ref82183677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40</w:t>
            </w:r>
            <w:r w:rsidRPr="0009445C">
              <w:rPr>
                <w:rStyle w:val="FootnoteReference"/>
              </w:rPr>
              <w:fldChar w:fldCharType="end"/>
            </w:r>
            <w:r w:rsidRPr="0009445C">
              <w:rPr>
                <w:color w:val="000000"/>
              </w:rPr>
              <w:t xml:space="preserve"> </w:t>
            </w:r>
          </w:p>
        </w:tc>
      </w:tr>
      <w:tr w:rsidR="00B47442" w:rsidRPr="0009445C" w14:paraId="2F759DA6" w14:textId="77777777" w:rsidTr="0099521D">
        <w:trPr>
          <w:cantSplit/>
        </w:trPr>
        <w:tc>
          <w:tcPr>
            <w:tcW w:w="9076" w:type="dxa"/>
            <w:gridSpan w:val="4"/>
            <w:shd w:val="clear" w:color="auto" w:fill="FFFFFF"/>
          </w:tcPr>
          <w:p w14:paraId="2F24BD0E" w14:textId="4B93F95B" w:rsidR="00B47442" w:rsidRPr="0009445C" w:rsidRDefault="00B47442" w:rsidP="0099521D">
            <w:pPr>
              <w:pStyle w:val="BRLTabelleberschrift"/>
              <w:ind w:right="113" w:hanging="1273"/>
            </w:pPr>
            <w:r w:rsidRPr="0009445C">
              <w:t>- Fire damper poppet valves that are not in the scope of EN 15650:2010</w:t>
            </w:r>
            <w:r w:rsidRPr="0009445C">
              <w:rPr>
                <w:rStyle w:val="FootnoteReference"/>
              </w:rPr>
              <w:fldChar w:fldCharType="begin"/>
            </w:r>
            <w:r w:rsidRPr="0009445C">
              <w:rPr>
                <w:rStyle w:val="FootnoteReference"/>
              </w:rPr>
              <w:instrText xml:space="preserve"> NOTEREF _Ref82183677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40</w:t>
            </w:r>
            <w:r w:rsidRPr="0009445C">
              <w:rPr>
                <w:rStyle w:val="FootnoteReference"/>
              </w:rPr>
              <w:fldChar w:fldCharType="end"/>
            </w:r>
          </w:p>
        </w:tc>
      </w:tr>
      <w:tr w:rsidR="00B47442" w:rsidRPr="0009445C" w14:paraId="117CA3E5" w14:textId="77777777" w:rsidTr="0099521D">
        <w:trPr>
          <w:cantSplit/>
        </w:trPr>
        <w:tc>
          <w:tcPr>
            <w:tcW w:w="2260" w:type="dxa"/>
            <w:shd w:val="clear" w:color="auto" w:fill="FFFFFF"/>
          </w:tcPr>
          <w:p w14:paraId="4E2DC1CB" w14:textId="77777777" w:rsidR="00B47442" w:rsidRPr="0009445C" w:rsidRDefault="00B47442" w:rsidP="0099521D">
            <w:pPr>
              <w:pStyle w:val="BRLTabelleberschrift"/>
              <w:ind w:right="113"/>
            </w:pPr>
          </w:p>
        </w:tc>
        <w:tc>
          <w:tcPr>
            <w:tcW w:w="6816" w:type="dxa"/>
            <w:gridSpan w:val="3"/>
            <w:shd w:val="clear" w:color="auto" w:fill="FFFFFF"/>
          </w:tcPr>
          <w:p w14:paraId="4C707671" w14:textId="77777777" w:rsidR="00B47442" w:rsidRPr="0009445C" w:rsidRDefault="00B47442" w:rsidP="0099521D">
            <w:pPr>
              <w:pStyle w:val="BRLTabelleberschrift"/>
              <w:ind w:right="113"/>
              <w:jc w:val="center"/>
            </w:pPr>
            <w:r w:rsidRPr="0009445C">
              <w:t>Minimum necessary</w:t>
            </w:r>
          </w:p>
        </w:tc>
      </w:tr>
      <w:tr w:rsidR="00B47442" w:rsidRPr="0009445C" w14:paraId="0995DBB8" w14:textId="77777777" w:rsidTr="0099521D">
        <w:trPr>
          <w:cantSplit/>
        </w:trPr>
        <w:tc>
          <w:tcPr>
            <w:tcW w:w="2260" w:type="dxa"/>
            <w:shd w:val="clear" w:color="auto" w:fill="FFFFFF"/>
          </w:tcPr>
          <w:p w14:paraId="75A84FAC" w14:textId="77777777" w:rsidR="00B47442" w:rsidRPr="0009445C" w:rsidRDefault="00B47442" w:rsidP="0099521D">
            <w:pPr>
              <w:pStyle w:val="BRLTabelleberschrift"/>
              <w:spacing w:before="60"/>
              <w:ind w:right="113" w:hanging="1273"/>
            </w:pPr>
            <w:r w:rsidRPr="0009445C">
              <w:t xml:space="preserve">Building inspection </w:t>
            </w:r>
          </w:p>
          <w:p w14:paraId="55055E43" w14:textId="77777777" w:rsidR="00B47442" w:rsidRPr="0009445C" w:rsidRDefault="00B47442" w:rsidP="0099521D">
            <w:pPr>
              <w:pStyle w:val="BRLTabelleberschrift"/>
              <w:spacing w:before="60"/>
              <w:ind w:right="113" w:hanging="1273"/>
            </w:pPr>
            <w:r w:rsidRPr="0009445C">
              <w:t xml:space="preserve">Requirement </w:t>
            </w:r>
          </w:p>
        </w:tc>
        <w:tc>
          <w:tcPr>
            <w:tcW w:w="2323" w:type="dxa"/>
            <w:shd w:val="clear" w:color="auto" w:fill="FFFFFF"/>
          </w:tcPr>
          <w:p w14:paraId="49FE1604" w14:textId="77777777" w:rsidR="00B47442" w:rsidRPr="0009445C" w:rsidRDefault="00B47442" w:rsidP="0099521D">
            <w:pPr>
              <w:pStyle w:val="BRLTabelleberschrift"/>
              <w:spacing w:before="60"/>
              <w:ind w:left="153" w:right="113" w:firstLine="9"/>
            </w:pPr>
            <w:r w:rsidRPr="0009445C">
              <w:t>Fire resistance class according to DIN 4102</w:t>
            </w:r>
            <w:r w:rsidRPr="0009445C">
              <w:noBreakHyphen/>
              <w:t>6:1977-09</w:t>
            </w:r>
          </w:p>
        </w:tc>
        <w:tc>
          <w:tcPr>
            <w:tcW w:w="4493" w:type="dxa"/>
            <w:gridSpan w:val="2"/>
            <w:shd w:val="clear" w:color="auto" w:fill="FFFFFF"/>
          </w:tcPr>
          <w:p w14:paraId="339F83F3" w14:textId="77777777" w:rsidR="00B47442" w:rsidRPr="0009445C" w:rsidRDefault="00B47442" w:rsidP="0099521D">
            <w:pPr>
              <w:pStyle w:val="BRLTabelleberschrift"/>
              <w:spacing w:before="60"/>
              <w:ind w:right="113" w:hanging="1273"/>
            </w:pPr>
            <w:r w:rsidRPr="0009445C">
              <w:t>Building material class pursuant to DIN 4102-1:1998-05</w:t>
            </w:r>
          </w:p>
        </w:tc>
      </w:tr>
      <w:tr w:rsidR="00B47442" w:rsidRPr="0009445C" w14:paraId="19980609" w14:textId="77777777" w:rsidTr="0099521D">
        <w:trPr>
          <w:cantSplit/>
        </w:trPr>
        <w:tc>
          <w:tcPr>
            <w:tcW w:w="2260" w:type="dxa"/>
            <w:shd w:val="clear" w:color="auto" w:fill="FFFFFF"/>
          </w:tcPr>
          <w:p w14:paraId="551ADE89" w14:textId="77777777" w:rsidR="00B47442" w:rsidRPr="0009445C" w:rsidRDefault="00B47442" w:rsidP="0099521D">
            <w:pPr>
              <w:keepNext/>
              <w:keepLines/>
              <w:spacing w:before="100" w:after="80" w:line="240" w:lineRule="auto"/>
              <w:ind w:left="113" w:right="113"/>
            </w:pPr>
          </w:p>
        </w:tc>
        <w:tc>
          <w:tcPr>
            <w:tcW w:w="2323" w:type="dxa"/>
            <w:shd w:val="clear" w:color="auto" w:fill="FFFFFF"/>
          </w:tcPr>
          <w:p w14:paraId="02D80C8F" w14:textId="77777777" w:rsidR="00B47442" w:rsidRPr="0009445C" w:rsidRDefault="00B47442" w:rsidP="0099521D">
            <w:pPr>
              <w:keepNext/>
              <w:keepLines/>
              <w:spacing w:before="100" w:after="80" w:line="240" w:lineRule="auto"/>
              <w:ind w:left="113" w:right="113"/>
            </w:pPr>
          </w:p>
        </w:tc>
        <w:tc>
          <w:tcPr>
            <w:tcW w:w="2248" w:type="dxa"/>
            <w:shd w:val="clear" w:color="auto" w:fill="FFFFFF"/>
          </w:tcPr>
          <w:p w14:paraId="356674CF" w14:textId="77777777" w:rsidR="00B47442" w:rsidRPr="0009445C" w:rsidRDefault="00B47442" w:rsidP="0099521D">
            <w:pPr>
              <w:pStyle w:val="BRL-Tabelle"/>
              <w:spacing w:before="60" w:after="40"/>
              <w:ind w:left="113" w:right="113"/>
            </w:pPr>
            <w:r w:rsidRPr="0009445C">
              <w:t>Housing,</w:t>
            </w:r>
            <w:r w:rsidRPr="0009445C">
              <w:br/>
              <w:t>switch-off valve</w:t>
            </w:r>
          </w:p>
        </w:tc>
        <w:tc>
          <w:tcPr>
            <w:tcW w:w="2245" w:type="dxa"/>
            <w:shd w:val="clear" w:color="auto" w:fill="FFFFFF"/>
          </w:tcPr>
          <w:p w14:paraId="369BFF25" w14:textId="77777777" w:rsidR="00B47442" w:rsidRPr="0009445C" w:rsidRDefault="00B47442" w:rsidP="0099521D">
            <w:pPr>
              <w:pStyle w:val="BRL-Tabelle"/>
              <w:spacing w:before="100"/>
              <w:ind w:left="113" w:right="113"/>
            </w:pPr>
            <w:r w:rsidRPr="0009445C">
              <w:t>Other structural elements</w:t>
            </w:r>
          </w:p>
        </w:tc>
      </w:tr>
      <w:tr w:rsidR="00B47442" w:rsidRPr="0009445C" w14:paraId="214E7AC6" w14:textId="77777777" w:rsidTr="0099521D">
        <w:trPr>
          <w:cantSplit/>
          <w:trHeight w:val="340"/>
        </w:trPr>
        <w:tc>
          <w:tcPr>
            <w:tcW w:w="2260" w:type="dxa"/>
            <w:shd w:val="clear" w:color="auto" w:fill="FFFFFF"/>
          </w:tcPr>
          <w:p w14:paraId="782C47B4" w14:textId="77777777" w:rsidR="00B47442" w:rsidRPr="0009445C" w:rsidRDefault="00B47442" w:rsidP="0099521D">
            <w:pPr>
              <w:pStyle w:val="BRL-Tabelle"/>
              <w:spacing w:before="100"/>
              <w:ind w:left="113" w:right="113"/>
            </w:pPr>
            <w:r w:rsidRPr="0009445C">
              <w:t>Fire-retardant</w:t>
            </w:r>
          </w:p>
        </w:tc>
        <w:tc>
          <w:tcPr>
            <w:tcW w:w="2323" w:type="dxa"/>
            <w:shd w:val="clear" w:color="auto" w:fill="FFFFFF"/>
          </w:tcPr>
          <w:p w14:paraId="55C7CCAF" w14:textId="77777777" w:rsidR="00B47442" w:rsidRPr="0009445C" w:rsidRDefault="00B47442" w:rsidP="0099521D">
            <w:pPr>
              <w:pStyle w:val="BRL-Tabelle"/>
              <w:spacing w:before="100"/>
              <w:ind w:left="113" w:right="113"/>
              <w:jc w:val="center"/>
            </w:pPr>
            <w:r w:rsidRPr="0009445C">
              <w:t>K 30</w:t>
            </w:r>
          </w:p>
        </w:tc>
        <w:tc>
          <w:tcPr>
            <w:tcW w:w="2248" w:type="dxa"/>
            <w:vMerge w:val="restart"/>
            <w:shd w:val="clear" w:color="auto" w:fill="FFFFFF"/>
          </w:tcPr>
          <w:p w14:paraId="6D043EFF" w14:textId="77777777" w:rsidR="00B47442" w:rsidRPr="0009445C" w:rsidRDefault="00B47442" w:rsidP="0099521D">
            <w:pPr>
              <w:pStyle w:val="BRL-Tabelle"/>
              <w:spacing w:before="100"/>
              <w:ind w:left="113" w:right="113"/>
              <w:jc w:val="center"/>
            </w:pPr>
          </w:p>
          <w:p w14:paraId="56F1AC47" w14:textId="77777777" w:rsidR="00B47442" w:rsidRPr="0009445C" w:rsidRDefault="00B47442" w:rsidP="0099521D">
            <w:pPr>
              <w:pStyle w:val="BRL-Tabelle"/>
              <w:spacing w:before="100"/>
              <w:ind w:left="113" w:right="113"/>
              <w:jc w:val="center"/>
            </w:pPr>
            <w:r w:rsidRPr="0009445C">
              <w:t>A2</w:t>
            </w:r>
          </w:p>
        </w:tc>
        <w:tc>
          <w:tcPr>
            <w:tcW w:w="2245" w:type="dxa"/>
            <w:vMerge w:val="restart"/>
            <w:shd w:val="clear" w:color="auto" w:fill="FFFFFF"/>
          </w:tcPr>
          <w:p w14:paraId="106B1283" w14:textId="77777777" w:rsidR="00B47442" w:rsidRPr="0009445C" w:rsidRDefault="00B47442" w:rsidP="0099521D">
            <w:pPr>
              <w:pStyle w:val="BRL-Tabelle"/>
              <w:spacing w:before="100"/>
              <w:ind w:left="113" w:right="113"/>
              <w:jc w:val="center"/>
            </w:pPr>
          </w:p>
          <w:p w14:paraId="76B1E296" w14:textId="77777777" w:rsidR="00B47442" w:rsidRPr="0009445C" w:rsidRDefault="00B47442" w:rsidP="0099521D">
            <w:pPr>
              <w:pStyle w:val="BRL-Tabelle"/>
              <w:spacing w:before="100"/>
              <w:ind w:left="113" w:right="113"/>
              <w:jc w:val="center"/>
            </w:pPr>
            <w:r w:rsidRPr="0009445C">
              <w:t>B2</w:t>
            </w:r>
          </w:p>
        </w:tc>
      </w:tr>
      <w:tr w:rsidR="00B47442" w:rsidRPr="0009445C" w14:paraId="57B4BF88" w14:textId="77777777" w:rsidTr="0099521D">
        <w:trPr>
          <w:cantSplit/>
          <w:trHeight w:val="340"/>
        </w:trPr>
        <w:tc>
          <w:tcPr>
            <w:tcW w:w="2260" w:type="dxa"/>
            <w:shd w:val="clear" w:color="auto" w:fill="FFFFFF"/>
          </w:tcPr>
          <w:p w14:paraId="5AC8AF28" w14:textId="77777777" w:rsidR="00B47442" w:rsidRPr="0009445C" w:rsidRDefault="00B47442" w:rsidP="0099521D">
            <w:pPr>
              <w:pStyle w:val="BRL-Tabelle"/>
              <w:spacing w:before="100"/>
              <w:ind w:left="113" w:right="113"/>
            </w:pPr>
            <w:r w:rsidRPr="0009445C">
              <w:t>Highly fire-retardant</w:t>
            </w:r>
          </w:p>
        </w:tc>
        <w:tc>
          <w:tcPr>
            <w:tcW w:w="2323" w:type="dxa"/>
            <w:shd w:val="clear" w:color="auto" w:fill="FFFFFF"/>
          </w:tcPr>
          <w:p w14:paraId="5FF47855" w14:textId="77777777" w:rsidR="00B47442" w:rsidRPr="0009445C" w:rsidRDefault="00B47442" w:rsidP="0099521D">
            <w:pPr>
              <w:pStyle w:val="BRL-Tabelle"/>
              <w:spacing w:before="100"/>
              <w:ind w:left="113" w:right="113"/>
              <w:jc w:val="center"/>
            </w:pPr>
            <w:r w:rsidRPr="0009445C">
              <w:t>K 60</w:t>
            </w:r>
          </w:p>
        </w:tc>
        <w:tc>
          <w:tcPr>
            <w:tcW w:w="2248" w:type="dxa"/>
            <w:vMerge/>
            <w:shd w:val="clear" w:color="auto" w:fill="FFFFFF"/>
          </w:tcPr>
          <w:p w14:paraId="40B936CF" w14:textId="77777777" w:rsidR="00B47442" w:rsidRPr="0009445C" w:rsidRDefault="00B47442" w:rsidP="0099521D">
            <w:pPr>
              <w:widowControl w:val="0"/>
              <w:spacing w:before="100" w:after="80" w:line="240" w:lineRule="auto"/>
              <w:ind w:left="113" w:right="113"/>
              <w:jc w:val="center"/>
            </w:pPr>
          </w:p>
        </w:tc>
        <w:tc>
          <w:tcPr>
            <w:tcW w:w="2245" w:type="dxa"/>
            <w:vMerge/>
            <w:shd w:val="clear" w:color="auto" w:fill="FFFFFF"/>
          </w:tcPr>
          <w:p w14:paraId="1C788C8D" w14:textId="77777777" w:rsidR="00B47442" w:rsidRPr="0009445C" w:rsidRDefault="00B47442" w:rsidP="0099521D">
            <w:pPr>
              <w:widowControl w:val="0"/>
              <w:spacing w:before="100" w:after="80" w:line="240" w:lineRule="auto"/>
              <w:ind w:left="113" w:right="113"/>
              <w:jc w:val="center"/>
            </w:pPr>
          </w:p>
        </w:tc>
      </w:tr>
      <w:tr w:rsidR="00B47442" w:rsidRPr="0009445C" w14:paraId="4D28BE32" w14:textId="77777777" w:rsidTr="0099521D">
        <w:trPr>
          <w:cantSplit/>
          <w:trHeight w:val="340"/>
        </w:trPr>
        <w:tc>
          <w:tcPr>
            <w:tcW w:w="2260" w:type="dxa"/>
            <w:shd w:val="clear" w:color="auto" w:fill="FFFFFF"/>
          </w:tcPr>
          <w:p w14:paraId="4C24BB18" w14:textId="77777777" w:rsidR="00B47442" w:rsidRPr="0009445C" w:rsidRDefault="00B47442" w:rsidP="0099521D">
            <w:pPr>
              <w:pStyle w:val="BRL-Tabelle"/>
              <w:spacing w:before="100"/>
              <w:ind w:left="113" w:right="113"/>
              <w:rPr>
                <w:b/>
              </w:rPr>
            </w:pPr>
            <w:r w:rsidRPr="0009445C">
              <w:t>Fire-resistant</w:t>
            </w:r>
          </w:p>
        </w:tc>
        <w:tc>
          <w:tcPr>
            <w:tcW w:w="2323" w:type="dxa"/>
            <w:shd w:val="clear" w:color="auto" w:fill="FFFFFF"/>
          </w:tcPr>
          <w:p w14:paraId="382A56C5" w14:textId="77777777" w:rsidR="00B47442" w:rsidRPr="0009445C" w:rsidRDefault="00B47442" w:rsidP="0099521D">
            <w:pPr>
              <w:pStyle w:val="BRL-Tabelle"/>
              <w:spacing w:before="100"/>
              <w:ind w:left="113" w:right="113"/>
              <w:jc w:val="center"/>
              <w:rPr>
                <w:b/>
              </w:rPr>
            </w:pPr>
            <w:r w:rsidRPr="0009445C">
              <w:t>K 90</w:t>
            </w:r>
          </w:p>
        </w:tc>
        <w:tc>
          <w:tcPr>
            <w:tcW w:w="2248" w:type="dxa"/>
            <w:vMerge/>
            <w:shd w:val="clear" w:color="auto" w:fill="FFFFFF"/>
          </w:tcPr>
          <w:p w14:paraId="4B4F8F3E" w14:textId="77777777" w:rsidR="00B47442" w:rsidRPr="0009445C" w:rsidRDefault="00B47442" w:rsidP="0099521D">
            <w:pPr>
              <w:widowControl w:val="0"/>
              <w:spacing w:before="100" w:after="80" w:line="240" w:lineRule="auto"/>
              <w:ind w:left="113" w:right="113"/>
              <w:jc w:val="center"/>
              <w:rPr>
                <w:b/>
              </w:rPr>
            </w:pPr>
          </w:p>
        </w:tc>
        <w:tc>
          <w:tcPr>
            <w:tcW w:w="2245" w:type="dxa"/>
            <w:vMerge/>
            <w:shd w:val="clear" w:color="auto" w:fill="FFFFFF"/>
          </w:tcPr>
          <w:p w14:paraId="463728E5" w14:textId="77777777" w:rsidR="00B47442" w:rsidRPr="0009445C" w:rsidRDefault="00B47442" w:rsidP="0099521D">
            <w:pPr>
              <w:widowControl w:val="0"/>
              <w:spacing w:before="100" w:after="80" w:line="240" w:lineRule="auto"/>
              <w:ind w:left="113" w:right="113"/>
              <w:jc w:val="center"/>
              <w:rPr>
                <w:b/>
              </w:rPr>
            </w:pPr>
          </w:p>
        </w:tc>
      </w:tr>
    </w:tbl>
    <w:p w14:paraId="2F15584F" w14:textId="77777777" w:rsidR="00B47442" w:rsidRPr="0009445C" w:rsidRDefault="00B47442" w:rsidP="00B47442">
      <w:pPr>
        <w:spacing w:after="200"/>
        <w:rPr>
          <w:rFonts w:cs="Arial"/>
        </w:rPr>
      </w:pPr>
    </w:p>
    <w:p w14:paraId="60E9A7DD" w14:textId="77777777" w:rsidR="00B47442" w:rsidRPr="0009445C" w:rsidRDefault="00B47442" w:rsidP="00B47442">
      <w:pPr>
        <w:pStyle w:val="BRL-Tabelle"/>
        <w:keepNext/>
        <w:spacing w:after="60"/>
        <w:rPr>
          <w:b/>
        </w:rPr>
      </w:pPr>
      <w:r w:rsidRPr="0009445C">
        <w:rPr>
          <w:b/>
        </w:rPr>
        <w:t>Table 3:</w:t>
      </w:r>
    </w:p>
    <w:tbl>
      <w:tblPr>
        <w:tblW w:w="918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01"/>
        <w:gridCol w:w="4584"/>
      </w:tblGrid>
      <w:tr w:rsidR="00B47442" w:rsidRPr="0009445C" w14:paraId="7F340A35" w14:textId="77777777" w:rsidTr="0099521D">
        <w:tc>
          <w:tcPr>
            <w:tcW w:w="9185" w:type="dxa"/>
            <w:gridSpan w:val="2"/>
            <w:shd w:val="clear" w:color="auto" w:fill="auto"/>
          </w:tcPr>
          <w:p w14:paraId="7ED9A8F7" w14:textId="77777777" w:rsidR="00B47442" w:rsidRPr="0009445C" w:rsidRDefault="00B47442" w:rsidP="0099521D">
            <w:pPr>
              <w:pStyle w:val="BRLTabelleberschrift"/>
              <w:ind w:left="0" w:firstLine="0"/>
            </w:pPr>
            <w:r w:rsidRPr="0009445C">
              <w:t>Shut-off devices and fire protection systems in ventilation systems in accordance with the Technical Rule referred to in MVV TB under Ser. No 2.2.1.11, Section 7.2</w:t>
            </w:r>
          </w:p>
        </w:tc>
      </w:tr>
      <w:tr w:rsidR="00B47442" w:rsidRPr="0009445C" w14:paraId="39A8DA7A" w14:textId="77777777" w:rsidTr="0099521D">
        <w:tc>
          <w:tcPr>
            <w:tcW w:w="4601" w:type="dxa"/>
            <w:shd w:val="clear" w:color="auto" w:fill="auto"/>
          </w:tcPr>
          <w:p w14:paraId="0A788479" w14:textId="77777777" w:rsidR="00B47442" w:rsidRPr="0009445C" w:rsidRDefault="00B47442" w:rsidP="0099521D">
            <w:pPr>
              <w:pStyle w:val="BRL-Tabelle"/>
              <w:keepNext/>
              <w:jc w:val="center"/>
            </w:pPr>
          </w:p>
        </w:tc>
        <w:tc>
          <w:tcPr>
            <w:tcW w:w="4584" w:type="dxa"/>
            <w:shd w:val="clear" w:color="auto" w:fill="auto"/>
          </w:tcPr>
          <w:p w14:paraId="4C7EDB1E" w14:textId="77777777" w:rsidR="00B47442" w:rsidRPr="0009445C" w:rsidRDefault="00B47442" w:rsidP="0099521D">
            <w:pPr>
              <w:pStyle w:val="BRL-Tabelle"/>
              <w:keepNext/>
              <w:jc w:val="center"/>
              <w:rPr>
                <w:b/>
              </w:rPr>
            </w:pPr>
            <w:r w:rsidRPr="0009445C">
              <w:rPr>
                <w:b/>
              </w:rPr>
              <w:t>Minimum necessary</w:t>
            </w:r>
          </w:p>
        </w:tc>
      </w:tr>
      <w:tr w:rsidR="00B47442" w:rsidRPr="0009445C" w14:paraId="0088F668" w14:textId="77777777" w:rsidTr="0099521D">
        <w:tc>
          <w:tcPr>
            <w:tcW w:w="4601" w:type="dxa"/>
            <w:shd w:val="clear" w:color="auto" w:fill="auto"/>
          </w:tcPr>
          <w:p w14:paraId="1DD2463A" w14:textId="77777777" w:rsidR="00B47442" w:rsidRPr="0009445C" w:rsidRDefault="00B47442" w:rsidP="0099521D">
            <w:pPr>
              <w:pStyle w:val="BRLTabelleberschrift"/>
            </w:pPr>
            <w:r w:rsidRPr="0009445C">
              <w:t xml:space="preserve">Building approval requirement </w:t>
            </w:r>
          </w:p>
        </w:tc>
        <w:tc>
          <w:tcPr>
            <w:tcW w:w="4584" w:type="dxa"/>
            <w:shd w:val="clear" w:color="auto" w:fill="auto"/>
          </w:tcPr>
          <w:p w14:paraId="26DCD29F" w14:textId="77777777" w:rsidR="00B47442" w:rsidRPr="0009445C" w:rsidRDefault="00B47442" w:rsidP="0099521D">
            <w:pPr>
              <w:pStyle w:val="BRLTabelleberschrift"/>
              <w:ind w:left="0" w:firstLine="0"/>
            </w:pPr>
            <w:r w:rsidRPr="0009445C">
              <w:t>Fire resistance class according to DIN 4102-6:1977-09 and additional designation according to proof of fitness for use</w:t>
            </w:r>
          </w:p>
        </w:tc>
      </w:tr>
      <w:tr w:rsidR="00B47442" w:rsidRPr="0009445C" w14:paraId="717369DD" w14:textId="77777777" w:rsidTr="0099521D">
        <w:tc>
          <w:tcPr>
            <w:tcW w:w="4601" w:type="dxa"/>
            <w:shd w:val="clear" w:color="auto" w:fill="auto"/>
            <w:vAlign w:val="center"/>
          </w:tcPr>
          <w:p w14:paraId="2161A2B0" w14:textId="77777777" w:rsidR="00B47442" w:rsidRPr="0009445C" w:rsidRDefault="00B47442" w:rsidP="0099521D">
            <w:pPr>
              <w:pStyle w:val="BRL-Tabelle"/>
              <w:keepNext/>
              <w:spacing w:before="60" w:after="40"/>
            </w:pPr>
            <w:r w:rsidRPr="0009445C">
              <w:t>Fire-retardant</w:t>
            </w:r>
          </w:p>
        </w:tc>
        <w:tc>
          <w:tcPr>
            <w:tcW w:w="4584" w:type="dxa"/>
            <w:shd w:val="clear" w:color="auto" w:fill="auto"/>
          </w:tcPr>
          <w:p w14:paraId="39AB088A" w14:textId="77777777" w:rsidR="00B47442" w:rsidRPr="0009445C" w:rsidRDefault="00B47442" w:rsidP="0099521D">
            <w:pPr>
              <w:pStyle w:val="BRL-Tabelle"/>
              <w:keepNext/>
              <w:spacing w:before="60" w:after="40"/>
              <w:jc w:val="center"/>
            </w:pPr>
            <w:r w:rsidRPr="0009445C">
              <w:t>K30-18017, K30-18017 S</w:t>
            </w:r>
          </w:p>
        </w:tc>
      </w:tr>
      <w:tr w:rsidR="00B47442" w:rsidRPr="0009445C" w14:paraId="2F3AF5CF" w14:textId="77777777" w:rsidTr="0099521D">
        <w:tc>
          <w:tcPr>
            <w:tcW w:w="4601" w:type="dxa"/>
            <w:shd w:val="clear" w:color="auto" w:fill="auto"/>
            <w:vAlign w:val="center"/>
          </w:tcPr>
          <w:p w14:paraId="73B12FA1" w14:textId="77777777" w:rsidR="00B47442" w:rsidRPr="0009445C" w:rsidRDefault="00B47442" w:rsidP="0099521D">
            <w:pPr>
              <w:pStyle w:val="BRL-Tabelle"/>
              <w:keepNext/>
              <w:spacing w:before="60" w:after="40"/>
            </w:pPr>
            <w:r w:rsidRPr="0009445C">
              <w:t>Highly fire-retardant</w:t>
            </w:r>
          </w:p>
        </w:tc>
        <w:tc>
          <w:tcPr>
            <w:tcW w:w="4584" w:type="dxa"/>
            <w:shd w:val="clear" w:color="auto" w:fill="auto"/>
          </w:tcPr>
          <w:p w14:paraId="6F7D2680" w14:textId="77777777" w:rsidR="00B47442" w:rsidRPr="0009445C" w:rsidRDefault="00B47442" w:rsidP="0099521D">
            <w:pPr>
              <w:pStyle w:val="BRL-Tabelle"/>
              <w:keepNext/>
              <w:spacing w:before="60" w:after="40"/>
              <w:jc w:val="center"/>
            </w:pPr>
            <w:r w:rsidRPr="0009445C">
              <w:t>K60-18017, K60-18017 S</w:t>
            </w:r>
          </w:p>
        </w:tc>
      </w:tr>
      <w:tr w:rsidR="00B47442" w:rsidRPr="0009445C" w14:paraId="4EF6625A" w14:textId="77777777" w:rsidTr="0099521D">
        <w:tc>
          <w:tcPr>
            <w:tcW w:w="4601" w:type="dxa"/>
            <w:shd w:val="clear" w:color="auto" w:fill="auto"/>
            <w:vAlign w:val="center"/>
          </w:tcPr>
          <w:p w14:paraId="03F4E30A" w14:textId="77777777" w:rsidR="00B47442" w:rsidRPr="0009445C" w:rsidRDefault="00B47442" w:rsidP="0099521D">
            <w:pPr>
              <w:pStyle w:val="BRL-Tabelle"/>
              <w:keepNext/>
              <w:spacing w:before="60" w:after="40"/>
            </w:pPr>
            <w:r w:rsidRPr="0009445C">
              <w:t>Fire-resistant</w:t>
            </w:r>
          </w:p>
        </w:tc>
        <w:tc>
          <w:tcPr>
            <w:tcW w:w="4584" w:type="dxa"/>
            <w:shd w:val="clear" w:color="auto" w:fill="auto"/>
          </w:tcPr>
          <w:p w14:paraId="64B6AC21" w14:textId="77777777" w:rsidR="00B47442" w:rsidRPr="0009445C" w:rsidRDefault="00B47442" w:rsidP="0099521D">
            <w:pPr>
              <w:pStyle w:val="BRL-Tabelle"/>
              <w:keepNext/>
              <w:spacing w:before="60" w:after="40"/>
              <w:jc w:val="center"/>
            </w:pPr>
            <w:r w:rsidRPr="0009445C">
              <w:t>K90-18017, K90-18017 S</w:t>
            </w:r>
          </w:p>
        </w:tc>
      </w:tr>
    </w:tbl>
    <w:p w14:paraId="5D27F3E8" w14:textId="77777777" w:rsidR="00B47442" w:rsidRPr="0009445C" w:rsidRDefault="00B47442" w:rsidP="00B47442">
      <w:pPr>
        <w:pStyle w:val="BRL-Standard"/>
      </w:pPr>
    </w:p>
    <w:p w14:paraId="60C4E39F" w14:textId="77777777" w:rsidR="00B47442" w:rsidRPr="0009445C" w:rsidRDefault="00B47442" w:rsidP="00B47442">
      <w:pPr>
        <w:pStyle w:val="BRL-Standard"/>
        <w:keepNext/>
        <w:spacing w:after="60"/>
        <w:rPr>
          <w:b/>
          <w:bCs/>
        </w:rPr>
      </w:pPr>
      <w:r w:rsidRPr="0009445C">
        <w:rPr>
          <w:b/>
        </w:rPr>
        <w:lastRenderedPageBreak/>
        <w:t>Table 4:</w:t>
      </w:r>
    </w:p>
    <w:tbl>
      <w:tblPr>
        <w:tblW w:w="918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01"/>
        <w:gridCol w:w="4884"/>
      </w:tblGrid>
      <w:tr w:rsidR="00B47442" w:rsidRPr="0009445C" w14:paraId="179CA93A" w14:textId="77777777" w:rsidTr="0099521D">
        <w:trPr>
          <w:trHeight w:val="319"/>
        </w:trPr>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7C5D2A84" w14:textId="77777777" w:rsidR="00B47442" w:rsidRPr="0009445C" w:rsidRDefault="00B47442" w:rsidP="0099521D">
            <w:pPr>
              <w:pStyle w:val="BRLTabelleberschrift"/>
              <w:rPr>
                <w:rFonts w:eastAsia="Calibri"/>
              </w:rPr>
            </w:pPr>
            <w:r w:rsidRPr="0009445C">
              <w:t>Essential feature</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1D350F67" w14:textId="06D1F63F" w:rsidR="00B47442" w:rsidRPr="0009445C" w:rsidRDefault="00B47442" w:rsidP="0099521D">
            <w:pPr>
              <w:pStyle w:val="BRLTabelleberschrift"/>
              <w:rPr>
                <w:rFonts w:eastAsia="Calibri"/>
              </w:rPr>
            </w:pPr>
            <w:r w:rsidRPr="0009445C">
              <w:t>Fire damper in accordance with EN 15650:2010</w:t>
            </w:r>
            <w:r w:rsidRPr="0009445C">
              <w:rPr>
                <w:rStyle w:val="FootnoteReference"/>
              </w:rPr>
              <w:fldChar w:fldCharType="begin"/>
            </w:r>
            <w:r w:rsidRPr="0009445C">
              <w:rPr>
                <w:rStyle w:val="FootnoteReference"/>
              </w:rPr>
              <w:instrText xml:space="preserve"> NOTEREF _Ref82183677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40</w:t>
            </w:r>
            <w:r w:rsidRPr="0009445C">
              <w:rPr>
                <w:rStyle w:val="FootnoteReference"/>
              </w:rPr>
              <w:fldChar w:fldCharType="end"/>
            </w:r>
          </w:p>
        </w:tc>
      </w:tr>
      <w:tr w:rsidR="00B47442" w:rsidRPr="0009445C" w14:paraId="3BFEE576"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7014E27F" w14:textId="77777777" w:rsidR="00B47442" w:rsidRPr="0009445C" w:rsidRDefault="00B47442" w:rsidP="0099521D">
            <w:pPr>
              <w:pStyle w:val="BRL-Tabelle"/>
              <w:keepNext/>
              <w:spacing w:before="60" w:after="40"/>
              <w:rPr>
                <w:rFonts w:eastAsia="Calibri"/>
              </w:rPr>
            </w:pPr>
            <w:r w:rsidRPr="0009445C">
              <w:t>Reference conditions for activation/response sensitivity</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6C420677" w14:textId="77777777" w:rsidR="00B47442" w:rsidRPr="0009445C" w:rsidRDefault="00B47442" w:rsidP="0099521D">
            <w:pPr>
              <w:pStyle w:val="BRL-Tabelle"/>
              <w:keepNext/>
              <w:spacing w:before="60" w:after="40"/>
              <w:jc w:val="center"/>
              <w:rPr>
                <w:rFonts w:eastAsia="Calibri"/>
              </w:rPr>
            </w:pPr>
            <w:r w:rsidRPr="0009445C">
              <w:t>X</w:t>
            </w:r>
          </w:p>
        </w:tc>
      </w:tr>
      <w:tr w:rsidR="00B47442" w:rsidRPr="0009445C" w14:paraId="0C5D1D8E"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3CB5BECD" w14:textId="77777777" w:rsidR="00B47442" w:rsidRPr="0009445C" w:rsidRDefault="00B47442" w:rsidP="0099521D">
            <w:pPr>
              <w:pStyle w:val="BRL-Tabelle"/>
              <w:keepNext/>
              <w:spacing w:before="60" w:after="40"/>
              <w:rPr>
                <w:rFonts w:eastAsia="Calibri"/>
              </w:rPr>
            </w:pPr>
            <w:r w:rsidRPr="0009445C">
              <w:t>Response delay/response time</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23659DA2" w14:textId="77777777" w:rsidR="00B47442" w:rsidRPr="0009445C" w:rsidRDefault="00B47442" w:rsidP="0099521D">
            <w:pPr>
              <w:pStyle w:val="BRL-Tabelle"/>
              <w:keepNext/>
              <w:spacing w:before="60" w:after="40"/>
              <w:jc w:val="center"/>
              <w:rPr>
                <w:rFonts w:eastAsia="Calibri"/>
              </w:rPr>
            </w:pPr>
            <w:r w:rsidRPr="0009445C">
              <w:t>X</w:t>
            </w:r>
          </w:p>
        </w:tc>
      </w:tr>
      <w:tr w:rsidR="00B47442" w:rsidRPr="0009445C" w14:paraId="6F299348"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6B4391EC" w14:textId="77777777" w:rsidR="00B47442" w:rsidRPr="0009445C" w:rsidRDefault="00B47442" w:rsidP="0099521D">
            <w:pPr>
              <w:pStyle w:val="BRL-Tabelle"/>
              <w:keepNext/>
              <w:spacing w:before="60" w:after="40"/>
              <w:rPr>
                <w:rFonts w:eastAsia="Calibri"/>
              </w:rPr>
            </w:pPr>
            <w:r w:rsidRPr="0009445C">
              <w:t xml:space="preserve">Operational safety (cycles) </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1A41F390" w14:textId="61DD0A56" w:rsidR="00B47442" w:rsidRPr="0009445C" w:rsidRDefault="00C50383" w:rsidP="0099521D">
            <w:pPr>
              <w:pStyle w:val="BRL-Tabelle"/>
              <w:keepNext/>
              <w:spacing w:before="60" w:after="40"/>
              <w:jc w:val="center"/>
              <w:rPr>
                <w:rFonts w:eastAsia="Calibri"/>
              </w:rPr>
            </w:pPr>
            <w:r w:rsidRPr="0009445C">
              <w:t>50</w:t>
            </w:r>
          </w:p>
        </w:tc>
      </w:tr>
      <w:tr w:rsidR="00B47442" w:rsidRPr="0009445C" w14:paraId="67F16173"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2904254C" w14:textId="77777777" w:rsidR="00B47442" w:rsidRPr="0009445C" w:rsidRDefault="00B47442" w:rsidP="0099521D">
            <w:pPr>
              <w:pStyle w:val="BRL-Tabelle"/>
              <w:keepNext/>
              <w:spacing w:before="60" w:after="40"/>
              <w:rPr>
                <w:rFonts w:eastAsia="Calibri"/>
              </w:rPr>
            </w:pPr>
            <w:r w:rsidRPr="0009445C">
              <w:t>Fire resistance</w:t>
            </w:r>
            <w:r w:rsidRPr="0009445C">
              <w:rPr>
                <w:vertAlign w:val="superscript"/>
              </w:rPr>
              <w:sym w:font="Wingdings" w:char="F074"/>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1F179D11" w14:textId="77777777" w:rsidR="00B47442" w:rsidRPr="0009445C" w:rsidRDefault="00B47442" w:rsidP="0099521D">
            <w:pPr>
              <w:pStyle w:val="BRL-Tabelle"/>
              <w:keepNext/>
              <w:spacing w:before="60" w:after="40"/>
              <w:jc w:val="center"/>
              <w:rPr>
                <w:rFonts w:eastAsia="Calibri"/>
              </w:rPr>
            </w:pPr>
          </w:p>
        </w:tc>
      </w:tr>
      <w:tr w:rsidR="00B47442" w:rsidRPr="0009445C" w14:paraId="57F6D1FA"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32347589" w14:textId="77777777" w:rsidR="00B47442" w:rsidRPr="0009445C" w:rsidRDefault="00B47442" w:rsidP="0099521D">
            <w:pPr>
              <w:pStyle w:val="BRL-Tabelle"/>
              <w:keepNext/>
              <w:spacing w:before="60" w:after="40"/>
              <w:rPr>
                <w:rFonts w:eastAsia="Calibri"/>
              </w:rPr>
            </w:pPr>
            <w:r w:rsidRPr="0009445C">
              <w:t>- Space barrier</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218DCCCE" w14:textId="77777777" w:rsidR="00B47442" w:rsidRPr="0009445C" w:rsidRDefault="00B47442" w:rsidP="0099521D">
            <w:pPr>
              <w:pStyle w:val="BRL-Tabelle"/>
              <w:keepNext/>
              <w:spacing w:before="60" w:after="40"/>
              <w:jc w:val="center"/>
              <w:rPr>
                <w:rFonts w:eastAsia="Calibri"/>
              </w:rPr>
            </w:pPr>
            <w:r w:rsidRPr="0009445C">
              <w:t>K</w:t>
            </w:r>
          </w:p>
        </w:tc>
      </w:tr>
      <w:tr w:rsidR="00B47442" w:rsidRPr="0009445C" w14:paraId="540243AE"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32E2472D" w14:textId="77777777" w:rsidR="00B47442" w:rsidRPr="0009445C" w:rsidRDefault="00B47442" w:rsidP="0099521D">
            <w:pPr>
              <w:pStyle w:val="BRL-Tabelle"/>
              <w:keepNext/>
              <w:spacing w:before="60" w:after="40"/>
              <w:rPr>
                <w:rFonts w:eastAsia="Calibri"/>
              </w:rPr>
            </w:pPr>
            <w:r w:rsidRPr="0009445C">
              <w:t>- Thermal insulation</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2DD15DA5" w14:textId="77777777" w:rsidR="00B47442" w:rsidRPr="0009445C" w:rsidRDefault="00B47442" w:rsidP="0099521D">
            <w:pPr>
              <w:pStyle w:val="BRL-Tabelle"/>
              <w:keepNext/>
              <w:spacing w:before="60" w:after="40"/>
              <w:jc w:val="center"/>
              <w:rPr>
                <w:rFonts w:eastAsia="Calibri"/>
              </w:rPr>
            </w:pPr>
            <w:r w:rsidRPr="0009445C">
              <w:t>K</w:t>
            </w:r>
          </w:p>
        </w:tc>
      </w:tr>
      <w:tr w:rsidR="00B47442" w:rsidRPr="0009445C" w14:paraId="5AB057BA"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75EB41A6" w14:textId="77777777" w:rsidR="00B47442" w:rsidRPr="0009445C" w:rsidRDefault="00B47442" w:rsidP="0099521D">
            <w:pPr>
              <w:pStyle w:val="BRL-Tabelle"/>
              <w:keepNext/>
              <w:spacing w:before="60" w:after="40"/>
              <w:rPr>
                <w:rFonts w:eastAsia="Calibri"/>
              </w:rPr>
            </w:pPr>
            <w:r w:rsidRPr="0009445C">
              <w:t>- Smoke leakage</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5D427C88" w14:textId="77777777" w:rsidR="00B47442" w:rsidRPr="0009445C" w:rsidRDefault="00B47442" w:rsidP="0099521D">
            <w:pPr>
              <w:pStyle w:val="BRL-Tabelle"/>
              <w:keepNext/>
              <w:spacing w:before="60" w:after="40"/>
              <w:jc w:val="center"/>
              <w:rPr>
                <w:rFonts w:eastAsia="Calibri"/>
              </w:rPr>
            </w:pPr>
            <w:r w:rsidRPr="0009445C">
              <w:t>K</w:t>
            </w:r>
          </w:p>
        </w:tc>
      </w:tr>
      <w:tr w:rsidR="00B47442" w:rsidRPr="0009445C" w14:paraId="55C9C470"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3A22711C" w14:textId="77777777" w:rsidR="00B47442" w:rsidRPr="0009445C" w:rsidRDefault="00B47442" w:rsidP="0099521D">
            <w:pPr>
              <w:pStyle w:val="BRL-Tabelle"/>
              <w:keepNext/>
              <w:spacing w:before="60" w:after="40"/>
              <w:rPr>
                <w:rFonts w:eastAsia="Calibri"/>
              </w:rPr>
            </w:pPr>
            <w:r w:rsidRPr="0009445C">
              <w:t>- Mechanical strength (with respect to E)</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565A0049" w14:textId="77777777" w:rsidR="00B47442" w:rsidRPr="0009445C" w:rsidRDefault="00B47442" w:rsidP="0099521D">
            <w:pPr>
              <w:pStyle w:val="BRL-Tabelle"/>
              <w:keepNext/>
              <w:spacing w:before="60" w:after="40"/>
              <w:jc w:val="center"/>
              <w:rPr>
                <w:rFonts w:eastAsia="Calibri"/>
              </w:rPr>
            </w:pPr>
            <w:r w:rsidRPr="0009445C">
              <w:t>X</w:t>
            </w:r>
          </w:p>
        </w:tc>
      </w:tr>
      <w:tr w:rsidR="00B47442" w:rsidRPr="0009445C" w14:paraId="3E7D4F61"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3881E750" w14:textId="77777777" w:rsidR="00B47442" w:rsidRPr="0009445C" w:rsidRDefault="00B47442" w:rsidP="0099521D">
            <w:pPr>
              <w:pStyle w:val="BRL-Tabelle"/>
              <w:keepNext/>
              <w:spacing w:before="60" w:after="40"/>
              <w:rPr>
                <w:rFonts w:eastAsia="Calibri"/>
              </w:rPr>
            </w:pPr>
            <w:r w:rsidRPr="0009445C">
              <w:t>- Retention of cross-section (with regard to E)</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6A93ADBE" w14:textId="77777777" w:rsidR="00B47442" w:rsidRPr="0009445C" w:rsidRDefault="00B47442" w:rsidP="0099521D">
            <w:pPr>
              <w:pStyle w:val="BRL-Tabelle"/>
              <w:keepNext/>
              <w:spacing w:before="60" w:after="40"/>
              <w:jc w:val="center"/>
              <w:rPr>
                <w:rFonts w:eastAsia="Calibri"/>
              </w:rPr>
            </w:pPr>
            <w:r w:rsidRPr="0009445C">
              <w:t>X</w:t>
            </w:r>
          </w:p>
        </w:tc>
      </w:tr>
      <w:tr w:rsidR="00B47442" w:rsidRPr="0009445C" w14:paraId="77573F06"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685B11A8" w14:textId="77777777" w:rsidR="00B47442" w:rsidRPr="0009445C" w:rsidRDefault="00B47442" w:rsidP="0099521D">
            <w:pPr>
              <w:pStyle w:val="BRL-Tabelle"/>
              <w:keepNext/>
              <w:spacing w:before="60" w:after="40"/>
              <w:rPr>
                <w:rFonts w:eastAsia="Calibri"/>
              </w:rPr>
            </w:pPr>
            <w:r w:rsidRPr="0009445C">
              <w:t>Durability</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08C13692" w14:textId="77777777" w:rsidR="00B47442" w:rsidRPr="0009445C" w:rsidRDefault="00B47442" w:rsidP="0099521D">
            <w:pPr>
              <w:pStyle w:val="BRL-Tabelle"/>
              <w:keepNext/>
              <w:spacing w:before="60" w:after="40"/>
              <w:jc w:val="center"/>
              <w:rPr>
                <w:rFonts w:eastAsia="Calibri"/>
              </w:rPr>
            </w:pPr>
          </w:p>
        </w:tc>
      </w:tr>
      <w:tr w:rsidR="00B47442" w:rsidRPr="0009445C" w14:paraId="43EF89E9"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6919CE06" w14:textId="77777777" w:rsidR="00B47442" w:rsidRPr="0009445C" w:rsidRDefault="00B47442" w:rsidP="0099521D">
            <w:pPr>
              <w:pStyle w:val="BRL-Tabelle"/>
              <w:keepNext/>
              <w:spacing w:before="60" w:after="40"/>
              <w:rPr>
                <w:rFonts w:eastAsia="Calibri"/>
              </w:rPr>
            </w:pPr>
            <w:r w:rsidRPr="0009445C">
              <w:t>- of the response delay</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1E01BE55" w14:textId="77777777" w:rsidR="00B47442" w:rsidRPr="0009445C" w:rsidRDefault="00B47442" w:rsidP="0099521D">
            <w:pPr>
              <w:pStyle w:val="BRL-Tabelle"/>
              <w:keepNext/>
              <w:spacing w:before="60" w:after="40"/>
              <w:jc w:val="center"/>
              <w:rPr>
                <w:rFonts w:eastAsia="Calibri"/>
              </w:rPr>
            </w:pPr>
            <w:r w:rsidRPr="0009445C">
              <w:t>X</w:t>
            </w:r>
          </w:p>
        </w:tc>
      </w:tr>
      <w:tr w:rsidR="00B47442" w:rsidRPr="0009445C" w14:paraId="6C20684C" w14:textId="77777777" w:rsidTr="0099521D">
        <w:tc>
          <w:tcPr>
            <w:tcW w:w="4301" w:type="dxa"/>
            <w:tcBorders>
              <w:top w:val="single" w:sz="2" w:space="0" w:color="auto"/>
              <w:left w:val="single" w:sz="2" w:space="0" w:color="auto"/>
              <w:bottom w:val="single" w:sz="2" w:space="0" w:color="auto"/>
              <w:right w:val="single" w:sz="2" w:space="0" w:color="auto"/>
            </w:tcBorders>
            <w:shd w:val="clear" w:color="auto" w:fill="auto"/>
            <w:vAlign w:val="center"/>
          </w:tcPr>
          <w:p w14:paraId="578A90FA" w14:textId="77777777" w:rsidR="00B47442" w:rsidRPr="0009445C" w:rsidRDefault="00B47442" w:rsidP="0099521D">
            <w:pPr>
              <w:pStyle w:val="BRL-Tabelle"/>
              <w:keepNext/>
              <w:spacing w:before="60" w:after="40"/>
              <w:rPr>
                <w:rFonts w:eastAsia="Calibri"/>
              </w:rPr>
            </w:pPr>
            <w:r w:rsidRPr="0009445C">
              <w:t>- of operational safety</w:t>
            </w:r>
          </w:p>
        </w:tc>
        <w:tc>
          <w:tcPr>
            <w:tcW w:w="4884" w:type="dxa"/>
            <w:tcBorders>
              <w:top w:val="single" w:sz="2" w:space="0" w:color="auto"/>
              <w:left w:val="single" w:sz="2" w:space="0" w:color="auto"/>
              <w:bottom w:val="single" w:sz="2" w:space="0" w:color="auto"/>
              <w:right w:val="single" w:sz="2" w:space="0" w:color="auto"/>
            </w:tcBorders>
            <w:shd w:val="clear" w:color="auto" w:fill="auto"/>
            <w:vAlign w:val="center"/>
          </w:tcPr>
          <w:p w14:paraId="79E89EC8" w14:textId="77777777" w:rsidR="00B47442" w:rsidRPr="0009445C" w:rsidRDefault="00B47442" w:rsidP="0099521D">
            <w:pPr>
              <w:pStyle w:val="BRL-Tabelle"/>
              <w:keepNext/>
              <w:spacing w:before="60" w:after="40"/>
              <w:jc w:val="center"/>
              <w:rPr>
                <w:rFonts w:eastAsia="Calibri"/>
                <w:strike/>
              </w:rPr>
            </w:pPr>
            <w:r w:rsidRPr="0009445C">
              <w:t>L</w:t>
            </w:r>
          </w:p>
        </w:tc>
      </w:tr>
      <w:tr w:rsidR="00B47442" w:rsidRPr="0009445C" w14:paraId="3EC76C76" w14:textId="77777777" w:rsidTr="0099521D">
        <w:tc>
          <w:tcPr>
            <w:tcW w:w="9185"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24E1F60" w14:textId="77777777" w:rsidR="00B47442" w:rsidRPr="0009445C" w:rsidRDefault="00B47442" w:rsidP="0099521D">
            <w:pPr>
              <w:pStyle w:val="BRL-Tabelle"/>
              <w:keepNext/>
              <w:spacing w:before="60"/>
              <w:rPr>
                <w:rFonts w:eastAsia="Calibri"/>
              </w:rPr>
            </w:pPr>
            <w:r w:rsidRPr="0009445C">
              <w:t>X</w:t>
            </w:r>
            <w:r w:rsidRPr="0009445C">
              <w:tab/>
              <w:t>must be fulfilled</w:t>
            </w:r>
          </w:p>
          <w:p w14:paraId="7A1671C6" w14:textId="77777777" w:rsidR="00B47442" w:rsidRPr="0009445C" w:rsidRDefault="00B47442" w:rsidP="0099521D">
            <w:pPr>
              <w:pStyle w:val="BRL-Tabelle"/>
              <w:keepNext/>
              <w:rPr>
                <w:rFonts w:eastAsia="Calibri"/>
              </w:rPr>
            </w:pPr>
            <w:r w:rsidRPr="0009445C">
              <w:t>K</w:t>
            </w:r>
            <w:r w:rsidRPr="0009445C">
              <w:tab/>
              <w:t>Classification required</w:t>
            </w:r>
          </w:p>
          <w:p w14:paraId="4A17B935" w14:textId="43BBF807" w:rsidR="00B47442" w:rsidRPr="0009445C" w:rsidRDefault="00B47442" w:rsidP="0099521D">
            <w:pPr>
              <w:pStyle w:val="BRL-Tabelle"/>
              <w:keepNext/>
              <w:rPr>
                <w:rFonts w:eastAsia="Calibri"/>
              </w:rPr>
            </w:pPr>
            <w:r w:rsidRPr="0009445C">
              <w:t xml:space="preserve">L </w:t>
            </w:r>
            <w:r w:rsidR="00E56510">
              <w:tab/>
            </w:r>
            <w:r w:rsidRPr="0009445C">
              <w:t>Performance required as a value (In the case of fire dampers with only temperature sensitive probes (without motor) the durability is demonstrated with the 50 cycles of operational safety).</w:t>
            </w:r>
          </w:p>
          <w:p w14:paraId="0B28FEE6" w14:textId="77777777" w:rsidR="00B47442" w:rsidRPr="0009445C" w:rsidRDefault="00B47442" w:rsidP="0099521D">
            <w:pPr>
              <w:pStyle w:val="BRL-Tabelle"/>
              <w:keepNext/>
              <w:spacing w:after="60"/>
              <w:rPr>
                <w:rFonts w:eastAsia="Calibri"/>
              </w:rPr>
            </w:pPr>
            <w:r w:rsidRPr="0009445C">
              <w:sym w:font="Wingdings" w:char="F074"/>
            </w:r>
            <w:r w:rsidRPr="0009445C">
              <w:tab/>
              <w:t>see Table 5</w:t>
            </w:r>
          </w:p>
        </w:tc>
      </w:tr>
    </w:tbl>
    <w:p w14:paraId="0398B979" w14:textId="77777777" w:rsidR="00B47442" w:rsidRPr="0009445C" w:rsidRDefault="00B47442" w:rsidP="00B47442">
      <w:pPr>
        <w:autoSpaceDE w:val="0"/>
        <w:autoSpaceDN w:val="0"/>
        <w:adjustRightInd w:val="0"/>
        <w:rPr>
          <w:rFonts w:cs="Arial"/>
          <w:b/>
        </w:rPr>
      </w:pPr>
    </w:p>
    <w:p w14:paraId="150FF8D4" w14:textId="77777777" w:rsidR="00B47442" w:rsidRPr="0009445C" w:rsidRDefault="00B47442" w:rsidP="00B47442">
      <w:pPr>
        <w:pStyle w:val="BRL-Standard"/>
        <w:keepNext/>
        <w:spacing w:after="60"/>
        <w:rPr>
          <w:b/>
        </w:rPr>
      </w:pPr>
      <w:r w:rsidRPr="0009445C">
        <w:rPr>
          <w:b/>
        </w:rPr>
        <w:t>Table 5:</w:t>
      </w:r>
    </w:p>
    <w:tbl>
      <w:tblPr>
        <w:tblW w:w="918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8"/>
        <w:gridCol w:w="2694"/>
        <w:gridCol w:w="1701"/>
        <w:gridCol w:w="1842"/>
      </w:tblGrid>
      <w:tr w:rsidR="00B47442" w:rsidRPr="0009445C" w14:paraId="704E7CB8" w14:textId="77777777" w:rsidTr="0099521D">
        <w:trPr>
          <w:trHeight w:val="397"/>
        </w:trPr>
        <w:tc>
          <w:tcPr>
            <w:tcW w:w="9185" w:type="dxa"/>
            <w:gridSpan w:val="4"/>
            <w:shd w:val="clear" w:color="auto" w:fill="auto"/>
          </w:tcPr>
          <w:p w14:paraId="20C99464" w14:textId="0BB91DC0" w:rsidR="00B47442" w:rsidRPr="0009445C" w:rsidRDefault="00B47442" w:rsidP="0099521D">
            <w:pPr>
              <w:pStyle w:val="BRLTabelleberschrift"/>
            </w:pPr>
            <w:r w:rsidRPr="0009445C">
              <w:t>Fire dampers in accordance with EN 15650:2010</w:t>
            </w:r>
            <w:r w:rsidRPr="0009445C">
              <w:rPr>
                <w:rStyle w:val="FootnoteReference"/>
              </w:rPr>
              <w:fldChar w:fldCharType="begin"/>
            </w:r>
            <w:r w:rsidRPr="0009445C">
              <w:rPr>
                <w:rStyle w:val="FootnoteReference"/>
              </w:rPr>
              <w:instrText xml:space="preserve"> NOTEREF _Ref82183677 \h  \* MERGEFORMAT </w:instrText>
            </w:r>
            <w:r w:rsidRPr="0009445C">
              <w:rPr>
                <w:rStyle w:val="FootnoteReference"/>
              </w:rPr>
            </w:r>
            <w:r w:rsidRPr="0009445C">
              <w:rPr>
                <w:rStyle w:val="FootnoteReference"/>
              </w:rPr>
              <w:fldChar w:fldCharType="separate"/>
            </w:r>
            <w:r w:rsidR="0009445C" w:rsidRPr="0009445C">
              <w:rPr>
                <w:rStyle w:val="FootnoteReference"/>
              </w:rPr>
              <w:t>40</w:t>
            </w:r>
            <w:r w:rsidRPr="0009445C">
              <w:rPr>
                <w:rStyle w:val="FootnoteReference"/>
              </w:rPr>
              <w:fldChar w:fldCharType="end"/>
            </w:r>
          </w:p>
        </w:tc>
      </w:tr>
      <w:tr w:rsidR="00B47442" w:rsidRPr="0009445C" w14:paraId="7574969F" w14:textId="77777777" w:rsidTr="0099521D">
        <w:trPr>
          <w:trHeight w:val="340"/>
        </w:trPr>
        <w:tc>
          <w:tcPr>
            <w:tcW w:w="2948" w:type="dxa"/>
            <w:shd w:val="clear" w:color="auto" w:fill="auto"/>
          </w:tcPr>
          <w:p w14:paraId="0E13881F" w14:textId="77777777" w:rsidR="00B47442" w:rsidRPr="0009445C" w:rsidRDefault="00B47442" w:rsidP="0099521D">
            <w:pPr>
              <w:pStyle w:val="BRLTabelleberschrift"/>
              <w:rPr>
                <w:strike/>
              </w:rPr>
            </w:pPr>
          </w:p>
        </w:tc>
        <w:tc>
          <w:tcPr>
            <w:tcW w:w="6237" w:type="dxa"/>
            <w:gridSpan w:val="3"/>
            <w:shd w:val="clear" w:color="auto" w:fill="auto"/>
          </w:tcPr>
          <w:p w14:paraId="1E59C8AF" w14:textId="77777777" w:rsidR="00B47442" w:rsidRPr="0009445C" w:rsidRDefault="00B47442" w:rsidP="0099521D">
            <w:pPr>
              <w:pStyle w:val="BRLTabelleberschrift"/>
              <w:jc w:val="center"/>
            </w:pPr>
            <w:r w:rsidRPr="0009445C">
              <w:t>Minimum required performances</w:t>
            </w:r>
          </w:p>
        </w:tc>
      </w:tr>
      <w:tr w:rsidR="00B47442" w:rsidRPr="0009445C" w14:paraId="47454B5A" w14:textId="77777777" w:rsidTr="0099521D">
        <w:trPr>
          <w:trHeight w:val="510"/>
        </w:trPr>
        <w:tc>
          <w:tcPr>
            <w:tcW w:w="2948" w:type="dxa"/>
            <w:shd w:val="clear" w:color="auto" w:fill="auto"/>
            <w:vAlign w:val="center"/>
          </w:tcPr>
          <w:p w14:paraId="14C342AE" w14:textId="77777777" w:rsidR="00B47442" w:rsidRPr="0009445C" w:rsidRDefault="00B47442" w:rsidP="0099521D">
            <w:pPr>
              <w:pStyle w:val="BRLTabelleberschrift"/>
            </w:pPr>
            <w:r w:rsidRPr="0009445C">
              <w:t xml:space="preserve">Building inspection </w:t>
            </w:r>
          </w:p>
          <w:p w14:paraId="21E1DCDD" w14:textId="77777777" w:rsidR="00B47442" w:rsidRPr="0009445C" w:rsidRDefault="00B47442" w:rsidP="0099521D">
            <w:pPr>
              <w:pStyle w:val="BRLTabelleberschrift"/>
            </w:pPr>
            <w:r w:rsidRPr="0009445C">
              <w:t xml:space="preserve">Requirement </w:t>
            </w:r>
          </w:p>
        </w:tc>
        <w:tc>
          <w:tcPr>
            <w:tcW w:w="2694" w:type="dxa"/>
            <w:shd w:val="clear" w:color="auto" w:fill="auto"/>
            <w:vAlign w:val="center"/>
          </w:tcPr>
          <w:p w14:paraId="70E2C0FB" w14:textId="77777777" w:rsidR="00B47442" w:rsidRPr="0009445C" w:rsidRDefault="00B47442" w:rsidP="0099521D">
            <w:pPr>
              <w:pStyle w:val="BRLTabelleberschrift"/>
            </w:pPr>
            <w:r w:rsidRPr="0009445C">
              <w:t>Fire resistance</w:t>
            </w:r>
          </w:p>
        </w:tc>
        <w:tc>
          <w:tcPr>
            <w:tcW w:w="3543" w:type="dxa"/>
            <w:gridSpan w:val="2"/>
            <w:shd w:val="clear" w:color="auto" w:fill="auto"/>
            <w:vAlign w:val="center"/>
          </w:tcPr>
          <w:p w14:paraId="46124DF3" w14:textId="77777777" w:rsidR="00B47442" w:rsidRPr="0009445C" w:rsidRDefault="00B47442" w:rsidP="0099521D">
            <w:pPr>
              <w:pStyle w:val="BRLTabelleberschrift"/>
            </w:pPr>
            <w:r w:rsidRPr="0009445C">
              <w:t>Fire performance</w:t>
            </w:r>
          </w:p>
        </w:tc>
      </w:tr>
      <w:tr w:rsidR="00B47442" w:rsidRPr="0009445C" w14:paraId="29B56AAA" w14:textId="77777777" w:rsidTr="0099521D">
        <w:tc>
          <w:tcPr>
            <w:tcW w:w="2948" w:type="dxa"/>
            <w:shd w:val="clear" w:color="auto" w:fill="auto"/>
            <w:vAlign w:val="center"/>
          </w:tcPr>
          <w:p w14:paraId="4868A100" w14:textId="77777777" w:rsidR="00B47442" w:rsidRPr="0009445C" w:rsidRDefault="00B47442" w:rsidP="0099521D">
            <w:pPr>
              <w:pStyle w:val="BRL-Tabelle"/>
              <w:keepNext/>
            </w:pPr>
          </w:p>
        </w:tc>
        <w:tc>
          <w:tcPr>
            <w:tcW w:w="2694" w:type="dxa"/>
            <w:shd w:val="clear" w:color="auto" w:fill="auto"/>
            <w:vAlign w:val="center"/>
          </w:tcPr>
          <w:p w14:paraId="70F546A7" w14:textId="77777777" w:rsidR="00B47442" w:rsidRPr="0009445C" w:rsidRDefault="00B47442" w:rsidP="0099521D">
            <w:pPr>
              <w:pStyle w:val="BRL-Tabelle"/>
              <w:keepNext/>
            </w:pPr>
          </w:p>
        </w:tc>
        <w:tc>
          <w:tcPr>
            <w:tcW w:w="1701" w:type="dxa"/>
            <w:shd w:val="clear" w:color="auto" w:fill="auto"/>
            <w:vAlign w:val="center"/>
          </w:tcPr>
          <w:p w14:paraId="19921E74" w14:textId="54A027A9" w:rsidR="00B47442" w:rsidRPr="0009445C" w:rsidRDefault="00B47442" w:rsidP="00036A8E">
            <w:pPr>
              <w:pStyle w:val="BRL-Tabelle"/>
              <w:keepNext/>
              <w:jc w:val="center"/>
            </w:pPr>
            <w:r w:rsidRPr="0009445C">
              <w:t>Housing,</w:t>
            </w:r>
            <w:r w:rsidRPr="0009445C">
              <w:br/>
              <w:t>switch-off valve</w:t>
            </w:r>
          </w:p>
        </w:tc>
        <w:tc>
          <w:tcPr>
            <w:tcW w:w="1842" w:type="dxa"/>
            <w:shd w:val="clear" w:color="auto" w:fill="auto"/>
            <w:vAlign w:val="center"/>
          </w:tcPr>
          <w:p w14:paraId="41C7D14E" w14:textId="17A3B590" w:rsidR="00B47442" w:rsidRPr="0009445C" w:rsidRDefault="00B47442" w:rsidP="00036A8E">
            <w:pPr>
              <w:pStyle w:val="BRL-Tabelle"/>
              <w:keepNext/>
              <w:jc w:val="center"/>
            </w:pPr>
            <w:r w:rsidRPr="0009445C">
              <w:t>Other</w:t>
            </w:r>
            <w:r w:rsidRPr="0009445C">
              <w:br/>
              <w:t>structural elements</w:t>
            </w:r>
          </w:p>
        </w:tc>
      </w:tr>
      <w:tr w:rsidR="00B47442" w:rsidRPr="0009445C" w14:paraId="70C0B049" w14:textId="77777777" w:rsidTr="0099521D">
        <w:tc>
          <w:tcPr>
            <w:tcW w:w="2948" w:type="dxa"/>
            <w:shd w:val="clear" w:color="auto" w:fill="auto"/>
            <w:vAlign w:val="center"/>
          </w:tcPr>
          <w:p w14:paraId="2FC9C09E" w14:textId="77777777" w:rsidR="00B47442" w:rsidRPr="0009445C" w:rsidRDefault="00B47442" w:rsidP="0099521D">
            <w:pPr>
              <w:pStyle w:val="BRL-Tabelle"/>
              <w:keepNext/>
              <w:spacing w:before="60" w:after="40"/>
            </w:pPr>
            <w:r w:rsidRPr="0009445C">
              <w:t>Fire-retardant</w:t>
            </w:r>
          </w:p>
        </w:tc>
        <w:tc>
          <w:tcPr>
            <w:tcW w:w="2694" w:type="dxa"/>
            <w:shd w:val="clear" w:color="auto" w:fill="auto"/>
            <w:vAlign w:val="center"/>
          </w:tcPr>
          <w:p w14:paraId="69EF4476" w14:textId="77777777" w:rsidR="00B47442" w:rsidRPr="0009445C" w:rsidRDefault="00B47442" w:rsidP="0099521D">
            <w:pPr>
              <w:pStyle w:val="BRL-Tabelle"/>
              <w:keepNext/>
              <w:spacing w:before="60" w:after="40"/>
            </w:pPr>
            <w:r w:rsidRPr="0009445C">
              <w:t>EI 30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w:t>
            </w:r>
            <w:r w:rsidRPr="0009445C">
              <w:noBreakHyphen/>
              <w:t>S</w:t>
            </w:r>
          </w:p>
        </w:tc>
        <w:tc>
          <w:tcPr>
            <w:tcW w:w="1701" w:type="dxa"/>
            <w:vMerge w:val="restart"/>
            <w:shd w:val="clear" w:color="auto" w:fill="auto"/>
            <w:vAlign w:val="center"/>
          </w:tcPr>
          <w:p w14:paraId="1B22659F" w14:textId="77777777" w:rsidR="00B47442" w:rsidRPr="0009445C" w:rsidRDefault="00B47442" w:rsidP="0099521D">
            <w:pPr>
              <w:pStyle w:val="BRL-Tabelle"/>
              <w:keepNext/>
              <w:spacing w:before="60" w:after="40"/>
              <w:jc w:val="center"/>
            </w:pPr>
            <w:r w:rsidRPr="0009445C">
              <w:t>A 2-s1,d0</w:t>
            </w:r>
          </w:p>
        </w:tc>
        <w:tc>
          <w:tcPr>
            <w:tcW w:w="1842" w:type="dxa"/>
            <w:vMerge w:val="restart"/>
            <w:shd w:val="clear" w:color="auto" w:fill="auto"/>
            <w:vAlign w:val="center"/>
          </w:tcPr>
          <w:p w14:paraId="11A136D1" w14:textId="77777777" w:rsidR="00B47442" w:rsidRPr="0009445C" w:rsidRDefault="00B47442" w:rsidP="0099521D">
            <w:pPr>
              <w:pStyle w:val="BRL-Tabelle"/>
              <w:keepNext/>
              <w:spacing w:before="60" w:after="40"/>
              <w:jc w:val="center"/>
            </w:pPr>
            <w:r w:rsidRPr="0009445C">
              <w:t>E-d2</w:t>
            </w:r>
          </w:p>
        </w:tc>
      </w:tr>
      <w:tr w:rsidR="00B47442" w:rsidRPr="0009445C" w14:paraId="1A0273AD" w14:textId="77777777" w:rsidTr="0099521D">
        <w:tc>
          <w:tcPr>
            <w:tcW w:w="2948" w:type="dxa"/>
            <w:shd w:val="clear" w:color="auto" w:fill="auto"/>
            <w:vAlign w:val="center"/>
          </w:tcPr>
          <w:p w14:paraId="2B37E1D9" w14:textId="77777777" w:rsidR="00B47442" w:rsidRPr="0009445C" w:rsidRDefault="00B47442" w:rsidP="0099521D">
            <w:pPr>
              <w:pStyle w:val="BRL-Tabelle"/>
              <w:keepNext/>
              <w:spacing w:before="60" w:after="40"/>
            </w:pPr>
            <w:r w:rsidRPr="0009445C">
              <w:t>Highly fire-retardant</w:t>
            </w:r>
          </w:p>
        </w:tc>
        <w:tc>
          <w:tcPr>
            <w:tcW w:w="2694" w:type="dxa"/>
            <w:shd w:val="clear" w:color="auto" w:fill="auto"/>
            <w:vAlign w:val="center"/>
          </w:tcPr>
          <w:p w14:paraId="19E00917" w14:textId="77777777" w:rsidR="00B47442" w:rsidRPr="0009445C" w:rsidRDefault="00B47442" w:rsidP="0099521D">
            <w:pPr>
              <w:pStyle w:val="BRL-Tabelle"/>
              <w:keepNext/>
              <w:spacing w:before="60" w:after="40"/>
            </w:pPr>
            <w:r w:rsidRPr="0009445C">
              <w:t>EI 60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w:t>
            </w:r>
            <w:r w:rsidRPr="0009445C">
              <w:noBreakHyphen/>
              <w:t>S</w:t>
            </w:r>
          </w:p>
        </w:tc>
        <w:tc>
          <w:tcPr>
            <w:tcW w:w="1701" w:type="dxa"/>
            <w:vMerge/>
            <w:shd w:val="clear" w:color="auto" w:fill="auto"/>
          </w:tcPr>
          <w:p w14:paraId="42C9873B" w14:textId="77777777" w:rsidR="00B47442" w:rsidRPr="0009445C" w:rsidRDefault="00B47442" w:rsidP="0099521D">
            <w:pPr>
              <w:pStyle w:val="BRL-Tabelle"/>
              <w:keepNext/>
              <w:spacing w:before="60" w:after="40"/>
            </w:pPr>
          </w:p>
        </w:tc>
        <w:tc>
          <w:tcPr>
            <w:tcW w:w="1842" w:type="dxa"/>
            <w:vMerge/>
            <w:shd w:val="clear" w:color="auto" w:fill="auto"/>
          </w:tcPr>
          <w:p w14:paraId="4855AE09" w14:textId="77777777" w:rsidR="00B47442" w:rsidRPr="0009445C" w:rsidRDefault="00B47442" w:rsidP="0099521D">
            <w:pPr>
              <w:pStyle w:val="BRL-Tabelle"/>
              <w:keepNext/>
              <w:spacing w:before="60" w:after="40"/>
            </w:pPr>
          </w:p>
        </w:tc>
      </w:tr>
      <w:tr w:rsidR="00B47442" w:rsidRPr="0009445C" w14:paraId="00AF81AC" w14:textId="77777777" w:rsidTr="0099521D">
        <w:tc>
          <w:tcPr>
            <w:tcW w:w="2948" w:type="dxa"/>
            <w:shd w:val="clear" w:color="auto" w:fill="auto"/>
            <w:vAlign w:val="center"/>
          </w:tcPr>
          <w:p w14:paraId="6B1C769B" w14:textId="77777777" w:rsidR="00B47442" w:rsidRPr="0009445C" w:rsidRDefault="00B47442" w:rsidP="0099521D">
            <w:pPr>
              <w:pStyle w:val="BRL-Tabelle"/>
              <w:keepNext/>
              <w:spacing w:before="60" w:after="40"/>
            </w:pPr>
            <w:r w:rsidRPr="0009445C">
              <w:t>Fire-resistant</w:t>
            </w:r>
          </w:p>
        </w:tc>
        <w:tc>
          <w:tcPr>
            <w:tcW w:w="2694" w:type="dxa"/>
            <w:shd w:val="clear" w:color="auto" w:fill="auto"/>
            <w:vAlign w:val="center"/>
          </w:tcPr>
          <w:p w14:paraId="3DFF1271" w14:textId="77777777" w:rsidR="00B47442" w:rsidRPr="0009445C" w:rsidRDefault="00B47442" w:rsidP="0099521D">
            <w:pPr>
              <w:pStyle w:val="BRL-Tabelle"/>
              <w:keepNext/>
              <w:spacing w:before="60" w:after="40"/>
            </w:pPr>
            <w:r w:rsidRPr="0009445C">
              <w:t>EI 90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w:t>
            </w:r>
            <w:r w:rsidRPr="0009445C">
              <w:noBreakHyphen/>
              <w:t>S</w:t>
            </w:r>
          </w:p>
        </w:tc>
        <w:tc>
          <w:tcPr>
            <w:tcW w:w="1701" w:type="dxa"/>
            <w:vMerge/>
            <w:shd w:val="clear" w:color="auto" w:fill="auto"/>
          </w:tcPr>
          <w:p w14:paraId="7D7355E2" w14:textId="77777777" w:rsidR="00B47442" w:rsidRPr="0009445C" w:rsidRDefault="00B47442" w:rsidP="0099521D">
            <w:pPr>
              <w:pStyle w:val="BRL-Tabelle"/>
              <w:keepNext/>
              <w:spacing w:before="60" w:after="40"/>
            </w:pPr>
          </w:p>
        </w:tc>
        <w:tc>
          <w:tcPr>
            <w:tcW w:w="1842" w:type="dxa"/>
            <w:vMerge/>
            <w:shd w:val="clear" w:color="auto" w:fill="auto"/>
          </w:tcPr>
          <w:p w14:paraId="4CB2C154" w14:textId="77777777" w:rsidR="00B47442" w:rsidRPr="0009445C" w:rsidRDefault="00B47442" w:rsidP="0099521D">
            <w:pPr>
              <w:pStyle w:val="BRL-Tabelle"/>
              <w:keepNext/>
              <w:spacing w:before="60" w:after="40"/>
            </w:pPr>
          </w:p>
        </w:tc>
      </w:tr>
      <w:tr w:rsidR="00B47442" w:rsidRPr="0009445C" w14:paraId="644F2A1E" w14:textId="77777777" w:rsidTr="0099521D">
        <w:tc>
          <w:tcPr>
            <w:tcW w:w="2948" w:type="dxa"/>
            <w:shd w:val="clear" w:color="auto" w:fill="auto"/>
            <w:vAlign w:val="center"/>
          </w:tcPr>
          <w:p w14:paraId="680E41E7" w14:textId="77777777" w:rsidR="00B47442" w:rsidRPr="0009445C" w:rsidRDefault="00B47442" w:rsidP="0099521D">
            <w:pPr>
              <w:pStyle w:val="BRL-Tabelle"/>
              <w:keepNext/>
              <w:spacing w:before="60" w:after="40"/>
            </w:pPr>
            <w:r w:rsidRPr="0009445C">
              <w:t>Fire resistance of 120 minutes</w:t>
            </w:r>
          </w:p>
        </w:tc>
        <w:tc>
          <w:tcPr>
            <w:tcW w:w="2694" w:type="dxa"/>
            <w:shd w:val="clear" w:color="auto" w:fill="auto"/>
            <w:vAlign w:val="center"/>
          </w:tcPr>
          <w:p w14:paraId="06033162" w14:textId="77777777" w:rsidR="00B47442" w:rsidRPr="0009445C" w:rsidRDefault="00B47442" w:rsidP="0099521D">
            <w:pPr>
              <w:pStyle w:val="BRL-Tabelle"/>
              <w:keepNext/>
              <w:spacing w:before="60" w:after="40"/>
            </w:pPr>
            <w:r w:rsidRPr="0009445C">
              <w:t>EI 120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w:t>
            </w:r>
            <w:r w:rsidRPr="0009445C">
              <w:noBreakHyphen/>
              <w:t>S</w:t>
            </w:r>
          </w:p>
        </w:tc>
        <w:tc>
          <w:tcPr>
            <w:tcW w:w="1701" w:type="dxa"/>
            <w:vMerge/>
            <w:shd w:val="clear" w:color="auto" w:fill="auto"/>
          </w:tcPr>
          <w:p w14:paraId="438A4236" w14:textId="77777777" w:rsidR="00B47442" w:rsidRPr="0009445C" w:rsidRDefault="00B47442" w:rsidP="0099521D">
            <w:pPr>
              <w:pStyle w:val="BRL-Tabelle"/>
              <w:keepNext/>
              <w:spacing w:before="60" w:after="40"/>
            </w:pPr>
          </w:p>
        </w:tc>
        <w:tc>
          <w:tcPr>
            <w:tcW w:w="1842" w:type="dxa"/>
            <w:vMerge/>
            <w:shd w:val="clear" w:color="auto" w:fill="auto"/>
          </w:tcPr>
          <w:p w14:paraId="2A1AE1A4" w14:textId="77777777" w:rsidR="00B47442" w:rsidRPr="0009445C" w:rsidRDefault="00B47442" w:rsidP="0099521D">
            <w:pPr>
              <w:pStyle w:val="BRL-Tabelle"/>
              <w:keepNext/>
              <w:spacing w:before="60" w:after="40"/>
            </w:pPr>
          </w:p>
        </w:tc>
      </w:tr>
    </w:tbl>
    <w:p w14:paraId="4C0F9D0F" w14:textId="77777777" w:rsidR="00B47442" w:rsidRPr="0009445C" w:rsidRDefault="00B47442" w:rsidP="00B47442">
      <w:pPr>
        <w:pStyle w:val="BRL-Standard"/>
      </w:pPr>
    </w:p>
    <w:p w14:paraId="0E093254" w14:textId="77777777" w:rsidR="00B47442" w:rsidRPr="0009445C" w:rsidRDefault="00B47442" w:rsidP="00B47442">
      <w:pPr>
        <w:pStyle w:val="BRL-Standard"/>
        <w:keepNext/>
        <w:spacing w:after="60"/>
        <w:rPr>
          <w:b/>
        </w:rPr>
      </w:pPr>
      <w:r w:rsidRPr="0009445C">
        <w:rPr>
          <w:b/>
        </w:rPr>
        <w:t>Table 6:</w:t>
      </w:r>
    </w:p>
    <w:tbl>
      <w:tblPr>
        <w:tblW w:w="9076" w:type="dxa"/>
        <w:tblBorders>
          <w:insideH w:val="single" w:sz="2" w:space="0" w:color="595959"/>
          <w:insideV w:val="single" w:sz="2" w:space="0" w:color="595959"/>
        </w:tblBorders>
        <w:shd w:val="clear" w:color="auto" w:fill="FFFFFF"/>
        <w:tblCellMar>
          <w:left w:w="0" w:type="dxa"/>
          <w:right w:w="0" w:type="dxa"/>
        </w:tblCellMar>
        <w:tblLook w:val="04E0" w:firstRow="1" w:lastRow="1" w:firstColumn="1" w:lastColumn="0" w:noHBand="0" w:noVBand="1"/>
      </w:tblPr>
      <w:tblGrid>
        <w:gridCol w:w="3421"/>
        <w:gridCol w:w="3247"/>
        <w:gridCol w:w="2408"/>
      </w:tblGrid>
      <w:tr w:rsidR="00B47442" w:rsidRPr="0009445C" w14:paraId="4F639F94" w14:textId="77777777" w:rsidTr="0099521D">
        <w:trPr>
          <w:cantSplit/>
        </w:trPr>
        <w:tc>
          <w:tcPr>
            <w:tcW w:w="9076" w:type="dxa"/>
            <w:gridSpan w:val="3"/>
            <w:tcBorders>
              <w:top w:val="single" w:sz="2" w:space="0" w:color="auto"/>
              <w:left w:val="single" w:sz="2" w:space="0" w:color="auto"/>
              <w:bottom w:val="single" w:sz="2" w:space="0" w:color="auto"/>
              <w:right w:val="single" w:sz="2" w:space="0" w:color="auto"/>
              <w:tl2br w:val="nil"/>
              <w:tr2bl w:val="nil"/>
            </w:tcBorders>
            <w:shd w:val="clear" w:color="auto" w:fill="FFFFFF"/>
          </w:tcPr>
          <w:p w14:paraId="11DC66E2" w14:textId="77777777" w:rsidR="00B47442" w:rsidRPr="0009445C" w:rsidRDefault="00B47442" w:rsidP="0099521D">
            <w:pPr>
              <w:pStyle w:val="BRLTabelleberschrift"/>
              <w:spacing w:before="60" w:after="40"/>
              <w:ind w:left="1417" w:right="113" w:hanging="1270"/>
              <w:rPr>
                <w:b w:val="0"/>
                <w:color w:val="000000"/>
              </w:rPr>
            </w:pPr>
            <w:r w:rsidRPr="0009445C">
              <w:rPr>
                <w:color w:val="000000"/>
              </w:rPr>
              <w:t>Fire resistant ventilation ducts</w:t>
            </w:r>
          </w:p>
        </w:tc>
      </w:tr>
      <w:tr w:rsidR="00B47442" w:rsidRPr="0009445C" w14:paraId="2EC6F97E" w14:textId="77777777" w:rsidTr="0099521D">
        <w:trPr>
          <w:cantSplit/>
          <w:trHeight w:val="283"/>
        </w:trPr>
        <w:tc>
          <w:tcPr>
            <w:tcW w:w="3421" w:type="dxa"/>
            <w:tcBorders>
              <w:top w:val="single" w:sz="2" w:space="0" w:color="auto"/>
              <w:left w:val="single" w:sz="2" w:space="0" w:color="auto"/>
              <w:bottom w:val="single" w:sz="2" w:space="0" w:color="auto"/>
              <w:right w:val="single" w:sz="2" w:space="0" w:color="auto"/>
            </w:tcBorders>
            <w:shd w:val="clear" w:color="auto" w:fill="FFFFFF"/>
          </w:tcPr>
          <w:p w14:paraId="3BEDC270" w14:textId="77777777" w:rsidR="00B47442" w:rsidRPr="0009445C" w:rsidRDefault="00B47442" w:rsidP="0099521D">
            <w:pPr>
              <w:pStyle w:val="BRLTabelleberschrift"/>
              <w:ind w:right="113"/>
              <w:rPr>
                <w:strike/>
              </w:rPr>
            </w:pPr>
          </w:p>
        </w:tc>
        <w:tc>
          <w:tcPr>
            <w:tcW w:w="5655" w:type="dxa"/>
            <w:gridSpan w:val="2"/>
            <w:tcBorders>
              <w:top w:val="single" w:sz="2" w:space="0" w:color="auto"/>
              <w:left w:val="single" w:sz="2" w:space="0" w:color="auto"/>
              <w:bottom w:val="single" w:sz="2" w:space="0" w:color="auto"/>
              <w:right w:val="single" w:sz="2" w:space="0" w:color="auto"/>
            </w:tcBorders>
            <w:shd w:val="clear" w:color="auto" w:fill="FFFFFF"/>
          </w:tcPr>
          <w:p w14:paraId="2B491C14" w14:textId="77777777" w:rsidR="00B47442" w:rsidRPr="0009445C" w:rsidRDefault="00B47442" w:rsidP="0099521D">
            <w:pPr>
              <w:pStyle w:val="BRLTabelleberschrift"/>
              <w:ind w:right="113"/>
              <w:jc w:val="center"/>
            </w:pPr>
            <w:r w:rsidRPr="0009445C">
              <w:t>Minimum necessary</w:t>
            </w:r>
          </w:p>
        </w:tc>
      </w:tr>
      <w:tr w:rsidR="00B47442" w:rsidRPr="0009445C" w14:paraId="08D93A8B" w14:textId="77777777" w:rsidTr="0099521D">
        <w:trPr>
          <w:cantSplit/>
          <w:trHeight w:val="794"/>
        </w:trPr>
        <w:tc>
          <w:tcPr>
            <w:tcW w:w="3421" w:type="dxa"/>
            <w:tcBorders>
              <w:top w:val="single" w:sz="2" w:space="0" w:color="auto"/>
              <w:left w:val="single" w:sz="2" w:space="0" w:color="auto"/>
              <w:bottom w:val="single" w:sz="2" w:space="0" w:color="auto"/>
              <w:right w:val="single" w:sz="2" w:space="0" w:color="auto"/>
            </w:tcBorders>
            <w:shd w:val="clear" w:color="auto" w:fill="FFFFFF"/>
          </w:tcPr>
          <w:p w14:paraId="225E2287" w14:textId="77777777" w:rsidR="00B47442" w:rsidRPr="0009445C" w:rsidRDefault="00B47442" w:rsidP="0099521D">
            <w:pPr>
              <w:pStyle w:val="BRLTabelleberschrift"/>
              <w:ind w:right="113" w:hanging="1271"/>
            </w:pPr>
            <w:r w:rsidRPr="0009445C">
              <w:t>Building approval requirement</w:t>
            </w:r>
            <w:r w:rsidRPr="0009445C">
              <w:rPr>
                <w:strike/>
              </w:rPr>
              <w:t xml:space="preserve"> </w:t>
            </w:r>
          </w:p>
        </w:tc>
        <w:tc>
          <w:tcPr>
            <w:tcW w:w="3247" w:type="dxa"/>
            <w:tcBorders>
              <w:top w:val="single" w:sz="2" w:space="0" w:color="auto"/>
              <w:left w:val="single" w:sz="2" w:space="0" w:color="auto"/>
              <w:bottom w:val="single" w:sz="2" w:space="0" w:color="auto"/>
              <w:right w:val="single" w:sz="2" w:space="0" w:color="auto"/>
            </w:tcBorders>
            <w:shd w:val="clear" w:color="auto" w:fill="FFFFFF"/>
          </w:tcPr>
          <w:p w14:paraId="195AF08D" w14:textId="1E164E97" w:rsidR="00B47442" w:rsidRPr="0009445C" w:rsidRDefault="00B47442" w:rsidP="00036A8E">
            <w:pPr>
              <w:pStyle w:val="BRLTabelleberschrift"/>
              <w:tabs>
                <w:tab w:val="clear" w:pos="851"/>
              </w:tabs>
              <w:ind w:left="124" w:right="113" w:firstLine="4"/>
            </w:pPr>
            <w:r w:rsidRPr="0009445C">
              <w:t>Fire-resistance class pursuant to DIN 4102-6:1977-09 and possibly DIN V 4102-21:2002-08</w:t>
            </w:r>
          </w:p>
        </w:tc>
        <w:tc>
          <w:tcPr>
            <w:tcW w:w="2408" w:type="dxa"/>
            <w:tcBorders>
              <w:top w:val="single" w:sz="2" w:space="0" w:color="auto"/>
              <w:left w:val="single" w:sz="2" w:space="0" w:color="auto"/>
              <w:bottom w:val="single" w:sz="2" w:space="0" w:color="auto"/>
              <w:right w:val="single" w:sz="2" w:space="0" w:color="auto"/>
            </w:tcBorders>
            <w:shd w:val="clear" w:color="auto" w:fill="FFFFFF"/>
          </w:tcPr>
          <w:p w14:paraId="16DF1FF2" w14:textId="01602F73" w:rsidR="00B47442" w:rsidRPr="0009445C" w:rsidRDefault="00B47442" w:rsidP="00036A8E">
            <w:pPr>
              <w:pStyle w:val="BRLTabelleberschrift"/>
              <w:tabs>
                <w:tab w:val="clear" w:pos="851"/>
              </w:tabs>
              <w:ind w:left="129" w:right="113" w:firstLine="12"/>
            </w:pPr>
            <w:r w:rsidRPr="0009445C">
              <w:t>Building material class pursuant to DIN 4102-1:1998-05</w:t>
            </w:r>
          </w:p>
        </w:tc>
      </w:tr>
      <w:tr w:rsidR="00B47442" w:rsidRPr="0009445C" w14:paraId="04987C53" w14:textId="77777777" w:rsidTr="0099521D">
        <w:trPr>
          <w:cantSplit/>
        </w:trPr>
        <w:tc>
          <w:tcPr>
            <w:tcW w:w="3421" w:type="dxa"/>
            <w:tcBorders>
              <w:top w:val="single" w:sz="2" w:space="0" w:color="auto"/>
              <w:left w:val="single" w:sz="2" w:space="0" w:color="auto"/>
              <w:bottom w:val="single" w:sz="2" w:space="0" w:color="auto"/>
              <w:right w:val="single" w:sz="2" w:space="0" w:color="auto"/>
            </w:tcBorders>
            <w:shd w:val="clear" w:color="auto" w:fill="FFFFFF"/>
          </w:tcPr>
          <w:p w14:paraId="10A79FBF" w14:textId="77777777" w:rsidR="00B47442" w:rsidRPr="0009445C" w:rsidRDefault="00B47442" w:rsidP="0099521D">
            <w:pPr>
              <w:pStyle w:val="BRL-Tabelle"/>
              <w:keepNext/>
              <w:spacing w:before="60" w:after="40"/>
              <w:ind w:left="113" w:right="113"/>
            </w:pPr>
            <w:r w:rsidRPr="0009445C">
              <w:t>Fire-retardant</w:t>
            </w:r>
          </w:p>
        </w:tc>
        <w:tc>
          <w:tcPr>
            <w:tcW w:w="3247" w:type="dxa"/>
            <w:tcBorders>
              <w:top w:val="single" w:sz="2" w:space="0" w:color="auto"/>
              <w:left w:val="single" w:sz="2" w:space="0" w:color="auto"/>
              <w:bottom w:val="single" w:sz="2" w:space="0" w:color="auto"/>
              <w:right w:val="single" w:sz="2" w:space="0" w:color="auto"/>
            </w:tcBorders>
            <w:shd w:val="clear" w:color="auto" w:fill="FFFFFF"/>
          </w:tcPr>
          <w:p w14:paraId="09A80D2D" w14:textId="77777777" w:rsidR="00B47442" w:rsidRPr="0009445C" w:rsidRDefault="00B47442" w:rsidP="0099521D">
            <w:pPr>
              <w:pStyle w:val="BRL-Tabelle"/>
              <w:keepNext/>
              <w:spacing w:before="60" w:after="40"/>
              <w:ind w:left="113" w:right="113"/>
              <w:jc w:val="center"/>
            </w:pPr>
            <w:r w:rsidRPr="0009445C">
              <w:t>L 30</w:t>
            </w:r>
          </w:p>
        </w:tc>
        <w:tc>
          <w:tcPr>
            <w:tcW w:w="2408" w:type="dxa"/>
            <w:tcBorders>
              <w:top w:val="single" w:sz="2" w:space="0" w:color="auto"/>
              <w:left w:val="single" w:sz="2" w:space="0" w:color="auto"/>
              <w:bottom w:val="single" w:sz="2" w:space="0" w:color="auto"/>
              <w:right w:val="single" w:sz="2" w:space="0" w:color="auto"/>
            </w:tcBorders>
            <w:shd w:val="clear" w:color="auto" w:fill="FFFFFF"/>
          </w:tcPr>
          <w:p w14:paraId="0F0E1FF6" w14:textId="77777777" w:rsidR="00B47442" w:rsidRPr="0009445C" w:rsidRDefault="00B47442" w:rsidP="0099521D">
            <w:pPr>
              <w:pStyle w:val="BRL-Tabelle"/>
              <w:keepNext/>
              <w:spacing w:before="60" w:after="40"/>
              <w:ind w:left="113" w:right="113"/>
              <w:jc w:val="center"/>
            </w:pPr>
            <w:r w:rsidRPr="0009445C">
              <w:t>A2</w:t>
            </w:r>
          </w:p>
          <w:p w14:paraId="2BECE514" w14:textId="77777777" w:rsidR="00B47442" w:rsidRPr="0009445C" w:rsidRDefault="00B47442" w:rsidP="0099521D">
            <w:pPr>
              <w:pStyle w:val="BRL-Tabelle"/>
              <w:keepNext/>
              <w:spacing w:before="60" w:after="40"/>
              <w:ind w:left="113" w:right="113"/>
              <w:jc w:val="center"/>
            </w:pPr>
            <w:r w:rsidRPr="0009445C">
              <w:t>by way of deviation from A 2.2.1.11, Section 3.2:</w:t>
            </w:r>
          </w:p>
          <w:p w14:paraId="3A1CF965" w14:textId="77777777" w:rsidR="00B47442" w:rsidRPr="0009445C" w:rsidRDefault="00B47442" w:rsidP="0099521D">
            <w:pPr>
              <w:pStyle w:val="BRL-Tabelle"/>
              <w:keepNext/>
              <w:spacing w:before="60" w:after="40"/>
              <w:ind w:left="113" w:right="113"/>
              <w:jc w:val="center"/>
              <w:rPr>
                <w:strike/>
              </w:rPr>
            </w:pPr>
            <w:r w:rsidRPr="0009445C">
              <w:t>B1</w:t>
            </w:r>
          </w:p>
        </w:tc>
      </w:tr>
      <w:tr w:rsidR="00B47442" w:rsidRPr="0009445C" w14:paraId="25EFDBDE" w14:textId="77777777" w:rsidTr="0099521D">
        <w:trPr>
          <w:cantSplit/>
        </w:trPr>
        <w:tc>
          <w:tcPr>
            <w:tcW w:w="3421" w:type="dxa"/>
            <w:tcBorders>
              <w:top w:val="single" w:sz="2" w:space="0" w:color="auto"/>
              <w:left w:val="single" w:sz="2" w:space="0" w:color="auto"/>
              <w:bottom w:val="single" w:sz="2" w:space="0" w:color="auto"/>
              <w:right w:val="single" w:sz="2" w:space="0" w:color="auto"/>
            </w:tcBorders>
            <w:shd w:val="clear" w:color="auto" w:fill="FFFFFF"/>
          </w:tcPr>
          <w:p w14:paraId="68E62D74" w14:textId="77777777" w:rsidR="00B47442" w:rsidRPr="0009445C" w:rsidRDefault="00B47442" w:rsidP="0099521D">
            <w:pPr>
              <w:pStyle w:val="BRL-Tabelle"/>
              <w:keepNext/>
              <w:spacing w:before="60" w:after="40"/>
              <w:ind w:left="113" w:right="113"/>
            </w:pPr>
            <w:r w:rsidRPr="0009445C">
              <w:t>Highly fire-retardant</w:t>
            </w:r>
          </w:p>
        </w:tc>
        <w:tc>
          <w:tcPr>
            <w:tcW w:w="3247" w:type="dxa"/>
            <w:tcBorders>
              <w:top w:val="single" w:sz="2" w:space="0" w:color="auto"/>
              <w:left w:val="single" w:sz="2" w:space="0" w:color="auto"/>
              <w:bottom w:val="single" w:sz="2" w:space="0" w:color="auto"/>
              <w:right w:val="single" w:sz="2" w:space="0" w:color="auto"/>
            </w:tcBorders>
            <w:shd w:val="clear" w:color="auto" w:fill="FFFFFF"/>
          </w:tcPr>
          <w:p w14:paraId="616AA8E9" w14:textId="77777777" w:rsidR="00B47442" w:rsidRPr="0009445C" w:rsidRDefault="00B47442" w:rsidP="0099521D">
            <w:pPr>
              <w:pStyle w:val="BRL-Tabelle"/>
              <w:keepNext/>
              <w:spacing w:before="60" w:after="40"/>
              <w:ind w:left="113" w:right="113"/>
              <w:jc w:val="center"/>
            </w:pPr>
            <w:r w:rsidRPr="0009445C">
              <w:t>L 60</w:t>
            </w:r>
          </w:p>
        </w:tc>
        <w:tc>
          <w:tcPr>
            <w:tcW w:w="2408"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53DED074" w14:textId="77777777" w:rsidR="00B47442" w:rsidRPr="0009445C" w:rsidRDefault="00B47442" w:rsidP="0099521D">
            <w:pPr>
              <w:pStyle w:val="BRL-Tabelle"/>
              <w:keepNext/>
              <w:spacing w:before="60" w:after="40"/>
              <w:ind w:left="113" w:right="113"/>
              <w:jc w:val="center"/>
            </w:pPr>
            <w:r w:rsidRPr="0009445C">
              <w:t>A2</w:t>
            </w:r>
          </w:p>
        </w:tc>
      </w:tr>
      <w:tr w:rsidR="00B47442" w:rsidRPr="0009445C" w14:paraId="16410DB7" w14:textId="77777777" w:rsidTr="0099521D">
        <w:trPr>
          <w:cantSplit/>
        </w:trPr>
        <w:tc>
          <w:tcPr>
            <w:tcW w:w="3421" w:type="dxa"/>
            <w:tcBorders>
              <w:top w:val="single" w:sz="2" w:space="0" w:color="auto"/>
              <w:left w:val="single" w:sz="2" w:space="0" w:color="auto"/>
              <w:bottom w:val="single" w:sz="2" w:space="0" w:color="auto"/>
              <w:right w:val="single" w:sz="2" w:space="0" w:color="auto"/>
            </w:tcBorders>
            <w:shd w:val="clear" w:color="auto" w:fill="FFFFFF"/>
          </w:tcPr>
          <w:p w14:paraId="7DD2926F" w14:textId="77777777" w:rsidR="00B47442" w:rsidRPr="0009445C" w:rsidRDefault="00B47442" w:rsidP="0099521D">
            <w:pPr>
              <w:pStyle w:val="BRL-Tabelle"/>
              <w:keepNext/>
              <w:spacing w:before="60" w:after="40"/>
              <w:ind w:left="113" w:right="113"/>
              <w:rPr>
                <w:b/>
              </w:rPr>
            </w:pPr>
            <w:r w:rsidRPr="0009445C">
              <w:t>Fire-resistant</w:t>
            </w:r>
          </w:p>
        </w:tc>
        <w:tc>
          <w:tcPr>
            <w:tcW w:w="3247" w:type="dxa"/>
            <w:tcBorders>
              <w:top w:val="single" w:sz="2" w:space="0" w:color="auto"/>
              <w:left w:val="single" w:sz="2" w:space="0" w:color="auto"/>
              <w:bottom w:val="single" w:sz="2" w:space="0" w:color="auto"/>
              <w:right w:val="single" w:sz="2" w:space="0" w:color="auto"/>
            </w:tcBorders>
            <w:shd w:val="clear" w:color="auto" w:fill="FFFFFF"/>
          </w:tcPr>
          <w:p w14:paraId="1248B4C6" w14:textId="77777777" w:rsidR="00B47442" w:rsidRPr="0009445C" w:rsidRDefault="00B47442" w:rsidP="0099521D">
            <w:pPr>
              <w:pStyle w:val="BRL-Tabelle"/>
              <w:keepNext/>
              <w:spacing w:before="60" w:after="40"/>
              <w:ind w:left="113" w:right="113"/>
              <w:jc w:val="center"/>
            </w:pPr>
            <w:r w:rsidRPr="0009445C">
              <w:t>L 90</w:t>
            </w:r>
          </w:p>
        </w:tc>
        <w:tc>
          <w:tcPr>
            <w:tcW w:w="2408" w:type="dxa"/>
            <w:vMerge/>
            <w:tcBorders>
              <w:top w:val="single" w:sz="2" w:space="0" w:color="auto"/>
              <w:left w:val="single" w:sz="2" w:space="0" w:color="auto"/>
              <w:bottom w:val="single" w:sz="2" w:space="0" w:color="auto"/>
              <w:right w:val="single" w:sz="2" w:space="0" w:color="auto"/>
            </w:tcBorders>
            <w:shd w:val="clear" w:color="auto" w:fill="FFFFFF"/>
          </w:tcPr>
          <w:p w14:paraId="0A4BBA91" w14:textId="77777777" w:rsidR="00B47442" w:rsidRPr="0009445C" w:rsidRDefault="00B47442" w:rsidP="0099521D">
            <w:pPr>
              <w:keepNext/>
              <w:widowControl w:val="0"/>
              <w:spacing w:before="100" w:after="80" w:line="240" w:lineRule="auto"/>
              <w:ind w:left="113" w:right="113"/>
              <w:jc w:val="center"/>
            </w:pPr>
          </w:p>
        </w:tc>
      </w:tr>
      <w:tr w:rsidR="00B47442" w:rsidRPr="0009445C" w14:paraId="628D6553" w14:textId="77777777" w:rsidTr="0099521D">
        <w:trPr>
          <w:cantSplit/>
        </w:trPr>
        <w:tc>
          <w:tcPr>
            <w:tcW w:w="3421" w:type="dxa"/>
            <w:tcBorders>
              <w:top w:val="single" w:sz="2" w:space="0" w:color="auto"/>
              <w:left w:val="single" w:sz="2" w:space="0" w:color="auto"/>
              <w:bottom w:val="single" w:sz="2" w:space="0" w:color="auto"/>
              <w:right w:val="single" w:sz="2" w:space="0" w:color="auto"/>
            </w:tcBorders>
            <w:shd w:val="clear" w:color="auto" w:fill="FFFFFF"/>
          </w:tcPr>
          <w:p w14:paraId="58B7F26E" w14:textId="77777777" w:rsidR="00B47442" w:rsidRPr="0009445C" w:rsidRDefault="00B47442" w:rsidP="0099521D">
            <w:pPr>
              <w:pStyle w:val="BRL-Tabelle"/>
              <w:keepNext/>
              <w:spacing w:before="60" w:after="40"/>
              <w:ind w:left="113" w:right="113"/>
            </w:pPr>
            <w:r w:rsidRPr="0009445C">
              <w:t>Fire resistance of 120 minutes</w:t>
            </w:r>
          </w:p>
        </w:tc>
        <w:tc>
          <w:tcPr>
            <w:tcW w:w="3247" w:type="dxa"/>
            <w:tcBorders>
              <w:top w:val="single" w:sz="2" w:space="0" w:color="auto"/>
              <w:left w:val="single" w:sz="2" w:space="0" w:color="auto"/>
              <w:bottom w:val="single" w:sz="2" w:space="0" w:color="auto"/>
              <w:right w:val="single" w:sz="2" w:space="0" w:color="auto"/>
            </w:tcBorders>
            <w:shd w:val="clear" w:color="auto" w:fill="FFFFFF"/>
          </w:tcPr>
          <w:p w14:paraId="23DC54B5" w14:textId="77777777" w:rsidR="00B47442" w:rsidRPr="0009445C" w:rsidRDefault="00B47442" w:rsidP="0099521D">
            <w:pPr>
              <w:pStyle w:val="BRL-Tabelle"/>
              <w:keepNext/>
              <w:spacing w:before="60" w:after="40"/>
              <w:ind w:left="113" w:right="113"/>
              <w:jc w:val="center"/>
            </w:pPr>
            <w:r w:rsidRPr="0009445C">
              <w:t>L 120</w:t>
            </w:r>
          </w:p>
        </w:tc>
        <w:tc>
          <w:tcPr>
            <w:tcW w:w="2408" w:type="dxa"/>
            <w:vMerge/>
            <w:tcBorders>
              <w:top w:val="single" w:sz="2" w:space="0" w:color="auto"/>
              <w:left w:val="single" w:sz="2" w:space="0" w:color="auto"/>
              <w:bottom w:val="single" w:sz="2" w:space="0" w:color="auto"/>
              <w:right w:val="single" w:sz="2" w:space="0" w:color="auto"/>
            </w:tcBorders>
            <w:shd w:val="clear" w:color="auto" w:fill="FFFFFF"/>
          </w:tcPr>
          <w:p w14:paraId="56AA6910" w14:textId="77777777" w:rsidR="00B47442" w:rsidRPr="0009445C" w:rsidRDefault="00B47442" w:rsidP="0099521D">
            <w:pPr>
              <w:keepNext/>
              <w:widowControl w:val="0"/>
              <w:spacing w:before="100" w:after="80" w:line="240" w:lineRule="auto"/>
              <w:ind w:left="113" w:right="113"/>
              <w:jc w:val="center"/>
              <w:rPr>
                <w:b/>
              </w:rPr>
            </w:pPr>
          </w:p>
        </w:tc>
      </w:tr>
      <w:tr w:rsidR="00B47442" w:rsidRPr="0009445C" w14:paraId="563A9803" w14:textId="77777777" w:rsidTr="0099521D">
        <w:trPr>
          <w:cantSplit/>
        </w:trPr>
        <w:tc>
          <w:tcPr>
            <w:tcW w:w="9076" w:type="dxa"/>
            <w:gridSpan w:val="3"/>
            <w:tcBorders>
              <w:top w:val="single" w:sz="2" w:space="0" w:color="auto"/>
              <w:left w:val="single" w:sz="2" w:space="0" w:color="auto"/>
              <w:bottom w:val="single" w:sz="2" w:space="0" w:color="auto"/>
              <w:right w:val="single" w:sz="2" w:space="0" w:color="auto"/>
            </w:tcBorders>
            <w:shd w:val="clear" w:color="auto" w:fill="FFFFFF"/>
          </w:tcPr>
          <w:p w14:paraId="65750B2D" w14:textId="77777777" w:rsidR="00B47442" w:rsidRPr="0009445C" w:rsidRDefault="00B47442" w:rsidP="0099521D">
            <w:pPr>
              <w:pStyle w:val="BRL-Tabelle"/>
              <w:keepNext/>
              <w:spacing w:before="60" w:after="40"/>
              <w:ind w:left="113" w:right="113"/>
              <w:rPr>
                <w:b/>
              </w:rPr>
            </w:pPr>
            <w:r w:rsidRPr="0009445C">
              <w:t>For fire-resistant ventilation ducts that require a general building supervisory inspection certificate, see also Sections C 3.1 and C 4.4 of the MVV TB.</w:t>
            </w:r>
          </w:p>
        </w:tc>
      </w:tr>
    </w:tbl>
    <w:p w14:paraId="20E67CB0" w14:textId="77777777" w:rsidR="00B47442" w:rsidRPr="0009445C" w:rsidRDefault="00B47442" w:rsidP="00B47442">
      <w:pPr>
        <w:pStyle w:val="BRL-Standard"/>
        <w:rPr>
          <w:rFonts w:eastAsia="Calibri"/>
          <w:lang w:eastAsia="en-US"/>
        </w:rPr>
      </w:pPr>
    </w:p>
    <w:p w14:paraId="454A3E5C" w14:textId="77777777" w:rsidR="00B47442" w:rsidRPr="0009445C" w:rsidRDefault="00B47442" w:rsidP="00B47442">
      <w:pPr>
        <w:pStyle w:val="BRL-Standard"/>
        <w:keepNext/>
        <w:spacing w:after="60"/>
        <w:rPr>
          <w:b/>
        </w:rPr>
      </w:pPr>
      <w:r w:rsidRPr="0009445C">
        <w:rPr>
          <w:b/>
        </w:rPr>
        <w:lastRenderedPageBreak/>
        <w:t>Table 7:</w:t>
      </w:r>
    </w:p>
    <w:tbl>
      <w:tblPr>
        <w:tblW w:w="9070" w:type="dxa"/>
        <w:tblBorders>
          <w:insideH w:val="single" w:sz="2" w:space="0" w:color="595959"/>
          <w:insideV w:val="single" w:sz="2" w:space="0" w:color="595959"/>
        </w:tblBorders>
        <w:shd w:val="clear" w:color="auto" w:fill="FFFFFF"/>
        <w:tblCellMar>
          <w:left w:w="0" w:type="dxa"/>
          <w:right w:w="0" w:type="dxa"/>
        </w:tblCellMar>
        <w:tblLook w:val="04E0" w:firstRow="1" w:lastRow="1" w:firstColumn="1" w:lastColumn="0" w:noHBand="0" w:noVBand="1"/>
      </w:tblPr>
      <w:tblGrid>
        <w:gridCol w:w="3405"/>
        <w:gridCol w:w="2835"/>
        <w:gridCol w:w="2830"/>
      </w:tblGrid>
      <w:tr w:rsidR="00B47442" w:rsidRPr="0009445C" w14:paraId="5FE74DF1" w14:textId="77777777" w:rsidTr="0099521D">
        <w:trPr>
          <w:cantSplit/>
        </w:trPr>
        <w:tc>
          <w:tcPr>
            <w:tcW w:w="9070" w:type="dxa"/>
            <w:gridSpan w:val="3"/>
            <w:tcBorders>
              <w:top w:val="single" w:sz="2" w:space="0" w:color="auto"/>
              <w:left w:val="single" w:sz="2" w:space="0" w:color="auto"/>
              <w:bottom w:val="single" w:sz="2" w:space="0" w:color="auto"/>
              <w:right w:val="single" w:sz="2" w:space="0" w:color="auto"/>
              <w:tl2br w:val="nil"/>
              <w:tr2bl w:val="nil"/>
            </w:tcBorders>
            <w:shd w:val="clear" w:color="auto" w:fill="FFFFFF"/>
          </w:tcPr>
          <w:p w14:paraId="4C4721C5" w14:textId="77777777" w:rsidR="00B47442" w:rsidRPr="0009445C" w:rsidRDefault="00B47442" w:rsidP="0099521D">
            <w:pPr>
              <w:pStyle w:val="BRLTabelleberschrift"/>
              <w:ind w:right="113" w:hanging="1273"/>
              <w:rPr>
                <w:b w:val="0"/>
                <w:color w:val="000000"/>
              </w:rPr>
            </w:pPr>
            <w:r w:rsidRPr="0009445C">
              <w:rPr>
                <w:color w:val="000000"/>
              </w:rPr>
              <w:t>Kits for fire-resistant ventilation ducts according to EAD 350142-00-1106</w:t>
            </w:r>
            <w:bookmarkStart w:id="107" w:name="_Ref90905098"/>
            <w:r w:rsidR="00C50383" w:rsidRPr="0009445C">
              <w:rPr>
                <w:rStyle w:val="FootnoteReference"/>
              </w:rPr>
              <w:footnoteReference w:id="105"/>
            </w:r>
            <w:bookmarkEnd w:id="107"/>
          </w:p>
        </w:tc>
      </w:tr>
      <w:tr w:rsidR="00B47442" w:rsidRPr="0009445C" w14:paraId="0312D280" w14:textId="77777777" w:rsidTr="0099521D">
        <w:trPr>
          <w:cantSplit/>
          <w:trHeight w:val="283"/>
        </w:trPr>
        <w:tc>
          <w:tcPr>
            <w:tcW w:w="3405" w:type="dxa"/>
            <w:tcBorders>
              <w:top w:val="single" w:sz="2" w:space="0" w:color="auto"/>
              <w:left w:val="single" w:sz="2" w:space="0" w:color="auto"/>
              <w:bottom w:val="single" w:sz="2" w:space="0" w:color="auto"/>
              <w:right w:val="single" w:sz="2" w:space="0" w:color="auto"/>
            </w:tcBorders>
            <w:shd w:val="clear" w:color="auto" w:fill="FFFFFF"/>
          </w:tcPr>
          <w:p w14:paraId="47A60C6A" w14:textId="77777777" w:rsidR="00B47442" w:rsidRPr="0009445C" w:rsidRDefault="00B47442" w:rsidP="0099521D">
            <w:pPr>
              <w:pStyle w:val="BRLTabelleberschrift"/>
              <w:ind w:right="113"/>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cPr>
          <w:p w14:paraId="48370DA2" w14:textId="77777777" w:rsidR="00B47442" w:rsidRPr="0009445C" w:rsidRDefault="00B47442" w:rsidP="0099521D">
            <w:pPr>
              <w:pStyle w:val="BRLTabelleberschrift"/>
              <w:ind w:right="113"/>
              <w:jc w:val="center"/>
            </w:pPr>
            <w:r w:rsidRPr="0009445C">
              <w:t>Minimum required performances</w:t>
            </w:r>
          </w:p>
        </w:tc>
      </w:tr>
      <w:tr w:rsidR="00B47442" w:rsidRPr="0009445C" w14:paraId="660F9819" w14:textId="77777777" w:rsidTr="0099521D">
        <w:trPr>
          <w:cantSplit/>
        </w:trPr>
        <w:tc>
          <w:tcPr>
            <w:tcW w:w="3405" w:type="dxa"/>
            <w:tcBorders>
              <w:top w:val="single" w:sz="2" w:space="0" w:color="auto"/>
              <w:left w:val="single" w:sz="2" w:space="0" w:color="auto"/>
              <w:bottom w:val="single" w:sz="2" w:space="0" w:color="auto"/>
              <w:right w:val="single" w:sz="2" w:space="0" w:color="auto"/>
            </w:tcBorders>
            <w:shd w:val="clear" w:color="auto" w:fill="FFFFFF"/>
          </w:tcPr>
          <w:p w14:paraId="04223964" w14:textId="77777777" w:rsidR="00B47442" w:rsidRPr="0009445C" w:rsidRDefault="00B47442" w:rsidP="0099521D">
            <w:pPr>
              <w:pStyle w:val="BRLTabelleberschrift"/>
              <w:ind w:right="113" w:hanging="1273"/>
            </w:pPr>
            <w:r w:rsidRPr="0009445C">
              <w:t>Building approval requirement</w:t>
            </w:r>
            <w:r w:rsidRPr="0009445C">
              <w:rPr>
                <w:strike/>
              </w:rPr>
              <w:t xml:space="preserve"> </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30007059" w14:textId="77777777" w:rsidR="00B47442" w:rsidRPr="0009445C" w:rsidRDefault="00B47442" w:rsidP="0099521D">
            <w:pPr>
              <w:pStyle w:val="BRLTabelleberschrift"/>
              <w:ind w:right="113"/>
              <w:jc w:val="center"/>
            </w:pPr>
            <w:r w:rsidRPr="0009445C">
              <w:t>Fire resistance</w:t>
            </w:r>
          </w:p>
        </w:tc>
        <w:tc>
          <w:tcPr>
            <w:tcW w:w="2830" w:type="dxa"/>
            <w:tcBorders>
              <w:top w:val="single" w:sz="2" w:space="0" w:color="auto"/>
              <w:left w:val="single" w:sz="2" w:space="0" w:color="auto"/>
              <w:bottom w:val="single" w:sz="2" w:space="0" w:color="auto"/>
              <w:right w:val="single" w:sz="2" w:space="0" w:color="auto"/>
            </w:tcBorders>
            <w:shd w:val="clear" w:color="auto" w:fill="FFFFFF"/>
          </w:tcPr>
          <w:p w14:paraId="1BE2C796" w14:textId="77777777" w:rsidR="00B47442" w:rsidRPr="0009445C" w:rsidRDefault="00B47442" w:rsidP="0099521D">
            <w:pPr>
              <w:pStyle w:val="BRLTabelleberschrift"/>
              <w:ind w:right="113"/>
              <w:jc w:val="center"/>
            </w:pPr>
            <w:r w:rsidRPr="0009445C">
              <w:t>Fire performance</w:t>
            </w:r>
            <w:r w:rsidRPr="0009445C">
              <w:rPr>
                <w:vertAlign w:val="superscript"/>
              </w:rPr>
              <w:t>1</w:t>
            </w:r>
          </w:p>
        </w:tc>
      </w:tr>
      <w:tr w:rsidR="00B47442" w:rsidRPr="0009445C" w14:paraId="276B61FF" w14:textId="77777777" w:rsidTr="0099521D">
        <w:trPr>
          <w:cantSplit/>
        </w:trPr>
        <w:tc>
          <w:tcPr>
            <w:tcW w:w="3405" w:type="dxa"/>
            <w:tcBorders>
              <w:top w:val="single" w:sz="2" w:space="0" w:color="auto"/>
              <w:left w:val="single" w:sz="2" w:space="0" w:color="auto"/>
              <w:bottom w:val="single" w:sz="2" w:space="0" w:color="auto"/>
              <w:right w:val="single" w:sz="2" w:space="0" w:color="auto"/>
            </w:tcBorders>
            <w:shd w:val="clear" w:color="auto" w:fill="FFFFFF"/>
          </w:tcPr>
          <w:p w14:paraId="7F4AEE07" w14:textId="77777777" w:rsidR="00B47442" w:rsidRPr="0009445C" w:rsidRDefault="00B47442" w:rsidP="0099521D">
            <w:pPr>
              <w:pStyle w:val="BRL-Tabelle"/>
              <w:keepNext/>
              <w:spacing w:before="100"/>
              <w:ind w:left="113" w:right="113"/>
            </w:pPr>
            <w:r w:rsidRPr="0009445C">
              <w:t>Fire-retardant</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789A7D1F" w14:textId="77777777" w:rsidR="00B47442" w:rsidRPr="0009445C" w:rsidRDefault="00B47442" w:rsidP="0099521D">
            <w:pPr>
              <w:pStyle w:val="BRL-Tabelle"/>
              <w:keepNext/>
              <w:spacing w:before="100"/>
              <w:ind w:left="113" w:right="113"/>
              <w:jc w:val="center"/>
            </w:pPr>
            <w:r w:rsidRPr="0009445C">
              <w:t>EI 30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o)S</w:t>
            </w:r>
          </w:p>
        </w:tc>
        <w:tc>
          <w:tcPr>
            <w:tcW w:w="2830" w:type="dxa"/>
            <w:tcBorders>
              <w:top w:val="single" w:sz="2" w:space="0" w:color="auto"/>
              <w:left w:val="single" w:sz="2" w:space="0" w:color="auto"/>
              <w:bottom w:val="single" w:sz="2" w:space="0" w:color="auto"/>
              <w:right w:val="single" w:sz="2" w:space="0" w:color="auto"/>
            </w:tcBorders>
            <w:shd w:val="clear" w:color="auto" w:fill="FFFFFF"/>
          </w:tcPr>
          <w:p w14:paraId="59BF14C2" w14:textId="77777777" w:rsidR="00B47442" w:rsidRPr="0009445C" w:rsidRDefault="00B47442" w:rsidP="0099521D">
            <w:pPr>
              <w:pStyle w:val="BRL-Tabelle"/>
              <w:keepNext/>
              <w:spacing w:before="100"/>
              <w:ind w:left="113" w:right="113"/>
              <w:jc w:val="center"/>
            </w:pPr>
            <w:r w:rsidRPr="0009445C">
              <w:t>A2 – s1,d0</w:t>
            </w:r>
          </w:p>
          <w:p w14:paraId="128C321E" w14:textId="3C177713" w:rsidR="00B47442" w:rsidRPr="0009445C" w:rsidRDefault="00B47442" w:rsidP="0099521D">
            <w:pPr>
              <w:pStyle w:val="BRL-Tabelle"/>
              <w:keepNext/>
              <w:spacing w:before="100"/>
              <w:ind w:left="113" w:right="113"/>
              <w:jc w:val="center"/>
              <w:rPr>
                <w:strike/>
              </w:rPr>
            </w:pPr>
            <w:r w:rsidRPr="0009445C">
              <w:t>by way of deviation from A 2.2.1.11, Section 3.2 </w:t>
            </w:r>
            <w:r w:rsidRPr="0009445C">
              <w:br/>
              <w:t>C-s2, d2, otherwise</w:t>
            </w:r>
          </w:p>
        </w:tc>
      </w:tr>
      <w:tr w:rsidR="00B47442" w:rsidRPr="0009445C" w14:paraId="2E4471C0" w14:textId="77777777" w:rsidTr="0099521D">
        <w:trPr>
          <w:cantSplit/>
        </w:trPr>
        <w:tc>
          <w:tcPr>
            <w:tcW w:w="3405" w:type="dxa"/>
            <w:tcBorders>
              <w:top w:val="single" w:sz="2" w:space="0" w:color="auto"/>
              <w:left w:val="single" w:sz="2" w:space="0" w:color="auto"/>
              <w:bottom w:val="single" w:sz="2" w:space="0" w:color="auto"/>
              <w:right w:val="single" w:sz="2" w:space="0" w:color="auto"/>
            </w:tcBorders>
            <w:shd w:val="clear" w:color="auto" w:fill="FFFFFF"/>
          </w:tcPr>
          <w:p w14:paraId="5D9B36D9" w14:textId="77777777" w:rsidR="00B47442" w:rsidRPr="0009445C" w:rsidRDefault="00B47442" w:rsidP="0099521D">
            <w:pPr>
              <w:pStyle w:val="BRL-Tabelle"/>
              <w:keepNext/>
              <w:spacing w:before="100"/>
              <w:ind w:left="113" w:right="113"/>
            </w:pPr>
            <w:r w:rsidRPr="0009445C">
              <w:t>Highly fire-retardant</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2693FA0D" w14:textId="77777777" w:rsidR="00B47442" w:rsidRPr="0009445C" w:rsidRDefault="00B47442" w:rsidP="0099521D">
            <w:pPr>
              <w:pStyle w:val="BRL-Tabelle"/>
              <w:keepNext/>
              <w:spacing w:before="100"/>
              <w:ind w:left="113" w:right="113"/>
              <w:jc w:val="center"/>
            </w:pPr>
            <w:r w:rsidRPr="0009445C">
              <w:t>EI 60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o)S</w:t>
            </w:r>
          </w:p>
        </w:tc>
        <w:tc>
          <w:tcPr>
            <w:tcW w:w="2830" w:type="dxa"/>
            <w:tcBorders>
              <w:top w:val="single" w:sz="2" w:space="0" w:color="auto"/>
              <w:left w:val="single" w:sz="2" w:space="0" w:color="auto"/>
              <w:bottom w:val="single" w:sz="2" w:space="0" w:color="auto"/>
              <w:right w:val="single" w:sz="2" w:space="0" w:color="auto"/>
            </w:tcBorders>
            <w:shd w:val="clear" w:color="auto" w:fill="FFFFFF"/>
          </w:tcPr>
          <w:p w14:paraId="15EC88AF" w14:textId="77777777" w:rsidR="00B47442" w:rsidRPr="0009445C" w:rsidRDefault="00B47442" w:rsidP="0099521D">
            <w:pPr>
              <w:pStyle w:val="BRL-Tabelle"/>
              <w:keepNext/>
              <w:spacing w:before="100"/>
              <w:ind w:left="113" w:right="113"/>
              <w:jc w:val="center"/>
            </w:pPr>
            <w:r w:rsidRPr="0009445C">
              <w:t>A2 – s1,d0</w:t>
            </w:r>
          </w:p>
        </w:tc>
      </w:tr>
      <w:tr w:rsidR="00B47442" w:rsidRPr="0009445C" w14:paraId="2F182FA3" w14:textId="77777777" w:rsidTr="0099521D">
        <w:trPr>
          <w:cantSplit/>
        </w:trPr>
        <w:tc>
          <w:tcPr>
            <w:tcW w:w="3405" w:type="dxa"/>
            <w:tcBorders>
              <w:top w:val="single" w:sz="2" w:space="0" w:color="auto"/>
              <w:left w:val="single" w:sz="2" w:space="0" w:color="auto"/>
              <w:bottom w:val="single" w:sz="2" w:space="0" w:color="auto"/>
              <w:right w:val="single" w:sz="2" w:space="0" w:color="auto"/>
            </w:tcBorders>
            <w:shd w:val="clear" w:color="auto" w:fill="FFFFFF"/>
          </w:tcPr>
          <w:p w14:paraId="12CC93DE" w14:textId="77777777" w:rsidR="00B47442" w:rsidRPr="0009445C" w:rsidRDefault="00B47442" w:rsidP="0099521D">
            <w:pPr>
              <w:pStyle w:val="BRL-Tabelle"/>
              <w:keepNext/>
              <w:spacing w:before="100"/>
              <w:ind w:left="113" w:right="113"/>
              <w:rPr>
                <w:b/>
              </w:rPr>
            </w:pPr>
            <w:r w:rsidRPr="0009445C">
              <w:t>Fire-resistant</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4D515934" w14:textId="77777777" w:rsidR="00B47442" w:rsidRPr="0009445C" w:rsidRDefault="00B47442" w:rsidP="0099521D">
            <w:pPr>
              <w:pStyle w:val="BRL-Tabelle"/>
              <w:keepNext/>
              <w:spacing w:before="100"/>
              <w:ind w:left="113" w:right="113"/>
              <w:jc w:val="center"/>
            </w:pPr>
            <w:r w:rsidRPr="0009445C">
              <w:t>EI 90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o)S</w:t>
            </w:r>
          </w:p>
        </w:tc>
        <w:tc>
          <w:tcPr>
            <w:tcW w:w="2830" w:type="dxa"/>
            <w:tcBorders>
              <w:top w:val="single" w:sz="2" w:space="0" w:color="auto"/>
              <w:left w:val="single" w:sz="2" w:space="0" w:color="auto"/>
              <w:bottom w:val="single" w:sz="2" w:space="0" w:color="auto"/>
              <w:right w:val="single" w:sz="2" w:space="0" w:color="auto"/>
            </w:tcBorders>
            <w:shd w:val="clear" w:color="auto" w:fill="FFFFFF"/>
          </w:tcPr>
          <w:p w14:paraId="44D80A83" w14:textId="77777777" w:rsidR="00B47442" w:rsidRPr="0009445C" w:rsidRDefault="00B47442" w:rsidP="0099521D">
            <w:pPr>
              <w:pStyle w:val="BRL-Tabelle"/>
              <w:keepNext/>
              <w:spacing w:before="100"/>
              <w:ind w:left="113" w:right="113"/>
              <w:jc w:val="center"/>
            </w:pPr>
            <w:r w:rsidRPr="0009445C">
              <w:t>A2 – s1,d0</w:t>
            </w:r>
          </w:p>
        </w:tc>
      </w:tr>
      <w:tr w:rsidR="00B47442" w:rsidRPr="0009445C" w14:paraId="4648062B" w14:textId="77777777" w:rsidTr="0099521D">
        <w:trPr>
          <w:cantSplit/>
        </w:trPr>
        <w:tc>
          <w:tcPr>
            <w:tcW w:w="3405" w:type="dxa"/>
            <w:tcBorders>
              <w:top w:val="single" w:sz="2" w:space="0" w:color="auto"/>
              <w:left w:val="single" w:sz="2" w:space="0" w:color="auto"/>
              <w:bottom w:val="single" w:sz="2" w:space="0" w:color="auto"/>
              <w:right w:val="single" w:sz="2" w:space="0" w:color="auto"/>
            </w:tcBorders>
            <w:shd w:val="clear" w:color="auto" w:fill="FFFFFF"/>
          </w:tcPr>
          <w:p w14:paraId="4DE85735" w14:textId="77777777" w:rsidR="00B47442" w:rsidRPr="0009445C" w:rsidRDefault="00B47442" w:rsidP="0099521D">
            <w:pPr>
              <w:pStyle w:val="BRL-Tabelle"/>
              <w:keepNext/>
              <w:spacing w:before="100"/>
              <w:ind w:left="113" w:right="113"/>
            </w:pPr>
            <w:r w:rsidRPr="0009445C">
              <w:t>Fire resistance of 120 minutes</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656661AC" w14:textId="77777777" w:rsidR="00B47442" w:rsidRPr="0009445C" w:rsidRDefault="00B47442" w:rsidP="0099521D">
            <w:pPr>
              <w:pStyle w:val="BRL-Tabelle"/>
              <w:keepNext/>
              <w:spacing w:before="100"/>
              <w:ind w:left="113" w:right="113"/>
              <w:jc w:val="center"/>
            </w:pPr>
            <w:r w:rsidRPr="0009445C">
              <w:t>EI 120 (</w:t>
            </w:r>
            <w:proofErr w:type="spellStart"/>
            <w:r w:rsidRPr="0009445C">
              <w:t>v</w:t>
            </w:r>
            <w:r w:rsidRPr="0009445C">
              <w:rPr>
                <w:vertAlign w:val="subscript"/>
              </w:rPr>
              <w:t>e</w:t>
            </w:r>
            <w:r w:rsidRPr="0009445C">
              <w:t>h</w:t>
            </w:r>
            <w:r w:rsidRPr="0009445C">
              <w:rPr>
                <w:vertAlign w:val="subscript"/>
              </w:rPr>
              <w:t>o</w:t>
            </w:r>
            <w:proofErr w:type="spellEnd"/>
            <w:r w:rsidRPr="0009445C">
              <w:t> </w:t>
            </w:r>
            <w:proofErr w:type="spellStart"/>
            <w:r w:rsidRPr="0009445C">
              <w:t>i</w:t>
            </w:r>
            <w:proofErr w:type="spellEnd"/>
            <w:r w:rsidRPr="0009445C">
              <w:sym w:font="Symbol" w:char="F0AB"/>
            </w:r>
            <w:r w:rsidRPr="0009445C">
              <w:t>o)S</w:t>
            </w:r>
          </w:p>
        </w:tc>
        <w:tc>
          <w:tcPr>
            <w:tcW w:w="2830" w:type="dxa"/>
            <w:tcBorders>
              <w:top w:val="single" w:sz="2" w:space="0" w:color="auto"/>
              <w:left w:val="single" w:sz="2" w:space="0" w:color="auto"/>
              <w:bottom w:val="single" w:sz="2" w:space="0" w:color="auto"/>
              <w:right w:val="single" w:sz="2" w:space="0" w:color="auto"/>
            </w:tcBorders>
            <w:shd w:val="clear" w:color="auto" w:fill="FFFFFF"/>
          </w:tcPr>
          <w:p w14:paraId="23BDE006" w14:textId="77777777" w:rsidR="00B47442" w:rsidRPr="0009445C" w:rsidRDefault="00B47442" w:rsidP="0099521D">
            <w:pPr>
              <w:pStyle w:val="BRL-Tabelle"/>
              <w:keepNext/>
              <w:spacing w:before="100"/>
              <w:ind w:left="113" w:right="113"/>
              <w:jc w:val="center"/>
            </w:pPr>
            <w:r w:rsidRPr="0009445C">
              <w:t>A2 – s1,d0</w:t>
            </w:r>
          </w:p>
        </w:tc>
      </w:tr>
      <w:tr w:rsidR="00B47442" w:rsidRPr="0009445C" w14:paraId="23EFAD86" w14:textId="77777777" w:rsidTr="0099521D">
        <w:trPr>
          <w:cantSplit/>
        </w:trPr>
        <w:tc>
          <w:tcPr>
            <w:tcW w:w="9070" w:type="dxa"/>
            <w:gridSpan w:val="3"/>
            <w:tcBorders>
              <w:top w:val="single" w:sz="2" w:space="0" w:color="auto"/>
              <w:left w:val="single" w:sz="2" w:space="0" w:color="auto"/>
              <w:bottom w:val="single" w:sz="2" w:space="0" w:color="auto"/>
              <w:right w:val="single" w:sz="2" w:space="0" w:color="auto"/>
            </w:tcBorders>
            <w:shd w:val="clear" w:color="auto" w:fill="FFFFFF"/>
          </w:tcPr>
          <w:p w14:paraId="54217E1B" w14:textId="77777777" w:rsidR="00B47442" w:rsidRPr="0009445C" w:rsidRDefault="00B47442" w:rsidP="0099521D">
            <w:pPr>
              <w:pStyle w:val="BRL-Tabelle"/>
              <w:keepNext/>
              <w:tabs>
                <w:tab w:val="left" w:pos="429"/>
              </w:tabs>
              <w:spacing w:before="100"/>
              <w:ind w:left="113" w:right="113"/>
              <w:rPr>
                <w:b/>
              </w:rPr>
            </w:pPr>
            <w:r w:rsidRPr="0009445C">
              <w:rPr>
                <w:sz w:val="14"/>
              </w:rPr>
              <w:t>1</w:t>
            </w:r>
            <w:r w:rsidRPr="0009445C">
              <w:t xml:space="preserve"> </w:t>
            </w:r>
            <w:r w:rsidRPr="0009445C">
              <w:tab/>
              <w:t>Inside and outside</w:t>
            </w:r>
          </w:p>
        </w:tc>
      </w:tr>
    </w:tbl>
    <w:p w14:paraId="3CE0ADBE" w14:textId="77777777" w:rsidR="00B47442" w:rsidRPr="0009445C" w:rsidRDefault="00B47442" w:rsidP="00B47442">
      <w:pPr>
        <w:pStyle w:val="BRL-Standard"/>
      </w:pPr>
    </w:p>
    <w:p w14:paraId="1276377B" w14:textId="77777777" w:rsidR="00B47442" w:rsidRPr="0009445C" w:rsidRDefault="00B47442" w:rsidP="00600F53">
      <w:pPr>
        <w:pStyle w:val="BRL-berschrift"/>
        <w:rPr>
          <w:rFonts w:eastAsia="Calibri"/>
        </w:rPr>
      </w:pPr>
      <w:r w:rsidRPr="0009445C">
        <w:t>6.3.3</w:t>
      </w:r>
      <w:r w:rsidRPr="0009445C">
        <w:tab/>
        <w:t>Special provisions for use and execution</w:t>
      </w:r>
    </w:p>
    <w:p w14:paraId="5C3B1AE9" w14:textId="3FE08EBA" w:rsidR="00B47442" w:rsidRPr="0009445C" w:rsidRDefault="00B47442" w:rsidP="00B47442">
      <w:pPr>
        <w:pStyle w:val="BRL-Standard"/>
        <w:rPr>
          <w:strike/>
          <w:u w:val="single"/>
        </w:rPr>
      </w:pPr>
      <w:r w:rsidRPr="0009445C">
        <w:rPr>
          <w:u w:val="single"/>
        </w:rPr>
        <w:t>Kits for fire-resistant ventilation ducts pursuant to</w:t>
      </w:r>
      <w:r w:rsidRPr="0009445C">
        <w:rPr>
          <w:u w:val="single"/>
          <w:vertAlign w:val="superscript"/>
        </w:rPr>
        <w:t>:</w:t>
      </w:r>
      <w:r w:rsidRPr="0009445C">
        <w:rPr>
          <w:u w:val="single"/>
        </w:rPr>
        <w:t xml:space="preserve"> EAD 350142-00-1106</w:t>
      </w:r>
      <w:r w:rsidR="00C50383" w:rsidRPr="0009445C">
        <w:rPr>
          <w:u w:val="single"/>
        </w:rPr>
        <w:fldChar w:fldCharType="begin"/>
      </w:r>
      <w:r w:rsidR="00C50383" w:rsidRPr="0009445C">
        <w:rPr>
          <w:u w:val="single"/>
        </w:rPr>
        <w:instrText xml:space="preserve"> NOTEREF _Ref90905098 \f \h </w:instrText>
      </w:r>
      <w:r w:rsidR="00C50383" w:rsidRPr="0009445C">
        <w:rPr>
          <w:u w:val="single"/>
        </w:rPr>
      </w:r>
      <w:r w:rsidR="0009445C" w:rsidRPr="0009445C">
        <w:rPr>
          <w:u w:val="single"/>
        </w:rPr>
        <w:instrText xml:space="preserve"> \* MERGEFORMAT </w:instrText>
      </w:r>
      <w:r w:rsidR="00C50383" w:rsidRPr="0009445C">
        <w:rPr>
          <w:u w:val="single"/>
        </w:rPr>
        <w:fldChar w:fldCharType="separate"/>
      </w:r>
      <w:r w:rsidR="0009445C" w:rsidRPr="0009445C">
        <w:rPr>
          <w:rStyle w:val="FootnoteReference"/>
        </w:rPr>
        <w:t>42</w:t>
      </w:r>
      <w:r w:rsidR="00C50383" w:rsidRPr="0009445C">
        <w:rPr>
          <w:u w:val="single"/>
        </w:rPr>
        <w:fldChar w:fldCharType="end"/>
      </w:r>
    </w:p>
    <w:p w14:paraId="62844372" w14:textId="24D0461F" w:rsidR="00B47442" w:rsidRPr="0009445C" w:rsidRDefault="00B47442" w:rsidP="00B47442">
      <w:pPr>
        <w:pStyle w:val="BRL-Standard"/>
        <w:rPr>
          <w:strike/>
          <w:u w:val="single"/>
        </w:rPr>
      </w:pPr>
      <w:r w:rsidRPr="0009445C">
        <w:t>Under Regulation (EU) No 305/2011, the manufacturer is required to provide an installation manual based on the classification document for kits for the construction of fire-resistant ventilation ducts under the ETA and in accordance with EAD 350142</w:t>
      </w:r>
      <w:r w:rsidRPr="0009445C">
        <w:noBreakHyphen/>
        <w:t>00</w:t>
      </w:r>
      <w:r w:rsidRPr="0009445C">
        <w:noBreakHyphen/>
        <w:t>1106</w:t>
      </w:r>
      <w:r w:rsidR="00C50383" w:rsidRPr="0009445C">
        <w:fldChar w:fldCharType="begin"/>
      </w:r>
      <w:r w:rsidR="00C50383" w:rsidRPr="0009445C">
        <w:instrText xml:space="preserve"> NOTEREF _Ref90905098 \f \h </w:instrText>
      </w:r>
      <w:r w:rsidR="0009445C" w:rsidRPr="0009445C">
        <w:instrText xml:space="preserve"> \* MERGEFORMAT </w:instrText>
      </w:r>
      <w:r w:rsidR="00C50383" w:rsidRPr="0009445C">
        <w:fldChar w:fldCharType="separate"/>
      </w:r>
      <w:r w:rsidR="0009445C" w:rsidRPr="0009445C">
        <w:rPr>
          <w:rStyle w:val="FootnoteReference"/>
        </w:rPr>
        <w:t>42</w:t>
      </w:r>
      <w:r w:rsidR="00C50383" w:rsidRPr="0009445C">
        <w:fldChar w:fldCharType="end"/>
      </w:r>
      <w:r w:rsidRPr="0009445C">
        <w:t xml:space="preserve"> consisting of fire protection plates, sealants, connectors and fasteners. It shall contain at least the following information:</w:t>
      </w:r>
    </w:p>
    <w:p w14:paraId="071C4E59" w14:textId="77777777" w:rsidR="00B47442" w:rsidRPr="0009445C" w:rsidRDefault="00B47442" w:rsidP="00B47442">
      <w:pPr>
        <w:pStyle w:val="BRLAufzhlungAnstrich"/>
        <w:numPr>
          <w:ilvl w:val="0"/>
          <w:numId w:val="1"/>
        </w:numPr>
      </w:pPr>
      <w:r w:rsidRPr="0009445C">
        <w:t>Description of permitted four-sided duct constructions made of pipe fittings (materials, dimensions, reinforcing if any, pipe routing (vertical/horizontal/inclined), associated fittings, maximum storey height and load transfer for vertical ducts, suspensions, fasteners),</w:t>
      </w:r>
    </w:p>
    <w:p w14:paraId="63F66F51" w14:textId="77777777" w:rsidR="00B47442" w:rsidRPr="0009445C" w:rsidRDefault="00B47442" w:rsidP="00B47442">
      <w:pPr>
        <w:pStyle w:val="BRLAufzhlungAnstrich"/>
        <w:numPr>
          <w:ilvl w:val="0"/>
          <w:numId w:val="1"/>
        </w:numPr>
      </w:pPr>
      <w:r w:rsidRPr="0009445C">
        <w:t>Permitted operating pressure range,</w:t>
      </w:r>
    </w:p>
    <w:p w14:paraId="00195F1B" w14:textId="77777777" w:rsidR="00B47442" w:rsidRPr="0009445C" w:rsidRDefault="00B47442" w:rsidP="00B47442">
      <w:pPr>
        <w:pStyle w:val="BRLAufzhlungAnstrich"/>
        <w:numPr>
          <w:ilvl w:val="0"/>
          <w:numId w:val="1"/>
        </w:numPr>
      </w:pPr>
      <w:r w:rsidRPr="0009445C">
        <w:t>Type and minimum thickness of structural elements (wall/ceiling) that may be passed through by the ducts,</w:t>
      </w:r>
    </w:p>
    <w:p w14:paraId="686238C4" w14:textId="77777777" w:rsidR="00B47442" w:rsidRPr="0009445C" w:rsidRDefault="00B47442" w:rsidP="00B47442">
      <w:pPr>
        <w:pStyle w:val="BRLAufzhlungAnstrich"/>
        <w:numPr>
          <w:ilvl w:val="0"/>
          <w:numId w:val="1"/>
        </w:numPr>
      </w:pPr>
      <w:r w:rsidRPr="0009445C">
        <w:t>Principles for the production of duct fittings from the fire protection plates and the connectors and sealants (e.g. glue, clamps, screws, reinforcing if any, including fasteners) with information about the joining method,</w:t>
      </w:r>
    </w:p>
    <w:p w14:paraId="1B28AC9F" w14:textId="77777777" w:rsidR="00B47442" w:rsidRPr="0009445C" w:rsidRDefault="00B47442" w:rsidP="00B47442">
      <w:pPr>
        <w:pStyle w:val="BRLAufzhlungAnstrich"/>
        <w:numPr>
          <w:ilvl w:val="0"/>
          <w:numId w:val="1"/>
        </w:numPr>
      </w:pPr>
      <w:r w:rsidRPr="0009445C">
        <w:t>Principles for the assembly of fittings into ducts and their installation, with information about the construction products to be used (e.g. suspensions, trusses, cladding of suspensions/trusses if any, compensators, permitted fasteners), joining method, necessary spacing, and any permitted later coatings,</w:t>
      </w:r>
    </w:p>
    <w:p w14:paraId="027302B8" w14:textId="77777777" w:rsidR="00B47442" w:rsidRPr="0009445C" w:rsidRDefault="00B47442" w:rsidP="00B47442">
      <w:pPr>
        <w:pStyle w:val="BRLAufzhlungAnstrich"/>
        <w:numPr>
          <w:ilvl w:val="0"/>
          <w:numId w:val="1"/>
        </w:numPr>
      </w:pPr>
      <w:r w:rsidRPr="0009445C">
        <w:t>Execution and sealing of component passages as well as inspection opening closures,</w:t>
      </w:r>
    </w:p>
    <w:p w14:paraId="113BEDBE" w14:textId="77777777" w:rsidR="00B47442" w:rsidRPr="0009445C" w:rsidRDefault="00B47442" w:rsidP="00B47442">
      <w:pPr>
        <w:pStyle w:val="BRLAufzhlungAnstrich"/>
        <w:numPr>
          <w:ilvl w:val="0"/>
          <w:numId w:val="1"/>
        </w:numPr>
      </w:pPr>
      <w:r w:rsidRPr="0009445C">
        <w:t>Notes on design and execution of the attachment,</w:t>
      </w:r>
    </w:p>
    <w:p w14:paraId="431C3B89" w14:textId="77777777" w:rsidR="00B47442" w:rsidRPr="0009445C" w:rsidRDefault="00B47442" w:rsidP="00B47442">
      <w:pPr>
        <w:pStyle w:val="BRLAufzhlungAnstrich"/>
        <w:numPr>
          <w:ilvl w:val="0"/>
          <w:numId w:val="1"/>
        </w:numPr>
      </w:pPr>
      <w:r w:rsidRPr="0009445C">
        <w:t>Processing instructions (e.g. with regard to permitted tools, sequence of operations in the production of the fitting, and joining them to make a duct),</w:t>
      </w:r>
    </w:p>
    <w:p w14:paraId="2D24D960" w14:textId="77777777" w:rsidR="00B47442" w:rsidRPr="0009445C" w:rsidRDefault="00B47442" w:rsidP="00B47442">
      <w:pPr>
        <w:pStyle w:val="BRLAufzhlungAnstrich"/>
        <w:numPr>
          <w:ilvl w:val="0"/>
          <w:numId w:val="1"/>
        </w:numPr>
      </w:pPr>
      <w:r w:rsidRPr="0009445C">
        <w:t>If applicable, instructions for transport and storage of fire protection plates,</w:t>
      </w:r>
    </w:p>
    <w:p w14:paraId="79B41336" w14:textId="77777777" w:rsidR="00B47442" w:rsidRPr="0009445C" w:rsidRDefault="00B47442" w:rsidP="00B47442">
      <w:pPr>
        <w:pStyle w:val="BRLAufzhlungAnstrich"/>
        <w:numPr>
          <w:ilvl w:val="0"/>
          <w:numId w:val="1"/>
        </w:numPr>
      </w:pPr>
      <w:r w:rsidRPr="0009445C">
        <w:t>Instructions for maintenance.</w:t>
      </w:r>
    </w:p>
    <w:p w14:paraId="0C51E892" w14:textId="77777777" w:rsidR="00B47442" w:rsidRPr="0009445C" w:rsidRDefault="00B47442" w:rsidP="00B47442">
      <w:pPr>
        <w:pStyle w:val="BRL-Standard"/>
      </w:pPr>
    </w:p>
    <w:p w14:paraId="3D53D685" w14:textId="77777777" w:rsidR="00B47442" w:rsidRPr="0009445C" w:rsidRDefault="00B47442" w:rsidP="00B47442">
      <w:pPr>
        <w:pStyle w:val="BRL-Standard"/>
        <w:rPr>
          <w:rFonts w:cs="Arial"/>
        </w:rPr>
      </w:pPr>
      <w:r w:rsidRPr="0009445C">
        <w:t xml:space="preserve">Use is only permitted if the structural elements adjacent to the construction product described in the manufacturer’s installation manual are in compliance with the fire resistance requirements for the building structure. </w:t>
      </w:r>
    </w:p>
    <w:p w14:paraId="54598FF8" w14:textId="77777777" w:rsidR="00B47442" w:rsidRPr="0009445C" w:rsidRDefault="00B47442" w:rsidP="00B47442">
      <w:pPr>
        <w:pStyle w:val="BRL-Standard"/>
      </w:pPr>
    </w:p>
    <w:p w14:paraId="0AF50D44" w14:textId="77777777" w:rsidR="00B47442" w:rsidRPr="0009445C" w:rsidRDefault="00B47442" w:rsidP="00B47442">
      <w:pPr>
        <w:pStyle w:val="BRL-Standard"/>
      </w:pPr>
      <w:r w:rsidRPr="0009445C">
        <w:t xml:space="preserve">In accordance with this installation manual, the user must install the ventilation ducts into the ventilation system, hand over the installation instructions to the client and produce an installation confirmation for proper installation, which is also to be handed over. </w:t>
      </w:r>
    </w:p>
    <w:p w14:paraId="760A99F4" w14:textId="77777777" w:rsidR="00B47442" w:rsidRPr="0009445C" w:rsidRDefault="00B47442" w:rsidP="00B47442">
      <w:pPr>
        <w:pStyle w:val="BRL-Standard"/>
      </w:pPr>
    </w:p>
    <w:p w14:paraId="0FC124F2" w14:textId="77777777" w:rsidR="00B47442" w:rsidRPr="0009445C" w:rsidRDefault="00B47442" w:rsidP="00B47442">
      <w:pPr>
        <w:pStyle w:val="BRL-Standard"/>
      </w:pPr>
      <w:r w:rsidRPr="0009445C">
        <w:t>If the conditions of sentence 1 in conjunction with sentence 2 of this section are not fulfilled, there is no technical best practice under ETA based on EAD 350142-00-1106</w:t>
      </w:r>
      <w:bookmarkStart w:id="108" w:name="_Ref82184163"/>
      <w:r w:rsidRPr="0009445C">
        <w:rPr>
          <w:rStyle w:val="FootnoteReference"/>
        </w:rPr>
        <w:footnoteReference w:id="106"/>
      </w:r>
      <w:bookmarkEnd w:id="108"/>
      <w:r w:rsidRPr="0009445C">
        <w:t xml:space="preserve"> for fire-resistant ventilation duct kits.</w:t>
      </w:r>
    </w:p>
    <w:p w14:paraId="7FB322C4" w14:textId="77777777" w:rsidR="002D1BA4" w:rsidRPr="0009445C" w:rsidRDefault="002D1BA4">
      <w:pPr>
        <w:spacing w:after="200" w:line="276" w:lineRule="auto"/>
        <w:rPr>
          <w:rFonts w:eastAsia="Calibri" w:cs="Arial"/>
          <w:strike/>
          <w:szCs w:val="18"/>
        </w:rPr>
      </w:pPr>
      <w:r w:rsidRPr="0009445C">
        <w:br w:type="page"/>
      </w:r>
    </w:p>
    <w:p w14:paraId="1649A4A7" w14:textId="77777777" w:rsidR="00B47442" w:rsidRPr="0009445C" w:rsidRDefault="00B47442" w:rsidP="00600F53">
      <w:pPr>
        <w:pStyle w:val="BRL-berschrift"/>
      </w:pPr>
      <w:bookmarkStart w:id="109" w:name="_Toc515443627"/>
      <w:r w:rsidRPr="0009445C">
        <w:lastRenderedPageBreak/>
        <w:t>7</w:t>
      </w:r>
      <w:r w:rsidRPr="0009445C">
        <w:tab/>
        <w:t>Smoke extraction systems and smoke extractors</w:t>
      </w:r>
      <w:bookmarkEnd w:id="109"/>
    </w:p>
    <w:p w14:paraId="223E606E" w14:textId="77777777" w:rsidR="00B47442" w:rsidRPr="0009445C" w:rsidRDefault="00B47442" w:rsidP="00600F53">
      <w:pPr>
        <w:pStyle w:val="BRL-berschrift"/>
        <w:rPr>
          <w:rFonts w:eastAsia="Calibri"/>
        </w:rPr>
      </w:pPr>
      <w:r w:rsidRPr="0009445C">
        <w:t>7.1</w:t>
      </w:r>
      <w:r w:rsidRPr="0009445C">
        <w:tab/>
        <w:t>Purpose of smoke extraction systems and smoke extractors</w:t>
      </w:r>
    </w:p>
    <w:p w14:paraId="4E06138F" w14:textId="77777777" w:rsidR="00B47442" w:rsidRPr="0009445C" w:rsidRDefault="00B47442" w:rsidP="00B47442">
      <w:pPr>
        <w:pStyle w:val="BRL-Standard"/>
      </w:pPr>
      <w:r w:rsidRPr="0009445C">
        <w:t xml:space="preserve">Smoke extraction systems and smoke extractors are used to extract smoke in order to simultaneously support the fire brigade’s effective firefighting operations. </w:t>
      </w:r>
    </w:p>
    <w:p w14:paraId="5A29263F" w14:textId="77777777" w:rsidR="00B47442" w:rsidRPr="0009445C" w:rsidRDefault="00B47442" w:rsidP="00B47442">
      <w:pPr>
        <w:pStyle w:val="BRL-Standard"/>
        <w:rPr>
          <w:bCs/>
        </w:rPr>
      </w:pPr>
    </w:p>
    <w:p w14:paraId="77AD1BCB" w14:textId="77777777" w:rsidR="00B47442" w:rsidRPr="0009445C" w:rsidRDefault="00B47442" w:rsidP="00B47442">
      <w:pPr>
        <w:pStyle w:val="BRL-Standard"/>
      </w:pPr>
      <w:r w:rsidRPr="0009445C">
        <w:t>Smoke extraction systems and smoke extractors are required in accordance with special building regulations and special building guidelines. Smoke extraction systems and smoke extractors are also required if they are mandated in a building supervisory procedure.</w:t>
      </w:r>
    </w:p>
    <w:p w14:paraId="471043F1" w14:textId="77777777" w:rsidR="00B47442" w:rsidRPr="0009445C" w:rsidRDefault="00B47442" w:rsidP="00B47442">
      <w:pPr>
        <w:pStyle w:val="BRL-Standard"/>
      </w:pPr>
    </w:p>
    <w:p w14:paraId="560B3E81" w14:textId="77777777" w:rsidR="00B47442" w:rsidRPr="0009445C" w:rsidRDefault="00B47442" w:rsidP="00B47442">
      <w:pPr>
        <w:pStyle w:val="BRL-Standard"/>
      </w:pPr>
      <w:r w:rsidRPr="0009445C">
        <w:t>If several smoke extraction devices have to work together in order to comply with the building regulation requirements, these devices form a system.</w:t>
      </w:r>
    </w:p>
    <w:p w14:paraId="0869BF6C" w14:textId="77777777" w:rsidR="00B47442" w:rsidRPr="0009445C" w:rsidRDefault="00B47442" w:rsidP="00B47442">
      <w:pPr>
        <w:pStyle w:val="BRL-Standard"/>
      </w:pPr>
    </w:p>
    <w:p w14:paraId="5BE13C91" w14:textId="77777777" w:rsidR="00B47442" w:rsidRPr="0009445C" w:rsidRDefault="00B47442" w:rsidP="00B47442">
      <w:pPr>
        <w:pStyle w:val="BRL-Standard"/>
      </w:pPr>
      <w:r w:rsidRPr="0009445C">
        <w:t>Closures of openings for the dissipation of smoke, e.g. in stairwells, are not considered smoke extraction systems in the sense intended here.</w:t>
      </w:r>
    </w:p>
    <w:p w14:paraId="6ADD7891" w14:textId="77777777" w:rsidR="00B47442" w:rsidRPr="0009445C" w:rsidRDefault="00B47442" w:rsidP="00B47442">
      <w:pPr>
        <w:pStyle w:val="BRL-Standard"/>
      </w:pPr>
    </w:p>
    <w:p w14:paraId="4D67301C" w14:textId="77777777" w:rsidR="00B47442" w:rsidRPr="0009445C" w:rsidRDefault="00B47442" w:rsidP="00600F53">
      <w:pPr>
        <w:pStyle w:val="BRL-berschrift"/>
        <w:rPr>
          <w:rFonts w:eastAsia="Calibri"/>
        </w:rPr>
      </w:pPr>
      <w:r w:rsidRPr="0009445C">
        <w:t>7.2</w:t>
      </w:r>
      <w:r w:rsidRPr="0009445C">
        <w:tab/>
        <w:t>Planning, designing and execution</w:t>
      </w:r>
    </w:p>
    <w:p w14:paraId="0AAD8F7F" w14:textId="77777777" w:rsidR="00B47442" w:rsidRPr="0009445C" w:rsidRDefault="00B47442" w:rsidP="00B47442">
      <w:pPr>
        <w:pStyle w:val="BRL-Standard"/>
      </w:pPr>
      <w:r w:rsidRPr="0009445C">
        <w:t xml:space="preserve">Smoke extraction systems and smoke extractors shall be planned, designed and constructed in such a way that the building approval requirements are met on the basis of the special building regulations, special building guidelines, and fire protection certificates. </w:t>
      </w:r>
    </w:p>
    <w:p w14:paraId="3F66AF23" w14:textId="77777777" w:rsidR="00B47442" w:rsidRPr="0009445C" w:rsidRDefault="00B47442" w:rsidP="00B47442">
      <w:pPr>
        <w:pStyle w:val="BRL-Standard"/>
      </w:pPr>
    </w:p>
    <w:p w14:paraId="6159ADCD" w14:textId="77777777" w:rsidR="00B47442" w:rsidRPr="0009445C" w:rsidRDefault="00B47442" w:rsidP="00B47442">
      <w:pPr>
        <w:pStyle w:val="BRL-Standard"/>
      </w:pPr>
      <w:r w:rsidRPr="0009445C">
        <w:t>Smoke extraction systems that are constructed in accordance with the relevant provisions of the DIN 18232 series of standards as well as according to this Technical Rule are also deemed to fulfil the building inspection requirements except where deviating individual requirements apply. The design of smoke extraction systems and smoke extraction devices may be done in accordance with fire protection engineering methods. The input parameters shall be documented in the building documents.</w:t>
      </w:r>
    </w:p>
    <w:p w14:paraId="486D7461" w14:textId="77777777" w:rsidR="00B47442" w:rsidRPr="0009445C" w:rsidRDefault="00B47442" w:rsidP="00B47442">
      <w:pPr>
        <w:pStyle w:val="BRL-Standard"/>
      </w:pPr>
    </w:p>
    <w:p w14:paraId="2A167E16" w14:textId="77777777" w:rsidR="00B47442" w:rsidRPr="0009445C" w:rsidRDefault="00B47442" w:rsidP="00B47442">
      <w:pPr>
        <w:pStyle w:val="BRL-Standard"/>
      </w:pPr>
      <w:r w:rsidRPr="0009445C">
        <w:t>In the case of smoke extraction systems and smoke extractors, the supply air required for smoke extraction must be traceable. When a mechanical smoke extraction system starts up or opens the required supply air openings, the supply air systems must start up automatically. Where manual supply air openings are permitted, they shall be easily accessible and can be easily opened and remain open.</w:t>
      </w:r>
    </w:p>
    <w:p w14:paraId="3BEFEB75" w14:textId="77777777" w:rsidR="00B47442" w:rsidRPr="0009445C" w:rsidRDefault="00B47442" w:rsidP="00B47442">
      <w:pPr>
        <w:pStyle w:val="BRL-Standard"/>
      </w:pPr>
    </w:p>
    <w:p w14:paraId="7E28BCB2" w14:textId="77777777" w:rsidR="00B47442" w:rsidRPr="0009445C" w:rsidRDefault="00B47442" w:rsidP="00B47442">
      <w:pPr>
        <w:pStyle w:val="BRL-Standard"/>
      </w:pPr>
      <w:r w:rsidRPr="0009445C">
        <w:t>At no time must the door opening forces for doors in escape routes be greater than 100 N due to the operation of the smoke extraction system.</w:t>
      </w:r>
    </w:p>
    <w:p w14:paraId="7BDBE6A8" w14:textId="77777777" w:rsidR="00B47442" w:rsidRPr="0009445C" w:rsidRDefault="00B47442" w:rsidP="00B47442">
      <w:pPr>
        <w:pStyle w:val="BRL-Standard"/>
      </w:pPr>
    </w:p>
    <w:p w14:paraId="3E2CADBF" w14:textId="651ED0DA" w:rsidR="00B47442" w:rsidRPr="0009445C" w:rsidRDefault="00B47442" w:rsidP="00B47442">
      <w:pPr>
        <w:pStyle w:val="BRL-Standard"/>
      </w:pPr>
      <w:r w:rsidRPr="0009445C">
        <w:t>For the use of smoke extractors in roofing, A 2.1.9 shall be complied with in terms of location and arrangement as translucent surfaces if the performance according to Section 7.5.2 of DIN EN 12101</w:t>
      </w:r>
      <w:r w:rsidRPr="0009445C">
        <w:noBreakHyphen/>
        <w:t>2:2003-09 is not declared to be at least A2 – s1,d0; otherwise, the proof shall be provided in accordance with MVV TB, A 2.1.9 for roofing resistant to flying sparks and radiant heat (see Section 3, Table 3.2) or the structural installation shall respect the distances referred to in Section 32(2) of the MBO</w:t>
      </w:r>
      <w:r w:rsidRPr="0009445C">
        <w:rPr>
          <w:rStyle w:val="FootnoteReference"/>
        </w:rPr>
        <w:fldChar w:fldCharType="begin"/>
      </w:r>
      <w:r w:rsidRPr="0009445C">
        <w:rPr>
          <w:rStyle w:val="FootnoteReference"/>
        </w:rPr>
        <w:instrText xml:space="preserve"> NOTEREF _Ref82183911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41</w:t>
      </w:r>
      <w:r w:rsidRPr="0009445C">
        <w:rPr>
          <w:rStyle w:val="FootnoteReference"/>
        </w:rPr>
        <w:fldChar w:fldCharType="end"/>
      </w:r>
      <w:r w:rsidRPr="0009445C">
        <w:t>.</w:t>
      </w:r>
    </w:p>
    <w:p w14:paraId="531255D2" w14:textId="77777777" w:rsidR="00B47442" w:rsidRPr="0009445C" w:rsidRDefault="00B47442" w:rsidP="00B47442">
      <w:pPr>
        <w:pStyle w:val="BRL-Standard"/>
      </w:pPr>
    </w:p>
    <w:p w14:paraId="0173468A" w14:textId="77777777" w:rsidR="00E60F8A" w:rsidRPr="0009445C" w:rsidRDefault="00E60F8A" w:rsidP="00B47442">
      <w:pPr>
        <w:pStyle w:val="BRL-Standard"/>
      </w:pPr>
      <w:r w:rsidRPr="0009445C">
        <w:t>All necessary data must be stated in the fire protection certificate.</w:t>
      </w:r>
    </w:p>
    <w:p w14:paraId="3E65C92A" w14:textId="77777777" w:rsidR="00E60F8A" w:rsidRPr="0009445C" w:rsidRDefault="00E60F8A" w:rsidP="00B47442">
      <w:pPr>
        <w:pStyle w:val="BRL-Standard"/>
      </w:pPr>
    </w:p>
    <w:p w14:paraId="61E33077" w14:textId="77777777" w:rsidR="00B47442" w:rsidRPr="0009445C" w:rsidRDefault="00B47442" w:rsidP="00600F53">
      <w:pPr>
        <w:pStyle w:val="BRL-berschrift"/>
        <w:rPr>
          <w:rFonts w:eastAsia="Calibri"/>
        </w:rPr>
      </w:pPr>
      <w:r w:rsidRPr="0009445C">
        <w:t>7.3</w:t>
      </w:r>
      <w:r w:rsidRPr="0009445C">
        <w:tab/>
        <w:t>Triggering – manual/automatic</w:t>
      </w:r>
    </w:p>
    <w:p w14:paraId="63C73339" w14:textId="6B3FFAB4" w:rsidR="00B47442" w:rsidRPr="0009445C" w:rsidRDefault="00B47442" w:rsidP="00B47442">
      <w:pPr>
        <w:pStyle w:val="BRL-Standard"/>
      </w:pPr>
      <w:r w:rsidRPr="0009445C">
        <w:t>Fire detectors shall be used to automatically trigger mechanical smoke extraction systems, which detect the expected fire characteristics. Fire detectors according to the DIN EN  54 series of standards can be used for this purpose.</w:t>
      </w:r>
    </w:p>
    <w:p w14:paraId="6C05046B" w14:textId="1081AD53" w:rsidR="00B47442" w:rsidRPr="0009445C" w:rsidRDefault="00B47442" w:rsidP="00B47442">
      <w:pPr>
        <w:pStyle w:val="BRL-Standard"/>
      </w:pPr>
      <w:r w:rsidRPr="0009445C">
        <w:t>Naturally acting smoke extraction systems and smoke extractors must be able to be automatically triggered by hand.</w:t>
      </w:r>
    </w:p>
    <w:p w14:paraId="17878099" w14:textId="77777777" w:rsidR="00B47442" w:rsidRPr="0009445C" w:rsidRDefault="00B47442" w:rsidP="00B47442">
      <w:pPr>
        <w:pStyle w:val="BRL-Standard"/>
      </w:pPr>
    </w:p>
    <w:p w14:paraId="445D2DA5" w14:textId="77777777" w:rsidR="00B47442" w:rsidRPr="0009445C" w:rsidRDefault="00B47442" w:rsidP="00B47442">
      <w:pPr>
        <w:pStyle w:val="BRL-Standard"/>
      </w:pPr>
      <w:r w:rsidRPr="0009445C">
        <w:t>Switches or manual devices for triggering smoke extraction systems shall be placed in a position accessible at any time at a height of between 1.2 m and 1.6 m above the ground. The switches or manual triggering devices must be marked with a clearly legible ‘Smoke exhaust’ sign. The sign may be placed on the switch or housing or in the immediate vicinity thereof and must be durably attached. The colour of the switches or manual triggers shall not be red.</w:t>
      </w:r>
    </w:p>
    <w:p w14:paraId="45ACF865" w14:textId="77777777" w:rsidR="002D1BA4" w:rsidRPr="0009445C" w:rsidRDefault="002D1BA4">
      <w:pPr>
        <w:spacing w:after="200" w:line="276" w:lineRule="auto"/>
        <w:rPr>
          <w:szCs w:val="18"/>
        </w:rPr>
      </w:pPr>
      <w:r w:rsidRPr="0009445C">
        <w:br w:type="page"/>
      </w:r>
    </w:p>
    <w:p w14:paraId="17C21249" w14:textId="77777777" w:rsidR="00B47442" w:rsidRPr="0009445C" w:rsidRDefault="00B47442" w:rsidP="00600F53">
      <w:pPr>
        <w:pStyle w:val="BRL-berschrift"/>
        <w:rPr>
          <w:rFonts w:eastAsia="Calibri"/>
        </w:rPr>
      </w:pPr>
      <w:r w:rsidRPr="0009445C">
        <w:lastRenderedPageBreak/>
        <w:t>7.4</w:t>
      </w:r>
      <w:r w:rsidRPr="0009445C">
        <w:tab/>
        <w:t>Ventilation openings</w:t>
      </w:r>
    </w:p>
    <w:p w14:paraId="0B443AF6" w14:textId="77777777" w:rsidR="00B47442" w:rsidRPr="0009445C" w:rsidRDefault="00B47442" w:rsidP="00B47442">
      <w:pPr>
        <w:pStyle w:val="BRL-Standard"/>
      </w:pPr>
      <w:r w:rsidRPr="0009445C">
        <w:t>Openings that serve to supply the additional air necessary for smoke extraction must be marked with a clearly legible sign that reads ‘Supply air opening for smoke extraction system’.</w:t>
      </w:r>
    </w:p>
    <w:p w14:paraId="5396AAEF" w14:textId="77777777" w:rsidR="00B47442" w:rsidRPr="0009445C" w:rsidRDefault="00B47442" w:rsidP="00B47442">
      <w:pPr>
        <w:pStyle w:val="BRL-Standard"/>
      </w:pPr>
    </w:p>
    <w:p w14:paraId="56287C2C" w14:textId="77777777" w:rsidR="00B47442" w:rsidRPr="0009445C" w:rsidRDefault="00B47442" w:rsidP="00600F53">
      <w:pPr>
        <w:pStyle w:val="BRL-berschrift"/>
        <w:rPr>
          <w:rFonts w:eastAsia="Calibri"/>
        </w:rPr>
      </w:pPr>
      <w:r w:rsidRPr="0009445C">
        <w:t>7.5</w:t>
      </w:r>
      <w:r w:rsidRPr="0009445C">
        <w:tab/>
        <w:t>Construction products and designs</w:t>
      </w:r>
    </w:p>
    <w:p w14:paraId="6A308CA8" w14:textId="77777777" w:rsidR="00B47442" w:rsidRPr="0009445C" w:rsidRDefault="00B47442" w:rsidP="00600F53">
      <w:pPr>
        <w:pStyle w:val="BRL-berschrift"/>
        <w:rPr>
          <w:rFonts w:eastAsia="Calibri"/>
        </w:rPr>
      </w:pPr>
      <w:r w:rsidRPr="0009445C">
        <w:t>7.5.1</w:t>
      </w:r>
      <w:r w:rsidRPr="0009445C">
        <w:tab/>
        <w:t>General provisions</w:t>
      </w:r>
    </w:p>
    <w:p w14:paraId="6390FFB7" w14:textId="77777777" w:rsidR="00B47442" w:rsidRPr="0009445C" w:rsidRDefault="00B47442" w:rsidP="00B47442">
      <w:pPr>
        <w:pStyle w:val="BRL-Standard"/>
      </w:pPr>
      <w:r w:rsidRPr="0009445C">
        <w:t>Smoke extraction systems shall consist of at least the operating and triggering devices as well as the respective smoke extraction devices. Mechanical smoke extraction systems may additionally comprise the smoke extraction ducts including necessary smoke control dampers.</w:t>
      </w:r>
    </w:p>
    <w:p w14:paraId="4CAF04E5" w14:textId="77777777" w:rsidR="00B47442" w:rsidRPr="0009445C" w:rsidRDefault="00B47442" w:rsidP="00B47442">
      <w:pPr>
        <w:pStyle w:val="BRL-Standard"/>
      </w:pPr>
    </w:p>
    <w:p w14:paraId="715B90DE" w14:textId="77777777" w:rsidR="00B47442" w:rsidRPr="0009445C" w:rsidRDefault="00B47442" w:rsidP="00B47442">
      <w:pPr>
        <w:pStyle w:val="BRL-Standard"/>
      </w:pPr>
      <w:r w:rsidRPr="0009445C">
        <w:t>Construction products for smoke extraction systems and smoke extractors shall be selected and used in accordance with the place of installation, required temperature resistance, required volume flow, pressure difference, required aerodynamically effective or geometric opening area, and location in terms of functional integrity and the effects of factors including wind, snow, and ambient temperatures.</w:t>
      </w:r>
    </w:p>
    <w:p w14:paraId="60D18005" w14:textId="77777777" w:rsidR="00B47442" w:rsidRPr="0009445C" w:rsidRDefault="00B47442" w:rsidP="00B47442">
      <w:pPr>
        <w:pStyle w:val="BRL-Standard"/>
      </w:pPr>
    </w:p>
    <w:p w14:paraId="602924E5" w14:textId="77777777" w:rsidR="00B47442" w:rsidRPr="0009445C" w:rsidRDefault="00B47442" w:rsidP="00B47442">
      <w:pPr>
        <w:pStyle w:val="BRL-Standard"/>
      </w:pPr>
      <w:r w:rsidRPr="0009445C">
        <w:t>The manufacturer’s detailed installation instructions and instructions for use must be provided in writing by the manufacturer in German for each installation location. The manufacturer shall provide detailed descriptions in the operating manual of the installation, inspection, repair, maintenance, and verification of functionality of the construction product. For construction products according to harmonised technical specifications, the installation manual must comply with the provisions of the classification reports.</w:t>
      </w:r>
    </w:p>
    <w:p w14:paraId="2579404E" w14:textId="77777777" w:rsidR="00B47442" w:rsidRPr="0009445C" w:rsidRDefault="00B47442" w:rsidP="00B47442">
      <w:pPr>
        <w:pStyle w:val="BRL-Standard"/>
      </w:pPr>
      <w:r w:rsidRPr="0009445C">
        <w:t>The manufacturer’s installation and use instructions for the construction products to be used shall be taken into account and handed over to the customer.</w:t>
      </w:r>
    </w:p>
    <w:p w14:paraId="37A4C561" w14:textId="77777777" w:rsidR="00B47442" w:rsidRPr="0009445C" w:rsidRDefault="00B47442" w:rsidP="00B47442">
      <w:pPr>
        <w:pStyle w:val="BRL-Standard"/>
      </w:pPr>
    </w:p>
    <w:p w14:paraId="4734FA4C" w14:textId="6A3F20DF" w:rsidR="00B47442" w:rsidRPr="0009445C" w:rsidRDefault="00B47442" w:rsidP="00B47442">
      <w:pPr>
        <w:pStyle w:val="BRL-Standard"/>
      </w:pPr>
      <w:r w:rsidRPr="0009445C">
        <w:t>In mechanical smoke extraction systems, mechanical smoke extraction devices according to EN 12101-3: 2015</w:t>
      </w:r>
      <w:bookmarkStart w:id="110" w:name="_Ref82184271"/>
      <w:r w:rsidRPr="0009445C">
        <w:rPr>
          <w:rStyle w:val="FootnoteReference"/>
          <w:rFonts w:cs="Arial"/>
        </w:rPr>
        <w:footnoteReference w:id="107"/>
      </w:r>
      <w:bookmarkEnd w:id="110"/>
      <w:r w:rsidRPr="0009445C">
        <w:t xml:space="preserve"> must be used. There is no defined technical best practice for the use of mechanical smoke extraction devices</w:t>
      </w:r>
      <w:r w:rsidRPr="0009445C">
        <w:rPr>
          <w:rStyle w:val="FootnoteReference"/>
        </w:rPr>
        <w:fldChar w:fldCharType="begin"/>
      </w:r>
      <w:r w:rsidRPr="0009445C">
        <w:rPr>
          <w:rStyle w:val="FootnoteReference"/>
        </w:rPr>
        <w:instrText xml:space="preserve"> NOTEREF _Ref82184163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43</w:t>
      </w:r>
      <w:r w:rsidRPr="0009445C">
        <w:rPr>
          <w:rStyle w:val="FootnoteReference"/>
        </w:rPr>
        <w:fldChar w:fldCharType="end"/>
      </w:r>
      <w:r w:rsidRPr="0009445C">
        <w:t>.</w:t>
      </w:r>
    </w:p>
    <w:p w14:paraId="56730A34" w14:textId="77777777" w:rsidR="00B47442" w:rsidRPr="0009445C" w:rsidRDefault="00B47442" w:rsidP="00B47442">
      <w:pPr>
        <w:pStyle w:val="BRL-Standard"/>
      </w:pPr>
    </w:p>
    <w:p w14:paraId="165B4981" w14:textId="59E30C36" w:rsidR="00B47442" w:rsidRPr="0009445C" w:rsidRDefault="00B47442" w:rsidP="00B47442">
      <w:pPr>
        <w:pStyle w:val="BRL-Standard"/>
      </w:pPr>
      <w:r w:rsidRPr="0009445C">
        <w:t>Construction products such as windows and doors may be used to ensure the after-flow of supply air if it is ensured that the required free cross-section of smoke extraction systems and smoke extraction devices is maintained throughout the entire period of operation.</w:t>
      </w:r>
    </w:p>
    <w:p w14:paraId="471FA0D2" w14:textId="77777777" w:rsidR="00B47442" w:rsidRPr="0009445C" w:rsidRDefault="00B47442" w:rsidP="00B47442">
      <w:pPr>
        <w:pStyle w:val="BRL-Standard"/>
      </w:pPr>
    </w:p>
    <w:p w14:paraId="236972A8" w14:textId="293F46ED" w:rsidR="00B47442" w:rsidRPr="0009445C" w:rsidRDefault="00B47442" w:rsidP="00B47442">
      <w:pPr>
        <w:pStyle w:val="BRL-Standard"/>
      </w:pPr>
      <w:r w:rsidRPr="0009445C">
        <w:t>If smoke extraction dampers are also to be controlled manually in mechanical smoke extraction systems, these must be suitable for manual activation. Smoke dampers with mechanical shut-off elements according to EN 12101-8</w:t>
      </w:r>
      <w:bookmarkStart w:id="112" w:name="_Ref107324460"/>
      <w:r w:rsidR="00AE34C5" w:rsidRPr="0009445C">
        <w:rPr>
          <w:rStyle w:val="FootnoteReference"/>
        </w:rPr>
        <w:footnoteReference w:id="108"/>
      </w:r>
      <w:bookmarkEnd w:id="112"/>
      <w:r w:rsidRPr="0009445C">
        <w:t xml:space="preserve"> may only be used in mechanical smoke extraction systems with the axle position of the mechanical shut-off element, which has been demonstrated in accordance with the fire resistance test on both sides specified in the above-mentioned harmonised standard. </w:t>
      </w:r>
    </w:p>
    <w:p w14:paraId="1F604CC2" w14:textId="77777777" w:rsidR="00B47442" w:rsidRPr="0009445C" w:rsidRDefault="00B47442" w:rsidP="00B47442">
      <w:pPr>
        <w:pStyle w:val="BRL-Standard"/>
      </w:pPr>
    </w:p>
    <w:p w14:paraId="4C6D6B05" w14:textId="77777777" w:rsidR="00B47442" w:rsidRPr="0009445C" w:rsidRDefault="00B47442" w:rsidP="00B47442">
      <w:pPr>
        <w:pStyle w:val="BRL-Standard"/>
      </w:pPr>
      <w:r w:rsidRPr="0009445C">
        <w:t>Smoke extraction ducts must not themselves contribute to the spread of fire and smoke in the structure. They must be non-combustible, temperature-resistant, and smoke-proof. Their dimensional stability (cross-section stability) and mechanical strength must be such that the envisaged amount of smoke can be dissipated. Smoke extraction ducts must be placed and designed in such manner that they do not contribute to the spread of fire by increasing the temperature at the outside of the ducts.</w:t>
      </w:r>
    </w:p>
    <w:p w14:paraId="1CAF6FAB" w14:textId="77777777" w:rsidR="00B47442" w:rsidRPr="0009445C" w:rsidRDefault="00B47442" w:rsidP="00B47442">
      <w:pPr>
        <w:pStyle w:val="BRL-Standard"/>
      </w:pPr>
    </w:p>
    <w:p w14:paraId="115BA63A" w14:textId="77777777" w:rsidR="00B47442" w:rsidRPr="0009445C" w:rsidRDefault="00B47442" w:rsidP="00600F53">
      <w:pPr>
        <w:pStyle w:val="BRL-berschrift"/>
        <w:rPr>
          <w:rFonts w:eastAsia="Calibri"/>
        </w:rPr>
      </w:pPr>
      <w:r w:rsidRPr="0009445C">
        <w:t>7.5.2</w:t>
      </w:r>
      <w:r w:rsidRPr="0009445C">
        <w:tab/>
        <w:t>Performance required to meet the building requirements</w:t>
      </w:r>
    </w:p>
    <w:p w14:paraId="0404ADE8" w14:textId="421010AA" w:rsidR="00B47442" w:rsidRPr="0009445C" w:rsidRDefault="00B47442" w:rsidP="00B47442">
      <w:pPr>
        <w:pStyle w:val="BRL-Standard"/>
      </w:pPr>
      <w:r w:rsidRPr="0009445C">
        <w:t>If construction products are used with proof of usability in accordance with § 17 MBO</w:t>
      </w:r>
      <w:r w:rsidRPr="0009445C">
        <w:rPr>
          <w:rStyle w:val="FootnoteReference"/>
        </w:rPr>
        <w:fldChar w:fldCharType="begin"/>
      </w:r>
      <w:r w:rsidRPr="0009445C">
        <w:rPr>
          <w:rStyle w:val="FootnoteReference"/>
        </w:rPr>
        <w:instrText xml:space="preserve"> NOTEREF _Ref82183911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41</w:t>
      </w:r>
      <w:r w:rsidRPr="0009445C">
        <w:rPr>
          <w:rStyle w:val="FootnoteReference"/>
        </w:rPr>
        <w:fldChar w:fldCharType="end"/>
      </w:r>
      <w:r w:rsidRPr="0009445C">
        <w:rPr>
          <w:vertAlign w:val="superscript"/>
        </w:rPr>
        <w:t xml:space="preserve"> </w:t>
      </w:r>
      <w:r w:rsidRPr="0009445C">
        <w:t>or application of construction types according to § 16a MBO</w:t>
      </w:r>
      <w:r w:rsidRPr="0009445C">
        <w:rPr>
          <w:rStyle w:val="FootnoteReference"/>
        </w:rPr>
        <w:fldChar w:fldCharType="begin"/>
      </w:r>
      <w:r w:rsidRPr="0009445C">
        <w:rPr>
          <w:rStyle w:val="FootnoteReference"/>
        </w:rPr>
        <w:instrText xml:space="preserve"> NOTEREF _Ref82183911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41</w:t>
      </w:r>
      <w:r w:rsidRPr="0009445C">
        <w:rPr>
          <w:rStyle w:val="FootnoteReference"/>
        </w:rPr>
        <w:fldChar w:fldCharType="end"/>
      </w:r>
      <w:r w:rsidRPr="0009445C">
        <w:rPr>
          <w:vertAlign w:val="superscript"/>
        </w:rPr>
        <w:t>.</w:t>
      </w:r>
      <w:r w:rsidRPr="0009445C">
        <w:t xml:space="preserve"> The minimum required classes shall be shown in Table 1.</w:t>
      </w:r>
    </w:p>
    <w:p w14:paraId="42903E8D" w14:textId="77777777" w:rsidR="00B47442" w:rsidRPr="0009445C" w:rsidRDefault="00B47442" w:rsidP="00B47442">
      <w:pPr>
        <w:pStyle w:val="BRL-Standard"/>
        <w:rPr>
          <w:rFonts w:cs="Arial"/>
        </w:rPr>
      </w:pPr>
    </w:p>
    <w:p w14:paraId="32BC7393" w14:textId="77777777" w:rsidR="00B47442" w:rsidRPr="0009445C" w:rsidRDefault="00B47442" w:rsidP="00B47442">
      <w:pPr>
        <w:pStyle w:val="BRL-Standard"/>
        <w:keepNext/>
        <w:spacing w:after="60"/>
        <w:rPr>
          <w:rFonts w:cs="Arial"/>
          <w:b/>
        </w:rPr>
      </w:pPr>
      <w:r w:rsidRPr="0009445C">
        <w:rPr>
          <w:b/>
        </w:rPr>
        <w:lastRenderedPageBreak/>
        <w:t>Table 1:</w:t>
      </w:r>
    </w:p>
    <w:tbl>
      <w:tblPr>
        <w:tblW w:w="93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3625"/>
        <w:gridCol w:w="2374"/>
        <w:gridCol w:w="7"/>
      </w:tblGrid>
      <w:tr w:rsidR="00B47442" w:rsidRPr="0009445C" w14:paraId="688C3E1D" w14:textId="77777777" w:rsidTr="003A014F">
        <w:trPr>
          <w:trHeight w:val="346"/>
        </w:trPr>
        <w:tc>
          <w:tcPr>
            <w:tcW w:w="9329" w:type="dxa"/>
            <w:gridSpan w:val="4"/>
            <w:tcBorders>
              <w:top w:val="single" w:sz="2" w:space="0" w:color="auto"/>
              <w:left w:val="single" w:sz="2" w:space="0" w:color="auto"/>
              <w:bottom w:val="single" w:sz="2" w:space="0" w:color="auto"/>
              <w:right w:val="single" w:sz="2" w:space="0" w:color="auto"/>
            </w:tcBorders>
            <w:shd w:val="clear" w:color="auto" w:fill="auto"/>
          </w:tcPr>
          <w:p w14:paraId="02AAABC4" w14:textId="77777777" w:rsidR="00B47442" w:rsidRPr="0009445C" w:rsidRDefault="00B47442" w:rsidP="0099521D">
            <w:pPr>
              <w:pStyle w:val="BRLTabelleberschrift"/>
              <w:rPr>
                <w:strike/>
              </w:rPr>
            </w:pPr>
            <w:r w:rsidRPr="0009445C">
              <w:t xml:space="preserve">Smoke extraction ducts pursuant to DIN V 18232-6:1997-10 in conjunction with DIN 4102-6:1977-09 </w:t>
            </w:r>
          </w:p>
        </w:tc>
      </w:tr>
      <w:tr w:rsidR="00B47442" w:rsidRPr="0009445C" w14:paraId="29129DF5" w14:textId="77777777" w:rsidTr="003A014F">
        <w:trPr>
          <w:trHeight w:val="412"/>
        </w:trPr>
        <w:tc>
          <w:tcPr>
            <w:tcW w:w="3323" w:type="dxa"/>
            <w:tcBorders>
              <w:top w:val="single" w:sz="2" w:space="0" w:color="auto"/>
              <w:left w:val="single" w:sz="2" w:space="0" w:color="auto"/>
              <w:bottom w:val="single" w:sz="2" w:space="0" w:color="auto"/>
              <w:right w:val="single" w:sz="2" w:space="0" w:color="auto"/>
            </w:tcBorders>
            <w:shd w:val="clear" w:color="auto" w:fill="auto"/>
            <w:vAlign w:val="center"/>
          </w:tcPr>
          <w:p w14:paraId="6737DC6A" w14:textId="77777777" w:rsidR="00B47442" w:rsidRPr="0009445C" w:rsidRDefault="00B47442" w:rsidP="0099521D">
            <w:pPr>
              <w:pStyle w:val="BRLTabelleberschrift"/>
            </w:pPr>
          </w:p>
        </w:tc>
        <w:tc>
          <w:tcPr>
            <w:tcW w:w="600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50FC558" w14:textId="77777777" w:rsidR="00B47442" w:rsidRPr="0009445C" w:rsidRDefault="00B47442" w:rsidP="0099521D">
            <w:pPr>
              <w:pStyle w:val="BRLTabelleberschrift"/>
              <w:jc w:val="center"/>
            </w:pPr>
            <w:r w:rsidRPr="0009445C">
              <w:t>Minimum necessary</w:t>
            </w:r>
          </w:p>
        </w:tc>
      </w:tr>
      <w:tr w:rsidR="00B47442" w:rsidRPr="0009445C" w14:paraId="3BEBB0BB" w14:textId="77777777" w:rsidTr="003A014F">
        <w:trPr>
          <w:gridAfter w:val="1"/>
          <w:wAfter w:w="7" w:type="dxa"/>
          <w:trHeight w:val="547"/>
        </w:trPr>
        <w:tc>
          <w:tcPr>
            <w:tcW w:w="3323" w:type="dxa"/>
            <w:tcBorders>
              <w:top w:val="single" w:sz="2" w:space="0" w:color="auto"/>
              <w:left w:val="single" w:sz="2" w:space="0" w:color="auto"/>
              <w:bottom w:val="single" w:sz="2" w:space="0" w:color="auto"/>
              <w:right w:val="single" w:sz="2" w:space="0" w:color="auto"/>
            </w:tcBorders>
            <w:shd w:val="clear" w:color="auto" w:fill="auto"/>
            <w:vAlign w:val="center"/>
          </w:tcPr>
          <w:p w14:paraId="4A428370" w14:textId="77777777" w:rsidR="00B47442" w:rsidRPr="0009445C" w:rsidRDefault="00B47442" w:rsidP="0099521D">
            <w:pPr>
              <w:pStyle w:val="BRLTabelleberschrift"/>
            </w:pPr>
            <w:r w:rsidRPr="0009445C">
              <w:t>Building approval requirement</w:t>
            </w:r>
          </w:p>
        </w:tc>
        <w:tc>
          <w:tcPr>
            <w:tcW w:w="3625" w:type="dxa"/>
            <w:tcBorders>
              <w:top w:val="single" w:sz="2" w:space="0" w:color="auto"/>
              <w:left w:val="single" w:sz="2" w:space="0" w:color="auto"/>
              <w:bottom w:val="single" w:sz="2" w:space="0" w:color="auto"/>
              <w:right w:val="single" w:sz="2" w:space="0" w:color="auto"/>
            </w:tcBorders>
            <w:shd w:val="clear" w:color="auto" w:fill="auto"/>
            <w:vAlign w:val="center"/>
          </w:tcPr>
          <w:p w14:paraId="039E222A" w14:textId="6C710765" w:rsidR="00B47442" w:rsidRPr="0009445C" w:rsidRDefault="00B47442" w:rsidP="00E612E8">
            <w:pPr>
              <w:pStyle w:val="BRLTabelleberschrift"/>
              <w:tabs>
                <w:tab w:val="clear" w:pos="851"/>
              </w:tabs>
              <w:ind w:left="0" w:firstLine="0"/>
              <w:jc w:val="center"/>
            </w:pPr>
            <w:r w:rsidRPr="0009445C">
              <w:t>Fire resistance class, category and compression level</w:t>
            </w:r>
          </w:p>
        </w:tc>
        <w:tc>
          <w:tcPr>
            <w:tcW w:w="2374" w:type="dxa"/>
            <w:tcBorders>
              <w:top w:val="single" w:sz="2" w:space="0" w:color="auto"/>
              <w:left w:val="single" w:sz="2" w:space="0" w:color="auto"/>
              <w:bottom w:val="single" w:sz="2" w:space="0" w:color="auto"/>
              <w:right w:val="single" w:sz="2" w:space="0" w:color="auto"/>
            </w:tcBorders>
            <w:shd w:val="clear" w:color="auto" w:fill="auto"/>
          </w:tcPr>
          <w:p w14:paraId="35C40474" w14:textId="0B7BB41C" w:rsidR="00B47442" w:rsidRPr="0009445C" w:rsidRDefault="00B47442" w:rsidP="00E612E8">
            <w:pPr>
              <w:pStyle w:val="BRLTabelleberschrift"/>
              <w:ind w:left="34" w:hanging="34"/>
              <w:jc w:val="center"/>
            </w:pPr>
            <w:r w:rsidRPr="0009445C">
              <w:t>Building material class according to DIN 4102-1:1998-05</w:t>
            </w:r>
          </w:p>
        </w:tc>
      </w:tr>
      <w:tr w:rsidR="00B47442" w:rsidRPr="0009445C" w14:paraId="26B5614F" w14:textId="77777777" w:rsidTr="003A014F">
        <w:trPr>
          <w:gridAfter w:val="1"/>
          <w:wAfter w:w="7" w:type="dxa"/>
        </w:trPr>
        <w:tc>
          <w:tcPr>
            <w:tcW w:w="3323" w:type="dxa"/>
            <w:tcBorders>
              <w:top w:val="single" w:sz="2" w:space="0" w:color="auto"/>
              <w:left w:val="single" w:sz="2" w:space="0" w:color="auto"/>
              <w:bottom w:val="single" w:sz="2" w:space="0" w:color="auto"/>
              <w:right w:val="single" w:sz="2" w:space="0" w:color="auto"/>
            </w:tcBorders>
            <w:shd w:val="clear" w:color="auto" w:fill="auto"/>
          </w:tcPr>
          <w:p w14:paraId="5BE7C090" w14:textId="77777777" w:rsidR="00B47442" w:rsidRPr="0009445C" w:rsidRDefault="00B47442" w:rsidP="0099521D">
            <w:pPr>
              <w:pStyle w:val="BRL-Tabelle"/>
              <w:keepNext/>
              <w:spacing w:before="60" w:after="40"/>
            </w:pPr>
            <w:r w:rsidRPr="0009445C">
              <w:t>Fire-retardant</w:t>
            </w:r>
          </w:p>
        </w:tc>
        <w:tc>
          <w:tcPr>
            <w:tcW w:w="3625" w:type="dxa"/>
            <w:tcBorders>
              <w:top w:val="single" w:sz="2" w:space="0" w:color="auto"/>
              <w:left w:val="single" w:sz="2" w:space="0" w:color="auto"/>
              <w:bottom w:val="single" w:sz="2" w:space="0" w:color="auto"/>
              <w:right w:val="single" w:sz="2" w:space="0" w:color="auto"/>
            </w:tcBorders>
            <w:shd w:val="clear" w:color="auto" w:fill="auto"/>
          </w:tcPr>
          <w:p w14:paraId="64D32ADA" w14:textId="77777777" w:rsidR="00B47442" w:rsidRPr="0009445C" w:rsidRDefault="00B47442" w:rsidP="0099521D">
            <w:pPr>
              <w:pStyle w:val="BRL-Tabelle"/>
              <w:keepNext/>
              <w:spacing w:before="60"/>
            </w:pPr>
            <w:r w:rsidRPr="0009445C">
              <w:t>L 30, category 3, and pressure level 1/2/3*</w:t>
            </w:r>
          </w:p>
        </w:tc>
        <w:tc>
          <w:tcPr>
            <w:tcW w:w="2374"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41FE588" w14:textId="77777777" w:rsidR="00B47442" w:rsidRPr="0009445C" w:rsidRDefault="00B47442" w:rsidP="0099521D">
            <w:pPr>
              <w:pStyle w:val="BRL-Tabelle"/>
              <w:keepNext/>
              <w:jc w:val="center"/>
            </w:pPr>
            <w:r w:rsidRPr="0009445C">
              <w:t>A2</w:t>
            </w:r>
          </w:p>
        </w:tc>
      </w:tr>
      <w:tr w:rsidR="00B47442" w:rsidRPr="0009445C" w14:paraId="00A43343" w14:textId="77777777" w:rsidTr="003A014F">
        <w:trPr>
          <w:gridAfter w:val="1"/>
          <w:wAfter w:w="7" w:type="dxa"/>
        </w:trPr>
        <w:tc>
          <w:tcPr>
            <w:tcW w:w="3323" w:type="dxa"/>
            <w:tcBorders>
              <w:top w:val="single" w:sz="2" w:space="0" w:color="auto"/>
              <w:left w:val="single" w:sz="2" w:space="0" w:color="auto"/>
              <w:bottom w:val="single" w:sz="2" w:space="0" w:color="auto"/>
              <w:right w:val="single" w:sz="2" w:space="0" w:color="auto"/>
            </w:tcBorders>
            <w:shd w:val="clear" w:color="auto" w:fill="auto"/>
          </w:tcPr>
          <w:p w14:paraId="1762D171" w14:textId="77777777" w:rsidR="00B47442" w:rsidRPr="0009445C" w:rsidRDefault="00B47442" w:rsidP="0099521D">
            <w:pPr>
              <w:pStyle w:val="BRL-Tabelle"/>
              <w:keepNext/>
              <w:spacing w:before="60" w:after="40"/>
            </w:pPr>
            <w:r w:rsidRPr="0009445C">
              <w:t>Highly fire-retardant</w:t>
            </w:r>
          </w:p>
        </w:tc>
        <w:tc>
          <w:tcPr>
            <w:tcW w:w="3625" w:type="dxa"/>
            <w:tcBorders>
              <w:top w:val="single" w:sz="2" w:space="0" w:color="auto"/>
              <w:left w:val="single" w:sz="2" w:space="0" w:color="auto"/>
              <w:bottom w:val="single" w:sz="2" w:space="0" w:color="auto"/>
              <w:right w:val="single" w:sz="2" w:space="0" w:color="auto"/>
            </w:tcBorders>
            <w:shd w:val="clear" w:color="auto" w:fill="auto"/>
          </w:tcPr>
          <w:p w14:paraId="4509A94D" w14:textId="77777777" w:rsidR="00B47442" w:rsidRPr="0009445C" w:rsidRDefault="00B47442" w:rsidP="0099521D">
            <w:pPr>
              <w:pStyle w:val="BRL-Tabelle"/>
              <w:keepNext/>
              <w:spacing w:before="60"/>
            </w:pPr>
            <w:r w:rsidRPr="0009445C">
              <w:t>L 60, category 3, and pressure level 1/2/3*</w:t>
            </w:r>
          </w:p>
        </w:tc>
        <w:tc>
          <w:tcPr>
            <w:tcW w:w="2374" w:type="dxa"/>
            <w:vMerge/>
            <w:tcBorders>
              <w:top w:val="single" w:sz="2" w:space="0" w:color="auto"/>
              <w:left w:val="single" w:sz="2" w:space="0" w:color="auto"/>
              <w:bottom w:val="single" w:sz="2" w:space="0" w:color="auto"/>
              <w:right w:val="single" w:sz="2" w:space="0" w:color="auto"/>
            </w:tcBorders>
            <w:shd w:val="clear" w:color="auto" w:fill="auto"/>
          </w:tcPr>
          <w:p w14:paraId="1EB0D33B" w14:textId="77777777" w:rsidR="00B47442" w:rsidRPr="0009445C" w:rsidRDefault="00B47442" w:rsidP="0099521D">
            <w:pPr>
              <w:pStyle w:val="BRL-Tabelle"/>
              <w:keepNext/>
            </w:pPr>
          </w:p>
        </w:tc>
      </w:tr>
      <w:tr w:rsidR="00B47442" w:rsidRPr="0009445C" w14:paraId="391CBDC7" w14:textId="77777777" w:rsidTr="003A014F">
        <w:trPr>
          <w:gridAfter w:val="1"/>
          <w:wAfter w:w="7" w:type="dxa"/>
        </w:trPr>
        <w:tc>
          <w:tcPr>
            <w:tcW w:w="3323" w:type="dxa"/>
            <w:tcBorders>
              <w:top w:val="single" w:sz="2" w:space="0" w:color="auto"/>
              <w:left w:val="single" w:sz="2" w:space="0" w:color="auto"/>
              <w:bottom w:val="single" w:sz="2" w:space="0" w:color="auto"/>
              <w:right w:val="single" w:sz="2" w:space="0" w:color="auto"/>
            </w:tcBorders>
            <w:shd w:val="clear" w:color="auto" w:fill="auto"/>
          </w:tcPr>
          <w:p w14:paraId="364F46FD" w14:textId="77777777" w:rsidR="00B47442" w:rsidRPr="0009445C" w:rsidRDefault="00B47442" w:rsidP="0099521D">
            <w:pPr>
              <w:pStyle w:val="BRL-Tabelle"/>
              <w:keepNext/>
              <w:spacing w:before="60" w:after="40"/>
            </w:pPr>
            <w:r w:rsidRPr="0009445C">
              <w:t>Fire-resistant</w:t>
            </w:r>
          </w:p>
        </w:tc>
        <w:tc>
          <w:tcPr>
            <w:tcW w:w="3625" w:type="dxa"/>
            <w:tcBorders>
              <w:top w:val="single" w:sz="2" w:space="0" w:color="auto"/>
              <w:left w:val="single" w:sz="2" w:space="0" w:color="auto"/>
              <w:bottom w:val="single" w:sz="2" w:space="0" w:color="auto"/>
              <w:right w:val="single" w:sz="2" w:space="0" w:color="auto"/>
            </w:tcBorders>
            <w:shd w:val="clear" w:color="auto" w:fill="auto"/>
          </w:tcPr>
          <w:p w14:paraId="1A6333DA" w14:textId="77777777" w:rsidR="00B47442" w:rsidRPr="0009445C" w:rsidRDefault="00B47442" w:rsidP="0099521D">
            <w:pPr>
              <w:pStyle w:val="BRL-Tabelle"/>
              <w:keepNext/>
              <w:spacing w:before="60"/>
            </w:pPr>
            <w:r w:rsidRPr="0009445C">
              <w:t>L 90, category 3, and pressure level 1/2/3*</w:t>
            </w:r>
          </w:p>
        </w:tc>
        <w:tc>
          <w:tcPr>
            <w:tcW w:w="2374" w:type="dxa"/>
            <w:vMerge/>
            <w:tcBorders>
              <w:top w:val="single" w:sz="2" w:space="0" w:color="auto"/>
              <w:left w:val="single" w:sz="2" w:space="0" w:color="auto"/>
              <w:bottom w:val="single" w:sz="2" w:space="0" w:color="auto"/>
              <w:right w:val="single" w:sz="2" w:space="0" w:color="auto"/>
            </w:tcBorders>
            <w:shd w:val="clear" w:color="auto" w:fill="auto"/>
          </w:tcPr>
          <w:p w14:paraId="6AC8EC43" w14:textId="77777777" w:rsidR="00B47442" w:rsidRPr="0009445C" w:rsidRDefault="00B47442" w:rsidP="0099521D">
            <w:pPr>
              <w:pStyle w:val="BRL-Tabelle"/>
              <w:keepNext/>
            </w:pPr>
          </w:p>
        </w:tc>
      </w:tr>
      <w:tr w:rsidR="00B47442" w:rsidRPr="0009445C" w14:paraId="5E8D698B" w14:textId="77777777" w:rsidTr="003A014F">
        <w:tc>
          <w:tcPr>
            <w:tcW w:w="9329" w:type="dxa"/>
            <w:gridSpan w:val="4"/>
            <w:tcBorders>
              <w:top w:val="single" w:sz="2" w:space="0" w:color="auto"/>
              <w:left w:val="single" w:sz="2" w:space="0" w:color="auto"/>
              <w:bottom w:val="single" w:sz="2" w:space="0" w:color="auto"/>
              <w:right w:val="single" w:sz="2" w:space="0" w:color="auto"/>
            </w:tcBorders>
            <w:shd w:val="clear" w:color="auto" w:fill="auto"/>
          </w:tcPr>
          <w:p w14:paraId="1EA94374" w14:textId="77777777" w:rsidR="00B47442" w:rsidRPr="0009445C" w:rsidRDefault="00B47442" w:rsidP="0099521D">
            <w:pPr>
              <w:pStyle w:val="BRL-Tabelle"/>
              <w:keepNext/>
              <w:tabs>
                <w:tab w:val="left" w:pos="459"/>
              </w:tabs>
              <w:spacing w:before="60" w:after="40"/>
            </w:pPr>
            <w:r w:rsidRPr="0009445C">
              <w:t>*</w:t>
            </w:r>
            <w:r w:rsidRPr="0009445C">
              <w:tab/>
              <w:t>Depending on intended use, but at least pressure rating 1</w:t>
            </w:r>
          </w:p>
        </w:tc>
      </w:tr>
    </w:tbl>
    <w:p w14:paraId="7216E05F" w14:textId="77777777" w:rsidR="00B47442" w:rsidRPr="0009445C" w:rsidRDefault="00B47442" w:rsidP="00B47442">
      <w:pPr>
        <w:pStyle w:val="BRL-Standard"/>
      </w:pPr>
    </w:p>
    <w:p w14:paraId="72AA8569" w14:textId="77777777" w:rsidR="00B47442" w:rsidRPr="0009445C" w:rsidRDefault="00B47442" w:rsidP="00B47442">
      <w:pPr>
        <w:pStyle w:val="BRL-Standard"/>
        <w:rPr>
          <w:rFonts w:cs="Arial"/>
        </w:rPr>
      </w:pPr>
      <w:r w:rsidRPr="0009445C">
        <w:t>When using construction products for mechanical smoke extraction systems for which there are harmonised technical specifications pursuant to Regulation (EU) No 305/2011, the performance of key features shall be at least as given in Table 2 in conjunction with Table 3 and Table 4.</w:t>
      </w:r>
    </w:p>
    <w:p w14:paraId="12CCF260" w14:textId="77777777" w:rsidR="00B47442" w:rsidRPr="0009445C" w:rsidRDefault="00B47442" w:rsidP="00B47442">
      <w:pPr>
        <w:spacing w:after="200"/>
        <w:rPr>
          <w:rFonts w:cs="Arial"/>
        </w:rPr>
      </w:pPr>
    </w:p>
    <w:p w14:paraId="5B7B0FA2" w14:textId="77777777" w:rsidR="00B47442" w:rsidRPr="0009445C" w:rsidRDefault="00B47442" w:rsidP="00B47442">
      <w:pPr>
        <w:pStyle w:val="BRL-Standard"/>
        <w:keepNext/>
        <w:spacing w:after="60"/>
      </w:pPr>
      <w:r w:rsidRPr="0009445C">
        <w:t>Explanation for Table 2</w:t>
      </w:r>
    </w:p>
    <w:tbl>
      <w:tblPr>
        <w:tblW w:w="918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9"/>
        <w:gridCol w:w="8186"/>
      </w:tblGrid>
      <w:tr w:rsidR="00B47442" w:rsidRPr="0009445C" w14:paraId="5AD876B9" w14:textId="77777777" w:rsidTr="0099521D">
        <w:tc>
          <w:tcPr>
            <w:tcW w:w="990" w:type="dxa"/>
            <w:shd w:val="clear" w:color="auto" w:fill="auto"/>
          </w:tcPr>
          <w:p w14:paraId="1B13B3FD" w14:textId="77777777" w:rsidR="00B47442" w:rsidRPr="0009445C" w:rsidRDefault="00B47442" w:rsidP="0099521D">
            <w:pPr>
              <w:pStyle w:val="Tabellentext"/>
              <w:keepNext/>
              <w:spacing w:before="60" w:after="40"/>
              <w:jc w:val="left"/>
              <w:rPr>
                <w:rFonts w:cs="Arial"/>
                <w:b/>
              </w:rPr>
            </w:pPr>
            <w:r w:rsidRPr="0009445C">
              <w:rPr>
                <w:b/>
              </w:rPr>
              <w:t>Column no.</w:t>
            </w:r>
          </w:p>
        </w:tc>
        <w:tc>
          <w:tcPr>
            <w:tcW w:w="8195" w:type="dxa"/>
            <w:shd w:val="clear" w:color="auto" w:fill="auto"/>
          </w:tcPr>
          <w:p w14:paraId="5DECA73B" w14:textId="77777777" w:rsidR="00B47442" w:rsidRPr="0009445C" w:rsidRDefault="00B47442" w:rsidP="0099521D">
            <w:pPr>
              <w:pStyle w:val="Tabellentext"/>
              <w:keepNext/>
              <w:spacing w:before="60" w:after="40"/>
              <w:jc w:val="left"/>
              <w:rPr>
                <w:rFonts w:cs="Arial"/>
                <w:b/>
              </w:rPr>
            </w:pPr>
            <w:r w:rsidRPr="0009445C">
              <w:rPr>
                <w:b/>
              </w:rPr>
              <w:t>Product according to harmonised standard</w:t>
            </w:r>
          </w:p>
        </w:tc>
      </w:tr>
      <w:tr w:rsidR="00B47442" w:rsidRPr="0009445C" w14:paraId="37A0C71A" w14:textId="77777777" w:rsidTr="0099521D">
        <w:tc>
          <w:tcPr>
            <w:tcW w:w="990" w:type="dxa"/>
            <w:shd w:val="clear" w:color="auto" w:fill="auto"/>
          </w:tcPr>
          <w:p w14:paraId="3D4F6D73" w14:textId="77777777" w:rsidR="00B47442" w:rsidRPr="0009445C" w:rsidRDefault="00B47442" w:rsidP="0099521D">
            <w:pPr>
              <w:pStyle w:val="BRL-Tabelle"/>
              <w:keepNext/>
              <w:spacing w:before="60" w:after="40"/>
            </w:pPr>
            <w:r w:rsidRPr="0009445C">
              <w:t>2</w:t>
            </w:r>
          </w:p>
        </w:tc>
        <w:tc>
          <w:tcPr>
            <w:tcW w:w="8195" w:type="dxa"/>
            <w:shd w:val="clear" w:color="auto" w:fill="auto"/>
          </w:tcPr>
          <w:p w14:paraId="2B26B13E" w14:textId="77777777" w:rsidR="00B47442" w:rsidRPr="0009445C" w:rsidRDefault="00B47442" w:rsidP="0099521D">
            <w:pPr>
              <w:pStyle w:val="BRL-Tabelle"/>
              <w:keepNext/>
              <w:spacing w:before="60" w:after="40"/>
            </w:pPr>
            <w:r w:rsidRPr="0009445C">
              <w:t xml:space="preserve">EN 12101-2:2003 Smoke and heat control systems </w:t>
            </w:r>
          </w:p>
          <w:p w14:paraId="066A508C" w14:textId="77777777" w:rsidR="00B47442" w:rsidRPr="0009445C" w:rsidRDefault="00B47442" w:rsidP="0099521D">
            <w:pPr>
              <w:pStyle w:val="BRL-Tabelle"/>
              <w:keepNext/>
              <w:spacing w:before="60" w:after="40"/>
            </w:pPr>
            <w:r w:rsidRPr="0009445C">
              <w:t>Part 2: Specifications for natural smoke and heat extraction devices</w:t>
            </w:r>
            <w:bookmarkStart w:id="113" w:name="_Ref82184685"/>
            <w:r w:rsidRPr="0009445C">
              <w:rPr>
                <w:vertAlign w:val="superscript"/>
              </w:rPr>
              <w:footnoteReference w:id="109"/>
            </w:r>
            <w:bookmarkEnd w:id="113"/>
          </w:p>
        </w:tc>
      </w:tr>
      <w:tr w:rsidR="00B47442" w:rsidRPr="0009445C" w14:paraId="4466BB15" w14:textId="77777777" w:rsidTr="0099521D">
        <w:tc>
          <w:tcPr>
            <w:tcW w:w="990" w:type="dxa"/>
            <w:shd w:val="clear" w:color="auto" w:fill="auto"/>
          </w:tcPr>
          <w:p w14:paraId="2E030BC9" w14:textId="77777777" w:rsidR="00B47442" w:rsidRPr="0009445C" w:rsidRDefault="00B47442" w:rsidP="0099521D">
            <w:pPr>
              <w:pStyle w:val="BRL-Tabelle"/>
              <w:keepNext/>
              <w:spacing w:before="60" w:after="40"/>
            </w:pPr>
            <w:r w:rsidRPr="0009445C">
              <w:t>3</w:t>
            </w:r>
          </w:p>
        </w:tc>
        <w:tc>
          <w:tcPr>
            <w:tcW w:w="8195" w:type="dxa"/>
            <w:shd w:val="clear" w:color="auto" w:fill="auto"/>
          </w:tcPr>
          <w:p w14:paraId="45E7E19B" w14:textId="77777777" w:rsidR="00B47442" w:rsidRPr="0009445C" w:rsidRDefault="00B47442" w:rsidP="0099521D">
            <w:pPr>
              <w:pStyle w:val="BRL-Tabelle"/>
              <w:keepNext/>
              <w:spacing w:before="60" w:after="40"/>
            </w:pPr>
            <w:r w:rsidRPr="0009445C">
              <w:t xml:space="preserve">EN 12101-3: 2015 Smoke and heat control </w:t>
            </w:r>
          </w:p>
          <w:p w14:paraId="6BC6CB00" w14:textId="4481B73E" w:rsidR="00B47442" w:rsidRPr="0009445C" w:rsidRDefault="00B47442" w:rsidP="0099521D">
            <w:pPr>
              <w:pStyle w:val="BRL-Tabelle"/>
              <w:keepNext/>
              <w:spacing w:before="60" w:after="40"/>
            </w:pPr>
            <w:r w:rsidRPr="0009445C">
              <w:t>Part 3: Provisions for mechanical smoke and heat extractors</w:t>
            </w:r>
            <w:r w:rsidRPr="0009445C">
              <w:rPr>
                <w:rStyle w:val="FootnoteReference"/>
                <w:sz w:val="12"/>
              </w:rPr>
              <w:fldChar w:fldCharType="begin"/>
            </w:r>
            <w:r w:rsidRPr="0009445C">
              <w:rPr>
                <w:rStyle w:val="FootnoteReference"/>
                <w:sz w:val="12"/>
              </w:rPr>
              <w:instrText xml:space="preserve"> NOTEREF _Ref82184271 \h  \* MERGEFORMAT </w:instrText>
            </w:r>
            <w:r w:rsidRPr="0009445C">
              <w:rPr>
                <w:rStyle w:val="FootnoteReference"/>
                <w:sz w:val="12"/>
              </w:rPr>
            </w:r>
            <w:r w:rsidRPr="0009445C">
              <w:rPr>
                <w:rStyle w:val="FootnoteReference"/>
                <w:sz w:val="12"/>
              </w:rPr>
              <w:fldChar w:fldCharType="separate"/>
            </w:r>
            <w:r w:rsidR="0009445C" w:rsidRPr="0009445C">
              <w:rPr>
                <w:rStyle w:val="FootnoteReference"/>
                <w:sz w:val="12"/>
              </w:rPr>
              <w:t>44</w:t>
            </w:r>
            <w:r w:rsidRPr="0009445C">
              <w:rPr>
                <w:rStyle w:val="FootnoteReference"/>
                <w:sz w:val="12"/>
              </w:rPr>
              <w:fldChar w:fldCharType="end"/>
            </w:r>
          </w:p>
        </w:tc>
      </w:tr>
      <w:tr w:rsidR="00B47442" w:rsidRPr="0009445C" w14:paraId="44065C77" w14:textId="77777777" w:rsidTr="0099521D">
        <w:tc>
          <w:tcPr>
            <w:tcW w:w="990" w:type="dxa"/>
            <w:shd w:val="clear" w:color="auto" w:fill="auto"/>
          </w:tcPr>
          <w:p w14:paraId="3423E6AD" w14:textId="77777777" w:rsidR="00B47442" w:rsidRPr="0009445C" w:rsidRDefault="00B47442" w:rsidP="0099521D">
            <w:pPr>
              <w:pStyle w:val="BRL-Tabelle"/>
              <w:keepNext/>
              <w:spacing w:before="60" w:after="40"/>
            </w:pPr>
            <w:r w:rsidRPr="0009445C">
              <w:t>4</w:t>
            </w:r>
          </w:p>
        </w:tc>
        <w:tc>
          <w:tcPr>
            <w:tcW w:w="8195" w:type="dxa"/>
            <w:shd w:val="clear" w:color="auto" w:fill="auto"/>
          </w:tcPr>
          <w:p w14:paraId="605550B7" w14:textId="77777777" w:rsidR="00B47442" w:rsidRPr="0009445C" w:rsidRDefault="00B47442" w:rsidP="0099521D">
            <w:pPr>
              <w:pStyle w:val="BRL-Tabelle"/>
              <w:keepNext/>
              <w:spacing w:before="60" w:after="40"/>
            </w:pPr>
            <w:r w:rsidRPr="0009445C">
              <w:t>EN 12101-7:2011 Smoke and heat control systems – Part 7: Smoke duct Sections</w:t>
            </w:r>
            <w:r w:rsidRPr="0009445C">
              <w:rPr>
                <w:vertAlign w:val="superscript"/>
              </w:rPr>
              <w:footnoteReference w:id="110"/>
            </w:r>
          </w:p>
        </w:tc>
      </w:tr>
      <w:tr w:rsidR="00B47442" w:rsidRPr="0009445C" w14:paraId="29C4ABD5" w14:textId="77777777" w:rsidTr="0099521D">
        <w:tc>
          <w:tcPr>
            <w:tcW w:w="990" w:type="dxa"/>
            <w:shd w:val="clear" w:color="auto" w:fill="auto"/>
          </w:tcPr>
          <w:p w14:paraId="43160EDB" w14:textId="77777777" w:rsidR="00B47442" w:rsidRPr="0009445C" w:rsidRDefault="00B47442" w:rsidP="0099521D">
            <w:pPr>
              <w:pStyle w:val="BRL-Tabelle"/>
              <w:keepNext/>
              <w:spacing w:before="60" w:after="40"/>
            </w:pPr>
            <w:r w:rsidRPr="0009445C">
              <w:t>5</w:t>
            </w:r>
          </w:p>
        </w:tc>
        <w:tc>
          <w:tcPr>
            <w:tcW w:w="8195" w:type="dxa"/>
            <w:shd w:val="clear" w:color="auto" w:fill="auto"/>
          </w:tcPr>
          <w:p w14:paraId="4044C84B" w14:textId="7D5C2CCF" w:rsidR="00B47442" w:rsidRPr="0009445C" w:rsidRDefault="00B47442" w:rsidP="0099521D">
            <w:pPr>
              <w:pStyle w:val="BRL-Tabelle"/>
              <w:keepNext/>
              <w:spacing w:before="60" w:after="40"/>
            </w:pPr>
            <w:r w:rsidRPr="0009445C">
              <w:t>EN 12101-8:2011 Smoke and heat control systems – Part 8: Smoke extraction dampers</w:t>
            </w:r>
            <w:r w:rsidR="00AE34C5" w:rsidRPr="0009445C">
              <w:fldChar w:fldCharType="begin"/>
            </w:r>
            <w:r w:rsidR="00AE34C5" w:rsidRPr="0009445C">
              <w:instrText xml:space="preserve"> NOTEREF _Ref107324460 \f \h </w:instrText>
            </w:r>
            <w:r w:rsidR="0009445C" w:rsidRPr="0009445C">
              <w:instrText xml:space="preserve"> \* MERGEFORMAT </w:instrText>
            </w:r>
            <w:r w:rsidR="00AE34C5" w:rsidRPr="0009445C">
              <w:fldChar w:fldCharType="separate"/>
            </w:r>
            <w:r w:rsidR="0009445C" w:rsidRPr="0009445C">
              <w:rPr>
                <w:rStyle w:val="FootnoteReference"/>
              </w:rPr>
              <w:t>45</w:t>
            </w:r>
            <w:r w:rsidR="00AE34C5" w:rsidRPr="0009445C">
              <w:fldChar w:fldCharType="end"/>
            </w:r>
          </w:p>
        </w:tc>
      </w:tr>
      <w:tr w:rsidR="00B47442" w:rsidRPr="0009445C" w14:paraId="391DF3D4" w14:textId="77777777" w:rsidTr="0099521D">
        <w:tc>
          <w:tcPr>
            <w:tcW w:w="990" w:type="dxa"/>
            <w:shd w:val="clear" w:color="auto" w:fill="auto"/>
          </w:tcPr>
          <w:p w14:paraId="7900C1E6" w14:textId="77777777" w:rsidR="00B47442" w:rsidRPr="0009445C" w:rsidRDefault="00B47442" w:rsidP="0099521D">
            <w:pPr>
              <w:pStyle w:val="BRL-Tabelle"/>
              <w:keepNext/>
              <w:spacing w:before="60" w:after="40"/>
            </w:pPr>
            <w:r w:rsidRPr="0009445C">
              <w:t>6</w:t>
            </w:r>
          </w:p>
        </w:tc>
        <w:tc>
          <w:tcPr>
            <w:tcW w:w="8195" w:type="dxa"/>
            <w:shd w:val="clear" w:color="auto" w:fill="auto"/>
          </w:tcPr>
          <w:p w14:paraId="2D1B8540" w14:textId="77777777" w:rsidR="00B47442" w:rsidRPr="0009445C" w:rsidRDefault="00B47442" w:rsidP="0099521D">
            <w:pPr>
              <w:pStyle w:val="BRL-Tabelle"/>
              <w:keepNext/>
              <w:spacing w:before="60" w:after="40"/>
            </w:pPr>
            <w:r w:rsidRPr="0009445C">
              <w:t xml:space="preserve">EN 12101-10:2005/AC:2007 Smoke and heat control systems </w:t>
            </w:r>
          </w:p>
          <w:p w14:paraId="13D3A2EC" w14:textId="77777777" w:rsidR="00B47442" w:rsidRPr="0009445C" w:rsidRDefault="00B47442" w:rsidP="0099521D">
            <w:pPr>
              <w:pStyle w:val="BRL-Tabelle"/>
              <w:keepNext/>
              <w:spacing w:before="60" w:after="40"/>
            </w:pPr>
            <w:r w:rsidRPr="0009445C">
              <w:t>Part 10: Energy supply</w:t>
            </w:r>
            <w:r w:rsidRPr="0009445C">
              <w:rPr>
                <w:vertAlign w:val="superscript"/>
              </w:rPr>
              <w:footnoteReference w:id="111"/>
            </w:r>
          </w:p>
        </w:tc>
      </w:tr>
    </w:tbl>
    <w:p w14:paraId="4D1FD96B" w14:textId="77777777" w:rsidR="00B47442" w:rsidRPr="0009445C" w:rsidRDefault="00B47442" w:rsidP="00B47442">
      <w:pPr>
        <w:pStyle w:val="BRL-Standard"/>
      </w:pPr>
    </w:p>
    <w:p w14:paraId="59E4A9B3" w14:textId="77777777" w:rsidR="00B47442" w:rsidRPr="0009445C" w:rsidRDefault="00B47442" w:rsidP="00B47442">
      <w:pPr>
        <w:pStyle w:val="BRL-Standard"/>
        <w:keepNext/>
        <w:spacing w:after="60"/>
        <w:rPr>
          <w:b/>
        </w:rPr>
      </w:pPr>
      <w:r w:rsidRPr="0009445C">
        <w:rPr>
          <w:b/>
        </w:rPr>
        <w:lastRenderedPageBreak/>
        <w:t>Table 2:</w:t>
      </w: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22"/>
        <w:gridCol w:w="827"/>
        <w:gridCol w:w="690"/>
        <w:gridCol w:w="827"/>
        <w:gridCol w:w="828"/>
        <w:gridCol w:w="764"/>
      </w:tblGrid>
      <w:tr w:rsidR="00B47442" w:rsidRPr="0009445C" w14:paraId="516E6C3D" w14:textId="77777777" w:rsidTr="003A014F">
        <w:trPr>
          <w:trHeight w:val="227"/>
          <w:tblHeader/>
        </w:trPr>
        <w:tc>
          <w:tcPr>
            <w:tcW w:w="5422" w:type="dxa"/>
            <w:tcBorders>
              <w:top w:val="single" w:sz="2" w:space="0" w:color="auto"/>
              <w:left w:val="single" w:sz="2" w:space="0" w:color="auto"/>
              <w:bottom w:val="single" w:sz="2" w:space="0" w:color="auto"/>
              <w:right w:val="single" w:sz="2" w:space="0" w:color="auto"/>
            </w:tcBorders>
            <w:shd w:val="clear" w:color="auto" w:fill="auto"/>
          </w:tcPr>
          <w:p w14:paraId="344F0AF9" w14:textId="77777777" w:rsidR="00B47442" w:rsidRPr="0009445C" w:rsidRDefault="00B47442" w:rsidP="0099521D">
            <w:pPr>
              <w:pStyle w:val="BRLTabelleberschrift"/>
            </w:pPr>
            <w:r w:rsidRPr="0009445C">
              <w:t>Essential feature</w:t>
            </w:r>
          </w:p>
        </w:tc>
        <w:tc>
          <w:tcPr>
            <w:tcW w:w="3936" w:type="dxa"/>
            <w:gridSpan w:val="5"/>
            <w:tcBorders>
              <w:top w:val="single" w:sz="2" w:space="0" w:color="auto"/>
              <w:left w:val="single" w:sz="2" w:space="0" w:color="auto"/>
              <w:bottom w:val="single" w:sz="2" w:space="0" w:color="auto"/>
              <w:right w:val="single" w:sz="2" w:space="0" w:color="auto"/>
            </w:tcBorders>
            <w:shd w:val="clear" w:color="auto" w:fill="auto"/>
            <w:noWrap/>
            <w:vAlign w:val="center"/>
          </w:tcPr>
          <w:p w14:paraId="5764CF38" w14:textId="77777777" w:rsidR="00B47442" w:rsidRPr="0009445C" w:rsidRDefault="00B47442" w:rsidP="0099521D">
            <w:pPr>
              <w:pStyle w:val="BRLTabelleberschrift"/>
            </w:pPr>
            <w:r w:rsidRPr="0009445C">
              <w:t>Product according to harmonised standard</w:t>
            </w:r>
          </w:p>
        </w:tc>
      </w:tr>
      <w:tr w:rsidR="00B47442" w:rsidRPr="0009445C" w14:paraId="61626256" w14:textId="77777777" w:rsidTr="003A014F">
        <w:trPr>
          <w:trHeight w:val="227"/>
          <w:tblHeader/>
        </w:trPr>
        <w:tc>
          <w:tcPr>
            <w:tcW w:w="5422" w:type="dxa"/>
            <w:tcBorders>
              <w:top w:val="single" w:sz="2" w:space="0" w:color="auto"/>
              <w:left w:val="single" w:sz="2" w:space="0" w:color="auto"/>
              <w:bottom w:val="single" w:sz="2" w:space="0" w:color="auto"/>
              <w:right w:val="single" w:sz="2" w:space="0" w:color="auto"/>
            </w:tcBorders>
            <w:shd w:val="clear" w:color="auto" w:fill="auto"/>
          </w:tcPr>
          <w:p w14:paraId="143B3249" w14:textId="77777777" w:rsidR="00B47442" w:rsidRPr="0009445C" w:rsidRDefault="00B47442" w:rsidP="0099521D">
            <w:pPr>
              <w:pStyle w:val="BRL-Tabelle"/>
              <w:keepNext/>
              <w:jc w:val="center"/>
            </w:pPr>
            <w:r w:rsidRPr="0009445C">
              <w:t>1</w:t>
            </w:r>
          </w:p>
        </w:tc>
        <w:tc>
          <w:tcPr>
            <w:tcW w:w="827" w:type="dxa"/>
            <w:tcBorders>
              <w:top w:val="single" w:sz="2" w:space="0" w:color="auto"/>
              <w:left w:val="single" w:sz="2" w:space="0" w:color="auto"/>
              <w:bottom w:val="single" w:sz="2" w:space="0" w:color="auto"/>
              <w:right w:val="single" w:sz="2" w:space="0" w:color="auto"/>
            </w:tcBorders>
            <w:shd w:val="clear" w:color="auto" w:fill="auto"/>
            <w:noWrap/>
          </w:tcPr>
          <w:p w14:paraId="3E04D0FE" w14:textId="77777777" w:rsidR="00B47442" w:rsidRPr="0009445C" w:rsidRDefault="00B47442" w:rsidP="0099521D">
            <w:pPr>
              <w:pStyle w:val="BRL-Tabelle"/>
              <w:keepNext/>
              <w:jc w:val="center"/>
            </w:pPr>
            <w:r w:rsidRPr="0009445C">
              <w:t>2</w:t>
            </w:r>
          </w:p>
        </w:tc>
        <w:tc>
          <w:tcPr>
            <w:tcW w:w="690" w:type="dxa"/>
            <w:tcBorders>
              <w:top w:val="single" w:sz="2" w:space="0" w:color="auto"/>
              <w:left w:val="single" w:sz="2" w:space="0" w:color="auto"/>
              <w:bottom w:val="single" w:sz="2" w:space="0" w:color="auto"/>
              <w:right w:val="single" w:sz="2" w:space="0" w:color="auto"/>
            </w:tcBorders>
            <w:shd w:val="clear" w:color="auto" w:fill="auto"/>
            <w:noWrap/>
          </w:tcPr>
          <w:p w14:paraId="59D27C22" w14:textId="77777777" w:rsidR="00B47442" w:rsidRPr="0009445C" w:rsidRDefault="00B47442" w:rsidP="0099521D">
            <w:pPr>
              <w:pStyle w:val="BRL-Tabelle"/>
              <w:keepNext/>
              <w:jc w:val="center"/>
            </w:pPr>
            <w:r w:rsidRPr="0009445C">
              <w:t>3</w:t>
            </w:r>
          </w:p>
        </w:tc>
        <w:tc>
          <w:tcPr>
            <w:tcW w:w="827" w:type="dxa"/>
            <w:tcBorders>
              <w:top w:val="single" w:sz="2" w:space="0" w:color="auto"/>
              <w:left w:val="single" w:sz="2" w:space="0" w:color="auto"/>
              <w:bottom w:val="single" w:sz="2" w:space="0" w:color="auto"/>
              <w:right w:val="single" w:sz="2" w:space="0" w:color="auto"/>
            </w:tcBorders>
            <w:shd w:val="clear" w:color="auto" w:fill="auto"/>
            <w:noWrap/>
          </w:tcPr>
          <w:p w14:paraId="7AF118B6" w14:textId="77777777" w:rsidR="00B47442" w:rsidRPr="0009445C" w:rsidRDefault="00B47442" w:rsidP="0099521D">
            <w:pPr>
              <w:pStyle w:val="BRL-Tabelle"/>
              <w:keepNext/>
              <w:jc w:val="center"/>
            </w:pPr>
            <w:r w:rsidRPr="0009445C">
              <w:t>4</w:t>
            </w:r>
          </w:p>
        </w:tc>
        <w:tc>
          <w:tcPr>
            <w:tcW w:w="828" w:type="dxa"/>
            <w:tcBorders>
              <w:top w:val="single" w:sz="2" w:space="0" w:color="auto"/>
              <w:left w:val="single" w:sz="2" w:space="0" w:color="auto"/>
              <w:bottom w:val="single" w:sz="2" w:space="0" w:color="auto"/>
              <w:right w:val="single" w:sz="2" w:space="0" w:color="auto"/>
            </w:tcBorders>
            <w:shd w:val="clear" w:color="auto" w:fill="auto"/>
            <w:noWrap/>
          </w:tcPr>
          <w:p w14:paraId="0E4E01B2" w14:textId="77777777" w:rsidR="00B47442" w:rsidRPr="0009445C" w:rsidRDefault="00B47442" w:rsidP="0099521D">
            <w:pPr>
              <w:pStyle w:val="BRL-Tabelle"/>
              <w:keepNext/>
              <w:jc w:val="center"/>
            </w:pPr>
            <w:r w:rsidRPr="0009445C">
              <w:t>5</w:t>
            </w:r>
          </w:p>
        </w:tc>
        <w:tc>
          <w:tcPr>
            <w:tcW w:w="764" w:type="dxa"/>
            <w:tcBorders>
              <w:top w:val="single" w:sz="2" w:space="0" w:color="auto"/>
              <w:left w:val="single" w:sz="2" w:space="0" w:color="auto"/>
              <w:bottom w:val="single" w:sz="2" w:space="0" w:color="auto"/>
              <w:right w:val="single" w:sz="2" w:space="0" w:color="auto"/>
            </w:tcBorders>
            <w:shd w:val="clear" w:color="auto" w:fill="auto"/>
            <w:noWrap/>
          </w:tcPr>
          <w:p w14:paraId="61A3BBA4" w14:textId="77777777" w:rsidR="00B47442" w:rsidRPr="0009445C" w:rsidRDefault="00B47442" w:rsidP="0099521D">
            <w:pPr>
              <w:pStyle w:val="BRL-Tabelle"/>
              <w:keepNext/>
              <w:jc w:val="center"/>
            </w:pPr>
            <w:r w:rsidRPr="0009445C">
              <w:t>6</w:t>
            </w:r>
          </w:p>
        </w:tc>
      </w:tr>
      <w:tr w:rsidR="00B47442" w:rsidRPr="0009445C" w14:paraId="37297450"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hideMark/>
          </w:tcPr>
          <w:p w14:paraId="16635C54" w14:textId="77777777" w:rsidR="00B47442" w:rsidRPr="0009445C" w:rsidRDefault="00B47442" w:rsidP="0099521D">
            <w:pPr>
              <w:pStyle w:val="BRL-Tabelle"/>
              <w:keepNext/>
              <w:rPr>
                <w:b/>
              </w:rPr>
            </w:pPr>
            <w:r w:rsidRPr="0009445C">
              <w:rPr>
                <w:b/>
              </w:rPr>
              <w:t>Nominal trigger conditions/sensitivity</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D9C93F" w14:textId="77777777" w:rsidR="00B47442" w:rsidRPr="0009445C" w:rsidRDefault="00B47442" w:rsidP="0099521D">
            <w:pPr>
              <w:pStyle w:val="BRL-Tabelle"/>
              <w:keepNext/>
              <w:jc w:val="center"/>
            </w:pPr>
            <w:r w:rsidRPr="0009445C">
              <w:t>X</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0A61B5"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534548"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959D8C"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C9B4CA" w14:textId="77777777" w:rsidR="00B47442" w:rsidRPr="0009445C" w:rsidRDefault="00B47442" w:rsidP="0099521D">
            <w:pPr>
              <w:pStyle w:val="BRL-Tabelle"/>
              <w:keepNext/>
              <w:jc w:val="center"/>
            </w:pPr>
          </w:p>
        </w:tc>
      </w:tr>
      <w:tr w:rsidR="00B47442" w:rsidRPr="0009445C" w14:paraId="1C29FB5E"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hideMark/>
          </w:tcPr>
          <w:p w14:paraId="4C5FED1D" w14:textId="7B90C4F7" w:rsidR="00B47442" w:rsidRPr="0009445C" w:rsidRDefault="00B47442" w:rsidP="0099521D">
            <w:pPr>
              <w:pStyle w:val="BRL-Tabelle"/>
              <w:keepNext/>
              <w:rPr>
                <w:b/>
              </w:rPr>
            </w:pPr>
          </w:p>
        </w:tc>
        <w:tc>
          <w:tcPr>
            <w:tcW w:w="3936"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7185963" w14:textId="77777777" w:rsidR="00B47442" w:rsidRPr="0009445C" w:rsidRDefault="00B47442" w:rsidP="0099521D">
            <w:pPr>
              <w:pStyle w:val="BRL-Tabelle"/>
              <w:keepNext/>
              <w:jc w:val="center"/>
            </w:pPr>
          </w:p>
        </w:tc>
      </w:tr>
      <w:tr w:rsidR="00B47442" w:rsidRPr="0009445C" w14:paraId="142707FF"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9CF4CE" w14:textId="7BE133E2" w:rsidR="00B47442" w:rsidRPr="0009445C" w:rsidRDefault="00E60F8A" w:rsidP="0099521D">
            <w:pPr>
              <w:pStyle w:val="BRL-Tabelle"/>
              <w:keepNext/>
            </w:pPr>
            <w:r w:rsidRPr="0009445C">
              <w:rPr>
                <w:b/>
              </w:rPr>
              <w:t>Functional safety (Re)</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684A64" w14:textId="77777777" w:rsidR="00B47442" w:rsidRPr="0009445C" w:rsidRDefault="00B47442" w:rsidP="0099521D">
            <w:pPr>
              <w:pStyle w:val="BRL-Tabelle"/>
              <w:keepNext/>
              <w:jc w:val="center"/>
            </w:pPr>
            <w:r w:rsidRPr="0009445C">
              <w:t>K</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FACA13"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271C63"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78C181"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A44CE7" w14:textId="77777777" w:rsidR="00B47442" w:rsidRPr="0009445C" w:rsidRDefault="00B47442" w:rsidP="0099521D">
            <w:pPr>
              <w:pStyle w:val="BRL-Tabelle"/>
              <w:keepNext/>
              <w:jc w:val="center"/>
            </w:pPr>
          </w:p>
        </w:tc>
      </w:tr>
      <w:tr w:rsidR="00B47442" w:rsidRPr="0009445C" w14:paraId="7AA09D64"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6A7F74" w14:textId="77777777" w:rsidR="00B47442" w:rsidRPr="0009445C" w:rsidRDefault="00B47442" w:rsidP="0099521D">
            <w:pPr>
              <w:pStyle w:val="BRL-Tabelle"/>
              <w:keepNext/>
              <w:rPr>
                <w:b/>
              </w:rPr>
            </w:pPr>
            <w:r w:rsidRPr="0009445C">
              <w:rPr>
                <w:b/>
              </w:rPr>
              <w:t>Wind load (WL)</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A8595C" w14:textId="77777777" w:rsidR="00B47442" w:rsidRPr="0009445C" w:rsidRDefault="00B47442" w:rsidP="0099521D">
            <w:pPr>
              <w:pStyle w:val="BRL-Tabelle"/>
              <w:keepNext/>
              <w:jc w:val="center"/>
            </w:pPr>
            <w:r w:rsidRPr="0009445C">
              <w:t>K</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78FE8F"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CA6926"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30AF4D"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C1BDF1" w14:textId="77777777" w:rsidR="00B47442" w:rsidRPr="0009445C" w:rsidRDefault="00B47442" w:rsidP="0099521D">
            <w:pPr>
              <w:pStyle w:val="BRL-Tabelle"/>
              <w:keepNext/>
              <w:jc w:val="center"/>
            </w:pPr>
          </w:p>
        </w:tc>
      </w:tr>
      <w:tr w:rsidR="00B47442" w:rsidRPr="0009445C" w14:paraId="3123F260"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hideMark/>
          </w:tcPr>
          <w:p w14:paraId="7EC2FEA2" w14:textId="77777777" w:rsidR="00B47442" w:rsidRPr="0009445C" w:rsidRDefault="00B47442" w:rsidP="0099521D">
            <w:pPr>
              <w:pStyle w:val="BRL-Tabelle"/>
              <w:keepNext/>
              <w:rPr>
                <w:b/>
              </w:rPr>
            </w:pPr>
            <w:r w:rsidRPr="0009445C">
              <w:rPr>
                <w:b/>
              </w:rPr>
              <w:t>Aerodynamically effective opening surface</w:t>
            </w:r>
            <w:r w:rsidRPr="0009445C">
              <w:rPr>
                <w:b/>
                <w:vertAlign w:val="superscript"/>
              </w:rPr>
              <w:t xml:space="preserve"># </w:t>
            </w:r>
            <w:r w:rsidRPr="0009445C">
              <w:rPr>
                <w:b/>
              </w:rPr>
              <w:t>(Aa)</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AF900E" w14:textId="77777777" w:rsidR="00B47442" w:rsidRPr="0009445C" w:rsidRDefault="00B47442" w:rsidP="0099521D">
            <w:pPr>
              <w:pStyle w:val="BRL-Tabelle"/>
              <w:keepNext/>
              <w:jc w:val="center"/>
            </w:pPr>
            <w:r w:rsidRPr="0009445C">
              <w:t>L</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361EA8"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430E5D"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8ADF06"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9ACFD5" w14:textId="77777777" w:rsidR="00B47442" w:rsidRPr="0009445C" w:rsidRDefault="00B47442" w:rsidP="0099521D">
            <w:pPr>
              <w:pStyle w:val="BRL-Tabelle"/>
              <w:keepNext/>
              <w:jc w:val="center"/>
            </w:pPr>
          </w:p>
        </w:tc>
      </w:tr>
      <w:tr w:rsidR="00B47442" w:rsidRPr="0009445C" w14:paraId="30B62200"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hideMark/>
          </w:tcPr>
          <w:p w14:paraId="4B16181A" w14:textId="77777777" w:rsidR="00B47442" w:rsidRPr="0009445C" w:rsidRDefault="00B47442" w:rsidP="0099521D">
            <w:pPr>
              <w:pStyle w:val="BRL-Tabelle"/>
              <w:keepNext/>
              <w:rPr>
                <w:b/>
              </w:rPr>
            </w:pPr>
            <w:r w:rsidRPr="0009445C">
              <w:rPr>
                <w:b/>
              </w:rPr>
              <w:t>Performance under fire conditions</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A7855F" w14:textId="77777777" w:rsidR="00B47442" w:rsidRPr="0009445C" w:rsidRDefault="00B47442" w:rsidP="0099521D">
            <w:pPr>
              <w:pStyle w:val="BRL-Tabelle"/>
              <w:keepNext/>
              <w:jc w:val="center"/>
            </w:pPr>
            <w:r w:rsidRPr="0009445C">
              <w:t>K</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B464E1"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8EDDA3"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D97E26"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C939AB" w14:textId="77777777" w:rsidR="00B47442" w:rsidRPr="0009445C" w:rsidRDefault="00B47442" w:rsidP="0099521D">
            <w:pPr>
              <w:pStyle w:val="BRL-Tabelle"/>
              <w:keepNext/>
              <w:jc w:val="center"/>
            </w:pPr>
          </w:p>
        </w:tc>
      </w:tr>
      <w:tr w:rsidR="00B47442" w:rsidRPr="0009445C" w14:paraId="38C815E4"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hideMark/>
          </w:tcPr>
          <w:p w14:paraId="56431B69" w14:textId="77777777" w:rsidR="00B47442" w:rsidRPr="0009445C" w:rsidRDefault="00B47442" w:rsidP="0099521D">
            <w:pPr>
              <w:pStyle w:val="BRL-Tabelle"/>
              <w:keepNext/>
              <w:rPr>
                <w:b/>
              </w:rPr>
            </w:pPr>
            <w:r w:rsidRPr="0009445C">
              <w:rPr>
                <w:b/>
              </w:rPr>
              <w:t>Fire performance of building materials</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7F7AEF" w14:textId="77777777" w:rsidR="00B47442" w:rsidRPr="0009445C" w:rsidRDefault="00B47442" w:rsidP="0099521D">
            <w:pPr>
              <w:pStyle w:val="BRL-Tabelle"/>
              <w:keepNext/>
              <w:jc w:val="center"/>
            </w:pPr>
            <w:r w:rsidRPr="0009445C">
              <w:t>K</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9C2354"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0414B3"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9ADFEF"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8DA38D" w14:textId="77777777" w:rsidR="00B47442" w:rsidRPr="0009445C" w:rsidRDefault="00B47442" w:rsidP="0099521D">
            <w:pPr>
              <w:pStyle w:val="BRL-Tabelle"/>
              <w:keepNext/>
              <w:jc w:val="center"/>
            </w:pPr>
          </w:p>
        </w:tc>
      </w:tr>
      <w:tr w:rsidR="00B47442" w:rsidRPr="0009445C" w14:paraId="044CE9C0"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FC921C" w14:textId="77777777" w:rsidR="00B47442" w:rsidRPr="0009445C" w:rsidRDefault="00B47442" w:rsidP="0099521D">
            <w:pPr>
              <w:pStyle w:val="BRL-Tabelle"/>
              <w:keepNext/>
              <w:rPr>
                <w:b/>
              </w:rPr>
            </w:pPr>
            <w:r w:rsidRPr="0009445C">
              <w:rPr>
                <w:b/>
              </w:rPr>
              <w:t>Operational reliability</w:t>
            </w:r>
          </w:p>
        </w:tc>
        <w:tc>
          <w:tcPr>
            <w:tcW w:w="3936"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A7E248B" w14:textId="77777777" w:rsidR="00B47442" w:rsidRPr="0009445C" w:rsidRDefault="00B47442" w:rsidP="0099521D">
            <w:pPr>
              <w:pStyle w:val="BRL-Tabelle"/>
              <w:keepNext/>
              <w:jc w:val="center"/>
            </w:pPr>
          </w:p>
        </w:tc>
      </w:tr>
      <w:tr w:rsidR="00B47442" w:rsidRPr="0009445C" w14:paraId="0F69F604"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B02AE4" w14:textId="77777777" w:rsidR="00B47442" w:rsidRPr="0009445C" w:rsidRDefault="00B47442" w:rsidP="0099521D">
            <w:pPr>
              <w:pStyle w:val="BRL-Tabelle"/>
              <w:keepNext/>
            </w:pPr>
            <w:r w:rsidRPr="0009445C">
              <w:t>Application categories</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6A32E3"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F2F01EF" w14:textId="77777777" w:rsidR="00B47442" w:rsidRPr="0009445C" w:rsidRDefault="00B47442" w:rsidP="0099521D">
            <w:pPr>
              <w:pStyle w:val="BRL-Tabelle"/>
              <w:keepNext/>
              <w:jc w:val="center"/>
            </w:pPr>
            <w:r w:rsidRPr="0009445C">
              <w:t>K*</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6A1501"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B47F68"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88B3E3" w14:textId="77777777" w:rsidR="00B47442" w:rsidRPr="0009445C" w:rsidRDefault="00B47442" w:rsidP="0099521D">
            <w:pPr>
              <w:pStyle w:val="BRL-Tabelle"/>
              <w:keepNext/>
              <w:jc w:val="center"/>
            </w:pPr>
          </w:p>
        </w:tc>
      </w:tr>
      <w:tr w:rsidR="00B47442" w:rsidRPr="0009445C" w14:paraId="530AB0A8"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0FB62A" w14:textId="77777777" w:rsidR="00B47442" w:rsidRPr="0009445C" w:rsidRDefault="00B47442" w:rsidP="0099521D">
            <w:pPr>
              <w:pStyle w:val="BRL-Tabelle"/>
              <w:keepNext/>
            </w:pPr>
            <w:r w:rsidRPr="0009445C">
              <w:t>Motor power</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CC6ABC"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278357" w14:textId="77777777" w:rsidR="00B47442" w:rsidRPr="0009445C" w:rsidRDefault="00B47442" w:rsidP="0099521D">
            <w:pPr>
              <w:pStyle w:val="BRL-Tabelle"/>
              <w:keepNext/>
              <w:jc w:val="center"/>
            </w:pPr>
            <w:r w:rsidRPr="0009445C">
              <w:t>K</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E680AA"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E2CE5B"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132F4F" w14:textId="77777777" w:rsidR="00B47442" w:rsidRPr="0009445C" w:rsidRDefault="00B47442" w:rsidP="0099521D">
            <w:pPr>
              <w:pStyle w:val="BRL-Tabelle"/>
              <w:keepNext/>
              <w:jc w:val="center"/>
            </w:pPr>
          </w:p>
        </w:tc>
      </w:tr>
      <w:tr w:rsidR="00B47442" w:rsidRPr="0009445C" w14:paraId="7253F928"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4AB9C8" w14:textId="186A7E89" w:rsidR="00B47442" w:rsidRPr="0009445C" w:rsidRDefault="00B47442" w:rsidP="00E612E8">
            <w:pPr>
              <w:pStyle w:val="BRL-Tabelle"/>
              <w:keepNext/>
            </w:pPr>
            <w:r w:rsidRPr="0009445C">
              <w:rPr>
                <w:b/>
              </w:rPr>
              <w:t>Effectiveness of smoke/hot gas discharge: (similar to effectiveness of smoke and heat dissipation</w:t>
            </w:r>
            <w:r w:rsidRPr="0009445C">
              <w:t>)</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C5EA33" w14:textId="77777777" w:rsidR="00B47442" w:rsidRPr="0009445C" w:rsidRDefault="00B47442" w:rsidP="0099521D">
            <w:pPr>
              <w:pStyle w:val="BRL-Tabelle"/>
              <w:keepNext/>
              <w:jc w:val="center"/>
            </w:pPr>
            <w:r w:rsidRPr="0009445C">
              <w:t>X</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B67760"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0E7757"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0519CC"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BB951A" w14:textId="77777777" w:rsidR="00B47442" w:rsidRPr="0009445C" w:rsidRDefault="00B47442" w:rsidP="0099521D">
            <w:pPr>
              <w:pStyle w:val="BRL-Tabelle"/>
              <w:keepNext/>
              <w:jc w:val="center"/>
            </w:pPr>
          </w:p>
        </w:tc>
      </w:tr>
      <w:tr w:rsidR="00B47442" w:rsidRPr="0009445C" w14:paraId="0E575FEE"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8A7755" w14:textId="77777777" w:rsidR="00B47442" w:rsidRPr="0009445C" w:rsidRDefault="00B47442" w:rsidP="0099521D">
            <w:pPr>
              <w:pStyle w:val="BRL-Tabelle"/>
              <w:keepNext/>
            </w:pPr>
            <w:r w:rsidRPr="0009445C">
              <w:t>Maintaining gas volume and pressure during the smoke and hot gas discharge test</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10BED6"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675F21C" w14:textId="77777777" w:rsidR="00B47442" w:rsidRPr="0009445C" w:rsidRDefault="00B47442" w:rsidP="0099521D">
            <w:pPr>
              <w:pStyle w:val="BRL-Tabelle"/>
              <w:keepNext/>
              <w:jc w:val="center"/>
            </w:pPr>
            <w:r w:rsidRPr="0009445C">
              <w:t>L</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D5D1E5"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E22119"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1C8CEF" w14:textId="77777777" w:rsidR="00B47442" w:rsidRPr="0009445C" w:rsidRDefault="00B47442" w:rsidP="0099521D">
            <w:pPr>
              <w:pStyle w:val="BRL-Tabelle"/>
              <w:keepNext/>
              <w:jc w:val="center"/>
            </w:pPr>
          </w:p>
        </w:tc>
      </w:tr>
      <w:tr w:rsidR="00B47442" w:rsidRPr="0009445C" w14:paraId="0204761C"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07DC4A" w14:textId="77777777" w:rsidR="00B47442" w:rsidRPr="0009445C" w:rsidRDefault="00B47442" w:rsidP="0099521D">
            <w:pPr>
              <w:pStyle w:val="BRL-Tabelle"/>
              <w:keepNext/>
              <w:rPr>
                <w:b/>
              </w:rPr>
            </w:pPr>
            <w:r w:rsidRPr="0009445C">
              <w:rPr>
                <w:b/>
              </w:rPr>
              <w:t>Fire-resistance</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9AF0E1"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17B417" w14:textId="77777777" w:rsidR="00B47442" w:rsidRPr="0009445C" w:rsidRDefault="00B47442" w:rsidP="0099521D">
            <w:pPr>
              <w:pStyle w:val="BRL-Tabelle"/>
              <w:keepNext/>
              <w:jc w:val="center"/>
            </w:pPr>
            <w:r w:rsidRPr="0009445C">
              <w:t>K</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64B3B7"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4F59C1"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333EFF" w14:textId="77777777" w:rsidR="00B47442" w:rsidRPr="0009445C" w:rsidRDefault="00B47442" w:rsidP="0099521D">
            <w:pPr>
              <w:pStyle w:val="BRL-Tabelle"/>
              <w:keepNext/>
              <w:jc w:val="center"/>
            </w:pPr>
          </w:p>
        </w:tc>
      </w:tr>
      <w:tr w:rsidR="00B47442" w:rsidRPr="0009445C" w14:paraId="239A3B63"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33CFDD" w14:textId="77777777" w:rsidR="00B47442" w:rsidRPr="0009445C" w:rsidRDefault="00B47442" w:rsidP="0099521D">
            <w:pPr>
              <w:pStyle w:val="BRL-Tabelle"/>
              <w:keepNext/>
              <w:rPr>
                <w:b/>
              </w:rPr>
            </w:pPr>
            <w:r w:rsidRPr="0009445C">
              <w:rPr>
                <w:b/>
              </w:rPr>
              <w:t xml:space="preserve">Ability to open under ambient conditions </w:t>
            </w:r>
          </w:p>
        </w:tc>
        <w:tc>
          <w:tcPr>
            <w:tcW w:w="3936"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BA13E6" w14:textId="77777777" w:rsidR="00B47442" w:rsidRPr="0009445C" w:rsidRDefault="00B47442" w:rsidP="0099521D">
            <w:pPr>
              <w:pStyle w:val="BRL-Tabelle"/>
              <w:keepNext/>
              <w:jc w:val="center"/>
            </w:pPr>
          </w:p>
        </w:tc>
      </w:tr>
      <w:tr w:rsidR="00B47442" w:rsidRPr="0009445C" w14:paraId="569AEEEA"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B96F14" w14:textId="2A4E7101" w:rsidR="00B47442" w:rsidRPr="0009445C" w:rsidRDefault="00B47442" w:rsidP="00E612E8">
            <w:pPr>
              <w:pStyle w:val="BRL-Tabelle"/>
              <w:keepNext/>
            </w:pPr>
            <w:r w:rsidRPr="0009445C">
              <w:t>Opening under wind load within a specified time period</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E73B64"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DE3F1A" w14:textId="77777777" w:rsidR="00B47442" w:rsidRPr="0009445C" w:rsidRDefault="00B47442" w:rsidP="0099521D">
            <w:pPr>
              <w:pStyle w:val="BRL-Tabelle"/>
              <w:keepNext/>
              <w:jc w:val="center"/>
            </w:pPr>
            <w:r w:rsidRPr="0009445C">
              <w:t>K**</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277EC4"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37197E"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D9CD03" w14:textId="77777777" w:rsidR="00B47442" w:rsidRPr="0009445C" w:rsidRDefault="00B47442" w:rsidP="0099521D">
            <w:pPr>
              <w:pStyle w:val="BRL-Tabelle"/>
              <w:keepNext/>
              <w:jc w:val="center"/>
            </w:pPr>
          </w:p>
        </w:tc>
      </w:tr>
      <w:tr w:rsidR="00B47442" w:rsidRPr="0009445C" w14:paraId="42BE6C70"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86ACAE" w14:textId="49701C7D" w:rsidR="00B47442" w:rsidRPr="0009445C" w:rsidRDefault="00B47442" w:rsidP="00E612E8">
            <w:pPr>
              <w:pStyle w:val="BRL-Tabelle"/>
              <w:keepNext/>
            </w:pPr>
            <w:r w:rsidRPr="0009445C">
              <w:t>Open under snow load within a predetermined time (SL)</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9B3BF2" w14:textId="77777777" w:rsidR="00B47442" w:rsidRPr="0009445C" w:rsidRDefault="00B47442" w:rsidP="0099521D">
            <w:pPr>
              <w:pStyle w:val="BRL-Tabelle"/>
              <w:keepNext/>
              <w:jc w:val="center"/>
            </w:pPr>
            <w:r w:rsidRPr="0009445C">
              <w:t>K</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577740" w14:textId="77777777" w:rsidR="00B47442" w:rsidRPr="0009445C" w:rsidRDefault="00B47442" w:rsidP="0099521D">
            <w:pPr>
              <w:pStyle w:val="BRL-Tabelle"/>
              <w:keepNext/>
              <w:jc w:val="center"/>
            </w:pPr>
            <w:r w:rsidRPr="0009445C">
              <w:t>K**</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869EE6"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8AD6C9"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5ED92D" w14:textId="77777777" w:rsidR="00B47442" w:rsidRPr="0009445C" w:rsidRDefault="00B47442" w:rsidP="0099521D">
            <w:pPr>
              <w:pStyle w:val="BRL-Tabelle"/>
              <w:keepNext/>
              <w:jc w:val="center"/>
            </w:pPr>
          </w:p>
        </w:tc>
      </w:tr>
      <w:tr w:rsidR="00B47442" w:rsidRPr="0009445C" w14:paraId="733EA45E"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0494A7" w14:textId="357E922B" w:rsidR="00B47442" w:rsidRPr="0009445C" w:rsidRDefault="00B47442" w:rsidP="00E612E8">
            <w:pPr>
              <w:pStyle w:val="BRL-Tabelle"/>
              <w:keepNext/>
            </w:pPr>
            <w:r w:rsidRPr="0009445C">
              <w:t>Opening at low ambient temperature within a predetermined time (T)</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C7BB84" w14:textId="77777777" w:rsidR="00B47442" w:rsidRPr="0009445C" w:rsidRDefault="00B47442" w:rsidP="0099521D">
            <w:pPr>
              <w:pStyle w:val="BRL-Tabelle"/>
              <w:keepNext/>
              <w:jc w:val="center"/>
            </w:pPr>
            <w:r w:rsidRPr="0009445C">
              <w:t>K</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715959"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7D6D1F"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D0042B"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3CD184" w14:textId="77777777" w:rsidR="00B47442" w:rsidRPr="0009445C" w:rsidRDefault="00B47442" w:rsidP="0099521D">
            <w:pPr>
              <w:pStyle w:val="BRL-Tabelle"/>
              <w:keepNext/>
              <w:jc w:val="center"/>
            </w:pPr>
          </w:p>
        </w:tc>
      </w:tr>
      <w:tr w:rsidR="00B47442" w:rsidRPr="0009445C" w14:paraId="39C015F9"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534AE3F" w14:textId="77777777" w:rsidR="00B47442" w:rsidRPr="0009445C" w:rsidRDefault="00B47442" w:rsidP="0099521D">
            <w:pPr>
              <w:pStyle w:val="BRL-Tabelle"/>
              <w:keepNext/>
              <w:rPr>
                <w:b/>
              </w:rPr>
            </w:pPr>
            <w:r w:rsidRPr="0009445C">
              <w:rPr>
                <w:b/>
              </w:rPr>
              <w:t>Reference conditions for activation/response sensitivity</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0D89B8"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6921B9"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3F93CC"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15A791" w14:textId="77777777" w:rsidR="00B47442" w:rsidRPr="0009445C" w:rsidRDefault="00B47442" w:rsidP="0099521D">
            <w:pPr>
              <w:pStyle w:val="BRL-Tabelle"/>
              <w:keepNext/>
              <w:jc w:val="center"/>
            </w:pPr>
            <w:r w:rsidRPr="0009445C">
              <w:t>X</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CA30D3" w14:textId="77777777" w:rsidR="00B47442" w:rsidRPr="0009445C" w:rsidRDefault="00B47442" w:rsidP="0099521D">
            <w:pPr>
              <w:pStyle w:val="BRL-Tabelle"/>
              <w:keepNext/>
              <w:jc w:val="center"/>
            </w:pPr>
          </w:p>
        </w:tc>
      </w:tr>
      <w:tr w:rsidR="00B47442" w:rsidRPr="0009445C" w14:paraId="2CC1A687"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917CD19" w14:textId="77777777" w:rsidR="00B47442" w:rsidRPr="0009445C" w:rsidRDefault="00B47442" w:rsidP="0099521D">
            <w:pPr>
              <w:pStyle w:val="BRL-Tabelle"/>
              <w:keepNext/>
              <w:rPr>
                <w:b/>
              </w:rPr>
            </w:pPr>
            <w:r w:rsidRPr="0009445C">
              <w:rPr>
                <w:b/>
              </w:rPr>
              <w:t xml:space="preserve">Operational safety  </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23F12D"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E834ED"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4318F3"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210C99" w14:textId="77777777" w:rsidR="00B47442" w:rsidRPr="0009445C" w:rsidRDefault="00B47442" w:rsidP="0099521D">
            <w:pPr>
              <w:pStyle w:val="BRL-Tabelle"/>
              <w:keepNext/>
              <w:jc w:val="center"/>
            </w:pPr>
            <w:r w:rsidRPr="0009445C">
              <w:t>K</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ED401E" w14:textId="77777777" w:rsidR="00B47442" w:rsidRPr="0009445C" w:rsidRDefault="00B47442" w:rsidP="0099521D">
            <w:pPr>
              <w:pStyle w:val="BRL-Tabelle"/>
              <w:keepNext/>
              <w:jc w:val="center"/>
            </w:pPr>
            <w:r w:rsidRPr="0009445C">
              <w:t>X</w:t>
            </w:r>
          </w:p>
        </w:tc>
      </w:tr>
      <w:tr w:rsidR="00B47442" w:rsidRPr="0009445C" w14:paraId="13E9849B"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C1E448A" w14:textId="77777777" w:rsidR="00B47442" w:rsidRPr="0009445C" w:rsidRDefault="00B47442" w:rsidP="0099521D">
            <w:pPr>
              <w:pStyle w:val="BRL-Tabelle"/>
              <w:keepNext/>
              <w:rPr>
                <w:b/>
                <w:vertAlign w:val="superscript"/>
              </w:rPr>
            </w:pPr>
            <w:r w:rsidRPr="0009445C">
              <w:rPr>
                <w:b/>
              </w:rPr>
              <w:t>Fire resistance</w:t>
            </w:r>
            <w:r w:rsidRPr="0009445C">
              <w:rPr>
                <w:b/>
                <w:vertAlign w:val="superscript"/>
              </w:rPr>
              <w:sym w:font="Wingdings" w:char="F074"/>
            </w:r>
            <w:r w:rsidRPr="0009445C">
              <w:rPr>
                <w:b/>
                <w:vertAlign w:val="superscript"/>
              </w:rPr>
              <w:t xml:space="preserve">, </w:t>
            </w:r>
            <w:r w:rsidRPr="0009445C">
              <w:rPr>
                <w:b/>
                <w:vertAlign w:val="superscript"/>
              </w:rPr>
              <w:sym w:font="Wingdings" w:char="F074"/>
            </w:r>
            <w:r w:rsidRPr="0009445C">
              <w:rPr>
                <w:b/>
                <w:vertAlign w:val="superscript"/>
              </w:rPr>
              <w:sym w:font="Wingdings" w:char="F074"/>
            </w:r>
          </w:p>
        </w:tc>
        <w:tc>
          <w:tcPr>
            <w:tcW w:w="3936"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381E26" w14:textId="77777777" w:rsidR="00B47442" w:rsidRPr="0009445C" w:rsidRDefault="00B47442" w:rsidP="0099521D">
            <w:pPr>
              <w:pStyle w:val="BRL-Tabelle"/>
              <w:keepNext/>
              <w:jc w:val="center"/>
            </w:pPr>
          </w:p>
        </w:tc>
      </w:tr>
      <w:tr w:rsidR="00B47442" w:rsidRPr="0009445C" w14:paraId="6CC23F95"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090D7E6" w14:textId="77777777" w:rsidR="00B47442" w:rsidRPr="0009445C" w:rsidRDefault="00B47442" w:rsidP="0099521D">
            <w:pPr>
              <w:pStyle w:val="BRL-Tabelle"/>
              <w:keepNext/>
            </w:pPr>
            <w:r w:rsidRPr="0009445C">
              <w:t>Space barrier</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B73EC3"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EF9F20"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B85D39" w14:textId="77777777" w:rsidR="00B47442" w:rsidRPr="0009445C" w:rsidRDefault="00B47442" w:rsidP="0099521D">
            <w:pPr>
              <w:pStyle w:val="BRL-Tabelle"/>
              <w:keepNext/>
              <w:jc w:val="center"/>
            </w:pPr>
            <w:r w:rsidRPr="0009445C">
              <w:t>K</w:t>
            </w: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DD424C" w14:textId="77777777" w:rsidR="00B47442" w:rsidRPr="0009445C" w:rsidRDefault="00B47442" w:rsidP="0099521D">
            <w:pPr>
              <w:pStyle w:val="BRL-Tabelle"/>
              <w:keepNext/>
              <w:jc w:val="center"/>
            </w:pPr>
            <w:r w:rsidRPr="0009445C">
              <w:t>K</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4561B5" w14:textId="77777777" w:rsidR="00B47442" w:rsidRPr="0009445C" w:rsidRDefault="00B47442" w:rsidP="0099521D">
            <w:pPr>
              <w:pStyle w:val="BRL-Tabelle"/>
              <w:keepNext/>
              <w:jc w:val="center"/>
            </w:pPr>
          </w:p>
        </w:tc>
      </w:tr>
      <w:tr w:rsidR="00B47442" w:rsidRPr="0009445C" w14:paraId="0793451B"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730E275E" w14:textId="77777777" w:rsidR="00B47442" w:rsidRPr="0009445C" w:rsidRDefault="00B47442" w:rsidP="0099521D">
            <w:pPr>
              <w:pStyle w:val="BRL-Tabelle"/>
              <w:keepNext/>
            </w:pPr>
            <w:r w:rsidRPr="0009445C">
              <w:t>Thermal insulation</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094540"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B264B7"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CEB0B9" w14:textId="77777777" w:rsidR="00B47442" w:rsidRPr="0009445C" w:rsidRDefault="00B47442" w:rsidP="0099521D">
            <w:pPr>
              <w:pStyle w:val="BRL-Tabelle"/>
              <w:keepNext/>
              <w:jc w:val="center"/>
            </w:pPr>
            <w:r w:rsidRPr="0009445C">
              <w:t>K***</w:t>
            </w: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5E9242" w14:textId="77777777" w:rsidR="00B47442" w:rsidRPr="0009445C" w:rsidRDefault="00B47442" w:rsidP="0099521D">
            <w:pPr>
              <w:pStyle w:val="BRL-Tabelle"/>
              <w:keepNext/>
              <w:jc w:val="center"/>
            </w:pPr>
            <w:r w:rsidRPr="0009445C">
              <w:t>K***</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1DBAC7" w14:textId="77777777" w:rsidR="00B47442" w:rsidRPr="0009445C" w:rsidRDefault="00B47442" w:rsidP="0099521D">
            <w:pPr>
              <w:pStyle w:val="BRL-Tabelle"/>
              <w:keepNext/>
              <w:jc w:val="center"/>
            </w:pPr>
          </w:p>
        </w:tc>
      </w:tr>
      <w:tr w:rsidR="00B47442" w:rsidRPr="0009445C" w14:paraId="30E575EA"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37CEC3FF" w14:textId="77777777" w:rsidR="00B47442" w:rsidRPr="0009445C" w:rsidRDefault="00B47442" w:rsidP="0099521D">
            <w:pPr>
              <w:pStyle w:val="BRL-Tabelle"/>
              <w:keepNext/>
            </w:pPr>
            <w:r w:rsidRPr="0009445C">
              <w:t>Smoke-proof</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41E767"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572520"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37F3C5" w14:textId="77777777" w:rsidR="00B47442" w:rsidRPr="0009445C" w:rsidRDefault="00B47442" w:rsidP="0099521D">
            <w:pPr>
              <w:pStyle w:val="BRL-Tabelle"/>
              <w:keepNext/>
              <w:jc w:val="center"/>
            </w:pPr>
            <w:r w:rsidRPr="0009445C">
              <w:t>K</w:t>
            </w: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8FC0C8" w14:textId="77777777" w:rsidR="00B47442" w:rsidRPr="0009445C" w:rsidRDefault="00B47442" w:rsidP="0099521D">
            <w:pPr>
              <w:pStyle w:val="BRL-Tabelle"/>
              <w:keepNext/>
              <w:jc w:val="center"/>
            </w:pPr>
            <w:r w:rsidRPr="0009445C">
              <w:t>K</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E38802" w14:textId="77777777" w:rsidR="00B47442" w:rsidRPr="0009445C" w:rsidRDefault="00B47442" w:rsidP="0099521D">
            <w:pPr>
              <w:pStyle w:val="BRL-Tabelle"/>
              <w:keepNext/>
              <w:jc w:val="center"/>
            </w:pPr>
          </w:p>
        </w:tc>
      </w:tr>
      <w:tr w:rsidR="00B47442" w:rsidRPr="0009445C" w14:paraId="3E1E629A"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DE96CE5" w14:textId="77777777" w:rsidR="00B47442" w:rsidRPr="0009445C" w:rsidRDefault="00B47442" w:rsidP="0099521D">
            <w:pPr>
              <w:pStyle w:val="BRL-Tabelle"/>
              <w:keepNext/>
            </w:pPr>
            <w:r w:rsidRPr="0009445C">
              <w:t>Mechanical dimensional stability (under E)</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F0373B2"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7A39B9"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60541AE" w14:textId="77777777" w:rsidR="00B47442" w:rsidRPr="0009445C" w:rsidRDefault="00B47442" w:rsidP="0099521D">
            <w:pPr>
              <w:pStyle w:val="BRL-Tabelle"/>
              <w:keepNext/>
              <w:jc w:val="center"/>
            </w:pPr>
            <w:r w:rsidRPr="0009445C">
              <w:t>X</w:t>
            </w: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B57106" w14:textId="77777777" w:rsidR="00B47442" w:rsidRPr="0009445C" w:rsidRDefault="00B47442" w:rsidP="0099521D">
            <w:pPr>
              <w:pStyle w:val="BRL-Tabelle"/>
              <w:keepNext/>
              <w:jc w:val="center"/>
            </w:pPr>
            <w:r w:rsidRPr="0009445C">
              <w:t>X</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BDD196" w14:textId="77777777" w:rsidR="00B47442" w:rsidRPr="0009445C" w:rsidRDefault="00B47442" w:rsidP="0099521D">
            <w:pPr>
              <w:pStyle w:val="BRL-Tabelle"/>
              <w:keepNext/>
              <w:jc w:val="center"/>
            </w:pPr>
          </w:p>
        </w:tc>
      </w:tr>
      <w:tr w:rsidR="00B47442" w:rsidRPr="0009445C" w14:paraId="3F44AE3D"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2EB97222" w14:textId="77777777" w:rsidR="00B47442" w:rsidRPr="0009445C" w:rsidRDefault="00B47442" w:rsidP="0099521D">
            <w:pPr>
              <w:pStyle w:val="BRL-Tabelle"/>
              <w:keepNext/>
            </w:pPr>
            <w:r w:rsidRPr="0009445C">
              <w:t>Retention of cross-section (under E)</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5C4112"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39044A"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665FED" w14:textId="77777777" w:rsidR="00B47442" w:rsidRPr="0009445C" w:rsidRDefault="00B47442" w:rsidP="0099521D">
            <w:pPr>
              <w:pStyle w:val="BRL-Tabelle"/>
              <w:keepNext/>
              <w:jc w:val="center"/>
            </w:pPr>
            <w:r w:rsidRPr="0009445C">
              <w:t>X</w:t>
            </w: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7AE728" w14:textId="77777777" w:rsidR="00B47442" w:rsidRPr="0009445C" w:rsidRDefault="00B47442" w:rsidP="0099521D">
            <w:pPr>
              <w:pStyle w:val="BRL-Tabelle"/>
              <w:keepNext/>
              <w:jc w:val="center"/>
            </w:pPr>
            <w:r w:rsidRPr="0009445C">
              <w:t>X</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02BE1F" w14:textId="77777777" w:rsidR="00B47442" w:rsidRPr="0009445C" w:rsidRDefault="00B47442" w:rsidP="0099521D">
            <w:pPr>
              <w:pStyle w:val="BRL-Tabelle"/>
              <w:keepNext/>
              <w:jc w:val="center"/>
            </w:pPr>
          </w:p>
        </w:tc>
      </w:tr>
      <w:tr w:rsidR="00B47442" w:rsidRPr="0009445C" w14:paraId="5F3FF552"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DD211E" w14:textId="77777777" w:rsidR="00B47442" w:rsidRPr="0009445C" w:rsidRDefault="00B47442" w:rsidP="0099521D">
            <w:pPr>
              <w:pStyle w:val="BRL-Tabelle"/>
              <w:keepNext/>
              <w:rPr>
                <w:b/>
              </w:rPr>
            </w:pPr>
            <w:r w:rsidRPr="0009445C">
              <w:rPr>
                <w:b/>
              </w:rPr>
              <w:t>Response delay/response time</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4C5643" w14:textId="77777777" w:rsidR="00B47442" w:rsidRPr="0009445C" w:rsidRDefault="00B47442" w:rsidP="0099521D">
            <w:pPr>
              <w:pStyle w:val="BRL-Tabelle"/>
              <w:keepNext/>
              <w:jc w:val="center"/>
            </w:pPr>
            <w:r w:rsidRPr="0009445C">
              <w:t>X</w:t>
            </w: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96246E" w14:textId="77777777" w:rsidR="00B47442" w:rsidRPr="0009445C" w:rsidRDefault="00B47442" w:rsidP="0099521D">
            <w:pPr>
              <w:pStyle w:val="BRL-Tabelle"/>
              <w:keepNext/>
              <w:jc w:val="center"/>
            </w:pPr>
            <w:r w:rsidRPr="0009445C">
              <w:t>X*</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0004C81"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683C1B7" w14:textId="77777777" w:rsidR="00B47442" w:rsidRPr="0009445C" w:rsidRDefault="00B47442" w:rsidP="0099521D">
            <w:pPr>
              <w:pStyle w:val="BRL-Tabelle"/>
              <w:keepNext/>
              <w:jc w:val="center"/>
            </w:pPr>
            <w:r w:rsidRPr="0009445C">
              <w:t>X, K</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AB3C95" w14:textId="77777777" w:rsidR="00B47442" w:rsidRPr="0009445C" w:rsidRDefault="00B47442" w:rsidP="0099521D">
            <w:pPr>
              <w:pStyle w:val="BRL-Tabelle"/>
              <w:keepNext/>
              <w:jc w:val="center"/>
            </w:pPr>
            <w:r w:rsidRPr="0009445C">
              <w:t>X</w:t>
            </w:r>
          </w:p>
        </w:tc>
      </w:tr>
      <w:tr w:rsidR="00B47442" w:rsidRPr="0009445C" w14:paraId="75200162"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B338C9" w14:textId="77777777" w:rsidR="00B47442" w:rsidRPr="0009445C" w:rsidRDefault="00B47442" w:rsidP="0099521D">
            <w:pPr>
              <w:pStyle w:val="BRL-Tabelle"/>
              <w:keepNext/>
              <w:rPr>
                <w:b/>
              </w:rPr>
            </w:pPr>
            <w:r w:rsidRPr="0009445C">
              <w:rPr>
                <w:b/>
              </w:rPr>
              <w:t>Performance parameters under fire conditions</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96435E"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A370E0"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2E0171"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FA0B24"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8A3BAB" w14:textId="77777777" w:rsidR="00B47442" w:rsidRPr="0009445C" w:rsidRDefault="00B47442" w:rsidP="0099521D">
            <w:pPr>
              <w:pStyle w:val="BRL-Tabelle"/>
              <w:keepNext/>
              <w:jc w:val="center"/>
            </w:pPr>
            <w:r w:rsidRPr="0009445C">
              <w:t>X</w:t>
            </w:r>
          </w:p>
        </w:tc>
      </w:tr>
      <w:tr w:rsidR="00B47442" w:rsidRPr="0009445C" w14:paraId="08E36B95"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7E20CF4" w14:textId="77777777" w:rsidR="00B47442" w:rsidRPr="0009445C" w:rsidRDefault="00B47442" w:rsidP="0099521D">
            <w:pPr>
              <w:pStyle w:val="BRL-Tabelle"/>
              <w:keepNext/>
              <w:rPr>
                <w:b/>
              </w:rPr>
            </w:pPr>
            <w:r w:rsidRPr="0009445C">
              <w:rPr>
                <w:b/>
              </w:rPr>
              <w:t xml:space="preserve">Durability of operational reliability  </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17CC52"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066445" w14:textId="77777777" w:rsidR="00B47442" w:rsidRPr="0009445C" w:rsidRDefault="00B47442" w:rsidP="0099521D">
            <w:pPr>
              <w:pStyle w:val="BRL-Tabelle"/>
              <w:keepNext/>
              <w:jc w:val="center"/>
            </w:pPr>
            <w:r w:rsidRPr="0009445C">
              <w:t>K</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4175EC"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55A3D1" w14:textId="77777777" w:rsidR="00B47442" w:rsidRPr="0009445C" w:rsidRDefault="00B47442" w:rsidP="0099521D">
            <w:pPr>
              <w:pStyle w:val="BRL-Tabelle"/>
              <w:keepNext/>
              <w:jc w:val="center"/>
            </w:pP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7A74E6" w14:textId="77777777" w:rsidR="00B47442" w:rsidRPr="0009445C" w:rsidRDefault="00B47442" w:rsidP="0099521D">
            <w:pPr>
              <w:pStyle w:val="BRL-Tabelle"/>
              <w:keepNext/>
              <w:jc w:val="center"/>
            </w:pPr>
          </w:p>
        </w:tc>
      </w:tr>
      <w:tr w:rsidR="00B47442" w:rsidRPr="0009445C" w14:paraId="04876404"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7A2E64F" w14:textId="77777777" w:rsidR="00B47442" w:rsidRPr="0009445C" w:rsidRDefault="00B47442" w:rsidP="0099521D">
            <w:pPr>
              <w:pStyle w:val="BRL-Tabelle"/>
              <w:keepNext/>
              <w:rPr>
                <w:b/>
              </w:rPr>
            </w:pPr>
            <w:r w:rsidRPr="0009445C">
              <w:rPr>
                <w:b/>
              </w:rPr>
              <w:t>Durability</w:t>
            </w:r>
          </w:p>
        </w:tc>
        <w:tc>
          <w:tcPr>
            <w:tcW w:w="3936"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F6A1A7F" w14:textId="77777777" w:rsidR="00B47442" w:rsidRPr="0009445C" w:rsidRDefault="00B47442" w:rsidP="0099521D">
            <w:pPr>
              <w:pStyle w:val="BRL-Tabelle"/>
              <w:keepNext/>
              <w:jc w:val="center"/>
            </w:pPr>
          </w:p>
        </w:tc>
      </w:tr>
      <w:tr w:rsidR="00B47442" w:rsidRPr="0009445C" w14:paraId="420EC475"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591493D1" w14:textId="77777777" w:rsidR="00B47442" w:rsidRPr="0009445C" w:rsidRDefault="00B47442" w:rsidP="0099521D">
            <w:pPr>
              <w:pStyle w:val="BRL-Tabelle"/>
              <w:keepNext/>
            </w:pPr>
            <w:r w:rsidRPr="0009445C">
              <w:t>Of response delay</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7792C5"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463AE0"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4D7CC4"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B8396F" w14:textId="77777777" w:rsidR="00B47442" w:rsidRPr="0009445C" w:rsidRDefault="00B47442" w:rsidP="0099521D">
            <w:pPr>
              <w:pStyle w:val="BRL-Tabelle"/>
              <w:keepNext/>
              <w:jc w:val="center"/>
            </w:pPr>
            <w:r w:rsidRPr="0009445C">
              <w:t>X</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7FFCB7" w14:textId="77777777" w:rsidR="00B47442" w:rsidRPr="0009445C" w:rsidRDefault="00B47442" w:rsidP="0099521D">
            <w:pPr>
              <w:pStyle w:val="BRL-Tabelle"/>
              <w:keepNext/>
              <w:jc w:val="center"/>
            </w:pPr>
          </w:p>
        </w:tc>
      </w:tr>
      <w:tr w:rsidR="00B47442" w:rsidRPr="0009445C" w14:paraId="6807158F" w14:textId="77777777" w:rsidTr="003A014F">
        <w:trPr>
          <w:trHeight w:val="227"/>
        </w:trPr>
        <w:tc>
          <w:tcPr>
            <w:tcW w:w="5422"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B939D63" w14:textId="77777777" w:rsidR="00B47442" w:rsidRPr="0009445C" w:rsidRDefault="00B47442" w:rsidP="0099521D">
            <w:pPr>
              <w:pStyle w:val="BRL-Tabelle"/>
              <w:keepNext/>
            </w:pPr>
            <w:r w:rsidRPr="0009445C">
              <w:t>Of operational safety</w:t>
            </w: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09B37B" w14:textId="77777777" w:rsidR="00B47442" w:rsidRPr="0009445C" w:rsidRDefault="00B47442" w:rsidP="0099521D">
            <w:pPr>
              <w:pStyle w:val="BRL-Tabelle"/>
              <w:keepNext/>
              <w:jc w:val="center"/>
            </w:pPr>
          </w:p>
        </w:tc>
        <w:tc>
          <w:tcPr>
            <w:tcW w:w="6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3771B2" w14:textId="77777777" w:rsidR="00B47442" w:rsidRPr="0009445C" w:rsidRDefault="00B47442" w:rsidP="0099521D">
            <w:pPr>
              <w:pStyle w:val="BRL-Tabelle"/>
              <w:keepNext/>
              <w:jc w:val="center"/>
            </w:pPr>
          </w:p>
        </w:tc>
        <w:tc>
          <w:tcPr>
            <w:tcW w:w="82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115E74" w14:textId="77777777" w:rsidR="00B47442" w:rsidRPr="0009445C" w:rsidRDefault="00B47442" w:rsidP="0099521D">
            <w:pPr>
              <w:pStyle w:val="BRL-Tabelle"/>
              <w:keepNext/>
              <w:jc w:val="center"/>
            </w:pPr>
          </w:p>
        </w:tc>
        <w:tc>
          <w:tcPr>
            <w:tcW w:w="82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616919" w14:textId="77777777" w:rsidR="00B47442" w:rsidRPr="0009445C" w:rsidRDefault="00B47442" w:rsidP="0099521D">
            <w:pPr>
              <w:pStyle w:val="BRL-Tabelle"/>
              <w:keepNext/>
              <w:jc w:val="center"/>
            </w:pPr>
            <w:r w:rsidRPr="0009445C">
              <w:t>X</w:t>
            </w:r>
          </w:p>
        </w:tc>
        <w:tc>
          <w:tcPr>
            <w:tcW w:w="76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09BF92" w14:textId="77777777" w:rsidR="00B47442" w:rsidRPr="0009445C" w:rsidRDefault="00B47442" w:rsidP="0099521D">
            <w:pPr>
              <w:pStyle w:val="BRL-Tabelle"/>
              <w:keepNext/>
              <w:jc w:val="center"/>
            </w:pPr>
          </w:p>
        </w:tc>
      </w:tr>
      <w:tr w:rsidR="00B47442" w:rsidRPr="0009445C" w14:paraId="76F8711E" w14:textId="77777777" w:rsidTr="003A014F">
        <w:trPr>
          <w:trHeight w:val="227"/>
        </w:trPr>
        <w:tc>
          <w:tcPr>
            <w:tcW w:w="9358" w:type="dxa"/>
            <w:gridSpan w:val="6"/>
            <w:tcBorders>
              <w:top w:val="single" w:sz="2" w:space="0" w:color="auto"/>
            </w:tcBorders>
            <w:shd w:val="clear" w:color="auto" w:fill="auto"/>
            <w:vAlign w:val="bottom"/>
          </w:tcPr>
          <w:p w14:paraId="72D300C3" w14:textId="77777777" w:rsidR="00B47442" w:rsidRPr="0009445C" w:rsidRDefault="00B47442" w:rsidP="0099521D">
            <w:pPr>
              <w:pStyle w:val="BRL-Tabelle"/>
              <w:keepNext/>
              <w:spacing w:before="120"/>
              <w:rPr>
                <w:rFonts w:cs="Arial"/>
              </w:rPr>
            </w:pPr>
            <w:r w:rsidRPr="0009445C">
              <w:t>X</w:t>
            </w:r>
            <w:r w:rsidRPr="0009445C">
              <w:tab/>
              <w:t>must be fulfilled</w:t>
            </w:r>
          </w:p>
          <w:p w14:paraId="23D135AC" w14:textId="77777777" w:rsidR="00B47442" w:rsidRPr="0009445C" w:rsidRDefault="00B47442" w:rsidP="0099521D">
            <w:pPr>
              <w:pStyle w:val="BRL-Tabelle"/>
              <w:keepNext/>
              <w:rPr>
                <w:rFonts w:cs="Arial"/>
              </w:rPr>
            </w:pPr>
            <w:r w:rsidRPr="0009445C">
              <w:t>X*</w:t>
            </w:r>
            <w:r w:rsidRPr="0009445C">
              <w:tab/>
              <w:t>Must be fulfilled if K** is required</w:t>
            </w:r>
          </w:p>
          <w:p w14:paraId="2C04D2A4" w14:textId="77777777" w:rsidR="00B47442" w:rsidRPr="0009445C" w:rsidRDefault="00B47442" w:rsidP="0099521D">
            <w:pPr>
              <w:pStyle w:val="BRL-Tabelle"/>
              <w:keepNext/>
              <w:rPr>
                <w:rFonts w:cs="Arial"/>
              </w:rPr>
            </w:pPr>
            <w:r w:rsidRPr="0009445C">
              <w:t>L</w:t>
            </w:r>
            <w:r w:rsidRPr="0009445C">
              <w:tab/>
              <w:t>Value for the output required</w:t>
            </w:r>
          </w:p>
          <w:p w14:paraId="5011982C" w14:textId="77777777" w:rsidR="00B47442" w:rsidRPr="0009445C" w:rsidRDefault="00B47442" w:rsidP="0099521D">
            <w:pPr>
              <w:pStyle w:val="BRL-Tabelle"/>
              <w:keepNext/>
              <w:rPr>
                <w:rFonts w:cs="Arial"/>
              </w:rPr>
            </w:pPr>
            <w:r w:rsidRPr="0009445C">
              <w:t>K</w:t>
            </w:r>
            <w:r w:rsidRPr="0009445C">
              <w:tab/>
              <w:t xml:space="preserve">Classification required </w:t>
            </w:r>
          </w:p>
          <w:p w14:paraId="4E07AB79" w14:textId="77777777" w:rsidR="00B47442" w:rsidRPr="0009445C" w:rsidRDefault="00B47442" w:rsidP="0099521D">
            <w:pPr>
              <w:pStyle w:val="BRL-Tabelle"/>
              <w:keepNext/>
              <w:rPr>
                <w:rFonts w:cs="Arial"/>
              </w:rPr>
            </w:pPr>
            <w:r w:rsidRPr="0009445C">
              <w:t>K*</w:t>
            </w:r>
            <w:r w:rsidRPr="0009445C">
              <w:tab/>
              <w:t>Specification of application categories required</w:t>
            </w:r>
          </w:p>
          <w:p w14:paraId="174A127B" w14:textId="77777777" w:rsidR="00B47442" w:rsidRPr="0009445C" w:rsidRDefault="00B47442" w:rsidP="0099521D">
            <w:pPr>
              <w:pStyle w:val="BRL-Tabelle"/>
              <w:keepNext/>
              <w:rPr>
                <w:rFonts w:cs="Arial"/>
              </w:rPr>
            </w:pPr>
            <w:r w:rsidRPr="0009445C">
              <w:t>K**</w:t>
            </w:r>
            <w:r w:rsidRPr="0009445C">
              <w:tab/>
              <w:t xml:space="preserve">Classification required depending on use </w:t>
            </w:r>
          </w:p>
          <w:p w14:paraId="0FB3C424" w14:textId="77777777" w:rsidR="00B47442" w:rsidRPr="0009445C" w:rsidRDefault="00B47442" w:rsidP="0099521D">
            <w:pPr>
              <w:pStyle w:val="BRL-Tabelle"/>
              <w:keepNext/>
              <w:rPr>
                <w:rFonts w:cs="Arial"/>
              </w:rPr>
            </w:pPr>
            <w:r w:rsidRPr="0009445C">
              <w:t>K***</w:t>
            </w:r>
            <w:r w:rsidRPr="0009445C">
              <w:tab/>
              <w:t>Specification only for smoke extraction ducts or smoke dampers for multiple Sections</w:t>
            </w:r>
          </w:p>
          <w:p w14:paraId="7E78492E" w14:textId="77777777" w:rsidR="00B47442" w:rsidRPr="0009445C" w:rsidRDefault="00B47442" w:rsidP="0099521D">
            <w:pPr>
              <w:pStyle w:val="BRL-Tabelle"/>
              <w:keepNext/>
              <w:rPr>
                <w:rFonts w:cs="Arial"/>
              </w:rPr>
            </w:pPr>
            <w:r w:rsidRPr="0009445C">
              <w:t>#</w:t>
            </w:r>
            <w:r w:rsidRPr="0009445C">
              <w:tab/>
              <w:t xml:space="preserve">Not required if used in pressure ventilation systems according to Section 8 </w:t>
            </w:r>
          </w:p>
          <w:p w14:paraId="679C5B13" w14:textId="77777777" w:rsidR="00B47442" w:rsidRPr="0009445C" w:rsidRDefault="00B47442" w:rsidP="0099521D">
            <w:pPr>
              <w:pStyle w:val="BRL-Tabelle"/>
              <w:keepNext/>
              <w:rPr>
                <w:rFonts w:cs="Arial"/>
              </w:rPr>
            </w:pPr>
            <w:r w:rsidRPr="0009445C">
              <w:sym w:font="Wingdings" w:char="F074"/>
            </w:r>
            <w:r w:rsidRPr="0009445C">
              <w:tab/>
              <w:t>- For smoke extraction ducts made of smoke extraction fittings according to EN 12101-7:2011, see Table 3</w:t>
            </w:r>
          </w:p>
          <w:p w14:paraId="745EE15C" w14:textId="77777777" w:rsidR="00B47442" w:rsidRPr="0009445C" w:rsidRDefault="00B47442" w:rsidP="0099521D">
            <w:pPr>
              <w:pStyle w:val="BRL-Tabelle"/>
              <w:keepNext/>
              <w:spacing w:after="120"/>
              <w:rPr>
                <w:rFonts w:cs="Arial"/>
              </w:rPr>
            </w:pPr>
            <w:r w:rsidRPr="0009445C">
              <w:sym w:font="Wingdings" w:char="F074"/>
            </w:r>
            <w:r w:rsidRPr="0009445C">
              <w:sym w:font="Wingdings" w:char="F074"/>
            </w:r>
            <w:r w:rsidRPr="0009445C">
              <w:tab/>
              <w:t>- For smoke dampers according to EN 12101-8:2011, see Table 4</w:t>
            </w:r>
          </w:p>
        </w:tc>
      </w:tr>
    </w:tbl>
    <w:p w14:paraId="34187EEA" w14:textId="77777777" w:rsidR="00B47442" w:rsidRPr="0009445C" w:rsidRDefault="00B47442" w:rsidP="00B47442">
      <w:pPr>
        <w:pStyle w:val="BRL-Standard"/>
      </w:pPr>
    </w:p>
    <w:p w14:paraId="2AC9A9F4" w14:textId="77777777" w:rsidR="00B47442" w:rsidRPr="0009445C" w:rsidRDefault="00B47442" w:rsidP="00B47442">
      <w:pPr>
        <w:pStyle w:val="BRL-Standard"/>
        <w:keepNext/>
        <w:spacing w:after="60"/>
        <w:rPr>
          <w:b/>
        </w:rPr>
      </w:pPr>
      <w:r w:rsidRPr="0009445C">
        <w:rPr>
          <w:b/>
        </w:rPr>
        <w:lastRenderedPageBreak/>
        <w:t>Table 3:</w:t>
      </w:r>
    </w:p>
    <w:tbl>
      <w:tblPr>
        <w:tblW w:w="9078" w:type="dxa"/>
        <w:tblBorders>
          <w:insideH w:val="single" w:sz="2" w:space="0" w:color="595959"/>
          <w:insideV w:val="single" w:sz="2" w:space="0" w:color="595959"/>
        </w:tblBorders>
        <w:tblCellMar>
          <w:left w:w="0" w:type="dxa"/>
          <w:right w:w="0" w:type="dxa"/>
        </w:tblCellMar>
        <w:tblLook w:val="04E0" w:firstRow="1" w:lastRow="1" w:firstColumn="1" w:lastColumn="0" w:noHBand="0" w:noVBand="1"/>
      </w:tblPr>
      <w:tblGrid>
        <w:gridCol w:w="3173"/>
        <w:gridCol w:w="2928"/>
        <w:gridCol w:w="2977"/>
      </w:tblGrid>
      <w:tr w:rsidR="00B47442" w:rsidRPr="0009445C" w14:paraId="63598E4F" w14:textId="77777777" w:rsidTr="0099521D">
        <w:trPr>
          <w:cantSplit/>
        </w:trPr>
        <w:tc>
          <w:tcPr>
            <w:tcW w:w="9078" w:type="dxa"/>
            <w:gridSpan w:val="3"/>
            <w:tcBorders>
              <w:top w:val="single" w:sz="2" w:space="0" w:color="auto"/>
              <w:left w:val="single" w:sz="2" w:space="0" w:color="auto"/>
              <w:bottom w:val="single" w:sz="2" w:space="0" w:color="auto"/>
              <w:right w:val="single" w:sz="2" w:space="0" w:color="auto"/>
              <w:tl2br w:val="nil"/>
              <w:tr2bl w:val="nil"/>
            </w:tcBorders>
            <w:shd w:val="clear" w:color="auto" w:fill="FFFFFF"/>
          </w:tcPr>
          <w:p w14:paraId="1589D268" w14:textId="77777777" w:rsidR="00B47442" w:rsidRPr="0009445C" w:rsidRDefault="00B47442" w:rsidP="0099521D">
            <w:pPr>
              <w:pStyle w:val="BRL-Tabelle"/>
              <w:keepNext/>
              <w:spacing w:before="60" w:after="40"/>
              <w:ind w:left="113" w:right="113"/>
              <w:rPr>
                <w:b/>
                <w:color w:val="000000"/>
              </w:rPr>
            </w:pPr>
            <w:r w:rsidRPr="0009445C">
              <w:rPr>
                <w:b/>
                <w:color w:val="000000"/>
              </w:rPr>
              <w:t>- Fire-resistant smoke extraction ducts according to EN 12101-7:2011</w:t>
            </w:r>
            <w:r w:rsidRPr="0009445C">
              <w:rPr>
                <w:color w:val="000000"/>
                <w:vertAlign w:val="superscript"/>
              </w:rPr>
              <w:footnoteReference w:id="112"/>
            </w:r>
          </w:p>
        </w:tc>
      </w:tr>
      <w:tr w:rsidR="00B47442" w:rsidRPr="0009445C" w14:paraId="32F798E9" w14:textId="77777777" w:rsidTr="0099521D">
        <w:trPr>
          <w:cantSplit/>
        </w:trPr>
        <w:tc>
          <w:tcPr>
            <w:tcW w:w="9078" w:type="dxa"/>
            <w:gridSpan w:val="3"/>
            <w:tcBorders>
              <w:top w:val="single" w:sz="2" w:space="0" w:color="auto"/>
              <w:left w:val="single" w:sz="2" w:space="0" w:color="auto"/>
              <w:bottom w:val="single" w:sz="2" w:space="0" w:color="auto"/>
              <w:right w:val="single" w:sz="2" w:space="0" w:color="auto"/>
            </w:tcBorders>
            <w:shd w:val="clear" w:color="auto" w:fill="FFFFFF"/>
          </w:tcPr>
          <w:p w14:paraId="7DB5652E" w14:textId="54300659" w:rsidR="00B47442" w:rsidRPr="0009445C" w:rsidRDefault="00B47442" w:rsidP="0099521D">
            <w:pPr>
              <w:pStyle w:val="BRL-Tabelle"/>
              <w:keepNext/>
              <w:spacing w:before="60" w:after="40"/>
              <w:ind w:left="113" w:right="113"/>
              <w:rPr>
                <w:b/>
              </w:rPr>
            </w:pPr>
            <w:r w:rsidRPr="0009445C">
              <w:rPr>
                <w:b/>
              </w:rPr>
              <w:t>- Fire-resistant smoke extraction ducts according to EAD 350142-00-1106</w:t>
            </w:r>
            <w:r w:rsidR="000C2ED5" w:rsidRPr="0009445C">
              <w:rPr>
                <w:b/>
              </w:rPr>
              <w:fldChar w:fldCharType="begin"/>
            </w:r>
            <w:r w:rsidR="000C2ED5" w:rsidRPr="0009445C">
              <w:rPr>
                <w:b/>
              </w:rPr>
              <w:instrText xml:space="preserve"> NOTEREF _Ref90905098 \f \h </w:instrText>
            </w:r>
            <w:r w:rsidR="000C2ED5" w:rsidRPr="0009445C">
              <w:rPr>
                <w:b/>
              </w:rPr>
            </w:r>
            <w:r w:rsidR="0009445C" w:rsidRPr="0009445C">
              <w:rPr>
                <w:b/>
              </w:rPr>
              <w:instrText xml:space="preserve"> \* MERGEFORMAT </w:instrText>
            </w:r>
            <w:r w:rsidR="000C2ED5" w:rsidRPr="0009445C">
              <w:rPr>
                <w:b/>
              </w:rPr>
              <w:fldChar w:fldCharType="separate"/>
            </w:r>
            <w:r w:rsidR="0009445C" w:rsidRPr="0009445C">
              <w:rPr>
                <w:rStyle w:val="FootnoteReference"/>
              </w:rPr>
              <w:t>42</w:t>
            </w:r>
            <w:r w:rsidR="000C2ED5" w:rsidRPr="0009445C">
              <w:rPr>
                <w:b/>
              </w:rPr>
              <w:fldChar w:fldCharType="end"/>
            </w:r>
          </w:p>
        </w:tc>
      </w:tr>
      <w:tr w:rsidR="00B47442" w:rsidRPr="0009445C" w14:paraId="3C32EB2C" w14:textId="77777777" w:rsidTr="0099521D">
        <w:trPr>
          <w:cantSplit/>
        </w:trPr>
        <w:tc>
          <w:tcPr>
            <w:tcW w:w="3173" w:type="dxa"/>
            <w:tcBorders>
              <w:top w:val="single" w:sz="2" w:space="0" w:color="auto"/>
              <w:left w:val="single" w:sz="2" w:space="0" w:color="auto"/>
              <w:bottom w:val="single" w:sz="2" w:space="0" w:color="auto"/>
              <w:right w:val="single" w:sz="2" w:space="0" w:color="auto"/>
            </w:tcBorders>
            <w:shd w:val="clear" w:color="auto" w:fill="FFFFFF"/>
          </w:tcPr>
          <w:p w14:paraId="5FB1FE94" w14:textId="77777777" w:rsidR="00B47442" w:rsidRPr="0009445C" w:rsidRDefault="00B47442" w:rsidP="0099521D">
            <w:pPr>
              <w:pStyle w:val="BRL-Tabelle"/>
              <w:keepNext/>
              <w:spacing w:before="60" w:after="40"/>
              <w:ind w:left="113" w:right="113"/>
              <w:rPr>
                <w:b/>
              </w:rPr>
            </w:pPr>
          </w:p>
        </w:tc>
        <w:tc>
          <w:tcPr>
            <w:tcW w:w="5905" w:type="dxa"/>
            <w:gridSpan w:val="2"/>
            <w:tcBorders>
              <w:top w:val="single" w:sz="2" w:space="0" w:color="auto"/>
              <w:left w:val="single" w:sz="2" w:space="0" w:color="auto"/>
              <w:bottom w:val="single" w:sz="2" w:space="0" w:color="auto"/>
              <w:right w:val="single" w:sz="2" w:space="0" w:color="auto"/>
            </w:tcBorders>
            <w:shd w:val="clear" w:color="auto" w:fill="FFFFFF"/>
          </w:tcPr>
          <w:p w14:paraId="4A806F19" w14:textId="77777777" w:rsidR="00B47442" w:rsidRPr="0009445C" w:rsidRDefault="00B47442" w:rsidP="0099521D">
            <w:pPr>
              <w:pStyle w:val="BRL-Tabelle"/>
              <w:keepNext/>
              <w:spacing w:before="60" w:after="40"/>
              <w:ind w:left="113" w:right="113"/>
              <w:jc w:val="center"/>
              <w:rPr>
                <w:b/>
              </w:rPr>
            </w:pPr>
            <w:r w:rsidRPr="0009445C">
              <w:rPr>
                <w:b/>
              </w:rPr>
              <w:t>Minimum required performances</w:t>
            </w:r>
          </w:p>
        </w:tc>
      </w:tr>
      <w:tr w:rsidR="00B47442" w:rsidRPr="0009445C" w14:paraId="140A74AF" w14:textId="77777777" w:rsidTr="0099521D">
        <w:trPr>
          <w:cantSplit/>
        </w:trPr>
        <w:tc>
          <w:tcPr>
            <w:tcW w:w="3173" w:type="dxa"/>
            <w:tcBorders>
              <w:top w:val="single" w:sz="2" w:space="0" w:color="auto"/>
              <w:left w:val="single" w:sz="2" w:space="0" w:color="auto"/>
              <w:bottom w:val="single" w:sz="2" w:space="0" w:color="auto"/>
              <w:right w:val="single" w:sz="2" w:space="0" w:color="auto"/>
            </w:tcBorders>
            <w:shd w:val="clear" w:color="auto" w:fill="FFFFFF"/>
          </w:tcPr>
          <w:p w14:paraId="0874CFB4" w14:textId="77777777" w:rsidR="00B47442" w:rsidRPr="0009445C" w:rsidRDefault="00B47442" w:rsidP="0099521D">
            <w:pPr>
              <w:pStyle w:val="BRL-Tabelle"/>
              <w:keepNext/>
              <w:spacing w:before="60" w:after="40"/>
              <w:ind w:left="113" w:right="113"/>
              <w:rPr>
                <w:b/>
              </w:rPr>
            </w:pPr>
            <w:r w:rsidRPr="0009445C">
              <w:rPr>
                <w:b/>
              </w:rPr>
              <w:t xml:space="preserve">Building approval requirement </w:t>
            </w:r>
          </w:p>
        </w:tc>
        <w:tc>
          <w:tcPr>
            <w:tcW w:w="2928" w:type="dxa"/>
            <w:tcBorders>
              <w:top w:val="single" w:sz="2" w:space="0" w:color="auto"/>
              <w:left w:val="single" w:sz="2" w:space="0" w:color="auto"/>
              <w:bottom w:val="single" w:sz="2" w:space="0" w:color="auto"/>
              <w:right w:val="single" w:sz="2" w:space="0" w:color="auto"/>
            </w:tcBorders>
            <w:shd w:val="clear" w:color="auto" w:fill="FFFFFF"/>
          </w:tcPr>
          <w:p w14:paraId="0450E245" w14:textId="77777777" w:rsidR="00B47442" w:rsidRPr="0009445C" w:rsidRDefault="00B47442" w:rsidP="0099521D">
            <w:pPr>
              <w:pStyle w:val="BRL-Tabelle"/>
              <w:keepNext/>
              <w:spacing w:before="60" w:after="40"/>
              <w:ind w:left="113" w:right="113"/>
              <w:jc w:val="center"/>
              <w:rPr>
                <w:b/>
              </w:rPr>
            </w:pPr>
            <w:r w:rsidRPr="0009445C">
              <w:rPr>
                <w:b/>
              </w:rPr>
              <w:t>Fire resistance</w:t>
            </w:r>
          </w:p>
        </w:tc>
        <w:tc>
          <w:tcPr>
            <w:tcW w:w="2977" w:type="dxa"/>
            <w:tcBorders>
              <w:top w:val="single" w:sz="2" w:space="0" w:color="auto"/>
              <w:left w:val="single" w:sz="2" w:space="0" w:color="auto"/>
              <w:bottom w:val="single" w:sz="2" w:space="0" w:color="auto"/>
              <w:right w:val="single" w:sz="2" w:space="0" w:color="auto"/>
            </w:tcBorders>
            <w:shd w:val="clear" w:color="auto" w:fill="FFFFFF"/>
          </w:tcPr>
          <w:p w14:paraId="2E05152F" w14:textId="77777777" w:rsidR="00B47442" w:rsidRPr="0009445C" w:rsidRDefault="00B47442" w:rsidP="0099521D">
            <w:pPr>
              <w:pStyle w:val="BRL-Tabelle"/>
              <w:keepNext/>
              <w:spacing w:before="60" w:after="40"/>
              <w:ind w:left="113" w:right="113"/>
              <w:jc w:val="center"/>
              <w:rPr>
                <w:b/>
              </w:rPr>
            </w:pPr>
            <w:r w:rsidRPr="0009445C">
              <w:rPr>
                <w:b/>
              </w:rPr>
              <w:t>Fire performance</w:t>
            </w:r>
          </w:p>
        </w:tc>
      </w:tr>
      <w:tr w:rsidR="00B47442" w:rsidRPr="0009445C" w14:paraId="668E29BD" w14:textId="77777777" w:rsidTr="0099521D">
        <w:trPr>
          <w:cantSplit/>
        </w:trPr>
        <w:tc>
          <w:tcPr>
            <w:tcW w:w="3173" w:type="dxa"/>
            <w:tcBorders>
              <w:top w:val="single" w:sz="2" w:space="0" w:color="auto"/>
              <w:left w:val="single" w:sz="2" w:space="0" w:color="auto"/>
              <w:bottom w:val="single" w:sz="2" w:space="0" w:color="auto"/>
              <w:right w:val="single" w:sz="2" w:space="0" w:color="auto"/>
            </w:tcBorders>
            <w:shd w:val="clear" w:color="auto" w:fill="FFFFFF"/>
          </w:tcPr>
          <w:p w14:paraId="702B116C" w14:textId="77777777" w:rsidR="00B47442" w:rsidRPr="0009445C" w:rsidRDefault="00B47442" w:rsidP="0099521D">
            <w:pPr>
              <w:pStyle w:val="BRL-Tabelle"/>
              <w:keepNext/>
              <w:spacing w:before="60" w:after="40"/>
              <w:ind w:left="113" w:right="113"/>
            </w:pPr>
            <w:r w:rsidRPr="0009445C">
              <w:t>Fire-retardant</w:t>
            </w:r>
          </w:p>
        </w:tc>
        <w:tc>
          <w:tcPr>
            <w:tcW w:w="2928" w:type="dxa"/>
            <w:tcBorders>
              <w:top w:val="single" w:sz="2" w:space="0" w:color="auto"/>
              <w:left w:val="single" w:sz="2" w:space="0" w:color="auto"/>
              <w:bottom w:val="single" w:sz="2" w:space="0" w:color="auto"/>
              <w:right w:val="single" w:sz="2" w:space="0" w:color="auto"/>
            </w:tcBorders>
            <w:shd w:val="clear" w:color="auto" w:fill="FFFFFF"/>
          </w:tcPr>
          <w:p w14:paraId="3F4850C0" w14:textId="77777777" w:rsidR="00B47442" w:rsidRPr="0009445C" w:rsidRDefault="00B47442" w:rsidP="0099521D">
            <w:pPr>
              <w:pStyle w:val="BRL-Tabelle"/>
              <w:keepNext/>
              <w:spacing w:before="60" w:after="40"/>
              <w:ind w:left="113" w:right="113"/>
            </w:pPr>
            <w:r w:rsidRPr="0009445C">
              <w:t>EI 30 (</w:t>
            </w:r>
            <w:proofErr w:type="spellStart"/>
            <w:r w:rsidRPr="0009445C">
              <w:t>v</w:t>
            </w:r>
            <w:r w:rsidRPr="0009445C">
              <w:rPr>
                <w:vertAlign w:val="subscript"/>
              </w:rPr>
              <w:t>e</w:t>
            </w:r>
            <w:proofErr w:type="spellEnd"/>
            <w:r w:rsidRPr="0009445C">
              <w:rPr>
                <w:vertAlign w:val="subscript"/>
              </w:rPr>
              <w:t xml:space="preserve"> </w:t>
            </w:r>
            <w:r w:rsidRPr="0009445C">
              <w:t>–</w:t>
            </w:r>
            <w:r w:rsidRPr="0009445C">
              <w:rPr>
                <w:vertAlign w:val="subscript"/>
              </w:rPr>
              <w:t xml:space="preserve"> </w:t>
            </w:r>
            <w:proofErr w:type="spellStart"/>
            <w:r w:rsidRPr="0009445C">
              <w:t>h</w:t>
            </w:r>
            <w:r w:rsidRPr="0009445C">
              <w:rPr>
                <w:vertAlign w:val="subscript"/>
              </w:rPr>
              <w:t>o</w:t>
            </w:r>
            <w:proofErr w:type="spellEnd"/>
            <w:r w:rsidRPr="0009445C">
              <w:t>)</w:t>
            </w:r>
            <w:r w:rsidRPr="0009445C">
              <w:rPr>
                <w:vertAlign w:val="subscript"/>
              </w:rPr>
              <w:t xml:space="preserve"> </w:t>
            </w:r>
            <w:r w:rsidRPr="0009445C">
              <w:t>S</w:t>
            </w:r>
            <w:r w:rsidRPr="0009445C">
              <w:rPr>
                <w:vertAlign w:val="subscript"/>
              </w:rPr>
              <w:t>xx</w:t>
            </w:r>
            <w:r w:rsidRPr="0009445C">
              <w:rPr>
                <w:vertAlign w:val="superscript"/>
              </w:rPr>
              <w:t>1</w:t>
            </w:r>
            <w:r w:rsidRPr="0009445C">
              <w:t xml:space="preserve"> multi</w:t>
            </w:r>
          </w:p>
        </w:tc>
        <w:tc>
          <w:tcPr>
            <w:tcW w:w="2977" w:type="dxa"/>
            <w:vMerge w:val="restart"/>
            <w:tcBorders>
              <w:top w:val="single" w:sz="2" w:space="0" w:color="auto"/>
              <w:left w:val="single" w:sz="2" w:space="0" w:color="auto"/>
              <w:bottom w:val="single" w:sz="2" w:space="0" w:color="auto"/>
              <w:right w:val="single" w:sz="2" w:space="0" w:color="auto"/>
            </w:tcBorders>
            <w:shd w:val="clear" w:color="auto" w:fill="FFFFFF"/>
          </w:tcPr>
          <w:p w14:paraId="544E9A9C" w14:textId="77777777" w:rsidR="00B47442" w:rsidRPr="0009445C" w:rsidRDefault="00B47442" w:rsidP="0099521D">
            <w:pPr>
              <w:pStyle w:val="BRL-Tabelle"/>
              <w:keepNext/>
              <w:spacing w:before="60" w:after="40"/>
              <w:ind w:left="113" w:right="113"/>
              <w:jc w:val="center"/>
            </w:pPr>
            <w:r w:rsidRPr="0009445C">
              <w:t>A 2</w:t>
            </w:r>
            <w:r w:rsidRPr="0009445C">
              <w:noBreakHyphen/>
              <w:t>s1, d0</w:t>
            </w:r>
          </w:p>
        </w:tc>
      </w:tr>
      <w:tr w:rsidR="00B47442" w:rsidRPr="0009445C" w14:paraId="32F039FF" w14:textId="77777777" w:rsidTr="0099521D">
        <w:trPr>
          <w:cantSplit/>
        </w:trPr>
        <w:tc>
          <w:tcPr>
            <w:tcW w:w="3173" w:type="dxa"/>
            <w:tcBorders>
              <w:top w:val="single" w:sz="2" w:space="0" w:color="auto"/>
              <w:left w:val="single" w:sz="2" w:space="0" w:color="auto"/>
              <w:bottom w:val="single" w:sz="2" w:space="0" w:color="auto"/>
              <w:right w:val="single" w:sz="2" w:space="0" w:color="auto"/>
            </w:tcBorders>
            <w:shd w:val="clear" w:color="auto" w:fill="FFFFFF"/>
          </w:tcPr>
          <w:p w14:paraId="76E4140B" w14:textId="77777777" w:rsidR="00B47442" w:rsidRPr="0009445C" w:rsidRDefault="00B47442" w:rsidP="0099521D">
            <w:pPr>
              <w:pStyle w:val="BRL-Tabelle"/>
              <w:keepNext/>
              <w:spacing w:before="60" w:after="40"/>
              <w:ind w:left="113" w:right="113"/>
            </w:pPr>
            <w:r w:rsidRPr="0009445C">
              <w:t>Highly fire-retardant</w:t>
            </w:r>
          </w:p>
        </w:tc>
        <w:tc>
          <w:tcPr>
            <w:tcW w:w="2928" w:type="dxa"/>
            <w:tcBorders>
              <w:top w:val="single" w:sz="2" w:space="0" w:color="auto"/>
              <w:left w:val="single" w:sz="2" w:space="0" w:color="auto"/>
              <w:bottom w:val="single" w:sz="2" w:space="0" w:color="auto"/>
              <w:right w:val="single" w:sz="2" w:space="0" w:color="auto"/>
            </w:tcBorders>
            <w:shd w:val="clear" w:color="auto" w:fill="FFFFFF"/>
          </w:tcPr>
          <w:p w14:paraId="26E1E8C7" w14:textId="77777777" w:rsidR="00B47442" w:rsidRPr="0009445C" w:rsidRDefault="00B47442" w:rsidP="0099521D">
            <w:pPr>
              <w:pStyle w:val="BRL-Tabelle"/>
              <w:keepNext/>
              <w:spacing w:before="60" w:after="40"/>
              <w:ind w:left="113" w:right="113"/>
            </w:pPr>
            <w:r w:rsidRPr="0009445C">
              <w:t>EI 60 (</w:t>
            </w:r>
            <w:proofErr w:type="spellStart"/>
            <w:r w:rsidRPr="0009445C">
              <w:t>v</w:t>
            </w:r>
            <w:r w:rsidRPr="0009445C">
              <w:rPr>
                <w:vertAlign w:val="subscript"/>
              </w:rPr>
              <w:t>e</w:t>
            </w:r>
            <w:proofErr w:type="spellEnd"/>
            <w:r w:rsidRPr="0009445C">
              <w:rPr>
                <w:vertAlign w:val="subscript"/>
              </w:rPr>
              <w:t xml:space="preserve"> </w:t>
            </w:r>
            <w:r w:rsidRPr="0009445C">
              <w:t xml:space="preserve">– </w:t>
            </w:r>
            <w:proofErr w:type="spellStart"/>
            <w:r w:rsidRPr="0009445C">
              <w:t>h</w:t>
            </w:r>
            <w:r w:rsidRPr="0009445C">
              <w:rPr>
                <w:vertAlign w:val="subscript"/>
              </w:rPr>
              <w:t>o</w:t>
            </w:r>
            <w:proofErr w:type="spellEnd"/>
            <w:r w:rsidRPr="0009445C">
              <w:t>)</w:t>
            </w:r>
            <w:r w:rsidRPr="0009445C">
              <w:rPr>
                <w:vertAlign w:val="subscript"/>
              </w:rPr>
              <w:t xml:space="preserve"> </w:t>
            </w:r>
            <w:r w:rsidRPr="0009445C">
              <w:t>S</w:t>
            </w:r>
            <w:r w:rsidRPr="0009445C">
              <w:rPr>
                <w:vertAlign w:val="subscript"/>
              </w:rPr>
              <w:t xml:space="preserve"> xx</w:t>
            </w:r>
            <w:r w:rsidRPr="0009445C">
              <w:rPr>
                <w:vertAlign w:val="superscript"/>
              </w:rPr>
              <w:t>1</w:t>
            </w:r>
            <w:r w:rsidRPr="0009445C">
              <w:t xml:space="preserve"> multi</w:t>
            </w:r>
          </w:p>
        </w:tc>
        <w:tc>
          <w:tcPr>
            <w:tcW w:w="2977" w:type="dxa"/>
            <w:vMerge/>
            <w:tcBorders>
              <w:top w:val="single" w:sz="2" w:space="0" w:color="auto"/>
              <w:left w:val="single" w:sz="2" w:space="0" w:color="auto"/>
              <w:bottom w:val="single" w:sz="2" w:space="0" w:color="auto"/>
              <w:right w:val="single" w:sz="2" w:space="0" w:color="auto"/>
            </w:tcBorders>
            <w:shd w:val="clear" w:color="auto" w:fill="FFFFFF"/>
          </w:tcPr>
          <w:p w14:paraId="43ABDAA8" w14:textId="77777777" w:rsidR="00B47442" w:rsidRPr="0009445C" w:rsidRDefault="00B47442" w:rsidP="0099521D">
            <w:pPr>
              <w:pStyle w:val="BRL-Tabelle"/>
              <w:keepNext/>
              <w:spacing w:before="60" w:after="40"/>
              <w:ind w:left="113" w:right="113"/>
              <w:rPr>
                <w:lang w:val="it-IT"/>
              </w:rPr>
            </w:pPr>
          </w:p>
        </w:tc>
      </w:tr>
      <w:tr w:rsidR="00B47442" w:rsidRPr="0009445C" w14:paraId="3421145E" w14:textId="77777777" w:rsidTr="0099521D">
        <w:trPr>
          <w:cantSplit/>
        </w:trPr>
        <w:tc>
          <w:tcPr>
            <w:tcW w:w="3173" w:type="dxa"/>
            <w:tcBorders>
              <w:top w:val="single" w:sz="2" w:space="0" w:color="auto"/>
              <w:left w:val="single" w:sz="2" w:space="0" w:color="auto"/>
              <w:bottom w:val="single" w:sz="2" w:space="0" w:color="auto"/>
              <w:right w:val="single" w:sz="2" w:space="0" w:color="auto"/>
            </w:tcBorders>
            <w:shd w:val="clear" w:color="auto" w:fill="FFFFFF"/>
          </w:tcPr>
          <w:p w14:paraId="44EDB2BE" w14:textId="77777777" w:rsidR="00B47442" w:rsidRPr="0009445C" w:rsidRDefault="00B47442" w:rsidP="0099521D">
            <w:pPr>
              <w:pStyle w:val="BRL-Tabelle"/>
              <w:keepNext/>
              <w:spacing w:before="60" w:after="40"/>
              <w:ind w:left="113" w:right="113"/>
            </w:pPr>
            <w:r w:rsidRPr="0009445C">
              <w:t>Fire-resistant</w:t>
            </w:r>
          </w:p>
        </w:tc>
        <w:tc>
          <w:tcPr>
            <w:tcW w:w="2928" w:type="dxa"/>
            <w:tcBorders>
              <w:top w:val="single" w:sz="2" w:space="0" w:color="auto"/>
              <w:left w:val="single" w:sz="2" w:space="0" w:color="auto"/>
              <w:bottom w:val="single" w:sz="2" w:space="0" w:color="auto"/>
              <w:right w:val="single" w:sz="2" w:space="0" w:color="auto"/>
            </w:tcBorders>
            <w:shd w:val="clear" w:color="auto" w:fill="FFFFFF"/>
          </w:tcPr>
          <w:p w14:paraId="6DEF0B52" w14:textId="77777777" w:rsidR="00B47442" w:rsidRPr="0009445C" w:rsidRDefault="00B47442" w:rsidP="0099521D">
            <w:pPr>
              <w:pStyle w:val="BRL-Tabelle"/>
              <w:keepNext/>
              <w:spacing w:before="60" w:after="40"/>
              <w:ind w:left="113" w:right="113"/>
            </w:pPr>
            <w:r w:rsidRPr="0009445C">
              <w:t>EI 90 (</w:t>
            </w:r>
            <w:proofErr w:type="spellStart"/>
            <w:r w:rsidRPr="0009445C">
              <w:t>v</w:t>
            </w:r>
            <w:r w:rsidRPr="0009445C">
              <w:rPr>
                <w:vertAlign w:val="subscript"/>
              </w:rPr>
              <w:t>e</w:t>
            </w:r>
            <w:proofErr w:type="spellEnd"/>
            <w:r w:rsidRPr="0009445C">
              <w:rPr>
                <w:vertAlign w:val="subscript"/>
              </w:rPr>
              <w:t xml:space="preserve"> </w:t>
            </w:r>
            <w:r w:rsidRPr="0009445C">
              <w:t xml:space="preserve">– </w:t>
            </w:r>
            <w:proofErr w:type="spellStart"/>
            <w:r w:rsidRPr="0009445C">
              <w:t>h</w:t>
            </w:r>
            <w:r w:rsidRPr="0009445C">
              <w:rPr>
                <w:vertAlign w:val="subscript"/>
              </w:rPr>
              <w:t>o</w:t>
            </w:r>
            <w:proofErr w:type="spellEnd"/>
            <w:r w:rsidRPr="0009445C">
              <w:t>)</w:t>
            </w:r>
            <w:r w:rsidRPr="0009445C">
              <w:rPr>
                <w:vertAlign w:val="subscript"/>
              </w:rPr>
              <w:t xml:space="preserve"> </w:t>
            </w:r>
            <w:r w:rsidRPr="0009445C">
              <w:t>S</w:t>
            </w:r>
            <w:r w:rsidRPr="0009445C">
              <w:rPr>
                <w:vertAlign w:val="subscript"/>
              </w:rPr>
              <w:t xml:space="preserve"> xx</w:t>
            </w:r>
            <w:r w:rsidRPr="0009445C">
              <w:rPr>
                <w:vertAlign w:val="superscript"/>
              </w:rPr>
              <w:t>1</w:t>
            </w:r>
            <w:r w:rsidRPr="0009445C">
              <w:t xml:space="preserve"> multi</w:t>
            </w:r>
          </w:p>
        </w:tc>
        <w:tc>
          <w:tcPr>
            <w:tcW w:w="2977" w:type="dxa"/>
            <w:vMerge/>
            <w:tcBorders>
              <w:top w:val="single" w:sz="2" w:space="0" w:color="auto"/>
              <w:left w:val="single" w:sz="2" w:space="0" w:color="auto"/>
              <w:bottom w:val="single" w:sz="2" w:space="0" w:color="auto"/>
              <w:right w:val="single" w:sz="2" w:space="0" w:color="auto"/>
            </w:tcBorders>
            <w:shd w:val="clear" w:color="auto" w:fill="FFFFFF"/>
          </w:tcPr>
          <w:p w14:paraId="06924300" w14:textId="77777777" w:rsidR="00B47442" w:rsidRPr="0009445C" w:rsidRDefault="00B47442" w:rsidP="0099521D">
            <w:pPr>
              <w:pStyle w:val="BRL-Tabelle"/>
              <w:keepNext/>
              <w:spacing w:before="60" w:after="40"/>
              <w:ind w:left="113" w:right="113"/>
              <w:rPr>
                <w:lang w:val="it-IT"/>
              </w:rPr>
            </w:pPr>
          </w:p>
        </w:tc>
      </w:tr>
      <w:tr w:rsidR="00B47442" w:rsidRPr="0009445C" w14:paraId="61B6DEE0" w14:textId="77777777" w:rsidTr="0099521D">
        <w:trPr>
          <w:cantSplit/>
        </w:trPr>
        <w:tc>
          <w:tcPr>
            <w:tcW w:w="3173" w:type="dxa"/>
            <w:tcBorders>
              <w:top w:val="single" w:sz="2" w:space="0" w:color="auto"/>
              <w:left w:val="single" w:sz="2" w:space="0" w:color="auto"/>
              <w:bottom w:val="single" w:sz="2" w:space="0" w:color="auto"/>
              <w:right w:val="single" w:sz="2" w:space="0" w:color="auto"/>
            </w:tcBorders>
            <w:shd w:val="clear" w:color="auto" w:fill="FFFFFF"/>
          </w:tcPr>
          <w:p w14:paraId="74172AEB" w14:textId="77777777" w:rsidR="00B47442" w:rsidRPr="0009445C" w:rsidRDefault="00B47442" w:rsidP="0099521D">
            <w:pPr>
              <w:pStyle w:val="BRL-Tabelle"/>
              <w:keepNext/>
              <w:spacing w:before="60" w:after="40"/>
              <w:ind w:left="113" w:right="113"/>
            </w:pPr>
            <w:r w:rsidRPr="0009445C">
              <w:t>Fire resistance of 120 minutes</w:t>
            </w:r>
          </w:p>
        </w:tc>
        <w:tc>
          <w:tcPr>
            <w:tcW w:w="2928" w:type="dxa"/>
            <w:tcBorders>
              <w:top w:val="single" w:sz="2" w:space="0" w:color="auto"/>
              <w:left w:val="single" w:sz="2" w:space="0" w:color="auto"/>
              <w:bottom w:val="single" w:sz="2" w:space="0" w:color="auto"/>
              <w:right w:val="single" w:sz="2" w:space="0" w:color="auto"/>
            </w:tcBorders>
            <w:shd w:val="clear" w:color="auto" w:fill="FFFFFF"/>
          </w:tcPr>
          <w:p w14:paraId="37D6723B" w14:textId="77777777" w:rsidR="00B47442" w:rsidRPr="0009445C" w:rsidRDefault="00B47442" w:rsidP="0099521D">
            <w:pPr>
              <w:pStyle w:val="BRL-Tabelle"/>
              <w:keepNext/>
              <w:spacing w:before="60" w:after="40"/>
              <w:ind w:left="113" w:right="113"/>
            </w:pPr>
            <w:r w:rsidRPr="0009445C">
              <w:t>EI 120 (</w:t>
            </w:r>
            <w:proofErr w:type="spellStart"/>
            <w:r w:rsidRPr="0009445C">
              <w:t>v</w:t>
            </w:r>
            <w:r w:rsidRPr="0009445C">
              <w:rPr>
                <w:vertAlign w:val="subscript"/>
              </w:rPr>
              <w:t>e</w:t>
            </w:r>
            <w:proofErr w:type="spellEnd"/>
            <w:r w:rsidRPr="0009445C">
              <w:rPr>
                <w:vertAlign w:val="subscript"/>
              </w:rPr>
              <w:t xml:space="preserve"> </w:t>
            </w:r>
            <w:r w:rsidRPr="0009445C">
              <w:t xml:space="preserve">– </w:t>
            </w:r>
            <w:proofErr w:type="spellStart"/>
            <w:r w:rsidRPr="0009445C">
              <w:t>h</w:t>
            </w:r>
            <w:r w:rsidRPr="0009445C">
              <w:rPr>
                <w:vertAlign w:val="subscript"/>
              </w:rPr>
              <w:t>o</w:t>
            </w:r>
            <w:proofErr w:type="spellEnd"/>
            <w:r w:rsidRPr="0009445C">
              <w:t>)</w:t>
            </w:r>
            <w:r w:rsidRPr="0009445C">
              <w:rPr>
                <w:vertAlign w:val="subscript"/>
              </w:rPr>
              <w:t xml:space="preserve"> </w:t>
            </w:r>
            <w:r w:rsidRPr="0009445C">
              <w:t>S</w:t>
            </w:r>
            <w:r w:rsidRPr="0009445C">
              <w:rPr>
                <w:vertAlign w:val="subscript"/>
              </w:rPr>
              <w:t xml:space="preserve"> xx</w:t>
            </w:r>
            <w:r w:rsidRPr="0009445C">
              <w:rPr>
                <w:vertAlign w:val="superscript"/>
              </w:rPr>
              <w:t>1</w:t>
            </w:r>
            <w:r w:rsidRPr="0009445C">
              <w:t xml:space="preserve"> multi</w:t>
            </w:r>
          </w:p>
        </w:tc>
        <w:tc>
          <w:tcPr>
            <w:tcW w:w="2977" w:type="dxa"/>
            <w:vMerge/>
            <w:tcBorders>
              <w:top w:val="single" w:sz="2" w:space="0" w:color="auto"/>
              <w:left w:val="single" w:sz="2" w:space="0" w:color="auto"/>
              <w:bottom w:val="single" w:sz="2" w:space="0" w:color="auto"/>
              <w:right w:val="single" w:sz="2" w:space="0" w:color="auto"/>
            </w:tcBorders>
            <w:shd w:val="clear" w:color="auto" w:fill="FFFFFF"/>
          </w:tcPr>
          <w:p w14:paraId="38E91AD3" w14:textId="77777777" w:rsidR="00B47442" w:rsidRPr="0009445C" w:rsidRDefault="00B47442" w:rsidP="0099521D">
            <w:pPr>
              <w:pStyle w:val="BRL-Tabelle"/>
              <w:keepNext/>
              <w:spacing w:before="60" w:after="40"/>
              <w:ind w:left="113" w:right="113"/>
              <w:rPr>
                <w:lang w:val="it-IT"/>
              </w:rPr>
            </w:pPr>
          </w:p>
        </w:tc>
      </w:tr>
      <w:tr w:rsidR="00B47442" w:rsidRPr="0009445C" w14:paraId="3EF192C0" w14:textId="77777777" w:rsidTr="0099521D">
        <w:trPr>
          <w:cantSplit/>
        </w:trPr>
        <w:tc>
          <w:tcPr>
            <w:tcW w:w="9078" w:type="dxa"/>
            <w:gridSpan w:val="3"/>
            <w:tcBorders>
              <w:top w:val="single" w:sz="2" w:space="0" w:color="auto"/>
              <w:left w:val="single" w:sz="2" w:space="0" w:color="auto"/>
              <w:bottom w:val="single" w:sz="2" w:space="0" w:color="auto"/>
              <w:right w:val="single" w:sz="2" w:space="0" w:color="auto"/>
            </w:tcBorders>
            <w:shd w:val="clear" w:color="auto" w:fill="FFFFFF"/>
          </w:tcPr>
          <w:p w14:paraId="3F91297E" w14:textId="77777777" w:rsidR="00B47442" w:rsidRPr="0009445C" w:rsidRDefault="00B47442" w:rsidP="0099521D">
            <w:pPr>
              <w:pStyle w:val="BRL-Tabelle"/>
              <w:keepNext/>
              <w:tabs>
                <w:tab w:val="left" w:pos="572"/>
              </w:tabs>
              <w:spacing w:before="60" w:after="40"/>
              <w:ind w:left="113" w:right="113"/>
              <w:rPr>
                <w:b/>
              </w:rPr>
            </w:pPr>
            <w:r w:rsidRPr="0009445C">
              <w:rPr>
                <w:sz w:val="16"/>
              </w:rPr>
              <w:t>1</w:t>
            </w:r>
            <w:r w:rsidRPr="0009445C">
              <w:rPr>
                <w:sz w:val="16"/>
              </w:rPr>
              <w:tab/>
              <w:t>Depending on the intended use, but not less than 500 Pa</w:t>
            </w:r>
          </w:p>
        </w:tc>
      </w:tr>
    </w:tbl>
    <w:p w14:paraId="5497B0A2" w14:textId="77777777" w:rsidR="00B47442" w:rsidRPr="0009445C" w:rsidRDefault="00B47442" w:rsidP="00B47442">
      <w:pPr>
        <w:pStyle w:val="BRL-Standard"/>
      </w:pPr>
    </w:p>
    <w:p w14:paraId="5A600B5F" w14:textId="77777777" w:rsidR="00B47442" w:rsidRPr="0009445C" w:rsidRDefault="00B47442" w:rsidP="00B47442">
      <w:pPr>
        <w:pStyle w:val="BRL-Standard"/>
        <w:keepNext/>
        <w:spacing w:after="60"/>
        <w:rPr>
          <w:rFonts w:cs="Arial"/>
          <w:b/>
        </w:rPr>
      </w:pPr>
      <w:r w:rsidRPr="0009445C">
        <w:rPr>
          <w:b/>
        </w:rPr>
        <w:t>Table 4:</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E0" w:firstRow="1" w:lastRow="1" w:firstColumn="1" w:lastColumn="0" w:noHBand="0" w:noVBand="1"/>
      </w:tblPr>
      <w:tblGrid>
        <w:gridCol w:w="2341"/>
        <w:gridCol w:w="2843"/>
        <w:gridCol w:w="1942"/>
        <w:gridCol w:w="1957"/>
      </w:tblGrid>
      <w:tr w:rsidR="00B47442" w:rsidRPr="0009445C" w14:paraId="0B1BF69D" w14:textId="77777777" w:rsidTr="0099521D">
        <w:trPr>
          <w:cantSplit/>
        </w:trPr>
        <w:tc>
          <w:tcPr>
            <w:tcW w:w="9083"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31A11128" w14:textId="517055A1" w:rsidR="00B47442" w:rsidRPr="0009445C" w:rsidRDefault="00B47442" w:rsidP="0099521D">
            <w:pPr>
              <w:pStyle w:val="BRLTabelleberschrift"/>
              <w:spacing w:before="60" w:after="40"/>
              <w:ind w:left="1417" w:right="113" w:hanging="1264"/>
              <w:rPr>
                <w:b w:val="0"/>
                <w:color w:val="000000"/>
              </w:rPr>
            </w:pPr>
            <w:r w:rsidRPr="0009445C">
              <w:rPr>
                <w:color w:val="000000"/>
              </w:rPr>
              <w:t>Fire-resistant smoke extraction ducts according to EN 12101-8:2011</w:t>
            </w:r>
            <w:r w:rsidR="00AE34C5" w:rsidRPr="0009445C">
              <w:fldChar w:fldCharType="begin"/>
            </w:r>
            <w:r w:rsidR="00AE34C5" w:rsidRPr="0009445C">
              <w:rPr>
                <w:color w:val="000000"/>
              </w:rPr>
              <w:instrText xml:space="preserve"> NOTEREF _Ref107324460 \f \h </w:instrText>
            </w:r>
            <w:r w:rsidR="0009445C" w:rsidRPr="0009445C">
              <w:instrText xml:space="preserve"> \* MERGEFORMAT </w:instrText>
            </w:r>
            <w:r w:rsidR="00AE34C5" w:rsidRPr="0009445C">
              <w:fldChar w:fldCharType="separate"/>
            </w:r>
            <w:r w:rsidR="0009445C" w:rsidRPr="0009445C">
              <w:rPr>
                <w:rStyle w:val="FootnoteReference"/>
              </w:rPr>
              <w:t>45</w:t>
            </w:r>
            <w:r w:rsidR="00AE34C5" w:rsidRPr="0009445C">
              <w:fldChar w:fldCharType="end"/>
            </w:r>
          </w:p>
        </w:tc>
      </w:tr>
      <w:tr w:rsidR="00B47442" w:rsidRPr="0009445C" w14:paraId="497ED683" w14:textId="77777777" w:rsidTr="0099521D">
        <w:trPr>
          <w:cantSplit/>
        </w:trPr>
        <w:tc>
          <w:tcPr>
            <w:tcW w:w="2341" w:type="dxa"/>
            <w:tcBorders>
              <w:top w:val="single" w:sz="2" w:space="0" w:color="auto"/>
              <w:left w:val="single" w:sz="2" w:space="0" w:color="auto"/>
              <w:bottom w:val="single" w:sz="2" w:space="0" w:color="auto"/>
              <w:right w:val="single" w:sz="2" w:space="0" w:color="auto"/>
            </w:tcBorders>
            <w:shd w:val="clear" w:color="auto" w:fill="FFFFFF"/>
          </w:tcPr>
          <w:p w14:paraId="4AD098A9" w14:textId="77777777" w:rsidR="00B47442" w:rsidRPr="0009445C" w:rsidRDefault="00B47442" w:rsidP="0099521D">
            <w:pPr>
              <w:pStyle w:val="BRLTabelleberschrift"/>
              <w:spacing w:before="60" w:after="40"/>
              <w:ind w:right="113"/>
            </w:pPr>
          </w:p>
        </w:tc>
        <w:tc>
          <w:tcPr>
            <w:tcW w:w="6742"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3F7D6B01" w14:textId="77777777" w:rsidR="00B47442" w:rsidRPr="0009445C" w:rsidRDefault="00B47442" w:rsidP="0099521D">
            <w:pPr>
              <w:pStyle w:val="BRLTabelleberschrift"/>
              <w:spacing w:before="60" w:after="40"/>
              <w:ind w:right="113"/>
              <w:jc w:val="center"/>
            </w:pPr>
            <w:r w:rsidRPr="0009445C">
              <w:t>Minimum required performances</w:t>
            </w:r>
          </w:p>
        </w:tc>
      </w:tr>
      <w:tr w:rsidR="00B47442" w:rsidRPr="0009445C" w14:paraId="0C54DD5A" w14:textId="77777777" w:rsidTr="0099521D">
        <w:trPr>
          <w:cantSplit/>
        </w:trPr>
        <w:tc>
          <w:tcPr>
            <w:tcW w:w="2341" w:type="dxa"/>
            <w:vMerge w:val="restart"/>
            <w:tcBorders>
              <w:top w:val="single" w:sz="2" w:space="0" w:color="auto"/>
              <w:left w:val="single" w:sz="2" w:space="0" w:color="auto"/>
              <w:bottom w:val="single" w:sz="2" w:space="0" w:color="auto"/>
              <w:right w:val="single" w:sz="2" w:space="0" w:color="auto"/>
            </w:tcBorders>
            <w:shd w:val="clear" w:color="auto" w:fill="FFFFFF"/>
          </w:tcPr>
          <w:p w14:paraId="21F82E91" w14:textId="77777777" w:rsidR="00B47442" w:rsidRPr="0009445C" w:rsidRDefault="00B47442" w:rsidP="0099521D">
            <w:pPr>
              <w:pStyle w:val="BRLTabelleberschrift"/>
              <w:tabs>
                <w:tab w:val="clear" w:pos="851"/>
              </w:tabs>
              <w:spacing w:before="60" w:after="40"/>
              <w:ind w:left="152" w:right="113" w:hanging="10"/>
            </w:pPr>
            <w:r w:rsidRPr="0009445C">
              <w:t xml:space="preserve">Building approval requirement </w:t>
            </w:r>
          </w:p>
        </w:tc>
        <w:tc>
          <w:tcPr>
            <w:tcW w:w="2843" w:type="dxa"/>
            <w:tcBorders>
              <w:top w:val="single" w:sz="2" w:space="0" w:color="auto"/>
              <w:left w:val="single" w:sz="2" w:space="0" w:color="auto"/>
              <w:bottom w:val="single" w:sz="2" w:space="0" w:color="auto"/>
              <w:right w:val="single" w:sz="2" w:space="0" w:color="auto"/>
            </w:tcBorders>
            <w:shd w:val="clear" w:color="auto" w:fill="FFFFFF"/>
            <w:vAlign w:val="center"/>
          </w:tcPr>
          <w:p w14:paraId="491F3563" w14:textId="77777777" w:rsidR="00B47442" w:rsidRPr="0009445C" w:rsidRDefault="00B47442" w:rsidP="0099521D">
            <w:pPr>
              <w:pStyle w:val="BRLTabelleberschrift"/>
              <w:spacing w:before="60" w:after="40"/>
              <w:ind w:right="113"/>
              <w:jc w:val="center"/>
            </w:pPr>
            <w:r w:rsidRPr="0009445C">
              <w:t>Fire resistance</w:t>
            </w:r>
          </w:p>
        </w:tc>
        <w:tc>
          <w:tcPr>
            <w:tcW w:w="389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D4FE018" w14:textId="77777777" w:rsidR="00B47442" w:rsidRPr="0009445C" w:rsidRDefault="00B47442" w:rsidP="0099521D">
            <w:pPr>
              <w:pStyle w:val="BRLTabelleberschrift"/>
              <w:spacing w:before="60" w:after="40"/>
              <w:ind w:right="113"/>
              <w:jc w:val="center"/>
            </w:pPr>
            <w:r w:rsidRPr="0009445C">
              <w:t>Fire performance</w:t>
            </w:r>
          </w:p>
        </w:tc>
      </w:tr>
      <w:tr w:rsidR="00B47442" w:rsidRPr="0009445C" w14:paraId="383B89FF" w14:textId="77777777" w:rsidTr="0099521D">
        <w:trPr>
          <w:cantSplit/>
        </w:trPr>
        <w:tc>
          <w:tcPr>
            <w:tcW w:w="2341" w:type="dxa"/>
            <w:vMerge/>
            <w:tcBorders>
              <w:top w:val="single" w:sz="2" w:space="0" w:color="auto"/>
              <w:left w:val="single" w:sz="2" w:space="0" w:color="auto"/>
              <w:bottom w:val="single" w:sz="2" w:space="0" w:color="auto"/>
              <w:right w:val="single" w:sz="2" w:space="0" w:color="auto"/>
            </w:tcBorders>
            <w:shd w:val="clear" w:color="auto" w:fill="FFFFFF"/>
          </w:tcPr>
          <w:p w14:paraId="2EBC7700" w14:textId="77777777" w:rsidR="00B47442" w:rsidRPr="0009445C" w:rsidRDefault="00B47442" w:rsidP="0099521D">
            <w:pPr>
              <w:pStyle w:val="BRLTabelleberschrift"/>
              <w:spacing w:before="60" w:after="40"/>
              <w:ind w:right="113"/>
            </w:pPr>
          </w:p>
        </w:tc>
        <w:tc>
          <w:tcPr>
            <w:tcW w:w="2843" w:type="dxa"/>
            <w:tcBorders>
              <w:top w:val="single" w:sz="2" w:space="0" w:color="auto"/>
              <w:left w:val="single" w:sz="2" w:space="0" w:color="auto"/>
              <w:bottom w:val="single" w:sz="2" w:space="0" w:color="auto"/>
              <w:right w:val="single" w:sz="2" w:space="0" w:color="auto"/>
            </w:tcBorders>
            <w:shd w:val="clear" w:color="auto" w:fill="FFFFFF"/>
            <w:vAlign w:val="center"/>
          </w:tcPr>
          <w:p w14:paraId="0F2E0269" w14:textId="77777777" w:rsidR="00B47442" w:rsidRPr="0009445C" w:rsidRDefault="00B47442" w:rsidP="0099521D">
            <w:pPr>
              <w:pStyle w:val="BRLTabelleberschrift"/>
              <w:spacing w:before="60" w:after="40"/>
              <w:ind w:right="113"/>
              <w:jc w:val="center"/>
            </w:pPr>
          </w:p>
        </w:tc>
        <w:tc>
          <w:tcPr>
            <w:tcW w:w="1942" w:type="dxa"/>
            <w:tcBorders>
              <w:top w:val="single" w:sz="2" w:space="0" w:color="auto"/>
              <w:left w:val="single" w:sz="2" w:space="0" w:color="auto"/>
              <w:bottom w:val="single" w:sz="2" w:space="0" w:color="auto"/>
              <w:right w:val="single" w:sz="2" w:space="0" w:color="auto"/>
            </w:tcBorders>
            <w:shd w:val="clear" w:color="auto" w:fill="FFFFFF"/>
            <w:vAlign w:val="center"/>
          </w:tcPr>
          <w:p w14:paraId="731F2D97" w14:textId="77777777" w:rsidR="00B47442" w:rsidRPr="0009445C" w:rsidRDefault="00B47442" w:rsidP="0099521D">
            <w:pPr>
              <w:pStyle w:val="BRLTabelleberschrift"/>
              <w:tabs>
                <w:tab w:val="clear" w:pos="851"/>
              </w:tabs>
              <w:spacing w:before="60" w:after="40"/>
              <w:ind w:left="0" w:right="113" w:firstLine="0"/>
              <w:jc w:val="center"/>
            </w:pPr>
            <w:r w:rsidRPr="0009445C">
              <w:t>Damper blade,</w:t>
            </w:r>
            <w:r w:rsidRPr="0009445C">
              <w:br/>
              <w:t>housing</w:t>
            </w:r>
          </w:p>
        </w:tc>
        <w:tc>
          <w:tcPr>
            <w:tcW w:w="1957" w:type="dxa"/>
            <w:tcBorders>
              <w:top w:val="single" w:sz="2" w:space="0" w:color="auto"/>
              <w:left w:val="single" w:sz="2" w:space="0" w:color="auto"/>
              <w:bottom w:val="single" w:sz="2" w:space="0" w:color="auto"/>
              <w:right w:val="single" w:sz="2" w:space="0" w:color="auto"/>
            </w:tcBorders>
            <w:shd w:val="clear" w:color="auto" w:fill="FFFFFF"/>
            <w:vAlign w:val="center"/>
          </w:tcPr>
          <w:p w14:paraId="0E24E395" w14:textId="77777777" w:rsidR="00B47442" w:rsidRPr="0009445C" w:rsidRDefault="00B47442" w:rsidP="0099521D">
            <w:pPr>
              <w:pStyle w:val="BRLTabelleberschrift"/>
              <w:tabs>
                <w:tab w:val="clear" w:pos="851"/>
              </w:tabs>
              <w:spacing w:before="60" w:after="40"/>
              <w:ind w:left="0" w:right="113" w:firstLine="0"/>
              <w:jc w:val="center"/>
            </w:pPr>
            <w:r w:rsidRPr="0009445C">
              <w:t>Other</w:t>
            </w:r>
            <w:r w:rsidRPr="0009445C">
              <w:br/>
              <w:t>structural elements</w:t>
            </w:r>
          </w:p>
        </w:tc>
      </w:tr>
      <w:tr w:rsidR="00B47442" w:rsidRPr="0009445C" w14:paraId="027BB85C" w14:textId="77777777" w:rsidTr="0099521D">
        <w:trPr>
          <w:cantSplit/>
        </w:trPr>
        <w:tc>
          <w:tcPr>
            <w:tcW w:w="2341" w:type="dxa"/>
            <w:tcBorders>
              <w:top w:val="single" w:sz="2" w:space="0" w:color="auto"/>
              <w:left w:val="single" w:sz="2" w:space="0" w:color="auto"/>
              <w:bottom w:val="single" w:sz="2" w:space="0" w:color="auto"/>
              <w:right w:val="single" w:sz="2" w:space="0" w:color="auto"/>
            </w:tcBorders>
            <w:shd w:val="clear" w:color="auto" w:fill="FFFFFF"/>
          </w:tcPr>
          <w:p w14:paraId="5F29BE52" w14:textId="77777777" w:rsidR="00B47442" w:rsidRPr="0009445C" w:rsidRDefault="00B47442" w:rsidP="0099521D">
            <w:pPr>
              <w:pStyle w:val="BRL-Tabelle"/>
              <w:keepNext/>
              <w:spacing w:before="60" w:after="40"/>
              <w:ind w:left="113" w:right="113"/>
            </w:pPr>
            <w:r w:rsidRPr="0009445C">
              <w:t>Fire-retardant</w:t>
            </w:r>
          </w:p>
        </w:tc>
        <w:tc>
          <w:tcPr>
            <w:tcW w:w="2843" w:type="dxa"/>
            <w:tcBorders>
              <w:top w:val="single" w:sz="2" w:space="0" w:color="auto"/>
              <w:left w:val="single" w:sz="2" w:space="0" w:color="auto"/>
              <w:bottom w:val="single" w:sz="2" w:space="0" w:color="auto"/>
              <w:right w:val="single" w:sz="2" w:space="0" w:color="auto"/>
            </w:tcBorders>
            <w:shd w:val="clear" w:color="auto" w:fill="FFFFFF"/>
            <w:vAlign w:val="center"/>
          </w:tcPr>
          <w:p w14:paraId="5F7742F4" w14:textId="77777777" w:rsidR="00B47442" w:rsidRPr="0009445C" w:rsidRDefault="00B47442" w:rsidP="0099521D">
            <w:pPr>
              <w:pStyle w:val="BRL-Tabelle"/>
              <w:keepNext/>
              <w:spacing w:before="60" w:after="40"/>
              <w:ind w:left="113" w:right="113"/>
            </w:pPr>
            <w:r w:rsidRPr="0009445C">
              <w:t>EI 30 (v</w:t>
            </w:r>
            <w:r w:rsidRPr="0009445C">
              <w:rPr>
                <w:vertAlign w:val="subscript"/>
              </w:rPr>
              <w:t>e</w:t>
            </w:r>
            <w:r w:rsidRPr="0009445C">
              <w:rPr>
                <w:vertAlign w:val="superscript"/>
              </w:rPr>
              <w:t>1</w:t>
            </w:r>
            <w:r w:rsidRPr="0009445C">
              <w:rPr>
                <w:vertAlign w:val="subscript"/>
              </w:rPr>
              <w:t xml:space="preserve"> </w:t>
            </w:r>
            <w:r w:rsidRPr="0009445C">
              <w:t>-</w:t>
            </w:r>
            <w:r w:rsidRPr="0009445C">
              <w:rPr>
                <w:vertAlign w:val="subscript"/>
              </w:rPr>
              <w:t xml:space="preserve"> </w:t>
            </w:r>
            <w:r w:rsidRPr="0009445C">
              <w:t>h</w:t>
            </w:r>
            <w:r w:rsidRPr="0009445C">
              <w:rPr>
                <w:vertAlign w:val="subscript"/>
              </w:rPr>
              <w:t>o</w:t>
            </w:r>
            <w:r w:rsidRPr="0009445C">
              <w:rPr>
                <w:vertAlign w:val="superscript"/>
              </w:rPr>
              <w:t xml:space="preserve">2 </w:t>
            </w:r>
            <w:r w:rsidRPr="0009445C">
              <w:t xml:space="preserve">- </w:t>
            </w:r>
            <w:proofErr w:type="spellStart"/>
            <w:r w:rsidRPr="0009445C">
              <w:t>i</w:t>
            </w:r>
            <w:proofErr w:type="spellEnd"/>
            <w:r w:rsidRPr="0009445C">
              <w:sym w:font="Symbol" w:char="F0AB"/>
            </w:r>
            <w:r w:rsidRPr="0009445C">
              <w:t xml:space="preserve">o) S </w:t>
            </w:r>
            <w:r w:rsidRPr="0009445C">
              <w:rPr>
                <w:vertAlign w:val="subscript"/>
              </w:rPr>
              <w:t>xx</w:t>
            </w:r>
            <w:r w:rsidRPr="0009445C">
              <w:rPr>
                <w:vertAlign w:val="superscript"/>
              </w:rPr>
              <w:t>3</w:t>
            </w:r>
            <w:r w:rsidRPr="0009445C">
              <w:t xml:space="preserve"> C</w:t>
            </w:r>
            <w:r w:rsidRPr="0009445C">
              <w:rPr>
                <w:vertAlign w:val="subscript"/>
              </w:rPr>
              <w:t>xx</w:t>
            </w:r>
            <w:r w:rsidRPr="0009445C">
              <w:rPr>
                <w:vertAlign w:val="superscript"/>
              </w:rPr>
              <w:t>4</w:t>
            </w:r>
            <w:r w:rsidRPr="0009445C">
              <w:t xml:space="preserve"> MA/AA</w:t>
            </w:r>
            <w:r w:rsidRPr="0009445C">
              <w:rPr>
                <w:vertAlign w:val="superscript"/>
              </w:rPr>
              <w:t>5</w:t>
            </w:r>
            <w:r w:rsidRPr="0009445C">
              <w:t xml:space="preserve"> multi</w:t>
            </w:r>
          </w:p>
        </w:tc>
        <w:tc>
          <w:tcPr>
            <w:tcW w:w="1942"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7D506B72" w14:textId="77777777" w:rsidR="00B47442" w:rsidRPr="0009445C" w:rsidRDefault="00B47442" w:rsidP="0099521D">
            <w:pPr>
              <w:pStyle w:val="BRL-Tabelle"/>
              <w:keepNext/>
              <w:spacing w:before="100"/>
              <w:ind w:left="113" w:right="113"/>
              <w:jc w:val="center"/>
            </w:pPr>
            <w:r w:rsidRPr="0009445C">
              <w:t>A 2-s1, d0,</w:t>
            </w:r>
          </w:p>
        </w:tc>
        <w:tc>
          <w:tcPr>
            <w:tcW w:w="1957"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1136E855" w14:textId="77777777" w:rsidR="00B47442" w:rsidRPr="0009445C" w:rsidRDefault="00B47442" w:rsidP="0099521D">
            <w:pPr>
              <w:pStyle w:val="BRL-Tabelle"/>
              <w:keepNext/>
              <w:spacing w:before="100"/>
              <w:ind w:left="113" w:right="113"/>
              <w:jc w:val="center"/>
            </w:pPr>
            <w:r w:rsidRPr="0009445C">
              <w:t>E-d2</w:t>
            </w:r>
          </w:p>
        </w:tc>
      </w:tr>
      <w:tr w:rsidR="00B47442" w:rsidRPr="0009445C" w14:paraId="2C96518E" w14:textId="77777777" w:rsidTr="0099521D">
        <w:trPr>
          <w:cantSplit/>
        </w:trPr>
        <w:tc>
          <w:tcPr>
            <w:tcW w:w="2341" w:type="dxa"/>
            <w:tcBorders>
              <w:top w:val="single" w:sz="2" w:space="0" w:color="auto"/>
              <w:left w:val="single" w:sz="2" w:space="0" w:color="auto"/>
              <w:bottom w:val="single" w:sz="2" w:space="0" w:color="auto"/>
              <w:right w:val="single" w:sz="2" w:space="0" w:color="auto"/>
            </w:tcBorders>
            <w:shd w:val="clear" w:color="auto" w:fill="FFFFFF"/>
          </w:tcPr>
          <w:p w14:paraId="5F5C4CBB" w14:textId="77777777" w:rsidR="00B47442" w:rsidRPr="0009445C" w:rsidRDefault="00B47442" w:rsidP="0099521D">
            <w:pPr>
              <w:pStyle w:val="BRL-Tabelle"/>
              <w:keepNext/>
              <w:spacing w:before="60" w:after="40"/>
              <w:ind w:left="113" w:right="113"/>
            </w:pPr>
            <w:r w:rsidRPr="0009445C">
              <w:t>Highly fire-retardant</w:t>
            </w:r>
          </w:p>
        </w:tc>
        <w:tc>
          <w:tcPr>
            <w:tcW w:w="2843" w:type="dxa"/>
            <w:tcBorders>
              <w:top w:val="single" w:sz="2" w:space="0" w:color="auto"/>
              <w:left w:val="single" w:sz="2" w:space="0" w:color="auto"/>
              <w:bottom w:val="single" w:sz="2" w:space="0" w:color="auto"/>
              <w:right w:val="single" w:sz="2" w:space="0" w:color="auto"/>
            </w:tcBorders>
            <w:shd w:val="clear" w:color="auto" w:fill="FFFFFF"/>
          </w:tcPr>
          <w:p w14:paraId="72F87B53" w14:textId="77777777" w:rsidR="00B47442" w:rsidRPr="0009445C" w:rsidRDefault="00B47442" w:rsidP="0099521D">
            <w:pPr>
              <w:pStyle w:val="BRL-Tabelle"/>
              <w:keepNext/>
              <w:spacing w:before="60" w:after="40"/>
              <w:ind w:left="113" w:right="113"/>
            </w:pPr>
            <w:r w:rsidRPr="0009445C">
              <w:t>EI 60 (v</w:t>
            </w:r>
            <w:r w:rsidRPr="0009445C">
              <w:rPr>
                <w:vertAlign w:val="subscript"/>
              </w:rPr>
              <w:t>e</w:t>
            </w:r>
            <w:r w:rsidRPr="0009445C">
              <w:rPr>
                <w:vertAlign w:val="superscript"/>
              </w:rPr>
              <w:t>1</w:t>
            </w:r>
            <w:r w:rsidRPr="0009445C">
              <w:rPr>
                <w:vertAlign w:val="subscript"/>
              </w:rPr>
              <w:t xml:space="preserve"> </w:t>
            </w:r>
            <w:r w:rsidRPr="0009445C">
              <w:t>-</w:t>
            </w:r>
            <w:r w:rsidRPr="0009445C">
              <w:rPr>
                <w:vertAlign w:val="subscript"/>
              </w:rPr>
              <w:t xml:space="preserve"> </w:t>
            </w:r>
            <w:r w:rsidRPr="0009445C">
              <w:t>h</w:t>
            </w:r>
            <w:r w:rsidRPr="0009445C">
              <w:rPr>
                <w:vertAlign w:val="subscript"/>
              </w:rPr>
              <w:t>o</w:t>
            </w:r>
            <w:r w:rsidRPr="0009445C">
              <w:rPr>
                <w:vertAlign w:val="superscript"/>
              </w:rPr>
              <w:t>2</w:t>
            </w:r>
            <w:r w:rsidRPr="0009445C">
              <w:t xml:space="preserve">- </w:t>
            </w:r>
            <w:proofErr w:type="spellStart"/>
            <w:r w:rsidRPr="0009445C">
              <w:t>i</w:t>
            </w:r>
            <w:proofErr w:type="spellEnd"/>
            <w:r w:rsidRPr="0009445C">
              <w:sym w:font="Symbol" w:char="F0AB"/>
            </w:r>
            <w:r w:rsidRPr="0009445C">
              <w:t>o) S</w:t>
            </w:r>
            <w:r w:rsidRPr="0009445C">
              <w:rPr>
                <w:vertAlign w:val="subscript"/>
              </w:rPr>
              <w:t xml:space="preserve"> xx</w:t>
            </w:r>
            <w:r w:rsidRPr="0009445C">
              <w:rPr>
                <w:vertAlign w:val="superscript"/>
              </w:rPr>
              <w:t>3</w:t>
            </w:r>
            <w:r w:rsidRPr="0009445C">
              <w:t xml:space="preserve"> C</w:t>
            </w:r>
            <w:r w:rsidRPr="0009445C">
              <w:rPr>
                <w:vertAlign w:val="subscript"/>
              </w:rPr>
              <w:t>xx</w:t>
            </w:r>
            <w:r w:rsidRPr="0009445C">
              <w:rPr>
                <w:vertAlign w:val="superscript"/>
              </w:rPr>
              <w:t>4</w:t>
            </w:r>
            <w:r w:rsidRPr="0009445C">
              <w:t xml:space="preserve"> MA/AA</w:t>
            </w:r>
            <w:r w:rsidRPr="0009445C">
              <w:rPr>
                <w:vertAlign w:val="superscript"/>
              </w:rPr>
              <w:t>5</w:t>
            </w:r>
            <w:r w:rsidRPr="0009445C">
              <w:t xml:space="preserve"> multi</w:t>
            </w:r>
          </w:p>
        </w:tc>
        <w:tc>
          <w:tcPr>
            <w:tcW w:w="1942" w:type="dxa"/>
            <w:vMerge/>
            <w:tcBorders>
              <w:top w:val="single" w:sz="2" w:space="0" w:color="auto"/>
              <w:left w:val="single" w:sz="2" w:space="0" w:color="auto"/>
              <w:bottom w:val="single" w:sz="2" w:space="0" w:color="auto"/>
              <w:right w:val="single" w:sz="2" w:space="0" w:color="auto"/>
            </w:tcBorders>
            <w:shd w:val="clear" w:color="auto" w:fill="FFFFFF"/>
          </w:tcPr>
          <w:p w14:paraId="41A00461" w14:textId="77777777" w:rsidR="00B47442" w:rsidRPr="0009445C" w:rsidRDefault="00B47442" w:rsidP="0099521D">
            <w:pPr>
              <w:keepNext/>
              <w:keepLines/>
              <w:spacing w:before="100" w:line="240" w:lineRule="auto"/>
              <w:ind w:left="113" w:right="113"/>
              <w:rPr>
                <w:sz w:val="16"/>
                <w:lang w:val="en-US"/>
              </w:rPr>
            </w:pPr>
          </w:p>
        </w:tc>
        <w:tc>
          <w:tcPr>
            <w:tcW w:w="1957" w:type="dxa"/>
            <w:vMerge/>
            <w:tcBorders>
              <w:top w:val="single" w:sz="2" w:space="0" w:color="auto"/>
              <w:left w:val="single" w:sz="2" w:space="0" w:color="auto"/>
              <w:bottom w:val="single" w:sz="2" w:space="0" w:color="auto"/>
              <w:right w:val="single" w:sz="2" w:space="0" w:color="auto"/>
            </w:tcBorders>
            <w:shd w:val="clear" w:color="auto" w:fill="FFFFFF"/>
          </w:tcPr>
          <w:p w14:paraId="32D4E65D" w14:textId="77777777" w:rsidR="00B47442" w:rsidRPr="0009445C" w:rsidRDefault="00B47442" w:rsidP="0099521D">
            <w:pPr>
              <w:keepNext/>
              <w:keepLines/>
              <w:spacing w:before="100" w:line="240" w:lineRule="auto"/>
              <w:ind w:left="113" w:right="113"/>
              <w:rPr>
                <w:sz w:val="16"/>
                <w:lang w:val="en-US"/>
              </w:rPr>
            </w:pPr>
          </w:p>
        </w:tc>
      </w:tr>
      <w:tr w:rsidR="00B47442" w:rsidRPr="0009445C" w14:paraId="534C4894" w14:textId="77777777" w:rsidTr="0099521D">
        <w:trPr>
          <w:cantSplit/>
        </w:trPr>
        <w:tc>
          <w:tcPr>
            <w:tcW w:w="2341" w:type="dxa"/>
            <w:tcBorders>
              <w:top w:val="single" w:sz="2" w:space="0" w:color="auto"/>
              <w:left w:val="single" w:sz="2" w:space="0" w:color="auto"/>
              <w:bottom w:val="single" w:sz="2" w:space="0" w:color="auto"/>
              <w:right w:val="single" w:sz="2" w:space="0" w:color="auto"/>
            </w:tcBorders>
            <w:shd w:val="clear" w:color="auto" w:fill="FFFFFF"/>
          </w:tcPr>
          <w:p w14:paraId="1DC39146" w14:textId="77777777" w:rsidR="00B47442" w:rsidRPr="0009445C" w:rsidRDefault="00B47442" w:rsidP="0099521D">
            <w:pPr>
              <w:pStyle w:val="BRL-Tabelle"/>
              <w:keepNext/>
              <w:spacing w:before="60" w:after="40"/>
              <w:ind w:left="113" w:right="113"/>
            </w:pPr>
            <w:r w:rsidRPr="0009445C">
              <w:t>Fire-resistant</w:t>
            </w:r>
          </w:p>
        </w:tc>
        <w:tc>
          <w:tcPr>
            <w:tcW w:w="2843" w:type="dxa"/>
            <w:tcBorders>
              <w:top w:val="single" w:sz="2" w:space="0" w:color="auto"/>
              <w:left w:val="single" w:sz="2" w:space="0" w:color="auto"/>
              <w:bottom w:val="single" w:sz="2" w:space="0" w:color="auto"/>
              <w:right w:val="single" w:sz="2" w:space="0" w:color="auto"/>
            </w:tcBorders>
            <w:shd w:val="clear" w:color="auto" w:fill="FFFFFF"/>
          </w:tcPr>
          <w:p w14:paraId="72A8F85A" w14:textId="77777777" w:rsidR="00B47442" w:rsidRPr="0009445C" w:rsidRDefault="00B47442" w:rsidP="0099521D">
            <w:pPr>
              <w:pStyle w:val="BRL-Tabelle"/>
              <w:keepNext/>
              <w:spacing w:before="60" w:after="40"/>
              <w:ind w:left="113" w:right="113"/>
            </w:pPr>
            <w:r w:rsidRPr="0009445C">
              <w:t>EI 90 (v</w:t>
            </w:r>
            <w:r w:rsidRPr="0009445C">
              <w:rPr>
                <w:vertAlign w:val="subscript"/>
              </w:rPr>
              <w:t>e</w:t>
            </w:r>
            <w:r w:rsidRPr="0009445C">
              <w:rPr>
                <w:vertAlign w:val="superscript"/>
              </w:rPr>
              <w:t>1</w:t>
            </w:r>
            <w:r w:rsidRPr="0009445C">
              <w:rPr>
                <w:vertAlign w:val="subscript"/>
              </w:rPr>
              <w:t xml:space="preserve"> </w:t>
            </w:r>
            <w:r w:rsidRPr="0009445C">
              <w:t>-</w:t>
            </w:r>
            <w:r w:rsidRPr="0009445C">
              <w:rPr>
                <w:vertAlign w:val="subscript"/>
              </w:rPr>
              <w:t xml:space="preserve"> </w:t>
            </w:r>
            <w:r w:rsidRPr="0009445C">
              <w:t>h</w:t>
            </w:r>
            <w:r w:rsidRPr="0009445C">
              <w:rPr>
                <w:vertAlign w:val="subscript"/>
              </w:rPr>
              <w:t>o</w:t>
            </w:r>
            <w:r w:rsidRPr="0009445C">
              <w:rPr>
                <w:vertAlign w:val="superscript"/>
              </w:rPr>
              <w:t>2</w:t>
            </w:r>
            <w:r w:rsidRPr="0009445C">
              <w:t xml:space="preserve">- </w:t>
            </w:r>
            <w:proofErr w:type="spellStart"/>
            <w:r w:rsidRPr="0009445C">
              <w:t>i</w:t>
            </w:r>
            <w:proofErr w:type="spellEnd"/>
            <w:r w:rsidRPr="0009445C">
              <w:sym w:font="Symbol" w:char="F0AB"/>
            </w:r>
            <w:r w:rsidRPr="0009445C">
              <w:t>o) S</w:t>
            </w:r>
            <w:r w:rsidRPr="0009445C">
              <w:rPr>
                <w:vertAlign w:val="subscript"/>
              </w:rPr>
              <w:t xml:space="preserve"> xx</w:t>
            </w:r>
            <w:r w:rsidRPr="0009445C">
              <w:rPr>
                <w:vertAlign w:val="superscript"/>
              </w:rPr>
              <w:t>3</w:t>
            </w:r>
            <w:r w:rsidRPr="0009445C">
              <w:t xml:space="preserve"> C</w:t>
            </w:r>
            <w:r w:rsidRPr="0009445C">
              <w:rPr>
                <w:vertAlign w:val="subscript"/>
              </w:rPr>
              <w:t>xx</w:t>
            </w:r>
            <w:r w:rsidRPr="0009445C">
              <w:rPr>
                <w:vertAlign w:val="superscript"/>
              </w:rPr>
              <w:t>4</w:t>
            </w:r>
            <w:r w:rsidRPr="0009445C">
              <w:t xml:space="preserve"> MA/AA</w:t>
            </w:r>
            <w:r w:rsidRPr="0009445C">
              <w:rPr>
                <w:vertAlign w:val="superscript"/>
              </w:rPr>
              <w:t>5</w:t>
            </w:r>
            <w:r w:rsidRPr="0009445C">
              <w:t xml:space="preserve"> multi</w:t>
            </w:r>
          </w:p>
        </w:tc>
        <w:tc>
          <w:tcPr>
            <w:tcW w:w="1942" w:type="dxa"/>
            <w:vMerge/>
            <w:tcBorders>
              <w:top w:val="single" w:sz="2" w:space="0" w:color="auto"/>
              <w:left w:val="single" w:sz="2" w:space="0" w:color="auto"/>
              <w:bottom w:val="single" w:sz="2" w:space="0" w:color="auto"/>
              <w:right w:val="single" w:sz="2" w:space="0" w:color="auto"/>
            </w:tcBorders>
            <w:shd w:val="clear" w:color="auto" w:fill="FFFFFF"/>
          </w:tcPr>
          <w:p w14:paraId="574C914D" w14:textId="77777777" w:rsidR="00B47442" w:rsidRPr="0009445C" w:rsidRDefault="00B47442" w:rsidP="0099521D">
            <w:pPr>
              <w:keepNext/>
              <w:keepLines/>
              <w:spacing w:before="100" w:line="240" w:lineRule="auto"/>
              <w:ind w:left="113" w:right="113"/>
              <w:rPr>
                <w:sz w:val="16"/>
                <w:lang w:val="en-US"/>
              </w:rPr>
            </w:pPr>
          </w:p>
        </w:tc>
        <w:tc>
          <w:tcPr>
            <w:tcW w:w="1957" w:type="dxa"/>
            <w:vMerge/>
            <w:tcBorders>
              <w:top w:val="single" w:sz="2" w:space="0" w:color="auto"/>
              <w:left w:val="single" w:sz="2" w:space="0" w:color="auto"/>
              <w:bottom w:val="single" w:sz="2" w:space="0" w:color="auto"/>
              <w:right w:val="single" w:sz="2" w:space="0" w:color="auto"/>
            </w:tcBorders>
            <w:shd w:val="clear" w:color="auto" w:fill="FFFFFF"/>
          </w:tcPr>
          <w:p w14:paraId="2F6F1383" w14:textId="77777777" w:rsidR="00B47442" w:rsidRPr="0009445C" w:rsidRDefault="00B47442" w:rsidP="0099521D">
            <w:pPr>
              <w:keepNext/>
              <w:keepLines/>
              <w:spacing w:before="100" w:line="240" w:lineRule="auto"/>
              <w:ind w:left="113" w:right="113"/>
              <w:rPr>
                <w:sz w:val="16"/>
                <w:lang w:val="en-US"/>
              </w:rPr>
            </w:pPr>
          </w:p>
        </w:tc>
      </w:tr>
      <w:tr w:rsidR="00B47442" w:rsidRPr="0009445C" w14:paraId="564FB244" w14:textId="77777777" w:rsidTr="0099521D">
        <w:trPr>
          <w:cantSplit/>
        </w:trPr>
        <w:tc>
          <w:tcPr>
            <w:tcW w:w="2341" w:type="dxa"/>
            <w:tcBorders>
              <w:top w:val="single" w:sz="2" w:space="0" w:color="auto"/>
              <w:left w:val="single" w:sz="2" w:space="0" w:color="auto"/>
              <w:bottom w:val="single" w:sz="2" w:space="0" w:color="auto"/>
              <w:right w:val="single" w:sz="2" w:space="0" w:color="auto"/>
            </w:tcBorders>
            <w:shd w:val="clear" w:color="auto" w:fill="FFFFFF"/>
          </w:tcPr>
          <w:p w14:paraId="30893440" w14:textId="77777777" w:rsidR="00B47442" w:rsidRPr="0009445C" w:rsidRDefault="00B47442" w:rsidP="0099521D">
            <w:pPr>
              <w:pStyle w:val="BRL-Tabelle"/>
              <w:keepNext/>
              <w:spacing w:before="60" w:after="40"/>
              <w:ind w:left="113" w:right="113"/>
              <w:rPr>
                <w:b/>
              </w:rPr>
            </w:pPr>
            <w:r w:rsidRPr="0009445C">
              <w:t>Fire resistance of 120 minutes</w:t>
            </w:r>
          </w:p>
        </w:tc>
        <w:tc>
          <w:tcPr>
            <w:tcW w:w="2843" w:type="dxa"/>
            <w:tcBorders>
              <w:top w:val="single" w:sz="2" w:space="0" w:color="auto"/>
              <w:left w:val="single" w:sz="2" w:space="0" w:color="auto"/>
              <w:bottom w:val="single" w:sz="2" w:space="0" w:color="auto"/>
              <w:right w:val="single" w:sz="2" w:space="0" w:color="auto"/>
            </w:tcBorders>
            <w:shd w:val="clear" w:color="auto" w:fill="FFFFFF"/>
          </w:tcPr>
          <w:p w14:paraId="1AA656F7" w14:textId="77777777" w:rsidR="00B47442" w:rsidRPr="0009445C" w:rsidRDefault="00B47442" w:rsidP="0099521D">
            <w:pPr>
              <w:pStyle w:val="BRL-Tabelle"/>
              <w:keepNext/>
              <w:spacing w:before="60" w:after="40"/>
              <w:ind w:left="113" w:right="113"/>
              <w:rPr>
                <w:b/>
              </w:rPr>
            </w:pPr>
            <w:r w:rsidRPr="0009445C">
              <w:t>EI 120 (v</w:t>
            </w:r>
            <w:r w:rsidRPr="0009445C">
              <w:rPr>
                <w:vertAlign w:val="subscript"/>
              </w:rPr>
              <w:t>e</w:t>
            </w:r>
            <w:r w:rsidRPr="0009445C">
              <w:rPr>
                <w:vertAlign w:val="superscript"/>
              </w:rPr>
              <w:t>1</w:t>
            </w:r>
            <w:r w:rsidRPr="0009445C">
              <w:rPr>
                <w:vertAlign w:val="subscript"/>
              </w:rPr>
              <w:t xml:space="preserve"> </w:t>
            </w:r>
            <w:r w:rsidRPr="0009445C">
              <w:t>-</w:t>
            </w:r>
            <w:r w:rsidRPr="0009445C">
              <w:rPr>
                <w:vertAlign w:val="subscript"/>
              </w:rPr>
              <w:t xml:space="preserve"> </w:t>
            </w:r>
            <w:r w:rsidRPr="0009445C">
              <w:t>h</w:t>
            </w:r>
            <w:r w:rsidRPr="0009445C">
              <w:rPr>
                <w:vertAlign w:val="subscript"/>
              </w:rPr>
              <w:t>o</w:t>
            </w:r>
            <w:r w:rsidRPr="0009445C">
              <w:rPr>
                <w:vertAlign w:val="superscript"/>
              </w:rPr>
              <w:t>2</w:t>
            </w:r>
            <w:r w:rsidRPr="0009445C">
              <w:t xml:space="preserve">- </w:t>
            </w:r>
            <w:proofErr w:type="spellStart"/>
            <w:r w:rsidRPr="0009445C">
              <w:t>i</w:t>
            </w:r>
            <w:proofErr w:type="spellEnd"/>
            <w:r w:rsidRPr="0009445C">
              <w:sym w:font="Symbol" w:char="F0AB"/>
            </w:r>
            <w:r w:rsidRPr="0009445C">
              <w:t>o) S</w:t>
            </w:r>
            <w:r w:rsidRPr="0009445C">
              <w:rPr>
                <w:vertAlign w:val="subscript"/>
              </w:rPr>
              <w:t xml:space="preserve"> xx</w:t>
            </w:r>
            <w:r w:rsidRPr="0009445C">
              <w:rPr>
                <w:vertAlign w:val="superscript"/>
              </w:rPr>
              <w:t>3</w:t>
            </w:r>
            <w:r w:rsidRPr="0009445C">
              <w:t xml:space="preserve"> C</w:t>
            </w:r>
            <w:r w:rsidRPr="0009445C">
              <w:rPr>
                <w:vertAlign w:val="subscript"/>
              </w:rPr>
              <w:t>xx</w:t>
            </w:r>
            <w:r w:rsidRPr="0009445C">
              <w:rPr>
                <w:vertAlign w:val="superscript"/>
              </w:rPr>
              <w:t>4</w:t>
            </w:r>
            <w:r w:rsidRPr="0009445C">
              <w:t xml:space="preserve"> MA/AA</w:t>
            </w:r>
            <w:r w:rsidRPr="0009445C">
              <w:rPr>
                <w:vertAlign w:val="superscript"/>
              </w:rPr>
              <w:t>5</w:t>
            </w:r>
            <w:r w:rsidRPr="0009445C">
              <w:t xml:space="preserve"> multi</w:t>
            </w:r>
          </w:p>
        </w:tc>
        <w:tc>
          <w:tcPr>
            <w:tcW w:w="1942" w:type="dxa"/>
            <w:vMerge/>
            <w:tcBorders>
              <w:top w:val="single" w:sz="2" w:space="0" w:color="auto"/>
              <w:left w:val="single" w:sz="2" w:space="0" w:color="auto"/>
              <w:bottom w:val="single" w:sz="2" w:space="0" w:color="auto"/>
              <w:right w:val="single" w:sz="2" w:space="0" w:color="auto"/>
            </w:tcBorders>
            <w:shd w:val="clear" w:color="auto" w:fill="FFFFFF"/>
          </w:tcPr>
          <w:p w14:paraId="7A6301CA" w14:textId="77777777" w:rsidR="00B47442" w:rsidRPr="0009445C" w:rsidRDefault="00B47442" w:rsidP="0099521D">
            <w:pPr>
              <w:keepNext/>
              <w:keepLines/>
              <w:spacing w:before="100" w:line="240" w:lineRule="auto"/>
              <w:ind w:left="113" w:right="113"/>
              <w:rPr>
                <w:sz w:val="16"/>
                <w:lang w:val="en-US"/>
              </w:rPr>
            </w:pPr>
          </w:p>
        </w:tc>
        <w:tc>
          <w:tcPr>
            <w:tcW w:w="1957" w:type="dxa"/>
            <w:vMerge/>
            <w:tcBorders>
              <w:top w:val="single" w:sz="2" w:space="0" w:color="auto"/>
              <w:left w:val="single" w:sz="2" w:space="0" w:color="auto"/>
              <w:bottom w:val="single" w:sz="2" w:space="0" w:color="auto"/>
              <w:right w:val="single" w:sz="2" w:space="0" w:color="auto"/>
            </w:tcBorders>
            <w:shd w:val="clear" w:color="auto" w:fill="FFFFFF"/>
          </w:tcPr>
          <w:p w14:paraId="4348AE33" w14:textId="77777777" w:rsidR="00B47442" w:rsidRPr="0009445C" w:rsidRDefault="00B47442" w:rsidP="0099521D">
            <w:pPr>
              <w:keepNext/>
              <w:keepLines/>
              <w:spacing w:before="100" w:line="240" w:lineRule="auto"/>
              <w:ind w:left="113" w:right="113"/>
              <w:rPr>
                <w:sz w:val="16"/>
                <w:lang w:val="en-US"/>
              </w:rPr>
            </w:pPr>
          </w:p>
        </w:tc>
      </w:tr>
      <w:tr w:rsidR="00B47442" w:rsidRPr="0009445C" w14:paraId="02BBE10D" w14:textId="77777777" w:rsidTr="0099521D">
        <w:trPr>
          <w:cantSplit/>
        </w:trPr>
        <w:tc>
          <w:tcPr>
            <w:tcW w:w="9083" w:type="dxa"/>
            <w:gridSpan w:val="4"/>
            <w:tcBorders>
              <w:top w:val="single" w:sz="2" w:space="0" w:color="auto"/>
              <w:left w:val="single" w:sz="2" w:space="0" w:color="auto"/>
              <w:bottom w:val="single" w:sz="2" w:space="0" w:color="auto"/>
              <w:right w:val="single" w:sz="2" w:space="0" w:color="auto"/>
            </w:tcBorders>
            <w:shd w:val="clear" w:color="auto" w:fill="FFFFFF"/>
          </w:tcPr>
          <w:p w14:paraId="4A76CF71" w14:textId="77777777" w:rsidR="00B47442" w:rsidRPr="0009445C" w:rsidRDefault="00B47442" w:rsidP="0099521D">
            <w:pPr>
              <w:pStyle w:val="BRL-Funote"/>
              <w:keepNext/>
              <w:tabs>
                <w:tab w:val="clear" w:pos="425"/>
                <w:tab w:val="left" w:pos="577"/>
              </w:tabs>
              <w:spacing w:before="60" w:after="40"/>
              <w:ind w:left="577" w:right="113"/>
              <w:rPr>
                <w:b/>
              </w:rPr>
            </w:pPr>
            <w:r w:rsidRPr="0009445C">
              <w:t>1</w:t>
            </w:r>
            <w:r w:rsidRPr="0009445C">
              <w:tab/>
              <w:t xml:space="preserve">Depending on the intended use: </w:t>
            </w:r>
            <w:proofErr w:type="spellStart"/>
            <w:r w:rsidRPr="0009445C">
              <w:t>V</w:t>
            </w:r>
            <w:r w:rsidRPr="0009445C">
              <w:rPr>
                <w:vertAlign w:val="subscript"/>
              </w:rPr>
              <w:t>ew</w:t>
            </w:r>
            <w:proofErr w:type="spellEnd"/>
            <w:r w:rsidRPr="0009445C">
              <w:t xml:space="preserve">, </w:t>
            </w:r>
            <w:proofErr w:type="spellStart"/>
            <w:r w:rsidRPr="0009445C">
              <w:t>v</w:t>
            </w:r>
            <w:r w:rsidRPr="0009445C">
              <w:rPr>
                <w:vertAlign w:val="subscript"/>
              </w:rPr>
              <w:t>edw</w:t>
            </w:r>
            <w:proofErr w:type="spellEnd"/>
            <w:r w:rsidRPr="0009445C">
              <w:t xml:space="preserve">, </w:t>
            </w:r>
            <w:proofErr w:type="spellStart"/>
            <w:r w:rsidRPr="0009445C">
              <w:t>v</w:t>
            </w:r>
            <w:r w:rsidRPr="0009445C">
              <w:rPr>
                <w:vertAlign w:val="subscript"/>
              </w:rPr>
              <w:t>ed</w:t>
            </w:r>
            <w:proofErr w:type="spellEnd"/>
            <w:r w:rsidRPr="0009445C">
              <w:rPr>
                <w:vertAlign w:val="subscript"/>
              </w:rPr>
              <w:t xml:space="preserve"> </w:t>
            </w:r>
            <w:r w:rsidRPr="0009445C">
              <w:t>(</w:t>
            </w:r>
            <w:proofErr w:type="spellStart"/>
            <w:r w:rsidRPr="0009445C">
              <w:t>v</w:t>
            </w:r>
            <w:r w:rsidRPr="0009445C">
              <w:rPr>
                <w:vertAlign w:val="subscript"/>
              </w:rPr>
              <w:t>ed</w:t>
            </w:r>
            <w:proofErr w:type="spellEnd"/>
            <w:r w:rsidRPr="0009445C">
              <w:t xml:space="preserve"> only in conjunction with </w:t>
            </w:r>
            <w:proofErr w:type="spellStart"/>
            <w:r w:rsidRPr="0009445C">
              <w:t>v</w:t>
            </w:r>
            <w:r w:rsidRPr="0009445C">
              <w:rPr>
                <w:vertAlign w:val="subscript"/>
              </w:rPr>
              <w:t>ew</w:t>
            </w:r>
            <w:proofErr w:type="spellEnd"/>
            <w:r w:rsidRPr="0009445C">
              <w:t>)</w:t>
            </w:r>
          </w:p>
          <w:p w14:paraId="4B00FBBD" w14:textId="77777777" w:rsidR="00B47442" w:rsidRPr="0009445C" w:rsidRDefault="00B47442" w:rsidP="0099521D">
            <w:pPr>
              <w:pStyle w:val="BRL-Funote"/>
              <w:keepNext/>
              <w:tabs>
                <w:tab w:val="clear" w:pos="425"/>
                <w:tab w:val="left" w:pos="577"/>
              </w:tabs>
              <w:spacing w:before="60" w:after="40"/>
              <w:ind w:left="577" w:right="113"/>
              <w:rPr>
                <w:b/>
              </w:rPr>
            </w:pPr>
            <w:r w:rsidRPr="0009445C">
              <w:t>2</w:t>
            </w:r>
            <w:r w:rsidRPr="0009445C">
              <w:tab/>
              <w:t>Depending on the intended use: h</w:t>
            </w:r>
            <w:r w:rsidRPr="0009445C">
              <w:rPr>
                <w:vertAlign w:val="subscript"/>
              </w:rPr>
              <w:t>ow</w:t>
            </w:r>
            <w:r w:rsidRPr="0009445C">
              <w:t xml:space="preserve">, </w:t>
            </w:r>
            <w:proofErr w:type="spellStart"/>
            <w:r w:rsidRPr="0009445C">
              <w:t>h</w:t>
            </w:r>
            <w:r w:rsidRPr="0009445C">
              <w:rPr>
                <w:vertAlign w:val="subscript"/>
              </w:rPr>
              <w:t>odw</w:t>
            </w:r>
            <w:proofErr w:type="spellEnd"/>
            <w:r w:rsidRPr="0009445C">
              <w:t>, h</w:t>
            </w:r>
            <w:r w:rsidRPr="0009445C">
              <w:rPr>
                <w:vertAlign w:val="subscript"/>
              </w:rPr>
              <w:t>od</w:t>
            </w:r>
            <w:r w:rsidRPr="0009445C">
              <w:t>(h</w:t>
            </w:r>
            <w:r w:rsidRPr="0009445C">
              <w:rPr>
                <w:vertAlign w:val="subscript"/>
              </w:rPr>
              <w:t>od</w:t>
            </w:r>
            <w:r w:rsidRPr="0009445C">
              <w:t xml:space="preserve"> only in conjunction with h</w:t>
            </w:r>
            <w:r w:rsidRPr="0009445C">
              <w:rPr>
                <w:vertAlign w:val="subscript"/>
              </w:rPr>
              <w:t>ow</w:t>
            </w:r>
            <w:r w:rsidRPr="0009445C">
              <w:t>)</w:t>
            </w:r>
          </w:p>
          <w:p w14:paraId="7FC66BC1" w14:textId="0990648F" w:rsidR="00B47442" w:rsidRPr="0009445C" w:rsidRDefault="00B47442" w:rsidP="0099521D">
            <w:pPr>
              <w:pStyle w:val="BRL-Funote"/>
              <w:keepNext/>
              <w:tabs>
                <w:tab w:val="clear" w:pos="425"/>
                <w:tab w:val="left" w:pos="577"/>
              </w:tabs>
              <w:spacing w:before="60" w:after="40"/>
              <w:ind w:left="577" w:right="113"/>
              <w:rPr>
                <w:b/>
              </w:rPr>
            </w:pPr>
            <w:r w:rsidRPr="0009445C">
              <w:t>3</w:t>
            </w:r>
            <w:r w:rsidRPr="0009445C">
              <w:tab/>
              <w:t>Depending on the intended use, but not less than 500 Pa</w:t>
            </w:r>
          </w:p>
          <w:p w14:paraId="7A20D31B" w14:textId="77777777" w:rsidR="00B47442" w:rsidRPr="0009445C" w:rsidRDefault="00B47442" w:rsidP="0099521D">
            <w:pPr>
              <w:pStyle w:val="BRL-Funote"/>
              <w:keepNext/>
              <w:tabs>
                <w:tab w:val="clear" w:pos="425"/>
                <w:tab w:val="left" w:pos="577"/>
              </w:tabs>
              <w:spacing w:before="60" w:after="40"/>
              <w:ind w:left="577" w:right="113"/>
              <w:rPr>
                <w:b/>
                <w:vertAlign w:val="subscript"/>
              </w:rPr>
            </w:pPr>
            <w:r w:rsidRPr="0009445C">
              <w:t>4</w:t>
            </w:r>
            <w:r w:rsidRPr="0009445C">
              <w:tab/>
              <w:t>Depending on the intended use: C</w:t>
            </w:r>
            <w:r w:rsidRPr="0009445C">
              <w:rPr>
                <w:vertAlign w:val="subscript"/>
              </w:rPr>
              <w:t>300</w:t>
            </w:r>
            <w:r w:rsidRPr="0009445C">
              <w:t xml:space="preserve"> or C</w:t>
            </w:r>
            <w:r w:rsidRPr="0009445C">
              <w:rPr>
                <w:vertAlign w:val="subscript"/>
              </w:rPr>
              <w:t>10000</w:t>
            </w:r>
          </w:p>
          <w:p w14:paraId="584FA6B9" w14:textId="77777777" w:rsidR="00B47442" w:rsidRPr="0009445C" w:rsidRDefault="00B47442" w:rsidP="0099521D">
            <w:pPr>
              <w:pStyle w:val="BRL-Funote"/>
              <w:keepNext/>
              <w:tabs>
                <w:tab w:val="clear" w:pos="425"/>
                <w:tab w:val="left" w:pos="577"/>
              </w:tabs>
              <w:spacing w:before="60" w:after="40"/>
              <w:ind w:left="577" w:right="113"/>
              <w:rPr>
                <w:b/>
              </w:rPr>
            </w:pPr>
            <w:r w:rsidRPr="0009445C">
              <w:t>5</w:t>
            </w:r>
            <w:r w:rsidRPr="0009445C">
              <w:tab/>
              <w:t>depending on the use (see Section 7.5.1 and/or Section 8.2)</w:t>
            </w:r>
          </w:p>
        </w:tc>
      </w:tr>
    </w:tbl>
    <w:p w14:paraId="7CB55B07" w14:textId="77777777" w:rsidR="00B47442" w:rsidRPr="0009445C" w:rsidRDefault="00B47442" w:rsidP="00B47442">
      <w:pPr>
        <w:pStyle w:val="BRL-Standard"/>
      </w:pPr>
    </w:p>
    <w:p w14:paraId="54721B4C" w14:textId="036E7461" w:rsidR="00B47442" w:rsidRPr="0009445C" w:rsidRDefault="00B47442" w:rsidP="00B47442">
      <w:pPr>
        <w:pStyle w:val="BRL-Standard"/>
      </w:pPr>
      <w:r w:rsidRPr="0009445C">
        <w:t>If construction products are to be used in structural works according to Table 2, column 2, in accordance with the Technical Rules referred to in MVV TB under points A 2.2.2.3, A 2.2.2.4 and A 2.2.1.15, the performance of key features according to the intended use and taking into account Section 7.2 shall be determined in order to meet the building requirements. At a minimum, performance is required on key features as listed in Table 5.</w:t>
      </w:r>
    </w:p>
    <w:p w14:paraId="388E17D7" w14:textId="77777777" w:rsidR="00B47442" w:rsidRPr="0009445C" w:rsidRDefault="00B47442" w:rsidP="00B47442">
      <w:pPr>
        <w:spacing w:after="60"/>
        <w:rPr>
          <w:rFonts w:cs="Arial"/>
          <w:b/>
        </w:rPr>
      </w:pPr>
      <w:r w:rsidRPr="0009445C">
        <w:br w:type="page"/>
      </w:r>
      <w:r w:rsidRPr="0009445C">
        <w:rPr>
          <w:b/>
        </w:rPr>
        <w:lastRenderedPageBreak/>
        <w:t>Table 5:</w:t>
      </w:r>
    </w:p>
    <w:tbl>
      <w:tblPr>
        <w:tblpPr w:leftFromText="141" w:rightFromText="141" w:vertAnchor="text" w:horzAnchor="margin" w:tblpY="124"/>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E0" w:firstRow="1" w:lastRow="1" w:firstColumn="1" w:lastColumn="0" w:noHBand="0" w:noVBand="1"/>
      </w:tblPr>
      <w:tblGrid>
        <w:gridCol w:w="3181"/>
        <w:gridCol w:w="5889"/>
      </w:tblGrid>
      <w:tr w:rsidR="00B47442" w:rsidRPr="0009445C" w14:paraId="1F29198D" w14:textId="77777777" w:rsidTr="0099521D">
        <w:trPr>
          <w:cantSplit/>
          <w:trHeight w:val="311"/>
        </w:trPr>
        <w:tc>
          <w:tcPr>
            <w:tcW w:w="9070" w:type="dxa"/>
            <w:gridSpan w:val="2"/>
            <w:shd w:val="clear" w:color="auto" w:fill="FFFFFF"/>
            <w:vAlign w:val="center"/>
          </w:tcPr>
          <w:p w14:paraId="3E3555CB" w14:textId="77777777" w:rsidR="00B47442" w:rsidRPr="0009445C" w:rsidRDefault="00B47442" w:rsidP="00EA6059">
            <w:pPr>
              <w:pStyle w:val="BRLTabelleberschrift"/>
              <w:spacing w:before="60" w:after="40"/>
              <w:ind w:left="147" w:right="113" w:firstLine="0"/>
              <w:rPr>
                <w:b w:val="0"/>
                <w:color w:val="000000"/>
              </w:rPr>
            </w:pPr>
            <w:r w:rsidRPr="0009445C">
              <w:rPr>
                <w:color w:val="000000"/>
              </w:rPr>
              <w:t>At least necessary services for smoke extraction equipment for use in necessary stairwells of sales and assembly sites and in smoke extraction systems</w:t>
            </w:r>
          </w:p>
        </w:tc>
      </w:tr>
      <w:tr w:rsidR="004352A3" w:rsidRPr="0009445C" w14:paraId="2FE3A940" w14:textId="77777777" w:rsidTr="004352A3">
        <w:trPr>
          <w:cantSplit/>
          <w:trHeight w:val="467"/>
        </w:trPr>
        <w:tc>
          <w:tcPr>
            <w:tcW w:w="9070" w:type="dxa"/>
            <w:gridSpan w:val="2"/>
            <w:shd w:val="clear" w:color="auto" w:fill="FFFFFF"/>
          </w:tcPr>
          <w:p w14:paraId="72AE9DAB" w14:textId="18FDBCE2" w:rsidR="004352A3" w:rsidRPr="0009445C" w:rsidRDefault="004352A3" w:rsidP="004352A3">
            <w:pPr>
              <w:pStyle w:val="BRLTabelleberschrift"/>
              <w:spacing w:before="60" w:after="40"/>
              <w:ind w:left="1565" w:right="113"/>
            </w:pPr>
            <w:r w:rsidRPr="0009445C">
              <w:t>EN 12101</w:t>
            </w:r>
            <w:r w:rsidRPr="0009445C">
              <w:noBreakHyphen/>
              <w:t>2:2003</w:t>
            </w:r>
            <w:r w:rsidRPr="0009445C">
              <w:rPr>
                <w:rStyle w:val="FootnoteReference"/>
              </w:rPr>
              <w:fldChar w:fldCharType="begin"/>
            </w:r>
            <w:r w:rsidRPr="0009445C">
              <w:rPr>
                <w:rStyle w:val="FootnoteReference"/>
              </w:rPr>
              <w:instrText xml:space="preserve"> NOTEREF _Ref82184685 \h  \* MERGEFORMAT </w:instrText>
            </w:r>
            <w:r w:rsidRPr="0009445C">
              <w:rPr>
                <w:rStyle w:val="FootnoteReference"/>
              </w:rPr>
            </w:r>
            <w:r w:rsidRPr="0009445C">
              <w:rPr>
                <w:rStyle w:val="FootnoteReference"/>
              </w:rPr>
              <w:fldChar w:fldCharType="separate"/>
            </w:r>
            <w:r w:rsidR="0009445C" w:rsidRPr="0009445C">
              <w:rPr>
                <w:rStyle w:val="FootnoteReference"/>
              </w:rPr>
              <w:t>46</w:t>
            </w:r>
            <w:r w:rsidRPr="0009445C">
              <w:rPr>
                <w:rStyle w:val="FootnoteReference"/>
              </w:rPr>
              <w:fldChar w:fldCharType="end"/>
            </w:r>
          </w:p>
        </w:tc>
      </w:tr>
      <w:tr w:rsidR="004352A3" w:rsidRPr="0009445C" w14:paraId="1E03A8F3" w14:textId="77777777" w:rsidTr="00DD4571">
        <w:trPr>
          <w:cantSplit/>
        </w:trPr>
        <w:tc>
          <w:tcPr>
            <w:tcW w:w="3181" w:type="dxa"/>
            <w:shd w:val="clear" w:color="auto" w:fill="FFFFFF"/>
          </w:tcPr>
          <w:p w14:paraId="79FA278F" w14:textId="77777777" w:rsidR="004352A3" w:rsidRPr="0009445C" w:rsidRDefault="004352A3" w:rsidP="0099521D">
            <w:pPr>
              <w:pStyle w:val="BRL-Tabelle"/>
              <w:keepNext/>
              <w:spacing w:before="60" w:after="40"/>
              <w:ind w:left="113" w:right="113"/>
            </w:pPr>
            <w:r w:rsidRPr="0009445C">
              <w:t>4.1 — Nominal trigger conditions/sensitivity</w:t>
            </w:r>
          </w:p>
        </w:tc>
        <w:tc>
          <w:tcPr>
            <w:tcW w:w="5889" w:type="dxa"/>
            <w:shd w:val="clear" w:color="auto" w:fill="FFFFFF"/>
          </w:tcPr>
          <w:p w14:paraId="202A9E32" w14:textId="3B91525D" w:rsidR="004352A3" w:rsidRPr="0009445C" w:rsidRDefault="004352A3" w:rsidP="0099521D">
            <w:pPr>
              <w:pStyle w:val="BRL-Tabelle"/>
              <w:keepNext/>
              <w:spacing w:before="60" w:after="40"/>
              <w:ind w:left="113" w:right="113"/>
            </w:pPr>
            <w:r w:rsidRPr="0009445C">
              <w:t>Possibility of manual controllability (Section 4.1.1 b)</w:t>
            </w:r>
          </w:p>
        </w:tc>
      </w:tr>
      <w:tr w:rsidR="004352A3" w:rsidRPr="0009445C" w14:paraId="34E86DD4" w14:textId="77777777" w:rsidTr="00DD1E54">
        <w:trPr>
          <w:cantSplit/>
        </w:trPr>
        <w:tc>
          <w:tcPr>
            <w:tcW w:w="3181" w:type="dxa"/>
            <w:shd w:val="clear" w:color="auto" w:fill="FFFFFF"/>
          </w:tcPr>
          <w:p w14:paraId="0D754261" w14:textId="77777777" w:rsidR="004352A3" w:rsidRPr="0009445C" w:rsidRDefault="004352A3" w:rsidP="0099521D">
            <w:pPr>
              <w:pStyle w:val="BRL-Tabelle"/>
              <w:keepNext/>
              <w:spacing w:before="60" w:after="40"/>
              <w:ind w:left="113" w:right="113"/>
            </w:pPr>
            <w:r w:rsidRPr="0009445C">
              <w:t>6 — Aerodynamically effective opening area</w:t>
            </w:r>
          </w:p>
        </w:tc>
        <w:tc>
          <w:tcPr>
            <w:tcW w:w="5889" w:type="dxa"/>
            <w:shd w:val="clear" w:color="auto" w:fill="FFFFFF"/>
          </w:tcPr>
          <w:p w14:paraId="60BFB0A4" w14:textId="3984EF07" w:rsidR="004352A3" w:rsidRPr="0009445C" w:rsidRDefault="004352A3" w:rsidP="0099521D">
            <w:pPr>
              <w:pStyle w:val="BRL-Tabelle"/>
              <w:keepNext/>
              <w:spacing w:before="60" w:after="40"/>
              <w:ind w:left="113" w:right="113"/>
            </w:pPr>
            <w:r w:rsidRPr="0009445C">
              <w:t>Indication (m²)</w:t>
            </w:r>
          </w:p>
        </w:tc>
      </w:tr>
      <w:tr w:rsidR="004352A3" w:rsidRPr="0009445C" w14:paraId="6616DDDD" w14:textId="77777777" w:rsidTr="00913551">
        <w:trPr>
          <w:cantSplit/>
        </w:trPr>
        <w:tc>
          <w:tcPr>
            <w:tcW w:w="3181" w:type="dxa"/>
            <w:shd w:val="clear" w:color="auto" w:fill="FFFFFF"/>
          </w:tcPr>
          <w:p w14:paraId="53CA2738" w14:textId="06B7E776" w:rsidR="004352A3" w:rsidRPr="0009445C" w:rsidRDefault="004352A3" w:rsidP="0099521D">
            <w:pPr>
              <w:pStyle w:val="BRL-Tabelle"/>
              <w:keepNext/>
              <w:spacing w:before="60" w:after="40"/>
              <w:ind w:left="113" w:right="113"/>
            </w:pPr>
            <w:r w:rsidRPr="0009445C">
              <w:t>7.1.1 — Functional safety</w:t>
            </w:r>
          </w:p>
        </w:tc>
        <w:tc>
          <w:tcPr>
            <w:tcW w:w="5889" w:type="dxa"/>
            <w:shd w:val="clear" w:color="auto" w:fill="FFFFFF"/>
          </w:tcPr>
          <w:p w14:paraId="3D2C4319" w14:textId="2F017BA8" w:rsidR="004352A3" w:rsidRPr="0009445C" w:rsidRDefault="004352A3" w:rsidP="0099521D">
            <w:pPr>
              <w:pStyle w:val="BRL-Tabelle"/>
              <w:keepNext/>
              <w:spacing w:before="60" w:after="40"/>
              <w:ind w:left="113" w:right="113"/>
            </w:pPr>
            <w:r w:rsidRPr="0009445C">
              <w:t>Re 50</w:t>
            </w:r>
          </w:p>
        </w:tc>
      </w:tr>
      <w:tr w:rsidR="004352A3" w:rsidRPr="0009445C" w14:paraId="09AB6272" w14:textId="77777777" w:rsidTr="00106C6F">
        <w:trPr>
          <w:cantSplit/>
        </w:trPr>
        <w:tc>
          <w:tcPr>
            <w:tcW w:w="3181" w:type="dxa"/>
            <w:shd w:val="clear" w:color="auto" w:fill="FFFFFF"/>
          </w:tcPr>
          <w:p w14:paraId="164A4194" w14:textId="77777777" w:rsidR="004352A3" w:rsidRPr="0009445C" w:rsidRDefault="004352A3" w:rsidP="0099521D">
            <w:pPr>
              <w:pStyle w:val="BRL-Tabelle"/>
              <w:keepNext/>
              <w:spacing w:before="60" w:after="40"/>
              <w:ind w:left="113" w:right="113"/>
            </w:pPr>
            <w:r w:rsidRPr="0009445C">
              <w:t>7.1.2 — Response delay (response time)</w:t>
            </w:r>
          </w:p>
        </w:tc>
        <w:tc>
          <w:tcPr>
            <w:tcW w:w="5889" w:type="dxa"/>
            <w:shd w:val="clear" w:color="auto" w:fill="FFFFFF"/>
          </w:tcPr>
          <w:p w14:paraId="74BCCA57" w14:textId="37C88544" w:rsidR="004352A3" w:rsidRPr="0009445C" w:rsidDel="00EA6059" w:rsidRDefault="004352A3" w:rsidP="0099521D">
            <w:pPr>
              <w:pStyle w:val="BRL-Tabelle"/>
              <w:keepNext/>
              <w:spacing w:before="60" w:after="40"/>
              <w:ind w:left="113" w:right="113"/>
            </w:pPr>
            <w:r w:rsidRPr="0009445C">
              <w:t>≤ 60 s</w:t>
            </w:r>
          </w:p>
        </w:tc>
      </w:tr>
      <w:tr w:rsidR="004352A3" w:rsidRPr="0009445C" w14:paraId="111712FA" w14:textId="77777777" w:rsidTr="00A01791">
        <w:trPr>
          <w:cantSplit/>
        </w:trPr>
        <w:tc>
          <w:tcPr>
            <w:tcW w:w="3181" w:type="dxa"/>
            <w:shd w:val="clear" w:color="auto" w:fill="FFFFFF"/>
          </w:tcPr>
          <w:p w14:paraId="0EEC6631" w14:textId="5EB2C2B7" w:rsidR="004352A3" w:rsidRPr="0009445C" w:rsidRDefault="004352A3" w:rsidP="0099521D">
            <w:pPr>
              <w:pStyle w:val="BRL-Tabelle"/>
              <w:keepNext/>
              <w:spacing w:before="60" w:after="40"/>
              <w:ind w:left="113" w:right="113"/>
            </w:pPr>
            <w:r w:rsidRPr="0009445C">
              <w:t xml:space="preserve">7.1.3 — Functional safety </w:t>
            </w:r>
          </w:p>
        </w:tc>
        <w:tc>
          <w:tcPr>
            <w:tcW w:w="5889" w:type="dxa"/>
            <w:shd w:val="clear" w:color="auto" w:fill="FFFFFF"/>
          </w:tcPr>
          <w:p w14:paraId="42A6B914" w14:textId="465E0082" w:rsidR="004352A3" w:rsidRPr="0009445C" w:rsidRDefault="004352A3" w:rsidP="0099521D">
            <w:pPr>
              <w:pStyle w:val="BRL-Tabelle"/>
              <w:keepNext/>
              <w:spacing w:before="60" w:after="40"/>
              <w:ind w:left="113" w:right="113"/>
            </w:pPr>
            <w:r w:rsidRPr="0009445C">
              <w:t>Yes, if additional ventilation function</w:t>
            </w:r>
          </w:p>
        </w:tc>
      </w:tr>
      <w:tr w:rsidR="004352A3" w:rsidRPr="0009445C" w14:paraId="628A5EB9" w14:textId="77777777" w:rsidTr="00E9626E">
        <w:trPr>
          <w:cantSplit/>
        </w:trPr>
        <w:tc>
          <w:tcPr>
            <w:tcW w:w="3181" w:type="dxa"/>
            <w:shd w:val="clear" w:color="auto" w:fill="FFFFFF"/>
          </w:tcPr>
          <w:p w14:paraId="3D3FCB13" w14:textId="46D47ECE" w:rsidR="004352A3" w:rsidRPr="0009445C" w:rsidRDefault="004352A3" w:rsidP="0099521D">
            <w:pPr>
              <w:pStyle w:val="BRL-Tabelle"/>
              <w:keepNext/>
              <w:spacing w:before="60" w:after="40"/>
              <w:ind w:left="113" w:right="113"/>
            </w:pPr>
            <w:r w:rsidRPr="0009445C">
              <w:t>7.2.1.1 — Opening under environmental conditions snow load, excluding installation inclination ≥ 60°</w:t>
            </w:r>
          </w:p>
        </w:tc>
        <w:tc>
          <w:tcPr>
            <w:tcW w:w="5889" w:type="dxa"/>
            <w:shd w:val="clear" w:color="auto" w:fill="FFFFFF"/>
          </w:tcPr>
          <w:p w14:paraId="6946F74E" w14:textId="61DF7441" w:rsidR="004352A3" w:rsidRPr="0009445C" w:rsidRDefault="004352A3" w:rsidP="0099521D">
            <w:pPr>
              <w:pStyle w:val="BRL-Tabelle"/>
              <w:keepNext/>
              <w:spacing w:before="60" w:after="40"/>
              <w:ind w:left="113" w:right="113"/>
            </w:pPr>
            <w:r w:rsidRPr="0009445C">
              <w:t>SL 500</w:t>
            </w:r>
          </w:p>
        </w:tc>
      </w:tr>
      <w:tr w:rsidR="004352A3" w:rsidRPr="0009445C" w14:paraId="7D708400" w14:textId="77777777" w:rsidTr="008261EA">
        <w:trPr>
          <w:cantSplit/>
        </w:trPr>
        <w:tc>
          <w:tcPr>
            <w:tcW w:w="3181" w:type="dxa"/>
            <w:shd w:val="clear" w:color="auto" w:fill="FFFFFF"/>
          </w:tcPr>
          <w:p w14:paraId="7160D4EB" w14:textId="78C7F269" w:rsidR="004352A3" w:rsidRPr="0009445C" w:rsidRDefault="004352A3" w:rsidP="0099521D">
            <w:pPr>
              <w:pStyle w:val="BRL-Tabelle"/>
              <w:keepNext/>
              <w:spacing w:before="60" w:after="40"/>
              <w:ind w:left="113" w:right="113"/>
            </w:pPr>
            <w:r w:rsidRPr="0009445C">
              <w:t>7.3.1 — Opening under environmental conditions — low ambient temperature</w:t>
            </w:r>
          </w:p>
        </w:tc>
        <w:tc>
          <w:tcPr>
            <w:tcW w:w="5889" w:type="dxa"/>
            <w:shd w:val="clear" w:color="auto" w:fill="FFFFFF"/>
          </w:tcPr>
          <w:p w14:paraId="4DA992C6" w14:textId="097C2A48" w:rsidR="004352A3" w:rsidRPr="0009445C" w:rsidRDefault="004352A3" w:rsidP="0099521D">
            <w:pPr>
              <w:pStyle w:val="BRL-Tabelle"/>
              <w:keepNext/>
              <w:spacing w:before="60" w:after="40"/>
              <w:ind w:left="113" w:right="113"/>
            </w:pPr>
            <w:r w:rsidRPr="0009445C">
              <w:t>T (-05)</w:t>
            </w:r>
          </w:p>
        </w:tc>
      </w:tr>
      <w:tr w:rsidR="004352A3" w:rsidRPr="0009445C" w14:paraId="03D4467E" w14:textId="77777777" w:rsidTr="00525E35">
        <w:trPr>
          <w:cantSplit/>
        </w:trPr>
        <w:tc>
          <w:tcPr>
            <w:tcW w:w="3181" w:type="dxa"/>
            <w:shd w:val="clear" w:color="auto" w:fill="FFFFFF"/>
          </w:tcPr>
          <w:p w14:paraId="6084FE8A" w14:textId="6DACFC77" w:rsidR="004352A3" w:rsidRPr="0009445C" w:rsidRDefault="004352A3" w:rsidP="0099521D">
            <w:pPr>
              <w:pStyle w:val="BRL-Tabelle"/>
              <w:keepNext/>
              <w:spacing w:before="60" w:after="40"/>
              <w:ind w:left="113" w:right="113"/>
            </w:pPr>
            <w:r w:rsidRPr="0009445C">
              <w:t>7.4.1 — Functional safety -wind load</w:t>
            </w:r>
          </w:p>
        </w:tc>
        <w:tc>
          <w:tcPr>
            <w:tcW w:w="5889" w:type="dxa"/>
            <w:shd w:val="clear" w:color="auto" w:fill="FFFFFF"/>
          </w:tcPr>
          <w:p w14:paraId="6F46A27B" w14:textId="60478A68" w:rsidR="004352A3" w:rsidRPr="0009445C" w:rsidRDefault="004352A3" w:rsidP="0099521D">
            <w:pPr>
              <w:pStyle w:val="BRL-Tabelle"/>
              <w:keepNext/>
              <w:spacing w:before="60" w:after="40"/>
              <w:ind w:left="113" w:right="113"/>
            </w:pPr>
            <w:r w:rsidRPr="0009445C">
              <w:t>WL 1500</w:t>
            </w:r>
          </w:p>
        </w:tc>
      </w:tr>
      <w:tr w:rsidR="004352A3" w:rsidRPr="0009445C" w14:paraId="2F0894EB" w14:textId="77777777" w:rsidTr="00190B38">
        <w:trPr>
          <w:cantSplit/>
        </w:trPr>
        <w:tc>
          <w:tcPr>
            <w:tcW w:w="3181" w:type="dxa"/>
            <w:shd w:val="clear" w:color="auto" w:fill="FFFFFF"/>
          </w:tcPr>
          <w:p w14:paraId="01A1025B" w14:textId="77777777" w:rsidR="004352A3" w:rsidRPr="0009445C" w:rsidRDefault="004352A3" w:rsidP="0099521D">
            <w:pPr>
              <w:pStyle w:val="BRL-Tabelle"/>
              <w:keepNext/>
              <w:spacing w:before="60" w:after="40"/>
              <w:ind w:left="113" w:right="113"/>
            </w:pPr>
            <w:r w:rsidRPr="0009445C">
              <w:t>7.5.1 — Thermal resistance classification</w:t>
            </w:r>
          </w:p>
        </w:tc>
        <w:tc>
          <w:tcPr>
            <w:tcW w:w="5889" w:type="dxa"/>
            <w:shd w:val="clear" w:color="auto" w:fill="FFFFFF"/>
          </w:tcPr>
          <w:p w14:paraId="7E19636F" w14:textId="2265FB61" w:rsidR="004352A3" w:rsidRPr="0009445C" w:rsidRDefault="004352A3" w:rsidP="0099521D">
            <w:pPr>
              <w:pStyle w:val="BRL-Tabelle"/>
              <w:keepNext/>
              <w:spacing w:before="60" w:after="40"/>
              <w:ind w:left="113" w:right="113"/>
            </w:pPr>
            <w:r w:rsidRPr="0009445C">
              <w:t>B 300</w:t>
            </w:r>
          </w:p>
        </w:tc>
      </w:tr>
      <w:tr w:rsidR="004352A3" w:rsidRPr="0009445C" w14:paraId="42872190" w14:textId="77777777" w:rsidTr="002D2292">
        <w:trPr>
          <w:cantSplit/>
        </w:trPr>
        <w:tc>
          <w:tcPr>
            <w:tcW w:w="3181" w:type="dxa"/>
            <w:shd w:val="clear" w:color="auto" w:fill="FFFFFF"/>
          </w:tcPr>
          <w:p w14:paraId="7745D9B4" w14:textId="77777777" w:rsidR="004352A3" w:rsidRPr="0009445C" w:rsidRDefault="004352A3" w:rsidP="0099521D">
            <w:pPr>
              <w:pStyle w:val="BRL-Tabelle"/>
              <w:keepNext/>
              <w:spacing w:before="60" w:after="40"/>
              <w:ind w:left="113" w:right="113"/>
              <w:rPr>
                <w:b/>
              </w:rPr>
            </w:pPr>
            <w:r w:rsidRPr="0009445C">
              <w:t>7.5.2 — Performance characteristics for thermal resistance</w:t>
            </w:r>
          </w:p>
        </w:tc>
        <w:tc>
          <w:tcPr>
            <w:tcW w:w="5889" w:type="dxa"/>
            <w:shd w:val="clear" w:color="auto" w:fill="FFFFFF"/>
          </w:tcPr>
          <w:p w14:paraId="03DCA3DE" w14:textId="75B9E98E" w:rsidR="004352A3" w:rsidRPr="0009445C" w:rsidRDefault="004352A3" w:rsidP="0099521D">
            <w:pPr>
              <w:pStyle w:val="BRL-Tabelle"/>
              <w:keepNext/>
              <w:spacing w:before="60" w:after="40"/>
              <w:ind w:left="113" w:right="113"/>
              <w:rPr>
                <w:b/>
              </w:rPr>
            </w:pPr>
            <w:r w:rsidRPr="0009445C">
              <w:t>E – d2</w:t>
            </w:r>
          </w:p>
        </w:tc>
      </w:tr>
    </w:tbl>
    <w:p w14:paraId="551F67B4" w14:textId="77777777" w:rsidR="00B47442" w:rsidRPr="0009445C" w:rsidRDefault="00B47442" w:rsidP="00B47442">
      <w:pPr>
        <w:pStyle w:val="BRL-Standard"/>
        <w:keepNext/>
      </w:pPr>
    </w:p>
    <w:p w14:paraId="30DA4ECA" w14:textId="77777777" w:rsidR="00B47442" w:rsidRPr="0009445C" w:rsidRDefault="00B47442" w:rsidP="00600F53">
      <w:pPr>
        <w:pStyle w:val="BRL-berschrift"/>
        <w:rPr>
          <w:rFonts w:eastAsia="Calibri"/>
          <w:kern w:val="28"/>
        </w:rPr>
      </w:pPr>
      <w:r w:rsidRPr="0009445C">
        <w:t>7.5.3</w:t>
      </w:r>
      <w:r w:rsidRPr="0009445C">
        <w:tab/>
        <w:t>Special provisions for use and execution</w:t>
      </w:r>
    </w:p>
    <w:p w14:paraId="420D7286" w14:textId="5D91DE66" w:rsidR="00B47442" w:rsidRPr="0009445C" w:rsidRDefault="00B47442" w:rsidP="00B47442">
      <w:pPr>
        <w:pStyle w:val="BRL-Standard"/>
        <w:rPr>
          <w:u w:val="single"/>
        </w:rPr>
      </w:pPr>
      <w:r w:rsidRPr="0009445C">
        <w:rPr>
          <w:u w:val="single"/>
        </w:rPr>
        <w:t>Kits for fire-resistant ventilation ducts pursuant to EAD 350142-00-1106</w:t>
      </w:r>
      <w:r w:rsidR="007119D6" w:rsidRPr="0009445C">
        <w:rPr>
          <w:u w:val="single"/>
        </w:rPr>
        <w:fldChar w:fldCharType="begin"/>
      </w:r>
      <w:r w:rsidR="007119D6" w:rsidRPr="0009445C">
        <w:rPr>
          <w:u w:val="single"/>
        </w:rPr>
        <w:instrText xml:space="preserve"> NOTEREF _Ref90905098 \f \h </w:instrText>
      </w:r>
      <w:r w:rsidR="007119D6" w:rsidRPr="0009445C">
        <w:rPr>
          <w:u w:val="single"/>
        </w:rPr>
      </w:r>
      <w:r w:rsidR="0009445C" w:rsidRPr="0009445C">
        <w:rPr>
          <w:u w:val="single"/>
        </w:rPr>
        <w:instrText xml:space="preserve"> \* MERGEFORMAT </w:instrText>
      </w:r>
      <w:r w:rsidR="007119D6" w:rsidRPr="0009445C">
        <w:rPr>
          <w:u w:val="single"/>
        </w:rPr>
        <w:fldChar w:fldCharType="separate"/>
      </w:r>
      <w:r w:rsidR="0009445C" w:rsidRPr="0009445C">
        <w:rPr>
          <w:rStyle w:val="FootnoteReference"/>
        </w:rPr>
        <w:t>42</w:t>
      </w:r>
      <w:r w:rsidR="007119D6" w:rsidRPr="0009445C">
        <w:rPr>
          <w:u w:val="single"/>
        </w:rPr>
        <w:fldChar w:fldCharType="end"/>
      </w:r>
    </w:p>
    <w:p w14:paraId="18EF620A" w14:textId="400DD1E3" w:rsidR="00B47442" w:rsidRPr="0009445C" w:rsidRDefault="00B47442" w:rsidP="00B47442">
      <w:pPr>
        <w:pStyle w:val="BRL-Standard"/>
        <w:jc w:val="left"/>
      </w:pPr>
      <w:r w:rsidRPr="0009445C">
        <w:t>For kits for the construction of fire-resistant ventilation ducts pursuant to ETA and in accordance with EAD 350142-00-1106</w:t>
      </w:r>
      <w:r w:rsidR="002D1BA4" w:rsidRPr="0009445C">
        <w:fldChar w:fldCharType="begin"/>
      </w:r>
      <w:r w:rsidR="002D1BA4" w:rsidRPr="0009445C">
        <w:instrText xml:space="preserve"> NOTEREF _Ref90905098 \f \h </w:instrText>
      </w:r>
      <w:r w:rsidR="0009445C" w:rsidRPr="0009445C">
        <w:instrText xml:space="preserve"> \* MERGEFORMAT </w:instrText>
      </w:r>
      <w:r w:rsidR="002D1BA4" w:rsidRPr="0009445C">
        <w:fldChar w:fldCharType="separate"/>
      </w:r>
      <w:r w:rsidR="0009445C" w:rsidRPr="0009445C">
        <w:rPr>
          <w:rStyle w:val="FootnoteReference"/>
        </w:rPr>
        <w:t>42</w:t>
      </w:r>
      <w:r w:rsidR="002D1BA4" w:rsidRPr="0009445C">
        <w:fldChar w:fldCharType="end"/>
      </w:r>
      <w:r w:rsidRPr="0009445C">
        <w:t>, consisting of fire protection plates, connectors, sealants and fasteners, the manufacturer is required under Regulation (EU) No 305/2011 to provide an installation manual based on the classification document. It shall contain at least the following information:</w:t>
      </w:r>
    </w:p>
    <w:p w14:paraId="3290C791" w14:textId="77777777" w:rsidR="00B47442" w:rsidRPr="0009445C" w:rsidRDefault="00B47442" w:rsidP="00B47442">
      <w:pPr>
        <w:pStyle w:val="BRL-Standard"/>
        <w:rPr>
          <w:highlight w:val="red"/>
        </w:rPr>
      </w:pPr>
    </w:p>
    <w:p w14:paraId="7744C669" w14:textId="77777777" w:rsidR="00B47442" w:rsidRPr="0009445C" w:rsidRDefault="00B47442" w:rsidP="00B47442">
      <w:pPr>
        <w:pStyle w:val="BRLAufzhlungAnstrich"/>
        <w:numPr>
          <w:ilvl w:val="0"/>
          <w:numId w:val="1"/>
        </w:numPr>
      </w:pPr>
      <w:r w:rsidRPr="0009445C">
        <w:t>Description of permitted four-sided duct constructions made of pipe fittings (materials, dimensions, reinforcing if any, duct routing (vertical/horizontal/inclined), associated fittings, maximum storey height and details of load transfer for vertical pipes, inspection openings, suspensions, fasteners),</w:t>
      </w:r>
    </w:p>
    <w:p w14:paraId="247CA7F3" w14:textId="77777777" w:rsidR="00B47442" w:rsidRPr="0009445C" w:rsidRDefault="00B47442" w:rsidP="00B47442">
      <w:pPr>
        <w:pStyle w:val="BRLAufzhlungAnstrich"/>
        <w:numPr>
          <w:ilvl w:val="0"/>
          <w:numId w:val="1"/>
        </w:numPr>
      </w:pPr>
      <w:r w:rsidRPr="0009445C">
        <w:t>Permitted operating pressure range,</w:t>
      </w:r>
    </w:p>
    <w:p w14:paraId="5D43EE37" w14:textId="77777777" w:rsidR="00B47442" w:rsidRPr="0009445C" w:rsidRDefault="00B47442" w:rsidP="00B47442">
      <w:pPr>
        <w:pStyle w:val="BRLAufzhlungAnstrich"/>
        <w:numPr>
          <w:ilvl w:val="0"/>
          <w:numId w:val="1"/>
        </w:numPr>
      </w:pPr>
      <w:r w:rsidRPr="0009445C">
        <w:t>Type and minimum thickness of structural elements (wall/ceiling) that may be passed through by the ducts,</w:t>
      </w:r>
    </w:p>
    <w:p w14:paraId="1216A520" w14:textId="77777777" w:rsidR="00B47442" w:rsidRPr="0009445C" w:rsidRDefault="00B47442" w:rsidP="00B47442">
      <w:pPr>
        <w:pStyle w:val="BRLAufzhlungAnstrich"/>
        <w:numPr>
          <w:ilvl w:val="0"/>
          <w:numId w:val="1"/>
        </w:numPr>
      </w:pPr>
      <w:r w:rsidRPr="0009445C">
        <w:t>Principles for the production of pipe fittings from the fire protection plates and the connectors and sealants (e.g. glue, clamps, screws, reinforcing if any, including fasteners) with information about the joining method,</w:t>
      </w:r>
    </w:p>
    <w:p w14:paraId="09C97ABF" w14:textId="77777777" w:rsidR="00B47442" w:rsidRPr="0009445C" w:rsidRDefault="00B47442" w:rsidP="00B47442">
      <w:pPr>
        <w:pStyle w:val="BRLAufzhlungAnstrich"/>
        <w:numPr>
          <w:ilvl w:val="0"/>
          <w:numId w:val="1"/>
        </w:numPr>
      </w:pPr>
      <w:r w:rsidRPr="0009445C">
        <w:t>Principles for the assembly of fittings into ducts and their installation, with information about the construction products to be used (e.g. suspensions, trusses, cladding of suspensions/trusses if any, compensators, permitted fasteners), joining method, necessary spacing, and any permitted later coatings,</w:t>
      </w:r>
    </w:p>
    <w:p w14:paraId="117694C2" w14:textId="77777777" w:rsidR="00B47442" w:rsidRPr="0009445C" w:rsidRDefault="00B47442" w:rsidP="00B47442">
      <w:pPr>
        <w:pStyle w:val="BRLAufzhlungAnstrich"/>
        <w:numPr>
          <w:ilvl w:val="0"/>
          <w:numId w:val="1"/>
        </w:numPr>
      </w:pPr>
      <w:r w:rsidRPr="0009445C">
        <w:t>Execution and sealing of component passages as well as inspection opening closures,</w:t>
      </w:r>
    </w:p>
    <w:p w14:paraId="0D357FC4" w14:textId="77777777" w:rsidR="00B47442" w:rsidRPr="0009445C" w:rsidRDefault="00B47442" w:rsidP="00B47442">
      <w:pPr>
        <w:pStyle w:val="BRLAufzhlungAnstrich"/>
        <w:numPr>
          <w:ilvl w:val="0"/>
          <w:numId w:val="1"/>
        </w:numPr>
      </w:pPr>
      <w:r w:rsidRPr="0009445C">
        <w:t>Notes on design and execution of the attachment,</w:t>
      </w:r>
    </w:p>
    <w:p w14:paraId="587338E6" w14:textId="77777777" w:rsidR="00B47442" w:rsidRPr="0009445C" w:rsidRDefault="00B47442" w:rsidP="00B47442">
      <w:pPr>
        <w:pStyle w:val="BRLAufzhlungAnstrich"/>
        <w:numPr>
          <w:ilvl w:val="0"/>
          <w:numId w:val="1"/>
        </w:numPr>
      </w:pPr>
      <w:r w:rsidRPr="0009445C">
        <w:t>Processing instructions (e.g. with regard to permitted tools, sequence of operations in the production of the fitting, and joining them to make a duct),</w:t>
      </w:r>
    </w:p>
    <w:p w14:paraId="575AC052" w14:textId="77777777" w:rsidR="00B47442" w:rsidRPr="0009445C" w:rsidRDefault="00B47442" w:rsidP="00B47442">
      <w:pPr>
        <w:pStyle w:val="BRLAufzhlungAnstrich"/>
        <w:numPr>
          <w:ilvl w:val="0"/>
          <w:numId w:val="1"/>
        </w:numPr>
      </w:pPr>
      <w:r w:rsidRPr="0009445C">
        <w:t>If applicable, instructions for transport and storage of fire protection plates,</w:t>
      </w:r>
    </w:p>
    <w:p w14:paraId="4F90F1CA" w14:textId="77777777" w:rsidR="00B47442" w:rsidRPr="0009445C" w:rsidRDefault="00B47442" w:rsidP="00B47442">
      <w:pPr>
        <w:pStyle w:val="BRLAufzhlungAnstrich"/>
        <w:numPr>
          <w:ilvl w:val="0"/>
          <w:numId w:val="1"/>
        </w:numPr>
      </w:pPr>
      <w:r w:rsidRPr="0009445C">
        <w:t>Instructions for maintenance.</w:t>
      </w:r>
    </w:p>
    <w:p w14:paraId="0698B0B9" w14:textId="77777777" w:rsidR="00B47442" w:rsidRPr="0009445C" w:rsidRDefault="00B47442" w:rsidP="00B47442">
      <w:pPr>
        <w:pStyle w:val="BRL-Standard"/>
      </w:pPr>
    </w:p>
    <w:p w14:paraId="2AC0509F" w14:textId="6D39BB57" w:rsidR="00B47442" w:rsidRPr="0009445C" w:rsidRDefault="00B47442" w:rsidP="00B47442">
      <w:pPr>
        <w:pStyle w:val="BRL-Standard"/>
        <w:rPr>
          <w:rFonts w:cs="Arial"/>
          <w:b/>
        </w:rPr>
      </w:pPr>
      <w:r w:rsidRPr="0009445C">
        <w:t>If the conditions of sentence 1 in conjunction with sentence 2 of this section are not fulfilled, there is no technical best practice for ETA fire-resistant smoke extraction duct kits based on EAD 350142-00-1106</w:t>
      </w:r>
      <w:r w:rsidRPr="0009445C">
        <w:rPr>
          <w:rStyle w:val="FootnoteReference"/>
        </w:rPr>
        <w:fldChar w:fldCharType="begin"/>
      </w:r>
      <w:r w:rsidRPr="0009445C">
        <w:rPr>
          <w:rStyle w:val="FootnoteReference"/>
        </w:rPr>
        <w:instrText xml:space="preserve"> NOTEREF _Ref82184163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43</w:t>
      </w:r>
      <w:r w:rsidRPr="0009445C">
        <w:rPr>
          <w:rStyle w:val="FootnoteReference"/>
        </w:rPr>
        <w:fldChar w:fldCharType="end"/>
      </w:r>
      <w:r w:rsidRPr="0009445C">
        <w:t>.</w:t>
      </w:r>
    </w:p>
    <w:p w14:paraId="2EE1AC12" w14:textId="77777777" w:rsidR="00B47442" w:rsidRPr="0009445C" w:rsidRDefault="00B47442" w:rsidP="00B47442">
      <w:pPr>
        <w:pStyle w:val="BRL-Standard"/>
        <w:rPr>
          <w:rFonts w:cs="Arial"/>
          <w:b/>
        </w:rPr>
      </w:pPr>
    </w:p>
    <w:p w14:paraId="2292ECE2" w14:textId="77777777" w:rsidR="00B47442" w:rsidRPr="0009445C" w:rsidRDefault="00B47442" w:rsidP="00600F53">
      <w:pPr>
        <w:pStyle w:val="BRL-berschrift"/>
      </w:pPr>
      <w:bookmarkStart w:id="114" w:name="_Toc515443628"/>
      <w:r w:rsidRPr="0009445C">
        <w:lastRenderedPageBreak/>
        <w:t>8</w:t>
      </w:r>
      <w:r w:rsidRPr="0009445C">
        <w:tab/>
        <w:t>Pressure ventilation systems</w:t>
      </w:r>
      <w:bookmarkEnd w:id="114"/>
    </w:p>
    <w:p w14:paraId="7996525F" w14:textId="77777777" w:rsidR="00B47442" w:rsidRPr="0009445C" w:rsidRDefault="00B47442" w:rsidP="00600F53">
      <w:pPr>
        <w:pStyle w:val="BRL-berschrift"/>
        <w:rPr>
          <w:rFonts w:eastAsia="Calibri"/>
        </w:rPr>
      </w:pPr>
      <w:r w:rsidRPr="0009445C">
        <w:t>8.1</w:t>
      </w:r>
      <w:r w:rsidRPr="0009445C">
        <w:tab/>
        <w:t>Purpose of the installations</w:t>
      </w:r>
    </w:p>
    <w:p w14:paraId="16E2F02A" w14:textId="77777777" w:rsidR="00B47442" w:rsidRPr="0009445C" w:rsidRDefault="00B47442" w:rsidP="00B47442">
      <w:pPr>
        <w:pStyle w:val="BRL-Standard"/>
      </w:pPr>
      <w:r w:rsidRPr="0009445C">
        <w:t xml:space="preserve">Pressure ventilation systems are used to keep escape routes that require special protection under building supervisory rules as well as elevator shafts of firefighting lifts smoke-free so that persons can reach safety and effective firefighting is also supported. </w:t>
      </w:r>
    </w:p>
    <w:p w14:paraId="1B24333B" w14:textId="77777777" w:rsidR="00B47442" w:rsidRPr="0009445C" w:rsidRDefault="00B47442" w:rsidP="00B47442">
      <w:pPr>
        <w:pStyle w:val="BRL-Standard"/>
      </w:pPr>
    </w:p>
    <w:p w14:paraId="56CE2C35" w14:textId="438CBFB8" w:rsidR="00B47442" w:rsidRPr="0009445C" w:rsidRDefault="00B47442" w:rsidP="00B47442">
      <w:pPr>
        <w:pStyle w:val="BRL-Standard"/>
      </w:pPr>
      <w:r w:rsidRPr="0009445C">
        <w:t xml:space="preserve">The entry of smoke into internal safety staircases and firefighting lift shafts and their respective vestibules must be prevented by means of pressure ventilation systems. In addition, pressure ventilation systems may be required in certain individual escape routes according to a fire safety certificate or fire protection concept. </w:t>
      </w:r>
    </w:p>
    <w:p w14:paraId="3E82DBEC" w14:textId="77777777" w:rsidR="00B47442" w:rsidRPr="0009445C" w:rsidRDefault="00B47442" w:rsidP="00B47442">
      <w:pPr>
        <w:pStyle w:val="BRL-Standard"/>
      </w:pPr>
    </w:p>
    <w:p w14:paraId="3D3BD170" w14:textId="77777777" w:rsidR="00B47442" w:rsidRPr="0009445C" w:rsidRDefault="00B47442" w:rsidP="00600F53">
      <w:pPr>
        <w:pStyle w:val="BRL-berschrift"/>
        <w:rPr>
          <w:rFonts w:eastAsia="Calibri"/>
        </w:rPr>
      </w:pPr>
      <w:r w:rsidRPr="0009445C">
        <w:t>8.2</w:t>
      </w:r>
      <w:r w:rsidRPr="0009445C">
        <w:tab/>
        <w:t>Planning, designing and execution</w:t>
      </w:r>
    </w:p>
    <w:p w14:paraId="3ADE9453" w14:textId="77777777" w:rsidR="00B47442" w:rsidRPr="0009445C" w:rsidRDefault="00B47442" w:rsidP="00B47442">
      <w:pPr>
        <w:pStyle w:val="BRL-Standard"/>
      </w:pPr>
      <w:r w:rsidRPr="0009445C">
        <w:t>Pressure ventilation systems must ensure a continuous flow of air via the air path for external air intake, as well as overflow and outflow openings if relevant.</w:t>
      </w:r>
    </w:p>
    <w:p w14:paraId="07ECF771" w14:textId="77777777" w:rsidR="00B47442" w:rsidRPr="0009445C" w:rsidRDefault="00B47442" w:rsidP="00B47442">
      <w:pPr>
        <w:pStyle w:val="BRL-Standard"/>
      </w:pPr>
    </w:p>
    <w:p w14:paraId="28DD61E0" w14:textId="09A3CA11" w:rsidR="00B47442" w:rsidRPr="0009445C" w:rsidRDefault="00B47442" w:rsidP="00B47442">
      <w:pPr>
        <w:pStyle w:val="BRL-Standard"/>
        <w:spacing w:after="60"/>
      </w:pPr>
      <w:r w:rsidRPr="0009445C">
        <w:t xml:space="preserve">Pressure ventilation systems for safety staircases shall be dimensioned and constructed in such a way that the air volume flow </w:t>
      </w:r>
    </w:p>
    <w:p w14:paraId="50008E37" w14:textId="77777777" w:rsidR="00FC30F6" w:rsidRPr="0009445C" w:rsidRDefault="00B47442" w:rsidP="00B47442">
      <w:pPr>
        <w:pStyle w:val="AufzhlungTabelle"/>
        <w:rPr>
          <w:strike/>
        </w:rPr>
      </w:pPr>
      <w:r w:rsidRPr="0009445C">
        <w:t xml:space="preserve">in the case of open doors from the stairway to the ground floor affected by the fire at an average speed of at least 2.0 m/s in relation to the free door cross-section flowing opposite the direction of flight, </w:t>
      </w:r>
    </w:p>
    <w:p w14:paraId="405CA487" w14:textId="77777777" w:rsidR="00B47442" w:rsidRPr="0009445C" w:rsidRDefault="00FC30F6" w:rsidP="00B47442">
      <w:pPr>
        <w:pStyle w:val="AufzhlungTabelle"/>
        <w:rPr>
          <w:strike/>
        </w:rPr>
      </w:pPr>
      <w:r w:rsidRPr="0009445C">
        <w:t xml:space="preserve">flows in the same direction throughout the cross-section of the doors; and </w:t>
      </w:r>
    </w:p>
    <w:p w14:paraId="3D20B2FF" w14:textId="77777777" w:rsidR="00B47442" w:rsidRPr="0009445C" w:rsidRDefault="00B47442" w:rsidP="00B47442">
      <w:pPr>
        <w:pStyle w:val="AufzhlungTabelle"/>
      </w:pPr>
      <w:r w:rsidRPr="0009445C">
        <w:t>is discharged in a suitable manner on the floor where the fire occurs.</w:t>
      </w:r>
    </w:p>
    <w:p w14:paraId="13456364" w14:textId="77777777" w:rsidR="00B47442" w:rsidRPr="0009445C" w:rsidRDefault="00B47442" w:rsidP="00B47442">
      <w:pPr>
        <w:pStyle w:val="BRL-Standard"/>
      </w:pPr>
    </w:p>
    <w:p w14:paraId="6802B005" w14:textId="2BE6ECA3" w:rsidR="00B47442" w:rsidRPr="0009445C" w:rsidRDefault="00FC30F6" w:rsidP="00B47442">
      <w:pPr>
        <w:pStyle w:val="BRL-Standard"/>
      </w:pPr>
      <w:r w:rsidRPr="0009445C">
        <w:t>By way of deviation, the air volume flow through the open door of the front compartment of a firefighting elevator shall flow at an average speed of at least 0.75 m/s.</w:t>
      </w:r>
    </w:p>
    <w:p w14:paraId="4A27A59A" w14:textId="77777777" w:rsidR="00B47442" w:rsidRPr="0009445C" w:rsidRDefault="00B47442" w:rsidP="00B47442">
      <w:pPr>
        <w:pStyle w:val="BRL-Standard"/>
      </w:pPr>
    </w:p>
    <w:p w14:paraId="6E08F376" w14:textId="06FFD529" w:rsidR="00B47442" w:rsidRPr="0009445C" w:rsidRDefault="00B47442" w:rsidP="00B47442">
      <w:pPr>
        <w:pStyle w:val="BRL-Standard"/>
      </w:pPr>
      <w:r w:rsidRPr="0009445C">
        <w:t>The operation of the pressure ventilation system must not result in doors in escape routes no longer being able to be opened due to high pressure differences. The maximum door opening force is 100 N. It must not be exceeded at the doors of the landing, even if one of the two doors is open. After opening and closing doors to the emergency stairwell or landing, the setpoint must be restored within 3 seconds.</w:t>
      </w:r>
    </w:p>
    <w:p w14:paraId="6870F2FF" w14:textId="77777777" w:rsidR="00B47442" w:rsidRPr="0009445C" w:rsidRDefault="00B47442" w:rsidP="00B47442">
      <w:pPr>
        <w:pStyle w:val="BRL-Standard"/>
      </w:pPr>
    </w:p>
    <w:p w14:paraId="502707AA" w14:textId="77777777" w:rsidR="00FC30F6" w:rsidRPr="0009445C" w:rsidRDefault="00FC30F6" w:rsidP="00B47442">
      <w:pPr>
        <w:pStyle w:val="BRL-Standard"/>
      </w:pPr>
      <w:r w:rsidRPr="0009445C">
        <w:t>The requirements for throughput speeds through the open entrance doors and the door opening forces on closed anteroom doors also apply to foreseeable adverse weather conditions.</w:t>
      </w:r>
    </w:p>
    <w:p w14:paraId="045DD53C" w14:textId="77777777" w:rsidR="00FC30F6" w:rsidRPr="0009445C" w:rsidRDefault="00FC30F6" w:rsidP="00B47442">
      <w:pPr>
        <w:pStyle w:val="BRL-Standard"/>
      </w:pPr>
    </w:p>
    <w:p w14:paraId="1ECA156C" w14:textId="77777777" w:rsidR="00B47442" w:rsidRPr="0009445C" w:rsidRDefault="00B47442" w:rsidP="00B47442">
      <w:pPr>
        <w:pStyle w:val="BRL-Standard"/>
      </w:pPr>
      <w:r w:rsidRPr="0009445C">
        <w:t>Switching off the pressure ventilation systems by smoke extraction devices is not permitted.</w:t>
      </w:r>
    </w:p>
    <w:p w14:paraId="49A493AB" w14:textId="77777777" w:rsidR="00B47442" w:rsidRPr="0009445C" w:rsidRDefault="00B47442" w:rsidP="00B47442">
      <w:pPr>
        <w:pStyle w:val="BRL-Standard"/>
      </w:pPr>
    </w:p>
    <w:p w14:paraId="49C1F33E" w14:textId="77777777" w:rsidR="00B47442" w:rsidRPr="0009445C" w:rsidRDefault="00B47442" w:rsidP="00B47442">
      <w:pPr>
        <w:pStyle w:val="BRL-Standard"/>
      </w:pPr>
      <w:r w:rsidRPr="0009445C">
        <w:t>If there is only one internal emergency stairwell, operational replacement devices must take over their function if the devices required to maintain the overpressure fail.</w:t>
      </w:r>
    </w:p>
    <w:p w14:paraId="309D6F7C" w14:textId="77777777" w:rsidR="00B47442" w:rsidRPr="0009445C" w:rsidRDefault="00B47442" w:rsidP="00B47442">
      <w:pPr>
        <w:pStyle w:val="BRL-Standard"/>
      </w:pPr>
    </w:p>
    <w:p w14:paraId="22CAB959" w14:textId="77777777" w:rsidR="00B47442" w:rsidRPr="0009445C" w:rsidRDefault="00B47442" w:rsidP="00B47442">
      <w:pPr>
        <w:pStyle w:val="BRL-Standard"/>
      </w:pPr>
      <w:r w:rsidRPr="0009445C">
        <w:t>Switchgear assemblies, control units, regulating units and ventilators of the pressure ventilation system must be installed in such manner that the pressure ventilation system is effective for a sufficiently long time.</w:t>
      </w:r>
    </w:p>
    <w:p w14:paraId="563541E1" w14:textId="77777777" w:rsidR="00B47442" w:rsidRPr="0009445C" w:rsidRDefault="00B47442" w:rsidP="00B47442">
      <w:pPr>
        <w:pStyle w:val="BRL-Standard"/>
        <w:rPr>
          <w:u w:val="single"/>
        </w:rPr>
      </w:pPr>
    </w:p>
    <w:p w14:paraId="542D3791" w14:textId="77777777" w:rsidR="00B47442" w:rsidRPr="0009445C" w:rsidRDefault="00B47442" w:rsidP="00B47442">
      <w:pPr>
        <w:pStyle w:val="BRL-Standard"/>
        <w:keepNext/>
        <w:rPr>
          <w:u w:val="single"/>
        </w:rPr>
      </w:pPr>
      <w:r w:rsidRPr="0009445C">
        <w:rPr>
          <w:u w:val="single"/>
        </w:rPr>
        <w:t>External air intake</w:t>
      </w:r>
    </w:p>
    <w:p w14:paraId="65B9A5EB" w14:textId="77777777" w:rsidR="00B47442" w:rsidRPr="0009445C" w:rsidRDefault="00B47442" w:rsidP="00B47442">
      <w:pPr>
        <w:pStyle w:val="BRL-Standard"/>
      </w:pPr>
      <w:r w:rsidRPr="0009445C">
        <w:t xml:space="preserve">The external air intake required for a pressure ventilation system shall be so arranged that no smoke can be sucked in, and it is at least 2.5 m away from windows, other external wall openings and external walls with combustible building materials and exterior wall cladding. </w:t>
      </w:r>
    </w:p>
    <w:p w14:paraId="1E1F05F5" w14:textId="77777777" w:rsidR="00B47442" w:rsidRPr="0009445C" w:rsidRDefault="00B47442" w:rsidP="00B47442">
      <w:pPr>
        <w:pStyle w:val="BRL-Standard"/>
      </w:pPr>
    </w:p>
    <w:p w14:paraId="27345CD3" w14:textId="1FA13D45" w:rsidR="00B47442" w:rsidRPr="0009445C" w:rsidRDefault="00B47442" w:rsidP="00B47442">
      <w:pPr>
        <w:pStyle w:val="BRL-Standard"/>
        <w:rPr>
          <w:u w:val="single"/>
        </w:rPr>
      </w:pPr>
      <w:r w:rsidRPr="0009445C">
        <w:rPr>
          <w:u w:val="single"/>
        </w:rPr>
        <w:t>Outdoor and supply air ducts</w:t>
      </w:r>
    </w:p>
    <w:p w14:paraId="1ED9D5CF" w14:textId="77777777" w:rsidR="00B47442" w:rsidRPr="0009445C" w:rsidRDefault="00B47442" w:rsidP="00B47442">
      <w:pPr>
        <w:pStyle w:val="BRL-Standard"/>
      </w:pPr>
      <w:r w:rsidRPr="0009445C">
        <w:t>These pipes must be trained in terms of fire resistance and fire behaviour in accordance with the fire protection requirements for ventilation systems. Fire and smoke dampers shall not be used in these ducts.</w:t>
      </w:r>
    </w:p>
    <w:p w14:paraId="25EC20CC" w14:textId="77777777" w:rsidR="00B47442" w:rsidRPr="0009445C" w:rsidRDefault="00B47442" w:rsidP="00B47442">
      <w:pPr>
        <w:pStyle w:val="BRL-Standard"/>
      </w:pPr>
    </w:p>
    <w:p w14:paraId="6EB2E73B" w14:textId="77777777" w:rsidR="00B47442" w:rsidRPr="0009445C" w:rsidRDefault="00B47442" w:rsidP="00B47442">
      <w:pPr>
        <w:pStyle w:val="BRL-Standard"/>
      </w:pPr>
      <w:r w:rsidRPr="0009445C">
        <w:t xml:space="preserve">When using flaps in the outdoor air or supply air duct, the drives must be connected or equipped with a secure energy supply. </w:t>
      </w:r>
    </w:p>
    <w:p w14:paraId="605DBA51" w14:textId="77777777" w:rsidR="00FC30F6" w:rsidRPr="0009445C" w:rsidRDefault="00FC30F6" w:rsidP="00B47442">
      <w:pPr>
        <w:pStyle w:val="BRL-Standard"/>
      </w:pPr>
    </w:p>
    <w:p w14:paraId="06C1A73F" w14:textId="77777777" w:rsidR="00FC30F6" w:rsidRPr="0009445C" w:rsidRDefault="00FC30F6" w:rsidP="00FC30F6">
      <w:pPr>
        <w:pStyle w:val="BRL-Standard"/>
        <w:rPr>
          <w:u w:val="single"/>
        </w:rPr>
      </w:pPr>
      <w:r w:rsidRPr="0009445C">
        <w:rPr>
          <w:u w:val="single"/>
        </w:rPr>
        <w:t>Exhaust air and smoke extraction lines</w:t>
      </w:r>
    </w:p>
    <w:p w14:paraId="4E39CBFD" w14:textId="77777777" w:rsidR="00FC30F6" w:rsidRPr="0009445C" w:rsidRDefault="00FC30F6" w:rsidP="00FC30F6">
      <w:pPr>
        <w:pStyle w:val="BRL-Standard"/>
      </w:pPr>
      <w:r w:rsidRPr="0009445C">
        <w:t>These pipes must be trained in terms of fire resistance and fire behaviour in accordance with the fire protection requirements for smoke extraction systems. Smoke dampers and fans may be used in these pipes.</w:t>
      </w:r>
    </w:p>
    <w:p w14:paraId="1A539A47" w14:textId="77777777" w:rsidR="00B47442" w:rsidRPr="0009445C" w:rsidRDefault="00B47442" w:rsidP="00B47442">
      <w:pPr>
        <w:pStyle w:val="BRL-Standard"/>
      </w:pPr>
    </w:p>
    <w:p w14:paraId="145268D1" w14:textId="77777777" w:rsidR="00B47442" w:rsidRPr="0009445C" w:rsidRDefault="00B47442" w:rsidP="003A014F">
      <w:pPr>
        <w:pStyle w:val="BRL-Standard"/>
        <w:keepNext/>
        <w:rPr>
          <w:u w:val="single"/>
        </w:rPr>
      </w:pPr>
      <w:r w:rsidRPr="0009445C">
        <w:rPr>
          <w:u w:val="single"/>
        </w:rPr>
        <w:lastRenderedPageBreak/>
        <w:t xml:space="preserve">Overflow openings </w:t>
      </w:r>
    </w:p>
    <w:p w14:paraId="388BD74B" w14:textId="77777777" w:rsidR="00B47442" w:rsidRPr="0009445C" w:rsidRDefault="00B47442" w:rsidP="00B47442">
      <w:pPr>
        <w:pStyle w:val="BRL-Standard"/>
      </w:pPr>
      <w:r w:rsidRPr="0009445C">
        <w:t>It must be possible to flush air through the landings of emergency stairwells even when the doors are closed. This may be achieved with overflow openings</w:t>
      </w:r>
      <w:r w:rsidRPr="0009445C">
        <w:rPr>
          <w:b/>
        </w:rPr>
        <w:t>.</w:t>
      </w:r>
      <w:r w:rsidRPr="0009445C">
        <w:t xml:space="preserve"> </w:t>
      </w:r>
    </w:p>
    <w:p w14:paraId="67CF2904" w14:textId="77777777" w:rsidR="00B47442" w:rsidRPr="0009445C" w:rsidRDefault="00B47442" w:rsidP="00B47442">
      <w:pPr>
        <w:pStyle w:val="BRL-Standard"/>
      </w:pPr>
    </w:p>
    <w:p w14:paraId="11657751" w14:textId="77777777" w:rsidR="00B47442" w:rsidRPr="0009445C" w:rsidRDefault="00B47442" w:rsidP="00B47442">
      <w:pPr>
        <w:pStyle w:val="BRL-Standard"/>
      </w:pPr>
      <w:r w:rsidRPr="0009445C">
        <w:t>The closure of the overflow opening between the landing and stairwell is not subject to any requirements in terms of fire resistance: it is sufficient to have one flap that closes in case of air flow in the direction of the stairwell.</w:t>
      </w:r>
    </w:p>
    <w:p w14:paraId="7C9F1160" w14:textId="77777777" w:rsidR="00B47442" w:rsidRPr="0009445C" w:rsidRDefault="00B47442" w:rsidP="00B47442">
      <w:pPr>
        <w:pStyle w:val="BRL-Standard"/>
      </w:pPr>
    </w:p>
    <w:p w14:paraId="7D6A7D7E" w14:textId="77777777" w:rsidR="00B47442" w:rsidRPr="0009445C" w:rsidRDefault="00B47442" w:rsidP="00B47442">
      <w:pPr>
        <w:pStyle w:val="BRL-Standard"/>
      </w:pPr>
      <w:r w:rsidRPr="0009445C">
        <w:t>The closure of the overflow opening between the landing and the firefighting lift shaft is not subject to any requirements with regard to fire resistance; a motorised or other device-driven flap is sufficient.</w:t>
      </w:r>
    </w:p>
    <w:p w14:paraId="795D4115" w14:textId="77777777" w:rsidR="00B47442" w:rsidRPr="0009445C" w:rsidRDefault="00B47442" w:rsidP="00B47442">
      <w:pPr>
        <w:pStyle w:val="BRL-Standard"/>
      </w:pPr>
    </w:p>
    <w:p w14:paraId="0996BBA4" w14:textId="77777777" w:rsidR="00B47442" w:rsidRPr="0009445C" w:rsidRDefault="00B47442" w:rsidP="00B47442">
      <w:pPr>
        <w:pStyle w:val="BRL-Standard"/>
      </w:pPr>
      <w:r w:rsidRPr="0009445C">
        <w:t xml:space="preserve">In the wall between the landing and necessary corridor or unit, the closure of the overflow opening must have the same fire resistance time as the wall. </w:t>
      </w:r>
    </w:p>
    <w:p w14:paraId="76A9438A" w14:textId="77777777" w:rsidR="00B47442" w:rsidRPr="0009445C" w:rsidRDefault="00B47442" w:rsidP="00B47442">
      <w:pPr>
        <w:pStyle w:val="BRL-Standard"/>
      </w:pPr>
    </w:p>
    <w:p w14:paraId="5690F17A" w14:textId="51F2DD00" w:rsidR="00B47442" w:rsidRPr="0009445C" w:rsidRDefault="00B47442" w:rsidP="00B47442">
      <w:pPr>
        <w:pStyle w:val="BRL-Standard"/>
      </w:pPr>
      <w:r w:rsidRPr="0009445C">
        <w:t xml:space="preserve">Closures must not be controlled via a smoke-triggered device. Flaps that are kept open or driven by motor or other devices must be connected to a secure energy supply. </w:t>
      </w:r>
    </w:p>
    <w:p w14:paraId="118CC857" w14:textId="77777777" w:rsidR="00B47442" w:rsidRPr="0009445C" w:rsidRDefault="00B47442" w:rsidP="00B47442">
      <w:pPr>
        <w:pStyle w:val="BRL-Standard"/>
      </w:pPr>
    </w:p>
    <w:p w14:paraId="60EE5E1C" w14:textId="77777777" w:rsidR="00B47442" w:rsidRPr="0009445C" w:rsidRDefault="00B47442" w:rsidP="00B47442">
      <w:pPr>
        <w:pStyle w:val="BRL-Standard"/>
        <w:rPr>
          <w:u w:val="single"/>
        </w:rPr>
      </w:pPr>
      <w:r w:rsidRPr="0009445C">
        <w:rPr>
          <w:u w:val="single"/>
        </w:rPr>
        <w:t xml:space="preserve">Outflow openings </w:t>
      </w:r>
    </w:p>
    <w:p w14:paraId="339D5454" w14:textId="77777777" w:rsidR="00B47442" w:rsidRPr="0009445C" w:rsidRDefault="00B47442" w:rsidP="00B47442">
      <w:pPr>
        <w:pStyle w:val="BRL-Standard"/>
      </w:pPr>
      <w:r w:rsidRPr="0009445C">
        <w:t xml:space="preserve">Outlets and outflow openings shall be placed such that the effectiveness of the pressure ventilation system is ensured even in adverse weather conditions. </w:t>
      </w:r>
    </w:p>
    <w:p w14:paraId="35B8F388" w14:textId="77777777" w:rsidR="00B47442" w:rsidRPr="0009445C" w:rsidRDefault="00B47442" w:rsidP="00B47442">
      <w:pPr>
        <w:pStyle w:val="BRL-Standard"/>
      </w:pPr>
    </w:p>
    <w:p w14:paraId="13637A28" w14:textId="77777777" w:rsidR="00B47442" w:rsidRPr="0009445C" w:rsidRDefault="00B47442" w:rsidP="00B47442">
      <w:pPr>
        <w:pStyle w:val="BRL-Standard"/>
        <w:rPr>
          <w:rFonts w:ascii="ArialMT" w:hAnsi="ArialMT" w:cs="ArialMT"/>
        </w:rPr>
      </w:pPr>
      <w:r w:rsidRPr="0009445C">
        <w:t>Windows in the façade of the fire-affected storey may be used as outflow openings. These shall be arranged per outflow area on opposite façades</w:t>
      </w:r>
      <w:r w:rsidRPr="0009445C">
        <w:rPr>
          <w:rFonts w:ascii="ArialMT" w:hAnsi="ArialMT"/>
        </w:rPr>
        <w:t>.</w:t>
      </w:r>
    </w:p>
    <w:p w14:paraId="6A520A86" w14:textId="77777777" w:rsidR="00B47442" w:rsidRPr="0009445C" w:rsidRDefault="00B47442" w:rsidP="00B47442">
      <w:pPr>
        <w:pStyle w:val="BRL-Standard"/>
        <w:rPr>
          <w:rFonts w:ascii="ArialMT" w:hAnsi="ArialMT" w:cs="ArialMT"/>
        </w:rPr>
      </w:pPr>
    </w:p>
    <w:p w14:paraId="686AA725" w14:textId="77777777" w:rsidR="00B47442" w:rsidRPr="0009445C" w:rsidRDefault="00B47442" w:rsidP="00B47442">
      <w:pPr>
        <w:pStyle w:val="BRL-Standard"/>
      </w:pPr>
      <w:r w:rsidRPr="0009445C">
        <w:t xml:space="preserve">If outflow takes place via a shaft, smoke dampers must be integrated in the shaft wall. </w:t>
      </w:r>
    </w:p>
    <w:p w14:paraId="5E9B28EE" w14:textId="77777777" w:rsidR="00B47442" w:rsidRPr="0009445C" w:rsidRDefault="00B47442" w:rsidP="00B47442">
      <w:pPr>
        <w:pStyle w:val="BRL-Standard"/>
      </w:pPr>
    </w:p>
    <w:p w14:paraId="017E2149" w14:textId="77777777" w:rsidR="00B47442" w:rsidRPr="0009445C" w:rsidRDefault="00B47442" w:rsidP="00B47442">
      <w:pPr>
        <w:pStyle w:val="BRL-Standard"/>
      </w:pPr>
      <w:r w:rsidRPr="0009445C">
        <w:t>Exhaust air openings (outlets) of ducts from which combustion gases may escape into the ambient air must be situated or designed in accordance with the fire protection requirements for ventilation systems. MVV TB Section A 2.2, ser. No A 2.2.1.11, Section 5.1.2 No. 1). Fire dampers shall not be used.</w:t>
      </w:r>
    </w:p>
    <w:p w14:paraId="5ECF936F" w14:textId="77777777" w:rsidR="00FC30F6" w:rsidRPr="0009445C" w:rsidRDefault="00FC30F6" w:rsidP="00B47442">
      <w:pPr>
        <w:pStyle w:val="BRL-Standard"/>
      </w:pPr>
    </w:p>
    <w:p w14:paraId="5C57DFB7" w14:textId="77777777" w:rsidR="00FC30F6" w:rsidRPr="0009445C" w:rsidRDefault="00FC30F6" w:rsidP="00FC30F6">
      <w:pPr>
        <w:pStyle w:val="BRL-Standard"/>
        <w:rPr>
          <w:u w:val="single"/>
        </w:rPr>
      </w:pPr>
      <w:r w:rsidRPr="0009445C">
        <w:rPr>
          <w:u w:val="single"/>
        </w:rPr>
        <w:t>Necessary information in the fire protection concept</w:t>
      </w:r>
    </w:p>
    <w:p w14:paraId="322E6558" w14:textId="77777777" w:rsidR="00FC30F6" w:rsidRPr="0009445C" w:rsidRDefault="00FC30F6" w:rsidP="00FC30F6">
      <w:pPr>
        <w:pStyle w:val="BRL-Standard"/>
      </w:pPr>
      <w:r w:rsidRPr="0009445C">
        <w:t>All necessary data must be stated in the fire protection certificate.</w:t>
      </w:r>
    </w:p>
    <w:p w14:paraId="38F2B018" w14:textId="77777777" w:rsidR="00B47442" w:rsidRPr="0009445C" w:rsidRDefault="00B47442" w:rsidP="00B47442">
      <w:pPr>
        <w:pStyle w:val="BRL-Standard"/>
      </w:pPr>
    </w:p>
    <w:p w14:paraId="515A5B5D" w14:textId="77777777" w:rsidR="00B47442" w:rsidRPr="0009445C" w:rsidRDefault="00B47442" w:rsidP="00600F53">
      <w:pPr>
        <w:pStyle w:val="BRL-berschrift"/>
        <w:rPr>
          <w:rFonts w:eastAsia="Calibri"/>
        </w:rPr>
      </w:pPr>
      <w:r w:rsidRPr="0009445C">
        <w:t>8.3</w:t>
      </w:r>
      <w:r w:rsidRPr="0009445C">
        <w:tab/>
        <w:t xml:space="preserve">Triggering </w:t>
      </w:r>
    </w:p>
    <w:p w14:paraId="126FE60A" w14:textId="77777777" w:rsidR="00B47442" w:rsidRPr="0009445C" w:rsidRDefault="00B47442" w:rsidP="00B47442">
      <w:pPr>
        <w:pStyle w:val="BRL-Standard"/>
      </w:pPr>
      <w:r w:rsidRPr="0009445C">
        <w:t>The pressure ventilation systems must be triggered automatically in case of fire.</w:t>
      </w:r>
    </w:p>
    <w:p w14:paraId="69D8CCA5" w14:textId="77777777" w:rsidR="00B47442" w:rsidRPr="0009445C" w:rsidRDefault="00B47442" w:rsidP="00B47442">
      <w:pPr>
        <w:pStyle w:val="BRL-Standard"/>
      </w:pPr>
      <w:r w:rsidRPr="0009445C">
        <w:t xml:space="preserve">Where automatic fire alarm systems are required or available, they must trigger the pressure ventilation systems. </w:t>
      </w:r>
    </w:p>
    <w:p w14:paraId="3D2FCCEE" w14:textId="6D151D71" w:rsidR="00B47442" w:rsidRPr="0009445C" w:rsidRDefault="00B47442" w:rsidP="00B47442">
      <w:pPr>
        <w:pStyle w:val="BRL-Standard"/>
      </w:pPr>
      <w:r w:rsidRPr="0009445C">
        <w:t xml:space="preserve">In the absence of a fire alarm system, the triggering shall be carried out at least by means of appropriate triggering devices controlled by smoke detectors positioned in the area of access to the safety staircase (excluding vestibules) and to the firefighting front compartment and in the area of the necessary discharge openings. Smoke detectors pursuant to the DIN EN 54 series of standards are suitable for detection. </w:t>
      </w:r>
    </w:p>
    <w:p w14:paraId="6DD58B05" w14:textId="77777777" w:rsidR="00B47442" w:rsidRPr="0009445C" w:rsidRDefault="00B47442" w:rsidP="00B47442">
      <w:pPr>
        <w:pStyle w:val="BRL-Standard"/>
      </w:pPr>
    </w:p>
    <w:p w14:paraId="34432060" w14:textId="77777777" w:rsidR="00B47442" w:rsidRPr="0009445C" w:rsidRDefault="00B47442" w:rsidP="00B47442">
      <w:pPr>
        <w:pStyle w:val="BRL-Standard"/>
      </w:pPr>
      <w:r w:rsidRPr="0009445C">
        <w:t xml:space="preserve">If pressure ventilation systems are also to be triggered by hand, switches shall be used, which shall be positioned between 1.2 m and 1.6 m above the ground. The switches shall be marked with a clearly legible sign that reads ‘Pressure ventilation system’. The sign may be placed on the switch or housing or in the immediate vicinity thereof and must be durably attached. The colour of switches shall not be red. </w:t>
      </w:r>
    </w:p>
    <w:p w14:paraId="0E3DC989" w14:textId="77777777" w:rsidR="00B47442" w:rsidRPr="0009445C" w:rsidRDefault="00B47442" w:rsidP="00B47442">
      <w:pPr>
        <w:pStyle w:val="BRL-Standard"/>
      </w:pPr>
    </w:p>
    <w:p w14:paraId="73694B42" w14:textId="77777777" w:rsidR="00B47442" w:rsidRPr="0009445C" w:rsidRDefault="00B47442" w:rsidP="00B47442">
      <w:pPr>
        <w:pStyle w:val="BRL-Standard"/>
      </w:pPr>
      <w:r w:rsidRPr="0009445C">
        <w:t>Necessary outflow outlets should only be controlled automatically.</w:t>
      </w:r>
    </w:p>
    <w:p w14:paraId="29790F8D" w14:textId="77777777" w:rsidR="00B47442" w:rsidRPr="0009445C" w:rsidRDefault="00B47442" w:rsidP="00B47442">
      <w:pPr>
        <w:pStyle w:val="BRL-Standard"/>
      </w:pPr>
    </w:p>
    <w:p w14:paraId="24564F58" w14:textId="77777777" w:rsidR="00B47442" w:rsidRPr="0009445C" w:rsidRDefault="00B47442" w:rsidP="00B47442">
      <w:pPr>
        <w:pStyle w:val="BRL-Standard"/>
      </w:pPr>
      <w:r w:rsidRPr="0009445C">
        <w:t xml:space="preserve">The pressure ventilation system must reach its full functionality and effectiveness within 120 seconds after triggering. </w:t>
      </w:r>
    </w:p>
    <w:p w14:paraId="1E2EA283" w14:textId="77777777" w:rsidR="00B47442" w:rsidRPr="0009445C" w:rsidRDefault="00B47442" w:rsidP="00B47442">
      <w:pPr>
        <w:pStyle w:val="BRL-Standard"/>
      </w:pPr>
    </w:p>
    <w:p w14:paraId="7E1D3043" w14:textId="43C0DAB4" w:rsidR="00B47442" w:rsidRPr="0009445C" w:rsidRDefault="00B47442" w:rsidP="00B47442">
      <w:pPr>
        <w:pStyle w:val="BRL-Standard"/>
      </w:pPr>
      <w:r w:rsidRPr="0009445C">
        <w:t>When controlling or triggering via a programmable system, its programming status must also be documented. The change in the programming state or changes to the operating and system software is a significant change in the pressure ventilation system. If the control or activation is to take place via a programmable system, a safety-technical control concept shall be created.</w:t>
      </w:r>
    </w:p>
    <w:p w14:paraId="40D16EC7" w14:textId="77777777" w:rsidR="002D1BA4" w:rsidRPr="0009445C" w:rsidRDefault="002D1BA4" w:rsidP="00B47442">
      <w:pPr>
        <w:pStyle w:val="BRL-Standard"/>
        <w:rPr>
          <w:u w:val="single"/>
        </w:rPr>
      </w:pPr>
    </w:p>
    <w:p w14:paraId="3D93AC9F" w14:textId="77777777" w:rsidR="00B47442" w:rsidRPr="0009445C" w:rsidRDefault="00B47442" w:rsidP="00B47442">
      <w:pPr>
        <w:pStyle w:val="BRL-Standard"/>
        <w:rPr>
          <w:u w:val="single"/>
        </w:rPr>
      </w:pPr>
      <w:r w:rsidRPr="0009445C">
        <w:rPr>
          <w:u w:val="single"/>
        </w:rPr>
        <w:t>Energy supply</w:t>
      </w:r>
    </w:p>
    <w:p w14:paraId="655231EA" w14:textId="77777777" w:rsidR="00B47442" w:rsidRPr="0009445C" w:rsidRDefault="00B47442" w:rsidP="00B47442">
      <w:pPr>
        <w:pStyle w:val="BRL-Standard"/>
        <w:rPr>
          <w:strike/>
        </w:rPr>
      </w:pPr>
      <w:r w:rsidRPr="0009445C">
        <w:t xml:space="preserve">Pressure ventilation systems required by the building authority must be supplied with sufficient power and remain functional, even in the event of a failure of the general power supply; this is considered to be fulfilled when connected to a security power supply system. </w:t>
      </w:r>
    </w:p>
    <w:p w14:paraId="1D51DC44" w14:textId="77777777" w:rsidR="00B47442" w:rsidRPr="0009445C" w:rsidRDefault="00B47442" w:rsidP="00B47442">
      <w:pPr>
        <w:pStyle w:val="BRL-Standard"/>
        <w:rPr>
          <w:rFonts w:eastAsia="Calibri"/>
          <w:b/>
          <w:kern w:val="28"/>
          <w:lang w:eastAsia="en-US"/>
        </w:rPr>
      </w:pPr>
    </w:p>
    <w:p w14:paraId="687BD2A6" w14:textId="77777777" w:rsidR="00B47442" w:rsidRPr="0009445C" w:rsidRDefault="00B47442" w:rsidP="00600F53">
      <w:pPr>
        <w:pStyle w:val="BRL-berschrift"/>
        <w:rPr>
          <w:rFonts w:eastAsia="Calibri"/>
        </w:rPr>
      </w:pPr>
      <w:r w:rsidRPr="0009445C">
        <w:lastRenderedPageBreak/>
        <w:t>8.4</w:t>
      </w:r>
      <w:r w:rsidRPr="0009445C">
        <w:tab/>
        <w:t>Construction products and types of pressure ventilation systems</w:t>
      </w:r>
    </w:p>
    <w:p w14:paraId="714D221D" w14:textId="77777777" w:rsidR="00B47442" w:rsidRPr="0009445C" w:rsidRDefault="00B47442" w:rsidP="00B47442">
      <w:pPr>
        <w:pStyle w:val="BRL-Standard"/>
      </w:pPr>
      <w:r w:rsidRPr="0009445C">
        <w:t>Pressure ventilation systems consist of construction products and structural elements (e.g. fan, outflow elements) necessary for the function of the pressure ventilation system. Doors and windows may be used for outflow.</w:t>
      </w:r>
    </w:p>
    <w:p w14:paraId="37229D62" w14:textId="77777777" w:rsidR="00B47442" w:rsidRPr="0009445C" w:rsidRDefault="00B47442" w:rsidP="00B47442">
      <w:pPr>
        <w:pStyle w:val="BRL-Standard"/>
      </w:pPr>
    </w:p>
    <w:p w14:paraId="45FC9357" w14:textId="77777777" w:rsidR="00B47442" w:rsidRPr="0009445C" w:rsidRDefault="00B47442" w:rsidP="00B47442">
      <w:pPr>
        <w:pStyle w:val="BRL-Standard"/>
      </w:pPr>
      <w:r w:rsidRPr="0009445C">
        <w:t>Construction products for pressure ventilation systems shall be selected and used in accordance with the place of installation, required temperature resistance, required volume flow, pressure difference, and location in terms of functional integrity and the effects of factors including wind, snow and ambient temperatures.</w:t>
      </w:r>
    </w:p>
    <w:p w14:paraId="05AD492D" w14:textId="77777777" w:rsidR="00FC30F6" w:rsidRPr="0009445C" w:rsidRDefault="00FC30F6" w:rsidP="00B47442">
      <w:pPr>
        <w:pStyle w:val="BRL-Standard"/>
      </w:pPr>
    </w:p>
    <w:p w14:paraId="63DCEB48" w14:textId="77777777" w:rsidR="00B47442" w:rsidRPr="0009445C" w:rsidRDefault="00B47442" w:rsidP="00B47442">
      <w:pPr>
        <w:pStyle w:val="BRL-Standard"/>
      </w:pPr>
      <w:r w:rsidRPr="0009445C">
        <w:t>In order to meet the building authority requirements, the building products to be used in accordance with harmonised technical specifications require services for key features at least in accordance with Section 6, Tables 4, 5 and 7 and Section 7, Tables 2 to 5. Otherwise, Section 6, Table 6 applies.</w:t>
      </w:r>
    </w:p>
    <w:p w14:paraId="2D3B223E" w14:textId="77777777" w:rsidR="00B47442" w:rsidRPr="0009445C" w:rsidRDefault="00B47442" w:rsidP="00B47442">
      <w:pPr>
        <w:pStyle w:val="BRL-Standard"/>
      </w:pPr>
    </w:p>
    <w:p w14:paraId="509D6C61" w14:textId="4E7AE930" w:rsidR="00B47442" w:rsidRPr="0009445C" w:rsidRDefault="00B47442" w:rsidP="00B47442">
      <w:pPr>
        <w:pStyle w:val="BRL-Standard"/>
      </w:pPr>
      <w:r w:rsidRPr="0009445C">
        <w:t>Supply air fans may be operated with frequency converters. Repair switches on fans must be monitored or secured against unauthorised actuation. The sound pressure level in the stairwell as produced by the pressure ventilation system must not exceed 85 dB(A) at a distance of 5 m from the air outlet. For fire lifts, a maximum sound pressure level of 80 dB(A) generated by the pressure ventilation system is allowed at 0.5 m distance from the microphone in the car, in the fire department access level and at the tableau for emergencies and tests.</w:t>
      </w:r>
    </w:p>
    <w:p w14:paraId="4253A67F" w14:textId="77777777" w:rsidR="00B47442" w:rsidRPr="0009445C" w:rsidRDefault="00B47442" w:rsidP="00B47442">
      <w:pPr>
        <w:pStyle w:val="BRL-Standard"/>
      </w:pPr>
    </w:p>
    <w:p w14:paraId="1E272723" w14:textId="5AD4FC8E" w:rsidR="00B47442" w:rsidRPr="0009445C" w:rsidRDefault="00B47442" w:rsidP="00B47442">
      <w:pPr>
        <w:pStyle w:val="BRL-Standard"/>
      </w:pPr>
      <w:r w:rsidRPr="0009445C">
        <w:t>A fire damper without duct connection according to EN 15650</w:t>
      </w:r>
      <w:r w:rsidRPr="0009445C">
        <w:rPr>
          <w:rStyle w:val="FootnoteReference"/>
        </w:rPr>
        <w:fldChar w:fldCharType="begin"/>
      </w:r>
      <w:r w:rsidRPr="0009445C">
        <w:rPr>
          <w:rStyle w:val="FootnoteReference"/>
        </w:rPr>
        <w:instrText xml:space="preserve"> NOTEREF _Ref82183677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40</w:t>
      </w:r>
      <w:r w:rsidRPr="0009445C">
        <w:rPr>
          <w:rStyle w:val="FootnoteReference"/>
        </w:rPr>
        <w:fldChar w:fldCharType="end"/>
      </w:r>
      <w:r w:rsidRPr="0009445C">
        <w:t xml:space="preserve"> may be used as a closure for the overflow opening between a landing and necessary corridor or unit; a classification of EI 90 (</w:t>
      </w:r>
      <w:proofErr w:type="spellStart"/>
      <w:r w:rsidRPr="0009445C">
        <w:t>v</w:t>
      </w:r>
      <w:r w:rsidRPr="0009445C">
        <w:rPr>
          <w:vertAlign w:val="subscript"/>
        </w:rPr>
        <w:t>e</w:t>
      </w:r>
      <w:proofErr w:type="spellEnd"/>
      <w:r w:rsidRPr="0009445C">
        <w:t> </w:t>
      </w:r>
      <w:proofErr w:type="spellStart"/>
      <w:r w:rsidRPr="0009445C">
        <w:t>i</w:t>
      </w:r>
      <w:proofErr w:type="spellEnd"/>
      <w:r w:rsidRPr="0009445C">
        <w:rPr>
          <w:rFonts w:ascii="Times New Roman" w:hAnsi="Times New Roman"/>
        </w:rPr>
        <w:sym w:font="Symbol" w:char="F0AB"/>
      </w:r>
      <w:r w:rsidRPr="0009445C">
        <w:t>o)-S pursuant to DIN EN 13501-3:2010-02 is sufficient. Fire dampers with a mechanical switch-off element may be used in pressure ventilation systems only with the axis position of the mechanical switch-off element that has passed the fire resistance test according to DIN EN 1366</w:t>
      </w:r>
      <w:r w:rsidRPr="0009445C">
        <w:noBreakHyphen/>
        <w:t>2:1999-10. The nominal triggering temperature of the thermal actuator of the fire dampers must not exceed 72 °C.</w:t>
      </w:r>
    </w:p>
    <w:p w14:paraId="5F152AC0" w14:textId="77777777" w:rsidR="00B47442" w:rsidRPr="0009445C" w:rsidRDefault="00B47442" w:rsidP="00B47442">
      <w:pPr>
        <w:pStyle w:val="BRL-Standard"/>
      </w:pPr>
    </w:p>
    <w:p w14:paraId="4A15FB10" w14:textId="77777777" w:rsidR="00BD17DE" w:rsidRPr="0009445C" w:rsidRDefault="00BD17DE">
      <w:pPr>
        <w:spacing w:after="200" w:line="276" w:lineRule="auto"/>
        <w:rPr>
          <w:b/>
          <w:bCs/>
          <w:szCs w:val="16"/>
        </w:rPr>
      </w:pPr>
      <w:bookmarkStart w:id="115" w:name="_Toc515443629"/>
      <w:r w:rsidRPr="0009445C">
        <w:br w:type="page"/>
      </w:r>
    </w:p>
    <w:p w14:paraId="484D838E" w14:textId="77777777" w:rsidR="00B47442" w:rsidRPr="0009445C" w:rsidRDefault="00B47442" w:rsidP="00600F53">
      <w:pPr>
        <w:pStyle w:val="BRL-berschrift"/>
      </w:pPr>
      <w:r w:rsidRPr="0009445C">
        <w:lastRenderedPageBreak/>
        <w:t>9</w:t>
      </w:r>
      <w:r w:rsidRPr="0009445C">
        <w:tab/>
        <w:t>CO-warning systems</w:t>
      </w:r>
      <w:bookmarkEnd w:id="115"/>
    </w:p>
    <w:p w14:paraId="60BCCA42" w14:textId="77777777" w:rsidR="00B47442" w:rsidRPr="0009445C" w:rsidRDefault="00B47442" w:rsidP="00600F53">
      <w:pPr>
        <w:pStyle w:val="BRL-berschrift"/>
        <w:rPr>
          <w:rFonts w:eastAsia="Calibri"/>
        </w:rPr>
      </w:pPr>
      <w:r w:rsidRPr="0009445C">
        <w:t>9.1</w:t>
      </w:r>
      <w:r w:rsidRPr="0009445C">
        <w:tab/>
        <w:t>Purpose of the installation</w:t>
      </w:r>
    </w:p>
    <w:p w14:paraId="45A8207D" w14:textId="77777777" w:rsidR="00B47442" w:rsidRPr="0009445C" w:rsidRDefault="00B47442" w:rsidP="00B47442">
      <w:pPr>
        <w:pStyle w:val="BRL-Standard"/>
        <w:rPr>
          <w:rFonts w:eastAsia="Calibri"/>
        </w:rPr>
      </w:pPr>
      <w:r w:rsidRPr="0009445C">
        <w:t>CO-warning systems are hazard detection systems. They serve to warn persons as soon as dangerous amounts of carbon monoxide (CO) are reached in garages.</w:t>
      </w:r>
    </w:p>
    <w:p w14:paraId="5DF3456F" w14:textId="77777777" w:rsidR="00B47442" w:rsidRPr="0009445C" w:rsidRDefault="00B47442" w:rsidP="00B47442">
      <w:pPr>
        <w:pStyle w:val="BRL-Standard"/>
      </w:pPr>
    </w:p>
    <w:p w14:paraId="58BB8DFC" w14:textId="77777777" w:rsidR="00B47442" w:rsidRPr="0009445C" w:rsidRDefault="00B47442" w:rsidP="00600F53">
      <w:pPr>
        <w:pStyle w:val="BRL-berschrift"/>
        <w:rPr>
          <w:rFonts w:eastAsia="Calibri"/>
        </w:rPr>
      </w:pPr>
      <w:r w:rsidRPr="0009445C">
        <w:t>9.2</w:t>
      </w:r>
      <w:r w:rsidRPr="0009445C">
        <w:tab/>
        <w:t xml:space="preserve">Construction products of CO-warning systems </w:t>
      </w:r>
    </w:p>
    <w:p w14:paraId="2E42F482" w14:textId="77777777" w:rsidR="00B47442" w:rsidRPr="0009445C" w:rsidRDefault="00B47442" w:rsidP="00B47442">
      <w:pPr>
        <w:pStyle w:val="BRL-Standard"/>
      </w:pPr>
      <w:r w:rsidRPr="0009445C">
        <w:t>The construction products used must be suitable for measurement, evaluation, and warning.</w:t>
      </w:r>
    </w:p>
    <w:p w14:paraId="59AAF1A5" w14:textId="77777777" w:rsidR="00B47442" w:rsidRPr="0009445C" w:rsidRDefault="00B47442" w:rsidP="00B47442">
      <w:pPr>
        <w:pStyle w:val="BRL-Standard"/>
        <w:rPr>
          <w:rFonts w:eastAsia="Calibri"/>
        </w:rPr>
      </w:pPr>
      <w:r w:rsidRPr="0009445C">
        <w:t>The CO-warning system includes all construction products (such as intake points, measuring points, ducts, transmission equipment, backup power supply, control unit, visual and audible signalling devices, etc.) that are needed to maintain the operation of the CO-warning system.</w:t>
      </w:r>
    </w:p>
    <w:p w14:paraId="0E053FA7" w14:textId="77777777" w:rsidR="00B47442" w:rsidRPr="0009445C" w:rsidRDefault="00B47442" w:rsidP="00B47442">
      <w:pPr>
        <w:pStyle w:val="BRL-Standard"/>
      </w:pPr>
    </w:p>
    <w:p w14:paraId="7A67B50B" w14:textId="77777777" w:rsidR="00B47442" w:rsidRPr="0009445C" w:rsidRDefault="00B47442" w:rsidP="00600F53">
      <w:pPr>
        <w:pStyle w:val="BRL-berschrift"/>
        <w:rPr>
          <w:rFonts w:eastAsia="Calibri"/>
        </w:rPr>
      </w:pPr>
      <w:r w:rsidRPr="0009445C">
        <w:t>9.3</w:t>
      </w:r>
      <w:r w:rsidRPr="0009445C">
        <w:tab/>
        <w:t>Planning, designing and execution of CO-warning systems</w:t>
      </w:r>
    </w:p>
    <w:p w14:paraId="77995CDB" w14:textId="77777777" w:rsidR="00B47442" w:rsidRPr="0009445C" w:rsidRDefault="00B47442" w:rsidP="00B47442">
      <w:pPr>
        <w:pStyle w:val="BRL-Standard"/>
      </w:pPr>
      <w:r w:rsidRPr="0009445C">
        <w:t>CO-warning systems shall be planned, designed and executed in such a way that the CO content is reliably recorded in all garage areas and an alarm is sounded when the CO content in the air exceeds 250 ppm. Technical best practices shall be followed unless stated otherwise below. In systems that fulfil additional functions, the CO</w:t>
      </w:r>
      <w:r w:rsidRPr="0009445C">
        <w:noBreakHyphen/>
        <w:t>warning system component must allow independent operation and testing.</w:t>
      </w:r>
    </w:p>
    <w:p w14:paraId="518C331F" w14:textId="77777777" w:rsidR="00FC30F6" w:rsidRPr="0009445C" w:rsidRDefault="00FC30F6" w:rsidP="00B47442">
      <w:pPr>
        <w:pStyle w:val="BRL-Standard"/>
      </w:pPr>
    </w:p>
    <w:p w14:paraId="0A9205F4" w14:textId="77777777" w:rsidR="00B47442" w:rsidRPr="0009445C" w:rsidRDefault="00B47442" w:rsidP="00B47442">
      <w:pPr>
        <w:pStyle w:val="BRL-Standard"/>
      </w:pPr>
      <w:r w:rsidRPr="0009445C">
        <w:t>The CO measuring points shall be positioned at a height of approximately 1.50 m above the floor and shall be arranged in such a way as to reliably detect areas for which increased CO concentrations are to be expected.</w:t>
      </w:r>
    </w:p>
    <w:p w14:paraId="1EFB2561" w14:textId="77777777" w:rsidR="00FC30F6" w:rsidRPr="0009445C" w:rsidRDefault="00FC30F6" w:rsidP="00B47442">
      <w:pPr>
        <w:pStyle w:val="BRL-Standard"/>
      </w:pPr>
    </w:p>
    <w:p w14:paraId="23D5B582" w14:textId="0FD61B9C" w:rsidR="00B47442" w:rsidRPr="0009445C" w:rsidRDefault="00B47442" w:rsidP="00B47442">
      <w:pPr>
        <w:pStyle w:val="BRL-Standard"/>
      </w:pPr>
      <w:r w:rsidRPr="0009445C">
        <w:t xml:space="preserve">Co-warning systems must be supplied with electricity for a sufficiently long time even in the event of a failure of the general power supply and remain functional. The signalling must remain activated for as long as the CO concentration exceeds the limit. </w:t>
      </w:r>
    </w:p>
    <w:p w14:paraId="58A109B4" w14:textId="77777777" w:rsidR="00504BFA" w:rsidRPr="0009445C" w:rsidRDefault="00504BFA" w:rsidP="00B47442">
      <w:pPr>
        <w:pStyle w:val="BRL-Standard"/>
      </w:pPr>
    </w:p>
    <w:p w14:paraId="34FE1130" w14:textId="77777777" w:rsidR="00504BFA" w:rsidRPr="0009445C" w:rsidRDefault="00504BFA" w:rsidP="00B47442">
      <w:pPr>
        <w:pStyle w:val="BRL-Standard"/>
      </w:pPr>
      <w:r w:rsidRPr="0009445C">
        <w:t>All necessary data must be stated in the fire protection certificate.</w:t>
      </w:r>
    </w:p>
    <w:p w14:paraId="11E62D44" w14:textId="77777777" w:rsidR="00B47442" w:rsidRPr="0009445C" w:rsidRDefault="00B47442" w:rsidP="00B47442">
      <w:pPr>
        <w:pStyle w:val="BRL-Standard"/>
        <w:rPr>
          <w:rFonts w:cs="Arial"/>
        </w:rPr>
      </w:pPr>
    </w:p>
    <w:p w14:paraId="4663407A" w14:textId="77777777" w:rsidR="00B47442" w:rsidRPr="0009445C" w:rsidRDefault="00B47442" w:rsidP="00600F53">
      <w:pPr>
        <w:pStyle w:val="BRL-berschrift"/>
      </w:pPr>
      <w:bookmarkStart w:id="116" w:name="_Toc515443630"/>
      <w:r w:rsidRPr="0009445C">
        <w:t>10</w:t>
      </w:r>
      <w:r w:rsidRPr="0009445C">
        <w:tab/>
        <w:t>Fire extinguishing systems</w:t>
      </w:r>
      <w:bookmarkEnd w:id="116"/>
      <w:r w:rsidRPr="0009445C">
        <w:t xml:space="preserve"> </w:t>
      </w:r>
    </w:p>
    <w:p w14:paraId="68AD59B1" w14:textId="77777777" w:rsidR="00B47442" w:rsidRPr="0009445C" w:rsidRDefault="00B47442" w:rsidP="00600F53">
      <w:pPr>
        <w:pStyle w:val="BRL-berschrift"/>
        <w:rPr>
          <w:rFonts w:eastAsia="Calibri"/>
        </w:rPr>
      </w:pPr>
      <w:r w:rsidRPr="0009445C">
        <w:t>10.1</w:t>
      </w:r>
      <w:r w:rsidRPr="0009445C">
        <w:tab/>
        <w:t>Purpose of the installation</w:t>
      </w:r>
    </w:p>
    <w:p w14:paraId="5D56BF2E" w14:textId="23EDF55B" w:rsidR="00B47442" w:rsidRPr="0009445C" w:rsidRDefault="00B47442" w:rsidP="00B47442">
      <w:pPr>
        <w:pStyle w:val="BRL-Standard"/>
      </w:pPr>
      <w:r w:rsidRPr="0009445C">
        <w:t>Automatic fire extinguishing systems detect a fire event at an early stage and generally serve to contain/limit the fire source or directly extinguish the fire event. Manual, non-automatic systems such as hydrant systems with wet or dry risers support effective firefighting work. Both types of systems serve primarily to rescue humans and animals but can also be efficient in reducing fire, material and environmental damage.</w:t>
      </w:r>
    </w:p>
    <w:p w14:paraId="63F1266B" w14:textId="77777777" w:rsidR="00B47442" w:rsidRPr="0009445C" w:rsidRDefault="00B47442" w:rsidP="00B47442">
      <w:pPr>
        <w:pStyle w:val="BRL-Standard"/>
      </w:pPr>
    </w:p>
    <w:p w14:paraId="355BC77D" w14:textId="77777777" w:rsidR="00B47442" w:rsidRPr="0009445C" w:rsidRDefault="00B47442" w:rsidP="00B47442">
      <w:pPr>
        <w:pStyle w:val="BRL-Standard"/>
      </w:pPr>
      <w:r w:rsidRPr="0009445C">
        <w:t xml:space="preserve">Fire extinguishers include all types of fixed, non-automatic fire extinguishing systems (ns-FLA) and fixed automatic fire extinguishing systems (s-FLA). The extinguishing agent may be water or any other substance capable of controlling the spread of fire or of extinguishing it. </w:t>
      </w:r>
    </w:p>
    <w:p w14:paraId="1D00E07A" w14:textId="77777777" w:rsidR="00B47442" w:rsidRPr="0009445C" w:rsidRDefault="00B47442" w:rsidP="00B47442">
      <w:pPr>
        <w:pStyle w:val="BRL-Standard"/>
      </w:pPr>
    </w:p>
    <w:p w14:paraId="45B06889" w14:textId="77777777" w:rsidR="00B47442" w:rsidRPr="0009445C" w:rsidRDefault="00B47442" w:rsidP="00B47442">
      <w:pPr>
        <w:pStyle w:val="BRL-Standard"/>
      </w:pPr>
      <w:r w:rsidRPr="0009445C">
        <w:t>Non-automatic fire extinguishing systems consist of a network of ducts (including dry and wet risers) as well as withdrawal points, wall hydrants for the fire department (F type), or outdoor hydrants. Automatic fire extinguishing systems are fixed firefighting systems. The extinguishing agent is water, e.g. in sprinkler</w:t>
      </w:r>
      <w:r w:rsidRPr="0009445C">
        <w:noBreakHyphen/>
        <w:t>, spraying, or mist extinguishing systems. Systems using other types of extinguishing agents may also be used. This can be e.g. installations with foam, CO</w:t>
      </w:r>
      <w:r w:rsidRPr="0009445C">
        <w:rPr>
          <w:vertAlign w:val="subscript"/>
        </w:rPr>
        <w:t>2</w:t>
      </w:r>
      <w:r w:rsidRPr="0009445C">
        <w:t xml:space="preserve">, nitrogen, inert gases, halogenated hydrocarbons or powder extinguishing agents, as well as water extinguishing plants containing foaming agents. </w:t>
      </w:r>
    </w:p>
    <w:p w14:paraId="1BA71CCC" w14:textId="77777777" w:rsidR="00B47442" w:rsidRPr="0009445C" w:rsidRDefault="00B47442" w:rsidP="00B47442">
      <w:pPr>
        <w:pStyle w:val="BRL-Standard"/>
        <w:rPr>
          <w:lang w:eastAsia="en-US"/>
        </w:rPr>
      </w:pPr>
    </w:p>
    <w:p w14:paraId="75088D75" w14:textId="77777777" w:rsidR="00B47442" w:rsidRPr="0009445C" w:rsidRDefault="00B47442" w:rsidP="00600F53">
      <w:pPr>
        <w:pStyle w:val="BRL-berschrift"/>
        <w:rPr>
          <w:rFonts w:eastAsia="Calibri"/>
        </w:rPr>
      </w:pPr>
      <w:r w:rsidRPr="0009445C">
        <w:t>10.2</w:t>
      </w:r>
      <w:r w:rsidRPr="0009445C">
        <w:tab/>
        <w:t>Construction products of fire extinguishers</w:t>
      </w:r>
    </w:p>
    <w:p w14:paraId="6427A90E" w14:textId="77777777" w:rsidR="00B47442" w:rsidRPr="0009445C" w:rsidRDefault="00B47442" w:rsidP="00B47442">
      <w:pPr>
        <w:pStyle w:val="BRL-Standard"/>
      </w:pPr>
      <w:r w:rsidRPr="0009445C">
        <w:t>In fire extinguishing systems, only those construction products (products, building materials, structural elements and systems, as well as kits pursuant to § 2 No. 2 of Regulation [EU] No 305/2011) may be installed and operated that are necessary and suitable for the operation of the systems. Other construction products, e.g. safety devices for drinking water, must not affect the effectiveness of the fire extinguishing system. They must also not affect the operation of the fire extinguishing systems.</w:t>
      </w:r>
    </w:p>
    <w:p w14:paraId="608D591F" w14:textId="77777777" w:rsidR="00B47442" w:rsidRPr="0009445C" w:rsidRDefault="00B47442" w:rsidP="00B47442">
      <w:pPr>
        <w:pStyle w:val="BRL-Standard"/>
      </w:pPr>
      <w:r w:rsidRPr="0009445C">
        <w:t>Construction products that may come into contact with drinking water or that are connected to the drinking water mains must be suitable for such use.</w:t>
      </w:r>
    </w:p>
    <w:p w14:paraId="29A0EEB4" w14:textId="77777777" w:rsidR="00B47442" w:rsidRPr="0009445C" w:rsidRDefault="00B47442" w:rsidP="00B47442">
      <w:pPr>
        <w:pStyle w:val="BRL-Standard"/>
        <w:rPr>
          <w:lang w:eastAsia="en-US"/>
        </w:rPr>
      </w:pPr>
    </w:p>
    <w:p w14:paraId="1DF22D35" w14:textId="77777777" w:rsidR="00B47442" w:rsidRPr="0009445C" w:rsidRDefault="00B47442" w:rsidP="00B47442">
      <w:pPr>
        <w:pStyle w:val="BRL-Standard"/>
      </w:pPr>
      <w:r w:rsidRPr="0009445C">
        <w:lastRenderedPageBreak/>
        <w:t>As construction products for sprinkler and spray water extinguishing systems, the construction products of the standard series DIN EN 12259 may be used, for extinguishing systems with gaseous extinguishing agents, the construction products of the standard series DIN EN 12094 may be used.</w:t>
      </w:r>
    </w:p>
    <w:p w14:paraId="6EBD1E79" w14:textId="77777777" w:rsidR="00B47442" w:rsidRPr="0009445C" w:rsidRDefault="00B47442" w:rsidP="00B47442">
      <w:pPr>
        <w:pStyle w:val="BRL-Standard"/>
      </w:pPr>
    </w:p>
    <w:p w14:paraId="6846E817" w14:textId="77777777" w:rsidR="00B47442" w:rsidRPr="0009445C" w:rsidRDefault="00B47442" w:rsidP="00B47442">
      <w:pPr>
        <w:pStyle w:val="BRL-Standard"/>
      </w:pPr>
      <w:r w:rsidRPr="0009445C">
        <w:t xml:space="preserve">For other extinguishing systems, including with other extinguishing agents, e.g. foam-based extinguishing agents, the construction products as specified in the standards for the design and design of such systems shall be used. </w:t>
      </w:r>
    </w:p>
    <w:p w14:paraId="034295FF" w14:textId="77777777" w:rsidR="00B47442" w:rsidRPr="0009445C" w:rsidRDefault="00B47442" w:rsidP="00B47442">
      <w:pPr>
        <w:pStyle w:val="BRL-Standard"/>
      </w:pPr>
    </w:p>
    <w:p w14:paraId="2C8110BC" w14:textId="77777777" w:rsidR="00B47442" w:rsidRPr="0009445C" w:rsidRDefault="00B47442" w:rsidP="00B47442">
      <w:pPr>
        <w:pStyle w:val="BRL-Standard"/>
      </w:pPr>
      <w:r w:rsidRPr="0009445C">
        <w:t>Wall hydrants according to EN 671-1</w:t>
      </w:r>
      <w:bookmarkStart w:id="117" w:name="_Ref82184945"/>
      <w:r w:rsidRPr="0009445C">
        <w:rPr>
          <w:rStyle w:val="FootnoteReference"/>
        </w:rPr>
        <w:footnoteReference w:id="113"/>
      </w:r>
      <w:bookmarkEnd w:id="117"/>
      <w:r w:rsidRPr="0009445C">
        <w:t xml:space="preserve"> and EN 671-2</w:t>
      </w:r>
      <w:bookmarkStart w:id="118" w:name="_Ref82184983"/>
      <w:r w:rsidRPr="0009445C">
        <w:rPr>
          <w:rStyle w:val="FootnoteReference"/>
        </w:rPr>
        <w:footnoteReference w:id="114"/>
      </w:r>
      <w:bookmarkEnd w:id="118"/>
      <w:r w:rsidRPr="0009445C">
        <w:t>, above-ground hydrants according to EN 14384</w:t>
      </w:r>
      <w:r w:rsidRPr="0009445C">
        <w:rPr>
          <w:rStyle w:val="FootnoteReference"/>
        </w:rPr>
        <w:footnoteReference w:id="115"/>
      </w:r>
      <w:r w:rsidRPr="0009445C">
        <w:t>, and underground hydrants according to EN 14339</w:t>
      </w:r>
      <w:r w:rsidRPr="0009445C">
        <w:rPr>
          <w:rStyle w:val="FootnoteReference"/>
          <w:rFonts w:cs="Arial"/>
          <w:vertAlign w:val="superscript"/>
          <w:lang w:eastAsia="en-US"/>
        </w:rPr>
        <w:footnoteReference w:id="116"/>
      </w:r>
      <w:r w:rsidRPr="0009445C">
        <w:t xml:space="preserve"> may be used for non-automatic fire extinguishing systems.</w:t>
      </w:r>
    </w:p>
    <w:p w14:paraId="6E6BBF82" w14:textId="77777777" w:rsidR="00B47442" w:rsidRPr="0009445C" w:rsidRDefault="00B47442" w:rsidP="00B47442">
      <w:pPr>
        <w:pStyle w:val="BRL-Standard"/>
        <w:rPr>
          <w:lang w:eastAsia="en-US"/>
        </w:rPr>
      </w:pPr>
    </w:p>
    <w:p w14:paraId="369ECC72" w14:textId="77777777" w:rsidR="00B47442" w:rsidRPr="0009445C" w:rsidRDefault="00B47442" w:rsidP="00600F53">
      <w:pPr>
        <w:pStyle w:val="BRL-berschrift"/>
        <w:rPr>
          <w:rFonts w:eastAsia="Calibri"/>
        </w:rPr>
      </w:pPr>
      <w:r w:rsidRPr="0009445C">
        <w:t>10.3</w:t>
      </w:r>
      <w:r w:rsidRPr="0009445C">
        <w:tab/>
        <w:t>Required performance of construction products for fire extinguishers</w:t>
      </w:r>
    </w:p>
    <w:p w14:paraId="051612C0" w14:textId="77777777" w:rsidR="00B47442" w:rsidRPr="0009445C" w:rsidRDefault="00B47442" w:rsidP="00B47442">
      <w:pPr>
        <w:pStyle w:val="BRL-Standard"/>
      </w:pPr>
      <w:r w:rsidRPr="0009445C">
        <w:t>Construction products must be sufficiently powerful and permanently reliable; have sufficient response delay and resistance to moisture, corrosion and temperature; and shock and vibration resistance. The construction products must be hydraulically suitable for the particular application and have sufficient pressure resistance as well as permanent ease of operation.</w:t>
      </w:r>
    </w:p>
    <w:p w14:paraId="3ADA015A" w14:textId="77777777" w:rsidR="00B47442" w:rsidRPr="0009445C" w:rsidRDefault="00B47442" w:rsidP="00B47442">
      <w:pPr>
        <w:pStyle w:val="BRL-Standard"/>
      </w:pPr>
    </w:p>
    <w:p w14:paraId="5872BCF9" w14:textId="77777777" w:rsidR="00B47442" w:rsidRPr="0009445C" w:rsidRDefault="00B47442" w:rsidP="00B47442">
      <w:pPr>
        <w:pStyle w:val="BRL-Standard"/>
      </w:pPr>
      <w:r w:rsidRPr="0009445C">
        <w:t>The choice of products, taking into account the intended use, must be based on the information on the key features and properties.</w:t>
      </w:r>
    </w:p>
    <w:p w14:paraId="44C89025" w14:textId="77777777" w:rsidR="00B47442" w:rsidRPr="0009445C" w:rsidRDefault="00B47442" w:rsidP="00B47442">
      <w:pPr>
        <w:pStyle w:val="BRL-Standard"/>
      </w:pPr>
    </w:p>
    <w:p w14:paraId="5D4EC6AA" w14:textId="77777777" w:rsidR="00B47442" w:rsidRPr="0009445C" w:rsidRDefault="00B47442" w:rsidP="00B47442">
      <w:pPr>
        <w:pStyle w:val="BRL-Standard"/>
      </w:pPr>
      <w:r w:rsidRPr="0009445C">
        <w:t>In order to fulfil the building inspection requirements, the performance of the construction products used in terms of key features must at least satisfy the following Tables 1 to 3.</w:t>
      </w:r>
    </w:p>
    <w:p w14:paraId="32283ED3" w14:textId="77777777" w:rsidR="00B47442" w:rsidRPr="0009445C" w:rsidRDefault="00B47442" w:rsidP="00B47442">
      <w:pPr>
        <w:pStyle w:val="BRL-Standard"/>
      </w:pPr>
    </w:p>
    <w:p w14:paraId="4CFF010A" w14:textId="77777777" w:rsidR="00B47442" w:rsidRPr="0009445C" w:rsidRDefault="00B47442" w:rsidP="00B47442">
      <w:pPr>
        <w:pStyle w:val="BRL-Standard"/>
        <w:spacing w:after="60"/>
      </w:pPr>
      <w:r w:rsidRPr="0009445C">
        <w:t>Explanation for Table 1</w:t>
      </w:r>
    </w:p>
    <w:tbl>
      <w:tblPr>
        <w:tblW w:w="918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87"/>
        <w:gridCol w:w="8198"/>
      </w:tblGrid>
      <w:tr w:rsidR="00B47442" w:rsidRPr="0009445C" w14:paraId="55063FFB" w14:textId="77777777" w:rsidTr="0099521D">
        <w:tc>
          <w:tcPr>
            <w:tcW w:w="987" w:type="dxa"/>
            <w:shd w:val="clear" w:color="auto" w:fill="auto"/>
            <w:vAlign w:val="center"/>
          </w:tcPr>
          <w:p w14:paraId="07497417" w14:textId="4E1DB8BE" w:rsidR="00B47442" w:rsidRPr="0009445C" w:rsidRDefault="00B47442" w:rsidP="00E612E8">
            <w:pPr>
              <w:pStyle w:val="BRLTabelleberschrift"/>
              <w:tabs>
                <w:tab w:val="clear" w:pos="851"/>
              </w:tabs>
              <w:ind w:left="0" w:firstLine="0"/>
            </w:pPr>
            <w:r w:rsidRPr="0009445C">
              <w:t>Column no.</w:t>
            </w:r>
          </w:p>
        </w:tc>
        <w:tc>
          <w:tcPr>
            <w:tcW w:w="8198" w:type="dxa"/>
            <w:shd w:val="clear" w:color="auto" w:fill="auto"/>
            <w:vAlign w:val="center"/>
          </w:tcPr>
          <w:p w14:paraId="27F74B08" w14:textId="77777777" w:rsidR="00B47442" w:rsidRPr="0009445C" w:rsidRDefault="00B47442" w:rsidP="0099521D">
            <w:pPr>
              <w:pStyle w:val="BRLTabelleberschrift"/>
            </w:pPr>
            <w:r w:rsidRPr="0009445C">
              <w:t>Product according to harmonised standard</w:t>
            </w:r>
          </w:p>
        </w:tc>
      </w:tr>
      <w:tr w:rsidR="00B47442" w:rsidRPr="0009445C" w14:paraId="4719BE7F" w14:textId="77777777" w:rsidTr="0099521D">
        <w:tc>
          <w:tcPr>
            <w:tcW w:w="987" w:type="dxa"/>
            <w:shd w:val="clear" w:color="auto" w:fill="auto"/>
            <w:vAlign w:val="center"/>
          </w:tcPr>
          <w:p w14:paraId="6BD1645C" w14:textId="77777777" w:rsidR="00B47442" w:rsidRPr="0009445C" w:rsidRDefault="00B47442" w:rsidP="0099521D">
            <w:pPr>
              <w:pStyle w:val="BRL-Tabelle"/>
              <w:spacing w:before="40" w:after="40"/>
            </w:pPr>
            <w:r w:rsidRPr="0009445C">
              <w:t>2</w:t>
            </w:r>
          </w:p>
        </w:tc>
        <w:tc>
          <w:tcPr>
            <w:tcW w:w="8198" w:type="dxa"/>
            <w:shd w:val="clear" w:color="auto" w:fill="auto"/>
          </w:tcPr>
          <w:p w14:paraId="5B041801" w14:textId="77777777" w:rsidR="00B47442" w:rsidRPr="0009445C" w:rsidRDefault="00B47442" w:rsidP="0099521D">
            <w:pPr>
              <w:pStyle w:val="BRL-Tabelle"/>
              <w:spacing w:before="40" w:after="40"/>
            </w:pPr>
            <w:r w:rsidRPr="0009445C">
              <w:t>EN 12259-1:1999 + A1:2001 + A2:2004 + A3:2006 Part 1: Sprinklers</w:t>
            </w:r>
            <w:r w:rsidRPr="0009445C">
              <w:rPr>
                <w:vertAlign w:val="superscript"/>
              </w:rPr>
              <w:footnoteReference w:id="117"/>
            </w:r>
          </w:p>
        </w:tc>
      </w:tr>
      <w:tr w:rsidR="00B47442" w:rsidRPr="0009445C" w14:paraId="297CC5A6" w14:textId="77777777" w:rsidTr="0099521D">
        <w:tc>
          <w:tcPr>
            <w:tcW w:w="987" w:type="dxa"/>
            <w:shd w:val="clear" w:color="auto" w:fill="auto"/>
            <w:vAlign w:val="center"/>
          </w:tcPr>
          <w:p w14:paraId="41ADE9B3" w14:textId="77777777" w:rsidR="00B47442" w:rsidRPr="0009445C" w:rsidRDefault="00B47442" w:rsidP="0099521D">
            <w:pPr>
              <w:pStyle w:val="BRL-Tabelle"/>
              <w:spacing w:before="40" w:after="40"/>
            </w:pPr>
            <w:r w:rsidRPr="0009445C">
              <w:t>3</w:t>
            </w:r>
          </w:p>
        </w:tc>
        <w:tc>
          <w:tcPr>
            <w:tcW w:w="8198" w:type="dxa"/>
            <w:shd w:val="clear" w:color="auto" w:fill="auto"/>
          </w:tcPr>
          <w:p w14:paraId="47EB5084" w14:textId="77777777" w:rsidR="00B47442" w:rsidRPr="0009445C" w:rsidRDefault="00B47442" w:rsidP="0099521D">
            <w:pPr>
              <w:pStyle w:val="BRL-Tabelle"/>
              <w:spacing w:before="40" w:after="40"/>
            </w:pPr>
            <w:r w:rsidRPr="0009445C">
              <w:t>EN 12259-2:1999 + A1:2001 + AC:2002 + A2:2005 Part 2: Wet alarm valve assemblies</w:t>
            </w:r>
            <w:r w:rsidRPr="0009445C">
              <w:rPr>
                <w:vertAlign w:val="superscript"/>
              </w:rPr>
              <w:footnoteReference w:id="118"/>
            </w:r>
          </w:p>
        </w:tc>
      </w:tr>
      <w:tr w:rsidR="00B47442" w:rsidRPr="0009445C" w14:paraId="08D3524D" w14:textId="77777777" w:rsidTr="0099521D">
        <w:tc>
          <w:tcPr>
            <w:tcW w:w="987" w:type="dxa"/>
            <w:shd w:val="clear" w:color="auto" w:fill="auto"/>
            <w:vAlign w:val="center"/>
          </w:tcPr>
          <w:p w14:paraId="32B74826" w14:textId="77777777" w:rsidR="00B47442" w:rsidRPr="0009445C" w:rsidRDefault="00B47442" w:rsidP="0099521D">
            <w:pPr>
              <w:pStyle w:val="BRL-Tabelle"/>
              <w:spacing w:before="40" w:after="40"/>
            </w:pPr>
            <w:r w:rsidRPr="0009445C">
              <w:t>4</w:t>
            </w:r>
          </w:p>
        </w:tc>
        <w:tc>
          <w:tcPr>
            <w:tcW w:w="8198" w:type="dxa"/>
            <w:shd w:val="clear" w:color="auto" w:fill="auto"/>
          </w:tcPr>
          <w:p w14:paraId="3C57A149" w14:textId="77777777" w:rsidR="00B47442" w:rsidRPr="0009445C" w:rsidRDefault="00B47442" w:rsidP="0099521D">
            <w:pPr>
              <w:pStyle w:val="BRL-Tabelle"/>
              <w:spacing w:before="40" w:after="40"/>
            </w:pPr>
            <w:r w:rsidRPr="0009445C">
              <w:t>EN 12259-3:2000 + A1:2001 + A2:2005: Dry alarm valve assemblies</w:t>
            </w:r>
            <w:r w:rsidRPr="0009445C">
              <w:rPr>
                <w:vertAlign w:val="superscript"/>
              </w:rPr>
              <w:footnoteReference w:id="119"/>
            </w:r>
          </w:p>
        </w:tc>
      </w:tr>
      <w:tr w:rsidR="00B47442" w:rsidRPr="0009445C" w14:paraId="14673E01" w14:textId="77777777" w:rsidTr="0099521D">
        <w:tc>
          <w:tcPr>
            <w:tcW w:w="987" w:type="dxa"/>
            <w:shd w:val="clear" w:color="auto" w:fill="auto"/>
            <w:vAlign w:val="center"/>
          </w:tcPr>
          <w:p w14:paraId="2E091337" w14:textId="77777777" w:rsidR="00B47442" w:rsidRPr="0009445C" w:rsidRDefault="00B47442" w:rsidP="0099521D">
            <w:pPr>
              <w:pStyle w:val="BRL-Tabelle"/>
              <w:spacing w:before="40" w:after="40"/>
            </w:pPr>
            <w:r w:rsidRPr="0009445C">
              <w:t>5</w:t>
            </w:r>
          </w:p>
        </w:tc>
        <w:tc>
          <w:tcPr>
            <w:tcW w:w="8198" w:type="dxa"/>
            <w:shd w:val="clear" w:color="auto" w:fill="auto"/>
          </w:tcPr>
          <w:p w14:paraId="2D32E426" w14:textId="77777777" w:rsidR="00B47442" w:rsidRPr="0009445C" w:rsidRDefault="00B47442" w:rsidP="0099521D">
            <w:pPr>
              <w:pStyle w:val="BRL-Tabelle"/>
              <w:spacing w:before="40" w:after="40"/>
            </w:pPr>
            <w:r w:rsidRPr="0009445C">
              <w:t>EN 12259-4: 2000 + A1:2001 Part 4: Water motor alarms</w:t>
            </w:r>
            <w:r w:rsidRPr="0009445C">
              <w:rPr>
                <w:vertAlign w:val="superscript"/>
              </w:rPr>
              <w:footnoteReference w:id="120"/>
            </w:r>
          </w:p>
        </w:tc>
      </w:tr>
      <w:tr w:rsidR="00B47442" w:rsidRPr="0009445C" w14:paraId="471156C8" w14:textId="77777777" w:rsidTr="0099521D">
        <w:tc>
          <w:tcPr>
            <w:tcW w:w="987" w:type="dxa"/>
            <w:shd w:val="clear" w:color="auto" w:fill="auto"/>
            <w:vAlign w:val="center"/>
          </w:tcPr>
          <w:p w14:paraId="57C268AE" w14:textId="77777777" w:rsidR="00B47442" w:rsidRPr="0009445C" w:rsidRDefault="00B47442" w:rsidP="0099521D">
            <w:pPr>
              <w:pStyle w:val="BRL-Tabelle"/>
              <w:spacing w:before="40" w:after="40"/>
            </w:pPr>
            <w:r w:rsidRPr="0009445C">
              <w:t>6</w:t>
            </w:r>
          </w:p>
        </w:tc>
        <w:tc>
          <w:tcPr>
            <w:tcW w:w="8198" w:type="dxa"/>
            <w:shd w:val="clear" w:color="auto" w:fill="auto"/>
          </w:tcPr>
          <w:p w14:paraId="5836BD84" w14:textId="77777777" w:rsidR="00B47442" w:rsidRPr="0009445C" w:rsidRDefault="00B47442" w:rsidP="0099521D">
            <w:pPr>
              <w:pStyle w:val="BRL-Tabelle"/>
              <w:spacing w:before="40" w:after="40"/>
            </w:pPr>
            <w:r w:rsidRPr="0009445C">
              <w:t>EN 12259-5:2002 Part 5: Water flow detectors</w:t>
            </w:r>
            <w:r w:rsidRPr="0009445C">
              <w:rPr>
                <w:vertAlign w:val="superscript"/>
              </w:rPr>
              <w:footnoteReference w:id="121"/>
            </w:r>
          </w:p>
        </w:tc>
      </w:tr>
    </w:tbl>
    <w:p w14:paraId="7F3B0AB9" w14:textId="77777777" w:rsidR="002D1BA4" w:rsidRPr="0009445C" w:rsidRDefault="002D1BA4" w:rsidP="00B47442">
      <w:pPr>
        <w:pStyle w:val="BRL-Standard"/>
        <w:spacing w:after="60"/>
        <w:rPr>
          <w:b/>
        </w:rPr>
      </w:pPr>
    </w:p>
    <w:p w14:paraId="171753C5" w14:textId="77777777" w:rsidR="002D1BA4" w:rsidRPr="0009445C" w:rsidRDefault="002D1BA4">
      <w:pPr>
        <w:spacing w:after="200" w:line="276" w:lineRule="auto"/>
        <w:rPr>
          <w:b/>
          <w:szCs w:val="18"/>
        </w:rPr>
      </w:pPr>
      <w:r w:rsidRPr="0009445C">
        <w:br w:type="page"/>
      </w:r>
    </w:p>
    <w:p w14:paraId="74F56A14" w14:textId="77777777" w:rsidR="00B47442" w:rsidRPr="0009445C" w:rsidRDefault="00B47442" w:rsidP="00B47442">
      <w:pPr>
        <w:pStyle w:val="BRL-Standard"/>
        <w:spacing w:after="60"/>
        <w:rPr>
          <w:b/>
        </w:rPr>
      </w:pPr>
      <w:r w:rsidRPr="0009445C">
        <w:rPr>
          <w:b/>
        </w:rPr>
        <w:lastRenderedPageBreak/>
        <w:t>Table 1:</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1"/>
        <w:gridCol w:w="981"/>
        <w:gridCol w:w="1115"/>
        <w:gridCol w:w="1115"/>
        <w:gridCol w:w="1115"/>
        <w:gridCol w:w="1115"/>
      </w:tblGrid>
      <w:tr w:rsidR="00B47442" w:rsidRPr="0009445C" w14:paraId="5D5CE01F" w14:textId="77777777" w:rsidTr="0099521D">
        <w:trPr>
          <w:trHeight w:val="473"/>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tcPr>
          <w:p w14:paraId="05F38658" w14:textId="77777777" w:rsidR="00B47442" w:rsidRPr="0009445C" w:rsidRDefault="00B47442" w:rsidP="00B46D74">
            <w:pPr>
              <w:pStyle w:val="BRLTabelleberschrift"/>
              <w:ind w:left="130" w:hanging="3"/>
            </w:pPr>
            <w:r w:rsidRPr="0009445C">
              <w:t>Essential feature</w:t>
            </w:r>
          </w:p>
        </w:tc>
        <w:tc>
          <w:tcPr>
            <w:tcW w:w="5533" w:type="dxa"/>
            <w:gridSpan w:val="5"/>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903AEFD" w14:textId="7AA7D45F" w:rsidR="00B47442" w:rsidRPr="0009445C" w:rsidRDefault="00B47442" w:rsidP="00525D71">
            <w:pPr>
              <w:pStyle w:val="BRLTabelleberschrift"/>
              <w:ind w:left="138" w:hanging="5"/>
            </w:pPr>
            <w:r w:rsidRPr="0009445C">
              <w:t xml:space="preserve">Construction products for fixed firefighting systems – structural elements for sprinkler and spray water systems according to harmonised standard </w:t>
            </w:r>
          </w:p>
        </w:tc>
      </w:tr>
      <w:tr w:rsidR="00B47442" w:rsidRPr="0009445C" w14:paraId="0CB1E675"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F0EF8A7" w14:textId="77777777" w:rsidR="00B47442" w:rsidRPr="0009445C" w:rsidRDefault="00B47442" w:rsidP="0099521D">
            <w:pPr>
              <w:pStyle w:val="BRL-Tabelle"/>
              <w:jc w:val="center"/>
            </w:pPr>
            <w:r w:rsidRPr="0009445C">
              <w:t>1</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C65EE05" w14:textId="77777777" w:rsidR="00B47442" w:rsidRPr="0009445C" w:rsidRDefault="00B47442" w:rsidP="0099521D">
            <w:pPr>
              <w:pStyle w:val="BRL-Tabelle"/>
              <w:jc w:val="center"/>
            </w:pPr>
            <w:r w:rsidRPr="0009445C">
              <w:t>2</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D68F701" w14:textId="77777777" w:rsidR="00B47442" w:rsidRPr="0009445C" w:rsidRDefault="00B47442" w:rsidP="0099521D">
            <w:pPr>
              <w:pStyle w:val="BRL-Tabelle"/>
              <w:jc w:val="center"/>
            </w:pPr>
            <w:r w:rsidRPr="0009445C">
              <w:t>3</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ED8BC3F" w14:textId="77777777" w:rsidR="00B47442" w:rsidRPr="0009445C" w:rsidRDefault="00B47442" w:rsidP="0099521D">
            <w:pPr>
              <w:pStyle w:val="BRL-Tabelle"/>
              <w:jc w:val="center"/>
            </w:pPr>
            <w:r w:rsidRPr="0009445C">
              <w:t>4</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BBAC9C0" w14:textId="77777777" w:rsidR="00B47442" w:rsidRPr="0009445C" w:rsidRDefault="00B47442" w:rsidP="0099521D">
            <w:pPr>
              <w:pStyle w:val="BRL-Tabelle"/>
              <w:jc w:val="center"/>
            </w:pPr>
            <w:r w:rsidRPr="0009445C">
              <w:t>5</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7DAB72C" w14:textId="77777777" w:rsidR="00B47442" w:rsidRPr="0009445C" w:rsidRDefault="00B47442" w:rsidP="0099521D">
            <w:pPr>
              <w:pStyle w:val="BRL-Tabelle"/>
              <w:jc w:val="center"/>
            </w:pPr>
            <w:r w:rsidRPr="0009445C">
              <w:t>6</w:t>
            </w:r>
          </w:p>
        </w:tc>
      </w:tr>
      <w:tr w:rsidR="00B47442" w:rsidRPr="0009445C" w14:paraId="14E94D41"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1FE2D752" w14:textId="77777777" w:rsidR="00B47442" w:rsidRPr="0009445C" w:rsidRDefault="00B47442" w:rsidP="0099521D">
            <w:pPr>
              <w:pStyle w:val="BRL-Tabelle"/>
              <w:ind w:left="130"/>
            </w:pPr>
            <w:r w:rsidRPr="0009445C">
              <w:t>Nominal trigger conditions</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C6B1CD6"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143E127D"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C580999"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874F14C"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959CBB9" w14:textId="77777777" w:rsidR="00B47442" w:rsidRPr="0009445C" w:rsidRDefault="00B47442" w:rsidP="0099521D">
            <w:pPr>
              <w:pStyle w:val="BRL-Tabelle"/>
              <w:jc w:val="center"/>
            </w:pPr>
          </w:p>
        </w:tc>
      </w:tr>
      <w:tr w:rsidR="00B47442" w:rsidRPr="0009445C" w14:paraId="3F7A6150"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545704F" w14:textId="77777777" w:rsidR="00B47442" w:rsidRPr="0009445C" w:rsidRDefault="00B47442" w:rsidP="0099521D">
            <w:pPr>
              <w:pStyle w:val="BRL-Tabelle"/>
              <w:ind w:left="130"/>
            </w:pPr>
            <w:r w:rsidRPr="0009445C">
              <w:t>Extinguishing agent distribution</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3F25B4B"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3A528DB"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21D46E1"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835001A"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451C189" w14:textId="77777777" w:rsidR="00B47442" w:rsidRPr="0009445C" w:rsidRDefault="00B47442" w:rsidP="0099521D">
            <w:pPr>
              <w:pStyle w:val="BRL-Tabelle"/>
              <w:jc w:val="center"/>
            </w:pPr>
          </w:p>
        </w:tc>
      </w:tr>
      <w:tr w:rsidR="00B47442" w:rsidRPr="0009445C" w14:paraId="011D9746"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4F40AE9" w14:textId="77777777" w:rsidR="00B47442" w:rsidRPr="0009445C" w:rsidRDefault="00B47442" w:rsidP="0099521D">
            <w:pPr>
              <w:pStyle w:val="BRL-Tabelle"/>
              <w:ind w:left="130"/>
            </w:pPr>
            <w:r w:rsidRPr="0009445C">
              <w:t>Response delay (response time)</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153661C"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781155D"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E1D7EC7"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C958B02"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002A917" w14:textId="77777777" w:rsidR="00B47442" w:rsidRPr="0009445C" w:rsidRDefault="00B47442" w:rsidP="0099521D">
            <w:pPr>
              <w:pStyle w:val="BRL-Tabelle"/>
              <w:jc w:val="center"/>
            </w:pPr>
            <w:r w:rsidRPr="0009445C">
              <w:t>X</w:t>
            </w:r>
          </w:p>
        </w:tc>
      </w:tr>
      <w:tr w:rsidR="00B47442" w:rsidRPr="0009445C" w14:paraId="23D52B62"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7410995" w14:textId="77777777" w:rsidR="00B47442" w:rsidRPr="0009445C" w:rsidRDefault="00B47442" w:rsidP="0099521D">
            <w:pPr>
              <w:pStyle w:val="BRL-Tabelle"/>
              <w:ind w:left="130"/>
            </w:pPr>
            <w:r w:rsidRPr="0009445C">
              <w:t>Reliability</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51986CC"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F551B12"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EFC6F01"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53B881A"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7E12855" w14:textId="77777777" w:rsidR="00B47442" w:rsidRPr="0009445C" w:rsidRDefault="00B47442" w:rsidP="0099521D">
            <w:pPr>
              <w:pStyle w:val="BRL-Tabelle"/>
              <w:jc w:val="center"/>
            </w:pPr>
          </w:p>
        </w:tc>
      </w:tr>
      <w:tr w:rsidR="00B47442" w:rsidRPr="0009445C" w14:paraId="29004B1C" w14:textId="77777777" w:rsidTr="0099521D">
        <w:trPr>
          <w:trHeight w:val="765"/>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3EE14A9" w14:textId="77777777" w:rsidR="00B47442" w:rsidRPr="0009445C" w:rsidRDefault="00B47442" w:rsidP="0099521D">
            <w:pPr>
              <w:pStyle w:val="BRL-Tabelle"/>
              <w:ind w:left="130"/>
            </w:pPr>
            <w:r w:rsidRPr="0009445C">
              <w:t xml:space="preserve">Durability </w:t>
            </w:r>
          </w:p>
          <w:p w14:paraId="1F9B6ADE" w14:textId="77777777" w:rsidR="00B47442" w:rsidRPr="0009445C" w:rsidRDefault="00B47442" w:rsidP="0099521D">
            <w:pPr>
              <w:pStyle w:val="BRL-Tabelle"/>
              <w:ind w:left="130"/>
            </w:pPr>
            <w:r w:rsidRPr="0009445C">
              <w:t xml:space="preserve">- Heat resistance, </w:t>
            </w:r>
          </w:p>
          <w:p w14:paraId="285F8777" w14:textId="77777777" w:rsidR="00B47442" w:rsidRPr="0009445C" w:rsidRDefault="00B47442" w:rsidP="0099521D">
            <w:pPr>
              <w:pStyle w:val="BRL-Tabelle"/>
              <w:ind w:left="130"/>
            </w:pPr>
            <w:r w:rsidRPr="0009445C">
              <w:t>- Temperature shock resistance</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3DC9846"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0CAB089"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AE36265"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0428272"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29353BD" w14:textId="77777777" w:rsidR="00B47442" w:rsidRPr="0009445C" w:rsidRDefault="00B47442" w:rsidP="0099521D">
            <w:pPr>
              <w:pStyle w:val="BRL-Tabelle"/>
              <w:jc w:val="center"/>
            </w:pPr>
          </w:p>
        </w:tc>
      </w:tr>
      <w:tr w:rsidR="00B47442" w:rsidRPr="0009445C" w14:paraId="39DFDF85"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B4E35A9" w14:textId="77777777" w:rsidR="00B47442" w:rsidRPr="0009445C" w:rsidRDefault="00B47442" w:rsidP="0099521D">
            <w:pPr>
              <w:pStyle w:val="BRL-Tabelle"/>
              <w:ind w:left="130"/>
            </w:pPr>
            <w:r w:rsidRPr="0009445C">
              <w:t>Corrosion resistance</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26D489E"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587C664"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4D2C0E0"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43DFCFC"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91F1E71" w14:textId="77777777" w:rsidR="00B47442" w:rsidRPr="0009445C" w:rsidRDefault="00B47442" w:rsidP="0099521D">
            <w:pPr>
              <w:pStyle w:val="BRL-Tabelle"/>
              <w:jc w:val="center"/>
            </w:pPr>
          </w:p>
        </w:tc>
      </w:tr>
      <w:tr w:rsidR="00B47442" w:rsidRPr="0009445C" w14:paraId="644B9567"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C8EBE91" w14:textId="77777777" w:rsidR="00B47442" w:rsidRPr="0009445C" w:rsidRDefault="00B47442" w:rsidP="0099521D">
            <w:pPr>
              <w:pStyle w:val="BRL-Tabelle"/>
              <w:ind w:left="130"/>
            </w:pPr>
            <w:r w:rsidRPr="0009445C">
              <w:t>Operational reliability</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B31A4ED"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A9119A5"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B91D164"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41ACC3D"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1319EAA6" w14:textId="77777777" w:rsidR="00B47442" w:rsidRPr="0009445C" w:rsidRDefault="00B47442" w:rsidP="0099521D">
            <w:pPr>
              <w:pStyle w:val="BRL-Tabelle"/>
              <w:jc w:val="center"/>
            </w:pPr>
            <w:r w:rsidRPr="0009445C">
              <w:t>X</w:t>
            </w:r>
          </w:p>
        </w:tc>
      </w:tr>
      <w:tr w:rsidR="00B47442" w:rsidRPr="0009445C" w14:paraId="5C0DCE32"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2AF8BFA" w14:textId="77777777" w:rsidR="00B47442" w:rsidRPr="0009445C" w:rsidRDefault="00B47442" w:rsidP="0099521D">
            <w:pPr>
              <w:pStyle w:val="BRL-Tabelle"/>
              <w:ind w:left="130"/>
            </w:pPr>
            <w:r w:rsidRPr="0009445C">
              <w:t>Performance in case of fire</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399BD73"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1C05D77F"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728DA23"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54530A0"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A676802" w14:textId="77777777" w:rsidR="00B47442" w:rsidRPr="0009445C" w:rsidRDefault="00B47442" w:rsidP="0099521D">
            <w:pPr>
              <w:pStyle w:val="BRL-Tabelle"/>
              <w:jc w:val="center"/>
            </w:pPr>
          </w:p>
        </w:tc>
      </w:tr>
      <w:tr w:rsidR="00B47442" w:rsidRPr="0009445C" w14:paraId="0ABFAF86"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18AC3A38" w14:textId="77777777" w:rsidR="00B47442" w:rsidRPr="0009445C" w:rsidRDefault="00B47442" w:rsidP="0099521D">
            <w:pPr>
              <w:pStyle w:val="BRL-Tabelle"/>
              <w:ind w:left="130"/>
            </w:pPr>
            <w:r w:rsidRPr="0009445C">
              <w:t>Response delay – Durability</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24238F5"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18FD4D6"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5E4FAAB"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1C7165AA"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555E1AE" w14:textId="77777777" w:rsidR="00B47442" w:rsidRPr="0009445C" w:rsidRDefault="00B47442" w:rsidP="0099521D">
            <w:pPr>
              <w:pStyle w:val="BRL-Tabelle"/>
              <w:jc w:val="center"/>
            </w:pPr>
          </w:p>
        </w:tc>
      </w:tr>
      <w:tr w:rsidR="00B47442" w:rsidRPr="0009445C" w14:paraId="11A0668F" w14:textId="77777777" w:rsidTr="0099521D">
        <w:trPr>
          <w:trHeight w:val="765"/>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6BD5CF3" w14:textId="77777777" w:rsidR="00B47442" w:rsidRPr="0009445C" w:rsidRDefault="00B47442" w:rsidP="0099521D">
            <w:pPr>
              <w:pStyle w:val="BRL-Tabelle"/>
              <w:ind w:left="130"/>
            </w:pPr>
            <w:r w:rsidRPr="0009445C">
              <w:t>Operational reliability – Durability</w:t>
            </w:r>
          </w:p>
          <w:p w14:paraId="59A3DC19" w14:textId="77777777" w:rsidR="00B47442" w:rsidRPr="0009445C" w:rsidRDefault="00B47442" w:rsidP="0099521D">
            <w:pPr>
              <w:pStyle w:val="BRL-Tabelle"/>
              <w:ind w:left="130"/>
            </w:pPr>
            <w:r w:rsidRPr="0009445C">
              <w:t>- Ageing of non-metallic structural elements; and</w:t>
            </w:r>
          </w:p>
          <w:p w14:paraId="7E3F94CD" w14:textId="77777777" w:rsidR="00B47442" w:rsidRPr="0009445C" w:rsidRDefault="00B47442" w:rsidP="0099521D">
            <w:pPr>
              <w:pStyle w:val="BRL-Tabelle"/>
              <w:ind w:left="130"/>
            </w:pPr>
            <w:r w:rsidRPr="0009445C">
              <w:t>- Fire stress</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83C87FD"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7539D723"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6FF5EF0"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4DE9F587" w14:textId="77777777" w:rsidR="00B47442" w:rsidRPr="0009445C" w:rsidRDefault="00B47442" w:rsidP="0099521D">
            <w:pPr>
              <w:pStyle w:val="BRL-Tabelle"/>
              <w:jc w:val="center"/>
            </w:pPr>
            <w:r w:rsidRPr="0009445C">
              <w:t>X</w:t>
            </w: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37D1BCE" w14:textId="77777777" w:rsidR="00B47442" w:rsidRPr="0009445C" w:rsidRDefault="00B47442" w:rsidP="0099521D">
            <w:pPr>
              <w:pStyle w:val="BRL-Tabelle"/>
              <w:jc w:val="center"/>
            </w:pPr>
          </w:p>
        </w:tc>
      </w:tr>
      <w:tr w:rsidR="00B47442" w:rsidRPr="0009445C" w14:paraId="48692196" w14:textId="77777777" w:rsidTr="0099521D">
        <w:trPr>
          <w:trHeight w:val="300"/>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18B42AE" w14:textId="77777777" w:rsidR="00B47442" w:rsidRPr="0009445C" w:rsidRDefault="00B47442" w:rsidP="0099521D">
            <w:pPr>
              <w:pStyle w:val="BRL-Tabelle"/>
              <w:ind w:left="130"/>
            </w:pPr>
            <w:r w:rsidRPr="0009445C">
              <w:t>Nominal response conditions</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689F908"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623905B"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D65D4D7"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6A31785"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29CA13DF" w14:textId="77777777" w:rsidR="00B47442" w:rsidRPr="0009445C" w:rsidRDefault="00B47442" w:rsidP="0099521D">
            <w:pPr>
              <w:pStyle w:val="BRL-Tabelle"/>
              <w:jc w:val="center"/>
            </w:pPr>
            <w:r w:rsidRPr="0009445C">
              <w:t>X</w:t>
            </w:r>
          </w:p>
        </w:tc>
      </w:tr>
      <w:tr w:rsidR="00B47442" w:rsidRPr="0009445C" w14:paraId="0F43EF51" w14:textId="77777777" w:rsidTr="0099521D">
        <w:trPr>
          <w:trHeight w:val="765"/>
        </w:trPr>
        <w:tc>
          <w:tcPr>
            <w:tcW w:w="3693"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43A4D97" w14:textId="77777777" w:rsidR="00B47442" w:rsidRPr="0009445C" w:rsidRDefault="00B47442" w:rsidP="0099521D">
            <w:pPr>
              <w:pStyle w:val="BRL-Tabelle"/>
              <w:ind w:left="130"/>
            </w:pPr>
            <w:r w:rsidRPr="0009445C">
              <w:t>Operational reliability stability</w:t>
            </w:r>
          </w:p>
          <w:p w14:paraId="4BBF4204" w14:textId="77777777" w:rsidR="00B47442" w:rsidRPr="0009445C" w:rsidRDefault="00B47442" w:rsidP="0099521D">
            <w:pPr>
              <w:pStyle w:val="BRL-Tabelle"/>
              <w:ind w:left="130"/>
            </w:pPr>
            <w:r w:rsidRPr="0009445C">
              <w:t>- Corrosion resistance</w:t>
            </w:r>
          </w:p>
          <w:p w14:paraId="03547B15" w14:textId="77777777" w:rsidR="00B47442" w:rsidRPr="0009445C" w:rsidRDefault="00B47442" w:rsidP="0099521D">
            <w:pPr>
              <w:pStyle w:val="BRL-Tabelle"/>
              <w:ind w:left="130"/>
            </w:pPr>
            <w:r w:rsidRPr="0009445C">
              <w:t>- Strength of non-metallic structural elements</w:t>
            </w:r>
          </w:p>
        </w:tc>
        <w:tc>
          <w:tcPr>
            <w:tcW w:w="997"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B02901F"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C5FD7A6"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53E0B260"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6E27FA1E" w14:textId="77777777" w:rsidR="00B47442" w:rsidRPr="0009445C" w:rsidRDefault="00B47442" w:rsidP="0099521D">
            <w:pPr>
              <w:pStyle w:val="BRL-Tabelle"/>
              <w:jc w:val="center"/>
            </w:pPr>
          </w:p>
        </w:tc>
        <w:tc>
          <w:tcPr>
            <w:tcW w:w="1134" w:type="dxa"/>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0EB34AA9" w14:textId="77777777" w:rsidR="00B47442" w:rsidRPr="0009445C" w:rsidRDefault="00B47442" w:rsidP="0099521D">
            <w:pPr>
              <w:pStyle w:val="BRL-Tabelle"/>
              <w:jc w:val="center"/>
            </w:pPr>
            <w:r w:rsidRPr="0009445C">
              <w:t>X</w:t>
            </w:r>
          </w:p>
        </w:tc>
      </w:tr>
      <w:tr w:rsidR="00B47442" w:rsidRPr="0009445C" w14:paraId="1A1B9990" w14:textId="77777777" w:rsidTr="0099521D">
        <w:trPr>
          <w:trHeight w:val="420"/>
        </w:trPr>
        <w:tc>
          <w:tcPr>
            <w:tcW w:w="9226" w:type="dxa"/>
            <w:gridSpan w:val="6"/>
            <w:tcBorders>
              <w:top w:val="single" w:sz="2" w:space="0" w:color="auto"/>
              <w:left w:val="single" w:sz="2" w:space="0" w:color="auto"/>
              <w:bottom w:val="single" w:sz="2" w:space="0" w:color="auto"/>
              <w:right w:val="single" w:sz="2" w:space="0" w:color="auto"/>
            </w:tcBorders>
            <w:tcMar>
              <w:top w:w="12" w:type="dxa"/>
              <w:left w:w="12" w:type="dxa"/>
              <w:bottom w:w="0" w:type="dxa"/>
              <w:right w:w="12" w:type="dxa"/>
            </w:tcMar>
            <w:vAlign w:val="center"/>
          </w:tcPr>
          <w:p w14:paraId="3C40B990" w14:textId="77777777" w:rsidR="00B47442" w:rsidRPr="0009445C" w:rsidRDefault="00B47442" w:rsidP="0099521D">
            <w:pPr>
              <w:pStyle w:val="BRL-Tabelle"/>
              <w:ind w:left="130"/>
            </w:pPr>
            <w:r w:rsidRPr="0009445C">
              <w:t>X</w:t>
            </w:r>
            <w:r w:rsidRPr="0009445C">
              <w:tab/>
              <w:t>must be fulfilled</w:t>
            </w:r>
          </w:p>
        </w:tc>
      </w:tr>
    </w:tbl>
    <w:p w14:paraId="2FDEF165" w14:textId="77777777" w:rsidR="00B47442" w:rsidRPr="0009445C" w:rsidRDefault="00B47442" w:rsidP="00B47442">
      <w:pPr>
        <w:pStyle w:val="BRL-Standard"/>
      </w:pPr>
    </w:p>
    <w:p w14:paraId="16DF7F7E" w14:textId="77777777" w:rsidR="00B47442" w:rsidRPr="0009445C" w:rsidRDefault="00B47442" w:rsidP="00B47442">
      <w:pPr>
        <w:pStyle w:val="BRL-Standard"/>
        <w:spacing w:after="60"/>
      </w:pPr>
      <w:r w:rsidRPr="0009445C">
        <w:t>Explanation for Table 2</w:t>
      </w:r>
    </w:p>
    <w:tbl>
      <w:tblPr>
        <w:tblW w:w="946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8479"/>
      </w:tblGrid>
      <w:tr w:rsidR="00B47442" w:rsidRPr="0009445C" w14:paraId="79F89348" w14:textId="77777777" w:rsidTr="0099521D">
        <w:tc>
          <w:tcPr>
            <w:tcW w:w="990" w:type="dxa"/>
            <w:shd w:val="clear" w:color="auto" w:fill="auto"/>
            <w:vAlign w:val="center"/>
          </w:tcPr>
          <w:p w14:paraId="5F7D834E" w14:textId="734BA0D8" w:rsidR="00B47442" w:rsidRPr="0009445C" w:rsidRDefault="00B47442" w:rsidP="00525D71">
            <w:pPr>
              <w:pStyle w:val="BRLTabelleberschrift"/>
              <w:tabs>
                <w:tab w:val="clear" w:pos="851"/>
              </w:tabs>
              <w:spacing w:before="60" w:after="40"/>
              <w:ind w:left="0" w:firstLine="0"/>
            </w:pPr>
            <w:r w:rsidRPr="0009445C">
              <w:t>Column no.</w:t>
            </w:r>
          </w:p>
        </w:tc>
        <w:tc>
          <w:tcPr>
            <w:tcW w:w="8479" w:type="dxa"/>
            <w:shd w:val="clear" w:color="auto" w:fill="auto"/>
            <w:vAlign w:val="center"/>
          </w:tcPr>
          <w:p w14:paraId="6D233015" w14:textId="77777777" w:rsidR="00B47442" w:rsidRPr="0009445C" w:rsidRDefault="00B47442" w:rsidP="0099521D">
            <w:pPr>
              <w:pStyle w:val="BRLTabelleberschrift"/>
              <w:spacing w:before="60" w:after="40"/>
            </w:pPr>
            <w:r w:rsidRPr="0009445C">
              <w:t>Product according to harmonised standard</w:t>
            </w:r>
          </w:p>
        </w:tc>
      </w:tr>
      <w:tr w:rsidR="00B47442" w:rsidRPr="0009445C" w14:paraId="65E57423" w14:textId="77777777" w:rsidTr="0099521D">
        <w:tc>
          <w:tcPr>
            <w:tcW w:w="990" w:type="dxa"/>
            <w:shd w:val="clear" w:color="auto" w:fill="auto"/>
            <w:vAlign w:val="center"/>
          </w:tcPr>
          <w:p w14:paraId="50372286" w14:textId="77777777" w:rsidR="00B47442" w:rsidRPr="0009445C" w:rsidRDefault="00B47442" w:rsidP="0099521D">
            <w:pPr>
              <w:pStyle w:val="BRL-Tabelle"/>
              <w:spacing w:before="60" w:after="40"/>
            </w:pPr>
            <w:r w:rsidRPr="0009445C">
              <w:t>2</w:t>
            </w:r>
          </w:p>
        </w:tc>
        <w:tc>
          <w:tcPr>
            <w:tcW w:w="8479" w:type="dxa"/>
            <w:shd w:val="clear" w:color="auto" w:fill="auto"/>
          </w:tcPr>
          <w:p w14:paraId="65CC33A0" w14:textId="37E9A87B" w:rsidR="00B47442" w:rsidRPr="0009445C" w:rsidRDefault="00B47442" w:rsidP="00525D71">
            <w:pPr>
              <w:pStyle w:val="BRL-Tabelle"/>
              <w:spacing w:before="60" w:after="40"/>
            </w:pPr>
            <w:r w:rsidRPr="0009445C">
              <w:t>EN 671-1:2012 Fixed fire extinguishing systems — Wall hydraulics — Part 1: Hose reels with dimensionally stable hose</w:t>
            </w:r>
            <w:r w:rsidRPr="0009445C">
              <w:rPr>
                <w:rStyle w:val="FootnoteReference"/>
              </w:rPr>
              <w:fldChar w:fldCharType="begin"/>
            </w:r>
            <w:r w:rsidRPr="0009445C">
              <w:rPr>
                <w:rStyle w:val="FootnoteReference"/>
              </w:rPr>
              <w:instrText xml:space="preserve"> NOTEREF _Ref82184945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50</w:t>
            </w:r>
            <w:r w:rsidRPr="0009445C">
              <w:rPr>
                <w:rStyle w:val="FootnoteReference"/>
              </w:rPr>
              <w:fldChar w:fldCharType="end"/>
            </w:r>
          </w:p>
        </w:tc>
      </w:tr>
      <w:tr w:rsidR="00B47442" w:rsidRPr="0009445C" w14:paraId="4DA79F55" w14:textId="77777777" w:rsidTr="0099521D">
        <w:tc>
          <w:tcPr>
            <w:tcW w:w="990" w:type="dxa"/>
            <w:shd w:val="clear" w:color="auto" w:fill="auto"/>
            <w:vAlign w:val="center"/>
          </w:tcPr>
          <w:p w14:paraId="2EA55BF3" w14:textId="77777777" w:rsidR="00B47442" w:rsidRPr="0009445C" w:rsidRDefault="00B47442" w:rsidP="0099521D">
            <w:pPr>
              <w:pStyle w:val="BRL-Tabelle"/>
              <w:spacing w:before="60" w:after="40"/>
            </w:pPr>
            <w:r w:rsidRPr="0009445C">
              <w:t>3</w:t>
            </w:r>
          </w:p>
        </w:tc>
        <w:tc>
          <w:tcPr>
            <w:tcW w:w="8479" w:type="dxa"/>
            <w:shd w:val="clear" w:color="auto" w:fill="auto"/>
          </w:tcPr>
          <w:p w14:paraId="64773E8D" w14:textId="19F148CF" w:rsidR="00B47442" w:rsidRPr="0009445C" w:rsidRDefault="00B47442" w:rsidP="00525D71">
            <w:pPr>
              <w:pStyle w:val="BRL-Tabelle"/>
              <w:spacing w:before="60" w:after="40"/>
            </w:pPr>
            <w:r w:rsidRPr="0009445C">
              <w:t>EN 671-2:2012 Fixed fire extinguishing systems — Wall hydrants — Part 2: Hose systems with lay-flat hose</w:t>
            </w:r>
            <w:r w:rsidRPr="0009445C">
              <w:rPr>
                <w:rStyle w:val="FootnoteReference"/>
              </w:rPr>
              <w:fldChar w:fldCharType="begin"/>
            </w:r>
            <w:r w:rsidRPr="0009445C">
              <w:rPr>
                <w:rStyle w:val="FootnoteReference"/>
              </w:rPr>
              <w:instrText xml:space="preserve"> NOTEREF _Ref82184983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51</w:t>
            </w:r>
            <w:r w:rsidRPr="0009445C">
              <w:rPr>
                <w:rStyle w:val="FootnoteReference"/>
              </w:rPr>
              <w:fldChar w:fldCharType="end"/>
            </w:r>
          </w:p>
        </w:tc>
      </w:tr>
    </w:tbl>
    <w:p w14:paraId="3298603D" w14:textId="77777777" w:rsidR="00B47442" w:rsidRPr="0009445C" w:rsidRDefault="00B47442" w:rsidP="00B47442">
      <w:pPr>
        <w:pStyle w:val="BRL-Standard"/>
      </w:pPr>
    </w:p>
    <w:p w14:paraId="1AB0CE44" w14:textId="77777777" w:rsidR="00B47442" w:rsidRPr="0009445C" w:rsidRDefault="00B47442" w:rsidP="00B47442">
      <w:pPr>
        <w:pStyle w:val="BRL-Standard"/>
        <w:spacing w:after="60"/>
        <w:rPr>
          <w:b/>
        </w:rPr>
      </w:pPr>
      <w:r w:rsidRPr="0009445C">
        <w:br w:type="page"/>
      </w:r>
      <w:r w:rsidRPr="0009445C">
        <w:rPr>
          <w:b/>
        </w:rPr>
        <w:lastRenderedPageBreak/>
        <w:t>Table 2:</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6"/>
        <w:gridCol w:w="2185"/>
        <w:gridCol w:w="2410"/>
      </w:tblGrid>
      <w:tr w:rsidR="00B47442" w:rsidRPr="0009445C" w14:paraId="641AE135" w14:textId="77777777" w:rsidTr="0099521D">
        <w:trPr>
          <w:trHeight w:val="668"/>
          <w:tblHeader/>
        </w:trPr>
        <w:tc>
          <w:tcPr>
            <w:tcW w:w="4836" w:type="dxa"/>
            <w:tcBorders>
              <w:top w:val="single" w:sz="2" w:space="0" w:color="auto"/>
              <w:left w:val="single" w:sz="2" w:space="0" w:color="auto"/>
              <w:bottom w:val="single" w:sz="2" w:space="0" w:color="auto"/>
              <w:right w:val="single" w:sz="2" w:space="0" w:color="auto"/>
            </w:tcBorders>
          </w:tcPr>
          <w:p w14:paraId="0BE5D2D5" w14:textId="77777777" w:rsidR="00B47442" w:rsidRPr="0009445C" w:rsidRDefault="00B47442" w:rsidP="0099521D">
            <w:pPr>
              <w:pStyle w:val="BRLTabelleberschrift"/>
            </w:pPr>
            <w:r w:rsidRPr="0009445C">
              <w:t>Essential feature</w:t>
            </w:r>
          </w:p>
        </w:tc>
        <w:tc>
          <w:tcPr>
            <w:tcW w:w="4595" w:type="dxa"/>
            <w:gridSpan w:val="2"/>
            <w:tcBorders>
              <w:top w:val="single" w:sz="2" w:space="0" w:color="auto"/>
              <w:left w:val="single" w:sz="2" w:space="0" w:color="auto"/>
              <w:bottom w:val="single" w:sz="2" w:space="0" w:color="auto"/>
              <w:right w:val="single" w:sz="2" w:space="0" w:color="auto"/>
            </w:tcBorders>
            <w:noWrap/>
          </w:tcPr>
          <w:p w14:paraId="4E77C705" w14:textId="0B3C109F" w:rsidR="00B47442" w:rsidRPr="0009445C" w:rsidRDefault="00B47442" w:rsidP="00AD315D">
            <w:pPr>
              <w:pStyle w:val="BRLTabelleberschrift"/>
              <w:tabs>
                <w:tab w:val="clear" w:pos="851"/>
              </w:tabs>
              <w:ind w:left="0" w:firstLine="0"/>
            </w:pPr>
            <w:r w:rsidRPr="0009445C">
              <w:t xml:space="preserve">Construction products for fixed firefighting systems – Hose systems – pursuant to harmonised standard </w:t>
            </w:r>
          </w:p>
        </w:tc>
      </w:tr>
      <w:tr w:rsidR="00B47442" w:rsidRPr="0009445C" w14:paraId="2464C0C1" w14:textId="77777777" w:rsidTr="0099521D">
        <w:trPr>
          <w:tblHeader/>
        </w:trPr>
        <w:tc>
          <w:tcPr>
            <w:tcW w:w="4836" w:type="dxa"/>
            <w:tcBorders>
              <w:top w:val="single" w:sz="2" w:space="0" w:color="auto"/>
              <w:left w:val="single" w:sz="2" w:space="0" w:color="auto"/>
              <w:bottom w:val="single" w:sz="2" w:space="0" w:color="auto"/>
              <w:right w:val="single" w:sz="2" w:space="0" w:color="auto"/>
            </w:tcBorders>
            <w:vAlign w:val="bottom"/>
          </w:tcPr>
          <w:p w14:paraId="763E98A6" w14:textId="77777777" w:rsidR="00B47442" w:rsidRPr="0009445C" w:rsidRDefault="00B47442" w:rsidP="0099521D">
            <w:pPr>
              <w:pStyle w:val="Tabellentext"/>
              <w:jc w:val="center"/>
              <w:rPr>
                <w:rFonts w:cs="Arial"/>
              </w:rPr>
            </w:pPr>
            <w:r w:rsidRPr="0009445C">
              <w:t>1</w:t>
            </w:r>
          </w:p>
        </w:tc>
        <w:tc>
          <w:tcPr>
            <w:tcW w:w="2185" w:type="dxa"/>
            <w:tcBorders>
              <w:top w:val="single" w:sz="2" w:space="0" w:color="auto"/>
              <w:left w:val="single" w:sz="2" w:space="0" w:color="auto"/>
              <w:bottom w:val="single" w:sz="2" w:space="0" w:color="auto"/>
              <w:right w:val="single" w:sz="2" w:space="0" w:color="auto"/>
            </w:tcBorders>
            <w:noWrap/>
            <w:vAlign w:val="bottom"/>
          </w:tcPr>
          <w:p w14:paraId="5A7315CF" w14:textId="77777777" w:rsidR="00B47442" w:rsidRPr="0009445C" w:rsidRDefault="00B47442" w:rsidP="0099521D">
            <w:pPr>
              <w:pStyle w:val="Tabellentext"/>
              <w:jc w:val="center"/>
              <w:rPr>
                <w:rFonts w:cs="Arial"/>
              </w:rPr>
            </w:pPr>
            <w:r w:rsidRPr="0009445C">
              <w:t>2</w:t>
            </w:r>
          </w:p>
        </w:tc>
        <w:tc>
          <w:tcPr>
            <w:tcW w:w="2410" w:type="dxa"/>
            <w:tcBorders>
              <w:top w:val="single" w:sz="2" w:space="0" w:color="auto"/>
              <w:left w:val="single" w:sz="2" w:space="0" w:color="auto"/>
              <w:bottom w:val="single" w:sz="2" w:space="0" w:color="auto"/>
              <w:right w:val="single" w:sz="2" w:space="0" w:color="auto"/>
            </w:tcBorders>
            <w:noWrap/>
            <w:vAlign w:val="bottom"/>
          </w:tcPr>
          <w:p w14:paraId="0C1889A2" w14:textId="77777777" w:rsidR="00B47442" w:rsidRPr="0009445C" w:rsidRDefault="00B47442" w:rsidP="0099521D">
            <w:pPr>
              <w:pStyle w:val="Tabellentext"/>
              <w:jc w:val="center"/>
              <w:rPr>
                <w:rFonts w:cs="Arial"/>
              </w:rPr>
            </w:pPr>
            <w:r w:rsidRPr="0009445C">
              <w:t>3</w:t>
            </w:r>
          </w:p>
        </w:tc>
      </w:tr>
      <w:tr w:rsidR="00B47442" w:rsidRPr="0009445C" w14:paraId="22848C18"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484368BB" w14:textId="77777777" w:rsidR="00B47442" w:rsidRPr="0009445C" w:rsidRDefault="00B47442" w:rsidP="0099521D">
            <w:pPr>
              <w:pStyle w:val="BRL-Tabelle"/>
              <w:spacing w:before="40" w:after="40"/>
            </w:pPr>
            <w:r w:rsidRPr="0009445C">
              <w:rPr>
                <w:b/>
              </w:rPr>
              <w:t>Distribution of extinguishing agent with:</w:t>
            </w:r>
          </w:p>
        </w:tc>
        <w:tc>
          <w:tcPr>
            <w:tcW w:w="4595" w:type="dxa"/>
            <w:gridSpan w:val="2"/>
            <w:tcBorders>
              <w:top w:val="single" w:sz="2" w:space="0" w:color="auto"/>
              <w:left w:val="single" w:sz="2" w:space="0" w:color="auto"/>
              <w:bottom w:val="single" w:sz="2" w:space="0" w:color="auto"/>
              <w:right w:val="single" w:sz="2" w:space="0" w:color="auto"/>
            </w:tcBorders>
            <w:vAlign w:val="center"/>
          </w:tcPr>
          <w:p w14:paraId="5D15A5C0" w14:textId="77777777" w:rsidR="00B47442" w:rsidRPr="0009445C" w:rsidRDefault="00B47442" w:rsidP="0099521D">
            <w:pPr>
              <w:pStyle w:val="Tabellentext"/>
              <w:spacing w:before="40" w:after="40"/>
              <w:jc w:val="center"/>
              <w:rPr>
                <w:rFonts w:cs="Arial"/>
                <w:b/>
              </w:rPr>
            </w:pPr>
          </w:p>
        </w:tc>
      </w:tr>
      <w:tr w:rsidR="00B47442" w:rsidRPr="0009445C" w14:paraId="1D68A0D6"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1FF4A49" w14:textId="77777777" w:rsidR="00B47442" w:rsidRPr="0009445C" w:rsidRDefault="00B47442" w:rsidP="0099521D">
            <w:pPr>
              <w:pStyle w:val="BRL-Tabelle"/>
              <w:spacing w:before="40" w:after="40"/>
            </w:pPr>
            <w:r w:rsidRPr="0009445C">
              <w:t>Hose inner diameter</w:t>
            </w:r>
          </w:p>
        </w:tc>
        <w:tc>
          <w:tcPr>
            <w:tcW w:w="2185" w:type="dxa"/>
            <w:tcBorders>
              <w:top w:val="single" w:sz="2" w:space="0" w:color="auto"/>
              <w:left w:val="single" w:sz="2" w:space="0" w:color="auto"/>
              <w:bottom w:val="single" w:sz="2" w:space="0" w:color="auto"/>
              <w:right w:val="single" w:sz="2" w:space="0" w:color="auto"/>
            </w:tcBorders>
            <w:vAlign w:val="center"/>
          </w:tcPr>
          <w:p w14:paraId="49D1BCFE"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0E4C3A63" w14:textId="77777777" w:rsidR="00B47442" w:rsidRPr="0009445C" w:rsidRDefault="00B47442" w:rsidP="0099521D">
            <w:pPr>
              <w:pStyle w:val="BRL-Tabelle"/>
              <w:spacing w:before="40" w:after="40"/>
              <w:jc w:val="center"/>
            </w:pPr>
            <w:r w:rsidRPr="0009445C">
              <w:t>X</w:t>
            </w:r>
          </w:p>
        </w:tc>
      </w:tr>
      <w:tr w:rsidR="00B47442" w:rsidRPr="0009445C" w14:paraId="55223F85"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1EF0669" w14:textId="77777777" w:rsidR="00B47442" w:rsidRPr="0009445C" w:rsidRDefault="00B47442" w:rsidP="0099521D">
            <w:pPr>
              <w:pStyle w:val="BRL-Tabelle"/>
              <w:spacing w:before="40" w:after="40"/>
            </w:pPr>
            <w:r w:rsidRPr="0009445C">
              <w:t>Minimum flow rate</w:t>
            </w:r>
          </w:p>
        </w:tc>
        <w:tc>
          <w:tcPr>
            <w:tcW w:w="2185" w:type="dxa"/>
            <w:tcBorders>
              <w:top w:val="single" w:sz="2" w:space="0" w:color="auto"/>
              <w:left w:val="single" w:sz="2" w:space="0" w:color="auto"/>
              <w:bottom w:val="single" w:sz="2" w:space="0" w:color="auto"/>
              <w:right w:val="single" w:sz="2" w:space="0" w:color="auto"/>
            </w:tcBorders>
            <w:vAlign w:val="center"/>
          </w:tcPr>
          <w:p w14:paraId="59D5CDB9"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7A421B67" w14:textId="77777777" w:rsidR="00B47442" w:rsidRPr="0009445C" w:rsidRDefault="00B47442" w:rsidP="0099521D">
            <w:pPr>
              <w:pStyle w:val="BRL-Tabelle"/>
              <w:spacing w:before="40" w:after="40"/>
              <w:jc w:val="center"/>
            </w:pPr>
            <w:r w:rsidRPr="0009445C">
              <w:t>X</w:t>
            </w:r>
          </w:p>
        </w:tc>
      </w:tr>
      <w:tr w:rsidR="00B47442" w:rsidRPr="0009445C" w14:paraId="46B1D036"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1DEBA9F5" w14:textId="77777777" w:rsidR="00B47442" w:rsidRPr="0009445C" w:rsidRDefault="00B47442" w:rsidP="0099521D">
            <w:pPr>
              <w:pStyle w:val="BRL-Tabelle"/>
              <w:spacing w:before="40" w:after="40"/>
            </w:pPr>
            <w:r w:rsidRPr="0009445C">
              <w:t>Effective throwing range</w:t>
            </w:r>
          </w:p>
        </w:tc>
        <w:tc>
          <w:tcPr>
            <w:tcW w:w="2185" w:type="dxa"/>
            <w:tcBorders>
              <w:top w:val="single" w:sz="2" w:space="0" w:color="auto"/>
              <w:left w:val="single" w:sz="2" w:space="0" w:color="auto"/>
              <w:bottom w:val="single" w:sz="2" w:space="0" w:color="auto"/>
              <w:right w:val="single" w:sz="2" w:space="0" w:color="auto"/>
            </w:tcBorders>
            <w:vAlign w:val="center"/>
          </w:tcPr>
          <w:p w14:paraId="74E3F145"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67ABD907" w14:textId="77777777" w:rsidR="00B47442" w:rsidRPr="0009445C" w:rsidRDefault="00B47442" w:rsidP="0099521D">
            <w:pPr>
              <w:pStyle w:val="BRL-Tabelle"/>
              <w:spacing w:before="40" w:after="40"/>
              <w:jc w:val="center"/>
            </w:pPr>
            <w:r w:rsidRPr="0009445C">
              <w:t>X</w:t>
            </w:r>
          </w:p>
        </w:tc>
      </w:tr>
      <w:tr w:rsidR="00B47442" w:rsidRPr="0009445C" w14:paraId="59BC9849"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2E8D8C52" w14:textId="77777777" w:rsidR="00B47442" w:rsidRPr="0009445C" w:rsidRDefault="00B47442" w:rsidP="0099521D">
            <w:pPr>
              <w:pStyle w:val="BRL-Tabelle"/>
              <w:spacing w:before="40" w:after="40"/>
            </w:pPr>
            <w:r w:rsidRPr="0009445C">
              <w:t>Spraying jet operation</w:t>
            </w:r>
          </w:p>
        </w:tc>
        <w:tc>
          <w:tcPr>
            <w:tcW w:w="2185" w:type="dxa"/>
            <w:tcBorders>
              <w:top w:val="single" w:sz="2" w:space="0" w:color="auto"/>
              <w:left w:val="single" w:sz="2" w:space="0" w:color="auto"/>
              <w:bottom w:val="single" w:sz="2" w:space="0" w:color="auto"/>
              <w:right w:val="single" w:sz="2" w:space="0" w:color="auto"/>
            </w:tcBorders>
            <w:vAlign w:val="center"/>
          </w:tcPr>
          <w:p w14:paraId="074D046D"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30AF8CE2" w14:textId="77777777" w:rsidR="00B47442" w:rsidRPr="0009445C" w:rsidRDefault="00B47442" w:rsidP="0099521D">
            <w:pPr>
              <w:pStyle w:val="BRL-Tabelle"/>
              <w:spacing w:before="40" w:after="40"/>
              <w:jc w:val="center"/>
            </w:pPr>
            <w:r w:rsidRPr="0009445C">
              <w:t>X</w:t>
            </w:r>
          </w:p>
        </w:tc>
      </w:tr>
      <w:tr w:rsidR="00B47442" w:rsidRPr="0009445C" w14:paraId="655D9311"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332B0EB9" w14:textId="77777777" w:rsidR="00B47442" w:rsidRPr="0009445C" w:rsidRDefault="00B47442" w:rsidP="0099521D">
            <w:pPr>
              <w:pStyle w:val="BRL-Tabelle"/>
              <w:spacing w:before="40" w:after="40"/>
            </w:pPr>
            <w:r w:rsidRPr="0009445C">
              <w:rPr>
                <w:b/>
              </w:rPr>
              <w:t>Functional safety/operational reliability</w:t>
            </w:r>
          </w:p>
        </w:tc>
        <w:tc>
          <w:tcPr>
            <w:tcW w:w="4595" w:type="dxa"/>
            <w:gridSpan w:val="2"/>
            <w:tcBorders>
              <w:top w:val="single" w:sz="2" w:space="0" w:color="auto"/>
              <w:left w:val="single" w:sz="2" w:space="0" w:color="auto"/>
              <w:bottom w:val="single" w:sz="2" w:space="0" w:color="auto"/>
              <w:right w:val="single" w:sz="2" w:space="0" w:color="auto"/>
            </w:tcBorders>
            <w:vAlign w:val="center"/>
          </w:tcPr>
          <w:p w14:paraId="15E09FC2" w14:textId="77777777" w:rsidR="00B47442" w:rsidRPr="0009445C" w:rsidRDefault="00B47442" w:rsidP="0099521D">
            <w:pPr>
              <w:pStyle w:val="BRL-Tabelle"/>
              <w:spacing w:before="40" w:after="40"/>
              <w:jc w:val="center"/>
            </w:pPr>
          </w:p>
        </w:tc>
      </w:tr>
      <w:tr w:rsidR="00B47442" w:rsidRPr="0009445C" w14:paraId="7B1CDCB6"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1DFD8DA" w14:textId="77777777" w:rsidR="00B47442" w:rsidRPr="0009445C" w:rsidRDefault="00B47442" w:rsidP="0099521D">
            <w:pPr>
              <w:pStyle w:val="BRL-Tabelle"/>
              <w:spacing w:before="40" w:after="40"/>
            </w:pPr>
            <w:r w:rsidRPr="0009445C">
              <w:t>Reel – Construction</w:t>
            </w:r>
          </w:p>
        </w:tc>
        <w:tc>
          <w:tcPr>
            <w:tcW w:w="2185" w:type="dxa"/>
            <w:tcBorders>
              <w:top w:val="single" w:sz="2" w:space="0" w:color="auto"/>
              <w:left w:val="single" w:sz="2" w:space="0" w:color="auto"/>
              <w:bottom w:val="single" w:sz="2" w:space="0" w:color="auto"/>
              <w:right w:val="single" w:sz="2" w:space="0" w:color="auto"/>
            </w:tcBorders>
            <w:vAlign w:val="center"/>
          </w:tcPr>
          <w:p w14:paraId="138F0FB2"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7259D3BD" w14:textId="77777777" w:rsidR="00B47442" w:rsidRPr="0009445C" w:rsidRDefault="00B47442" w:rsidP="0099521D">
            <w:pPr>
              <w:pStyle w:val="BRL-Tabelle"/>
              <w:spacing w:before="40" w:after="40"/>
              <w:jc w:val="center"/>
            </w:pPr>
          </w:p>
        </w:tc>
      </w:tr>
      <w:tr w:rsidR="00B47442" w:rsidRPr="0009445C" w14:paraId="101BFEE2" w14:textId="77777777" w:rsidTr="0099521D">
        <w:tc>
          <w:tcPr>
            <w:tcW w:w="4836" w:type="dxa"/>
            <w:tcBorders>
              <w:top w:val="single" w:sz="2" w:space="0" w:color="auto"/>
              <w:left w:val="single" w:sz="2" w:space="0" w:color="auto"/>
              <w:bottom w:val="single" w:sz="2" w:space="0" w:color="auto"/>
              <w:right w:val="single" w:sz="2" w:space="0" w:color="auto"/>
            </w:tcBorders>
            <w:vAlign w:val="bottom"/>
          </w:tcPr>
          <w:p w14:paraId="1D4C376B" w14:textId="77777777" w:rsidR="00B47442" w:rsidRPr="0009445C" w:rsidRDefault="00B47442" w:rsidP="0099521D">
            <w:pPr>
              <w:pStyle w:val="BRL-Tabelle"/>
              <w:spacing w:before="40" w:after="40"/>
            </w:pPr>
            <w:r w:rsidRPr="0009445C">
              <w:t>Reel – Turning</w:t>
            </w:r>
          </w:p>
        </w:tc>
        <w:tc>
          <w:tcPr>
            <w:tcW w:w="2185" w:type="dxa"/>
            <w:tcBorders>
              <w:top w:val="single" w:sz="2" w:space="0" w:color="auto"/>
              <w:left w:val="single" w:sz="2" w:space="0" w:color="auto"/>
              <w:bottom w:val="single" w:sz="2" w:space="0" w:color="auto"/>
              <w:right w:val="single" w:sz="2" w:space="0" w:color="auto"/>
            </w:tcBorders>
            <w:vAlign w:val="center"/>
          </w:tcPr>
          <w:p w14:paraId="0FF6BCBF"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noWrap/>
            <w:vAlign w:val="center"/>
          </w:tcPr>
          <w:p w14:paraId="07B399B2" w14:textId="77777777" w:rsidR="00B47442" w:rsidRPr="0009445C" w:rsidRDefault="00B47442" w:rsidP="0099521D">
            <w:pPr>
              <w:pStyle w:val="BRL-Tabelle"/>
              <w:spacing w:before="40" w:after="40"/>
              <w:jc w:val="center"/>
            </w:pPr>
          </w:p>
        </w:tc>
      </w:tr>
      <w:tr w:rsidR="00B47442" w:rsidRPr="0009445C" w14:paraId="7AF64B0E"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1D0DE6F1" w14:textId="77777777" w:rsidR="00B47442" w:rsidRPr="0009445C" w:rsidRDefault="00B47442" w:rsidP="0099521D">
            <w:pPr>
              <w:pStyle w:val="BRL-Tabelle"/>
              <w:spacing w:before="40" w:after="40"/>
            </w:pPr>
            <w:r w:rsidRPr="0009445C">
              <w:t>Reel – Swivelling</w:t>
            </w:r>
          </w:p>
        </w:tc>
        <w:tc>
          <w:tcPr>
            <w:tcW w:w="2185" w:type="dxa"/>
            <w:tcBorders>
              <w:top w:val="single" w:sz="2" w:space="0" w:color="auto"/>
              <w:left w:val="single" w:sz="2" w:space="0" w:color="auto"/>
              <w:bottom w:val="single" w:sz="2" w:space="0" w:color="auto"/>
              <w:right w:val="single" w:sz="2" w:space="0" w:color="auto"/>
            </w:tcBorders>
            <w:vAlign w:val="center"/>
          </w:tcPr>
          <w:p w14:paraId="39615FED"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67A9DFA9" w14:textId="77777777" w:rsidR="00B47442" w:rsidRPr="0009445C" w:rsidRDefault="00B47442" w:rsidP="0099521D">
            <w:pPr>
              <w:pStyle w:val="BRL-Tabelle"/>
              <w:spacing w:before="40" w:after="40"/>
              <w:jc w:val="center"/>
            </w:pPr>
          </w:p>
        </w:tc>
      </w:tr>
      <w:tr w:rsidR="00B47442" w:rsidRPr="0009445C" w14:paraId="1B2701CA"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5AA512B" w14:textId="77777777" w:rsidR="00B47442" w:rsidRPr="0009445C" w:rsidRDefault="00B47442" w:rsidP="0099521D">
            <w:pPr>
              <w:pStyle w:val="BRL-Tabelle"/>
              <w:spacing w:before="40" w:after="40"/>
            </w:pPr>
            <w:r w:rsidRPr="0009445C">
              <w:t>Reel – Resistance to shock</w:t>
            </w:r>
          </w:p>
        </w:tc>
        <w:tc>
          <w:tcPr>
            <w:tcW w:w="2185" w:type="dxa"/>
            <w:tcBorders>
              <w:top w:val="single" w:sz="2" w:space="0" w:color="auto"/>
              <w:left w:val="single" w:sz="2" w:space="0" w:color="auto"/>
              <w:bottom w:val="single" w:sz="2" w:space="0" w:color="auto"/>
              <w:right w:val="single" w:sz="2" w:space="0" w:color="auto"/>
            </w:tcBorders>
            <w:vAlign w:val="center"/>
          </w:tcPr>
          <w:p w14:paraId="01F8CCD8"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40D7355D" w14:textId="77777777" w:rsidR="00B47442" w:rsidRPr="0009445C" w:rsidRDefault="00B47442" w:rsidP="0099521D">
            <w:pPr>
              <w:pStyle w:val="BRL-Tabelle"/>
              <w:spacing w:before="40" w:after="40"/>
              <w:jc w:val="center"/>
            </w:pPr>
          </w:p>
        </w:tc>
      </w:tr>
      <w:tr w:rsidR="00B47442" w:rsidRPr="0009445C" w14:paraId="0ADB4409"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427C540F" w14:textId="77777777" w:rsidR="00B47442" w:rsidRPr="0009445C" w:rsidRDefault="00B47442" w:rsidP="0099521D">
            <w:pPr>
              <w:pStyle w:val="BRL-Tabelle"/>
              <w:spacing w:before="40" w:after="40"/>
            </w:pPr>
            <w:r w:rsidRPr="0009445C">
              <w:t>Reel – Resistance to loads</w:t>
            </w:r>
          </w:p>
        </w:tc>
        <w:tc>
          <w:tcPr>
            <w:tcW w:w="2185" w:type="dxa"/>
            <w:tcBorders>
              <w:top w:val="single" w:sz="2" w:space="0" w:color="auto"/>
              <w:left w:val="single" w:sz="2" w:space="0" w:color="auto"/>
              <w:bottom w:val="single" w:sz="2" w:space="0" w:color="auto"/>
              <w:right w:val="single" w:sz="2" w:space="0" w:color="auto"/>
            </w:tcBorders>
            <w:vAlign w:val="center"/>
          </w:tcPr>
          <w:p w14:paraId="36B1ADB3"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5961753B" w14:textId="77777777" w:rsidR="00B47442" w:rsidRPr="0009445C" w:rsidRDefault="00B47442" w:rsidP="0099521D">
            <w:pPr>
              <w:pStyle w:val="BRL-Tabelle"/>
              <w:spacing w:before="40" w:after="40"/>
              <w:jc w:val="center"/>
            </w:pPr>
          </w:p>
        </w:tc>
      </w:tr>
      <w:tr w:rsidR="00B47442" w:rsidRPr="0009445C" w14:paraId="4D29E64C"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18CDBA74" w14:textId="77777777" w:rsidR="00B47442" w:rsidRPr="0009445C" w:rsidRDefault="00B47442" w:rsidP="0099521D">
            <w:pPr>
              <w:pStyle w:val="BRL-Tabelle"/>
              <w:spacing w:before="40" w:after="40"/>
            </w:pPr>
            <w:r w:rsidRPr="0009445C">
              <w:t>Hose – General</w:t>
            </w:r>
          </w:p>
        </w:tc>
        <w:tc>
          <w:tcPr>
            <w:tcW w:w="2185" w:type="dxa"/>
            <w:tcBorders>
              <w:top w:val="single" w:sz="2" w:space="0" w:color="auto"/>
              <w:left w:val="single" w:sz="2" w:space="0" w:color="auto"/>
              <w:bottom w:val="single" w:sz="2" w:space="0" w:color="auto"/>
              <w:right w:val="single" w:sz="2" w:space="0" w:color="auto"/>
            </w:tcBorders>
            <w:vAlign w:val="center"/>
          </w:tcPr>
          <w:p w14:paraId="2776BBEC"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11142707" w14:textId="77777777" w:rsidR="00B47442" w:rsidRPr="0009445C" w:rsidRDefault="00B47442" w:rsidP="0099521D">
            <w:pPr>
              <w:pStyle w:val="BRL-Tabelle"/>
              <w:spacing w:before="40" w:after="40"/>
              <w:jc w:val="center"/>
            </w:pPr>
            <w:r w:rsidRPr="0009445C">
              <w:t>X</w:t>
            </w:r>
          </w:p>
        </w:tc>
      </w:tr>
      <w:tr w:rsidR="00B47442" w:rsidRPr="0009445C" w14:paraId="36A73089"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B74D8A2" w14:textId="77777777" w:rsidR="00B47442" w:rsidRPr="0009445C" w:rsidRDefault="00B47442" w:rsidP="0099521D">
            <w:pPr>
              <w:pStyle w:val="BRL-Tabelle"/>
              <w:spacing w:before="40" w:after="40"/>
            </w:pPr>
            <w:r w:rsidRPr="0009445C">
              <w:t>Lockable jet pipe – General</w:t>
            </w:r>
          </w:p>
        </w:tc>
        <w:tc>
          <w:tcPr>
            <w:tcW w:w="2185" w:type="dxa"/>
            <w:tcBorders>
              <w:top w:val="single" w:sz="2" w:space="0" w:color="auto"/>
              <w:left w:val="single" w:sz="2" w:space="0" w:color="auto"/>
              <w:bottom w:val="single" w:sz="2" w:space="0" w:color="auto"/>
              <w:right w:val="single" w:sz="2" w:space="0" w:color="auto"/>
            </w:tcBorders>
            <w:vAlign w:val="center"/>
          </w:tcPr>
          <w:p w14:paraId="2CA7B5B0"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38F1FDED" w14:textId="77777777" w:rsidR="00B47442" w:rsidRPr="0009445C" w:rsidRDefault="00B47442" w:rsidP="0099521D">
            <w:pPr>
              <w:pStyle w:val="BRL-Tabelle"/>
              <w:spacing w:before="40" w:after="40"/>
              <w:jc w:val="center"/>
            </w:pPr>
            <w:r w:rsidRPr="0009445C">
              <w:t>X</w:t>
            </w:r>
          </w:p>
        </w:tc>
      </w:tr>
      <w:tr w:rsidR="00B47442" w:rsidRPr="0009445C" w14:paraId="24943D4F"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46FDBD87" w14:textId="77777777" w:rsidR="00B47442" w:rsidRPr="0009445C" w:rsidRDefault="00B47442" w:rsidP="0099521D">
            <w:pPr>
              <w:pStyle w:val="BRL-Tabelle"/>
              <w:spacing w:before="40" w:after="40"/>
            </w:pPr>
            <w:r w:rsidRPr="0009445C">
              <w:t>Lockable jet pipe – Resistance to impact</w:t>
            </w:r>
          </w:p>
        </w:tc>
        <w:tc>
          <w:tcPr>
            <w:tcW w:w="2185" w:type="dxa"/>
            <w:tcBorders>
              <w:top w:val="single" w:sz="2" w:space="0" w:color="auto"/>
              <w:left w:val="single" w:sz="2" w:space="0" w:color="auto"/>
              <w:bottom w:val="single" w:sz="2" w:space="0" w:color="auto"/>
              <w:right w:val="single" w:sz="2" w:space="0" w:color="auto"/>
            </w:tcBorders>
            <w:vAlign w:val="center"/>
          </w:tcPr>
          <w:p w14:paraId="0F5CC202"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748B71A8" w14:textId="77777777" w:rsidR="00B47442" w:rsidRPr="0009445C" w:rsidRDefault="00B47442" w:rsidP="0099521D">
            <w:pPr>
              <w:pStyle w:val="BRL-Tabelle"/>
              <w:spacing w:before="40" w:after="40"/>
              <w:jc w:val="center"/>
              <w:rPr>
                <w:rFonts w:cs="Arial"/>
              </w:rPr>
            </w:pPr>
            <w:r w:rsidRPr="0009445C">
              <w:t>X</w:t>
            </w:r>
          </w:p>
        </w:tc>
      </w:tr>
      <w:tr w:rsidR="00B47442" w:rsidRPr="0009445C" w14:paraId="36087BD0"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6600BC2A" w14:textId="77777777" w:rsidR="00B47442" w:rsidRPr="0009445C" w:rsidRDefault="00B47442" w:rsidP="0099521D">
            <w:pPr>
              <w:pStyle w:val="BRL-Tabelle"/>
              <w:spacing w:before="40" w:after="40"/>
            </w:pPr>
            <w:r w:rsidRPr="0009445C">
              <w:t>Lockable jet pipe – Torque for operation</w:t>
            </w:r>
          </w:p>
        </w:tc>
        <w:tc>
          <w:tcPr>
            <w:tcW w:w="2185" w:type="dxa"/>
            <w:tcBorders>
              <w:top w:val="single" w:sz="2" w:space="0" w:color="auto"/>
              <w:left w:val="single" w:sz="2" w:space="0" w:color="auto"/>
              <w:bottom w:val="single" w:sz="2" w:space="0" w:color="auto"/>
              <w:right w:val="single" w:sz="2" w:space="0" w:color="auto"/>
            </w:tcBorders>
            <w:vAlign w:val="center"/>
          </w:tcPr>
          <w:p w14:paraId="453F8780"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313E1716" w14:textId="77777777" w:rsidR="00B47442" w:rsidRPr="0009445C" w:rsidRDefault="00B47442" w:rsidP="0099521D">
            <w:pPr>
              <w:pStyle w:val="BRL-Tabelle"/>
              <w:spacing w:before="40" w:after="40"/>
              <w:jc w:val="center"/>
              <w:rPr>
                <w:rFonts w:cs="Arial"/>
              </w:rPr>
            </w:pPr>
            <w:r w:rsidRPr="0009445C">
              <w:t>X</w:t>
            </w:r>
          </w:p>
        </w:tc>
      </w:tr>
      <w:tr w:rsidR="00B47442" w:rsidRPr="0009445C" w14:paraId="6A2891AF"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7E82A5B6" w14:textId="77777777" w:rsidR="00B47442" w:rsidRPr="0009445C" w:rsidRDefault="00B47442" w:rsidP="0099521D">
            <w:pPr>
              <w:pStyle w:val="BRL-Tabelle"/>
              <w:spacing w:before="40" w:after="40"/>
            </w:pPr>
            <w:r w:rsidRPr="0009445C">
              <w:t>Shut-off valve on the water connection</w:t>
            </w:r>
          </w:p>
        </w:tc>
        <w:tc>
          <w:tcPr>
            <w:tcW w:w="2185" w:type="dxa"/>
            <w:tcBorders>
              <w:top w:val="single" w:sz="2" w:space="0" w:color="auto"/>
              <w:left w:val="single" w:sz="2" w:space="0" w:color="auto"/>
              <w:bottom w:val="single" w:sz="2" w:space="0" w:color="auto"/>
              <w:right w:val="single" w:sz="2" w:space="0" w:color="auto"/>
            </w:tcBorders>
            <w:vAlign w:val="center"/>
          </w:tcPr>
          <w:p w14:paraId="751C3E6F" w14:textId="77777777" w:rsidR="00B47442" w:rsidRPr="0009445C" w:rsidRDefault="00B47442" w:rsidP="0099521D">
            <w:pPr>
              <w:pStyle w:val="BRL-Tabelle"/>
              <w:spacing w:before="40" w:after="40"/>
              <w:jc w:val="center"/>
              <w:rPr>
                <w:rFonts w:cs="Arial"/>
              </w:rPr>
            </w:pPr>
          </w:p>
        </w:tc>
        <w:tc>
          <w:tcPr>
            <w:tcW w:w="2410" w:type="dxa"/>
            <w:tcBorders>
              <w:top w:val="single" w:sz="2" w:space="0" w:color="auto"/>
              <w:left w:val="single" w:sz="2" w:space="0" w:color="auto"/>
              <w:bottom w:val="single" w:sz="2" w:space="0" w:color="auto"/>
              <w:right w:val="single" w:sz="2" w:space="0" w:color="auto"/>
            </w:tcBorders>
            <w:vAlign w:val="center"/>
          </w:tcPr>
          <w:p w14:paraId="57942A53" w14:textId="77777777" w:rsidR="00B47442" w:rsidRPr="0009445C" w:rsidRDefault="00B47442" w:rsidP="0099521D">
            <w:pPr>
              <w:pStyle w:val="BRL-Tabelle"/>
              <w:spacing w:before="40" w:after="40"/>
              <w:jc w:val="center"/>
              <w:rPr>
                <w:rFonts w:cs="Arial"/>
              </w:rPr>
            </w:pPr>
            <w:r w:rsidRPr="0009445C">
              <w:t>X</w:t>
            </w:r>
          </w:p>
        </w:tc>
      </w:tr>
      <w:tr w:rsidR="00B47442" w:rsidRPr="0009445C" w14:paraId="6241BB1B"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3169D71E" w14:textId="77777777" w:rsidR="00B47442" w:rsidRPr="0009445C" w:rsidRDefault="00B47442" w:rsidP="0099521D">
            <w:pPr>
              <w:pStyle w:val="BRL-Tabelle"/>
              <w:spacing w:before="40" w:after="40"/>
            </w:pPr>
            <w:r w:rsidRPr="0009445C">
              <w:t>Shut-off valve on the water connection – General</w:t>
            </w:r>
          </w:p>
        </w:tc>
        <w:tc>
          <w:tcPr>
            <w:tcW w:w="2185" w:type="dxa"/>
            <w:tcBorders>
              <w:top w:val="single" w:sz="2" w:space="0" w:color="auto"/>
              <w:left w:val="single" w:sz="2" w:space="0" w:color="auto"/>
              <w:bottom w:val="single" w:sz="2" w:space="0" w:color="auto"/>
              <w:right w:val="single" w:sz="2" w:space="0" w:color="auto"/>
            </w:tcBorders>
            <w:vAlign w:val="center"/>
          </w:tcPr>
          <w:p w14:paraId="446E6CFE"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5B5836F8" w14:textId="77777777" w:rsidR="00B47442" w:rsidRPr="0009445C" w:rsidRDefault="00B47442" w:rsidP="0099521D">
            <w:pPr>
              <w:pStyle w:val="BRL-Tabelle"/>
              <w:spacing w:before="40" w:after="40"/>
              <w:jc w:val="center"/>
              <w:rPr>
                <w:rFonts w:cs="Arial"/>
              </w:rPr>
            </w:pPr>
          </w:p>
        </w:tc>
      </w:tr>
      <w:tr w:rsidR="00B47442" w:rsidRPr="0009445C" w14:paraId="108B57CE"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0EB3F40C" w14:textId="77777777" w:rsidR="00B47442" w:rsidRPr="0009445C" w:rsidRDefault="00B47442" w:rsidP="0099521D">
            <w:pPr>
              <w:pStyle w:val="BRL-Tabelle"/>
              <w:spacing w:before="40" w:after="40"/>
            </w:pPr>
            <w:r w:rsidRPr="0009445C">
              <w:t>Shut-off valve on the water connection – Manually operated shut-off valve</w:t>
            </w:r>
          </w:p>
        </w:tc>
        <w:tc>
          <w:tcPr>
            <w:tcW w:w="2185" w:type="dxa"/>
            <w:tcBorders>
              <w:top w:val="single" w:sz="2" w:space="0" w:color="auto"/>
              <w:left w:val="single" w:sz="2" w:space="0" w:color="auto"/>
              <w:bottom w:val="single" w:sz="2" w:space="0" w:color="auto"/>
              <w:right w:val="single" w:sz="2" w:space="0" w:color="auto"/>
            </w:tcBorders>
            <w:vAlign w:val="center"/>
          </w:tcPr>
          <w:p w14:paraId="28A61FCA"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081E6167" w14:textId="77777777" w:rsidR="00B47442" w:rsidRPr="0009445C" w:rsidRDefault="00B47442" w:rsidP="0099521D">
            <w:pPr>
              <w:pStyle w:val="BRL-Tabelle"/>
              <w:spacing w:before="40" w:after="40"/>
              <w:jc w:val="center"/>
              <w:rPr>
                <w:rFonts w:cs="Arial"/>
              </w:rPr>
            </w:pPr>
          </w:p>
        </w:tc>
      </w:tr>
      <w:tr w:rsidR="00B47442" w:rsidRPr="0009445C" w14:paraId="50F7DFCD"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4CB433D4" w14:textId="77777777" w:rsidR="00B47442" w:rsidRPr="0009445C" w:rsidRDefault="00B47442" w:rsidP="0099521D">
            <w:pPr>
              <w:pStyle w:val="BRL-Tabelle"/>
              <w:spacing w:before="40" w:after="40"/>
            </w:pPr>
            <w:r w:rsidRPr="0009445C">
              <w:t>Shut-off valve on the water connection – Automatic shut-off valve</w:t>
            </w:r>
          </w:p>
        </w:tc>
        <w:tc>
          <w:tcPr>
            <w:tcW w:w="2185" w:type="dxa"/>
            <w:tcBorders>
              <w:top w:val="single" w:sz="2" w:space="0" w:color="auto"/>
              <w:left w:val="single" w:sz="2" w:space="0" w:color="auto"/>
              <w:bottom w:val="single" w:sz="2" w:space="0" w:color="auto"/>
              <w:right w:val="single" w:sz="2" w:space="0" w:color="auto"/>
            </w:tcBorders>
            <w:vAlign w:val="center"/>
          </w:tcPr>
          <w:p w14:paraId="38353C7C"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6D5E2D2C" w14:textId="77777777" w:rsidR="00B47442" w:rsidRPr="0009445C" w:rsidRDefault="00B47442" w:rsidP="0099521D">
            <w:pPr>
              <w:pStyle w:val="BRL-Tabelle"/>
              <w:spacing w:before="40" w:after="40"/>
              <w:jc w:val="center"/>
              <w:rPr>
                <w:rFonts w:cs="Arial"/>
              </w:rPr>
            </w:pPr>
          </w:p>
        </w:tc>
      </w:tr>
      <w:tr w:rsidR="00B47442" w:rsidRPr="0009445C" w14:paraId="3C53A97B"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051AE30" w14:textId="77777777" w:rsidR="00B47442" w:rsidRPr="0009445C" w:rsidRDefault="00B47442" w:rsidP="0099521D">
            <w:pPr>
              <w:pStyle w:val="BRL-Tabelle"/>
              <w:spacing w:before="40" w:after="40"/>
            </w:pPr>
            <w:r w:rsidRPr="0009445C">
              <w:t>Hydraulic properties – Strength under internal pressure load</w:t>
            </w:r>
          </w:p>
        </w:tc>
        <w:tc>
          <w:tcPr>
            <w:tcW w:w="2185" w:type="dxa"/>
            <w:tcBorders>
              <w:top w:val="single" w:sz="2" w:space="0" w:color="auto"/>
              <w:left w:val="single" w:sz="2" w:space="0" w:color="auto"/>
              <w:bottom w:val="single" w:sz="2" w:space="0" w:color="auto"/>
              <w:right w:val="single" w:sz="2" w:space="0" w:color="auto"/>
            </w:tcBorders>
            <w:vAlign w:val="center"/>
          </w:tcPr>
          <w:p w14:paraId="689444CC"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1B202C64" w14:textId="77777777" w:rsidR="00B47442" w:rsidRPr="0009445C" w:rsidRDefault="00B47442" w:rsidP="0099521D">
            <w:pPr>
              <w:pStyle w:val="BRL-Tabelle"/>
              <w:spacing w:before="40" w:after="40"/>
              <w:jc w:val="center"/>
              <w:rPr>
                <w:rFonts w:cs="Arial"/>
              </w:rPr>
            </w:pPr>
          </w:p>
        </w:tc>
      </w:tr>
      <w:tr w:rsidR="00B47442" w:rsidRPr="0009445C" w14:paraId="6E0F1F2D"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7099B384" w14:textId="77777777" w:rsidR="00B47442" w:rsidRPr="0009445C" w:rsidRDefault="00B47442" w:rsidP="0099521D">
            <w:pPr>
              <w:pStyle w:val="BRL-Tabelle"/>
              <w:spacing w:before="40" w:after="40"/>
            </w:pPr>
            <w:r w:rsidRPr="0009445C">
              <w:t>Hydraulic properties – Compressive strength</w:t>
            </w:r>
          </w:p>
        </w:tc>
        <w:tc>
          <w:tcPr>
            <w:tcW w:w="2185" w:type="dxa"/>
            <w:tcBorders>
              <w:top w:val="single" w:sz="2" w:space="0" w:color="auto"/>
              <w:left w:val="single" w:sz="2" w:space="0" w:color="auto"/>
              <w:bottom w:val="single" w:sz="2" w:space="0" w:color="auto"/>
              <w:right w:val="single" w:sz="2" w:space="0" w:color="auto"/>
            </w:tcBorders>
            <w:vAlign w:val="center"/>
          </w:tcPr>
          <w:p w14:paraId="5388B501" w14:textId="77777777" w:rsidR="00B47442" w:rsidRPr="0009445C" w:rsidRDefault="00B47442" w:rsidP="0099521D">
            <w:pPr>
              <w:pStyle w:val="BRL-Tabelle"/>
              <w:spacing w:before="40" w:after="40"/>
              <w:jc w:val="center"/>
              <w:rPr>
                <w:rFonts w:cs="Arial"/>
              </w:rP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3E94D07D" w14:textId="77777777" w:rsidR="00B47442" w:rsidRPr="0009445C" w:rsidRDefault="00B47442" w:rsidP="0099521D">
            <w:pPr>
              <w:pStyle w:val="BRL-Tabelle"/>
              <w:spacing w:before="40" w:after="40"/>
              <w:jc w:val="center"/>
              <w:rPr>
                <w:rFonts w:cs="Arial"/>
              </w:rPr>
            </w:pPr>
          </w:p>
        </w:tc>
      </w:tr>
      <w:tr w:rsidR="00B47442" w:rsidRPr="0009445C" w14:paraId="3010BCF3"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52C0465" w14:textId="77777777" w:rsidR="00B47442" w:rsidRPr="0009445C" w:rsidRDefault="00B47442" w:rsidP="0099521D">
            <w:pPr>
              <w:pStyle w:val="BRL-Tabelle"/>
              <w:spacing w:before="40" w:after="40"/>
            </w:pPr>
            <w:r w:rsidRPr="0009445C">
              <w:t>Hydraulic properties – Resistance to internal pressure</w:t>
            </w:r>
          </w:p>
        </w:tc>
        <w:tc>
          <w:tcPr>
            <w:tcW w:w="2185" w:type="dxa"/>
            <w:tcBorders>
              <w:top w:val="single" w:sz="2" w:space="0" w:color="auto"/>
              <w:left w:val="single" w:sz="2" w:space="0" w:color="auto"/>
              <w:bottom w:val="single" w:sz="2" w:space="0" w:color="auto"/>
              <w:right w:val="single" w:sz="2" w:space="0" w:color="auto"/>
            </w:tcBorders>
            <w:vAlign w:val="center"/>
          </w:tcPr>
          <w:p w14:paraId="14B18B0F" w14:textId="77777777" w:rsidR="00B47442" w:rsidRPr="0009445C" w:rsidRDefault="00B47442" w:rsidP="0099521D">
            <w:pPr>
              <w:pStyle w:val="BRL-Tabelle"/>
              <w:spacing w:before="40" w:after="40"/>
              <w:jc w:val="center"/>
              <w:rPr>
                <w:rFonts w:cs="Arial"/>
              </w:rPr>
            </w:pPr>
          </w:p>
        </w:tc>
        <w:tc>
          <w:tcPr>
            <w:tcW w:w="2410" w:type="dxa"/>
            <w:tcBorders>
              <w:top w:val="single" w:sz="2" w:space="0" w:color="auto"/>
              <w:left w:val="single" w:sz="2" w:space="0" w:color="auto"/>
              <w:bottom w:val="single" w:sz="2" w:space="0" w:color="auto"/>
              <w:right w:val="single" w:sz="2" w:space="0" w:color="auto"/>
            </w:tcBorders>
            <w:vAlign w:val="center"/>
          </w:tcPr>
          <w:p w14:paraId="7A30754B" w14:textId="77777777" w:rsidR="00B47442" w:rsidRPr="0009445C" w:rsidRDefault="00B47442" w:rsidP="0099521D">
            <w:pPr>
              <w:pStyle w:val="BRL-Tabelle"/>
              <w:spacing w:before="40" w:after="40"/>
              <w:jc w:val="center"/>
              <w:rPr>
                <w:rFonts w:cs="Arial"/>
              </w:rPr>
            </w:pPr>
            <w:r w:rsidRPr="0009445C">
              <w:t>X</w:t>
            </w:r>
          </w:p>
        </w:tc>
      </w:tr>
      <w:tr w:rsidR="00B47442" w:rsidRPr="0009445C" w14:paraId="693B8C68"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0D2D961D" w14:textId="77777777" w:rsidR="00B47442" w:rsidRPr="0009445C" w:rsidRDefault="00B47442" w:rsidP="0099521D">
            <w:pPr>
              <w:pStyle w:val="BRL-Tabelle"/>
              <w:spacing w:before="40" w:after="40"/>
            </w:pPr>
            <w:r w:rsidRPr="0009445C">
              <w:t>Hydraulic properties, safety of couplings</w:t>
            </w:r>
          </w:p>
        </w:tc>
        <w:tc>
          <w:tcPr>
            <w:tcW w:w="2185" w:type="dxa"/>
            <w:tcBorders>
              <w:top w:val="single" w:sz="2" w:space="0" w:color="auto"/>
              <w:left w:val="single" w:sz="2" w:space="0" w:color="auto"/>
              <w:bottom w:val="single" w:sz="2" w:space="0" w:color="auto"/>
              <w:right w:val="single" w:sz="2" w:space="0" w:color="auto"/>
            </w:tcBorders>
            <w:vAlign w:val="center"/>
          </w:tcPr>
          <w:p w14:paraId="28E4963A" w14:textId="77777777" w:rsidR="00B47442" w:rsidRPr="0009445C" w:rsidRDefault="00B47442" w:rsidP="0099521D">
            <w:pPr>
              <w:pStyle w:val="BRL-Tabelle"/>
              <w:spacing w:before="40" w:after="40"/>
              <w:jc w:val="center"/>
              <w:rPr>
                <w:rFonts w:cs="Arial"/>
              </w:rPr>
            </w:pPr>
          </w:p>
        </w:tc>
        <w:tc>
          <w:tcPr>
            <w:tcW w:w="2410" w:type="dxa"/>
            <w:tcBorders>
              <w:top w:val="single" w:sz="2" w:space="0" w:color="auto"/>
              <w:left w:val="single" w:sz="2" w:space="0" w:color="auto"/>
              <w:bottom w:val="single" w:sz="2" w:space="0" w:color="auto"/>
              <w:right w:val="single" w:sz="2" w:space="0" w:color="auto"/>
            </w:tcBorders>
            <w:vAlign w:val="center"/>
          </w:tcPr>
          <w:p w14:paraId="6463F1AE" w14:textId="77777777" w:rsidR="00B47442" w:rsidRPr="0009445C" w:rsidRDefault="00B47442" w:rsidP="0099521D">
            <w:pPr>
              <w:pStyle w:val="BRL-Tabelle"/>
              <w:spacing w:before="40" w:after="40"/>
              <w:jc w:val="center"/>
              <w:rPr>
                <w:rFonts w:cs="Arial"/>
              </w:rPr>
            </w:pPr>
            <w:r w:rsidRPr="0009445C">
              <w:t>X</w:t>
            </w:r>
          </w:p>
        </w:tc>
      </w:tr>
      <w:tr w:rsidR="00B47442" w:rsidRPr="0009445C" w14:paraId="38708788"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2C8656B6" w14:textId="77777777" w:rsidR="00B47442" w:rsidRPr="0009445C" w:rsidRDefault="00B47442" w:rsidP="0099521D">
            <w:pPr>
              <w:pStyle w:val="BRL-Tabelle"/>
              <w:spacing w:before="40" w:after="40"/>
            </w:pPr>
            <w:r w:rsidRPr="0009445C">
              <w:rPr>
                <w:b/>
              </w:rPr>
              <w:t>Ease of unrolling the hose</w:t>
            </w:r>
          </w:p>
        </w:tc>
        <w:tc>
          <w:tcPr>
            <w:tcW w:w="4595" w:type="dxa"/>
            <w:gridSpan w:val="2"/>
            <w:tcBorders>
              <w:top w:val="single" w:sz="2" w:space="0" w:color="auto"/>
              <w:left w:val="single" w:sz="2" w:space="0" w:color="auto"/>
              <w:bottom w:val="single" w:sz="2" w:space="0" w:color="auto"/>
              <w:right w:val="single" w:sz="2" w:space="0" w:color="auto"/>
            </w:tcBorders>
            <w:vAlign w:val="center"/>
          </w:tcPr>
          <w:p w14:paraId="38B9514B" w14:textId="77777777" w:rsidR="00B47442" w:rsidRPr="0009445C" w:rsidRDefault="00B47442" w:rsidP="0099521D">
            <w:pPr>
              <w:pStyle w:val="Tabellentext"/>
              <w:spacing w:before="40" w:after="40"/>
              <w:jc w:val="center"/>
              <w:rPr>
                <w:rFonts w:cs="Arial"/>
              </w:rPr>
            </w:pPr>
          </w:p>
        </w:tc>
      </w:tr>
      <w:tr w:rsidR="00B47442" w:rsidRPr="0009445C" w14:paraId="47FBB1A2"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00C4BB7" w14:textId="77777777" w:rsidR="00B47442" w:rsidRPr="0009445C" w:rsidRDefault="00B47442" w:rsidP="0099521D">
            <w:pPr>
              <w:pStyle w:val="BRL-Tabelle"/>
              <w:spacing w:before="40" w:after="40"/>
            </w:pPr>
            <w:r w:rsidRPr="0009445C">
              <w:t>Reel – Unwinding force</w:t>
            </w:r>
          </w:p>
        </w:tc>
        <w:tc>
          <w:tcPr>
            <w:tcW w:w="2185" w:type="dxa"/>
            <w:tcBorders>
              <w:top w:val="single" w:sz="2" w:space="0" w:color="auto"/>
              <w:left w:val="single" w:sz="2" w:space="0" w:color="auto"/>
              <w:bottom w:val="single" w:sz="2" w:space="0" w:color="auto"/>
              <w:right w:val="single" w:sz="2" w:space="0" w:color="auto"/>
            </w:tcBorders>
            <w:vAlign w:val="center"/>
          </w:tcPr>
          <w:p w14:paraId="02C1871F"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5569695B" w14:textId="77777777" w:rsidR="00B47442" w:rsidRPr="0009445C" w:rsidRDefault="00B47442" w:rsidP="0099521D">
            <w:pPr>
              <w:pStyle w:val="BRL-Tabelle"/>
              <w:spacing w:before="40" w:after="40"/>
              <w:jc w:val="center"/>
            </w:pPr>
          </w:p>
        </w:tc>
      </w:tr>
      <w:tr w:rsidR="00B47442" w:rsidRPr="0009445C" w14:paraId="471BDF36"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1DDA8213" w14:textId="77777777" w:rsidR="00B47442" w:rsidRPr="0009445C" w:rsidRDefault="00B47442" w:rsidP="0099521D">
            <w:pPr>
              <w:pStyle w:val="BRL-Tabelle"/>
              <w:spacing w:before="40" w:after="40"/>
            </w:pPr>
            <w:r w:rsidRPr="0009445C">
              <w:t>Reel – Dynamic braking</w:t>
            </w:r>
          </w:p>
        </w:tc>
        <w:tc>
          <w:tcPr>
            <w:tcW w:w="2185" w:type="dxa"/>
            <w:tcBorders>
              <w:top w:val="single" w:sz="2" w:space="0" w:color="auto"/>
              <w:left w:val="single" w:sz="2" w:space="0" w:color="auto"/>
              <w:bottom w:val="single" w:sz="2" w:space="0" w:color="auto"/>
              <w:right w:val="single" w:sz="2" w:space="0" w:color="auto"/>
            </w:tcBorders>
            <w:vAlign w:val="center"/>
          </w:tcPr>
          <w:p w14:paraId="62BCCDCB"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002FDC1C" w14:textId="77777777" w:rsidR="00B47442" w:rsidRPr="0009445C" w:rsidRDefault="00B47442" w:rsidP="0099521D">
            <w:pPr>
              <w:pStyle w:val="BRL-Tabelle"/>
              <w:spacing w:before="40" w:after="40"/>
              <w:jc w:val="center"/>
            </w:pPr>
          </w:p>
        </w:tc>
      </w:tr>
      <w:tr w:rsidR="00B47442" w:rsidRPr="0009445C" w14:paraId="5BABF204"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134EE793" w14:textId="77777777" w:rsidR="00B47442" w:rsidRPr="0009445C" w:rsidRDefault="00B47442" w:rsidP="0099521D">
            <w:pPr>
              <w:pStyle w:val="BRL-Tabelle"/>
              <w:spacing w:before="40" w:after="40"/>
            </w:pPr>
            <w:r w:rsidRPr="0009445C">
              <w:t>Hose – Maximum length</w:t>
            </w:r>
          </w:p>
        </w:tc>
        <w:tc>
          <w:tcPr>
            <w:tcW w:w="2185" w:type="dxa"/>
            <w:tcBorders>
              <w:top w:val="single" w:sz="2" w:space="0" w:color="auto"/>
              <w:left w:val="single" w:sz="2" w:space="0" w:color="auto"/>
              <w:bottom w:val="single" w:sz="2" w:space="0" w:color="auto"/>
              <w:right w:val="single" w:sz="2" w:space="0" w:color="auto"/>
            </w:tcBorders>
            <w:vAlign w:val="center"/>
          </w:tcPr>
          <w:p w14:paraId="5516A2CE"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60709FB6" w14:textId="77777777" w:rsidR="00B47442" w:rsidRPr="0009445C" w:rsidRDefault="00B47442" w:rsidP="0099521D">
            <w:pPr>
              <w:pStyle w:val="BRL-Tabelle"/>
              <w:spacing w:before="40" w:after="40"/>
              <w:jc w:val="center"/>
            </w:pPr>
          </w:p>
        </w:tc>
      </w:tr>
      <w:tr w:rsidR="00B47442" w:rsidRPr="0009445C" w14:paraId="256804A1"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6E7068AE" w14:textId="77777777" w:rsidR="00B47442" w:rsidRPr="0009445C" w:rsidRDefault="00B47442" w:rsidP="0099521D">
            <w:pPr>
              <w:pStyle w:val="BRL-Tabelle"/>
              <w:spacing w:before="40" w:after="40"/>
            </w:pPr>
            <w:r w:rsidRPr="0009445C">
              <w:t>Hose retention device, type 1</w:t>
            </w:r>
          </w:p>
        </w:tc>
        <w:tc>
          <w:tcPr>
            <w:tcW w:w="2185" w:type="dxa"/>
            <w:tcBorders>
              <w:top w:val="single" w:sz="2" w:space="0" w:color="auto"/>
              <w:left w:val="single" w:sz="2" w:space="0" w:color="auto"/>
              <w:bottom w:val="single" w:sz="2" w:space="0" w:color="auto"/>
              <w:right w:val="single" w:sz="2" w:space="0" w:color="auto"/>
            </w:tcBorders>
            <w:vAlign w:val="center"/>
          </w:tcPr>
          <w:p w14:paraId="696CC442" w14:textId="77777777" w:rsidR="00B47442" w:rsidRPr="0009445C" w:rsidRDefault="00B47442" w:rsidP="0099521D">
            <w:pPr>
              <w:pStyle w:val="BRL-Tabelle"/>
              <w:spacing w:before="40" w:after="40"/>
              <w:jc w:val="center"/>
            </w:pPr>
          </w:p>
        </w:tc>
        <w:tc>
          <w:tcPr>
            <w:tcW w:w="2410" w:type="dxa"/>
            <w:tcBorders>
              <w:top w:val="single" w:sz="2" w:space="0" w:color="auto"/>
              <w:left w:val="single" w:sz="2" w:space="0" w:color="auto"/>
              <w:bottom w:val="single" w:sz="2" w:space="0" w:color="auto"/>
              <w:right w:val="single" w:sz="2" w:space="0" w:color="auto"/>
            </w:tcBorders>
            <w:vAlign w:val="center"/>
          </w:tcPr>
          <w:p w14:paraId="0CB20B4B" w14:textId="77777777" w:rsidR="00B47442" w:rsidRPr="0009445C" w:rsidRDefault="00B47442" w:rsidP="0099521D">
            <w:pPr>
              <w:pStyle w:val="BRL-Tabelle"/>
              <w:spacing w:before="40" w:after="40"/>
              <w:jc w:val="center"/>
            </w:pPr>
            <w:r w:rsidRPr="0009445C">
              <w:t>X</w:t>
            </w:r>
          </w:p>
        </w:tc>
      </w:tr>
      <w:tr w:rsidR="00B47442" w:rsidRPr="0009445C" w14:paraId="608D2BAE"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228659CD" w14:textId="77777777" w:rsidR="00B47442" w:rsidRPr="0009445C" w:rsidRDefault="00B47442" w:rsidP="0099521D">
            <w:pPr>
              <w:pStyle w:val="BRL-Tabelle"/>
              <w:spacing w:before="40" w:after="40"/>
            </w:pPr>
            <w:r w:rsidRPr="0009445C">
              <w:t>Hose retention device, type 1 and type 3</w:t>
            </w:r>
          </w:p>
        </w:tc>
        <w:tc>
          <w:tcPr>
            <w:tcW w:w="2185" w:type="dxa"/>
            <w:tcBorders>
              <w:top w:val="single" w:sz="2" w:space="0" w:color="auto"/>
              <w:left w:val="single" w:sz="2" w:space="0" w:color="auto"/>
              <w:bottom w:val="single" w:sz="2" w:space="0" w:color="auto"/>
              <w:right w:val="single" w:sz="2" w:space="0" w:color="auto"/>
            </w:tcBorders>
            <w:vAlign w:val="center"/>
          </w:tcPr>
          <w:p w14:paraId="172FC1A0" w14:textId="77777777" w:rsidR="00B47442" w:rsidRPr="0009445C" w:rsidRDefault="00B47442" w:rsidP="0099521D">
            <w:pPr>
              <w:pStyle w:val="BRL-Tabelle"/>
              <w:spacing w:before="40" w:after="40"/>
              <w:jc w:val="center"/>
            </w:pPr>
          </w:p>
        </w:tc>
        <w:tc>
          <w:tcPr>
            <w:tcW w:w="2410" w:type="dxa"/>
            <w:tcBorders>
              <w:top w:val="single" w:sz="2" w:space="0" w:color="auto"/>
              <w:left w:val="single" w:sz="2" w:space="0" w:color="auto"/>
              <w:bottom w:val="single" w:sz="2" w:space="0" w:color="auto"/>
              <w:right w:val="single" w:sz="2" w:space="0" w:color="auto"/>
            </w:tcBorders>
            <w:vAlign w:val="center"/>
          </w:tcPr>
          <w:p w14:paraId="1E23DACA" w14:textId="77777777" w:rsidR="00B47442" w:rsidRPr="0009445C" w:rsidRDefault="00B47442" w:rsidP="0099521D">
            <w:pPr>
              <w:pStyle w:val="BRL-Tabelle"/>
              <w:spacing w:before="40" w:after="40"/>
              <w:jc w:val="center"/>
            </w:pPr>
            <w:r w:rsidRPr="0009445C">
              <w:t>X</w:t>
            </w:r>
          </w:p>
        </w:tc>
      </w:tr>
      <w:tr w:rsidR="00B47442" w:rsidRPr="0009445C" w14:paraId="4A066421"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22D1AA2C" w14:textId="77777777" w:rsidR="00B47442" w:rsidRPr="0009445C" w:rsidRDefault="00B47442" w:rsidP="0099521D">
            <w:pPr>
              <w:pStyle w:val="BRL-Tabelle"/>
              <w:spacing w:before="40" w:after="40"/>
              <w:rPr>
                <w:b/>
              </w:rPr>
            </w:pPr>
            <w:r w:rsidRPr="0009445C">
              <w:rPr>
                <w:b/>
              </w:rPr>
              <w:t xml:space="preserve">Durability of functional safety/operational reliability </w:t>
            </w:r>
          </w:p>
        </w:tc>
        <w:tc>
          <w:tcPr>
            <w:tcW w:w="4595" w:type="dxa"/>
            <w:gridSpan w:val="2"/>
            <w:tcBorders>
              <w:top w:val="single" w:sz="2" w:space="0" w:color="auto"/>
              <w:left w:val="single" w:sz="2" w:space="0" w:color="auto"/>
              <w:bottom w:val="single" w:sz="2" w:space="0" w:color="auto"/>
              <w:right w:val="single" w:sz="2" w:space="0" w:color="auto"/>
            </w:tcBorders>
            <w:vAlign w:val="center"/>
          </w:tcPr>
          <w:p w14:paraId="607A2C67" w14:textId="77777777" w:rsidR="00B47442" w:rsidRPr="0009445C" w:rsidRDefault="00B47442" w:rsidP="0099521D">
            <w:pPr>
              <w:pStyle w:val="BRL-Tabelle"/>
              <w:spacing w:before="40" w:after="40"/>
              <w:jc w:val="center"/>
            </w:pPr>
          </w:p>
        </w:tc>
      </w:tr>
      <w:tr w:rsidR="00B47442" w:rsidRPr="0009445C" w14:paraId="396DE37A"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723C115D" w14:textId="77777777" w:rsidR="00B47442" w:rsidRPr="0009445C" w:rsidRDefault="00B47442" w:rsidP="0099521D">
            <w:pPr>
              <w:pStyle w:val="BRL-Tabelle"/>
              <w:spacing w:before="40" w:after="40"/>
            </w:pPr>
            <w:r w:rsidRPr="0009445C">
              <w:t>Resistance to corrosion of coated parts</w:t>
            </w:r>
          </w:p>
        </w:tc>
        <w:tc>
          <w:tcPr>
            <w:tcW w:w="2185" w:type="dxa"/>
            <w:tcBorders>
              <w:top w:val="single" w:sz="2" w:space="0" w:color="auto"/>
              <w:left w:val="single" w:sz="2" w:space="0" w:color="auto"/>
              <w:bottom w:val="single" w:sz="2" w:space="0" w:color="auto"/>
              <w:right w:val="single" w:sz="2" w:space="0" w:color="auto"/>
            </w:tcBorders>
            <w:vAlign w:val="center"/>
          </w:tcPr>
          <w:p w14:paraId="057312A7"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2A9F3981" w14:textId="77777777" w:rsidR="00B47442" w:rsidRPr="0009445C" w:rsidRDefault="00B47442" w:rsidP="0099521D">
            <w:pPr>
              <w:pStyle w:val="BRL-Tabelle"/>
              <w:spacing w:before="40" w:after="40"/>
              <w:jc w:val="center"/>
            </w:pPr>
            <w:r w:rsidRPr="0009445C">
              <w:t>X</w:t>
            </w:r>
          </w:p>
        </w:tc>
      </w:tr>
      <w:tr w:rsidR="00B47442" w:rsidRPr="0009445C" w14:paraId="56461A8B"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47BCA273" w14:textId="77777777" w:rsidR="00B47442" w:rsidRPr="0009445C" w:rsidRDefault="00B47442" w:rsidP="0099521D">
            <w:pPr>
              <w:pStyle w:val="BRL-Tabelle"/>
              <w:spacing w:before="40" w:after="40"/>
            </w:pPr>
            <w:r w:rsidRPr="0009445C">
              <w:t>Corrosion resistance of water-impacted parts</w:t>
            </w:r>
          </w:p>
        </w:tc>
        <w:tc>
          <w:tcPr>
            <w:tcW w:w="2185" w:type="dxa"/>
            <w:tcBorders>
              <w:top w:val="single" w:sz="2" w:space="0" w:color="auto"/>
              <w:left w:val="single" w:sz="2" w:space="0" w:color="auto"/>
              <w:bottom w:val="single" w:sz="2" w:space="0" w:color="auto"/>
              <w:right w:val="single" w:sz="2" w:space="0" w:color="auto"/>
            </w:tcBorders>
            <w:vAlign w:val="center"/>
          </w:tcPr>
          <w:p w14:paraId="2AB0FB88"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62AE5D81" w14:textId="77777777" w:rsidR="00B47442" w:rsidRPr="0009445C" w:rsidRDefault="00B47442" w:rsidP="0099521D">
            <w:pPr>
              <w:pStyle w:val="BRL-Tabelle"/>
              <w:spacing w:before="40" w:after="40"/>
              <w:jc w:val="center"/>
            </w:pPr>
            <w:r w:rsidRPr="0009445C">
              <w:t>X</w:t>
            </w:r>
          </w:p>
        </w:tc>
      </w:tr>
      <w:tr w:rsidR="00B47442" w:rsidRPr="0009445C" w14:paraId="70C4273B" w14:textId="77777777" w:rsidTr="0099521D">
        <w:tc>
          <w:tcPr>
            <w:tcW w:w="4836" w:type="dxa"/>
            <w:tcBorders>
              <w:top w:val="single" w:sz="2" w:space="0" w:color="auto"/>
              <w:left w:val="single" w:sz="2" w:space="0" w:color="auto"/>
              <w:bottom w:val="single" w:sz="2" w:space="0" w:color="auto"/>
              <w:right w:val="single" w:sz="2" w:space="0" w:color="auto"/>
            </w:tcBorders>
            <w:vAlign w:val="center"/>
          </w:tcPr>
          <w:p w14:paraId="5A7529ED" w14:textId="77777777" w:rsidR="00B47442" w:rsidRPr="0009445C" w:rsidRDefault="00B47442" w:rsidP="0099521D">
            <w:pPr>
              <w:pStyle w:val="BRL-Tabelle"/>
              <w:spacing w:before="40" w:after="40"/>
            </w:pPr>
            <w:r w:rsidRPr="0009445C">
              <w:t>Ageing test for plastic parts</w:t>
            </w:r>
          </w:p>
        </w:tc>
        <w:tc>
          <w:tcPr>
            <w:tcW w:w="2185" w:type="dxa"/>
            <w:tcBorders>
              <w:top w:val="single" w:sz="2" w:space="0" w:color="auto"/>
              <w:left w:val="single" w:sz="2" w:space="0" w:color="auto"/>
              <w:bottom w:val="single" w:sz="2" w:space="0" w:color="auto"/>
              <w:right w:val="single" w:sz="2" w:space="0" w:color="auto"/>
            </w:tcBorders>
            <w:vAlign w:val="center"/>
          </w:tcPr>
          <w:p w14:paraId="5BD6445C" w14:textId="77777777" w:rsidR="00B47442" w:rsidRPr="0009445C" w:rsidRDefault="00B47442" w:rsidP="0099521D">
            <w:pPr>
              <w:pStyle w:val="BRL-Tabelle"/>
              <w:spacing w:before="40" w:after="40"/>
              <w:jc w:val="center"/>
            </w:pPr>
            <w:r w:rsidRPr="0009445C">
              <w:t>X</w:t>
            </w:r>
          </w:p>
        </w:tc>
        <w:tc>
          <w:tcPr>
            <w:tcW w:w="2410" w:type="dxa"/>
            <w:tcBorders>
              <w:top w:val="single" w:sz="2" w:space="0" w:color="auto"/>
              <w:left w:val="single" w:sz="2" w:space="0" w:color="auto"/>
              <w:bottom w:val="single" w:sz="2" w:space="0" w:color="auto"/>
              <w:right w:val="single" w:sz="2" w:space="0" w:color="auto"/>
            </w:tcBorders>
            <w:vAlign w:val="center"/>
          </w:tcPr>
          <w:p w14:paraId="46096067" w14:textId="77777777" w:rsidR="00B47442" w:rsidRPr="0009445C" w:rsidRDefault="00B47442" w:rsidP="0099521D">
            <w:pPr>
              <w:pStyle w:val="BRL-Tabelle"/>
              <w:spacing w:before="40" w:after="40"/>
              <w:jc w:val="center"/>
            </w:pPr>
            <w:r w:rsidRPr="0009445C">
              <w:t>X</w:t>
            </w:r>
          </w:p>
        </w:tc>
      </w:tr>
      <w:tr w:rsidR="00B47442" w:rsidRPr="0009445C" w14:paraId="231F80B9" w14:textId="77777777" w:rsidTr="0099521D">
        <w:tc>
          <w:tcPr>
            <w:tcW w:w="9431" w:type="dxa"/>
            <w:gridSpan w:val="3"/>
            <w:tcBorders>
              <w:top w:val="single" w:sz="2" w:space="0" w:color="auto"/>
              <w:left w:val="single" w:sz="2" w:space="0" w:color="auto"/>
              <w:bottom w:val="single" w:sz="2" w:space="0" w:color="auto"/>
              <w:right w:val="single" w:sz="2" w:space="0" w:color="auto"/>
            </w:tcBorders>
            <w:vAlign w:val="center"/>
          </w:tcPr>
          <w:p w14:paraId="3021FE24" w14:textId="77777777" w:rsidR="00B47442" w:rsidRPr="0009445C" w:rsidRDefault="00B47442" w:rsidP="0099521D">
            <w:pPr>
              <w:pStyle w:val="BRL-Tabelle"/>
              <w:spacing w:before="40" w:after="40"/>
            </w:pPr>
            <w:r w:rsidRPr="0009445C">
              <w:t>X</w:t>
            </w:r>
            <w:r w:rsidRPr="0009445C">
              <w:tab/>
              <w:t>must be fulfilled</w:t>
            </w:r>
          </w:p>
        </w:tc>
      </w:tr>
    </w:tbl>
    <w:p w14:paraId="0A9A044A" w14:textId="77777777" w:rsidR="00B47442" w:rsidRPr="0009445C" w:rsidRDefault="00B47442" w:rsidP="00B47442">
      <w:pPr>
        <w:pStyle w:val="BRL-Standard"/>
        <w:spacing w:after="60"/>
      </w:pPr>
      <w:r w:rsidRPr="0009445C">
        <w:br w:type="page"/>
      </w:r>
      <w:r w:rsidRPr="0009445C">
        <w:lastRenderedPageBreak/>
        <w:t>Explanation for Table 3</w:t>
      </w:r>
    </w:p>
    <w:tbl>
      <w:tblPr>
        <w:tblW w:w="918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84"/>
        <w:gridCol w:w="8201"/>
      </w:tblGrid>
      <w:tr w:rsidR="00B47442" w:rsidRPr="0009445C" w14:paraId="3381F3E1" w14:textId="77777777" w:rsidTr="0099521D">
        <w:tc>
          <w:tcPr>
            <w:tcW w:w="984" w:type="dxa"/>
            <w:shd w:val="clear" w:color="auto" w:fill="auto"/>
          </w:tcPr>
          <w:p w14:paraId="7EA1E0D5" w14:textId="4CD32E1B" w:rsidR="00B47442" w:rsidRPr="0009445C" w:rsidRDefault="00B47442" w:rsidP="00AD315D">
            <w:pPr>
              <w:pStyle w:val="BRLTabelleberschrift"/>
              <w:tabs>
                <w:tab w:val="clear" w:pos="851"/>
              </w:tabs>
              <w:spacing w:before="60" w:after="40"/>
              <w:ind w:left="0" w:firstLine="0"/>
            </w:pPr>
            <w:r w:rsidRPr="0009445C">
              <w:t>Column no.</w:t>
            </w:r>
          </w:p>
        </w:tc>
        <w:tc>
          <w:tcPr>
            <w:tcW w:w="8201" w:type="dxa"/>
            <w:shd w:val="clear" w:color="auto" w:fill="auto"/>
            <w:vAlign w:val="center"/>
          </w:tcPr>
          <w:p w14:paraId="233B42E4" w14:textId="77777777" w:rsidR="00B47442" w:rsidRPr="0009445C" w:rsidRDefault="00B47442" w:rsidP="0099521D">
            <w:pPr>
              <w:pStyle w:val="BRLTabelleberschrift"/>
              <w:spacing w:before="60" w:after="40"/>
            </w:pPr>
            <w:r w:rsidRPr="0009445C">
              <w:t>Product according to harmonised standard</w:t>
            </w:r>
          </w:p>
        </w:tc>
      </w:tr>
      <w:tr w:rsidR="00B47442" w:rsidRPr="0009445C" w14:paraId="76B0AFBD" w14:textId="77777777" w:rsidTr="0099521D">
        <w:tc>
          <w:tcPr>
            <w:tcW w:w="984" w:type="dxa"/>
            <w:shd w:val="clear" w:color="auto" w:fill="auto"/>
          </w:tcPr>
          <w:p w14:paraId="1B75CA6B" w14:textId="77777777" w:rsidR="00B47442" w:rsidRPr="0009445C" w:rsidRDefault="00B47442" w:rsidP="0099521D">
            <w:pPr>
              <w:pStyle w:val="BRL-Tabelle"/>
              <w:spacing w:before="60" w:after="40"/>
            </w:pPr>
            <w:r w:rsidRPr="0009445C">
              <w:t>2</w:t>
            </w:r>
          </w:p>
        </w:tc>
        <w:tc>
          <w:tcPr>
            <w:tcW w:w="8201" w:type="dxa"/>
            <w:shd w:val="clear" w:color="auto" w:fill="auto"/>
          </w:tcPr>
          <w:p w14:paraId="10E32FE2" w14:textId="77777777" w:rsidR="00B47442" w:rsidRPr="0009445C" w:rsidRDefault="00B47442" w:rsidP="0099521D">
            <w:pPr>
              <w:pStyle w:val="BRL-Tabelle"/>
              <w:spacing w:before="60" w:after="40"/>
            </w:pPr>
            <w:r w:rsidRPr="0009445C">
              <w:t>EN 12094-1:2003 Part 1: Requirements and test methods for automatic electric control and delay devices</w:t>
            </w:r>
            <w:r w:rsidRPr="0009445C">
              <w:rPr>
                <w:vertAlign w:val="superscript"/>
              </w:rPr>
              <w:footnoteReference w:id="122"/>
            </w:r>
          </w:p>
        </w:tc>
      </w:tr>
      <w:tr w:rsidR="00B47442" w:rsidRPr="0009445C" w14:paraId="299DA0A6" w14:textId="77777777" w:rsidTr="0099521D">
        <w:tc>
          <w:tcPr>
            <w:tcW w:w="984" w:type="dxa"/>
            <w:shd w:val="clear" w:color="auto" w:fill="auto"/>
          </w:tcPr>
          <w:p w14:paraId="7352E02A" w14:textId="77777777" w:rsidR="00B47442" w:rsidRPr="0009445C" w:rsidRDefault="00B47442" w:rsidP="0099521D">
            <w:pPr>
              <w:pStyle w:val="BRL-Tabelle"/>
              <w:spacing w:before="60" w:after="40"/>
            </w:pPr>
            <w:r w:rsidRPr="0009445C">
              <w:t>3</w:t>
            </w:r>
          </w:p>
        </w:tc>
        <w:tc>
          <w:tcPr>
            <w:tcW w:w="8201" w:type="dxa"/>
            <w:shd w:val="clear" w:color="auto" w:fill="auto"/>
          </w:tcPr>
          <w:p w14:paraId="4D6EAADC" w14:textId="77777777" w:rsidR="00B47442" w:rsidRPr="0009445C" w:rsidRDefault="00B47442" w:rsidP="0099521D">
            <w:pPr>
              <w:pStyle w:val="BRL-Tabelle"/>
              <w:spacing w:before="60" w:after="40"/>
            </w:pPr>
            <w:r w:rsidRPr="0009445C">
              <w:t>EN 12094-2:2003 Part 2: Requirements and test methods for automatic non-electric control and delay devices</w:t>
            </w:r>
            <w:r w:rsidRPr="0009445C">
              <w:rPr>
                <w:vertAlign w:val="superscript"/>
              </w:rPr>
              <w:footnoteReference w:id="123"/>
            </w:r>
          </w:p>
        </w:tc>
      </w:tr>
      <w:tr w:rsidR="00B47442" w:rsidRPr="0009445C" w14:paraId="66B05948" w14:textId="77777777" w:rsidTr="0099521D">
        <w:tc>
          <w:tcPr>
            <w:tcW w:w="984" w:type="dxa"/>
            <w:shd w:val="clear" w:color="auto" w:fill="auto"/>
          </w:tcPr>
          <w:p w14:paraId="1F28DB45" w14:textId="77777777" w:rsidR="00B47442" w:rsidRPr="0009445C" w:rsidRDefault="00B47442" w:rsidP="0099521D">
            <w:pPr>
              <w:pStyle w:val="BRL-Tabelle"/>
              <w:spacing w:before="60" w:after="40"/>
            </w:pPr>
            <w:r w:rsidRPr="0009445C">
              <w:t>4</w:t>
            </w:r>
          </w:p>
        </w:tc>
        <w:tc>
          <w:tcPr>
            <w:tcW w:w="8201" w:type="dxa"/>
            <w:shd w:val="clear" w:color="auto" w:fill="auto"/>
          </w:tcPr>
          <w:p w14:paraId="7D70AD2C" w14:textId="77777777" w:rsidR="00B47442" w:rsidRPr="0009445C" w:rsidRDefault="00B47442" w:rsidP="0099521D">
            <w:pPr>
              <w:pStyle w:val="BRL-Tabelle"/>
              <w:spacing w:before="60" w:after="40"/>
            </w:pPr>
            <w:r w:rsidRPr="0009445C">
              <w:t>EN 12094-3:2003 Part 3: Requirements and test methods for manual triggering and stop switches</w:t>
            </w:r>
            <w:r w:rsidRPr="0009445C">
              <w:rPr>
                <w:vertAlign w:val="superscript"/>
              </w:rPr>
              <w:footnoteReference w:id="124"/>
            </w:r>
          </w:p>
        </w:tc>
      </w:tr>
      <w:tr w:rsidR="00B47442" w:rsidRPr="0009445C" w14:paraId="1E8500DC" w14:textId="77777777" w:rsidTr="0099521D">
        <w:tc>
          <w:tcPr>
            <w:tcW w:w="984" w:type="dxa"/>
            <w:shd w:val="clear" w:color="auto" w:fill="auto"/>
          </w:tcPr>
          <w:p w14:paraId="165E195E" w14:textId="77777777" w:rsidR="00B47442" w:rsidRPr="0009445C" w:rsidRDefault="00B47442" w:rsidP="0099521D">
            <w:pPr>
              <w:pStyle w:val="BRL-Tabelle"/>
              <w:spacing w:before="60" w:after="40"/>
            </w:pPr>
            <w:r w:rsidRPr="0009445C">
              <w:t>5</w:t>
            </w:r>
          </w:p>
        </w:tc>
        <w:tc>
          <w:tcPr>
            <w:tcW w:w="8201" w:type="dxa"/>
            <w:shd w:val="clear" w:color="auto" w:fill="auto"/>
          </w:tcPr>
          <w:p w14:paraId="32FFE871" w14:textId="77777777" w:rsidR="00B47442" w:rsidRPr="0009445C" w:rsidRDefault="00B47442" w:rsidP="0099521D">
            <w:pPr>
              <w:pStyle w:val="BRL-Tabelle"/>
              <w:spacing w:before="60" w:after="40"/>
            </w:pPr>
            <w:r w:rsidRPr="0009445C">
              <w:t>EN 12094-4:2004 Part 4: Requirements and test methods for container valve assemblies and their actuators</w:t>
            </w:r>
            <w:r w:rsidRPr="0009445C">
              <w:rPr>
                <w:vertAlign w:val="superscript"/>
              </w:rPr>
              <w:footnoteReference w:id="125"/>
            </w:r>
          </w:p>
        </w:tc>
      </w:tr>
      <w:tr w:rsidR="00B47442" w:rsidRPr="0009445C" w14:paraId="3E19A4BD" w14:textId="77777777" w:rsidTr="0099521D">
        <w:tc>
          <w:tcPr>
            <w:tcW w:w="984" w:type="dxa"/>
            <w:shd w:val="clear" w:color="auto" w:fill="auto"/>
          </w:tcPr>
          <w:p w14:paraId="6F7EA82C" w14:textId="77777777" w:rsidR="00B47442" w:rsidRPr="0009445C" w:rsidRDefault="00B47442" w:rsidP="0099521D">
            <w:pPr>
              <w:pStyle w:val="BRL-Tabelle"/>
              <w:spacing w:before="60" w:after="40"/>
            </w:pPr>
            <w:r w:rsidRPr="0009445C">
              <w:t>6</w:t>
            </w:r>
          </w:p>
        </w:tc>
        <w:tc>
          <w:tcPr>
            <w:tcW w:w="8201" w:type="dxa"/>
            <w:shd w:val="clear" w:color="auto" w:fill="auto"/>
          </w:tcPr>
          <w:p w14:paraId="69069F49" w14:textId="77777777" w:rsidR="00B47442" w:rsidRPr="0009445C" w:rsidRDefault="00B47442" w:rsidP="0099521D">
            <w:pPr>
              <w:pStyle w:val="BRL-Tabelle"/>
              <w:spacing w:before="60" w:after="40"/>
            </w:pPr>
            <w:r w:rsidRPr="0009445C">
              <w:t>EN 12094-5:2006 Part 5: Requirements and test methods for high- and low-pressure selector valves and their actuators</w:t>
            </w:r>
            <w:r w:rsidRPr="0009445C">
              <w:rPr>
                <w:vertAlign w:val="superscript"/>
              </w:rPr>
              <w:footnoteReference w:id="126"/>
            </w:r>
          </w:p>
        </w:tc>
      </w:tr>
      <w:tr w:rsidR="00B47442" w:rsidRPr="0009445C" w14:paraId="289A15CE" w14:textId="77777777" w:rsidTr="0099521D">
        <w:tc>
          <w:tcPr>
            <w:tcW w:w="984" w:type="dxa"/>
            <w:shd w:val="clear" w:color="auto" w:fill="auto"/>
          </w:tcPr>
          <w:p w14:paraId="78D1ABBE" w14:textId="77777777" w:rsidR="00B47442" w:rsidRPr="0009445C" w:rsidRDefault="00B47442" w:rsidP="0099521D">
            <w:pPr>
              <w:pStyle w:val="BRL-Tabelle"/>
              <w:spacing w:before="60" w:after="40"/>
            </w:pPr>
            <w:r w:rsidRPr="0009445C">
              <w:t>7</w:t>
            </w:r>
          </w:p>
        </w:tc>
        <w:tc>
          <w:tcPr>
            <w:tcW w:w="8201" w:type="dxa"/>
            <w:shd w:val="clear" w:color="auto" w:fill="auto"/>
          </w:tcPr>
          <w:p w14:paraId="1EB683FF" w14:textId="77777777" w:rsidR="00B47442" w:rsidRPr="0009445C" w:rsidRDefault="00B47442" w:rsidP="0099521D">
            <w:pPr>
              <w:pStyle w:val="BRL-Tabelle"/>
              <w:spacing w:before="60" w:after="40"/>
            </w:pPr>
            <w:r w:rsidRPr="0009445C">
              <w:t xml:space="preserve">EN 12094-6:2006 Part 6: Requirements and test methods for non-electric </w:t>
            </w:r>
          </w:p>
          <w:p w14:paraId="5AF29DBC" w14:textId="77777777" w:rsidR="00B47442" w:rsidRPr="0009445C" w:rsidRDefault="00B47442" w:rsidP="0099521D">
            <w:pPr>
              <w:pStyle w:val="BRL-Tabelle"/>
              <w:spacing w:before="60" w:after="40"/>
            </w:pPr>
            <w:r w:rsidRPr="0009445C">
              <w:t>disabling devices</w:t>
            </w:r>
            <w:r w:rsidRPr="0009445C">
              <w:rPr>
                <w:vertAlign w:val="superscript"/>
              </w:rPr>
              <w:footnoteReference w:id="127"/>
            </w:r>
          </w:p>
        </w:tc>
      </w:tr>
      <w:tr w:rsidR="00B47442" w:rsidRPr="0009445C" w14:paraId="4DFC9F1D" w14:textId="77777777" w:rsidTr="0099521D">
        <w:tc>
          <w:tcPr>
            <w:tcW w:w="984" w:type="dxa"/>
            <w:shd w:val="clear" w:color="auto" w:fill="auto"/>
          </w:tcPr>
          <w:p w14:paraId="3A4357E1" w14:textId="77777777" w:rsidR="00B47442" w:rsidRPr="0009445C" w:rsidRDefault="00B47442" w:rsidP="0099521D">
            <w:pPr>
              <w:pStyle w:val="BRL-Tabelle"/>
              <w:spacing w:before="60" w:after="40"/>
            </w:pPr>
            <w:r w:rsidRPr="0009445C">
              <w:t>8</w:t>
            </w:r>
          </w:p>
        </w:tc>
        <w:tc>
          <w:tcPr>
            <w:tcW w:w="8201" w:type="dxa"/>
            <w:shd w:val="clear" w:color="auto" w:fill="auto"/>
          </w:tcPr>
          <w:p w14:paraId="448F16A0" w14:textId="77777777" w:rsidR="00B47442" w:rsidRPr="0009445C" w:rsidRDefault="00B47442" w:rsidP="0099521D">
            <w:pPr>
              <w:pStyle w:val="BRL-Tabelle"/>
              <w:spacing w:before="60" w:after="40"/>
            </w:pPr>
            <w:r w:rsidRPr="0009445C">
              <w:t xml:space="preserve">EN 12094-7:2000 + A1:2005 Part 7: Requirements and test methods for nozzles </w:t>
            </w:r>
          </w:p>
          <w:p w14:paraId="4063C155" w14:textId="77777777" w:rsidR="00B47442" w:rsidRPr="0009445C" w:rsidRDefault="00B47442" w:rsidP="0099521D">
            <w:pPr>
              <w:pStyle w:val="BRL-Tabelle"/>
              <w:spacing w:before="60" w:after="40"/>
            </w:pPr>
            <w:r w:rsidRPr="0009445C">
              <w:t>for CO</w:t>
            </w:r>
            <w:r w:rsidRPr="0009445C">
              <w:rPr>
                <w:vertAlign w:val="subscript"/>
              </w:rPr>
              <w:t>2</w:t>
            </w:r>
            <w:r w:rsidRPr="0009445C">
              <w:t xml:space="preserve"> systems</w:t>
            </w:r>
            <w:r w:rsidRPr="0009445C">
              <w:rPr>
                <w:vertAlign w:val="superscript"/>
              </w:rPr>
              <w:footnoteReference w:id="128"/>
            </w:r>
          </w:p>
        </w:tc>
      </w:tr>
      <w:tr w:rsidR="00B47442" w:rsidRPr="0009445C" w14:paraId="7E325694" w14:textId="77777777" w:rsidTr="0099521D">
        <w:tc>
          <w:tcPr>
            <w:tcW w:w="984" w:type="dxa"/>
            <w:shd w:val="clear" w:color="auto" w:fill="auto"/>
          </w:tcPr>
          <w:p w14:paraId="6F70EF14" w14:textId="77777777" w:rsidR="00B47442" w:rsidRPr="0009445C" w:rsidRDefault="00B47442" w:rsidP="0099521D">
            <w:pPr>
              <w:pStyle w:val="BRL-Tabelle"/>
              <w:spacing w:before="60" w:after="40"/>
            </w:pPr>
            <w:r w:rsidRPr="0009445C">
              <w:t>9</w:t>
            </w:r>
          </w:p>
        </w:tc>
        <w:tc>
          <w:tcPr>
            <w:tcW w:w="8201" w:type="dxa"/>
            <w:shd w:val="clear" w:color="auto" w:fill="auto"/>
          </w:tcPr>
          <w:p w14:paraId="5A90C069" w14:textId="77777777" w:rsidR="00B47442" w:rsidRPr="0009445C" w:rsidRDefault="00B47442" w:rsidP="0099521D">
            <w:pPr>
              <w:pStyle w:val="BRL-Tabelle"/>
              <w:spacing w:before="60" w:after="40"/>
            </w:pPr>
            <w:r w:rsidRPr="0009445C">
              <w:t>EN 12094-8:2006 Part 8: Requirements and test methods for connectors</w:t>
            </w:r>
            <w:r w:rsidRPr="0009445C">
              <w:rPr>
                <w:vertAlign w:val="superscript"/>
              </w:rPr>
              <w:footnoteReference w:id="129"/>
            </w:r>
          </w:p>
        </w:tc>
      </w:tr>
      <w:tr w:rsidR="00B47442" w:rsidRPr="0009445C" w14:paraId="69720AF5" w14:textId="77777777" w:rsidTr="0099521D">
        <w:tc>
          <w:tcPr>
            <w:tcW w:w="984" w:type="dxa"/>
            <w:shd w:val="clear" w:color="auto" w:fill="auto"/>
          </w:tcPr>
          <w:p w14:paraId="6C30752F" w14:textId="77777777" w:rsidR="00B47442" w:rsidRPr="0009445C" w:rsidRDefault="00B47442" w:rsidP="0099521D">
            <w:pPr>
              <w:pStyle w:val="BRL-Tabelle"/>
              <w:spacing w:before="60" w:after="40"/>
            </w:pPr>
            <w:r w:rsidRPr="0009445C">
              <w:t>11</w:t>
            </w:r>
          </w:p>
        </w:tc>
        <w:tc>
          <w:tcPr>
            <w:tcW w:w="8201" w:type="dxa"/>
            <w:shd w:val="clear" w:color="auto" w:fill="auto"/>
          </w:tcPr>
          <w:p w14:paraId="1A0C6B03" w14:textId="77777777" w:rsidR="00B47442" w:rsidRPr="0009445C" w:rsidRDefault="00B47442" w:rsidP="0099521D">
            <w:pPr>
              <w:pStyle w:val="BRL-Tabelle"/>
              <w:spacing w:before="60" w:after="40"/>
            </w:pPr>
            <w:r w:rsidRPr="0009445C">
              <w:t>EN 12094-9:2003 Part 9: Requirements and test methods for special fire detectors</w:t>
            </w:r>
            <w:r w:rsidRPr="0009445C">
              <w:rPr>
                <w:vertAlign w:val="superscript"/>
              </w:rPr>
              <w:footnoteReference w:id="130"/>
            </w:r>
          </w:p>
        </w:tc>
      </w:tr>
      <w:tr w:rsidR="00B47442" w:rsidRPr="0009445C" w14:paraId="49BA2E08" w14:textId="77777777" w:rsidTr="0099521D">
        <w:tc>
          <w:tcPr>
            <w:tcW w:w="984" w:type="dxa"/>
            <w:shd w:val="clear" w:color="auto" w:fill="auto"/>
          </w:tcPr>
          <w:p w14:paraId="571B5409" w14:textId="77777777" w:rsidR="00B47442" w:rsidRPr="0009445C" w:rsidRDefault="00B47442" w:rsidP="0099521D">
            <w:pPr>
              <w:pStyle w:val="BRL-Tabelle"/>
              <w:spacing w:before="60" w:after="40"/>
            </w:pPr>
            <w:r w:rsidRPr="0009445C">
              <w:t>12</w:t>
            </w:r>
          </w:p>
        </w:tc>
        <w:tc>
          <w:tcPr>
            <w:tcW w:w="8201" w:type="dxa"/>
            <w:shd w:val="clear" w:color="auto" w:fill="auto"/>
          </w:tcPr>
          <w:p w14:paraId="4E73C0D9" w14:textId="77777777" w:rsidR="00B47442" w:rsidRPr="0009445C" w:rsidRDefault="00B47442" w:rsidP="0099521D">
            <w:pPr>
              <w:pStyle w:val="BRL-Tabelle"/>
              <w:spacing w:before="60" w:after="40"/>
            </w:pPr>
            <w:r w:rsidRPr="0009445C">
              <w:t>EN 12094-10:2003 Part 10: Requirements and test methods for pressure gauges and pressure switches</w:t>
            </w:r>
            <w:r w:rsidRPr="0009445C">
              <w:rPr>
                <w:vertAlign w:val="superscript"/>
              </w:rPr>
              <w:footnoteReference w:id="131"/>
            </w:r>
          </w:p>
        </w:tc>
      </w:tr>
      <w:tr w:rsidR="00B47442" w:rsidRPr="0009445C" w14:paraId="4DEB03C3" w14:textId="77777777" w:rsidTr="0099521D">
        <w:tc>
          <w:tcPr>
            <w:tcW w:w="984" w:type="dxa"/>
            <w:shd w:val="clear" w:color="auto" w:fill="auto"/>
          </w:tcPr>
          <w:p w14:paraId="0684C3A6" w14:textId="77777777" w:rsidR="00B47442" w:rsidRPr="0009445C" w:rsidRDefault="00B47442" w:rsidP="0099521D">
            <w:pPr>
              <w:pStyle w:val="BRL-Tabelle"/>
              <w:spacing w:before="60" w:after="40"/>
            </w:pPr>
            <w:r w:rsidRPr="0009445C">
              <w:t>13</w:t>
            </w:r>
          </w:p>
        </w:tc>
        <w:tc>
          <w:tcPr>
            <w:tcW w:w="8201" w:type="dxa"/>
            <w:shd w:val="clear" w:color="auto" w:fill="auto"/>
          </w:tcPr>
          <w:p w14:paraId="2E526982" w14:textId="77777777" w:rsidR="00B47442" w:rsidRPr="0009445C" w:rsidRDefault="00B47442" w:rsidP="0099521D">
            <w:pPr>
              <w:pStyle w:val="BRL-Tabelle"/>
              <w:spacing w:before="60" w:after="40"/>
            </w:pPr>
            <w:r w:rsidRPr="0009445C">
              <w:t xml:space="preserve">EN 12094-11:2003 Part 11: Requirements and test methods for mechanical </w:t>
            </w:r>
          </w:p>
          <w:p w14:paraId="2AA66E87" w14:textId="77777777" w:rsidR="00B47442" w:rsidRPr="0009445C" w:rsidRDefault="00B47442" w:rsidP="0099521D">
            <w:pPr>
              <w:pStyle w:val="BRL-Tabelle"/>
              <w:spacing w:before="60" w:after="40"/>
            </w:pPr>
            <w:r w:rsidRPr="0009445C">
              <w:t>weighing devices</w:t>
            </w:r>
            <w:r w:rsidRPr="0009445C">
              <w:rPr>
                <w:vertAlign w:val="superscript"/>
              </w:rPr>
              <w:footnoteReference w:id="132"/>
            </w:r>
          </w:p>
        </w:tc>
      </w:tr>
      <w:tr w:rsidR="00B47442" w:rsidRPr="0009445C" w14:paraId="53393EC0" w14:textId="77777777" w:rsidTr="0099521D">
        <w:tc>
          <w:tcPr>
            <w:tcW w:w="984" w:type="dxa"/>
            <w:shd w:val="clear" w:color="auto" w:fill="auto"/>
          </w:tcPr>
          <w:p w14:paraId="4BFC3E0F" w14:textId="77777777" w:rsidR="00B47442" w:rsidRPr="0009445C" w:rsidRDefault="00B47442" w:rsidP="0099521D">
            <w:pPr>
              <w:pStyle w:val="BRL-Tabelle"/>
              <w:spacing w:before="60" w:after="40"/>
            </w:pPr>
            <w:r w:rsidRPr="0009445C">
              <w:t>14</w:t>
            </w:r>
          </w:p>
        </w:tc>
        <w:tc>
          <w:tcPr>
            <w:tcW w:w="8201" w:type="dxa"/>
            <w:shd w:val="clear" w:color="auto" w:fill="auto"/>
          </w:tcPr>
          <w:p w14:paraId="26E5A6B5" w14:textId="77777777" w:rsidR="00B47442" w:rsidRPr="0009445C" w:rsidRDefault="00B47442" w:rsidP="0099521D">
            <w:pPr>
              <w:pStyle w:val="BRL-Tabelle"/>
              <w:spacing w:before="60" w:after="40"/>
            </w:pPr>
            <w:r w:rsidRPr="0009445C">
              <w:t>EN 12094-12:2003 Part 12: Requirements and test methods for pneumatic alarm devices</w:t>
            </w:r>
            <w:r w:rsidRPr="0009445C">
              <w:rPr>
                <w:vertAlign w:val="superscript"/>
              </w:rPr>
              <w:footnoteReference w:id="133"/>
            </w:r>
          </w:p>
        </w:tc>
      </w:tr>
      <w:tr w:rsidR="00B47442" w:rsidRPr="0009445C" w14:paraId="535569A4" w14:textId="77777777" w:rsidTr="0099521D">
        <w:tc>
          <w:tcPr>
            <w:tcW w:w="984" w:type="dxa"/>
            <w:shd w:val="clear" w:color="auto" w:fill="auto"/>
          </w:tcPr>
          <w:p w14:paraId="56293326" w14:textId="77777777" w:rsidR="00B47442" w:rsidRPr="0009445C" w:rsidRDefault="00B47442" w:rsidP="0099521D">
            <w:pPr>
              <w:pStyle w:val="BRL-Tabelle"/>
              <w:spacing w:before="60" w:after="40"/>
            </w:pPr>
            <w:r w:rsidRPr="0009445C">
              <w:t>15</w:t>
            </w:r>
          </w:p>
        </w:tc>
        <w:tc>
          <w:tcPr>
            <w:tcW w:w="8201" w:type="dxa"/>
            <w:shd w:val="clear" w:color="auto" w:fill="auto"/>
          </w:tcPr>
          <w:p w14:paraId="059C2C20" w14:textId="77777777" w:rsidR="00B47442" w:rsidRPr="0009445C" w:rsidRDefault="00B47442" w:rsidP="0099521D">
            <w:pPr>
              <w:pStyle w:val="BRL-Tabelle"/>
              <w:spacing w:before="60" w:after="40"/>
            </w:pPr>
            <w:r w:rsidRPr="0009445C">
              <w:t>EN 12094-13:2001/AC:2002 Part 13: Requirements and test methods for check valves and non-return valves</w:t>
            </w:r>
            <w:r w:rsidRPr="0009445C">
              <w:rPr>
                <w:vertAlign w:val="superscript"/>
              </w:rPr>
              <w:footnoteReference w:id="134"/>
            </w:r>
          </w:p>
        </w:tc>
      </w:tr>
    </w:tbl>
    <w:p w14:paraId="0EC2A441" w14:textId="77777777" w:rsidR="00B47442" w:rsidRPr="0009445C" w:rsidRDefault="00B47442" w:rsidP="00B47442">
      <w:pPr>
        <w:pStyle w:val="BRL-Standard"/>
      </w:pPr>
    </w:p>
    <w:p w14:paraId="5C2405C3" w14:textId="77777777" w:rsidR="00B47442" w:rsidRPr="0009445C" w:rsidRDefault="00B47442" w:rsidP="00B47442">
      <w:pPr>
        <w:pStyle w:val="BRL-Standard"/>
      </w:pPr>
    </w:p>
    <w:p w14:paraId="6CFDF3DC" w14:textId="77777777" w:rsidR="00B47442" w:rsidRPr="0009445C" w:rsidRDefault="00B47442" w:rsidP="00B47442">
      <w:pPr>
        <w:pStyle w:val="BRL-Standard"/>
        <w:spacing w:after="60"/>
        <w:rPr>
          <w:b/>
        </w:rPr>
      </w:pPr>
      <w:r w:rsidRPr="0009445C">
        <w:br w:type="page"/>
      </w:r>
      <w:r w:rsidRPr="0009445C">
        <w:rPr>
          <w:b/>
        </w:rPr>
        <w:lastRenderedPageBreak/>
        <w:t>Table 3:</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3"/>
        <w:gridCol w:w="538"/>
        <w:gridCol w:w="539"/>
        <w:gridCol w:w="540"/>
        <w:gridCol w:w="539"/>
        <w:gridCol w:w="540"/>
        <w:gridCol w:w="596"/>
        <w:gridCol w:w="539"/>
        <w:gridCol w:w="540"/>
        <w:gridCol w:w="540"/>
        <w:gridCol w:w="539"/>
        <w:gridCol w:w="540"/>
        <w:gridCol w:w="540"/>
        <w:gridCol w:w="540"/>
      </w:tblGrid>
      <w:tr w:rsidR="00B47442" w:rsidRPr="0009445C" w14:paraId="5338BD3C"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2A7F1F07" w14:textId="5FF7A249" w:rsidR="00B47442" w:rsidRPr="0009445C" w:rsidRDefault="00B47442" w:rsidP="00AD315D">
            <w:pPr>
              <w:pStyle w:val="BRLTabelleberschrift"/>
              <w:tabs>
                <w:tab w:val="clear" w:pos="851"/>
              </w:tabs>
              <w:ind w:left="0" w:firstLine="0"/>
            </w:pPr>
            <w:r w:rsidRPr="0009445C">
              <w:t xml:space="preserve">Essential </w:t>
            </w:r>
            <w:r w:rsidRPr="0009445C">
              <w:br/>
              <w:t>feature</w:t>
            </w:r>
          </w:p>
        </w:tc>
        <w:tc>
          <w:tcPr>
            <w:tcW w:w="7070" w:type="dxa"/>
            <w:gridSpan w:val="13"/>
            <w:tcBorders>
              <w:top w:val="single" w:sz="2" w:space="0" w:color="auto"/>
              <w:left w:val="single" w:sz="2" w:space="0" w:color="auto"/>
              <w:bottom w:val="single" w:sz="2" w:space="0" w:color="auto"/>
              <w:right w:val="single" w:sz="2" w:space="0" w:color="auto"/>
            </w:tcBorders>
            <w:vAlign w:val="center"/>
          </w:tcPr>
          <w:p w14:paraId="69D60989" w14:textId="77777777" w:rsidR="00B47442" w:rsidRPr="0009445C" w:rsidRDefault="00B47442" w:rsidP="0099521D">
            <w:pPr>
              <w:pStyle w:val="BRLTabelleberschrift"/>
            </w:pPr>
            <w:r w:rsidRPr="0009445C">
              <w:t xml:space="preserve"> Construction product for gas extinguishing systems according to harmonised standard </w:t>
            </w:r>
          </w:p>
        </w:tc>
      </w:tr>
      <w:tr w:rsidR="00B47442" w:rsidRPr="0009445C" w14:paraId="597C6494" w14:textId="77777777" w:rsidTr="0099521D">
        <w:tc>
          <w:tcPr>
            <w:tcW w:w="2063" w:type="dxa"/>
            <w:tcBorders>
              <w:top w:val="single" w:sz="2" w:space="0" w:color="auto"/>
              <w:left w:val="single" w:sz="2" w:space="0" w:color="auto"/>
              <w:bottom w:val="single" w:sz="2" w:space="0" w:color="auto"/>
              <w:right w:val="single" w:sz="2" w:space="0" w:color="auto"/>
            </w:tcBorders>
            <w:vAlign w:val="bottom"/>
          </w:tcPr>
          <w:p w14:paraId="42C0994A" w14:textId="77777777" w:rsidR="00B47442" w:rsidRPr="0009445C" w:rsidRDefault="00B47442" w:rsidP="0099521D">
            <w:pPr>
              <w:pStyle w:val="BRL-Tabelle"/>
              <w:jc w:val="center"/>
            </w:pPr>
            <w:r w:rsidRPr="0009445C">
              <w:t>1</w:t>
            </w:r>
          </w:p>
        </w:tc>
        <w:tc>
          <w:tcPr>
            <w:tcW w:w="538" w:type="dxa"/>
            <w:tcBorders>
              <w:top w:val="single" w:sz="2" w:space="0" w:color="auto"/>
              <w:left w:val="single" w:sz="2" w:space="0" w:color="auto"/>
              <w:bottom w:val="single" w:sz="2" w:space="0" w:color="auto"/>
              <w:right w:val="single" w:sz="2" w:space="0" w:color="auto"/>
            </w:tcBorders>
            <w:vAlign w:val="bottom"/>
          </w:tcPr>
          <w:p w14:paraId="71C57456" w14:textId="77777777" w:rsidR="00B47442" w:rsidRPr="0009445C" w:rsidRDefault="00B47442" w:rsidP="0099521D">
            <w:pPr>
              <w:pStyle w:val="BRL-Tabelle"/>
              <w:jc w:val="center"/>
            </w:pPr>
            <w:r w:rsidRPr="0009445C">
              <w:t>2</w:t>
            </w:r>
          </w:p>
        </w:tc>
        <w:tc>
          <w:tcPr>
            <w:tcW w:w="539" w:type="dxa"/>
            <w:tcBorders>
              <w:top w:val="single" w:sz="2" w:space="0" w:color="auto"/>
              <w:left w:val="single" w:sz="2" w:space="0" w:color="auto"/>
              <w:bottom w:val="single" w:sz="2" w:space="0" w:color="auto"/>
              <w:right w:val="single" w:sz="2" w:space="0" w:color="auto"/>
            </w:tcBorders>
            <w:vAlign w:val="bottom"/>
          </w:tcPr>
          <w:p w14:paraId="3F0CF9E2" w14:textId="77777777" w:rsidR="00B47442" w:rsidRPr="0009445C" w:rsidRDefault="00B47442" w:rsidP="0099521D">
            <w:pPr>
              <w:pStyle w:val="BRL-Tabelle"/>
              <w:jc w:val="center"/>
            </w:pPr>
            <w:r w:rsidRPr="0009445C">
              <w:t>3</w:t>
            </w:r>
          </w:p>
        </w:tc>
        <w:tc>
          <w:tcPr>
            <w:tcW w:w="540" w:type="dxa"/>
            <w:tcBorders>
              <w:top w:val="single" w:sz="2" w:space="0" w:color="auto"/>
              <w:left w:val="single" w:sz="2" w:space="0" w:color="auto"/>
              <w:bottom w:val="single" w:sz="2" w:space="0" w:color="auto"/>
              <w:right w:val="single" w:sz="2" w:space="0" w:color="auto"/>
            </w:tcBorders>
            <w:vAlign w:val="bottom"/>
          </w:tcPr>
          <w:p w14:paraId="6FDB29A4" w14:textId="77777777" w:rsidR="00B47442" w:rsidRPr="0009445C" w:rsidRDefault="00B47442" w:rsidP="0099521D">
            <w:pPr>
              <w:pStyle w:val="BRL-Tabelle"/>
              <w:jc w:val="center"/>
            </w:pPr>
            <w:r w:rsidRPr="0009445C">
              <w:t>4</w:t>
            </w:r>
          </w:p>
        </w:tc>
        <w:tc>
          <w:tcPr>
            <w:tcW w:w="539" w:type="dxa"/>
            <w:tcBorders>
              <w:top w:val="single" w:sz="2" w:space="0" w:color="auto"/>
              <w:left w:val="single" w:sz="2" w:space="0" w:color="auto"/>
              <w:bottom w:val="single" w:sz="2" w:space="0" w:color="auto"/>
              <w:right w:val="single" w:sz="2" w:space="0" w:color="auto"/>
            </w:tcBorders>
            <w:vAlign w:val="bottom"/>
          </w:tcPr>
          <w:p w14:paraId="45D970EA" w14:textId="77777777" w:rsidR="00B47442" w:rsidRPr="0009445C" w:rsidRDefault="00B47442" w:rsidP="0099521D">
            <w:pPr>
              <w:pStyle w:val="BRL-Tabelle"/>
              <w:jc w:val="center"/>
            </w:pPr>
            <w:r w:rsidRPr="0009445C">
              <w:t>5</w:t>
            </w:r>
          </w:p>
        </w:tc>
        <w:tc>
          <w:tcPr>
            <w:tcW w:w="540" w:type="dxa"/>
            <w:tcBorders>
              <w:top w:val="single" w:sz="2" w:space="0" w:color="auto"/>
              <w:left w:val="single" w:sz="2" w:space="0" w:color="auto"/>
              <w:bottom w:val="single" w:sz="2" w:space="0" w:color="auto"/>
              <w:right w:val="single" w:sz="2" w:space="0" w:color="auto"/>
            </w:tcBorders>
            <w:vAlign w:val="bottom"/>
          </w:tcPr>
          <w:p w14:paraId="41CD900F" w14:textId="77777777" w:rsidR="00B47442" w:rsidRPr="0009445C" w:rsidRDefault="00B47442" w:rsidP="0099521D">
            <w:pPr>
              <w:pStyle w:val="BRL-Tabelle"/>
              <w:jc w:val="center"/>
            </w:pPr>
            <w:r w:rsidRPr="0009445C">
              <w:t>6</w:t>
            </w:r>
          </w:p>
        </w:tc>
        <w:tc>
          <w:tcPr>
            <w:tcW w:w="596" w:type="dxa"/>
            <w:tcBorders>
              <w:top w:val="single" w:sz="2" w:space="0" w:color="auto"/>
              <w:left w:val="single" w:sz="2" w:space="0" w:color="auto"/>
              <w:bottom w:val="single" w:sz="2" w:space="0" w:color="auto"/>
              <w:right w:val="single" w:sz="2" w:space="0" w:color="auto"/>
            </w:tcBorders>
            <w:vAlign w:val="bottom"/>
          </w:tcPr>
          <w:p w14:paraId="061C5B21" w14:textId="77777777" w:rsidR="00B47442" w:rsidRPr="0009445C" w:rsidRDefault="00B47442" w:rsidP="0099521D">
            <w:pPr>
              <w:pStyle w:val="BRL-Tabelle"/>
              <w:jc w:val="center"/>
            </w:pPr>
            <w:r w:rsidRPr="0009445C">
              <w:t>7</w:t>
            </w:r>
          </w:p>
        </w:tc>
        <w:tc>
          <w:tcPr>
            <w:tcW w:w="539" w:type="dxa"/>
            <w:tcBorders>
              <w:top w:val="single" w:sz="2" w:space="0" w:color="auto"/>
              <w:left w:val="single" w:sz="2" w:space="0" w:color="auto"/>
              <w:bottom w:val="single" w:sz="2" w:space="0" w:color="auto"/>
              <w:right w:val="single" w:sz="2" w:space="0" w:color="auto"/>
            </w:tcBorders>
            <w:vAlign w:val="bottom"/>
          </w:tcPr>
          <w:p w14:paraId="08E0C600" w14:textId="77777777" w:rsidR="00B47442" w:rsidRPr="0009445C" w:rsidRDefault="00B47442" w:rsidP="0099521D">
            <w:pPr>
              <w:pStyle w:val="BRL-Tabelle"/>
              <w:jc w:val="center"/>
            </w:pPr>
            <w:r w:rsidRPr="0009445C">
              <w:t>8</w:t>
            </w:r>
          </w:p>
        </w:tc>
        <w:tc>
          <w:tcPr>
            <w:tcW w:w="540" w:type="dxa"/>
            <w:tcBorders>
              <w:top w:val="single" w:sz="2" w:space="0" w:color="auto"/>
              <w:left w:val="single" w:sz="2" w:space="0" w:color="auto"/>
              <w:bottom w:val="single" w:sz="2" w:space="0" w:color="auto"/>
              <w:right w:val="single" w:sz="2" w:space="0" w:color="auto"/>
            </w:tcBorders>
            <w:vAlign w:val="bottom"/>
          </w:tcPr>
          <w:p w14:paraId="3218ACA4" w14:textId="77777777" w:rsidR="00B47442" w:rsidRPr="0009445C" w:rsidRDefault="00B47442" w:rsidP="0099521D">
            <w:pPr>
              <w:pStyle w:val="BRL-Tabelle"/>
              <w:jc w:val="center"/>
            </w:pPr>
            <w:r w:rsidRPr="0009445C">
              <w:t>9</w:t>
            </w:r>
          </w:p>
        </w:tc>
        <w:tc>
          <w:tcPr>
            <w:tcW w:w="540" w:type="dxa"/>
            <w:tcBorders>
              <w:top w:val="single" w:sz="2" w:space="0" w:color="auto"/>
              <w:left w:val="single" w:sz="2" w:space="0" w:color="auto"/>
              <w:bottom w:val="single" w:sz="2" w:space="0" w:color="auto"/>
              <w:right w:val="single" w:sz="2" w:space="0" w:color="auto"/>
            </w:tcBorders>
            <w:vAlign w:val="bottom"/>
          </w:tcPr>
          <w:p w14:paraId="77A3E3B8" w14:textId="77777777" w:rsidR="00B47442" w:rsidRPr="0009445C" w:rsidRDefault="00B47442" w:rsidP="0099521D">
            <w:pPr>
              <w:pStyle w:val="BRL-Tabelle"/>
              <w:jc w:val="center"/>
            </w:pPr>
            <w:r w:rsidRPr="0009445C">
              <w:t>10</w:t>
            </w:r>
          </w:p>
        </w:tc>
        <w:tc>
          <w:tcPr>
            <w:tcW w:w="539" w:type="dxa"/>
            <w:tcBorders>
              <w:top w:val="single" w:sz="2" w:space="0" w:color="auto"/>
              <w:left w:val="single" w:sz="2" w:space="0" w:color="auto"/>
              <w:bottom w:val="single" w:sz="2" w:space="0" w:color="auto"/>
              <w:right w:val="single" w:sz="2" w:space="0" w:color="auto"/>
            </w:tcBorders>
            <w:vAlign w:val="bottom"/>
          </w:tcPr>
          <w:p w14:paraId="6564095F" w14:textId="77777777" w:rsidR="00B47442" w:rsidRPr="0009445C" w:rsidRDefault="00B47442" w:rsidP="0099521D">
            <w:pPr>
              <w:pStyle w:val="BRL-Tabelle"/>
              <w:jc w:val="center"/>
            </w:pPr>
            <w:r w:rsidRPr="0009445C">
              <w:t>11</w:t>
            </w:r>
          </w:p>
        </w:tc>
        <w:tc>
          <w:tcPr>
            <w:tcW w:w="540" w:type="dxa"/>
            <w:tcBorders>
              <w:top w:val="single" w:sz="2" w:space="0" w:color="auto"/>
              <w:left w:val="single" w:sz="2" w:space="0" w:color="auto"/>
              <w:bottom w:val="single" w:sz="2" w:space="0" w:color="auto"/>
              <w:right w:val="single" w:sz="2" w:space="0" w:color="auto"/>
            </w:tcBorders>
            <w:vAlign w:val="bottom"/>
          </w:tcPr>
          <w:p w14:paraId="49C86158" w14:textId="77777777" w:rsidR="00B47442" w:rsidRPr="0009445C" w:rsidRDefault="00B47442" w:rsidP="0099521D">
            <w:pPr>
              <w:pStyle w:val="BRL-Tabelle"/>
              <w:jc w:val="center"/>
            </w:pPr>
            <w:r w:rsidRPr="0009445C">
              <w:t>12</w:t>
            </w:r>
          </w:p>
        </w:tc>
        <w:tc>
          <w:tcPr>
            <w:tcW w:w="540" w:type="dxa"/>
            <w:tcBorders>
              <w:top w:val="single" w:sz="2" w:space="0" w:color="auto"/>
              <w:left w:val="single" w:sz="2" w:space="0" w:color="auto"/>
              <w:bottom w:val="single" w:sz="2" w:space="0" w:color="auto"/>
              <w:right w:val="single" w:sz="2" w:space="0" w:color="auto"/>
            </w:tcBorders>
            <w:vAlign w:val="bottom"/>
          </w:tcPr>
          <w:p w14:paraId="274B5306" w14:textId="77777777" w:rsidR="00B47442" w:rsidRPr="0009445C" w:rsidRDefault="00B47442" w:rsidP="0099521D">
            <w:pPr>
              <w:pStyle w:val="BRL-Tabelle"/>
              <w:jc w:val="center"/>
            </w:pPr>
            <w:r w:rsidRPr="0009445C">
              <w:t>13</w:t>
            </w:r>
          </w:p>
        </w:tc>
        <w:tc>
          <w:tcPr>
            <w:tcW w:w="540" w:type="dxa"/>
            <w:tcBorders>
              <w:top w:val="single" w:sz="2" w:space="0" w:color="auto"/>
              <w:left w:val="single" w:sz="2" w:space="0" w:color="auto"/>
              <w:bottom w:val="single" w:sz="2" w:space="0" w:color="auto"/>
              <w:right w:val="single" w:sz="2" w:space="0" w:color="auto"/>
            </w:tcBorders>
            <w:vAlign w:val="bottom"/>
          </w:tcPr>
          <w:p w14:paraId="0FBCCFCB" w14:textId="77777777" w:rsidR="00B47442" w:rsidRPr="0009445C" w:rsidRDefault="00B47442" w:rsidP="0099521D">
            <w:pPr>
              <w:pStyle w:val="BRL-Tabelle"/>
              <w:jc w:val="center"/>
            </w:pPr>
            <w:r w:rsidRPr="0009445C">
              <w:t>14</w:t>
            </w:r>
          </w:p>
        </w:tc>
      </w:tr>
      <w:tr w:rsidR="00B47442" w:rsidRPr="0009445C" w14:paraId="7E10D8B9"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142B66B2" w14:textId="77777777" w:rsidR="00B47442" w:rsidRPr="0009445C" w:rsidRDefault="00B47442" w:rsidP="0099521D">
            <w:pPr>
              <w:pStyle w:val="BRL-Tabelle"/>
              <w:spacing w:before="60" w:after="40"/>
            </w:pPr>
            <w:r w:rsidRPr="0009445C">
              <w:t>Response delay (response time)</w:t>
            </w:r>
          </w:p>
        </w:tc>
        <w:tc>
          <w:tcPr>
            <w:tcW w:w="538" w:type="dxa"/>
            <w:tcBorders>
              <w:top w:val="single" w:sz="2" w:space="0" w:color="auto"/>
              <w:left w:val="single" w:sz="2" w:space="0" w:color="auto"/>
              <w:bottom w:val="single" w:sz="2" w:space="0" w:color="auto"/>
              <w:right w:val="single" w:sz="2" w:space="0" w:color="auto"/>
            </w:tcBorders>
            <w:vAlign w:val="center"/>
          </w:tcPr>
          <w:p w14:paraId="600F87D7"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4EDB2064"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47767BA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771F7DB"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5A3E45A7"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2203013E"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68537EB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63202F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7A94DB9"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25177352"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FAFE4B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9E5DE60"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290F4EC" w14:textId="77777777" w:rsidR="00B47442" w:rsidRPr="0009445C" w:rsidRDefault="00B47442" w:rsidP="0099521D">
            <w:pPr>
              <w:pStyle w:val="BRL-Tabelle"/>
              <w:spacing w:before="60" w:after="40"/>
              <w:jc w:val="center"/>
            </w:pPr>
          </w:p>
        </w:tc>
      </w:tr>
      <w:tr w:rsidR="00B47442" w:rsidRPr="0009445C" w14:paraId="661E099C"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67572CFD" w14:textId="77777777" w:rsidR="00B47442" w:rsidRPr="0009445C" w:rsidRDefault="00B47442" w:rsidP="0099521D">
            <w:pPr>
              <w:pStyle w:val="BRL-Tabelle"/>
              <w:spacing w:before="60" w:after="40"/>
            </w:pPr>
            <w:r w:rsidRPr="0009445C">
              <w:t>Operational safety</w:t>
            </w:r>
          </w:p>
        </w:tc>
        <w:tc>
          <w:tcPr>
            <w:tcW w:w="538" w:type="dxa"/>
            <w:tcBorders>
              <w:top w:val="single" w:sz="2" w:space="0" w:color="auto"/>
              <w:left w:val="single" w:sz="2" w:space="0" w:color="auto"/>
              <w:bottom w:val="single" w:sz="2" w:space="0" w:color="auto"/>
              <w:right w:val="single" w:sz="2" w:space="0" w:color="auto"/>
            </w:tcBorders>
            <w:vAlign w:val="center"/>
          </w:tcPr>
          <w:p w14:paraId="1665C27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58E175C4"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C6FBEB0"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5F341A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02A63BC"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1540E264"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7539C78E"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4A97963"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4A2ACE6"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5FCFB68A"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E9AB4C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017398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60698BB" w14:textId="77777777" w:rsidR="00B47442" w:rsidRPr="0009445C" w:rsidRDefault="00B47442" w:rsidP="0099521D">
            <w:pPr>
              <w:pStyle w:val="BRL-Tabelle"/>
              <w:spacing w:before="60" w:after="40"/>
              <w:jc w:val="center"/>
            </w:pPr>
            <w:r w:rsidRPr="0009445C">
              <w:t>X</w:t>
            </w:r>
          </w:p>
        </w:tc>
      </w:tr>
      <w:tr w:rsidR="00B47442" w:rsidRPr="0009445C" w14:paraId="4160162B"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2963910C" w14:textId="77777777" w:rsidR="00B47442" w:rsidRPr="0009445C" w:rsidRDefault="00B47442" w:rsidP="0099521D">
            <w:pPr>
              <w:pStyle w:val="BRL-Tabelle"/>
              <w:spacing w:before="60" w:after="40"/>
            </w:pPr>
            <w:r w:rsidRPr="0009445C">
              <w:t>Operational reliability</w:t>
            </w:r>
          </w:p>
        </w:tc>
        <w:tc>
          <w:tcPr>
            <w:tcW w:w="538" w:type="dxa"/>
            <w:tcBorders>
              <w:top w:val="single" w:sz="2" w:space="0" w:color="auto"/>
              <w:left w:val="single" w:sz="2" w:space="0" w:color="auto"/>
              <w:bottom w:val="single" w:sz="2" w:space="0" w:color="auto"/>
              <w:right w:val="single" w:sz="2" w:space="0" w:color="auto"/>
            </w:tcBorders>
            <w:vAlign w:val="center"/>
          </w:tcPr>
          <w:p w14:paraId="6BC037FF"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48312C25"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217760AF"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7BC4D9DC"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49E6C748" w14:textId="77777777" w:rsidR="00B47442" w:rsidRPr="0009445C" w:rsidRDefault="00B47442" w:rsidP="0099521D">
            <w:pPr>
              <w:pStyle w:val="BRL-Tabelle"/>
              <w:spacing w:before="60" w:after="40"/>
              <w:jc w:val="center"/>
            </w:pPr>
            <w:r w:rsidRPr="0009445C">
              <w:t>X</w:t>
            </w:r>
          </w:p>
        </w:tc>
        <w:tc>
          <w:tcPr>
            <w:tcW w:w="596" w:type="dxa"/>
            <w:tcBorders>
              <w:top w:val="single" w:sz="2" w:space="0" w:color="auto"/>
              <w:left w:val="single" w:sz="2" w:space="0" w:color="auto"/>
              <w:bottom w:val="single" w:sz="2" w:space="0" w:color="auto"/>
              <w:right w:val="single" w:sz="2" w:space="0" w:color="auto"/>
            </w:tcBorders>
            <w:vAlign w:val="center"/>
          </w:tcPr>
          <w:p w14:paraId="3577E076"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52EAD76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656374E"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0494573F"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49E3D04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3BAC73B"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6F79F12E"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34266E3E" w14:textId="77777777" w:rsidR="00B47442" w:rsidRPr="0009445C" w:rsidRDefault="00B47442" w:rsidP="0099521D">
            <w:pPr>
              <w:pStyle w:val="BRL-Tabelle"/>
              <w:spacing w:before="60" w:after="40"/>
              <w:jc w:val="center"/>
            </w:pPr>
          </w:p>
        </w:tc>
      </w:tr>
      <w:tr w:rsidR="00B47442" w:rsidRPr="0009445C" w14:paraId="15176642"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1E3F3AB4" w14:textId="77777777" w:rsidR="00B47442" w:rsidRPr="0009445C" w:rsidRDefault="00B47442" w:rsidP="0099521D">
            <w:pPr>
              <w:pStyle w:val="BRL-Tabelle"/>
              <w:spacing w:before="60" w:after="40"/>
            </w:pPr>
            <w:r w:rsidRPr="0009445C">
              <w:t>Stability of operational reliability against corrosion</w:t>
            </w:r>
          </w:p>
        </w:tc>
        <w:tc>
          <w:tcPr>
            <w:tcW w:w="538" w:type="dxa"/>
            <w:tcBorders>
              <w:top w:val="single" w:sz="2" w:space="0" w:color="auto"/>
              <w:left w:val="single" w:sz="2" w:space="0" w:color="auto"/>
              <w:bottom w:val="single" w:sz="2" w:space="0" w:color="auto"/>
              <w:right w:val="single" w:sz="2" w:space="0" w:color="auto"/>
            </w:tcBorders>
            <w:vAlign w:val="center"/>
          </w:tcPr>
          <w:p w14:paraId="7ABBBF0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0F9BDC11"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695622F5"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8880658"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56822AF"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07073658"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ABC8C3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E5CB17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510E9A2"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24DFF01A"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E0ADFD9"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23A6FD5"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6E11CB6" w14:textId="77777777" w:rsidR="00B47442" w:rsidRPr="0009445C" w:rsidRDefault="00B47442" w:rsidP="0099521D">
            <w:pPr>
              <w:pStyle w:val="BRL-Tabelle"/>
              <w:spacing w:before="60" w:after="40"/>
              <w:jc w:val="center"/>
            </w:pPr>
            <w:r w:rsidRPr="0009445C">
              <w:t>X</w:t>
            </w:r>
          </w:p>
        </w:tc>
      </w:tr>
      <w:tr w:rsidR="00B47442" w:rsidRPr="0009445C" w14:paraId="32166B0D"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3DBABA48" w14:textId="77777777" w:rsidR="00B47442" w:rsidRPr="0009445C" w:rsidRDefault="00B47442" w:rsidP="0099521D">
            <w:pPr>
              <w:pStyle w:val="BRL-Tabelle"/>
              <w:spacing w:before="60" w:after="40"/>
            </w:pPr>
            <w:r w:rsidRPr="0009445C">
              <w:t>Stability of operational reliability; Swinging</w:t>
            </w:r>
          </w:p>
        </w:tc>
        <w:tc>
          <w:tcPr>
            <w:tcW w:w="538" w:type="dxa"/>
            <w:tcBorders>
              <w:top w:val="single" w:sz="2" w:space="0" w:color="auto"/>
              <w:left w:val="single" w:sz="2" w:space="0" w:color="auto"/>
              <w:bottom w:val="single" w:sz="2" w:space="0" w:color="auto"/>
              <w:right w:val="single" w:sz="2" w:space="0" w:color="auto"/>
            </w:tcBorders>
            <w:vAlign w:val="center"/>
          </w:tcPr>
          <w:p w14:paraId="3F8940DC"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0F8A168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F902F3C"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1970EEF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C8CF963"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67481B8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5454548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23C3E2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C2A0A7C"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13E0EB20"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6A8E751"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8BEED37"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F9F01D7" w14:textId="77777777" w:rsidR="00B47442" w:rsidRPr="0009445C" w:rsidRDefault="00B47442" w:rsidP="0099521D">
            <w:pPr>
              <w:pStyle w:val="BRL-Tabelle"/>
              <w:spacing w:before="60" w:after="40"/>
              <w:jc w:val="center"/>
            </w:pPr>
            <w:r w:rsidRPr="0009445C">
              <w:t>X</w:t>
            </w:r>
          </w:p>
        </w:tc>
      </w:tr>
      <w:tr w:rsidR="00B47442" w:rsidRPr="0009445C" w14:paraId="113322B5"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21159250" w14:textId="77777777" w:rsidR="00B47442" w:rsidRPr="0009445C" w:rsidRDefault="00B47442" w:rsidP="0099521D">
            <w:pPr>
              <w:pStyle w:val="BRL-Tabelle"/>
              <w:spacing w:before="60" w:after="40"/>
            </w:pPr>
            <w:r w:rsidRPr="0009445C">
              <w:t>Durability of operational reliability against corrosion</w:t>
            </w:r>
          </w:p>
        </w:tc>
        <w:tc>
          <w:tcPr>
            <w:tcW w:w="538" w:type="dxa"/>
            <w:tcBorders>
              <w:top w:val="single" w:sz="2" w:space="0" w:color="auto"/>
              <w:left w:val="single" w:sz="2" w:space="0" w:color="auto"/>
              <w:bottom w:val="single" w:sz="2" w:space="0" w:color="auto"/>
              <w:right w:val="single" w:sz="2" w:space="0" w:color="auto"/>
            </w:tcBorders>
            <w:vAlign w:val="center"/>
          </w:tcPr>
          <w:p w14:paraId="539AD091"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75402BC8"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9DC8115"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5B50CBF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5AE55B8"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4C1B3F25"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C525D5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ED37F7E"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2CEB0AE"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E5CEDF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E22B02B"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53CD305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1C582AF" w14:textId="77777777" w:rsidR="00B47442" w:rsidRPr="0009445C" w:rsidRDefault="00B47442" w:rsidP="0099521D">
            <w:pPr>
              <w:pStyle w:val="BRL-Tabelle"/>
              <w:spacing w:before="60" w:after="40"/>
              <w:jc w:val="center"/>
            </w:pPr>
          </w:p>
        </w:tc>
      </w:tr>
      <w:tr w:rsidR="00B47442" w:rsidRPr="0009445C" w14:paraId="4ABE3BBF"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71C736E5" w14:textId="77777777" w:rsidR="00B47442" w:rsidRPr="0009445C" w:rsidRDefault="00B47442" w:rsidP="0099521D">
            <w:pPr>
              <w:pStyle w:val="BRL-Tabelle"/>
              <w:spacing w:before="60" w:after="40"/>
            </w:pPr>
            <w:r w:rsidRPr="0009445C">
              <w:t>Durability of operational reliability</w:t>
            </w:r>
          </w:p>
        </w:tc>
        <w:tc>
          <w:tcPr>
            <w:tcW w:w="538" w:type="dxa"/>
            <w:tcBorders>
              <w:top w:val="single" w:sz="2" w:space="0" w:color="auto"/>
              <w:left w:val="single" w:sz="2" w:space="0" w:color="auto"/>
              <w:bottom w:val="single" w:sz="2" w:space="0" w:color="auto"/>
              <w:right w:val="single" w:sz="2" w:space="0" w:color="auto"/>
            </w:tcBorders>
            <w:vAlign w:val="center"/>
          </w:tcPr>
          <w:p w14:paraId="0291E86E"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28E738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DF35C17"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1C209881"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9873E8B" w14:textId="77777777" w:rsidR="00B47442" w:rsidRPr="0009445C" w:rsidRDefault="00B47442" w:rsidP="0099521D">
            <w:pPr>
              <w:pStyle w:val="BRL-Tabelle"/>
              <w:spacing w:before="60" w:after="40"/>
              <w:jc w:val="center"/>
            </w:pPr>
            <w:r w:rsidRPr="0009445C">
              <w:t>X</w:t>
            </w:r>
          </w:p>
        </w:tc>
        <w:tc>
          <w:tcPr>
            <w:tcW w:w="596" w:type="dxa"/>
            <w:tcBorders>
              <w:top w:val="single" w:sz="2" w:space="0" w:color="auto"/>
              <w:left w:val="single" w:sz="2" w:space="0" w:color="auto"/>
              <w:bottom w:val="single" w:sz="2" w:space="0" w:color="auto"/>
              <w:right w:val="single" w:sz="2" w:space="0" w:color="auto"/>
            </w:tcBorders>
            <w:vAlign w:val="center"/>
          </w:tcPr>
          <w:p w14:paraId="44771E62"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28D55EC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CA2F06F"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31EEA5DF"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B5E23C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58FFD09"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FEB1764"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48ED17FE" w14:textId="77777777" w:rsidR="00B47442" w:rsidRPr="0009445C" w:rsidRDefault="00B47442" w:rsidP="0099521D">
            <w:pPr>
              <w:pStyle w:val="BRL-Tabelle"/>
              <w:spacing w:before="60" w:after="40"/>
              <w:jc w:val="center"/>
            </w:pPr>
          </w:p>
        </w:tc>
      </w:tr>
      <w:tr w:rsidR="00B47442" w:rsidRPr="0009445C" w14:paraId="551A5D7E"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7F06EB5F" w14:textId="77777777" w:rsidR="00B47442" w:rsidRPr="0009445C" w:rsidRDefault="00B47442" w:rsidP="0099521D">
            <w:pPr>
              <w:pStyle w:val="BRL-Tabelle"/>
              <w:spacing w:before="60" w:after="40"/>
            </w:pPr>
            <w:r w:rsidRPr="0009445C">
              <w:t>Performance in case of fire</w:t>
            </w:r>
          </w:p>
        </w:tc>
        <w:tc>
          <w:tcPr>
            <w:tcW w:w="538" w:type="dxa"/>
            <w:tcBorders>
              <w:top w:val="single" w:sz="2" w:space="0" w:color="auto"/>
              <w:left w:val="single" w:sz="2" w:space="0" w:color="auto"/>
              <w:bottom w:val="single" w:sz="2" w:space="0" w:color="auto"/>
              <w:right w:val="single" w:sz="2" w:space="0" w:color="auto"/>
            </w:tcBorders>
            <w:vAlign w:val="center"/>
          </w:tcPr>
          <w:p w14:paraId="4780854F"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288713D3"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61103D3F"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470A918C"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7B7E84C4"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3FB85C66"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1EBD7F03"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6BE5447"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2EB41EDB"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F10831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781C06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7C002D8"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C39EBDC" w14:textId="77777777" w:rsidR="00B47442" w:rsidRPr="0009445C" w:rsidRDefault="00B47442" w:rsidP="0099521D">
            <w:pPr>
              <w:pStyle w:val="BRL-Tabelle"/>
              <w:spacing w:before="60" w:after="40"/>
              <w:jc w:val="center"/>
            </w:pPr>
          </w:p>
        </w:tc>
      </w:tr>
      <w:tr w:rsidR="00B47442" w:rsidRPr="0009445C" w14:paraId="4E4F91C7"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6F818D4D" w14:textId="77777777" w:rsidR="00B47442" w:rsidRPr="0009445C" w:rsidRDefault="00B47442" w:rsidP="0099521D">
            <w:pPr>
              <w:pStyle w:val="BRL-Tabelle"/>
              <w:spacing w:before="60" w:after="40"/>
            </w:pPr>
            <w:r w:rsidRPr="0009445C">
              <w:t>Durability</w:t>
            </w:r>
          </w:p>
        </w:tc>
        <w:tc>
          <w:tcPr>
            <w:tcW w:w="538" w:type="dxa"/>
            <w:tcBorders>
              <w:top w:val="single" w:sz="2" w:space="0" w:color="auto"/>
              <w:left w:val="single" w:sz="2" w:space="0" w:color="auto"/>
              <w:bottom w:val="single" w:sz="2" w:space="0" w:color="auto"/>
              <w:right w:val="single" w:sz="2" w:space="0" w:color="auto"/>
            </w:tcBorders>
            <w:vAlign w:val="center"/>
          </w:tcPr>
          <w:p w14:paraId="5816BDB4"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7B78909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B5091ED"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CFB289C"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0A51B7A6"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7BFF200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057C029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17BF2C3"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B1CD425"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6C0356D9"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727AC25"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803D97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6BB6647" w14:textId="77777777" w:rsidR="00B47442" w:rsidRPr="0009445C" w:rsidRDefault="00B47442" w:rsidP="0099521D">
            <w:pPr>
              <w:pStyle w:val="BRL-Tabelle"/>
              <w:spacing w:before="60" w:after="40"/>
              <w:jc w:val="center"/>
            </w:pPr>
          </w:p>
        </w:tc>
      </w:tr>
      <w:tr w:rsidR="00B47442" w:rsidRPr="0009445C" w14:paraId="5BF69675" w14:textId="77777777" w:rsidTr="0099521D">
        <w:tc>
          <w:tcPr>
            <w:tcW w:w="2063" w:type="dxa"/>
            <w:tcBorders>
              <w:top w:val="single" w:sz="2" w:space="0" w:color="auto"/>
              <w:left w:val="single" w:sz="2" w:space="0" w:color="auto"/>
              <w:bottom w:val="single" w:sz="2" w:space="0" w:color="auto"/>
              <w:right w:val="single" w:sz="2" w:space="0" w:color="auto"/>
            </w:tcBorders>
            <w:noWrap/>
            <w:vAlign w:val="bottom"/>
          </w:tcPr>
          <w:p w14:paraId="5D984CEB" w14:textId="77777777" w:rsidR="00B47442" w:rsidRPr="0009445C" w:rsidRDefault="00B47442" w:rsidP="0099521D">
            <w:pPr>
              <w:pStyle w:val="BRL-Tabelle"/>
              <w:spacing w:before="60" w:after="40"/>
            </w:pPr>
            <w:r w:rsidRPr="0009445C">
              <w:t xml:space="preserve">Extinguishing agent distribution </w:t>
            </w:r>
          </w:p>
        </w:tc>
        <w:tc>
          <w:tcPr>
            <w:tcW w:w="538" w:type="dxa"/>
            <w:tcBorders>
              <w:top w:val="single" w:sz="2" w:space="0" w:color="auto"/>
              <w:left w:val="single" w:sz="2" w:space="0" w:color="auto"/>
              <w:bottom w:val="single" w:sz="2" w:space="0" w:color="auto"/>
              <w:right w:val="single" w:sz="2" w:space="0" w:color="auto"/>
            </w:tcBorders>
            <w:noWrap/>
            <w:vAlign w:val="center"/>
          </w:tcPr>
          <w:p w14:paraId="36CBB41B"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noWrap/>
            <w:vAlign w:val="center"/>
          </w:tcPr>
          <w:p w14:paraId="3FC93664"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noWrap/>
            <w:vAlign w:val="center"/>
          </w:tcPr>
          <w:p w14:paraId="25387837"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noWrap/>
            <w:vAlign w:val="center"/>
          </w:tcPr>
          <w:p w14:paraId="0268A050"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noWrap/>
            <w:vAlign w:val="center"/>
          </w:tcPr>
          <w:p w14:paraId="02DAD7BC" w14:textId="77777777" w:rsidR="00B47442" w:rsidRPr="0009445C" w:rsidRDefault="00B47442" w:rsidP="0099521D">
            <w:pPr>
              <w:pStyle w:val="BRL-Tabelle"/>
              <w:spacing w:before="60" w:after="40"/>
              <w:jc w:val="center"/>
            </w:pPr>
            <w:r w:rsidRPr="0009445C">
              <w:t>X</w:t>
            </w:r>
          </w:p>
        </w:tc>
        <w:tc>
          <w:tcPr>
            <w:tcW w:w="596" w:type="dxa"/>
            <w:tcBorders>
              <w:top w:val="single" w:sz="2" w:space="0" w:color="auto"/>
              <w:left w:val="single" w:sz="2" w:space="0" w:color="auto"/>
              <w:bottom w:val="single" w:sz="2" w:space="0" w:color="auto"/>
              <w:right w:val="single" w:sz="2" w:space="0" w:color="auto"/>
            </w:tcBorders>
            <w:noWrap/>
            <w:vAlign w:val="center"/>
          </w:tcPr>
          <w:p w14:paraId="20930365"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noWrap/>
            <w:vAlign w:val="center"/>
          </w:tcPr>
          <w:p w14:paraId="42F5F7BA"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noWrap/>
            <w:vAlign w:val="center"/>
          </w:tcPr>
          <w:p w14:paraId="712D7C0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noWrap/>
            <w:vAlign w:val="center"/>
          </w:tcPr>
          <w:p w14:paraId="78FCE49F"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noWrap/>
            <w:vAlign w:val="center"/>
          </w:tcPr>
          <w:p w14:paraId="18DBA92A"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noWrap/>
            <w:vAlign w:val="center"/>
          </w:tcPr>
          <w:p w14:paraId="3DF57E69"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noWrap/>
            <w:vAlign w:val="center"/>
          </w:tcPr>
          <w:p w14:paraId="0DFF46E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noWrap/>
            <w:vAlign w:val="center"/>
          </w:tcPr>
          <w:p w14:paraId="1550E890" w14:textId="77777777" w:rsidR="00B47442" w:rsidRPr="0009445C" w:rsidRDefault="00B47442" w:rsidP="0099521D">
            <w:pPr>
              <w:pStyle w:val="BRL-Tabelle"/>
              <w:spacing w:before="60" w:after="40"/>
              <w:jc w:val="center"/>
            </w:pPr>
            <w:r w:rsidRPr="0009445C">
              <w:t>X</w:t>
            </w:r>
          </w:p>
        </w:tc>
      </w:tr>
      <w:tr w:rsidR="00B47442" w:rsidRPr="0009445C" w14:paraId="69C667A7"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1DF6DE8C" w14:textId="77777777" w:rsidR="00B47442" w:rsidRPr="0009445C" w:rsidRDefault="00B47442" w:rsidP="0099521D">
            <w:pPr>
              <w:pStyle w:val="BRL-Tabelle"/>
              <w:spacing w:before="60" w:after="40"/>
            </w:pPr>
            <w:r w:rsidRPr="0009445C">
              <w:t xml:space="preserve">Nominal triggering conditions/sensitivity </w:t>
            </w:r>
          </w:p>
        </w:tc>
        <w:tc>
          <w:tcPr>
            <w:tcW w:w="538" w:type="dxa"/>
            <w:tcBorders>
              <w:top w:val="single" w:sz="2" w:space="0" w:color="auto"/>
              <w:left w:val="single" w:sz="2" w:space="0" w:color="auto"/>
              <w:bottom w:val="single" w:sz="2" w:space="0" w:color="auto"/>
              <w:right w:val="single" w:sz="2" w:space="0" w:color="auto"/>
            </w:tcBorders>
            <w:vAlign w:val="center"/>
          </w:tcPr>
          <w:p w14:paraId="22C464BF"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6359BC97"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4A4D875"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310ADB0"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1E400B7"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52FC6D22"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8F3868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17D707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4515E1F" w14:textId="77777777" w:rsidR="00B47442" w:rsidRPr="0009445C" w:rsidRDefault="00B47442" w:rsidP="0099521D">
            <w:pPr>
              <w:pStyle w:val="BRL-Tabelle"/>
              <w:spacing w:before="60" w:after="40"/>
              <w:jc w:val="center"/>
            </w:pPr>
            <w:r w:rsidRPr="0009445C">
              <w:t>X</w:t>
            </w:r>
          </w:p>
        </w:tc>
        <w:tc>
          <w:tcPr>
            <w:tcW w:w="539" w:type="dxa"/>
            <w:tcBorders>
              <w:top w:val="single" w:sz="2" w:space="0" w:color="auto"/>
              <w:left w:val="single" w:sz="2" w:space="0" w:color="auto"/>
              <w:bottom w:val="single" w:sz="2" w:space="0" w:color="auto"/>
              <w:right w:val="single" w:sz="2" w:space="0" w:color="auto"/>
            </w:tcBorders>
            <w:vAlign w:val="center"/>
          </w:tcPr>
          <w:p w14:paraId="7094CF0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7D85FC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2DEE301"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BB7806C" w14:textId="77777777" w:rsidR="00B47442" w:rsidRPr="0009445C" w:rsidRDefault="00B47442" w:rsidP="0099521D">
            <w:pPr>
              <w:pStyle w:val="BRL-Tabelle"/>
              <w:spacing w:before="60" w:after="40"/>
              <w:jc w:val="center"/>
            </w:pPr>
          </w:p>
        </w:tc>
      </w:tr>
      <w:tr w:rsidR="00B47442" w:rsidRPr="0009445C" w14:paraId="34F96DA0"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7B836940" w14:textId="77777777" w:rsidR="00B47442" w:rsidRPr="0009445C" w:rsidRDefault="00B47442" w:rsidP="0099521D">
            <w:pPr>
              <w:pStyle w:val="BRL-Tabelle"/>
              <w:spacing w:before="60" w:after="40"/>
            </w:pPr>
            <w:r w:rsidRPr="0009445C">
              <w:t>Nominal response conditions – Response sensitivity – Pressure switch</w:t>
            </w:r>
          </w:p>
        </w:tc>
        <w:tc>
          <w:tcPr>
            <w:tcW w:w="538" w:type="dxa"/>
            <w:tcBorders>
              <w:top w:val="single" w:sz="2" w:space="0" w:color="auto"/>
              <w:left w:val="single" w:sz="2" w:space="0" w:color="auto"/>
              <w:bottom w:val="single" w:sz="2" w:space="0" w:color="auto"/>
              <w:right w:val="single" w:sz="2" w:space="0" w:color="auto"/>
            </w:tcBorders>
            <w:vAlign w:val="center"/>
          </w:tcPr>
          <w:p w14:paraId="7B69B88E"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1DA069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43C8595"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60DD8915"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DE0D04F"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24A42CD6"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958C1D1"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D1051F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625E8F8"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17674365"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6F91303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FF476FE"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085B83A" w14:textId="77777777" w:rsidR="00B47442" w:rsidRPr="0009445C" w:rsidRDefault="00B47442" w:rsidP="0099521D">
            <w:pPr>
              <w:pStyle w:val="BRL-Tabelle"/>
              <w:spacing w:before="60" w:after="40"/>
              <w:jc w:val="center"/>
            </w:pPr>
          </w:p>
        </w:tc>
      </w:tr>
      <w:tr w:rsidR="00B47442" w:rsidRPr="0009445C" w14:paraId="6B1CAD1F"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5FEF63D2" w14:textId="77777777" w:rsidR="00B47442" w:rsidRPr="0009445C" w:rsidRDefault="00B47442" w:rsidP="0099521D">
            <w:pPr>
              <w:pStyle w:val="BRL-Tabelle"/>
              <w:spacing w:before="60" w:after="40"/>
            </w:pPr>
            <w:r w:rsidRPr="0009445C">
              <w:t>Nominal response conditions – Response sensitivity – Pressure gauges</w:t>
            </w:r>
          </w:p>
        </w:tc>
        <w:tc>
          <w:tcPr>
            <w:tcW w:w="538" w:type="dxa"/>
            <w:tcBorders>
              <w:top w:val="single" w:sz="2" w:space="0" w:color="auto"/>
              <w:left w:val="single" w:sz="2" w:space="0" w:color="auto"/>
              <w:bottom w:val="single" w:sz="2" w:space="0" w:color="auto"/>
              <w:right w:val="single" w:sz="2" w:space="0" w:color="auto"/>
            </w:tcBorders>
            <w:vAlign w:val="center"/>
          </w:tcPr>
          <w:p w14:paraId="7DD5612D"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7DFDFF25"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4321BC4"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615FE247"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678A0D9"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4CBF839E"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6A29159E"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52F4AB4"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251C258"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55997379"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7AEFCA10"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C27B13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9C73A83" w14:textId="77777777" w:rsidR="00B47442" w:rsidRPr="0009445C" w:rsidRDefault="00B47442" w:rsidP="0099521D">
            <w:pPr>
              <w:pStyle w:val="BRL-Tabelle"/>
              <w:spacing w:before="60" w:after="40"/>
              <w:jc w:val="center"/>
            </w:pPr>
          </w:p>
        </w:tc>
      </w:tr>
      <w:tr w:rsidR="00B47442" w:rsidRPr="0009445C" w14:paraId="2E45E160"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462A7014" w14:textId="77777777" w:rsidR="00B47442" w:rsidRPr="0009445C" w:rsidRDefault="00B47442" w:rsidP="0099521D">
            <w:pPr>
              <w:pStyle w:val="BRL-Tabelle"/>
              <w:spacing w:before="60" w:after="40"/>
            </w:pPr>
            <w:r w:rsidRPr="0009445C">
              <w:t>Operational reliability – Pressure switch</w:t>
            </w:r>
          </w:p>
        </w:tc>
        <w:tc>
          <w:tcPr>
            <w:tcW w:w="538" w:type="dxa"/>
            <w:tcBorders>
              <w:top w:val="single" w:sz="2" w:space="0" w:color="auto"/>
              <w:left w:val="single" w:sz="2" w:space="0" w:color="auto"/>
              <w:bottom w:val="single" w:sz="2" w:space="0" w:color="auto"/>
              <w:right w:val="single" w:sz="2" w:space="0" w:color="auto"/>
            </w:tcBorders>
            <w:vAlign w:val="center"/>
          </w:tcPr>
          <w:p w14:paraId="651A85CE"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58C282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2CEDEEE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EF23835"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D631681"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0D63371F"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246553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F40C8BF"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3621B16"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65B5CA58"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0A208A62"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D69811C"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38AC8CA" w14:textId="77777777" w:rsidR="00B47442" w:rsidRPr="0009445C" w:rsidRDefault="00B47442" w:rsidP="0099521D">
            <w:pPr>
              <w:pStyle w:val="BRL-Tabelle"/>
              <w:spacing w:before="60" w:after="40"/>
              <w:jc w:val="center"/>
            </w:pPr>
          </w:p>
        </w:tc>
      </w:tr>
      <w:tr w:rsidR="00B47442" w:rsidRPr="0009445C" w14:paraId="3A1B7E0B"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49E3DA3E" w14:textId="77777777" w:rsidR="00B47442" w:rsidRPr="0009445C" w:rsidRDefault="00B47442" w:rsidP="0099521D">
            <w:pPr>
              <w:pStyle w:val="BRL-Tabelle"/>
              <w:spacing w:before="60" w:after="40"/>
            </w:pPr>
            <w:r w:rsidRPr="0009445C">
              <w:t>Operational reliability – Pressure gauges</w:t>
            </w:r>
          </w:p>
        </w:tc>
        <w:tc>
          <w:tcPr>
            <w:tcW w:w="538" w:type="dxa"/>
            <w:tcBorders>
              <w:top w:val="single" w:sz="2" w:space="0" w:color="auto"/>
              <w:left w:val="single" w:sz="2" w:space="0" w:color="auto"/>
              <w:bottom w:val="single" w:sz="2" w:space="0" w:color="auto"/>
              <w:right w:val="single" w:sz="2" w:space="0" w:color="auto"/>
            </w:tcBorders>
            <w:vAlign w:val="center"/>
          </w:tcPr>
          <w:p w14:paraId="45386978"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032FE7B"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5F597F03"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076A7720"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A68C2B8"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4002DA3F"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87B6EB7"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253356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0D35735D"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56976551"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0916A68D"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50025B2"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1B2F987" w14:textId="77777777" w:rsidR="00B47442" w:rsidRPr="0009445C" w:rsidRDefault="00B47442" w:rsidP="0099521D">
            <w:pPr>
              <w:pStyle w:val="BRL-Tabelle"/>
              <w:spacing w:before="60" w:after="40"/>
              <w:jc w:val="center"/>
            </w:pPr>
          </w:p>
        </w:tc>
      </w:tr>
      <w:tr w:rsidR="00B47442" w:rsidRPr="0009445C" w14:paraId="5AA3F376"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4BBF4935" w14:textId="77777777" w:rsidR="00B47442" w:rsidRPr="0009445C" w:rsidRDefault="00B47442" w:rsidP="0099521D">
            <w:pPr>
              <w:pStyle w:val="BRL-Tabelle"/>
              <w:spacing w:before="60" w:after="40"/>
            </w:pPr>
            <w:r w:rsidRPr="0009445C">
              <w:t>Stability of operational reliability of pressure measurement devices against corrosion</w:t>
            </w:r>
          </w:p>
        </w:tc>
        <w:tc>
          <w:tcPr>
            <w:tcW w:w="538" w:type="dxa"/>
            <w:tcBorders>
              <w:top w:val="single" w:sz="2" w:space="0" w:color="auto"/>
              <w:left w:val="single" w:sz="2" w:space="0" w:color="auto"/>
              <w:bottom w:val="single" w:sz="2" w:space="0" w:color="auto"/>
              <w:right w:val="single" w:sz="2" w:space="0" w:color="auto"/>
            </w:tcBorders>
            <w:vAlign w:val="center"/>
          </w:tcPr>
          <w:p w14:paraId="04684E99"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09BFCFA"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B44E1E7"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C9B4803"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C2686E9"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6D128118"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79EF57A6"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E0264BA"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CDF2349"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4759A121"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54874155"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3E24B9E"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7B7BE242" w14:textId="77777777" w:rsidR="00B47442" w:rsidRPr="0009445C" w:rsidRDefault="00B47442" w:rsidP="0099521D">
            <w:pPr>
              <w:pStyle w:val="BRL-Tabelle"/>
              <w:spacing w:before="60" w:after="40"/>
              <w:jc w:val="center"/>
            </w:pPr>
          </w:p>
        </w:tc>
      </w:tr>
      <w:tr w:rsidR="00B47442" w:rsidRPr="0009445C" w14:paraId="1FAE6258" w14:textId="77777777" w:rsidTr="0099521D">
        <w:tc>
          <w:tcPr>
            <w:tcW w:w="2063" w:type="dxa"/>
            <w:tcBorders>
              <w:top w:val="single" w:sz="2" w:space="0" w:color="auto"/>
              <w:left w:val="single" w:sz="2" w:space="0" w:color="auto"/>
              <w:bottom w:val="single" w:sz="2" w:space="0" w:color="auto"/>
              <w:right w:val="single" w:sz="2" w:space="0" w:color="auto"/>
            </w:tcBorders>
            <w:noWrap/>
            <w:vAlign w:val="center"/>
          </w:tcPr>
          <w:p w14:paraId="5EBFEEE0" w14:textId="77777777" w:rsidR="00B47442" w:rsidRPr="0009445C" w:rsidRDefault="00B47442" w:rsidP="0099521D">
            <w:pPr>
              <w:pStyle w:val="BRL-Tabelle"/>
              <w:spacing w:before="60" w:after="40"/>
            </w:pPr>
            <w:r w:rsidRPr="0009445C">
              <w:t>Stability of operational reliability of pressure switches against corrosion</w:t>
            </w:r>
          </w:p>
        </w:tc>
        <w:tc>
          <w:tcPr>
            <w:tcW w:w="538" w:type="dxa"/>
            <w:tcBorders>
              <w:top w:val="single" w:sz="2" w:space="0" w:color="auto"/>
              <w:left w:val="single" w:sz="2" w:space="0" w:color="auto"/>
              <w:bottom w:val="single" w:sz="2" w:space="0" w:color="auto"/>
              <w:right w:val="single" w:sz="2" w:space="0" w:color="auto"/>
            </w:tcBorders>
            <w:vAlign w:val="center"/>
          </w:tcPr>
          <w:p w14:paraId="043BEEA1"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0A3E5582"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463067D"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5FCADF8"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39AAE4A7" w14:textId="77777777" w:rsidR="00B47442" w:rsidRPr="0009445C" w:rsidRDefault="00B47442" w:rsidP="0099521D">
            <w:pPr>
              <w:pStyle w:val="BRL-Tabelle"/>
              <w:spacing w:before="60" w:after="40"/>
              <w:jc w:val="center"/>
            </w:pPr>
          </w:p>
        </w:tc>
        <w:tc>
          <w:tcPr>
            <w:tcW w:w="596" w:type="dxa"/>
            <w:tcBorders>
              <w:top w:val="single" w:sz="2" w:space="0" w:color="auto"/>
              <w:left w:val="single" w:sz="2" w:space="0" w:color="auto"/>
              <w:bottom w:val="single" w:sz="2" w:space="0" w:color="auto"/>
              <w:right w:val="single" w:sz="2" w:space="0" w:color="auto"/>
            </w:tcBorders>
            <w:vAlign w:val="center"/>
          </w:tcPr>
          <w:p w14:paraId="6C12A12C"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21BE1244"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3CF8928"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1BCD7DD4" w14:textId="77777777" w:rsidR="00B47442" w:rsidRPr="0009445C" w:rsidRDefault="00B47442" w:rsidP="0099521D">
            <w:pPr>
              <w:pStyle w:val="BRL-Tabelle"/>
              <w:spacing w:before="60" w:after="40"/>
              <w:jc w:val="center"/>
            </w:pPr>
          </w:p>
        </w:tc>
        <w:tc>
          <w:tcPr>
            <w:tcW w:w="539" w:type="dxa"/>
            <w:tcBorders>
              <w:top w:val="single" w:sz="2" w:space="0" w:color="auto"/>
              <w:left w:val="single" w:sz="2" w:space="0" w:color="auto"/>
              <w:bottom w:val="single" w:sz="2" w:space="0" w:color="auto"/>
              <w:right w:val="single" w:sz="2" w:space="0" w:color="auto"/>
            </w:tcBorders>
            <w:vAlign w:val="center"/>
          </w:tcPr>
          <w:p w14:paraId="3560EDA1" w14:textId="77777777" w:rsidR="00B47442" w:rsidRPr="0009445C" w:rsidRDefault="00B47442" w:rsidP="0099521D">
            <w:pPr>
              <w:pStyle w:val="BRL-Tabelle"/>
              <w:spacing w:before="60" w:after="40"/>
              <w:jc w:val="center"/>
            </w:pPr>
            <w:r w:rsidRPr="0009445C">
              <w:t>X</w:t>
            </w:r>
          </w:p>
        </w:tc>
        <w:tc>
          <w:tcPr>
            <w:tcW w:w="540" w:type="dxa"/>
            <w:tcBorders>
              <w:top w:val="single" w:sz="2" w:space="0" w:color="auto"/>
              <w:left w:val="single" w:sz="2" w:space="0" w:color="auto"/>
              <w:bottom w:val="single" w:sz="2" w:space="0" w:color="auto"/>
              <w:right w:val="single" w:sz="2" w:space="0" w:color="auto"/>
            </w:tcBorders>
            <w:vAlign w:val="center"/>
          </w:tcPr>
          <w:p w14:paraId="62891B7E"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40F0A117" w14:textId="77777777" w:rsidR="00B47442" w:rsidRPr="0009445C" w:rsidRDefault="00B47442" w:rsidP="0099521D">
            <w:pPr>
              <w:pStyle w:val="BRL-Tabelle"/>
              <w:spacing w:before="60" w:after="40"/>
              <w:jc w:val="center"/>
            </w:pPr>
          </w:p>
        </w:tc>
        <w:tc>
          <w:tcPr>
            <w:tcW w:w="540" w:type="dxa"/>
            <w:tcBorders>
              <w:top w:val="single" w:sz="2" w:space="0" w:color="auto"/>
              <w:left w:val="single" w:sz="2" w:space="0" w:color="auto"/>
              <w:bottom w:val="single" w:sz="2" w:space="0" w:color="auto"/>
              <w:right w:val="single" w:sz="2" w:space="0" w:color="auto"/>
            </w:tcBorders>
            <w:vAlign w:val="center"/>
          </w:tcPr>
          <w:p w14:paraId="6A60D3E8" w14:textId="77777777" w:rsidR="00B47442" w:rsidRPr="0009445C" w:rsidRDefault="00B47442" w:rsidP="0099521D">
            <w:pPr>
              <w:pStyle w:val="BRL-Tabelle"/>
              <w:spacing w:before="60" w:after="40"/>
              <w:jc w:val="center"/>
            </w:pPr>
          </w:p>
        </w:tc>
      </w:tr>
      <w:tr w:rsidR="00B47442" w:rsidRPr="0009445C" w14:paraId="0B170693" w14:textId="77777777" w:rsidTr="0099521D">
        <w:tc>
          <w:tcPr>
            <w:tcW w:w="9133" w:type="dxa"/>
            <w:gridSpan w:val="14"/>
            <w:tcBorders>
              <w:top w:val="single" w:sz="2" w:space="0" w:color="auto"/>
              <w:left w:val="single" w:sz="2" w:space="0" w:color="auto"/>
              <w:bottom w:val="single" w:sz="2" w:space="0" w:color="auto"/>
              <w:right w:val="single" w:sz="2" w:space="0" w:color="auto"/>
            </w:tcBorders>
            <w:noWrap/>
            <w:vAlign w:val="center"/>
          </w:tcPr>
          <w:p w14:paraId="7FFF957E" w14:textId="77777777" w:rsidR="00B47442" w:rsidRPr="0009445C" w:rsidRDefault="00B47442" w:rsidP="0099521D">
            <w:pPr>
              <w:pStyle w:val="BRL-Tabelle"/>
              <w:tabs>
                <w:tab w:val="left" w:pos="511"/>
              </w:tabs>
              <w:spacing w:before="120" w:after="120"/>
            </w:pPr>
            <w:r w:rsidRPr="0009445C">
              <w:t>X</w:t>
            </w:r>
            <w:r w:rsidRPr="0009445C">
              <w:tab/>
              <w:t>must be fulfilled</w:t>
            </w:r>
          </w:p>
        </w:tc>
      </w:tr>
    </w:tbl>
    <w:p w14:paraId="0D63FC5D" w14:textId="77777777" w:rsidR="00B47442" w:rsidRPr="0009445C" w:rsidRDefault="00B47442" w:rsidP="00B47442">
      <w:pPr>
        <w:pStyle w:val="BRL-Standard"/>
        <w:rPr>
          <w:lang w:eastAsia="en-US"/>
        </w:rPr>
      </w:pPr>
    </w:p>
    <w:p w14:paraId="4FD52FC9" w14:textId="77777777" w:rsidR="00B47442" w:rsidRPr="0009445C" w:rsidRDefault="00B47442" w:rsidP="00600F53">
      <w:pPr>
        <w:pStyle w:val="BRL-berschrift"/>
        <w:rPr>
          <w:rFonts w:eastAsia="Calibri"/>
        </w:rPr>
      </w:pPr>
      <w:r w:rsidRPr="0009445C">
        <w:t>10.4</w:t>
      </w:r>
      <w:r w:rsidRPr="0009445C">
        <w:tab/>
        <w:t>Planning and design of automatic and non-automatic firefighting systems</w:t>
      </w:r>
    </w:p>
    <w:p w14:paraId="40970E1B" w14:textId="77777777" w:rsidR="00B47442" w:rsidRPr="0009445C" w:rsidRDefault="00B47442" w:rsidP="00600F53">
      <w:pPr>
        <w:pStyle w:val="BRL-berschrift"/>
        <w:rPr>
          <w:rFonts w:eastAsia="Calibri"/>
        </w:rPr>
      </w:pPr>
      <w:r w:rsidRPr="0009445C">
        <w:t>10.4.1</w:t>
      </w:r>
      <w:r w:rsidRPr="0009445C">
        <w:tab/>
        <w:t>General requirements</w:t>
      </w:r>
    </w:p>
    <w:p w14:paraId="7E0504B6" w14:textId="77777777" w:rsidR="00B47442" w:rsidRPr="0009445C" w:rsidRDefault="00B47442" w:rsidP="00B47442">
      <w:pPr>
        <w:pStyle w:val="BRL-Standard"/>
      </w:pPr>
      <w:r w:rsidRPr="0009445C">
        <w:t>Firefighting systems shall be designed and constructed in accordance with the space-defining structure of the building structure and existing building materials and combustible materials, their distribution and position within the room and their combustion characteristics and – with respect to the fire detection and triggering devices, suitable extinguishing agents, quantities of extinguishing agents, and required operational ranges for the extinguishing agents – in accordance with the rules applicable in each individual case. Where necessary, pump systems shall be constructed to increase the pressure.</w:t>
      </w:r>
    </w:p>
    <w:p w14:paraId="2192B155" w14:textId="77777777" w:rsidR="00234531" w:rsidRPr="0009445C" w:rsidRDefault="00234531" w:rsidP="00B47442">
      <w:pPr>
        <w:pStyle w:val="BRL-Standard"/>
        <w:rPr>
          <w:lang w:eastAsia="en-US"/>
        </w:rPr>
      </w:pPr>
    </w:p>
    <w:p w14:paraId="13A9BD0F" w14:textId="77777777" w:rsidR="00234531" w:rsidRPr="0009445C" w:rsidRDefault="00234531" w:rsidP="00B47442">
      <w:pPr>
        <w:pStyle w:val="BRL-Standard"/>
      </w:pPr>
      <w:r w:rsidRPr="0009445C">
        <w:lastRenderedPageBreak/>
        <w:t>Automatic firefighting systems, systems with wall hydrants for the fire service (type F), and systems with dry extinguishing water ducts must be situated on each floor in each part of the structure where they are required under building supervisory rules.</w:t>
      </w:r>
    </w:p>
    <w:p w14:paraId="71C69E3F" w14:textId="77777777" w:rsidR="00B47442" w:rsidRPr="0009445C" w:rsidRDefault="00B47442" w:rsidP="00B47442">
      <w:pPr>
        <w:pStyle w:val="BRL-Standard"/>
        <w:rPr>
          <w:lang w:eastAsia="en-US"/>
        </w:rPr>
      </w:pPr>
    </w:p>
    <w:p w14:paraId="6BB1C0C2" w14:textId="77777777" w:rsidR="00B47442" w:rsidRPr="0009445C" w:rsidRDefault="00B47442" w:rsidP="00B47442">
      <w:pPr>
        <w:pStyle w:val="BRL-Standard"/>
      </w:pPr>
      <w:r w:rsidRPr="0009445C">
        <w:t>Compliance with the requirements for qualifications (competence, training and certification) as a planner and installer in standards are not binding for the achievement of the building authority protection objectives.</w:t>
      </w:r>
    </w:p>
    <w:p w14:paraId="1D3CC5A5" w14:textId="77777777" w:rsidR="00B47442" w:rsidRPr="0009445C" w:rsidRDefault="00B47442" w:rsidP="00B47442">
      <w:pPr>
        <w:pStyle w:val="BRL-Standard"/>
      </w:pPr>
    </w:p>
    <w:p w14:paraId="3F770576" w14:textId="5882E3AC" w:rsidR="00B47442" w:rsidRPr="0009445C" w:rsidRDefault="00B47442" w:rsidP="00B47442">
      <w:pPr>
        <w:pStyle w:val="BRL-Standard"/>
      </w:pPr>
      <w:r w:rsidRPr="0009445C">
        <w:t>The rules of the design and design standards with regard to maintenance are not part of this building authority Technical Rule. The requirements with regard to maintenance in accordance with § 3 MBO</w:t>
      </w:r>
      <w:r w:rsidRPr="0009445C">
        <w:rPr>
          <w:rStyle w:val="FootnoteReference"/>
        </w:rPr>
        <w:fldChar w:fldCharType="begin"/>
      </w:r>
      <w:r w:rsidRPr="0009445C">
        <w:rPr>
          <w:rStyle w:val="FootnoteReference"/>
        </w:rPr>
        <w:instrText xml:space="preserve"> NOTEREF _Ref82183911 \h </w:instrText>
      </w:r>
      <w:r w:rsidRPr="0009445C">
        <w:rPr>
          <w:rStyle w:val="FootnoteReference"/>
        </w:rPr>
      </w:r>
      <w:r w:rsidR="0009445C" w:rsidRPr="0009445C">
        <w:rPr>
          <w:rStyle w:val="FootnoteReference"/>
        </w:rPr>
        <w:instrText xml:space="preserve"> \* MERGEFORMAT </w:instrText>
      </w:r>
      <w:r w:rsidRPr="0009445C">
        <w:rPr>
          <w:rStyle w:val="FootnoteReference"/>
        </w:rPr>
        <w:fldChar w:fldCharType="separate"/>
      </w:r>
      <w:r w:rsidR="0009445C" w:rsidRPr="0009445C">
        <w:rPr>
          <w:rStyle w:val="FootnoteReference"/>
        </w:rPr>
        <w:t>41</w:t>
      </w:r>
      <w:r w:rsidRPr="0009445C">
        <w:rPr>
          <w:rStyle w:val="FootnoteReference"/>
        </w:rPr>
        <w:fldChar w:fldCharType="end"/>
      </w:r>
      <w:r w:rsidRPr="0009445C">
        <w:t xml:space="preserve"> are not affected. </w:t>
      </w:r>
    </w:p>
    <w:p w14:paraId="54195463" w14:textId="77777777" w:rsidR="00504BFA" w:rsidRPr="0009445C" w:rsidRDefault="00504BFA" w:rsidP="00B47442">
      <w:pPr>
        <w:pStyle w:val="BRL-Standard"/>
      </w:pPr>
    </w:p>
    <w:p w14:paraId="6AC72F9B" w14:textId="77777777" w:rsidR="00504BFA" w:rsidRPr="0009445C" w:rsidRDefault="00504BFA" w:rsidP="00B47442">
      <w:pPr>
        <w:pStyle w:val="BRL-Standard"/>
      </w:pPr>
      <w:r w:rsidRPr="0009445C">
        <w:t>All necessary data must be stated in the fire protection certificate.</w:t>
      </w:r>
    </w:p>
    <w:p w14:paraId="767A3EBF" w14:textId="77777777" w:rsidR="00B47442" w:rsidRPr="0009445C" w:rsidRDefault="00B47442" w:rsidP="00B47442">
      <w:pPr>
        <w:pStyle w:val="BRL-Standard"/>
        <w:rPr>
          <w:lang w:eastAsia="en-US"/>
        </w:rPr>
      </w:pPr>
    </w:p>
    <w:p w14:paraId="4AC625E3" w14:textId="77777777" w:rsidR="00B47442" w:rsidRPr="0009445C" w:rsidRDefault="00B47442" w:rsidP="00600F53">
      <w:pPr>
        <w:pStyle w:val="BRL-berschrift"/>
        <w:rPr>
          <w:rFonts w:eastAsia="Calibri"/>
        </w:rPr>
      </w:pPr>
      <w:r w:rsidRPr="0009445C">
        <w:t>10.4.2</w:t>
      </w:r>
      <w:r w:rsidRPr="0009445C">
        <w:tab/>
        <w:t>Automatic firefighting systems</w:t>
      </w:r>
    </w:p>
    <w:p w14:paraId="2EA86316" w14:textId="7AEA7B0C" w:rsidR="00B47442" w:rsidRPr="0009445C" w:rsidRDefault="00B47442" w:rsidP="00B47442">
      <w:pPr>
        <w:pStyle w:val="BRL-Standard"/>
      </w:pPr>
      <w:r w:rsidRPr="0009445C">
        <w:t xml:space="preserve">The design, installation, and design of sprinkler systems as automatic firefighting systems shall be undertaken in accordance with the provisions of DIN EN 12845:2020-11 (Fixed firefighting systems – Automatic sprinkler systems – Designing, installation and maintenance). </w:t>
      </w:r>
    </w:p>
    <w:p w14:paraId="0CEE12DF" w14:textId="77777777" w:rsidR="00B47442" w:rsidRPr="0009445C" w:rsidRDefault="00B47442" w:rsidP="00B47442">
      <w:pPr>
        <w:pStyle w:val="BRL-Standard"/>
        <w:rPr>
          <w:lang w:eastAsia="en-US"/>
        </w:rPr>
      </w:pPr>
    </w:p>
    <w:p w14:paraId="24569A41" w14:textId="050A7C9E" w:rsidR="00B47442" w:rsidRPr="0009445C" w:rsidRDefault="00B47442" w:rsidP="00B47442">
      <w:pPr>
        <w:pStyle w:val="BRL-Standard"/>
      </w:pPr>
      <w:r w:rsidRPr="0009445C">
        <w:t xml:space="preserve">Where sprinkler systems are to be designed based on a different body of technical rules (e.g. CEA 4001, FM Global Data Sheets, </w:t>
      </w:r>
      <w:proofErr w:type="spellStart"/>
      <w:r w:rsidRPr="0009445C">
        <w:t>VdS</w:t>
      </w:r>
      <w:proofErr w:type="spellEnd"/>
      <w:r w:rsidRPr="0009445C">
        <w:t xml:space="preserve"> CEA 4001), this must be stated in the fire protection certificate. </w:t>
      </w:r>
    </w:p>
    <w:p w14:paraId="29686DA8" w14:textId="77777777" w:rsidR="00B47442" w:rsidRPr="0009445C" w:rsidRDefault="00B47442" w:rsidP="00B47442">
      <w:pPr>
        <w:pStyle w:val="BRL-Standard"/>
        <w:rPr>
          <w:lang w:eastAsia="en-US"/>
        </w:rPr>
      </w:pPr>
    </w:p>
    <w:p w14:paraId="439E4FA4" w14:textId="77777777" w:rsidR="00B47442" w:rsidRPr="0009445C" w:rsidRDefault="00B47442" w:rsidP="00B47442">
      <w:pPr>
        <w:pStyle w:val="BRL-Standard"/>
      </w:pPr>
      <w:r w:rsidRPr="0009445C">
        <w:t>If a sprinkler system cannot or should not be used, the fire protection certificate shall specify the technology to be used and the regulation to be applied to it. With regard to the selected extinguishing agents, the necessary protective measures, e.g. in the case of gas extinguishing systems according to the standard series DIN EN 15004, should be noted.</w:t>
      </w:r>
    </w:p>
    <w:p w14:paraId="2B621481" w14:textId="77777777" w:rsidR="00B47442" w:rsidRPr="0009445C" w:rsidRDefault="00B47442" w:rsidP="00B47442">
      <w:pPr>
        <w:pStyle w:val="BRL-Standard"/>
        <w:rPr>
          <w:lang w:eastAsia="en-US"/>
        </w:rPr>
      </w:pPr>
    </w:p>
    <w:p w14:paraId="6CB96F1A" w14:textId="77777777" w:rsidR="00B47442" w:rsidRPr="0009445C" w:rsidRDefault="00B47442" w:rsidP="00B47442">
      <w:pPr>
        <w:pStyle w:val="BRL-Standard"/>
      </w:pPr>
      <w:r w:rsidRPr="0009445C">
        <w:t>Combining or cross-referencing different or competing regulations or individual provisions thereof is not permitted.</w:t>
      </w:r>
    </w:p>
    <w:p w14:paraId="20E83B46" w14:textId="77777777" w:rsidR="00B47442" w:rsidRPr="0009445C" w:rsidRDefault="00B47442" w:rsidP="00B47442">
      <w:pPr>
        <w:pStyle w:val="BRL-Standard"/>
        <w:rPr>
          <w:lang w:eastAsia="en-US"/>
        </w:rPr>
      </w:pPr>
    </w:p>
    <w:p w14:paraId="0836A59B" w14:textId="77777777" w:rsidR="00B47442" w:rsidRPr="0009445C" w:rsidRDefault="00B47442" w:rsidP="00B47442">
      <w:pPr>
        <w:pStyle w:val="BRL-Standard"/>
      </w:pPr>
      <w:r w:rsidRPr="0009445C">
        <w:t xml:space="preserve">When a required automatic fire extinguishing system is triggered, a fire alarm must automatically sound via a suitable fire alarm device at the local fire service control centre, unless otherwise stipulated by the building inspectorate. </w:t>
      </w:r>
    </w:p>
    <w:p w14:paraId="337BCF20" w14:textId="77777777" w:rsidR="00B47442" w:rsidRPr="0009445C" w:rsidRDefault="00B47442" w:rsidP="00B47442">
      <w:pPr>
        <w:pStyle w:val="BRL-Standard"/>
        <w:rPr>
          <w:lang w:eastAsia="en-US"/>
        </w:rPr>
      </w:pPr>
    </w:p>
    <w:p w14:paraId="2FC5D1B9" w14:textId="77777777" w:rsidR="00B47442" w:rsidRPr="0009445C" w:rsidRDefault="00B47442" w:rsidP="00600F53">
      <w:pPr>
        <w:pStyle w:val="BRL-berschrift"/>
        <w:rPr>
          <w:rFonts w:eastAsia="Calibri"/>
        </w:rPr>
      </w:pPr>
      <w:r w:rsidRPr="0009445C">
        <w:t>10.4.3</w:t>
      </w:r>
      <w:r w:rsidRPr="0009445C">
        <w:tab/>
        <w:t>Non-automatic firefighting systems</w:t>
      </w:r>
    </w:p>
    <w:p w14:paraId="530B6A8A" w14:textId="77777777" w:rsidR="00B47442" w:rsidRPr="0009445C" w:rsidRDefault="00B47442" w:rsidP="00B47442">
      <w:pPr>
        <w:pStyle w:val="BRL-Standard"/>
      </w:pPr>
      <w:r w:rsidRPr="0009445C">
        <w:t>Non-automatic firefighting systems shall be dimensioned and constructed in accordance with the technical body of technical rules. The building inspection requirements are deemed fulfilled if DIN 14462:2012-09 is observed.</w:t>
      </w:r>
    </w:p>
    <w:p w14:paraId="78032325" w14:textId="77777777" w:rsidR="00B47442" w:rsidRPr="0009445C" w:rsidRDefault="00B47442" w:rsidP="00B47442">
      <w:pPr>
        <w:pStyle w:val="BRL-Standard"/>
        <w:rPr>
          <w:lang w:eastAsia="en-US"/>
        </w:rPr>
      </w:pPr>
    </w:p>
    <w:p w14:paraId="2B683BAD" w14:textId="77777777" w:rsidR="00B47442" w:rsidRPr="0009445C" w:rsidRDefault="00B47442" w:rsidP="00600F53">
      <w:pPr>
        <w:pStyle w:val="BRL-berschrift"/>
        <w:rPr>
          <w:rFonts w:eastAsia="Calibri"/>
        </w:rPr>
      </w:pPr>
      <w:r w:rsidRPr="0009445C">
        <w:t>10.5</w:t>
      </w:r>
      <w:r w:rsidRPr="0009445C">
        <w:tab/>
        <w:t>Water supply</w:t>
      </w:r>
    </w:p>
    <w:p w14:paraId="58C631CA" w14:textId="1A3635F6" w:rsidR="00B47442" w:rsidRPr="0009445C" w:rsidRDefault="00B47442" w:rsidP="00B47442">
      <w:pPr>
        <w:pStyle w:val="BRL-Standard"/>
      </w:pPr>
      <w:r w:rsidRPr="0009445C">
        <w:t xml:space="preserve">If the extinguishing water supply is to be provided through a direct connection of the extinguishing systems to the general drinking water supply, the relevant requirements of water legislation must be observed. If extinguishing water cannot be supplied from the drinking water mains, the necessary extinguishing water must be stored in suitable containers (tanks, ponds, etc). The entire installation of the extinguishing system through which the extinguishing water flows must be suitable for the water used; this must be checked before the extinguishing system is implemented. </w:t>
      </w:r>
    </w:p>
    <w:p w14:paraId="4670F956" w14:textId="77777777" w:rsidR="00B47442" w:rsidRPr="0009445C" w:rsidRDefault="00B47442" w:rsidP="00B47442">
      <w:pPr>
        <w:pStyle w:val="BRL-Standard"/>
        <w:rPr>
          <w:dstrike/>
          <w:lang w:eastAsia="en-US"/>
        </w:rPr>
      </w:pPr>
    </w:p>
    <w:p w14:paraId="771A21BE" w14:textId="685A6867" w:rsidR="00B47442" w:rsidRPr="0009445C" w:rsidRDefault="00B47442" w:rsidP="00B47442">
      <w:pPr>
        <w:pStyle w:val="BRL-Standard"/>
      </w:pPr>
      <w:r w:rsidRPr="0009445C">
        <w:t>If fixed automatic firefighting systems are to be supplied together with fixed non-automatic systems from a shared water storage, then sufficient water volumes must be stored as required to fulfil both protection objectives. A failure of the water source for one extinguishing system must not impair the effectiveness and operational safety of the second extinguishing system.  This is considered to be fulfilled if independent sources of extinguishing water supply the extinguishing systems.</w:t>
      </w:r>
    </w:p>
    <w:p w14:paraId="408D7D7E" w14:textId="77777777" w:rsidR="00B47442" w:rsidRPr="0009445C" w:rsidRDefault="00B47442" w:rsidP="00B47442">
      <w:pPr>
        <w:pStyle w:val="BRL-Standard"/>
        <w:rPr>
          <w:lang w:eastAsia="en-US"/>
        </w:rPr>
      </w:pPr>
    </w:p>
    <w:p w14:paraId="0F143433" w14:textId="6F643213" w:rsidR="00B47442" w:rsidRPr="0009445C" w:rsidRDefault="00B47442" w:rsidP="00B47442">
      <w:pPr>
        <w:pStyle w:val="BRL-Standard"/>
      </w:pPr>
      <w:r w:rsidRPr="0009445C">
        <w:t>In case of a non-direct connection to the general drinking water supply, at least one storage tank and a technical device for transporting the extinguishing water are required, taking into account and observing the appropriate design criteria.</w:t>
      </w:r>
    </w:p>
    <w:p w14:paraId="152351CF" w14:textId="77777777" w:rsidR="002D1BA4" w:rsidRPr="0009445C" w:rsidRDefault="002D1BA4">
      <w:pPr>
        <w:spacing w:after="200" w:line="276" w:lineRule="auto"/>
        <w:rPr>
          <w:b/>
          <w:szCs w:val="18"/>
          <w:lang w:eastAsia="en-US"/>
        </w:rPr>
      </w:pPr>
    </w:p>
    <w:p w14:paraId="67A5229D" w14:textId="77777777" w:rsidR="004352A3" w:rsidRPr="0009445C" w:rsidRDefault="004352A3">
      <w:pPr>
        <w:spacing w:after="200" w:line="276" w:lineRule="auto"/>
        <w:rPr>
          <w:rFonts w:eastAsia="Calibri"/>
          <w:b/>
          <w:bCs/>
          <w:szCs w:val="16"/>
        </w:rPr>
      </w:pPr>
      <w:r w:rsidRPr="0009445C">
        <w:br w:type="page"/>
      </w:r>
    </w:p>
    <w:p w14:paraId="07063E68" w14:textId="1670276C" w:rsidR="00B47442" w:rsidRPr="0009445C" w:rsidRDefault="00B47442" w:rsidP="00600F53">
      <w:pPr>
        <w:pStyle w:val="BRL-berschrift"/>
        <w:rPr>
          <w:rFonts w:eastAsia="Calibri"/>
        </w:rPr>
      </w:pPr>
      <w:r w:rsidRPr="0009445C">
        <w:lastRenderedPageBreak/>
        <w:t>10.6</w:t>
      </w:r>
      <w:r w:rsidRPr="0009445C">
        <w:tab/>
        <w:t>Protection of persons</w:t>
      </w:r>
    </w:p>
    <w:p w14:paraId="1594C4D8" w14:textId="77777777" w:rsidR="00B47442" w:rsidRPr="0009445C" w:rsidRDefault="00B47442" w:rsidP="00B47442">
      <w:pPr>
        <w:pStyle w:val="BRL-Standard"/>
        <w:rPr>
          <w:b/>
        </w:rPr>
      </w:pPr>
      <w:r w:rsidRPr="0009445C">
        <w:t>Automatic extinguishing systems that use technical gases for firefighting purposes or light foam as an extinguishing agent may only trigger their extinguishing process after detection of a fire when users have been alerted and have had sufficient time to leave the affected area (room/protected area). This does not affect the forwarding of the fire alarm.</w:t>
      </w:r>
    </w:p>
    <w:p w14:paraId="07505AA1" w14:textId="77777777" w:rsidR="00B47442" w:rsidRPr="0009445C" w:rsidRDefault="00B47442" w:rsidP="00B47442">
      <w:pPr>
        <w:pStyle w:val="BRL-Standard"/>
        <w:rPr>
          <w:lang w:eastAsia="en-US"/>
        </w:rPr>
      </w:pPr>
    </w:p>
    <w:p w14:paraId="30B182E5" w14:textId="77777777" w:rsidR="00B47442" w:rsidRPr="0009445C" w:rsidRDefault="00B47442" w:rsidP="00600F53">
      <w:pPr>
        <w:pStyle w:val="BRL-berschrift"/>
        <w:rPr>
          <w:rFonts w:eastAsia="Calibri"/>
        </w:rPr>
      </w:pPr>
      <w:r w:rsidRPr="0009445C">
        <w:t>10.7</w:t>
      </w:r>
      <w:r w:rsidRPr="0009445C">
        <w:tab/>
        <w:t>Storage room</w:t>
      </w:r>
    </w:p>
    <w:p w14:paraId="24F74BB5" w14:textId="77777777" w:rsidR="00B47442" w:rsidRPr="0009445C" w:rsidRDefault="00B47442" w:rsidP="00B47442">
      <w:pPr>
        <w:pStyle w:val="BRL-Standard"/>
      </w:pPr>
      <w:r w:rsidRPr="0009445C">
        <w:t>The main structural elements of the fire extinguishing system, such as the pump system and its switching cabinet, pressure maintenance systems/devices with fittings, alarm valves, auxiliary generators and main gate valves, controls and alerting devices, must be installed in a separate room (fire extinguishing room). In case of non-centrally located alarm valves/sprinkler sub-centres, structural separation is not required if unauthorised access is prevented through suitable measures, e.g. wire mesh, and the area concerned is a sprinkler-protected area.</w:t>
      </w:r>
    </w:p>
    <w:p w14:paraId="3E20214A" w14:textId="77777777" w:rsidR="00B47442" w:rsidRPr="0009445C" w:rsidRDefault="00B47442" w:rsidP="00B47442">
      <w:pPr>
        <w:pStyle w:val="BRL-Standard"/>
      </w:pPr>
      <w:r w:rsidRPr="0009445C">
        <w:t>Access to the firefighting room must be quick and safe at all times, including in the event of fire.</w:t>
      </w:r>
    </w:p>
    <w:p w14:paraId="71A9F91C" w14:textId="77777777" w:rsidR="00B47442" w:rsidRPr="0009445C" w:rsidRDefault="00B47442" w:rsidP="00B47442">
      <w:pPr>
        <w:pStyle w:val="BRL-Standard"/>
        <w:rPr>
          <w:lang w:eastAsia="en-US"/>
        </w:rPr>
      </w:pPr>
    </w:p>
    <w:p w14:paraId="20C69039" w14:textId="77777777" w:rsidR="00B47442" w:rsidRPr="0009445C" w:rsidRDefault="00B47442" w:rsidP="00600F53">
      <w:pPr>
        <w:pStyle w:val="BRL-berschrift"/>
        <w:rPr>
          <w:rFonts w:eastAsia="Calibri"/>
        </w:rPr>
      </w:pPr>
      <w:r w:rsidRPr="0009445C">
        <w:t>10.8</w:t>
      </w:r>
      <w:r w:rsidRPr="0009445C">
        <w:tab/>
        <w:t>Installation and operation</w:t>
      </w:r>
    </w:p>
    <w:p w14:paraId="7C97A7A8" w14:textId="77777777" w:rsidR="00B47442" w:rsidRPr="0009445C" w:rsidRDefault="00B47442" w:rsidP="00B47442">
      <w:pPr>
        <w:pStyle w:val="BRL-Standard"/>
      </w:pPr>
      <w:r w:rsidRPr="0009445C">
        <w:t>Simultaneous decommissioning of non-automatic and automatic fire extinguishing systems is not permitted.</w:t>
      </w:r>
    </w:p>
    <w:p w14:paraId="6107C6C6" w14:textId="77777777" w:rsidR="00B47442" w:rsidRPr="0009445C" w:rsidRDefault="00B47442" w:rsidP="00B47442">
      <w:pPr>
        <w:pStyle w:val="BRL-Standard"/>
      </w:pPr>
    </w:p>
    <w:p w14:paraId="026185C1" w14:textId="77777777" w:rsidR="00B47442" w:rsidRPr="0009445C" w:rsidRDefault="00B47442" w:rsidP="00B47442">
      <w:pPr>
        <w:pStyle w:val="BRL-Standard"/>
      </w:pPr>
    </w:p>
    <w:p w14:paraId="4EAFF255" w14:textId="77777777" w:rsidR="00CF2AA5" w:rsidRPr="0009445C" w:rsidRDefault="00CF2AA5" w:rsidP="00742443">
      <w:pPr>
        <w:pStyle w:val="BRL-Funote"/>
        <w:widowControl w:val="0"/>
        <w:rPr>
          <w:sz w:val="18"/>
          <w:szCs w:val="18"/>
        </w:rPr>
        <w:sectPr w:rsidR="00CF2AA5" w:rsidRPr="0009445C" w:rsidSect="00744176">
          <w:headerReference w:type="default" r:id="rId216"/>
          <w:footerReference w:type="default" r:id="rId217"/>
          <w:headerReference w:type="first" r:id="rId218"/>
          <w:footerReference w:type="first" r:id="rId219"/>
          <w:footnotePr>
            <w:numRestart w:val="eachSect"/>
          </w:footnotePr>
          <w:pgSz w:w="11906" w:h="16838"/>
          <w:pgMar w:top="1134" w:right="1418" w:bottom="1134" w:left="1418" w:header="709" w:footer="709" w:gutter="0"/>
          <w:cols w:space="708"/>
          <w:titlePg/>
          <w:docGrid w:linePitch="360"/>
        </w:sectPr>
      </w:pPr>
    </w:p>
    <w:p w14:paraId="2248E108" w14:textId="3307D4D3" w:rsidR="00CF2AA5" w:rsidRPr="0009445C" w:rsidRDefault="00CF2AA5" w:rsidP="00BA2FAB">
      <w:pPr>
        <w:pStyle w:val="Heading2"/>
      </w:pPr>
      <w:r w:rsidRPr="0009445C">
        <w:lastRenderedPageBreak/>
        <w:t>Annex 18</w:t>
      </w:r>
    </w:p>
    <w:p w14:paraId="60EDAA33" w14:textId="09136836" w:rsidR="00CF2AA5" w:rsidRPr="0009445C" w:rsidRDefault="00CF2AA5" w:rsidP="00CF2AA5">
      <w:pPr>
        <w:pStyle w:val="berschrift2Titelseite"/>
        <w:rPr>
          <w:b/>
          <w:color w:val="auto"/>
        </w:rPr>
      </w:pPr>
      <w:r w:rsidRPr="0009445C">
        <w:rPr>
          <w:b/>
          <w:color w:val="auto"/>
        </w:rPr>
        <w:t>Use of normal flammability glazing in external walls, excluding exterior wall structures with inter-storey cavities or airspaces and façades</w:t>
      </w:r>
    </w:p>
    <w:p w14:paraId="48918B3A" w14:textId="1C3AD64E" w:rsidR="00CF2AA5" w:rsidRPr="0009445C" w:rsidRDefault="00CF2AA5" w:rsidP="00CF2AA5">
      <w:pPr>
        <w:pStyle w:val="BRL-Standard"/>
        <w:ind w:left="1077"/>
      </w:pPr>
      <w:r w:rsidRPr="0009445C">
        <w:t>Last updated: July 2022</w:t>
      </w:r>
    </w:p>
    <w:p w14:paraId="652ED2DE" w14:textId="005D136F" w:rsidR="00CF2AA5" w:rsidRPr="0009445C" w:rsidRDefault="00CF2AA5" w:rsidP="00CF2AA5">
      <w:pPr>
        <w:rPr>
          <w:b/>
          <w:szCs w:val="18"/>
        </w:rPr>
      </w:pPr>
    </w:p>
    <w:p w14:paraId="0DBF45F2" w14:textId="77777777" w:rsidR="00CF2AA5" w:rsidRPr="0009445C" w:rsidRDefault="00CF2AA5" w:rsidP="00CF2AA5">
      <w:pPr>
        <w:rPr>
          <w:b/>
          <w:szCs w:val="18"/>
        </w:rPr>
      </w:pPr>
    </w:p>
    <w:p w14:paraId="2B2F2D71" w14:textId="050DE028" w:rsidR="00CF2AA5" w:rsidRPr="0009445C" w:rsidRDefault="00CF2AA5" w:rsidP="00CF2AA5">
      <w:pPr>
        <w:jc w:val="both"/>
      </w:pPr>
      <w:r w:rsidRPr="0009445C">
        <w:t xml:space="preserve">Instead of non-combustible glazing in external walls, normal flammability glazing may be used if the glazing with multi-pane insulating glass with laminated safety glass consists of single non-flammable glass (e.g. float glass, single pane safety glass) and intermediate films and the multi-pane insulating glass with laminated safety glass is at least normal flame resistant and the glazing does not contribute to a permanent flame propagation in the event of fire. </w:t>
      </w:r>
    </w:p>
    <w:p w14:paraId="4BEF209E" w14:textId="77777777" w:rsidR="00CF2AA5" w:rsidRPr="0009445C" w:rsidRDefault="00CF2AA5" w:rsidP="00CF2AA5">
      <w:pPr>
        <w:jc w:val="both"/>
      </w:pPr>
    </w:p>
    <w:p w14:paraId="505C7EF7" w14:textId="48D23A3D" w:rsidR="00CF2AA5" w:rsidRPr="0009445C" w:rsidRDefault="00CF2AA5" w:rsidP="00CF2AA5">
      <w:pPr>
        <w:jc w:val="both"/>
      </w:pPr>
      <w:r w:rsidRPr="0009445C">
        <w:t>This is considered to be met by laminated safety glass with a maximum of two 0.38 mm thick polyvinyl butyral (PVB) films per liner. These composite safety glasses may also be arranged in several disk planes (e.g. as outer, middle and inner panes). The disc edges must be protected from flame by a glass holder made of non-combustible materials. If this is to be deviated from this, a proof of applicability according to § 16a MBO</w:t>
      </w:r>
      <w:r w:rsidRPr="0009445C">
        <w:rPr>
          <w:rStyle w:val="FootnoteReference"/>
        </w:rPr>
        <w:footnoteReference w:id="135"/>
      </w:r>
      <w:r w:rsidRPr="0009445C">
        <w:t xml:space="preserve"> is required.</w:t>
      </w:r>
    </w:p>
    <w:p w14:paraId="077FAE4A" w14:textId="77777777" w:rsidR="00CF2AA5" w:rsidRPr="0009445C" w:rsidRDefault="00CF2AA5" w:rsidP="00CF2AA5">
      <w:pPr>
        <w:rPr>
          <w:b/>
          <w:szCs w:val="18"/>
        </w:rPr>
      </w:pPr>
    </w:p>
    <w:p w14:paraId="3AA1230F" w14:textId="77777777" w:rsidR="00182764" w:rsidRPr="0009445C" w:rsidRDefault="00182764" w:rsidP="00742443">
      <w:pPr>
        <w:pStyle w:val="BRL-Funote"/>
        <w:widowControl w:val="0"/>
        <w:rPr>
          <w:sz w:val="18"/>
          <w:szCs w:val="18"/>
        </w:rPr>
        <w:sectPr w:rsidR="00182764" w:rsidRPr="0009445C" w:rsidSect="00744176">
          <w:headerReference w:type="first" r:id="rId220"/>
          <w:footnotePr>
            <w:numRestart w:val="eachSect"/>
          </w:footnotePr>
          <w:pgSz w:w="11906" w:h="16838"/>
          <w:pgMar w:top="1134" w:right="1418" w:bottom="1134" w:left="1418" w:header="709" w:footer="709" w:gutter="0"/>
          <w:cols w:space="708"/>
          <w:titlePg/>
          <w:docGrid w:linePitch="360"/>
        </w:sectPr>
      </w:pPr>
    </w:p>
    <w:p w14:paraId="13143020" w14:textId="77777777" w:rsidR="00182764" w:rsidRPr="0009445C" w:rsidRDefault="00182764" w:rsidP="00182764">
      <w:pPr>
        <w:pStyle w:val="Heading1"/>
        <w:spacing w:after="0" w:line="276" w:lineRule="auto"/>
        <w:rPr>
          <w:sz w:val="20"/>
        </w:rPr>
      </w:pPr>
      <w:r w:rsidRPr="0009445C">
        <w:rPr>
          <w:sz w:val="20"/>
        </w:rPr>
        <w:lastRenderedPageBreak/>
        <w:t>Source of supply certification</w:t>
      </w:r>
    </w:p>
    <w:p w14:paraId="08870030" w14:textId="77777777" w:rsidR="00182764" w:rsidRPr="0009445C" w:rsidRDefault="00182764" w:rsidP="00182764"/>
    <w:p w14:paraId="3E1EECA2" w14:textId="77777777" w:rsidR="00182764" w:rsidRPr="0009445C" w:rsidRDefault="00182764" w:rsidP="00182764">
      <w:r w:rsidRPr="0009445C">
        <w:t>Standards (DIN, DIN V, DIN V ENV, DIN EN, DIN EN ISO, DIN CEN/TS, DIN SPEC, Eurocode), AD datasheets, DIN technical reports</w:t>
      </w:r>
    </w:p>
    <w:p w14:paraId="4368C95C" w14:textId="77777777" w:rsidR="00182764" w:rsidRPr="0009445C" w:rsidRDefault="00182764" w:rsidP="00182764">
      <w:pPr>
        <w:rPr>
          <w:lang w:val="de-DE"/>
        </w:rPr>
      </w:pPr>
      <w:r w:rsidRPr="0009445C">
        <w:rPr>
          <w:lang w:val="de-DE"/>
        </w:rPr>
        <w:t>Beuth Verlag GmbH</w:t>
      </w:r>
    </w:p>
    <w:p w14:paraId="2601A557" w14:textId="01702FEA" w:rsidR="00182764" w:rsidRPr="0009445C" w:rsidRDefault="00375ADF" w:rsidP="00182764">
      <w:pPr>
        <w:rPr>
          <w:lang w:val="de-DE"/>
        </w:rPr>
      </w:pPr>
      <w:hyperlink r:id="rId221" w:history="1">
        <w:r w:rsidRPr="0009445C">
          <w:rPr>
            <w:rStyle w:val="Hyperlink"/>
            <w:color w:val="auto"/>
            <w:lang w:val="de-DE"/>
          </w:rPr>
          <w:t>www.beuth.de</w:t>
        </w:r>
      </w:hyperlink>
    </w:p>
    <w:p w14:paraId="2830C90F" w14:textId="77777777" w:rsidR="00182764" w:rsidRPr="0009445C" w:rsidRDefault="00182764" w:rsidP="00182764">
      <w:pPr>
        <w:rPr>
          <w:lang w:val="de-DE"/>
        </w:rPr>
      </w:pPr>
    </w:p>
    <w:p w14:paraId="729DFEBE" w14:textId="77777777" w:rsidR="00182764" w:rsidRPr="0009445C" w:rsidRDefault="00182764" w:rsidP="00182764">
      <w:r w:rsidRPr="0009445C">
        <w:t>EADs (European Assessment Documents)</w:t>
      </w:r>
    </w:p>
    <w:p w14:paraId="3242A501" w14:textId="17F4BABD" w:rsidR="00182764" w:rsidRPr="0009445C" w:rsidRDefault="00375ADF" w:rsidP="00182764">
      <w:pPr>
        <w:rPr>
          <w:u w:val="single"/>
        </w:rPr>
      </w:pPr>
      <w:hyperlink r:id="rId222" w:history="1">
        <w:r w:rsidRPr="0009445C">
          <w:rPr>
            <w:u w:val="single"/>
          </w:rPr>
          <w:t>www.eota.eu</w:t>
        </w:r>
      </w:hyperlink>
    </w:p>
    <w:p w14:paraId="41C0D315" w14:textId="77777777" w:rsidR="00182764" w:rsidRPr="0009445C" w:rsidRDefault="00182764" w:rsidP="00182764">
      <w:pPr>
        <w:rPr>
          <w:lang w:val="en-US"/>
        </w:rPr>
      </w:pPr>
    </w:p>
    <w:p w14:paraId="1D6E9D8E" w14:textId="77777777" w:rsidR="00182764" w:rsidRPr="0009445C" w:rsidRDefault="00182764" w:rsidP="00182764">
      <w:r w:rsidRPr="0009445C">
        <w:t>ETAGs (European Technical Approvals Guidelines)</w:t>
      </w:r>
    </w:p>
    <w:p w14:paraId="379F0AA8" w14:textId="5521082F" w:rsidR="00182764" w:rsidRPr="0009445C" w:rsidRDefault="00375ADF" w:rsidP="00182764">
      <w:pPr>
        <w:rPr>
          <w:u w:val="single"/>
        </w:rPr>
      </w:pPr>
      <w:hyperlink r:id="rId223" w:history="1">
        <w:r w:rsidRPr="0009445C">
          <w:rPr>
            <w:u w:val="single"/>
          </w:rPr>
          <w:t>www.eota.eu</w:t>
        </w:r>
      </w:hyperlink>
    </w:p>
    <w:p w14:paraId="6B68A01A" w14:textId="77777777" w:rsidR="00182764" w:rsidRPr="0009445C" w:rsidRDefault="00182764" w:rsidP="00182764"/>
    <w:p w14:paraId="27D2F3D1" w14:textId="77777777" w:rsidR="00182764" w:rsidRPr="0009445C" w:rsidRDefault="00182764" w:rsidP="00182764">
      <w:r w:rsidRPr="0009445C">
        <w:t>Application guideline for working scaffolds as per DIN EN 12811-1</w:t>
      </w:r>
    </w:p>
    <w:p w14:paraId="62E061D4" w14:textId="77777777" w:rsidR="00182764" w:rsidRPr="0009445C" w:rsidRDefault="00182764" w:rsidP="00182764">
      <w:r w:rsidRPr="0009445C">
        <w:t>November 2005 version</w:t>
      </w:r>
    </w:p>
    <w:p w14:paraId="5515F81A"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46DBE179" w14:textId="187A8EC6" w:rsidR="00182764" w:rsidRPr="0009445C" w:rsidRDefault="00375ADF" w:rsidP="00182764">
      <w:pPr>
        <w:rPr>
          <w:sz w:val="16"/>
        </w:rPr>
      </w:pPr>
      <w:hyperlink r:id="rId224" w:history="1">
        <w:r w:rsidRPr="0009445C">
          <w:rPr>
            <w:rStyle w:val="Hyperlink"/>
            <w:color w:val="auto"/>
          </w:rPr>
          <w:t>www.dibt.de</w:t>
        </w:r>
      </w:hyperlink>
    </w:p>
    <w:p w14:paraId="7C65CB9A" w14:textId="77777777" w:rsidR="00182764" w:rsidRPr="0009445C" w:rsidRDefault="00182764" w:rsidP="00182764"/>
    <w:p w14:paraId="6840BB51" w14:textId="77777777" w:rsidR="00182764" w:rsidRPr="0009445C" w:rsidRDefault="00182764" w:rsidP="00182764">
      <w:r w:rsidRPr="0009445C">
        <w:t>Application guideline for falsework in accordance with DIN EN 12812</w:t>
      </w:r>
    </w:p>
    <w:p w14:paraId="165F13AE" w14:textId="77777777" w:rsidR="00182764" w:rsidRPr="0009445C" w:rsidRDefault="00182764" w:rsidP="00182764">
      <w:r w:rsidRPr="0009445C">
        <w:t>August 2009 version</w:t>
      </w:r>
    </w:p>
    <w:p w14:paraId="5882BA59"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2A33D4C1" w14:textId="6D2274FB" w:rsidR="00182764" w:rsidRPr="0009445C" w:rsidRDefault="00375ADF" w:rsidP="00182764">
      <w:pPr>
        <w:rPr>
          <w:sz w:val="16"/>
        </w:rPr>
      </w:pPr>
      <w:hyperlink r:id="rId225" w:history="1">
        <w:r w:rsidRPr="0009445C">
          <w:rPr>
            <w:rStyle w:val="Hyperlink"/>
            <w:color w:val="auto"/>
          </w:rPr>
          <w:t>www.dibt.de</w:t>
        </w:r>
      </w:hyperlink>
    </w:p>
    <w:p w14:paraId="2175C396" w14:textId="0B2D2D23" w:rsidR="00182764" w:rsidRPr="0009445C" w:rsidRDefault="00182764" w:rsidP="00182764"/>
    <w:p w14:paraId="4EEB8053" w14:textId="77777777" w:rsidR="00831D96" w:rsidRPr="0009445C" w:rsidRDefault="00831D96" w:rsidP="00831D96">
      <w:pPr>
        <w:spacing w:line="276" w:lineRule="auto"/>
      </w:pPr>
      <w:r w:rsidRPr="0009445C">
        <w:t>Building inspection guideline on the ventilation of windowless kitchens, bathrooms and toilets in apartments,</w:t>
      </w:r>
    </w:p>
    <w:p w14:paraId="3BA6D275" w14:textId="77777777" w:rsidR="00831D96" w:rsidRPr="0009445C" w:rsidRDefault="00831D96" w:rsidP="00831D96">
      <w:pPr>
        <w:spacing w:line="276" w:lineRule="auto"/>
      </w:pPr>
      <w:r w:rsidRPr="0009445C">
        <w:t>April 2009 version, as last amended on 1 July 2010</w:t>
      </w:r>
    </w:p>
    <w:p w14:paraId="09E4B856" w14:textId="2716F769" w:rsidR="00831D96" w:rsidRPr="0009445C" w:rsidRDefault="00375ADF" w:rsidP="00831D96">
      <w:pPr>
        <w:spacing w:line="276" w:lineRule="auto"/>
      </w:pPr>
      <w:hyperlink r:id="rId226" w:history="1">
        <w:r w:rsidRPr="0009445C">
          <w:rPr>
            <w:rStyle w:val="Hyperlink"/>
            <w:color w:val="auto"/>
          </w:rPr>
          <w:t>www.is-argebau.de</w:t>
        </w:r>
      </w:hyperlink>
    </w:p>
    <w:p w14:paraId="5CF05657" w14:textId="77777777" w:rsidR="00831D96" w:rsidRPr="0009445C" w:rsidRDefault="00831D96" w:rsidP="00182764"/>
    <w:p w14:paraId="3DDD124E" w14:textId="77777777" w:rsidR="00182764" w:rsidRPr="0009445C" w:rsidRDefault="00182764" w:rsidP="00182764">
      <w:r w:rsidRPr="0009445C">
        <w:t xml:space="preserve">Construction and test principles for coatings for concrete, plaster and screed surfaces in catching tubs and collecting chambers </w:t>
      </w:r>
    </w:p>
    <w:p w14:paraId="651418BE" w14:textId="77777777" w:rsidR="00182764" w:rsidRPr="0009445C" w:rsidRDefault="00182764" w:rsidP="00182764">
      <w:r w:rsidRPr="0009445C">
        <w:t>August 2017 version</w:t>
      </w:r>
    </w:p>
    <w:p w14:paraId="4F062C21" w14:textId="77777777" w:rsidR="00182764" w:rsidRPr="0009445C" w:rsidRDefault="00182764" w:rsidP="00182764">
      <w:r w:rsidRPr="0009445C">
        <w:t>German Institute for Building Technology (</w:t>
      </w:r>
      <w:proofErr w:type="spellStart"/>
      <w:r w:rsidRPr="0009445C">
        <w:t>DIBt</w:t>
      </w:r>
      <w:proofErr w:type="spellEnd"/>
      <w:r w:rsidRPr="0009445C">
        <w:t xml:space="preserve">) </w:t>
      </w:r>
    </w:p>
    <w:p w14:paraId="3AD7D889" w14:textId="1CF0F4F1" w:rsidR="00182764" w:rsidRPr="0009445C" w:rsidRDefault="00375ADF" w:rsidP="00182764">
      <w:pPr>
        <w:rPr>
          <w:sz w:val="16"/>
        </w:rPr>
      </w:pPr>
      <w:hyperlink r:id="rId227" w:history="1">
        <w:r w:rsidRPr="0009445C">
          <w:rPr>
            <w:rStyle w:val="Hyperlink"/>
            <w:color w:val="auto"/>
          </w:rPr>
          <w:t>www.dibt.de</w:t>
        </w:r>
      </w:hyperlink>
    </w:p>
    <w:p w14:paraId="059AE4DA" w14:textId="375D23EA" w:rsidR="00182764" w:rsidRPr="0009445C" w:rsidRDefault="00182764" w:rsidP="00182764"/>
    <w:p w14:paraId="350A2F4F" w14:textId="77777777" w:rsidR="00831D96" w:rsidRPr="0009445C" w:rsidRDefault="00831D96" w:rsidP="00831D96">
      <w:pPr>
        <w:spacing w:line="276" w:lineRule="auto"/>
      </w:pPr>
      <w:r w:rsidRPr="0009445C">
        <w:t>Design method for anchor rails (German application document for EOTA TR 047 dated March 2018)</w:t>
      </w:r>
    </w:p>
    <w:p w14:paraId="62C5CBDA" w14:textId="77777777" w:rsidR="00831D96" w:rsidRPr="0009445C" w:rsidRDefault="00831D96" w:rsidP="00831D96">
      <w:pPr>
        <w:spacing w:line="276" w:lineRule="auto"/>
      </w:pPr>
      <w:r w:rsidRPr="0009445C">
        <w:t>Last updated: August 2020</w:t>
      </w:r>
    </w:p>
    <w:p w14:paraId="592A6873" w14:textId="77777777" w:rsidR="00831D96" w:rsidRPr="0009445C" w:rsidRDefault="00831D96" w:rsidP="00831D96">
      <w:pPr>
        <w:spacing w:line="276" w:lineRule="auto"/>
      </w:pPr>
      <w:r w:rsidRPr="0009445C">
        <w:t>German Institute for Building Technology (</w:t>
      </w:r>
      <w:proofErr w:type="spellStart"/>
      <w:r w:rsidRPr="0009445C">
        <w:t>DIBt</w:t>
      </w:r>
      <w:proofErr w:type="spellEnd"/>
      <w:r w:rsidRPr="0009445C">
        <w:t>)</w:t>
      </w:r>
    </w:p>
    <w:p w14:paraId="4AF5E017" w14:textId="67BE15B3" w:rsidR="00831D96" w:rsidRPr="0009445C" w:rsidRDefault="00375ADF" w:rsidP="00831D96">
      <w:pPr>
        <w:spacing w:line="276" w:lineRule="auto"/>
      </w:pPr>
      <w:hyperlink r:id="rId228" w:history="1">
        <w:r w:rsidRPr="0009445C">
          <w:rPr>
            <w:rStyle w:val="Hyperlink"/>
            <w:color w:val="auto"/>
          </w:rPr>
          <w:t>www.dibt.de</w:t>
        </w:r>
      </w:hyperlink>
    </w:p>
    <w:p w14:paraId="55A2A3CD" w14:textId="77777777" w:rsidR="00831D96" w:rsidRPr="0009445C" w:rsidRDefault="00831D96" w:rsidP="00831D96">
      <w:pPr>
        <w:spacing w:line="276" w:lineRule="auto"/>
      </w:pPr>
    </w:p>
    <w:p w14:paraId="5B72DA52" w14:textId="77777777" w:rsidR="00831D96" w:rsidRPr="0009445C" w:rsidRDefault="00831D96" w:rsidP="00831D96">
      <w:pPr>
        <w:spacing w:line="276" w:lineRule="auto"/>
      </w:pPr>
      <w:r w:rsidRPr="0009445C">
        <w:t>Design method for anchor rails under fatigue-relevant load (German application document for EOTA TR 050 dated October 2018)</w:t>
      </w:r>
    </w:p>
    <w:p w14:paraId="602E5660" w14:textId="77777777" w:rsidR="00831D96" w:rsidRPr="0009445C" w:rsidRDefault="00831D96" w:rsidP="00831D96">
      <w:pPr>
        <w:spacing w:line="276" w:lineRule="auto"/>
      </w:pPr>
      <w:r w:rsidRPr="0009445C">
        <w:t>Last updated: August 2020</w:t>
      </w:r>
    </w:p>
    <w:p w14:paraId="6CB491DD" w14:textId="77777777" w:rsidR="00831D96" w:rsidRPr="0009445C" w:rsidRDefault="00831D96" w:rsidP="00831D96">
      <w:pPr>
        <w:spacing w:line="276" w:lineRule="auto"/>
      </w:pPr>
      <w:r w:rsidRPr="0009445C">
        <w:t>German Institute for Building Technology (</w:t>
      </w:r>
      <w:proofErr w:type="spellStart"/>
      <w:r w:rsidRPr="0009445C">
        <w:t>DIBt</w:t>
      </w:r>
      <w:proofErr w:type="spellEnd"/>
      <w:r w:rsidRPr="0009445C">
        <w:t>)</w:t>
      </w:r>
    </w:p>
    <w:p w14:paraId="0B3796E9" w14:textId="53C78DD3" w:rsidR="00831D96" w:rsidRPr="0009445C" w:rsidRDefault="00375ADF" w:rsidP="00831D96">
      <w:hyperlink r:id="rId229" w:history="1">
        <w:r w:rsidRPr="0009445C">
          <w:rPr>
            <w:rStyle w:val="Hyperlink"/>
            <w:color w:val="auto"/>
          </w:rPr>
          <w:t>www.dibt.de</w:t>
        </w:r>
      </w:hyperlink>
    </w:p>
    <w:p w14:paraId="50BE7137" w14:textId="77777777" w:rsidR="00831D96" w:rsidRPr="0009445C" w:rsidRDefault="00831D96" w:rsidP="00182764"/>
    <w:p w14:paraId="224A33F2" w14:textId="3C2033ED" w:rsidR="00182764" w:rsidRPr="0009445C" w:rsidRDefault="00831D96" w:rsidP="00182764">
      <w:r w:rsidRPr="0009445C">
        <w:br w:type="column"/>
      </w:r>
      <w:r w:rsidRPr="0009445C">
        <w:t xml:space="preserve">Design procedure for plastic anchors for anchoring in concrete and masonry </w:t>
      </w:r>
      <w:r w:rsidRPr="0009445C">
        <w:br/>
        <w:t>(German application document for EOTA TR 064 of May 2018)</w:t>
      </w:r>
    </w:p>
    <w:p w14:paraId="13B79FF6" w14:textId="77777777" w:rsidR="00182764" w:rsidRPr="0009445C" w:rsidRDefault="00182764" w:rsidP="00182764">
      <w:r w:rsidRPr="0009445C">
        <w:t>Last updated: August 2019</w:t>
      </w:r>
    </w:p>
    <w:p w14:paraId="06805A11"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050BEC69" w14:textId="62D26C74" w:rsidR="00182764" w:rsidRPr="0009445C" w:rsidRDefault="00375ADF" w:rsidP="00182764">
      <w:pPr>
        <w:rPr>
          <w:sz w:val="16"/>
        </w:rPr>
      </w:pPr>
      <w:hyperlink r:id="rId230" w:history="1">
        <w:r w:rsidRPr="0009445C">
          <w:rPr>
            <w:rStyle w:val="Hyperlink"/>
            <w:color w:val="auto"/>
          </w:rPr>
          <w:t>www.dibt.de</w:t>
        </w:r>
      </w:hyperlink>
    </w:p>
    <w:p w14:paraId="35792E65" w14:textId="77777777" w:rsidR="00182764" w:rsidRPr="0009445C" w:rsidRDefault="00182764" w:rsidP="00182764"/>
    <w:p w14:paraId="04F59FA7" w14:textId="77777777" w:rsidR="00182764" w:rsidRPr="0009445C" w:rsidRDefault="00182764" w:rsidP="00182764">
      <w:r w:rsidRPr="0009445C">
        <w:t xml:space="preserve">Design procedure for metal injection anchors </w:t>
      </w:r>
      <w:r w:rsidRPr="0009445C">
        <w:br/>
        <w:t>for anchoring in masonry, (German application document for EOTA TR 054 of April 2016)</w:t>
      </w:r>
    </w:p>
    <w:p w14:paraId="5DFA7DAB" w14:textId="77777777" w:rsidR="00182764" w:rsidRPr="0009445C" w:rsidRDefault="00182764" w:rsidP="00182764">
      <w:r w:rsidRPr="0009445C">
        <w:t>Last updated: August 2019</w:t>
      </w:r>
    </w:p>
    <w:p w14:paraId="6DB3E535"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296D0529" w14:textId="7A74C0BA" w:rsidR="00182764" w:rsidRPr="0009445C" w:rsidRDefault="00375ADF" w:rsidP="00182764">
      <w:pPr>
        <w:rPr>
          <w:sz w:val="16"/>
        </w:rPr>
      </w:pPr>
      <w:hyperlink r:id="rId231" w:history="1">
        <w:r w:rsidRPr="0009445C">
          <w:rPr>
            <w:rStyle w:val="Hyperlink"/>
            <w:color w:val="auto"/>
          </w:rPr>
          <w:t>www.dibt.de</w:t>
        </w:r>
      </w:hyperlink>
    </w:p>
    <w:p w14:paraId="566BC6BE" w14:textId="77777777" w:rsidR="00182764" w:rsidRPr="0009445C" w:rsidRDefault="00182764" w:rsidP="00182764"/>
    <w:p w14:paraId="7FB4407C" w14:textId="77777777" w:rsidR="00182764" w:rsidRPr="0009445C" w:rsidRDefault="00182764" w:rsidP="00182764">
      <w:r w:rsidRPr="0009445C">
        <w:t>Design of flat slabs, individual foundations and ground slabs made of reinforced concrete with double-headed anchors as punching shear reinforcement (German application document for EOTA TR 060 of November 2017)</w:t>
      </w:r>
    </w:p>
    <w:p w14:paraId="411AD09B" w14:textId="77777777" w:rsidR="00182764" w:rsidRPr="0009445C" w:rsidRDefault="00182764" w:rsidP="00182764">
      <w:r w:rsidRPr="0009445C">
        <w:t>Last updated: August 2019</w:t>
      </w:r>
    </w:p>
    <w:p w14:paraId="3CC19204"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690B76C5" w14:textId="208B4C0F" w:rsidR="00182764" w:rsidRPr="0009445C" w:rsidRDefault="00375ADF" w:rsidP="00182764">
      <w:pPr>
        <w:rPr>
          <w:sz w:val="16"/>
        </w:rPr>
      </w:pPr>
      <w:hyperlink r:id="rId232" w:history="1">
        <w:r w:rsidRPr="0009445C">
          <w:rPr>
            <w:rStyle w:val="Hyperlink"/>
            <w:color w:val="auto"/>
          </w:rPr>
          <w:t>www.dibt.de</w:t>
        </w:r>
      </w:hyperlink>
    </w:p>
    <w:p w14:paraId="77D8632B" w14:textId="77777777" w:rsidR="00182764" w:rsidRPr="0009445C" w:rsidRDefault="00182764" w:rsidP="00182764"/>
    <w:p w14:paraId="43614F46" w14:textId="2BCE3E53" w:rsidR="00182764" w:rsidRPr="0009445C" w:rsidRDefault="00182764" w:rsidP="00182764">
      <w:r w:rsidRPr="0009445C">
        <w:t>Design of flat ceilings, individual foundations and floor slabs made of reinforced concrete with grid beams as punching shear reinforcement (German application document for EOTA TR 058 of June 2017)</w:t>
      </w:r>
    </w:p>
    <w:p w14:paraId="072B0494" w14:textId="77777777" w:rsidR="00182764" w:rsidRPr="0009445C" w:rsidRDefault="00182764" w:rsidP="00182764">
      <w:r w:rsidRPr="0009445C">
        <w:t>Last updated: August 2019</w:t>
      </w:r>
    </w:p>
    <w:p w14:paraId="185B5492"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02C81E5D" w14:textId="439CC263" w:rsidR="00182764" w:rsidRPr="0009445C" w:rsidRDefault="00375ADF" w:rsidP="00182764">
      <w:pPr>
        <w:rPr>
          <w:sz w:val="16"/>
        </w:rPr>
      </w:pPr>
      <w:hyperlink r:id="rId233" w:history="1">
        <w:r w:rsidRPr="0009445C">
          <w:rPr>
            <w:rStyle w:val="Hyperlink"/>
            <w:color w:val="auto"/>
          </w:rPr>
          <w:t>www.dibt.de</w:t>
        </w:r>
      </w:hyperlink>
    </w:p>
    <w:p w14:paraId="52418789" w14:textId="77777777" w:rsidR="00182764" w:rsidRPr="0009445C" w:rsidRDefault="00182764" w:rsidP="00182764"/>
    <w:p w14:paraId="4FCC22D9" w14:textId="392A93C4" w:rsidR="00182764" w:rsidRPr="0009445C" w:rsidRDefault="00182764" w:rsidP="00182764"/>
    <w:p w14:paraId="6561C51B" w14:textId="3173A4C4" w:rsidR="00182764" w:rsidRPr="0009445C" w:rsidRDefault="00182764" w:rsidP="00182764">
      <w:proofErr w:type="spellStart"/>
      <w:r w:rsidRPr="0009445C">
        <w:t>DAfStb</w:t>
      </w:r>
      <w:proofErr w:type="spellEnd"/>
      <w:r w:rsidRPr="0009445C">
        <w:t xml:space="preserve"> Guideline on concrete in accordance with DIN EN 206-1 and DIN 1045-2 with recycled aggregates in accordance with DIN EN 12620</w:t>
      </w:r>
    </w:p>
    <w:p w14:paraId="72D39AAF" w14:textId="77777777" w:rsidR="00182764" w:rsidRPr="0009445C" w:rsidRDefault="00182764" w:rsidP="00182764">
      <w:pPr>
        <w:rPr>
          <w:lang w:val="de-DE"/>
        </w:rPr>
      </w:pPr>
      <w:r w:rsidRPr="0009445C">
        <w:rPr>
          <w:lang w:val="de-DE"/>
        </w:rPr>
        <w:t>September 2010 version</w:t>
      </w:r>
    </w:p>
    <w:p w14:paraId="3AE231C5" w14:textId="77777777" w:rsidR="00182764" w:rsidRPr="0009445C" w:rsidRDefault="00182764" w:rsidP="00182764">
      <w:pPr>
        <w:rPr>
          <w:lang w:val="de-DE"/>
        </w:rPr>
      </w:pPr>
      <w:r w:rsidRPr="0009445C">
        <w:rPr>
          <w:lang w:val="de-DE"/>
        </w:rPr>
        <w:t>Beuth Verlag GmbH</w:t>
      </w:r>
    </w:p>
    <w:p w14:paraId="129C38B2" w14:textId="1D496F1E" w:rsidR="00182764" w:rsidRPr="0009445C" w:rsidRDefault="00375ADF" w:rsidP="00182764">
      <w:pPr>
        <w:rPr>
          <w:lang w:val="de-DE"/>
        </w:rPr>
      </w:pPr>
      <w:hyperlink r:id="rId234" w:history="1">
        <w:r w:rsidRPr="0009445C">
          <w:rPr>
            <w:rStyle w:val="Hyperlink"/>
            <w:color w:val="auto"/>
            <w:lang w:val="de-DE"/>
          </w:rPr>
          <w:t>www.beuth.de</w:t>
        </w:r>
      </w:hyperlink>
    </w:p>
    <w:p w14:paraId="0E37CE3F" w14:textId="77777777" w:rsidR="00182764" w:rsidRPr="0009445C" w:rsidRDefault="00182764" w:rsidP="00182764">
      <w:pPr>
        <w:rPr>
          <w:lang w:val="de-DE"/>
        </w:rPr>
      </w:pPr>
    </w:p>
    <w:p w14:paraId="0DF0089A" w14:textId="77777777" w:rsidR="00182764" w:rsidRPr="0009445C" w:rsidRDefault="00182764" w:rsidP="00182764">
      <w:proofErr w:type="spellStart"/>
      <w:r w:rsidRPr="0009445C">
        <w:t>DAfStb</w:t>
      </w:r>
      <w:proofErr w:type="spellEnd"/>
      <w:r w:rsidRPr="0009445C">
        <w:t xml:space="preserve"> Guideline on concrete construction when handling water-endangering substances – </w:t>
      </w:r>
      <w:proofErr w:type="spellStart"/>
      <w:r w:rsidRPr="0009445C">
        <w:t>BUmwS</w:t>
      </w:r>
      <w:proofErr w:type="spellEnd"/>
    </w:p>
    <w:p w14:paraId="4C86BAE2" w14:textId="77777777" w:rsidR="00182764" w:rsidRPr="0009445C" w:rsidRDefault="00182764" w:rsidP="00182764">
      <w:pPr>
        <w:rPr>
          <w:lang w:val="de-DE"/>
        </w:rPr>
      </w:pPr>
      <w:r w:rsidRPr="0009445C">
        <w:rPr>
          <w:lang w:val="de-DE"/>
        </w:rPr>
        <w:t>March 2011 version</w:t>
      </w:r>
    </w:p>
    <w:p w14:paraId="67BC601E" w14:textId="77777777" w:rsidR="00182764" w:rsidRPr="0009445C" w:rsidRDefault="00182764" w:rsidP="00182764">
      <w:pPr>
        <w:rPr>
          <w:lang w:val="de-DE"/>
        </w:rPr>
      </w:pPr>
      <w:r w:rsidRPr="0009445C">
        <w:rPr>
          <w:lang w:val="de-DE"/>
        </w:rPr>
        <w:t>German Committee for Reinforced Concrete - Deutscher Ausschuss für Stahlbeton e. V. (DAfStb)</w:t>
      </w:r>
    </w:p>
    <w:p w14:paraId="40C04DF1" w14:textId="77777777" w:rsidR="00182764" w:rsidRPr="0009445C" w:rsidRDefault="00182764" w:rsidP="00182764">
      <w:pPr>
        <w:rPr>
          <w:lang w:val="de-DE"/>
        </w:rPr>
      </w:pPr>
      <w:r w:rsidRPr="0009445C">
        <w:rPr>
          <w:lang w:val="de-DE"/>
        </w:rPr>
        <w:t>Beuth Verlag GmbH</w:t>
      </w:r>
    </w:p>
    <w:p w14:paraId="2C7AF7BC" w14:textId="05DCF47B" w:rsidR="00182764" w:rsidRPr="0009445C" w:rsidRDefault="00375ADF" w:rsidP="00182764">
      <w:pPr>
        <w:rPr>
          <w:lang w:val="de-DE"/>
        </w:rPr>
      </w:pPr>
      <w:hyperlink r:id="rId235" w:history="1">
        <w:r w:rsidRPr="0009445C">
          <w:rPr>
            <w:rStyle w:val="Hyperlink"/>
            <w:color w:val="auto"/>
            <w:lang w:val="de-DE"/>
          </w:rPr>
          <w:t>www.beuth.de</w:t>
        </w:r>
      </w:hyperlink>
    </w:p>
    <w:p w14:paraId="1DE03EDB" w14:textId="77777777" w:rsidR="00831D96" w:rsidRPr="0009445C" w:rsidRDefault="00831D96" w:rsidP="00182764">
      <w:pPr>
        <w:rPr>
          <w:lang w:val="de-DE"/>
        </w:rPr>
        <w:sectPr w:rsidR="00831D96" w:rsidRPr="0009445C" w:rsidSect="00EA14A1">
          <w:headerReference w:type="even" r:id="rId236"/>
          <w:headerReference w:type="default" r:id="rId237"/>
          <w:footerReference w:type="even" r:id="rId238"/>
          <w:footerReference w:type="default" r:id="rId239"/>
          <w:headerReference w:type="first" r:id="rId240"/>
          <w:footerReference w:type="first" r:id="rId241"/>
          <w:pgSz w:w="11906" w:h="16838"/>
          <w:pgMar w:top="1418" w:right="1418" w:bottom="851" w:left="1418" w:header="851" w:footer="425" w:gutter="0"/>
          <w:cols w:num="2" w:space="567"/>
          <w:titlePg/>
        </w:sectPr>
      </w:pPr>
    </w:p>
    <w:p w14:paraId="0B65A8AE" w14:textId="77777777" w:rsidR="00182764" w:rsidRPr="0009445C" w:rsidRDefault="00182764" w:rsidP="00182764">
      <w:pPr>
        <w:keepNext/>
      </w:pPr>
      <w:proofErr w:type="spellStart"/>
      <w:r w:rsidRPr="0009445C">
        <w:lastRenderedPageBreak/>
        <w:t>DAfStb</w:t>
      </w:r>
      <w:proofErr w:type="spellEnd"/>
      <w:r w:rsidRPr="0009445C">
        <w:t xml:space="preserve"> Guideline for concrete with extended processing time (slow setting concrete)</w:t>
      </w:r>
    </w:p>
    <w:p w14:paraId="5604C16C" w14:textId="77777777" w:rsidR="00182764" w:rsidRPr="0009445C" w:rsidRDefault="00182764" w:rsidP="00182764">
      <w:pPr>
        <w:keepNext/>
        <w:rPr>
          <w:lang w:val="de-DE"/>
        </w:rPr>
      </w:pPr>
      <w:r w:rsidRPr="0009445C">
        <w:rPr>
          <w:lang w:val="de-DE"/>
        </w:rPr>
        <w:t>November 2006 version</w:t>
      </w:r>
    </w:p>
    <w:p w14:paraId="0F7D3E81" w14:textId="77777777" w:rsidR="00182764" w:rsidRPr="0009445C" w:rsidRDefault="00182764" w:rsidP="00182764">
      <w:pPr>
        <w:keepNext/>
        <w:rPr>
          <w:lang w:val="de-DE"/>
        </w:rPr>
      </w:pPr>
      <w:r w:rsidRPr="0009445C">
        <w:rPr>
          <w:lang w:val="de-DE"/>
        </w:rPr>
        <w:t>German Committee for Reinforced Concrete - Deutscher Ausschuss für Stahlbeton e. V. (DAfStb)</w:t>
      </w:r>
    </w:p>
    <w:p w14:paraId="52D38E6A" w14:textId="77777777" w:rsidR="00182764" w:rsidRPr="0009445C" w:rsidRDefault="00182764" w:rsidP="00182764">
      <w:pPr>
        <w:keepNext/>
        <w:rPr>
          <w:lang w:val="de-DE"/>
        </w:rPr>
      </w:pPr>
      <w:r w:rsidRPr="0009445C">
        <w:rPr>
          <w:lang w:val="de-DE"/>
        </w:rPr>
        <w:t>Beuth Verlag GmbH</w:t>
      </w:r>
    </w:p>
    <w:p w14:paraId="190B5127" w14:textId="59F4313D" w:rsidR="00182764" w:rsidRPr="0009445C" w:rsidRDefault="00375ADF" w:rsidP="00182764">
      <w:pPr>
        <w:rPr>
          <w:lang w:val="de-DE"/>
        </w:rPr>
      </w:pPr>
      <w:hyperlink r:id="rId242" w:history="1">
        <w:r w:rsidRPr="0009445C">
          <w:rPr>
            <w:rStyle w:val="Hyperlink"/>
            <w:color w:val="auto"/>
            <w:lang w:val="de-DE"/>
          </w:rPr>
          <w:t>www.beuth.de</w:t>
        </w:r>
      </w:hyperlink>
    </w:p>
    <w:p w14:paraId="6234F412" w14:textId="77777777" w:rsidR="00182764" w:rsidRPr="0009445C" w:rsidRDefault="00182764" w:rsidP="00182764">
      <w:pPr>
        <w:rPr>
          <w:lang w:val="de-DE"/>
        </w:rPr>
      </w:pPr>
    </w:p>
    <w:p w14:paraId="24844B81" w14:textId="77777777" w:rsidR="00182764" w:rsidRPr="0009445C" w:rsidRDefault="00182764" w:rsidP="00182764">
      <w:pPr>
        <w:keepNext/>
      </w:pPr>
      <w:proofErr w:type="spellStart"/>
      <w:r w:rsidRPr="0009445C">
        <w:t>DAfStb</w:t>
      </w:r>
      <w:proofErr w:type="spellEnd"/>
      <w:r w:rsidRPr="0009445C">
        <w:t xml:space="preserve"> Guideline on the manufacture and use of dry concrete and dry mortar (Dry Concrete Guideline) – </w:t>
      </w:r>
      <w:proofErr w:type="spellStart"/>
      <w:r w:rsidRPr="0009445C">
        <w:t>TrBMR</w:t>
      </w:r>
      <w:proofErr w:type="spellEnd"/>
      <w:r w:rsidRPr="0009445C">
        <w:t xml:space="preserve"> –</w:t>
      </w:r>
    </w:p>
    <w:p w14:paraId="02515C19" w14:textId="77777777" w:rsidR="00182764" w:rsidRPr="0009445C" w:rsidRDefault="00182764" w:rsidP="00182764">
      <w:pPr>
        <w:keepNext/>
        <w:rPr>
          <w:lang w:val="de-DE"/>
        </w:rPr>
      </w:pPr>
      <w:r w:rsidRPr="0009445C">
        <w:rPr>
          <w:lang w:val="de-DE"/>
        </w:rPr>
        <w:t>June 2005 version</w:t>
      </w:r>
    </w:p>
    <w:p w14:paraId="0646E275" w14:textId="77777777" w:rsidR="00182764" w:rsidRPr="0009445C" w:rsidRDefault="00182764" w:rsidP="00182764">
      <w:pPr>
        <w:keepNext/>
        <w:rPr>
          <w:lang w:val="de-DE"/>
        </w:rPr>
      </w:pPr>
      <w:r w:rsidRPr="0009445C">
        <w:rPr>
          <w:lang w:val="de-DE"/>
        </w:rPr>
        <w:t>Beuth Verlag GmbH</w:t>
      </w:r>
    </w:p>
    <w:p w14:paraId="686A5EE5" w14:textId="309C6E88" w:rsidR="00182764" w:rsidRPr="0009445C" w:rsidRDefault="00375ADF" w:rsidP="00182764">
      <w:pPr>
        <w:rPr>
          <w:lang w:val="de-DE"/>
        </w:rPr>
      </w:pPr>
      <w:hyperlink r:id="rId243" w:history="1">
        <w:r w:rsidRPr="0009445C">
          <w:rPr>
            <w:rStyle w:val="Hyperlink"/>
            <w:color w:val="auto"/>
            <w:lang w:val="de-DE"/>
          </w:rPr>
          <w:t>www.beuth.de</w:t>
        </w:r>
      </w:hyperlink>
    </w:p>
    <w:p w14:paraId="53C77775" w14:textId="77777777" w:rsidR="00182764" w:rsidRPr="0009445C" w:rsidRDefault="00182764" w:rsidP="00182764">
      <w:pPr>
        <w:rPr>
          <w:lang w:val="de-DE"/>
        </w:rPr>
      </w:pPr>
    </w:p>
    <w:p w14:paraId="263EB339" w14:textId="77777777" w:rsidR="00182764" w:rsidRPr="0009445C" w:rsidRDefault="00182764" w:rsidP="00182764">
      <w:proofErr w:type="spellStart"/>
      <w:r w:rsidRPr="0009445C">
        <w:t>DAfStb</w:t>
      </w:r>
      <w:proofErr w:type="spellEnd"/>
      <w:r w:rsidRPr="0009445C">
        <w:t xml:space="preserve"> Guideline for the production and use of cement bonded concrete and mortar – </w:t>
      </w:r>
      <w:proofErr w:type="spellStart"/>
      <w:r w:rsidRPr="0009445C">
        <w:t>VeBMR</w:t>
      </w:r>
      <w:proofErr w:type="spellEnd"/>
      <w:r w:rsidRPr="0009445C">
        <w:t xml:space="preserve"> —</w:t>
      </w:r>
    </w:p>
    <w:p w14:paraId="4E6E64E0" w14:textId="77777777" w:rsidR="00182764" w:rsidRPr="0009445C" w:rsidRDefault="00182764" w:rsidP="00182764">
      <w:pPr>
        <w:rPr>
          <w:lang w:val="de-DE"/>
        </w:rPr>
      </w:pPr>
      <w:r w:rsidRPr="0009445C">
        <w:rPr>
          <w:lang w:val="de-DE"/>
        </w:rPr>
        <w:t>November 2011 version</w:t>
      </w:r>
    </w:p>
    <w:p w14:paraId="7C20D70A" w14:textId="77777777" w:rsidR="00182764" w:rsidRPr="0009445C" w:rsidRDefault="00182764" w:rsidP="00182764">
      <w:pPr>
        <w:rPr>
          <w:lang w:val="de-DE"/>
        </w:rPr>
      </w:pPr>
      <w:r w:rsidRPr="0009445C">
        <w:rPr>
          <w:lang w:val="de-DE"/>
        </w:rPr>
        <w:t>Beuth Verlag GmbH</w:t>
      </w:r>
    </w:p>
    <w:p w14:paraId="12E68988" w14:textId="1CD0E822" w:rsidR="00182764" w:rsidRPr="0009445C" w:rsidRDefault="00375ADF" w:rsidP="00182764">
      <w:pPr>
        <w:rPr>
          <w:rStyle w:val="Hyperlink"/>
          <w:color w:val="auto"/>
          <w:lang w:val="de-DE"/>
        </w:rPr>
      </w:pPr>
      <w:hyperlink r:id="rId244" w:history="1">
        <w:r w:rsidRPr="0009445C">
          <w:rPr>
            <w:rStyle w:val="Hyperlink"/>
            <w:color w:val="auto"/>
            <w:lang w:val="de-DE"/>
          </w:rPr>
          <w:t>www.beuth.de</w:t>
        </w:r>
      </w:hyperlink>
    </w:p>
    <w:p w14:paraId="1960F12C" w14:textId="77777777" w:rsidR="00831D96" w:rsidRPr="0009445C" w:rsidRDefault="00831D96" w:rsidP="00182764">
      <w:pPr>
        <w:rPr>
          <w:lang w:val="de-DE"/>
        </w:rPr>
      </w:pPr>
    </w:p>
    <w:p w14:paraId="0A2B12F2" w14:textId="77777777" w:rsidR="00182764" w:rsidRPr="0009445C" w:rsidRDefault="00182764" w:rsidP="00182764">
      <w:proofErr w:type="spellStart"/>
      <w:r w:rsidRPr="0009445C">
        <w:t>DAfStb</w:t>
      </w:r>
      <w:proofErr w:type="spellEnd"/>
      <w:r w:rsidRPr="0009445C">
        <w:t xml:space="preserve"> Guideline for solid concrete structural elements</w:t>
      </w:r>
    </w:p>
    <w:p w14:paraId="31827B2C" w14:textId="77777777" w:rsidR="00182764" w:rsidRPr="0009445C" w:rsidRDefault="00182764" w:rsidP="00182764">
      <w:pPr>
        <w:rPr>
          <w:lang w:val="de-DE"/>
        </w:rPr>
      </w:pPr>
      <w:r w:rsidRPr="0009445C">
        <w:rPr>
          <w:lang w:val="de-DE"/>
        </w:rPr>
        <w:t>April 2010 version</w:t>
      </w:r>
    </w:p>
    <w:p w14:paraId="75BC15BB" w14:textId="77777777" w:rsidR="00182764" w:rsidRPr="0009445C" w:rsidRDefault="00182764" w:rsidP="00182764">
      <w:pPr>
        <w:rPr>
          <w:lang w:val="de-DE"/>
        </w:rPr>
      </w:pPr>
      <w:r w:rsidRPr="0009445C">
        <w:rPr>
          <w:lang w:val="de-DE"/>
        </w:rPr>
        <w:t>German Committee for Reinforced Concrete - Deutscher Ausschuss für Stahlbeton e. V. (DAfStb)</w:t>
      </w:r>
    </w:p>
    <w:p w14:paraId="4B9AA377" w14:textId="77777777" w:rsidR="00182764" w:rsidRPr="0009445C" w:rsidRDefault="00182764" w:rsidP="00182764">
      <w:pPr>
        <w:rPr>
          <w:lang w:val="de-DE"/>
        </w:rPr>
      </w:pPr>
      <w:r w:rsidRPr="0009445C">
        <w:rPr>
          <w:lang w:val="de-DE"/>
        </w:rPr>
        <w:t>Beuth Verlag GmbH</w:t>
      </w:r>
    </w:p>
    <w:p w14:paraId="067DE1E1" w14:textId="0A5DE34F" w:rsidR="00182764" w:rsidRPr="0009445C" w:rsidRDefault="00375ADF" w:rsidP="00182764">
      <w:pPr>
        <w:rPr>
          <w:lang w:val="de-DE"/>
        </w:rPr>
      </w:pPr>
      <w:hyperlink r:id="rId245" w:history="1">
        <w:r w:rsidRPr="0009445C">
          <w:rPr>
            <w:rStyle w:val="Hyperlink"/>
            <w:color w:val="auto"/>
            <w:lang w:val="de-DE"/>
          </w:rPr>
          <w:t>www.beuth.de</w:t>
        </w:r>
      </w:hyperlink>
    </w:p>
    <w:p w14:paraId="264F1974" w14:textId="77777777" w:rsidR="00182764" w:rsidRPr="0009445C" w:rsidRDefault="00182764" w:rsidP="00182764">
      <w:pPr>
        <w:rPr>
          <w:lang w:val="de-DE"/>
        </w:rPr>
      </w:pPr>
    </w:p>
    <w:p w14:paraId="43905121" w14:textId="77777777" w:rsidR="00182764" w:rsidRPr="0009445C" w:rsidRDefault="00182764" w:rsidP="00182764">
      <w:proofErr w:type="spellStart"/>
      <w:r w:rsidRPr="0009445C">
        <w:t>DAfStb</w:t>
      </w:r>
      <w:proofErr w:type="spellEnd"/>
      <w:r w:rsidRPr="0009445C">
        <w:t xml:space="preserve"> Guideline on the protection and repair of concrete structural elements (Repair Guideline)</w:t>
      </w:r>
    </w:p>
    <w:p w14:paraId="12853E9A" w14:textId="77777777" w:rsidR="00182764" w:rsidRPr="0009445C" w:rsidRDefault="00182764" w:rsidP="00182764">
      <w:r w:rsidRPr="0009445C">
        <w:t>October 2001 version</w:t>
      </w:r>
    </w:p>
    <w:p w14:paraId="1CBF44BB" w14:textId="77777777" w:rsidR="00182764" w:rsidRPr="0009445C" w:rsidRDefault="00182764" w:rsidP="00182764">
      <w:r w:rsidRPr="0009445C">
        <w:t>Part 1: General rules and planning principles</w:t>
      </w:r>
    </w:p>
    <w:p w14:paraId="70BC88E8" w14:textId="77777777" w:rsidR="00182764" w:rsidRPr="0009445C" w:rsidRDefault="00182764" w:rsidP="00182764">
      <w:r w:rsidRPr="0009445C">
        <w:t>Part 2: Construction products and application</w:t>
      </w:r>
    </w:p>
    <w:p w14:paraId="0BDD175B" w14:textId="77777777" w:rsidR="00182764" w:rsidRPr="0009445C" w:rsidRDefault="00182764" w:rsidP="00182764">
      <w:r w:rsidRPr="0009445C">
        <w:t>Part 3: Requirements pertaining to enterprises and the monitoring of execution</w:t>
      </w:r>
    </w:p>
    <w:p w14:paraId="3BD5C744" w14:textId="77777777" w:rsidR="00182764" w:rsidRPr="0009445C" w:rsidRDefault="00182764" w:rsidP="00182764">
      <w:r w:rsidRPr="0009445C">
        <w:t>Part 4: Test procedure</w:t>
      </w:r>
    </w:p>
    <w:p w14:paraId="134A40F1" w14:textId="77777777" w:rsidR="00182764" w:rsidRPr="0009445C" w:rsidRDefault="00182764" w:rsidP="00182764">
      <w:r w:rsidRPr="0009445C">
        <w:t>Corrigendum 1 (2002-01)</w:t>
      </w:r>
    </w:p>
    <w:p w14:paraId="22AA0ABC" w14:textId="77777777" w:rsidR="00182764" w:rsidRPr="0009445C" w:rsidRDefault="00182764" w:rsidP="00182764">
      <w:r w:rsidRPr="0009445C">
        <w:t>Corrigendum 2 (2005-12)</w:t>
      </w:r>
    </w:p>
    <w:p w14:paraId="706A9613" w14:textId="77777777" w:rsidR="00182764" w:rsidRPr="0009445C" w:rsidRDefault="00182764" w:rsidP="00182764">
      <w:pPr>
        <w:rPr>
          <w:lang w:val="de-DE"/>
        </w:rPr>
      </w:pPr>
      <w:r w:rsidRPr="0009445C">
        <w:rPr>
          <w:lang w:val="de-DE"/>
        </w:rPr>
        <w:t>Corrigendum 3 (2014-09)</w:t>
      </w:r>
    </w:p>
    <w:p w14:paraId="440C578E" w14:textId="77777777" w:rsidR="00182764" w:rsidRPr="0009445C" w:rsidRDefault="00182764" w:rsidP="00182764">
      <w:pPr>
        <w:rPr>
          <w:lang w:val="de-DE"/>
        </w:rPr>
      </w:pPr>
      <w:r w:rsidRPr="0009445C">
        <w:rPr>
          <w:lang w:val="de-DE"/>
        </w:rPr>
        <w:t>Beuth Verlag GmbH</w:t>
      </w:r>
    </w:p>
    <w:p w14:paraId="2887B7C8" w14:textId="6935281A" w:rsidR="00182764" w:rsidRPr="0009445C" w:rsidRDefault="00375ADF" w:rsidP="00182764">
      <w:pPr>
        <w:rPr>
          <w:lang w:val="de-DE"/>
        </w:rPr>
      </w:pPr>
      <w:hyperlink r:id="rId246" w:history="1">
        <w:r w:rsidRPr="0009445C">
          <w:rPr>
            <w:rStyle w:val="Hyperlink"/>
            <w:color w:val="auto"/>
            <w:lang w:val="de-DE"/>
          </w:rPr>
          <w:t>www.beuth.de</w:t>
        </w:r>
      </w:hyperlink>
    </w:p>
    <w:p w14:paraId="79A23B49" w14:textId="77777777" w:rsidR="00182764" w:rsidRPr="0009445C" w:rsidRDefault="00182764" w:rsidP="00182764">
      <w:pPr>
        <w:rPr>
          <w:lang w:val="de-DE"/>
        </w:rPr>
      </w:pPr>
    </w:p>
    <w:p w14:paraId="5FC9523C" w14:textId="77777777" w:rsidR="00182764" w:rsidRPr="0009445C" w:rsidRDefault="00182764" w:rsidP="00182764">
      <w:proofErr w:type="spellStart"/>
      <w:r w:rsidRPr="0009445C">
        <w:t>DAfStb</w:t>
      </w:r>
      <w:proofErr w:type="spellEnd"/>
      <w:r w:rsidRPr="0009445C">
        <w:t xml:space="preserve"> Guideline on self-compacting concrete – SVBR</w:t>
      </w:r>
    </w:p>
    <w:p w14:paraId="4964A53B" w14:textId="77777777" w:rsidR="00182764" w:rsidRPr="0009445C" w:rsidRDefault="00182764" w:rsidP="00182764">
      <w:pPr>
        <w:rPr>
          <w:lang w:val="de-DE"/>
        </w:rPr>
      </w:pPr>
      <w:r w:rsidRPr="0009445C">
        <w:rPr>
          <w:lang w:val="de-DE"/>
        </w:rPr>
        <w:t>September 2012 version</w:t>
      </w:r>
    </w:p>
    <w:p w14:paraId="3523B5AE" w14:textId="77777777" w:rsidR="00182764" w:rsidRPr="0009445C" w:rsidRDefault="00182764" w:rsidP="00182764">
      <w:pPr>
        <w:rPr>
          <w:lang w:val="de-DE"/>
        </w:rPr>
      </w:pPr>
      <w:r w:rsidRPr="0009445C">
        <w:rPr>
          <w:lang w:val="de-DE"/>
        </w:rPr>
        <w:t>Beuth Verlag GmbH</w:t>
      </w:r>
    </w:p>
    <w:p w14:paraId="35FDA79B" w14:textId="23015130" w:rsidR="00182764" w:rsidRPr="0009445C" w:rsidRDefault="00375ADF" w:rsidP="00182764">
      <w:pPr>
        <w:rPr>
          <w:lang w:val="de-DE"/>
        </w:rPr>
      </w:pPr>
      <w:hyperlink r:id="rId247" w:history="1">
        <w:r w:rsidRPr="0009445C">
          <w:rPr>
            <w:rStyle w:val="Hyperlink"/>
            <w:color w:val="auto"/>
            <w:lang w:val="de-DE"/>
          </w:rPr>
          <w:t>www.beuth.de</w:t>
        </w:r>
      </w:hyperlink>
    </w:p>
    <w:p w14:paraId="5F13C584" w14:textId="77777777" w:rsidR="00182764" w:rsidRPr="0009445C" w:rsidRDefault="00182764" w:rsidP="00182764">
      <w:pPr>
        <w:rPr>
          <w:lang w:val="de-DE"/>
        </w:rPr>
      </w:pPr>
    </w:p>
    <w:p w14:paraId="148D3B7D" w14:textId="77777777" w:rsidR="00182764" w:rsidRPr="0009445C" w:rsidRDefault="00182764" w:rsidP="00182764">
      <w:proofErr w:type="spellStart"/>
      <w:r w:rsidRPr="0009445C">
        <w:t>DAfStb</w:t>
      </w:r>
      <w:proofErr w:type="spellEnd"/>
      <w:r w:rsidRPr="0009445C">
        <w:t xml:space="preserve"> Guideline on steel fibre concrete</w:t>
      </w:r>
    </w:p>
    <w:p w14:paraId="092FD86B" w14:textId="0D48A34B" w:rsidR="00182764" w:rsidRPr="0009445C" w:rsidRDefault="00182764" w:rsidP="00182764">
      <w:r w:rsidRPr="0009445C">
        <w:t>Additions and amendments to DIN EN 1992-1-1 in conjunction with DIN EN 1992</w:t>
      </w:r>
      <w:r w:rsidRPr="0009445C">
        <w:noBreakHyphen/>
        <w:t>1</w:t>
      </w:r>
      <w:r w:rsidRPr="0009445C">
        <w:noBreakHyphen/>
        <w:t xml:space="preserve"> 1/NA, DIN EN 206-1 in conjunction with DIN 1045-2 and DIN EN 13670 in conjunction with DIN 1045-3, Parts 1 to 3</w:t>
      </w:r>
    </w:p>
    <w:p w14:paraId="0B8E4895" w14:textId="3C84AF85" w:rsidR="00182764" w:rsidRPr="0009445C" w:rsidRDefault="00182764" w:rsidP="00182764">
      <w:pPr>
        <w:rPr>
          <w:lang w:val="de-DE"/>
        </w:rPr>
      </w:pPr>
      <w:r w:rsidRPr="0009445C">
        <w:rPr>
          <w:lang w:val="de-DE"/>
        </w:rPr>
        <w:t>June 2021 version</w:t>
      </w:r>
    </w:p>
    <w:p w14:paraId="6C832915" w14:textId="77777777" w:rsidR="00182764" w:rsidRPr="0009445C" w:rsidRDefault="00182764" w:rsidP="00182764">
      <w:pPr>
        <w:rPr>
          <w:lang w:val="de-DE"/>
        </w:rPr>
      </w:pPr>
      <w:r w:rsidRPr="0009445C">
        <w:rPr>
          <w:lang w:val="de-DE"/>
        </w:rPr>
        <w:t>German Committee for Reinforced Concrete - Deutscher Ausschuss für Stahlbeton e. V. (DAfStb)</w:t>
      </w:r>
    </w:p>
    <w:p w14:paraId="7ECC0A3A" w14:textId="77777777" w:rsidR="00182764" w:rsidRPr="0009445C" w:rsidRDefault="00182764" w:rsidP="00182764">
      <w:pPr>
        <w:rPr>
          <w:lang w:val="de-DE"/>
        </w:rPr>
      </w:pPr>
      <w:r w:rsidRPr="0009445C">
        <w:rPr>
          <w:lang w:val="de-DE"/>
        </w:rPr>
        <w:t>Beuth Verlag GmbH</w:t>
      </w:r>
    </w:p>
    <w:p w14:paraId="74B16028" w14:textId="49EC061C" w:rsidR="00182764" w:rsidRPr="0009445C" w:rsidRDefault="00375ADF" w:rsidP="00182764">
      <w:pPr>
        <w:rPr>
          <w:lang w:val="de-DE"/>
        </w:rPr>
      </w:pPr>
      <w:hyperlink r:id="rId248" w:history="1">
        <w:r w:rsidRPr="0009445C">
          <w:rPr>
            <w:rStyle w:val="Hyperlink"/>
            <w:color w:val="auto"/>
            <w:lang w:val="de-DE"/>
          </w:rPr>
          <w:t>www.beuth.de</w:t>
        </w:r>
      </w:hyperlink>
    </w:p>
    <w:p w14:paraId="53C2DFEE" w14:textId="77777777" w:rsidR="00182764" w:rsidRPr="0009445C" w:rsidRDefault="00182764" w:rsidP="00182764">
      <w:pPr>
        <w:rPr>
          <w:lang w:val="de-DE"/>
        </w:rPr>
      </w:pPr>
    </w:p>
    <w:p w14:paraId="7615A1F9" w14:textId="77777777" w:rsidR="00182764" w:rsidRPr="0009445C" w:rsidRDefault="00182764" w:rsidP="00182764">
      <w:proofErr w:type="spellStart"/>
      <w:r w:rsidRPr="0009445C">
        <w:t>DAfStb</w:t>
      </w:r>
      <w:proofErr w:type="spellEnd"/>
      <w:r w:rsidRPr="0009445C">
        <w:t xml:space="preserve"> Guideline on the use of silicon-rich fly ash and boiler sand in concrete structural elements in contact with soil, groundwater or precipitation</w:t>
      </w:r>
    </w:p>
    <w:p w14:paraId="36F3B89B" w14:textId="77777777" w:rsidR="00182764" w:rsidRPr="0009445C" w:rsidRDefault="00182764" w:rsidP="00182764">
      <w:pPr>
        <w:rPr>
          <w:lang w:val="de-DE"/>
        </w:rPr>
      </w:pPr>
      <w:r w:rsidRPr="0009445C">
        <w:rPr>
          <w:lang w:val="de-DE"/>
        </w:rPr>
        <w:t>June 2020 version</w:t>
      </w:r>
    </w:p>
    <w:p w14:paraId="3EFDE28F" w14:textId="77777777" w:rsidR="00182764" w:rsidRPr="0009445C" w:rsidRDefault="00182764" w:rsidP="00182764">
      <w:pPr>
        <w:rPr>
          <w:lang w:val="de-DE"/>
        </w:rPr>
      </w:pPr>
      <w:r w:rsidRPr="0009445C">
        <w:rPr>
          <w:lang w:val="de-DE"/>
        </w:rPr>
        <w:t>German Committee for Reinforced Concrete - Deutscher Ausschuss für Stahlbeton e. V. (DAfStb)</w:t>
      </w:r>
    </w:p>
    <w:p w14:paraId="2CE95008" w14:textId="77777777" w:rsidR="00182764" w:rsidRPr="0009445C" w:rsidRDefault="00182764" w:rsidP="00182764">
      <w:pPr>
        <w:rPr>
          <w:lang w:val="de-DE"/>
        </w:rPr>
      </w:pPr>
      <w:r w:rsidRPr="0009445C">
        <w:rPr>
          <w:lang w:val="de-DE"/>
        </w:rPr>
        <w:t>Beuth Verlag GmbH</w:t>
      </w:r>
    </w:p>
    <w:p w14:paraId="0DB012B5" w14:textId="3CFED42D" w:rsidR="00182764" w:rsidRPr="0009445C" w:rsidRDefault="00375ADF" w:rsidP="00182764">
      <w:pPr>
        <w:rPr>
          <w:lang w:val="de-DE"/>
        </w:rPr>
      </w:pPr>
      <w:hyperlink r:id="rId249" w:history="1">
        <w:r w:rsidRPr="0009445C">
          <w:rPr>
            <w:rStyle w:val="Hyperlink"/>
            <w:color w:val="auto"/>
            <w:lang w:val="de-DE"/>
          </w:rPr>
          <w:t>www.beuth.de</w:t>
        </w:r>
      </w:hyperlink>
    </w:p>
    <w:p w14:paraId="36CA6E64" w14:textId="77777777" w:rsidR="00182764" w:rsidRPr="0009445C" w:rsidRDefault="00182764" w:rsidP="00182764">
      <w:pPr>
        <w:rPr>
          <w:lang w:val="de-DE"/>
        </w:rPr>
      </w:pPr>
    </w:p>
    <w:p w14:paraId="308BB1B1" w14:textId="77777777" w:rsidR="00831D96" w:rsidRPr="0009445C" w:rsidRDefault="00182764" w:rsidP="00182764">
      <w:proofErr w:type="spellStart"/>
      <w:r w:rsidRPr="0009445C">
        <w:t>DAfStb</w:t>
      </w:r>
      <w:proofErr w:type="spellEnd"/>
      <w:r w:rsidRPr="0009445C">
        <w:t xml:space="preserve"> guideline Preventive measures against harmful alkali reaction in concrete (alkali</w:t>
      </w:r>
      <w:r w:rsidRPr="0009445C">
        <w:noBreakHyphen/>
        <w:t xml:space="preserve">direct line) </w:t>
      </w:r>
    </w:p>
    <w:p w14:paraId="0EF9B47E" w14:textId="39814D9F" w:rsidR="00182764" w:rsidRPr="0009445C" w:rsidRDefault="00182764" w:rsidP="00182764">
      <w:pPr>
        <w:rPr>
          <w:lang w:val="de-DE"/>
        </w:rPr>
      </w:pPr>
      <w:r w:rsidRPr="0009445C">
        <w:rPr>
          <w:lang w:val="de-DE"/>
        </w:rPr>
        <w:t>October 2013 version</w:t>
      </w:r>
    </w:p>
    <w:p w14:paraId="1C8E082A" w14:textId="77777777" w:rsidR="00182764" w:rsidRPr="0009445C" w:rsidRDefault="00182764" w:rsidP="00182764">
      <w:pPr>
        <w:rPr>
          <w:lang w:val="de-DE"/>
        </w:rPr>
      </w:pPr>
      <w:r w:rsidRPr="0009445C">
        <w:rPr>
          <w:lang w:val="de-DE"/>
        </w:rPr>
        <w:t>German Committee for Reinforced Concrete - Deutscher Ausschuss für Stahlbeton e. V. (DAfStb)</w:t>
      </w:r>
    </w:p>
    <w:p w14:paraId="0FDBE430" w14:textId="77777777" w:rsidR="00182764" w:rsidRPr="0009445C" w:rsidRDefault="00182764" w:rsidP="00182764">
      <w:pPr>
        <w:rPr>
          <w:lang w:val="de-DE"/>
        </w:rPr>
      </w:pPr>
      <w:r w:rsidRPr="0009445C">
        <w:rPr>
          <w:lang w:val="de-DE"/>
        </w:rPr>
        <w:t>Beuth Verlag GmbH</w:t>
      </w:r>
    </w:p>
    <w:p w14:paraId="01CDD05F" w14:textId="0B74B975" w:rsidR="00182764" w:rsidRPr="0009445C" w:rsidRDefault="00375ADF" w:rsidP="00182764">
      <w:pPr>
        <w:rPr>
          <w:lang w:val="de-DE"/>
        </w:rPr>
      </w:pPr>
      <w:hyperlink r:id="rId250" w:history="1">
        <w:r w:rsidRPr="0009445C">
          <w:rPr>
            <w:rStyle w:val="Hyperlink"/>
            <w:color w:val="auto"/>
            <w:lang w:val="de-DE"/>
          </w:rPr>
          <w:t>www.beuth.de</w:t>
        </w:r>
      </w:hyperlink>
    </w:p>
    <w:p w14:paraId="4FBF7233" w14:textId="77777777" w:rsidR="00182764" w:rsidRPr="0009445C" w:rsidRDefault="00182764" w:rsidP="00182764">
      <w:pPr>
        <w:rPr>
          <w:lang w:val="de-DE"/>
        </w:rPr>
      </w:pPr>
    </w:p>
    <w:p w14:paraId="7E8CF660" w14:textId="77777777" w:rsidR="00182764" w:rsidRPr="0009445C" w:rsidRDefault="00182764" w:rsidP="00182764">
      <w:proofErr w:type="spellStart"/>
      <w:r w:rsidRPr="0009445C">
        <w:t>DASt</w:t>
      </w:r>
      <w:proofErr w:type="spellEnd"/>
      <w:r w:rsidRPr="0009445C">
        <w:t> Guideline 021</w:t>
      </w:r>
    </w:p>
    <w:p w14:paraId="00D4CEA5" w14:textId="77777777" w:rsidR="00182764" w:rsidRPr="0009445C" w:rsidRDefault="00182764" w:rsidP="00182764">
      <w:r w:rsidRPr="0009445C">
        <w:t>Bolt assemblies with hot-dip galvanised HV-sets M39 to M72 as per DIN EN 14399-4, DIN EN 14399-6</w:t>
      </w:r>
    </w:p>
    <w:p w14:paraId="7F083687" w14:textId="77777777" w:rsidR="00182764" w:rsidRPr="0009445C" w:rsidRDefault="00182764" w:rsidP="00182764">
      <w:pPr>
        <w:rPr>
          <w:lang w:val="de-DE"/>
        </w:rPr>
      </w:pPr>
      <w:r w:rsidRPr="0009445C">
        <w:rPr>
          <w:lang w:val="de-DE"/>
        </w:rPr>
        <w:t>September 2013 version</w:t>
      </w:r>
    </w:p>
    <w:p w14:paraId="7920C7C9" w14:textId="77777777" w:rsidR="00182764" w:rsidRPr="0009445C" w:rsidRDefault="00182764" w:rsidP="00182764">
      <w:pPr>
        <w:rPr>
          <w:lang w:val="de-DE"/>
        </w:rPr>
      </w:pPr>
      <w:r w:rsidRPr="0009445C">
        <w:rPr>
          <w:lang w:val="de-DE"/>
        </w:rPr>
        <w:t>Stahlbau Verlags- und Service GmbH</w:t>
      </w:r>
    </w:p>
    <w:p w14:paraId="799D613A" w14:textId="2782B851" w:rsidR="00182764" w:rsidRPr="0009445C" w:rsidRDefault="00375ADF" w:rsidP="00182764">
      <w:pPr>
        <w:rPr>
          <w:lang w:val="de-DE"/>
        </w:rPr>
      </w:pPr>
      <w:hyperlink r:id="rId251" w:history="1">
        <w:r w:rsidRPr="0009445C">
          <w:rPr>
            <w:rStyle w:val="Hyperlink"/>
            <w:color w:val="auto"/>
            <w:lang w:val="de-DE"/>
          </w:rPr>
          <w:t>shop.deutscherstahlbau.de</w:t>
        </w:r>
      </w:hyperlink>
    </w:p>
    <w:p w14:paraId="25A7EDFA" w14:textId="77777777" w:rsidR="00182764" w:rsidRPr="0009445C" w:rsidRDefault="00182764" w:rsidP="00182764">
      <w:pPr>
        <w:rPr>
          <w:lang w:val="de-DE"/>
        </w:rPr>
      </w:pPr>
    </w:p>
    <w:p w14:paraId="366145B2" w14:textId="3ED828B5" w:rsidR="00182764" w:rsidRPr="0009445C" w:rsidRDefault="00182764" w:rsidP="00182764">
      <w:pPr>
        <w:rPr>
          <w:lang w:val="de-DE"/>
        </w:rPr>
      </w:pPr>
      <w:r w:rsidRPr="0009445C">
        <w:rPr>
          <w:lang w:val="de-DE"/>
        </w:rPr>
        <w:t>DASt Guideline 022</w:t>
      </w:r>
    </w:p>
    <w:p w14:paraId="4CBB8824" w14:textId="77777777" w:rsidR="00182764" w:rsidRPr="0009445C" w:rsidRDefault="00182764" w:rsidP="00182764">
      <w:r w:rsidRPr="0009445C">
        <w:t>Hot-dip galvanising of structural steel structural elements</w:t>
      </w:r>
    </w:p>
    <w:p w14:paraId="5162BC0C" w14:textId="77777777" w:rsidR="00182764" w:rsidRPr="0009445C" w:rsidRDefault="00182764" w:rsidP="00182764">
      <w:pPr>
        <w:rPr>
          <w:lang w:val="de-DE"/>
        </w:rPr>
      </w:pPr>
      <w:r w:rsidRPr="0009445C">
        <w:rPr>
          <w:lang w:val="de-DE"/>
        </w:rPr>
        <w:t>June 2016 version</w:t>
      </w:r>
    </w:p>
    <w:p w14:paraId="53D4F292" w14:textId="77777777" w:rsidR="00182764" w:rsidRPr="0009445C" w:rsidRDefault="00182764" w:rsidP="00182764">
      <w:pPr>
        <w:rPr>
          <w:lang w:val="de-DE"/>
        </w:rPr>
      </w:pPr>
      <w:r w:rsidRPr="0009445C">
        <w:rPr>
          <w:lang w:val="de-DE"/>
        </w:rPr>
        <w:t>Stahlbau Verlags- und Service GmbH</w:t>
      </w:r>
    </w:p>
    <w:p w14:paraId="2B6ABF8E" w14:textId="7810E4EC" w:rsidR="00182764" w:rsidRPr="0009445C" w:rsidRDefault="00375ADF" w:rsidP="00182764">
      <w:pPr>
        <w:rPr>
          <w:lang w:val="de-DE"/>
        </w:rPr>
      </w:pPr>
      <w:hyperlink r:id="rId252" w:history="1">
        <w:r w:rsidRPr="0009445C">
          <w:rPr>
            <w:rStyle w:val="Hyperlink"/>
            <w:color w:val="auto"/>
            <w:lang w:val="de-DE"/>
          </w:rPr>
          <w:t>shop.deutscherstahlbau.de</w:t>
        </w:r>
      </w:hyperlink>
    </w:p>
    <w:p w14:paraId="39436F5F" w14:textId="1702D430" w:rsidR="00182764" w:rsidRPr="0009445C" w:rsidRDefault="00182764" w:rsidP="00182764">
      <w:pPr>
        <w:rPr>
          <w:lang w:val="de-DE"/>
        </w:rPr>
      </w:pPr>
    </w:p>
    <w:p w14:paraId="4D69A464" w14:textId="77777777" w:rsidR="00831D96" w:rsidRPr="0009445C" w:rsidRDefault="00831D96" w:rsidP="00831D96">
      <w:pPr>
        <w:spacing w:line="276" w:lineRule="auto"/>
        <w:rPr>
          <w:lang w:val="de-DE"/>
        </w:rPr>
      </w:pPr>
      <w:r w:rsidRPr="0009445C">
        <w:rPr>
          <w:lang w:val="de-DE"/>
        </w:rPr>
        <w:t>DASt Guideline 024</w:t>
      </w:r>
    </w:p>
    <w:p w14:paraId="68D47867" w14:textId="77777777" w:rsidR="00831D96" w:rsidRPr="0009445C" w:rsidRDefault="00831D96" w:rsidP="00831D96">
      <w:pPr>
        <w:spacing w:line="276" w:lineRule="auto"/>
      </w:pPr>
      <w:r w:rsidRPr="0009445C">
        <w:t>Tightening of screwed connections of dimensions M12 to M36</w:t>
      </w:r>
    </w:p>
    <w:p w14:paraId="3A1BECB9" w14:textId="77777777" w:rsidR="00831D96" w:rsidRPr="0009445C" w:rsidRDefault="00831D96" w:rsidP="00831D96">
      <w:pPr>
        <w:spacing w:line="276" w:lineRule="auto"/>
        <w:rPr>
          <w:lang w:val="de-DE"/>
        </w:rPr>
      </w:pPr>
      <w:r w:rsidRPr="0009445C">
        <w:rPr>
          <w:lang w:val="de-DE"/>
        </w:rPr>
        <w:t>June 2018 version</w:t>
      </w:r>
    </w:p>
    <w:p w14:paraId="5C553EDC" w14:textId="77777777" w:rsidR="00831D96" w:rsidRPr="0009445C" w:rsidRDefault="00831D96" w:rsidP="00831D96">
      <w:pPr>
        <w:spacing w:line="276" w:lineRule="auto"/>
        <w:rPr>
          <w:lang w:val="de-DE"/>
        </w:rPr>
      </w:pPr>
      <w:r w:rsidRPr="0009445C">
        <w:rPr>
          <w:lang w:val="de-DE"/>
        </w:rPr>
        <w:t>Stahlbau Verlags- und Service GmbH</w:t>
      </w:r>
    </w:p>
    <w:p w14:paraId="4D596CF7" w14:textId="04BFC393" w:rsidR="00831D96" w:rsidRPr="0009445C" w:rsidRDefault="00375ADF" w:rsidP="00831D96">
      <w:pPr>
        <w:spacing w:line="276" w:lineRule="auto"/>
        <w:rPr>
          <w:lang w:val="de-DE"/>
        </w:rPr>
      </w:pPr>
      <w:hyperlink r:id="rId253" w:history="1">
        <w:r w:rsidRPr="0009445C">
          <w:rPr>
            <w:rStyle w:val="Hyperlink"/>
            <w:color w:val="auto"/>
            <w:lang w:val="de-DE"/>
          </w:rPr>
          <w:t>shop.deutscherstahlbau.de</w:t>
        </w:r>
      </w:hyperlink>
    </w:p>
    <w:p w14:paraId="7AB620E9" w14:textId="77777777" w:rsidR="00831D96" w:rsidRPr="0009445C" w:rsidRDefault="00831D96" w:rsidP="00831D96">
      <w:pPr>
        <w:spacing w:line="276" w:lineRule="auto"/>
        <w:rPr>
          <w:lang w:val="de-DE"/>
        </w:rPr>
      </w:pPr>
    </w:p>
    <w:p w14:paraId="38197B0A" w14:textId="77777777" w:rsidR="00831D96" w:rsidRPr="0009445C" w:rsidRDefault="00831D96" w:rsidP="00831D96">
      <w:pPr>
        <w:spacing w:line="276" w:lineRule="auto"/>
        <w:rPr>
          <w:lang w:val="de-DE"/>
        </w:rPr>
      </w:pPr>
      <w:r w:rsidRPr="0009445C">
        <w:rPr>
          <w:lang w:val="de-DE"/>
        </w:rPr>
        <w:t>DASt Guideline 027</w:t>
      </w:r>
    </w:p>
    <w:p w14:paraId="4491F3CB" w14:textId="77777777" w:rsidR="00831D96" w:rsidRPr="0009445C" w:rsidRDefault="00831D96" w:rsidP="00831D96">
      <w:pPr>
        <w:spacing w:line="276" w:lineRule="auto"/>
      </w:pPr>
      <w:r w:rsidRPr="0009445C">
        <w:t>Determination of component temperature of hot-dip galvanised steel structural elements in case of fire</w:t>
      </w:r>
    </w:p>
    <w:p w14:paraId="2E427F53" w14:textId="77777777" w:rsidR="00831D96" w:rsidRPr="0009445C" w:rsidRDefault="00831D96" w:rsidP="00831D96">
      <w:pPr>
        <w:spacing w:line="276" w:lineRule="auto"/>
        <w:rPr>
          <w:lang w:val="de-DE"/>
        </w:rPr>
      </w:pPr>
      <w:r w:rsidRPr="0009445C">
        <w:rPr>
          <w:lang w:val="de-DE"/>
        </w:rPr>
        <w:t>November 2020 version</w:t>
      </w:r>
    </w:p>
    <w:p w14:paraId="481B5F0E" w14:textId="77777777" w:rsidR="00831D96" w:rsidRPr="0009445C" w:rsidRDefault="00831D96" w:rsidP="00831D96">
      <w:pPr>
        <w:spacing w:line="276" w:lineRule="auto"/>
        <w:rPr>
          <w:lang w:val="de-DE"/>
        </w:rPr>
      </w:pPr>
      <w:r w:rsidRPr="0009445C">
        <w:rPr>
          <w:lang w:val="de-DE"/>
        </w:rPr>
        <w:t>Stahlbau Verlags- und Service GmbH</w:t>
      </w:r>
    </w:p>
    <w:p w14:paraId="6292FF2A" w14:textId="68739BF8" w:rsidR="00831D96" w:rsidRPr="0009445C" w:rsidRDefault="00375ADF" w:rsidP="00831D96">
      <w:hyperlink r:id="rId254" w:history="1">
        <w:r w:rsidRPr="0009445C">
          <w:rPr>
            <w:rStyle w:val="Hyperlink"/>
            <w:color w:val="auto"/>
          </w:rPr>
          <w:t>shop.deutscherstahlbau.de</w:t>
        </w:r>
      </w:hyperlink>
    </w:p>
    <w:p w14:paraId="79690820" w14:textId="77777777" w:rsidR="00831D96" w:rsidRPr="0009445C" w:rsidRDefault="00831D96" w:rsidP="00182764"/>
    <w:p w14:paraId="6B145F9C" w14:textId="77777777" w:rsidR="00182764" w:rsidRPr="0009445C" w:rsidRDefault="00182764" w:rsidP="00182764">
      <w:r w:rsidRPr="0009445C">
        <w:t>‘Execution and evaluation of on-site tests for injection anchor systems in masonry with ETA according to ETAG 029 or EAD 330076-00-0604</w:t>
      </w:r>
    </w:p>
    <w:p w14:paraId="07A4C42F" w14:textId="77777777" w:rsidR="00182764" w:rsidRPr="0009445C" w:rsidRDefault="00182764" w:rsidP="00182764">
      <w:r w:rsidRPr="0009445C">
        <w:rPr>
          <w:shd w:val="clear" w:color="auto" w:fill="FFFFFF"/>
        </w:rPr>
        <w:t>Last updated: September 2019</w:t>
      </w:r>
    </w:p>
    <w:p w14:paraId="5706F0C0"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404EE000" w14:textId="6D7F6446" w:rsidR="00182764" w:rsidRPr="0009445C" w:rsidRDefault="00375ADF" w:rsidP="00182764">
      <w:hyperlink r:id="rId255" w:history="1">
        <w:r w:rsidRPr="0009445C">
          <w:rPr>
            <w:rStyle w:val="Hyperlink"/>
            <w:color w:val="auto"/>
          </w:rPr>
          <w:t>www.dibt.de</w:t>
        </w:r>
      </w:hyperlink>
    </w:p>
    <w:p w14:paraId="2CF42935" w14:textId="77777777" w:rsidR="00182764" w:rsidRPr="0009445C" w:rsidRDefault="00182764" w:rsidP="00182764"/>
    <w:p w14:paraId="2DDD9B7D" w14:textId="77777777" w:rsidR="00182764" w:rsidRPr="0009445C" w:rsidRDefault="00182764" w:rsidP="00182764">
      <w:r w:rsidRPr="0009445C">
        <w:t>Execution and evaluation of tests during construction for plastic anchors in concrete and masonry with ETA according to EAD 330284-00-0604 or ETAG 020</w:t>
      </w:r>
    </w:p>
    <w:p w14:paraId="29A2DDF5" w14:textId="77777777" w:rsidR="00182764" w:rsidRPr="0009445C" w:rsidRDefault="00182764" w:rsidP="00182764">
      <w:r w:rsidRPr="0009445C">
        <w:t>Last updated: September 2019</w:t>
      </w:r>
    </w:p>
    <w:p w14:paraId="6829C7C8"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25E2444F" w14:textId="0EAB0155" w:rsidR="00182764" w:rsidRPr="0009445C" w:rsidRDefault="00375ADF" w:rsidP="00182764">
      <w:hyperlink r:id="rId256" w:history="1">
        <w:r w:rsidRPr="0009445C">
          <w:rPr>
            <w:rStyle w:val="Hyperlink"/>
            <w:color w:val="auto"/>
          </w:rPr>
          <w:t>www.dibt.de</w:t>
        </w:r>
      </w:hyperlink>
    </w:p>
    <w:p w14:paraId="74635FD1" w14:textId="77777777" w:rsidR="00182764" w:rsidRPr="0009445C" w:rsidRDefault="00182764" w:rsidP="00182764"/>
    <w:p w14:paraId="03C486DA" w14:textId="77777777" w:rsidR="00831D96" w:rsidRPr="0009445C" w:rsidRDefault="00831D96" w:rsidP="00182764">
      <w:pPr>
        <w:sectPr w:rsidR="00831D96" w:rsidRPr="0009445C" w:rsidSect="00EA14A1">
          <w:pgSz w:w="11906" w:h="16838"/>
          <w:pgMar w:top="1418" w:right="1418" w:bottom="851" w:left="1418" w:header="851" w:footer="425" w:gutter="0"/>
          <w:cols w:num="2" w:space="567"/>
          <w:titlePg/>
        </w:sectPr>
      </w:pPr>
    </w:p>
    <w:p w14:paraId="235FBBF4" w14:textId="5B2DB6A4" w:rsidR="00182764" w:rsidRPr="0009445C" w:rsidRDefault="00182764" w:rsidP="00182764">
      <w:r w:rsidRPr="0009445C">
        <w:lastRenderedPageBreak/>
        <w:t>DVS Guideline DVS 1708:2009-09</w:t>
      </w:r>
    </w:p>
    <w:p w14:paraId="2ABA5031" w14:textId="77777777" w:rsidR="00182764" w:rsidRPr="0009445C" w:rsidRDefault="00182764" w:rsidP="00182764">
      <w:pPr>
        <w:rPr>
          <w:lang w:val="de-DE"/>
        </w:rPr>
      </w:pPr>
      <w:r w:rsidRPr="0009445C">
        <w:rPr>
          <w:lang w:val="de-DE"/>
        </w:rPr>
        <w:t>Beuth Verlag GmbH</w:t>
      </w:r>
    </w:p>
    <w:p w14:paraId="48A32564" w14:textId="3D74882B" w:rsidR="00182764" w:rsidRPr="0009445C" w:rsidRDefault="00375ADF" w:rsidP="00182764">
      <w:pPr>
        <w:rPr>
          <w:lang w:val="de-DE"/>
        </w:rPr>
      </w:pPr>
      <w:hyperlink r:id="rId257" w:history="1">
        <w:r w:rsidRPr="0009445C">
          <w:rPr>
            <w:rStyle w:val="Hyperlink"/>
            <w:color w:val="auto"/>
            <w:lang w:val="de-DE"/>
          </w:rPr>
          <w:t>www.beuth.de</w:t>
        </w:r>
      </w:hyperlink>
    </w:p>
    <w:p w14:paraId="35DE5302" w14:textId="77777777" w:rsidR="00182764" w:rsidRPr="0009445C" w:rsidRDefault="00182764" w:rsidP="00182764">
      <w:pPr>
        <w:rPr>
          <w:lang w:val="de-DE"/>
        </w:rPr>
      </w:pPr>
    </w:p>
    <w:p w14:paraId="2D2339DC" w14:textId="77777777" w:rsidR="00182764" w:rsidRPr="0009445C" w:rsidRDefault="00182764" w:rsidP="00182764">
      <w:r w:rsidRPr="0009445C">
        <w:t>Recommendations for the design and calculation of embankments with geosynthetic – EBGEO</w:t>
      </w:r>
    </w:p>
    <w:p w14:paraId="3B6F875C" w14:textId="77777777" w:rsidR="00182764" w:rsidRPr="0009445C" w:rsidRDefault="00182764" w:rsidP="00182764">
      <w:pPr>
        <w:rPr>
          <w:lang w:val="de-DE"/>
        </w:rPr>
      </w:pPr>
      <w:r w:rsidRPr="0009445C">
        <w:rPr>
          <w:lang w:val="de-DE"/>
        </w:rPr>
        <w:t>Deutsche Gesellschaft für Geotechnik</w:t>
      </w:r>
    </w:p>
    <w:p w14:paraId="40A8B77A" w14:textId="77777777" w:rsidR="00182764" w:rsidRPr="0009445C" w:rsidRDefault="00182764" w:rsidP="00182764">
      <w:pPr>
        <w:rPr>
          <w:lang w:val="de-DE"/>
        </w:rPr>
      </w:pPr>
      <w:r w:rsidRPr="0009445C">
        <w:rPr>
          <w:lang w:val="de-DE"/>
        </w:rPr>
        <w:t>2010 version</w:t>
      </w:r>
    </w:p>
    <w:p w14:paraId="2393A21B" w14:textId="77777777" w:rsidR="00182764" w:rsidRPr="0009445C" w:rsidRDefault="00182764" w:rsidP="00182764">
      <w:r w:rsidRPr="0009445C">
        <w:rPr>
          <w:lang w:val="de-DE"/>
        </w:rPr>
        <w:t xml:space="preserve">Ernst &amp; Sohn Verlag für Architektur und technische Wissenschaften GmbH &amp; Co. </w:t>
      </w:r>
      <w:r w:rsidRPr="0009445C">
        <w:t>KG</w:t>
      </w:r>
    </w:p>
    <w:p w14:paraId="71BEB707" w14:textId="1148CF1A" w:rsidR="00182764" w:rsidRPr="0009445C" w:rsidRDefault="00375ADF" w:rsidP="00182764">
      <w:hyperlink r:id="rId258" w:history="1">
        <w:r w:rsidRPr="0009445C">
          <w:rPr>
            <w:rStyle w:val="Hyperlink"/>
            <w:color w:val="auto"/>
          </w:rPr>
          <w:t>www.ernst-und-sohn.de</w:t>
        </w:r>
      </w:hyperlink>
    </w:p>
    <w:p w14:paraId="3C8083D9" w14:textId="77777777" w:rsidR="00182764" w:rsidRPr="0009445C" w:rsidRDefault="00182764" w:rsidP="00182764"/>
    <w:p w14:paraId="294F02DC" w14:textId="77777777" w:rsidR="00182764" w:rsidRPr="0009445C" w:rsidRDefault="00182764" w:rsidP="00182764">
      <w:r w:rsidRPr="0009445C">
        <w:t>ETB Guideline ‘structural elements that protect against falls’</w:t>
      </w:r>
    </w:p>
    <w:p w14:paraId="572D8265" w14:textId="77777777" w:rsidR="00182764" w:rsidRPr="0009445C" w:rsidRDefault="00182764" w:rsidP="00182764">
      <w:r w:rsidRPr="0009445C">
        <w:t>June 1985 version</w:t>
      </w:r>
    </w:p>
    <w:p w14:paraId="07F039AE" w14:textId="77777777" w:rsidR="00182764" w:rsidRPr="0009445C" w:rsidRDefault="00182764" w:rsidP="00182764">
      <w:proofErr w:type="spellStart"/>
      <w:r w:rsidRPr="0009445C">
        <w:t>Mitteilungen</w:t>
      </w:r>
      <w:proofErr w:type="spellEnd"/>
      <w:r w:rsidRPr="0009445C">
        <w:t xml:space="preserve"> </w:t>
      </w:r>
      <w:proofErr w:type="spellStart"/>
      <w:r w:rsidRPr="0009445C">
        <w:t>IfBt</w:t>
      </w:r>
      <w:proofErr w:type="spellEnd"/>
      <w:r w:rsidRPr="0009445C">
        <w:t xml:space="preserve"> (News </w:t>
      </w:r>
      <w:proofErr w:type="spellStart"/>
      <w:r w:rsidRPr="0009445C">
        <w:t>IfBt</w:t>
      </w:r>
      <w:proofErr w:type="spellEnd"/>
      <w:r w:rsidRPr="0009445C">
        <w:t xml:space="preserve"> [Institute for Structural Engineering]) Volume 2/1987</w:t>
      </w:r>
    </w:p>
    <w:p w14:paraId="25E18BA6" w14:textId="77777777" w:rsidR="00182764" w:rsidRPr="0009445C" w:rsidRDefault="00182764" w:rsidP="00182764">
      <w:pPr>
        <w:rPr>
          <w:lang w:val="de-DE"/>
        </w:rPr>
      </w:pPr>
      <w:r w:rsidRPr="0009445C">
        <w:rPr>
          <w:lang w:val="de-DE"/>
        </w:rPr>
        <w:t>Beuth Verlag GmbH</w:t>
      </w:r>
    </w:p>
    <w:p w14:paraId="58B72510" w14:textId="28F6233B" w:rsidR="00182764" w:rsidRPr="0009445C" w:rsidRDefault="00375ADF" w:rsidP="00182764">
      <w:pPr>
        <w:rPr>
          <w:lang w:val="de-DE"/>
        </w:rPr>
      </w:pPr>
      <w:hyperlink r:id="rId259" w:history="1">
        <w:r w:rsidRPr="0009445C">
          <w:rPr>
            <w:rStyle w:val="Hyperlink"/>
            <w:color w:val="auto"/>
            <w:lang w:val="de-DE"/>
          </w:rPr>
          <w:t>www.beuth.de</w:t>
        </w:r>
      </w:hyperlink>
    </w:p>
    <w:p w14:paraId="0515B4C7" w14:textId="77777777" w:rsidR="00182764" w:rsidRPr="0009445C" w:rsidRDefault="00182764" w:rsidP="00182764">
      <w:pPr>
        <w:rPr>
          <w:lang w:val="de-DE"/>
        </w:rPr>
      </w:pPr>
    </w:p>
    <w:p w14:paraId="2CC4E13A" w14:textId="494E639F" w:rsidR="00182764" w:rsidRPr="0009445C" w:rsidRDefault="00182764" w:rsidP="00182764">
      <w:r w:rsidRPr="0009445C">
        <w:t>Technical Rule Furnace and air heating — TR OL 2006</w:t>
      </w:r>
    </w:p>
    <w:p w14:paraId="18014AFC" w14:textId="77777777" w:rsidR="00182764" w:rsidRPr="0009445C" w:rsidRDefault="00182764" w:rsidP="00182764">
      <w:r w:rsidRPr="0009445C">
        <w:t>2010 version</w:t>
      </w:r>
    </w:p>
    <w:p w14:paraId="04A66205" w14:textId="77777777" w:rsidR="00182764" w:rsidRPr="0009445C" w:rsidRDefault="00182764" w:rsidP="00182764">
      <w:proofErr w:type="spellStart"/>
      <w:r w:rsidRPr="0009445C">
        <w:t>Zentralverband</w:t>
      </w:r>
      <w:proofErr w:type="spellEnd"/>
      <w:r w:rsidRPr="0009445C">
        <w:t xml:space="preserve"> </w:t>
      </w:r>
      <w:proofErr w:type="spellStart"/>
      <w:r w:rsidRPr="0009445C">
        <w:t>Sanitär</w:t>
      </w:r>
      <w:proofErr w:type="spellEnd"/>
      <w:r w:rsidRPr="0009445C">
        <w:t xml:space="preserve"> </w:t>
      </w:r>
      <w:proofErr w:type="spellStart"/>
      <w:r w:rsidRPr="0009445C">
        <w:t>Heizung</w:t>
      </w:r>
      <w:proofErr w:type="spellEnd"/>
      <w:r w:rsidRPr="0009445C">
        <w:t xml:space="preserve"> Klima [Central Association of Sanitary Heating Air Conditioning]</w:t>
      </w:r>
    </w:p>
    <w:p w14:paraId="7E0AFD54" w14:textId="24382691" w:rsidR="00182764" w:rsidRPr="0009445C" w:rsidRDefault="00375ADF" w:rsidP="00182764">
      <w:hyperlink r:id="rId260" w:history="1">
        <w:r w:rsidRPr="0009445C">
          <w:rPr>
            <w:rStyle w:val="Hyperlink"/>
            <w:color w:val="auto"/>
          </w:rPr>
          <w:t>www.zvshk.d</w:t>
        </w:r>
        <w:r w:rsidRPr="0009445C">
          <w:rPr>
            <w:rStyle w:val="Hyperlink"/>
            <w:color w:val="auto"/>
          </w:rPr>
          <w:t>e</w:t>
        </w:r>
      </w:hyperlink>
    </w:p>
    <w:p w14:paraId="06A58378" w14:textId="77777777" w:rsidR="00182764" w:rsidRPr="0009445C" w:rsidRDefault="00182764" w:rsidP="00182764"/>
    <w:p w14:paraId="16B14121" w14:textId="77777777" w:rsidR="00182764" w:rsidRPr="0009445C" w:rsidRDefault="00182764" w:rsidP="00182764">
      <w:r w:rsidRPr="0009445C">
        <w:t>Notes on the installation of anchors</w:t>
      </w:r>
    </w:p>
    <w:p w14:paraId="291C3AC0" w14:textId="77777777" w:rsidR="00182764" w:rsidRPr="0009445C" w:rsidRDefault="00182764" w:rsidP="00182764">
      <w:r w:rsidRPr="0009445C">
        <w:t>October 2010 version</w:t>
      </w:r>
    </w:p>
    <w:p w14:paraId="3B068E39"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058AFC93" w14:textId="536AFA8D" w:rsidR="00182764" w:rsidRPr="0009445C" w:rsidRDefault="00375ADF" w:rsidP="00182764">
      <w:hyperlink r:id="rId261" w:history="1">
        <w:r w:rsidRPr="0009445C">
          <w:rPr>
            <w:rStyle w:val="Hyperlink"/>
            <w:color w:val="auto"/>
          </w:rPr>
          <w:t>www.dibt.de</w:t>
        </w:r>
      </w:hyperlink>
    </w:p>
    <w:p w14:paraId="40083B0A" w14:textId="77777777" w:rsidR="00182764" w:rsidRPr="0009445C" w:rsidRDefault="00182764" w:rsidP="00182764"/>
    <w:p w14:paraId="073A0077" w14:textId="77777777" w:rsidR="00EA14A1" w:rsidRPr="0009445C" w:rsidRDefault="00182764" w:rsidP="00182764">
      <w:r w:rsidRPr="0009445C">
        <w:t xml:space="preserve">Maintenance of concrete structures (TR maintenance): </w:t>
      </w:r>
    </w:p>
    <w:p w14:paraId="16CDCBD9" w14:textId="6A6582C3" w:rsidR="00182764" w:rsidRPr="0009445C" w:rsidRDefault="00182764" w:rsidP="00182764">
      <w:r w:rsidRPr="0009445C">
        <w:t xml:space="preserve">Part 1 – Scope and planning of maintenance </w:t>
      </w:r>
    </w:p>
    <w:p w14:paraId="535651C6" w14:textId="318BF817" w:rsidR="00EA14A1" w:rsidRPr="0009445C" w:rsidRDefault="00EA14A1" w:rsidP="00182764">
      <w:r w:rsidRPr="0009445C">
        <w:t>Part 2 – Characteristics of products or systems for repair and regulations for their use</w:t>
      </w:r>
    </w:p>
    <w:p w14:paraId="7011F5CE" w14:textId="77777777" w:rsidR="00182764" w:rsidRPr="0009445C" w:rsidRDefault="00182764" w:rsidP="00182764">
      <w:r w:rsidRPr="0009445C">
        <w:t>May 2020 version</w:t>
      </w:r>
    </w:p>
    <w:p w14:paraId="7C0FE5F4"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08F5C73E" w14:textId="0313FB26" w:rsidR="00182764" w:rsidRPr="0009445C" w:rsidRDefault="00375ADF" w:rsidP="00182764">
      <w:hyperlink r:id="rId262" w:history="1">
        <w:r w:rsidRPr="0009445C">
          <w:rPr>
            <w:rStyle w:val="Hyperlink"/>
            <w:color w:val="auto"/>
          </w:rPr>
          <w:t>www.dibt.de</w:t>
        </w:r>
      </w:hyperlink>
    </w:p>
    <w:p w14:paraId="57E943E7" w14:textId="77777777" w:rsidR="00182764" w:rsidRPr="0009445C" w:rsidRDefault="00182764" w:rsidP="00182764"/>
    <w:p w14:paraId="08681EBF" w14:textId="77777777" w:rsidR="00182764" w:rsidRPr="0009445C" w:rsidRDefault="00182764" w:rsidP="00182764">
      <w:r w:rsidRPr="0009445C">
        <w:t>Loam construction rules</w:t>
      </w:r>
    </w:p>
    <w:p w14:paraId="1D703BB6" w14:textId="77777777" w:rsidR="00182764" w:rsidRPr="0009445C" w:rsidRDefault="00182764" w:rsidP="00182764">
      <w:pPr>
        <w:rPr>
          <w:lang w:val="de-DE"/>
        </w:rPr>
      </w:pPr>
      <w:r w:rsidRPr="0009445C">
        <w:rPr>
          <w:lang w:val="de-DE"/>
        </w:rPr>
        <w:t>February 2008 version</w:t>
      </w:r>
    </w:p>
    <w:p w14:paraId="75AF830A" w14:textId="1D476E60" w:rsidR="00182764" w:rsidRPr="0009445C" w:rsidRDefault="00182764" w:rsidP="00182764">
      <w:pPr>
        <w:rPr>
          <w:rStyle w:val="Hyperlink"/>
          <w:color w:val="auto"/>
          <w:u w:val="none"/>
        </w:rPr>
      </w:pPr>
      <w:r w:rsidRPr="0009445C">
        <w:rPr>
          <w:lang w:val="de-DE"/>
        </w:rPr>
        <w:t>Dachverband Lehm e. V.</w:t>
      </w:r>
      <w:r w:rsidRPr="0009445C">
        <w:rPr>
          <w:lang w:val="de-DE"/>
        </w:rPr>
        <w:br/>
      </w:r>
      <w:r w:rsidR="00375ADF" w:rsidRPr="0009445C">
        <w:fldChar w:fldCharType="begin"/>
      </w:r>
      <w:r w:rsidR="00375ADF" w:rsidRPr="0009445C">
        <w:rPr>
          <w:lang w:val="de-DE"/>
        </w:rPr>
        <w:instrText>HYPERLINK "https://www.dachverband-lehm.de"</w:instrText>
      </w:r>
      <w:r w:rsidR="00375ADF" w:rsidRPr="0009445C">
        <w:fldChar w:fldCharType="separate"/>
      </w:r>
      <w:r w:rsidRPr="0009445C">
        <w:rPr>
          <w:u w:val="single"/>
        </w:rPr>
        <w:t>www.dachverband-lehm.de</w:t>
      </w:r>
      <w:r w:rsidR="00375ADF" w:rsidRPr="0009445C">
        <w:rPr>
          <w:u w:val="single"/>
        </w:rPr>
        <w:fldChar w:fldCharType="end"/>
      </w:r>
    </w:p>
    <w:p w14:paraId="6943133D" w14:textId="77777777" w:rsidR="00182764" w:rsidRPr="0009445C" w:rsidRDefault="00182764" w:rsidP="00182764"/>
    <w:p w14:paraId="4D45E7B2" w14:textId="77777777" w:rsidR="00182764" w:rsidRPr="0009445C" w:rsidRDefault="00182764" w:rsidP="00182764">
      <w:r w:rsidRPr="0009445C">
        <w:t xml:space="preserve">Model Regulation on the Construction and Operation of Garages – </w:t>
      </w:r>
      <w:proofErr w:type="spellStart"/>
      <w:r w:rsidRPr="0009445C">
        <w:t>MGarVO</w:t>
      </w:r>
      <w:proofErr w:type="spellEnd"/>
    </w:p>
    <w:p w14:paraId="0DD67E05" w14:textId="77777777" w:rsidR="00182764" w:rsidRPr="0009445C" w:rsidRDefault="00182764" w:rsidP="00182764">
      <w:r w:rsidRPr="0009445C">
        <w:t>May 2008 version</w:t>
      </w:r>
    </w:p>
    <w:p w14:paraId="78AD3DEF" w14:textId="44FF24AD"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292DFBE7" w14:textId="77777777" w:rsidR="00182764" w:rsidRPr="0009445C" w:rsidRDefault="00182764" w:rsidP="00182764">
      <w:r w:rsidRPr="0009445C">
        <w:fldChar w:fldCharType="end"/>
      </w:r>
    </w:p>
    <w:p w14:paraId="64258CFB" w14:textId="77777777" w:rsidR="00182764" w:rsidRPr="0009445C" w:rsidRDefault="00182764" w:rsidP="00182764">
      <w:r w:rsidRPr="0009445C">
        <w:t xml:space="preserve">Model Regulation on the construction of operating spaces for electrical installations – </w:t>
      </w:r>
      <w:proofErr w:type="spellStart"/>
      <w:r w:rsidRPr="0009445C">
        <w:t>EltBauVO</w:t>
      </w:r>
      <w:proofErr w:type="spellEnd"/>
    </w:p>
    <w:p w14:paraId="0F9E5EA4" w14:textId="666B0475" w:rsidR="00182764" w:rsidRPr="0009445C" w:rsidRDefault="00182764" w:rsidP="00182764">
      <w:r w:rsidRPr="0009445C">
        <w:t>Version of January 2009, as last amended by decision of the Commission for Construction Supervision of 22.2.2022</w:t>
      </w:r>
    </w:p>
    <w:p w14:paraId="49A16ACE" w14:textId="21099248"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508B47A3" w14:textId="77777777" w:rsidR="00182764" w:rsidRPr="0009445C" w:rsidRDefault="00182764" w:rsidP="00182764">
      <w:r w:rsidRPr="0009445C">
        <w:fldChar w:fldCharType="end"/>
      </w:r>
    </w:p>
    <w:p w14:paraId="0A481A26" w14:textId="77777777" w:rsidR="00182764" w:rsidRPr="0009445C" w:rsidRDefault="00182764" w:rsidP="00B46D74">
      <w:pPr>
        <w:keepNext/>
      </w:pPr>
      <w:r w:rsidRPr="0009445C">
        <w:t xml:space="preserve">Model combustion ordinance – </w:t>
      </w:r>
      <w:proofErr w:type="spellStart"/>
      <w:r w:rsidRPr="0009445C">
        <w:t>MFeuV</w:t>
      </w:r>
      <w:proofErr w:type="spellEnd"/>
    </w:p>
    <w:p w14:paraId="0B1FE6CB" w14:textId="582B4176" w:rsidR="00182764" w:rsidRPr="0009445C" w:rsidRDefault="00182764" w:rsidP="00182764">
      <w:r w:rsidRPr="0009445C">
        <w:t>Version of September 2007, as last amended by decision of the Commission for Construction Supervision of 27.9.2017</w:t>
      </w:r>
    </w:p>
    <w:p w14:paraId="61E5BC0E" w14:textId="61F2FC35"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456C5BC6" w14:textId="77777777" w:rsidR="00182764" w:rsidRPr="0009445C" w:rsidRDefault="00182764" w:rsidP="00182764">
      <w:r w:rsidRPr="0009445C">
        <w:fldChar w:fldCharType="end"/>
      </w:r>
    </w:p>
    <w:p w14:paraId="690989FA" w14:textId="77777777" w:rsidR="00182764" w:rsidRPr="0009445C" w:rsidRDefault="00182764" w:rsidP="00182764">
      <w:r w:rsidRPr="0009445C">
        <w:t>Model Manufacturer and User Ordinance – MHAVO</w:t>
      </w:r>
    </w:p>
    <w:p w14:paraId="2DFF2DDD" w14:textId="77777777" w:rsidR="00182764" w:rsidRPr="0009445C" w:rsidRDefault="00182764" w:rsidP="00182764">
      <w:r w:rsidRPr="0009445C">
        <w:t>March 2018 version</w:t>
      </w:r>
    </w:p>
    <w:p w14:paraId="318F3C4C" w14:textId="597CAF67"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5F08EE3F" w14:textId="77777777" w:rsidR="00182764" w:rsidRPr="0009445C" w:rsidRDefault="00182764" w:rsidP="00182764">
      <w:r w:rsidRPr="0009445C">
        <w:fldChar w:fldCharType="end"/>
      </w:r>
    </w:p>
    <w:p w14:paraId="74A8E164" w14:textId="77777777" w:rsidR="00182764" w:rsidRPr="0009445C" w:rsidRDefault="00182764" w:rsidP="00182764">
      <w:r w:rsidRPr="0009445C">
        <w:t xml:space="preserve">Model Guideline on building authority requirements for schools – </w:t>
      </w:r>
      <w:proofErr w:type="spellStart"/>
      <w:r w:rsidRPr="0009445C">
        <w:t>MSchulbauR</w:t>
      </w:r>
      <w:proofErr w:type="spellEnd"/>
    </w:p>
    <w:p w14:paraId="0DDBB8DC" w14:textId="77777777" w:rsidR="00182764" w:rsidRPr="0009445C" w:rsidRDefault="00182764" w:rsidP="00182764">
      <w:r w:rsidRPr="0009445C">
        <w:t>April 2009 version</w:t>
      </w:r>
    </w:p>
    <w:p w14:paraId="414F8964" w14:textId="0C78F18B"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2356A762" w14:textId="77777777" w:rsidR="00182764" w:rsidRPr="0009445C" w:rsidRDefault="00182764" w:rsidP="00182764">
      <w:r w:rsidRPr="0009445C">
        <w:fldChar w:fldCharType="end"/>
      </w:r>
    </w:p>
    <w:p w14:paraId="4E601D36" w14:textId="77777777" w:rsidR="00182764" w:rsidRPr="0009445C" w:rsidRDefault="00182764" w:rsidP="00182764">
      <w:r w:rsidRPr="0009445C">
        <w:t>Model Directive on building authority requirements for forms of housing for people in need of care or with disabilities – MWR</w:t>
      </w:r>
    </w:p>
    <w:p w14:paraId="584D8CD0" w14:textId="77777777" w:rsidR="00182764" w:rsidRPr="0009445C" w:rsidRDefault="00182764" w:rsidP="00182764">
      <w:r w:rsidRPr="0009445C">
        <w:t>May 2012 version</w:t>
      </w:r>
    </w:p>
    <w:p w14:paraId="321FEC7E" w14:textId="5474A451"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0DC06AF4" w14:textId="77777777" w:rsidR="00182764" w:rsidRPr="0009445C" w:rsidRDefault="00182764" w:rsidP="00182764">
      <w:r w:rsidRPr="0009445C">
        <w:fldChar w:fldCharType="end"/>
      </w:r>
    </w:p>
    <w:p w14:paraId="29D3C991" w14:textId="77777777" w:rsidR="00182764" w:rsidRPr="0009445C" w:rsidRDefault="00182764" w:rsidP="00182764">
      <w:r w:rsidRPr="0009445C">
        <w:t xml:space="preserve">Model Directive on fire protection requirements for structural elements and exterior wall coverings in wood construction – </w:t>
      </w:r>
      <w:proofErr w:type="spellStart"/>
      <w:r w:rsidRPr="0009445C">
        <w:t>MHolzBauRL</w:t>
      </w:r>
      <w:proofErr w:type="spellEnd"/>
    </w:p>
    <w:p w14:paraId="3CE8789F" w14:textId="77777777" w:rsidR="00182764" w:rsidRPr="0009445C" w:rsidRDefault="00182764" w:rsidP="00182764">
      <w:r w:rsidRPr="0009445C">
        <w:t>Version: October 2020</w:t>
      </w:r>
    </w:p>
    <w:p w14:paraId="3D684766" w14:textId="742A8F4D"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www.dibt.de</w:t>
      </w:r>
    </w:p>
    <w:p w14:paraId="6487F383" w14:textId="77777777" w:rsidR="00182764" w:rsidRPr="0009445C" w:rsidRDefault="00182764" w:rsidP="00182764">
      <w:r w:rsidRPr="0009445C">
        <w:fldChar w:fldCharType="end"/>
      </w:r>
    </w:p>
    <w:p w14:paraId="4E95D22A" w14:textId="77777777" w:rsidR="00182764" w:rsidRPr="0009445C" w:rsidRDefault="00182764" w:rsidP="00182764">
      <w:r w:rsidRPr="0009445C">
        <w:t>Model Directive on fire protection requirements pertaining to conduits – MLAR</w:t>
      </w:r>
    </w:p>
    <w:p w14:paraId="64AC6C79" w14:textId="77777777" w:rsidR="00182764" w:rsidRPr="0009445C" w:rsidRDefault="00182764" w:rsidP="00182764">
      <w:r w:rsidRPr="0009445C">
        <w:t>Version of 10.2.2015, last amended by decision of the Commission for Construction Supervision of 03.9.2020</w:t>
      </w:r>
    </w:p>
    <w:p w14:paraId="45CA4848" w14:textId="65B6E44A"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7C43C253" w14:textId="77777777" w:rsidR="00182764" w:rsidRPr="0009445C" w:rsidRDefault="00182764" w:rsidP="00182764">
      <w:r w:rsidRPr="0009445C">
        <w:fldChar w:fldCharType="end"/>
      </w:r>
    </w:p>
    <w:p w14:paraId="4E82F7FE" w14:textId="534ECCDC" w:rsidR="00182764" w:rsidRPr="0009445C" w:rsidRDefault="00182764" w:rsidP="00182764">
      <w:r w:rsidRPr="0009445C">
        <w:t>Model Guideline on fire protection requirements for ventilation systems – M-</w:t>
      </w:r>
      <w:proofErr w:type="spellStart"/>
      <w:r w:rsidRPr="0009445C">
        <w:t>LüAR</w:t>
      </w:r>
      <w:proofErr w:type="spellEnd"/>
    </w:p>
    <w:p w14:paraId="11709F45" w14:textId="77777777" w:rsidR="00182764" w:rsidRPr="0009445C" w:rsidRDefault="00182764" w:rsidP="00182764">
      <w:r w:rsidRPr="0009445C">
        <w:t xml:space="preserve">Version: 29.9.2005, last amended by decision of the Commission for Construction Supervision of 03.9.2020 </w:t>
      </w:r>
    </w:p>
    <w:p w14:paraId="289AE54C" w14:textId="7FAF9BA4"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595B562C" w14:textId="77777777" w:rsidR="00182764" w:rsidRPr="0009445C" w:rsidRDefault="00182764" w:rsidP="00182764">
      <w:r w:rsidRPr="0009445C">
        <w:fldChar w:fldCharType="end"/>
      </w:r>
    </w:p>
    <w:p w14:paraId="2005AD5A" w14:textId="77777777" w:rsidR="00182764" w:rsidRPr="0009445C" w:rsidRDefault="00182764" w:rsidP="00182764">
      <w:r w:rsidRPr="0009445C">
        <w:t xml:space="preserve">Model Directive on fire protection requirements pertaining to system floors – </w:t>
      </w:r>
      <w:proofErr w:type="spellStart"/>
      <w:r w:rsidRPr="0009445C">
        <w:t>MSysBöR</w:t>
      </w:r>
      <w:proofErr w:type="spellEnd"/>
    </w:p>
    <w:p w14:paraId="14D82798" w14:textId="77777777" w:rsidR="00182764" w:rsidRPr="0009445C" w:rsidRDefault="00182764" w:rsidP="00182764">
      <w:r w:rsidRPr="0009445C">
        <w:t>September 2005 version</w:t>
      </w:r>
    </w:p>
    <w:p w14:paraId="4373BA26" w14:textId="18B0706F" w:rsidR="00182764" w:rsidRPr="0009445C" w:rsidRDefault="00375ADF" w:rsidP="00182764">
      <w:hyperlink r:id="rId263" w:history="1">
        <w:r w:rsidRPr="0009445C">
          <w:rPr>
            <w:rStyle w:val="Hyperlink"/>
            <w:color w:val="auto"/>
          </w:rPr>
          <w:t>www.is-argebau.de</w:t>
        </w:r>
      </w:hyperlink>
    </w:p>
    <w:p w14:paraId="49B92C08" w14:textId="77777777" w:rsidR="00182764" w:rsidRPr="0009445C" w:rsidRDefault="00182764" w:rsidP="00182764"/>
    <w:p w14:paraId="5FDAFBC8" w14:textId="77777777" w:rsidR="00182764" w:rsidRPr="0009445C" w:rsidRDefault="00182764" w:rsidP="00182764">
      <w:r w:rsidRPr="0009445C">
        <w:t>Model Directive on the construction and operation of high-rise buildings – MHHR</w:t>
      </w:r>
    </w:p>
    <w:p w14:paraId="6EFA0F6E" w14:textId="77777777" w:rsidR="00182764" w:rsidRPr="0009445C" w:rsidRDefault="00182764" w:rsidP="00182764">
      <w:r w:rsidRPr="0009445C">
        <w:t>April 2008 version, modified February 2012</w:t>
      </w:r>
    </w:p>
    <w:p w14:paraId="0A2EDEC2" w14:textId="08B14CB8"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09ED160D" w14:textId="77777777" w:rsidR="009A0036" w:rsidRPr="0009445C" w:rsidRDefault="00182764" w:rsidP="00182764">
      <w:pPr>
        <w:sectPr w:rsidR="009A0036" w:rsidRPr="0009445C" w:rsidSect="00EA14A1">
          <w:pgSz w:w="11906" w:h="16838"/>
          <w:pgMar w:top="1418" w:right="1418" w:bottom="851" w:left="1418" w:header="851" w:footer="425" w:gutter="0"/>
          <w:cols w:num="2" w:space="567"/>
          <w:titlePg/>
        </w:sectPr>
      </w:pPr>
      <w:r w:rsidRPr="0009445C">
        <w:fldChar w:fldCharType="end"/>
      </w:r>
    </w:p>
    <w:p w14:paraId="6759C0CB" w14:textId="77777777" w:rsidR="00182764" w:rsidRPr="0009445C" w:rsidRDefault="00182764" w:rsidP="00182764">
      <w:r w:rsidRPr="0009445C">
        <w:lastRenderedPageBreak/>
        <w:t>Model guideline on structural fire protection in industrial buildings (</w:t>
      </w:r>
      <w:proofErr w:type="spellStart"/>
      <w:r w:rsidRPr="0009445C">
        <w:t>MIndBauRL</w:t>
      </w:r>
      <w:proofErr w:type="spellEnd"/>
      <w:r w:rsidRPr="0009445C">
        <w:t>):</w:t>
      </w:r>
    </w:p>
    <w:p w14:paraId="79461B03" w14:textId="6773B641" w:rsidR="00182764" w:rsidRPr="0009445C" w:rsidRDefault="00182764" w:rsidP="00182764">
      <w:r w:rsidRPr="0009445C">
        <w:t>May 2019 version</w:t>
      </w:r>
    </w:p>
    <w:p w14:paraId="5D23CB08" w14:textId="77777777" w:rsidR="009A0036" w:rsidRPr="0009445C" w:rsidRDefault="009A0036" w:rsidP="00182764"/>
    <w:p w14:paraId="1187382E" w14:textId="77777777" w:rsidR="00182764" w:rsidRPr="0009445C" w:rsidRDefault="00182764" w:rsidP="00182764">
      <w:r w:rsidRPr="0009445C">
        <w:t>Model directive on fire protection during the storage of plastic secondary materials (MKLR)</w:t>
      </w:r>
    </w:p>
    <w:p w14:paraId="0B82FA61" w14:textId="77777777" w:rsidR="00182764" w:rsidRPr="0009445C" w:rsidRDefault="00182764" w:rsidP="00182764">
      <w:r w:rsidRPr="0009445C">
        <w:t>June 1996 version</w:t>
      </w:r>
    </w:p>
    <w:p w14:paraId="3ACC2186" w14:textId="61DEF965"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442ED3B1" w14:textId="77777777" w:rsidR="00182764" w:rsidRPr="0009445C" w:rsidRDefault="00182764" w:rsidP="00182764">
      <w:r w:rsidRPr="0009445C">
        <w:fldChar w:fldCharType="end"/>
      </w:r>
    </w:p>
    <w:p w14:paraId="537C081D" w14:textId="77777777" w:rsidR="00182764" w:rsidRPr="0009445C" w:rsidRDefault="00182764" w:rsidP="00182764">
      <w:r w:rsidRPr="0009445C">
        <w:t>Model directive on fire service areas</w:t>
      </w:r>
    </w:p>
    <w:p w14:paraId="58502011" w14:textId="77777777" w:rsidR="00182764" w:rsidRPr="0009445C" w:rsidRDefault="00182764" w:rsidP="00182764">
      <w:r w:rsidRPr="0009445C">
        <w:t>October 2009 version</w:t>
      </w:r>
    </w:p>
    <w:p w14:paraId="14EB1CB9" w14:textId="5C7FB333"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1AB991F1" w14:textId="77777777" w:rsidR="00182764" w:rsidRPr="0009445C" w:rsidRDefault="00182764" w:rsidP="00182764">
      <w:r w:rsidRPr="0009445C">
        <w:fldChar w:fldCharType="end"/>
      </w:r>
    </w:p>
    <w:p w14:paraId="5C208EE2" w14:textId="77777777" w:rsidR="00182764" w:rsidRPr="0009445C" w:rsidRDefault="00182764" w:rsidP="00182764">
      <w:r w:rsidRPr="0009445C">
        <w:t xml:space="preserve">Model Regulation on the construction and operation of accommodation facilities – </w:t>
      </w:r>
      <w:proofErr w:type="spellStart"/>
      <w:r w:rsidRPr="0009445C">
        <w:t>MBeVO</w:t>
      </w:r>
      <w:proofErr w:type="spellEnd"/>
    </w:p>
    <w:p w14:paraId="6816671D" w14:textId="77777777" w:rsidR="00182764" w:rsidRPr="0009445C" w:rsidRDefault="00182764" w:rsidP="00182764">
      <w:r w:rsidRPr="0009445C">
        <w:t>May 2014 version</w:t>
      </w:r>
    </w:p>
    <w:p w14:paraId="3E7EBCC5" w14:textId="74C4699D"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1F1CA75D" w14:textId="0C8F6674" w:rsidR="00182764" w:rsidRPr="0009445C" w:rsidRDefault="00182764" w:rsidP="00182764">
      <w:r w:rsidRPr="0009445C">
        <w:fldChar w:fldCharType="end"/>
      </w:r>
    </w:p>
    <w:p w14:paraId="6A8CD73B" w14:textId="77777777" w:rsidR="009A0036" w:rsidRPr="0009445C" w:rsidRDefault="009A0036" w:rsidP="009A0036">
      <w:pPr>
        <w:spacing w:line="276" w:lineRule="auto"/>
      </w:pPr>
      <w:r w:rsidRPr="0009445C">
        <w:t>Model of a Regulation on the construction of operating rooms for electrical installations (</w:t>
      </w:r>
      <w:proofErr w:type="spellStart"/>
      <w:r w:rsidRPr="0009445C">
        <w:t>EltBauVO</w:t>
      </w:r>
      <w:proofErr w:type="spellEnd"/>
      <w:r w:rsidRPr="0009445C">
        <w:t>):</w:t>
      </w:r>
    </w:p>
    <w:p w14:paraId="3829F52F" w14:textId="77777777" w:rsidR="009A0036" w:rsidRPr="0009445C" w:rsidRDefault="009A0036" w:rsidP="009A0036">
      <w:pPr>
        <w:spacing w:line="276" w:lineRule="auto"/>
      </w:pPr>
      <w:r w:rsidRPr="0009445C">
        <w:t>Version of January 2009, as last amended by decision of the Commission for Construction Supervision of 22.2.2022</w:t>
      </w:r>
    </w:p>
    <w:p w14:paraId="745A2D0E" w14:textId="68DBA098" w:rsidR="009A0036" w:rsidRPr="0009445C" w:rsidRDefault="00375ADF" w:rsidP="009A0036">
      <w:hyperlink r:id="rId264" w:history="1">
        <w:r w:rsidRPr="0009445C">
          <w:rPr>
            <w:rStyle w:val="Hyperlink"/>
            <w:color w:val="auto"/>
          </w:rPr>
          <w:t>www.is-argebau.de</w:t>
        </w:r>
      </w:hyperlink>
    </w:p>
    <w:p w14:paraId="2C704827" w14:textId="77777777" w:rsidR="009A0036" w:rsidRPr="0009445C" w:rsidRDefault="009A0036" w:rsidP="00182764"/>
    <w:p w14:paraId="294D4D70" w14:textId="77777777" w:rsidR="00182764" w:rsidRPr="0009445C" w:rsidRDefault="00182764" w:rsidP="00182764">
      <w:r w:rsidRPr="0009445C">
        <w:t>Model Regulation on the construction and operation of retail outlets – MVKVO</w:t>
      </w:r>
    </w:p>
    <w:p w14:paraId="15A09370" w14:textId="77777777" w:rsidR="00182764" w:rsidRPr="0009445C" w:rsidRDefault="00182764" w:rsidP="00182764">
      <w:r w:rsidRPr="0009445C">
        <w:t>July 2014 version</w:t>
      </w:r>
    </w:p>
    <w:p w14:paraId="4C44E9AE" w14:textId="1D48ADAA"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0AC5A8AF" w14:textId="77777777" w:rsidR="00182764" w:rsidRPr="0009445C" w:rsidRDefault="00182764" w:rsidP="00182764">
      <w:r w:rsidRPr="0009445C">
        <w:fldChar w:fldCharType="end"/>
      </w:r>
    </w:p>
    <w:p w14:paraId="5BE4E756" w14:textId="77777777" w:rsidR="00182764" w:rsidRPr="0009445C" w:rsidRDefault="00182764" w:rsidP="00182764">
      <w:r w:rsidRPr="0009445C">
        <w:t xml:space="preserve">Model Regulation on the construction and operation of meeting places – </w:t>
      </w:r>
      <w:proofErr w:type="spellStart"/>
      <w:r w:rsidRPr="0009445C">
        <w:t>MVStättVO</w:t>
      </w:r>
      <w:proofErr w:type="spellEnd"/>
    </w:p>
    <w:p w14:paraId="778BBD0F" w14:textId="77777777" w:rsidR="00182764" w:rsidRPr="0009445C" w:rsidRDefault="00182764" w:rsidP="00182764">
      <w:r w:rsidRPr="0009445C">
        <w:t>July 2014 version</w:t>
      </w:r>
    </w:p>
    <w:p w14:paraId="46E0DB17" w14:textId="5B905BC9"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3B41D7E6" w14:textId="4BD65929" w:rsidR="00182764" w:rsidRPr="0009445C" w:rsidRDefault="00182764" w:rsidP="00182764">
      <w:r w:rsidRPr="0009445C">
        <w:fldChar w:fldCharType="end"/>
      </w:r>
    </w:p>
    <w:p w14:paraId="18261AC6" w14:textId="77777777" w:rsidR="009A0036" w:rsidRPr="0009445C" w:rsidRDefault="009A0036" w:rsidP="009A0036">
      <w:pPr>
        <w:spacing w:line="276" w:lineRule="auto"/>
      </w:pPr>
      <w:r w:rsidRPr="0009445C">
        <w:t>Test principles for chimney cleaning hatches and soot barriers</w:t>
      </w:r>
    </w:p>
    <w:p w14:paraId="08DDE305" w14:textId="77777777" w:rsidR="009A0036" w:rsidRPr="0009445C" w:rsidRDefault="009A0036" w:rsidP="009A0036">
      <w:pPr>
        <w:spacing w:line="276" w:lineRule="auto"/>
      </w:pPr>
      <w:r w:rsidRPr="0009445C">
        <w:t>November 2012 version</w:t>
      </w:r>
    </w:p>
    <w:p w14:paraId="435AED11" w14:textId="77777777" w:rsidR="009A0036" w:rsidRPr="0009445C" w:rsidRDefault="009A0036" w:rsidP="009A0036">
      <w:pPr>
        <w:spacing w:line="276" w:lineRule="auto"/>
      </w:pPr>
      <w:r w:rsidRPr="0009445C">
        <w:t>German Institute for Building Technology (</w:t>
      </w:r>
      <w:proofErr w:type="spellStart"/>
      <w:r w:rsidRPr="0009445C">
        <w:t>DIBt</w:t>
      </w:r>
      <w:proofErr w:type="spellEnd"/>
      <w:r w:rsidRPr="0009445C">
        <w:t>)</w:t>
      </w:r>
    </w:p>
    <w:p w14:paraId="12456C23" w14:textId="3A874D69" w:rsidR="009A0036" w:rsidRPr="0009445C" w:rsidRDefault="00375ADF" w:rsidP="009A0036">
      <w:pPr>
        <w:spacing w:line="276" w:lineRule="auto"/>
      </w:pPr>
      <w:hyperlink r:id="rId265" w:history="1">
        <w:r w:rsidRPr="0009445C">
          <w:rPr>
            <w:rStyle w:val="Hyperlink"/>
            <w:color w:val="auto"/>
          </w:rPr>
          <w:t>www.dibt.de</w:t>
        </w:r>
      </w:hyperlink>
    </w:p>
    <w:p w14:paraId="01C25AE8" w14:textId="77777777" w:rsidR="009A0036" w:rsidRPr="0009445C" w:rsidRDefault="009A0036" w:rsidP="00182764"/>
    <w:p w14:paraId="68046486" w14:textId="77777777" w:rsidR="00182764" w:rsidRPr="0009445C" w:rsidRDefault="00182764" w:rsidP="00182764">
      <w:r w:rsidRPr="0009445C">
        <w:t>Test principles for the issuing of general building inspection certificates for seals in conjunction with tiles and slab surfaces</w:t>
      </w:r>
    </w:p>
    <w:p w14:paraId="0B915DF2" w14:textId="296A5400" w:rsidR="00182764" w:rsidRPr="0009445C" w:rsidRDefault="00182764" w:rsidP="00182764">
      <w:r w:rsidRPr="0009445C">
        <w:t>Part 1: Liquid-applied seals – PG AIV-F</w:t>
      </w:r>
    </w:p>
    <w:p w14:paraId="62CDCAA7" w14:textId="6F2547BC" w:rsidR="00182764" w:rsidRPr="0009445C" w:rsidRDefault="00402FBE" w:rsidP="00182764">
      <w:r w:rsidRPr="0009445C">
        <w:t>Last updated: March 2018</w:t>
      </w:r>
    </w:p>
    <w:p w14:paraId="0BE45C49" w14:textId="043DD8EF" w:rsidR="00182764" w:rsidRPr="0009445C" w:rsidRDefault="00182764" w:rsidP="00182764">
      <w:r w:rsidRPr="0009445C">
        <w:t>Part 2: Sheet-type seals – PG AIV-B</w:t>
      </w:r>
    </w:p>
    <w:p w14:paraId="52B51A69" w14:textId="53B7F003" w:rsidR="00182764" w:rsidRPr="0009445C" w:rsidRDefault="00402FBE" w:rsidP="00182764">
      <w:r w:rsidRPr="0009445C">
        <w:t>Last updated: March 2018</w:t>
      </w:r>
    </w:p>
    <w:p w14:paraId="08C30956" w14:textId="527F7CDA" w:rsidR="00182764" w:rsidRPr="0009445C" w:rsidRDefault="00182764" w:rsidP="00182764">
      <w:r w:rsidRPr="0009445C">
        <w:t>Part 3: Slab-shaped seals – PG AIV-P</w:t>
      </w:r>
    </w:p>
    <w:p w14:paraId="3D49DDE4" w14:textId="7FE5A842" w:rsidR="00182764" w:rsidRPr="0009445C" w:rsidRDefault="00BF3808" w:rsidP="00182764">
      <w:r w:rsidRPr="0009445C">
        <w:t>Last updated: March 2018</w:t>
      </w:r>
    </w:p>
    <w:p w14:paraId="3B618326" w14:textId="77777777" w:rsidR="00093B17" w:rsidRPr="0009445C" w:rsidRDefault="00093B17" w:rsidP="00093B17">
      <w:pPr>
        <w:widowControl w:val="0"/>
        <w:spacing w:line="276" w:lineRule="auto"/>
      </w:pPr>
      <w:r w:rsidRPr="0009445C">
        <w:t>Part 4: Additional tests on sealing systems in connection with useful layers (PG AIV N)</w:t>
      </w:r>
    </w:p>
    <w:p w14:paraId="51940188" w14:textId="26F11FF3" w:rsidR="00093B17" w:rsidRPr="0009445C" w:rsidRDefault="00093B17" w:rsidP="00093B17">
      <w:r w:rsidRPr="0009445C">
        <w:t>Last updated: July 2021</w:t>
      </w:r>
    </w:p>
    <w:p w14:paraId="55D24FC4"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54935C13" w14:textId="7A8E3055" w:rsidR="00182764" w:rsidRPr="0009445C" w:rsidRDefault="00375ADF" w:rsidP="00182764">
      <w:hyperlink r:id="rId266" w:history="1">
        <w:r w:rsidRPr="0009445C">
          <w:rPr>
            <w:rStyle w:val="Hyperlink"/>
            <w:color w:val="auto"/>
          </w:rPr>
          <w:t>www.dibt.de</w:t>
        </w:r>
      </w:hyperlink>
    </w:p>
    <w:p w14:paraId="34401D9F" w14:textId="77777777" w:rsidR="00182764" w:rsidRPr="0009445C" w:rsidRDefault="00182764" w:rsidP="00182764">
      <w:pPr>
        <w:spacing w:line="240" w:lineRule="auto"/>
      </w:pPr>
      <w:r w:rsidRPr="0009445C">
        <w:br w:type="column"/>
      </w:r>
      <w:r w:rsidRPr="0009445C">
        <w:t>Test principles for issuing general building authority test certificates for building waterproofing with liquid plastics – PG</w:t>
      </w:r>
      <w:r w:rsidRPr="0009445C">
        <w:noBreakHyphen/>
        <w:t>FLK</w:t>
      </w:r>
    </w:p>
    <w:p w14:paraId="1ABD2106" w14:textId="77777777" w:rsidR="00182764" w:rsidRPr="0009445C" w:rsidRDefault="00182764" w:rsidP="00182764">
      <w:r w:rsidRPr="0009445C">
        <w:t>July 2019 version</w:t>
      </w:r>
    </w:p>
    <w:p w14:paraId="64A8A8DC"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3562FD47" w14:textId="4782DC46" w:rsidR="00182764" w:rsidRPr="0009445C" w:rsidRDefault="00375ADF" w:rsidP="00182764">
      <w:hyperlink r:id="rId267" w:history="1">
        <w:r w:rsidRPr="0009445C">
          <w:rPr>
            <w:rStyle w:val="Hyperlink"/>
            <w:color w:val="auto"/>
          </w:rPr>
          <w:t>www.dibt.de</w:t>
        </w:r>
      </w:hyperlink>
    </w:p>
    <w:p w14:paraId="319B6236" w14:textId="77777777" w:rsidR="00182764" w:rsidRPr="0009445C" w:rsidRDefault="00182764" w:rsidP="00182764"/>
    <w:p w14:paraId="31138E28" w14:textId="77777777" w:rsidR="00182764" w:rsidRPr="0009445C" w:rsidRDefault="00182764" w:rsidP="00182764">
      <w:r w:rsidRPr="0009445C">
        <w:t>Test principles for the conferral of general building authority test certificates for rigid and flexible mineral slurry seals as well as flexible polymer-modified thick coatings for the waterproofing of structures – PG-MDS/FPD</w:t>
      </w:r>
    </w:p>
    <w:p w14:paraId="56415485" w14:textId="77777777" w:rsidR="00182764" w:rsidRPr="0009445C" w:rsidRDefault="00182764" w:rsidP="00182764">
      <w:r w:rsidRPr="0009445C">
        <w:t>November 2016 version</w:t>
      </w:r>
    </w:p>
    <w:p w14:paraId="235450CE"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74ACA42F" w14:textId="4FF41C3F" w:rsidR="00182764" w:rsidRPr="0009445C" w:rsidRDefault="00375ADF" w:rsidP="00182764">
      <w:hyperlink r:id="rId268" w:history="1">
        <w:r w:rsidRPr="0009445C">
          <w:rPr>
            <w:rStyle w:val="Hyperlink"/>
            <w:color w:val="auto"/>
          </w:rPr>
          <w:t>www.dibt.de</w:t>
        </w:r>
      </w:hyperlink>
    </w:p>
    <w:p w14:paraId="1E238581" w14:textId="77777777" w:rsidR="00182764" w:rsidRPr="0009445C" w:rsidRDefault="00182764" w:rsidP="00182764"/>
    <w:p w14:paraId="53C56507" w14:textId="77777777" w:rsidR="00182764" w:rsidRPr="0009445C" w:rsidRDefault="00182764" w:rsidP="00182764">
      <w:r w:rsidRPr="0009445C">
        <w:t>Test principles for the issuing of general building authority test certificates for joint seals in structural elements made of concrete, among others, with high water penetration resistance in the area in contact with the ground – PG-FBB</w:t>
      </w:r>
    </w:p>
    <w:p w14:paraId="56C19C1A" w14:textId="77777777" w:rsidR="00182764" w:rsidRPr="0009445C" w:rsidRDefault="00182764" w:rsidP="00182764">
      <w:r w:rsidRPr="0009445C">
        <w:t>Part 1: Waterproofing for construction joints and crack cross-sections, transitions, and connections</w:t>
      </w:r>
    </w:p>
    <w:p w14:paraId="5C8E7420" w14:textId="77777777" w:rsidR="00182764" w:rsidRPr="0009445C" w:rsidRDefault="00182764" w:rsidP="00182764">
      <w:r w:rsidRPr="0009445C">
        <w:t>Last updated: May 2020</w:t>
      </w:r>
    </w:p>
    <w:p w14:paraId="6009D1EE" w14:textId="77777777" w:rsidR="00182764" w:rsidRPr="0009445C" w:rsidRDefault="00182764" w:rsidP="00182764">
      <w:r w:rsidRPr="0009445C">
        <w:t>Part 2: Seals for expansion joints</w:t>
      </w:r>
    </w:p>
    <w:p w14:paraId="73C77D49" w14:textId="2874EFDA" w:rsidR="00182764" w:rsidRPr="0009445C" w:rsidRDefault="006F498F" w:rsidP="00182764">
      <w:r w:rsidRPr="0009445C">
        <w:t>Last updated: July 2021</w:t>
      </w:r>
    </w:p>
    <w:p w14:paraId="471E53F4"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718789FC" w14:textId="2515006D" w:rsidR="00182764" w:rsidRPr="0009445C" w:rsidRDefault="00375ADF" w:rsidP="00182764">
      <w:hyperlink r:id="rId269" w:history="1">
        <w:r w:rsidRPr="0009445C">
          <w:rPr>
            <w:rStyle w:val="Hyperlink"/>
            <w:color w:val="auto"/>
          </w:rPr>
          <w:t>www.dibt.de</w:t>
        </w:r>
      </w:hyperlink>
    </w:p>
    <w:p w14:paraId="77C57A49" w14:textId="77777777" w:rsidR="00182764" w:rsidRPr="0009445C" w:rsidRDefault="00182764" w:rsidP="00182764"/>
    <w:p w14:paraId="6DF13887" w14:textId="77777777" w:rsidR="00182764" w:rsidRPr="0009445C" w:rsidRDefault="00182764" w:rsidP="00182764">
      <w:r w:rsidRPr="0009445C">
        <w:t>Test plan for refurbishment of timber structural elements contaminated with pentachlorophenol (PCP)</w:t>
      </w:r>
      <w:r w:rsidRPr="0009445C">
        <w:noBreakHyphen/>
      </w:r>
    </w:p>
    <w:p w14:paraId="5A12968A" w14:textId="77777777" w:rsidR="00182764" w:rsidRPr="0009445C" w:rsidRDefault="00182764" w:rsidP="00182764">
      <w:r w:rsidRPr="0009445C">
        <w:t>Last updated: January 2006</w:t>
      </w:r>
    </w:p>
    <w:p w14:paraId="162623F2"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503DBF66" w14:textId="67B5F2CA" w:rsidR="00182764" w:rsidRPr="0009445C" w:rsidRDefault="00375ADF" w:rsidP="00182764">
      <w:hyperlink r:id="rId270" w:history="1">
        <w:r w:rsidRPr="0009445C">
          <w:rPr>
            <w:rStyle w:val="Hyperlink"/>
            <w:color w:val="auto"/>
          </w:rPr>
          <w:t>www.dibt.de</w:t>
        </w:r>
      </w:hyperlink>
    </w:p>
    <w:p w14:paraId="6BE486A4" w14:textId="77777777" w:rsidR="00182764" w:rsidRPr="0009445C" w:rsidRDefault="00182764" w:rsidP="00182764"/>
    <w:p w14:paraId="390E3292" w14:textId="77777777" w:rsidR="00182764" w:rsidRPr="0009445C" w:rsidRDefault="00182764" w:rsidP="00182764">
      <w:r w:rsidRPr="0009445C">
        <w:t>Guideline for the demonstration of stability of metal-plastic composite profiles</w:t>
      </w:r>
    </w:p>
    <w:p w14:paraId="70B6E194" w14:textId="77777777" w:rsidR="00182764" w:rsidRPr="0009445C" w:rsidRDefault="00182764" w:rsidP="00182764">
      <w:r w:rsidRPr="0009445C">
        <w:t>August 1986 version</w:t>
      </w:r>
    </w:p>
    <w:p w14:paraId="32F8E31A" w14:textId="77777777" w:rsidR="00182764" w:rsidRPr="0009445C" w:rsidRDefault="00182764" w:rsidP="00182764">
      <w:proofErr w:type="spellStart"/>
      <w:r w:rsidRPr="0009445C">
        <w:t>Mitteilungen</w:t>
      </w:r>
      <w:proofErr w:type="spellEnd"/>
      <w:r w:rsidRPr="0009445C">
        <w:t xml:space="preserve"> </w:t>
      </w:r>
      <w:proofErr w:type="spellStart"/>
      <w:r w:rsidRPr="0009445C">
        <w:t>IfBt</w:t>
      </w:r>
      <w:proofErr w:type="spellEnd"/>
      <w:r w:rsidRPr="0009445C">
        <w:t xml:space="preserve"> (News </w:t>
      </w:r>
      <w:proofErr w:type="spellStart"/>
      <w:r w:rsidRPr="0009445C">
        <w:t>IfBt</w:t>
      </w:r>
      <w:proofErr w:type="spellEnd"/>
      <w:r w:rsidRPr="0009445C">
        <w:t xml:space="preserve"> [Institute for Structural Engineering]) Volume 6/1986</w:t>
      </w:r>
    </w:p>
    <w:p w14:paraId="112D2B7F" w14:textId="77777777" w:rsidR="00182764" w:rsidRPr="0009445C" w:rsidRDefault="00182764" w:rsidP="00182764">
      <w:r w:rsidRPr="0009445C">
        <w:rPr>
          <w:lang w:val="de-DE"/>
        </w:rPr>
        <w:t xml:space="preserve">Ernst &amp; Sohn Verlag für Architektur und technische Wissenschaften GmbH &amp; Co. </w:t>
      </w:r>
      <w:r w:rsidRPr="0009445C">
        <w:t>KG</w:t>
      </w:r>
    </w:p>
    <w:p w14:paraId="0CEA72D1" w14:textId="32BE8046" w:rsidR="00182764" w:rsidRPr="0009445C" w:rsidRDefault="00375ADF" w:rsidP="00182764">
      <w:hyperlink r:id="rId271" w:history="1">
        <w:r w:rsidRPr="0009445C">
          <w:rPr>
            <w:rStyle w:val="Hyperlink"/>
            <w:color w:val="auto"/>
          </w:rPr>
          <w:t>www.ernst-und-sohn.de</w:t>
        </w:r>
      </w:hyperlink>
    </w:p>
    <w:p w14:paraId="194380F0" w14:textId="77777777" w:rsidR="00182764" w:rsidRPr="0009445C" w:rsidRDefault="00182764" w:rsidP="00182764"/>
    <w:p w14:paraId="4DB635D4" w14:textId="77777777" w:rsidR="00182764" w:rsidRPr="0009445C" w:rsidRDefault="00182764" w:rsidP="00182764">
      <w:r w:rsidRPr="0009445C">
        <w:t>Guideline concerned with the appraisal and restoration of building materials and structural elements in structures which are contaminated with PCB</w:t>
      </w:r>
    </w:p>
    <w:p w14:paraId="623BDA29" w14:textId="77777777" w:rsidR="00182764" w:rsidRPr="0009445C" w:rsidRDefault="00182764" w:rsidP="00182764">
      <w:pPr>
        <w:rPr>
          <w:lang w:val="de-DE"/>
        </w:rPr>
      </w:pPr>
      <w:r w:rsidRPr="0009445C">
        <w:rPr>
          <w:lang w:val="de-DE"/>
        </w:rPr>
        <w:t>September 1994 version</w:t>
      </w:r>
    </w:p>
    <w:p w14:paraId="2D2D3010" w14:textId="77777777" w:rsidR="00182764" w:rsidRPr="0009445C" w:rsidRDefault="00182764" w:rsidP="00182764">
      <w:pPr>
        <w:rPr>
          <w:lang w:val="de-DE"/>
        </w:rPr>
      </w:pPr>
      <w:r w:rsidRPr="0009445C">
        <w:rPr>
          <w:lang w:val="de-DE"/>
        </w:rPr>
        <w:t>Mitteilungen IfBt (IfBt News) Volume 2/1995</w:t>
      </w:r>
    </w:p>
    <w:p w14:paraId="39998F22" w14:textId="77777777" w:rsidR="00182764" w:rsidRPr="0009445C" w:rsidRDefault="00182764" w:rsidP="00182764">
      <w:r w:rsidRPr="0009445C">
        <w:rPr>
          <w:lang w:val="de-DE"/>
        </w:rPr>
        <w:t xml:space="preserve">Ernst &amp; Sohn Verlag für Architektur und technische Wissenschaften GmbH &amp; Co. </w:t>
      </w:r>
      <w:r w:rsidRPr="0009445C">
        <w:t>KG</w:t>
      </w:r>
    </w:p>
    <w:p w14:paraId="5314E377" w14:textId="629D259F" w:rsidR="00182764" w:rsidRPr="0009445C" w:rsidRDefault="00375ADF" w:rsidP="00182764">
      <w:hyperlink r:id="rId272" w:history="1">
        <w:r w:rsidRPr="0009445C">
          <w:rPr>
            <w:rStyle w:val="Hyperlink"/>
            <w:color w:val="auto"/>
          </w:rPr>
          <w:t>www.ernst-und-sohn.de</w:t>
        </w:r>
      </w:hyperlink>
    </w:p>
    <w:p w14:paraId="63673D72" w14:textId="6288F3C0" w:rsidR="00182764" w:rsidRPr="0009445C" w:rsidRDefault="00B46D74" w:rsidP="00182764">
      <w:r w:rsidRPr="0009445C">
        <w:br w:type="column"/>
      </w:r>
    </w:p>
    <w:p w14:paraId="0AAD29DD" w14:textId="77777777" w:rsidR="00182764" w:rsidRPr="0009445C" w:rsidRDefault="00182764" w:rsidP="00182764">
      <w:r w:rsidRPr="0009445C">
        <w:t>Guideline concerned with the appraisal and restoration of building materials and structural elements in structures which are contaminated with PCP</w:t>
      </w:r>
    </w:p>
    <w:p w14:paraId="302BC8E5" w14:textId="77777777" w:rsidR="00182764" w:rsidRPr="0009445C" w:rsidRDefault="00182764" w:rsidP="00182764">
      <w:pPr>
        <w:rPr>
          <w:lang w:val="de-DE"/>
        </w:rPr>
      </w:pPr>
      <w:r w:rsidRPr="0009445C">
        <w:rPr>
          <w:lang w:val="de-DE"/>
        </w:rPr>
        <w:t>October 1996 version</w:t>
      </w:r>
    </w:p>
    <w:p w14:paraId="1AC6C938" w14:textId="77777777" w:rsidR="00182764" w:rsidRPr="0009445C" w:rsidRDefault="00182764" w:rsidP="00182764">
      <w:pPr>
        <w:rPr>
          <w:lang w:val="de-DE"/>
        </w:rPr>
      </w:pPr>
      <w:r w:rsidRPr="0009445C">
        <w:rPr>
          <w:lang w:val="de-DE"/>
        </w:rPr>
        <w:t>Mitteilungen IfBt (IfBt News) Volume 1/1997</w:t>
      </w:r>
    </w:p>
    <w:p w14:paraId="57221C85" w14:textId="77777777" w:rsidR="00182764" w:rsidRPr="0009445C" w:rsidRDefault="00182764" w:rsidP="00182764">
      <w:r w:rsidRPr="0009445C">
        <w:rPr>
          <w:lang w:val="de-DE"/>
        </w:rPr>
        <w:t xml:space="preserve">Ernst &amp; Sohn Verlag für Architektur und technische Wissenschaften GmbH &amp; Co. </w:t>
      </w:r>
      <w:r w:rsidRPr="0009445C">
        <w:t>KG</w:t>
      </w:r>
    </w:p>
    <w:p w14:paraId="52ACF67A" w14:textId="769B42D2" w:rsidR="00182764" w:rsidRPr="0009445C" w:rsidRDefault="00375ADF" w:rsidP="00182764">
      <w:hyperlink r:id="rId273" w:history="1">
        <w:r w:rsidRPr="0009445C">
          <w:rPr>
            <w:rStyle w:val="Hyperlink"/>
            <w:color w:val="auto"/>
          </w:rPr>
          <w:t>www.ernst-und-sohn.de</w:t>
        </w:r>
      </w:hyperlink>
    </w:p>
    <w:p w14:paraId="6E177186" w14:textId="77777777" w:rsidR="00B46D74" w:rsidRDefault="00B46D74" w:rsidP="00182764"/>
    <w:p w14:paraId="50789031" w14:textId="3AFBEF48" w:rsidR="00182764" w:rsidRPr="0009445C" w:rsidRDefault="00182764" w:rsidP="00182764">
      <w:r w:rsidRPr="0009445C">
        <w:t xml:space="preserve">Guideline on the manufacture and use of dry concrete and dry mortar – </w:t>
      </w:r>
      <w:proofErr w:type="spellStart"/>
      <w:r w:rsidRPr="0009445C">
        <w:t>TrBMR</w:t>
      </w:r>
      <w:proofErr w:type="spellEnd"/>
    </w:p>
    <w:p w14:paraId="3C409AE4" w14:textId="77777777" w:rsidR="00182764" w:rsidRPr="0009445C" w:rsidRDefault="00182764" w:rsidP="00182764">
      <w:pPr>
        <w:rPr>
          <w:lang w:val="de-DE"/>
        </w:rPr>
      </w:pPr>
      <w:r w:rsidRPr="0009445C">
        <w:rPr>
          <w:lang w:val="de-DE"/>
        </w:rPr>
        <w:t>June 2005 version</w:t>
      </w:r>
    </w:p>
    <w:p w14:paraId="1582F6AC" w14:textId="77777777" w:rsidR="00182764" w:rsidRPr="0009445C" w:rsidRDefault="00182764" w:rsidP="00182764">
      <w:pPr>
        <w:rPr>
          <w:lang w:val="de-DE"/>
        </w:rPr>
      </w:pPr>
      <w:r w:rsidRPr="0009445C">
        <w:rPr>
          <w:lang w:val="de-DE"/>
        </w:rPr>
        <w:t>German Committee for Reinforced Concrete - Deutscher Ausschuss für Stahlbeton e. V. (DAfStb)</w:t>
      </w:r>
    </w:p>
    <w:p w14:paraId="5C3DCFCB" w14:textId="77777777" w:rsidR="00182764" w:rsidRPr="0009445C" w:rsidRDefault="00182764" w:rsidP="00182764">
      <w:pPr>
        <w:rPr>
          <w:lang w:val="de-DE"/>
        </w:rPr>
      </w:pPr>
      <w:r w:rsidRPr="0009445C">
        <w:rPr>
          <w:lang w:val="de-DE"/>
        </w:rPr>
        <w:t>Beuth Verlag GmbH</w:t>
      </w:r>
    </w:p>
    <w:p w14:paraId="4A597823" w14:textId="0FE67279" w:rsidR="00182764" w:rsidRPr="0009445C" w:rsidRDefault="00375ADF" w:rsidP="00182764">
      <w:pPr>
        <w:rPr>
          <w:lang w:val="de-DE"/>
        </w:rPr>
      </w:pPr>
      <w:hyperlink r:id="rId274" w:history="1">
        <w:r w:rsidRPr="0009445C">
          <w:rPr>
            <w:rStyle w:val="Hyperlink"/>
            <w:color w:val="auto"/>
            <w:lang w:val="de-DE"/>
          </w:rPr>
          <w:t>www.beuth.de</w:t>
        </w:r>
      </w:hyperlink>
    </w:p>
    <w:p w14:paraId="6562A4F0" w14:textId="77777777" w:rsidR="00182764" w:rsidRPr="0009445C" w:rsidRDefault="00182764" w:rsidP="00182764">
      <w:pPr>
        <w:rPr>
          <w:lang w:val="de-DE"/>
        </w:rPr>
      </w:pPr>
    </w:p>
    <w:p w14:paraId="145E7D4E" w14:textId="77777777" w:rsidR="00182764" w:rsidRPr="0009445C" w:rsidRDefault="00182764" w:rsidP="00182764">
      <w:r w:rsidRPr="0009445C">
        <w:t>Guideline on the monitoring of wall, ceiling and roof elements for wooden frame houses built using the panel construction method as per DIN 1052 Parts 1 to 3</w:t>
      </w:r>
    </w:p>
    <w:p w14:paraId="07F9E551" w14:textId="77777777" w:rsidR="00182764" w:rsidRPr="0009445C" w:rsidRDefault="00182764" w:rsidP="00182764">
      <w:r w:rsidRPr="0009445C">
        <w:t>June 1992 version</w:t>
      </w:r>
    </w:p>
    <w:p w14:paraId="18DF0EF3" w14:textId="77777777" w:rsidR="00182764" w:rsidRPr="0009445C" w:rsidRDefault="00182764" w:rsidP="00182764">
      <w:proofErr w:type="spellStart"/>
      <w:r w:rsidRPr="0009445C">
        <w:t>Mitteilungen</w:t>
      </w:r>
      <w:proofErr w:type="spellEnd"/>
      <w:r w:rsidRPr="0009445C">
        <w:t xml:space="preserve"> </w:t>
      </w:r>
      <w:proofErr w:type="spellStart"/>
      <w:r w:rsidRPr="0009445C">
        <w:t>IfBt</w:t>
      </w:r>
      <w:proofErr w:type="spellEnd"/>
      <w:r w:rsidRPr="0009445C">
        <w:t xml:space="preserve"> (News </w:t>
      </w:r>
      <w:proofErr w:type="spellStart"/>
      <w:r w:rsidRPr="0009445C">
        <w:t>IfBt</w:t>
      </w:r>
      <w:proofErr w:type="spellEnd"/>
      <w:r w:rsidRPr="0009445C">
        <w:t xml:space="preserve"> [Institute for Structural Engineering]) Volume 1/1993</w:t>
      </w:r>
    </w:p>
    <w:p w14:paraId="404D2E6F" w14:textId="77777777" w:rsidR="00182764" w:rsidRPr="0009445C" w:rsidRDefault="00182764" w:rsidP="00182764">
      <w:r w:rsidRPr="0009445C">
        <w:rPr>
          <w:lang w:val="de-DE"/>
        </w:rPr>
        <w:t xml:space="preserve">Ernst &amp; Sohn Verlag für Architektur und technische Wissenschaften GmbH &amp; Co. </w:t>
      </w:r>
      <w:r w:rsidRPr="0009445C">
        <w:t>KG</w:t>
      </w:r>
    </w:p>
    <w:p w14:paraId="6BFB2DF7" w14:textId="3852911B" w:rsidR="00182764" w:rsidRPr="0009445C" w:rsidRDefault="00375ADF" w:rsidP="00182764">
      <w:hyperlink r:id="rId275" w:history="1">
        <w:r w:rsidRPr="0009445C">
          <w:rPr>
            <w:rStyle w:val="Hyperlink"/>
            <w:color w:val="auto"/>
          </w:rPr>
          <w:t>www.ernst-und-sohn.de</w:t>
        </w:r>
      </w:hyperlink>
    </w:p>
    <w:p w14:paraId="1E1F4E2D" w14:textId="77777777" w:rsidR="00182764" w:rsidRPr="0009445C" w:rsidRDefault="00182764" w:rsidP="00182764"/>
    <w:p w14:paraId="3206C820" w14:textId="77777777" w:rsidR="00182764" w:rsidRPr="0009445C" w:rsidRDefault="00182764" w:rsidP="00182764">
      <w:r w:rsidRPr="0009445C">
        <w:t xml:space="preserve">Guideline for standardising traffic area surfaces </w:t>
      </w:r>
      <w:proofErr w:type="spellStart"/>
      <w:r w:rsidRPr="0009445C">
        <w:t>RStO</w:t>
      </w:r>
      <w:proofErr w:type="spellEnd"/>
      <w:r w:rsidRPr="0009445C">
        <w:t xml:space="preserve"> 01</w:t>
      </w:r>
    </w:p>
    <w:p w14:paraId="49383ACF" w14:textId="77777777" w:rsidR="00182764" w:rsidRPr="0009445C" w:rsidRDefault="00182764" w:rsidP="00182764">
      <w:pPr>
        <w:rPr>
          <w:lang w:val="de-DE"/>
        </w:rPr>
      </w:pPr>
      <w:r w:rsidRPr="0009445C">
        <w:rPr>
          <w:lang w:val="de-DE"/>
        </w:rPr>
        <w:t>FGSV Verlag GmbH</w:t>
      </w:r>
    </w:p>
    <w:p w14:paraId="0D34E01C" w14:textId="4C5BFC2E" w:rsidR="00182764" w:rsidRPr="0009445C" w:rsidRDefault="00375ADF" w:rsidP="00182764">
      <w:pPr>
        <w:rPr>
          <w:lang w:val="de-DE"/>
        </w:rPr>
      </w:pPr>
      <w:hyperlink r:id="rId276" w:history="1">
        <w:r w:rsidRPr="0009445C">
          <w:rPr>
            <w:rStyle w:val="Hyperlink"/>
            <w:color w:val="auto"/>
            <w:lang w:val="de-DE"/>
          </w:rPr>
          <w:t>www.fgsv-verlag.de</w:t>
        </w:r>
      </w:hyperlink>
    </w:p>
    <w:p w14:paraId="40863B88" w14:textId="77777777" w:rsidR="00182764" w:rsidRPr="0009445C" w:rsidRDefault="00182764" w:rsidP="00182764">
      <w:pPr>
        <w:rPr>
          <w:lang w:val="de-DE"/>
        </w:rPr>
      </w:pPr>
    </w:p>
    <w:p w14:paraId="78A6B46F" w14:textId="77777777" w:rsidR="00182764" w:rsidRPr="0009445C" w:rsidRDefault="00182764" w:rsidP="00182764">
      <w:r w:rsidRPr="0009445C">
        <w:t>Guideline for wind turbines</w:t>
      </w:r>
    </w:p>
    <w:p w14:paraId="2E64F2F9" w14:textId="77777777" w:rsidR="00182764" w:rsidRPr="0009445C" w:rsidRDefault="00182764" w:rsidP="00182764">
      <w:r w:rsidRPr="0009445C">
        <w:t>Influences and proofs of stability for tower and foundation</w:t>
      </w:r>
    </w:p>
    <w:p w14:paraId="71C9FC9E" w14:textId="77777777" w:rsidR="00182764" w:rsidRPr="0009445C" w:rsidRDefault="00182764" w:rsidP="00182764">
      <w:r w:rsidRPr="0009445C">
        <w:t>October 2012 version, corrected version March 2015</w:t>
      </w:r>
    </w:p>
    <w:p w14:paraId="6CED2225"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6043E33F" w14:textId="3F42C65B" w:rsidR="00182764" w:rsidRPr="0009445C" w:rsidRDefault="00375ADF" w:rsidP="00182764">
      <w:hyperlink r:id="rId277" w:history="1">
        <w:r w:rsidRPr="0009445C">
          <w:rPr>
            <w:rStyle w:val="Hyperlink"/>
            <w:color w:val="auto"/>
          </w:rPr>
          <w:t>www.dibt.de</w:t>
        </w:r>
      </w:hyperlink>
    </w:p>
    <w:p w14:paraId="2771C0D4" w14:textId="77777777" w:rsidR="00182764" w:rsidRPr="0009445C" w:rsidRDefault="00182764" w:rsidP="00182764"/>
    <w:p w14:paraId="51FF4FCB" w14:textId="77777777" w:rsidR="00182764" w:rsidRPr="0009445C" w:rsidRDefault="00182764" w:rsidP="00182764">
      <w:pPr>
        <w:keepNext/>
      </w:pPr>
      <w:r w:rsidRPr="0009445C">
        <w:t xml:space="preserve">Guideline on automatic sliding doors in escape routes – </w:t>
      </w:r>
      <w:proofErr w:type="spellStart"/>
      <w:r w:rsidRPr="0009445C">
        <w:t>AutSchR</w:t>
      </w:r>
      <w:proofErr w:type="spellEnd"/>
    </w:p>
    <w:p w14:paraId="4AA50339" w14:textId="77777777" w:rsidR="00182764" w:rsidRPr="0009445C" w:rsidRDefault="00182764" w:rsidP="00182764">
      <w:pPr>
        <w:keepNext/>
      </w:pPr>
      <w:r w:rsidRPr="0009445C">
        <w:t>December 1997 version</w:t>
      </w:r>
    </w:p>
    <w:p w14:paraId="377991CD" w14:textId="10E66CDB"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4DDB351F" w14:textId="77777777" w:rsidR="00182764" w:rsidRPr="0009445C" w:rsidRDefault="00182764" w:rsidP="00182764">
      <w:r w:rsidRPr="0009445C">
        <w:fldChar w:fldCharType="end"/>
      </w:r>
    </w:p>
    <w:p w14:paraId="6D91C352" w14:textId="77777777" w:rsidR="00182764" w:rsidRPr="0009445C" w:rsidRDefault="00182764" w:rsidP="00182764">
      <w:r w:rsidRPr="0009445C">
        <w:t xml:space="preserve">Guideline on electrical locking systems for doors in escape routes – </w:t>
      </w:r>
      <w:proofErr w:type="spellStart"/>
      <w:r w:rsidRPr="0009445C">
        <w:t>EltVTR</w:t>
      </w:r>
      <w:proofErr w:type="spellEnd"/>
    </w:p>
    <w:p w14:paraId="0BFF118F" w14:textId="77777777" w:rsidR="00182764" w:rsidRPr="0009445C" w:rsidRDefault="00182764" w:rsidP="00182764">
      <w:r w:rsidRPr="0009445C">
        <w:t>December 1997 version</w:t>
      </w:r>
    </w:p>
    <w:p w14:paraId="53515CA9" w14:textId="32894D1E" w:rsidR="00182764" w:rsidRPr="0009445C" w:rsidRDefault="00182764" w:rsidP="00182764">
      <w:pPr>
        <w:rPr>
          <w:rStyle w:val="Hyperlink"/>
          <w:color w:val="auto"/>
        </w:rPr>
      </w:pPr>
      <w:r w:rsidRPr="0009445C">
        <w:fldChar w:fldCharType="begin"/>
      </w:r>
      <w:r w:rsidRPr="0009445C">
        <w:instrText xml:space="preserve"> HYPERLINK "https://www.is-argebau.de" </w:instrText>
      </w:r>
      <w:r w:rsidRPr="0009445C">
        <w:fldChar w:fldCharType="separate"/>
      </w:r>
      <w:r w:rsidRPr="0009445C">
        <w:rPr>
          <w:rStyle w:val="Hyperlink"/>
          <w:color w:val="auto"/>
        </w:rPr>
        <w:t>www.is-argebau.de</w:t>
      </w:r>
    </w:p>
    <w:p w14:paraId="735CA4B2" w14:textId="3F7212C9" w:rsidR="00182764" w:rsidRPr="0009445C" w:rsidRDefault="00182764" w:rsidP="00182764">
      <w:r w:rsidRPr="0009445C">
        <w:fldChar w:fldCharType="end"/>
      </w:r>
      <w:r w:rsidR="00B46D74" w:rsidRPr="0009445C">
        <w:br w:type="column"/>
      </w:r>
    </w:p>
    <w:p w14:paraId="442730AF" w14:textId="77777777" w:rsidR="00182764" w:rsidRPr="0009445C" w:rsidRDefault="00182764" w:rsidP="00182764">
      <w:r w:rsidRPr="0009445C">
        <w:t xml:space="preserve">Technical specifications/technical test regulations for construction materials for producing bridge decks on concrete with a waterproofing layer made of fluid synthetic materials </w:t>
      </w:r>
    </w:p>
    <w:p w14:paraId="2E837255" w14:textId="77777777" w:rsidR="00182764" w:rsidRPr="0009445C" w:rsidRDefault="00182764" w:rsidP="00182764">
      <w:r w:rsidRPr="0009445C">
        <w:t>(TL/TP BEL – B, Part 3)</w:t>
      </w:r>
    </w:p>
    <w:p w14:paraId="03C5E8AC" w14:textId="77777777" w:rsidR="00182764" w:rsidRPr="0009445C" w:rsidRDefault="00182764" w:rsidP="00182764">
      <w:r w:rsidRPr="0009445C">
        <w:t>Version 1995</w:t>
      </w:r>
    </w:p>
    <w:p w14:paraId="5A7BAE07" w14:textId="77777777" w:rsidR="00182764" w:rsidRPr="0009445C" w:rsidRDefault="00182764" w:rsidP="00182764">
      <w:r w:rsidRPr="0009445C">
        <w:t>Federal Ministry of Transport, Department of Road Construction</w:t>
      </w:r>
    </w:p>
    <w:p w14:paraId="55D02E70" w14:textId="77777777" w:rsidR="00182764" w:rsidRPr="0009445C" w:rsidRDefault="00182764" w:rsidP="00182764">
      <w:pPr>
        <w:rPr>
          <w:lang w:val="de-DE"/>
        </w:rPr>
      </w:pPr>
      <w:r w:rsidRPr="0009445C">
        <w:rPr>
          <w:lang w:val="de-DE"/>
        </w:rPr>
        <w:t>Verkehrsblatt-Verlag Borgmann GmbH &amp; Co KG</w:t>
      </w:r>
    </w:p>
    <w:p w14:paraId="2E926E1B" w14:textId="7E164067" w:rsidR="00182764" w:rsidRPr="0009445C" w:rsidRDefault="00375ADF" w:rsidP="00182764">
      <w:hyperlink r:id="rId278" w:history="1">
        <w:r w:rsidRPr="0009445C">
          <w:rPr>
            <w:rStyle w:val="Hyperlink"/>
            <w:color w:val="auto"/>
          </w:rPr>
          <w:t>www.verkehrsblatt.de</w:t>
        </w:r>
      </w:hyperlink>
    </w:p>
    <w:p w14:paraId="4296DF78" w14:textId="77777777" w:rsidR="00182764" w:rsidRPr="0009445C" w:rsidRDefault="00182764" w:rsidP="00182764"/>
    <w:p w14:paraId="3107DA62" w14:textId="77777777" w:rsidR="00182764" w:rsidRPr="0009445C" w:rsidRDefault="00182764" w:rsidP="00182764">
      <w:r w:rsidRPr="0009445C">
        <w:t>Technical specifications and test methods for surface protection systems (TL/TP OS)</w:t>
      </w:r>
    </w:p>
    <w:p w14:paraId="1551A8A3" w14:textId="77777777" w:rsidR="00182764" w:rsidRPr="0009445C" w:rsidRDefault="00182764" w:rsidP="00182764">
      <w:pPr>
        <w:rPr>
          <w:lang w:val="de-DE"/>
        </w:rPr>
      </w:pPr>
      <w:r w:rsidRPr="0009445C">
        <w:rPr>
          <w:lang w:val="de-DE"/>
        </w:rPr>
        <w:t>Version 1996</w:t>
      </w:r>
    </w:p>
    <w:p w14:paraId="78BF302E" w14:textId="77777777" w:rsidR="00182764" w:rsidRPr="0009445C" w:rsidRDefault="00182764" w:rsidP="00182764">
      <w:pPr>
        <w:rPr>
          <w:lang w:val="de-DE"/>
        </w:rPr>
      </w:pPr>
      <w:r w:rsidRPr="0009445C">
        <w:rPr>
          <w:lang w:val="de-DE"/>
        </w:rPr>
        <w:t>Verkehrsblatt-Verlag Borgmann GmbH &amp; Co KG</w:t>
      </w:r>
    </w:p>
    <w:p w14:paraId="59A8530A" w14:textId="5A2F728F" w:rsidR="00182764" w:rsidRPr="0009445C" w:rsidRDefault="00375ADF" w:rsidP="00182764">
      <w:hyperlink r:id="rId279" w:history="1">
        <w:r w:rsidRPr="0009445C">
          <w:rPr>
            <w:rStyle w:val="Hyperlink"/>
            <w:color w:val="auto"/>
          </w:rPr>
          <w:t>www.verkehrsblatt.de</w:t>
        </w:r>
      </w:hyperlink>
    </w:p>
    <w:p w14:paraId="29868A10" w14:textId="77777777" w:rsidR="00182764" w:rsidRPr="0009445C" w:rsidRDefault="00182764" w:rsidP="00182764"/>
    <w:p w14:paraId="296B6314" w14:textId="570394D8" w:rsidR="00182764" w:rsidRPr="0009445C" w:rsidRDefault="008676AC" w:rsidP="00182764">
      <w:r w:rsidRPr="0009445C">
        <w:t>Technical Rules for liquid gas (TRF 2012)</w:t>
      </w:r>
    </w:p>
    <w:p w14:paraId="17C4B2E3" w14:textId="77777777" w:rsidR="00182764" w:rsidRPr="0009445C" w:rsidRDefault="00182764" w:rsidP="00182764">
      <w:pPr>
        <w:rPr>
          <w:lang w:val="de-DE"/>
        </w:rPr>
      </w:pPr>
      <w:r w:rsidRPr="0009445C">
        <w:rPr>
          <w:lang w:val="de-DE"/>
        </w:rPr>
        <w:t>wvgw Wirtschafts- und Verlagsgesellschaft Gas und Wasser mbH</w:t>
      </w:r>
    </w:p>
    <w:p w14:paraId="5462871A" w14:textId="72E3B4EC" w:rsidR="00182764" w:rsidRPr="0009445C" w:rsidRDefault="00375ADF" w:rsidP="00182764">
      <w:pPr>
        <w:rPr>
          <w:rStyle w:val="Hyperlink"/>
          <w:color w:val="auto"/>
        </w:rPr>
      </w:pPr>
      <w:hyperlink r:id="rId280" w:history="1">
        <w:r w:rsidRPr="0009445C">
          <w:rPr>
            <w:rStyle w:val="Hyperlink"/>
            <w:color w:val="auto"/>
          </w:rPr>
          <w:t>shop.wvgw.de</w:t>
        </w:r>
      </w:hyperlink>
    </w:p>
    <w:p w14:paraId="25C4963A" w14:textId="77777777" w:rsidR="00182764" w:rsidRPr="0009445C" w:rsidRDefault="00182764" w:rsidP="00182764"/>
    <w:p w14:paraId="700F5FEA" w14:textId="62E5D260" w:rsidR="00182764" w:rsidRPr="0009445C" w:rsidRDefault="00182764" w:rsidP="00182764">
      <w:r w:rsidRPr="0009445C">
        <w:t>Technical Rules for Flammable Liquids (</w:t>
      </w:r>
      <w:proofErr w:type="spellStart"/>
      <w:r w:rsidRPr="0009445C">
        <w:t>TRbF</w:t>
      </w:r>
      <w:proofErr w:type="spellEnd"/>
      <w:r w:rsidRPr="0009445C">
        <w:t xml:space="preserve">) </w:t>
      </w:r>
    </w:p>
    <w:p w14:paraId="18DF8FB8" w14:textId="77777777" w:rsidR="00182764" w:rsidRPr="0009445C" w:rsidRDefault="00182764" w:rsidP="00182764">
      <w:r w:rsidRPr="0009445C">
        <w:t>UWS Environmental Management GmbH</w:t>
      </w:r>
    </w:p>
    <w:p w14:paraId="5399351F" w14:textId="42E72C6B" w:rsidR="00182764" w:rsidRPr="0009445C" w:rsidRDefault="00375ADF" w:rsidP="00182764">
      <w:pPr>
        <w:rPr>
          <w:u w:val="single"/>
        </w:rPr>
      </w:pPr>
      <w:hyperlink r:id="rId281" w:history="1">
        <w:r w:rsidRPr="0009445C">
          <w:rPr>
            <w:u w:val="single"/>
          </w:rPr>
          <w:t>www.umwelt-online.de</w:t>
        </w:r>
      </w:hyperlink>
    </w:p>
    <w:p w14:paraId="3797D7B4" w14:textId="77777777" w:rsidR="00182764" w:rsidRPr="0009445C" w:rsidRDefault="00182764" w:rsidP="00182764"/>
    <w:p w14:paraId="573AEE61" w14:textId="77777777" w:rsidR="00182764" w:rsidRPr="0009445C" w:rsidRDefault="00182764" w:rsidP="00182764">
      <w:r w:rsidRPr="0009445C">
        <w:t>Technical Rules for Gas Installations (DVGW G 600)</w:t>
      </w:r>
    </w:p>
    <w:p w14:paraId="0AD7DEDA" w14:textId="77777777" w:rsidR="00182764" w:rsidRPr="0009445C" w:rsidRDefault="00182764" w:rsidP="00182764">
      <w:pPr>
        <w:rPr>
          <w:lang w:val="de-DE"/>
        </w:rPr>
      </w:pPr>
      <w:r w:rsidRPr="0009445C">
        <w:rPr>
          <w:lang w:val="de-DE"/>
        </w:rPr>
        <w:t>September 2018 version</w:t>
      </w:r>
    </w:p>
    <w:p w14:paraId="168CFBFB" w14:textId="77777777" w:rsidR="00182764" w:rsidRPr="0009445C" w:rsidRDefault="00182764" w:rsidP="00182764">
      <w:pPr>
        <w:rPr>
          <w:lang w:val="de-DE"/>
        </w:rPr>
      </w:pPr>
      <w:r w:rsidRPr="0009445C">
        <w:rPr>
          <w:lang w:val="de-DE"/>
        </w:rPr>
        <w:t>Beuth Verlag GmbH, Wirtschafts- und Verlagsgesellschaft Gas und Wasser mbH</w:t>
      </w:r>
    </w:p>
    <w:p w14:paraId="39AB9B29" w14:textId="46A84CD9" w:rsidR="00182764" w:rsidRPr="0009445C" w:rsidRDefault="00375ADF" w:rsidP="00182764">
      <w:hyperlink r:id="rId282" w:history="1">
        <w:r w:rsidRPr="0009445C">
          <w:rPr>
            <w:rStyle w:val="Hyperlink"/>
            <w:color w:val="auto"/>
          </w:rPr>
          <w:t>ww</w:t>
        </w:r>
        <w:r w:rsidRPr="0009445C">
          <w:rPr>
            <w:rStyle w:val="Hyperlink"/>
            <w:color w:val="auto"/>
          </w:rPr>
          <w:t>w.beuth.de</w:t>
        </w:r>
      </w:hyperlink>
    </w:p>
    <w:p w14:paraId="076C389C" w14:textId="77777777" w:rsidR="00182764" w:rsidRPr="0009445C" w:rsidRDefault="00182764" w:rsidP="00182764"/>
    <w:p w14:paraId="5DC45B70" w14:textId="29224C0C" w:rsidR="00182764" w:rsidRPr="0009445C" w:rsidRDefault="00182764" w:rsidP="00182764">
      <w:r w:rsidRPr="0009445C">
        <w:t>Technical Rules for Oil Installations (</w:t>
      </w:r>
      <w:proofErr w:type="spellStart"/>
      <w:r w:rsidRPr="0009445C">
        <w:t>TRÖl</w:t>
      </w:r>
      <w:proofErr w:type="spellEnd"/>
      <w:r w:rsidRPr="0009445C">
        <w:t xml:space="preserve"> 2.1)</w:t>
      </w:r>
    </w:p>
    <w:p w14:paraId="4C8E29B9" w14:textId="1DB27F57" w:rsidR="008676AC" w:rsidRPr="0009445C" w:rsidRDefault="008676AC" w:rsidP="00182764">
      <w:pPr>
        <w:rPr>
          <w:lang w:val="de-DE"/>
        </w:rPr>
      </w:pPr>
      <w:r w:rsidRPr="0009445C">
        <w:rPr>
          <w:lang w:val="de-DE"/>
        </w:rPr>
        <w:t>Version 12/2019</w:t>
      </w:r>
    </w:p>
    <w:p w14:paraId="50F4BC51" w14:textId="77777777" w:rsidR="00182764" w:rsidRPr="0009445C" w:rsidRDefault="00182764" w:rsidP="00182764">
      <w:pPr>
        <w:rPr>
          <w:lang w:val="de-DE"/>
        </w:rPr>
      </w:pPr>
      <w:r w:rsidRPr="0009445C">
        <w:rPr>
          <w:lang w:val="de-DE"/>
        </w:rPr>
        <w:t>Institut für Wärme und Öltechnik e.V. [Institute of Heat and Oil Technology]</w:t>
      </w:r>
    </w:p>
    <w:p w14:paraId="57E94717" w14:textId="2459CFB8" w:rsidR="00182764" w:rsidRPr="0009445C" w:rsidRDefault="00375ADF" w:rsidP="00182764">
      <w:pPr>
        <w:rPr>
          <w:lang w:val="de-DE"/>
        </w:rPr>
      </w:pPr>
      <w:hyperlink r:id="rId283" w:history="1">
        <w:r w:rsidRPr="0009445C">
          <w:rPr>
            <w:rStyle w:val="Hyperlink"/>
            <w:color w:val="auto"/>
            <w:lang w:val="de-DE"/>
          </w:rPr>
          <w:t>www.zukunftsheizen.de</w:t>
        </w:r>
      </w:hyperlink>
    </w:p>
    <w:p w14:paraId="2B592B21" w14:textId="63CBEC4B" w:rsidR="00182764" w:rsidRPr="0009445C" w:rsidRDefault="00182764" w:rsidP="00182764">
      <w:pPr>
        <w:rPr>
          <w:lang w:val="de-DE"/>
        </w:rPr>
      </w:pPr>
    </w:p>
    <w:p w14:paraId="2BC7BAAE" w14:textId="77777777" w:rsidR="008676AC" w:rsidRPr="0009445C" w:rsidRDefault="008676AC" w:rsidP="008676AC">
      <w:pPr>
        <w:spacing w:line="276" w:lineRule="auto"/>
      </w:pPr>
      <w:r w:rsidRPr="0009445C">
        <w:t>Regulation on the European List of Wastes (Waste List Regulation — AVV)</w:t>
      </w:r>
    </w:p>
    <w:p w14:paraId="2851686C" w14:textId="77777777" w:rsidR="008676AC" w:rsidRPr="0009445C" w:rsidRDefault="008676AC" w:rsidP="008676AC">
      <w:pPr>
        <w:spacing w:line="276" w:lineRule="auto"/>
      </w:pPr>
      <w:r w:rsidRPr="0009445C">
        <w:t>Date of issue: 10/12/2001</w:t>
      </w:r>
    </w:p>
    <w:p w14:paraId="2134E239" w14:textId="3FF3083E" w:rsidR="008676AC" w:rsidRPr="0009445C" w:rsidRDefault="00375ADF" w:rsidP="008676AC">
      <w:hyperlink r:id="rId284" w:history="1">
        <w:r w:rsidRPr="0009445C">
          <w:rPr>
            <w:rStyle w:val="Hyperlink"/>
            <w:color w:val="auto"/>
          </w:rPr>
          <w:t>www.gesetze-im-internet.de</w:t>
        </w:r>
      </w:hyperlink>
    </w:p>
    <w:p w14:paraId="571F150F" w14:textId="77777777" w:rsidR="008676AC" w:rsidRPr="0009445C" w:rsidRDefault="008676AC" w:rsidP="00182764"/>
    <w:p w14:paraId="16D84870" w14:textId="77777777" w:rsidR="00182764" w:rsidRPr="0009445C" w:rsidRDefault="00182764" w:rsidP="00182764">
      <w:r w:rsidRPr="0009445C">
        <w:t>List of testing laboratories, inspection bodies and certification bodies according to state building regulations (PÜZ list)</w:t>
      </w:r>
    </w:p>
    <w:p w14:paraId="025FB40D" w14:textId="77777777" w:rsidR="00182764" w:rsidRPr="0009445C" w:rsidRDefault="00182764" w:rsidP="00182764">
      <w:r w:rsidRPr="0009445C">
        <w:t>German Institute for Building Technology (</w:t>
      </w:r>
      <w:proofErr w:type="spellStart"/>
      <w:r w:rsidRPr="0009445C">
        <w:t>DIBt</w:t>
      </w:r>
      <w:proofErr w:type="spellEnd"/>
      <w:r w:rsidRPr="0009445C">
        <w:t>)</w:t>
      </w:r>
    </w:p>
    <w:p w14:paraId="2C8B1584" w14:textId="53CD1943" w:rsidR="00182764" w:rsidRPr="0009445C" w:rsidRDefault="00375ADF" w:rsidP="00182764">
      <w:hyperlink r:id="rId285" w:history="1">
        <w:r w:rsidRPr="0009445C">
          <w:rPr>
            <w:rStyle w:val="Hyperlink"/>
            <w:color w:val="auto"/>
          </w:rPr>
          <w:t>www.dibt.de</w:t>
        </w:r>
      </w:hyperlink>
    </w:p>
    <w:p w14:paraId="7254FF33" w14:textId="12F420F5" w:rsidR="002F2FDB" w:rsidRPr="00B4551D" w:rsidRDefault="002F2FDB" w:rsidP="00742443">
      <w:pPr>
        <w:pStyle w:val="BRL-Funote"/>
        <w:widowControl w:val="0"/>
        <w:rPr>
          <w:sz w:val="18"/>
          <w:szCs w:val="18"/>
        </w:rPr>
      </w:pPr>
    </w:p>
    <w:sectPr w:rsidR="002F2FDB" w:rsidRPr="00B4551D" w:rsidSect="00EA14A1">
      <w:pgSz w:w="11906" w:h="16838"/>
      <w:pgMar w:top="1418" w:right="1418" w:bottom="851" w:left="1418" w:header="851" w:footer="425"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50E4" w14:textId="77777777" w:rsidR="001E6B51" w:rsidRDefault="001E6B51" w:rsidP="00A879DE">
      <w:pPr>
        <w:spacing w:line="240" w:lineRule="auto"/>
      </w:pPr>
      <w:r>
        <w:separator/>
      </w:r>
    </w:p>
  </w:endnote>
  <w:endnote w:type="continuationSeparator" w:id="0">
    <w:p w14:paraId="37C9502D" w14:textId="77777777" w:rsidR="001E6B51" w:rsidRDefault="001E6B51" w:rsidP="00A87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925" w14:textId="77777777" w:rsidR="00BA10E9" w:rsidRDefault="00BA10E9" w:rsidP="00EA78D6">
    <w:pPr>
      <w:pStyle w:val="BRL-Funote"/>
    </w:pPr>
    <w:r>
      <w:t>________</w:t>
    </w:r>
  </w:p>
  <w:p w14:paraId="23125DE2" w14:textId="77777777" w:rsidR="00BA10E9" w:rsidRDefault="00BA10E9" w:rsidP="00EA78D6">
    <w:pPr>
      <w:pStyle w:val="BRL-Funote"/>
    </w:pPr>
    <w:r>
      <w:t>1</w:t>
    </w:r>
    <w:r>
      <w:tab/>
      <w:t>According to national law</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6F3E" w14:textId="77777777" w:rsidR="00BA10E9" w:rsidRDefault="00BA10E9" w:rsidP="00EA78D6">
    <w:pPr>
      <w:pStyle w:val="BRL-Funot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D187" w14:textId="77777777" w:rsidR="00BA10E9" w:rsidRPr="002F0D47" w:rsidRDefault="00BA10E9" w:rsidP="00895B40">
    <w:pPr>
      <w:rPr>
        <w:szCs w:val="18"/>
      </w:rPr>
    </w:pPr>
    <w:r>
      <w:t>___________________</w:t>
    </w:r>
  </w:p>
  <w:p w14:paraId="4005FF7C" w14:textId="77777777" w:rsidR="00BA10E9" w:rsidRDefault="00BA10E9" w:rsidP="00895B40">
    <w:pPr>
      <w:pStyle w:val="BRL-Funote"/>
    </w:pPr>
    <w:r>
      <w:t>1</w:t>
    </w:r>
    <w:r>
      <w:tab/>
      <w:t>According to national law</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4E3A" w14:textId="77777777" w:rsidR="00BA10E9" w:rsidRPr="00C06241" w:rsidRDefault="00BA10E9" w:rsidP="00C0624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6106" w14:textId="77777777" w:rsidR="00BA10E9" w:rsidRPr="00C06241" w:rsidRDefault="00BA10E9" w:rsidP="00C0624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4A0" w14:textId="77777777" w:rsidR="00BA10E9" w:rsidRPr="00744176" w:rsidRDefault="00BA10E9" w:rsidP="0074417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F74C" w14:textId="77777777" w:rsidR="00BA10E9" w:rsidRPr="00744176" w:rsidRDefault="00BA10E9" w:rsidP="007441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A47" w14:textId="77777777" w:rsidR="00BA10E9" w:rsidRDefault="00BA10E9" w:rsidP="004C2C77">
    <w:pPr>
      <w:pStyle w:val="FootnoteText"/>
    </w:pPr>
    <w:r>
      <w:t>___________</w:t>
    </w:r>
  </w:p>
  <w:p w14:paraId="7EC5F3E5" w14:textId="77777777" w:rsidR="00BA10E9" w:rsidRPr="001A3CC5" w:rsidRDefault="00BA10E9" w:rsidP="004C2C77">
    <w:pPr>
      <w:pStyle w:val="FootnoteText"/>
      <w:rPr>
        <w:szCs w:val="16"/>
      </w:rPr>
    </w:pPr>
    <w:r>
      <w:t>1</w:t>
    </w:r>
    <w:r>
      <w:tab/>
      <w:t>According to national law</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27E2" w14:textId="77777777" w:rsidR="00BA10E9" w:rsidRDefault="00BA10E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6359"/>
      <w:tblOverlap w:val="never"/>
      <w:tblW w:w="9809" w:type="dxa"/>
      <w:tblCellMar>
        <w:left w:w="70" w:type="dxa"/>
        <w:right w:w="70" w:type="dxa"/>
      </w:tblCellMar>
      <w:tblLook w:val="0000" w:firstRow="0" w:lastRow="0" w:firstColumn="0" w:lastColumn="0" w:noHBand="0" w:noVBand="0"/>
    </w:tblPr>
    <w:tblGrid>
      <w:gridCol w:w="4856"/>
      <w:gridCol w:w="4953"/>
    </w:tblGrid>
    <w:tr w:rsidR="00BA10E9" w14:paraId="0582B3D7" w14:textId="77777777" w:rsidTr="004C2C77">
      <w:trPr>
        <w:trHeight w:val="180"/>
      </w:trPr>
      <w:tc>
        <w:tcPr>
          <w:tcW w:w="7258" w:type="dxa"/>
          <w:vAlign w:val="bottom"/>
        </w:tcPr>
        <w:p w14:paraId="3FFD9B46" w14:textId="77777777" w:rsidR="00BA10E9" w:rsidRPr="00E97C05" w:rsidRDefault="00BA10E9" w:rsidP="004C2C77">
          <w:pPr>
            <w:pStyle w:val="Footer"/>
            <w:tabs>
              <w:tab w:val="clear" w:pos="4536"/>
              <w:tab w:val="center" w:pos="-3261"/>
              <w:tab w:val="left" w:pos="9072"/>
            </w:tabs>
            <w:ind w:left="-27"/>
            <w:rPr>
              <w:rFonts w:cs="Arial"/>
              <w:sz w:val="14"/>
              <w:szCs w:val="14"/>
            </w:rPr>
          </w:pPr>
          <w:r>
            <w:rPr>
              <w:sz w:val="14"/>
            </w:rPr>
            <w:t xml:space="preserve">  </w:t>
          </w:r>
        </w:p>
      </w:tc>
      <w:tc>
        <w:tcPr>
          <w:tcW w:w="7258" w:type="dxa"/>
          <w:vAlign w:val="bottom"/>
        </w:tcPr>
        <w:p w14:paraId="7F3A9568" w14:textId="77777777" w:rsidR="00BA10E9" w:rsidRPr="00153036" w:rsidRDefault="00BA10E9" w:rsidP="004C2C77">
          <w:pPr>
            <w:pStyle w:val="Footer"/>
            <w:tabs>
              <w:tab w:val="clear" w:pos="4536"/>
              <w:tab w:val="center" w:pos="-3261"/>
              <w:tab w:val="left" w:pos="9072"/>
            </w:tabs>
            <w:ind w:left="-27"/>
            <w:jc w:val="right"/>
            <w:rPr>
              <w:rFonts w:cs="Arial"/>
              <w:sz w:val="14"/>
              <w:szCs w:val="14"/>
            </w:rPr>
          </w:pPr>
          <w:r>
            <w:rPr>
              <w:rStyle w:val="PageNumber"/>
              <w:sz w:val="14"/>
            </w:rPr>
            <w:fldChar w:fldCharType="begin"/>
          </w:r>
          <w:r>
            <w:rPr>
              <w:rStyle w:val="PageNumber"/>
              <w:sz w:val="14"/>
            </w:rPr>
            <w:instrText xml:space="preserve"> IF </w:instrText>
          </w:r>
          <w:r w:rsidRPr="00833ABA">
            <w:rPr>
              <w:rStyle w:val="PageNumber"/>
              <w:sz w:val="14"/>
            </w:rPr>
            <w:fldChar w:fldCharType="begin"/>
          </w:r>
          <w:r w:rsidRPr="00833ABA">
            <w:rPr>
              <w:rStyle w:val="PageNumber"/>
              <w:sz w:val="14"/>
            </w:rPr>
            <w:instrText xml:space="preserve"> NUMPAGES </w:instrText>
          </w:r>
          <w:r w:rsidRPr="00833ABA">
            <w:rPr>
              <w:rStyle w:val="PageNumber"/>
              <w:sz w:val="14"/>
            </w:rPr>
            <w:fldChar w:fldCharType="separate"/>
          </w:r>
          <w:r>
            <w:rPr>
              <w:rStyle w:val="PageNumber"/>
              <w:sz w:val="14"/>
            </w:rPr>
            <w:instrText>130</w:instrText>
          </w:r>
          <w:r w:rsidRPr="00833ABA">
            <w:rPr>
              <w:rStyle w:val="PageNumber"/>
              <w:sz w:val="14"/>
            </w:rPr>
            <w:fldChar w:fldCharType="end"/>
          </w:r>
          <w:r>
            <w:rPr>
              <w:rStyle w:val="PageNumber"/>
              <w:sz w:val="14"/>
            </w:rPr>
            <w:instrText xml:space="preserve"> &gt; 1 "Seite </w:instrText>
          </w:r>
          <w:r w:rsidRPr="00833ABA">
            <w:rPr>
              <w:rStyle w:val="PageNumber"/>
              <w:sz w:val="14"/>
            </w:rPr>
            <w:fldChar w:fldCharType="begin"/>
          </w:r>
          <w:r w:rsidRPr="00833ABA">
            <w:rPr>
              <w:rStyle w:val="PageNumber"/>
              <w:sz w:val="14"/>
            </w:rPr>
            <w:instrText xml:space="preserve"> PAGE </w:instrText>
          </w:r>
          <w:r w:rsidRPr="00833ABA">
            <w:rPr>
              <w:rStyle w:val="PageNumber"/>
              <w:sz w:val="14"/>
            </w:rPr>
            <w:fldChar w:fldCharType="separate"/>
          </w:r>
          <w:r>
            <w:rPr>
              <w:rStyle w:val="PageNumber"/>
              <w:sz w:val="14"/>
            </w:rPr>
            <w:instrText>23</w:instrText>
          </w:r>
          <w:r w:rsidRPr="00833ABA">
            <w:rPr>
              <w:rStyle w:val="PageNumber"/>
              <w:sz w:val="14"/>
            </w:rPr>
            <w:fldChar w:fldCharType="end"/>
          </w:r>
          <w:r>
            <w:rPr>
              <w:rStyle w:val="PageNumber"/>
              <w:sz w:val="14"/>
            </w:rPr>
            <w:instrText xml:space="preserve"> von </w:instrText>
          </w:r>
          <w:r w:rsidRPr="00833ABA">
            <w:rPr>
              <w:rStyle w:val="PageNumber"/>
              <w:sz w:val="14"/>
            </w:rPr>
            <w:fldChar w:fldCharType="begin"/>
          </w:r>
          <w:r w:rsidRPr="00833ABA">
            <w:rPr>
              <w:rStyle w:val="PageNumber"/>
              <w:sz w:val="14"/>
            </w:rPr>
            <w:instrText xml:space="preserve">  NUMPAGES </w:instrText>
          </w:r>
          <w:r w:rsidRPr="00833ABA">
            <w:rPr>
              <w:rStyle w:val="PageNumber"/>
              <w:sz w:val="14"/>
            </w:rPr>
            <w:fldChar w:fldCharType="separate"/>
          </w:r>
          <w:r>
            <w:rPr>
              <w:rStyle w:val="PageNumber"/>
              <w:sz w:val="14"/>
            </w:rPr>
            <w:instrText>130</w:instrText>
          </w:r>
          <w:r w:rsidRPr="00833ABA">
            <w:rPr>
              <w:rStyle w:val="PageNumber"/>
              <w:sz w:val="14"/>
            </w:rPr>
            <w:fldChar w:fldCharType="end"/>
          </w:r>
          <w:r>
            <w:rPr>
              <w:rStyle w:val="PageNumber"/>
              <w:sz w:val="14"/>
            </w:rPr>
            <w:instrText xml:space="preserve">" "" </w:instrText>
          </w:r>
          <w:r>
            <w:rPr>
              <w:rStyle w:val="PageNumber"/>
              <w:sz w:val="14"/>
            </w:rPr>
            <w:fldChar w:fldCharType="separate"/>
          </w:r>
          <w:proofErr w:type="spellStart"/>
          <w:r>
            <w:rPr>
              <w:rStyle w:val="PageNumber"/>
              <w:sz w:val="14"/>
            </w:rPr>
            <w:t>Seite</w:t>
          </w:r>
          <w:proofErr w:type="spellEnd"/>
          <w:r>
            <w:rPr>
              <w:rStyle w:val="PageNumber"/>
              <w:sz w:val="14"/>
            </w:rPr>
            <w:t xml:space="preserve"> 23 von 130</w:t>
          </w:r>
          <w:r>
            <w:rPr>
              <w:rStyle w:val="PageNumber"/>
              <w:sz w:val="14"/>
            </w:rPr>
            <w:fldChar w:fldCharType="end"/>
          </w:r>
        </w:p>
      </w:tc>
    </w:tr>
  </w:tbl>
  <w:p w14:paraId="0239F8BB" w14:textId="77777777" w:rsidR="00BA10E9" w:rsidRDefault="00BA10E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65EB" w14:textId="77777777" w:rsidR="00BA10E9" w:rsidRDefault="00BA10E9" w:rsidP="004C2C77">
    <w:pPr>
      <w:pStyle w:val="FootnoteText"/>
    </w:pPr>
    <w:r>
      <w:t>___________</w:t>
    </w:r>
  </w:p>
  <w:p w14:paraId="12D6EE75" w14:textId="77777777" w:rsidR="00BA10E9" w:rsidRPr="001A3CC5" w:rsidRDefault="00BA10E9" w:rsidP="004C2C77">
    <w:pPr>
      <w:pStyle w:val="FootnoteText"/>
      <w:rPr>
        <w:szCs w:val="16"/>
      </w:rPr>
    </w:pPr>
    <w:r>
      <w:t>1</w:t>
    </w:r>
    <w:r>
      <w:tab/>
      <w:t>According to national law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FEBD" w14:textId="77777777" w:rsidR="00BA10E9" w:rsidRDefault="00BA10E9" w:rsidP="00EA78D6">
    <w:pPr>
      <w:pStyle w:val="BRL-Funote"/>
    </w:pPr>
    <w:r>
      <w:t>________</w:t>
    </w:r>
  </w:p>
  <w:p w14:paraId="79FB6B74" w14:textId="77777777" w:rsidR="00BA10E9" w:rsidRDefault="00BA10E9" w:rsidP="00EA78D6">
    <w:pPr>
      <w:pStyle w:val="BRL-Funote"/>
    </w:pPr>
    <w:r>
      <w:t>1</w:t>
    </w:r>
    <w:r>
      <w:tab/>
      <w:t>According to national law</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B1F0" w14:textId="77777777" w:rsidR="00BA10E9" w:rsidRDefault="00BA10E9" w:rsidP="003D2C6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226E" w14:textId="77777777" w:rsidR="00BA10E9" w:rsidRPr="00744176" w:rsidRDefault="00BA10E9" w:rsidP="0074417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E30" w14:textId="77777777" w:rsidR="00BA10E9" w:rsidRPr="00744176" w:rsidRDefault="00BA10E9" w:rsidP="0074417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DD88" w14:textId="77777777" w:rsidR="00BA10E9" w:rsidRPr="00744176" w:rsidRDefault="00BA10E9" w:rsidP="0074417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B710" w14:textId="77777777" w:rsidR="00BA10E9" w:rsidRPr="00744176" w:rsidRDefault="00BA10E9" w:rsidP="0074417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D2B4" w14:textId="77777777" w:rsidR="00BA10E9" w:rsidRPr="00744176" w:rsidRDefault="00BA10E9" w:rsidP="00C96461">
    <w:pPr>
      <w:pStyle w:val="BRL-Funot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48C9" w14:textId="70F00CC9" w:rsidR="00BA10E9" w:rsidRPr="00851247" w:rsidRDefault="00BA10E9" w:rsidP="00E713B0">
    <w:pPr>
      <w:pStyle w:val="BRL-Funote"/>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DBB3" w14:textId="668985C6" w:rsidR="00BA10E9" w:rsidRDefault="00BA10E9" w:rsidP="00E07C4A">
    <w:pPr>
      <w:pStyle w:val="BRL-Funot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FB1B" w14:textId="254516D4" w:rsidR="00BA10E9" w:rsidRPr="00DA7502" w:rsidRDefault="00BA10E9" w:rsidP="00E07C4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5347" w14:textId="77777777" w:rsidR="00BA10E9" w:rsidRDefault="00BA10E9" w:rsidP="00B409DD">
    <w:pPr>
      <w:pStyle w:val="BRL-Funo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2B5B" w14:textId="77777777" w:rsidR="00BA10E9" w:rsidRDefault="00BA10E9" w:rsidP="00EA78D6">
    <w:pPr>
      <w:pStyle w:val="BRL-Funot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12A9" w14:textId="77777777" w:rsidR="00BA10E9" w:rsidRPr="00A63657" w:rsidRDefault="00BA10E9" w:rsidP="00B409DD">
    <w:pPr>
      <w:pStyle w:val="BRL-Funot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9945" w14:textId="77777777" w:rsidR="00BA10E9" w:rsidRPr="00395C4F" w:rsidRDefault="00BA10E9" w:rsidP="00B409DD">
    <w:pPr>
      <w:pStyle w:val="Footer"/>
    </w:pPr>
    <w:r>
      <w:rPr>
        <w:noProof/>
      </w:rPr>
      <mc:AlternateContent>
        <mc:Choice Requires="wps">
          <w:drawing>
            <wp:anchor distT="0" distB="0" distL="114300" distR="114300" simplePos="0" relativeHeight="251702272" behindDoc="0" locked="0" layoutInCell="1" allowOverlap="1" wp14:anchorId="75B6A235" wp14:editId="7A79D20C">
              <wp:simplePos x="0" y="0"/>
              <wp:positionH relativeFrom="column">
                <wp:align>right</wp:align>
              </wp:positionH>
              <wp:positionV relativeFrom="page">
                <wp:posOffset>10261600</wp:posOffset>
              </wp:positionV>
              <wp:extent cx="1044000" cy="144000"/>
              <wp:effectExtent l="0" t="0" r="3810" b="8890"/>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144000"/>
                      </a:xfrm>
                      <a:prstGeom prst="rect">
                        <a:avLst/>
                      </a:prstGeom>
                      <a:noFill/>
                      <a:ln w="9525">
                        <a:noFill/>
                        <a:miter lim="800000"/>
                        <a:headEnd/>
                        <a:tailEnd/>
                      </a:ln>
                    </wps:spPr>
                    <wps:txbx>
                      <w:txbxContent>
                        <w:p w14:paraId="76A18A7A" w14:textId="77777777" w:rsidR="00BA10E9" w:rsidRPr="00046513" w:rsidRDefault="00BA10E9" w:rsidP="00B409DD">
                          <w:pPr>
                            <w:jc w:val="right"/>
                            <w:rPr>
                              <w:sz w:val="16"/>
                            </w:rPr>
                          </w:pPr>
                          <w:r>
                            <w:rPr>
                              <w:sz w:val="16"/>
                            </w:rPr>
                            <w:t xml:space="preserve">Page </w:t>
                          </w:r>
                          <w:r w:rsidRPr="00046513">
                            <w:rPr>
                              <w:sz w:val="16"/>
                            </w:rPr>
                            <w:fldChar w:fldCharType="begin"/>
                          </w:r>
                          <w:r w:rsidRPr="00046513">
                            <w:rPr>
                              <w:sz w:val="16"/>
                            </w:rPr>
                            <w:instrText xml:space="preserve"> PAGE  \* Arabic  \* MERGEFORMAT </w:instrText>
                          </w:r>
                          <w:r w:rsidRPr="00046513">
                            <w:rPr>
                              <w:sz w:val="16"/>
                            </w:rPr>
                            <w:fldChar w:fldCharType="separate"/>
                          </w:r>
                          <w:r w:rsidRPr="00046513">
                            <w:rPr>
                              <w:sz w:val="16"/>
                            </w:rPr>
                            <w:t>4</w:t>
                          </w:r>
                          <w:r w:rsidRPr="00046513">
                            <w:rPr>
                              <w:sz w:val="16"/>
                            </w:rPr>
                            <w:fldChar w:fldCharType="end"/>
                          </w:r>
                          <w:r>
                            <w:rPr>
                              <w:sz w:val="16"/>
                            </w:rPr>
                            <w:t xml:space="preserve">of </w:t>
                          </w:r>
                          <w:r w:rsidRPr="00046513">
                            <w:rPr>
                              <w:sz w:val="16"/>
                            </w:rPr>
                            <w:fldChar w:fldCharType="begin"/>
                          </w:r>
                          <w:r w:rsidRPr="00046513">
                            <w:rPr>
                              <w:sz w:val="16"/>
                            </w:rPr>
                            <w:instrText xml:space="preserve"> DOCPROPERTY  Pages  \* MERGEFORMAT </w:instrText>
                          </w:r>
                          <w:r w:rsidRPr="00046513">
                            <w:rPr>
                              <w:sz w:val="16"/>
                            </w:rPr>
                            <w:fldChar w:fldCharType="separate"/>
                          </w:r>
                          <w:r>
                            <w:rPr>
                              <w:sz w:val="16"/>
                            </w:rPr>
                            <w:t>130</w:t>
                          </w:r>
                          <w:r w:rsidRPr="00046513">
                            <w:rPr>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6A235" id="_x0000_t202" coordsize="21600,21600" o:spt="202" path="m,l,21600r21600,l21600,xe">
              <v:stroke joinstyle="miter"/>
              <v:path gradientshapeok="t" o:connecttype="rect"/>
            </v:shapetype>
            <v:shape id="Textfeld 2" o:spid="_x0000_s1026" type="#_x0000_t202" style="position:absolute;left:0;text-align:left;margin-left:31pt;margin-top:808pt;width:82.2pt;height:11.35pt;z-index:25170227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" filled="f" stroked="f">
              <v:textbox inset="0,0,0,0">
                <w:txbxContent>
                  <w:p w14:paraId="76A18A7A" w14:textId="77777777" w:rsidR="00BA10E9" w:rsidRPr="00046513" w:rsidRDefault="00BA10E9" w:rsidP="00B409DD">
                    <w:pPr>
                      <w:jc w:val="right"/>
                      <w:rPr>
                        <w:sz w:val="16"/>
                      </w:rPr>
                    </w:pPr>
                    <w:r>
                      <w:rPr>
                        <w:sz w:val="16"/>
                      </w:rPr>
                      <w:t xml:space="preserve">Page </w:t>
                    </w:r>
                    <w:r w:rsidRPr="00046513">
                      <w:rPr>
                        <w:sz w:val="16"/>
                      </w:rPr>
                      <w:fldChar w:fldCharType="begin"/>
                    </w:r>
                    <w:r w:rsidRPr="00046513">
                      <w:rPr>
                        <w:sz w:val="16"/>
                      </w:rPr>
                      <w:instrText xml:space="preserve"> PAGE  \* Arabic  \* MERGEFORMAT </w:instrText>
                    </w:r>
                    <w:r w:rsidRPr="00046513">
                      <w:rPr>
                        <w:sz w:val="16"/>
                      </w:rPr>
                      <w:fldChar w:fldCharType="separate"/>
                    </w:r>
                    <w:r w:rsidRPr="00046513">
                      <w:rPr>
                        <w:sz w:val="16"/>
                      </w:rPr>
                      <w:t>4</w:t>
                    </w:r>
                    <w:r w:rsidRPr="00046513">
                      <w:rPr>
                        <w:sz w:val="16"/>
                      </w:rPr>
                      <w:fldChar w:fldCharType="end"/>
                    </w:r>
                    <w:r>
                      <w:rPr>
                        <w:sz w:val="16"/>
                      </w:rPr>
                      <w:t xml:space="preserve">of </w:t>
                    </w:r>
                    <w:r w:rsidRPr="00046513">
                      <w:rPr>
                        <w:sz w:val="16"/>
                      </w:rPr>
                      <w:fldChar w:fldCharType="begin"/>
                    </w:r>
                    <w:r w:rsidRPr="00046513">
                      <w:rPr>
                        <w:sz w:val="16"/>
                      </w:rPr>
                      <w:instrText xml:space="preserve"> DOCPROPERTY  Pages  \* MERGEFORMAT </w:instrText>
                    </w:r>
                    <w:r w:rsidRPr="00046513">
                      <w:rPr>
                        <w:sz w:val="16"/>
                      </w:rPr>
                      <w:fldChar w:fldCharType="separate"/>
                    </w:r>
                    <w:r>
                      <w:rPr>
                        <w:sz w:val="16"/>
                      </w:rPr>
                      <w:t>130</w:t>
                    </w:r>
                    <w:r w:rsidRPr="00046513">
                      <w:rPr>
                        <w:sz w:val="16"/>
                      </w:rPr>
                      <w:fldChar w:fldCharType="end"/>
                    </w:r>
                  </w:p>
                </w:txbxContent>
              </v:textbox>
              <w10:wrap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5ABD" w14:textId="77777777" w:rsidR="00BA10E9" w:rsidRPr="00186823" w:rsidRDefault="00BA10E9">
    <w:pPr>
      <w:pStyle w:val="Footer"/>
    </w:pPr>
    <w:r>
      <w:rPr>
        <w:noProof/>
      </w:rPr>
      <mc:AlternateContent>
        <mc:Choice Requires="wps">
          <w:drawing>
            <wp:anchor distT="0" distB="0" distL="114300" distR="114300" simplePos="0" relativeHeight="251703296" behindDoc="0" locked="0" layoutInCell="1" allowOverlap="1" wp14:anchorId="2E7C0DDF" wp14:editId="682CF30F">
              <wp:simplePos x="0" y="0"/>
              <wp:positionH relativeFrom="column">
                <wp:align>right</wp:align>
              </wp:positionH>
              <wp:positionV relativeFrom="page">
                <wp:posOffset>10261600</wp:posOffset>
              </wp:positionV>
              <wp:extent cx="1044000" cy="144000"/>
              <wp:effectExtent l="0" t="0" r="3810" b="8890"/>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144000"/>
                      </a:xfrm>
                      <a:prstGeom prst="rect">
                        <a:avLst/>
                      </a:prstGeom>
                      <a:noFill/>
                      <a:ln w="9525">
                        <a:noFill/>
                        <a:miter lim="800000"/>
                        <a:headEnd/>
                        <a:tailEnd/>
                      </a:ln>
                    </wps:spPr>
                    <wps:txbx>
                      <w:txbxContent>
                        <w:p w14:paraId="792D19AE" w14:textId="77777777" w:rsidR="00BA10E9" w:rsidRPr="00046513" w:rsidRDefault="00BA10E9" w:rsidP="00B409DD">
                          <w:pPr>
                            <w:jc w:val="right"/>
                            <w:rPr>
                              <w:sz w:val="16"/>
                            </w:rPr>
                          </w:pPr>
                          <w:r>
                            <w:rPr>
                              <w:sz w:val="16"/>
                            </w:rPr>
                            <w:t xml:space="preserve">Page </w:t>
                          </w:r>
                          <w:r w:rsidRPr="00046513">
                            <w:rPr>
                              <w:sz w:val="16"/>
                            </w:rPr>
                            <w:fldChar w:fldCharType="begin"/>
                          </w:r>
                          <w:r w:rsidRPr="00046513">
                            <w:rPr>
                              <w:sz w:val="16"/>
                            </w:rPr>
                            <w:instrText xml:space="preserve"> PAGE  \* Arabic  \* MERGEFORMAT </w:instrText>
                          </w:r>
                          <w:r w:rsidRPr="00046513">
                            <w:rPr>
                              <w:sz w:val="16"/>
                            </w:rPr>
                            <w:fldChar w:fldCharType="separate"/>
                          </w:r>
                          <w:r w:rsidRPr="00046513">
                            <w:rPr>
                              <w:sz w:val="16"/>
                            </w:rPr>
                            <w:t>4</w:t>
                          </w:r>
                          <w:r w:rsidRPr="00046513">
                            <w:rPr>
                              <w:sz w:val="16"/>
                            </w:rPr>
                            <w:fldChar w:fldCharType="end"/>
                          </w:r>
                          <w:r>
                            <w:rPr>
                              <w:sz w:val="16"/>
                            </w:rPr>
                            <w:t xml:space="preserve">of </w:t>
                          </w:r>
                          <w:r w:rsidRPr="00046513">
                            <w:rPr>
                              <w:sz w:val="16"/>
                            </w:rPr>
                            <w:fldChar w:fldCharType="begin"/>
                          </w:r>
                          <w:r w:rsidRPr="00046513">
                            <w:rPr>
                              <w:sz w:val="16"/>
                            </w:rPr>
                            <w:instrText xml:space="preserve"> DOCPROPERTY  Pages  \* MERGEFORMAT </w:instrText>
                          </w:r>
                          <w:r w:rsidRPr="00046513">
                            <w:rPr>
                              <w:sz w:val="16"/>
                            </w:rPr>
                            <w:fldChar w:fldCharType="separate"/>
                          </w:r>
                          <w:r>
                            <w:rPr>
                              <w:sz w:val="16"/>
                            </w:rPr>
                            <w:t>130</w:t>
                          </w:r>
                          <w:r w:rsidRPr="00046513">
                            <w:rPr>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C0DDF" id="_x0000_t202" coordsize="21600,21600" o:spt="202" path="m,l,21600r21600,l21600,xe">
              <v:stroke joinstyle="miter"/>
              <v:path gradientshapeok="t" o:connecttype="rect"/>
            </v:shapetype>
            <v:shape id="_x0000_s1027" type="#_x0000_t202" style="position:absolute;left:0;text-align:left;margin-left:31pt;margin-top:808pt;width:82.2pt;height:11.35pt;z-index:25170329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" filled="f" stroked="f">
              <v:textbox inset="0,0,0,0">
                <w:txbxContent>
                  <w:p w14:paraId="792D19AE" w14:textId="77777777" w:rsidR="00BA10E9" w:rsidRPr="00046513" w:rsidRDefault="00BA10E9" w:rsidP="00B409DD">
                    <w:pPr>
                      <w:jc w:val="right"/>
                      <w:rPr>
                        <w:sz w:val="16"/>
                      </w:rPr>
                    </w:pPr>
                    <w:r>
                      <w:rPr>
                        <w:sz w:val="16"/>
                      </w:rPr>
                      <w:t xml:space="preserve">Page </w:t>
                    </w:r>
                    <w:r w:rsidRPr="00046513">
                      <w:rPr>
                        <w:sz w:val="16"/>
                      </w:rPr>
                      <w:fldChar w:fldCharType="begin"/>
                    </w:r>
                    <w:r w:rsidRPr="00046513">
                      <w:rPr>
                        <w:sz w:val="16"/>
                      </w:rPr>
                      <w:instrText xml:space="preserve"> PAGE  \* Arabic  \* MERGEFORMAT </w:instrText>
                    </w:r>
                    <w:r w:rsidRPr="00046513">
                      <w:rPr>
                        <w:sz w:val="16"/>
                      </w:rPr>
                      <w:fldChar w:fldCharType="separate"/>
                    </w:r>
                    <w:r w:rsidRPr="00046513">
                      <w:rPr>
                        <w:sz w:val="16"/>
                      </w:rPr>
                      <w:t>4</w:t>
                    </w:r>
                    <w:r w:rsidRPr="00046513">
                      <w:rPr>
                        <w:sz w:val="16"/>
                      </w:rPr>
                      <w:fldChar w:fldCharType="end"/>
                    </w:r>
                    <w:r>
                      <w:rPr>
                        <w:sz w:val="16"/>
                      </w:rPr>
                      <w:t xml:space="preserve">of </w:t>
                    </w:r>
                    <w:r w:rsidRPr="00046513">
                      <w:rPr>
                        <w:sz w:val="16"/>
                      </w:rPr>
                      <w:fldChar w:fldCharType="begin"/>
                    </w:r>
                    <w:r w:rsidRPr="00046513">
                      <w:rPr>
                        <w:sz w:val="16"/>
                      </w:rPr>
                      <w:instrText xml:space="preserve"> DOCPROPERTY  Pages  \* MERGEFORMAT </w:instrText>
                    </w:r>
                    <w:r w:rsidRPr="00046513">
                      <w:rPr>
                        <w:sz w:val="16"/>
                      </w:rPr>
                      <w:fldChar w:fldCharType="separate"/>
                    </w:r>
                    <w:r>
                      <w:rPr>
                        <w:sz w:val="16"/>
                      </w:rPr>
                      <w:t>130</w:t>
                    </w:r>
                    <w:r w:rsidRPr="00046513">
                      <w:rPr>
                        <w:sz w:val="16"/>
                      </w:rPr>
                      <w:fldChar w:fldCharType="end"/>
                    </w:r>
                  </w:p>
                </w:txbxContent>
              </v:textbox>
              <w10:wrap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3AFE" w14:textId="77777777" w:rsidR="00BA10E9" w:rsidRPr="00744176" w:rsidRDefault="00BA10E9" w:rsidP="00C96461">
    <w:pPr>
      <w:pStyle w:val="BRL-Funot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462B" w14:textId="77777777" w:rsidR="00BA10E9" w:rsidRPr="00F10951" w:rsidRDefault="00BA10E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F538" w14:textId="77777777" w:rsidR="00BA10E9" w:rsidRDefault="00BA10E9" w:rsidP="00044502">
    <w:pPr>
      <w:pStyle w:val="BRL-Funote"/>
    </w:pPr>
    <w:r>
      <w:t>1</w:t>
    </w:r>
    <w:r>
      <w:tab/>
      <w:t>Implemented in Germany by DIN EN 15435:2008-10.</w:t>
    </w:r>
  </w:p>
  <w:p w14:paraId="50133F42" w14:textId="77777777" w:rsidR="00BA10E9" w:rsidRDefault="00BA10E9" w:rsidP="00044502">
    <w:pPr>
      <w:pStyle w:val="BRL-Funote"/>
    </w:pPr>
    <w:r>
      <w:t>2</w:t>
    </w:r>
    <w:r>
      <w:tab/>
      <w:t>Implemented in Germany by DIN EN 15498:2008-08.</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A471" w14:textId="77777777" w:rsidR="00BA10E9" w:rsidRPr="00644264" w:rsidRDefault="00BA10E9" w:rsidP="0004450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3FD" w14:textId="77777777" w:rsidR="00BA10E9" w:rsidRDefault="00BA10E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A551" w14:textId="77777777" w:rsidR="00BA10E9" w:rsidRPr="00D21D74" w:rsidRDefault="00BA10E9" w:rsidP="0004450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E022" w14:textId="77777777" w:rsidR="00BA10E9" w:rsidRPr="00744176" w:rsidRDefault="00BA10E9" w:rsidP="00C96461">
    <w:pPr>
      <w:pStyle w:val="BRL-Funo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877"/>
      <w:tblOverlap w:val="never"/>
      <w:tblW w:w="0" w:type="auto"/>
      <w:tblCellMar>
        <w:left w:w="0" w:type="dxa"/>
        <w:right w:w="0" w:type="dxa"/>
      </w:tblCellMar>
      <w:tblLook w:val="04A0" w:firstRow="1" w:lastRow="0" w:firstColumn="1" w:lastColumn="0" w:noHBand="0" w:noVBand="1"/>
    </w:tblPr>
    <w:tblGrid>
      <w:gridCol w:w="9070"/>
    </w:tblGrid>
    <w:tr w:rsidR="00BA10E9" w:rsidRPr="002D4EFA" w14:paraId="26A4666B" w14:textId="77777777" w:rsidTr="007D3F4C">
      <w:trPr>
        <w:hidden/>
      </w:trPr>
      <w:tc>
        <w:tcPr>
          <w:tcW w:w="9070" w:type="dxa"/>
          <w:shd w:val="clear" w:color="auto" w:fill="auto"/>
        </w:tcPr>
        <w:p w14:paraId="43F199C1" w14:textId="77777777" w:rsidR="00BA10E9" w:rsidRPr="002D4EFA" w:rsidRDefault="00BA10E9" w:rsidP="007D3F4C">
          <w:pPr>
            <w:pStyle w:val="Footer"/>
            <w:numPr>
              <w:ilvl w:val="0"/>
              <w:numId w:val="11"/>
            </w:numPr>
            <w:spacing w:line="240" w:lineRule="auto"/>
            <w:jc w:val="right"/>
            <w:rPr>
              <w:sz w:val="24"/>
              <w:szCs w:val="24"/>
            </w:rPr>
          </w:pPr>
          <w:r w:rsidRPr="002D4EFA">
            <w:rPr>
              <w:vanish/>
              <w:sz w:val="24"/>
            </w:rPr>
            <w:fldChar w:fldCharType="begin"/>
          </w:r>
          <w:r w:rsidRPr="002D4EFA">
            <w:rPr>
              <w:vanish/>
              <w:sz w:val="24"/>
            </w:rPr>
            <w:instrText>PAGE   \* MERGEFORMAT</w:instrText>
          </w:r>
          <w:r w:rsidRPr="002D4EFA">
            <w:rPr>
              <w:vanish/>
              <w:sz w:val="24"/>
            </w:rPr>
            <w:fldChar w:fldCharType="separate"/>
          </w:r>
          <w:r w:rsidRPr="002D4EFA">
            <w:rPr>
              <w:vanish/>
              <w:sz w:val="24"/>
            </w:rPr>
            <w:t>3</w:t>
          </w:r>
          <w:r w:rsidRPr="002D4EFA">
            <w:rPr>
              <w:vanish/>
              <w:sz w:val="24"/>
            </w:rPr>
            <w:fldChar w:fldCharType="end"/>
          </w:r>
        </w:p>
      </w:tc>
    </w:tr>
  </w:tbl>
  <w:p w14:paraId="0BF9E087" w14:textId="77777777" w:rsidR="00BA10E9" w:rsidRDefault="00BA10E9" w:rsidP="007D3F4C">
    <w:pPr>
      <w:pStyle w:val="BRL-Funote"/>
    </w:pPr>
    <w:r>
      <w:t>__________</w:t>
    </w:r>
  </w:p>
  <w:p w14:paraId="0C2763BA" w14:textId="77777777" w:rsidR="00BA10E9" w:rsidRPr="003E67A8" w:rsidRDefault="00BA10E9" w:rsidP="007D3F4C">
    <w:pPr>
      <w:pStyle w:val="BRL-Funote"/>
    </w:pPr>
    <w:r>
      <w:t>1</w:t>
    </w:r>
    <w:r>
      <w:tab/>
      <w:t>According to national law</w:t>
    </w:r>
  </w:p>
  <w:p w14:paraId="5E299163" w14:textId="77777777" w:rsidR="00BA10E9" w:rsidRDefault="00BA10E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7627" w14:textId="77777777" w:rsidR="00BA10E9" w:rsidRPr="00744176" w:rsidRDefault="00BA10E9" w:rsidP="00C96461">
    <w:pPr>
      <w:pStyle w:val="BRL-Funot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F2AC" w14:textId="77777777" w:rsidR="00BA10E9" w:rsidRDefault="00BA10E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1161" w14:textId="77777777" w:rsidR="00BA10E9" w:rsidRDefault="00BA10E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2094" w14:textId="77777777" w:rsidR="00BA10E9" w:rsidRPr="00744176" w:rsidRDefault="00BA10E9" w:rsidP="00C96461">
    <w:pPr>
      <w:pStyle w:val="BRL-Funot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A70" w14:textId="77777777" w:rsidR="00BA10E9" w:rsidRDefault="00BA10E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32C9" w14:textId="40A77DE4" w:rsidR="00BA10E9" w:rsidRDefault="00BA10E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2FE7" w14:textId="551FD126" w:rsidR="00BA10E9" w:rsidRDefault="00BA10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3E3A" w14:textId="7B339C4F" w:rsidR="00BA10E9" w:rsidRDefault="00BA10E9" w:rsidP="007D3F4C">
    <w:r>
      <w:t>_______________________</w:t>
    </w:r>
  </w:p>
  <w:p w14:paraId="40C6F111" w14:textId="77777777" w:rsidR="00BA10E9" w:rsidRPr="00DC2B92" w:rsidRDefault="00BA10E9" w:rsidP="007D3F4C">
    <w:pPr>
      <w:pStyle w:val="Brief-Fuzeile"/>
      <w:tabs>
        <w:tab w:val="left" w:pos="426"/>
      </w:tabs>
      <w:rPr>
        <w:sz w:val="16"/>
        <w:szCs w:val="16"/>
      </w:rPr>
    </w:pPr>
    <w:r>
      <w:rPr>
        <w:sz w:val="16"/>
      </w:rPr>
      <w:t>1</w:t>
    </w:r>
    <w:r>
      <w:rPr>
        <w:sz w:val="16"/>
      </w:rPr>
      <w:tab/>
      <w:t>According to national law</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0D49" w14:textId="5E99136B" w:rsidR="00BA10E9" w:rsidRDefault="00BA10E9" w:rsidP="007D3F4C">
    <w:pPr>
      <w:pStyle w:val="BRL-Funote"/>
    </w:pPr>
    <w:r>
      <w:t>________</w:t>
    </w:r>
  </w:p>
  <w:p w14:paraId="01A071FB" w14:textId="77777777" w:rsidR="00BA10E9" w:rsidRDefault="00BA10E9" w:rsidP="007D3F4C">
    <w:pPr>
      <w:pStyle w:val="BRL-Funote"/>
    </w:pPr>
    <w:r>
      <w:t>1</w:t>
    </w:r>
    <w:r>
      <w:tab/>
      <w:t>According to national law</w:t>
    </w:r>
  </w:p>
  <w:p w14:paraId="0341501A" w14:textId="77777777" w:rsidR="00BA10E9" w:rsidRPr="002C058E" w:rsidRDefault="00BA10E9" w:rsidP="007D3F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31EC" w14:textId="06008FCB" w:rsidR="00BA10E9" w:rsidRDefault="00BA10E9" w:rsidP="007D3F4C">
    <w:pPr>
      <w:pStyle w:val="BRL-Funote"/>
    </w:pPr>
    <w:r>
      <w:t>________</w:t>
    </w:r>
  </w:p>
  <w:p w14:paraId="324F0EFD" w14:textId="77777777" w:rsidR="00BA10E9" w:rsidRDefault="00BA10E9" w:rsidP="007D3F4C">
    <w:pPr>
      <w:pStyle w:val="BRL-Funote"/>
    </w:pPr>
    <w:r>
      <w:t>1</w:t>
    </w:r>
    <w:r>
      <w:tab/>
      <w:t>According to national law</w:t>
    </w:r>
  </w:p>
  <w:p w14:paraId="1DFEDB1A" w14:textId="77777777" w:rsidR="00BA10E9" w:rsidRDefault="00BA10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B5B" w14:textId="4475A963" w:rsidR="00BA10E9" w:rsidRPr="002C058E" w:rsidRDefault="00BA10E9" w:rsidP="007D3F4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826A" w14:textId="30DA5EDA" w:rsidR="00BA10E9" w:rsidRDefault="00BA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8F66" w14:textId="77777777" w:rsidR="001E6B51" w:rsidRDefault="001E6B51" w:rsidP="00A879DE">
      <w:pPr>
        <w:spacing w:line="240" w:lineRule="auto"/>
      </w:pPr>
      <w:r>
        <w:separator/>
      </w:r>
    </w:p>
  </w:footnote>
  <w:footnote w:type="continuationSeparator" w:id="0">
    <w:p w14:paraId="7D81C3DC" w14:textId="77777777" w:rsidR="001E6B51" w:rsidRDefault="001E6B51" w:rsidP="00A879DE">
      <w:pPr>
        <w:spacing w:line="240" w:lineRule="auto"/>
      </w:pPr>
      <w:r>
        <w:continuationSeparator/>
      </w:r>
    </w:p>
  </w:footnote>
  <w:footnote w:id="1">
    <w:p w14:paraId="5CCD1B6E" w14:textId="77777777" w:rsidR="00E47197" w:rsidRPr="00E47197" w:rsidRDefault="00E47197" w:rsidP="00E47197">
      <w:pPr>
        <w:pStyle w:val="FootnoteText"/>
        <w:rPr>
          <w:rFonts w:ascii="Times New Roman" w:hAnsi="Times New Roman"/>
          <w:sz w:val="18"/>
          <w:szCs w:val="20"/>
        </w:rPr>
      </w:pPr>
      <w:r>
        <w:rPr>
          <w:rStyle w:val="FootnoteReference"/>
        </w:rPr>
        <w:footnoteRef/>
      </w:r>
      <w:r>
        <w:t xml:space="preserve"> </w:t>
      </w:r>
      <w:r>
        <w:rPr>
          <w:rFonts w:ascii="Times New Roman" w:hAnsi="Times New Roman"/>
          <w:sz w:val="18"/>
        </w:rPr>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p w14:paraId="3828D455" w14:textId="7169AA07" w:rsidR="00E47197" w:rsidRDefault="00E47197">
      <w:pPr>
        <w:pStyle w:val="FootnoteText"/>
      </w:pPr>
    </w:p>
  </w:footnote>
  <w:footnote w:id="2">
    <w:p w14:paraId="5D336778" w14:textId="77777777" w:rsidR="00BA10E9" w:rsidRPr="00E21B3B" w:rsidRDefault="00BA10E9" w:rsidP="007D3F4C">
      <w:pPr>
        <w:pStyle w:val="FootnoteText"/>
        <w:spacing w:line="240" w:lineRule="auto"/>
        <w:rPr>
          <w:rStyle w:val="FootnoteReference"/>
        </w:rPr>
      </w:pPr>
      <w:r>
        <w:rPr>
          <w:rStyle w:val="FootnoteReference"/>
        </w:rPr>
        <w:t>1</w:t>
      </w:r>
      <w:r>
        <w:rPr>
          <w:rStyle w:val="FootnoteReference"/>
        </w:rPr>
        <w:tab/>
        <w:t>According to national law</w:t>
      </w:r>
    </w:p>
  </w:footnote>
  <w:footnote w:id="3">
    <w:p w14:paraId="18155078" w14:textId="77777777" w:rsidR="00BA10E9" w:rsidRPr="00E21B3B" w:rsidRDefault="00BA10E9" w:rsidP="007D3F4C">
      <w:pPr>
        <w:pStyle w:val="FootnoteText"/>
        <w:spacing w:line="240" w:lineRule="auto"/>
        <w:ind w:left="709" w:hanging="709"/>
        <w:rPr>
          <w:rStyle w:val="FootnoteReference"/>
        </w:rPr>
      </w:pPr>
      <w:r>
        <w:rPr>
          <w:rStyle w:val="FootnoteReference"/>
        </w:rPr>
        <w:t>2</w:t>
      </w:r>
      <w:r>
        <w:rPr>
          <w:rStyle w:val="FootnoteReference"/>
        </w:rPr>
        <w:tab/>
        <w:t>For building regulations requirements in this Technical Building Regulation, a deviation pursuant to § 85a Section 1 sentence 3 MBO is excluded; a deviation from requirements under building regulations can only be considered under § 67 MBO. § 16a Para. 2 and § 17(1) MBO are not affected.</w:t>
      </w:r>
    </w:p>
  </w:footnote>
  <w:footnote w:id="4">
    <w:p w14:paraId="04BCD853" w14:textId="77777777" w:rsidR="00BA10E9" w:rsidRPr="00E21B3B" w:rsidRDefault="00BA10E9" w:rsidP="007D3F4C">
      <w:pPr>
        <w:pStyle w:val="FootnoteText"/>
        <w:spacing w:line="240" w:lineRule="auto"/>
        <w:rPr>
          <w:rStyle w:val="FootnoteReference"/>
        </w:rPr>
      </w:pPr>
      <w:r>
        <w:rPr>
          <w:rStyle w:val="FootnoteReference"/>
        </w:rPr>
        <w:t xml:space="preserve">4 </w:t>
      </w:r>
      <w:r>
        <w:rPr>
          <w:rStyle w:val="FootnoteReference"/>
        </w:rPr>
        <w:tab/>
        <w:t>Regulations for the fulfilment of other basic requirements for structural works must be observed.</w:t>
      </w:r>
    </w:p>
  </w:footnote>
  <w:footnote w:id="5">
    <w:p w14:paraId="5BC39BA0" w14:textId="77777777" w:rsidR="00BA10E9" w:rsidRPr="002C058E" w:rsidRDefault="00BA10E9" w:rsidP="007D3F4C">
      <w:pPr>
        <w:pStyle w:val="FootnoteText"/>
        <w:spacing w:line="240" w:lineRule="auto"/>
        <w:ind w:left="709" w:hanging="709"/>
        <w:rPr>
          <w:rStyle w:val="FootnoteReference"/>
        </w:rPr>
      </w:pPr>
      <w:r>
        <w:rPr>
          <w:rStyle w:val="FootnoteReference"/>
        </w:rPr>
        <w:t xml:space="preserve">1 </w:t>
      </w:r>
      <w:r>
        <w:rPr>
          <w:rStyle w:val="FootnoteReference"/>
        </w:rPr>
        <w:tab/>
        <w:t>According to national law</w:t>
      </w:r>
    </w:p>
  </w:footnote>
  <w:footnote w:id="6">
    <w:p w14:paraId="7A364128" w14:textId="77777777" w:rsidR="00BA10E9" w:rsidRPr="002C058E" w:rsidRDefault="00BA10E9" w:rsidP="007D3F4C">
      <w:pPr>
        <w:pStyle w:val="FootnoteText"/>
        <w:spacing w:line="240" w:lineRule="auto"/>
        <w:ind w:left="709" w:hanging="709"/>
        <w:rPr>
          <w:rStyle w:val="FootnoteReference"/>
        </w:rPr>
      </w:pPr>
      <w:r>
        <w:rPr>
          <w:rStyle w:val="FootnoteReference"/>
        </w:rPr>
        <w:t xml:space="preserve">2 </w:t>
      </w:r>
      <w:r>
        <w:rPr>
          <w:rStyle w:val="FootnoteReference"/>
        </w:rPr>
        <w:tab/>
        <w:t>For building inspection requirements in this Technical Building Regulation, a deviation pursuant to § 85a Section 1 sentence 3 MBO is excluded; a deviation from building inspection requirements is permitted only in accordance with § 67 MBO. § 16a Para. 2 and § 17(1) MBO are not affected.</w:t>
      </w:r>
    </w:p>
  </w:footnote>
  <w:footnote w:id="7">
    <w:p w14:paraId="0E6E9B4A" w14:textId="77777777" w:rsidR="00BA10E9" w:rsidRPr="002C058E" w:rsidRDefault="00BA10E9" w:rsidP="007D3F4C">
      <w:pPr>
        <w:pStyle w:val="FootnoteText"/>
        <w:spacing w:line="240" w:lineRule="auto"/>
        <w:ind w:left="709" w:hanging="709"/>
        <w:rPr>
          <w:rStyle w:val="FootnoteReference"/>
        </w:rPr>
      </w:pPr>
      <w:r>
        <w:rPr>
          <w:rStyle w:val="FootnoteReference"/>
        </w:rPr>
        <w:t xml:space="preserve">4 </w:t>
      </w:r>
      <w:r>
        <w:rPr>
          <w:rStyle w:val="FootnoteReference"/>
        </w:rPr>
        <w:tab/>
        <w:t>Regulations for the fulfilment of other basic requirements for structural works must be observed.</w:t>
      </w:r>
    </w:p>
  </w:footnote>
  <w:footnote w:id="8">
    <w:p w14:paraId="44480DD2" w14:textId="77777777" w:rsidR="00BA10E9" w:rsidRPr="00D12C4F" w:rsidRDefault="00BA10E9">
      <w:pPr>
        <w:pStyle w:val="FootnoteText"/>
        <w:rPr>
          <w:rStyle w:val="FootnoteReference"/>
        </w:rPr>
      </w:pPr>
      <w:r>
        <w:rPr>
          <w:rStyle w:val="FootnoteReference"/>
        </w:rPr>
        <w:t xml:space="preserve">10 </w:t>
      </w:r>
      <w:r>
        <w:rPr>
          <w:rStyle w:val="FootnoteReference"/>
        </w:rPr>
        <w:tab/>
        <w:t>This chapter does not apply in the Free State of Bavaria</w:t>
      </w:r>
    </w:p>
  </w:footnote>
  <w:footnote w:id="9">
    <w:p w14:paraId="2CBB336D" w14:textId="47FDEA75" w:rsidR="00BA10E9" w:rsidRDefault="00BA10E9">
      <w:pPr>
        <w:pStyle w:val="FootnoteText"/>
      </w:pPr>
      <w:r>
        <w:rPr>
          <w:rStyle w:val="FootnoteReference"/>
        </w:rPr>
        <w:footnoteRef/>
      </w:r>
      <w:r>
        <w:t xml:space="preserve"> According to national law</w:t>
      </w:r>
    </w:p>
  </w:footnote>
  <w:footnote w:id="10">
    <w:p w14:paraId="5B14B79F" w14:textId="77777777" w:rsidR="00BA10E9" w:rsidRDefault="00BA10E9" w:rsidP="00E713B0">
      <w:pPr>
        <w:pStyle w:val="FootnoteText"/>
      </w:pPr>
      <w:r>
        <w:rPr>
          <w:rStyle w:val="FootnoteReference"/>
        </w:rPr>
        <w:footnoteRef/>
      </w:r>
      <w:r>
        <w:t>Implemented in Germany by DIN EN 438-7:2005-04.</w:t>
      </w:r>
    </w:p>
  </w:footnote>
  <w:footnote w:id="11">
    <w:p w14:paraId="44D532DE" w14:textId="77777777" w:rsidR="00BA10E9" w:rsidRDefault="00BA10E9" w:rsidP="00E713B0">
      <w:pPr>
        <w:pStyle w:val="FootnoteText"/>
      </w:pPr>
      <w:r>
        <w:rPr>
          <w:rStyle w:val="FootnoteReference"/>
        </w:rPr>
        <w:footnoteRef/>
      </w:r>
      <w:r>
        <w:t xml:space="preserve"> Implemented in Germany by DIN EN 13162:2015-04.</w:t>
      </w:r>
    </w:p>
  </w:footnote>
  <w:footnote w:id="12">
    <w:p w14:paraId="420D3BE6" w14:textId="77777777" w:rsidR="00BA10E9" w:rsidRDefault="00BA10E9" w:rsidP="00E713B0">
      <w:pPr>
        <w:pStyle w:val="FootnoteText"/>
      </w:pPr>
      <w:r>
        <w:rPr>
          <w:rStyle w:val="FootnoteReference"/>
        </w:rPr>
        <w:footnoteRef/>
      </w:r>
      <w:r>
        <w:t xml:space="preserve"> Implemented in Germany by DIN EN 13168:2015-04.</w:t>
      </w:r>
    </w:p>
  </w:footnote>
  <w:footnote w:id="13">
    <w:p w14:paraId="10BFCAD0" w14:textId="77777777" w:rsidR="00BA10E9" w:rsidRDefault="00BA10E9" w:rsidP="00E713B0">
      <w:pPr>
        <w:pStyle w:val="FootnoteText"/>
      </w:pPr>
      <w:r>
        <w:rPr>
          <w:rStyle w:val="FootnoteReference"/>
        </w:rPr>
        <w:footnoteRef/>
      </w:r>
      <w:r>
        <w:t xml:space="preserve"> Implemented in Germany by DIN EN 13170:2015-04.</w:t>
      </w:r>
    </w:p>
  </w:footnote>
  <w:footnote w:id="14">
    <w:p w14:paraId="28D44264" w14:textId="77777777" w:rsidR="00BA10E9" w:rsidRDefault="00BA10E9" w:rsidP="00E713B0">
      <w:pPr>
        <w:pStyle w:val="FootnoteText"/>
      </w:pPr>
      <w:r>
        <w:rPr>
          <w:rStyle w:val="FootnoteReference"/>
        </w:rPr>
        <w:footnoteRef/>
      </w:r>
      <w:r>
        <w:t xml:space="preserve"> Implemented in Germany by DIN EN 13171:2015-04.</w:t>
      </w:r>
    </w:p>
  </w:footnote>
  <w:footnote w:id="15">
    <w:p w14:paraId="7203ABF9" w14:textId="77777777" w:rsidR="00BA10E9" w:rsidRDefault="00BA10E9" w:rsidP="00E713B0">
      <w:pPr>
        <w:pStyle w:val="FootnoteText"/>
      </w:pPr>
      <w:r>
        <w:rPr>
          <w:rStyle w:val="FootnoteReference"/>
        </w:rPr>
        <w:footnoteRef/>
      </w:r>
      <w:r>
        <w:t xml:space="preserve"> Implemented in Germany by DIN EN 13950:2014-09.</w:t>
      </w:r>
    </w:p>
  </w:footnote>
  <w:footnote w:id="16">
    <w:p w14:paraId="11E971C3" w14:textId="77777777" w:rsidR="00BA10E9" w:rsidRDefault="00BA10E9" w:rsidP="00E713B0">
      <w:pPr>
        <w:pStyle w:val="FootnoteText"/>
      </w:pPr>
      <w:r>
        <w:rPr>
          <w:rStyle w:val="FootnoteReference"/>
        </w:rPr>
        <w:footnoteRef/>
      </w:r>
      <w:r>
        <w:t xml:space="preserve"> Implemented in Germany by DIN EN 13964:2014-08.</w:t>
      </w:r>
    </w:p>
  </w:footnote>
  <w:footnote w:id="17">
    <w:p w14:paraId="43BDF485" w14:textId="77777777" w:rsidR="00BA10E9" w:rsidRDefault="00BA10E9" w:rsidP="00E713B0">
      <w:pPr>
        <w:pStyle w:val="FootnoteText"/>
      </w:pPr>
      <w:r>
        <w:rPr>
          <w:rStyle w:val="FootnoteReference"/>
        </w:rPr>
        <w:footnoteRef/>
      </w:r>
      <w:r>
        <w:t xml:space="preserve"> Implemented in Germany by DIN EN 13986:2015-06.</w:t>
      </w:r>
    </w:p>
  </w:footnote>
  <w:footnote w:id="18">
    <w:p w14:paraId="695A725F" w14:textId="77777777" w:rsidR="00BA10E9" w:rsidRDefault="00BA10E9" w:rsidP="00E713B0">
      <w:pPr>
        <w:pStyle w:val="FootnoteText"/>
      </w:pPr>
      <w:r>
        <w:rPr>
          <w:rStyle w:val="FootnoteReference"/>
        </w:rPr>
        <w:footnoteRef/>
      </w:r>
      <w:r>
        <w:t>Implemented in Germany by DIN EN 14064-1:2010-06.</w:t>
      </w:r>
    </w:p>
  </w:footnote>
  <w:footnote w:id="19">
    <w:p w14:paraId="4DE2A178" w14:textId="77777777" w:rsidR="00BA10E9" w:rsidRDefault="00BA10E9" w:rsidP="00E713B0">
      <w:pPr>
        <w:pStyle w:val="FootnoteText"/>
      </w:pPr>
      <w:r>
        <w:rPr>
          <w:rStyle w:val="FootnoteReference"/>
        </w:rPr>
        <w:footnoteRef/>
      </w:r>
      <w:r>
        <w:t xml:space="preserve"> Implemented in Germany by DIN EN 14190:2014-09.</w:t>
      </w:r>
    </w:p>
  </w:footnote>
  <w:footnote w:id="20">
    <w:p w14:paraId="0A595535" w14:textId="77777777" w:rsidR="00BA10E9" w:rsidRDefault="00BA10E9" w:rsidP="00E713B0">
      <w:pPr>
        <w:pStyle w:val="FootnoteText"/>
      </w:pPr>
      <w:r>
        <w:rPr>
          <w:rStyle w:val="FootnoteReference"/>
        </w:rPr>
        <w:footnoteRef/>
      </w:r>
      <w:r>
        <w:t xml:space="preserve"> Implemented in Germany by DIN EN 14303:2013-04.</w:t>
      </w:r>
    </w:p>
  </w:footnote>
  <w:footnote w:id="21">
    <w:p w14:paraId="20269937" w14:textId="77777777" w:rsidR="00BA10E9" w:rsidRDefault="00BA10E9" w:rsidP="00E713B0">
      <w:pPr>
        <w:pStyle w:val="FootnoteText"/>
      </w:pPr>
      <w:r>
        <w:rPr>
          <w:rStyle w:val="FootnoteReference"/>
        </w:rPr>
        <w:footnoteRef/>
      </w:r>
      <w:r>
        <w:t>Implemented in Germany by DIN EN 15037-4:2013-08.</w:t>
      </w:r>
    </w:p>
  </w:footnote>
  <w:footnote w:id="22">
    <w:p w14:paraId="03D086FC" w14:textId="77777777" w:rsidR="00BA10E9" w:rsidRDefault="00BA10E9" w:rsidP="00E713B0">
      <w:pPr>
        <w:pStyle w:val="FootnoteText"/>
      </w:pPr>
      <w:r>
        <w:rPr>
          <w:rStyle w:val="FootnoteReference"/>
        </w:rPr>
        <w:footnoteRef/>
      </w:r>
      <w:r>
        <w:t xml:space="preserve"> Implemented in Germany by DIN EN 15498:2008-08.</w:t>
      </w:r>
    </w:p>
  </w:footnote>
  <w:footnote w:id="23">
    <w:p w14:paraId="71D72745" w14:textId="77777777" w:rsidR="00BA10E9" w:rsidRDefault="00BA10E9" w:rsidP="00E713B0">
      <w:pPr>
        <w:pStyle w:val="FootnoteText"/>
      </w:pPr>
      <w:r>
        <w:rPr>
          <w:rStyle w:val="FootnoteReference"/>
        </w:rPr>
        <w:footnoteRef/>
      </w:r>
      <w:r>
        <w:t xml:space="preserve"> Implemented in Germany by DIN EN 50575:2017-02.</w:t>
      </w:r>
    </w:p>
  </w:footnote>
  <w:footnote w:id="24">
    <w:p w14:paraId="1836097F" w14:textId="04091B4B" w:rsidR="00BA10E9" w:rsidRDefault="00BA10E9">
      <w:pPr>
        <w:pStyle w:val="FootnoteText"/>
      </w:pPr>
      <w:r>
        <w:rPr>
          <w:rStyle w:val="FootnoteReference"/>
        </w:rPr>
        <w:footnoteRef/>
      </w:r>
      <w:r>
        <w:t xml:space="preserve"> Implemented in Germany by DIN EN 492:2018-07</w:t>
      </w:r>
    </w:p>
  </w:footnote>
  <w:footnote w:id="25">
    <w:p w14:paraId="660A64F8" w14:textId="77777777" w:rsidR="00BA10E9" w:rsidRDefault="00BA10E9" w:rsidP="00E713B0">
      <w:pPr>
        <w:pStyle w:val="FootnoteText"/>
      </w:pPr>
      <w:r>
        <w:rPr>
          <w:rStyle w:val="FootnoteReference"/>
        </w:rPr>
        <w:footnoteRef/>
      </w:r>
      <w:r>
        <w:t xml:space="preserve"> Implemented in Germany by DIN EN 494:2015-12.</w:t>
      </w:r>
    </w:p>
  </w:footnote>
  <w:footnote w:id="26">
    <w:p w14:paraId="37D0754E" w14:textId="77777777" w:rsidR="00BA10E9" w:rsidRDefault="00BA10E9" w:rsidP="00E713B0">
      <w:pPr>
        <w:pStyle w:val="FootnoteText"/>
      </w:pPr>
      <w:r>
        <w:rPr>
          <w:rStyle w:val="FootnoteReference"/>
        </w:rPr>
        <w:footnoteRef/>
      </w:r>
      <w:r>
        <w:t xml:space="preserve"> Implemented in Germany by DIN EN 534:2010-07.</w:t>
      </w:r>
    </w:p>
  </w:footnote>
  <w:footnote w:id="27">
    <w:p w14:paraId="53310ACD" w14:textId="77777777" w:rsidR="00BA10E9" w:rsidRDefault="00BA10E9" w:rsidP="00E713B0">
      <w:pPr>
        <w:pStyle w:val="FootnoteText"/>
      </w:pPr>
      <w:r>
        <w:rPr>
          <w:rStyle w:val="FootnoteReference"/>
        </w:rPr>
        <w:footnoteRef/>
      </w:r>
      <w:r>
        <w:t xml:space="preserve"> Implemented in Germany by DIN EN 1873:2006-03.</w:t>
      </w:r>
    </w:p>
  </w:footnote>
  <w:footnote w:id="28">
    <w:p w14:paraId="1B782FAB" w14:textId="77777777" w:rsidR="00BA10E9" w:rsidRDefault="00BA10E9" w:rsidP="00E713B0">
      <w:pPr>
        <w:pStyle w:val="FootnoteText"/>
      </w:pPr>
      <w:r>
        <w:rPr>
          <w:rStyle w:val="FootnoteReference"/>
        </w:rPr>
        <w:footnoteRef/>
      </w:r>
      <w:r>
        <w:t xml:space="preserve"> Implemented in Germany by DIN EN 13707:2009-10.</w:t>
      </w:r>
    </w:p>
  </w:footnote>
  <w:footnote w:id="29">
    <w:p w14:paraId="6CC97AC0" w14:textId="77777777" w:rsidR="00BA10E9" w:rsidRDefault="00BA10E9" w:rsidP="00E713B0">
      <w:pPr>
        <w:pStyle w:val="FootnoteText"/>
      </w:pPr>
      <w:r>
        <w:rPr>
          <w:rStyle w:val="FootnoteReference"/>
        </w:rPr>
        <w:footnoteRef/>
      </w:r>
      <w:r>
        <w:t xml:space="preserve"> Implemented in Germany by DIN EN 13956:2013-03.</w:t>
      </w:r>
    </w:p>
  </w:footnote>
  <w:footnote w:id="30">
    <w:p w14:paraId="08770A78" w14:textId="77777777" w:rsidR="00BA10E9" w:rsidRDefault="00BA10E9" w:rsidP="00E713B0">
      <w:pPr>
        <w:pStyle w:val="FootnoteText"/>
      </w:pPr>
      <w:r>
        <w:rPr>
          <w:rStyle w:val="FootnoteReference"/>
        </w:rPr>
        <w:footnoteRef/>
      </w:r>
      <w:r>
        <w:t xml:space="preserve"> Implemented in Germany by DIN EN 14351:2016-12.</w:t>
      </w:r>
    </w:p>
  </w:footnote>
  <w:footnote w:id="31">
    <w:p w14:paraId="59D954AA" w14:textId="77777777" w:rsidR="00BA10E9" w:rsidRDefault="00BA10E9" w:rsidP="00E713B0">
      <w:pPr>
        <w:pStyle w:val="FootnoteText"/>
      </w:pPr>
      <w:r>
        <w:rPr>
          <w:rStyle w:val="FootnoteReference"/>
        </w:rPr>
        <w:footnoteRef/>
      </w:r>
      <w:r>
        <w:t xml:space="preserve"> Implemented in Germany by DIN EN 14783:2013-07.</w:t>
      </w:r>
    </w:p>
  </w:footnote>
  <w:footnote w:id="32">
    <w:p w14:paraId="0191EB02" w14:textId="77777777" w:rsidR="00BA10E9" w:rsidRDefault="00BA10E9" w:rsidP="00E713B0">
      <w:pPr>
        <w:pStyle w:val="FootnoteText"/>
      </w:pPr>
      <w:r>
        <w:rPr>
          <w:rStyle w:val="FootnoteReference"/>
        </w:rPr>
        <w:footnoteRef/>
      </w:r>
      <w:r>
        <w:t xml:space="preserve"> Implemented in Germany by DIN EN 14963:2006-12.</w:t>
      </w:r>
    </w:p>
  </w:footnote>
  <w:footnote w:id="33">
    <w:p w14:paraId="55F158C2" w14:textId="77777777" w:rsidR="00BA10E9" w:rsidRDefault="00BA10E9" w:rsidP="00E713B0">
      <w:pPr>
        <w:pStyle w:val="FootnoteText"/>
      </w:pPr>
      <w:r>
        <w:rPr>
          <w:rStyle w:val="FootnoteReference"/>
        </w:rPr>
        <w:footnoteRef/>
      </w:r>
      <w:r>
        <w:t xml:space="preserve"> Excluding structural elements according to B 2.2.1.6 made of construction products according to harmonised technical specifications.</w:t>
      </w:r>
    </w:p>
  </w:footnote>
  <w:footnote w:id="34">
    <w:p w14:paraId="26E6EAB0" w14:textId="77777777" w:rsidR="00BA10E9" w:rsidRDefault="00BA10E9" w:rsidP="00E713B0">
      <w:pPr>
        <w:pStyle w:val="FootnoteText"/>
      </w:pPr>
      <w:r>
        <w:rPr>
          <w:rStyle w:val="FootnoteReference"/>
        </w:rPr>
        <w:footnoteRef/>
      </w:r>
      <w:r>
        <w:t xml:space="preserve"> Implemented in Germany by DIN EN 16034:2014-12.</w:t>
      </w:r>
    </w:p>
  </w:footnote>
  <w:footnote w:id="35">
    <w:p w14:paraId="03C62993" w14:textId="77777777" w:rsidR="00BA10E9" w:rsidRDefault="00BA10E9" w:rsidP="00E713B0">
      <w:pPr>
        <w:pStyle w:val="FootnoteText"/>
      </w:pPr>
      <w:r>
        <w:rPr>
          <w:rStyle w:val="FootnoteReference"/>
        </w:rPr>
        <w:footnoteRef/>
      </w:r>
      <w:r>
        <w:t xml:space="preserve"> Implemented in Germany by DIN EN 13241:2016-12.</w:t>
      </w:r>
    </w:p>
  </w:footnote>
  <w:footnote w:id="36">
    <w:p w14:paraId="1159972D" w14:textId="7B581631" w:rsidR="00BA10E9" w:rsidRDefault="00BA10E9">
      <w:pPr>
        <w:pStyle w:val="FootnoteText"/>
      </w:pPr>
      <w:r>
        <w:rPr>
          <w:rStyle w:val="FootnoteReference"/>
        </w:rPr>
        <w:footnoteRef/>
      </w:r>
      <w:r>
        <w:t xml:space="preserve"> Implemented in Germany by DIN EN 12219:2000-06</w:t>
      </w:r>
    </w:p>
  </w:footnote>
  <w:footnote w:id="37">
    <w:p w14:paraId="2803907F" w14:textId="54C33157" w:rsidR="00BA10E9" w:rsidRDefault="00BA10E9">
      <w:pPr>
        <w:pStyle w:val="FootnoteText"/>
      </w:pPr>
      <w:r>
        <w:rPr>
          <w:rStyle w:val="FootnoteReference"/>
        </w:rPr>
        <w:footnoteRef/>
      </w:r>
      <w:r>
        <w:t xml:space="preserve"> Implemented in Germany by DIN EN 1634-1:2018-04</w:t>
      </w:r>
    </w:p>
  </w:footnote>
  <w:footnote w:id="38">
    <w:p w14:paraId="1591A90F" w14:textId="5FB7C13D" w:rsidR="00BA10E9" w:rsidRDefault="00BA10E9">
      <w:pPr>
        <w:pStyle w:val="FootnoteText"/>
      </w:pPr>
      <w:r>
        <w:rPr>
          <w:rStyle w:val="FootnoteReference"/>
        </w:rPr>
        <w:footnoteRef/>
      </w:r>
      <w:r>
        <w:t xml:space="preserve"> Implemented in Germany by DIN EN 1634-3:2005-01</w:t>
      </w:r>
    </w:p>
  </w:footnote>
  <w:footnote w:id="39">
    <w:p w14:paraId="0F6636B6" w14:textId="6F41F94D" w:rsidR="00BA10E9" w:rsidRDefault="00BA10E9">
      <w:pPr>
        <w:pStyle w:val="FootnoteText"/>
      </w:pPr>
      <w:r>
        <w:rPr>
          <w:rStyle w:val="FootnoteReference"/>
        </w:rPr>
        <w:footnoteRef/>
      </w:r>
      <w:r>
        <w:t xml:space="preserve"> Implemented in Germany by DIN EN 81-58:2018-05</w:t>
      </w:r>
    </w:p>
  </w:footnote>
  <w:footnote w:id="40">
    <w:p w14:paraId="0240CC51" w14:textId="03C767A3" w:rsidR="00BA10E9" w:rsidRDefault="00BA10E9">
      <w:pPr>
        <w:pStyle w:val="FootnoteText"/>
      </w:pPr>
      <w:r>
        <w:rPr>
          <w:rStyle w:val="FootnoteReference"/>
        </w:rPr>
        <w:footnoteRef/>
      </w:r>
      <w:r>
        <w:t xml:space="preserve"> Implemented in Germany by DIN EN 12219:2000-06</w:t>
      </w:r>
    </w:p>
  </w:footnote>
  <w:footnote w:id="41">
    <w:p w14:paraId="64359264" w14:textId="071C4225" w:rsidR="00BA10E9" w:rsidRDefault="00BA10E9" w:rsidP="00E713B0">
      <w:pPr>
        <w:pStyle w:val="FootnoteText"/>
      </w:pPr>
      <w:r>
        <w:rPr>
          <w:rStyle w:val="FootnoteReference"/>
        </w:rPr>
        <w:footnoteRef/>
      </w:r>
      <w:r w:rsidR="00C96297">
        <w:t xml:space="preserve"> </w:t>
      </w:r>
      <w:r>
        <w:t>Implemented in Germany by DIN EN 12101-2:2003-09.</w:t>
      </w:r>
    </w:p>
  </w:footnote>
  <w:footnote w:id="42">
    <w:p w14:paraId="019E964B" w14:textId="625C5163" w:rsidR="00BA10E9" w:rsidRDefault="00BA10E9" w:rsidP="00E07C4A">
      <w:pPr>
        <w:pStyle w:val="FootnoteText"/>
      </w:pPr>
      <w:r>
        <w:rPr>
          <w:rStyle w:val="FootnoteReference"/>
        </w:rPr>
        <w:footnoteRef/>
      </w:r>
      <w:r>
        <w:t xml:space="preserve"> According to national law</w:t>
      </w:r>
    </w:p>
  </w:footnote>
  <w:footnote w:id="43">
    <w:p w14:paraId="1B470403" w14:textId="77777777" w:rsidR="00BA10E9" w:rsidRDefault="00BA10E9" w:rsidP="00DE0321">
      <w:pPr>
        <w:pStyle w:val="FootnoteText"/>
        <w:ind w:left="142" w:hanging="142"/>
      </w:pPr>
      <w:r>
        <w:rPr>
          <w:rStyle w:val="FootnoteReference"/>
        </w:rPr>
        <w:footnoteRef/>
      </w:r>
      <w:r>
        <w:t xml:space="preserve"> Active use is the targeted use of substances to achieve particular product properties. Not 'actively used' substances are those which are present in the product as contaminations and/or minor constituents.</w:t>
      </w:r>
    </w:p>
  </w:footnote>
  <w:footnote w:id="44">
    <w:p w14:paraId="0E71AEF3" w14:textId="0E60ED1F" w:rsidR="00BA10E9" w:rsidRDefault="00BA10E9" w:rsidP="00DE0321">
      <w:pPr>
        <w:pStyle w:val="FootnoteText"/>
        <w:ind w:left="142" w:hanging="142"/>
      </w:pPr>
      <w:r>
        <w:rPr>
          <w:rStyle w:val="FootnoteReference"/>
        </w:rPr>
        <w:footnoteRef/>
      </w:r>
      <w:r w:rsidR="00255F4B">
        <w:t xml:space="preserve"> </w:t>
      </w:r>
      <w:r>
        <w:t>For example, the substance reacts completely to form another compound, is completely encapsulated or bound, or a threshold value for the most sensitive end point could be derived for the substance.</w:t>
      </w:r>
    </w:p>
  </w:footnote>
  <w:footnote w:id="45">
    <w:p w14:paraId="3A515B2C" w14:textId="77777777" w:rsidR="00BA10E9" w:rsidRDefault="00BA10E9" w:rsidP="00DE0321">
      <w:pPr>
        <w:pStyle w:val="FootnoteText"/>
        <w:ind w:left="142" w:hanging="142"/>
      </w:pPr>
      <w:r>
        <w:rPr>
          <w:rStyle w:val="FootnoteReference"/>
        </w:rPr>
        <w:footnoteRef/>
      </w:r>
      <w:r>
        <w:t xml:space="preserve"> for example, elastic floor coverings, textile floor coverings, laminate floor coverings, surface coated/glued parquet and wooden floors, synthetic resin screeds, artificial resin-based stone, composite floor coverings, cork floor coverings, sports floors, floor coverings, surface coatings for wood floors, elastic floor coverings and cork floors.</w:t>
      </w:r>
    </w:p>
  </w:footnote>
  <w:footnote w:id="46">
    <w:p w14:paraId="5E2377FB" w14:textId="77777777" w:rsidR="00BA10E9" w:rsidRDefault="00BA10E9" w:rsidP="00DE0321">
      <w:pPr>
        <w:pStyle w:val="FootnoteText"/>
        <w:ind w:left="142" w:hanging="142"/>
      </w:pPr>
      <w:r>
        <w:rPr>
          <w:rStyle w:val="FootnoteReference"/>
        </w:rPr>
        <w:footnoteRef/>
      </w:r>
      <w:r>
        <w:t xml:space="preserve"> floor covering adhesives and structural adhesive bonds.</w:t>
      </w:r>
    </w:p>
  </w:footnote>
  <w:footnote w:id="47">
    <w:p w14:paraId="11BEBF96" w14:textId="77777777" w:rsidR="00BA10E9" w:rsidRDefault="00BA10E9" w:rsidP="00DE0321">
      <w:pPr>
        <w:pStyle w:val="FootnoteText"/>
        <w:ind w:left="142" w:hanging="142"/>
      </w:pPr>
      <w:r>
        <w:rPr>
          <w:rStyle w:val="FootnoteReference"/>
        </w:rPr>
        <w:footnoteRef/>
      </w:r>
      <w:r>
        <w:t xml:space="preserve"> Ratio C</w:t>
      </w:r>
      <w:r>
        <w:rPr>
          <w:i/>
          <w:vertAlign w:val="subscript"/>
        </w:rPr>
        <w:t>i</w:t>
      </w:r>
      <w:r>
        <w:t>/</w:t>
      </w:r>
      <w:proofErr w:type="spellStart"/>
      <w:r>
        <w:t>LCI</w:t>
      </w:r>
      <w:r>
        <w:rPr>
          <w:i/>
          <w:vertAlign w:val="subscript"/>
        </w:rPr>
        <w:t>i</w:t>
      </w:r>
      <w:proofErr w:type="spellEnd"/>
      <w:r>
        <w:t>, in which C</w:t>
      </w:r>
      <w:r>
        <w:rPr>
          <w:i/>
          <w:vertAlign w:val="subscript"/>
        </w:rPr>
        <w:t>i</w:t>
      </w:r>
      <w:r>
        <w:t xml:space="preserve"> is the mass concentration in the air in the reference area and </w:t>
      </w:r>
      <w:proofErr w:type="spellStart"/>
      <w:r>
        <w:t>LCI</w:t>
      </w:r>
      <w:r>
        <w:rPr>
          <w:i/>
          <w:vertAlign w:val="subscript"/>
        </w:rPr>
        <w:t>i</w:t>
      </w:r>
      <w:proofErr w:type="spellEnd"/>
      <w:r>
        <w:t xml:space="preserve"> is the LCI value of the compound </w:t>
      </w:r>
      <w:proofErr w:type="spellStart"/>
      <w:r>
        <w:rPr>
          <w:i/>
          <w:vertAlign w:val="subscript"/>
        </w:rPr>
        <w:t>i</w:t>
      </w:r>
      <w:proofErr w:type="spellEnd"/>
      <w:r>
        <w:t>.</w:t>
      </w:r>
    </w:p>
  </w:footnote>
  <w:footnote w:id="48">
    <w:p w14:paraId="5DC8AA71" w14:textId="37756646" w:rsidR="00BA10E9" w:rsidRDefault="00BA10E9" w:rsidP="00DE0321">
      <w:pPr>
        <w:pStyle w:val="FootnoteText"/>
        <w:ind w:left="142" w:hanging="142"/>
      </w:pPr>
      <w:r>
        <w:rPr>
          <w:rStyle w:val="FootnoteReference"/>
        </w:rPr>
        <w:footnoteRef/>
      </w:r>
      <w:r w:rsidR="00255F4B">
        <w:t xml:space="preserve"> </w:t>
      </w:r>
      <w:r>
        <w:t>Target compounds are the substances listed in the LCI list in Annex 2 hereto.</w:t>
      </w:r>
    </w:p>
  </w:footnote>
  <w:footnote w:id="49">
    <w:p w14:paraId="763F9FCB" w14:textId="2DE1651F" w:rsidR="00BA10E9" w:rsidRDefault="00BA10E9" w:rsidP="00DE0321">
      <w:pPr>
        <w:pStyle w:val="FootnoteText"/>
        <w:ind w:left="142" w:hanging="142"/>
      </w:pPr>
      <w:r>
        <w:rPr>
          <w:rStyle w:val="FootnoteReference"/>
        </w:rPr>
        <w:footnoteRef/>
      </w:r>
      <w:r w:rsidR="00255F4B">
        <w:t xml:space="preserve"> </w:t>
      </w:r>
      <w:r>
        <w:t>Requirements for parquets and wooden floors with proportions of smoked wood.</w:t>
      </w:r>
    </w:p>
  </w:footnote>
  <w:footnote w:id="50">
    <w:p w14:paraId="01E21A6C" w14:textId="77777777" w:rsidR="00BA10E9" w:rsidRDefault="00BA10E9" w:rsidP="00DE0321">
      <w:pPr>
        <w:pStyle w:val="FootnoteText"/>
        <w:ind w:left="142" w:hanging="142"/>
      </w:pPr>
      <w:r>
        <w:rPr>
          <w:rStyle w:val="FootnoteReference"/>
        </w:rPr>
        <w:footnoteRef/>
      </w:r>
      <w:r>
        <w:t xml:space="preserve"> Requirement for products according to Section 2.2.1, with proportions of vulcanised or unvulcanised rubber, containing vulcanisation agents with nitrosamine releasers and/or recycled rubber structural elements.</w:t>
      </w:r>
    </w:p>
  </w:footnote>
  <w:footnote w:id="51">
    <w:p w14:paraId="5A1C5575" w14:textId="77777777" w:rsidR="00BA10E9" w:rsidRDefault="00BA10E9" w:rsidP="00DE0321">
      <w:pPr>
        <w:pStyle w:val="FootnoteText"/>
        <w:ind w:left="142" w:hanging="142"/>
      </w:pPr>
      <w:r>
        <w:rPr>
          <w:rStyle w:val="FootnoteReference"/>
        </w:rPr>
        <w:footnoteRef/>
      </w:r>
      <w:r>
        <w:t xml:space="preserve"> A European harmonised test procedure for PAHs is currently being developed. The GC method according to DIN ISO 18287:2006-05 is optionally permitted until this test procedure is published.</w:t>
      </w:r>
    </w:p>
  </w:footnote>
  <w:footnote w:id="52">
    <w:p w14:paraId="0C075A80" w14:textId="3AF119FF" w:rsidR="00BA10E9" w:rsidRDefault="00BA10E9" w:rsidP="00DE0321">
      <w:pPr>
        <w:pStyle w:val="FootnoteText"/>
        <w:ind w:left="142" w:hanging="142"/>
      </w:pPr>
      <w:r>
        <w:rPr>
          <w:rStyle w:val="FootnoteReference"/>
        </w:rPr>
        <w:footnoteRef/>
      </w:r>
      <w:r w:rsidR="00255F4B">
        <w:t xml:space="preserve"> </w:t>
      </w:r>
      <w:r>
        <w:t>Requirements for products pursuant to Section 2.2.1, without direct contact with the building user, which contain raw materials with recycling proportions of rubber or raw materials with use of PAH-containing extender oils or PAH-containing soot.</w:t>
      </w:r>
    </w:p>
  </w:footnote>
  <w:footnote w:id="53">
    <w:p w14:paraId="1127A7AF" w14:textId="552C0098" w:rsidR="00BA10E9" w:rsidRDefault="00BA10E9" w:rsidP="004C2C77">
      <w:pPr>
        <w:pStyle w:val="FootnoteText"/>
        <w:ind w:left="142" w:hanging="142"/>
      </w:pPr>
      <w:r>
        <w:rPr>
          <w:rStyle w:val="FootnoteReference"/>
        </w:rPr>
        <w:footnoteRef/>
      </w:r>
      <w:r>
        <w:t xml:space="preserve"> According to national law</w:t>
      </w:r>
    </w:p>
  </w:footnote>
  <w:footnote w:id="54">
    <w:p w14:paraId="3958AD7B" w14:textId="77777777" w:rsidR="00BA10E9" w:rsidRDefault="00BA10E9" w:rsidP="004C2C77">
      <w:pPr>
        <w:pStyle w:val="FootnoteText"/>
        <w:ind w:left="142" w:hanging="142"/>
      </w:pPr>
      <w:r>
        <w:rPr>
          <w:rStyle w:val="FootnoteReference"/>
        </w:rPr>
        <w:footnoteRef/>
      </w:r>
      <w:r>
        <w:t xml:space="preserve"> The term ‘hazardous substances’ is used in the Construction Products Regulation and refers to substances that are relevant to construction products and are restricted or prohibited by EU and/or Member State provisions due to the risk of harmful effects.</w:t>
      </w:r>
    </w:p>
  </w:footnote>
  <w:footnote w:id="55">
    <w:p w14:paraId="1A041769" w14:textId="77777777" w:rsidR="00BA10E9" w:rsidRDefault="00BA10E9" w:rsidP="004C2C77">
      <w:pPr>
        <w:pStyle w:val="FootnoteText"/>
        <w:ind w:left="142" w:hanging="142"/>
      </w:pPr>
      <w:r>
        <w:rPr>
          <w:rStyle w:val="FootnoteReference"/>
        </w:rPr>
        <w:footnoteRef/>
      </w:r>
      <w:r>
        <w:t xml:space="preserve"> Active use is the targeted use of substances to achieve particular product properties. Not ‘actively used’ substances are those which are present in the product as contaminations and/or minor constituents.</w:t>
      </w:r>
    </w:p>
  </w:footnote>
  <w:footnote w:id="56">
    <w:p w14:paraId="2A02D4D0" w14:textId="77777777" w:rsidR="00BA10E9" w:rsidRDefault="00BA10E9" w:rsidP="004C2C77">
      <w:pPr>
        <w:pStyle w:val="FootnoteText"/>
        <w:ind w:left="142" w:hanging="142"/>
      </w:pPr>
      <w:r>
        <w:rPr>
          <w:rStyle w:val="FootnoteReference"/>
        </w:rPr>
        <w:footnoteRef/>
      </w:r>
      <w:r>
        <w:t xml:space="preserve"> For example, the substance reacts completely to form another compound, is completely encapsulated or bound, or a threshold value for the most sensitive end point could be derived for the substance and is adhered to. </w:t>
      </w:r>
    </w:p>
  </w:footnote>
  <w:footnote w:id="57">
    <w:p w14:paraId="49AAF5D8" w14:textId="77777777" w:rsidR="00BA10E9" w:rsidRDefault="00BA10E9" w:rsidP="004C2C77">
      <w:pPr>
        <w:pStyle w:val="FootnoteText"/>
        <w:ind w:left="142" w:hanging="142"/>
      </w:pPr>
      <w:r>
        <w:rPr>
          <w:rStyle w:val="FootnoteReference"/>
        </w:rPr>
        <w:footnoteRef/>
      </w:r>
      <w:r>
        <w:t xml:space="preserve"> </w:t>
      </w:r>
      <w:bookmarkStart w:id="55" w:name="_Hlk77335520"/>
      <w:r>
        <w:t xml:space="preserve">The test values for the release of hazardous substances listed in </w:t>
      </w:r>
      <w:proofErr w:type="spellStart"/>
      <w:r>
        <w:t>ABuG</w:t>
      </w:r>
      <w:proofErr w:type="spellEnd"/>
      <w:r>
        <w:t xml:space="preserve"> are based on the LAWA de-minimis thresholds: LAWA: ‘Drainage of de-minimis thresholds for groundwater’, December 2004. Available from </w:t>
      </w:r>
      <w:proofErr w:type="spellStart"/>
      <w:r>
        <w:t>Kulturbuch</w:t>
      </w:r>
      <w:proofErr w:type="spellEnd"/>
      <w:r>
        <w:noBreakHyphen/>
        <w:t xml:space="preserve">Verlag GmbH, </w:t>
      </w:r>
      <w:proofErr w:type="spellStart"/>
      <w:r>
        <w:t>Postfach</w:t>
      </w:r>
      <w:proofErr w:type="spellEnd"/>
      <w:r>
        <w:t> 47 04 49, 12313 Berlin or downloadable from the LAWA website: www.lawa.de.</w:t>
      </w:r>
      <w:bookmarkEnd w:id="55"/>
    </w:p>
  </w:footnote>
  <w:footnote w:id="58">
    <w:p w14:paraId="3EA647D8" w14:textId="77777777" w:rsidR="00BA10E9" w:rsidRDefault="00BA10E9" w:rsidP="004C2C77">
      <w:pPr>
        <w:pStyle w:val="FootnoteText"/>
        <w:ind w:left="142" w:hanging="142"/>
      </w:pPr>
      <w:r>
        <w:rPr>
          <w:rStyle w:val="FootnoteReference"/>
        </w:rPr>
        <w:footnoteRef/>
      </w:r>
      <w:r>
        <w:t xml:space="preserve"> For the release of hazardous substances from hardened concrete, see derived transfer functions in Annex II-B to the ‘Principles for assessing the impact of construction products on soil and groundwater – version 2011’.</w:t>
      </w:r>
    </w:p>
  </w:footnote>
  <w:footnote w:id="59">
    <w:p w14:paraId="0C1F0449" w14:textId="77777777" w:rsidR="00BA10E9" w:rsidRDefault="00BA10E9">
      <w:pPr>
        <w:pStyle w:val="FootnoteText"/>
      </w:pPr>
      <w:r>
        <w:rPr>
          <w:rStyle w:val="FootnoteReference"/>
        </w:rPr>
        <w:footnoteRef/>
      </w:r>
      <w:r>
        <w:t xml:space="preserve"> Ordinance on the European Waste Catalogue (EWC Ordinance) of 10 December 2001, as amended.</w:t>
      </w:r>
    </w:p>
  </w:footnote>
  <w:footnote w:id="60">
    <w:p w14:paraId="1CF41DB1" w14:textId="77777777" w:rsidR="00BA10E9" w:rsidRDefault="00BA10E9" w:rsidP="009D4C8D">
      <w:pPr>
        <w:pStyle w:val="BRL-Funote"/>
      </w:pPr>
      <w:r>
        <w:rPr>
          <w:rStyle w:val="FootnoteReference"/>
        </w:rPr>
        <w:footnoteRef/>
      </w:r>
      <w:r>
        <w:t xml:space="preserve"> Implemented in Germany by DIN EN 15435:2008-10.</w:t>
      </w:r>
    </w:p>
  </w:footnote>
  <w:footnote w:id="61">
    <w:p w14:paraId="5C23D97A" w14:textId="77777777" w:rsidR="00BA10E9" w:rsidRDefault="00BA10E9" w:rsidP="009D4C8D">
      <w:pPr>
        <w:pStyle w:val="FootnoteText"/>
      </w:pPr>
      <w:r>
        <w:rPr>
          <w:rStyle w:val="FootnoteReference"/>
        </w:rPr>
        <w:footnoteRef/>
      </w:r>
      <w:r>
        <w:t xml:space="preserve"> Implemented in Germany by DIN EN 15498:2008-08.</w:t>
      </w:r>
    </w:p>
  </w:footnote>
  <w:footnote w:id="62">
    <w:p w14:paraId="665B16C7" w14:textId="77777777" w:rsidR="00BA10E9" w:rsidRDefault="00BA10E9" w:rsidP="009D4C8D">
      <w:pPr>
        <w:pStyle w:val="FootnoteText"/>
        <w:ind w:left="142" w:hanging="142"/>
      </w:pPr>
      <w:r>
        <w:rPr>
          <w:rStyle w:val="FootnoteReference"/>
        </w:rPr>
        <w:footnoteRef/>
      </w:r>
      <w:r>
        <w:t xml:space="preserve"> Implemented in Germany by DIN EN 13163:2017-02.</w:t>
      </w:r>
    </w:p>
  </w:footnote>
  <w:footnote w:id="63">
    <w:p w14:paraId="4F85BAFD" w14:textId="77777777" w:rsidR="00BA10E9" w:rsidRDefault="00BA10E9" w:rsidP="009D4C8D">
      <w:pPr>
        <w:pStyle w:val="FootnoteText"/>
        <w:ind w:left="142" w:hanging="142"/>
      </w:pPr>
      <w:r>
        <w:rPr>
          <w:rStyle w:val="FootnoteReference"/>
        </w:rPr>
        <w:footnoteRef/>
      </w:r>
      <w:r>
        <w:t xml:space="preserve"> When applying TR ‘Thermal insulation composite system with ETA pursuant to ETAG 004’ in respect of the fire characteristics of permanent polystyrene formwork kits, it should be borne in mind that under state building regulations, ‘flame-resistant’ is only required for the surfaces of exterior walls of buildings in building classes 4 and 5. ‘normal flammability’ is sufficient for building classes 1 to 3.</w:t>
      </w:r>
    </w:p>
  </w:footnote>
  <w:footnote w:id="64">
    <w:p w14:paraId="58636EED" w14:textId="77777777" w:rsidR="00BA10E9" w:rsidRDefault="00BA10E9" w:rsidP="00B47442">
      <w:pPr>
        <w:pStyle w:val="FootnoteText"/>
        <w:spacing w:line="240" w:lineRule="auto"/>
      </w:pPr>
      <w:r>
        <w:rPr>
          <w:rStyle w:val="FootnoteReference"/>
        </w:rPr>
        <w:footnoteRef/>
      </w:r>
      <w:r>
        <w:t xml:space="preserve"> Implemented in Germany by DIN EN 13240:2005-10 + DIN EN 13240 Corrigendum 1 2008-06</w:t>
      </w:r>
    </w:p>
  </w:footnote>
  <w:footnote w:id="65">
    <w:p w14:paraId="79A34CF7" w14:textId="77777777" w:rsidR="00BA10E9" w:rsidRDefault="00BA10E9" w:rsidP="00B47442">
      <w:pPr>
        <w:pStyle w:val="FootnoteText"/>
        <w:spacing w:line="240" w:lineRule="auto"/>
      </w:pPr>
      <w:r>
        <w:rPr>
          <w:rStyle w:val="FootnoteReference"/>
        </w:rPr>
        <w:footnoteRef/>
      </w:r>
      <w:r>
        <w:t xml:space="preserve"> Implemented in Germany by DIN EN 13229:2005-10 + DIN EN 13229 Corrigendum 1:2008-06</w:t>
      </w:r>
    </w:p>
  </w:footnote>
  <w:footnote w:id="66">
    <w:p w14:paraId="08CC9BE4" w14:textId="77777777" w:rsidR="00BA10E9" w:rsidRDefault="00BA10E9" w:rsidP="00B47442">
      <w:pPr>
        <w:pStyle w:val="FootnoteText"/>
        <w:spacing w:line="240" w:lineRule="auto"/>
      </w:pPr>
      <w:r>
        <w:rPr>
          <w:rStyle w:val="FootnoteReference"/>
        </w:rPr>
        <w:footnoteRef/>
      </w:r>
      <w:r>
        <w:t xml:space="preserve"> Implemented in Germany by DIN EN 12815:2005-09 + DIN EN 12815 Corrigendum 1:2008-06</w:t>
      </w:r>
    </w:p>
  </w:footnote>
  <w:footnote w:id="67">
    <w:p w14:paraId="2C852C8E" w14:textId="77777777" w:rsidR="00BA10E9" w:rsidRDefault="00BA10E9" w:rsidP="00B47442">
      <w:pPr>
        <w:pStyle w:val="BRL-Funote"/>
      </w:pPr>
      <w:r>
        <w:rPr>
          <w:rStyle w:val="FootnoteReference"/>
        </w:rPr>
        <w:footnoteRef/>
      </w:r>
      <w:r>
        <w:t xml:space="preserve"> Implemented in Germany by DIN EN 12809:2005-08 + DIN EN 12809 Corrigendum 1:2008-06</w:t>
      </w:r>
    </w:p>
  </w:footnote>
  <w:footnote w:id="68">
    <w:p w14:paraId="0C0B1C4E" w14:textId="77777777" w:rsidR="00BA10E9" w:rsidRDefault="00BA10E9" w:rsidP="00B47442">
      <w:pPr>
        <w:pStyle w:val="BRL-Funote"/>
      </w:pPr>
      <w:r>
        <w:rPr>
          <w:rStyle w:val="FootnoteReference"/>
        </w:rPr>
        <w:footnoteRef/>
      </w:r>
      <w:r>
        <w:t xml:space="preserve"> Implemented in Germany by DIN EN 15250:2007-06 + DIN EN 15250 Corrigendum 1:2015-05</w:t>
      </w:r>
    </w:p>
  </w:footnote>
  <w:footnote w:id="69">
    <w:p w14:paraId="21499236" w14:textId="77777777" w:rsidR="00BA10E9" w:rsidRDefault="00BA10E9" w:rsidP="00B47442">
      <w:pPr>
        <w:pStyle w:val="BRL-Funote"/>
      </w:pPr>
      <w:r>
        <w:rPr>
          <w:rStyle w:val="FootnoteReference"/>
        </w:rPr>
        <w:footnoteRef/>
      </w:r>
      <w:r>
        <w:t xml:space="preserve"> Implemented in Germany by DIN EN 14785:2006-09 + DIN EN 14785 Corrigendum 1:2007-10</w:t>
      </w:r>
    </w:p>
  </w:footnote>
  <w:footnote w:id="70">
    <w:p w14:paraId="1E7AEC19" w14:textId="77777777" w:rsidR="00BA10E9" w:rsidRDefault="00BA10E9" w:rsidP="00B47442">
      <w:pPr>
        <w:pStyle w:val="BRL-Funote"/>
      </w:pPr>
      <w:r>
        <w:rPr>
          <w:rStyle w:val="FootnoteReference"/>
        </w:rPr>
        <w:footnoteRef/>
      </w:r>
      <w:r>
        <w:t xml:space="preserve"> Implemented in Germany by DIN EN 15821:2011-01</w:t>
      </w:r>
    </w:p>
  </w:footnote>
  <w:footnote w:id="71">
    <w:p w14:paraId="6CC043AF" w14:textId="77777777" w:rsidR="00BA10E9" w:rsidRDefault="00BA10E9" w:rsidP="00B47442">
      <w:pPr>
        <w:pStyle w:val="BRL-Funote"/>
      </w:pPr>
      <w:r>
        <w:rPr>
          <w:rStyle w:val="FootnoteReference"/>
        </w:rPr>
        <w:footnoteRef/>
      </w:r>
      <w:r>
        <w:t xml:space="preserve"> Implemented in Germany by DIN EN 1:2007-12</w:t>
      </w:r>
    </w:p>
  </w:footnote>
  <w:footnote w:id="72">
    <w:p w14:paraId="26F19127" w14:textId="77777777" w:rsidR="00BA10E9" w:rsidRPr="00E57800" w:rsidRDefault="00BA10E9" w:rsidP="00B47442">
      <w:pPr>
        <w:pStyle w:val="BRL-Funote"/>
      </w:pPr>
      <w:r>
        <w:rPr>
          <w:rStyle w:val="FootnoteReference"/>
        </w:rPr>
        <w:footnoteRef/>
      </w:r>
      <w:r>
        <w:t xml:space="preserve"> Implemented in Germany by DIN EN 1858:2011-09</w:t>
      </w:r>
    </w:p>
  </w:footnote>
  <w:footnote w:id="73">
    <w:p w14:paraId="1C5A5352" w14:textId="77777777" w:rsidR="00BA10E9" w:rsidRPr="00E57800" w:rsidRDefault="00BA10E9" w:rsidP="00B47442">
      <w:pPr>
        <w:pStyle w:val="BRL-Funote"/>
      </w:pPr>
      <w:r>
        <w:rPr>
          <w:rStyle w:val="FootnoteReference"/>
        </w:rPr>
        <w:footnoteRef/>
      </w:r>
      <w:r>
        <w:t xml:space="preserve"> Implemented in Germany by DIN EN 12446:2011-09</w:t>
      </w:r>
    </w:p>
  </w:footnote>
  <w:footnote w:id="74">
    <w:p w14:paraId="503B3593" w14:textId="77777777" w:rsidR="00BA10E9" w:rsidRPr="00E57800" w:rsidRDefault="00BA10E9" w:rsidP="00B47442">
      <w:pPr>
        <w:pStyle w:val="BRL-Funote"/>
      </w:pPr>
      <w:r>
        <w:rPr>
          <w:rStyle w:val="FootnoteReference"/>
        </w:rPr>
        <w:footnoteRef/>
      </w:r>
      <w:r>
        <w:t xml:space="preserve"> Implemented in Germany by DIN EN 13069:2005-12</w:t>
      </w:r>
    </w:p>
  </w:footnote>
  <w:footnote w:id="75">
    <w:p w14:paraId="0A831881" w14:textId="77777777" w:rsidR="00BA10E9" w:rsidRPr="00E57800" w:rsidRDefault="00BA10E9" w:rsidP="00B47442">
      <w:pPr>
        <w:pStyle w:val="BRL-Funote"/>
      </w:pPr>
      <w:r>
        <w:rPr>
          <w:rStyle w:val="FootnoteReference"/>
        </w:rPr>
        <w:footnoteRef/>
      </w:r>
      <w:r>
        <w:t xml:space="preserve"> Implemented in Germany by DIN EN 1806:2006-10</w:t>
      </w:r>
    </w:p>
  </w:footnote>
  <w:footnote w:id="76">
    <w:p w14:paraId="624FC702" w14:textId="77777777" w:rsidR="00BA10E9" w:rsidRPr="00F95BBA" w:rsidRDefault="00BA10E9" w:rsidP="00B47442">
      <w:pPr>
        <w:pStyle w:val="BRL-Funote"/>
      </w:pPr>
      <w:r>
        <w:rPr>
          <w:rStyle w:val="FootnoteReference"/>
        </w:rPr>
        <w:footnoteRef/>
      </w:r>
      <w:r>
        <w:t xml:space="preserve"> Implemented in Germany by DIN EN 1856-1:2009-09</w:t>
      </w:r>
    </w:p>
  </w:footnote>
  <w:footnote w:id="77">
    <w:p w14:paraId="29926FC5" w14:textId="77777777" w:rsidR="00BA10E9" w:rsidRDefault="00BA10E9" w:rsidP="00B47442">
      <w:pPr>
        <w:pStyle w:val="BRL-Funote"/>
      </w:pPr>
      <w:r>
        <w:rPr>
          <w:rStyle w:val="FootnoteReference"/>
        </w:rPr>
        <w:footnoteRef/>
      </w:r>
      <w:r>
        <w:t xml:space="preserve"> Implemented in Germany by DIN EN 1457-1:2012-04</w:t>
      </w:r>
    </w:p>
  </w:footnote>
  <w:footnote w:id="78">
    <w:p w14:paraId="71D69C73" w14:textId="77777777" w:rsidR="00BA10E9" w:rsidRDefault="00BA10E9" w:rsidP="00B47442">
      <w:pPr>
        <w:pStyle w:val="BRL-Funote"/>
        <w:spacing w:after="40"/>
      </w:pPr>
      <w:r>
        <w:rPr>
          <w:rStyle w:val="FootnoteReference"/>
        </w:rPr>
        <w:footnoteRef/>
      </w:r>
      <w:r>
        <w:t xml:space="preserve"> Implemented in Germany by DIN EN 1457-2:2012-04</w:t>
      </w:r>
    </w:p>
  </w:footnote>
  <w:footnote w:id="79">
    <w:p w14:paraId="513CD758" w14:textId="77777777" w:rsidR="00BA10E9" w:rsidRPr="00AD726C" w:rsidRDefault="00BA10E9" w:rsidP="00B47442">
      <w:pPr>
        <w:pStyle w:val="BRL-Funote"/>
        <w:rPr>
          <w:rStyle w:val="FootnoteReference"/>
          <w:sz w:val="16"/>
        </w:rPr>
      </w:pPr>
      <w:r>
        <w:rPr>
          <w:rStyle w:val="FootnoteReference"/>
        </w:rPr>
        <w:footnoteRef/>
      </w:r>
      <w:r>
        <w:rPr>
          <w:rStyle w:val="FootnoteReference"/>
        </w:rPr>
        <w:t xml:space="preserve"> </w:t>
      </w:r>
      <w:r>
        <w:rPr>
          <w:rStyle w:val="FootnoteReference"/>
          <w:sz w:val="16"/>
        </w:rPr>
        <w:t>Implemented in Germany by DIN EN 1856-2:2009-09</w:t>
      </w:r>
    </w:p>
  </w:footnote>
  <w:footnote w:id="80">
    <w:p w14:paraId="261E36A5" w14:textId="77777777" w:rsidR="00BA10E9" w:rsidRDefault="00BA10E9" w:rsidP="00B47442">
      <w:pPr>
        <w:pStyle w:val="BRL-Funote"/>
      </w:pPr>
      <w:r>
        <w:rPr>
          <w:rStyle w:val="FootnoteReference"/>
        </w:rPr>
        <w:footnoteRef/>
      </w:r>
      <w:r>
        <w:t xml:space="preserve"> Implemented in Germany by DIN EN 1857:2010-08</w:t>
      </w:r>
    </w:p>
  </w:footnote>
  <w:footnote w:id="81">
    <w:p w14:paraId="70230C17" w14:textId="77777777" w:rsidR="00BA10E9" w:rsidRDefault="00BA10E9" w:rsidP="00B47442">
      <w:pPr>
        <w:pStyle w:val="BRL-Funote"/>
      </w:pPr>
      <w:r>
        <w:rPr>
          <w:rStyle w:val="FootnoteReference"/>
        </w:rPr>
        <w:footnoteRef/>
      </w:r>
      <w:r>
        <w:t xml:space="preserve"> Implemented in Germany by DIN EN 13063-1:2007-10</w:t>
      </w:r>
    </w:p>
  </w:footnote>
  <w:footnote w:id="82">
    <w:p w14:paraId="0B93B862" w14:textId="77777777" w:rsidR="00BA10E9" w:rsidRDefault="00BA10E9" w:rsidP="00B47442">
      <w:pPr>
        <w:pStyle w:val="BRL-Funote"/>
      </w:pPr>
      <w:r>
        <w:rPr>
          <w:rStyle w:val="FootnoteReference"/>
        </w:rPr>
        <w:footnoteRef/>
      </w:r>
      <w:r>
        <w:t xml:space="preserve"> Implemented in Germany by DIN EN 13063-2:2005-12</w:t>
      </w:r>
    </w:p>
  </w:footnote>
  <w:footnote w:id="83">
    <w:p w14:paraId="3D153BFA" w14:textId="77777777" w:rsidR="00BA10E9" w:rsidRDefault="00BA10E9" w:rsidP="00B47442">
      <w:pPr>
        <w:pStyle w:val="BRL-Funote"/>
      </w:pPr>
      <w:r>
        <w:rPr>
          <w:rStyle w:val="FootnoteReference"/>
        </w:rPr>
        <w:footnoteRef/>
      </w:r>
      <w:r>
        <w:t xml:space="preserve"> Implemented in Germany by DIN EN 13063-3:2007-10</w:t>
      </w:r>
    </w:p>
  </w:footnote>
  <w:footnote w:id="84">
    <w:p w14:paraId="72AABE62" w14:textId="77777777" w:rsidR="00BA10E9" w:rsidRDefault="00BA10E9" w:rsidP="00B47442">
      <w:pPr>
        <w:pStyle w:val="BRL-Funote"/>
      </w:pPr>
      <w:r>
        <w:rPr>
          <w:rStyle w:val="FootnoteReference"/>
        </w:rPr>
        <w:footnoteRef/>
      </w:r>
      <w:r>
        <w:t xml:space="preserve"> Implemented in Germany by DIN EN 14471:2015-03</w:t>
      </w:r>
    </w:p>
  </w:footnote>
  <w:footnote w:id="85">
    <w:p w14:paraId="1B56AA44" w14:textId="77777777" w:rsidR="00BA10E9" w:rsidRDefault="00BA10E9" w:rsidP="00B47442">
      <w:pPr>
        <w:pStyle w:val="BRL-Funote"/>
      </w:pPr>
      <w:r>
        <w:rPr>
          <w:rStyle w:val="FootnoteReference"/>
        </w:rPr>
        <w:footnoteRef/>
      </w:r>
      <w:r>
        <w:t xml:space="preserve"> Implemented in Germany by DIN EN 14989-1:2007-05</w:t>
      </w:r>
    </w:p>
  </w:footnote>
  <w:footnote w:id="86">
    <w:p w14:paraId="66CEC57F" w14:textId="77777777" w:rsidR="00BA10E9" w:rsidRDefault="00BA10E9" w:rsidP="00B47442">
      <w:pPr>
        <w:pStyle w:val="BRL-Funote"/>
      </w:pPr>
      <w:r>
        <w:rPr>
          <w:rStyle w:val="FootnoteReference"/>
        </w:rPr>
        <w:footnoteRef/>
      </w:r>
      <w:r>
        <w:t xml:space="preserve"> Implemented in Germany by DIN EN 14989-2:2008-03</w:t>
      </w:r>
    </w:p>
  </w:footnote>
  <w:footnote w:id="87">
    <w:p w14:paraId="257B8E54" w14:textId="77777777" w:rsidR="00BA10E9" w:rsidRDefault="00BA10E9" w:rsidP="00B47442">
      <w:pPr>
        <w:pStyle w:val="BRL-Funote"/>
      </w:pPr>
      <w:r>
        <w:rPr>
          <w:rStyle w:val="FootnoteReference"/>
        </w:rPr>
        <w:footnoteRef/>
      </w:r>
      <w:r>
        <w:t xml:space="preserve"> In Germany implemented by DIN EN 54-2:1997-12 in conjunction with DIN EN 54-2/A1:2007-01</w:t>
      </w:r>
    </w:p>
  </w:footnote>
  <w:footnote w:id="88">
    <w:p w14:paraId="100FE34B" w14:textId="23CC37A3" w:rsidR="00BA10E9" w:rsidRDefault="00BA10E9" w:rsidP="00B47442">
      <w:pPr>
        <w:pStyle w:val="BRL-Funote"/>
      </w:pPr>
      <w:r>
        <w:rPr>
          <w:rStyle w:val="FootnoteReference"/>
        </w:rPr>
        <w:footnoteRef/>
      </w:r>
      <w:r>
        <w:t xml:space="preserve"> Implemented in Germany by DIN EN 54-3:2006-08 </w:t>
      </w:r>
    </w:p>
  </w:footnote>
  <w:footnote w:id="89">
    <w:p w14:paraId="4C8F5F41" w14:textId="77777777" w:rsidR="00BA10E9" w:rsidRDefault="00BA10E9" w:rsidP="00B47442">
      <w:pPr>
        <w:pStyle w:val="BRL-Funote"/>
      </w:pPr>
      <w:r>
        <w:rPr>
          <w:rStyle w:val="FootnoteReference"/>
        </w:rPr>
        <w:footnoteRef/>
      </w:r>
      <w:r>
        <w:t xml:space="preserve"> In Germany implemented by DIN EN 54-4:1997-12 in conjunction with DIN EN 54-4/A1:2003-03 + DIN EN 54-4/A2:2007-01</w:t>
      </w:r>
    </w:p>
  </w:footnote>
  <w:footnote w:id="90">
    <w:p w14:paraId="3346247E" w14:textId="6C7F226F" w:rsidR="00BA10E9" w:rsidRDefault="00BA10E9" w:rsidP="00B47442">
      <w:pPr>
        <w:pStyle w:val="BRL-Funote"/>
      </w:pPr>
      <w:r>
        <w:rPr>
          <w:rStyle w:val="FootnoteReference"/>
        </w:rPr>
        <w:footnoteRef/>
      </w:r>
      <w:r>
        <w:t xml:space="preserve"> Implemented in Germany by DIN EN 54-5:2018-10</w:t>
      </w:r>
    </w:p>
  </w:footnote>
  <w:footnote w:id="91">
    <w:p w14:paraId="24F2D47C" w14:textId="6458DB55" w:rsidR="00BA10E9" w:rsidRDefault="00BA10E9" w:rsidP="00B47442">
      <w:pPr>
        <w:pStyle w:val="BRL-Funote"/>
      </w:pPr>
      <w:r>
        <w:rPr>
          <w:rStyle w:val="FootnoteReference"/>
        </w:rPr>
        <w:footnoteRef/>
      </w:r>
      <w:r>
        <w:t xml:space="preserve"> Implemented in Germany by DIN EN 54-7:2018-10</w:t>
      </w:r>
    </w:p>
  </w:footnote>
  <w:footnote w:id="92">
    <w:p w14:paraId="12CE634E" w14:textId="77777777" w:rsidR="00BA10E9" w:rsidRDefault="00BA10E9" w:rsidP="00B47442">
      <w:pPr>
        <w:pStyle w:val="BRL-Funote"/>
      </w:pPr>
      <w:r>
        <w:rPr>
          <w:rStyle w:val="FootnoteReference"/>
        </w:rPr>
        <w:footnoteRef/>
      </w:r>
      <w:r>
        <w:t xml:space="preserve"> Implemented in Germany by DIN EN 54-10:2002-05 + DIN EN 54-10/A1:2006-03</w:t>
      </w:r>
    </w:p>
  </w:footnote>
  <w:footnote w:id="93">
    <w:p w14:paraId="12C45B0A" w14:textId="77777777" w:rsidR="00BA10E9" w:rsidRDefault="00BA10E9" w:rsidP="00B47442">
      <w:pPr>
        <w:pStyle w:val="BRL-Funote"/>
      </w:pPr>
      <w:r>
        <w:rPr>
          <w:rStyle w:val="FootnoteReference"/>
        </w:rPr>
        <w:footnoteRef/>
      </w:r>
      <w:r>
        <w:t xml:space="preserve"> Implemented in Germany by DIN EN 54-11:2001-10 + DIN EN -54-11/A1:2006-03 </w:t>
      </w:r>
    </w:p>
  </w:footnote>
  <w:footnote w:id="94">
    <w:p w14:paraId="11E54ED9" w14:textId="77777777" w:rsidR="00BA10E9" w:rsidRDefault="00BA10E9" w:rsidP="00B47442">
      <w:pPr>
        <w:pStyle w:val="BRL-Funote"/>
      </w:pPr>
      <w:r>
        <w:rPr>
          <w:rStyle w:val="FootnoteReference"/>
        </w:rPr>
        <w:footnoteRef/>
      </w:r>
      <w:r>
        <w:t xml:space="preserve"> In Germany implemented by DIN EN 54-12:2015-10 in conjunction with DIN EN 54-12 Corrigendum 1:2018-08</w:t>
      </w:r>
    </w:p>
  </w:footnote>
  <w:footnote w:id="95">
    <w:p w14:paraId="250EA7DC" w14:textId="77777777" w:rsidR="00BA10E9" w:rsidRDefault="00BA10E9" w:rsidP="00B47442">
      <w:pPr>
        <w:pStyle w:val="BRL-Funote"/>
      </w:pPr>
      <w:r>
        <w:rPr>
          <w:rStyle w:val="FootnoteReference"/>
        </w:rPr>
        <w:footnoteRef/>
      </w:r>
      <w:r>
        <w:t xml:space="preserve"> Implemented in Germany by DIN EN 54-16:2008-06</w:t>
      </w:r>
    </w:p>
  </w:footnote>
  <w:footnote w:id="96">
    <w:p w14:paraId="3E4A7245" w14:textId="77777777" w:rsidR="00BA10E9" w:rsidRDefault="00BA10E9" w:rsidP="00B47442">
      <w:pPr>
        <w:pStyle w:val="BRL-Funote"/>
      </w:pPr>
      <w:r>
        <w:rPr>
          <w:rStyle w:val="FootnoteReference"/>
        </w:rPr>
        <w:footnoteRef/>
      </w:r>
      <w:r>
        <w:t xml:space="preserve"> Implemented in Germany by DIN EN 54-17:2006-03</w:t>
      </w:r>
    </w:p>
  </w:footnote>
  <w:footnote w:id="97">
    <w:p w14:paraId="490EA89E" w14:textId="77777777" w:rsidR="00BA10E9" w:rsidRDefault="00BA10E9" w:rsidP="00B47442">
      <w:pPr>
        <w:pStyle w:val="BRL-Funote"/>
      </w:pPr>
      <w:r>
        <w:rPr>
          <w:rStyle w:val="FootnoteReference"/>
        </w:rPr>
        <w:footnoteRef/>
      </w:r>
      <w:r>
        <w:t xml:space="preserve"> Implemented in Germany by DIN EN 54-1: 2006-03 and DIN EN 54-18 Corrigendum 1: 2007-05</w:t>
      </w:r>
    </w:p>
  </w:footnote>
  <w:footnote w:id="98">
    <w:p w14:paraId="52679049" w14:textId="77777777" w:rsidR="00BA10E9" w:rsidRDefault="00BA10E9" w:rsidP="00B47442">
      <w:pPr>
        <w:pStyle w:val="BRL-Funote"/>
      </w:pPr>
      <w:r>
        <w:rPr>
          <w:rStyle w:val="FootnoteReference"/>
        </w:rPr>
        <w:footnoteRef/>
      </w:r>
      <w:r>
        <w:t xml:space="preserve"> Implemented in Germany by DIN EN 54-20:2009-02</w:t>
      </w:r>
    </w:p>
  </w:footnote>
  <w:footnote w:id="99">
    <w:p w14:paraId="6A172705" w14:textId="77777777" w:rsidR="00BA10E9" w:rsidRPr="00622265" w:rsidRDefault="00BA10E9" w:rsidP="00B47442">
      <w:pPr>
        <w:pStyle w:val="FootnoteText"/>
        <w:rPr>
          <w:bCs/>
          <w:szCs w:val="16"/>
        </w:rPr>
      </w:pPr>
      <w:r>
        <w:rPr>
          <w:rStyle w:val="FootnoteReference"/>
        </w:rPr>
        <w:footnoteRef/>
      </w:r>
      <w:r>
        <w:t xml:space="preserve"> Implemented in Germany by DIN EN 54-21:2006-08</w:t>
      </w:r>
    </w:p>
  </w:footnote>
  <w:footnote w:id="100">
    <w:p w14:paraId="1540D73E" w14:textId="77777777" w:rsidR="00BA10E9" w:rsidRDefault="00BA10E9" w:rsidP="00B47442">
      <w:pPr>
        <w:pStyle w:val="BRL-Funote"/>
      </w:pPr>
      <w:r>
        <w:rPr>
          <w:rStyle w:val="FootnoteReference"/>
        </w:rPr>
        <w:footnoteRef/>
      </w:r>
      <w:r>
        <w:t xml:space="preserve"> Implemented in Germany by DIN EN 54-23:2010-06</w:t>
      </w:r>
    </w:p>
  </w:footnote>
  <w:footnote w:id="101">
    <w:p w14:paraId="738E12A1" w14:textId="77777777" w:rsidR="00BA10E9" w:rsidRDefault="00BA10E9" w:rsidP="00B47442">
      <w:pPr>
        <w:pStyle w:val="BRL-Funote"/>
      </w:pPr>
      <w:r>
        <w:rPr>
          <w:rStyle w:val="FootnoteReference"/>
        </w:rPr>
        <w:footnoteRef/>
      </w:r>
      <w:r>
        <w:t xml:space="preserve"> Implemented in Germany by DIN EN 54-24:2008-06</w:t>
      </w:r>
    </w:p>
  </w:footnote>
  <w:footnote w:id="102">
    <w:p w14:paraId="2C6D91AB" w14:textId="77777777" w:rsidR="00BA10E9" w:rsidRDefault="00BA10E9" w:rsidP="00B47442">
      <w:pPr>
        <w:pStyle w:val="BRL-Funote"/>
      </w:pPr>
      <w:r>
        <w:rPr>
          <w:rStyle w:val="FootnoteReference"/>
        </w:rPr>
        <w:footnoteRef/>
      </w:r>
      <w:r>
        <w:t xml:space="preserve"> Implemented in Germany by DIN EN 54-25:2009-02 and DIN EN 54-25 Corrigendum 1:2012-09</w:t>
      </w:r>
    </w:p>
  </w:footnote>
  <w:footnote w:id="103">
    <w:p w14:paraId="027A053F" w14:textId="77777777" w:rsidR="00BA10E9" w:rsidRDefault="00BA10E9" w:rsidP="00B47442">
      <w:pPr>
        <w:pStyle w:val="BRL-Funote"/>
      </w:pPr>
      <w:r>
        <w:rPr>
          <w:rStyle w:val="FootnoteReference"/>
        </w:rPr>
        <w:footnoteRef/>
      </w:r>
      <w:r>
        <w:t xml:space="preserve"> Implemented in Germany by DIN EN 15650:2010-09</w:t>
      </w:r>
    </w:p>
  </w:footnote>
  <w:footnote w:id="104">
    <w:p w14:paraId="1E27F73D" w14:textId="77777777" w:rsidR="00BA10E9" w:rsidRPr="00F95BBA" w:rsidRDefault="00BA10E9" w:rsidP="00B47442">
      <w:pPr>
        <w:pStyle w:val="BRL-Funote"/>
      </w:pPr>
      <w:r>
        <w:rPr>
          <w:rStyle w:val="FootnoteReference"/>
        </w:rPr>
        <w:footnoteRef/>
      </w:r>
      <w:r>
        <w:t xml:space="preserve"> According to national law</w:t>
      </w:r>
    </w:p>
  </w:footnote>
  <w:footnote w:id="105">
    <w:p w14:paraId="7E449F39" w14:textId="77777777" w:rsidR="00BA10E9" w:rsidRDefault="00BA10E9">
      <w:pPr>
        <w:pStyle w:val="FootnoteText"/>
      </w:pPr>
      <w:r>
        <w:rPr>
          <w:rStyle w:val="FootnoteReference"/>
        </w:rPr>
        <w:footnoteRef/>
      </w:r>
      <w:r>
        <w:t xml:space="preserve"> Issue date EAD September 2017</w:t>
      </w:r>
    </w:p>
  </w:footnote>
  <w:footnote w:id="106">
    <w:p w14:paraId="299D4A2A" w14:textId="77777777" w:rsidR="00BA10E9" w:rsidRPr="00D346A0" w:rsidRDefault="00BA10E9" w:rsidP="00B47442">
      <w:pPr>
        <w:pStyle w:val="BRL-Funote"/>
      </w:pPr>
      <w:r>
        <w:rPr>
          <w:rStyle w:val="FootnoteReference"/>
        </w:rPr>
        <w:footnoteRef/>
      </w:r>
      <w:r>
        <w:t xml:space="preserve"> Application of § 16a MBO</w:t>
      </w:r>
    </w:p>
  </w:footnote>
  <w:footnote w:id="107">
    <w:p w14:paraId="1232FBDC" w14:textId="77777777" w:rsidR="00BA10E9" w:rsidRDefault="00BA10E9" w:rsidP="00B47442">
      <w:pPr>
        <w:pStyle w:val="BRL-Funote"/>
      </w:pPr>
      <w:bookmarkStart w:id="111" w:name="_Hlk82181567"/>
      <w:r>
        <w:rPr>
          <w:rStyle w:val="FootnoteReference"/>
        </w:rPr>
        <w:footnoteRef/>
      </w:r>
      <w:r>
        <w:t xml:space="preserve"> Implemented in Germany by DIN EN 12101-3:2015-12</w:t>
      </w:r>
    </w:p>
    <w:bookmarkEnd w:id="111"/>
  </w:footnote>
  <w:footnote w:id="108">
    <w:p w14:paraId="48F4EF27" w14:textId="77777777" w:rsidR="00BA10E9" w:rsidRDefault="00BA10E9">
      <w:pPr>
        <w:pStyle w:val="FootnoteText"/>
      </w:pPr>
      <w:r>
        <w:rPr>
          <w:rStyle w:val="FootnoteReference"/>
        </w:rPr>
        <w:footnoteRef/>
      </w:r>
      <w:r>
        <w:t xml:space="preserve"> Implemented in Germany by DIN EN 12101-8:2011-08</w:t>
      </w:r>
    </w:p>
  </w:footnote>
  <w:footnote w:id="109">
    <w:p w14:paraId="778788E6" w14:textId="77777777" w:rsidR="00BA10E9" w:rsidRDefault="00BA10E9" w:rsidP="00B47442">
      <w:pPr>
        <w:pStyle w:val="BRL-Funote"/>
      </w:pPr>
      <w:r>
        <w:rPr>
          <w:rStyle w:val="FootnoteReference"/>
        </w:rPr>
        <w:footnoteRef/>
      </w:r>
      <w:r>
        <w:t xml:space="preserve"> Implemented in Germany by DIN EN 12101-2:2003-09</w:t>
      </w:r>
    </w:p>
  </w:footnote>
  <w:footnote w:id="110">
    <w:p w14:paraId="259BE8AD" w14:textId="77777777" w:rsidR="00BA10E9" w:rsidRDefault="00BA10E9" w:rsidP="00B47442">
      <w:pPr>
        <w:pStyle w:val="BRL-Funote"/>
      </w:pPr>
      <w:r>
        <w:rPr>
          <w:rStyle w:val="FootnoteReference"/>
        </w:rPr>
        <w:footnoteRef/>
      </w:r>
      <w:r>
        <w:t xml:space="preserve"> Implemented in Germany by DIN EN 12101-7:2011-07</w:t>
      </w:r>
    </w:p>
  </w:footnote>
  <w:footnote w:id="111">
    <w:p w14:paraId="6939F7E8" w14:textId="77777777" w:rsidR="00BA10E9" w:rsidRDefault="00BA10E9" w:rsidP="00B47442">
      <w:pPr>
        <w:pStyle w:val="BRL-Funote"/>
      </w:pPr>
      <w:r>
        <w:rPr>
          <w:rStyle w:val="FootnoteReference"/>
        </w:rPr>
        <w:footnoteRef/>
      </w:r>
      <w:r>
        <w:t xml:space="preserve"> Implemented in Germany by DIN EN 12101-10:2006-01 and DIN EN 12101-10/ Corrigendum 1: 2009-07</w:t>
      </w:r>
    </w:p>
  </w:footnote>
  <w:footnote w:id="112">
    <w:p w14:paraId="6FE86EEC" w14:textId="77777777" w:rsidR="00BA10E9" w:rsidRDefault="00BA10E9" w:rsidP="00B47442">
      <w:pPr>
        <w:pStyle w:val="BRL-Funote"/>
      </w:pPr>
      <w:r>
        <w:rPr>
          <w:rStyle w:val="FootnoteReference"/>
        </w:rPr>
        <w:footnoteRef/>
      </w:r>
      <w:r>
        <w:t xml:space="preserve"> Implemented in Germany by DIN EN 12101-7:2011-08</w:t>
      </w:r>
    </w:p>
  </w:footnote>
  <w:footnote w:id="113">
    <w:p w14:paraId="42F4464D" w14:textId="77777777" w:rsidR="00BA10E9" w:rsidRDefault="00BA10E9" w:rsidP="00B47442">
      <w:pPr>
        <w:pStyle w:val="BRL-Funote"/>
      </w:pPr>
      <w:r>
        <w:rPr>
          <w:rStyle w:val="FootnoteReference"/>
        </w:rPr>
        <w:footnoteRef/>
      </w:r>
      <w:r>
        <w:t xml:space="preserve"> Implemented in Germany by DIN EN 671-1:2012-07</w:t>
      </w:r>
    </w:p>
  </w:footnote>
  <w:footnote w:id="114">
    <w:p w14:paraId="3039C779" w14:textId="77777777" w:rsidR="00BA10E9" w:rsidRDefault="00BA10E9" w:rsidP="00B47442">
      <w:pPr>
        <w:pStyle w:val="BRL-Funote"/>
      </w:pPr>
      <w:r>
        <w:rPr>
          <w:rStyle w:val="FootnoteReference"/>
        </w:rPr>
        <w:footnoteRef/>
      </w:r>
      <w:r>
        <w:t xml:space="preserve"> Implemented in Germany by DIN EN 671-2:2012-07</w:t>
      </w:r>
    </w:p>
  </w:footnote>
  <w:footnote w:id="115">
    <w:p w14:paraId="33A63C15" w14:textId="77777777" w:rsidR="00BA10E9" w:rsidRDefault="00BA10E9" w:rsidP="00B47442">
      <w:pPr>
        <w:pStyle w:val="BRL-Funote"/>
      </w:pPr>
      <w:r>
        <w:rPr>
          <w:rStyle w:val="FootnoteReference"/>
        </w:rPr>
        <w:footnoteRef/>
      </w:r>
      <w:r>
        <w:t xml:space="preserve"> Implemented in Germany by DIN EN 14384:2005-10 + DIN EN 14384 Corrigendum 1:2007-07</w:t>
      </w:r>
    </w:p>
  </w:footnote>
  <w:footnote w:id="116">
    <w:p w14:paraId="0B5BC447" w14:textId="77777777" w:rsidR="00BA10E9" w:rsidRDefault="00BA10E9" w:rsidP="00B47442">
      <w:pPr>
        <w:pStyle w:val="BRL-Funote"/>
      </w:pPr>
      <w:r>
        <w:rPr>
          <w:rStyle w:val="FootnoteReference"/>
        </w:rPr>
        <w:footnoteRef/>
      </w:r>
      <w:r>
        <w:t xml:space="preserve"> Implemented in Germany by DIN EN 14339:2005-10 + DIN EN 14339 Corrigendum 1:2007-07</w:t>
      </w:r>
    </w:p>
  </w:footnote>
  <w:footnote w:id="117">
    <w:p w14:paraId="5A8598AE" w14:textId="77777777" w:rsidR="00BA10E9" w:rsidRDefault="00BA10E9" w:rsidP="00B47442">
      <w:pPr>
        <w:pStyle w:val="BRL-Funote"/>
      </w:pPr>
      <w:r>
        <w:rPr>
          <w:rStyle w:val="FootnoteReference"/>
        </w:rPr>
        <w:footnoteRef/>
      </w:r>
      <w:r>
        <w:t xml:space="preserve"> Implemented in Germany by DIN EN 12259-1: 2006-03 and DIN EN 12259-1 Corrigendum 1: 2007-01</w:t>
      </w:r>
    </w:p>
  </w:footnote>
  <w:footnote w:id="118">
    <w:p w14:paraId="523F3097" w14:textId="77777777" w:rsidR="00BA10E9" w:rsidRDefault="00BA10E9" w:rsidP="00B47442">
      <w:pPr>
        <w:pStyle w:val="BRL-Funote"/>
      </w:pPr>
      <w:r>
        <w:rPr>
          <w:rStyle w:val="FootnoteReference"/>
        </w:rPr>
        <w:footnoteRef/>
      </w:r>
      <w:r>
        <w:t xml:space="preserve"> Implemented in Germany by DIN EN 2259-2:2001-08 + DIN EN 12259-2/A2:2006-02</w:t>
      </w:r>
    </w:p>
  </w:footnote>
  <w:footnote w:id="119">
    <w:p w14:paraId="5D37E17A" w14:textId="77777777" w:rsidR="00BA10E9" w:rsidRDefault="00BA10E9" w:rsidP="00B47442">
      <w:pPr>
        <w:pStyle w:val="BRL-Funote"/>
      </w:pPr>
      <w:r>
        <w:rPr>
          <w:rStyle w:val="FootnoteReference"/>
        </w:rPr>
        <w:footnoteRef/>
      </w:r>
      <w:r>
        <w:t xml:space="preserve"> Implemented in Germany by DIN EN 12259-1: 2001-08 and DIN EN 12259-3 Corrigendum 1: 2008-06</w:t>
      </w:r>
    </w:p>
  </w:footnote>
  <w:footnote w:id="120">
    <w:p w14:paraId="43D1F03E" w14:textId="77777777" w:rsidR="00BA10E9" w:rsidRDefault="00BA10E9" w:rsidP="00B47442">
      <w:pPr>
        <w:pStyle w:val="BRL-Funote"/>
      </w:pPr>
      <w:r>
        <w:rPr>
          <w:rStyle w:val="FootnoteReference"/>
        </w:rPr>
        <w:footnoteRef/>
      </w:r>
      <w:r>
        <w:t xml:space="preserve"> Implemented in Germany by DIN EN 12259-4:2001-08</w:t>
      </w:r>
    </w:p>
  </w:footnote>
  <w:footnote w:id="121">
    <w:p w14:paraId="67FA5C14" w14:textId="77777777" w:rsidR="00BA10E9" w:rsidRDefault="00BA10E9" w:rsidP="00B47442">
      <w:pPr>
        <w:pStyle w:val="BRL-Funote"/>
      </w:pPr>
      <w:r>
        <w:rPr>
          <w:rStyle w:val="FootnoteReference"/>
        </w:rPr>
        <w:footnoteRef/>
      </w:r>
      <w:r>
        <w:t xml:space="preserve"> Implemented in Germany by DIN EN 12259-5:2002-12</w:t>
      </w:r>
    </w:p>
  </w:footnote>
  <w:footnote w:id="122">
    <w:p w14:paraId="0AAB5824" w14:textId="77777777" w:rsidR="00BA10E9" w:rsidRDefault="00BA10E9" w:rsidP="00B47442">
      <w:pPr>
        <w:pStyle w:val="BRL-Funote"/>
      </w:pPr>
      <w:r>
        <w:rPr>
          <w:rStyle w:val="FootnoteReference"/>
        </w:rPr>
        <w:footnoteRef/>
      </w:r>
      <w:r>
        <w:t xml:space="preserve"> Implemented in Germany by DIN EN 12094-1: 2003-07 and DIN EN 12094-1 / Corrigendum 1: 2006-09</w:t>
      </w:r>
    </w:p>
  </w:footnote>
  <w:footnote w:id="123">
    <w:p w14:paraId="6A610DA1" w14:textId="77777777" w:rsidR="00BA10E9" w:rsidRDefault="00BA10E9" w:rsidP="00B47442">
      <w:pPr>
        <w:pStyle w:val="BRL-Funote"/>
      </w:pPr>
      <w:r>
        <w:rPr>
          <w:rStyle w:val="FootnoteReference"/>
        </w:rPr>
        <w:footnoteRef/>
      </w:r>
      <w:r>
        <w:t xml:space="preserve"> Implemented in Germany by DIN EN 12094-2:2003-09</w:t>
      </w:r>
    </w:p>
  </w:footnote>
  <w:footnote w:id="124">
    <w:p w14:paraId="2854CE4E" w14:textId="77777777" w:rsidR="00BA10E9" w:rsidRDefault="00BA10E9" w:rsidP="00B47442">
      <w:pPr>
        <w:pStyle w:val="BRL-Funote"/>
      </w:pPr>
      <w:r>
        <w:rPr>
          <w:rStyle w:val="FootnoteReference"/>
        </w:rPr>
        <w:footnoteRef/>
      </w:r>
      <w:r>
        <w:t xml:space="preserve"> Implemented in Germany by DIN EN 12094-3:2003-07</w:t>
      </w:r>
    </w:p>
  </w:footnote>
  <w:footnote w:id="125">
    <w:p w14:paraId="587B40A1" w14:textId="77777777" w:rsidR="00BA10E9" w:rsidRDefault="00BA10E9" w:rsidP="00B47442">
      <w:pPr>
        <w:pStyle w:val="BRL-Funote"/>
      </w:pPr>
      <w:r>
        <w:rPr>
          <w:rStyle w:val="FootnoteReference"/>
        </w:rPr>
        <w:footnoteRef/>
      </w:r>
      <w:r>
        <w:t xml:space="preserve"> Implemented in Germany by DIN EN 12094-4:2004-10</w:t>
      </w:r>
    </w:p>
  </w:footnote>
  <w:footnote w:id="126">
    <w:p w14:paraId="0B6B4678" w14:textId="77777777" w:rsidR="00BA10E9" w:rsidRDefault="00BA10E9" w:rsidP="00B47442">
      <w:pPr>
        <w:pStyle w:val="BRL-Funote"/>
      </w:pPr>
      <w:r>
        <w:rPr>
          <w:rStyle w:val="FootnoteReference"/>
        </w:rPr>
        <w:footnoteRef/>
      </w:r>
      <w:r>
        <w:t xml:space="preserve"> Implemented in Germany by DIN EN 12094-5:2006-07</w:t>
      </w:r>
    </w:p>
  </w:footnote>
  <w:footnote w:id="127">
    <w:p w14:paraId="2D7B253D" w14:textId="77777777" w:rsidR="00BA10E9" w:rsidRDefault="00BA10E9" w:rsidP="00B47442">
      <w:pPr>
        <w:pStyle w:val="BRL-Funote"/>
      </w:pPr>
      <w:r>
        <w:rPr>
          <w:rStyle w:val="FootnoteReference"/>
        </w:rPr>
        <w:footnoteRef/>
      </w:r>
      <w:r>
        <w:t xml:space="preserve"> Implemented in Germany by DIN EN 12094-6:2006-07</w:t>
      </w:r>
    </w:p>
  </w:footnote>
  <w:footnote w:id="128">
    <w:p w14:paraId="68505F1D" w14:textId="77777777" w:rsidR="00BA10E9" w:rsidRDefault="00BA10E9" w:rsidP="00B47442">
      <w:pPr>
        <w:pStyle w:val="BRL-Funote"/>
      </w:pPr>
      <w:r>
        <w:rPr>
          <w:rStyle w:val="FootnoteReference"/>
        </w:rPr>
        <w:footnoteRef/>
      </w:r>
      <w:r>
        <w:t xml:space="preserve"> Implemented in Germany by DIN EN 12094-7:2005-04</w:t>
      </w:r>
    </w:p>
  </w:footnote>
  <w:footnote w:id="129">
    <w:p w14:paraId="6E5DC016" w14:textId="77777777" w:rsidR="00BA10E9" w:rsidRDefault="00BA10E9" w:rsidP="00B47442">
      <w:pPr>
        <w:pStyle w:val="BRL-Funote"/>
      </w:pPr>
      <w:r>
        <w:rPr>
          <w:rStyle w:val="FootnoteReference"/>
        </w:rPr>
        <w:footnoteRef/>
      </w:r>
      <w:r>
        <w:t xml:space="preserve"> Implemented in Germany by DIN EN 12094-8:2006-07</w:t>
      </w:r>
    </w:p>
  </w:footnote>
  <w:footnote w:id="130">
    <w:p w14:paraId="1D9F030E" w14:textId="77777777" w:rsidR="00BA10E9" w:rsidRDefault="00BA10E9" w:rsidP="00B47442">
      <w:pPr>
        <w:pStyle w:val="BRL-Funote"/>
      </w:pPr>
      <w:r>
        <w:rPr>
          <w:rStyle w:val="FootnoteReference"/>
        </w:rPr>
        <w:footnoteRef/>
      </w:r>
      <w:r>
        <w:t xml:space="preserve"> Implemented in Germany by DIN EN 12094-9:2003-07</w:t>
      </w:r>
    </w:p>
  </w:footnote>
  <w:footnote w:id="131">
    <w:p w14:paraId="7844FBAF" w14:textId="77777777" w:rsidR="00BA10E9" w:rsidRDefault="00BA10E9" w:rsidP="00B47442">
      <w:pPr>
        <w:pStyle w:val="BRL-Funote"/>
      </w:pPr>
      <w:r>
        <w:rPr>
          <w:rStyle w:val="FootnoteReference"/>
        </w:rPr>
        <w:footnoteRef/>
      </w:r>
      <w:r>
        <w:t xml:space="preserve"> Implemented in Germany by DIN EN 12094-10:2003-09</w:t>
      </w:r>
    </w:p>
  </w:footnote>
  <w:footnote w:id="132">
    <w:p w14:paraId="09787358" w14:textId="77777777" w:rsidR="00BA10E9" w:rsidRDefault="00BA10E9" w:rsidP="00B47442">
      <w:pPr>
        <w:pStyle w:val="BRL-Funote"/>
      </w:pPr>
      <w:r>
        <w:rPr>
          <w:rStyle w:val="FootnoteReference"/>
        </w:rPr>
        <w:footnoteRef/>
      </w:r>
      <w:r>
        <w:t xml:space="preserve"> Implemented in Germany by DIN EN 12094-11:2003-07</w:t>
      </w:r>
    </w:p>
  </w:footnote>
  <w:footnote w:id="133">
    <w:p w14:paraId="6CEDB9BA" w14:textId="77777777" w:rsidR="00BA10E9" w:rsidRDefault="00BA10E9" w:rsidP="00B47442">
      <w:pPr>
        <w:pStyle w:val="BRL-Funote"/>
      </w:pPr>
      <w:r>
        <w:rPr>
          <w:rStyle w:val="FootnoteReference"/>
        </w:rPr>
        <w:footnoteRef/>
      </w:r>
      <w:r>
        <w:t xml:space="preserve"> Implemented in Germany by DIN EN 12094-12:2003-07</w:t>
      </w:r>
    </w:p>
  </w:footnote>
  <w:footnote w:id="134">
    <w:p w14:paraId="76FB0EB3" w14:textId="77777777" w:rsidR="00BA10E9" w:rsidRDefault="00BA10E9" w:rsidP="00B47442">
      <w:pPr>
        <w:pStyle w:val="BRL-Funote"/>
      </w:pPr>
      <w:r>
        <w:rPr>
          <w:rStyle w:val="FootnoteReference"/>
        </w:rPr>
        <w:footnoteRef/>
      </w:r>
      <w:r>
        <w:t xml:space="preserve"> Implemented in Germany by DIN EN 12094-13:2001-06 + Corrigendum 1 to DIN EN 12094-13:2002-06</w:t>
      </w:r>
    </w:p>
  </w:footnote>
  <w:footnote w:id="135">
    <w:p w14:paraId="4FE5FB90" w14:textId="404BF387" w:rsidR="00BA10E9" w:rsidRDefault="00BA10E9">
      <w:pPr>
        <w:pStyle w:val="FootnoteText"/>
      </w:pPr>
      <w:r>
        <w:rPr>
          <w:rStyle w:val="FootnoteReference"/>
        </w:rPr>
        <w:footnoteRef/>
      </w:r>
      <w:r>
        <w:t xml:space="preserve"> According to national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229" w14:textId="4364CF5A" w:rsidR="00BA10E9" w:rsidRDefault="00BA10E9" w:rsidP="00BA10E9">
    <w:pPr>
      <w:pStyle w:val="Titelseite-berschrift1"/>
      <w:rPr>
        <w:szCs w:val="28"/>
      </w:rPr>
    </w:pPr>
    <w:r>
      <w:t>A - Technical Building Regulations to be observed to meet</w:t>
    </w:r>
    <w:r>
      <w:br/>
      <w:t>the basic requirements for buildings</w:t>
    </w:r>
  </w:p>
  <w:p w14:paraId="0E7E42A2" w14:textId="77777777" w:rsidR="00BA10E9" w:rsidRDefault="00BA10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87A" w14:textId="2CD2DA5D" w:rsidR="00BA10E9" w:rsidRDefault="00BA10E9" w:rsidP="0010739B">
    <w:pPr>
      <w:tabs>
        <w:tab w:val="left" w:pos="851"/>
      </w:tabs>
      <w:rPr>
        <w:sz w:val="16"/>
        <w:szCs w:val="16"/>
      </w:rPr>
    </w:pPr>
    <w:r>
      <w:rPr>
        <w:sz w:val="16"/>
      </w:rPr>
      <w:t>Part A</w:t>
    </w:r>
  </w:p>
  <w:p w14:paraId="0CAD972A" w14:textId="77777777" w:rsidR="00BA10E9" w:rsidRPr="00B1502D" w:rsidRDefault="00BA10E9" w:rsidP="00895B40">
    <w:pPr>
      <w:pStyle w:val="Header"/>
      <w:spacing w:line="20" w:lineRule="exact"/>
      <w:rPr>
        <w:color w:val="FFFFF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9906" w14:textId="500FED9E" w:rsidR="00BA10E9" w:rsidRPr="00261104" w:rsidRDefault="00BA10E9" w:rsidP="00BA10E9">
    <w:pPr>
      <w:pStyle w:val="Titelseite-berschrift1"/>
    </w:pPr>
    <w:r>
      <w:t>A - Technical Building Regulations to be observed to meet</w:t>
    </w:r>
    <w:r>
      <w:br/>
      <w:t>the basic requirements for buildings</w:t>
    </w:r>
  </w:p>
  <w:p w14:paraId="0FC84AFB" w14:textId="77777777" w:rsidR="00BA10E9" w:rsidRDefault="00BA10E9" w:rsidP="00600F53">
    <w:pPr>
      <w:pStyle w:val="BRL-berschrift"/>
    </w:pPr>
  </w:p>
  <w:p w14:paraId="11F143D2" w14:textId="77777777" w:rsidR="00BA10E9" w:rsidRDefault="00BA10E9" w:rsidP="00895B40">
    <w:pPr>
      <w:pStyle w:val="Header"/>
      <w:spacing w:line="2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A4D2" w14:textId="56A878C2" w:rsidR="00BA10E9" w:rsidRDefault="00BA10E9" w:rsidP="00C06241">
    <w:pPr>
      <w:pStyle w:val="BRL-AnlageStandard"/>
    </w:pPr>
    <w:r>
      <w:t>Annexes  |  Part A</w:t>
    </w:r>
  </w:p>
  <w:p w14:paraId="037FCE88" w14:textId="77777777" w:rsidR="00BA10E9" w:rsidRDefault="00BA10E9" w:rsidP="00C062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7568" w14:textId="7E1BC70E" w:rsidR="00BA10E9" w:rsidRDefault="00BA10E9" w:rsidP="00744176">
    <w:pPr>
      <w:tabs>
        <w:tab w:val="left" w:pos="851"/>
      </w:tabs>
      <w:rPr>
        <w:sz w:val="16"/>
        <w:szCs w:val="16"/>
      </w:rPr>
    </w:pPr>
    <w:r>
      <w:rPr>
        <w:sz w:val="16"/>
      </w:rPr>
      <w:t>Part B:</w:t>
    </w:r>
  </w:p>
  <w:p w14:paraId="3D5DEA07" w14:textId="77777777" w:rsidR="00BA10E9" w:rsidRDefault="00BA10E9" w:rsidP="00744176">
    <w:pPr>
      <w:pStyle w:val="BRL-Standard"/>
      <w:spacing w:line="140" w:lineRule="exact"/>
    </w:pPr>
  </w:p>
  <w:p w14:paraId="56E7E0D0" w14:textId="77777777" w:rsidR="00BA10E9" w:rsidRPr="00D158F2" w:rsidRDefault="00BA10E9" w:rsidP="00744176">
    <w:pPr>
      <w:pStyle w:val="BRL-Standard"/>
      <w:spacing w:line="14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3"/>
      <w:gridCol w:w="4537"/>
      <w:gridCol w:w="3402"/>
    </w:tblGrid>
    <w:tr w:rsidR="00BA10E9" w:rsidRPr="00144A00" w14:paraId="11D094DE" w14:textId="77777777" w:rsidTr="00084304">
      <w:trPr>
        <w:trHeight w:hRule="exact" w:val="57"/>
      </w:trPr>
      <w:tc>
        <w:tcPr>
          <w:tcW w:w="9072" w:type="dxa"/>
          <w:gridSpan w:val="3"/>
          <w:tcBorders>
            <w:top w:val="nil"/>
            <w:left w:val="nil"/>
            <w:bottom w:val="nil"/>
            <w:right w:val="nil"/>
          </w:tcBorders>
          <w:shd w:val="clear" w:color="auto" w:fill="auto"/>
        </w:tcPr>
        <w:p w14:paraId="18A87657" w14:textId="77777777" w:rsidR="00BA10E9" w:rsidRDefault="00BA10E9" w:rsidP="00744176">
          <w:pPr>
            <w:pStyle w:val="BRL-berschrift2"/>
          </w:pPr>
        </w:p>
      </w:tc>
    </w:tr>
    <w:tr w:rsidR="00BA10E9" w:rsidRPr="00A11E45" w14:paraId="517D4236" w14:textId="77777777" w:rsidTr="00084304">
      <w:trPr>
        <w:trHeight w:val="427"/>
      </w:trPr>
      <w:tc>
        <w:tcPr>
          <w:tcW w:w="1133" w:type="dxa"/>
          <w:tcBorders>
            <w:bottom w:val="single" w:sz="4" w:space="0" w:color="auto"/>
          </w:tcBorders>
          <w:shd w:val="clear" w:color="auto" w:fill="auto"/>
        </w:tcPr>
        <w:p w14:paraId="09EBB10A" w14:textId="77777777" w:rsidR="00BA10E9" w:rsidRPr="00A11E45" w:rsidRDefault="00BA10E9" w:rsidP="00744176">
          <w:pPr>
            <w:pStyle w:val="BRL-Tabellenkopf"/>
            <w:jc w:val="center"/>
          </w:pPr>
          <w:r>
            <w:t>Ser. No</w:t>
          </w:r>
        </w:p>
      </w:tc>
      <w:tc>
        <w:tcPr>
          <w:tcW w:w="4537" w:type="dxa"/>
          <w:tcBorders>
            <w:bottom w:val="single" w:sz="4" w:space="0" w:color="auto"/>
          </w:tcBorders>
          <w:shd w:val="clear" w:color="auto" w:fill="auto"/>
        </w:tcPr>
        <w:p w14:paraId="64F9AA2E" w14:textId="1885ED24" w:rsidR="00BA10E9" w:rsidRPr="00A11E45" w:rsidRDefault="00BA10E9" w:rsidP="00DD2DE1">
          <w:pPr>
            <w:pStyle w:val="BRL-Tabellenkopf"/>
            <w:jc w:val="center"/>
          </w:pPr>
          <w:r>
            <w:t>Planning, designing and</w:t>
          </w:r>
          <w:r>
            <w:br/>
            <w:t>execution requirements pursuant to § 85a(2) MBO</w:t>
          </w:r>
          <w:r>
            <w:rPr>
              <w:vertAlign w:val="superscript"/>
            </w:rPr>
            <w:t>1</w:t>
          </w:r>
        </w:p>
      </w:tc>
      <w:tc>
        <w:tcPr>
          <w:tcW w:w="3402" w:type="dxa"/>
          <w:tcBorders>
            <w:bottom w:val="single" w:sz="4" w:space="0" w:color="auto"/>
          </w:tcBorders>
          <w:shd w:val="clear" w:color="auto" w:fill="auto"/>
        </w:tcPr>
        <w:p w14:paraId="59028A37" w14:textId="77777777" w:rsidR="00BA10E9" w:rsidRPr="00A11E45" w:rsidRDefault="00BA10E9" w:rsidP="00744176">
          <w:pPr>
            <w:pStyle w:val="BRL-Tabellenkopf"/>
            <w:jc w:val="center"/>
          </w:pPr>
          <w:r>
            <w:t>Measures/specifications pursuant to § 85a(2) MBO</w:t>
          </w:r>
          <w:r>
            <w:rPr>
              <w:vertAlign w:val="superscript"/>
            </w:rPr>
            <w:t>1</w:t>
          </w:r>
        </w:p>
      </w:tc>
    </w:tr>
    <w:tr w:rsidR="00BA10E9" w:rsidRPr="00A11E45" w14:paraId="43723A79" w14:textId="77777777" w:rsidTr="00084304">
      <w:tc>
        <w:tcPr>
          <w:tcW w:w="1133" w:type="dxa"/>
          <w:tcBorders>
            <w:bottom w:val="nil"/>
          </w:tcBorders>
          <w:shd w:val="clear" w:color="auto" w:fill="auto"/>
        </w:tcPr>
        <w:p w14:paraId="4D61F07A" w14:textId="77777777" w:rsidR="00BA10E9" w:rsidRPr="00A11E45" w:rsidRDefault="00BA10E9" w:rsidP="00744176">
          <w:pPr>
            <w:pStyle w:val="BRL-Tabelle"/>
            <w:jc w:val="center"/>
          </w:pPr>
          <w:r>
            <w:t>1</w:t>
          </w:r>
        </w:p>
      </w:tc>
      <w:tc>
        <w:tcPr>
          <w:tcW w:w="4537" w:type="dxa"/>
          <w:tcBorders>
            <w:bottom w:val="nil"/>
          </w:tcBorders>
          <w:shd w:val="clear" w:color="auto" w:fill="auto"/>
        </w:tcPr>
        <w:p w14:paraId="41535083" w14:textId="77777777" w:rsidR="00BA10E9" w:rsidRPr="00A11E45" w:rsidRDefault="00BA10E9" w:rsidP="00744176">
          <w:pPr>
            <w:pStyle w:val="BRL-Tabelle"/>
            <w:jc w:val="center"/>
          </w:pPr>
          <w:r>
            <w:t>2</w:t>
          </w:r>
        </w:p>
      </w:tc>
      <w:tc>
        <w:tcPr>
          <w:tcW w:w="3402" w:type="dxa"/>
          <w:tcBorders>
            <w:bottom w:val="nil"/>
          </w:tcBorders>
          <w:shd w:val="clear" w:color="auto" w:fill="auto"/>
        </w:tcPr>
        <w:p w14:paraId="3444836A" w14:textId="77777777" w:rsidR="00BA10E9" w:rsidRPr="00A11E45" w:rsidRDefault="00BA10E9" w:rsidP="00744176">
          <w:pPr>
            <w:pStyle w:val="BRL-Tabelle"/>
            <w:jc w:val="center"/>
          </w:pPr>
          <w:r>
            <w:t>3</w:t>
          </w:r>
        </w:p>
      </w:tc>
    </w:tr>
  </w:tbl>
  <w:p w14:paraId="1039F9F1" w14:textId="77777777" w:rsidR="00BA10E9" w:rsidRPr="00B1502D" w:rsidRDefault="00BA10E9" w:rsidP="00744176">
    <w:pPr>
      <w:pStyle w:val="Header"/>
      <w:spacing w:line="20" w:lineRule="exact"/>
      <w:rPr>
        <w:color w:val="FFFFFF"/>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48A8" w14:textId="15B056BE" w:rsidR="00BA10E9" w:rsidRPr="00261104" w:rsidRDefault="00BA10E9" w:rsidP="00BA10E9">
    <w:pPr>
      <w:pStyle w:val="Titelseite-berschrift1"/>
    </w:pPr>
    <w:r>
      <w:t>B - Technical Building Regulations must be observed for structural elements and special constructions in addition to the Technical Building Regulations listed in Part A</w:t>
    </w:r>
  </w:p>
  <w:p w14:paraId="3F35383D" w14:textId="77777777" w:rsidR="00BA10E9" w:rsidRDefault="00BA10E9" w:rsidP="00600F53">
    <w:pPr>
      <w:pStyle w:val="BRL-berschrift"/>
    </w:pPr>
  </w:p>
  <w:p w14:paraId="77BB4284" w14:textId="77777777" w:rsidR="00BA10E9" w:rsidRPr="00B1502D" w:rsidRDefault="00BA10E9" w:rsidP="00744176">
    <w:pPr>
      <w:pStyle w:val="Header"/>
      <w:spacing w:line="20" w:lineRule="exact"/>
      <w:rPr>
        <w:color w:val="FFFFFF"/>
      </w:rPr>
    </w:pPr>
  </w:p>
  <w:p w14:paraId="65F3B14B" w14:textId="77777777" w:rsidR="00BA10E9" w:rsidRDefault="00BA10E9" w:rsidP="00744176">
    <w:pPr>
      <w:pStyle w:val="Header"/>
      <w:spacing w:line="2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3FBC" w14:textId="3996CCD9" w:rsidR="00BA10E9" w:rsidRPr="00391260" w:rsidRDefault="00BA10E9" w:rsidP="007817BA">
    <w:pPr>
      <w:tabs>
        <w:tab w:val="left" w:pos="851"/>
      </w:tabs>
      <w:rPr>
        <w:sz w:val="16"/>
        <w:szCs w:val="16"/>
      </w:rPr>
    </w:pPr>
    <w:r>
      <w:rPr>
        <w:sz w:val="16"/>
      </w:rPr>
      <w:t>Annexes | Part B</w:t>
    </w:r>
  </w:p>
  <w:p w14:paraId="4D2CF4D3" w14:textId="77777777" w:rsidR="00BA10E9" w:rsidRDefault="00BA10E9" w:rsidP="007817B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F6D6" w14:textId="2372DD81" w:rsidR="00BA10E9" w:rsidRPr="00261104" w:rsidRDefault="00BA10E9" w:rsidP="00BA10E9">
    <w:pPr>
      <w:pStyle w:val="Titelseite-berschrift1"/>
    </w:pPr>
    <w:bookmarkStart w:id="13" w:name="_Hlk89866979"/>
    <w:bookmarkStart w:id="14" w:name="_Hlk89866980"/>
    <w:r>
      <w:t>C - Technical Building Regulations for construction products that do not bear the CE marking and for designs</w:t>
    </w:r>
  </w:p>
  <w:bookmarkEnd w:id="13"/>
  <w:bookmarkEnd w:id="14"/>
  <w:p w14:paraId="424043D0" w14:textId="77777777" w:rsidR="00BA10E9" w:rsidRPr="00B1502D" w:rsidRDefault="00BA10E9" w:rsidP="00600F53">
    <w:pPr>
      <w:pStyle w:val="BRL-berschri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4018" w14:textId="77777777" w:rsidR="00BA10E9" w:rsidRDefault="00BA10E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E8CB" w14:textId="77777777" w:rsidR="00BA10E9" w:rsidRDefault="00BA10E9" w:rsidP="003D2C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EFE7" w14:textId="4A9B4F08" w:rsidR="00BA10E9" w:rsidRPr="009A321E" w:rsidRDefault="00BA10E9" w:rsidP="004C2C77">
    <w:pPr>
      <w:tabs>
        <w:tab w:val="left" w:pos="851"/>
      </w:tabs>
      <w:rPr>
        <w:sz w:val="16"/>
        <w:szCs w:val="16"/>
      </w:rPr>
    </w:pPr>
    <w:r>
      <w:rPr>
        <w:sz w:val="16"/>
      </w:rPr>
      <w:t>Part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11A7" w14:textId="7206CADA" w:rsidR="00BA10E9" w:rsidRDefault="00BA10E9" w:rsidP="00EA78D6">
    <w:pPr>
      <w:tabs>
        <w:tab w:val="left" w:pos="851"/>
      </w:tabs>
      <w:rPr>
        <w:sz w:val="16"/>
        <w:szCs w:val="16"/>
      </w:rPr>
    </w:pPr>
    <w:r>
      <w:rPr>
        <w:sz w:val="16"/>
      </w:rPr>
      <w:t>Part A</w:t>
    </w:r>
  </w:p>
  <w:p w14:paraId="5305050A" w14:textId="77777777" w:rsidR="00BA10E9" w:rsidRDefault="00BA10E9" w:rsidP="00EA78D6">
    <w:pPr>
      <w:pStyle w:val="BRL-Standard"/>
      <w:spacing w:line="140" w:lineRule="exact"/>
    </w:pPr>
  </w:p>
  <w:p w14:paraId="029F3484" w14:textId="77777777" w:rsidR="00BA10E9" w:rsidRPr="00D158F2" w:rsidRDefault="00BA10E9" w:rsidP="00EA78D6">
    <w:pPr>
      <w:pStyle w:val="BRL-Standard"/>
      <w:spacing w:line="140" w:lineRule="exact"/>
    </w:pP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3402"/>
      <w:gridCol w:w="2835"/>
      <w:gridCol w:w="1701"/>
    </w:tblGrid>
    <w:tr w:rsidR="00BA10E9" w:rsidRPr="00244268" w14:paraId="09B0CA50" w14:textId="77777777" w:rsidTr="00EA78D6">
      <w:tc>
        <w:tcPr>
          <w:tcW w:w="1134" w:type="dxa"/>
        </w:tcPr>
        <w:p w14:paraId="30AE644D" w14:textId="77777777" w:rsidR="00BA10E9" w:rsidRPr="00244268" w:rsidRDefault="00BA10E9" w:rsidP="00EA78D6">
          <w:pPr>
            <w:pStyle w:val="BRL-Tabellenkopf"/>
            <w:jc w:val="center"/>
          </w:pPr>
          <w:r>
            <w:t>Ser. No</w:t>
          </w:r>
        </w:p>
      </w:tc>
      <w:tc>
        <w:tcPr>
          <w:tcW w:w="3402" w:type="dxa"/>
        </w:tcPr>
        <w:p w14:paraId="2D9FDE3A" w14:textId="06DDC0DB" w:rsidR="00BA10E9" w:rsidRPr="00244268" w:rsidRDefault="00BA10E9" w:rsidP="00003A00">
          <w:pPr>
            <w:pStyle w:val="BRL-Tabellenkopf"/>
            <w:jc w:val="center"/>
          </w:pPr>
          <w:r>
            <w:t>Planning,</w:t>
          </w:r>
          <w:r>
            <w:br/>
            <w:t>designing and execution requirements</w:t>
          </w:r>
          <w:r>
            <w:br/>
            <w:t>pursuant to § 85a(2) MBO</w:t>
          </w:r>
          <w:r>
            <w:rPr>
              <w:vertAlign w:val="superscript"/>
            </w:rPr>
            <w:t>1</w:t>
          </w:r>
        </w:p>
      </w:tc>
      <w:tc>
        <w:tcPr>
          <w:tcW w:w="2835" w:type="dxa"/>
        </w:tcPr>
        <w:p w14:paraId="691D24EB" w14:textId="77777777" w:rsidR="00BA10E9" w:rsidRPr="00244268" w:rsidRDefault="00BA10E9" w:rsidP="00EA78D6">
          <w:pPr>
            <w:pStyle w:val="BRL-Tabellenkopf"/>
            <w:jc w:val="center"/>
          </w:pPr>
          <w:r>
            <w:t>Technical rules/version</w:t>
          </w:r>
        </w:p>
      </w:tc>
      <w:tc>
        <w:tcPr>
          <w:tcW w:w="1701" w:type="dxa"/>
        </w:tcPr>
        <w:p w14:paraId="1E1E4103" w14:textId="77777777" w:rsidR="00BA10E9" w:rsidRPr="00244268" w:rsidRDefault="00BA10E9" w:rsidP="00EA78D6">
          <w:pPr>
            <w:pStyle w:val="BRL-Tabellenkopf"/>
            <w:jc w:val="center"/>
          </w:pPr>
          <w:r>
            <w:t>Further measures pursuant to § 85a(2) MBO</w:t>
          </w:r>
          <w:r>
            <w:rPr>
              <w:vertAlign w:val="superscript"/>
            </w:rPr>
            <w:t>1</w:t>
          </w:r>
        </w:p>
      </w:tc>
    </w:tr>
    <w:tr w:rsidR="00BA10E9" w:rsidRPr="00817D87" w14:paraId="5726C390" w14:textId="77777777" w:rsidTr="00EA78D6">
      <w:tc>
        <w:tcPr>
          <w:tcW w:w="1134" w:type="dxa"/>
        </w:tcPr>
        <w:p w14:paraId="5E4E17B5" w14:textId="77777777" w:rsidR="00BA10E9" w:rsidRPr="00817D87" w:rsidRDefault="00BA10E9" w:rsidP="00EA78D6">
          <w:pPr>
            <w:pStyle w:val="BRL-Tabellenkopf"/>
            <w:jc w:val="center"/>
          </w:pPr>
          <w:r>
            <w:t>1</w:t>
          </w:r>
        </w:p>
      </w:tc>
      <w:tc>
        <w:tcPr>
          <w:tcW w:w="3402" w:type="dxa"/>
        </w:tcPr>
        <w:p w14:paraId="74F060E1" w14:textId="77777777" w:rsidR="00BA10E9" w:rsidRPr="00817D87" w:rsidRDefault="00BA10E9" w:rsidP="00EA78D6">
          <w:pPr>
            <w:pStyle w:val="BRL-Tabellenkopf"/>
            <w:jc w:val="center"/>
          </w:pPr>
          <w:r>
            <w:t>2</w:t>
          </w:r>
        </w:p>
      </w:tc>
      <w:tc>
        <w:tcPr>
          <w:tcW w:w="2835" w:type="dxa"/>
        </w:tcPr>
        <w:p w14:paraId="44C187AE" w14:textId="77777777" w:rsidR="00BA10E9" w:rsidRPr="00817D87" w:rsidRDefault="00BA10E9" w:rsidP="00EA78D6">
          <w:pPr>
            <w:pStyle w:val="BRL-Tabellenkopf"/>
            <w:jc w:val="center"/>
          </w:pPr>
          <w:r>
            <w:t>3</w:t>
          </w:r>
        </w:p>
      </w:tc>
      <w:tc>
        <w:tcPr>
          <w:tcW w:w="1701" w:type="dxa"/>
        </w:tcPr>
        <w:p w14:paraId="4F7F0670" w14:textId="77777777" w:rsidR="00BA10E9" w:rsidRPr="00817D87" w:rsidRDefault="00BA10E9" w:rsidP="00EA78D6">
          <w:pPr>
            <w:pStyle w:val="BRL-Tabellenkopf"/>
            <w:jc w:val="center"/>
          </w:pPr>
          <w:r>
            <w:t>4</w:t>
          </w:r>
        </w:p>
      </w:tc>
    </w:tr>
  </w:tbl>
  <w:p w14:paraId="05295318" w14:textId="77777777" w:rsidR="00BA10E9" w:rsidRPr="00B1502D" w:rsidRDefault="00BA10E9" w:rsidP="00EA78D6">
    <w:pPr>
      <w:pStyle w:val="Header"/>
      <w:spacing w:line="20" w:lineRule="exact"/>
      <w:rPr>
        <w:color w:val="FFFFFF"/>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97A4" w14:textId="22621A63" w:rsidR="00BA10E9" w:rsidRPr="009203B9" w:rsidRDefault="00BA10E9" w:rsidP="003D2C68">
    <w:pPr>
      <w:tabs>
        <w:tab w:val="left" w:pos="851"/>
      </w:tabs>
      <w:rPr>
        <w:sz w:val="16"/>
        <w:szCs w:val="16"/>
      </w:rPr>
    </w:pPr>
    <w:r>
      <w:rPr>
        <w:sz w:val="16"/>
      </w:rPr>
      <w:t>Part C</w:t>
    </w:r>
  </w:p>
  <w:p w14:paraId="29456B56" w14:textId="77777777" w:rsidR="00BA10E9" w:rsidRDefault="00BA10E9" w:rsidP="003D2C68">
    <w:pPr>
      <w:pStyle w:val="BRL-Standard"/>
      <w:spacing w:line="140" w:lineRule="exact"/>
    </w:pPr>
  </w:p>
  <w:p w14:paraId="6733865A" w14:textId="77777777" w:rsidR="00BA10E9" w:rsidRPr="00D158F2" w:rsidRDefault="00BA10E9" w:rsidP="003D2C68">
    <w:pPr>
      <w:pStyle w:val="BRL-Standard"/>
      <w:spacing w:line="140" w:lineRule="exac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3402"/>
      <w:gridCol w:w="3539"/>
      <w:gridCol w:w="1418"/>
    </w:tblGrid>
    <w:tr w:rsidR="00BA10E9" w:rsidRPr="00A11E45" w14:paraId="36311594" w14:textId="77777777" w:rsidTr="0009445C">
      <w:tc>
        <w:tcPr>
          <w:tcW w:w="1134" w:type="dxa"/>
          <w:tcBorders>
            <w:top w:val="single" w:sz="4" w:space="0" w:color="auto"/>
            <w:bottom w:val="single" w:sz="4" w:space="0" w:color="auto"/>
          </w:tcBorders>
          <w:shd w:val="clear" w:color="auto" w:fill="auto"/>
        </w:tcPr>
        <w:p w14:paraId="3EB608CE" w14:textId="77777777" w:rsidR="00BA10E9" w:rsidRPr="00A11E45" w:rsidRDefault="00BA10E9" w:rsidP="003D2C68">
          <w:pPr>
            <w:pStyle w:val="BRL-Tabelle"/>
            <w:jc w:val="center"/>
          </w:pPr>
          <w:r>
            <w:t>Ser. No</w:t>
          </w:r>
        </w:p>
      </w:tc>
      <w:tc>
        <w:tcPr>
          <w:tcW w:w="3402" w:type="dxa"/>
          <w:tcBorders>
            <w:top w:val="single" w:sz="4" w:space="0" w:color="auto"/>
            <w:bottom w:val="single" w:sz="4" w:space="0" w:color="auto"/>
          </w:tcBorders>
          <w:shd w:val="clear" w:color="auto" w:fill="auto"/>
        </w:tcPr>
        <w:p w14:paraId="687CA611" w14:textId="77777777" w:rsidR="00BA10E9" w:rsidRPr="00A11E45" w:rsidRDefault="00BA10E9" w:rsidP="003D2C68">
          <w:pPr>
            <w:pStyle w:val="BRL-Tabelle"/>
            <w:jc w:val="center"/>
          </w:pPr>
          <w:r>
            <w:t>Construction product</w:t>
          </w:r>
        </w:p>
      </w:tc>
      <w:tc>
        <w:tcPr>
          <w:tcW w:w="3539" w:type="dxa"/>
          <w:tcBorders>
            <w:top w:val="single" w:sz="4" w:space="0" w:color="auto"/>
            <w:bottom w:val="single" w:sz="4" w:space="0" w:color="auto"/>
          </w:tcBorders>
          <w:shd w:val="clear" w:color="auto" w:fill="auto"/>
        </w:tcPr>
        <w:p w14:paraId="10FBD536" w14:textId="77777777" w:rsidR="00BA10E9" w:rsidRPr="00A11E45" w:rsidRDefault="00BA10E9" w:rsidP="003D2C68">
          <w:pPr>
            <w:pStyle w:val="BRL-Tabelle"/>
            <w:jc w:val="center"/>
          </w:pPr>
          <w:r>
            <w:t>Technical rules/version</w:t>
          </w:r>
        </w:p>
      </w:tc>
      <w:tc>
        <w:tcPr>
          <w:tcW w:w="1418" w:type="dxa"/>
          <w:tcBorders>
            <w:top w:val="single" w:sz="4" w:space="0" w:color="auto"/>
            <w:bottom w:val="single" w:sz="4" w:space="0" w:color="auto"/>
          </w:tcBorders>
          <w:shd w:val="clear" w:color="auto" w:fill="auto"/>
        </w:tcPr>
        <w:p w14:paraId="282F35D6" w14:textId="77777777" w:rsidR="00BA10E9" w:rsidRPr="00A11E45" w:rsidRDefault="00BA10E9" w:rsidP="003D2C68">
          <w:pPr>
            <w:pStyle w:val="BRL-Tabelle"/>
            <w:jc w:val="center"/>
          </w:pPr>
          <w:r>
            <w:t>Declaration of conformity</w:t>
          </w:r>
        </w:p>
      </w:tc>
    </w:tr>
    <w:tr w:rsidR="00BA10E9" w:rsidRPr="00A11E45" w14:paraId="75436AAA" w14:textId="77777777" w:rsidTr="0009445C">
      <w:tc>
        <w:tcPr>
          <w:tcW w:w="1134" w:type="dxa"/>
          <w:tcBorders>
            <w:bottom w:val="nil"/>
          </w:tcBorders>
          <w:shd w:val="clear" w:color="auto" w:fill="auto"/>
        </w:tcPr>
        <w:p w14:paraId="1415A982" w14:textId="77777777" w:rsidR="00BA10E9" w:rsidRPr="00A11E45" w:rsidRDefault="00BA10E9" w:rsidP="003D2C68">
          <w:pPr>
            <w:pStyle w:val="BRL-Tabelle"/>
            <w:jc w:val="center"/>
          </w:pPr>
          <w:r>
            <w:t>1</w:t>
          </w:r>
        </w:p>
      </w:tc>
      <w:tc>
        <w:tcPr>
          <w:tcW w:w="3402" w:type="dxa"/>
          <w:tcBorders>
            <w:bottom w:val="nil"/>
          </w:tcBorders>
          <w:shd w:val="clear" w:color="auto" w:fill="auto"/>
        </w:tcPr>
        <w:p w14:paraId="1E14926E" w14:textId="77777777" w:rsidR="00BA10E9" w:rsidRPr="00A11E45" w:rsidRDefault="00BA10E9" w:rsidP="003D2C68">
          <w:pPr>
            <w:pStyle w:val="BRL-Tabelle"/>
            <w:jc w:val="center"/>
          </w:pPr>
          <w:r>
            <w:t>2</w:t>
          </w:r>
        </w:p>
      </w:tc>
      <w:tc>
        <w:tcPr>
          <w:tcW w:w="3539" w:type="dxa"/>
          <w:tcBorders>
            <w:bottom w:val="nil"/>
          </w:tcBorders>
          <w:shd w:val="clear" w:color="auto" w:fill="auto"/>
        </w:tcPr>
        <w:p w14:paraId="16425444" w14:textId="77777777" w:rsidR="00BA10E9" w:rsidRPr="00A11E45" w:rsidRDefault="00BA10E9" w:rsidP="003D2C68">
          <w:pPr>
            <w:pStyle w:val="BRL-Tabelle"/>
            <w:jc w:val="center"/>
          </w:pPr>
          <w:r>
            <w:t>3</w:t>
          </w:r>
        </w:p>
      </w:tc>
      <w:tc>
        <w:tcPr>
          <w:tcW w:w="1418" w:type="dxa"/>
          <w:tcBorders>
            <w:bottom w:val="nil"/>
          </w:tcBorders>
          <w:shd w:val="clear" w:color="auto" w:fill="auto"/>
        </w:tcPr>
        <w:p w14:paraId="09A76110" w14:textId="77777777" w:rsidR="00BA10E9" w:rsidRPr="00A11E45" w:rsidRDefault="00BA10E9" w:rsidP="003D2C68">
          <w:pPr>
            <w:pStyle w:val="BRL-Tabelle"/>
            <w:jc w:val="center"/>
          </w:pPr>
          <w:r>
            <w:t>4</w:t>
          </w:r>
        </w:p>
      </w:tc>
    </w:tr>
  </w:tbl>
  <w:p w14:paraId="36600361" w14:textId="77777777" w:rsidR="00BA10E9" w:rsidRPr="00B1502D" w:rsidRDefault="00BA10E9" w:rsidP="003D2C68">
    <w:pPr>
      <w:pStyle w:val="Header"/>
      <w:spacing w:line="20" w:lineRule="exact"/>
      <w:rPr>
        <w:color w:val="FFFFFF"/>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E678" w14:textId="781D4B12" w:rsidR="00BA10E9" w:rsidRPr="00261104" w:rsidRDefault="00BA10E9" w:rsidP="007D6BBF">
    <w:pPr>
      <w:pStyle w:val="Titelseite-berschrift1"/>
    </w:pPr>
    <w:r>
      <w:t>C - Technical Building Regulations for construction products that do not bear the CE marking and for designs</w:t>
    </w:r>
  </w:p>
  <w:p w14:paraId="75426E38" w14:textId="77777777" w:rsidR="00BA10E9" w:rsidRPr="00B1502D" w:rsidRDefault="00BA10E9" w:rsidP="00600F53">
    <w:pPr>
      <w:pStyle w:val="BRL-berschri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1E3D" w14:textId="3E543750" w:rsidR="00BA10E9" w:rsidRPr="009203B9" w:rsidRDefault="00BA10E9" w:rsidP="00EF09ED">
    <w:pPr>
      <w:tabs>
        <w:tab w:val="left" w:pos="851"/>
      </w:tabs>
      <w:rPr>
        <w:sz w:val="16"/>
        <w:szCs w:val="16"/>
      </w:rPr>
    </w:pPr>
    <w:r>
      <w:rPr>
        <w:sz w:val="16"/>
      </w:rPr>
      <w:t>Annexes  |  Part C</w:t>
    </w:r>
  </w:p>
  <w:p w14:paraId="3167C9B4" w14:textId="77777777" w:rsidR="00BA10E9" w:rsidRPr="009A419A" w:rsidRDefault="00BA10E9" w:rsidP="00EF09E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D77" w14:textId="78A27C85" w:rsidR="00BA10E9" w:rsidRPr="009203B9" w:rsidRDefault="00BA10E9" w:rsidP="009A419A">
    <w:pPr>
      <w:tabs>
        <w:tab w:val="left" w:pos="851"/>
      </w:tabs>
      <w:rPr>
        <w:sz w:val="16"/>
        <w:szCs w:val="16"/>
      </w:rPr>
    </w:pPr>
    <w:r>
      <w:rPr>
        <w:sz w:val="16"/>
      </w:rPr>
      <w:t>Annexes  |  Part C</w:t>
    </w:r>
  </w:p>
  <w:p w14:paraId="45C801C7" w14:textId="77777777" w:rsidR="00BA10E9" w:rsidRPr="009A419A" w:rsidRDefault="00BA10E9" w:rsidP="009A419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7866" w14:textId="7B456377" w:rsidR="00BA10E9" w:rsidRPr="00261104" w:rsidRDefault="00BA10E9" w:rsidP="007D6BBF">
    <w:pPr>
      <w:pStyle w:val="Titelseite-berschrift1"/>
    </w:pPr>
    <w:r>
      <w:t>C - Technical Building Regulations for construction products that do not bear the CE marking and for designs</w:t>
    </w:r>
  </w:p>
  <w:p w14:paraId="2A26B188" w14:textId="77777777" w:rsidR="00BA10E9" w:rsidRDefault="00BA10E9" w:rsidP="00600F53">
    <w:pPr>
      <w:pStyle w:val="BRL-berschrift"/>
    </w:pPr>
  </w:p>
  <w:p w14:paraId="29756508" w14:textId="77777777" w:rsidR="00BA10E9" w:rsidRPr="00B1502D" w:rsidRDefault="00BA10E9" w:rsidP="006E60F4">
    <w:pPr>
      <w:pStyle w:val="Header"/>
      <w:spacing w:line="20" w:lineRule="exact"/>
      <w:rPr>
        <w:color w:val="FFFFFF"/>
      </w:rPr>
    </w:pPr>
  </w:p>
  <w:p w14:paraId="17B1A758" w14:textId="77777777" w:rsidR="00BA10E9" w:rsidRDefault="00BA10E9" w:rsidP="006E60F4">
    <w:pPr>
      <w:pStyle w:val="Header"/>
      <w:spacing w:line="20"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854D" w14:textId="4796EAA8" w:rsidR="00BA10E9" w:rsidRPr="009203B9" w:rsidRDefault="00BA10E9" w:rsidP="00617B88">
    <w:pPr>
      <w:tabs>
        <w:tab w:val="left" w:pos="851"/>
      </w:tabs>
      <w:rPr>
        <w:sz w:val="16"/>
        <w:szCs w:val="16"/>
      </w:rPr>
    </w:pPr>
    <w:r>
      <w:rPr>
        <w:sz w:val="16"/>
      </w:rPr>
      <w:t>Annexes  |  Part C</w:t>
    </w:r>
  </w:p>
  <w:p w14:paraId="3BA2BDCE" w14:textId="77777777" w:rsidR="00BA10E9" w:rsidRDefault="00BA10E9" w:rsidP="00617B8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70BC" w14:textId="1D68255A" w:rsidR="00BA10E9" w:rsidRDefault="00BA10E9" w:rsidP="007D6BBF">
    <w:pPr>
      <w:pStyle w:val="Titelseite-berschrift1"/>
      <w:rPr>
        <w:szCs w:val="28"/>
      </w:rPr>
    </w:pPr>
    <w:r>
      <w:t>D - Construction products that do not require usability certification</w:t>
    </w:r>
  </w:p>
  <w:p w14:paraId="235EC02E" w14:textId="77777777" w:rsidR="00BA10E9" w:rsidRPr="00C96461" w:rsidRDefault="00BA10E9" w:rsidP="00C9646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1B8" w14:textId="77777777" w:rsidR="00BA10E9" w:rsidRDefault="00BA10E9" w:rsidP="004C2C77">
    <w:pPr>
      <w:pStyle w:val="Header"/>
    </w:pPr>
  </w:p>
  <w:p w14:paraId="3E1D4CDF" w14:textId="77777777" w:rsidR="00BA10E9" w:rsidRPr="002C6F64" w:rsidRDefault="00BA10E9" w:rsidP="004C2C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66EA154B" w14:textId="77777777" w:rsidTr="004C2C77">
      <w:trPr>
        <w:trHeight w:val="227"/>
      </w:trPr>
      <w:tc>
        <w:tcPr>
          <w:tcW w:w="906" w:type="dxa"/>
          <w:shd w:val="clear" w:color="auto" w:fill="auto"/>
          <w:vAlign w:val="bottom"/>
        </w:tcPr>
        <w:p w14:paraId="7510E744" w14:textId="77777777" w:rsidR="00BA10E9" w:rsidRPr="002C6F64" w:rsidRDefault="00BA10E9" w:rsidP="004C2C77">
          <w:pPr>
            <w:pStyle w:val="Header"/>
            <w:tabs>
              <w:tab w:val="clear" w:pos="4536"/>
              <w:tab w:val="clear" w:pos="9072"/>
            </w:tabs>
            <w:spacing w:line="240" w:lineRule="auto"/>
            <w:rPr>
              <w:sz w:val="16"/>
              <w:szCs w:val="16"/>
            </w:rPr>
          </w:pPr>
          <w:r>
            <w:rPr>
              <w:sz w:val="16"/>
            </w:rPr>
            <w:t>Annex 2</w:t>
          </w:r>
        </w:p>
      </w:tc>
      <w:tc>
        <w:tcPr>
          <w:tcW w:w="622" w:type="dxa"/>
          <w:shd w:val="clear" w:color="auto" w:fill="auto"/>
          <w:vAlign w:val="bottom"/>
        </w:tcPr>
        <w:p w14:paraId="24851DC8" w14:textId="22D642CD" w:rsidR="00BA10E9" w:rsidRPr="00600CD7" w:rsidRDefault="00BA10E9" w:rsidP="004C2C77">
          <w:pPr>
            <w:pStyle w:val="Header"/>
            <w:tabs>
              <w:tab w:val="clear" w:pos="4536"/>
              <w:tab w:val="clear" w:pos="9072"/>
            </w:tabs>
            <w:spacing w:line="240" w:lineRule="auto"/>
          </w:pPr>
        </w:p>
      </w:tc>
      <w:tc>
        <w:tcPr>
          <w:tcW w:w="7544" w:type="dxa"/>
          <w:shd w:val="clear" w:color="auto" w:fill="auto"/>
          <w:vAlign w:val="bottom"/>
        </w:tcPr>
        <w:p w14:paraId="21D441B9" w14:textId="77777777" w:rsidR="00BA10E9" w:rsidRPr="002C6F64" w:rsidRDefault="00BA10E9" w:rsidP="004C2C77">
          <w:pPr>
            <w:pStyle w:val="Header"/>
            <w:tabs>
              <w:tab w:val="clear" w:pos="4536"/>
              <w:tab w:val="clear" w:pos="9072"/>
            </w:tabs>
            <w:spacing w:line="240" w:lineRule="auto"/>
            <w:jc w:val="right"/>
            <w:rPr>
              <w:sz w:val="16"/>
              <w:szCs w:val="16"/>
            </w:rPr>
          </w:pPr>
          <w:r>
            <w:rPr>
              <w:sz w:val="16"/>
            </w:rPr>
            <w:t>Anchors in concrete</w:t>
          </w:r>
        </w:p>
      </w:tc>
    </w:tr>
  </w:tbl>
  <w:p w14:paraId="3D3FDC33" w14:textId="77777777" w:rsidR="00BA10E9" w:rsidRPr="00BE26A8" w:rsidRDefault="00BA10E9" w:rsidP="004C2C77">
    <w:pPr>
      <w:pStyle w:val="Header"/>
      <w:rPr>
        <w:sz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B372" w14:textId="77777777" w:rsidR="00BA10E9" w:rsidRPr="002C6F64" w:rsidRDefault="00BA10E9" w:rsidP="004C2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9328" w14:textId="5E6034B2" w:rsidR="00BA10E9" w:rsidRDefault="00BA10E9" w:rsidP="00EA78D6">
    <w:pPr>
      <w:tabs>
        <w:tab w:val="left" w:pos="851"/>
      </w:tabs>
      <w:rPr>
        <w:sz w:val="16"/>
        <w:szCs w:val="16"/>
      </w:rPr>
    </w:pPr>
    <w:r>
      <w:rPr>
        <w:sz w:val="16"/>
      </w:rPr>
      <w:t>Part A</w:t>
    </w:r>
  </w:p>
  <w:p w14:paraId="66995313" w14:textId="77777777" w:rsidR="00BA10E9" w:rsidRDefault="00BA10E9" w:rsidP="00EA78D6">
    <w:pPr>
      <w:pStyle w:val="BRL-Standard"/>
      <w:spacing w:line="140" w:lineRule="exact"/>
    </w:pPr>
  </w:p>
  <w:p w14:paraId="2314EF2C" w14:textId="77777777" w:rsidR="00BA10E9" w:rsidRPr="00D158F2" w:rsidRDefault="00BA10E9" w:rsidP="00EA78D6">
    <w:pPr>
      <w:pStyle w:val="BRL-Standard"/>
      <w:spacing w:line="140" w:lineRule="exact"/>
    </w:pP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3402"/>
      <w:gridCol w:w="2835"/>
      <w:gridCol w:w="1701"/>
    </w:tblGrid>
    <w:tr w:rsidR="00BA10E9" w:rsidRPr="00244268" w14:paraId="58FE933D" w14:textId="77777777" w:rsidTr="00EA78D6">
      <w:tc>
        <w:tcPr>
          <w:tcW w:w="1134" w:type="dxa"/>
        </w:tcPr>
        <w:p w14:paraId="75283AB5" w14:textId="77777777" w:rsidR="00BA10E9" w:rsidRPr="00244268" w:rsidRDefault="00BA10E9" w:rsidP="00EA78D6">
          <w:pPr>
            <w:pStyle w:val="BRL-Tabellenkopf"/>
            <w:jc w:val="center"/>
          </w:pPr>
          <w:r>
            <w:t>Ser. No</w:t>
          </w:r>
        </w:p>
      </w:tc>
      <w:tc>
        <w:tcPr>
          <w:tcW w:w="3402" w:type="dxa"/>
        </w:tcPr>
        <w:p w14:paraId="76690037" w14:textId="62B1B8D8" w:rsidR="00BA10E9" w:rsidRPr="00244268" w:rsidRDefault="00BA10E9" w:rsidP="00003A00">
          <w:pPr>
            <w:pStyle w:val="BRL-Tabellenkopf"/>
            <w:jc w:val="center"/>
          </w:pPr>
          <w:r>
            <w:t>Planning,</w:t>
          </w:r>
          <w:r>
            <w:br/>
            <w:t>designing and execution requirements</w:t>
          </w:r>
          <w:r>
            <w:br/>
            <w:t>pursuant to § 85a(2) MBO</w:t>
          </w:r>
          <w:r>
            <w:rPr>
              <w:vertAlign w:val="superscript"/>
            </w:rPr>
            <w:t>1</w:t>
          </w:r>
        </w:p>
      </w:tc>
      <w:tc>
        <w:tcPr>
          <w:tcW w:w="2835" w:type="dxa"/>
        </w:tcPr>
        <w:p w14:paraId="353A3B09" w14:textId="77777777" w:rsidR="00BA10E9" w:rsidRPr="00244268" w:rsidRDefault="00BA10E9" w:rsidP="00EA78D6">
          <w:pPr>
            <w:pStyle w:val="BRL-Tabellenkopf"/>
            <w:jc w:val="center"/>
          </w:pPr>
          <w:r>
            <w:t>Technical rules/version</w:t>
          </w:r>
        </w:p>
      </w:tc>
      <w:tc>
        <w:tcPr>
          <w:tcW w:w="1701" w:type="dxa"/>
        </w:tcPr>
        <w:p w14:paraId="15F7A841" w14:textId="77777777" w:rsidR="00BA10E9" w:rsidRPr="00244268" w:rsidRDefault="00BA10E9" w:rsidP="00EA78D6">
          <w:pPr>
            <w:pStyle w:val="BRL-Tabellenkopf"/>
            <w:jc w:val="center"/>
          </w:pPr>
          <w:r>
            <w:t>Further measures pursuant to § 85a(2) MBO</w:t>
          </w:r>
          <w:r>
            <w:rPr>
              <w:vertAlign w:val="superscript"/>
            </w:rPr>
            <w:t>1</w:t>
          </w:r>
        </w:p>
      </w:tc>
    </w:tr>
    <w:tr w:rsidR="00BA10E9" w:rsidRPr="00817D87" w14:paraId="79EA29A4" w14:textId="77777777" w:rsidTr="00EA78D6">
      <w:tc>
        <w:tcPr>
          <w:tcW w:w="1134" w:type="dxa"/>
          <w:vAlign w:val="center"/>
        </w:tcPr>
        <w:p w14:paraId="39636BE5" w14:textId="77777777" w:rsidR="00BA10E9" w:rsidRPr="00817D87" w:rsidRDefault="00BA10E9" w:rsidP="00EA78D6">
          <w:pPr>
            <w:pStyle w:val="BRL-Tabellenkopf"/>
            <w:jc w:val="center"/>
          </w:pPr>
          <w:r>
            <w:t>1</w:t>
          </w:r>
        </w:p>
      </w:tc>
      <w:tc>
        <w:tcPr>
          <w:tcW w:w="3402" w:type="dxa"/>
          <w:vAlign w:val="center"/>
        </w:tcPr>
        <w:p w14:paraId="362EF6C6" w14:textId="77777777" w:rsidR="00BA10E9" w:rsidRPr="00817D87" w:rsidRDefault="00BA10E9" w:rsidP="00EA78D6">
          <w:pPr>
            <w:pStyle w:val="BRL-Tabellenkopf"/>
            <w:jc w:val="center"/>
          </w:pPr>
          <w:r>
            <w:t>2</w:t>
          </w:r>
        </w:p>
      </w:tc>
      <w:tc>
        <w:tcPr>
          <w:tcW w:w="2835" w:type="dxa"/>
          <w:vAlign w:val="center"/>
        </w:tcPr>
        <w:p w14:paraId="42BDE7D1" w14:textId="77777777" w:rsidR="00BA10E9" w:rsidRPr="00817D87" w:rsidRDefault="00BA10E9" w:rsidP="00EA78D6">
          <w:pPr>
            <w:pStyle w:val="BRL-Tabellenkopf"/>
            <w:jc w:val="center"/>
          </w:pPr>
          <w:r>
            <w:t>3</w:t>
          </w:r>
        </w:p>
      </w:tc>
      <w:tc>
        <w:tcPr>
          <w:tcW w:w="1701" w:type="dxa"/>
          <w:vAlign w:val="center"/>
        </w:tcPr>
        <w:p w14:paraId="0A730742" w14:textId="77777777" w:rsidR="00BA10E9" w:rsidRPr="00817D87" w:rsidRDefault="00BA10E9" w:rsidP="00EA78D6">
          <w:pPr>
            <w:pStyle w:val="BRL-Tabellenkopf"/>
            <w:jc w:val="center"/>
          </w:pPr>
          <w:r>
            <w:t>4</w:t>
          </w:r>
        </w:p>
      </w:tc>
    </w:tr>
  </w:tbl>
  <w:p w14:paraId="274C8166" w14:textId="77777777" w:rsidR="00BA10E9" w:rsidRPr="00B1502D" w:rsidRDefault="00BA10E9" w:rsidP="00EA78D6">
    <w:pPr>
      <w:pStyle w:val="Header"/>
      <w:spacing w:line="20" w:lineRule="exact"/>
      <w:rPr>
        <w:color w:val="FFFFFF"/>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6E7CA625" w14:textId="77777777" w:rsidTr="004C2C77">
      <w:trPr>
        <w:trHeight w:val="227"/>
      </w:trPr>
      <w:tc>
        <w:tcPr>
          <w:tcW w:w="906" w:type="dxa"/>
          <w:shd w:val="clear" w:color="auto" w:fill="auto"/>
          <w:vAlign w:val="bottom"/>
        </w:tcPr>
        <w:p w14:paraId="5CFFF283" w14:textId="77777777" w:rsidR="00BA10E9" w:rsidRPr="002C6F64" w:rsidRDefault="00BA10E9" w:rsidP="004C2C77">
          <w:pPr>
            <w:pStyle w:val="Header"/>
            <w:tabs>
              <w:tab w:val="clear" w:pos="4536"/>
              <w:tab w:val="clear" w:pos="9072"/>
            </w:tabs>
            <w:spacing w:line="240" w:lineRule="auto"/>
            <w:rPr>
              <w:sz w:val="16"/>
              <w:szCs w:val="16"/>
            </w:rPr>
          </w:pPr>
          <w:r>
            <w:rPr>
              <w:sz w:val="16"/>
            </w:rPr>
            <w:t>Annex 2</w:t>
          </w:r>
        </w:p>
      </w:tc>
      <w:tc>
        <w:tcPr>
          <w:tcW w:w="622" w:type="dxa"/>
          <w:shd w:val="clear" w:color="auto" w:fill="auto"/>
          <w:vAlign w:val="bottom"/>
        </w:tcPr>
        <w:p w14:paraId="62078246" w14:textId="077CD119" w:rsidR="00BA10E9" w:rsidRPr="00600CD7" w:rsidRDefault="00BA10E9" w:rsidP="004C2C77">
          <w:pPr>
            <w:pStyle w:val="Header"/>
            <w:tabs>
              <w:tab w:val="clear" w:pos="4536"/>
              <w:tab w:val="clear" w:pos="9072"/>
            </w:tabs>
            <w:spacing w:line="240" w:lineRule="auto"/>
          </w:pPr>
        </w:p>
      </w:tc>
      <w:tc>
        <w:tcPr>
          <w:tcW w:w="7544" w:type="dxa"/>
          <w:shd w:val="clear" w:color="auto" w:fill="auto"/>
          <w:vAlign w:val="bottom"/>
        </w:tcPr>
        <w:p w14:paraId="551DACD7" w14:textId="77777777" w:rsidR="00BA10E9" w:rsidRPr="002C6F64" w:rsidRDefault="00BA10E9" w:rsidP="004C2C77">
          <w:pPr>
            <w:pStyle w:val="Header"/>
            <w:tabs>
              <w:tab w:val="clear" w:pos="4536"/>
              <w:tab w:val="clear" w:pos="9072"/>
            </w:tabs>
            <w:spacing w:line="240" w:lineRule="auto"/>
            <w:jc w:val="right"/>
            <w:rPr>
              <w:sz w:val="16"/>
              <w:szCs w:val="16"/>
            </w:rPr>
          </w:pPr>
          <w:r>
            <w:rPr>
              <w:sz w:val="16"/>
            </w:rPr>
            <w:t>Anchors in concrete</w:t>
          </w:r>
        </w:p>
      </w:tc>
    </w:tr>
  </w:tbl>
  <w:p w14:paraId="3EFEC4D0" w14:textId="77777777" w:rsidR="00BA10E9" w:rsidRDefault="00BA10E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BE93" w14:textId="77777777" w:rsidR="00BA10E9" w:rsidRDefault="00BA10E9" w:rsidP="00E713B0">
    <w:pPr>
      <w:pStyle w:val="Header"/>
    </w:pPr>
  </w:p>
  <w:p w14:paraId="5EFACDD7" w14:textId="77777777" w:rsidR="00BA10E9" w:rsidRPr="002C6F64" w:rsidRDefault="00BA10E9" w:rsidP="00E713B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5"/>
      <w:gridCol w:w="622"/>
      <w:gridCol w:w="2868"/>
      <w:gridCol w:w="4677"/>
    </w:tblGrid>
    <w:tr w:rsidR="00BA10E9" w:rsidRPr="00600CD7" w14:paraId="5CF188F0" w14:textId="77777777" w:rsidTr="00E713B0">
      <w:trPr>
        <w:trHeight w:val="227"/>
      </w:trPr>
      <w:tc>
        <w:tcPr>
          <w:tcW w:w="905" w:type="dxa"/>
          <w:shd w:val="clear" w:color="auto" w:fill="auto"/>
          <w:vAlign w:val="bottom"/>
        </w:tcPr>
        <w:p w14:paraId="5B90A99E" w14:textId="77777777" w:rsidR="00BA10E9" w:rsidRPr="002C6F64" w:rsidRDefault="00BA10E9" w:rsidP="00E713B0">
          <w:pPr>
            <w:pStyle w:val="Header"/>
            <w:tabs>
              <w:tab w:val="clear" w:pos="4536"/>
              <w:tab w:val="clear" w:pos="9072"/>
            </w:tabs>
            <w:spacing w:line="240" w:lineRule="auto"/>
            <w:rPr>
              <w:sz w:val="16"/>
              <w:szCs w:val="16"/>
            </w:rPr>
          </w:pPr>
          <w:r>
            <w:rPr>
              <w:sz w:val="16"/>
            </w:rPr>
            <w:t>Annex 4</w:t>
          </w:r>
        </w:p>
      </w:tc>
      <w:tc>
        <w:tcPr>
          <w:tcW w:w="622" w:type="dxa"/>
          <w:shd w:val="clear" w:color="auto" w:fill="auto"/>
          <w:vAlign w:val="bottom"/>
        </w:tcPr>
        <w:p w14:paraId="57C7FB12" w14:textId="32067BB7" w:rsidR="00BA10E9" w:rsidRPr="00600CD7" w:rsidRDefault="00BA10E9" w:rsidP="00E713B0">
          <w:pPr>
            <w:pStyle w:val="Header"/>
            <w:tabs>
              <w:tab w:val="clear" w:pos="4536"/>
              <w:tab w:val="clear" w:pos="9072"/>
            </w:tabs>
            <w:spacing w:line="240" w:lineRule="auto"/>
          </w:pPr>
        </w:p>
      </w:tc>
      <w:tc>
        <w:tcPr>
          <w:tcW w:w="2868" w:type="dxa"/>
          <w:shd w:val="clear" w:color="auto" w:fill="auto"/>
          <w:vAlign w:val="bottom"/>
        </w:tcPr>
        <w:p w14:paraId="2DF7D83A" w14:textId="77777777" w:rsidR="00BA10E9" w:rsidRPr="00600CD7" w:rsidRDefault="00BA10E9" w:rsidP="00E713B0">
          <w:pPr>
            <w:pStyle w:val="Header"/>
            <w:tabs>
              <w:tab w:val="clear" w:pos="4536"/>
              <w:tab w:val="clear" w:pos="9072"/>
            </w:tabs>
            <w:spacing w:line="240" w:lineRule="auto"/>
            <w:jc w:val="right"/>
          </w:pPr>
        </w:p>
      </w:tc>
      <w:tc>
        <w:tcPr>
          <w:tcW w:w="4677" w:type="dxa"/>
          <w:shd w:val="clear" w:color="auto" w:fill="auto"/>
          <w:vAlign w:val="bottom"/>
        </w:tcPr>
        <w:p w14:paraId="182EF81F" w14:textId="77777777" w:rsidR="00BA10E9" w:rsidRPr="002C6F64" w:rsidRDefault="00BA10E9" w:rsidP="00E713B0">
          <w:pPr>
            <w:pStyle w:val="Header"/>
            <w:tabs>
              <w:tab w:val="clear" w:pos="4536"/>
              <w:tab w:val="clear" w:pos="9072"/>
            </w:tabs>
            <w:spacing w:line="240" w:lineRule="auto"/>
            <w:jc w:val="right"/>
            <w:rPr>
              <w:sz w:val="16"/>
              <w:szCs w:val="16"/>
            </w:rPr>
          </w:pPr>
          <w:r>
            <w:rPr>
              <w:sz w:val="16"/>
            </w:rPr>
            <w:t xml:space="preserve">Building approval requirements, allocation of classes  </w:t>
          </w:r>
        </w:p>
      </w:tc>
    </w:tr>
  </w:tbl>
  <w:p w14:paraId="391F4A8F" w14:textId="77777777" w:rsidR="00BA10E9" w:rsidRDefault="00BA10E9" w:rsidP="00E713B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9639" w14:textId="77777777" w:rsidR="00BA10E9" w:rsidRPr="002C6F64" w:rsidRDefault="00BA10E9" w:rsidP="00E713B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5"/>
      <w:gridCol w:w="622"/>
      <w:gridCol w:w="2868"/>
      <w:gridCol w:w="4677"/>
    </w:tblGrid>
    <w:tr w:rsidR="00BA10E9" w:rsidRPr="00600CD7" w14:paraId="5D62D099" w14:textId="77777777" w:rsidTr="00E713B0">
      <w:trPr>
        <w:trHeight w:val="227"/>
      </w:trPr>
      <w:tc>
        <w:tcPr>
          <w:tcW w:w="905" w:type="dxa"/>
          <w:shd w:val="clear" w:color="auto" w:fill="auto"/>
          <w:vAlign w:val="bottom"/>
        </w:tcPr>
        <w:p w14:paraId="27D35290" w14:textId="77777777" w:rsidR="00BA10E9" w:rsidRPr="002C6F64" w:rsidRDefault="00BA10E9" w:rsidP="00E713B0">
          <w:pPr>
            <w:pStyle w:val="Header"/>
            <w:tabs>
              <w:tab w:val="clear" w:pos="4536"/>
              <w:tab w:val="clear" w:pos="9072"/>
            </w:tabs>
            <w:spacing w:line="240" w:lineRule="auto"/>
            <w:rPr>
              <w:sz w:val="16"/>
              <w:szCs w:val="16"/>
            </w:rPr>
          </w:pPr>
          <w:r>
            <w:rPr>
              <w:sz w:val="16"/>
            </w:rPr>
            <w:t>Annex 4</w:t>
          </w:r>
        </w:p>
      </w:tc>
      <w:tc>
        <w:tcPr>
          <w:tcW w:w="622" w:type="dxa"/>
          <w:shd w:val="clear" w:color="auto" w:fill="auto"/>
          <w:vAlign w:val="bottom"/>
        </w:tcPr>
        <w:p w14:paraId="71131C33" w14:textId="767C5C63" w:rsidR="00BA10E9" w:rsidRPr="00600CD7" w:rsidRDefault="00BA10E9" w:rsidP="00E713B0">
          <w:pPr>
            <w:pStyle w:val="Header"/>
            <w:tabs>
              <w:tab w:val="clear" w:pos="4536"/>
              <w:tab w:val="clear" w:pos="9072"/>
            </w:tabs>
            <w:spacing w:line="240" w:lineRule="auto"/>
          </w:pPr>
        </w:p>
      </w:tc>
      <w:tc>
        <w:tcPr>
          <w:tcW w:w="2868" w:type="dxa"/>
          <w:shd w:val="clear" w:color="auto" w:fill="auto"/>
          <w:vAlign w:val="bottom"/>
        </w:tcPr>
        <w:p w14:paraId="052DD215" w14:textId="77777777" w:rsidR="00BA10E9" w:rsidRPr="00600CD7" w:rsidRDefault="00BA10E9" w:rsidP="00E713B0">
          <w:pPr>
            <w:pStyle w:val="Header"/>
            <w:tabs>
              <w:tab w:val="clear" w:pos="4536"/>
              <w:tab w:val="clear" w:pos="9072"/>
            </w:tabs>
            <w:spacing w:line="240" w:lineRule="auto"/>
            <w:jc w:val="right"/>
          </w:pPr>
        </w:p>
      </w:tc>
      <w:tc>
        <w:tcPr>
          <w:tcW w:w="4677" w:type="dxa"/>
          <w:shd w:val="clear" w:color="auto" w:fill="auto"/>
          <w:vAlign w:val="bottom"/>
        </w:tcPr>
        <w:p w14:paraId="49E1255A" w14:textId="77777777" w:rsidR="00BA10E9" w:rsidRPr="002C6F64" w:rsidRDefault="00BA10E9" w:rsidP="00E713B0">
          <w:pPr>
            <w:pStyle w:val="Header"/>
            <w:tabs>
              <w:tab w:val="clear" w:pos="4536"/>
              <w:tab w:val="clear" w:pos="9072"/>
            </w:tabs>
            <w:spacing w:line="240" w:lineRule="auto"/>
            <w:jc w:val="right"/>
            <w:rPr>
              <w:sz w:val="16"/>
              <w:szCs w:val="16"/>
            </w:rPr>
          </w:pPr>
          <w:r>
            <w:rPr>
              <w:sz w:val="16"/>
            </w:rPr>
            <w:t xml:space="preserve">Building approval requirements, allocation of classes  </w:t>
          </w:r>
        </w:p>
      </w:tc>
    </w:tr>
  </w:tbl>
  <w:p w14:paraId="32E974CB" w14:textId="77777777" w:rsidR="00BA10E9" w:rsidRDefault="00BA10E9" w:rsidP="00E713B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C0A4" w14:textId="77777777" w:rsidR="00BA10E9" w:rsidRDefault="00BA10E9" w:rsidP="00E07C4A">
    <w:pPr>
      <w:pStyle w:val="Header"/>
    </w:pPr>
  </w:p>
  <w:p w14:paraId="34DB3BE1" w14:textId="77777777" w:rsidR="00BA10E9" w:rsidRPr="002C6F64" w:rsidRDefault="00BA10E9" w:rsidP="00E07C4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60720601" w14:textId="77777777" w:rsidTr="00E07C4A">
      <w:trPr>
        <w:trHeight w:val="227"/>
      </w:trPr>
      <w:tc>
        <w:tcPr>
          <w:tcW w:w="906" w:type="dxa"/>
          <w:shd w:val="clear" w:color="auto" w:fill="auto"/>
          <w:vAlign w:val="bottom"/>
        </w:tcPr>
        <w:p w14:paraId="435E09C9" w14:textId="77777777" w:rsidR="00BA10E9" w:rsidRPr="002C6F64" w:rsidRDefault="00BA10E9" w:rsidP="00E07C4A">
          <w:pPr>
            <w:pStyle w:val="Header"/>
            <w:tabs>
              <w:tab w:val="clear" w:pos="4536"/>
              <w:tab w:val="clear" w:pos="9072"/>
            </w:tabs>
            <w:spacing w:line="240" w:lineRule="auto"/>
            <w:jc w:val="left"/>
            <w:rPr>
              <w:sz w:val="16"/>
              <w:szCs w:val="16"/>
            </w:rPr>
          </w:pPr>
          <w:r>
            <w:rPr>
              <w:sz w:val="16"/>
            </w:rPr>
            <w:t>Annex 6</w:t>
          </w:r>
        </w:p>
      </w:tc>
      <w:tc>
        <w:tcPr>
          <w:tcW w:w="622" w:type="dxa"/>
          <w:shd w:val="clear" w:color="auto" w:fill="auto"/>
          <w:vAlign w:val="bottom"/>
        </w:tcPr>
        <w:p w14:paraId="09AA2DD4" w14:textId="565FF6E9" w:rsidR="00BA10E9" w:rsidRPr="00600CD7" w:rsidRDefault="00BA10E9" w:rsidP="00E07C4A">
          <w:pPr>
            <w:pStyle w:val="Header"/>
            <w:tabs>
              <w:tab w:val="clear" w:pos="4536"/>
              <w:tab w:val="clear" w:pos="9072"/>
            </w:tabs>
            <w:spacing w:line="240" w:lineRule="auto"/>
            <w:jc w:val="left"/>
          </w:pPr>
        </w:p>
      </w:tc>
      <w:tc>
        <w:tcPr>
          <w:tcW w:w="7544" w:type="dxa"/>
          <w:shd w:val="clear" w:color="auto" w:fill="auto"/>
          <w:vAlign w:val="bottom"/>
        </w:tcPr>
        <w:p w14:paraId="60ACCE45" w14:textId="77777777" w:rsidR="00BA10E9" w:rsidRPr="002C6F64" w:rsidRDefault="00BA10E9" w:rsidP="00E07C4A">
          <w:pPr>
            <w:pStyle w:val="Header"/>
            <w:tabs>
              <w:tab w:val="clear" w:pos="4536"/>
              <w:tab w:val="clear" w:pos="9072"/>
            </w:tabs>
            <w:spacing w:line="240" w:lineRule="auto"/>
            <w:jc w:val="right"/>
            <w:rPr>
              <w:sz w:val="16"/>
              <w:szCs w:val="16"/>
            </w:rPr>
          </w:pPr>
          <w:r>
            <w:rPr>
              <w:sz w:val="16"/>
            </w:rPr>
            <w:t>Rear-ventilated, external-wall cladding</w:t>
          </w:r>
        </w:p>
      </w:tc>
    </w:tr>
  </w:tbl>
  <w:p w14:paraId="115D4582" w14:textId="77777777" w:rsidR="00BA10E9" w:rsidRDefault="00BA10E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96E9" w14:textId="77777777" w:rsidR="00BA10E9" w:rsidRPr="002C6F64" w:rsidRDefault="00BA10E9" w:rsidP="00E07C4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2E300605" w14:textId="77777777" w:rsidTr="00E07C4A">
      <w:trPr>
        <w:trHeight w:val="227"/>
      </w:trPr>
      <w:tc>
        <w:tcPr>
          <w:tcW w:w="906" w:type="dxa"/>
          <w:shd w:val="clear" w:color="auto" w:fill="auto"/>
          <w:vAlign w:val="bottom"/>
        </w:tcPr>
        <w:p w14:paraId="0E21B577" w14:textId="77777777" w:rsidR="00BA10E9" w:rsidRPr="002C6F64" w:rsidRDefault="00BA10E9" w:rsidP="00E07C4A">
          <w:pPr>
            <w:pStyle w:val="Header"/>
            <w:tabs>
              <w:tab w:val="clear" w:pos="4536"/>
              <w:tab w:val="clear" w:pos="9072"/>
            </w:tabs>
            <w:spacing w:line="240" w:lineRule="auto"/>
            <w:jc w:val="left"/>
            <w:rPr>
              <w:sz w:val="16"/>
              <w:szCs w:val="16"/>
            </w:rPr>
          </w:pPr>
          <w:r>
            <w:rPr>
              <w:sz w:val="16"/>
            </w:rPr>
            <w:t>Annex 6</w:t>
          </w:r>
        </w:p>
      </w:tc>
      <w:tc>
        <w:tcPr>
          <w:tcW w:w="622" w:type="dxa"/>
          <w:shd w:val="clear" w:color="auto" w:fill="auto"/>
          <w:vAlign w:val="bottom"/>
        </w:tcPr>
        <w:p w14:paraId="3E3B4643" w14:textId="15D78853" w:rsidR="00BA10E9" w:rsidRPr="00600CD7" w:rsidRDefault="00BA10E9" w:rsidP="00E07C4A">
          <w:pPr>
            <w:pStyle w:val="Header"/>
            <w:tabs>
              <w:tab w:val="clear" w:pos="4536"/>
              <w:tab w:val="clear" w:pos="9072"/>
            </w:tabs>
            <w:spacing w:line="240" w:lineRule="auto"/>
            <w:jc w:val="left"/>
          </w:pPr>
        </w:p>
      </w:tc>
      <w:tc>
        <w:tcPr>
          <w:tcW w:w="7544" w:type="dxa"/>
          <w:shd w:val="clear" w:color="auto" w:fill="auto"/>
          <w:vAlign w:val="bottom"/>
        </w:tcPr>
        <w:p w14:paraId="03033C61" w14:textId="77777777" w:rsidR="00BA10E9" w:rsidRPr="002C6F64" w:rsidRDefault="00BA10E9" w:rsidP="00E07C4A">
          <w:pPr>
            <w:pStyle w:val="Header"/>
            <w:tabs>
              <w:tab w:val="clear" w:pos="4536"/>
              <w:tab w:val="clear" w:pos="9072"/>
            </w:tabs>
            <w:spacing w:line="240" w:lineRule="auto"/>
            <w:jc w:val="right"/>
            <w:rPr>
              <w:sz w:val="16"/>
              <w:szCs w:val="16"/>
            </w:rPr>
          </w:pPr>
          <w:r>
            <w:rPr>
              <w:sz w:val="16"/>
            </w:rPr>
            <w:t>Rear-ventilated, external-wall cladding</w:t>
          </w:r>
        </w:p>
      </w:tc>
    </w:tr>
  </w:tbl>
  <w:p w14:paraId="1222F154" w14:textId="77777777" w:rsidR="00BA10E9" w:rsidRDefault="00BA10E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FE53" w14:textId="77777777" w:rsidR="00BA10E9" w:rsidRDefault="00BA1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5B13" w14:textId="4B8A9B58" w:rsidR="00BA10E9" w:rsidRDefault="00BA10E9" w:rsidP="00A879DE">
    <w:pPr>
      <w:pStyle w:val="BRL-AnlageStandard"/>
    </w:pPr>
    <w:r>
      <w:t>Annexes  |  Part A</w:t>
    </w:r>
  </w:p>
  <w:p w14:paraId="1DB4B29C" w14:textId="77777777" w:rsidR="00BA10E9" w:rsidRDefault="00BA10E9" w:rsidP="00A879DE">
    <w:pPr>
      <w:pStyle w:val="Header"/>
    </w:pPr>
  </w:p>
  <w:p w14:paraId="3834C1D2" w14:textId="77777777" w:rsidR="00BA10E9" w:rsidRPr="00B1502D" w:rsidRDefault="00BA10E9" w:rsidP="00EA78D6">
    <w:pPr>
      <w:pStyle w:val="Header"/>
      <w:spacing w:line="20" w:lineRule="exact"/>
      <w:rPr>
        <w:color w:val="FFFFFF"/>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1ABC8189" w14:textId="77777777" w:rsidTr="00B409DD">
      <w:trPr>
        <w:trHeight w:val="227"/>
      </w:trPr>
      <w:tc>
        <w:tcPr>
          <w:tcW w:w="906" w:type="dxa"/>
          <w:shd w:val="clear" w:color="auto" w:fill="auto"/>
          <w:vAlign w:val="bottom"/>
        </w:tcPr>
        <w:p w14:paraId="34D579D4" w14:textId="77777777" w:rsidR="00BA10E9" w:rsidRPr="002C6F64" w:rsidRDefault="00BA10E9" w:rsidP="00B409DD">
          <w:pPr>
            <w:pStyle w:val="Header"/>
            <w:tabs>
              <w:tab w:val="clear" w:pos="4536"/>
              <w:tab w:val="clear" w:pos="9072"/>
            </w:tabs>
            <w:spacing w:line="240" w:lineRule="auto"/>
            <w:jc w:val="left"/>
            <w:rPr>
              <w:sz w:val="16"/>
              <w:szCs w:val="16"/>
            </w:rPr>
          </w:pPr>
          <w:r>
            <w:rPr>
              <w:sz w:val="16"/>
            </w:rPr>
            <w:t>Annex 8</w:t>
          </w:r>
        </w:p>
      </w:tc>
      <w:tc>
        <w:tcPr>
          <w:tcW w:w="622" w:type="dxa"/>
          <w:shd w:val="clear" w:color="auto" w:fill="auto"/>
          <w:vAlign w:val="bottom"/>
        </w:tcPr>
        <w:p w14:paraId="7CAF8F5B" w14:textId="4F7C0700" w:rsidR="00BA10E9" w:rsidRPr="00600CD7" w:rsidRDefault="00BA10E9" w:rsidP="00B409DD">
          <w:pPr>
            <w:pStyle w:val="Header"/>
            <w:tabs>
              <w:tab w:val="clear" w:pos="4536"/>
              <w:tab w:val="clear" w:pos="9072"/>
            </w:tabs>
            <w:spacing w:line="240" w:lineRule="auto"/>
            <w:jc w:val="left"/>
            <w:rPr>
              <w:noProof/>
            </w:rPr>
          </w:pPr>
        </w:p>
      </w:tc>
      <w:tc>
        <w:tcPr>
          <w:tcW w:w="7544" w:type="dxa"/>
          <w:shd w:val="clear" w:color="auto" w:fill="auto"/>
          <w:vAlign w:val="bottom"/>
        </w:tcPr>
        <w:p w14:paraId="761B91FD" w14:textId="77777777" w:rsidR="00BA10E9" w:rsidRPr="0026390A" w:rsidRDefault="00BA10E9" w:rsidP="00B409DD">
          <w:pPr>
            <w:pStyle w:val="Header"/>
            <w:tabs>
              <w:tab w:val="clear" w:pos="4536"/>
              <w:tab w:val="clear" w:pos="9072"/>
            </w:tabs>
            <w:spacing w:line="240" w:lineRule="auto"/>
            <w:jc w:val="right"/>
            <w:rPr>
              <w:sz w:val="16"/>
              <w:szCs w:val="16"/>
            </w:rPr>
          </w:pPr>
          <w:r>
            <w:rPr>
              <w:sz w:val="16"/>
            </w:rPr>
            <w:t>Requirements for structural works (</w:t>
          </w:r>
          <w:proofErr w:type="spellStart"/>
          <w:r>
            <w:rPr>
              <w:sz w:val="16"/>
            </w:rPr>
            <w:t>Anforderungen</w:t>
          </w:r>
          <w:proofErr w:type="spellEnd"/>
          <w:r>
            <w:rPr>
              <w:sz w:val="16"/>
            </w:rPr>
            <w:t xml:space="preserve"> an </w:t>
          </w:r>
          <w:proofErr w:type="spellStart"/>
          <w:r>
            <w:rPr>
              <w:sz w:val="16"/>
            </w:rPr>
            <w:t>bauliche</w:t>
          </w:r>
          <w:proofErr w:type="spellEnd"/>
          <w:r>
            <w:rPr>
              <w:sz w:val="16"/>
            </w:rPr>
            <w:t xml:space="preserve"> Anlagen [ABG])</w:t>
          </w:r>
        </w:p>
      </w:tc>
    </w:tr>
  </w:tbl>
  <w:p w14:paraId="4CC22A87" w14:textId="77777777" w:rsidR="00BA10E9" w:rsidRDefault="00BA10E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7224707F" w14:textId="77777777" w:rsidTr="00B409DD">
      <w:trPr>
        <w:trHeight w:val="227"/>
      </w:trPr>
      <w:tc>
        <w:tcPr>
          <w:tcW w:w="906" w:type="dxa"/>
          <w:shd w:val="clear" w:color="auto" w:fill="auto"/>
          <w:vAlign w:val="bottom"/>
        </w:tcPr>
        <w:p w14:paraId="533E06A9" w14:textId="77777777" w:rsidR="00BA10E9" w:rsidRPr="002C6F64" w:rsidRDefault="00BA10E9" w:rsidP="00B409DD">
          <w:pPr>
            <w:pStyle w:val="Header"/>
            <w:tabs>
              <w:tab w:val="clear" w:pos="4536"/>
              <w:tab w:val="clear" w:pos="9072"/>
            </w:tabs>
            <w:spacing w:line="240" w:lineRule="auto"/>
            <w:jc w:val="left"/>
            <w:rPr>
              <w:sz w:val="16"/>
              <w:szCs w:val="16"/>
            </w:rPr>
          </w:pPr>
          <w:r>
            <w:rPr>
              <w:sz w:val="16"/>
            </w:rPr>
            <w:t>Annex 8</w:t>
          </w:r>
        </w:p>
      </w:tc>
      <w:tc>
        <w:tcPr>
          <w:tcW w:w="622" w:type="dxa"/>
          <w:shd w:val="clear" w:color="auto" w:fill="auto"/>
          <w:vAlign w:val="bottom"/>
        </w:tcPr>
        <w:p w14:paraId="0D925E4F" w14:textId="3F4DF711" w:rsidR="00BA10E9" w:rsidRPr="00600CD7" w:rsidRDefault="00BA10E9" w:rsidP="00B409DD">
          <w:pPr>
            <w:pStyle w:val="Header"/>
            <w:tabs>
              <w:tab w:val="clear" w:pos="4536"/>
              <w:tab w:val="clear" w:pos="9072"/>
            </w:tabs>
            <w:spacing w:line="240" w:lineRule="auto"/>
            <w:jc w:val="left"/>
          </w:pPr>
        </w:p>
      </w:tc>
      <w:tc>
        <w:tcPr>
          <w:tcW w:w="7544" w:type="dxa"/>
          <w:shd w:val="clear" w:color="auto" w:fill="auto"/>
          <w:vAlign w:val="bottom"/>
        </w:tcPr>
        <w:p w14:paraId="4338B92B" w14:textId="77777777" w:rsidR="00BA10E9" w:rsidRPr="00600CD7" w:rsidRDefault="00BA10E9" w:rsidP="00B409DD">
          <w:pPr>
            <w:pStyle w:val="Header"/>
            <w:tabs>
              <w:tab w:val="clear" w:pos="4536"/>
              <w:tab w:val="clear" w:pos="9072"/>
            </w:tabs>
            <w:spacing w:line="240" w:lineRule="auto"/>
            <w:jc w:val="right"/>
          </w:pPr>
          <w:r>
            <w:rPr>
              <w:sz w:val="16"/>
            </w:rPr>
            <w:t>Requirements for structural works (</w:t>
          </w:r>
          <w:proofErr w:type="spellStart"/>
          <w:r>
            <w:rPr>
              <w:sz w:val="16"/>
            </w:rPr>
            <w:t>Anforderungen</w:t>
          </w:r>
          <w:proofErr w:type="spellEnd"/>
          <w:r>
            <w:rPr>
              <w:sz w:val="16"/>
            </w:rPr>
            <w:t xml:space="preserve"> an </w:t>
          </w:r>
          <w:proofErr w:type="spellStart"/>
          <w:r>
            <w:rPr>
              <w:sz w:val="16"/>
            </w:rPr>
            <w:t>bauliche</w:t>
          </w:r>
          <w:proofErr w:type="spellEnd"/>
          <w:r>
            <w:rPr>
              <w:sz w:val="16"/>
            </w:rPr>
            <w:t xml:space="preserve"> Anlagen [ABG])</w:t>
          </w:r>
        </w:p>
      </w:tc>
    </w:tr>
  </w:tbl>
  <w:p w14:paraId="7AFCBC15" w14:textId="77777777" w:rsidR="00BA10E9" w:rsidRPr="002C6F64" w:rsidRDefault="00BA10E9" w:rsidP="00B409D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3118"/>
      <w:gridCol w:w="3118"/>
      <w:gridCol w:w="3118"/>
    </w:tblGrid>
    <w:tr w:rsidR="00BA10E9" w:rsidRPr="00600CD7" w14:paraId="6C47EE86" w14:textId="77777777" w:rsidTr="00B409DD">
      <w:trPr>
        <w:trHeight w:val="227"/>
      </w:trPr>
      <w:tc>
        <w:tcPr>
          <w:tcW w:w="906" w:type="dxa"/>
          <w:shd w:val="clear" w:color="auto" w:fill="auto"/>
        </w:tcPr>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C805EC" w14:paraId="6F446E28" w14:textId="77777777" w:rsidTr="00B409DD">
            <w:trPr>
              <w:trHeight w:val="227"/>
            </w:trPr>
            <w:tc>
              <w:tcPr>
                <w:tcW w:w="906" w:type="dxa"/>
                <w:shd w:val="clear" w:color="auto" w:fill="auto"/>
                <w:vAlign w:val="bottom"/>
              </w:tcPr>
              <w:p w14:paraId="2A0C6A1C" w14:textId="77777777" w:rsidR="00BA10E9" w:rsidRPr="00C805EC" w:rsidRDefault="00BA10E9" w:rsidP="00DE0321">
                <w:pPr>
                  <w:pStyle w:val="Header"/>
                  <w:tabs>
                    <w:tab w:val="clear" w:pos="4536"/>
                    <w:tab w:val="clear" w:pos="9072"/>
                  </w:tabs>
                  <w:spacing w:line="240" w:lineRule="auto"/>
                  <w:jc w:val="left"/>
                  <w:rPr>
                    <w:sz w:val="16"/>
                    <w:szCs w:val="16"/>
                  </w:rPr>
                </w:pPr>
                <w:r>
                  <w:rPr>
                    <w:sz w:val="16"/>
                  </w:rPr>
                  <w:t>Annex 8</w:t>
                </w:r>
              </w:p>
            </w:tc>
            <w:tc>
              <w:tcPr>
                <w:tcW w:w="622" w:type="dxa"/>
                <w:shd w:val="clear" w:color="auto" w:fill="auto"/>
                <w:vAlign w:val="bottom"/>
              </w:tcPr>
              <w:p w14:paraId="394F81B9" w14:textId="2D0C2E21" w:rsidR="00BA10E9" w:rsidRPr="00C805EC" w:rsidRDefault="00BA10E9" w:rsidP="00DE0321">
                <w:pPr>
                  <w:pStyle w:val="Header"/>
                  <w:tabs>
                    <w:tab w:val="clear" w:pos="4536"/>
                    <w:tab w:val="clear" w:pos="9072"/>
                  </w:tabs>
                  <w:spacing w:line="240" w:lineRule="auto"/>
                  <w:jc w:val="left"/>
                  <w:rPr>
                    <w:noProof/>
                  </w:rPr>
                </w:pPr>
              </w:p>
            </w:tc>
            <w:tc>
              <w:tcPr>
                <w:tcW w:w="7544" w:type="dxa"/>
                <w:shd w:val="clear" w:color="auto" w:fill="auto"/>
                <w:vAlign w:val="bottom"/>
              </w:tcPr>
              <w:p w14:paraId="3A306FF9" w14:textId="77777777" w:rsidR="00BA10E9" w:rsidRPr="00C805EC" w:rsidRDefault="00BA10E9" w:rsidP="00DE0321">
                <w:pPr>
                  <w:pStyle w:val="Header"/>
                  <w:tabs>
                    <w:tab w:val="clear" w:pos="4536"/>
                    <w:tab w:val="clear" w:pos="9072"/>
                  </w:tabs>
                  <w:spacing w:line="240" w:lineRule="auto"/>
                  <w:jc w:val="right"/>
                  <w:rPr>
                    <w:sz w:val="16"/>
                    <w:szCs w:val="16"/>
                  </w:rPr>
                </w:pPr>
                <w:r>
                  <w:rPr>
                    <w:sz w:val="16"/>
                  </w:rPr>
                  <w:t>Requirements for structural works (</w:t>
                </w:r>
                <w:proofErr w:type="spellStart"/>
                <w:r>
                  <w:rPr>
                    <w:sz w:val="16"/>
                  </w:rPr>
                  <w:t>Anforderungen</w:t>
                </w:r>
                <w:proofErr w:type="spellEnd"/>
                <w:r>
                  <w:rPr>
                    <w:sz w:val="16"/>
                  </w:rPr>
                  <w:t xml:space="preserve"> an </w:t>
                </w:r>
                <w:proofErr w:type="spellStart"/>
                <w:r>
                  <w:rPr>
                    <w:sz w:val="16"/>
                  </w:rPr>
                  <w:t>bauliche</w:t>
                </w:r>
                <w:proofErr w:type="spellEnd"/>
                <w:r>
                  <w:rPr>
                    <w:sz w:val="16"/>
                  </w:rPr>
                  <w:t xml:space="preserve"> Anlagen [ABG])</w:t>
                </w:r>
              </w:p>
            </w:tc>
          </w:tr>
        </w:tbl>
        <w:p w14:paraId="2F42F868" w14:textId="77777777" w:rsidR="00BA10E9" w:rsidRDefault="00BA10E9" w:rsidP="00DE0321"/>
      </w:tc>
      <w:tc>
        <w:tcPr>
          <w:tcW w:w="622" w:type="dxa"/>
          <w:shd w:val="clear" w:color="auto" w:fill="auto"/>
        </w:tcPr>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C805EC" w14:paraId="00BEF944" w14:textId="77777777" w:rsidTr="00B409DD">
            <w:trPr>
              <w:trHeight w:val="227"/>
            </w:trPr>
            <w:tc>
              <w:tcPr>
                <w:tcW w:w="906" w:type="dxa"/>
                <w:shd w:val="clear" w:color="auto" w:fill="auto"/>
                <w:vAlign w:val="bottom"/>
              </w:tcPr>
              <w:p w14:paraId="37407BA2" w14:textId="77777777" w:rsidR="00BA10E9" w:rsidRPr="00C805EC" w:rsidRDefault="00BA10E9" w:rsidP="00DE0321">
                <w:pPr>
                  <w:pStyle w:val="Header"/>
                  <w:tabs>
                    <w:tab w:val="clear" w:pos="4536"/>
                    <w:tab w:val="clear" w:pos="9072"/>
                  </w:tabs>
                  <w:spacing w:line="240" w:lineRule="auto"/>
                  <w:jc w:val="left"/>
                  <w:rPr>
                    <w:sz w:val="16"/>
                    <w:szCs w:val="16"/>
                  </w:rPr>
                </w:pPr>
              </w:p>
            </w:tc>
            <w:tc>
              <w:tcPr>
                <w:tcW w:w="622" w:type="dxa"/>
                <w:shd w:val="clear" w:color="auto" w:fill="auto"/>
                <w:vAlign w:val="bottom"/>
              </w:tcPr>
              <w:p w14:paraId="3FD3C520" w14:textId="77777777" w:rsidR="00BA10E9" w:rsidRPr="00C805EC" w:rsidRDefault="00BA10E9" w:rsidP="00DE0321">
                <w:pPr>
                  <w:pStyle w:val="Header"/>
                  <w:tabs>
                    <w:tab w:val="clear" w:pos="4536"/>
                    <w:tab w:val="clear" w:pos="9072"/>
                  </w:tabs>
                  <w:spacing w:line="240" w:lineRule="auto"/>
                  <w:jc w:val="left"/>
                  <w:rPr>
                    <w:noProof/>
                  </w:rPr>
                </w:pPr>
              </w:p>
            </w:tc>
            <w:tc>
              <w:tcPr>
                <w:tcW w:w="7544" w:type="dxa"/>
                <w:shd w:val="clear" w:color="auto" w:fill="auto"/>
                <w:vAlign w:val="bottom"/>
              </w:tcPr>
              <w:p w14:paraId="3A3E3D35" w14:textId="77777777" w:rsidR="00BA10E9" w:rsidRPr="00C805EC" w:rsidRDefault="00BA10E9" w:rsidP="00DE0321">
                <w:pPr>
                  <w:pStyle w:val="Header"/>
                  <w:tabs>
                    <w:tab w:val="clear" w:pos="4536"/>
                    <w:tab w:val="clear" w:pos="9072"/>
                  </w:tabs>
                  <w:spacing w:line="240" w:lineRule="auto"/>
                  <w:jc w:val="right"/>
                  <w:rPr>
                    <w:sz w:val="16"/>
                    <w:szCs w:val="16"/>
                  </w:rPr>
                </w:pPr>
                <w:r>
                  <w:rPr>
                    <w:sz w:val="16"/>
                  </w:rPr>
                  <w:t>Requirements for structural works (</w:t>
                </w:r>
                <w:proofErr w:type="spellStart"/>
                <w:r>
                  <w:rPr>
                    <w:sz w:val="16"/>
                  </w:rPr>
                  <w:t>Anforderungen</w:t>
                </w:r>
                <w:proofErr w:type="spellEnd"/>
                <w:r>
                  <w:rPr>
                    <w:sz w:val="16"/>
                  </w:rPr>
                  <w:t xml:space="preserve"> an </w:t>
                </w:r>
                <w:proofErr w:type="spellStart"/>
                <w:r>
                  <w:rPr>
                    <w:sz w:val="16"/>
                  </w:rPr>
                  <w:t>bauliche</w:t>
                </w:r>
                <w:proofErr w:type="spellEnd"/>
                <w:r>
                  <w:rPr>
                    <w:sz w:val="16"/>
                  </w:rPr>
                  <w:t xml:space="preserve"> Anlagen [ABG])</w:t>
                </w:r>
              </w:p>
            </w:tc>
          </w:tr>
        </w:tbl>
        <w:p w14:paraId="396D6578" w14:textId="77777777" w:rsidR="00BA10E9" w:rsidRDefault="00BA10E9" w:rsidP="00DE0321"/>
      </w:tc>
      <w:tc>
        <w:tcPr>
          <w:tcW w:w="7544" w:type="dxa"/>
          <w:shd w:val="clear" w:color="auto" w:fill="auto"/>
        </w:tcPr>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C805EC" w14:paraId="355AE10A" w14:textId="77777777" w:rsidTr="00B409DD">
            <w:trPr>
              <w:trHeight w:val="227"/>
            </w:trPr>
            <w:tc>
              <w:tcPr>
                <w:tcW w:w="906" w:type="dxa"/>
                <w:shd w:val="clear" w:color="auto" w:fill="auto"/>
                <w:vAlign w:val="bottom"/>
              </w:tcPr>
              <w:p w14:paraId="34DA762D" w14:textId="77777777" w:rsidR="00BA10E9" w:rsidRPr="00C805EC" w:rsidRDefault="00BA10E9" w:rsidP="00DE0321">
                <w:pPr>
                  <w:pStyle w:val="Header"/>
                  <w:tabs>
                    <w:tab w:val="clear" w:pos="4536"/>
                    <w:tab w:val="clear" w:pos="9072"/>
                  </w:tabs>
                  <w:spacing w:line="240" w:lineRule="auto"/>
                  <w:jc w:val="left"/>
                  <w:rPr>
                    <w:sz w:val="16"/>
                    <w:szCs w:val="16"/>
                  </w:rPr>
                </w:pPr>
                <w:r>
                  <w:rPr>
                    <w:sz w:val="16"/>
                  </w:rPr>
                  <w:t>Annex 8</w:t>
                </w:r>
              </w:p>
            </w:tc>
            <w:tc>
              <w:tcPr>
                <w:tcW w:w="622" w:type="dxa"/>
                <w:shd w:val="clear" w:color="auto" w:fill="auto"/>
                <w:vAlign w:val="bottom"/>
              </w:tcPr>
              <w:p w14:paraId="3BF46986" w14:textId="77777777" w:rsidR="00BA10E9" w:rsidRPr="00C805EC" w:rsidRDefault="00BA10E9" w:rsidP="00DE0321">
                <w:pPr>
                  <w:pStyle w:val="Header"/>
                  <w:tabs>
                    <w:tab w:val="clear" w:pos="4536"/>
                    <w:tab w:val="clear" w:pos="9072"/>
                  </w:tabs>
                  <w:spacing w:line="240" w:lineRule="auto"/>
                  <w:jc w:val="left"/>
                  <w:rPr>
                    <w:noProof/>
                  </w:rPr>
                </w:pPr>
                <w:r>
                  <w:rPr>
                    <w:noProof/>
                  </w:rPr>
                  <w:drawing>
                    <wp:inline distT="0" distB="0" distL="0" distR="0" wp14:anchorId="1D2163A9" wp14:editId="24F91E8A">
                      <wp:extent cx="208915" cy="124460"/>
                      <wp:effectExtent l="0" t="0" r="0" b="0"/>
                      <wp:docPr id="17"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124460"/>
                              </a:xfrm>
                              <a:prstGeom prst="rect">
                                <a:avLst/>
                              </a:prstGeom>
                              <a:noFill/>
                              <a:ln>
                                <a:noFill/>
                              </a:ln>
                            </pic:spPr>
                          </pic:pic>
                        </a:graphicData>
                      </a:graphic>
                    </wp:inline>
                  </w:drawing>
                </w:r>
              </w:p>
            </w:tc>
            <w:tc>
              <w:tcPr>
                <w:tcW w:w="7544" w:type="dxa"/>
                <w:shd w:val="clear" w:color="auto" w:fill="auto"/>
                <w:vAlign w:val="bottom"/>
              </w:tcPr>
              <w:p w14:paraId="2A8116F8" w14:textId="77777777" w:rsidR="00BA10E9" w:rsidRPr="00C805EC" w:rsidRDefault="00BA10E9" w:rsidP="00DE0321">
                <w:pPr>
                  <w:pStyle w:val="Header"/>
                  <w:tabs>
                    <w:tab w:val="clear" w:pos="4536"/>
                    <w:tab w:val="clear" w:pos="9072"/>
                  </w:tabs>
                  <w:spacing w:line="240" w:lineRule="auto"/>
                  <w:jc w:val="right"/>
                  <w:rPr>
                    <w:sz w:val="16"/>
                    <w:szCs w:val="16"/>
                  </w:rPr>
                </w:pPr>
                <w:r>
                  <w:rPr>
                    <w:sz w:val="16"/>
                  </w:rPr>
                  <w:t>Requirements for structural works (</w:t>
                </w:r>
                <w:proofErr w:type="spellStart"/>
                <w:r>
                  <w:rPr>
                    <w:sz w:val="16"/>
                  </w:rPr>
                  <w:t>Anforderungen</w:t>
                </w:r>
                <w:proofErr w:type="spellEnd"/>
                <w:r>
                  <w:rPr>
                    <w:sz w:val="16"/>
                  </w:rPr>
                  <w:t xml:space="preserve"> an </w:t>
                </w:r>
                <w:proofErr w:type="spellStart"/>
                <w:r>
                  <w:rPr>
                    <w:sz w:val="16"/>
                  </w:rPr>
                  <w:t>bauliche</w:t>
                </w:r>
                <w:proofErr w:type="spellEnd"/>
                <w:r>
                  <w:rPr>
                    <w:sz w:val="16"/>
                  </w:rPr>
                  <w:t xml:space="preserve"> Anlagen [ABG])</w:t>
                </w:r>
              </w:p>
            </w:tc>
          </w:tr>
        </w:tbl>
        <w:p w14:paraId="7A781844" w14:textId="77777777" w:rsidR="00BA10E9" w:rsidRDefault="00BA10E9" w:rsidP="00DE0321"/>
      </w:tc>
    </w:tr>
  </w:tbl>
  <w:p w14:paraId="1E967468" w14:textId="77777777" w:rsidR="00BA10E9" w:rsidRDefault="00BA10E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
      <w:gridCol w:w="622"/>
      <w:gridCol w:w="7544"/>
    </w:tblGrid>
    <w:tr w:rsidR="00BA10E9" w:rsidRPr="00600CD7" w14:paraId="78DB6B2A" w14:textId="77777777" w:rsidTr="004C2C77">
      <w:trPr>
        <w:trHeight w:val="227"/>
      </w:trPr>
      <w:tc>
        <w:tcPr>
          <w:tcW w:w="906" w:type="dxa"/>
          <w:shd w:val="clear" w:color="auto" w:fill="auto"/>
          <w:vAlign w:val="bottom"/>
        </w:tcPr>
        <w:p w14:paraId="672C8CB5" w14:textId="77777777" w:rsidR="00BA10E9" w:rsidRPr="00A00641" w:rsidRDefault="00BA10E9" w:rsidP="004C2C77">
          <w:pPr>
            <w:pStyle w:val="Header"/>
            <w:tabs>
              <w:tab w:val="clear" w:pos="4536"/>
              <w:tab w:val="clear" w:pos="9072"/>
            </w:tabs>
            <w:jc w:val="left"/>
            <w:rPr>
              <w:sz w:val="16"/>
              <w:szCs w:val="16"/>
            </w:rPr>
          </w:pPr>
          <w:r>
            <w:rPr>
              <w:sz w:val="16"/>
            </w:rPr>
            <w:t>Annex 10</w:t>
          </w:r>
        </w:p>
      </w:tc>
      <w:tc>
        <w:tcPr>
          <w:tcW w:w="622" w:type="dxa"/>
          <w:shd w:val="clear" w:color="auto" w:fill="auto"/>
          <w:vAlign w:val="bottom"/>
        </w:tcPr>
        <w:p w14:paraId="331EEFAB" w14:textId="6EA753D3" w:rsidR="00BA10E9" w:rsidRPr="00600CD7" w:rsidRDefault="00BA10E9" w:rsidP="004C2C77">
          <w:pPr>
            <w:pStyle w:val="Header"/>
            <w:tabs>
              <w:tab w:val="clear" w:pos="4536"/>
              <w:tab w:val="clear" w:pos="9072"/>
            </w:tabs>
            <w:jc w:val="left"/>
          </w:pPr>
        </w:p>
      </w:tc>
      <w:tc>
        <w:tcPr>
          <w:tcW w:w="7544" w:type="dxa"/>
          <w:shd w:val="clear" w:color="auto" w:fill="auto"/>
          <w:vAlign w:val="bottom"/>
        </w:tcPr>
        <w:p w14:paraId="44DD4CE3" w14:textId="77777777" w:rsidR="00BA10E9" w:rsidRPr="002349C4" w:rsidRDefault="00BA10E9" w:rsidP="004C2C77">
          <w:pPr>
            <w:pStyle w:val="Header"/>
            <w:tabs>
              <w:tab w:val="clear" w:pos="4536"/>
              <w:tab w:val="clear" w:pos="9072"/>
            </w:tabs>
            <w:jc w:val="right"/>
            <w:rPr>
              <w:sz w:val="16"/>
              <w:szCs w:val="16"/>
            </w:rPr>
          </w:pPr>
          <w:r>
            <w:rPr>
              <w:sz w:val="16"/>
            </w:rPr>
            <w:t>Requirements for structural works (</w:t>
          </w:r>
          <w:proofErr w:type="spellStart"/>
          <w:r>
            <w:rPr>
              <w:sz w:val="16"/>
            </w:rPr>
            <w:t>Anforderungen</w:t>
          </w:r>
          <w:proofErr w:type="spellEnd"/>
          <w:r>
            <w:rPr>
              <w:sz w:val="16"/>
            </w:rPr>
            <w:t xml:space="preserve"> an </w:t>
          </w:r>
          <w:proofErr w:type="spellStart"/>
          <w:r>
            <w:rPr>
              <w:sz w:val="16"/>
            </w:rPr>
            <w:t>bauliche</w:t>
          </w:r>
          <w:proofErr w:type="spellEnd"/>
          <w:r>
            <w:rPr>
              <w:sz w:val="16"/>
            </w:rPr>
            <w:t xml:space="preserve"> Anlagen [ABG])</w:t>
          </w:r>
        </w:p>
      </w:tc>
    </w:tr>
  </w:tbl>
  <w:p w14:paraId="14AB2E22" w14:textId="77777777" w:rsidR="00BA10E9" w:rsidRPr="00BE26A8" w:rsidRDefault="00BA10E9" w:rsidP="004C2C77">
    <w:pPr>
      <w:pStyle w:val="Header"/>
      <w:rPr>
        <w:sz w:val="16"/>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AC1D" w14:textId="77777777" w:rsidR="00BA10E9" w:rsidRPr="002C6F64" w:rsidRDefault="00BA10E9" w:rsidP="004C2C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D556" w14:textId="77777777" w:rsidR="00BA10E9" w:rsidRDefault="00BA10E9" w:rsidP="00044502">
    <w:pPr>
      <w:pStyle w:val="Header"/>
    </w:pPr>
  </w:p>
  <w:p w14:paraId="5D152C51" w14:textId="77777777" w:rsidR="00BA10E9" w:rsidRPr="002C6F64" w:rsidRDefault="00BA10E9" w:rsidP="0004450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0F2BE2AC" w14:textId="77777777" w:rsidTr="00044502">
      <w:trPr>
        <w:trHeight w:val="227"/>
      </w:trPr>
      <w:tc>
        <w:tcPr>
          <w:tcW w:w="906" w:type="dxa"/>
          <w:shd w:val="clear" w:color="auto" w:fill="auto"/>
          <w:vAlign w:val="bottom"/>
        </w:tcPr>
        <w:p w14:paraId="358C4397" w14:textId="77777777" w:rsidR="00BA10E9" w:rsidRPr="002C6F64" w:rsidRDefault="00BA10E9" w:rsidP="00044502">
          <w:pPr>
            <w:pStyle w:val="Header"/>
            <w:tabs>
              <w:tab w:val="clear" w:pos="4536"/>
              <w:tab w:val="clear" w:pos="9072"/>
            </w:tabs>
            <w:spacing w:line="240" w:lineRule="auto"/>
            <w:jc w:val="left"/>
            <w:rPr>
              <w:sz w:val="16"/>
              <w:szCs w:val="16"/>
            </w:rPr>
          </w:pPr>
          <w:r>
            <w:rPr>
              <w:sz w:val="16"/>
            </w:rPr>
            <w:t>Annex 12</w:t>
          </w:r>
        </w:p>
      </w:tc>
      <w:tc>
        <w:tcPr>
          <w:tcW w:w="622" w:type="dxa"/>
          <w:shd w:val="clear" w:color="auto" w:fill="auto"/>
          <w:vAlign w:val="bottom"/>
        </w:tcPr>
        <w:p w14:paraId="6109C089" w14:textId="6549749F" w:rsidR="00BA10E9" w:rsidRPr="00600CD7" w:rsidRDefault="00BA10E9" w:rsidP="00044502">
          <w:pPr>
            <w:pStyle w:val="Header"/>
            <w:tabs>
              <w:tab w:val="clear" w:pos="4536"/>
              <w:tab w:val="clear" w:pos="9072"/>
            </w:tabs>
            <w:spacing w:line="240" w:lineRule="auto"/>
            <w:jc w:val="left"/>
          </w:pPr>
        </w:p>
      </w:tc>
      <w:tc>
        <w:tcPr>
          <w:tcW w:w="7544" w:type="dxa"/>
          <w:shd w:val="clear" w:color="auto" w:fill="auto"/>
          <w:vAlign w:val="bottom"/>
        </w:tcPr>
        <w:p w14:paraId="4E2C28F3" w14:textId="77777777" w:rsidR="00BA10E9" w:rsidRPr="002C6F64" w:rsidRDefault="00BA10E9" w:rsidP="00044502">
          <w:pPr>
            <w:pStyle w:val="Header"/>
            <w:tabs>
              <w:tab w:val="clear" w:pos="4536"/>
              <w:tab w:val="clear" w:pos="9072"/>
            </w:tabs>
            <w:spacing w:line="240" w:lineRule="auto"/>
            <w:jc w:val="right"/>
            <w:rPr>
              <w:sz w:val="16"/>
              <w:szCs w:val="16"/>
            </w:rPr>
          </w:pPr>
          <w:r>
            <w:rPr>
              <w:sz w:val="16"/>
            </w:rPr>
            <w:t>Formwork components</w:t>
          </w:r>
        </w:p>
      </w:tc>
    </w:tr>
  </w:tbl>
  <w:p w14:paraId="21A3A5A5" w14:textId="77777777" w:rsidR="00BA10E9" w:rsidRPr="00BE26A8" w:rsidRDefault="00BA10E9" w:rsidP="00044502">
    <w:pPr>
      <w:pStyle w:val="Header"/>
      <w:rPr>
        <w:sz w:val="1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45AA" w14:textId="77777777" w:rsidR="00BA10E9" w:rsidRPr="002C6F64" w:rsidRDefault="00BA10E9" w:rsidP="0004450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518C1376" w14:textId="77777777" w:rsidTr="00044502">
      <w:trPr>
        <w:trHeight w:val="227"/>
      </w:trPr>
      <w:tc>
        <w:tcPr>
          <w:tcW w:w="906" w:type="dxa"/>
          <w:shd w:val="clear" w:color="auto" w:fill="auto"/>
          <w:vAlign w:val="bottom"/>
        </w:tcPr>
        <w:p w14:paraId="48290EC8" w14:textId="77777777" w:rsidR="00BA10E9" w:rsidRPr="002C6F64" w:rsidRDefault="00BA10E9" w:rsidP="00044502">
          <w:pPr>
            <w:pStyle w:val="Header"/>
            <w:tabs>
              <w:tab w:val="clear" w:pos="4536"/>
              <w:tab w:val="clear" w:pos="9072"/>
            </w:tabs>
            <w:spacing w:line="240" w:lineRule="auto"/>
            <w:jc w:val="left"/>
            <w:rPr>
              <w:sz w:val="16"/>
              <w:szCs w:val="16"/>
            </w:rPr>
          </w:pPr>
          <w:r>
            <w:rPr>
              <w:sz w:val="16"/>
            </w:rPr>
            <w:t>Annex 12</w:t>
          </w:r>
        </w:p>
      </w:tc>
      <w:tc>
        <w:tcPr>
          <w:tcW w:w="622" w:type="dxa"/>
          <w:shd w:val="clear" w:color="auto" w:fill="auto"/>
          <w:vAlign w:val="bottom"/>
        </w:tcPr>
        <w:p w14:paraId="6A28E319" w14:textId="639F4AE5" w:rsidR="00BA10E9" w:rsidRPr="00600CD7" w:rsidRDefault="00BA10E9" w:rsidP="00044502">
          <w:pPr>
            <w:pStyle w:val="Header"/>
            <w:tabs>
              <w:tab w:val="clear" w:pos="4536"/>
              <w:tab w:val="clear" w:pos="9072"/>
            </w:tabs>
            <w:spacing w:line="240" w:lineRule="auto"/>
            <w:jc w:val="left"/>
          </w:pPr>
        </w:p>
      </w:tc>
      <w:tc>
        <w:tcPr>
          <w:tcW w:w="7544" w:type="dxa"/>
          <w:shd w:val="clear" w:color="auto" w:fill="auto"/>
          <w:vAlign w:val="bottom"/>
        </w:tcPr>
        <w:p w14:paraId="3D9D2B1F" w14:textId="77777777" w:rsidR="00BA10E9" w:rsidRPr="002C6F64" w:rsidRDefault="00BA10E9" w:rsidP="00044502">
          <w:pPr>
            <w:pStyle w:val="Header"/>
            <w:tabs>
              <w:tab w:val="clear" w:pos="4536"/>
              <w:tab w:val="clear" w:pos="9072"/>
            </w:tabs>
            <w:spacing w:line="240" w:lineRule="auto"/>
            <w:jc w:val="right"/>
            <w:rPr>
              <w:sz w:val="16"/>
              <w:szCs w:val="16"/>
            </w:rPr>
          </w:pPr>
          <w:r>
            <w:rPr>
              <w:sz w:val="16"/>
            </w:rPr>
            <w:t>Formwork components</w:t>
          </w:r>
        </w:p>
      </w:tc>
    </w:tr>
  </w:tbl>
  <w:p w14:paraId="05D36F7C" w14:textId="77777777" w:rsidR="00BA10E9" w:rsidRPr="00347800" w:rsidRDefault="00BA10E9" w:rsidP="0004450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0A122B7D" w14:textId="77777777" w:rsidTr="00044502">
      <w:trPr>
        <w:trHeight w:val="227"/>
      </w:trPr>
      <w:tc>
        <w:tcPr>
          <w:tcW w:w="906" w:type="dxa"/>
          <w:shd w:val="clear" w:color="auto" w:fill="auto"/>
          <w:vAlign w:val="bottom"/>
        </w:tcPr>
        <w:p w14:paraId="2921CE5D" w14:textId="77777777" w:rsidR="00BA10E9" w:rsidRPr="002C6F64" w:rsidRDefault="00BA10E9" w:rsidP="009D4C8D">
          <w:pPr>
            <w:pStyle w:val="Header"/>
            <w:tabs>
              <w:tab w:val="clear" w:pos="4536"/>
              <w:tab w:val="clear" w:pos="9072"/>
            </w:tabs>
            <w:spacing w:line="240" w:lineRule="auto"/>
            <w:jc w:val="left"/>
            <w:rPr>
              <w:sz w:val="16"/>
              <w:szCs w:val="16"/>
            </w:rPr>
          </w:pPr>
          <w:r>
            <w:rPr>
              <w:sz w:val="16"/>
            </w:rPr>
            <w:t>Annex 12</w:t>
          </w:r>
        </w:p>
      </w:tc>
      <w:tc>
        <w:tcPr>
          <w:tcW w:w="622" w:type="dxa"/>
          <w:shd w:val="clear" w:color="auto" w:fill="auto"/>
          <w:vAlign w:val="bottom"/>
        </w:tcPr>
        <w:p w14:paraId="10F682DB" w14:textId="2781BB69" w:rsidR="00BA10E9" w:rsidRPr="00600CD7" w:rsidRDefault="00BA10E9" w:rsidP="009D4C8D">
          <w:pPr>
            <w:pStyle w:val="Header"/>
            <w:tabs>
              <w:tab w:val="clear" w:pos="4536"/>
              <w:tab w:val="clear" w:pos="9072"/>
            </w:tabs>
            <w:spacing w:line="240" w:lineRule="auto"/>
            <w:jc w:val="left"/>
          </w:pPr>
        </w:p>
      </w:tc>
      <w:tc>
        <w:tcPr>
          <w:tcW w:w="7544" w:type="dxa"/>
          <w:shd w:val="clear" w:color="auto" w:fill="auto"/>
          <w:vAlign w:val="bottom"/>
        </w:tcPr>
        <w:p w14:paraId="5C06C075" w14:textId="77777777" w:rsidR="00BA10E9" w:rsidRPr="002C6F64" w:rsidRDefault="00BA10E9" w:rsidP="009D4C8D">
          <w:pPr>
            <w:pStyle w:val="Header"/>
            <w:tabs>
              <w:tab w:val="clear" w:pos="4536"/>
              <w:tab w:val="clear" w:pos="9072"/>
            </w:tabs>
            <w:spacing w:line="240" w:lineRule="auto"/>
            <w:jc w:val="right"/>
            <w:rPr>
              <w:sz w:val="16"/>
              <w:szCs w:val="16"/>
            </w:rPr>
          </w:pPr>
          <w:r>
            <w:rPr>
              <w:sz w:val="16"/>
            </w:rPr>
            <w:t>Formwork components</w:t>
          </w:r>
        </w:p>
      </w:tc>
    </w:tr>
  </w:tbl>
  <w:p w14:paraId="761B0BDC" w14:textId="77777777" w:rsidR="00BA10E9" w:rsidRPr="00347800" w:rsidRDefault="00BA10E9" w:rsidP="009D4C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0ECD" w14:textId="119723EF" w:rsidR="00BA10E9" w:rsidRDefault="00BA10E9" w:rsidP="007D3F4C">
    <w:pPr>
      <w:tabs>
        <w:tab w:val="left" w:pos="851"/>
      </w:tabs>
      <w:rPr>
        <w:sz w:val="16"/>
        <w:szCs w:val="16"/>
      </w:rPr>
    </w:pPr>
    <w:r>
      <w:rPr>
        <w:sz w:val="16"/>
      </w:rPr>
      <w:t>Part A</w:t>
    </w:r>
  </w:p>
  <w:p w14:paraId="613AB499" w14:textId="77777777" w:rsidR="00BA10E9" w:rsidRPr="00732CBC" w:rsidRDefault="00BA10E9" w:rsidP="007D3F4C">
    <w:pPr>
      <w:tabs>
        <w:tab w:val="left" w:pos="851"/>
      </w:tabs>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ACF4" w14:textId="77777777" w:rsidR="00BA10E9" w:rsidRDefault="00BA10E9" w:rsidP="0099521D">
    <w:pPr>
      <w:pStyle w:val="Header"/>
    </w:pPr>
  </w:p>
  <w:p w14:paraId="0667C5E4" w14:textId="77777777" w:rsidR="00BA10E9" w:rsidRPr="002C6F64" w:rsidRDefault="00BA10E9" w:rsidP="0099521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2169"/>
      <w:gridCol w:w="1785"/>
      <w:gridCol w:w="5118"/>
    </w:tblGrid>
    <w:tr w:rsidR="00BA10E9" w:rsidRPr="00600CD7" w14:paraId="75A4F892" w14:textId="77777777" w:rsidTr="0099521D">
      <w:trPr>
        <w:trHeight w:val="227"/>
      </w:trPr>
      <w:tc>
        <w:tcPr>
          <w:tcW w:w="906" w:type="dxa"/>
          <w:shd w:val="clear" w:color="auto" w:fill="auto"/>
          <w:vAlign w:val="bottom"/>
        </w:tcPr>
        <w:p w14:paraId="0DB06403" w14:textId="77777777" w:rsidR="00BA10E9" w:rsidRPr="002C6F64" w:rsidRDefault="00BA10E9" w:rsidP="00B4551D">
          <w:pPr>
            <w:pStyle w:val="Header"/>
            <w:numPr>
              <w:ilvl w:val="0"/>
              <w:numId w:val="11"/>
            </w:numPr>
            <w:tabs>
              <w:tab w:val="clear" w:pos="4536"/>
              <w:tab w:val="clear" w:pos="9072"/>
            </w:tabs>
            <w:spacing w:line="240" w:lineRule="auto"/>
            <w:jc w:val="left"/>
            <w:rPr>
              <w:sz w:val="16"/>
              <w:szCs w:val="16"/>
            </w:rPr>
          </w:pPr>
          <w:r>
            <w:rPr>
              <w:sz w:val="16"/>
            </w:rPr>
            <w:t>Annex 13</w:t>
          </w:r>
        </w:p>
      </w:tc>
      <w:tc>
        <w:tcPr>
          <w:tcW w:w="622" w:type="dxa"/>
          <w:shd w:val="clear" w:color="auto" w:fill="auto"/>
          <w:vAlign w:val="bottom"/>
        </w:tcPr>
        <w:p w14:paraId="42F98BCD" w14:textId="77777777" w:rsidR="00BA10E9" w:rsidRPr="002C6F64" w:rsidRDefault="00BA10E9" w:rsidP="00B4551D">
          <w:pPr>
            <w:pStyle w:val="Header"/>
            <w:numPr>
              <w:ilvl w:val="0"/>
              <w:numId w:val="11"/>
            </w:numPr>
            <w:tabs>
              <w:tab w:val="clear" w:pos="4536"/>
              <w:tab w:val="clear" w:pos="9072"/>
            </w:tabs>
            <w:spacing w:line="240" w:lineRule="auto"/>
            <w:jc w:val="left"/>
            <w:rPr>
              <w:sz w:val="24"/>
              <w:szCs w:val="24"/>
            </w:rPr>
          </w:pPr>
          <w:r>
            <w:rPr>
              <w:noProof/>
              <w:sz w:val="24"/>
            </w:rPr>
            <w:drawing>
              <wp:inline distT="0" distB="0" distL="0" distR="0" wp14:anchorId="09E25BBC" wp14:editId="4BE5FF2E">
                <wp:extent cx="186055" cy="186055"/>
                <wp:effectExtent l="0" t="0" r="0" b="0"/>
                <wp:docPr id="228"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p>
      </w:tc>
      <w:tc>
        <w:tcPr>
          <w:tcW w:w="7544" w:type="dxa"/>
          <w:shd w:val="clear" w:color="auto" w:fill="auto"/>
          <w:vAlign w:val="bottom"/>
        </w:tcPr>
        <w:p w14:paraId="7A750099" w14:textId="77777777" w:rsidR="00BA10E9" w:rsidRPr="002C6F64" w:rsidRDefault="00BA10E9" w:rsidP="00B4551D">
          <w:pPr>
            <w:pStyle w:val="Header"/>
            <w:numPr>
              <w:ilvl w:val="0"/>
              <w:numId w:val="11"/>
            </w:numPr>
            <w:tabs>
              <w:tab w:val="clear" w:pos="4536"/>
              <w:tab w:val="clear" w:pos="9072"/>
            </w:tabs>
            <w:spacing w:line="240" w:lineRule="auto"/>
            <w:jc w:val="right"/>
            <w:rPr>
              <w:sz w:val="16"/>
              <w:szCs w:val="16"/>
            </w:rPr>
          </w:pPr>
          <w:r>
            <w:rPr>
              <w:sz w:val="16"/>
            </w:rPr>
            <w:t>Roller shutter boxes</w:t>
          </w:r>
        </w:p>
      </w:tc>
    </w:tr>
  </w:tbl>
  <w:p w14:paraId="54E0F724" w14:textId="77777777" w:rsidR="00BA10E9" w:rsidRPr="00BE26A8" w:rsidRDefault="00BA10E9" w:rsidP="0099521D">
    <w:pPr>
      <w:pStyle w:val="Header"/>
      <w:rPr>
        <w:sz w:val="16"/>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4F7D" w14:textId="77777777" w:rsidR="00BA10E9" w:rsidRPr="002C6F64" w:rsidRDefault="00BA10E9" w:rsidP="0099521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0FAC97CD" w14:textId="77777777" w:rsidTr="0099521D">
      <w:trPr>
        <w:trHeight w:val="227"/>
      </w:trPr>
      <w:tc>
        <w:tcPr>
          <w:tcW w:w="906" w:type="dxa"/>
          <w:shd w:val="clear" w:color="auto" w:fill="auto"/>
          <w:vAlign w:val="bottom"/>
        </w:tcPr>
        <w:p w14:paraId="50BC7E2F" w14:textId="77777777" w:rsidR="00BA10E9" w:rsidRPr="002C6F64" w:rsidRDefault="00BA10E9" w:rsidP="0099521D">
          <w:pPr>
            <w:pStyle w:val="Header"/>
            <w:tabs>
              <w:tab w:val="clear" w:pos="4536"/>
              <w:tab w:val="clear" w:pos="9072"/>
            </w:tabs>
            <w:spacing w:line="240" w:lineRule="auto"/>
            <w:jc w:val="left"/>
            <w:rPr>
              <w:sz w:val="16"/>
              <w:szCs w:val="16"/>
            </w:rPr>
          </w:pPr>
          <w:r>
            <w:rPr>
              <w:sz w:val="16"/>
            </w:rPr>
            <w:t>Annex 13</w:t>
          </w:r>
        </w:p>
      </w:tc>
      <w:tc>
        <w:tcPr>
          <w:tcW w:w="622" w:type="dxa"/>
          <w:shd w:val="clear" w:color="auto" w:fill="auto"/>
          <w:vAlign w:val="bottom"/>
        </w:tcPr>
        <w:p w14:paraId="6A41C164" w14:textId="5177C94C" w:rsidR="00BA10E9" w:rsidRPr="00600CD7" w:rsidRDefault="00BA10E9" w:rsidP="0099521D">
          <w:pPr>
            <w:pStyle w:val="Header"/>
            <w:tabs>
              <w:tab w:val="clear" w:pos="4536"/>
              <w:tab w:val="clear" w:pos="9072"/>
            </w:tabs>
            <w:spacing w:line="240" w:lineRule="auto"/>
            <w:jc w:val="left"/>
          </w:pPr>
        </w:p>
      </w:tc>
      <w:tc>
        <w:tcPr>
          <w:tcW w:w="7544" w:type="dxa"/>
          <w:shd w:val="clear" w:color="auto" w:fill="auto"/>
          <w:vAlign w:val="bottom"/>
        </w:tcPr>
        <w:p w14:paraId="77A4FDE1" w14:textId="77777777" w:rsidR="00BA10E9" w:rsidRPr="002C6F64" w:rsidRDefault="00BA10E9" w:rsidP="0099521D">
          <w:pPr>
            <w:pStyle w:val="Header"/>
            <w:tabs>
              <w:tab w:val="clear" w:pos="4536"/>
              <w:tab w:val="clear" w:pos="9072"/>
            </w:tabs>
            <w:spacing w:line="240" w:lineRule="auto"/>
            <w:jc w:val="right"/>
            <w:rPr>
              <w:sz w:val="16"/>
              <w:szCs w:val="16"/>
            </w:rPr>
          </w:pPr>
          <w:r>
            <w:rPr>
              <w:sz w:val="16"/>
            </w:rPr>
            <w:t>Roller shutter boxes</w:t>
          </w:r>
        </w:p>
      </w:tc>
    </w:tr>
  </w:tbl>
  <w:p w14:paraId="6B485F13" w14:textId="77777777" w:rsidR="00BA10E9" w:rsidRPr="006D5AEE" w:rsidRDefault="00BA10E9" w:rsidP="0099521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906"/>
      <w:gridCol w:w="622"/>
      <w:gridCol w:w="7544"/>
    </w:tblGrid>
    <w:tr w:rsidR="00BA10E9" w:rsidRPr="00600CD7" w14:paraId="402A3FD8" w14:textId="77777777" w:rsidTr="00B1628A">
      <w:trPr>
        <w:trHeight w:val="227"/>
      </w:trPr>
      <w:tc>
        <w:tcPr>
          <w:tcW w:w="906" w:type="dxa"/>
          <w:shd w:val="clear" w:color="auto" w:fill="auto"/>
          <w:vAlign w:val="bottom"/>
        </w:tcPr>
        <w:p w14:paraId="50D3D976" w14:textId="77777777" w:rsidR="00BA10E9" w:rsidRPr="002C6F64" w:rsidRDefault="00BA10E9" w:rsidP="003A0178">
          <w:pPr>
            <w:pStyle w:val="Header"/>
            <w:tabs>
              <w:tab w:val="clear" w:pos="4536"/>
              <w:tab w:val="clear" w:pos="9072"/>
            </w:tabs>
            <w:spacing w:line="240" w:lineRule="auto"/>
            <w:jc w:val="left"/>
            <w:rPr>
              <w:sz w:val="16"/>
              <w:szCs w:val="16"/>
            </w:rPr>
          </w:pPr>
          <w:r>
            <w:rPr>
              <w:sz w:val="16"/>
            </w:rPr>
            <w:t>Annex 13</w:t>
          </w:r>
        </w:p>
      </w:tc>
      <w:tc>
        <w:tcPr>
          <w:tcW w:w="622" w:type="dxa"/>
          <w:shd w:val="clear" w:color="auto" w:fill="auto"/>
          <w:vAlign w:val="bottom"/>
        </w:tcPr>
        <w:p w14:paraId="6A4A57A2" w14:textId="380E078D" w:rsidR="00BA10E9" w:rsidRPr="00600CD7" w:rsidRDefault="00BA10E9" w:rsidP="003A0178">
          <w:pPr>
            <w:pStyle w:val="Header"/>
            <w:tabs>
              <w:tab w:val="clear" w:pos="4536"/>
              <w:tab w:val="clear" w:pos="9072"/>
            </w:tabs>
            <w:spacing w:line="240" w:lineRule="auto"/>
            <w:jc w:val="left"/>
          </w:pPr>
        </w:p>
      </w:tc>
      <w:tc>
        <w:tcPr>
          <w:tcW w:w="7544" w:type="dxa"/>
          <w:shd w:val="clear" w:color="auto" w:fill="auto"/>
          <w:vAlign w:val="bottom"/>
        </w:tcPr>
        <w:p w14:paraId="4110E4E7" w14:textId="77777777" w:rsidR="00BA10E9" w:rsidRPr="002C6F64" w:rsidRDefault="00BA10E9" w:rsidP="003A0178">
          <w:pPr>
            <w:pStyle w:val="Header"/>
            <w:tabs>
              <w:tab w:val="clear" w:pos="4536"/>
              <w:tab w:val="clear" w:pos="9072"/>
            </w:tabs>
            <w:spacing w:line="240" w:lineRule="auto"/>
            <w:jc w:val="right"/>
            <w:rPr>
              <w:sz w:val="16"/>
              <w:szCs w:val="16"/>
            </w:rPr>
          </w:pPr>
          <w:r>
            <w:rPr>
              <w:sz w:val="16"/>
            </w:rPr>
            <w:t>Roller shutter boxes</w:t>
          </w:r>
        </w:p>
      </w:tc>
    </w:tr>
  </w:tbl>
  <w:p w14:paraId="2FE017B6" w14:textId="77777777" w:rsidR="00BA10E9" w:rsidRPr="00C96461" w:rsidRDefault="00BA10E9" w:rsidP="00C9646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017C" w14:textId="77777777" w:rsidR="00BA10E9" w:rsidRDefault="00BA10E9" w:rsidP="0099521D">
    <w:pPr>
      <w:pStyle w:val="Header"/>
    </w:pPr>
  </w:p>
  <w:p w14:paraId="4F68B5B5" w14:textId="77777777" w:rsidR="00BA10E9" w:rsidRPr="002C6F64" w:rsidRDefault="00BA10E9" w:rsidP="0099521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C978" w14:textId="77777777" w:rsidR="00BA10E9" w:rsidRPr="002A6D6B" w:rsidRDefault="00BA10E9" w:rsidP="0099521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83E6" w14:textId="77777777" w:rsidR="00BA10E9" w:rsidRPr="002C6F64" w:rsidRDefault="00BA10E9" w:rsidP="0099521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CellMar>
        <w:left w:w="0" w:type="dxa"/>
        <w:right w:w="0" w:type="dxa"/>
      </w:tblCellMar>
      <w:tblLook w:val="04A0" w:firstRow="1" w:lastRow="0" w:firstColumn="1" w:lastColumn="0" w:noHBand="0" w:noVBand="1"/>
    </w:tblPr>
    <w:tblGrid>
      <w:gridCol w:w="851"/>
      <w:gridCol w:w="20"/>
      <w:gridCol w:w="8343"/>
    </w:tblGrid>
    <w:tr w:rsidR="00BA10E9" w:rsidRPr="00600CD7" w14:paraId="2206D40C" w14:textId="77777777" w:rsidTr="00600F53">
      <w:trPr>
        <w:trHeight w:val="227"/>
      </w:trPr>
      <w:tc>
        <w:tcPr>
          <w:tcW w:w="851" w:type="dxa"/>
          <w:shd w:val="clear" w:color="auto" w:fill="auto"/>
          <w:vAlign w:val="bottom"/>
        </w:tcPr>
        <w:p w14:paraId="46E214EF" w14:textId="77777777" w:rsidR="00BA10E9" w:rsidRPr="002C6F64" w:rsidRDefault="00BA10E9" w:rsidP="003A0178">
          <w:pPr>
            <w:pStyle w:val="Header"/>
            <w:tabs>
              <w:tab w:val="clear" w:pos="4536"/>
              <w:tab w:val="clear" w:pos="9072"/>
            </w:tabs>
            <w:spacing w:line="240" w:lineRule="auto"/>
            <w:jc w:val="left"/>
            <w:rPr>
              <w:sz w:val="16"/>
              <w:szCs w:val="16"/>
            </w:rPr>
          </w:pPr>
          <w:r>
            <w:rPr>
              <w:sz w:val="16"/>
            </w:rPr>
            <w:t>Annex 14</w:t>
          </w:r>
        </w:p>
      </w:tc>
      <w:tc>
        <w:tcPr>
          <w:tcW w:w="20" w:type="dxa"/>
          <w:shd w:val="clear" w:color="auto" w:fill="auto"/>
          <w:vAlign w:val="bottom"/>
        </w:tcPr>
        <w:p w14:paraId="6A49FDF2" w14:textId="0284BCFF" w:rsidR="00BA10E9" w:rsidRPr="00600CD7" w:rsidRDefault="00BA10E9" w:rsidP="003A0178">
          <w:pPr>
            <w:pStyle w:val="Header"/>
            <w:tabs>
              <w:tab w:val="clear" w:pos="4536"/>
              <w:tab w:val="clear" w:pos="9072"/>
            </w:tabs>
            <w:spacing w:line="240" w:lineRule="auto"/>
            <w:jc w:val="left"/>
          </w:pPr>
        </w:p>
      </w:tc>
      <w:tc>
        <w:tcPr>
          <w:tcW w:w="8343" w:type="dxa"/>
          <w:shd w:val="clear" w:color="auto" w:fill="auto"/>
          <w:vAlign w:val="bottom"/>
        </w:tcPr>
        <w:p w14:paraId="33A0270C" w14:textId="77777777" w:rsidR="00BA10E9" w:rsidRPr="002C6F64" w:rsidRDefault="00BA10E9" w:rsidP="00600F53">
          <w:pPr>
            <w:pStyle w:val="Header"/>
            <w:tabs>
              <w:tab w:val="clear" w:pos="4536"/>
              <w:tab w:val="clear" w:pos="9072"/>
            </w:tabs>
            <w:spacing w:line="240" w:lineRule="auto"/>
            <w:ind w:left="-593"/>
            <w:jc w:val="right"/>
            <w:rPr>
              <w:sz w:val="16"/>
              <w:szCs w:val="16"/>
            </w:rPr>
          </w:pPr>
          <w:r>
            <w:rPr>
              <w:sz w:val="16"/>
            </w:rPr>
            <w:t>Technical Rule on Technical Building Equipment (</w:t>
          </w:r>
          <w:proofErr w:type="spellStart"/>
          <w:r>
            <w:rPr>
              <w:sz w:val="16"/>
            </w:rPr>
            <w:t>Technische</w:t>
          </w:r>
          <w:proofErr w:type="spellEnd"/>
          <w:r>
            <w:rPr>
              <w:sz w:val="16"/>
            </w:rPr>
            <w:t xml:space="preserve"> Regel </w:t>
          </w:r>
          <w:proofErr w:type="spellStart"/>
          <w:r>
            <w:rPr>
              <w:sz w:val="16"/>
            </w:rPr>
            <w:t>Technische</w:t>
          </w:r>
          <w:proofErr w:type="spellEnd"/>
          <w:r>
            <w:rPr>
              <w:sz w:val="16"/>
            </w:rPr>
            <w:t xml:space="preserve"> </w:t>
          </w:r>
          <w:proofErr w:type="spellStart"/>
          <w:r>
            <w:rPr>
              <w:sz w:val="16"/>
            </w:rPr>
            <w:t>Gebäudeausrüstung</w:t>
          </w:r>
          <w:proofErr w:type="spellEnd"/>
          <w:r>
            <w:rPr>
              <w:sz w:val="16"/>
            </w:rPr>
            <w:t xml:space="preserve"> [TR TGA])</w:t>
          </w:r>
        </w:p>
      </w:tc>
    </w:tr>
  </w:tbl>
  <w:p w14:paraId="7B019E48" w14:textId="77777777" w:rsidR="00BA10E9" w:rsidRPr="006D5AEE" w:rsidRDefault="00BA10E9" w:rsidP="003A017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906"/>
      <w:gridCol w:w="622"/>
      <w:gridCol w:w="7828"/>
    </w:tblGrid>
    <w:tr w:rsidR="00BA10E9" w:rsidRPr="00375ADF" w14:paraId="62C2BCB8" w14:textId="77777777" w:rsidTr="00375ADF">
      <w:trPr>
        <w:trHeight w:val="227"/>
      </w:trPr>
      <w:tc>
        <w:tcPr>
          <w:tcW w:w="906" w:type="dxa"/>
          <w:shd w:val="clear" w:color="auto" w:fill="auto"/>
          <w:vAlign w:val="bottom"/>
        </w:tcPr>
        <w:p w14:paraId="306B6D8E" w14:textId="77777777" w:rsidR="00BA10E9" w:rsidRPr="002C6F64" w:rsidRDefault="00BA10E9" w:rsidP="003A0178">
          <w:pPr>
            <w:pStyle w:val="Header"/>
            <w:tabs>
              <w:tab w:val="clear" w:pos="4536"/>
              <w:tab w:val="clear" w:pos="9072"/>
            </w:tabs>
            <w:spacing w:line="240" w:lineRule="auto"/>
            <w:jc w:val="left"/>
            <w:rPr>
              <w:sz w:val="16"/>
              <w:szCs w:val="16"/>
            </w:rPr>
          </w:pPr>
          <w:r>
            <w:rPr>
              <w:sz w:val="16"/>
            </w:rPr>
            <w:t>Annex 14</w:t>
          </w:r>
        </w:p>
      </w:tc>
      <w:tc>
        <w:tcPr>
          <w:tcW w:w="622" w:type="dxa"/>
          <w:shd w:val="clear" w:color="auto" w:fill="auto"/>
          <w:vAlign w:val="bottom"/>
        </w:tcPr>
        <w:p w14:paraId="2456BC4D" w14:textId="26B48B9A" w:rsidR="00BA10E9" w:rsidRPr="00600CD7" w:rsidRDefault="00BA10E9" w:rsidP="003A0178">
          <w:pPr>
            <w:pStyle w:val="Header"/>
            <w:tabs>
              <w:tab w:val="clear" w:pos="4536"/>
              <w:tab w:val="clear" w:pos="9072"/>
            </w:tabs>
            <w:spacing w:line="240" w:lineRule="auto"/>
            <w:jc w:val="left"/>
          </w:pPr>
        </w:p>
      </w:tc>
      <w:tc>
        <w:tcPr>
          <w:tcW w:w="7828" w:type="dxa"/>
          <w:shd w:val="clear" w:color="auto" w:fill="auto"/>
          <w:vAlign w:val="bottom"/>
        </w:tcPr>
        <w:p w14:paraId="2E82960A" w14:textId="77777777" w:rsidR="00BA10E9" w:rsidRPr="00375ADF" w:rsidRDefault="00BA10E9" w:rsidP="00375ADF">
          <w:pPr>
            <w:pStyle w:val="Header"/>
            <w:tabs>
              <w:tab w:val="clear" w:pos="4536"/>
              <w:tab w:val="clear" w:pos="9072"/>
            </w:tabs>
            <w:spacing w:line="240" w:lineRule="auto"/>
            <w:ind w:left="30"/>
            <w:jc w:val="right"/>
            <w:rPr>
              <w:sz w:val="15"/>
              <w:szCs w:val="15"/>
            </w:rPr>
          </w:pPr>
          <w:r w:rsidRPr="00375ADF">
            <w:rPr>
              <w:sz w:val="15"/>
              <w:szCs w:val="15"/>
            </w:rPr>
            <w:t>Technical Rule on Technical Building Equipment (</w:t>
          </w:r>
          <w:proofErr w:type="spellStart"/>
          <w:r w:rsidRPr="00375ADF">
            <w:rPr>
              <w:sz w:val="15"/>
              <w:szCs w:val="15"/>
            </w:rPr>
            <w:t>Technische</w:t>
          </w:r>
          <w:proofErr w:type="spellEnd"/>
          <w:r w:rsidRPr="00375ADF">
            <w:rPr>
              <w:sz w:val="15"/>
              <w:szCs w:val="15"/>
            </w:rPr>
            <w:t xml:space="preserve"> Regel </w:t>
          </w:r>
          <w:proofErr w:type="spellStart"/>
          <w:r w:rsidRPr="00375ADF">
            <w:rPr>
              <w:sz w:val="15"/>
              <w:szCs w:val="15"/>
            </w:rPr>
            <w:t>Technische</w:t>
          </w:r>
          <w:proofErr w:type="spellEnd"/>
          <w:r w:rsidRPr="00375ADF">
            <w:rPr>
              <w:sz w:val="15"/>
              <w:szCs w:val="15"/>
            </w:rPr>
            <w:t xml:space="preserve"> </w:t>
          </w:r>
          <w:proofErr w:type="spellStart"/>
          <w:r w:rsidRPr="00375ADF">
            <w:rPr>
              <w:sz w:val="15"/>
              <w:szCs w:val="15"/>
            </w:rPr>
            <w:t>Gebäudeausrüstung</w:t>
          </w:r>
          <w:proofErr w:type="spellEnd"/>
          <w:r w:rsidRPr="00375ADF">
            <w:rPr>
              <w:sz w:val="15"/>
              <w:szCs w:val="15"/>
            </w:rPr>
            <w:t xml:space="preserve"> [TR TGA])</w:t>
          </w:r>
        </w:p>
      </w:tc>
    </w:tr>
  </w:tbl>
  <w:p w14:paraId="63CEDCCC" w14:textId="77777777" w:rsidR="00BA10E9" w:rsidRPr="006D5AEE" w:rsidRDefault="00BA10E9" w:rsidP="003A01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01C8" w14:textId="4A31E736" w:rsidR="00BA10E9" w:rsidRPr="006C179B" w:rsidRDefault="00BA10E9" w:rsidP="00BA10E9">
    <w:pPr>
      <w:pStyle w:val="Titelseite-berschrift1"/>
      <w:rPr>
        <w:szCs w:val="28"/>
      </w:rPr>
    </w:pPr>
    <w:r>
      <w:t xml:space="preserve">A - Technical Building Regulations to be observed to meet </w:t>
    </w:r>
    <w:r>
      <w:br/>
      <w:t>the basic requirements for buildings</w:t>
    </w:r>
  </w:p>
  <w:p w14:paraId="27DE2887" w14:textId="77777777" w:rsidR="00BA10E9" w:rsidRDefault="00BA10E9" w:rsidP="007D3F4C"/>
  <w:p w14:paraId="10C598D7" w14:textId="77777777" w:rsidR="00BA10E9" w:rsidRDefault="00BA10E9" w:rsidP="007D3F4C"/>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6503" w14:textId="77777777" w:rsidR="00BA10E9" w:rsidRPr="006D5AEE" w:rsidRDefault="00BA10E9" w:rsidP="003A017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D3A0" w14:textId="77777777" w:rsidR="00BA10E9" w:rsidRDefault="00BA10E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383D" w14:textId="77777777" w:rsidR="00BA10E9" w:rsidRPr="006D5AEE" w:rsidRDefault="00BA10E9" w:rsidP="00EA14A1">
    <w:pPr>
      <w:pStyle w:val="Header"/>
    </w:pPr>
    <w:r>
      <w:rPr>
        <w:sz w:val="16"/>
      </w:rPr>
      <w:t>Source of supply certification</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0894" w14:textId="77777777" w:rsidR="00BA10E9" w:rsidRDefault="00BA10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08DA" w14:textId="447C2B54" w:rsidR="00BA10E9" w:rsidRDefault="00BA10E9" w:rsidP="007D3F4C">
    <w:pPr>
      <w:tabs>
        <w:tab w:val="left" w:pos="851"/>
      </w:tabs>
    </w:pPr>
    <w:r>
      <w:rPr>
        <w:sz w:val="16"/>
      </w:rPr>
      <w:t>Part A</w:t>
    </w:r>
  </w:p>
  <w:p w14:paraId="42AF8875" w14:textId="77777777" w:rsidR="00BA10E9" w:rsidRDefault="00BA10E9" w:rsidP="007D3F4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B6A9" w14:textId="6F7699A3" w:rsidR="00BA10E9" w:rsidRPr="00732CBC" w:rsidRDefault="00BA10E9" w:rsidP="007D3F4C">
    <w:pPr>
      <w:tabs>
        <w:tab w:val="left" w:pos="851"/>
      </w:tabs>
    </w:pPr>
    <w:r>
      <w:rPr>
        <w:sz w:val="16"/>
      </w:rPr>
      <w:t>Part A</w:t>
    </w:r>
  </w:p>
  <w:p w14:paraId="3AE32000" w14:textId="77777777" w:rsidR="00BA10E9" w:rsidRDefault="00BA10E9" w:rsidP="007D3F4C">
    <w:pPr>
      <w:pStyle w:val="BRL-Standard"/>
      <w:spacing w:line="140" w:lineRule="exact"/>
    </w:pP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3402"/>
      <w:gridCol w:w="2835"/>
      <w:gridCol w:w="1701"/>
    </w:tblGrid>
    <w:tr w:rsidR="00BA10E9" w:rsidRPr="00244268" w14:paraId="11DC836D" w14:textId="77777777" w:rsidTr="007D3F4C">
      <w:tc>
        <w:tcPr>
          <w:tcW w:w="1134" w:type="dxa"/>
        </w:tcPr>
        <w:p w14:paraId="364F7918" w14:textId="77777777" w:rsidR="00BA10E9" w:rsidRPr="00244268" w:rsidRDefault="00BA10E9" w:rsidP="007D3F4C">
          <w:pPr>
            <w:pStyle w:val="BRL-Tabellenkopf"/>
            <w:jc w:val="center"/>
          </w:pPr>
          <w:r>
            <w:t>Ser. No</w:t>
          </w:r>
        </w:p>
      </w:tc>
      <w:tc>
        <w:tcPr>
          <w:tcW w:w="3402" w:type="dxa"/>
        </w:tcPr>
        <w:p w14:paraId="4439BC0B" w14:textId="520C1C42" w:rsidR="00BA10E9" w:rsidRPr="00244268" w:rsidRDefault="00BA10E9" w:rsidP="00C711FC">
          <w:pPr>
            <w:pStyle w:val="BRL-Tabellenkopf"/>
            <w:jc w:val="center"/>
          </w:pPr>
          <w:r>
            <w:t>Planning,</w:t>
          </w:r>
          <w:r>
            <w:br/>
            <w:t>designing and execution requirements</w:t>
          </w:r>
          <w:r>
            <w:br/>
            <w:t>pursuant to § 85a(2) MBO</w:t>
          </w:r>
          <w:r>
            <w:rPr>
              <w:vertAlign w:val="superscript"/>
            </w:rPr>
            <w:t>1</w:t>
          </w:r>
        </w:p>
      </w:tc>
      <w:tc>
        <w:tcPr>
          <w:tcW w:w="2835" w:type="dxa"/>
        </w:tcPr>
        <w:p w14:paraId="75EFCDA1" w14:textId="77777777" w:rsidR="00BA10E9" w:rsidRPr="00244268" w:rsidRDefault="00BA10E9" w:rsidP="007D3F4C">
          <w:pPr>
            <w:pStyle w:val="BRL-Tabellenkopf"/>
            <w:jc w:val="center"/>
          </w:pPr>
          <w:r>
            <w:t>Technical rules/version</w:t>
          </w:r>
        </w:p>
      </w:tc>
      <w:tc>
        <w:tcPr>
          <w:tcW w:w="1701" w:type="dxa"/>
        </w:tcPr>
        <w:p w14:paraId="0BB09F50" w14:textId="77777777" w:rsidR="00BA10E9" w:rsidRPr="00244268" w:rsidRDefault="00BA10E9" w:rsidP="007D3F4C">
          <w:pPr>
            <w:pStyle w:val="BRL-Tabellenkopf"/>
            <w:jc w:val="center"/>
          </w:pPr>
          <w:r>
            <w:t>Further measures pursuant to § 85a(2) MBO</w:t>
          </w:r>
          <w:r>
            <w:rPr>
              <w:vertAlign w:val="superscript"/>
            </w:rPr>
            <w:t>1</w:t>
          </w:r>
        </w:p>
      </w:tc>
    </w:tr>
    <w:tr w:rsidR="00BA10E9" w:rsidRPr="00817D87" w14:paraId="51C7ABED" w14:textId="77777777" w:rsidTr="007D3F4C">
      <w:tc>
        <w:tcPr>
          <w:tcW w:w="1134" w:type="dxa"/>
        </w:tcPr>
        <w:p w14:paraId="53AAAB63" w14:textId="77777777" w:rsidR="00BA10E9" w:rsidRPr="00817D87" w:rsidRDefault="00BA10E9" w:rsidP="007D3F4C">
          <w:pPr>
            <w:pStyle w:val="BRL-Tabellenkopf"/>
            <w:jc w:val="center"/>
          </w:pPr>
          <w:r>
            <w:t>1</w:t>
          </w:r>
        </w:p>
      </w:tc>
      <w:tc>
        <w:tcPr>
          <w:tcW w:w="3402" w:type="dxa"/>
        </w:tcPr>
        <w:p w14:paraId="557DD70C" w14:textId="77777777" w:rsidR="00BA10E9" w:rsidRPr="00817D87" w:rsidRDefault="00BA10E9" w:rsidP="007D3F4C">
          <w:pPr>
            <w:pStyle w:val="BRL-Tabellenkopf"/>
            <w:jc w:val="center"/>
          </w:pPr>
          <w:r>
            <w:t>2</w:t>
          </w:r>
        </w:p>
      </w:tc>
      <w:tc>
        <w:tcPr>
          <w:tcW w:w="2835" w:type="dxa"/>
        </w:tcPr>
        <w:p w14:paraId="57AFB848" w14:textId="77777777" w:rsidR="00BA10E9" w:rsidRPr="00817D87" w:rsidRDefault="00BA10E9" w:rsidP="007D3F4C">
          <w:pPr>
            <w:pStyle w:val="BRL-Tabellenkopf"/>
            <w:jc w:val="center"/>
          </w:pPr>
          <w:r>
            <w:t>3</w:t>
          </w:r>
        </w:p>
      </w:tc>
      <w:tc>
        <w:tcPr>
          <w:tcW w:w="1701" w:type="dxa"/>
        </w:tcPr>
        <w:p w14:paraId="0B3D8298" w14:textId="77777777" w:rsidR="00BA10E9" w:rsidRPr="00817D87" w:rsidRDefault="00BA10E9" w:rsidP="007D3F4C">
          <w:pPr>
            <w:pStyle w:val="BRL-Tabellenkopf"/>
            <w:jc w:val="center"/>
          </w:pPr>
          <w:r>
            <w:t>4</w:t>
          </w:r>
        </w:p>
      </w:tc>
    </w:tr>
  </w:tbl>
  <w:p w14:paraId="741B9177" w14:textId="77777777" w:rsidR="00BA10E9" w:rsidRPr="00B1502D" w:rsidRDefault="00BA10E9" w:rsidP="007D3F4C">
    <w:pPr>
      <w:pStyle w:val="Header"/>
      <w:spacing w:line="20" w:lineRule="exact"/>
      <w:rPr>
        <w:color w:val="FFFFF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61BE" w14:textId="3027607D" w:rsidR="00BA10E9" w:rsidRPr="00732CBC" w:rsidRDefault="00BA10E9" w:rsidP="007D3F4C">
    <w:pPr>
      <w:tabs>
        <w:tab w:val="left" w:pos="851"/>
      </w:tabs>
    </w:pPr>
    <w:r>
      <w:rPr>
        <w:sz w:val="16"/>
      </w:rPr>
      <w:t>Part A</w:t>
    </w:r>
  </w:p>
  <w:p w14:paraId="63227B8E" w14:textId="77777777" w:rsidR="00BA10E9" w:rsidRDefault="00BA10E9" w:rsidP="007D3F4C">
    <w:pPr>
      <w:pStyle w:val="BRL-Standard"/>
      <w:spacing w:line="140" w:lineRule="exact"/>
    </w:pPr>
  </w:p>
  <w:p w14:paraId="3CEAE601" w14:textId="77777777" w:rsidR="00BA10E9" w:rsidRDefault="00BA10E9" w:rsidP="007D3F4C">
    <w:pPr>
      <w:pStyle w:val="BRL-berschrift-Kopf"/>
      <w:rPr>
        <w:vertAlign w:val="superscript"/>
      </w:rPr>
    </w:pPr>
    <w:r>
      <w:t>A 2.2</w:t>
    </w:r>
    <w:r>
      <w:tab/>
      <w:t>Technical requirements concerning the planning, designing and executing and technical requirements of structural elements pursuant to § 85a(2) MBO</w:t>
    </w:r>
    <w:r>
      <w:rPr>
        <w:vertAlign w:val="superscript"/>
      </w:rPr>
      <w:t>1</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3402"/>
      <w:gridCol w:w="2835"/>
      <w:gridCol w:w="1701"/>
    </w:tblGrid>
    <w:tr w:rsidR="00BA10E9" w:rsidRPr="00244268" w14:paraId="6CA77346" w14:textId="77777777" w:rsidTr="007D3F4C">
      <w:tc>
        <w:tcPr>
          <w:tcW w:w="1134" w:type="dxa"/>
        </w:tcPr>
        <w:p w14:paraId="1A869207" w14:textId="77777777" w:rsidR="00BA10E9" w:rsidRPr="00244268" w:rsidRDefault="00BA10E9" w:rsidP="007D3F4C">
          <w:pPr>
            <w:pStyle w:val="BRL-Tabellenkopf"/>
            <w:jc w:val="center"/>
          </w:pPr>
          <w:r>
            <w:t>Ser. No</w:t>
          </w:r>
        </w:p>
      </w:tc>
      <w:tc>
        <w:tcPr>
          <w:tcW w:w="3402" w:type="dxa"/>
        </w:tcPr>
        <w:p w14:paraId="46F69CF5" w14:textId="0D44F2CE" w:rsidR="00BA10E9" w:rsidRPr="00244268" w:rsidRDefault="00BA10E9" w:rsidP="00C711FC">
          <w:pPr>
            <w:pStyle w:val="BRL-Tabellenkopf"/>
            <w:jc w:val="center"/>
          </w:pPr>
          <w:r>
            <w:t>Planning,</w:t>
          </w:r>
          <w:r>
            <w:br/>
            <w:t>designing and execution requirements</w:t>
          </w:r>
          <w:r>
            <w:br/>
            <w:t>pursuant to § 85a(2) MBO</w:t>
          </w:r>
          <w:r>
            <w:rPr>
              <w:vertAlign w:val="superscript"/>
            </w:rPr>
            <w:t>1</w:t>
          </w:r>
        </w:p>
      </w:tc>
      <w:tc>
        <w:tcPr>
          <w:tcW w:w="2835" w:type="dxa"/>
        </w:tcPr>
        <w:p w14:paraId="7DF03AF7" w14:textId="77777777" w:rsidR="00BA10E9" w:rsidRPr="00244268" w:rsidRDefault="00BA10E9" w:rsidP="007D3F4C">
          <w:pPr>
            <w:pStyle w:val="BRL-Tabellenkopf"/>
            <w:jc w:val="center"/>
          </w:pPr>
          <w:r>
            <w:t>Technical rules/version</w:t>
          </w:r>
        </w:p>
      </w:tc>
      <w:tc>
        <w:tcPr>
          <w:tcW w:w="1701" w:type="dxa"/>
        </w:tcPr>
        <w:p w14:paraId="04131F61" w14:textId="77777777" w:rsidR="00BA10E9" w:rsidRPr="00244268" w:rsidRDefault="00BA10E9" w:rsidP="007D3F4C">
          <w:pPr>
            <w:pStyle w:val="BRL-Tabellenkopf"/>
            <w:jc w:val="center"/>
          </w:pPr>
          <w:r>
            <w:t>Further measures pursuant to § 85a(2) MBO</w:t>
          </w:r>
          <w:r>
            <w:rPr>
              <w:vertAlign w:val="superscript"/>
            </w:rPr>
            <w:t>1</w:t>
          </w:r>
        </w:p>
      </w:tc>
    </w:tr>
    <w:tr w:rsidR="00BA10E9" w:rsidRPr="00817D87" w14:paraId="37909CD8" w14:textId="77777777" w:rsidTr="007D3F4C">
      <w:tc>
        <w:tcPr>
          <w:tcW w:w="1134" w:type="dxa"/>
        </w:tcPr>
        <w:p w14:paraId="6EFE369E" w14:textId="77777777" w:rsidR="00BA10E9" w:rsidRPr="00817D87" w:rsidRDefault="00BA10E9" w:rsidP="007D3F4C">
          <w:pPr>
            <w:pStyle w:val="BRL-Tabellenkopf"/>
            <w:jc w:val="center"/>
          </w:pPr>
          <w:r>
            <w:t>1</w:t>
          </w:r>
        </w:p>
      </w:tc>
      <w:tc>
        <w:tcPr>
          <w:tcW w:w="3402" w:type="dxa"/>
        </w:tcPr>
        <w:p w14:paraId="298244B6" w14:textId="77777777" w:rsidR="00BA10E9" w:rsidRPr="00817D87" w:rsidRDefault="00BA10E9" w:rsidP="007D3F4C">
          <w:pPr>
            <w:pStyle w:val="BRL-Tabellenkopf"/>
            <w:jc w:val="center"/>
          </w:pPr>
          <w:r>
            <w:t>2</w:t>
          </w:r>
        </w:p>
      </w:tc>
      <w:tc>
        <w:tcPr>
          <w:tcW w:w="2835" w:type="dxa"/>
        </w:tcPr>
        <w:p w14:paraId="0592B098" w14:textId="77777777" w:rsidR="00BA10E9" w:rsidRPr="00817D87" w:rsidRDefault="00BA10E9" w:rsidP="007D3F4C">
          <w:pPr>
            <w:pStyle w:val="BRL-Tabellenkopf"/>
            <w:jc w:val="center"/>
          </w:pPr>
          <w:r>
            <w:t>3</w:t>
          </w:r>
        </w:p>
      </w:tc>
      <w:tc>
        <w:tcPr>
          <w:tcW w:w="1701" w:type="dxa"/>
        </w:tcPr>
        <w:p w14:paraId="678D6CB7" w14:textId="77777777" w:rsidR="00BA10E9" w:rsidRPr="00817D87" w:rsidRDefault="00BA10E9" w:rsidP="007D3F4C">
          <w:pPr>
            <w:pStyle w:val="BRL-Tabellenkopf"/>
            <w:jc w:val="center"/>
          </w:pPr>
          <w:r>
            <w:t>4</w:t>
          </w:r>
        </w:p>
      </w:tc>
    </w:tr>
  </w:tbl>
  <w:p w14:paraId="41DDE7AE" w14:textId="77777777" w:rsidR="00BA10E9" w:rsidRPr="00B1502D" w:rsidRDefault="00BA10E9" w:rsidP="007D3F4C">
    <w:pPr>
      <w:pStyle w:val="Header"/>
      <w:spacing w:line="20" w:lineRule="exact"/>
      <w:rPr>
        <w:color w:val="FFFFFF"/>
      </w:rPr>
    </w:pPr>
  </w:p>
  <w:p w14:paraId="790DD68C" w14:textId="77777777" w:rsidR="00BA10E9" w:rsidRPr="00B1502D" w:rsidRDefault="00BA10E9" w:rsidP="007D3F4C">
    <w:pPr>
      <w:pStyle w:val="Header"/>
      <w:spacing w:line="20" w:lineRule="exact"/>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6CF9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BEA6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E4A1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A482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A4A1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E82A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D0AB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F695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CC6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16CC7C"/>
    <w:lvl w:ilvl="0">
      <w:start w:val="1"/>
      <w:numFmt w:val="bullet"/>
      <w:pStyle w:val="ListBullet"/>
      <w:lvlText w:val=""/>
      <w:lvlJc w:val="left"/>
      <w:pPr>
        <w:tabs>
          <w:tab w:val="num" w:pos="1134"/>
        </w:tabs>
        <w:ind w:left="1134" w:hanging="283"/>
      </w:pPr>
      <w:rPr>
        <w:rFonts w:ascii="Symbol" w:hAnsi="Symbol" w:hint="default"/>
        <w:color w:val="auto"/>
      </w:rPr>
    </w:lvl>
  </w:abstractNum>
  <w:abstractNum w:abstractNumId="10" w15:restartNumberingAfterBreak="0">
    <w:nsid w:val="02C448B4"/>
    <w:multiLevelType w:val="hybridMultilevel"/>
    <w:tmpl w:val="5C105690"/>
    <w:lvl w:ilvl="0" w:tplc="97A2963E">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1F2002"/>
    <w:multiLevelType w:val="hybridMultilevel"/>
    <w:tmpl w:val="35FC8A54"/>
    <w:lvl w:ilvl="0" w:tplc="DB12DB50">
      <w:start w:val="1"/>
      <w:numFmt w:val="decimal"/>
      <w:pStyle w:val="ZB-Standard2Seite"/>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1E0781C"/>
    <w:multiLevelType w:val="multilevel"/>
    <w:tmpl w:val="AFD292BE"/>
    <w:lvl w:ilvl="0">
      <w:start w:val="1"/>
      <w:numFmt w:val="decimal"/>
      <w:lvlRestart w:val="0"/>
      <w:pStyle w:val="BW2berschrift1"/>
      <w:lvlText w:val="%1."/>
      <w:lvlJc w:val="left"/>
      <w:pPr>
        <w:tabs>
          <w:tab w:val="num" w:pos="850"/>
        </w:tabs>
        <w:ind w:left="850" w:hanging="850"/>
      </w:pPr>
    </w:lvl>
    <w:lvl w:ilvl="1">
      <w:start w:val="1"/>
      <w:numFmt w:val="decimal"/>
      <w:pStyle w:val="BW2berschrift2"/>
      <w:lvlText w:val="%1.%2."/>
      <w:lvlJc w:val="left"/>
      <w:pPr>
        <w:tabs>
          <w:tab w:val="num" w:pos="850"/>
        </w:tabs>
        <w:ind w:left="850" w:hanging="850"/>
      </w:pPr>
    </w:lvl>
    <w:lvl w:ilvl="2">
      <w:start w:val="1"/>
      <w:numFmt w:val="decimal"/>
      <w:pStyle w:val="BW2berschrift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3" w15:restartNumberingAfterBreak="0">
    <w:nsid w:val="1464629A"/>
    <w:multiLevelType w:val="multilevel"/>
    <w:tmpl w:val="D9504BEA"/>
    <w:styleLink w:val="DIBt"/>
    <w:lvl w:ilvl="0">
      <w:start w:val="1"/>
      <w:numFmt w:val="bullet"/>
      <w:lvlText w:val="n"/>
      <w:lvlJc w:val="left"/>
      <w:pPr>
        <w:ind w:left="360" w:hanging="360"/>
      </w:pPr>
      <w:rPr>
        <w:rFonts w:ascii="Wingdings" w:hAnsi="Wingdings" w:hint="default"/>
        <w:color w:val="A6A597"/>
        <w:sz w:val="20"/>
      </w:rPr>
    </w:lvl>
    <w:lvl w:ilvl="1">
      <w:start w:val="1"/>
      <w:numFmt w:val="bullet"/>
      <w:lvlText w:val="n"/>
      <w:lvlJc w:val="left"/>
      <w:pPr>
        <w:tabs>
          <w:tab w:val="num" w:pos="284"/>
        </w:tabs>
        <w:ind w:left="567" w:hanging="283"/>
      </w:pPr>
      <w:rPr>
        <w:rFonts w:ascii="Wingdings" w:hAnsi="Wingdings" w:hint="default"/>
        <w:color w:val="A6A597"/>
        <w:sz w:val="20"/>
      </w:rPr>
    </w:lvl>
    <w:lvl w:ilvl="2">
      <w:start w:val="1"/>
      <w:numFmt w:val="bullet"/>
      <w:lvlText w:val="n"/>
      <w:lvlJc w:val="left"/>
      <w:pPr>
        <w:tabs>
          <w:tab w:val="num" w:pos="851"/>
        </w:tabs>
        <w:ind w:left="851" w:hanging="284"/>
      </w:pPr>
      <w:rPr>
        <w:rFonts w:ascii="Wingdings" w:hAnsi="Wingdings" w:hint="default"/>
        <w:color w:val="A6A597"/>
        <w:sz w:val="20"/>
      </w:rPr>
    </w:lvl>
    <w:lvl w:ilvl="3">
      <w:start w:val="1"/>
      <w:numFmt w:val="bullet"/>
      <w:lvlText w:val="n"/>
      <w:lvlJc w:val="left"/>
      <w:pPr>
        <w:tabs>
          <w:tab w:val="num" w:pos="1134"/>
        </w:tabs>
        <w:ind w:left="1134" w:hanging="283"/>
      </w:pPr>
      <w:rPr>
        <w:rFonts w:ascii="Wingdings" w:hAnsi="Wingdings" w:hint="default"/>
        <w:color w:val="A6A597"/>
      </w:rPr>
    </w:lvl>
    <w:lvl w:ilvl="4">
      <w:start w:val="1"/>
      <w:numFmt w:val="bullet"/>
      <w:lvlText w:val="n"/>
      <w:lvlJc w:val="left"/>
      <w:pPr>
        <w:tabs>
          <w:tab w:val="num" w:pos="1418"/>
        </w:tabs>
        <w:ind w:left="1418" w:hanging="284"/>
      </w:pPr>
      <w:rPr>
        <w:rFonts w:ascii="Wingdings" w:hAnsi="Wingdings" w:hint="default"/>
        <w:color w:val="A6A597"/>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14" w15:restartNumberingAfterBreak="0">
    <w:nsid w:val="1BBB1C4E"/>
    <w:multiLevelType w:val="hybridMultilevel"/>
    <w:tmpl w:val="248212E6"/>
    <w:styleLink w:val="Formatvorlage31"/>
    <w:lvl w:ilvl="0" w:tplc="283E3D12">
      <w:start w:val="1"/>
      <w:numFmt w:val="bullet"/>
      <w:lvlText w:val="■"/>
      <w:lvlJc w:val="left"/>
      <w:pPr>
        <w:ind w:left="720" w:hanging="360"/>
      </w:pPr>
      <w:rPr>
        <w:rFonts w:ascii="Arial" w:hAnsi="Arial" w:hint="default"/>
        <w:color w:val="7F7F7F"/>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9079A4"/>
    <w:multiLevelType w:val="multilevel"/>
    <w:tmpl w:val="877894D0"/>
    <w:lvl w:ilvl="0">
      <w:start w:val="1"/>
      <w:numFmt w:val="bullet"/>
      <w:lvlText w:val="■"/>
      <w:lvlJc w:val="left"/>
      <w:pPr>
        <w:ind w:left="360" w:hanging="360"/>
      </w:pPr>
      <w:rPr>
        <w:rFonts w:ascii="Arial" w:hAnsi="Arial" w:hint="default"/>
        <w:color w:val="7F7F7F"/>
        <w:sz w:val="20"/>
      </w:rPr>
    </w:lvl>
    <w:lvl w:ilvl="1">
      <w:start w:val="1"/>
      <w:numFmt w:val="bullet"/>
      <w:pStyle w:val="Aufzhlung2Ebene"/>
      <w:lvlText w:val="■"/>
      <w:lvlJc w:val="left"/>
      <w:pPr>
        <w:tabs>
          <w:tab w:val="num" w:pos="284"/>
        </w:tabs>
        <w:ind w:left="567" w:hanging="283"/>
      </w:pPr>
      <w:rPr>
        <w:rFonts w:ascii="Arial" w:hAnsi="Arial" w:hint="default"/>
        <w:color w:val="7F7F7F"/>
        <w:sz w:val="20"/>
      </w:rPr>
    </w:lvl>
    <w:lvl w:ilvl="2">
      <w:start w:val="1"/>
      <w:numFmt w:val="bullet"/>
      <w:lvlText w:val="n"/>
      <w:lvlJc w:val="left"/>
      <w:pPr>
        <w:tabs>
          <w:tab w:val="num" w:pos="851"/>
        </w:tabs>
        <w:ind w:left="851" w:hanging="284"/>
      </w:pPr>
      <w:rPr>
        <w:rFonts w:ascii="Wingdings" w:hAnsi="Wingdings" w:hint="default"/>
        <w:color w:val="D5D0B4"/>
        <w:sz w:val="20"/>
      </w:rPr>
    </w:lvl>
    <w:lvl w:ilvl="3">
      <w:start w:val="1"/>
      <w:numFmt w:val="bullet"/>
      <w:lvlText w:val="n"/>
      <w:lvlJc w:val="left"/>
      <w:pPr>
        <w:tabs>
          <w:tab w:val="num" w:pos="1134"/>
        </w:tabs>
        <w:ind w:left="1134" w:hanging="283"/>
      </w:pPr>
      <w:rPr>
        <w:rFonts w:ascii="Wingdings" w:hAnsi="Wingdings" w:hint="default"/>
        <w:color w:val="D5D0B4"/>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16" w15:restartNumberingAfterBreak="0">
    <w:nsid w:val="2BAB7DD6"/>
    <w:multiLevelType w:val="multilevel"/>
    <w:tmpl w:val="13983216"/>
    <w:styleLink w:val="Formatvorlage3"/>
    <w:lvl w:ilvl="0">
      <w:start w:val="1"/>
      <w:numFmt w:val="bullet"/>
      <w:lvlText w:val="n"/>
      <w:lvlJc w:val="left"/>
      <w:pPr>
        <w:ind w:left="720" w:hanging="360"/>
      </w:pPr>
      <w:rPr>
        <w:rFonts w:ascii="Wingdings" w:hAnsi="Wingdings" w:hint="default"/>
        <w:color w:val="A6A597"/>
      </w:rPr>
    </w:lvl>
    <w:lvl w:ilvl="1">
      <w:start w:val="1"/>
      <w:numFmt w:val="bullet"/>
      <w:lvlText w:val="n"/>
      <w:lvlJc w:val="left"/>
      <w:pPr>
        <w:ind w:left="1440" w:hanging="360"/>
      </w:pPr>
      <w:rPr>
        <w:rFonts w:ascii="Wingdings" w:hAnsi="Wingdings" w:cs="Courier New" w:hint="default"/>
        <w:color w:val="A6A597"/>
      </w:rPr>
    </w:lvl>
    <w:lvl w:ilvl="2">
      <w:start w:val="1"/>
      <w:numFmt w:val="bullet"/>
      <w:lvlText w:val="n"/>
      <w:lvlJc w:val="left"/>
      <w:pPr>
        <w:ind w:left="2160" w:hanging="360"/>
      </w:pPr>
      <w:rPr>
        <w:rFonts w:ascii="Wingdings" w:hAnsi="Wingdings" w:hint="default"/>
        <w:color w:val="A6A597"/>
      </w:rPr>
    </w:lvl>
    <w:lvl w:ilvl="3">
      <w:start w:val="1"/>
      <w:numFmt w:val="bullet"/>
      <w:lvlText w:val="n"/>
      <w:lvlJc w:val="left"/>
      <w:pPr>
        <w:ind w:left="2880" w:hanging="360"/>
      </w:pPr>
      <w:rPr>
        <w:rFonts w:ascii="Wingdings" w:hAnsi="Wingdings" w:hint="default"/>
        <w:color w:val="A6A597"/>
      </w:rPr>
    </w:lvl>
    <w:lvl w:ilvl="4">
      <w:start w:val="1"/>
      <w:numFmt w:val="bullet"/>
      <w:lvlText w:val="n"/>
      <w:lvlJc w:val="left"/>
      <w:pPr>
        <w:ind w:left="3600" w:hanging="360"/>
      </w:pPr>
      <w:rPr>
        <w:rFonts w:ascii="Wingdings" w:hAnsi="Wingdings" w:cs="Courier New" w:hint="default"/>
        <w:color w:val="A6A597"/>
      </w:rPr>
    </w:lvl>
    <w:lvl w:ilvl="5">
      <w:start w:val="1"/>
      <w:numFmt w:val="bullet"/>
      <w:lvlText w:val="n"/>
      <w:lvlJc w:val="left"/>
      <w:pPr>
        <w:ind w:left="4320" w:hanging="360"/>
      </w:pPr>
      <w:rPr>
        <w:rFonts w:ascii="Wingdings" w:hAnsi="Wingdings" w:hint="default"/>
        <w:color w:val="A6A597"/>
      </w:rPr>
    </w:lvl>
    <w:lvl w:ilvl="6">
      <w:start w:val="1"/>
      <w:numFmt w:val="bullet"/>
      <w:lvlText w:val="n"/>
      <w:lvlJc w:val="left"/>
      <w:pPr>
        <w:ind w:left="5040" w:hanging="360"/>
      </w:pPr>
      <w:rPr>
        <w:rFonts w:ascii="Wingdings" w:hAnsi="Wingdings" w:hint="default"/>
        <w:color w:val="A6A597"/>
      </w:rPr>
    </w:lvl>
    <w:lvl w:ilvl="7">
      <w:start w:val="1"/>
      <w:numFmt w:val="bullet"/>
      <w:lvlText w:val="n"/>
      <w:lvlJc w:val="left"/>
      <w:pPr>
        <w:ind w:left="5760" w:hanging="360"/>
      </w:pPr>
      <w:rPr>
        <w:rFonts w:ascii="Wingdings" w:hAnsi="Wingdings" w:cs="Courier New" w:hint="default"/>
        <w:color w:val="A6A597"/>
      </w:rPr>
    </w:lvl>
    <w:lvl w:ilvl="8">
      <w:start w:val="1"/>
      <w:numFmt w:val="bullet"/>
      <w:lvlText w:val="n"/>
      <w:lvlJc w:val="left"/>
      <w:pPr>
        <w:ind w:left="6480" w:hanging="360"/>
      </w:pPr>
      <w:rPr>
        <w:rFonts w:ascii="Wingdings" w:hAnsi="Wingdings" w:hint="default"/>
        <w:color w:val="A6A597"/>
      </w:rPr>
    </w:lvl>
  </w:abstractNum>
  <w:abstractNum w:abstractNumId="17" w15:restartNumberingAfterBreak="0">
    <w:nsid w:val="2D5C4F0F"/>
    <w:multiLevelType w:val="hybridMultilevel"/>
    <w:tmpl w:val="96F4894A"/>
    <w:lvl w:ilvl="0" w:tplc="0812FBD8">
      <w:start w:val="1"/>
      <w:numFmt w:val="bullet"/>
      <w:pStyle w:val="BRL-StandardAufzhlungStrich"/>
      <w:lvlText w:val="-"/>
      <w:lvlJc w:val="left"/>
      <w:pPr>
        <w:ind w:left="720" w:hanging="360"/>
      </w:pPr>
      <w:rPr>
        <w:rFonts w:ascii="Arial" w:hAnsi="Aria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F25574"/>
    <w:multiLevelType w:val="multilevel"/>
    <w:tmpl w:val="32506F92"/>
    <w:lvl w:ilvl="0">
      <w:start w:val="1"/>
      <w:numFmt w:val="decimal"/>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FA74CFE"/>
    <w:multiLevelType w:val="hybridMultilevel"/>
    <w:tmpl w:val="DE505924"/>
    <w:lvl w:ilvl="0" w:tplc="24F05622">
      <w:start w:val="1"/>
      <w:numFmt w:val="decimal"/>
      <w:pStyle w:val="BRL-StandardAufzhlungNr"/>
      <w:lvlText w:val="%1."/>
      <w:lvlJc w:val="left"/>
      <w:pPr>
        <w:ind w:left="928" w:hanging="360"/>
      </w:pPr>
      <w:rPr>
        <w:rFonts w:hint="default"/>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0" w15:restartNumberingAfterBreak="0">
    <w:nsid w:val="353B6174"/>
    <w:multiLevelType w:val="hybridMultilevel"/>
    <w:tmpl w:val="06CAD3F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6D3A23"/>
    <w:multiLevelType w:val="hybridMultilevel"/>
    <w:tmpl w:val="313C3FD8"/>
    <w:lvl w:ilvl="0" w:tplc="46BAC004">
      <w:start w:val="1"/>
      <w:numFmt w:val="upperRoman"/>
      <w:lvlText w:val="%1)"/>
      <w:lvlJc w:val="left"/>
      <w:pPr>
        <w:ind w:left="720" w:hanging="360"/>
      </w:pPr>
      <w:rPr>
        <w:rFonts w:hint="default"/>
        <w:b/>
        <w:i w:val="0"/>
      </w:rPr>
    </w:lvl>
    <w:lvl w:ilvl="1" w:tplc="91FC0A54">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DCD0024"/>
    <w:multiLevelType w:val="hybridMultilevel"/>
    <w:tmpl w:val="16866778"/>
    <w:lvl w:ilvl="0" w:tplc="0212E596">
      <w:start w:val="1"/>
      <w:numFmt w:val="bullet"/>
      <w:pStyle w:val="Aufzaehlung"/>
      <w:lvlText w:val="■"/>
      <w:lvlJc w:val="left"/>
      <w:pPr>
        <w:ind w:left="3844" w:hanging="360"/>
      </w:pPr>
      <w:rPr>
        <w:rFonts w:ascii="Arial" w:hAnsi="Arial" w:hint="default"/>
        <w:color w:val="F79646"/>
        <w:sz w:val="20"/>
      </w:rPr>
    </w:lvl>
    <w:lvl w:ilvl="1" w:tplc="04070003">
      <w:start w:val="1"/>
      <w:numFmt w:val="bullet"/>
      <w:lvlText w:val="o"/>
      <w:lvlJc w:val="left"/>
      <w:pPr>
        <w:ind w:left="4564" w:hanging="360"/>
      </w:pPr>
      <w:rPr>
        <w:rFonts w:ascii="Courier New" w:hAnsi="Courier New" w:cs="Courier New" w:hint="default"/>
      </w:rPr>
    </w:lvl>
    <w:lvl w:ilvl="2" w:tplc="04070005" w:tentative="1">
      <w:start w:val="1"/>
      <w:numFmt w:val="bullet"/>
      <w:lvlText w:val=""/>
      <w:lvlJc w:val="left"/>
      <w:pPr>
        <w:ind w:left="5284" w:hanging="360"/>
      </w:pPr>
      <w:rPr>
        <w:rFonts w:ascii="Wingdings" w:hAnsi="Wingdings" w:hint="default"/>
      </w:rPr>
    </w:lvl>
    <w:lvl w:ilvl="3" w:tplc="04070001" w:tentative="1">
      <w:start w:val="1"/>
      <w:numFmt w:val="bullet"/>
      <w:lvlText w:val=""/>
      <w:lvlJc w:val="left"/>
      <w:pPr>
        <w:ind w:left="6004" w:hanging="360"/>
      </w:pPr>
      <w:rPr>
        <w:rFonts w:ascii="Symbol" w:hAnsi="Symbol" w:hint="default"/>
      </w:rPr>
    </w:lvl>
    <w:lvl w:ilvl="4" w:tplc="04070003" w:tentative="1">
      <w:start w:val="1"/>
      <w:numFmt w:val="bullet"/>
      <w:lvlText w:val="o"/>
      <w:lvlJc w:val="left"/>
      <w:pPr>
        <w:ind w:left="6724" w:hanging="360"/>
      </w:pPr>
      <w:rPr>
        <w:rFonts w:ascii="Courier New" w:hAnsi="Courier New" w:cs="Courier New" w:hint="default"/>
      </w:rPr>
    </w:lvl>
    <w:lvl w:ilvl="5" w:tplc="04070005" w:tentative="1">
      <w:start w:val="1"/>
      <w:numFmt w:val="bullet"/>
      <w:lvlText w:val=""/>
      <w:lvlJc w:val="left"/>
      <w:pPr>
        <w:ind w:left="7444" w:hanging="360"/>
      </w:pPr>
      <w:rPr>
        <w:rFonts w:ascii="Wingdings" w:hAnsi="Wingdings" w:hint="default"/>
      </w:rPr>
    </w:lvl>
    <w:lvl w:ilvl="6" w:tplc="04070001" w:tentative="1">
      <w:start w:val="1"/>
      <w:numFmt w:val="bullet"/>
      <w:lvlText w:val=""/>
      <w:lvlJc w:val="left"/>
      <w:pPr>
        <w:ind w:left="8164" w:hanging="360"/>
      </w:pPr>
      <w:rPr>
        <w:rFonts w:ascii="Symbol" w:hAnsi="Symbol" w:hint="default"/>
      </w:rPr>
    </w:lvl>
    <w:lvl w:ilvl="7" w:tplc="04070003" w:tentative="1">
      <w:start w:val="1"/>
      <w:numFmt w:val="bullet"/>
      <w:lvlText w:val="o"/>
      <w:lvlJc w:val="left"/>
      <w:pPr>
        <w:ind w:left="8884" w:hanging="360"/>
      </w:pPr>
      <w:rPr>
        <w:rFonts w:ascii="Courier New" w:hAnsi="Courier New" w:cs="Courier New" w:hint="default"/>
      </w:rPr>
    </w:lvl>
    <w:lvl w:ilvl="8" w:tplc="04070005" w:tentative="1">
      <w:start w:val="1"/>
      <w:numFmt w:val="bullet"/>
      <w:lvlText w:val=""/>
      <w:lvlJc w:val="left"/>
      <w:pPr>
        <w:ind w:left="9604" w:hanging="360"/>
      </w:pPr>
      <w:rPr>
        <w:rFonts w:ascii="Wingdings" w:hAnsi="Wingdings" w:hint="default"/>
      </w:rPr>
    </w:lvl>
  </w:abstractNum>
  <w:abstractNum w:abstractNumId="23" w15:restartNumberingAfterBreak="0">
    <w:nsid w:val="4FE37DB6"/>
    <w:multiLevelType w:val="multilevel"/>
    <w:tmpl w:val="54825CB0"/>
    <w:lvl w:ilvl="0">
      <w:start w:val="1"/>
      <w:numFmt w:val="bullet"/>
      <w:pStyle w:val="AufzhlungTabelle"/>
      <w:lvlText w:val="■"/>
      <w:lvlJc w:val="left"/>
      <w:pPr>
        <w:tabs>
          <w:tab w:val="num" w:pos="284"/>
        </w:tabs>
        <w:ind w:left="284" w:hanging="284"/>
      </w:pPr>
      <w:rPr>
        <w:rFonts w:ascii="Arial" w:hAnsi="Arial" w:hint="default"/>
        <w:strike w:val="0"/>
        <w:color w:val="7F7F7F"/>
        <w:sz w:val="20"/>
      </w:rPr>
    </w:lvl>
    <w:lvl w:ilvl="1">
      <w:start w:val="1"/>
      <w:numFmt w:val="bullet"/>
      <w:lvlText w:val="n"/>
      <w:lvlJc w:val="left"/>
      <w:pPr>
        <w:tabs>
          <w:tab w:val="num" w:pos="284"/>
        </w:tabs>
        <w:ind w:left="567" w:hanging="283"/>
      </w:pPr>
      <w:rPr>
        <w:rFonts w:ascii="Wingdings" w:hAnsi="Wingdings" w:hint="default"/>
        <w:color w:val="C4BC96"/>
        <w:sz w:val="20"/>
      </w:rPr>
    </w:lvl>
    <w:lvl w:ilvl="2">
      <w:start w:val="1"/>
      <w:numFmt w:val="bullet"/>
      <w:lvlText w:val="n"/>
      <w:lvlJc w:val="left"/>
      <w:pPr>
        <w:tabs>
          <w:tab w:val="num" w:pos="851"/>
        </w:tabs>
        <w:ind w:left="851" w:hanging="284"/>
      </w:pPr>
      <w:rPr>
        <w:rFonts w:ascii="Wingdings" w:hAnsi="Wingdings" w:hint="default"/>
        <w:color w:val="D5D0B4"/>
        <w:sz w:val="20"/>
      </w:rPr>
    </w:lvl>
    <w:lvl w:ilvl="3">
      <w:start w:val="1"/>
      <w:numFmt w:val="bullet"/>
      <w:lvlText w:val="n"/>
      <w:lvlJc w:val="left"/>
      <w:pPr>
        <w:tabs>
          <w:tab w:val="num" w:pos="1134"/>
        </w:tabs>
        <w:ind w:left="1134" w:hanging="283"/>
      </w:pPr>
      <w:rPr>
        <w:rFonts w:ascii="Wingdings" w:hAnsi="Wingdings" w:hint="default"/>
        <w:color w:val="D5D0B4"/>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24" w15:restartNumberingAfterBreak="0">
    <w:nsid w:val="51DC2B6A"/>
    <w:multiLevelType w:val="hybridMultilevel"/>
    <w:tmpl w:val="EB98DACA"/>
    <w:lvl w:ilvl="0" w:tplc="21B43CB2">
      <w:start w:val="1"/>
      <w:numFmt w:val="bullet"/>
      <w:pStyle w:val="BRL-TabelleAufzhlung9PtLinksRechts02cmVor0PtNach"/>
      <w:lvlText w:val="-"/>
      <w:lvlJc w:val="left"/>
      <w:pPr>
        <w:ind w:left="720" w:hanging="360"/>
      </w:pPr>
      <w:rPr>
        <w:rFonts w:ascii="Arial" w:hAnsi="Aria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3042AA"/>
    <w:multiLevelType w:val="hybridMultilevel"/>
    <w:tmpl w:val="F91AEC00"/>
    <w:lvl w:ilvl="0" w:tplc="C6A8D3AE">
      <w:start w:val="1"/>
      <w:numFmt w:val="decimal"/>
      <w:lvlText w:val="%1."/>
      <w:lvlJc w:val="left"/>
      <w:pPr>
        <w:ind w:left="720" w:hanging="360"/>
      </w:pPr>
      <w:rPr>
        <w:rFonts w:hint="default"/>
        <w:b/>
        <w:i w:val="0"/>
      </w:rPr>
    </w:lvl>
    <w:lvl w:ilvl="1" w:tplc="E708B27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101168"/>
    <w:multiLevelType w:val="multilevel"/>
    <w:tmpl w:val="7F348AA6"/>
    <w:lvl w:ilvl="0">
      <w:start w:val="1"/>
      <w:numFmt w:val="bullet"/>
      <w:pStyle w:val="BRL-Anlage-AufzhlungKasten"/>
      <w:lvlText w:val="-"/>
      <w:lvlJc w:val="left"/>
      <w:pPr>
        <w:ind w:left="1636" w:hanging="360"/>
      </w:pPr>
      <w:rPr>
        <w:rFonts w:ascii="Arial" w:hAnsi="Arial" w:hint="default"/>
        <w:color w:val="auto"/>
        <w:sz w:val="20"/>
      </w:rPr>
    </w:lvl>
    <w:lvl w:ilvl="1">
      <w:start w:val="1"/>
      <w:numFmt w:val="bullet"/>
      <w:lvlText w:val="n"/>
      <w:lvlJc w:val="left"/>
      <w:pPr>
        <w:tabs>
          <w:tab w:val="num" w:pos="284"/>
        </w:tabs>
        <w:ind w:left="567" w:hanging="283"/>
      </w:pPr>
      <w:rPr>
        <w:rFonts w:ascii="Wingdings" w:hAnsi="Wingdings" w:hint="default"/>
        <w:color w:val="C4BC96"/>
        <w:sz w:val="20"/>
      </w:rPr>
    </w:lvl>
    <w:lvl w:ilvl="2">
      <w:start w:val="1"/>
      <w:numFmt w:val="bullet"/>
      <w:lvlText w:val="n"/>
      <w:lvlJc w:val="left"/>
      <w:pPr>
        <w:tabs>
          <w:tab w:val="num" w:pos="851"/>
        </w:tabs>
        <w:ind w:left="851" w:hanging="284"/>
      </w:pPr>
      <w:rPr>
        <w:rFonts w:ascii="Wingdings" w:hAnsi="Wingdings" w:hint="default"/>
        <w:color w:val="D5D0B4"/>
        <w:sz w:val="20"/>
      </w:rPr>
    </w:lvl>
    <w:lvl w:ilvl="3">
      <w:start w:val="1"/>
      <w:numFmt w:val="bullet"/>
      <w:lvlText w:val="n"/>
      <w:lvlJc w:val="left"/>
      <w:pPr>
        <w:tabs>
          <w:tab w:val="num" w:pos="1134"/>
        </w:tabs>
        <w:ind w:left="1134" w:hanging="283"/>
      </w:pPr>
      <w:rPr>
        <w:rFonts w:ascii="Wingdings" w:hAnsi="Wingdings" w:hint="default"/>
        <w:color w:val="D5D0B4"/>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27" w15:restartNumberingAfterBreak="0">
    <w:nsid w:val="5954467A"/>
    <w:multiLevelType w:val="hybridMultilevel"/>
    <w:tmpl w:val="DDE41EC2"/>
    <w:lvl w:ilvl="0" w:tplc="18641ECA">
      <w:start w:val="1"/>
      <w:numFmt w:val="lowerLetter"/>
      <w:pStyle w:val="BRLAufzhlungBuchstabe"/>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AA70B6A"/>
    <w:multiLevelType w:val="hybridMultilevel"/>
    <w:tmpl w:val="7018B34C"/>
    <w:lvl w:ilvl="0" w:tplc="D75EAA34">
      <w:start w:val="1"/>
      <w:numFmt w:val="decimal"/>
      <w:pStyle w:val="ListenabsatzTabell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3744DF"/>
    <w:multiLevelType w:val="multilevel"/>
    <w:tmpl w:val="CE481B04"/>
    <w:lvl w:ilvl="0">
      <w:start w:val="1"/>
      <w:numFmt w:val="bullet"/>
      <w:pStyle w:val="Aufzhlung-Ebene1"/>
      <w:lvlText w:val="n"/>
      <w:lvlJc w:val="left"/>
      <w:pPr>
        <w:tabs>
          <w:tab w:val="num" w:pos="284"/>
        </w:tabs>
        <w:ind w:left="284" w:hanging="284"/>
      </w:pPr>
      <w:rPr>
        <w:rFonts w:ascii="Wingdings" w:hAnsi="Wingdings" w:hint="default"/>
        <w:color w:val="F79646"/>
        <w:sz w:val="20"/>
      </w:rPr>
    </w:lvl>
    <w:lvl w:ilvl="1">
      <w:start w:val="1"/>
      <w:numFmt w:val="bullet"/>
      <w:pStyle w:val="Aufzhlung-Ebene2"/>
      <w:lvlText w:val="n"/>
      <w:lvlJc w:val="left"/>
      <w:pPr>
        <w:tabs>
          <w:tab w:val="num" w:pos="284"/>
        </w:tabs>
        <w:ind w:left="567" w:hanging="283"/>
      </w:pPr>
      <w:rPr>
        <w:rFonts w:ascii="Wingdings" w:hAnsi="Wingdings" w:hint="default"/>
        <w:color w:val="7FA8D1"/>
        <w:sz w:val="20"/>
      </w:rPr>
    </w:lvl>
    <w:lvl w:ilvl="2">
      <w:start w:val="1"/>
      <w:numFmt w:val="bullet"/>
      <w:pStyle w:val="Aufzhlung-Ebene3"/>
      <w:lvlText w:val="n"/>
      <w:lvlJc w:val="left"/>
      <w:pPr>
        <w:tabs>
          <w:tab w:val="num" w:pos="851"/>
        </w:tabs>
        <w:ind w:left="851" w:hanging="284"/>
      </w:pPr>
      <w:rPr>
        <w:rFonts w:ascii="Wingdings" w:hAnsi="Wingdings" w:hint="default"/>
        <w:color w:val="BFBFBF"/>
        <w:sz w:val="20"/>
      </w:rPr>
    </w:lvl>
    <w:lvl w:ilvl="3">
      <w:start w:val="1"/>
      <w:numFmt w:val="bullet"/>
      <w:pStyle w:val="Aufzhlung-Ebene4"/>
      <w:lvlText w:val="n"/>
      <w:lvlJc w:val="left"/>
      <w:pPr>
        <w:tabs>
          <w:tab w:val="num" w:pos="1134"/>
        </w:tabs>
        <w:ind w:left="1134" w:hanging="283"/>
      </w:pPr>
      <w:rPr>
        <w:rFonts w:ascii="Wingdings" w:hAnsi="Wingdings" w:hint="default"/>
        <w:color w:val="D9D9D9"/>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30" w15:restartNumberingAfterBreak="0">
    <w:nsid w:val="62B919E0"/>
    <w:multiLevelType w:val="hybridMultilevel"/>
    <w:tmpl w:val="AB72EA52"/>
    <w:lvl w:ilvl="0" w:tplc="37A29CE6">
      <w:start w:val="1"/>
      <w:numFmt w:val="decimal"/>
      <w:pStyle w:val="BRLberschriftNumm"/>
      <w:lvlText w:val="%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A46095"/>
    <w:multiLevelType w:val="hybridMultilevel"/>
    <w:tmpl w:val="BFA25ED0"/>
    <w:lvl w:ilvl="0" w:tplc="8A820FE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6080A22"/>
    <w:multiLevelType w:val="multilevel"/>
    <w:tmpl w:val="D9504BEA"/>
    <w:styleLink w:val="Formatvorlage2"/>
    <w:lvl w:ilvl="0">
      <w:start w:val="1"/>
      <w:numFmt w:val="bullet"/>
      <w:lvlText w:val="n"/>
      <w:lvlJc w:val="left"/>
      <w:pPr>
        <w:ind w:left="360" w:hanging="360"/>
      </w:pPr>
      <w:rPr>
        <w:rFonts w:ascii="Wingdings" w:hAnsi="Wingdings" w:hint="default"/>
        <w:color w:val="A6A597"/>
        <w:sz w:val="20"/>
      </w:rPr>
    </w:lvl>
    <w:lvl w:ilvl="1">
      <w:start w:val="1"/>
      <w:numFmt w:val="bullet"/>
      <w:lvlText w:val="n"/>
      <w:lvlJc w:val="left"/>
      <w:pPr>
        <w:tabs>
          <w:tab w:val="num" w:pos="284"/>
        </w:tabs>
        <w:ind w:left="567" w:hanging="283"/>
      </w:pPr>
      <w:rPr>
        <w:rFonts w:ascii="Wingdings" w:hAnsi="Wingdings" w:hint="default"/>
        <w:color w:val="A6A597"/>
        <w:sz w:val="20"/>
      </w:rPr>
    </w:lvl>
    <w:lvl w:ilvl="2">
      <w:start w:val="1"/>
      <w:numFmt w:val="bullet"/>
      <w:lvlText w:val="n"/>
      <w:lvlJc w:val="left"/>
      <w:pPr>
        <w:tabs>
          <w:tab w:val="num" w:pos="851"/>
        </w:tabs>
        <w:ind w:left="851" w:hanging="284"/>
      </w:pPr>
      <w:rPr>
        <w:rFonts w:ascii="Wingdings" w:hAnsi="Wingdings" w:hint="default"/>
        <w:color w:val="A6A597"/>
        <w:sz w:val="20"/>
      </w:rPr>
    </w:lvl>
    <w:lvl w:ilvl="3">
      <w:start w:val="1"/>
      <w:numFmt w:val="bullet"/>
      <w:lvlText w:val="n"/>
      <w:lvlJc w:val="left"/>
      <w:pPr>
        <w:tabs>
          <w:tab w:val="num" w:pos="1134"/>
        </w:tabs>
        <w:ind w:left="1134" w:hanging="283"/>
      </w:pPr>
      <w:rPr>
        <w:rFonts w:ascii="Wingdings" w:hAnsi="Wingdings" w:hint="default"/>
        <w:color w:val="A6A597"/>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33" w15:restartNumberingAfterBreak="0">
    <w:nsid w:val="68083C0A"/>
    <w:multiLevelType w:val="multilevel"/>
    <w:tmpl w:val="D9504BEA"/>
    <w:styleLink w:val="Formatvorlage1"/>
    <w:lvl w:ilvl="0">
      <w:start w:val="1"/>
      <w:numFmt w:val="bullet"/>
      <w:lvlText w:val="n"/>
      <w:lvlJc w:val="left"/>
      <w:pPr>
        <w:ind w:left="360" w:hanging="360"/>
      </w:pPr>
      <w:rPr>
        <w:rFonts w:ascii="Wingdings" w:hAnsi="Wingdings" w:hint="default"/>
        <w:color w:val="A6A597"/>
        <w:sz w:val="20"/>
      </w:rPr>
    </w:lvl>
    <w:lvl w:ilvl="1">
      <w:start w:val="1"/>
      <w:numFmt w:val="bullet"/>
      <w:lvlText w:val="n"/>
      <w:lvlJc w:val="left"/>
      <w:pPr>
        <w:tabs>
          <w:tab w:val="num" w:pos="284"/>
        </w:tabs>
        <w:ind w:left="567" w:hanging="283"/>
      </w:pPr>
      <w:rPr>
        <w:rFonts w:ascii="Wingdings" w:hAnsi="Wingdings" w:hint="default"/>
        <w:color w:val="CBC9BF"/>
        <w:sz w:val="20"/>
      </w:rPr>
    </w:lvl>
    <w:lvl w:ilvl="2">
      <w:start w:val="1"/>
      <w:numFmt w:val="bullet"/>
      <w:lvlText w:val="n"/>
      <w:lvlJc w:val="left"/>
      <w:pPr>
        <w:tabs>
          <w:tab w:val="num" w:pos="851"/>
        </w:tabs>
        <w:ind w:left="851" w:hanging="284"/>
      </w:pPr>
      <w:rPr>
        <w:rFonts w:ascii="Wingdings" w:hAnsi="Wingdings" w:hint="default"/>
        <w:color w:val="BFBFBF"/>
        <w:sz w:val="20"/>
      </w:rPr>
    </w:lvl>
    <w:lvl w:ilvl="3">
      <w:start w:val="1"/>
      <w:numFmt w:val="bullet"/>
      <w:lvlText w:val="n"/>
      <w:lvlJc w:val="left"/>
      <w:pPr>
        <w:tabs>
          <w:tab w:val="num" w:pos="1134"/>
        </w:tabs>
        <w:ind w:left="1134" w:hanging="283"/>
      </w:pPr>
      <w:rPr>
        <w:rFonts w:ascii="Wingdings" w:hAnsi="Wingdings" w:hint="default"/>
        <w:color w:val="D9D9D9"/>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abstractNum w:abstractNumId="34" w15:restartNumberingAfterBreak="0">
    <w:nsid w:val="698F526A"/>
    <w:multiLevelType w:val="hybridMultilevel"/>
    <w:tmpl w:val="F8B4BB46"/>
    <w:lvl w:ilvl="0" w:tplc="A6D4C750">
      <w:start w:val="1"/>
      <w:numFmt w:val="bullet"/>
      <w:pStyle w:val="BRLAufzhlung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CE184F"/>
    <w:multiLevelType w:val="multilevel"/>
    <w:tmpl w:val="0CD6CD9C"/>
    <w:lvl w:ilvl="0">
      <w:start w:val="1"/>
      <w:numFmt w:val="decimal"/>
      <w:pStyle w:val="berschriftAnlage"/>
      <w:lvlText w:val="%1"/>
      <w:lvlJc w:val="left"/>
      <w:pPr>
        <w:ind w:left="432" w:hanging="432"/>
      </w:pPr>
    </w:lvl>
    <w:lvl w:ilvl="1">
      <w:start w:val="1"/>
      <w:numFmt w:val="decimal"/>
      <w:pStyle w:val="berschrift2Anlage"/>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F3508AA"/>
    <w:multiLevelType w:val="hybridMultilevel"/>
    <w:tmpl w:val="EED64D92"/>
    <w:lvl w:ilvl="0" w:tplc="38C8D84E">
      <w:start w:val="1"/>
      <w:numFmt w:val="decimal"/>
      <w:pStyle w:val="Nummerierung"/>
      <w:lvlText w:val="(%1)"/>
      <w:lvlJc w:val="left"/>
      <w:pPr>
        <w:ind w:left="3844" w:hanging="360"/>
      </w:pPr>
      <w:rPr>
        <w:rFonts w:hint="default"/>
        <w:color w:val="F79646"/>
        <w:sz w:val="20"/>
      </w:rPr>
    </w:lvl>
    <w:lvl w:ilvl="1" w:tplc="04070003">
      <w:start w:val="1"/>
      <w:numFmt w:val="bullet"/>
      <w:lvlText w:val="o"/>
      <w:lvlJc w:val="left"/>
      <w:pPr>
        <w:ind w:left="4564" w:hanging="360"/>
      </w:pPr>
      <w:rPr>
        <w:rFonts w:ascii="Courier New" w:hAnsi="Courier New" w:cs="Courier New" w:hint="default"/>
      </w:rPr>
    </w:lvl>
    <w:lvl w:ilvl="2" w:tplc="04070005" w:tentative="1">
      <w:start w:val="1"/>
      <w:numFmt w:val="bullet"/>
      <w:lvlText w:val=""/>
      <w:lvlJc w:val="left"/>
      <w:pPr>
        <w:ind w:left="5284" w:hanging="360"/>
      </w:pPr>
      <w:rPr>
        <w:rFonts w:ascii="Wingdings" w:hAnsi="Wingdings" w:hint="default"/>
      </w:rPr>
    </w:lvl>
    <w:lvl w:ilvl="3" w:tplc="04070001" w:tentative="1">
      <w:start w:val="1"/>
      <w:numFmt w:val="bullet"/>
      <w:lvlText w:val=""/>
      <w:lvlJc w:val="left"/>
      <w:pPr>
        <w:ind w:left="6004" w:hanging="360"/>
      </w:pPr>
      <w:rPr>
        <w:rFonts w:ascii="Symbol" w:hAnsi="Symbol" w:hint="default"/>
      </w:rPr>
    </w:lvl>
    <w:lvl w:ilvl="4" w:tplc="04070003" w:tentative="1">
      <w:start w:val="1"/>
      <w:numFmt w:val="bullet"/>
      <w:lvlText w:val="o"/>
      <w:lvlJc w:val="left"/>
      <w:pPr>
        <w:ind w:left="6724" w:hanging="360"/>
      </w:pPr>
      <w:rPr>
        <w:rFonts w:ascii="Courier New" w:hAnsi="Courier New" w:cs="Courier New" w:hint="default"/>
      </w:rPr>
    </w:lvl>
    <w:lvl w:ilvl="5" w:tplc="04070005" w:tentative="1">
      <w:start w:val="1"/>
      <w:numFmt w:val="bullet"/>
      <w:lvlText w:val=""/>
      <w:lvlJc w:val="left"/>
      <w:pPr>
        <w:ind w:left="7444" w:hanging="360"/>
      </w:pPr>
      <w:rPr>
        <w:rFonts w:ascii="Wingdings" w:hAnsi="Wingdings" w:hint="default"/>
      </w:rPr>
    </w:lvl>
    <w:lvl w:ilvl="6" w:tplc="04070001" w:tentative="1">
      <w:start w:val="1"/>
      <w:numFmt w:val="bullet"/>
      <w:lvlText w:val=""/>
      <w:lvlJc w:val="left"/>
      <w:pPr>
        <w:ind w:left="8164" w:hanging="360"/>
      </w:pPr>
      <w:rPr>
        <w:rFonts w:ascii="Symbol" w:hAnsi="Symbol" w:hint="default"/>
      </w:rPr>
    </w:lvl>
    <w:lvl w:ilvl="7" w:tplc="04070003" w:tentative="1">
      <w:start w:val="1"/>
      <w:numFmt w:val="bullet"/>
      <w:lvlText w:val="o"/>
      <w:lvlJc w:val="left"/>
      <w:pPr>
        <w:ind w:left="8884" w:hanging="360"/>
      </w:pPr>
      <w:rPr>
        <w:rFonts w:ascii="Courier New" w:hAnsi="Courier New" w:cs="Courier New" w:hint="default"/>
      </w:rPr>
    </w:lvl>
    <w:lvl w:ilvl="8" w:tplc="04070005" w:tentative="1">
      <w:start w:val="1"/>
      <w:numFmt w:val="bullet"/>
      <w:lvlText w:val=""/>
      <w:lvlJc w:val="left"/>
      <w:pPr>
        <w:ind w:left="9604" w:hanging="360"/>
      </w:pPr>
      <w:rPr>
        <w:rFonts w:ascii="Wingdings" w:hAnsi="Wingdings" w:hint="default"/>
      </w:rPr>
    </w:lvl>
  </w:abstractNum>
  <w:abstractNum w:abstractNumId="37" w15:restartNumberingAfterBreak="0">
    <w:nsid w:val="747D2A03"/>
    <w:multiLevelType w:val="hybridMultilevel"/>
    <w:tmpl w:val="B388100E"/>
    <w:lvl w:ilvl="0" w:tplc="4260DC42">
      <w:start w:val="1"/>
      <w:numFmt w:val="bullet"/>
      <w:pStyle w:val="Aufzhlung2"/>
      <w:lvlText w:val="-"/>
      <w:lvlJc w:val="left"/>
      <w:pPr>
        <w:ind w:left="3844" w:hanging="360"/>
      </w:pPr>
      <w:rPr>
        <w:rFonts w:ascii="Arial" w:hAnsi="Arial" w:hint="default"/>
        <w:color w:val="F79646"/>
        <w:sz w:val="20"/>
      </w:rPr>
    </w:lvl>
    <w:lvl w:ilvl="1" w:tplc="04070003">
      <w:start w:val="1"/>
      <w:numFmt w:val="bullet"/>
      <w:lvlText w:val="o"/>
      <w:lvlJc w:val="left"/>
      <w:pPr>
        <w:ind w:left="4564" w:hanging="360"/>
      </w:pPr>
      <w:rPr>
        <w:rFonts w:ascii="Courier New" w:hAnsi="Courier New" w:cs="Courier New" w:hint="default"/>
      </w:rPr>
    </w:lvl>
    <w:lvl w:ilvl="2" w:tplc="04070005" w:tentative="1">
      <w:start w:val="1"/>
      <w:numFmt w:val="bullet"/>
      <w:lvlText w:val=""/>
      <w:lvlJc w:val="left"/>
      <w:pPr>
        <w:ind w:left="5284" w:hanging="360"/>
      </w:pPr>
      <w:rPr>
        <w:rFonts w:ascii="Wingdings" w:hAnsi="Wingdings" w:hint="default"/>
      </w:rPr>
    </w:lvl>
    <w:lvl w:ilvl="3" w:tplc="04070001" w:tentative="1">
      <w:start w:val="1"/>
      <w:numFmt w:val="bullet"/>
      <w:lvlText w:val=""/>
      <w:lvlJc w:val="left"/>
      <w:pPr>
        <w:ind w:left="6004" w:hanging="360"/>
      </w:pPr>
      <w:rPr>
        <w:rFonts w:ascii="Symbol" w:hAnsi="Symbol" w:hint="default"/>
      </w:rPr>
    </w:lvl>
    <w:lvl w:ilvl="4" w:tplc="04070003" w:tentative="1">
      <w:start w:val="1"/>
      <w:numFmt w:val="bullet"/>
      <w:lvlText w:val="o"/>
      <w:lvlJc w:val="left"/>
      <w:pPr>
        <w:ind w:left="6724" w:hanging="360"/>
      </w:pPr>
      <w:rPr>
        <w:rFonts w:ascii="Courier New" w:hAnsi="Courier New" w:cs="Courier New" w:hint="default"/>
      </w:rPr>
    </w:lvl>
    <w:lvl w:ilvl="5" w:tplc="04070005" w:tentative="1">
      <w:start w:val="1"/>
      <w:numFmt w:val="bullet"/>
      <w:lvlText w:val=""/>
      <w:lvlJc w:val="left"/>
      <w:pPr>
        <w:ind w:left="7444" w:hanging="360"/>
      </w:pPr>
      <w:rPr>
        <w:rFonts w:ascii="Wingdings" w:hAnsi="Wingdings" w:hint="default"/>
      </w:rPr>
    </w:lvl>
    <w:lvl w:ilvl="6" w:tplc="04070001" w:tentative="1">
      <w:start w:val="1"/>
      <w:numFmt w:val="bullet"/>
      <w:lvlText w:val=""/>
      <w:lvlJc w:val="left"/>
      <w:pPr>
        <w:ind w:left="8164" w:hanging="360"/>
      </w:pPr>
      <w:rPr>
        <w:rFonts w:ascii="Symbol" w:hAnsi="Symbol" w:hint="default"/>
      </w:rPr>
    </w:lvl>
    <w:lvl w:ilvl="7" w:tplc="04070003" w:tentative="1">
      <w:start w:val="1"/>
      <w:numFmt w:val="bullet"/>
      <w:lvlText w:val="o"/>
      <w:lvlJc w:val="left"/>
      <w:pPr>
        <w:ind w:left="8884" w:hanging="360"/>
      </w:pPr>
      <w:rPr>
        <w:rFonts w:ascii="Courier New" w:hAnsi="Courier New" w:cs="Courier New" w:hint="default"/>
      </w:rPr>
    </w:lvl>
    <w:lvl w:ilvl="8" w:tplc="04070005" w:tentative="1">
      <w:start w:val="1"/>
      <w:numFmt w:val="bullet"/>
      <w:lvlText w:val=""/>
      <w:lvlJc w:val="left"/>
      <w:pPr>
        <w:ind w:left="9604" w:hanging="360"/>
      </w:pPr>
      <w:rPr>
        <w:rFonts w:ascii="Wingdings" w:hAnsi="Wingdings" w:hint="default"/>
      </w:rPr>
    </w:lvl>
  </w:abstractNum>
  <w:abstractNum w:abstractNumId="38" w15:restartNumberingAfterBreak="0">
    <w:nsid w:val="7E7D4393"/>
    <w:multiLevelType w:val="multilevel"/>
    <w:tmpl w:val="1CE87636"/>
    <w:lvl w:ilvl="0">
      <w:start w:val="1"/>
      <w:numFmt w:val="bullet"/>
      <w:pStyle w:val="BRLAufzhlungAnstrich"/>
      <w:lvlText w:val="n"/>
      <w:lvlJc w:val="left"/>
      <w:pPr>
        <w:tabs>
          <w:tab w:val="num" w:pos="284"/>
        </w:tabs>
        <w:ind w:left="284" w:hanging="284"/>
      </w:pPr>
      <w:rPr>
        <w:rFonts w:ascii="Wingdings" w:hAnsi="Wingdings" w:hint="default"/>
        <w:strike w:val="0"/>
        <w:color w:val="808080" w:themeColor="background1" w:themeShade="80"/>
        <w:sz w:val="20"/>
      </w:rPr>
    </w:lvl>
    <w:lvl w:ilvl="1">
      <w:start w:val="1"/>
      <w:numFmt w:val="bullet"/>
      <w:lvlText w:val="n"/>
      <w:lvlJc w:val="left"/>
      <w:pPr>
        <w:tabs>
          <w:tab w:val="num" w:pos="284"/>
        </w:tabs>
        <w:ind w:left="567" w:hanging="283"/>
      </w:pPr>
      <w:rPr>
        <w:rFonts w:ascii="Wingdings" w:hAnsi="Wingdings" w:hint="default"/>
        <w:color w:val="808080" w:themeColor="background1" w:themeShade="80"/>
        <w:sz w:val="20"/>
      </w:rPr>
    </w:lvl>
    <w:lvl w:ilvl="2">
      <w:start w:val="1"/>
      <w:numFmt w:val="bullet"/>
      <w:lvlText w:val="n"/>
      <w:lvlJc w:val="left"/>
      <w:pPr>
        <w:tabs>
          <w:tab w:val="num" w:pos="851"/>
        </w:tabs>
        <w:ind w:left="851" w:hanging="284"/>
      </w:pPr>
      <w:rPr>
        <w:rFonts w:ascii="Wingdings" w:hAnsi="Wingdings" w:hint="default"/>
        <w:color w:val="D5D0B4"/>
        <w:sz w:val="20"/>
      </w:rPr>
    </w:lvl>
    <w:lvl w:ilvl="3">
      <w:start w:val="1"/>
      <w:numFmt w:val="bullet"/>
      <w:lvlText w:val="n"/>
      <w:lvlJc w:val="left"/>
      <w:pPr>
        <w:tabs>
          <w:tab w:val="num" w:pos="1134"/>
        </w:tabs>
        <w:ind w:left="1134" w:hanging="283"/>
      </w:pPr>
      <w:rPr>
        <w:rFonts w:ascii="Wingdings" w:hAnsi="Wingdings" w:hint="default"/>
        <w:color w:val="D5D0B4"/>
      </w:rPr>
    </w:lvl>
    <w:lvl w:ilvl="4">
      <w:start w:val="1"/>
      <w:numFmt w:val="bullet"/>
      <w:lvlText w:val="n"/>
      <w:lvlJc w:val="left"/>
      <w:pPr>
        <w:tabs>
          <w:tab w:val="num" w:pos="1418"/>
        </w:tabs>
        <w:ind w:left="1418" w:hanging="284"/>
      </w:pPr>
      <w:rPr>
        <w:rFonts w:ascii="Wingdings" w:hAnsi="Wingdings" w:hint="default"/>
        <w:color w:val="D9D9D9"/>
      </w:rPr>
    </w:lvl>
    <w:lvl w:ilvl="5">
      <w:start w:val="1"/>
      <w:numFmt w:val="bullet"/>
      <w:lvlText w:val="n"/>
      <w:lvlJc w:val="left"/>
      <w:pPr>
        <w:tabs>
          <w:tab w:val="num" w:pos="1701"/>
        </w:tabs>
        <w:ind w:left="1701" w:hanging="283"/>
      </w:pPr>
      <w:rPr>
        <w:rFonts w:ascii="Wingdings" w:hAnsi="Wingdings" w:hint="default"/>
        <w:color w:val="D9D9D9"/>
      </w:rPr>
    </w:lvl>
    <w:lvl w:ilvl="6">
      <w:start w:val="1"/>
      <w:numFmt w:val="bullet"/>
      <w:lvlText w:val="n"/>
      <w:lvlJc w:val="left"/>
      <w:pPr>
        <w:tabs>
          <w:tab w:val="num" w:pos="1985"/>
        </w:tabs>
        <w:ind w:left="1985" w:hanging="284"/>
      </w:pPr>
      <w:rPr>
        <w:rFonts w:ascii="Wingdings" w:hAnsi="Wingdings" w:hint="default"/>
        <w:color w:val="D9D9D9"/>
      </w:rPr>
    </w:lvl>
    <w:lvl w:ilvl="7">
      <w:start w:val="1"/>
      <w:numFmt w:val="bullet"/>
      <w:lvlText w:val="n"/>
      <w:lvlJc w:val="left"/>
      <w:pPr>
        <w:tabs>
          <w:tab w:val="num" w:pos="2552"/>
        </w:tabs>
        <w:ind w:left="2552" w:hanging="284"/>
      </w:pPr>
      <w:rPr>
        <w:rFonts w:ascii="Wingdings" w:hAnsi="Wingdings" w:hint="default"/>
        <w:color w:val="D9D9D9"/>
        <w:sz w:val="20"/>
      </w:rPr>
    </w:lvl>
    <w:lvl w:ilvl="8">
      <w:start w:val="1"/>
      <w:numFmt w:val="bullet"/>
      <w:lvlText w:val="n"/>
      <w:lvlJc w:val="left"/>
      <w:pPr>
        <w:tabs>
          <w:tab w:val="num" w:pos="3119"/>
        </w:tabs>
        <w:ind w:left="3119" w:hanging="284"/>
      </w:pPr>
      <w:rPr>
        <w:rFonts w:ascii="Wingdings" w:hAnsi="Wingdings" w:hint="default"/>
        <w:color w:val="D9D9D9"/>
      </w:rPr>
    </w:lvl>
  </w:abstractNum>
  <w:num w:numId="1" w16cid:durableId="822508794">
    <w:abstractNumId w:val="38"/>
  </w:num>
  <w:num w:numId="2" w16cid:durableId="734009183">
    <w:abstractNumId w:val="22"/>
  </w:num>
  <w:num w:numId="3" w16cid:durableId="1131824892">
    <w:abstractNumId w:val="29"/>
  </w:num>
  <w:num w:numId="4" w16cid:durableId="582253096">
    <w:abstractNumId w:val="15"/>
  </w:num>
  <w:num w:numId="5" w16cid:durableId="1330602001">
    <w:abstractNumId w:val="23"/>
  </w:num>
  <w:num w:numId="6" w16cid:durableId="2065718637">
    <w:abstractNumId w:val="37"/>
  </w:num>
  <w:num w:numId="7" w16cid:durableId="2115711769">
    <w:abstractNumId w:val="9"/>
  </w:num>
  <w:num w:numId="8" w16cid:durableId="1686397240">
    <w:abstractNumId w:val="7"/>
  </w:num>
  <w:num w:numId="9" w16cid:durableId="1019046734">
    <w:abstractNumId w:val="6"/>
  </w:num>
  <w:num w:numId="10" w16cid:durableId="1500194797">
    <w:abstractNumId w:val="5"/>
  </w:num>
  <w:num w:numId="11" w16cid:durableId="28073150">
    <w:abstractNumId w:val="4"/>
  </w:num>
  <w:num w:numId="12" w16cid:durableId="348724543">
    <w:abstractNumId w:val="38"/>
  </w:num>
  <w:num w:numId="13" w16cid:durableId="1716998899">
    <w:abstractNumId w:val="27"/>
  </w:num>
  <w:num w:numId="14" w16cid:durableId="242884344">
    <w:abstractNumId w:val="34"/>
  </w:num>
  <w:num w:numId="15" w16cid:durableId="375980117">
    <w:abstractNumId w:val="30"/>
  </w:num>
  <w:num w:numId="16" w16cid:durableId="526679757">
    <w:abstractNumId w:val="17"/>
  </w:num>
  <w:num w:numId="17" w16cid:durableId="1620918902">
    <w:abstractNumId w:val="19"/>
  </w:num>
  <w:num w:numId="18" w16cid:durableId="1646471606">
    <w:abstractNumId w:val="26"/>
  </w:num>
  <w:num w:numId="19" w16cid:durableId="1659769608">
    <w:abstractNumId w:val="24"/>
  </w:num>
  <w:num w:numId="20" w16cid:durableId="2010983035">
    <w:abstractNumId w:val="12"/>
  </w:num>
  <w:num w:numId="21" w16cid:durableId="595939864">
    <w:abstractNumId w:val="13"/>
  </w:num>
  <w:num w:numId="22" w16cid:durableId="1856070272">
    <w:abstractNumId w:val="33"/>
  </w:num>
  <w:num w:numId="23" w16cid:durableId="355817043">
    <w:abstractNumId w:val="32"/>
  </w:num>
  <w:num w:numId="24" w16cid:durableId="382950123">
    <w:abstractNumId w:val="16"/>
  </w:num>
  <w:num w:numId="25" w16cid:durableId="1518470272">
    <w:abstractNumId w:val="14"/>
  </w:num>
  <w:num w:numId="26" w16cid:durableId="7834233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2594505">
    <w:abstractNumId w:val="28"/>
  </w:num>
  <w:num w:numId="28" w16cid:durableId="2109813579">
    <w:abstractNumId w:val="8"/>
    <w:lvlOverride w:ilvl="0">
      <w:startOverride w:val="1"/>
    </w:lvlOverride>
  </w:num>
  <w:num w:numId="29" w16cid:durableId="568464780">
    <w:abstractNumId w:val="3"/>
    <w:lvlOverride w:ilvl="0">
      <w:startOverride w:val="1"/>
    </w:lvlOverride>
  </w:num>
  <w:num w:numId="30" w16cid:durableId="1306010125">
    <w:abstractNumId w:val="2"/>
    <w:lvlOverride w:ilvl="0">
      <w:startOverride w:val="1"/>
    </w:lvlOverride>
  </w:num>
  <w:num w:numId="31" w16cid:durableId="1315646149">
    <w:abstractNumId w:val="1"/>
    <w:lvlOverride w:ilvl="0">
      <w:startOverride w:val="1"/>
    </w:lvlOverride>
  </w:num>
  <w:num w:numId="32" w16cid:durableId="755059188">
    <w:abstractNumId w:val="0"/>
    <w:lvlOverride w:ilvl="0">
      <w:startOverride w:val="1"/>
    </w:lvlOverride>
  </w:num>
  <w:num w:numId="33" w16cid:durableId="250897650">
    <w:abstractNumId w:val="36"/>
  </w:num>
  <w:num w:numId="34" w16cid:durableId="1720282401">
    <w:abstractNumId w:val="35"/>
  </w:num>
  <w:num w:numId="35" w16cid:durableId="1730180198">
    <w:abstractNumId w:val="11"/>
  </w:num>
  <w:num w:numId="36" w16cid:durableId="853687172">
    <w:abstractNumId w:val="31"/>
  </w:num>
  <w:num w:numId="37" w16cid:durableId="1430391832">
    <w:abstractNumId w:val="21"/>
  </w:num>
  <w:num w:numId="38" w16cid:durableId="959841460">
    <w:abstractNumId w:val="25"/>
  </w:num>
  <w:num w:numId="39" w16cid:durableId="1701121741">
    <w:abstractNumId w:val="10"/>
  </w:num>
  <w:num w:numId="40" w16cid:durableId="791947734">
    <w:abstractNumId w:val="27"/>
    <w:lvlOverride w:ilvl="0">
      <w:startOverride w:val="1"/>
    </w:lvlOverride>
  </w:num>
  <w:num w:numId="41" w16cid:durableId="174224900">
    <w:abstractNumId w:val="20"/>
  </w:num>
  <w:num w:numId="42" w16cid:durableId="68887357">
    <w:abstractNumId w:val="19"/>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102"/>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lname" w:val="1203106580002d00_inakte_ll"/>
    <w:docVar w:name="DDE_VKZ_Typ" w:val=" "/>
    <w:docVar w:name="Doc_Sprache" w:val="DE"/>
    <w:docVar w:name="Doc_Type" w:val="Dokument"/>
    <w:docVar w:name="Dokumentnummer" w:val="563011"/>
    <w:docVar w:name="Favorit" w:val="OK"/>
    <w:docVar w:name="Geschaeftszeichen" w:val="1951.09#70/122-10"/>
    <w:docVar w:name="GZ_alt" w:val="&gt;1951.09#60/008-22&lt;"/>
    <w:docVar w:name="Macro_DIBt" w:val="Dokument"/>
    <w:docVar w:name="ObjChanged" w:val="08.07.2022"/>
    <w:docVar w:name="ObjClass" w:val="fav_dokument"/>
    <w:docVar w:name="ObjCreated" w:val="21.12.2021"/>
    <w:docVar w:name="ObjCreator" w:val="kerstin leibrich"/>
    <w:docVar w:name="ObjFlaggg" w:val="0"/>
    <w:docVar w:name="ObjModifier" w:val="kerstin leibrich"/>
    <w:docVar w:name="ObjName" w:val="Notifizierung MVV TB 2022-1-Korrekurmodus (220033127)"/>
    <w:docVar w:name="ObjNummer" w:val="220033127"/>
    <w:docVar w:name="ObjOwner" w:val="r.zp5"/>
    <w:docVar w:name="ObjParent" w:val="0b031065806cdebb"/>
    <w:docVar w:name="ObjSubject" w:val="&gt;&lt;"/>
    <w:docVar w:name="ObjTitel" w:val="Notifizierung MVV TB 2022-1-Korrekurmodus"/>
    <w:docVar w:name="sId" w:val="090310658070d6ce"/>
    <w:docVar w:name="SZ_alt" w:val="&gt;&lt;"/>
    <w:docVar w:name="TrackRevisions" w:val="1"/>
    <w:docVar w:name="Usermodifier" w:val="kle"/>
    <w:docVar w:name="Version" w:val="0"/>
  </w:docVars>
  <w:rsids>
    <w:rsidRoot w:val="004E4F4E"/>
    <w:rsid w:val="00003A00"/>
    <w:rsid w:val="00007636"/>
    <w:rsid w:val="00036A8E"/>
    <w:rsid w:val="00041215"/>
    <w:rsid w:val="00044502"/>
    <w:rsid w:val="000540E4"/>
    <w:rsid w:val="000615F1"/>
    <w:rsid w:val="000677A5"/>
    <w:rsid w:val="00081D00"/>
    <w:rsid w:val="00084304"/>
    <w:rsid w:val="00085BF6"/>
    <w:rsid w:val="00087095"/>
    <w:rsid w:val="00093B17"/>
    <w:rsid w:val="0009445C"/>
    <w:rsid w:val="000976E2"/>
    <w:rsid w:val="000A6CDE"/>
    <w:rsid w:val="000B2082"/>
    <w:rsid w:val="000B3844"/>
    <w:rsid w:val="000B7A3C"/>
    <w:rsid w:val="000C2ED5"/>
    <w:rsid w:val="000C7F03"/>
    <w:rsid w:val="000E0EFD"/>
    <w:rsid w:val="000E1E2F"/>
    <w:rsid w:val="00101356"/>
    <w:rsid w:val="0010312D"/>
    <w:rsid w:val="0010739B"/>
    <w:rsid w:val="001215F7"/>
    <w:rsid w:val="00124900"/>
    <w:rsid w:val="00143156"/>
    <w:rsid w:val="00155F8F"/>
    <w:rsid w:val="00182764"/>
    <w:rsid w:val="001B5AA9"/>
    <w:rsid w:val="001B60D9"/>
    <w:rsid w:val="001B64C0"/>
    <w:rsid w:val="001C1F89"/>
    <w:rsid w:val="001D0151"/>
    <w:rsid w:val="001E6B51"/>
    <w:rsid w:val="001F3229"/>
    <w:rsid w:val="001F4D12"/>
    <w:rsid w:val="002158CF"/>
    <w:rsid w:val="002268F2"/>
    <w:rsid w:val="002317DD"/>
    <w:rsid w:val="00231DB2"/>
    <w:rsid w:val="00234531"/>
    <w:rsid w:val="00236D5E"/>
    <w:rsid w:val="00255F4B"/>
    <w:rsid w:val="00271D9D"/>
    <w:rsid w:val="00275B91"/>
    <w:rsid w:val="00276293"/>
    <w:rsid w:val="002765B6"/>
    <w:rsid w:val="002821B0"/>
    <w:rsid w:val="0028348C"/>
    <w:rsid w:val="002A7ECA"/>
    <w:rsid w:val="002B3671"/>
    <w:rsid w:val="002B74D9"/>
    <w:rsid w:val="002C740C"/>
    <w:rsid w:val="002D1BA4"/>
    <w:rsid w:val="002D6DD0"/>
    <w:rsid w:val="002E035F"/>
    <w:rsid w:val="002F0D47"/>
    <w:rsid w:val="002F2FDB"/>
    <w:rsid w:val="00303D9D"/>
    <w:rsid w:val="00307805"/>
    <w:rsid w:val="00307D5B"/>
    <w:rsid w:val="00315697"/>
    <w:rsid w:val="00334C6A"/>
    <w:rsid w:val="00340CA5"/>
    <w:rsid w:val="00375ADF"/>
    <w:rsid w:val="00383B09"/>
    <w:rsid w:val="0038653D"/>
    <w:rsid w:val="003926D8"/>
    <w:rsid w:val="00393D1D"/>
    <w:rsid w:val="00394077"/>
    <w:rsid w:val="003A014F"/>
    <w:rsid w:val="003A0178"/>
    <w:rsid w:val="003A5738"/>
    <w:rsid w:val="003B199B"/>
    <w:rsid w:val="003C5DAB"/>
    <w:rsid w:val="003D1751"/>
    <w:rsid w:val="003D2C68"/>
    <w:rsid w:val="003D3078"/>
    <w:rsid w:val="003D6C71"/>
    <w:rsid w:val="003F24A6"/>
    <w:rsid w:val="00402FBE"/>
    <w:rsid w:val="00411DE4"/>
    <w:rsid w:val="00412967"/>
    <w:rsid w:val="00414B95"/>
    <w:rsid w:val="0043405C"/>
    <w:rsid w:val="004352A3"/>
    <w:rsid w:val="0043585A"/>
    <w:rsid w:val="00444DF9"/>
    <w:rsid w:val="00454EF8"/>
    <w:rsid w:val="00463D3D"/>
    <w:rsid w:val="00467D6D"/>
    <w:rsid w:val="00476E72"/>
    <w:rsid w:val="00482E2A"/>
    <w:rsid w:val="004A2105"/>
    <w:rsid w:val="004B20AF"/>
    <w:rsid w:val="004B3795"/>
    <w:rsid w:val="004B78D8"/>
    <w:rsid w:val="004C2C77"/>
    <w:rsid w:val="004C3920"/>
    <w:rsid w:val="004C5799"/>
    <w:rsid w:val="004D08E5"/>
    <w:rsid w:val="004D605E"/>
    <w:rsid w:val="004E4F4E"/>
    <w:rsid w:val="00500E67"/>
    <w:rsid w:val="005014AB"/>
    <w:rsid w:val="00502B95"/>
    <w:rsid w:val="005043AA"/>
    <w:rsid w:val="00504BFA"/>
    <w:rsid w:val="00525D71"/>
    <w:rsid w:val="0052710C"/>
    <w:rsid w:val="005348FE"/>
    <w:rsid w:val="005620A9"/>
    <w:rsid w:val="00563079"/>
    <w:rsid w:val="00564AA8"/>
    <w:rsid w:val="00566476"/>
    <w:rsid w:val="00566618"/>
    <w:rsid w:val="00573746"/>
    <w:rsid w:val="0057446E"/>
    <w:rsid w:val="00577633"/>
    <w:rsid w:val="005A6A11"/>
    <w:rsid w:val="005B0640"/>
    <w:rsid w:val="005D0C20"/>
    <w:rsid w:val="005D6EB7"/>
    <w:rsid w:val="005F3EC6"/>
    <w:rsid w:val="00600F53"/>
    <w:rsid w:val="00601340"/>
    <w:rsid w:val="00601A14"/>
    <w:rsid w:val="006021A4"/>
    <w:rsid w:val="00611559"/>
    <w:rsid w:val="0061602D"/>
    <w:rsid w:val="00617B88"/>
    <w:rsid w:val="00630880"/>
    <w:rsid w:val="00632D5D"/>
    <w:rsid w:val="00644D01"/>
    <w:rsid w:val="00653F03"/>
    <w:rsid w:val="00656C60"/>
    <w:rsid w:val="0066485E"/>
    <w:rsid w:val="00682A9B"/>
    <w:rsid w:val="00686FA6"/>
    <w:rsid w:val="00690027"/>
    <w:rsid w:val="006E60F4"/>
    <w:rsid w:val="006F498F"/>
    <w:rsid w:val="006F649E"/>
    <w:rsid w:val="00704B02"/>
    <w:rsid w:val="007119D6"/>
    <w:rsid w:val="00714BDC"/>
    <w:rsid w:val="007207B3"/>
    <w:rsid w:val="00742443"/>
    <w:rsid w:val="00744176"/>
    <w:rsid w:val="00747C7C"/>
    <w:rsid w:val="0075714C"/>
    <w:rsid w:val="007665FB"/>
    <w:rsid w:val="007817BA"/>
    <w:rsid w:val="00787B77"/>
    <w:rsid w:val="00790A84"/>
    <w:rsid w:val="007A344D"/>
    <w:rsid w:val="007A4BCD"/>
    <w:rsid w:val="007B07DC"/>
    <w:rsid w:val="007B0F44"/>
    <w:rsid w:val="007C65CD"/>
    <w:rsid w:val="007C7CC1"/>
    <w:rsid w:val="007D3F4C"/>
    <w:rsid w:val="007D661A"/>
    <w:rsid w:val="007D6BBF"/>
    <w:rsid w:val="00802FD9"/>
    <w:rsid w:val="008039A7"/>
    <w:rsid w:val="00813E5B"/>
    <w:rsid w:val="00821931"/>
    <w:rsid w:val="008315CD"/>
    <w:rsid w:val="00831D96"/>
    <w:rsid w:val="00833258"/>
    <w:rsid w:val="008377B5"/>
    <w:rsid w:val="00844F13"/>
    <w:rsid w:val="00860C79"/>
    <w:rsid w:val="008676AC"/>
    <w:rsid w:val="00867BAE"/>
    <w:rsid w:val="0087663A"/>
    <w:rsid w:val="00876A77"/>
    <w:rsid w:val="00881408"/>
    <w:rsid w:val="00886D72"/>
    <w:rsid w:val="0088747B"/>
    <w:rsid w:val="00890FEA"/>
    <w:rsid w:val="00895B40"/>
    <w:rsid w:val="008A1E73"/>
    <w:rsid w:val="008B3218"/>
    <w:rsid w:val="008B6FD5"/>
    <w:rsid w:val="008E014C"/>
    <w:rsid w:val="008E045C"/>
    <w:rsid w:val="009043F7"/>
    <w:rsid w:val="00905C21"/>
    <w:rsid w:val="0090756A"/>
    <w:rsid w:val="00913259"/>
    <w:rsid w:val="00914639"/>
    <w:rsid w:val="009223E3"/>
    <w:rsid w:val="0094203B"/>
    <w:rsid w:val="00943EA5"/>
    <w:rsid w:val="00947D98"/>
    <w:rsid w:val="0095340B"/>
    <w:rsid w:val="009607D0"/>
    <w:rsid w:val="00960D26"/>
    <w:rsid w:val="00961A8C"/>
    <w:rsid w:val="00964528"/>
    <w:rsid w:val="00975DB9"/>
    <w:rsid w:val="00977C95"/>
    <w:rsid w:val="00986679"/>
    <w:rsid w:val="0099174A"/>
    <w:rsid w:val="0099521D"/>
    <w:rsid w:val="009A0036"/>
    <w:rsid w:val="009A419A"/>
    <w:rsid w:val="009B23C2"/>
    <w:rsid w:val="009B6294"/>
    <w:rsid w:val="009C6F05"/>
    <w:rsid w:val="009D4C8D"/>
    <w:rsid w:val="009D5CC8"/>
    <w:rsid w:val="009D76E3"/>
    <w:rsid w:val="009F3BF6"/>
    <w:rsid w:val="00A00520"/>
    <w:rsid w:val="00A12B60"/>
    <w:rsid w:val="00A24B07"/>
    <w:rsid w:val="00A37495"/>
    <w:rsid w:val="00A56D1F"/>
    <w:rsid w:val="00A61033"/>
    <w:rsid w:val="00A70317"/>
    <w:rsid w:val="00A80A95"/>
    <w:rsid w:val="00A879DE"/>
    <w:rsid w:val="00A9087E"/>
    <w:rsid w:val="00A922C2"/>
    <w:rsid w:val="00A93F23"/>
    <w:rsid w:val="00A9619A"/>
    <w:rsid w:val="00AA3064"/>
    <w:rsid w:val="00AB3316"/>
    <w:rsid w:val="00AC4FF7"/>
    <w:rsid w:val="00AC5469"/>
    <w:rsid w:val="00AD315D"/>
    <w:rsid w:val="00AE34C5"/>
    <w:rsid w:val="00AF7E7A"/>
    <w:rsid w:val="00B0064D"/>
    <w:rsid w:val="00B1628A"/>
    <w:rsid w:val="00B232F4"/>
    <w:rsid w:val="00B276FF"/>
    <w:rsid w:val="00B34A5D"/>
    <w:rsid w:val="00B409DD"/>
    <w:rsid w:val="00B4551D"/>
    <w:rsid w:val="00B46D74"/>
    <w:rsid w:val="00B47442"/>
    <w:rsid w:val="00B67543"/>
    <w:rsid w:val="00B74A83"/>
    <w:rsid w:val="00B773B5"/>
    <w:rsid w:val="00B77E7D"/>
    <w:rsid w:val="00B808D9"/>
    <w:rsid w:val="00B84DA6"/>
    <w:rsid w:val="00B95F65"/>
    <w:rsid w:val="00BA10E9"/>
    <w:rsid w:val="00BA2FAB"/>
    <w:rsid w:val="00BA35EE"/>
    <w:rsid w:val="00BB6109"/>
    <w:rsid w:val="00BD17DE"/>
    <w:rsid w:val="00BE55F3"/>
    <w:rsid w:val="00BF3808"/>
    <w:rsid w:val="00BF471E"/>
    <w:rsid w:val="00BF5219"/>
    <w:rsid w:val="00C016FB"/>
    <w:rsid w:val="00C06241"/>
    <w:rsid w:val="00C06CA0"/>
    <w:rsid w:val="00C06E95"/>
    <w:rsid w:val="00C21EA2"/>
    <w:rsid w:val="00C45290"/>
    <w:rsid w:val="00C475F9"/>
    <w:rsid w:val="00C50383"/>
    <w:rsid w:val="00C55BAD"/>
    <w:rsid w:val="00C56480"/>
    <w:rsid w:val="00C60C97"/>
    <w:rsid w:val="00C6178A"/>
    <w:rsid w:val="00C64802"/>
    <w:rsid w:val="00C669B3"/>
    <w:rsid w:val="00C711FC"/>
    <w:rsid w:val="00C80C23"/>
    <w:rsid w:val="00C96297"/>
    <w:rsid w:val="00C96461"/>
    <w:rsid w:val="00CC412F"/>
    <w:rsid w:val="00CC445B"/>
    <w:rsid w:val="00CD5582"/>
    <w:rsid w:val="00CD7FC8"/>
    <w:rsid w:val="00CF2AA5"/>
    <w:rsid w:val="00CF4B04"/>
    <w:rsid w:val="00D0232E"/>
    <w:rsid w:val="00D0329D"/>
    <w:rsid w:val="00D26FC3"/>
    <w:rsid w:val="00D27795"/>
    <w:rsid w:val="00D32A0E"/>
    <w:rsid w:val="00D46DDA"/>
    <w:rsid w:val="00D54FAD"/>
    <w:rsid w:val="00D6633D"/>
    <w:rsid w:val="00D74620"/>
    <w:rsid w:val="00D83D94"/>
    <w:rsid w:val="00D93309"/>
    <w:rsid w:val="00D978D8"/>
    <w:rsid w:val="00DA6B90"/>
    <w:rsid w:val="00DC03B9"/>
    <w:rsid w:val="00DC3464"/>
    <w:rsid w:val="00DC4ED7"/>
    <w:rsid w:val="00DD0A08"/>
    <w:rsid w:val="00DD2DE1"/>
    <w:rsid w:val="00DD7B52"/>
    <w:rsid w:val="00DE0321"/>
    <w:rsid w:val="00DE7F7A"/>
    <w:rsid w:val="00DF5034"/>
    <w:rsid w:val="00E07A33"/>
    <w:rsid w:val="00E07C4A"/>
    <w:rsid w:val="00E43637"/>
    <w:rsid w:val="00E47197"/>
    <w:rsid w:val="00E56510"/>
    <w:rsid w:val="00E57565"/>
    <w:rsid w:val="00E60F76"/>
    <w:rsid w:val="00E60F8A"/>
    <w:rsid w:val="00E612E8"/>
    <w:rsid w:val="00E713B0"/>
    <w:rsid w:val="00E72A8A"/>
    <w:rsid w:val="00E779AB"/>
    <w:rsid w:val="00E868FA"/>
    <w:rsid w:val="00E877D4"/>
    <w:rsid w:val="00EA14A1"/>
    <w:rsid w:val="00EA6059"/>
    <w:rsid w:val="00EA78D6"/>
    <w:rsid w:val="00EC702A"/>
    <w:rsid w:val="00ED2FDA"/>
    <w:rsid w:val="00ED4259"/>
    <w:rsid w:val="00EE53EB"/>
    <w:rsid w:val="00EF09ED"/>
    <w:rsid w:val="00EF2CC8"/>
    <w:rsid w:val="00EF3E88"/>
    <w:rsid w:val="00EF500C"/>
    <w:rsid w:val="00F30F89"/>
    <w:rsid w:val="00F43580"/>
    <w:rsid w:val="00F44EC6"/>
    <w:rsid w:val="00F51FF1"/>
    <w:rsid w:val="00F619D1"/>
    <w:rsid w:val="00F629BF"/>
    <w:rsid w:val="00F64772"/>
    <w:rsid w:val="00F7130C"/>
    <w:rsid w:val="00F809F1"/>
    <w:rsid w:val="00F97017"/>
    <w:rsid w:val="00FA03C9"/>
    <w:rsid w:val="00FB093C"/>
    <w:rsid w:val="00FB478B"/>
    <w:rsid w:val="00FC30F6"/>
    <w:rsid w:val="00FE15AB"/>
    <w:rsid w:val="00FF2F9A"/>
    <w:rsid w:val="00FF7B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2"/>
    </o:shapelayout>
  </w:shapeDefaults>
  <w:decimalSymbol w:val=","/>
  <w:listSeparator w:val=";"/>
  <w14:docId w14:val="0B6DBDC7"/>
  <w15:chartTrackingRefBased/>
  <w15:docId w15:val="{0F6B4976-CDB7-4803-9EAF-F2B496F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DE"/>
    <w:pPr>
      <w:spacing w:after="0" w:line="240" w:lineRule="atLeast"/>
    </w:pPr>
    <w:rPr>
      <w:rFonts w:ascii="Arial" w:hAnsi="Arial" w:cs="Times New Roman"/>
      <w:sz w:val="18"/>
      <w:szCs w:val="20"/>
      <w:lang w:eastAsia="de-DE"/>
    </w:rPr>
  </w:style>
  <w:style w:type="paragraph" w:styleId="Heading1">
    <w:name w:val="heading 1"/>
    <w:basedOn w:val="Normal"/>
    <w:next w:val="Normal"/>
    <w:link w:val="Heading1Char"/>
    <w:uiPriority w:val="1"/>
    <w:qFormat/>
    <w:rsid w:val="005D0C20"/>
    <w:pPr>
      <w:keepNext/>
      <w:spacing w:after="240" w:line="240" w:lineRule="auto"/>
      <w:ind w:left="709" w:hanging="709"/>
      <w:outlineLvl w:val="0"/>
    </w:pPr>
    <w:rPr>
      <w:b/>
      <w:kern w:val="28"/>
      <w:szCs w:val="18"/>
    </w:rPr>
  </w:style>
  <w:style w:type="paragraph" w:styleId="Heading2">
    <w:name w:val="heading 2"/>
    <w:basedOn w:val="Heading1"/>
    <w:next w:val="Normal"/>
    <w:link w:val="Heading2Char"/>
    <w:autoRedefine/>
    <w:qFormat/>
    <w:rsid w:val="00BA2FAB"/>
    <w:pPr>
      <w:numPr>
        <w:ilvl w:val="1"/>
      </w:numPr>
      <w:ind w:left="709" w:hanging="709"/>
      <w:outlineLvl w:val="1"/>
    </w:pPr>
    <w:rPr>
      <w:sz w:val="24"/>
    </w:rPr>
  </w:style>
  <w:style w:type="paragraph" w:styleId="Heading3">
    <w:name w:val="heading 3"/>
    <w:basedOn w:val="Heading2"/>
    <w:next w:val="Normal"/>
    <w:link w:val="Heading3Char"/>
    <w:qFormat/>
    <w:rsid w:val="005D0C20"/>
    <w:pPr>
      <w:keepNext w:val="0"/>
      <w:numPr>
        <w:ilvl w:val="2"/>
      </w:numPr>
      <w:spacing w:before="120" w:after="60"/>
      <w:ind w:left="709" w:hanging="709"/>
      <w:outlineLvl w:val="2"/>
    </w:pPr>
  </w:style>
  <w:style w:type="paragraph" w:styleId="Heading4">
    <w:name w:val="heading 4"/>
    <w:basedOn w:val="Heading3"/>
    <w:next w:val="Normal"/>
    <w:link w:val="Heading4Char"/>
    <w:qFormat/>
    <w:rsid w:val="005D0C20"/>
    <w:pPr>
      <w:numPr>
        <w:ilvl w:val="3"/>
      </w:numPr>
      <w:ind w:left="709" w:hanging="709"/>
      <w:outlineLvl w:val="3"/>
    </w:pPr>
  </w:style>
  <w:style w:type="paragraph" w:styleId="Heading5">
    <w:name w:val="heading 5"/>
    <w:basedOn w:val="Normal"/>
    <w:next w:val="Normal"/>
    <w:link w:val="Heading5Char"/>
    <w:qFormat/>
    <w:rsid w:val="005D0C20"/>
    <w:pPr>
      <w:numPr>
        <w:ilvl w:val="4"/>
        <w:numId w:val="34"/>
      </w:numPr>
      <w:spacing w:before="240" w:after="60" w:line="276" w:lineRule="auto"/>
      <w:jc w:val="both"/>
      <w:outlineLvl w:val="4"/>
    </w:pPr>
    <w:rPr>
      <w:szCs w:val="18"/>
    </w:rPr>
  </w:style>
  <w:style w:type="paragraph" w:styleId="Heading6">
    <w:name w:val="heading 6"/>
    <w:basedOn w:val="Normal"/>
    <w:next w:val="Normal"/>
    <w:link w:val="Heading6Char"/>
    <w:qFormat/>
    <w:rsid w:val="005D0C20"/>
    <w:pPr>
      <w:numPr>
        <w:ilvl w:val="5"/>
        <w:numId w:val="34"/>
      </w:numPr>
      <w:spacing w:before="240" w:after="60" w:line="276" w:lineRule="auto"/>
      <w:jc w:val="both"/>
      <w:outlineLvl w:val="5"/>
    </w:pPr>
    <w:rPr>
      <w:i/>
      <w:szCs w:val="18"/>
    </w:rPr>
  </w:style>
  <w:style w:type="paragraph" w:styleId="Heading7">
    <w:name w:val="heading 7"/>
    <w:basedOn w:val="Normal"/>
    <w:next w:val="Normal"/>
    <w:link w:val="Heading7Char"/>
    <w:qFormat/>
    <w:rsid w:val="005D0C20"/>
    <w:pPr>
      <w:numPr>
        <w:ilvl w:val="6"/>
        <w:numId w:val="34"/>
      </w:numPr>
      <w:spacing w:before="240" w:after="60" w:line="276" w:lineRule="auto"/>
      <w:jc w:val="both"/>
      <w:outlineLvl w:val="6"/>
    </w:pPr>
    <w:rPr>
      <w:szCs w:val="18"/>
    </w:rPr>
  </w:style>
  <w:style w:type="paragraph" w:styleId="Heading8">
    <w:name w:val="heading 8"/>
    <w:basedOn w:val="Normal"/>
    <w:next w:val="Normal"/>
    <w:link w:val="Heading8Char"/>
    <w:qFormat/>
    <w:rsid w:val="005D0C20"/>
    <w:pPr>
      <w:numPr>
        <w:ilvl w:val="7"/>
        <w:numId w:val="34"/>
      </w:numPr>
      <w:spacing w:before="240" w:after="60" w:line="276" w:lineRule="auto"/>
      <w:jc w:val="both"/>
      <w:outlineLvl w:val="7"/>
    </w:pPr>
    <w:rPr>
      <w:i/>
      <w:szCs w:val="18"/>
    </w:rPr>
  </w:style>
  <w:style w:type="paragraph" w:styleId="Heading9">
    <w:name w:val="heading 9"/>
    <w:basedOn w:val="Normal"/>
    <w:next w:val="Normal"/>
    <w:link w:val="Heading9Char"/>
    <w:qFormat/>
    <w:rsid w:val="005D0C20"/>
    <w:pPr>
      <w:numPr>
        <w:ilvl w:val="8"/>
        <w:numId w:val="34"/>
      </w:numPr>
      <w:spacing w:before="240" w:after="60" w:line="276" w:lineRule="auto"/>
      <w:jc w:val="both"/>
      <w:outlineLvl w:val="8"/>
    </w:pPr>
    <w:rPr>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next w:val="Normal"/>
    <w:rsid w:val="005D0C20"/>
    <w:pPr>
      <w:spacing w:before="160" w:after="0" w:line="260" w:lineRule="exact"/>
    </w:pPr>
    <w:rPr>
      <w:rFonts w:ascii="Arial" w:hAnsi="Arial" w:cs="Times New Roman"/>
      <w:b/>
      <w:szCs w:val="18"/>
      <w:lang w:eastAsia="de-DE"/>
    </w:rPr>
  </w:style>
  <w:style w:type="paragraph" w:customStyle="1" w:styleId="BriefAnstalt">
    <w:name w:val="Brief_Anstalt"/>
    <w:basedOn w:val="Normal"/>
    <w:rsid w:val="005D0C20"/>
    <w:pPr>
      <w:spacing w:after="1180" w:line="276" w:lineRule="auto"/>
      <w:jc w:val="both"/>
    </w:pPr>
    <w:rPr>
      <w:b/>
      <w:sz w:val="24"/>
      <w:szCs w:val="18"/>
    </w:rPr>
  </w:style>
  <w:style w:type="paragraph" w:customStyle="1" w:styleId="Fuzeile-Titel">
    <w:name w:val="Fußzeile-Titel"/>
    <w:basedOn w:val="Normal"/>
    <w:rsid w:val="005D0C20"/>
    <w:pPr>
      <w:spacing w:line="276" w:lineRule="auto"/>
      <w:jc w:val="both"/>
    </w:pPr>
    <w:rPr>
      <w:sz w:val="12"/>
      <w:szCs w:val="18"/>
    </w:rPr>
  </w:style>
  <w:style w:type="paragraph" w:customStyle="1" w:styleId="BriefFuzeile">
    <w:name w:val="Brief_Fußzeile"/>
    <w:basedOn w:val="Fuzeile-Titel"/>
    <w:rsid w:val="005D0C20"/>
    <w:pPr>
      <w:spacing w:line="240" w:lineRule="auto"/>
    </w:pPr>
    <w:rPr>
      <w:sz w:val="14"/>
    </w:rPr>
  </w:style>
  <w:style w:type="paragraph" w:customStyle="1" w:styleId="Brief-Absender">
    <w:name w:val="Brief-Absender"/>
    <w:rsid w:val="005D0C20"/>
    <w:pPr>
      <w:tabs>
        <w:tab w:val="right" w:pos="9498"/>
      </w:tabs>
      <w:spacing w:after="0" w:line="120" w:lineRule="exact"/>
    </w:pPr>
    <w:rPr>
      <w:rFonts w:ascii="Arial" w:hAnsi="Arial" w:cs="Times New Roman"/>
      <w:sz w:val="12"/>
      <w:szCs w:val="18"/>
      <w:lang w:eastAsia="de-DE"/>
    </w:rPr>
  </w:style>
  <w:style w:type="paragraph" w:customStyle="1" w:styleId="Brief-DIBt">
    <w:name w:val="Brief-DIBt"/>
    <w:rsid w:val="005D0C20"/>
    <w:pPr>
      <w:tabs>
        <w:tab w:val="right" w:pos="9498"/>
      </w:tabs>
      <w:spacing w:after="0" w:line="240" w:lineRule="auto"/>
      <w:ind w:right="-352"/>
    </w:pPr>
    <w:rPr>
      <w:rFonts w:ascii="Arial" w:hAnsi="Arial" w:cs="Times New Roman"/>
      <w:b/>
      <w:spacing w:val="6"/>
      <w:sz w:val="36"/>
      <w:szCs w:val="18"/>
      <w:lang w:eastAsia="de-DE"/>
    </w:rPr>
  </w:style>
  <w:style w:type="paragraph" w:customStyle="1" w:styleId="Brief-Spalterechts">
    <w:name w:val="Brief-Spalterechts"/>
    <w:basedOn w:val="Normal"/>
    <w:rsid w:val="005D0C20"/>
    <w:pPr>
      <w:tabs>
        <w:tab w:val="left" w:pos="572"/>
        <w:tab w:val="left" w:pos="3260"/>
        <w:tab w:val="left" w:pos="6379"/>
        <w:tab w:val="left" w:pos="7655"/>
      </w:tabs>
      <w:spacing w:line="276" w:lineRule="auto"/>
      <w:ind w:left="-68"/>
      <w:jc w:val="both"/>
    </w:pPr>
    <w:rPr>
      <w:sz w:val="16"/>
      <w:szCs w:val="18"/>
    </w:rPr>
  </w:style>
  <w:style w:type="paragraph" w:customStyle="1" w:styleId="Brieftext">
    <w:name w:val="Brieftext"/>
    <w:rsid w:val="005D0C20"/>
    <w:pPr>
      <w:spacing w:after="0" w:line="260" w:lineRule="exact"/>
      <w:jc w:val="both"/>
    </w:pPr>
    <w:rPr>
      <w:rFonts w:ascii="Arial" w:hAnsi="Arial" w:cs="Times New Roman"/>
      <w:szCs w:val="18"/>
      <w:lang w:eastAsia="de-DE"/>
    </w:rPr>
  </w:style>
  <w:style w:type="character" w:customStyle="1" w:styleId="Heading5Char">
    <w:name w:val="Heading 5 Char"/>
    <w:link w:val="Heading5"/>
    <w:rsid w:val="005D0C20"/>
    <w:rPr>
      <w:rFonts w:ascii="Arial" w:hAnsi="Arial" w:cs="Times New Roman"/>
      <w:sz w:val="18"/>
      <w:szCs w:val="18"/>
      <w:lang w:eastAsia="de-DE"/>
    </w:rPr>
  </w:style>
  <w:style w:type="paragraph" w:customStyle="1" w:styleId="Ebene5">
    <w:name w:val="Ebene 5"/>
    <w:basedOn w:val="Heading5"/>
    <w:rsid w:val="005D0C20"/>
    <w:pPr>
      <w:numPr>
        <w:ilvl w:val="0"/>
        <w:numId w:val="0"/>
      </w:numPr>
      <w:outlineLvl w:val="9"/>
    </w:pPr>
    <w:rPr>
      <w:sz w:val="24"/>
    </w:rPr>
  </w:style>
  <w:style w:type="paragraph" w:customStyle="1" w:styleId="Ebene6">
    <w:name w:val="Ebene 6"/>
    <w:basedOn w:val="Ebene5"/>
    <w:rsid w:val="005D0C20"/>
    <w:pPr>
      <w:spacing w:line="288" w:lineRule="exact"/>
    </w:pPr>
  </w:style>
  <w:style w:type="paragraph" w:styleId="EndnoteText">
    <w:name w:val="endnote text"/>
    <w:basedOn w:val="Normal"/>
    <w:link w:val="EndnoteTextChar"/>
    <w:rsid w:val="005D0C20"/>
    <w:pPr>
      <w:spacing w:line="276" w:lineRule="auto"/>
      <w:jc w:val="both"/>
    </w:pPr>
    <w:rPr>
      <w:szCs w:val="18"/>
    </w:rPr>
  </w:style>
  <w:style w:type="character" w:customStyle="1" w:styleId="EndnoteTextChar">
    <w:name w:val="Endnote Text Char"/>
    <w:link w:val="EndnoteText"/>
    <w:rsid w:val="005D0C20"/>
    <w:rPr>
      <w:rFonts w:ascii="Arial" w:hAnsi="Arial" w:cs="Times New Roman"/>
      <w:sz w:val="18"/>
      <w:szCs w:val="18"/>
      <w:lang w:eastAsia="de-DE"/>
    </w:rPr>
  </w:style>
  <w:style w:type="character" w:styleId="EndnoteReference">
    <w:name w:val="endnote reference"/>
    <w:rsid w:val="005D0C20"/>
    <w:rPr>
      <w:rFonts w:ascii="Arial" w:hAnsi="Arial"/>
      <w:noProof/>
      <w:color w:val="auto"/>
      <w:position w:val="6"/>
      <w:sz w:val="16"/>
      <w:u w:val="none"/>
      <w:vertAlign w:val="baseline"/>
    </w:rPr>
  </w:style>
  <w:style w:type="paragraph" w:styleId="FootnoteText">
    <w:name w:val="footnote text"/>
    <w:basedOn w:val="Normal"/>
    <w:link w:val="FootnoteTextChar"/>
    <w:qFormat/>
    <w:rsid w:val="005D0C20"/>
    <w:pPr>
      <w:spacing w:line="276" w:lineRule="auto"/>
      <w:jc w:val="both"/>
    </w:pPr>
    <w:rPr>
      <w:sz w:val="16"/>
      <w:szCs w:val="18"/>
    </w:rPr>
  </w:style>
  <w:style w:type="character" w:customStyle="1" w:styleId="FootnoteTextChar">
    <w:name w:val="Footnote Text Char"/>
    <w:link w:val="FootnoteText"/>
    <w:rsid w:val="005D0C20"/>
    <w:rPr>
      <w:rFonts w:ascii="Arial" w:hAnsi="Arial" w:cs="Times New Roman"/>
      <w:sz w:val="16"/>
      <w:szCs w:val="18"/>
      <w:lang w:eastAsia="de-DE"/>
    </w:rPr>
  </w:style>
  <w:style w:type="paragraph" w:customStyle="1" w:styleId="Funotentext1">
    <w:name w:val="Fußnotentext1"/>
    <w:basedOn w:val="Normal"/>
    <w:rsid w:val="005D0C20"/>
    <w:pPr>
      <w:spacing w:line="276" w:lineRule="auto"/>
      <w:ind w:left="851" w:hanging="851"/>
      <w:jc w:val="both"/>
    </w:pPr>
    <w:rPr>
      <w:szCs w:val="18"/>
    </w:rPr>
  </w:style>
  <w:style w:type="paragraph" w:customStyle="1" w:styleId="Funotentext2">
    <w:name w:val="Fußnotentext2"/>
    <w:basedOn w:val="Normal"/>
    <w:rsid w:val="005D0C20"/>
    <w:pPr>
      <w:tabs>
        <w:tab w:val="left" w:pos="567"/>
        <w:tab w:val="left" w:pos="851"/>
        <w:tab w:val="left" w:pos="1134"/>
        <w:tab w:val="left" w:pos="1701"/>
        <w:tab w:val="left" w:pos="2835"/>
      </w:tabs>
      <w:spacing w:line="276" w:lineRule="auto"/>
      <w:ind w:left="851"/>
      <w:jc w:val="both"/>
    </w:pPr>
    <w:rPr>
      <w:szCs w:val="18"/>
    </w:rPr>
  </w:style>
  <w:style w:type="character" w:styleId="FootnoteReference">
    <w:name w:val="footnote reference"/>
    <w:qFormat/>
    <w:rsid w:val="005D0C20"/>
    <w:rPr>
      <w:rFonts w:ascii="Arial" w:hAnsi="Arial"/>
      <w:noProof w:val="0"/>
      <w:color w:val="auto"/>
      <w:position w:val="5"/>
      <w:sz w:val="14"/>
      <w:u w:val="none"/>
      <w:vertAlign w:val="baseline"/>
      <w:lang w:val="en-GB"/>
    </w:rPr>
  </w:style>
  <w:style w:type="paragraph" w:styleId="Footer">
    <w:name w:val="footer"/>
    <w:basedOn w:val="Normal"/>
    <w:link w:val="FooterChar"/>
    <w:uiPriority w:val="99"/>
    <w:rsid w:val="005D0C20"/>
    <w:pPr>
      <w:tabs>
        <w:tab w:val="center" w:pos="4536"/>
        <w:tab w:val="right" w:pos="9072"/>
      </w:tabs>
      <w:spacing w:line="276" w:lineRule="auto"/>
      <w:jc w:val="both"/>
    </w:pPr>
    <w:rPr>
      <w:szCs w:val="18"/>
    </w:rPr>
  </w:style>
  <w:style w:type="character" w:customStyle="1" w:styleId="FooterChar">
    <w:name w:val="Footer Char"/>
    <w:link w:val="Footer"/>
    <w:uiPriority w:val="99"/>
    <w:rsid w:val="005D0C20"/>
    <w:rPr>
      <w:rFonts w:ascii="Arial" w:hAnsi="Arial" w:cs="Times New Roman"/>
      <w:sz w:val="18"/>
      <w:szCs w:val="18"/>
      <w:lang w:eastAsia="de-DE"/>
    </w:rPr>
  </w:style>
  <w:style w:type="paragraph" w:customStyle="1" w:styleId="Geschaeftszeichenzeile2">
    <w:name w:val="Geschaeftszeichenzeile2"/>
    <w:basedOn w:val="Normal"/>
    <w:rsid w:val="005D0C20"/>
    <w:pPr>
      <w:spacing w:line="276" w:lineRule="auto"/>
      <w:jc w:val="both"/>
    </w:pPr>
    <w:rPr>
      <w:szCs w:val="18"/>
    </w:rPr>
  </w:style>
  <w:style w:type="paragraph" w:customStyle="1" w:styleId="Geschftszeichenzeile">
    <w:name w:val="Geschäftszeichenzeile"/>
    <w:rsid w:val="005D0C20"/>
    <w:pPr>
      <w:tabs>
        <w:tab w:val="left" w:pos="3260"/>
        <w:tab w:val="left" w:pos="5812"/>
        <w:tab w:val="left" w:pos="7655"/>
      </w:tabs>
      <w:spacing w:after="0" w:line="240" w:lineRule="auto"/>
    </w:pPr>
    <w:rPr>
      <w:rFonts w:ascii="Arial" w:hAnsi="Arial" w:cs="Times New Roman"/>
      <w:sz w:val="14"/>
      <w:szCs w:val="18"/>
      <w:lang w:eastAsia="de-DE"/>
    </w:rPr>
  </w:style>
  <w:style w:type="character" w:styleId="Hyperlink">
    <w:name w:val="Hyperlink"/>
    <w:qFormat/>
    <w:rsid w:val="005D0C20"/>
    <w:rPr>
      <w:color w:val="0000FF"/>
      <w:u w:val="single"/>
    </w:rPr>
  </w:style>
  <w:style w:type="paragraph" w:styleId="Header">
    <w:name w:val="header"/>
    <w:basedOn w:val="Normal"/>
    <w:link w:val="HeaderChar"/>
    <w:rsid w:val="005D0C20"/>
    <w:pPr>
      <w:tabs>
        <w:tab w:val="center" w:pos="4536"/>
        <w:tab w:val="right" w:pos="9072"/>
      </w:tabs>
      <w:spacing w:line="276" w:lineRule="auto"/>
      <w:jc w:val="both"/>
    </w:pPr>
    <w:rPr>
      <w:szCs w:val="18"/>
    </w:rPr>
  </w:style>
  <w:style w:type="character" w:customStyle="1" w:styleId="HeaderChar">
    <w:name w:val="Header Char"/>
    <w:link w:val="Header"/>
    <w:rsid w:val="005D0C20"/>
    <w:rPr>
      <w:rFonts w:ascii="Arial" w:hAnsi="Arial" w:cs="Times New Roman"/>
      <w:sz w:val="18"/>
      <w:szCs w:val="18"/>
      <w:lang w:eastAsia="de-DE"/>
    </w:rPr>
  </w:style>
  <w:style w:type="paragraph" w:customStyle="1" w:styleId="Logo">
    <w:name w:val="Logo"/>
    <w:basedOn w:val="Normal"/>
    <w:rsid w:val="005D0C20"/>
    <w:pPr>
      <w:framePr w:w="1587" w:h="1005" w:hSpace="141" w:wrap="around" w:vAnchor="page" w:hAnchor="page" w:x="9360" w:y="577"/>
      <w:tabs>
        <w:tab w:val="left" w:pos="397"/>
      </w:tabs>
      <w:spacing w:line="276" w:lineRule="auto"/>
      <w:jc w:val="both"/>
    </w:pPr>
    <w:rPr>
      <w:sz w:val="12"/>
      <w:szCs w:val="18"/>
    </w:rPr>
  </w:style>
  <w:style w:type="paragraph" w:styleId="MacroText">
    <w:name w:val="macro"/>
    <w:link w:val="MacroTextChar"/>
    <w:rsid w:val="005D0C20"/>
    <w:pPr>
      <w:tabs>
        <w:tab w:val="left" w:pos="480"/>
        <w:tab w:val="left" w:pos="960"/>
        <w:tab w:val="left" w:pos="1440"/>
        <w:tab w:val="left" w:pos="1920"/>
        <w:tab w:val="left" w:pos="2400"/>
        <w:tab w:val="left" w:pos="2880"/>
        <w:tab w:val="left" w:pos="3360"/>
        <w:tab w:val="left" w:pos="3840"/>
        <w:tab w:val="left" w:pos="4320"/>
      </w:tabs>
      <w:spacing w:after="0" w:line="240" w:lineRule="auto"/>
      <w:ind w:left="851" w:hanging="851"/>
      <w:jc w:val="both"/>
    </w:pPr>
    <w:rPr>
      <w:rFonts w:ascii="Arial" w:hAnsi="Arial" w:cs="Times New Roman"/>
      <w:sz w:val="18"/>
      <w:szCs w:val="18"/>
      <w:lang w:eastAsia="de-DE"/>
    </w:rPr>
  </w:style>
  <w:style w:type="character" w:customStyle="1" w:styleId="MacroTextChar">
    <w:name w:val="Macro Text Char"/>
    <w:link w:val="MacroText"/>
    <w:rsid w:val="005D0C20"/>
    <w:rPr>
      <w:rFonts w:ascii="Arial" w:hAnsi="Arial" w:cs="Times New Roman"/>
      <w:sz w:val="18"/>
      <w:szCs w:val="18"/>
      <w:lang w:eastAsia="de-DE"/>
    </w:rPr>
  </w:style>
  <w:style w:type="paragraph" w:customStyle="1" w:styleId="Merkblatt">
    <w:name w:val="Merkblatt"/>
    <w:rsid w:val="005D0C20"/>
    <w:pPr>
      <w:tabs>
        <w:tab w:val="left" w:pos="284"/>
      </w:tabs>
      <w:spacing w:after="0" w:line="240" w:lineRule="auto"/>
      <w:ind w:right="-284"/>
      <w:jc w:val="both"/>
    </w:pPr>
    <w:rPr>
      <w:rFonts w:ascii="Arial" w:hAnsi="Arial" w:cs="Times New Roman"/>
      <w:sz w:val="18"/>
      <w:szCs w:val="18"/>
      <w:lang w:eastAsia="de-DE"/>
    </w:rPr>
  </w:style>
  <w:style w:type="paragraph" w:customStyle="1" w:styleId="MerkblattDIBt">
    <w:name w:val="Merkblatt/DIBt"/>
    <w:basedOn w:val="Header"/>
    <w:rsid w:val="005D0C20"/>
    <w:pPr>
      <w:ind w:right="-284"/>
    </w:pPr>
    <w:rPr>
      <w:b/>
      <w:sz w:val="32"/>
    </w:rPr>
  </w:style>
  <w:style w:type="paragraph" w:customStyle="1" w:styleId="Merkblatthngend">
    <w:name w:val="Merkblatt/hängend"/>
    <w:basedOn w:val="Merkblatt"/>
    <w:rsid w:val="005D0C20"/>
    <w:pPr>
      <w:ind w:left="284" w:hanging="284"/>
      <w:jc w:val="left"/>
    </w:pPr>
  </w:style>
  <w:style w:type="paragraph" w:customStyle="1" w:styleId="Merkblattberschriftfett">
    <w:name w:val="Merkblatt/Überschrift/fett"/>
    <w:basedOn w:val="Header"/>
    <w:rsid w:val="005D0C20"/>
    <w:pPr>
      <w:ind w:right="-284"/>
      <w:jc w:val="center"/>
    </w:pPr>
    <w:rPr>
      <w:b/>
    </w:rPr>
  </w:style>
  <w:style w:type="character" w:customStyle="1" w:styleId="Merkblattberschriften">
    <w:name w:val="Merkblatt/Überschriften"/>
    <w:rsid w:val="005D0C20"/>
    <w:rPr>
      <w:rFonts w:ascii="Arial" w:hAnsi="Arial"/>
      <w:b/>
    </w:rPr>
  </w:style>
  <w:style w:type="character" w:customStyle="1" w:styleId="Heading1Char">
    <w:name w:val="Heading 1 Char"/>
    <w:link w:val="Heading1"/>
    <w:uiPriority w:val="1"/>
    <w:rsid w:val="005D0C20"/>
    <w:rPr>
      <w:rFonts w:ascii="Arial" w:hAnsi="Arial" w:cs="Times New Roman"/>
      <w:b/>
      <w:kern w:val="28"/>
      <w:sz w:val="18"/>
      <w:szCs w:val="18"/>
      <w:lang w:eastAsia="de-DE"/>
    </w:rPr>
  </w:style>
  <w:style w:type="character" w:customStyle="1" w:styleId="Heading2Char">
    <w:name w:val="Heading 2 Char"/>
    <w:link w:val="Heading2"/>
    <w:rsid w:val="00BA2FAB"/>
    <w:rPr>
      <w:rFonts w:ascii="Arial" w:hAnsi="Arial" w:cs="Times New Roman"/>
      <w:b/>
      <w:kern w:val="28"/>
      <w:sz w:val="24"/>
      <w:szCs w:val="18"/>
      <w:lang w:eastAsia="de-DE"/>
    </w:rPr>
  </w:style>
  <w:style w:type="paragraph" w:customStyle="1" w:styleId="berschrift">
    <w:name w:val="Überschrift"/>
    <w:basedOn w:val="Heading1"/>
    <w:next w:val="Normal"/>
    <w:rsid w:val="005D0C20"/>
    <w:pPr>
      <w:spacing w:before="120" w:after="480"/>
      <w:jc w:val="center"/>
      <w:outlineLvl w:val="9"/>
    </w:pPr>
    <w:rPr>
      <w:caps/>
      <w:sz w:val="32"/>
    </w:rPr>
  </w:style>
  <w:style w:type="character" w:customStyle="1" w:styleId="Heading3Char">
    <w:name w:val="Heading 3 Char"/>
    <w:link w:val="Heading3"/>
    <w:rsid w:val="005D0C20"/>
    <w:rPr>
      <w:rFonts w:ascii="Arial" w:hAnsi="Arial" w:cs="Times New Roman"/>
      <w:b/>
      <w:color w:val="9E1A3C"/>
      <w:kern w:val="28"/>
      <w:sz w:val="24"/>
      <w:szCs w:val="18"/>
      <w:lang w:eastAsia="de-DE"/>
    </w:rPr>
  </w:style>
  <w:style w:type="character" w:customStyle="1" w:styleId="Heading4Char">
    <w:name w:val="Heading 4 Char"/>
    <w:link w:val="Heading4"/>
    <w:rsid w:val="005D0C20"/>
    <w:rPr>
      <w:rFonts w:ascii="Arial" w:hAnsi="Arial" w:cs="Times New Roman"/>
      <w:b/>
      <w:color w:val="9E1A3C"/>
      <w:kern w:val="28"/>
      <w:sz w:val="24"/>
      <w:szCs w:val="18"/>
      <w:lang w:eastAsia="de-DE"/>
    </w:rPr>
  </w:style>
  <w:style w:type="character" w:customStyle="1" w:styleId="Heading6Char">
    <w:name w:val="Heading 6 Char"/>
    <w:link w:val="Heading6"/>
    <w:rsid w:val="005D0C20"/>
    <w:rPr>
      <w:rFonts w:ascii="Arial" w:hAnsi="Arial" w:cs="Times New Roman"/>
      <w:i/>
      <w:sz w:val="18"/>
      <w:szCs w:val="18"/>
      <w:lang w:eastAsia="de-DE"/>
    </w:rPr>
  </w:style>
  <w:style w:type="character" w:customStyle="1" w:styleId="Heading7Char">
    <w:name w:val="Heading 7 Char"/>
    <w:link w:val="Heading7"/>
    <w:rsid w:val="005D0C20"/>
    <w:rPr>
      <w:rFonts w:ascii="Arial" w:hAnsi="Arial" w:cs="Times New Roman"/>
      <w:sz w:val="18"/>
      <w:szCs w:val="18"/>
      <w:lang w:eastAsia="de-DE"/>
    </w:rPr>
  </w:style>
  <w:style w:type="character" w:customStyle="1" w:styleId="Heading8Char">
    <w:name w:val="Heading 8 Char"/>
    <w:link w:val="Heading8"/>
    <w:rsid w:val="005D0C20"/>
    <w:rPr>
      <w:rFonts w:ascii="Arial" w:hAnsi="Arial" w:cs="Times New Roman"/>
      <w:i/>
      <w:sz w:val="18"/>
      <w:szCs w:val="18"/>
      <w:lang w:eastAsia="de-DE"/>
    </w:rPr>
  </w:style>
  <w:style w:type="character" w:customStyle="1" w:styleId="Heading9Char">
    <w:name w:val="Heading 9 Char"/>
    <w:link w:val="Heading9"/>
    <w:rsid w:val="005D0C20"/>
    <w:rPr>
      <w:rFonts w:ascii="Arial" w:hAnsi="Arial" w:cs="Times New Roman"/>
      <w:i/>
      <w:sz w:val="18"/>
      <w:szCs w:val="18"/>
      <w:lang w:eastAsia="de-DE"/>
    </w:rPr>
  </w:style>
  <w:style w:type="paragraph" w:styleId="TOC1">
    <w:name w:val="toc 1"/>
    <w:basedOn w:val="Normal"/>
    <w:next w:val="Normal"/>
    <w:autoRedefine/>
    <w:uiPriority w:val="39"/>
    <w:rsid w:val="005D0C20"/>
    <w:pPr>
      <w:tabs>
        <w:tab w:val="right" w:pos="9922"/>
      </w:tabs>
      <w:spacing w:after="120" w:line="276" w:lineRule="auto"/>
      <w:jc w:val="both"/>
    </w:pPr>
    <w:rPr>
      <w:b/>
      <w:caps/>
      <w:szCs w:val="18"/>
    </w:rPr>
  </w:style>
  <w:style w:type="paragraph" w:styleId="TOC2">
    <w:name w:val="toc 2"/>
    <w:basedOn w:val="TOC1"/>
    <w:next w:val="Normal"/>
    <w:autoRedefine/>
    <w:uiPriority w:val="39"/>
    <w:rsid w:val="005D0C20"/>
    <w:rPr>
      <w:b w:val="0"/>
      <w:caps w:val="0"/>
    </w:rPr>
  </w:style>
  <w:style w:type="paragraph" w:styleId="TOC3">
    <w:name w:val="toc 3"/>
    <w:basedOn w:val="Normal"/>
    <w:next w:val="Normal"/>
    <w:autoRedefine/>
    <w:uiPriority w:val="39"/>
    <w:rsid w:val="005D0C20"/>
    <w:pPr>
      <w:tabs>
        <w:tab w:val="right" w:leader="dot" w:pos="9922"/>
      </w:tabs>
      <w:spacing w:after="120" w:line="276" w:lineRule="auto"/>
      <w:jc w:val="both"/>
    </w:pPr>
    <w:rPr>
      <w:szCs w:val="18"/>
    </w:rPr>
  </w:style>
  <w:style w:type="character" w:customStyle="1" w:styleId="vfg">
    <w:name w:val="vfg"/>
    <w:rsid w:val="005D0C20"/>
    <w:rPr>
      <w:b/>
      <w:i/>
      <w:vanish/>
      <w:sz w:val="24"/>
    </w:rPr>
  </w:style>
  <w:style w:type="paragraph" w:customStyle="1" w:styleId="BRL-Standard">
    <w:name w:val="BRL-Standard"/>
    <w:basedOn w:val="Normal"/>
    <w:link w:val="BRL-StandardZchn"/>
    <w:qFormat/>
    <w:rsid w:val="005D0C20"/>
    <w:pPr>
      <w:spacing w:line="276" w:lineRule="auto"/>
      <w:jc w:val="both"/>
    </w:pPr>
    <w:rPr>
      <w:szCs w:val="18"/>
    </w:rPr>
  </w:style>
  <w:style w:type="character" w:customStyle="1" w:styleId="BRL-StandardZchn">
    <w:name w:val="BRL-Standard Zchn"/>
    <w:link w:val="BRL-Standard"/>
    <w:rsid w:val="005D0C20"/>
    <w:rPr>
      <w:rFonts w:ascii="Arial" w:hAnsi="Arial" w:cs="Times New Roman"/>
      <w:sz w:val="18"/>
      <w:szCs w:val="18"/>
      <w:lang w:eastAsia="de-DE"/>
    </w:rPr>
  </w:style>
  <w:style w:type="paragraph" w:customStyle="1" w:styleId="BRL-Funote">
    <w:name w:val="BRL-Fußnote"/>
    <w:basedOn w:val="BRL-Standard"/>
    <w:qFormat/>
    <w:rsid w:val="005D0C20"/>
    <w:pPr>
      <w:tabs>
        <w:tab w:val="left" w:pos="425"/>
      </w:tabs>
      <w:spacing w:line="240" w:lineRule="auto"/>
      <w:ind w:left="425" w:hanging="425"/>
    </w:pPr>
    <w:rPr>
      <w:sz w:val="16"/>
      <w:szCs w:val="16"/>
    </w:rPr>
  </w:style>
  <w:style w:type="paragraph" w:customStyle="1" w:styleId="BRL-Tabellenkopf">
    <w:name w:val="BRL-Tabellenkopf"/>
    <w:basedOn w:val="BRL-Tabelle"/>
    <w:qFormat/>
    <w:rsid w:val="005D0C20"/>
    <w:rPr>
      <w:szCs w:val="22"/>
    </w:rPr>
  </w:style>
  <w:style w:type="paragraph" w:customStyle="1" w:styleId="Titelseite-berschrift1">
    <w:name w:val="Titelseite - Überschrift 1"/>
    <w:link w:val="Titelseite-berschrift1Zchn"/>
    <w:qFormat/>
    <w:rsid w:val="005D0C20"/>
    <w:pPr>
      <w:tabs>
        <w:tab w:val="left" w:pos="340"/>
      </w:tabs>
      <w:spacing w:after="0" w:line="240" w:lineRule="auto"/>
    </w:pPr>
    <w:rPr>
      <w:rFonts w:ascii="Arial" w:hAnsi="Arial" w:cs="Times New Roman"/>
      <w:b/>
      <w:kern w:val="28"/>
      <w:sz w:val="28"/>
      <w:szCs w:val="18"/>
      <w:lang w:eastAsia="de-DE"/>
    </w:rPr>
  </w:style>
  <w:style w:type="character" w:customStyle="1" w:styleId="Titelseite-berschrift1Zchn">
    <w:name w:val="Titelseite - Überschrift 1 Zchn"/>
    <w:link w:val="Titelseite-berschrift1"/>
    <w:rsid w:val="005D0C20"/>
    <w:rPr>
      <w:rFonts w:ascii="Arial" w:hAnsi="Arial" w:cs="Times New Roman"/>
      <w:b/>
      <w:kern w:val="28"/>
      <w:sz w:val="28"/>
      <w:szCs w:val="18"/>
      <w:lang w:eastAsia="de-DE"/>
    </w:rPr>
  </w:style>
  <w:style w:type="paragraph" w:styleId="BalloonText">
    <w:name w:val="Balloon Text"/>
    <w:basedOn w:val="Normal"/>
    <w:link w:val="BalloonTextChar"/>
    <w:uiPriority w:val="99"/>
    <w:rsid w:val="005D0C20"/>
    <w:pPr>
      <w:spacing w:line="240" w:lineRule="auto"/>
      <w:jc w:val="both"/>
    </w:pPr>
    <w:rPr>
      <w:rFonts w:ascii="Tahoma" w:hAnsi="Tahoma" w:cs="Tahoma"/>
      <w:sz w:val="16"/>
      <w:szCs w:val="16"/>
    </w:rPr>
  </w:style>
  <w:style w:type="character" w:customStyle="1" w:styleId="BalloonTextChar">
    <w:name w:val="Balloon Text Char"/>
    <w:link w:val="BalloonText"/>
    <w:uiPriority w:val="99"/>
    <w:rsid w:val="005D0C20"/>
    <w:rPr>
      <w:rFonts w:ascii="Tahoma" w:hAnsi="Tahoma" w:cs="Tahoma"/>
      <w:sz w:val="16"/>
      <w:szCs w:val="16"/>
      <w:lang w:eastAsia="de-DE"/>
    </w:rPr>
  </w:style>
  <w:style w:type="paragraph" w:customStyle="1" w:styleId="BRL-AnlageStandard">
    <w:name w:val="BRL-Anlage Standard"/>
    <w:basedOn w:val="BRL-Standard"/>
    <w:qFormat/>
    <w:rsid w:val="005D0C20"/>
    <w:pPr>
      <w:tabs>
        <w:tab w:val="left" w:pos="567"/>
        <w:tab w:val="left" w:pos="2127"/>
      </w:tabs>
    </w:pPr>
  </w:style>
  <w:style w:type="paragraph" w:customStyle="1" w:styleId="BRLAufzhlungAnstrich">
    <w:name w:val="BRLAufzählung Anstrich"/>
    <w:basedOn w:val="Normal"/>
    <w:qFormat/>
    <w:rsid w:val="005D0C20"/>
    <w:pPr>
      <w:numPr>
        <w:numId w:val="12"/>
      </w:numPr>
      <w:autoSpaceDE w:val="0"/>
      <w:autoSpaceDN w:val="0"/>
      <w:adjustRightInd w:val="0"/>
      <w:spacing w:line="276" w:lineRule="auto"/>
    </w:pPr>
    <w:rPr>
      <w:rFonts w:cs="Arial"/>
      <w:szCs w:val="18"/>
    </w:rPr>
  </w:style>
  <w:style w:type="paragraph" w:customStyle="1" w:styleId="BRL-Anlage">
    <w:name w:val="BRL-Anlage"/>
    <w:basedOn w:val="BRL-Standard"/>
    <w:next w:val="BRL-Standard"/>
    <w:link w:val="BRL-AnlageZchn"/>
    <w:qFormat/>
    <w:rsid w:val="005D0C20"/>
    <w:pPr>
      <w:widowControl w:val="0"/>
      <w:jc w:val="left"/>
    </w:pPr>
    <w:rPr>
      <w:b/>
    </w:rPr>
  </w:style>
  <w:style w:type="character" w:customStyle="1" w:styleId="BRL-AnlageZchn">
    <w:name w:val="BRL-Anlage Zchn"/>
    <w:link w:val="BRL-Anlage"/>
    <w:rsid w:val="005D0C20"/>
    <w:rPr>
      <w:rFonts w:ascii="Arial" w:hAnsi="Arial" w:cs="Times New Roman"/>
      <w:b/>
      <w:sz w:val="18"/>
      <w:szCs w:val="18"/>
      <w:lang w:eastAsia="de-DE"/>
    </w:rPr>
  </w:style>
  <w:style w:type="paragraph" w:customStyle="1" w:styleId="BRL-AnlageNummerierung">
    <w:name w:val="BRL-Anlage Nummerierung"/>
    <w:basedOn w:val="BRL-Nummerierung"/>
    <w:qFormat/>
    <w:rsid w:val="005D0C20"/>
    <w:pPr>
      <w:widowControl w:val="0"/>
      <w:ind w:left="0" w:firstLine="0"/>
    </w:pPr>
    <w:rPr>
      <w:rFonts w:cs="Arial"/>
      <w:bCs w:val="0"/>
    </w:rPr>
  </w:style>
  <w:style w:type="paragraph" w:customStyle="1" w:styleId="EinfacherAbsatz">
    <w:name w:val="[Einfacher Absatz]"/>
    <w:basedOn w:val="Normal"/>
    <w:uiPriority w:val="99"/>
    <w:rsid w:val="005D0C20"/>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 w:type="paragraph" w:styleId="TableofFigures">
    <w:name w:val="table of figures"/>
    <w:basedOn w:val="Normal"/>
    <w:next w:val="Normal"/>
    <w:uiPriority w:val="99"/>
    <w:unhideWhenUsed/>
    <w:rsid w:val="005D0C20"/>
    <w:pPr>
      <w:spacing w:after="60" w:line="276" w:lineRule="auto"/>
      <w:jc w:val="both"/>
    </w:pPr>
    <w:rPr>
      <w:szCs w:val="18"/>
    </w:rPr>
  </w:style>
  <w:style w:type="paragraph" w:customStyle="1" w:styleId="Absatz">
    <w:name w:val="Absatz"/>
    <w:basedOn w:val="Normal"/>
    <w:rsid w:val="005D0C20"/>
    <w:pPr>
      <w:spacing w:before="160" w:line="240" w:lineRule="auto"/>
      <w:jc w:val="both"/>
    </w:pPr>
    <w:rPr>
      <w:rFonts w:eastAsia="Calibri"/>
      <w:kern w:val="28"/>
      <w:sz w:val="22"/>
      <w:szCs w:val="18"/>
      <w:lang w:eastAsia="en-US"/>
    </w:rPr>
  </w:style>
  <w:style w:type="paragraph" w:customStyle="1" w:styleId="Anhang">
    <w:name w:val="Anhang"/>
    <w:basedOn w:val="Heading2"/>
    <w:link w:val="AnhangZchn"/>
    <w:qFormat/>
    <w:rsid w:val="005D0C20"/>
    <w:pPr>
      <w:spacing w:after="100"/>
    </w:pPr>
  </w:style>
  <w:style w:type="character" w:customStyle="1" w:styleId="AnhangZchn">
    <w:name w:val="Anhang Zchn"/>
    <w:link w:val="Anhang"/>
    <w:rsid w:val="005D0C20"/>
    <w:rPr>
      <w:rFonts w:ascii="Arial" w:hAnsi="Arial" w:cs="Times New Roman"/>
      <w:b/>
      <w:color w:val="9E1A3C"/>
      <w:kern w:val="28"/>
      <w:sz w:val="24"/>
      <w:szCs w:val="18"/>
      <w:lang w:eastAsia="de-DE"/>
    </w:rPr>
  </w:style>
  <w:style w:type="paragraph" w:customStyle="1" w:styleId="Anhangverzeichnis">
    <w:name w:val="Anhangverzeichnis"/>
    <w:basedOn w:val="Normal"/>
    <w:link w:val="AnhangverzeichnisZchn"/>
    <w:qFormat/>
    <w:rsid w:val="005D0C20"/>
    <w:pPr>
      <w:spacing w:before="120" w:after="120" w:line="276" w:lineRule="auto"/>
    </w:pPr>
    <w:rPr>
      <w:kern w:val="28"/>
      <w:szCs w:val="22"/>
      <w:lang w:eastAsia="en-US"/>
    </w:rPr>
  </w:style>
  <w:style w:type="character" w:customStyle="1" w:styleId="AnhangverzeichnisZchn">
    <w:name w:val="Anhangverzeichnis Zchn"/>
    <w:basedOn w:val="DefaultParagraphFont"/>
    <w:link w:val="Anhangverzeichnis"/>
    <w:rsid w:val="005D0C20"/>
    <w:rPr>
      <w:rFonts w:ascii="Arial" w:hAnsi="Arial" w:cs="Times New Roman"/>
      <w:kern w:val="28"/>
      <w:sz w:val="18"/>
    </w:rPr>
  </w:style>
  <w:style w:type="paragraph" w:customStyle="1" w:styleId="Anlageberschrift">
    <w:name w:val="Anlage Überschrift"/>
    <w:basedOn w:val="Normal"/>
    <w:rsid w:val="005D0C20"/>
    <w:pPr>
      <w:spacing w:before="120" w:after="120" w:line="240" w:lineRule="auto"/>
      <w:jc w:val="center"/>
    </w:pPr>
    <w:rPr>
      <w:rFonts w:eastAsia="Calibri" w:cs="Arial"/>
      <w:b/>
      <w:bCs/>
      <w:sz w:val="26"/>
      <w:szCs w:val="26"/>
      <w:lang w:eastAsia="en-US"/>
    </w:rPr>
  </w:style>
  <w:style w:type="paragraph" w:styleId="Salutation">
    <w:name w:val="Salutation"/>
    <w:basedOn w:val="Normal"/>
    <w:next w:val="Normal"/>
    <w:link w:val="SalutationChar"/>
    <w:rsid w:val="005D0C20"/>
    <w:pPr>
      <w:spacing w:before="480" w:after="240" w:line="240" w:lineRule="auto"/>
      <w:ind w:right="454"/>
      <w:jc w:val="both"/>
    </w:pPr>
    <w:rPr>
      <w:sz w:val="22"/>
      <w:szCs w:val="18"/>
    </w:rPr>
  </w:style>
  <w:style w:type="character" w:customStyle="1" w:styleId="SalutationChar">
    <w:name w:val="Salutation Char"/>
    <w:link w:val="Salutation"/>
    <w:rsid w:val="005D0C20"/>
    <w:rPr>
      <w:rFonts w:ascii="Arial" w:hAnsi="Arial" w:cs="Times New Roman"/>
      <w:szCs w:val="18"/>
      <w:lang w:eastAsia="de-DE"/>
    </w:rPr>
  </w:style>
  <w:style w:type="paragraph" w:customStyle="1" w:styleId="Anreisser">
    <w:name w:val="Anreisser"/>
    <w:basedOn w:val="Normal"/>
    <w:link w:val="AnreisserZchn"/>
    <w:qFormat/>
    <w:rsid w:val="005D0C20"/>
    <w:pPr>
      <w:spacing w:after="60" w:line="276" w:lineRule="auto"/>
      <w:jc w:val="both"/>
    </w:pPr>
    <w:rPr>
      <w:sz w:val="24"/>
      <w:szCs w:val="18"/>
    </w:rPr>
  </w:style>
  <w:style w:type="character" w:customStyle="1" w:styleId="AnreisserZchn">
    <w:name w:val="Anreisser Zchn"/>
    <w:link w:val="Anreisser"/>
    <w:rsid w:val="005D0C20"/>
    <w:rPr>
      <w:rFonts w:ascii="Arial" w:hAnsi="Arial" w:cs="Times New Roman"/>
      <w:sz w:val="24"/>
      <w:szCs w:val="18"/>
      <w:lang w:eastAsia="de-DE"/>
    </w:rPr>
  </w:style>
  <w:style w:type="paragraph" w:customStyle="1" w:styleId="Anschrift">
    <w:name w:val="Anschrift"/>
    <w:basedOn w:val="Normal"/>
    <w:rsid w:val="005D0C20"/>
    <w:pPr>
      <w:tabs>
        <w:tab w:val="left" w:pos="3260"/>
        <w:tab w:val="left" w:pos="6379"/>
        <w:tab w:val="left" w:pos="7655"/>
      </w:tabs>
      <w:spacing w:line="240" w:lineRule="auto"/>
      <w:jc w:val="both"/>
    </w:pPr>
    <w:rPr>
      <w:sz w:val="21"/>
      <w:szCs w:val="18"/>
    </w:rPr>
  </w:style>
  <w:style w:type="paragraph" w:styleId="ListParagraph">
    <w:name w:val="List Paragraph"/>
    <w:basedOn w:val="Normal"/>
    <w:link w:val="ListParagraphChar"/>
    <w:uiPriority w:val="1"/>
    <w:qFormat/>
    <w:rsid w:val="005D0C20"/>
    <w:pPr>
      <w:spacing w:line="260" w:lineRule="exact"/>
      <w:ind w:left="708"/>
      <w:jc w:val="both"/>
    </w:pPr>
    <w:rPr>
      <w:szCs w:val="18"/>
    </w:rPr>
  </w:style>
  <w:style w:type="character" w:customStyle="1" w:styleId="ListParagraphChar">
    <w:name w:val="List Paragraph Char"/>
    <w:link w:val="ListParagraph"/>
    <w:uiPriority w:val="1"/>
    <w:rsid w:val="005D0C20"/>
    <w:rPr>
      <w:rFonts w:ascii="Arial" w:hAnsi="Arial" w:cs="Times New Roman"/>
      <w:sz w:val="18"/>
      <w:szCs w:val="18"/>
      <w:lang w:eastAsia="de-DE"/>
    </w:rPr>
  </w:style>
  <w:style w:type="paragraph" w:customStyle="1" w:styleId="Aufzaehlung">
    <w:name w:val="Aufzaehlung"/>
    <w:basedOn w:val="ListParagraph"/>
    <w:link w:val="AufzaehlungZchn"/>
    <w:qFormat/>
    <w:rsid w:val="005D0C20"/>
    <w:pPr>
      <w:numPr>
        <w:numId w:val="2"/>
      </w:numPr>
      <w:tabs>
        <w:tab w:val="left" w:pos="1418"/>
      </w:tabs>
      <w:suppressAutoHyphens/>
      <w:spacing w:before="120" w:after="60" w:line="240" w:lineRule="auto"/>
    </w:pPr>
  </w:style>
  <w:style w:type="character" w:customStyle="1" w:styleId="AufzaehlungZchn">
    <w:name w:val="Aufzaehlung Zchn"/>
    <w:link w:val="Aufzaehlung"/>
    <w:rsid w:val="005D0C20"/>
    <w:rPr>
      <w:rFonts w:ascii="Arial" w:hAnsi="Arial" w:cs="Times New Roman"/>
      <w:sz w:val="18"/>
      <w:szCs w:val="18"/>
      <w:lang w:eastAsia="de-DE"/>
    </w:rPr>
  </w:style>
  <w:style w:type="paragraph" w:customStyle="1" w:styleId="Aufzhlung">
    <w:name w:val="Aufzählung"/>
    <w:basedOn w:val="Aufzaehlung"/>
    <w:link w:val="AufzhlungZchn"/>
    <w:qFormat/>
    <w:rsid w:val="005D0C20"/>
    <w:pPr>
      <w:numPr>
        <w:numId w:val="0"/>
      </w:numPr>
    </w:pPr>
    <w:rPr>
      <w:sz w:val="20"/>
    </w:rPr>
  </w:style>
  <w:style w:type="character" w:customStyle="1" w:styleId="AufzhlungZchn">
    <w:name w:val="Aufzählung Zchn"/>
    <w:link w:val="Aufzhlung"/>
    <w:rsid w:val="005D0C20"/>
    <w:rPr>
      <w:rFonts w:ascii="Arial" w:hAnsi="Arial" w:cs="Times New Roman"/>
      <w:sz w:val="20"/>
      <w:szCs w:val="18"/>
      <w:lang w:eastAsia="de-DE"/>
    </w:rPr>
  </w:style>
  <w:style w:type="paragraph" w:customStyle="1" w:styleId="Aufzhlung-Ebene1">
    <w:name w:val="Aufzählung - Ebene 1"/>
    <w:basedOn w:val="ListParagraph"/>
    <w:link w:val="Aufzhlung-Ebene1Zchn"/>
    <w:qFormat/>
    <w:rsid w:val="005D0C20"/>
    <w:pPr>
      <w:numPr>
        <w:numId w:val="3"/>
      </w:numPr>
      <w:spacing w:after="60" w:line="240" w:lineRule="auto"/>
    </w:pPr>
  </w:style>
  <w:style w:type="character" w:customStyle="1" w:styleId="Aufzhlung-Ebene1Zchn">
    <w:name w:val="Aufzählung - Ebene 1 Zchn"/>
    <w:link w:val="Aufzhlung-Ebene1"/>
    <w:rsid w:val="005D0C20"/>
    <w:rPr>
      <w:rFonts w:ascii="Arial" w:hAnsi="Arial" w:cs="Times New Roman"/>
      <w:sz w:val="18"/>
      <w:szCs w:val="18"/>
      <w:lang w:eastAsia="de-DE"/>
    </w:rPr>
  </w:style>
  <w:style w:type="paragraph" w:customStyle="1" w:styleId="Aufzhlung-Ebene2">
    <w:name w:val="Aufzählung - Ebene 2"/>
    <w:basedOn w:val="ListParagraph"/>
    <w:link w:val="Aufzhlung-Ebene2Zchn"/>
    <w:rsid w:val="005D0C20"/>
    <w:pPr>
      <w:numPr>
        <w:ilvl w:val="1"/>
        <w:numId w:val="3"/>
      </w:numPr>
      <w:spacing w:after="60" w:line="240" w:lineRule="auto"/>
    </w:pPr>
  </w:style>
  <w:style w:type="character" w:customStyle="1" w:styleId="Aufzhlung-Ebene2Zchn">
    <w:name w:val="Aufzählung - Ebene 2 Zchn"/>
    <w:link w:val="Aufzhlung-Ebene2"/>
    <w:rsid w:val="005D0C20"/>
    <w:rPr>
      <w:rFonts w:ascii="Arial" w:hAnsi="Arial" w:cs="Times New Roman"/>
      <w:sz w:val="18"/>
      <w:szCs w:val="18"/>
      <w:lang w:eastAsia="de-DE"/>
    </w:rPr>
  </w:style>
  <w:style w:type="paragraph" w:customStyle="1" w:styleId="Aufzhlung-Ebene3">
    <w:name w:val="Aufzählung - Ebene 3"/>
    <w:basedOn w:val="ListParagraph"/>
    <w:link w:val="Aufzhlung-Ebene3Zchn"/>
    <w:rsid w:val="005D0C20"/>
    <w:pPr>
      <w:numPr>
        <w:ilvl w:val="2"/>
        <w:numId w:val="3"/>
      </w:numPr>
      <w:spacing w:after="60" w:line="240" w:lineRule="auto"/>
    </w:pPr>
  </w:style>
  <w:style w:type="character" w:customStyle="1" w:styleId="Aufzhlung-Ebene3Zchn">
    <w:name w:val="Aufzählung - Ebene 3 Zchn"/>
    <w:link w:val="Aufzhlung-Ebene3"/>
    <w:rsid w:val="005D0C20"/>
    <w:rPr>
      <w:rFonts w:ascii="Arial" w:hAnsi="Arial" w:cs="Times New Roman"/>
      <w:sz w:val="18"/>
      <w:szCs w:val="18"/>
      <w:lang w:eastAsia="de-DE"/>
    </w:rPr>
  </w:style>
  <w:style w:type="paragraph" w:customStyle="1" w:styleId="Aufzhlung-Ebene4">
    <w:name w:val="Aufzählung - Ebene 4"/>
    <w:basedOn w:val="ListParagraph"/>
    <w:link w:val="Aufzhlung-Ebene4Zchn"/>
    <w:rsid w:val="005D0C20"/>
    <w:pPr>
      <w:numPr>
        <w:ilvl w:val="3"/>
        <w:numId w:val="3"/>
      </w:numPr>
      <w:spacing w:after="60" w:line="240" w:lineRule="auto"/>
    </w:pPr>
  </w:style>
  <w:style w:type="character" w:customStyle="1" w:styleId="Aufzhlung-Ebene4Zchn">
    <w:name w:val="Aufzählung - Ebene 4 Zchn"/>
    <w:link w:val="Aufzhlung-Ebene4"/>
    <w:rsid w:val="005D0C20"/>
    <w:rPr>
      <w:rFonts w:ascii="Arial" w:hAnsi="Arial" w:cs="Times New Roman"/>
      <w:sz w:val="18"/>
      <w:szCs w:val="18"/>
      <w:lang w:eastAsia="de-DE"/>
    </w:rPr>
  </w:style>
  <w:style w:type="paragraph" w:customStyle="1" w:styleId="Aufzhlung2Ebene">
    <w:name w:val="Aufzählung 2. Ebene"/>
    <w:basedOn w:val="Aufzhlung"/>
    <w:link w:val="Aufzhlung2EbeneZchn"/>
    <w:qFormat/>
    <w:rsid w:val="005D0C20"/>
    <w:pPr>
      <w:numPr>
        <w:ilvl w:val="1"/>
        <w:numId w:val="4"/>
      </w:numPr>
      <w:tabs>
        <w:tab w:val="clear" w:pos="1418"/>
      </w:tabs>
      <w:suppressAutoHyphens w:val="0"/>
      <w:spacing w:before="60" w:line="276" w:lineRule="auto"/>
      <w:contextualSpacing/>
    </w:pPr>
  </w:style>
  <w:style w:type="character" w:customStyle="1" w:styleId="Aufzhlung2EbeneZchn">
    <w:name w:val="Aufzählung 2. Ebene Zchn"/>
    <w:link w:val="Aufzhlung2Ebene"/>
    <w:rsid w:val="005D0C20"/>
    <w:rPr>
      <w:rFonts w:ascii="Arial" w:hAnsi="Arial" w:cs="Times New Roman"/>
      <w:sz w:val="20"/>
      <w:szCs w:val="18"/>
      <w:lang w:eastAsia="de-DE"/>
    </w:rPr>
  </w:style>
  <w:style w:type="paragraph" w:customStyle="1" w:styleId="AufzhlungTabelle">
    <w:name w:val="Aufzählung Tabelle"/>
    <w:basedOn w:val="Aufzhlung"/>
    <w:link w:val="AufzhlungTabelleZchn"/>
    <w:qFormat/>
    <w:rsid w:val="005D0C20"/>
    <w:pPr>
      <w:numPr>
        <w:numId w:val="5"/>
      </w:numPr>
      <w:tabs>
        <w:tab w:val="clear" w:pos="1418"/>
      </w:tabs>
      <w:suppressAutoHyphens w:val="0"/>
      <w:spacing w:before="0" w:after="120"/>
      <w:ind w:right="113"/>
      <w:contextualSpacing/>
      <w:jc w:val="left"/>
    </w:pPr>
    <w:rPr>
      <w:sz w:val="18"/>
    </w:rPr>
  </w:style>
  <w:style w:type="character" w:customStyle="1" w:styleId="AufzhlungTabelleZchn">
    <w:name w:val="Aufzählung Tabelle Zchn"/>
    <w:link w:val="AufzhlungTabelle"/>
    <w:rsid w:val="005D0C20"/>
    <w:rPr>
      <w:rFonts w:ascii="Arial" w:hAnsi="Arial" w:cs="Times New Roman"/>
      <w:sz w:val="18"/>
      <w:szCs w:val="18"/>
      <w:lang w:eastAsia="de-DE"/>
    </w:rPr>
  </w:style>
  <w:style w:type="paragraph" w:customStyle="1" w:styleId="Aufzhlung2">
    <w:name w:val="Aufzählung2"/>
    <w:basedOn w:val="Aufzhlung"/>
    <w:link w:val="Aufzhlung2Zchn"/>
    <w:qFormat/>
    <w:rsid w:val="005D0C20"/>
    <w:pPr>
      <w:numPr>
        <w:numId w:val="6"/>
      </w:numPr>
    </w:pPr>
  </w:style>
  <w:style w:type="character" w:customStyle="1" w:styleId="Aufzhlung2Zchn">
    <w:name w:val="Aufzählung2 Zchn"/>
    <w:link w:val="Aufzhlung2"/>
    <w:rsid w:val="005D0C20"/>
    <w:rPr>
      <w:rFonts w:ascii="Arial" w:hAnsi="Arial" w:cs="Times New Roman"/>
      <w:sz w:val="20"/>
      <w:szCs w:val="18"/>
      <w:lang w:eastAsia="de-DE"/>
    </w:rPr>
  </w:style>
  <w:style w:type="paragraph" w:styleId="ListBullet">
    <w:name w:val="List Bullet"/>
    <w:basedOn w:val="Normal"/>
    <w:rsid w:val="005D0C20"/>
    <w:pPr>
      <w:numPr>
        <w:numId w:val="7"/>
      </w:numPr>
      <w:spacing w:after="60"/>
      <w:jc w:val="both"/>
    </w:pPr>
    <w:rPr>
      <w:rFonts w:cs="Arial"/>
      <w:szCs w:val="18"/>
    </w:rPr>
  </w:style>
  <w:style w:type="paragraph" w:styleId="ListBullet2">
    <w:name w:val="List Bullet 2"/>
    <w:basedOn w:val="Normal"/>
    <w:autoRedefine/>
    <w:rsid w:val="005D0C20"/>
    <w:pPr>
      <w:numPr>
        <w:numId w:val="8"/>
      </w:numPr>
      <w:spacing w:line="240" w:lineRule="auto"/>
      <w:jc w:val="both"/>
    </w:pPr>
    <w:rPr>
      <w:sz w:val="24"/>
      <w:szCs w:val="24"/>
    </w:rPr>
  </w:style>
  <w:style w:type="paragraph" w:styleId="ListBullet3">
    <w:name w:val="List Bullet 3"/>
    <w:basedOn w:val="Normal"/>
    <w:autoRedefine/>
    <w:rsid w:val="005D0C20"/>
    <w:pPr>
      <w:numPr>
        <w:numId w:val="9"/>
      </w:numPr>
      <w:spacing w:line="240" w:lineRule="auto"/>
      <w:jc w:val="both"/>
    </w:pPr>
    <w:rPr>
      <w:sz w:val="24"/>
      <w:szCs w:val="24"/>
    </w:rPr>
  </w:style>
  <w:style w:type="paragraph" w:styleId="ListBullet4">
    <w:name w:val="List Bullet 4"/>
    <w:basedOn w:val="Normal"/>
    <w:autoRedefine/>
    <w:rsid w:val="005D0C20"/>
    <w:pPr>
      <w:numPr>
        <w:numId w:val="10"/>
      </w:numPr>
      <w:spacing w:line="240" w:lineRule="auto"/>
      <w:jc w:val="both"/>
    </w:pPr>
    <w:rPr>
      <w:sz w:val="24"/>
      <w:szCs w:val="24"/>
    </w:rPr>
  </w:style>
  <w:style w:type="paragraph" w:styleId="ListBullet5">
    <w:name w:val="List Bullet 5"/>
    <w:basedOn w:val="Normal"/>
    <w:autoRedefine/>
    <w:rsid w:val="005D0C20"/>
    <w:pPr>
      <w:numPr>
        <w:numId w:val="11"/>
      </w:numPr>
      <w:spacing w:line="240" w:lineRule="auto"/>
      <w:jc w:val="both"/>
    </w:pPr>
    <w:rPr>
      <w:sz w:val="24"/>
      <w:szCs w:val="24"/>
    </w:rPr>
  </w:style>
  <w:style w:type="paragraph" w:styleId="Caption">
    <w:name w:val="caption"/>
    <w:basedOn w:val="Normal"/>
    <w:next w:val="Normal"/>
    <w:link w:val="CaptionChar"/>
    <w:uiPriority w:val="35"/>
    <w:qFormat/>
    <w:rsid w:val="005D0C20"/>
    <w:pPr>
      <w:spacing w:line="240" w:lineRule="auto"/>
      <w:jc w:val="both"/>
    </w:pPr>
    <w:rPr>
      <w:b/>
      <w:bCs/>
      <w:szCs w:val="18"/>
    </w:rPr>
  </w:style>
  <w:style w:type="character" w:customStyle="1" w:styleId="CaptionChar">
    <w:name w:val="Caption Char"/>
    <w:link w:val="Caption"/>
    <w:uiPriority w:val="35"/>
    <w:rsid w:val="005D0C20"/>
    <w:rPr>
      <w:rFonts w:ascii="Arial" w:hAnsi="Arial" w:cs="Times New Roman"/>
      <w:b/>
      <w:bCs/>
      <w:sz w:val="18"/>
      <w:szCs w:val="18"/>
      <w:lang w:eastAsia="de-DE"/>
    </w:rPr>
  </w:style>
  <w:style w:type="paragraph" w:customStyle="1" w:styleId="BeschriftungAbschnitt">
    <w:name w:val="Beschriftung Abschnitt"/>
    <w:basedOn w:val="Normal"/>
    <w:link w:val="BeschriftungAbschnittZchn"/>
    <w:qFormat/>
    <w:rsid w:val="005D0C20"/>
    <w:pPr>
      <w:spacing w:before="100" w:line="240" w:lineRule="auto"/>
      <w:ind w:left="113" w:right="113"/>
      <w:jc w:val="right"/>
    </w:pPr>
    <w:rPr>
      <w:b/>
      <w:sz w:val="24"/>
      <w:szCs w:val="18"/>
      <w:lang w:eastAsia="en-US"/>
    </w:rPr>
  </w:style>
  <w:style w:type="character" w:customStyle="1" w:styleId="BeschriftungAbschnittZchn">
    <w:name w:val="Beschriftung Abschnitt Zchn"/>
    <w:link w:val="BeschriftungAbschnitt"/>
    <w:rsid w:val="005D0C20"/>
    <w:rPr>
      <w:rFonts w:ascii="Arial" w:hAnsi="Arial" w:cs="Times New Roman"/>
      <w:b/>
      <w:sz w:val="24"/>
      <w:szCs w:val="18"/>
    </w:rPr>
  </w:style>
  <w:style w:type="character" w:styleId="FollowedHyperlink">
    <w:name w:val="FollowedHyperlink"/>
    <w:rsid w:val="005D0C20"/>
    <w:rPr>
      <w:color w:val="800080"/>
      <w:u w:val="single"/>
    </w:rPr>
  </w:style>
  <w:style w:type="paragraph" w:styleId="BlockText">
    <w:name w:val="Block Text"/>
    <w:basedOn w:val="Normal"/>
    <w:rsid w:val="005D0C20"/>
    <w:pPr>
      <w:spacing w:after="120" w:line="240" w:lineRule="auto"/>
      <w:ind w:left="1440" w:right="1440"/>
      <w:jc w:val="both"/>
    </w:pPr>
    <w:rPr>
      <w:sz w:val="24"/>
      <w:szCs w:val="24"/>
    </w:rPr>
  </w:style>
  <w:style w:type="paragraph" w:customStyle="1" w:styleId="BodyText31">
    <w:name w:val="Body Text 31"/>
    <w:basedOn w:val="Normal"/>
    <w:rsid w:val="005D0C20"/>
    <w:pPr>
      <w:spacing w:line="276" w:lineRule="auto"/>
      <w:jc w:val="both"/>
    </w:pPr>
    <w:rPr>
      <w:noProof/>
      <w:sz w:val="22"/>
      <w:szCs w:val="18"/>
    </w:rPr>
  </w:style>
  <w:style w:type="paragraph" w:customStyle="1" w:styleId="Brief-Anstaltdes">
    <w:name w:val="Brief-Anstalt des ..."/>
    <w:basedOn w:val="Normal"/>
    <w:rsid w:val="005D0C20"/>
    <w:pPr>
      <w:tabs>
        <w:tab w:val="right" w:pos="9498"/>
      </w:tabs>
      <w:spacing w:line="240" w:lineRule="auto"/>
      <w:jc w:val="both"/>
    </w:pPr>
    <w:rPr>
      <w:b/>
      <w:sz w:val="23"/>
      <w:szCs w:val="18"/>
    </w:rPr>
  </w:style>
  <w:style w:type="paragraph" w:customStyle="1" w:styleId="Brief-BERLIN">
    <w:name w:val="Brief-BERLIN"/>
    <w:basedOn w:val="Normal"/>
    <w:rsid w:val="005D0C20"/>
    <w:pPr>
      <w:tabs>
        <w:tab w:val="right" w:pos="9498"/>
      </w:tabs>
      <w:spacing w:line="240" w:lineRule="auto"/>
      <w:ind w:left="-70" w:firstLine="992"/>
      <w:jc w:val="both"/>
    </w:pPr>
    <w:rPr>
      <w:b/>
      <w:sz w:val="54"/>
      <w:szCs w:val="18"/>
    </w:rPr>
  </w:style>
  <w:style w:type="paragraph" w:customStyle="1" w:styleId="Brief-Fuzeile">
    <w:name w:val="Brief-Fußzeile"/>
    <w:basedOn w:val="Normal"/>
    <w:rsid w:val="005D0C20"/>
    <w:pPr>
      <w:tabs>
        <w:tab w:val="left" w:pos="2693"/>
        <w:tab w:val="left" w:pos="4536"/>
        <w:tab w:val="left" w:pos="6095"/>
        <w:tab w:val="left" w:pos="7655"/>
        <w:tab w:val="left" w:pos="8363"/>
      </w:tabs>
      <w:spacing w:line="240" w:lineRule="auto"/>
      <w:jc w:val="both"/>
    </w:pPr>
    <w:rPr>
      <w:sz w:val="12"/>
      <w:szCs w:val="18"/>
    </w:rPr>
  </w:style>
  <w:style w:type="paragraph" w:customStyle="1" w:styleId="Brief-Text">
    <w:name w:val="Brief-Text"/>
    <w:basedOn w:val="Normal"/>
    <w:rsid w:val="005D0C20"/>
    <w:pPr>
      <w:spacing w:line="240" w:lineRule="auto"/>
      <w:jc w:val="both"/>
    </w:pPr>
    <w:rPr>
      <w:sz w:val="24"/>
      <w:szCs w:val="18"/>
    </w:rPr>
  </w:style>
  <w:style w:type="paragraph" w:customStyle="1" w:styleId="Brief-Wegengleitender">
    <w:name w:val="Brief-Wegen gleitender ..."/>
    <w:basedOn w:val="Normal"/>
    <w:rsid w:val="005D0C20"/>
    <w:pPr>
      <w:tabs>
        <w:tab w:val="left" w:pos="572"/>
        <w:tab w:val="left" w:pos="3260"/>
        <w:tab w:val="left" w:pos="6379"/>
        <w:tab w:val="left" w:pos="7655"/>
      </w:tabs>
      <w:spacing w:line="240" w:lineRule="auto"/>
      <w:jc w:val="both"/>
    </w:pPr>
    <w:rPr>
      <w:sz w:val="14"/>
      <w:szCs w:val="18"/>
      <w:lang w:eastAsia="en-US"/>
    </w:rPr>
  </w:style>
  <w:style w:type="paragraph" w:customStyle="1" w:styleId="BRLAufzhlung9PtVor5PtNach4Pt">
    <w:name w:val="BRL Aufzählung + 9 Pt. Vor:  5 Pt. Nach:  4 Pt."/>
    <w:basedOn w:val="Aufzhlung"/>
    <w:rsid w:val="005D0C20"/>
    <w:pPr>
      <w:spacing w:before="100" w:after="80"/>
    </w:pPr>
    <w:rPr>
      <w:sz w:val="18"/>
    </w:rPr>
  </w:style>
  <w:style w:type="paragraph" w:customStyle="1" w:styleId="BRLAufzhlungBuchstabe">
    <w:name w:val="BRL Aufzählung Buchstabe"/>
    <w:basedOn w:val="BRLAufzhlungAnstrich"/>
    <w:qFormat/>
    <w:rsid w:val="005D0C20"/>
    <w:pPr>
      <w:numPr>
        <w:numId w:val="13"/>
      </w:numPr>
    </w:pPr>
  </w:style>
  <w:style w:type="paragraph" w:customStyle="1" w:styleId="BRLAufzhlungPunkt">
    <w:name w:val="BRL Aufzählung Punkt"/>
    <w:basedOn w:val="BRLAufzhlungAnstrich"/>
    <w:qFormat/>
    <w:rsid w:val="005D0C20"/>
    <w:pPr>
      <w:numPr>
        <w:numId w:val="14"/>
      </w:numPr>
    </w:pPr>
  </w:style>
  <w:style w:type="paragraph" w:customStyle="1" w:styleId="BRL-berschrift">
    <w:name w:val="BRL-Überschrift"/>
    <w:basedOn w:val="BRL-Standard"/>
    <w:next w:val="BRL-Standard"/>
    <w:autoRedefine/>
    <w:qFormat/>
    <w:rsid w:val="00600F53"/>
    <w:pPr>
      <w:keepNext/>
      <w:keepLines/>
      <w:widowControl w:val="0"/>
      <w:spacing w:after="240" w:line="240" w:lineRule="auto"/>
      <w:jc w:val="left"/>
    </w:pPr>
    <w:rPr>
      <w:b/>
      <w:bCs/>
      <w:szCs w:val="16"/>
    </w:rPr>
  </w:style>
  <w:style w:type="paragraph" w:customStyle="1" w:styleId="BRLberschriftHauptkapitel">
    <w:name w:val="BRL Überschrift Hauptkapitel"/>
    <w:basedOn w:val="BRL-berschrift"/>
    <w:qFormat/>
    <w:rsid w:val="005D0C20"/>
    <w:pPr>
      <w:tabs>
        <w:tab w:val="left" w:pos="851"/>
      </w:tabs>
    </w:pPr>
    <w:rPr>
      <w:sz w:val="22"/>
    </w:rPr>
  </w:style>
  <w:style w:type="paragraph" w:customStyle="1" w:styleId="BRLberschriftNumm">
    <w:name w:val="BRL Überschrift Numm"/>
    <w:basedOn w:val="Heading1"/>
    <w:qFormat/>
    <w:rsid w:val="005D0C20"/>
    <w:pPr>
      <w:numPr>
        <w:numId w:val="15"/>
      </w:numPr>
    </w:pPr>
    <w:rPr>
      <w:b w:val="0"/>
    </w:rPr>
  </w:style>
  <w:style w:type="paragraph" w:customStyle="1" w:styleId="BRL-StandardAufzhlungStrich">
    <w:name w:val="BRL-Standard + Aufzählung Strich"/>
    <w:basedOn w:val="BRL-Standard"/>
    <w:link w:val="BRL-StandardAufzhlungStrichZchn"/>
    <w:qFormat/>
    <w:rsid w:val="005D0C20"/>
    <w:pPr>
      <w:numPr>
        <w:numId w:val="16"/>
      </w:numPr>
      <w:tabs>
        <w:tab w:val="left" w:pos="357"/>
      </w:tabs>
    </w:pPr>
  </w:style>
  <w:style w:type="character" w:customStyle="1" w:styleId="BRL-StandardAufzhlungStrichZchn">
    <w:name w:val="BRL-Standard + Aufzählung Strich Zchn"/>
    <w:basedOn w:val="BRL-StandardZchn"/>
    <w:link w:val="BRL-StandardAufzhlungStrich"/>
    <w:rsid w:val="005D0C20"/>
    <w:rPr>
      <w:rFonts w:ascii="Arial" w:hAnsi="Arial" w:cs="Times New Roman"/>
      <w:sz w:val="18"/>
      <w:szCs w:val="18"/>
      <w:lang w:eastAsia="de-DE"/>
    </w:rPr>
  </w:style>
  <w:style w:type="paragraph" w:customStyle="1" w:styleId="BRL-StandardAufzhlungNr">
    <w:name w:val="BRL-Standard + Aufzählung Nr."/>
    <w:basedOn w:val="BRL-StandardAufzhlungStrich"/>
    <w:link w:val="BRL-StandardAufzhlungNrZchn"/>
    <w:qFormat/>
    <w:rsid w:val="005D0C20"/>
    <w:pPr>
      <w:numPr>
        <w:numId w:val="17"/>
      </w:numPr>
      <w:contextualSpacing/>
    </w:pPr>
    <w:rPr>
      <w:rFonts w:eastAsia="Calibri" w:cs="Arial"/>
      <w:bCs/>
      <w:kern w:val="28"/>
    </w:rPr>
  </w:style>
  <w:style w:type="character" w:customStyle="1" w:styleId="BRL-StandardAufzhlungNrZchn">
    <w:name w:val="BRL-Standard + Aufzählung Nr. Zchn"/>
    <w:basedOn w:val="BRL-StandardAufzhlungStrichZchn"/>
    <w:link w:val="BRL-StandardAufzhlungNr"/>
    <w:rsid w:val="005D0C20"/>
    <w:rPr>
      <w:rFonts w:ascii="Arial" w:eastAsia="Calibri" w:hAnsi="Arial" w:cs="Arial"/>
      <w:bCs/>
      <w:kern w:val="28"/>
      <w:sz w:val="18"/>
      <w:szCs w:val="18"/>
      <w:lang w:eastAsia="de-DE"/>
    </w:rPr>
  </w:style>
  <w:style w:type="paragraph" w:customStyle="1" w:styleId="BRLKopie">
    <w:name w:val="BRL_Kopie"/>
    <w:basedOn w:val="BRL-StandardAufzhlungNr"/>
    <w:link w:val="BRLKopieZchn"/>
    <w:rsid w:val="005D0C20"/>
    <w:pPr>
      <w:tabs>
        <w:tab w:val="clear" w:pos="357"/>
      </w:tabs>
      <w:ind w:left="357" w:hanging="357"/>
    </w:pPr>
  </w:style>
  <w:style w:type="character" w:customStyle="1" w:styleId="BRLKopieZchn">
    <w:name w:val="BRL_Kopie Zchn"/>
    <w:basedOn w:val="BRL-StandardAufzhlungNrZchn"/>
    <w:link w:val="BRLKopie"/>
    <w:rsid w:val="005D0C20"/>
    <w:rPr>
      <w:rFonts w:ascii="Arial" w:eastAsia="Calibri" w:hAnsi="Arial" w:cs="Arial"/>
      <w:bCs/>
      <w:kern w:val="28"/>
      <w:sz w:val="18"/>
      <w:szCs w:val="18"/>
      <w:lang w:eastAsia="de-DE"/>
    </w:rPr>
  </w:style>
  <w:style w:type="paragraph" w:customStyle="1" w:styleId="BRL-AnlageAufzhlungAnstrich">
    <w:name w:val="BRL-Anlage Aufzählung Anstrich"/>
    <w:basedOn w:val="BRLAufzhlungAnstrich"/>
    <w:qFormat/>
    <w:rsid w:val="005D0C20"/>
    <w:pPr>
      <w:numPr>
        <w:numId w:val="0"/>
      </w:numPr>
    </w:pPr>
  </w:style>
  <w:style w:type="paragraph" w:customStyle="1" w:styleId="BRL-Nummerierung">
    <w:name w:val="BRL-Nummerierung"/>
    <w:basedOn w:val="BRL-Standard"/>
    <w:rsid w:val="005D0C20"/>
    <w:pPr>
      <w:tabs>
        <w:tab w:val="left" w:pos="567"/>
      </w:tabs>
      <w:ind w:left="567" w:hanging="567"/>
    </w:pPr>
    <w:rPr>
      <w:bCs/>
    </w:rPr>
  </w:style>
  <w:style w:type="paragraph" w:customStyle="1" w:styleId="BRL-Anlage-AufzhlungKasten">
    <w:name w:val="BRL-Anlage-Aufzählung Kasten"/>
    <w:basedOn w:val="Normal"/>
    <w:qFormat/>
    <w:rsid w:val="005D0C20"/>
    <w:pPr>
      <w:numPr>
        <w:numId w:val="18"/>
      </w:numPr>
      <w:tabs>
        <w:tab w:val="left" w:pos="357"/>
      </w:tabs>
      <w:spacing w:line="276" w:lineRule="auto"/>
      <w:contextualSpacing/>
      <w:jc w:val="both"/>
    </w:pPr>
    <w:rPr>
      <w:szCs w:val="18"/>
    </w:rPr>
  </w:style>
  <w:style w:type="paragraph" w:customStyle="1" w:styleId="BRL-AnlagenStandard">
    <w:name w:val="BRL-Anlagen Standard"/>
    <w:basedOn w:val="Normal"/>
    <w:link w:val="BRL-AnlagenStandardZchn"/>
    <w:rsid w:val="005D0C20"/>
    <w:pPr>
      <w:tabs>
        <w:tab w:val="left" w:pos="425"/>
      </w:tabs>
      <w:spacing w:line="276" w:lineRule="auto"/>
      <w:jc w:val="both"/>
    </w:pPr>
    <w:rPr>
      <w:szCs w:val="18"/>
      <w:lang w:eastAsia="en-US"/>
    </w:rPr>
  </w:style>
  <w:style w:type="character" w:customStyle="1" w:styleId="BRL-AnlagenStandardZchn">
    <w:name w:val="BRL-Anlagen Standard Zchn"/>
    <w:link w:val="BRL-AnlagenStandard"/>
    <w:rsid w:val="005D0C20"/>
    <w:rPr>
      <w:rFonts w:ascii="Arial" w:hAnsi="Arial" w:cs="Times New Roman"/>
      <w:sz w:val="18"/>
      <w:szCs w:val="18"/>
    </w:rPr>
  </w:style>
  <w:style w:type="paragraph" w:customStyle="1" w:styleId="BRL-AnlagenStandardEinrck">
    <w:name w:val="BRL-Anlagen Standard Einrück"/>
    <w:basedOn w:val="Normal"/>
    <w:link w:val="BRL-AnlagenStandardEinrckZchn"/>
    <w:rsid w:val="005D0C20"/>
    <w:pPr>
      <w:tabs>
        <w:tab w:val="left" w:pos="2268"/>
      </w:tabs>
      <w:spacing w:line="276" w:lineRule="auto"/>
      <w:ind w:left="2268" w:hanging="2268"/>
      <w:jc w:val="both"/>
    </w:pPr>
    <w:rPr>
      <w:szCs w:val="18"/>
      <w:lang w:eastAsia="en-US"/>
    </w:rPr>
  </w:style>
  <w:style w:type="character" w:customStyle="1" w:styleId="BRL-AnlagenStandardEinrckZchn">
    <w:name w:val="BRL-Anlagen Standard Einrück Zchn"/>
    <w:link w:val="BRL-AnlagenStandardEinrck"/>
    <w:rsid w:val="005D0C20"/>
    <w:rPr>
      <w:rFonts w:ascii="Arial" w:hAnsi="Arial" w:cs="Times New Roman"/>
      <w:sz w:val="18"/>
      <w:szCs w:val="18"/>
    </w:rPr>
  </w:style>
  <w:style w:type="paragraph" w:customStyle="1" w:styleId="BRL-Tabelle">
    <w:name w:val="BRL-Tabelle"/>
    <w:basedOn w:val="BRL-Standard"/>
    <w:link w:val="BRL-TabelleZchn"/>
    <w:qFormat/>
    <w:rsid w:val="005D0C20"/>
    <w:pPr>
      <w:spacing w:line="240" w:lineRule="auto"/>
      <w:jc w:val="left"/>
    </w:pPr>
  </w:style>
  <w:style w:type="character" w:customStyle="1" w:styleId="BRL-TabelleZchn">
    <w:name w:val="BRL-Tabelle Zchn"/>
    <w:basedOn w:val="BRL-StandardZchn"/>
    <w:link w:val="BRL-Tabelle"/>
    <w:rsid w:val="005D0C20"/>
    <w:rPr>
      <w:rFonts w:ascii="Arial" w:hAnsi="Arial" w:cs="Times New Roman"/>
      <w:sz w:val="18"/>
      <w:szCs w:val="18"/>
      <w:lang w:eastAsia="de-DE"/>
    </w:rPr>
  </w:style>
  <w:style w:type="paragraph" w:customStyle="1" w:styleId="BRL-Anlage-Tabelle-Text">
    <w:name w:val="BRL-Anlage-Tabelle-Text"/>
    <w:basedOn w:val="BRL-Tabelle"/>
    <w:qFormat/>
    <w:rsid w:val="005D0C20"/>
    <w:pPr>
      <w:spacing w:before="40"/>
    </w:pPr>
    <w:rPr>
      <w:szCs w:val="22"/>
    </w:rPr>
  </w:style>
  <w:style w:type="paragraph" w:customStyle="1" w:styleId="BRL-Standard-Literatur">
    <w:name w:val="BRL-Standard-Literatur"/>
    <w:basedOn w:val="BRL-Standard"/>
    <w:qFormat/>
    <w:rsid w:val="005D0C20"/>
    <w:pPr>
      <w:tabs>
        <w:tab w:val="left" w:pos="426"/>
        <w:tab w:val="left" w:pos="2835"/>
      </w:tabs>
      <w:spacing w:line="240" w:lineRule="auto"/>
      <w:ind w:left="2835" w:hanging="2835"/>
    </w:pPr>
  </w:style>
  <w:style w:type="paragraph" w:customStyle="1" w:styleId="FormatvorlageBRL-TabelleFett">
    <w:name w:val="Formatvorlage BRL-Tabelle + Fett"/>
    <w:aliases w:val="mittig + 9 Pt. Fett Schwarz Zentriert ..."/>
    <w:basedOn w:val="BRL-Tabelle"/>
    <w:rsid w:val="005D0C20"/>
    <w:pPr>
      <w:spacing w:before="100"/>
      <w:ind w:left="113"/>
      <w:jc w:val="center"/>
    </w:pPr>
    <w:rPr>
      <w:b/>
      <w:bCs/>
      <w:color w:val="000000"/>
      <w:szCs w:val="22"/>
    </w:rPr>
  </w:style>
  <w:style w:type="paragraph" w:customStyle="1" w:styleId="BRL-TabelleFett">
    <w:name w:val="BRL-Tabelle + Fett"/>
    <w:aliases w:val="mittig"/>
    <w:basedOn w:val="FormatvorlageBRL-TabelleFett"/>
    <w:rsid w:val="005D0C20"/>
    <w:pPr>
      <w:ind w:right="113"/>
    </w:pPr>
  </w:style>
  <w:style w:type="paragraph" w:customStyle="1" w:styleId="BRL-TabelleAnhang">
    <w:name w:val="BRL-Tabelle Anhang"/>
    <w:basedOn w:val="BRL-Tabelle"/>
    <w:link w:val="BRL-TabelleAnhangZchn"/>
    <w:qFormat/>
    <w:rsid w:val="005D0C20"/>
    <w:pPr>
      <w:spacing w:before="40" w:after="60"/>
      <w:ind w:left="113" w:right="113"/>
    </w:pPr>
  </w:style>
  <w:style w:type="character" w:customStyle="1" w:styleId="BRL-TabelleAnhangZchn">
    <w:name w:val="BRL-Tabelle Anhang Zchn"/>
    <w:basedOn w:val="BRL-TabelleZchn"/>
    <w:link w:val="BRL-TabelleAnhang"/>
    <w:rsid w:val="005D0C20"/>
    <w:rPr>
      <w:rFonts w:ascii="Arial" w:hAnsi="Arial" w:cs="Times New Roman"/>
      <w:sz w:val="18"/>
      <w:szCs w:val="18"/>
      <w:lang w:eastAsia="de-DE"/>
    </w:rPr>
  </w:style>
  <w:style w:type="paragraph" w:customStyle="1" w:styleId="BRL-TabelleAnlageberschriftFett">
    <w:name w:val="BRL-Tabelle Anlage Überschrift Fett"/>
    <w:basedOn w:val="BRL-Tabelle"/>
    <w:qFormat/>
    <w:rsid w:val="005D0C20"/>
    <w:pPr>
      <w:spacing w:before="40" w:after="60"/>
      <w:ind w:left="113" w:right="113"/>
    </w:pPr>
    <w:rPr>
      <w:b/>
      <w:szCs w:val="22"/>
    </w:rPr>
  </w:style>
  <w:style w:type="paragraph" w:customStyle="1" w:styleId="BRL-TabelleAufzhlung9PtLinksRechts02cmVor0PtNach">
    <w:name w:val="BRL-Tabelle Aufzählung + 9 Pt. Links Rechts:  02 cm Vor:  0 Pt. Nach..."/>
    <w:basedOn w:val="Aufzhlung"/>
    <w:autoRedefine/>
    <w:rsid w:val="005D0C20"/>
    <w:pPr>
      <w:numPr>
        <w:numId w:val="19"/>
      </w:numPr>
      <w:tabs>
        <w:tab w:val="clear" w:pos="1418"/>
        <w:tab w:val="left" w:pos="712"/>
      </w:tabs>
      <w:spacing w:before="0" w:after="0"/>
      <w:ind w:right="113"/>
      <w:jc w:val="left"/>
    </w:pPr>
    <w:rPr>
      <w:sz w:val="18"/>
    </w:rPr>
  </w:style>
  <w:style w:type="paragraph" w:customStyle="1" w:styleId="BRLTabelleberschrift">
    <w:name w:val="BRLTabelle Überschrift"/>
    <w:basedOn w:val="BRL-Tabelle"/>
    <w:link w:val="BRLTabelleberschriftZchn"/>
    <w:qFormat/>
    <w:rsid w:val="005D0C20"/>
    <w:pPr>
      <w:keepNext/>
      <w:tabs>
        <w:tab w:val="left" w:pos="851"/>
      </w:tabs>
      <w:spacing w:before="40"/>
      <w:ind w:left="1418" w:hanging="1418"/>
    </w:pPr>
    <w:rPr>
      <w:b/>
    </w:rPr>
  </w:style>
  <w:style w:type="character" w:customStyle="1" w:styleId="BRLTabelleberschriftZchn">
    <w:name w:val="BRLTabelle Überschrift Zchn"/>
    <w:basedOn w:val="BRL-TabelleZchn"/>
    <w:link w:val="BRLTabelleberschrift"/>
    <w:rsid w:val="005D0C20"/>
    <w:rPr>
      <w:rFonts w:ascii="Arial" w:hAnsi="Arial" w:cs="Times New Roman"/>
      <w:b/>
      <w:sz w:val="18"/>
      <w:szCs w:val="18"/>
      <w:lang w:eastAsia="de-DE"/>
    </w:rPr>
  </w:style>
  <w:style w:type="paragraph" w:customStyle="1" w:styleId="BRL-Tabelleberschrift">
    <w:name w:val="BRL-Tabelle Überschrift"/>
    <w:basedOn w:val="BRL-berschrift"/>
    <w:qFormat/>
    <w:rsid w:val="005D0C20"/>
    <w:pPr>
      <w:spacing w:before="40"/>
    </w:pPr>
    <w:rPr>
      <w:szCs w:val="20"/>
    </w:rPr>
  </w:style>
  <w:style w:type="paragraph" w:customStyle="1" w:styleId="BRL-Tabelleberschrift1Zeile">
    <w:name w:val="BRL-Tabelle Überschrift 1. Zeile"/>
    <w:basedOn w:val="BRL-berschrift"/>
    <w:qFormat/>
    <w:rsid w:val="005D0C20"/>
    <w:pPr>
      <w:spacing w:before="40"/>
      <w:jc w:val="center"/>
    </w:pPr>
    <w:rPr>
      <w:bCs w:val="0"/>
    </w:rPr>
  </w:style>
  <w:style w:type="paragraph" w:customStyle="1" w:styleId="BRL-TabelleberschriftAnhang">
    <w:name w:val="BRL-Tabelle Überschrift Anhang"/>
    <w:basedOn w:val="BRLTabelleberschrift"/>
    <w:link w:val="BRL-TabelleberschriftAnhangZchn"/>
    <w:qFormat/>
    <w:rsid w:val="005D0C20"/>
    <w:pPr>
      <w:spacing w:after="60"/>
      <w:ind w:left="113" w:right="113" w:firstLine="0"/>
    </w:pPr>
  </w:style>
  <w:style w:type="character" w:customStyle="1" w:styleId="BRL-TabelleberschriftAnhangZchn">
    <w:name w:val="BRL-Tabelle Überschrift Anhang Zchn"/>
    <w:basedOn w:val="BRLTabelleberschriftZchn"/>
    <w:link w:val="BRL-TabelleberschriftAnhang"/>
    <w:rsid w:val="005D0C20"/>
    <w:rPr>
      <w:rFonts w:ascii="Arial" w:hAnsi="Arial" w:cs="Times New Roman"/>
      <w:b/>
      <w:sz w:val="18"/>
      <w:szCs w:val="18"/>
      <w:lang w:eastAsia="de-DE"/>
    </w:rPr>
  </w:style>
  <w:style w:type="paragraph" w:customStyle="1" w:styleId="BRL-Tabelle-A">
    <w:name w:val="BRL-Tabelle-A"/>
    <w:basedOn w:val="BRL-Tabelle"/>
    <w:rsid w:val="005D0C20"/>
    <w:pPr>
      <w:ind w:left="340" w:hanging="340"/>
    </w:pPr>
    <w:rPr>
      <w:szCs w:val="20"/>
    </w:rPr>
  </w:style>
  <w:style w:type="paragraph" w:customStyle="1" w:styleId="Tabellentext">
    <w:name w:val="Tabellentext"/>
    <w:basedOn w:val="Normal"/>
    <w:link w:val="TabellentextZchn"/>
    <w:qFormat/>
    <w:rsid w:val="005D0C20"/>
    <w:pPr>
      <w:spacing w:line="240" w:lineRule="auto"/>
      <w:ind w:right="113"/>
      <w:jc w:val="both"/>
    </w:pPr>
    <w:rPr>
      <w:szCs w:val="18"/>
    </w:rPr>
  </w:style>
  <w:style w:type="character" w:customStyle="1" w:styleId="TabellentextZchn">
    <w:name w:val="Tabellentext Zchn"/>
    <w:link w:val="Tabellentext"/>
    <w:rsid w:val="005D0C20"/>
    <w:rPr>
      <w:rFonts w:ascii="Arial" w:hAnsi="Arial" w:cs="Times New Roman"/>
      <w:sz w:val="18"/>
      <w:szCs w:val="18"/>
      <w:lang w:eastAsia="de-DE"/>
    </w:rPr>
  </w:style>
  <w:style w:type="paragraph" w:customStyle="1" w:styleId="BRL-Tabelle-AufzhlungBuchstabe9PtLinksVor5Pt">
    <w:name w:val="BRL-Tabelle-Aufzählung Buchstabe + 9 Pt. Links Vor:  5 Pt."/>
    <w:basedOn w:val="Tabellentext"/>
    <w:autoRedefine/>
    <w:rsid w:val="005D0C20"/>
    <w:pPr>
      <w:spacing w:before="100"/>
      <w:jc w:val="left"/>
    </w:pPr>
  </w:style>
  <w:style w:type="paragraph" w:customStyle="1" w:styleId="BRL-Tabelle-Blau">
    <w:name w:val="BRL-Tabelle-Blau"/>
    <w:basedOn w:val="BRL-Tabelle"/>
    <w:rsid w:val="005D0C20"/>
    <w:rPr>
      <w:color w:val="0000FF"/>
      <w:szCs w:val="22"/>
    </w:rPr>
  </w:style>
  <w:style w:type="paragraph" w:customStyle="1" w:styleId="BRL-Tabelle-Grn">
    <w:name w:val="BRL-Tabelle-Grün"/>
    <w:basedOn w:val="BRL-Tabelle"/>
    <w:rsid w:val="005D0C20"/>
    <w:rPr>
      <w:color w:val="008000"/>
      <w:szCs w:val="22"/>
    </w:rPr>
  </w:style>
  <w:style w:type="paragraph" w:customStyle="1" w:styleId="BRL-Tabelle-Rot">
    <w:name w:val="BRL-Tabelle-Rot"/>
    <w:basedOn w:val="BRL-Tabelle"/>
    <w:rsid w:val="005D0C20"/>
    <w:rPr>
      <w:color w:val="FF0000"/>
      <w:szCs w:val="22"/>
    </w:rPr>
  </w:style>
  <w:style w:type="paragraph" w:customStyle="1" w:styleId="BRL-Tabelle-Rot2">
    <w:name w:val="BRL-Tabelle-Rot2"/>
    <w:basedOn w:val="BRL-Tabelle"/>
    <w:rsid w:val="005D0C20"/>
    <w:rPr>
      <w:strike/>
      <w:color w:val="FF0000"/>
      <w:szCs w:val="22"/>
    </w:rPr>
  </w:style>
  <w:style w:type="paragraph" w:customStyle="1" w:styleId="BRL-Tabelle-Spalte-mittig">
    <w:name w:val="BRL-Tabelle-Spalte-mittig"/>
    <w:basedOn w:val="BRL-Tabelle"/>
    <w:qFormat/>
    <w:rsid w:val="005D0C20"/>
    <w:pPr>
      <w:spacing w:before="40"/>
      <w:jc w:val="center"/>
    </w:pPr>
    <w:rPr>
      <w:szCs w:val="22"/>
    </w:rPr>
  </w:style>
  <w:style w:type="paragraph" w:customStyle="1" w:styleId="BRL-Tabelle-berschrift">
    <w:name w:val="BRL-Tabelle-Überschrift"/>
    <w:basedOn w:val="BRL-Standard"/>
    <w:next w:val="BRL-Standard"/>
    <w:qFormat/>
    <w:rsid w:val="005D0C20"/>
    <w:pPr>
      <w:tabs>
        <w:tab w:val="left" w:pos="1134"/>
      </w:tabs>
      <w:spacing w:line="240" w:lineRule="auto"/>
      <w:ind w:left="1134" w:hanging="1134"/>
      <w:jc w:val="left"/>
    </w:pPr>
    <w:rPr>
      <w:b/>
    </w:rPr>
  </w:style>
  <w:style w:type="paragraph" w:customStyle="1" w:styleId="BRL-berschrift2">
    <w:name w:val="BRL-Überschrift2"/>
    <w:basedOn w:val="BRL-Standard"/>
    <w:next w:val="BRL-Standard"/>
    <w:rsid w:val="005D0C20"/>
    <w:pPr>
      <w:tabs>
        <w:tab w:val="left" w:pos="567"/>
      </w:tabs>
      <w:ind w:left="567" w:hanging="567"/>
      <w:jc w:val="left"/>
    </w:pPr>
  </w:style>
  <w:style w:type="paragraph" w:customStyle="1" w:styleId="BRL-berschrift2-Blau">
    <w:name w:val="BRL-Überschrift2-Blau"/>
    <w:basedOn w:val="Normal"/>
    <w:rsid w:val="005D0C20"/>
    <w:pPr>
      <w:spacing w:line="240" w:lineRule="auto"/>
      <w:jc w:val="both"/>
    </w:pPr>
    <w:rPr>
      <w:color w:val="0000FF"/>
      <w:szCs w:val="22"/>
    </w:rPr>
  </w:style>
  <w:style w:type="paragraph" w:customStyle="1" w:styleId="BRL-berschrift2-Rot">
    <w:name w:val="BRL-Überschrift2-Rot"/>
    <w:basedOn w:val="BRL-berschrift2"/>
    <w:rsid w:val="005D0C20"/>
    <w:pPr>
      <w:tabs>
        <w:tab w:val="clear" w:pos="567"/>
        <w:tab w:val="left" w:pos="1134"/>
      </w:tabs>
      <w:ind w:left="1134" w:hanging="1134"/>
    </w:pPr>
    <w:rPr>
      <w:color w:val="FF0000"/>
      <w:szCs w:val="22"/>
    </w:rPr>
  </w:style>
  <w:style w:type="paragraph" w:customStyle="1" w:styleId="BRL-berschrift2-Rot2">
    <w:name w:val="BRL-Überschrift2-Rot2"/>
    <w:basedOn w:val="BRL-berschrift2"/>
    <w:rsid w:val="005D0C20"/>
    <w:pPr>
      <w:tabs>
        <w:tab w:val="clear" w:pos="567"/>
        <w:tab w:val="left" w:pos="1134"/>
      </w:tabs>
      <w:ind w:left="1134" w:hanging="1134"/>
    </w:pPr>
    <w:rPr>
      <w:strike/>
      <w:color w:val="FF0000"/>
      <w:szCs w:val="22"/>
    </w:rPr>
  </w:style>
  <w:style w:type="paragraph" w:customStyle="1" w:styleId="BRL-berschrift-Kopf">
    <w:name w:val="BRL-Überschrift-Kopf"/>
    <w:basedOn w:val="BRL-Standard"/>
    <w:next w:val="BRL-Standard"/>
    <w:autoRedefine/>
    <w:qFormat/>
    <w:rsid w:val="005D0C20"/>
    <w:pPr>
      <w:tabs>
        <w:tab w:val="left" w:pos="709"/>
      </w:tabs>
      <w:spacing w:after="240"/>
      <w:ind w:left="709" w:hanging="709"/>
      <w:jc w:val="left"/>
    </w:pPr>
    <w:rPr>
      <w:b/>
    </w:rPr>
  </w:style>
  <w:style w:type="paragraph" w:customStyle="1" w:styleId="BW2berschrift1">
    <w:name w:val="BW_2Überschrift1"/>
    <w:basedOn w:val="Normal"/>
    <w:rsid w:val="005D0C20"/>
    <w:pPr>
      <w:numPr>
        <w:numId w:val="20"/>
      </w:numPr>
      <w:spacing w:line="260" w:lineRule="exact"/>
      <w:jc w:val="both"/>
    </w:pPr>
    <w:rPr>
      <w:szCs w:val="18"/>
    </w:rPr>
  </w:style>
  <w:style w:type="paragraph" w:customStyle="1" w:styleId="BW2berschrift2">
    <w:name w:val="BW_2Überschrift2"/>
    <w:basedOn w:val="Normal"/>
    <w:rsid w:val="005D0C20"/>
    <w:pPr>
      <w:numPr>
        <w:ilvl w:val="1"/>
        <w:numId w:val="20"/>
      </w:numPr>
      <w:spacing w:line="260" w:lineRule="exact"/>
      <w:jc w:val="both"/>
    </w:pPr>
    <w:rPr>
      <w:szCs w:val="18"/>
    </w:rPr>
  </w:style>
  <w:style w:type="paragraph" w:customStyle="1" w:styleId="BW2berschrift3">
    <w:name w:val="BW_2Überschrift3"/>
    <w:basedOn w:val="Normal"/>
    <w:rsid w:val="005D0C20"/>
    <w:pPr>
      <w:numPr>
        <w:ilvl w:val="2"/>
        <w:numId w:val="20"/>
      </w:numPr>
      <w:spacing w:line="260" w:lineRule="exact"/>
      <w:jc w:val="both"/>
    </w:pPr>
    <w:rPr>
      <w:szCs w:val="18"/>
    </w:rPr>
  </w:style>
  <w:style w:type="paragraph" w:customStyle="1" w:styleId="Default">
    <w:name w:val="Default"/>
    <w:rsid w:val="005D0C20"/>
    <w:pPr>
      <w:widowControl w:val="0"/>
      <w:autoSpaceDE w:val="0"/>
      <w:autoSpaceDN w:val="0"/>
      <w:adjustRightInd w:val="0"/>
      <w:spacing w:after="0" w:line="240" w:lineRule="auto"/>
    </w:pPr>
    <w:rPr>
      <w:rFonts w:ascii="Arial" w:hAnsi="Arial" w:cs="Arial"/>
      <w:color w:val="000000"/>
      <w:sz w:val="24"/>
      <w:szCs w:val="24"/>
      <w:lang w:eastAsia="de-DE"/>
    </w:rPr>
  </w:style>
  <w:style w:type="paragraph" w:customStyle="1" w:styleId="CM1">
    <w:name w:val="CM1"/>
    <w:basedOn w:val="Default"/>
    <w:next w:val="Default"/>
    <w:uiPriority w:val="99"/>
    <w:rsid w:val="005D0C20"/>
    <w:pPr>
      <w:widowControl/>
    </w:pPr>
    <w:rPr>
      <w:rFonts w:ascii="EUAlbertina" w:hAnsi="EUAlbertina" w:cs="Times New Roman"/>
      <w:color w:val="auto"/>
    </w:rPr>
  </w:style>
  <w:style w:type="paragraph" w:customStyle="1" w:styleId="CM11">
    <w:name w:val="CM11"/>
    <w:basedOn w:val="Default"/>
    <w:next w:val="Default"/>
    <w:rsid w:val="005D0C20"/>
    <w:rPr>
      <w:rFonts w:ascii="Times New Roman" w:hAnsi="Times New Roman" w:cs="Times New Roman"/>
      <w:color w:val="auto"/>
    </w:rPr>
  </w:style>
  <w:style w:type="paragraph" w:customStyle="1" w:styleId="CM14">
    <w:name w:val="CM14"/>
    <w:basedOn w:val="Default"/>
    <w:next w:val="Default"/>
    <w:rsid w:val="005D0C20"/>
    <w:rPr>
      <w:rFonts w:ascii="Times New Roman" w:hAnsi="Times New Roman" w:cs="Times New Roman"/>
      <w:color w:val="auto"/>
    </w:rPr>
  </w:style>
  <w:style w:type="paragraph" w:customStyle="1" w:styleId="CM29">
    <w:name w:val="CM29"/>
    <w:basedOn w:val="Default"/>
    <w:next w:val="Default"/>
    <w:rsid w:val="005D0C20"/>
    <w:pPr>
      <w:spacing w:after="163"/>
    </w:pPr>
    <w:rPr>
      <w:color w:val="auto"/>
    </w:rPr>
  </w:style>
  <w:style w:type="paragraph" w:customStyle="1" w:styleId="CM3">
    <w:name w:val="CM3"/>
    <w:basedOn w:val="Default"/>
    <w:next w:val="Default"/>
    <w:uiPriority w:val="99"/>
    <w:rsid w:val="005D0C20"/>
    <w:pPr>
      <w:widowControl/>
    </w:pPr>
    <w:rPr>
      <w:rFonts w:ascii="EUAlbertina" w:hAnsi="EUAlbertina" w:cs="Times New Roman"/>
      <w:color w:val="auto"/>
    </w:rPr>
  </w:style>
  <w:style w:type="paragraph" w:customStyle="1" w:styleId="CM4">
    <w:name w:val="CM4"/>
    <w:basedOn w:val="Default"/>
    <w:next w:val="Default"/>
    <w:uiPriority w:val="99"/>
    <w:rsid w:val="005D0C20"/>
    <w:pPr>
      <w:widowControl/>
    </w:pPr>
    <w:rPr>
      <w:rFonts w:ascii="EUAlbertina" w:hAnsi="EUAlbertina" w:cs="Times New Roman"/>
      <w:color w:val="auto"/>
    </w:rPr>
  </w:style>
  <w:style w:type="paragraph" w:customStyle="1" w:styleId="CM9">
    <w:name w:val="CM9"/>
    <w:basedOn w:val="Default"/>
    <w:next w:val="Default"/>
    <w:rsid w:val="005D0C20"/>
    <w:pPr>
      <w:spacing w:line="231" w:lineRule="atLeast"/>
    </w:pPr>
    <w:rPr>
      <w:rFonts w:ascii="Times New Roman" w:hAnsi="Times New Roman" w:cs="Times New Roman"/>
      <w:color w:val="auto"/>
    </w:rPr>
  </w:style>
  <w:style w:type="paragraph" w:styleId="Date">
    <w:name w:val="Date"/>
    <w:basedOn w:val="Normal"/>
    <w:next w:val="Normal"/>
    <w:link w:val="DateChar"/>
    <w:rsid w:val="005D0C20"/>
    <w:pPr>
      <w:spacing w:line="240" w:lineRule="auto"/>
      <w:jc w:val="both"/>
    </w:pPr>
    <w:rPr>
      <w:sz w:val="24"/>
      <w:szCs w:val="24"/>
    </w:rPr>
  </w:style>
  <w:style w:type="character" w:customStyle="1" w:styleId="DateChar">
    <w:name w:val="Date Char"/>
    <w:link w:val="Date"/>
    <w:rsid w:val="005D0C20"/>
    <w:rPr>
      <w:rFonts w:ascii="Arial" w:hAnsi="Arial" w:cs="Times New Roman"/>
      <w:sz w:val="24"/>
      <w:szCs w:val="24"/>
      <w:lang w:eastAsia="de-DE"/>
    </w:rPr>
  </w:style>
  <w:style w:type="paragraph" w:customStyle="1" w:styleId="DatumTitelseite">
    <w:name w:val="Datum Titelseite"/>
    <w:basedOn w:val="Normal"/>
    <w:link w:val="DatumTitelseiteZchn"/>
    <w:qFormat/>
    <w:rsid w:val="005D0C20"/>
    <w:pPr>
      <w:spacing w:after="200" w:line="276" w:lineRule="auto"/>
      <w:jc w:val="both"/>
    </w:pPr>
    <w:rPr>
      <w:sz w:val="32"/>
      <w:szCs w:val="32"/>
    </w:rPr>
  </w:style>
  <w:style w:type="character" w:customStyle="1" w:styleId="DatumTitelseiteZchn">
    <w:name w:val="Datum Titelseite Zchn"/>
    <w:link w:val="DatumTitelseite"/>
    <w:rsid w:val="005D0C20"/>
    <w:rPr>
      <w:rFonts w:ascii="Arial" w:hAnsi="Arial" w:cs="Times New Roman"/>
      <w:sz w:val="32"/>
      <w:szCs w:val="32"/>
      <w:lang w:eastAsia="de-DE"/>
    </w:rPr>
  </w:style>
  <w:style w:type="numbering" w:customStyle="1" w:styleId="DIBt">
    <w:name w:val="DIBt"/>
    <w:uiPriority w:val="99"/>
    <w:rsid w:val="005D0C20"/>
    <w:pPr>
      <w:numPr>
        <w:numId w:val="21"/>
      </w:numPr>
    </w:pPr>
  </w:style>
  <w:style w:type="numbering" w:customStyle="1" w:styleId="DIBt1">
    <w:name w:val="DIBt1"/>
    <w:uiPriority w:val="99"/>
    <w:rsid w:val="005D0C20"/>
  </w:style>
  <w:style w:type="numbering" w:customStyle="1" w:styleId="DIBt11">
    <w:name w:val="DIBt11"/>
    <w:uiPriority w:val="99"/>
    <w:rsid w:val="005D0C20"/>
  </w:style>
  <w:style w:type="numbering" w:customStyle="1" w:styleId="DIBt2">
    <w:name w:val="DIBt2"/>
    <w:uiPriority w:val="99"/>
    <w:rsid w:val="005D0C20"/>
  </w:style>
  <w:style w:type="paragraph" w:customStyle="1" w:styleId="DIBt-Kopf">
    <w:name w:val="DIBt-Kopf"/>
    <w:basedOn w:val="Normal"/>
    <w:rsid w:val="005D0C20"/>
    <w:pPr>
      <w:spacing w:before="120" w:after="100" w:line="240" w:lineRule="auto"/>
      <w:ind w:right="-1"/>
      <w:jc w:val="center"/>
    </w:pPr>
    <w:rPr>
      <w:spacing w:val="-30"/>
      <w:sz w:val="40"/>
      <w:szCs w:val="18"/>
    </w:rPr>
  </w:style>
  <w:style w:type="table" w:customStyle="1" w:styleId="DIBt-Tabelle">
    <w:name w:val="DIBt-Tabelle"/>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1">
    <w:name w:val="DIBt-Tabelle1"/>
    <w:basedOn w:val="TableNormal"/>
    <w:uiPriority w:val="99"/>
    <w:rsid w:val="005D0C20"/>
    <w:pPr>
      <w:spacing w:before="100" w:after="0" w:line="240" w:lineRule="auto"/>
      <w:ind w:left="113" w:right="113"/>
    </w:pPr>
    <w:rPr>
      <w:rFonts w:ascii="Arial" w:hAnsi="Arial" w:cs="Times New Roman"/>
      <w:sz w:val="16"/>
    </w:rPr>
    <w:tblP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CellMar>
        <w:left w:w="0" w:type="dxa"/>
        <w:right w:w="0" w:type="dxa"/>
      </w:tblCellMar>
    </w:tblPr>
    <w:trPr>
      <w:cantSplit/>
    </w:trPr>
    <w:tblStylePr w:type="firstRow">
      <w:rPr>
        <w:b/>
        <w:color w:val="000000"/>
      </w:rPr>
      <w:tblPr/>
      <w:tcPr>
        <w:shd w:val="clear" w:color="auto" w:fill="D9D9D9"/>
      </w:tcPr>
    </w:tblStylePr>
    <w:tblStylePr w:type="lastRow">
      <w:rPr>
        <w:b/>
      </w:rPr>
      <w:tblPr/>
      <w:tcPr>
        <w:shd w:val="clear" w:color="auto" w:fill="BFBFBF"/>
      </w:tcPr>
    </w:tblStylePr>
    <w:tblStylePr w:type="firstCol">
      <w:rPr>
        <w:rFonts w:ascii="Calibri" w:hAnsi="Calibri"/>
        <w:b w:val="0"/>
        <w:color w:val="auto"/>
        <w:sz w:val="20"/>
      </w:rPr>
      <w:tblPr/>
      <w:tcPr>
        <w:shd w:val="clear" w:color="auto" w:fill="D9D9D9"/>
      </w:tcPr>
    </w:tblStylePr>
    <w:tblStylePr w:type="lastCol">
      <w:rPr>
        <w:b/>
      </w:rPr>
    </w:tblStylePr>
  </w:style>
  <w:style w:type="table" w:customStyle="1" w:styleId="DIBt-Tabelle10">
    <w:name w:val="DIBt-Tabelle10"/>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11">
    <w:name w:val="DIBt-Tabelle11"/>
    <w:basedOn w:val="TableNormal"/>
    <w:uiPriority w:val="99"/>
    <w:rsid w:val="005D0C20"/>
    <w:pPr>
      <w:spacing w:before="100" w:after="0" w:line="240" w:lineRule="auto"/>
      <w:ind w:left="113" w:right="113"/>
    </w:pPr>
    <w:rPr>
      <w:rFonts w:ascii="Arial" w:hAnsi="Arial" w:cs="Times New Roman"/>
      <w:sz w:val="16"/>
    </w:rPr>
    <w:tblP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CellMar>
        <w:left w:w="0" w:type="dxa"/>
        <w:right w:w="0" w:type="dxa"/>
      </w:tblCellMar>
    </w:tblPr>
    <w:trPr>
      <w:cantSplit/>
    </w:trPr>
    <w:tblStylePr w:type="firstRow">
      <w:rPr>
        <w:b/>
        <w:color w:val="000000"/>
      </w:rPr>
      <w:tblPr/>
      <w:tcPr>
        <w:shd w:val="clear" w:color="auto" w:fill="D9D9D9"/>
      </w:tcPr>
    </w:tblStylePr>
    <w:tblStylePr w:type="lastRow">
      <w:rPr>
        <w:b/>
      </w:rPr>
      <w:tblPr/>
      <w:tcPr>
        <w:shd w:val="clear" w:color="auto" w:fill="BFBFBF"/>
      </w:tcPr>
    </w:tblStylePr>
    <w:tblStylePr w:type="firstCol">
      <w:rPr>
        <w:rFonts w:ascii="Calibri" w:hAnsi="Calibri"/>
        <w:b w:val="0"/>
        <w:color w:val="auto"/>
        <w:sz w:val="20"/>
      </w:rPr>
      <w:tblPr/>
      <w:tcPr>
        <w:shd w:val="clear" w:color="auto" w:fill="D9D9D9"/>
      </w:tcPr>
    </w:tblStylePr>
    <w:tblStylePr w:type="lastCol">
      <w:rPr>
        <w:b/>
      </w:rPr>
    </w:tblStylePr>
  </w:style>
  <w:style w:type="table" w:customStyle="1" w:styleId="DIBt-Tabelle111">
    <w:name w:val="DIBt-Tabelle111"/>
    <w:basedOn w:val="TableNormal"/>
    <w:uiPriority w:val="99"/>
    <w:rsid w:val="005D0C20"/>
    <w:pPr>
      <w:spacing w:before="100" w:after="0" w:line="240" w:lineRule="auto"/>
      <w:ind w:left="113" w:right="113"/>
    </w:pPr>
    <w:rPr>
      <w:rFonts w:ascii="Arial" w:hAnsi="Arial" w:cs="Times New Roman"/>
      <w:sz w:val="16"/>
      <w:szCs w:val="18"/>
      <w:lang w:eastAsia="de-DE"/>
    </w:rPr>
    <w:tblP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CellMar>
        <w:left w:w="0" w:type="dxa"/>
        <w:right w:w="0" w:type="dxa"/>
      </w:tblCellMar>
    </w:tblPr>
    <w:trPr>
      <w:cantSplit/>
    </w:trPr>
    <w:tblStylePr w:type="firstRow">
      <w:rPr>
        <w:b/>
        <w:color w:val="000000"/>
      </w:rPr>
      <w:tblPr/>
      <w:tcPr>
        <w:shd w:val="clear" w:color="auto" w:fill="D9D9D9"/>
      </w:tcPr>
    </w:tblStylePr>
    <w:tblStylePr w:type="lastRow">
      <w:rPr>
        <w:b/>
      </w:rPr>
      <w:tblPr/>
      <w:tcPr>
        <w:shd w:val="clear" w:color="auto" w:fill="BFBFBF"/>
      </w:tcPr>
    </w:tblStylePr>
    <w:tblStylePr w:type="firstCol">
      <w:rPr>
        <w:rFonts w:ascii="Calibri" w:hAnsi="Calibri"/>
        <w:b w:val="0"/>
        <w:color w:val="auto"/>
        <w:sz w:val="20"/>
      </w:rPr>
      <w:tblPr/>
      <w:tcPr>
        <w:shd w:val="clear" w:color="auto" w:fill="D9D9D9"/>
      </w:tcPr>
    </w:tblStylePr>
    <w:tblStylePr w:type="lastCol">
      <w:rPr>
        <w:b/>
      </w:rPr>
    </w:tblStylePr>
  </w:style>
  <w:style w:type="table" w:customStyle="1" w:styleId="DIBt-Tabelle12">
    <w:name w:val="DIBt-Tabelle12"/>
    <w:basedOn w:val="TableNormal"/>
    <w:uiPriority w:val="99"/>
    <w:rsid w:val="005D0C20"/>
    <w:pPr>
      <w:spacing w:before="100" w:after="0" w:line="240" w:lineRule="auto"/>
      <w:ind w:left="113" w:right="113"/>
    </w:pPr>
    <w:rPr>
      <w:rFonts w:ascii="Arial" w:hAnsi="Arial" w:cs="Times New Roman"/>
      <w:sz w:val="16"/>
      <w:szCs w:val="18"/>
      <w:lang w:eastAsia="de-DE"/>
    </w:rPr>
    <w:tblP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CellMar>
        <w:left w:w="0" w:type="dxa"/>
        <w:right w:w="0" w:type="dxa"/>
      </w:tblCellMar>
    </w:tblPr>
    <w:trPr>
      <w:cantSplit/>
    </w:trPr>
    <w:tblStylePr w:type="firstRow">
      <w:rPr>
        <w:b/>
        <w:color w:val="000000"/>
      </w:rPr>
      <w:tblPr/>
      <w:tcPr>
        <w:shd w:val="clear" w:color="auto" w:fill="D9D9D9"/>
      </w:tcPr>
    </w:tblStylePr>
    <w:tblStylePr w:type="lastRow">
      <w:rPr>
        <w:b/>
      </w:rPr>
      <w:tblPr/>
      <w:tcPr>
        <w:shd w:val="clear" w:color="auto" w:fill="BFBFBF"/>
      </w:tcPr>
    </w:tblStylePr>
    <w:tblStylePr w:type="firstCol">
      <w:rPr>
        <w:rFonts w:ascii="Calibri" w:hAnsi="Calibri"/>
        <w:b w:val="0"/>
        <w:color w:val="auto"/>
        <w:sz w:val="20"/>
      </w:rPr>
      <w:tblPr/>
      <w:tcPr>
        <w:shd w:val="clear" w:color="auto" w:fill="D9D9D9"/>
      </w:tcPr>
    </w:tblStylePr>
    <w:tblStylePr w:type="lastCol">
      <w:rPr>
        <w:b/>
      </w:rPr>
    </w:tblStylePr>
  </w:style>
  <w:style w:type="table" w:customStyle="1" w:styleId="DIBt-Tabelle2">
    <w:name w:val="DIBt-Tabelle2"/>
    <w:basedOn w:val="TableNormal"/>
    <w:uiPriority w:val="99"/>
    <w:rsid w:val="005D0C20"/>
    <w:pPr>
      <w:spacing w:after="0" w:line="240" w:lineRule="auto"/>
    </w:pPr>
    <w:rPr>
      <w:rFonts w:ascii="Arial" w:hAnsi="Arial" w:cs="Times New Roman"/>
      <w:sz w:val="18"/>
      <w:szCs w:val="18"/>
      <w:lang w:eastAsia="de-DE"/>
    </w:rPr>
    <w:tblPr>
      <w:tblInd w:w="113" w:type="dxa"/>
      <w:tblBorders>
        <w:insideH w:val="single" w:sz="4" w:space="0" w:color="3071C3"/>
        <w:insideV w:val="single" w:sz="4" w:space="0" w:color="3071C3"/>
      </w:tblBorders>
      <w:tblCellMar>
        <w:top w:w="85" w:type="dxa"/>
        <w:bottom w:w="85" w:type="dxa"/>
      </w:tblCellMar>
    </w:tblPr>
    <w:tblStylePr w:type="firstRow">
      <w:rPr>
        <w:b w:val="0"/>
        <w:color w:val="000000"/>
      </w:rPr>
      <w:tblPr/>
      <w:tcPr>
        <w:tcBorders>
          <w:top w:val="nil"/>
          <w:left w:val="nil"/>
          <w:bottom w:val="single" w:sz="4" w:space="0" w:color="auto"/>
          <w:right w:val="nil"/>
          <w:insideH w:val="nil"/>
          <w:insideV w:val="single" w:sz="4" w:space="0" w:color="auto"/>
          <w:tl2br w:val="nil"/>
          <w:tr2bl w:val="nil"/>
        </w:tcBorders>
        <w:shd w:val="clear" w:color="auto" w:fill="E9E9E9"/>
      </w:tcPr>
    </w:tblStylePr>
    <w:tblStylePr w:type="lastRow">
      <w:rPr>
        <w:b w:val="0"/>
      </w:rPr>
      <w:tblPr/>
      <w:tcPr>
        <w:tcBorders>
          <w:top w:val="single" w:sz="8" w:space="0" w:color="4683D1"/>
          <w:left w:val="nil"/>
          <w:bottom w:val="nil"/>
          <w:right w:val="nil"/>
          <w:insideH w:val="nil"/>
          <w:insideV w:val="single" w:sz="4" w:space="0" w:color="3071C3"/>
          <w:tl2br w:val="nil"/>
          <w:tr2bl w:val="nil"/>
        </w:tcBorders>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21">
    <w:name w:val="DIBt-Tabelle21"/>
    <w:basedOn w:val="TableNormal"/>
    <w:uiPriority w:val="99"/>
    <w:rsid w:val="005D0C20"/>
    <w:pPr>
      <w:spacing w:after="0" w:line="240" w:lineRule="auto"/>
    </w:pPr>
    <w:rPr>
      <w:rFonts w:ascii="Arial" w:hAnsi="Arial" w:cs="Times New Roman"/>
      <w:sz w:val="18"/>
      <w:szCs w:val="18"/>
      <w:lang w:eastAsia="de-DE"/>
    </w:rPr>
    <w:tblPr>
      <w:tblInd w:w="113" w:type="dxa"/>
      <w:tblBorders>
        <w:insideH w:val="single" w:sz="4" w:space="0" w:color="3071C3"/>
        <w:insideV w:val="single" w:sz="4" w:space="0" w:color="3071C3"/>
      </w:tblBorders>
      <w:tblCellMar>
        <w:top w:w="85" w:type="dxa"/>
        <w:bottom w:w="85" w:type="dxa"/>
      </w:tblCellMar>
    </w:tblPr>
    <w:tblStylePr w:type="firstRow">
      <w:rPr>
        <w:b w:val="0"/>
        <w:color w:val="000000"/>
      </w:rPr>
      <w:tblPr/>
      <w:tcPr>
        <w:tcBorders>
          <w:top w:val="nil"/>
          <w:left w:val="nil"/>
          <w:bottom w:val="single" w:sz="4" w:space="0" w:color="auto"/>
          <w:right w:val="nil"/>
          <w:insideH w:val="nil"/>
          <w:insideV w:val="single" w:sz="4" w:space="0" w:color="auto"/>
          <w:tl2br w:val="nil"/>
          <w:tr2bl w:val="nil"/>
        </w:tcBorders>
        <w:shd w:val="clear" w:color="auto" w:fill="E9E9E9"/>
      </w:tcPr>
    </w:tblStylePr>
    <w:tblStylePr w:type="lastRow">
      <w:rPr>
        <w:b w:val="0"/>
      </w:rPr>
      <w:tblPr/>
      <w:tcPr>
        <w:tcBorders>
          <w:top w:val="single" w:sz="8" w:space="0" w:color="4683D1"/>
          <w:left w:val="nil"/>
          <w:bottom w:val="nil"/>
          <w:right w:val="nil"/>
          <w:insideH w:val="nil"/>
          <w:insideV w:val="single" w:sz="4" w:space="0" w:color="3071C3"/>
          <w:tl2br w:val="nil"/>
          <w:tr2bl w:val="nil"/>
        </w:tcBorders>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211">
    <w:name w:val="DIBt-Tabelle211"/>
    <w:basedOn w:val="TableNormal"/>
    <w:uiPriority w:val="99"/>
    <w:rsid w:val="005D0C20"/>
    <w:pPr>
      <w:spacing w:after="0" w:line="240" w:lineRule="auto"/>
    </w:pPr>
    <w:rPr>
      <w:rFonts w:ascii="Arial" w:hAnsi="Arial" w:cs="Times New Roman"/>
      <w:sz w:val="18"/>
      <w:szCs w:val="18"/>
      <w:lang w:eastAsia="de-DE"/>
    </w:rPr>
    <w:tblPr>
      <w:tblInd w:w="113" w:type="dxa"/>
      <w:tblBorders>
        <w:insideH w:val="single" w:sz="4" w:space="0" w:color="3071C3"/>
        <w:insideV w:val="single" w:sz="4" w:space="0" w:color="3071C3"/>
      </w:tblBorders>
      <w:tblCellMar>
        <w:top w:w="85" w:type="dxa"/>
        <w:bottom w:w="85" w:type="dxa"/>
      </w:tblCellMar>
    </w:tblPr>
    <w:tblStylePr w:type="firstRow">
      <w:rPr>
        <w:b w:val="0"/>
        <w:color w:val="000000"/>
      </w:rPr>
      <w:tblPr/>
      <w:tcPr>
        <w:tcBorders>
          <w:top w:val="nil"/>
          <w:left w:val="nil"/>
          <w:bottom w:val="single" w:sz="4" w:space="0" w:color="auto"/>
          <w:right w:val="nil"/>
          <w:insideH w:val="nil"/>
          <w:insideV w:val="single" w:sz="4" w:space="0" w:color="auto"/>
          <w:tl2br w:val="nil"/>
          <w:tr2bl w:val="nil"/>
        </w:tcBorders>
        <w:shd w:val="clear" w:color="auto" w:fill="E9E9E9"/>
      </w:tcPr>
    </w:tblStylePr>
    <w:tblStylePr w:type="lastRow">
      <w:rPr>
        <w:b w:val="0"/>
      </w:rPr>
      <w:tblPr/>
      <w:tcPr>
        <w:tcBorders>
          <w:top w:val="single" w:sz="8" w:space="0" w:color="4683D1"/>
          <w:left w:val="nil"/>
          <w:bottom w:val="nil"/>
          <w:right w:val="nil"/>
          <w:insideH w:val="nil"/>
          <w:insideV w:val="single" w:sz="4" w:space="0" w:color="3071C3"/>
          <w:tl2br w:val="nil"/>
          <w:tr2bl w:val="nil"/>
        </w:tcBorders>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22">
    <w:name w:val="DIBt-Tabelle22"/>
    <w:basedOn w:val="TableNormal"/>
    <w:uiPriority w:val="99"/>
    <w:rsid w:val="005D0C20"/>
    <w:pPr>
      <w:spacing w:after="0" w:line="240" w:lineRule="auto"/>
    </w:pPr>
    <w:rPr>
      <w:rFonts w:ascii="Arial" w:hAnsi="Arial" w:cs="Times New Roman"/>
      <w:sz w:val="18"/>
      <w:szCs w:val="18"/>
      <w:lang w:eastAsia="de-DE"/>
    </w:rPr>
    <w:tblPr>
      <w:tblInd w:w="113" w:type="dxa"/>
      <w:tblBorders>
        <w:insideH w:val="single" w:sz="4" w:space="0" w:color="3071C3"/>
        <w:insideV w:val="single" w:sz="4" w:space="0" w:color="3071C3"/>
      </w:tblBorders>
      <w:tblCellMar>
        <w:top w:w="85" w:type="dxa"/>
        <w:bottom w:w="85" w:type="dxa"/>
      </w:tblCellMar>
    </w:tblPr>
    <w:tblStylePr w:type="firstRow">
      <w:rPr>
        <w:b w:val="0"/>
        <w:color w:val="000000"/>
      </w:rPr>
      <w:tblPr/>
      <w:tcPr>
        <w:tcBorders>
          <w:top w:val="nil"/>
          <w:left w:val="nil"/>
          <w:bottom w:val="single" w:sz="4" w:space="0" w:color="auto"/>
          <w:right w:val="nil"/>
          <w:insideH w:val="nil"/>
          <w:insideV w:val="single" w:sz="4" w:space="0" w:color="auto"/>
          <w:tl2br w:val="nil"/>
          <w:tr2bl w:val="nil"/>
        </w:tcBorders>
        <w:shd w:val="clear" w:color="auto" w:fill="E9E9E9"/>
      </w:tcPr>
    </w:tblStylePr>
    <w:tblStylePr w:type="lastRow">
      <w:rPr>
        <w:b w:val="0"/>
      </w:rPr>
      <w:tblPr/>
      <w:tcPr>
        <w:tcBorders>
          <w:top w:val="single" w:sz="8" w:space="0" w:color="4683D1"/>
          <w:left w:val="nil"/>
          <w:bottom w:val="nil"/>
          <w:right w:val="nil"/>
          <w:insideH w:val="nil"/>
          <w:insideV w:val="single" w:sz="4" w:space="0" w:color="3071C3"/>
          <w:tl2br w:val="nil"/>
          <w:tr2bl w:val="nil"/>
        </w:tcBorders>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3">
    <w:name w:val="DIBt-Tabelle3"/>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31">
    <w:name w:val="DIBt-Tabelle31"/>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4">
    <w:name w:val="DIBt-Tabelle4"/>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5">
    <w:name w:val="DIBt-Tabelle5"/>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6">
    <w:name w:val="DIBt-Tabelle6"/>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7">
    <w:name w:val="DIBt-Tabelle7"/>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8">
    <w:name w:val="DIBt-Tabelle8"/>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table" w:customStyle="1" w:styleId="DIBt-Tabelle9">
    <w:name w:val="DIBt-Tabelle9"/>
    <w:basedOn w:val="TableNormal"/>
    <w:uiPriority w:val="99"/>
    <w:rsid w:val="005D0C20"/>
    <w:pPr>
      <w:spacing w:before="100" w:after="0" w:line="240" w:lineRule="auto"/>
      <w:ind w:left="113" w:right="113"/>
    </w:pPr>
    <w:rPr>
      <w:rFonts w:ascii="Arial" w:hAnsi="Arial" w:cs="Times New Roman"/>
      <w:sz w:val="16"/>
      <w:szCs w:val="18"/>
      <w:lang w:eastAsia="de-DE"/>
    </w:rPr>
    <w:tblPr>
      <w:tblBorders>
        <w:insideH w:val="single" w:sz="2" w:space="0" w:color="595959"/>
        <w:insideV w:val="single" w:sz="2" w:space="0" w:color="595959"/>
      </w:tblBorders>
      <w:tblCellMar>
        <w:left w:w="0" w:type="dxa"/>
        <w:right w:w="0" w:type="dxa"/>
      </w:tblCellMar>
    </w:tblPr>
    <w:trPr>
      <w:cantSplit/>
    </w:trPr>
    <w:tblStylePr w:type="firstRow">
      <w:rPr>
        <w:b/>
        <w:color w:val="000000"/>
      </w:rPr>
      <w:tblPr/>
      <w:tcPr>
        <w:tcBorders>
          <w:top w:val="nil"/>
          <w:left w:val="nil"/>
          <w:bottom w:val="single" w:sz="2" w:space="0" w:color="595959"/>
          <w:right w:val="nil"/>
          <w:insideH w:val="nil"/>
          <w:insideV w:val="single" w:sz="2" w:space="0" w:color="595959"/>
          <w:tl2br w:val="nil"/>
          <w:tr2bl w:val="nil"/>
        </w:tcBorders>
        <w:shd w:val="clear" w:color="auto" w:fill="E9E9E9"/>
      </w:tcPr>
    </w:tblStylePr>
    <w:tblStylePr w:type="lastRow">
      <w:rPr>
        <w:b/>
      </w:rPr>
      <w:tblPr/>
      <w:tcPr>
        <w:shd w:val="clear" w:color="auto" w:fill="C5D9E5"/>
      </w:tcPr>
    </w:tblStylePr>
    <w:tblStylePr w:type="firstCol">
      <w:rPr>
        <w:rFonts w:ascii="Calibri" w:hAnsi="Calibri"/>
        <w:b w:val="0"/>
        <w:color w:val="auto"/>
        <w:sz w:val="20"/>
      </w:rPr>
      <w:tblPr/>
      <w:tcPr>
        <w:tcBorders>
          <w:insideH w:val="nil"/>
          <w:insideV w:val="nil"/>
        </w:tcBorders>
        <w:shd w:val="clear" w:color="auto" w:fill="E9E9E9"/>
      </w:tcPr>
    </w:tblStylePr>
    <w:tblStylePr w:type="lastCol">
      <w:rPr>
        <w:b/>
      </w:rPr>
    </w:tblStylePr>
  </w:style>
  <w:style w:type="paragraph" w:styleId="DocumentMap">
    <w:name w:val="Document Map"/>
    <w:basedOn w:val="Normal"/>
    <w:link w:val="DocumentMapChar"/>
    <w:rsid w:val="005D0C20"/>
    <w:pPr>
      <w:spacing w:line="240" w:lineRule="auto"/>
      <w:jc w:val="both"/>
    </w:pPr>
    <w:rPr>
      <w:rFonts w:ascii="Tahoma" w:hAnsi="Tahoma" w:cs="Tahoma"/>
      <w:sz w:val="16"/>
      <w:szCs w:val="16"/>
    </w:rPr>
  </w:style>
  <w:style w:type="character" w:customStyle="1" w:styleId="DocumentMapChar">
    <w:name w:val="Document Map Char"/>
    <w:link w:val="DocumentMap"/>
    <w:rsid w:val="005D0C20"/>
    <w:rPr>
      <w:rFonts w:ascii="Tahoma" w:hAnsi="Tahoma" w:cs="Tahoma"/>
      <w:sz w:val="16"/>
      <w:szCs w:val="16"/>
      <w:lang w:eastAsia="de-DE"/>
    </w:rPr>
  </w:style>
  <w:style w:type="paragraph" w:customStyle="1" w:styleId="Einrckung">
    <w:name w:val="Einrückung"/>
    <w:basedOn w:val="Normal"/>
    <w:next w:val="Normal"/>
    <w:rsid w:val="005D0C20"/>
    <w:pPr>
      <w:spacing w:after="40" w:line="240" w:lineRule="auto"/>
      <w:ind w:left="567"/>
      <w:jc w:val="both"/>
    </w:pPr>
    <w:rPr>
      <w:sz w:val="22"/>
      <w:szCs w:val="18"/>
    </w:rPr>
  </w:style>
  <w:style w:type="paragraph" w:styleId="E-mailSignature">
    <w:name w:val="E-mail Signature"/>
    <w:basedOn w:val="Normal"/>
    <w:link w:val="E-mailSignatureChar"/>
    <w:rsid w:val="005D0C20"/>
    <w:pPr>
      <w:spacing w:line="240" w:lineRule="auto"/>
      <w:jc w:val="both"/>
    </w:pPr>
    <w:rPr>
      <w:sz w:val="24"/>
      <w:szCs w:val="24"/>
    </w:rPr>
  </w:style>
  <w:style w:type="character" w:customStyle="1" w:styleId="E-mailSignatureChar">
    <w:name w:val="E-mail Signature Char"/>
    <w:link w:val="E-mailSignature"/>
    <w:rsid w:val="005D0C20"/>
    <w:rPr>
      <w:rFonts w:ascii="Arial" w:hAnsi="Arial" w:cs="Times New Roman"/>
      <w:sz w:val="24"/>
      <w:szCs w:val="24"/>
      <w:lang w:eastAsia="de-DE"/>
    </w:rPr>
  </w:style>
  <w:style w:type="paragraph" w:customStyle="1" w:styleId="entry1">
    <w:name w:val="entry1"/>
    <w:basedOn w:val="Normal"/>
    <w:rsid w:val="005D0C20"/>
    <w:pPr>
      <w:spacing w:after="40" w:line="288" w:lineRule="auto"/>
      <w:jc w:val="both"/>
      <w:textAlignment w:val="baseline"/>
    </w:pPr>
    <w:rPr>
      <w:rFonts w:ascii="Times New Roman" w:hAnsi="Times New Roman"/>
      <w:szCs w:val="18"/>
    </w:rPr>
  </w:style>
  <w:style w:type="paragraph" w:customStyle="1" w:styleId="ETAGTexte1">
    <w:name w:val="ETAG Texte 1"/>
    <w:basedOn w:val="Normal"/>
    <w:rsid w:val="005D0C20"/>
    <w:pPr>
      <w:widowControl w:val="0"/>
      <w:numPr>
        <w:ilvl w:val="12"/>
      </w:numPr>
      <w:spacing w:before="120" w:after="120" w:line="240" w:lineRule="auto"/>
      <w:ind w:left="284"/>
      <w:jc w:val="both"/>
    </w:pPr>
    <w:rPr>
      <w:rFonts w:cs="Times"/>
      <w:szCs w:val="18"/>
    </w:rPr>
  </w:style>
  <w:style w:type="paragraph" w:customStyle="1" w:styleId="ETAGTexte2">
    <w:name w:val="ETAG Texte 2"/>
    <w:basedOn w:val="Normal"/>
    <w:rsid w:val="005D0C20"/>
    <w:pPr>
      <w:widowControl w:val="0"/>
      <w:numPr>
        <w:ilvl w:val="12"/>
      </w:numPr>
      <w:spacing w:before="120" w:after="120" w:line="240" w:lineRule="auto"/>
      <w:ind w:left="425"/>
      <w:jc w:val="both"/>
    </w:pPr>
    <w:rPr>
      <w:rFonts w:cs="Times"/>
      <w:szCs w:val="18"/>
    </w:rPr>
  </w:style>
  <w:style w:type="paragraph" w:styleId="PlainText">
    <w:name w:val="Plain Text"/>
    <w:basedOn w:val="Normal"/>
    <w:link w:val="PlainTextChar"/>
    <w:uiPriority w:val="99"/>
    <w:rsid w:val="005D0C20"/>
    <w:pPr>
      <w:spacing w:line="240" w:lineRule="auto"/>
      <w:jc w:val="both"/>
    </w:pPr>
    <w:rPr>
      <w:rFonts w:ascii="Courier New" w:hAnsi="Courier New" w:cs="Courier New"/>
      <w:szCs w:val="18"/>
    </w:rPr>
  </w:style>
  <w:style w:type="character" w:customStyle="1" w:styleId="PlainTextChar">
    <w:name w:val="Plain Text Char"/>
    <w:link w:val="PlainText"/>
    <w:uiPriority w:val="99"/>
    <w:rsid w:val="005D0C20"/>
    <w:rPr>
      <w:rFonts w:ascii="Courier New" w:hAnsi="Courier New" w:cs="Courier New"/>
      <w:sz w:val="18"/>
      <w:szCs w:val="18"/>
      <w:lang w:eastAsia="de-DE"/>
    </w:rPr>
  </w:style>
  <w:style w:type="paragraph" w:customStyle="1" w:styleId="ETAGTexte3">
    <w:name w:val="ETAG Texte 3"/>
    <w:basedOn w:val="PlainText"/>
    <w:rsid w:val="005D0C20"/>
    <w:pPr>
      <w:widowControl w:val="0"/>
      <w:numPr>
        <w:ilvl w:val="12"/>
      </w:numPr>
      <w:spacing w:before="120" w:after="120"/>
      <w:ind w:left="709"/>
    </w:pPr>
    <w:rPr>
      <w:rFonts w:ascii="Arial" w:hAnsi="Arial" w:cs="Times"/>
    </w:rPr>
  </w:style>
  <w:style w:type="character" w:customStyle="1" w:styleId="expand-inlineshow">
    <w:name w:val="expand-inline_show"/>
    <w:rsid w:val="005D0C20"/>
    <w:rPr>
      <w:strike w:val="0"/>
      <w:dstrike w:val="0"/>
      <w:color w:val="D36B31"/>
      <w:sz w:val="19"/>
      <w:szCs w:val="19"/>
      <w:u w:val="none"/>
      <w:effect w:val="none"/>
    </w:rPr>
  </w:style>
  <w:style w:type="character" w:styleId="Strong">
    <w:name w:val="Strong"/>
    <w:uiPriority w:val="22"/>
    <w:qFormat/>
    <w:rsid w:val="005D0C20"/>
    <w:rPr>
      <w:b/>
      <w:bCs/>
    </w:rPr>
  </w:style>
  <w:style w:type="character" w:customStyle="1" w:styleId="fontstandard17ptforegrounddunkelgrau">
    <w:name w:val="fontstandard17pt foregrounddunkelgrau"/>
    <w:rsid w:val="005D0C20"/>
    <w:rPr>
      <w:rFonts w:ascii="Verdana" w:hAnsi="Verdana" w:hint="default"/>
      <w:sz w:val="10"/>
      <w:szCs w:val="10"/>
    </w:rPr>
  </w:style>
  <w:style w:type="paragraph" w:customStyle="1" w:styleId="FormatvorlageAufzhlungVor0PtNach0PtZeilenabstandMehre">
    <w:name w:val="Formatvorlage Aufzählung + Vor:  0 Pt. Nach:  0 Pt. Zeilenabstand:  Mehre..."/>
    <w:basedOn w:val="Aufzhlung"/>
    <w:rsid w:val="005D0C20"/>
    <w:pPr>
      <w:spacing w:before="0" w:after="0" w:line="276" w:lineRule="auto"/>
    </w:pPr>
  </w:style>
  <w:style w:type="paragraph" w:customStyle="1" w:styleId="FormatvorlageAufzhlungVor0PtNach0PtZeilenabstandMehre1">
    <w:name w:val="Formatvorlage Aufzählung + Vor:  0 Pt. Nach:  0 Pt. Zeilenabstand:  Mehre...1"/>
    <w:basedOn w:val="BRL-Standard"/>
    <w:rsid w:val="005D0C20"/>
  </w:style>
  <w:style w:type="paragraph" w:customStyle="1" w:styleId="FormatvorlageBRLAufzhlungBuchstabe9Pt">
    <w:name w:val="Formatvorlage BRL Aufzählung Buchstabe + 9 Pt."/>
    <w:basedOn w:val="BRLAufzhlungBuchstabe"/>
    <w:rsid w:val="005D0C20"/>
    <w:pPr>
      <w:numPr>
        <w:numId w:val="0"/>
      </w:numPr>
      <w:spacing w:line="23" w:lineRule="exact"/>
    </w:pPr>
  </w:style>
  <w:style w:type="paragraph" w:customStyle="1" w:styleId="FormatvorlageBRLAufzhlungBuchstabe9Pt1">
    <w:name w:val="Formatvorlage BRL Aufzählung Buchstabe + 9 Pt.1"/>
    <w:basedOn w:val="BRLAufzhlungBuchstabe"/>
    <w:rsid w:val="005D0C20"/>
    <w:pPr>
      <w:numPr>
        <w:numId w:val="0"/>
      </w:numPr>
    </w:pPr>
  </w:style>
  <w:style w:type="paragraph" w:customStyle="1" w:styleId="FormatvorlageBRL-AnlageLinks">
    <w:name w:val="Formatvorlage BRL-Anlage + Links"/>
    <w:basedOn w:val="BRL-Anlage"/>
    <w:rsid w:val="005D0C20"/>
    <w:pPr>
      <w:tabs>
        <w:tab w:val="left" w:pos="1985"/>
      </w:tabs>
    </w:pPr>
    <w:rPr>
      <w:bCs/>
    </w:rPr>
  </w:style>
  <w:style w:type="paragraph" w:customStyle="1" w:styleId="FormatvorlageBRL-StandardAufzhlungStrich9Pt">
    <w:name w:val="Formatvorlage BRL-Standard + Aufzählung Strich + 9 Pt."/>
    <w:basedOn w:val="BRL-StandardAufzhlungStrich"/>
    <w:rsid w:val="005D0C20"/>
    <w:pPr>
      <w:numPr>
        <w:numId w:val="0"/>
      </w:numPr>
      <w:spacing w:line="240" w:lineRule="auto"/>
    </w:pPr>
  </w:style>
  <w:style w:type="paragraph" w:customStyle="1" w:styleId="FormatvorlageBRL-StandardAufzhlungStrich9Pt1">
    <w:name w:val="Formatvorlage BRL-Standard + Aufzählung Strich + 9 Pt.1"/>
    <w:basedOn w:val="BRL-StandardAufzhlungStrich"/>
    <w:rsid w:val="005D0C20"/>
    <w:pPr>
      <w:numPr>
        <w:numId w:val="0"/>
      </w:numPr>
      <w:spacing w:before="40"/>
    </w:pPr>
  </w:style>
  <w:style w:type="paragraph" w:customStyle="1" w:styleId="FormatvorlageBRL-StandardRechts">
    <w:name w:val="Formatvorlage BRL-Standard + Rechts"/>
    <w:basedOn w:val="Normal"/>
    <w:rsid w:val="005D0C20"/>
    <w:pPr>
      <w:spacing w:line="240" w:lineRule="auto"/>
      <w:jc w:val="both"/>
    </w:pPr>
    <w:rPr>
      <w:szCs w:val="18"/>
      <w:lang w:eastAsia="en-US"/>
    </w:rPr>
  </w:style>
  <w:style w:type="paragraph" w:customStyle="1" w:styleId="FormatvorlageBRL-StandardRechts1">
    <w:name w:val="Formatvorlage BRL-Standard + Rechts1"/>
    <w:basedOn w:val="BRL-Standard"/>
    <w:rsid w:val="005D0C20"/>
    <w:pPr>
      <w:jc w:val="left"/>
    </w:pPr>
    <w:rPr>
      <w:lang w:eastAsia="en-US"/>
    </w:rPr>
  </w:style>
  <w:style w:type="paragraph" w:customStyle="1" w:styleId="FormatvorlageBRL-TabelleVor2pt">
    <w:name w:val="Formatvorlage BRL-Tabelle + Vor:  2 pt"/>
    <w:basedOn w:val="BRL-Tabelle"/>
    <w:rsid w:val="005D0C20"/>
    <w:pPr>
      <w:spacing w:before="40" w:after="40"/>
    </w:pPr>
    <w:rPr>
      <w:szCs w:val="20"/>
    </w:rPr>
  </w:style>
  <w:style w:type="paragraph" w:customStyle="1" w:styleId="FormatvorlageBRLTabelleberschriftNichtFett">
    <w:name w:val="Formatvorlage BRLTabelle Überschrift + Nicht Fett"/>
    <w:basedOn w:val="Normal"/>
    <w:autoRedefine/>
    <w:rsid w:val="005D0C20"/>
    <w:pPr>
      <w:keepNext/>
      <w:tabs>
        <w:tab w:val="left" w:pos="851"/>
      </w:tabs>
      <w:spacing w:before="40" w:line="276" w:lineRule="auto"/>
      <w:ind w:left="1418" w:hanging="1418"/>
      <w:jc w:val="both"/>
    </w:pPr>
    <w:rPr>
      <w:b/>
      <w:szCs w:val="22"/>
    </w:rPr>
  </w:style>
  <w:style w:type="paragraph" w:customStyle="1" w:styleId="FormatvorlageBRL-TabelleberschriftNichtFett">
    <w:name w:val="Formatvorlage BRL-Tabelle Überschrift + Nicht Fett"/>
    <w:basedOn w:val="BRL-Tabelleberschrift"/>
    <w:rsid w:val="005D0C20"/>
    <w:pPr>
      <w:ind w:left="1304" w:hanging="1304"/>
    </w:pPr>
    <w:rPr>
      <w:b w:val="0"/>
    </w:rPr>
  </w:style>
  <w:style w:type="paragraph" w:customStyle="1" w:styleId="FormatvorlageBRL-berschriftLinks0cmHngend175cm">
    <w:name w:val="Formatvorlage BRL-Überschrift + Links:  0 cm Hängend:  175 cm"/>
    <w:basedOn w:val="BRL-berschrift"/>
    <w:autoRedefine/>
    <w:rsid w:val="005D0C20"/>
    <w:rPr>
      <w:bCs w:val="0"/>
      <w:szCs w:val="20"/>
    </w:rPr>
  </w:style>
  <w:style w:type="character" w:customStyle="1" w:styleId="FormatvorlageFett">
    <w:name w:val="Formatvorlage Fett"/>
    <w:rsid w:val="005D0C20"/>
    <w:rPr>
      <w:b/>
      <w:bCs/>
    </w:rPr>
  </w:style>
  <w:style w:type="paragraph" w:customStyle="1" w:styleId="FormatvorlageFormatvorlageBRL-TabelleberschriftNichtFettFett">
    <w:name w:val="Formatvorlage Formatvorlage BRL-Tabelle Überschrift + Nicht Fett + Fett"/>
    <w:basedOn w:val="FormatvorlageBRL-TabelleberschriftNichtFett"/>
    <w:rsid w:val="005D0C20"/>
    <w:pPr>
      <w:ind w:left="1247" w:hanging="1247"/>
    </w:pPr>
    <w:rPr>
      <w:b/>
      <w:bCs w:val="0"/>
    </w:rPr>
  </w:style>
  <w:style w:type="paragraph" w:customStyle="1" w:styleId="FormatvorlageTabellenbeschriftung">
    <w:name w:val="Formatvorlage Tabellenbeschriftung +"/>
    <w:basedOn w:val="Normal"/>
    <w:autoRedefine/>
    <w:rsid w:val="005D0C20"/>
    <w:pPr>
      <w:spacing w:after="120" w:line="240" w:lineRule="auto"/>
      <w:ind w:left="1134" w:hanging="1134"/>
      <w:jc w:val="both"/>
    </w:pPr>
    <w:rPr>
      <w:szCs w:val="18"/>
    </w:rPr>
  </w:style>
  <w:style w:type="numbering" w:customStyle="1" w:styleId="Formatvorlage1">
    <w:name w:val="Formatvorlage1"/>
    <w:uiPriority w:val="99"/>
    <w:rsid w:val="005D0C20"/>
    <w:pPr>
      <w:numPr>
        <w:numId w:val="22"/>
      </w:numPr>
    </w:pPr>
  </w:style>
  <w:style w:type="numbering" w:customStyle="1" w:styleId="Formatvorlage11">
    <w:name w:val="Formatvorlage11"/>
    <w:uiPriority w:val="99"/>
    <w:rsid w:val="005D0C20"/>
  </w:style>
  <w:style w:type="numbering" w:customStyle="1" w:styleId="Formatvorlage111">
    <w:name w:val="Formatvorlage111"/>
    <w:uiPriority w:val="99"/>
    <w:rsid w:val="005D0C20"/>
  </w:style>
  <w:style w:type="numbering" w:customStyle="1" w:styleId="Formatvorlage12">
    <w:name w:val="Formatvorlage12"/>
    <w:uiPriority w:val="99"/>
    <w:rsid w:val="005D0C20"/>
  </w:style>
  <w:style w:type="numbering" w:customStyle="1" w:styleId="Formatvorlage2">
    <w:name w:val="Formatvorlage2"/>
    <w:uiPriority w:val="99"/>
    <w:rsid w:val="005D0C20"/>
    <w:pPr>
      <w:numPr>
        <w:numId w:val="23"/>
      </w:numPr>
    </w:pPr>
  </w:style>
  <w:style w:type="numbering" w:customStyle="1" w:styleId="Formatvorlage21">
    <w:name w:val="Formatvorlage21"/>
    <w:uiPriority w:val="99"/>
    <w:rsid w:val="005D0C20"/>
  </w:style>
  <w:style w:type="numbering" w:customStyle="1" w:styleId="Formatvorlage211">
    <w:name w:val="Formatvorlage211"/>
    <w:uiPriority w:val="99"/>
    <w:rsid w:val="005D0C20"/>
  </w:style>
  <w:style w:type="numbering" w:customStyle="1" w:styleId="Formatvorlage22">
    <w:name w:val="Formatvorlage22"/>
    <w:uiPriority w:val="99"/>
    <w:rsid w:val="005D0C20"/>
  </w:style>
  <w:style w:type="numbering" w:customStyle="1" w:styleId="Formatvorlage3">
    <w:name w:val="Formatvorlage3"/>
    <w:uiPriority w:val="99"/>
    <w:rsid w:val="005D0C20"/>
    <w:pPr>
      <w:numPr>
        <w:numId w:val="24"/>
      </w:numPr>
    </w:pPr>
  </w:style>
  <w:style w:type="numbering" w:customStyle="1" w:styleId="Formatvorlage31">
    <w:name w:val="Formatvorlage31"/>
    <w:uiPriority w:val="99"/>
    <w:rsid w:val="005D0C20"/>
    <w:pPr>
      <w:numPr>
        <w:numId w:val="25"/>
      </w:numPr>
    </w:pPr>
  </w:style>
  <w:style w:type="numbering" w:customStyle="1" w:styleId="Formatvorlage311">
    <w:name w:val="Formatvorlage311"/>
    <w:uiPriority w:val="99"/>
    <w:rsid w:val="005D0C20"/>
  </w:style>
  <w:style w:type="numbering" w:customStyle="1" w:styleId="Formatvorlage32">
    <w:name w:val="Formatvorlage32"/>
    <w:uiPriority w:val="99"/>
    <w:rsid w:val="005D0C20"/>
  </w:style>
  <w:style w:type="paragraph" w:styleId="NoteHeading">
    <w:name w:val="Note Heading"/>
    <w:basedOn w:val="Normal"/>
    <w:next w:val="Normal"/>
    <w:link w:val="NoteHeadingChar"/>
    <w:rsid w:val="005D0C20"/>
    <w:pPr>
      <w:spacing w:line="240" w:lineRule="auto"/>
      <w:jc w:val="both"/>
    </w:pPr>
    <w:rPr>
      <w:sz w:val="24"/>
      <w:szCs w:val="24"/>
    </w:rPr>
  </w:style>
  <w:style w:type="character" w:customStyle="1" w:styleId="NoteHeadingChar">
    <w:name w:val="Note Heading Char"/>
    <w:link w:val="NoteHeading"/>
    <w:rsid w:val="005D0C20"/>
    <w:rPr>
      <w:rFonts w:ascii="Arial" w:hAnsi="Arial" w:cs="Times New Roman"/>
      <w:sz w:val="24"/>
      <w:szCs w:val="24"/>
      <w:lang w:eastAsia="de-DE"/>
    </w:rPr>
  </w:style>
  <w:style w:type="paragraph" w:customStyle="1" w:styleId="Funotentext-Norm">
    <w:name w:val="Fußnotentext-Norm"/>
    <w:basedOn w:val="FootnoteText"/>
    <w:rsid w:val="005D0C20"/>
    <w:pPr>
      <w:tabs>
        <w:tab w:val="left" w:pos="850"/>
        <w:tab w:val="left" w:pos="3119"/>
      </w:tabs>
      <w:spacing w:line="240" w:lineRule="auto"/>
      <w:ind w:left="3119" w:hanging="3119"/>
    </w:pPr>
  </w:style>
  <w:style w:type="paragraph" w:customStyle="1" w:styleId="GliederungA">
    <w:name w:val="Gliederung_A"/>
    <w:basedOn w:val="Normal"/>
    <w:link w:val="GliederungAChar"/>
    <w:rsid w:val="005D0C20"/>
    <w:pPr>
      <w:spacing w:line="360" w:lineRule="auto"/>
      <w:ind w:left="284" w:hanging="284"/>
      <w:jc w:val="both"/>
    </w:pPr>
    <w:rPr>
      <w:rFonts w:ascii="Times New Roman" w:hAnsi="Times New Roman"/>
      <w:sz w:val="24"/>
      <w:szCs w:val="18"/>
    </w:rPr>
  </w:style>
  <w:style w:type="character" w:customStyle="1" w:styleId="GliederungAChar">
    <w:name w:val="Gliederung_A Char"/>
    <w:link w:val="GliederungA"/>
    <w:rsid w:val="005D0C20"/>
    <w:rPr>
      <w:rFonts w:ascii="Times New Roman" w:hAnsi="Times New Roman" w:cs="Times New Roman"/>
      <w:sz w:val="24"/>
      <w:szCs w:val="18"/>
      <w:lang w:eastAsia="de-DE"/>
    </w:rPr>
  </w:style>
  <w:style w:type="paragraph" w:customStyle="1" w:styleId="GliederungB">
    <w:name w:val="Gliederung_B"/>
    <w:basedOn w:val="Normal"/>
    <w:rsid w:val="005D0C20"/>
    <w:pPr>
      <w:spacing w:line="360" w:lineRule="auto"/>
      <w:ind w:left="1134" w:hanging="567"/>
      <w:jc w:val="both"/>
    </w:pPr>
    <w:rPr>
      <w:rFonts w:ascii="Times New Roman" w:hAnsi="Times New Roman"/>
      <w:sz w:val="24"/>
      <w:szCs w:val="18"/>
    </w:rPr>
  </w:style>
  <w:style w:type="paragraph" w:styleId="Closing">
    <w:name w:val="Closing"/>
    <w:basedOn w:val="Normal"/>
    <w:link w:val="ClosingChar"/>
    <w:rsid w:val="005D0C20"/>
    <w:pPr>
      <w:spacing w:line="240" w:lineRule="auto"/>
      <w:ind w:left="4252"/>
      <w:jc w:val="both"/>
    </w:pPr>
    <w:rPr>
      <w:sz w:val="24"/>
      <w:szCs w:val="24"/>
    </w:rPr>
  </w:style>
  <w:style w:type="character" w:customStyle="1" w:styleId="ClosingChar">
    <w:name w:val="Closing Char"/>
    <w:link w:val="Closing"/>
    <w:rsid w:val="005D0C20"/>
    <w:rPr>
      <w:rFonts w:ascii="Arial" w:hAnsi="Arial" w:cs="Times New Roman"/>
      <w:sz w:val="24"/>
      <w:szCs w:val="24"/>
      <w:lang w:eastAsia="de-DE"/>
    </w:rPr>
  </w:style>
  <w:style w:type="table" w:styleId="LightShading">
    <w:name w:val="Light Shading"/>
    <w:basedOn w:val="TableNormal"/>
    <w:uiPriority w:val="60"/>
    <w:rsid w:val="005D0C20"/>
    <w:pPr>
      <w:spacing w:after="0" w:line="240" w:lineRule="auto"/>
    </w:pPr>
    <w:rPr>
      <w:rFonts w:ascii="Arial" w:hAnsi="Arial" w:cs="Times New Roman"/>
      <w:color w:val="000000"/>
      <w:sz w:val="18"/>
      <w:szCs w:val="18"/>
      <w:lang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1">
    <w:name w:val="Helle Schattierung1"/>
    <w:basedOn w:val="TableNormal"/>
    <w:next w:val="LightShading"/>
    <w:uiPriority w:val="60"/>
    <w:rsid w:val="005D0C20"/>
    <w:pPr>
      <w:spacing w:after="0" w:line="240" w:lineRule="auto"/>
    </w:pPr>
    <w:rPr>
      <w:rFonts w:ascii="Arial" w:hAnsi="Arial" w:cs="Times New Roman"/>
      <w:color w:val="000000"/>
      <w:sz w:val="18"/>
      <w:szCs w:val="18"/>
      <w:lang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11">
    <w:name w:val="Helle Schattierung11"/>
    <w:basedOn w:val="TableNormal"/>
    <w:next w:val="LightShading"/>
    <w:uiPriority w:val="60"/>
    <w:rsid w:val="005D0C20"/>
    <w:pPr>
      <w:spacing w:after="0" w:line="240" w:lineRule="auto"/>
    </w:pPr>
    <w:rPr>
      <w:rFonts w:ascii="Arial" w:hAnsi="Arial" w:cs="Times New Roman"/>
      <w:color w:val="000000"/>
      <w:sz w:val="18"/>
      <w:szCs w:val="18"/>
      <w:lang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2">
    <w:name w:val="Helle Schattierung2"/>
    <w:basedOn w:val="TableNormal"/>
    <w:next w:val="LightShading"/>
    <w:uiPriority w:val="60"/>
    <w:rsid w:val="005D0C20"/>
    <w:pPr>
      <w:spacing w:after="0" w:line="240" w:lineRule="auto"/>
    </w:pPr>
    <w:rPr>
      <w:rFonts w:ascii="Arial" w:hAnsi="Arial" w:cs="Times New Roman"/>
      <w:color w:val="000000"/>
      <w:sz w:val="18"/>
      <w:szCs w:val="18"/>
      <w:lang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rvorheben">
    <w:name w:val="Hervorheben"/>
    <w:basedOn w:val="Normal"/>
    <w:link w:val="HervorhebenZchn"/>
    <w:qFormat/>
    <w:rsid w:val="005D0C20"/>
    <w:pPr>
      <w:suppressAutoHyphens/>
      <w:spacing w:after="120" w:line="240" w:lineRule="auto"/>
      <w:jc w:val="both"/>
    </w:pPr>
    <w:rPr>
      <w:b/>
      <w:color w:val="F79646"/>
      <w:szCs w:val="18"/>
    </w:rPr>
  </w:style>
  <w:style w:type="character" w:customStyle="1" w:styleId="HervorhebenZchn">
    <w:name w:val="Hervorheben Zchn"/>
    <w:link w:val="Hervorheben"/>
    <w:rsid w:val="005D0C20"/>
    <w:rPr>
      <w:rFonts w:ascii="Arial" w:hAnsi="Arial" w:cs="Times New Roman"/>
      <w:b/>
      <w:color w:val="F79646"/>
      <w:sz w:val="18"/>
      <w:szCs w:val="18"/>
      <w:lang w:eastAsia="de-DE"/>
    </w:rPr>
  </w:style>
  <w:style w:type="character" w:styleId="Emphasis">
    <w:name w:val="Emphasis"/>
    <w:uiPriority w:val="20"/>
    <w:qFormat/>
    <w:rsid w:val="005D0C20"/>
    <w:rPr>
      <w:i/>
      <w:iCs/>
    </w:rPr>
  </w:style>
  <w:style w:type="paragraph" w:styleId="HTMLAddress">
    <w:name w:val="HTML Address"/>
    <w:basedOn w:val="Normal"/>
    <w:link w:val="HTMLAddressChar"/>
    <w:rsid w:val="005D0C20"/>
    <w:pPr>
      <w:spacing w:line="240" w:lineRule="auto"/>
      <w:jc w:val="both"/>
    </w:pPr>
    <w:rPr>
      <w:i/>
      <w:iCs/>
      <w:sz w:val="24"/>
      <w:szCs w:val="24"/>
    </w:rPr>
  </w:style>
  <w:style w:type="character" w:customStyle="1" w:styleId="HTMLAddressChar">
    <w:name w:val="HTML Address Char"/>
    <w:link w:val="HTMLAddress"/>
    <w:rsid w:val="005D0C20"/>
    <w:rPr>
      <w:rFonts w:ascii="Arial" w:hAnsi="Arial" w:cs="Times New Roman"/>
      <w:i/>
      <w:iCs/>
      <w:sz w:val="24"/>
      <w:szCs w:val="24"/>
      <w:lang w:eastAsia="de-DE"/>
    </w:rPr>
  </w:style>
  <w:style w:type="paragraph" w:styleId="HTMLPreformatted">
    <w:name w:val="HTML Preformatted"/>
    <w:basedOn w:val="Normal"/>
    <w:link w:val="HTMLPreformattedChar"/>
    <w:rsid w:val="005D0C20"/>
    <w:pPr>
      <w:spacing w:line="240" w:lineRule="auto"/>
      <w:jc w:val="both"/>
    </w:pPr>
    <w:rPr>
      <w:rFonts w:ascii="Courier New" w:hAnsi="Courier New" w:cs="Courier New"/>
      <w:szCs w:val="18"/>
    </w:rPr>
  </w:style>
  <w:style w:type="character" w:customStyle="1" w:styleId="HTMLPreformattedChar">
    <w:name w:val="HTML Preformatted Char"/>
    <w:link w:val="HTMLPreformatted"/>
    <w:rsid w:val="005D0C20"/>
    <w:rPr>
      <w:rFonts w:ascii="Courier New" w:hAnsi="Courier New" w:cs="Courier New"/>
      <w:sz w:val="18"/>
      <w:szCs w:val="18"/>
      <w:lang w:eastAsia="de-DE"/>
    </w:rPr>
  </w:style>
  <w:style w:type="paragraph" w:styleId="Index1">
    <w:name w:val="index 1"/>
    <w:basedOn w:val="Normal"/>
    <w:next w:val="Normal"/>
    <w:autoRedefine/>
    <w:uiPriority w:val="99"/>
    <w:semiHidden/>
    <w:unhideWhenUsed/>
    <w:rsid w:val="005D0C20"/>
    <w:pPr>
      <w:spacing w:line="276" w:lineRule="auto"/>
      <w:ind w:left="180" w:hanging="180"/>
      <w:jc w:val="both"/>
    </w:pPr>
    <w:rPr>
      <w:szCs w:val="18"/>
    </w:rPr>
  </w:style>
  <w:style w:type="paragraph" w:styleId="Index2">
    <w:name w:val="index 2"/>
    <w:basedOn w:val="Normal"/>
    <w:next w:val="Normal"/>
    <w:autoRedefine/>
    <w:uiPriority w:val="99"/>
    <w:semiHidden/>
    <w:unhideWhenUsed/>
    <w:rsid w:val="005D0C20"/>
    <w:pPr>
      <w:spacing w:line="276" w:lineRule="auto"/>
      <w:ind w:left="360" w:hanging="180"/>
      <w:jc w:val="both"/>
    </w:pPr>
    <w:rPr>
      <w:szCs w:val="18"/>
    </w:rPr>
  </w:style>
  <w:style w:type="paragraph" w:styleId="Index3">
    <w:name w:val="index 3"/>
    <w:basedOn w:val="Normal"/>
    <w:next w:val="Normal"/>
    <w:autoRedefine/>
    <w:uiPriority w:val="99"/>
    <w:semiHidden/>
    <w:unhideWhenUsed/>
    <w:rsid w:val="005D0C20"/>
    <w:pPr>
      <w:spacing w:line="276" w:lineRule="auto"/>
      <w:ind w:left="540" w:hanging="180"/>
      <w:jc w:val="both"/>
    </w:pPr>
    <w:rPr>
      <w:szCs w:val="18"/>
    </w:rPr>
  </w:style>
  <w:style w:type="paragraph" w:styleId="Index4">
    <w:name w:val="index 4"/>
    <w:basedOn w:val="Normal"/>
    <w:next w:val="Normal"/>
    <w:autoRedefine/>
    <w:uiPriority w:val="99"/>
    <w:semiHidden/>
    <w:unhideWhenUsed/>
    <w:rsid w:val="005D0C20"/>
    <w:pPr>
      <w:spacing w:line="276" w:lineRule="auto"/>
      <w:ind w:left="720" w:hanging="180"/>
      <w:jc w:val="both"/>
    </w:pPr>
    <w:rPr>
      <w:szCs w:val="18"/>
    </w:rPr>
  </w:style>
  <w:style w:type="paragraph" w:styleId="Index5">
    <w:name w:val="index 5"/>
    <w:basedOn w:val="Normal"/>
    <w:next w:val="Normal"/>
    <w:autoRedefine/>
    <w:uiPriority w:val="99"/>
    <w:semiHidden/>
    <w:unhideWhenUsed/>
    <w:rsid w:val="005D0C20"/>
    <w:pPr>
      <w:spacing w:line="276" w:lineRule="auto"/>
      <w:ind w:left="900" w:hanging="180"/>
      <w:jc w:val="both"/>
    </w:pPr>
    <w:rPr>
      <w:szCs w:val="18"/>
    </w:rPr>
  </w:style>
  <w:style w:type="paragraph" w:styleId="Index6">
    <w:name w:val="index 6"/>
    <w:basedOn w:val="Normal"/>
    <w:next w:val="Normal"/>
    <w:autoRedefine/>
    <w:uiPriority w:val="99"/>
    <w:semiHidden/>
    <w:unhideWhenUsed/>
    <w:rsid w:val="005D0C20"/>
    <w:pPr>
      <w:spacing w:line="276" w:lineRule="auto"/>
      <w:ind w:left="1080" w:hanging="180"/>
      <w:jc w:val="both"/>
    </w:pPr>
    <w:rPr>
      <w:szCs w:val="18"/>
    </w:rPr>
  </w:style>
  <w:style w:type="paragraph" w:styleId="Index7">
    <w:name w:val="index 7"/>
    <w:basedOn w:val="Normal"/>
    <w:next w:val="Normal"/>
    <w:autoRedefine/>
    <w:uiPriority w:val="99"/>
    <w:semiHidden/>
    <w:unhideWhenUsed/>
    <w:rsid w:val="005D0C20"/>
    <w:pPr>
      <w:spacing w:line="276" w:lineRule="auto"/>
      <w:ind w:left="1260" w:hanging="180"/>
      <w:jc w:val="both"/>
    </w:pPr>
    <w:rPr>
      <w:szCs w:val="18"/>
    </w:rPr>
  </w:style>
  <w:style w:type="paragraph" w:styleId="Index8">
    <w:name w:val="index 8"/>
    <w:basedOn w:val="Normal"/>
    <w:next w:val="Normal"/>
    <w:autoRedefine/>
    <w:uiPriority w:val="99"/>
    <w:semiHidden/>
    <w:unhideWhenUsed/>
    <w:rsid w:val="005D0C20"/>
    <w:pPr>
      <w:spacing w:line="276" w:lineRule="auto"/>
      <w:ind w:left="1440" w:hanging="180"/>
      <w:jc w:val="both"/>
    </w:pPr>
    <w:rPr>
      <w:szCs w:val="18"/>
    </w:rPr>
  </w:style>
  <w:style w:type="paragraph" w:styleId="Index9">
    <w:name w:val="index 9"/>
    <w:basedOn w:val="Normal"/>
    <w:next w:val="Normal"/>
    <w:autoRedefine/>
    <w:uiPriority w:val="99"/>
    <w:semiHidden/>
    <w:unhideWhenUsed/>
    <w:rsid w:val="005D0C20"/>
    <w:pPr>
      <w:spacing w:line="276" w:lineRule="auto"/>
      <w:ind w:left="1620" w:hanging="180"/>
      <w:jc w:val="both"/>
    </w:pPr>
    <w:rPr>
      <w:szCs w:val="18"/>
    </w:rPr>
  </w:style>
  <w:style w:type="paragraph" w:styleId="IndexHeading">
    <w:name w:val="index heading"/>
    <w:basedOn w:val="Normal"/>
    <w:next w:val="Index1"/>
    <w:uiPriority w:val="99"/>
    <w:semiHidden/>
    <w:unhideWhenUsed/>
    <w:rsid w:val="005D0C20"/>
    <w:pPr>
      <w:spacing w:line="276" w:lineRule="auto"/>
      <w:jc w:val="both"/>
    </w:pPr>
    <w:rPr>
      <w:rFonts w:asciiTheme="majorHAnsi" w:eastAsiaTheme="majorEastAsia" w:hAnsiTheme="majorHAnsi" w:cstheme="majorBidi"/>
      <w:b/>
      <w:bCs/>
      <w:szCs w:val="18"/>
    </w:rPr>
  </w:style>
  <w:style w:type="paragraph" w:customStyle="1" w:styleId="InhaltZwischenseite">
    <w:name w:val="Inhalt Zwischenseite"/>
    <w:basedOn w:val="Normal"/>
    <w:link w:val="InhaltZwischenseiteZchn"/>
    <w:qFormat/>
    <w:rsid w:val="005D0C20"/>
    <w:pPr>
      <w:tabs>
        <w:tab w:val="left" w:pos="567"/>
      </w:tabs>
      <w:spacing w:after="120" w:line="276" w:lineRule="auto"/>
      <w:ind w:left="567" w:hanging="567"/>
    </w:pPr>
    <w:rPr>
      <w:szCs w:val="18"/>
    </w:rPr>
  </w:style>
  <w:style w:type="character" w:customStyle="1" w:styleId="InhaltZwischenseiteZchn">
    <w:name w:val="Inhalt Zwischenseite Zchn"/>
    <w:basedOn w:val="DefaultParagraphFont"/>
    <w:link w:val="InhaltZwischenseite"/>
    <w:rsid w:val="005D0C20"/>
    <w:rPr>
      <w:rFonts w:ascii="Arial" w:hAnsi="Arial" w:cs="Times New Roman"/>
      <w:sz w:val="18"/>
      <w:szCs w:val="18"/>
      <w:lang w:eastAsia="de-DE"/>
    </w:rPr>
  </w:style>
  <w:style w:type="paragraph" w:styleId="TOCHeading">
    <w:name w:val="TOC Heading"/>
    <w:basedOn w:val="Heading1"/>
    <w:next w:val="Normal"/>
    <w:uiPriority w:val="39"/>
    <w:semiHidden/>
    <w:unhideWhenUsed/>
    <w:qFormat/>
    <w:rsid w:val="005D0C20"/>
    <w:pPr>
      <w:keepLines/>
      <w:spacing w:before="480" w:line="276" w:lineRule="auto"/>
      <w:outlineLvl w:val="9"/>
    </w:pPr>
    <w:rPr>
      <w:rFonts w:ascii="Cambria" w:hAnsi="Cambria"/>
      <w:bCs/>
      <w:color w:val="365F91"/>
      <w:kern w:val="0"/>
      <w:szCs w:val="28"/>
    </w:rPr>
  </w:style>
  <w:style w:type="paragraph" w:styleId="IntenseQuote">
    <w:name w:val="Intense Quote"/>
    <w:basedOn w:val="Normal"/>
    <w:next w:val="Normal"/>
    <w:link w:val="IntenseQuoteChar"/>
    <w:uiPriority w:val="30"/>
    <w:qFormat/>
    <w:rsid w:val="005D0C20"/>
    <w:pPr>
      <w:pBdr>
        <w:bottom w:val="single" w:sz="4" w:space="4" w:color="4F81BD" w:themeColor="accent1"/>
      </w:pBdr>
      <w:spacing w:before="200" w:after="280" w:line="276" w:lineRule="auto"/>
      <w:ind w:left="936" w:right="936"/>
      <w:jc w:val="both"/>
    </w:pPr>
    <w:rPr>
      <w:b/>
      <w:bCs/>
      <w:i/>
      <w:iCs/>
      <w:color w:val="4F81BD" w:themeColor="accent1"/>
      <w:szCs w:val="18"/>
    </w:rPr>
  </w:style>
  <w:style w:type="character" w:customStyle="1" w:styleId="IntenseQuoteChar">
    <w:name w:val="Intense Quote Char"/>
    <w:basedOn w:val="DefaultParagraphFont"/>
    <w:link w:val="IntenseQuote"/>
    <w:uiPriority w:val="30"/>
    <w:rsid w:val="005D0C20"/>
    <w:rPr>
      <w:rFonts w:ascii="Arial" w:hAnsi="Arial" w:cs="Times New Roman"/>
      <w:b/>
      <w:bCs/>
      <w:i/>
      <w:iCs/>
      <w:color w:val="4F81BD" w:themeColor="accent1"/>
      <w:sz w:val="18"/>
      <w:szCs w:val="18"/>
      <w:lang w:eastAsia="de-DE"/>
    </w:rPr>
  </w:style>
  <w:style w:type="paragraph" w:customStyle="1" w:styleId="ISOComments">
    <w:name w:val="ISO_Comments"/>
    <w:basedOn w:val="Normal"/>
    <w:rsid w:val="005D0C20"/>
    <w:pPr>
      <w:spacing w:before="210" w:line="210" w:lineRule="atLeast"/>
      <w:jc w:val="both"/>
    </w:pPr>
    <w:rPr>
      <w:szCs w:val="18"/>
      <w:lang w:eastAsia="en-US"/>
    </w:rPr>
  </w:style>
  <w:style w:type="paragraph" w:styleId="NoSpacing">
    <w:name w:val="No Spacing"/>
    <w:uiPriority w:val="1"/>
    <w:qFormat/>
    <w:rsid w:val="005D0C20"/>
    <w:pPr>
      <w:spacing w:after="0" w:line="240" w:lineRule="auto"/>
    </w:pPr>
    <w:rPr>
      <w:rFonts w:ascii="Times New Roman" w:hAnsi="Times New Roman" w:cs="Times New Roman"/>
      <w:sz w:val="24"/>
      <w:szCs w:val="24"/>
      <w:lang w:eastAsia="de-DE"/>
    </w:rPr>
  </w:style>
  <w:style w:type="numbering" w:customStyle="1" w:styleId="KeineListe1">
    <w:name w:val="Keine Liste1"/>
    <w:next w:val="NoList"/>
    <w:uiPriority w:val="99"/>
    <w:semiHidden/>
    <w:unhideWhenUsed/>
    <w:rsid w:val="005D0C20"/>
  </w:style>
  <w:style w:type="numbering" w:customStyle="1" w:styleId="KeineListe11">
    <w:name w:val="Keine Liste11"/>
    <w:next w:val="NoList"/>
    <w:uiPriority w:val="99"/>
    <w:semiHidden/>
    <w:unhideWhenUsed/>
    <w:rsid w:val="005D0C20"/>
  </w:style>
  <w:style w:type="numbering" w:customStyle="1" w:styleId="KeineListe111">
    <w:name w:val="Keine Liste111"/>
    <w:next w:val="NoList"/>
    <w:uiPriority w:val="99"/>
    <w:semiHidden/>
    <w:unhideWhenUsed/>
    <w:rsid w:val="005D0C20"/>
  </w:style>
  <w:style w:type="numbering" w:customStyle="1" w:styleId="KeineListe1111">
    <w:name w:val="Keine Liste1111"/>
    <w:next w:val="NoList"/>
    <w:uiPriority w:val="99"/>
    <w:semiHidden/>
    <w:unhideWhenUsed/>
    <w:rsid w:val="005D0C20"/>
  </w:style>
  <w:style w:type="numbering" w:customStyle="1" w:styleId="KeineListe112">
    <w:name w:val="Keine Liste112"/>
    <w:next w:val="NoList"/>
    <w:uiPriority w:val="99"/>
    <w:semiHidden/>
    <w:unhideWhenUsed/>
    <w:rsid w:val="005D0C20"/>
  </w:style>
  <w:style w:type="numbering" w:customStyle="1" w:styleId="KeineListe12">
    <w:name w:val="Keine Liste12"/>
    <w:next w:val="NoList"/>
    <w:uiPriority w:val="99"/>
    <w:semiHidden/>
    <w:unhideWhenUsed/>
    <w:rsid w:val="005D0C20"/>
  </w:style>
  <w:style w:type="numbering" w:customStyle="1" w:styleId="KeineListe2">
    <w:name w:val="Keine Liste2"/>
    <w:next w:val="NoList"/>
    <w:uiPriority w:val="99"/>
    <w:semiHidden/>
    <w:unhideWhenUsed/>
    <w:rsid w:val="005D0C20"/>
  </w:style>
  <w:style w:type="numbering" w:customStyle="1" w:styleId="KeineListe21">
    <w:name w:val="Keine Liste21"/>
    <w:next w:val="NoList"/>
    <w:uiPriority w:val="99"/>
    <w:semiHidden/>
    <w:unhideWhenUsed/>
    <w:rsid w:val="005D0C20"/>
  </w:style>
  <w:style w:type="numbering" w:customStyle="1" w:styleId="KeineListe211">
    <w:name w:val="Keine Liste211"/>
    <w:next w:val="NoList"/>
    <w:uiPriority w:val="99"/>
    <w:semiHidden/>
    <w:unhideWhenUsed/>
    <w:rsid w:val="005D0C20"/>
  </w:style>
  <w:style w:type="numbering" w:customStyle="1" w:styleId="KeineListe22">
    <w:name w:val="Keine Liste22"/>
    <w:next w:val="NoList"/>
    <w:uiPriority w:val="99"/>
    <w:semiHidden/>
    <w:unhideWhenUsed/>
    <w:rsid w:val="005D0C20"/>
  </w:style>
  <w:style w:type="numbering" w:customStyle="1" w:styleId="KeineListe3">
    <w:name w:val="Keine Liste3"/>
    <w:next w:val="NoList"/>
    <w:uiPriority w:val="99"/>
    <w:semiHidden/>
    <w:unhideWhenUsed/>
    <w:rsid w:val="005D0C20"/>
  </w:style>
  <w:style w:type="paragraph" w:styleId="CommentText">
    <w:name w:val="annotation text"/>
    <w:basedOn w:val="Normal"/>
    <w:link w:val="CommentTextChar"/>
    <w:rsid w:val="005D0C20"/>
    <w:pPr>
      <w:spacing w:line="240" w:lineRule="auto"/>
      <w:jc w:val="both"/>
    </w:pPr>
    <w:rPr>
      <w:szCs w:val="18"/>
    </w:rPr>
  </w:style>
  <w:style w:type="character" w:customStyle="1" w:styleId="CommentTextChar">
    <w:name w:val="Comment Text Char"/>
    <w:link w:val="CommentText"/>
    <w:rsid w:val="005D0C20"/>
    <w:rPr>
      <w:rFonts w:ascii="Arial" w:hAnsi="Arial" w:cs="Times New Roman"/>
      <w:sz w:val="18"/>
      <w:szCs w:val="18"/>
      <w:lang w:eastAsia="de-DE"/>
    </w:rPr>
  </w:style>
  <w:style w:type="character" w:customStyle="1" w:styleId="KommentartextZchn1">
    <w:name w:val="Kommentartext Zchn1"/>
    <w:uiPriority w:val="99"/>
    <w:semiHidden/>
    <w:rsid w:val="005D0C20"/>
    <w:rPr>
      <w:rFonts w:ascii="Arial" w:hAnsi="Arial" w:cs="Times New Roman"/>
      <w:sz w:val="20"/>
      <w:szCs w:val="20"/>
      <w:lang w:eastAsia="de-DE"/>
    </w:rPr>
  </w:style>
  <w:style w:type="paragraph" w:styleId="CommentSubject">
    <w:name w:val="annotation subject"/>
    <w:basedOn w:val="CommentText"/>
    <w:next w:val="CommentText"/>
    <w:link w:val="CommentSubjectChar"/>
    <w:rsid w:val="005D0C20"/>
    <w:rPr>
      <w:b/>
      <w:bCs/>
    </w:rPr>
  </w:style>
  <w:style w:type="character" w:customStyle="1" w:styleId="CommentSubjectChar">
    <w:name w:val="Comment Subject Char"/>
    <w:link w:val="CommentSubject"/>
    <w:rsid w:val="005D0C20"/>
    <w:rPr>
      <w:rFonts w:ascii="Arial" w:hAnsi="Arial" w:cs="Times New Roman"/>
      <w:b/>
      <w:bCs/>
      <w:sz w:val="18"/>
      <w:szCs w:val="18"/>
      <w:lang w:eastAsia="de-DE"/>
    </w:rPr>
  </w:style>
  <w:style w:type="character" w:customStyle="1" w:styleId="KommentarthemaZchn1">
    <w:name w:val="Kommentarthema Zchn1"/>
    <w:uiPriority w:val="99"/>
    <w:semiHidden/>
    <w:rsid w:val="005D0C20"/>
    <w:rPr>
      <w:rFonts w:ascii="Arial" w:hAnsi="Arial" w:cs="Times New Roman"/>
      <w:b/>
      <w:bCs/>
      <w:sz w:val="20"/>
      <w:szCs w:val="20"/>
      <w:lang w:eastAsia="de-DE"/>
    </w:rPr>
  </w:style>
  <w:style w:type="character" w:styleId="CommentReference">
    <w:name w:val="annotation reference"/>
    <w:rsid w:val="005D0C20"/>
    <w:rPr>
      <w:sz w:val="16"/>
      <w:szCs w:val="16"/>
    </w:rPr>
  </w:style>
  <w:style w:type="character" w:customStyle="1" w:styleId="KopfzeileZchn1">
    <w:name w:val="Kopfzeile Zchn1"/>
    <w:semiHidden/>
    <w:rsid w:val="005D0C20"/>
    <w:rPr>
      <w:rFonts w:ascii="Arial" w:hAnsi="Arial"/>
    </w:rPr>
  </w:style>
  <w:style w:type="paragraph" w:customStyle="1" w:styleId="Kopfzeilenberschrift">
    <w:name w:val="Kopfzeilenüberschrift"/>
    <w:basedOn w:val="Normal"/>
    <w:rsid w:val="005D0C20"/>
    <w:pPr>
      <w:tabs>
        <w:tab w:val="left" w:pos="567"/>
      </w:tabs>
      <w:spacing w:line="240" w:lineRule="exact"/>
      <w:ind w:left="-85"/>
    </w:pPr>
    <w:rPr>
      <w:b/>
      <w:szCs w:val="18"/>
    </w:rPr>
  </w:style>
  <w:style w:type="paragraph" w:styleId="List">
    <w:name w:val="List"/>
    <w:basedOn w:val="Normal"/>
    <w:rsid w:val="005D0C20"/>
    <w:pPr>
      <w:spacing w:line="240" w:lineRule="auto"/>
      <w:ind w:left="283" w:hanging="283"/>
      <w:jc w:val="both"/>
    </w:pPr>
    <w:rPr>
      <w:sz w:val="24"/>
      <w:szCs w:val="24"/>
    </w:rPr>
  </w:style>
  <w:style w:type="paragraph" w:customStyle="1" w:styleId="ListeStufe1">
    <w:name w:val="Liste (Stufe 1)"/>
    <w:basedOn w:val="Normal"/>
    <w:rsid w:val="005D0C20"/>
    <w:pPr>
      <w:numPr>
        <w:numId w:val="26"/>
      </w:numPr>
      <w:spacing w:before="120" w:after="120" w:line="240" w:lineRule="auto"/>
      <w:jc w:val="both"/>
    </w:pPr>
    <w:rPr>
      <w:rFonts w:eastAsia="Calibri" w:cs="Arial"/>
      <w:sz w:val="22"/>
      <w:szCs w:val="22"/>
      <w:lang w:eastAsia="en-US"/>
    </w:rPr>
  </w:style>
  <w:style w:type="paragraph" w:customStyle="1" w:styleId="ListeStufe2">
    <w:name w:val="Liste (Stufe 2)"/>
    <w:basedOn w:val="Normal"/>
    <w:rsid w:val="005D0C20"/>
    <w:pPr>
      <w:numPr>
        <w:ilvl w:val="2"/>
        <w:numId w:val="26"/>
      </w:numPr>
      <w:spacing w:before="120" w:after="120" w:line="240" w:lineRule="auto"/>
      <w:jc w:val="both"/>
    </w:pPr>
    <w:rPr>
      <w:rFonts w:eastAsia="Calibri" w:cs="Arial"/>
      <w:sz w:val="22"/>
      <w:szCs w:val="22"/>
      <w:lang w:eastAsia="en-US"/>
    </w:rPr>
  </w:style>
  <w:style w:type="paragraph" w:customStyle="1" w:styleId="ListeStufe3">
    <w:name w:val="Liste (Stufe 3)"/>
    <w:basedOn w:val="Normal"/>
    <w:rsid w:val="005D0C20"/>
    <w:pPr>
      <w:numPr>
        <w:ilvl w:val="4"/>
        <w:numId w:val="26"/>
      </w:numPr>
      <w:spacing w:before="120" w:after="120" w:line="240" w:lineRule="auto"/>
      <w:jc w:val="both"/>
    </w:pPr>
    <w:rPr>
      <w:rFonts w:eastAsia="Calibri" w:cs="Arial"/>
      <w:sz w:val="22"/>
      <w:szCs w:val="22"/>
      <w:lang w:eastAsia="en-US"/>
    </w:rPr>
  </w:style>
  <w:style w:type="paragraph" w:customStyle="1" w:styleId="ListeStufe4">
    <w:name w:val="Liste (Stufe 4)"/>
    <w:basedOn w:val="Normal"/>
    <w:rsid w:val="005D0C20"/>
    <w:pPr>
      <w:numPr>
        <w:ilvl w:val="6"/>
        <w:numId w:val="26"/>
      </w:numPr>
      <w:spacing w:before="120" w:after="120" w:line="240" w:lineRule="auto"/>
      <w:jc w:val="both"/>
    </w:pPr>
    <w:rPr>
      <w:rFonts w:eastAsia="Calibri" w:cs="Arial"/>
      <w:sz w:val="22"/>
      <w:szCs w:val="22"/>
      <w:lang w:eastAsia="en-US"/>
    </w:rPr>
  </w:style>
  <w:style w:type="paragraph" w:styleId="List2">
    <w:name w:val="List 2"/>
    <w:basedOn w:val="Normal"/>
    <w:rsid w:val="005D0C20"/>
    <w:pPr>
      <w:spacing w:line="240" w:lineRule="auto"/>
      <w:ind w:left="566" w:hanging="283"/>
      <w:jc w:val="both"/>
    </w:pPr>
    <w:rPr>
      <w:sz w:val="24"/>
      <w:szCs w:val="24"/>
    </w:rPr>
  </w:style>
  <w:style w:type="paragraph" w:styleId="List3">
    <w:name w:val="List 3"/>
    <w:basedOn w:val="Normal"/>
    <w:rsid w:val="005D0C20"/>
    <w:pPr>
      <w:spacing w:line="240" w:lineRule="auto"/>
      <w:ind w:left="849" w:hanging="283"/>
      <w:jc w:val="both"/>
    </w:pPr>
    <w:rPr>
      <w:sz w:val="24"/>
      <w:szCs w:val="24"/>
    </w:rPr>
  </w:style>
  <w:style w:type="paragraph" w:styleId="List4">
    <w:name w:val="List 4"/>
    <w:basedOn w:val="Normal"/>
    <w:rsid w:val="005D0C20"/>
    <w:pPr>
      <w:spacing w:line="240" w:lineRule="auto"/>
      <w:ind w:left="1132" w:hanging="283"/>
      <w:jc w:val="both"/>
    </w:pPr>
    <w:rPr>
      <w:sz w:val="24"/>
      <w:szCs w:val="24"/>
    </w:rPr>
  </w:style>
  <w:style w:type="paragraph" w:styleId="List5">
    <w:name w:val="List 5"/>
    <w:basedOn w:val="Normal"/>
    <w:rsid w:val="005D0C20"/>
    <w:pPr>
      <w:spacing w:line="240" w:lineRule="auto"/>
      <w:ind w:left="1415" w:hanging="283"/>
      <w:jc w:val="both"/>
    </w:pPr>
    <w:rPr>
      <w:sz w:val="24"/>
      <w:szCs w:val="24"/>
    </w:rPr>
  </w:style>
  <w:style w:type="paragraph" w:customStyle="1" w:styleId="ListeFolgeabsatzStufe1">
    <w:name w:val="Liste Folgeabsatz (Stufe 1)"/>
    <w:basedOn w:val="Normal"/>
    <w:rsid w:val="005D0C20"/>
    <w:pPr>
      <w:numPr>
        <w:ilvl w:val="1"/>
        <w:numId w:val="26"/>
      </w:numPr>
      <w:spacing w:before="120" w:after="120" w:line="240" w:lineRule="auto"/>
      <w:jc w:val="both"/>
    </w:pPr>
    <w:rPr>
      <w:rFonts w:eastAsia="Calibri" w:cs="Arial"/>
      <w:sz w:val="22"/>
      <w:szCs w:val="22"/>
      <w:lang w:eastAsia="en-US"/>
    </w:rPr>
  </w:style>
  <w:style w:type="paragraph" w:customStyle="1" w:styleId="ListeFolgeabsatzStufe2">
    <w:name w:val="Liste Folgeabsatz (Stufe 2)"/>
    <w:basedOn w:val="Normal"/>
    <w:rsid w:val="005D0C20"/>
    <w:pPr>
      <w:numPr>
        <w:ilvl w:val="3"/>
        <w:numId w:val="26"/>
      </w:numPr>
      <w:spacing w:before="120" w:after="120" w:line="240" w:lineRule="auto"/>
      <w:jc w:val="both"/>
    </w:pPr>
    <w:rPr>
      <w:rFonts w:eastAsia="Calibri" w:cs="Arial"/>
      <w:sz w:val="22"/>
      <w:szCs w:val="22"/>
      <w:lang w:eastAsia="en-US"/>
    </w:rPr>
  </w:style>
  <w:style w:type="paragraph" w:customStyle="1" w:styleId="ListeFolgeabsatzStufe3">
    <w:name w:val="Liste Folgeabsatz (Stufe 3)"/>
    <w:basedOn w:val="Normal"/>
    <w:rsid w:val="005D0C20"/>
    <w:pPr>
      <w:numPr>
        <w:ilvl w:val="5"/>
        <w:numId w:val="26"/>
      </w:numPr>
      <w:spacing w:before="120" w:after="120" w:line="240" w:lineRule="auto"/>
      <w:jc w:val="both"/>
    </w:pPr>
    <w:rPr>
      <w:rFonts w:eastAsia="Calibri" w:cs="Arial"/>
      <w:sz w:val="22"/>
      <w:szCs w:val="22"/>
      <w:lang w:eastAsia="en-US"/>
    </w:rPr>
  </w:style>
  <w:style w:type="paragraph" w:customStyle="1" w:styleId="ListeFolgeabsatzStufe4">
    <w:name w:val="Liste Folgeabsatz (Stufe 4)"/>
    <w:basedOn w:val="Normal"/>
    <w:rsid w:val="005D0C20"/>
    <w:pPr>
      <w:numPr>
        <w:ilvl w:val="7"/>
        <w:numId w:val="26"/>
      </w:numPr>
      <w:spacing w:before="120" w:after="120" w:line="240" w:lineRule="auto"/>
      <w:jc w:val="both"/>
    </w:pPr>
    <w:rPr>
      <w:rFonts w:eastAsia="Calibri" w:cs="Arial"/>
      <w:sz w:val="22"/>
      <w:szCs w:val="22"/>
      <w:lang w:eastAsia="en-US"/>
    </w:rPr>
  </w:style>
  <w:style w:type="paragraph" w:customStyle="1" w:styleId="ListenabsatzTabelle">
    <w:name w:val="Listenabsatz Tabelle"/>
    <w:basedOn w:val="ListParagraph"/>
    <w:link w:val="ListenabsatzTabelleZchn"/>
    <w:qFormat/>
    <w:rsid w:val="005D0C20"/>
    <w:pPr>
      <w:numPr>
        <w:numId w:val="27"/>
      </w:numPr>
      <w:spacing w:line="240" w:lineRule="auto"/>
      <w:contextualSpacing/>
    </w:pPr>
    <w:rPr>
      <w:rFonts w:cs="Arial"/>
      <w:sz w:val="16"/>
      <w:szCs w:val="16"/>
    </w:rPr>
  </w:style>
  <w:style w:type="character" w:customStyle="1" w:styleId="ListenabsatzTabelleZchn">
    <w:name w:val="Listenabsatz Tabelle Zchn"/>
    <w:link w:val="ListenabsatzTabelle"/>
    <w:rsid w:val="005D0C20"/>
    <w:rPr>
      <w:rFonts w:ascii="Arial" w:hAnsi="Arial" w:cs="Arial"/>
      <w:sz w:val="16"/>
      <w:szCs w:val="16"/>
      <w:lang w:eastAsia="de-DE"/>
    </w:rPr>
  </w:style>
  <w:style w:type="paragraph" w:customStyle="1" w:styleId="ListenelementTabelleEbene2">
    <w:name w:val="Listenelement Tabelle Ebene 2"/>
    <w:basedOn w:val="Normal"/>
    <w:link w:val="ListenelementTabelleEbene2Zchn"/>
    <w:rsid w:val="005D0C20"/>
    <w:pPr>
      <w:spacing w:before="40" w:after="20" w:line="240" w:lineRule="auto"/>
      <w:ind w:left="242"/>
      <w:jc w:val="both"/>
    </w:pPr>
    <w:rPr>
      <w:rFonts w:cs="Arial"/>
      <w:sz w:val="16"/>
      <w:szCs w:val="16"/>
    </w:rPr>
  </w:style>
  <w:style w:type="character" w:customStyle="1" w:styleId="ListenelementTabelleEbene2Zchn">
    <w:name w:val="Listenelement Tabelle Ebene 2 Zchn"/>
    <w:link w:val="ListenelementTabelleEbene2"/>
    <w:rsid w:val="005D0C20"/>
    <w:rPr>
      <w:rFonts w:ascii="Arial" w:hAnsi="Arial" w:cs="Arial"/>
      <w:sz w:val="16"/>
      <w:szCs w:val="16"/>
      <w:lang w:eastAsia="de-DE"/>
    </w:rPr>
  </w:style>
  <w:style w:type="paragraph" w:styleId="ListContinue">
    <w:name w:val="List Continue"/>
    <w:basedOn w:val="Normal"/>
    <w:rsid w:val="005D0C20"/>
    <w:pPr>
      <w:spacing w:after="120" w:line="240" w:lineRule="auto"/>
      <w:ind w:left="283"/>
      <w:jc w:val="both"/>
    </w:pPr>
    <w:rPr>
      <w:sz w:val="24"/>
      <w:szCs w:val="24"/>
    </w:rPr>
  </w:style>
  <w:style w:type="paragraph" w:styleId="ListContinue2">
    <w:name w:val="List Continue 2"/>
    <w:basedOn w:val="Normal"/>
    <w:rsid w:val="005D0C20"/>
    <w:pPr>
      <w:spacing w:after="120" w:line="240" w:lineRule="auto"/>
      <w:ind w:left="566"/>
      <w:jc w:val="both"/>
    </w:pPr>
    <w:rPr>
      <w:sz w:val="24"/>
      <w:szCs w:val="24"/>
    </w:rPr>
  </w:style>
  <w:style w:type="paragraph" w:styleId="ListContinue3">
    <w:name w:val="List Continue 3"/>
    <w:basedOn w:val="Normal"/>
    <w:rsid w:val="005D0C20"/>
    <w:pPr>
      <w:spacing w:after="120" w:line="240" w:lineRule="auto"/>
      <w:ind w:left="849"/>
      <w:jc w:val="both"/>
    </w:pPr>
    <w:rPr>
      <w:sz w:val="24"/>
      <w:szCs w:val="24"/>
    </w:rPr>
  </w:style>
  <w:style w:type="paragraph" w:styleId="ListContinue4">
    <w:name w:val="List Continue 4"/>
    <w:basedOn w:val="Normal"/>
    <w:rsid w:val="005D0C20"/>
    <w:pPr>
      <w:spacing w:after="120" w:line="240" w:lineRule="auto"/>
      <w:ind w:left="1132"/>
      <w:jc w:val="both"/>
    </w:pPr>
    <w:rPr>
      <w:sz w:val="24"/>
      <w:szCs w:val="24"/>
    </w:rPr>
  </w:style>
  <w:style w:type="paragraph" w:styleId="ListContinue5">
    <w:name w:val="List Continue 5"/>
    <w:basedOn w:val="Normal"/>
    <w:rsid w:val="005D0C20"/>
    <w:pPr>
      <w:spacing w:after="120" w:line="240" w:lineRule="auto"/>
      <w:ind w:left="1415"/>
      <w:jc w:val="both"/>
    </w:pPr>
    <w:rPr>
      <w:sz w:val="24"/>
      <w:szCs w:val="24"/>
    </w:rPr>
  </w:style>
  <w:style w:type="paragraph" w:styleId="ListNumber">
    <w:name w:val="List Number"/>
    <w:basedOn w:val="Normal"/>
    <w:rsid w:val="005D0C20"/>
    <w:pPr>
      <w:numPr>
        <w:numId w:val="28"/>
      </w:numPr>
      <w:spacing w:line="240" w:lineRule="auto"/>
      <w:jc w:val="both"/>
    </w:pPr>
    <w:rPr>
      <w:sz w:val="24"/>
      <w:szCs w:val="24"/>
    </w:rPr>
  </w:style>
  <w:style w:type="paragraph" w:styleId="ListNumber2">
    <w:name w:val="List Number 2"/>
    <w:basedOn w:val="Normal"/>
    <w:uiPriority w:val="99"/>
    <w:rsid w:val="005D0C20"/>
    <w:pPr>
      <w:numPr>
        <w:numId w:val="29"/>
      </w:numPr>
      <w:spacing w:line="240" w:lineRule="auto"/>
      <w:jc w:val="both"/>
    </w:pPr>
    <w:rPr>
      <w:sz w:val="24"/>
      <w:szCs w:val="24"/>
    </w:rPr>
  </w:style>
  <w:style w:type="paragraph" w:styleId="ListNumber3">
    <w:name w:val="List Number 3"/>
    <w:basedOn w:val="Normal"/>
    <w:rsid w:val="005D0C20"/>
    <w:pPr>
      <w:numPr>
        <w:numId w:val="30"/>
      </w:numPr>
      <w:spacing w:line="240" w:lineRule="auto"/>
      <w:jc w:val="both"/>
    </w:pPr>
    <w:rPr>
      <w:sz w:val="24"/>
      <w:szCs w:val="24"/>
    </w:rPr>
  </w:style>
  <w:style w:type="paragraph" w:styleId="ListNumber4">
    <w:name w:val="List Number 4"/>
    <w:basedOn w:val="Normal"/>
    <w:rsid w:val="005D0C20"/>
    <w:pPr>
      <w:numPr>
        <w:numId w:val="31"/>
      </w:numPr>
      <w:spacing w:line="240" w:lineRule="auto"/>
      <w:jc w:val="both"/>
    </w:pPr>
    <w:rPr>
      <w:sz w:val="24"/>
      <w:szCs w:val="24"/>
    </w:rPr>
  </w:style>
  <w:style w:type="paragraph" w:styleId="ListNumber5">
    <w:name w:val="List Number 5"/>
    <w:basedOn w:val="Normal"/>
    <w:rsid w:val="005D0C20"/>
    <w:pPr>
      <w:numPr>
        <w:numId w:val="32"/>
      </w:numPr>
      <w:spacing w:line="240" w:lineRule="auto"/>
      <w:jc w:val="both"/>
    </w:pPr>
    <w:rPr>
      <w:sz w:val="24"/>
      <w:szCs w:val="24"/>
    </w:rPr>
  </w:style>
  <w:style w:type="paragraph" w:styleId="Bibliography">
    <w:name w:val="Bibliography"/>
    <w:basedOn w:val="Normal"/>
    <w:next w:val="Normal"/>
    <w:uiPriority w:val="37"/>
    <w:unhideWhenUsed/>
    <w:rsid w:val="005D0C20"/>
    <w:pPr>
      <w:spacing w:line="276" w:lineRule="auto"/>
      <w:jc w:val="both"/>
    </w:pPr>
    <w:rPr>
      <w:szCs w:val="18"/>
    </w:rPr>
  </w:style>
  <w:style w:type="table" w:styleId="MediumShading1-Accent1">
    <w:name w:val="Medium Shading 1 Accent 1"/>
    <w:basedOn w:val="TableNormal"/>
    <w:uiPriority w:val="63"/>
    <w:rsid w:val="005D0C20"/>
    <w:pPr>
      <w:spacing w:after="0" w:line="240" w:lineRule="auto"/>
    </w:pPr>
    <w:rPr>
      <w:rFonts w:ascii="Arial" w:hAnsi="Arial" w:cs="Times New Roman"/>
      <w:sz w:val="18"/>
      <w:szCs w:val="18"/>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next w:val="MediumShading1-Accent1"/>
    <w:uiPriority w:val="63"/>
    <w:rsid w:val="005D0C20"/>
    <w:pPr>
      <w:spacing w:after="0" w:line="240" w:lineRule="auto"/>
    </w:pPr>
    <w:rPr>
      <w:rFonts w:ascii="Arial" w:hAnsi="Arial" w:cs="Times New Roman"/>
      <w:sz w:val="18"/>
      <w:szCs w:val="18"/>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111">
    <w:name w:val="Mittlere Schattierung 1 - Akzent 111"/>
    <w:basedOn w:val="TableNormal"/>
    <w:next w:val="MediumShading1-Accent1"/>
    <w:uiPriority w:val="63"/>
    <w:rsid w:val="005D0C20"/>
    <w:pPr>
      <w:spacing w:after="0" w:line="240" w:lineRule="auto"/>
    </w:pPr>
    <w:rPr>
      <w:rFonts w:ascii="Arial" w:hAnsi="Arial" w:cs="Times New Roman"/>
      <w:sz w:val="18"/>
      <w:szCs w:val="18"/>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12">
    <w:name w:val="Mittlere Schattierung 1 - Akzent 12"/>
    <w:basedOn w:val="TableNormal"/>
    <w:next w:val="MediumShading1-Accent1"/>
    <w:uiPriority w:val="63"/>
    <w:rsid w:val="005D0C20"/>
    <w:pPr>
      <w:spacing w:after="0" w:line="240" w:lineRule="auto"/>
    </w:pPr>
    <w:rPr>
      <w:rFonts w:ascii="Arial" w:hAnsi="Arial" w:cs="Times New Roman"/>
      <w:sz w:val="18"/>
      <w:szCs w:val="18"/>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VVTBFormatvorlage">
    <w:name w:val="MVV TB Formatvorlage"/>
    <w:basedOn w:val="TableNormal"/>
    <w:uiPriority w:val="99"/>
    <w:rsid w:val="005D0C20"/>
    <w:pPr>
      <w:spacing w:after="0" w:line="240" w:lineRule="auto"/>
    </w:pPr>
    <w:rPr>
      <w:rFonts w:ascii="Calibri" w:hAnsi="Calibri" w:cs="Times New Roman"/>
    </w:rPr>
    <w:tblPr/>
  </w:style>
  <w:style w:type="paragraph" w:styleId="MessageHeader">
    <w:name w:val="Message Header"/>
    <w:basedOn w:val="Normal"/>
    <w:link w:val="MessageHeaderChar"/>
    <w:rsid w:val="005D0C2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both"/>
    </w:pPr>
    <w:rPr>
      <w:rFonts w:cs="Arial"/>
      <w:sz w:val="24"/>
      <w:szCs w:val="24"/>
    </w:rPr>
  </w:style>
  <w:style w:type="character" w:customStyle="1" w:styleId="MessageHeaderChar">
    <w:name w:val="Message Header Char"/>
    <w:link w:val="MessageHeader"/>
    <w:rsid w:val="005D0C20"/>
    <w:rPr>
      <w:rFonts w:ascii="Arial" w:hAnsi="Arial" w:cs="Arial"/>
      <w:sz w:val="24"/>
      <w:szCs w:val="24"/>
      <w:shd w:val="pct20" w:color="auto" w:fill="auto"/>
      <w:lang w:eastAsia="de-DE"/>
    </w:rPr>
  </w:style>
  <w:style w:type="paragraph" w:customStyle="1" w:styleId="Nachweis">
    <w:name w:val="Nachweis"/>
    <w:basedOn w:val="Normal"/>
    <w:link w:val="NachweisZchn"/>
    <w:rsid w:val="005D0C20"/>
    <w:pPr>
      <w:framePr w:hSpace="567" w:wrap="around" w:vAnchor="text" w:hAnchor="margin" w:xAlign="right" w:y="1" w:anchorLock="1"/>
      <w:spacing w:line="276" w:lineRule="auto"/>
      <w:jc w:val="both"/>
    </w:pPr>
    <w:rPr>
      <w:szCs w:val="18"/>
    </w:rPr>
  </w:style>
  <w:style w:type="character" w:customStyle="1" w:styleId="NachweisZchn">
    <w:name w:val="Nachweis Zchn"/>
    <w:link w:val="Nachweis"/>
    <w:rsid w:val="005D0C20"/>
    <w:rPr>
      <w:rFonts w:ascii="Arial" w:hAnsi="Arial" w:cs="Times New Roman"/>
      <w:sz w:val="18"/>
      <w:szCs w:val="18"/>
      <w:lang w:eastAsia="de-DE"/>
    </w:rPr>
  </w:style>
  <w:style w:type="character" w:styleId="UnresolvedMention">
    <w:name w:val="Unresolved Mention"/>
    <w:uiPriority w:val="99"/>
    <w:semiHidden/>
    <w:unhideWhenUsed/>
    <w:rsid w:val="005D0C20"/>
    <w:rPr>
      <w:color w:val="605E5C"/>
      <w:shd w:val="clear" w:color="auto" w:fill="E1DFDD"/>
    </w:rPr>
  </w:style>
  <w:style w:type="paragraph" w:customStyle="1" w:styleId="Niederschrift">
    <w:name w:val="Niederschrift"/>
    <w:basedOn w:val="Normal"/>
    <w:rsid w:val="005D0C20"/>
    <w:pPr>
      <w:spacing w:line="300" w:lineRule="atLeast"/>
      <w:jc w:val="both"/>
    </w:pPr>
    <w:rPr>
      <w:sz w:val="22"/>
      <w:szCs w:val="18"/>
    </w:rPr>
  </w:style>
  <w:style w:type="paragraph" w:customStyle="1" w:styleId="Nummerierung">
    <w:name w:val="Nummerierung"/>
    <w:basedOn w:val="Aufzaehlung"/>
    <w:link w:val="NummerierungZchn"/>
    <w:qFormat/>
    <w:rsid w:val="005D0C20"/>
    <w:pPr>
      <w:numPr>
        <w:numId w:val="33"/>
      </w:numPr>
    </w:pPr>
    <w:rPr>
      <w:color w:val="FFFFFF"/>
    </w:rPr>
  </w:style>
  <w:style w:type="character" w:customStyle="1" w:styleId="NummerierungZchn">
    <w:name w:val="Nummerierung Zchn"/>
    <w:link w:val="Nummerierung"/>
    <w:rsid w:val="005D0C20"/>
    <w:rPr>
      <w:rFonts w:ascii="Arial" w:hAnsi="Arial" w:cs="Times New Roman"/>
      <w:color w:val="FFFFFF"/>
      <w:sz w:val="18"/>
      <w:szCs w:val="18"/>
      <w:lang w:eastAsia="de-DE"/>
    </w:rPr>
  </w:style>
  <w:style w:type="paragraph" w:customStyle="1" w:styleId="OmniPage1025">
    <w:name w:val="OmniPage #1025"/>
    <w:basedOn w:val="Normal"/>
    <w:rsid w:val="005D0C20"/>
    <w:pPr>
      <w:tabs>
        <w:tab w:val="right" w:pos="8398"/>
      </w:tabs>
      <w:spacing w:line="240" w:lineRule="auto"/>
      <w:jc w:val="both"/>
    </w:pPr>
    <w:rPr>
      <w:noProof/>
      <w:szCs w:val="18"/>
    </w:rPr>
  </w:style>
  <w:style w:type="character" w:customStyle="1" w:styleId="panel-medium">
    <w:name w:val="panel-medium"/>
    <w:rsid w:val="005D0C20"/>
  </w:style>
  <w:style w:type="character" w:styleId="PlaceholderText">
    <w:name w:val="Placeholder Text"/>
    <w:uiPriority w:val="99"/>
    <w:semiHidden/>
    <w:rsid w:val="005D0C20"/>
    <w:rPr>
      <w:color w:val="808080"/>
    </w:rPr>
  </w:style>
  <w:style w:type="character" w:customStyle="1" w:styleId="Querverweis">
    <w:name w:val="Querverweis"/>
    <w:rsid w:val="005D0C20"/>
    <w:rPr>
      <w:rFonts w:ascii="Arial" w:hAnsi="Arial"/>
      <w:b/>
      <w:dstrike w:val="0"/>
      <w:noProof w:val="0"/>
      <w:color w:val="auto"/>
      <w:position w:val="0"/>
      <w:sz w:val="18"/>
      <w:u w:val="none"/>
      <w:vertAlign w:val="superscript"/>
      <w:lang w:val="en-GB"/>
    </w:rPr>
  </w:style>
  <w:style w:type="paragraph" w:styleId="TableofAuthorities">
    <w:name w:val="table of authorities"/>
    <w:basedOn w:val="Normal"/>
    <w:next w:val="Normal"/>
    <w:uiPriority w:val="99"/>
    <w:semiHidden/>
    <w:unhideWhenUsed/>
    <w:rsid w:val="005D0C20"/>
    <w:pPr>
      <w:spacing w:line="276" w:lineRule="auto"/>
      <w:ind w:left="180" w:hanging="180"/>
      <w:jc w:val="both"/>
    </w:pPr>
    <w:rPr>
      <w:szCs w:val="18"/>
    </w:rPr>
  </w:style>
  <w:style w:type="paragraph" w:styleId="TOAHeading">
    <w:name w:val="toa heading"/>
    <w:basedOn w:val="Normal"/>
    <w:next w:val="Normal"/>
    <w:uiPriority w:val="99"/>
    <w:semiHidden/>
    <w:unhideWhenUsed/>
    <w:rsid w:val="005D0C20"/>
    <w:pPr>
      <w:spacing w:before="120" w:line="276" w:lineRule="auto"/>
      <w:jc w:val="both"/>
    </w:pPr>
    <w:rPr>
      <w:rFonts w:asciiTheme="majorHAnsi" w:eastAsiaTheme="majorEastAsia" w:hAnsiTheme="majorHAnsi" w:cstheme="majorBidi"/>
      <w:b/>
      <w:bCs/>
      <w:sz w:val="24"/>
      <w:szCs w:val="24"/>
    </w:rPr>
  </w:style>
  <w:style w:type="paragraph" w:customStyle="1" w:styleId="RoteAuszeichnung">
    <w:name w:val="Rote Auszeichnung"/>
    <w:basedOn w:val="Normal"/>
    <w:link w:val="RoteAuszeichnungZchn"/>
    <w:qFormat/>
    <w:rsid w:val="005D0C20"/>
    <w:pPr>
      <w:spacing w:line="276" w:lineRule="auto"/>
      <w:jc w:val="both"/>
    </w:pPr>
    <w:rPr>
      <w:color w:val="A42336"/>
      <w:szCs w:val="18"/>
    </w:rPr>
  </w:style>
  <w:style w:type="character" w:customStyle="1" w:styleId="RoteAuszeichnungZchn">
    <w:name w:val="Rote Auszeichnung Zchn"/>
    <w:link w:val="RoteAuszeichnung"/>
    <w:rsid w:val="005D0C20"/>
    <w:rPr>
      <w:rFonts w:ascii="Arial" w:hAnsi="Arial" w:cs="Times New Roman"/>
      <w:color w:val="A42336"/>
      <w:sz w:val="18"/>
      <w:szCs w:val="18"/>
      <w:lang w:eastAsia="de-DE"/>
    </w:rPr>
  </w:style>
  <w:style w:type="paragraph" w:customStyle="1" w:styleId="SA15ZmitEnd">
    <w:name w:val="SA1.5Z mit End"/>
    <w:basedOn w:val="Normal"/>
    <w:rsid w:val="005D0C20"/>
    <w:pPr>
      <w:overflowPunct w:val="0"/>
      <w:autoSpaceDE w:val="0"/>
      <w:autoSpaceDN w:val="0"/>
      <w:adjustRightInd w:val="0"/>
      <w:spacing w:after="360" w:line="360" w:lineRule="auto"/>
      <w:jc w:val="center"/>
      <w:textAlignment w:val="baseline"/>
    </w:pPr>
    <w:rPr>
      <w:rFonts w:ascii="Times New Roman" w:hAnsi="Times New Roman"/>
      <w:sz w:val="24"/>
      <w:szCs w:val="18"/>
    </w:rPr>
  </w:style>
  <w:style w:type="character" w:styleId="PageNumber">
    <w:name w:val="page number"/>
    <w:rsid w:val="005D0C20"/>
  </w:style>
  <w:style w:type="character" w:customStyle="1" w:styleId="st">
    <w:name w:val="st"/>
    <w:rsid w:val="005D0C20"/>
  </w:style>
  <w:style w:type="character" w:customStyle="1" w:styleId="st1">
    <w:name w:val="st1"/>
    <w:rsid w:val="005D0C20"/>
  </w:style>
  <w:style w:type="paragraph" w:customStyle="1" w:styleId="berschrift2Titelseite">
    <w:name w:val="Überschrift 2 Titelseite"/>
    <w:link w:val="berschrift2TitelseiteZchn"/>
    <w:qFormat/>
    <w:rsid w:val="005D0C20"/>
    <w:pPr>
      <w:spacing w:after="140" w:line="240" w:lineRule="auto"/>
    </w:pPr>
    <w:rPr>
      <w:rFonts w:ascii="Arial" w:hAnsi="Arial" w:cs="Times New Roman"/>
      <w:color w:val="F79646"/>
      <w:kern w:val="28"/>
      <w:sz w:val="28"/>
      <w:szCs w:val="18"/>
      <w:lang w:eastAsia="de-DE"/>
    </w:rPr>
  </w:style>
  <w:style w:type="character" w:customStyle="1" w:styleId="berschrift2TitelseiteZchn">
    <w:name w:val="Überschrift 2 Titelseite Zchn"/>
    <w:link w:val="berschrift2Titelseite"/>
    <w:rsid w:val="005D0C20"/>
    <w:rPr>
      <w:rFonts w:ascii="Arial" w:hAnsi="Arial" w:cs="Times New Roman"/>
      <w:color w:val="F79646"/>
      <w:kern w:val="28"/>
      <w:sz w:val="28"/>
      <w:szCs w:val="18"/>
      <w:lang w:eastAsia="de-DE"/>
    </w:rPr>
  </w:style>
  <w:style w:type="paragraph" w:customStyle="1" w:styleId="Stand">
    <w:name w:val="Stand"/>
    <w:basedOn w:val="berschrift2Titelseite"/>
    <w:link w:val="StandZchn"/>
    <w:qFormat/>
    <w:rsid w:val="005D0C20"/>
    <w:pPr>
      <w:spacing w:before="20" w:after="600"/>
    </w:pPr>
    <w:rPr>
      <w:sz w:val="18"/>
    </w:rPr>
  </w:style>
  <w:style w:type="character" w:customStyle="1" w:styleId="StandZchn">
    <w:name w:val="Stand Zchn"/>
    <w:link w:val="Stand"/>
    <w:rsid w:val="005D0C20"/>
    <w:rPr>
      <w:rFonts w:ascii="Arial" w:hAnsi="Arial" w:cs="Times New Roman"/>
      <w:color w:val="F79646"/>
      <w:kern w:val="28"/>
      <w:sz w:val="18"/>
      <w:szCs w:val="18"/>
      <w:lang w:eastAsia="de-DE"/>
    </w:rPr>
  </w:style>
  <w:style w:type="paragraph" w:styleId="NormalWeb">
    <w:name w:val="Normal (Web)"/>
    <w:basedOn w:val="Normal"/>
    <w:uiPriority w:val="99"/>
    <w:unhideWhenUsed/>
    <w:rsid w:val="005D0C20"/>
    <w:pPr>
      <w:spacing w:before="100" w:beforeAutospacing="1" w:after="100" w:afterAutospacing="1" w:line="225" w:lineRule="atLeast"/>
      <w:jc w:val="both"/>
    </w:pPr>
    <w:rPr>
      <w:rFonts w:ascii="Times New Roman" w:hAnsi="Times New Roman"/>
      <w:sz w:val="24"/>
      <w:szCs w:val="24"/>
    </w:rPr>
  </w:style>
  <w:style w:type="paragraph" w:customStyle="1" w:styleId="Standard10pt">
    <w:name w:val="Standard + 10 pt"/>
    <w:basedOn w:val="Normal"/>
    <w:link w:val="Standard10ptZchn"/>
    <w:rsid w:val="005D0C20"/>
    <w:pPr>
      <w:spacing w:line="240" w:lineRule="auto"/>
      <w:jc w:val="both"/>
    </w:pPr>
    <w:rPr>
      <w:szCs w:val="18"/>
    </w:rPr>
  </w:style>
  <w:style w:type="character" w:customStyle="1" w:styleId="Standard10ptZchn">
    <w:name w:val="Standard + 10 pt Zchn"/>
    <w:link w:val="Standard10pt"/>
    <w:rsid w:val="005D0C20"/>
    <w:rPr>
      <w:rFonts w:ascii="Arial" w:hAnsi="Arial" w:cs="Times New Roman"/>
      <w:sz w:val="18"/>
      <w:szCs w:val="18"/>
      <w:lang w:eastAsia="de-DE"/>
    </w:rPr>
  </w:style>
  <w:style w:type="paragraph" w:styleId="NormalIndent">
    <w:name w:val="Normal Indent"/>
    <w:basedOn w:val="Normal"/>
    <w:rsid w:val="005D0C20"/>
    <w:pPr>
      <w:spacing w:line="240" w:lineRule="auto"/>
      <w:ind w:left="708"/>
      <w:jc w:val="both"/>
    </w:pPr>
    <w:rPr>
      <w:sz w:val="24"/>
      <w:szCs w:val="24"/>
    </w:rPr>
  </w:style>
  <w:style w:type="paragraph" w:customStyle="1" w:styleId="Subheadline">
    <w:name w:val="Subheadline"/>
    <w:basedOn w:val="berschrift2Titelseite"/>
    <w:link w:val="SubheadlineZchn"/>
    <w:qFormat/>
    <w:rsid w:val="005D0C20"/>
    <w:pPr>
      <w:spacing w:after="120"/>
    </w:pPr>
  </w:style>
  <w:style w:type="character" w:customStyle="1" w:styleId="SubheadlineZchn">
    <w:name w:val="Subheadline Zchn"/>
    <w:link w:val="Subheadline"/>
    <w:rsid w:val="005D0C20"/>
    <w:rPr>
      <w:rFonts w:ascii="Arial" w:hAnsi="Arial" w:cs="Times New Roman"/>
      <w:color w:val="F79646"/>
      <w:kern w:val="28"/>
      <w:sz w:val="28"/>
      <w:szCs w:val="18"/>
      <w:lang w:eastAsia="de-DE"/>
    </w:rPr>
  </w:style>
  <w:style w:type="table" w:styleId="Table3Deffects3">
    <w:name w:val="Table 3D effects 3"/>
    <w:basedOn w:val="TableNormal"/>
    <w:rsid w:val="005D0C20"/>
    <w:pPr>
      <w:spacing w:after="0" w:line="260" w:lineRule="exact"/>
    </w:pPr>
    <w:rPr>
      <w:rFonts w:ascii="Times New Roman" w:hAnsi="Times New Roman" w:cs="Times New Roman"/>
      <w:sz w:val="18"/>
      <w:szCs w:val="18"/>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lenbeschriftung">
    <w:name w:val="Tabellenbeschriftung"/>
    <w:basedOn w:val="Normal"/>
    <w:link w:val="TabellenbeschriftungZchn"/>
    <w:qFormat/>
    <w:rsid w:val="005D0C20"/>
    <w:pPr>
      <w:spacing w:after="120" w:line="240" w:lineRule="auto"/>
      <w:ind w:left="1304" w:hanging="1304"/>
    </w:pPr>
    <w:rPr>
      <w:bCs/>
      <w:szCs w:val="18"/>
    </w:rPr>
  </w:style>
  <w:style w:type="character" w:customStyle="1" w:styleId="TabellenbeschriftungZchn">
    <w:name w:val="Tabellenbeschriftung Zchn"/>
    <w:link w:val="Tabellenbeschriftung"/>
    <w:rsid w:val="005D0C20"/>
    <w:rPr>
      <w:rFonts w:ascii="Arial" w:hAnsi="Arial" w:cs="Times New Roman"/>
      <w:bCs/>
      <w:sz w:val="18"/>
      <w:szCs w:val="18"/>
      <w:lang w:eastAsia="de-DE"/>
    </w:rPr>
  </w:style>
  <w:style w:type="table" w:customStyle="1" w:styleId="Tabellengitternetz3">
    <w:name w:val="Tabellengitternetz3"/>
    <w:basedOn w:val="TableNormal"/>
    <w:uiPriority w:val="59"/>
    <w:rsid w:val="005D0C20"/>
    <w:pPr>
      <w:spacing w:after="0" w:line="240" w:lineRule="auto"/>
    </w:pPr>
    <w:rPr>
      <w:rFonts w:ascii="Times New Roman" w:hAnsi="Times New Roman"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0C20"/>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5D0C20"/>
    <w:pPr>
      <w:spacing w:after="0" w:line="240" w:lineRule="auto"/>
    </w:pPr>
    <w:rPr>
      <w:rFonts w:ascii="Arial" w:hAnsi="Arial" w:cs="Times New Roman"/>
      <w:sz w:val="18"/>
      <w:szCs w:val="18"/>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uiPriority w:val="59"/>
    <w:rsid w:val="005D0C20"/>
    <w:pPr>
      <w:spacing w:after="0" w:line="240" w:lineRule="auto"/>
    </w:pPr>
    <w:rPr>
      <w:rFonts w:ascii="Arial" w:hAnsi="Arial" w:cs="Times New Roman"/>
      <w:sz w:val="18"/>
      <w:szCs w:val="18"/>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TableNormal"/>
    <w:uiPriority w:val="59"/>
    <w:rsid w:val="005D0C20"/>
    <w:pPr>
      <w:spacing w:after="0" w:line="240" w:lineRule="auto"/>
    </w:pPr>
    <w:rPr>
      <w:rFonts w:ascii="Arial" w:hAnsi="Arial" w:cs="Times New Roman"/>
      <w:kern w:val="28"/>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99"/>
    <w:rsid w:val="005D0C20"/>
    <w:pPr>
      <w:spacing w:after="0" w:line="240" w:lineRule="auto"/>
    </w:pPr>
    <w:rPr>
      <w:rFonts w:ascii="Arial" w:eastAsia="Calibri"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rsid w:val="005D0C20"/>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TableNormal"/>
    <w:next w:val="TableGrid"/>
    <w:rsid w:val="005D0C20"/>
    <w:pPr>
      <w:spacing w:after="0" w:line="240" w:lineRule="auto"/>
    </w:pPr>
    <w:rPr>
      <w:rFonts w:ascii="Arial"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5D0C20"/>
    <w:pPr>
      <w:spacing w:after="0" w:line="240" w:lineRule="auto"/>
    </w:pPr>
    <w:rPr>
      <w:rFonts w:ascii="Arial" w:eastAsia="Calibri"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5D0C20"/>
    <w:pPr>
      <w:spacing w:after="0" w:line="240" w:lineRule="auto"/>
    </w:pPr>
    <w:rPr>
      <w:rFonts w:ascii="Arial"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TableNormal"/>
    <w:next w:val="TableGrid"/>
    <w:uiPriority w:val="59"/>
    <w:rsid w:val="005D0C20"/>
    <w:pPr>
      <w:spacing w:after="0" w:line="240" w:lineRule="auto"/>
    </w:pPr>
    <w:rPr>
      <w:rFonts w:ascii="Arial"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TableNormal"/>
    <w:next w:val="TableGrid"/>
    <w:uiPriority w:val="59"/>
    <w:rsid w:val="005D0C20"/>
    <w:pPr>
      <w:spacing w:after="0" w:line="240" w:lineRule="auto"/>
    </w:pPr>
    <w:rPr>
      <w:rFonts w:ascii="Arial"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5D0C20"/>
    <w:pPr>
      <w:spacing w:after="0" w:line="240" w:lineRule="auto"/>
    </w:pPr>
    <w:rPr>
      <w:rFonts w:ascii="Arial" w:eastAsia="Calibri"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next w:val="TableGrid"/>
    <w:rsid w:val="005D0C20"/>
    <w:pPr>
      <w:spacing w:after="0" w:line="240" w:lineRule="auto"/>
    </w:pPr>
    <w:rPr>
      <w:rFonts w:ascii="Arial" w:hAnsi="Arial" w:cs="Times New Roman"/>
      <w:sz w:val="18"/>
      <w:szCs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Grau">
    <w:name w:val="Tabellentext Grau"/>
    <w:basedOn w:val="Normal"/>
    <w:link w:val="TabellentextGrauZchn"/>
    <w:qFormat/>
    <w:rsid w:val="005D0C20"/>
    <w:pPr>
      <w:spacing w:before="100" w:after="80" w:line="240" w:lineRule="auto"/>
      <w:ind w:left="113" w:right="113"/>
      <w:jc w:val="center"/>
    </w:pPr>
    <w:rPr>
      <w:rFonts w:cs="Arial"/>
      <w:b/>
      <w:color w:val="404040"/>
      <w:sz w:val="16"/>
      <w:szCs w:val="16"/>
    </w:rPr>
  </w:style>
  <w:style w:type="character" w:customStyle="1" w:styleId="TabellentextGrauZchn">
    <w:name w:val="Tabellentext Grau Zchn"/>
    <w:link w:val="TabellentextGrau"/>
    <w:rsid w:val="005D0C20"/>
    <w:rPr>
      <w:rFonts w:ascii="Arial" w:hAnsi="Arial" w:cs="Arial"/>
      <w:b/>
      <w:color w:val="404040"/>
      <w:sz w:val="16"/>
      <w:szCs w:val="16"/>
      <w:lang w:eastAsia="de-DE"/>
    </w:rPr>
  </w:style>
  <w:style w:type="paragraph" w:customStyle="1" w:styleId="Tabellentextzentriert">
    <w:name w:val="Tabellentext zentriert"/>
    <w:basedOn w:val="Normal"/>
    <w:link w:val="TabellentextzentriertZchn"/>
    <w:qFormat/>
    <w:rsid w:val="005D0C20"/>
    <w:pPr>
      <w:spacing w:before="100" w:after="80" w:line="240" w:lineRule="auto"/>
      <w:ind w:left="113" w:right="113"/>
      <w:jc w:val="center"/>
    </w:pPr>
    <w:rPr>
      <w:rFonts w:cs="Arial"/>
      <w:sz w:val="16"/>
      <w:szCs w:val="16"/>
    </w:rPr>
  </w:style>
  <w:style w:type="character" w:customStyle="1" w:styleId="TabellentextzentriertZchn">
    <w:name w:val="Tabellentext zentriert Zchn"/>
    <w:link w:val="Tabellentextzentriert"/>
    <w:rsid w:val="005D0C20"/>
    <w:rPr>
      <w:rFonts w:ascii="Arial" w:hAnsi="Arial" w:cs="Arial"/>
      <w:sz w:val="16"/>
      <w:szCs w:val="16"/>
      <w:lang w:eastAsia="de-DE"/>
    </w:rPr>
  </w:style>
  <w:style w:type="paragraph" w:customStyle="1" w:styleId="Tabellentextblau">
    <w:name w:val="Tabellentextblau"/>
    <w:basedOn w:val="Normal"/>
    <w:link w:val="TabellentextblauZchn"/>
    <w:qFormat/>
    <w:rsid w:val="005D0C20"/>
    <w:pPr>
      <w:spacing w:before="100" w:after="80" w:line="240" w:lineRule="auto"/>
      <w:ind w:left="113" w:right="113"/>
      <w:jc w:val="center"/>
    </w:pPr>
    <w:rPr>
      <w:rFonts w:cs="Arial"/>
      <w:b/>
      <w:color w:val="F79646"/>
      <w:sz w:val="16"/>
      <w:szCs w:val="16"/>
    </w:rPr>
  </w:style>
  <w:style w:type="character" w:customStyle="1" w:styleId="TabellentextblauZchn">
    <w:name w:val="Tabellentextblau Zchn"/>
    <w:link w:val="Tabellentextblau"/>
    <w:rsid w:val="005D0C20"/>
    <w:rPr>
      <w:rFonts w:ascii="Arial" w:hAnsi="Arial" w:cs="Arial"/>
      <w:b/>
      <w:color w:val="F79646"/>
      <w:sz w:val="16"/>
      <w:szCs w:val="16"/>
      <w:lang w:eastAsia="de-DE"/>
    </w:rPr>
  </w:style>
  <w:style w:type="table" w:customStyle="1" w:styleId="TableNormal1">
    <w:name w:val="Table Normal1"/>
    <w:uiPriority w:val="2"/>
    <w:semiHidden/>
    <w:unhideWhenUsed/>
    <w:qFormat/>
    <w:rsid w:val="005D0C20"/>
    <w:pPr>
      <w:widowControl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D0C20"/>
    <w:pPr>
      <w:widowControl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D0C20"/>
    <w:pPr>
      <w:widowControl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0C20"/>
    <w:pPr>
      <w:widowControl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0C20"/>
    <w:pPr>
      <w:widowControl w:val="0"/>
      <w:spacing w:line="240" w:lineRule="auto"/>
      <w:jc w:val="both"/>
    </w:pPr>
    <w:rPr>
      <w:rFonts w:ascii="Calibri" w:eastAsia="Calibri" w:hAnsi="Calibri"/>
      <w:sz w:val="22"/>
      <w:szCs w:val="22"/>
      <w:lang w:eastAsia="en-US"/>
    </w:rPr>
  </w:style>
  <w:style w:type="paragraph" w:customStyle="1" w:styleId="Tabletext10">
    <w:name w:val="Table text (10)"/>
    <w:basedOn w:val="Normal"/>
    <w:uiPriority w:val="99"/>
    <w:rsid w:val="005D0C20"/>
    <w:pPr>
      <w:spacing w:before="60" w:after="60" w:line="230" w:lineRule="atLeast"/>
      <w:jc w:val="both"/>
    </w:pPr>
    <w:rPr>
      <w:rFonts w:eastAsia="MS Mincho"/>
      <w:szCs w:val="18"/>
      <w:lang w:eastAsia="fr-FR"/>
    </w:rPr>
  </w:style>
  <w:style w:type="paragraph" w:customStyle="1" w:styleId="Tabletitle">
    <w:name w:val="Table title"/>
    <w:basedOn w:val="Normal"/>
    <w:next w:val="Normal"/>
    <w:rsid w:val="005D0C20"/>
    <w:pPr>
      <w:keepNext/>
      <w:suppressAutoHyphens/>
      <w:spacing w:before="120" w:after="120" w:line="230" w:lineRule="exact"/>
      <w:jc w:val="center"/>
    </w:pPr>
    <w:rPr>
      <w:b/>
      <w:szCs w:val="18"/>
    </w:rPr>
  </w:style>
  <w:style w:type="paragraph" w:customStyle="1" w:styleId="Text">
    <w:name w:val="Text"/>
    <w:basedOn w:val="Normal"/>
    <w:rsid w:val="005D0C20"/>
    <w:pPr>
      <w:tabs>
        <w:tab w:val="center" w:pos="4536"/>
        <w:tab w:val="right" w:pos="9072"/>
      </w:tabs>
      <w:spacing w:before="120" w:after="120" w:line="360" w:lineRule="auto"/>
      <w:ind w:right="-142"/>
      <w:jc w:val="both"/>
    </w:pPr>
    <w:rPr>
      <w:rFonts w:ascii="Verdana" w:hAnsi="Verdana"/>
      <w:sz w:val="22"/>
      <w:szCs w:val="24"/>
    </w:rPr>
  </w:style>
  <w:style w:type="paragraph" w:styleId="BodyText2">
    <w:name w:val="Body Text 2"/>
    <w:basedOn w:val="Normal"/>
    <w:link w:val="BodyText2Char"/>
    <w:rsid w:val="005D0C20"/>
    <w:pPr>
      <w:spacing w:line="240" w:lineRule="auto"/>
      <w:jc w:val="both"/>
    </w:pPr>
    <w:rPr>
      <w:b/>
      <w:sz w:val="16"/>
      <w:szCs w:val="18"/>
    </w:rPr>
  </w:style>
  <w:style w:type="character" w:customStyle="1" w:styleId="BodyText2Char">
    <w:name w:val="Body Text 2 Char"/>
    <w:link w:val="BodyText2"/>
    <w:rsid w:val="005D0C20"/>
    <w:rPr>
      <w:rFonts w:ascii="Arial" w:hAnsi="Arial" w:cs="Times New Roman"/>
      <w:b/>
      <w:sz w:val="16"/>
      <w:szCs w:val="18"/>
      <w:lang w:eastAsia="de-DE"/>
    </w:rPr>
  </w:style>
  <w:style w:type="paragraph" w:customStyle="1" w:styleId="Textkrper22">
    <w:name w:val="Textkörper 22"/>
    <w:basedOn w:val="Normal"/>
    <w:uiPriority w:val="99"/>
    <w:rsid w:val="005D0C20"/>
    <w:pPr>
      <w:overflowPunct w:val="0"/>
      <w:autoSpaceDE w:val="0"/>
      <w:autoSpaceDN w:val="0"/>
      <w:adjustRightInd w:val="0"/>
      <w:spacing w:before="120" w:after="120" w:line="240" w:lineRule="auto"/>
      <w:jc w:val="both"/>
      <w:textAlignment w:val="baseline"/>
    </w:pPr>
    <w:rPr>
      <w:szCs w:val="18"/>
    </w:rPr>
  </w:style>
  <w:style w:type="paragraph" w:styleId="BodyText3">
    <w:name w:val="Body Text 3"/>
    <w:basedOn w:val="Normal"/>
    <w:link w:val="BodyText3Char"/>
    <w:rsid w:val="005D0C20"/>
    <w:pPr>
      <w:spacing w:after="120" w:line="260" w:lineRule="exact"/>
      <w:jc w:val="both"/>
    </w:pPr>
    <w:rPr>
      <w:sz w:val="16"/>
      <w:szCs w:val="16"/>
    </w:rPr>
  </w:style>
  <w:style w:type="character" w:customStyle="1" w:styleId="BodyText3Char">
    <w:name w:val="Body Text 3 Char"/>
    <w:link w:val="BodyText3"/>
    <w:rsid w:val="005D0C20"/>
    <w:rPr>
      <w:rFonts w:ascii="Arial" w:hAnsi="Arial" w:cs="Times New Roman"/>
      <w:sz w:val="16"/>
      <w:szCs w:val="16"/>
      <w:lang w:eastAsia="de-DE"/>
    </w:rPr>
  </w:style>
  <w:style w:type="paragraph" w:customStyle="1" w:styleId="Textkrper31">
    <w:name w:val="Textkörper 31"/>
    <w:basedOn w:val="Normal"/>
    <w:rsid w:val="005D0C20"/>
    <w:pPr>
      <w:spacing w:line="240" w:lineRule="auto"/>
      <w:jc w:val="both"/>
    </w:pPr>
    <w:rPr>
      <w:sz w:val="22"/>
      <w:szCs w:val="18"/>
      <w:lang w:eastAsia="en-US"/>
    </w:rPr>
  </w:style>
  <w:style w:type="paragraph" w:customStyle="1" w:styleId="Textkrper32">
    <w:name w:val="Textkörper 32"/>
    <w:basedOn w:val="Normal"/>
    <w:rsid w:val="005D0C20"/>
    <w:pPr>
      <w:spacing w:line="240" w:lineRule="auto"/>
      <w:jc w:val="both"/>
    </w:pPr>
    <w:rPr>
      <w:sz w:val="22"/>
      <w:szCs w:val="18"/>
      <w:lang w:eastAsia="en-US"/>
    </w:rPr>
  </w:style>
  <w:style w:type="paragraph" w:customStyle="1" w:styleId="Textkrper33">
    <w:name w:val="Textkörper 33"/>
    <w:basedOn w:val="Normal"/>
    <w:rsid w:val="005D0C20"/>
    <w:pPr>
      <w:spacing w:line="240" w:lineRule="auto"/>
      <w:jc w:val="both"/>
    </w:pPr>
    <w:rPr>
      <w:sz w:val="22"/>
      <w:szCs w:val="18"/>
      <w:lang w:eastAsia="en-US"/>
    </w:rPr>
  </w:style>
  <w:style w:type="paragraph" w:customStyle="1" w:styleId="Textkrper34">
    <w:name w:val="Textkörper 34"/>
    <w:basedOn w:val="Normal"/>
    <w:rsid w:val="005D0C20"/>
    <w:pPr>
      <w:spacing w:line="240" w:lineRule="auto"/>
      <w:jc w:val="both"/>
    </w:pPr>
    <w:rPr>
      <w:sz w:val="22"/>
      <w:szCs w:val="18"/>
      <w:lang w:eastAsia="en-US"/>
    </w:rPr>
  </w:style>
  <w:style w:type="paragraph" w:customStyle="1" w:styleId="Textkrper35">
    <w:name w:val="Textkörper 35"/>
    <w:basedOn w:val="Normal"/>
    <w:rsid w:val="005D0C20"/>
    <w:pPr>
      <w:spacing w:line="240" w:lineRule="auto"/>
      <w:jc w:val="both"/>
    </w:pPr>
    <w:rPr>
      <w:sz w:val="22"/>
      <w:szCs w:val="18"/>
      <w:lang w:eastAsia="en-US"/>
    </w:rPr>
  </w:style>
  <w:style w:type="character" w:customStyle="1" w:styleId="TextkrperZchn1">
    <w:name w:val="Textkörper Zchn1"/>
    <w:aliases w:val="UBA Textkörper Zchn1"/>
    <w:rsid w:val="005D0C20"/>
    <w:rPr>
      <w:rFonts w:ascii="Arial" w:hAnsi="Arial"/>
      <w:sz w:val="18"/>
      <w:lang w:eastAsia="en-US"/>
    </w:rPr>
  </w:style>
  <w:style w:type="paragraph" w:styleId="BodyText">
    <w:name w:val="Body Text"/>
    <w:aliases w:val="UBA Textkörper"/>
    <w:basedOn w:val="Normal"/>
    <w:link w:val="BodyTextChar"/>
    <w:uiPriority w:val="1"/>
    <w:qFormat/>
    <w:rsid w:val="005D0C20"/>
    <w:pPr>
      <w:spacing w:after="120" w:line="260" w:lineRule="exact"/>
      <w:jc w:val="both"/>
    </w:pPr>
    <w:rPr>
      <w:szCs w:val="18"/>
    </w:rPr>
  </w:style>
  <w:style w:type="character" w:customStyle="1" w:styleId="BodyTextChar">
    <w:name w:val="Body Text Char"/>
    <w:aliases w:val="UBA Textkörper Char"/>
    <w:link w:val="BodyText"/>
    <w:uiPriority w:val="1"/>
    <w:rsid w:val="005D0C20"/>
    <w:rPr>
      <w:rFonts w:ascii="Arial" w:hAnsi="Arial" w:cs="Times New Roman"/>
      <w:sz w:val="18"/>
      <w:szCs w:val="18"/>
      <w:lang w:eastAsia="de-DE"/>
    </w:rPr>
  </w:style>
  <w:style w:type="paragraph" w:styleId="BodyTextIndent2">
    <w:name w:val="Body Text Indent 2"/>
    <w:basedOn w:val="Normal"/>
    <w:link w:val="BodyTextIndent2Char"/>
    <w:rsid w:val="005D0C20"/>
    <w:pPr>
      <w:spacing w:after="120" w:line="480" w:lineRule="auto"/>
      <w:ind w:left="283"/>
      <w:jc w:val="both"/>
    </w:pPr>
    <w:rPr>
      <w:szCs w:val="18"/>
    </w:rPr>
  </w:style>
  <w:style w:type="character" w:customStyle="1" w:styleId="BodyTextIndent2Char">
    <w:name w:val="Body Text Indent 2 Char"/>
    <w:link w:val="BodyTextIndent2"/>
    <w:rsid w:val="005D0C20"/>
    <w:rPr>
      <w:rFonts w:ascii="Arial" w:hAnsi="Arial" w:cs="Times New Roman"/>
      <w:sz w:val="18"/>
      <w:szCs w:val="18"/>
      <w:lang w:eastAsia="de-DE"/>
    </w:rPr>
  </w:style>
  <w:style w:type="paragraph" w:styleId="BodyTextIndent3">
    <w:name w:val="Body Text Indent 3"/>
    <w:basedOn w:val="Normal"/>
    <w:link w:val="BodyTextIndent3Char"/>
    <w:rsid w:val="005D0C20"/>
    <w:pPr>
      <w:spacing w:line="240" w:lineRule="auto"/>
      <w:ind w:left="284" w:hanging="284"/>
      <w:jc w:val="both"/>
    </w:pPr>
    <w:rPr>
      <w:sz w:val="16"/>
      <w:szCs w:val="18"/>
    </w:rPr>
  </w:style>
  <w:style w:type="character" w:customStyle="1" w:styleId="BodyTextIndent3Char">
    <w:name w:val="Body Text Indent 3 Char"/>
    <w:link w:val="BodyTextIndent3"/>
    <w:rsid w:val="005D0C20"/>
    <w:rPr>
      <w:rFonts w:ascii="Arial" w:hAnsi="Arial" w:cs="Times New Roman"/>
      <w:sz w:val="16"/>
      <w:szCs w:val="18"/>
      <w:lang w:eastAsia="de-DE"/>
    </w:rPr>
  </w:style>
  <w:style w:type="paragraph" w:styleId="BodyTextFirstIndent">
    <w:name w:val="Body Text First Indent"/>
    <w:basedOn w:val="BodyText"/>
    <w:link w:val="BodyTextFirstIndentChar"/>
    <w:rsid w:val="005D0C20"/>
    <w:pPr>
      <w:spacing w:line="240" w:lineRule="auto"/>
      <w:ind w:firstLine="210"/>
    </w:pPr>
    <w:rPr>
      <w:sz w:val="24"/>
      <w:szCs w:val="24"/>
    </w:rPr>
  </w:style>
  <w:style w:type="character" w:customStyle="1" w:styleId="BodyTextFirstIndentChar">
    <w:name w:val="Body Text First Indent Char"/>
    <w:link w:val="BodyTextFirstIndent"/>
    <w:rsid w:val="005D0C20"/>
    <w:rPr>
      <w:rFonts w:ascii="Arial" w:hAnsi="Arial" w:cs="Times New Roman"/>
      <w:sz w:val="24"/>
      <w:szCs w:val="24"/>
      <w:lang w:eastAsia="de-DE"/>
    </w:rPr>
  </w:style>
  <w:style w:type="paragraph" w:styleId="BodyTextIndent">
    <w:name w:val="Body Text Indent"/>
    <w:basedOn w:val="Normal"/>
    <w:link w:val="BodyTextIndentChar"/>
    <w:rsid w:val="005D0C20"/>
    <w:pPr>
      <w:spacing w:after="120" w:line="260" w:lineRule="exact"/>
      <w:ind w:left="283"/>
      <w:jc w:val="both"/>
    </w:pPr>
    <w:rPr>
      <w:szCs w:val="18"/>
    </w:rPr>
  </w:style>
  <w:style w:type="character" w:customStyle="1" w:styleId="BodyTextIndentChar">
    <w:name w:val="Body Text Indent Char"/>
    <w:link w:val="BodyTextIndent"/>
    <w:rsid w:val="005D0C20"/>
    <w:rPr>
      <w:rFonts w:ascii="Arial" w:hAnsi="Arial" w:cs="Times New Roman"/>
      <w:sz w:val="18"/>
      <w:szCs w:val="18"/>
      <w:lang w:eastAsia="de-DE"/>
    </w:rPr>
  </w:style>
  <w:style w:type="paragraph" w:styleId="BodyTextFirstIndent2">
    <w:name w:val="Body Text First Indent 2"/>
    <w:basedOn w:val="BodyTextIndent"/>
    <w:link w:val="BodyTextFirstIndent2Char"/>
    <w:rsid w:val="005D0C20"/>
    <w:pPr>
      <w:spacing w:line="240" w:lineRule="auto"/>
      <w:ind w:firstLine="210"/>
    </w:pPr>
    <w:rPr>
      <w:sz w:val="24"/>
      <w:szCs w:val="24"/>
    </w:rPr>
  </w:style>
  <w:style w:type="character" w:customStyle="1" w:styleId="BodyTextFirstIndent2Char">
    <w:name w:val="Body Text First Indent 2 Char"/>
    <w:link w:val="BodyTextFirstIndent2"/>
    <w:rsid w:val="005D0C20"/>
    <w:rPr>
      <w:rFonts w:ascii="Arial" w:hAnsi="Arial" w:cs="Times New Roman"/>
      <w:sz w:val="24"/>
      <w:szCs w:val="24"/>
      <w:lang w:eastAsia="de-DE"/>
    </w:rPr>
  </w:style>
  <w:style w:type="character" w:customStyle="1" w:styleId="Textkrper-ZeileneinzugZchn1">
    <w:name w:val="Textkörper-Zeileneinzug Zchn1"/>
    <w:rsid w:val="005D0C20"/>
    <w:rPr>
      <w:rFonts w:ascii="Arial" w:hAnsi="Arial"/>
      <w:sz w:val="18"/>
    </w:rPr>
  </w:style>
  <w:style w:type="paragraph" w:styleId="Title">
    <w:name w:val="Title"/>
    <w:basedOn w:val="Normal"/>
    <w:link w:val="TitleChar"/>
    <w:qFormat/>
    <w:rsid w:val="005D0C20"/>
    <w:pPr>
      <w:spacing w:line="240" w:lineRule="auto"/>
      <w:jc w:val="center"/>
    </w:pPr>
    <w:rPr>
      <w:b/>
      <w:sz w:val="24"/>
      <w:szCs w:val="18"/>
    </w:rPr>
  </w:style>
  <w:style w:type="character" w:customStyle="1" w:styleId="TitleChar">
    <w:name w:val="Title Char"/>
    <w:link w:val="Title"/>
    <w:rsid w:val="005D0C20"/>
    <w:rPr>
      <w:rFonts w:ascii="Arial" w:hAnsi="Arial" w:cs="Times New Roman"/>
      <w:b/>
      <w:sz w:val="24"/>
      <w:szCs w:val="18"/>
      <w:lang w:eastAsia="de-DE"/>
    </w:rPr>
  </w:style>
  <w:style w:type="paragraph" w:customStyle="1" w:styleId="Titelseite-Stand">
    <w:name w:val="Titelseite - Stand"/>
    <w:basedOn w:val="Normal"/>
    <w:link w:val="Titelseite-StandZchn"/>
    <w:qFormat/>
    <w:rsid w:val="005D0C20"/>
    <w:pPr>
      <w:suppressAutoHyphens/>
      <w:spacing w:after="120" w:line="240" w:lineRule="auto"/>
      <w:jc w:val="both"/>
    </w:pPr>
    <w:rPr>
      <w:color w:val="F79646"/>
      <w:szCs w:val="18"/>
    </w:rPr>
  </w:style>
  <w:style w:type="character" w:customStyle="1" w:styleId="Titelseite-StandZchn">
    <w:name w:val="Titelseite - Stand Zchn"/>
    <w:link w:val="Titelseite-Stand"/>
    <w:rsid w:val="005D0C20"/>
    <w:rPr>
      <w:rFonts w:ascii="Arial" w:hAnsi="Arial" w:cs="Times New Roman"/>
      <w:color w:val="F79646"/>
      <w:sz w:val="18"/>
      <w:szCs w:val="18"/>
      <w:lang w:eastAsia="de-DE"/>
    </w:rPr>
  </w:style>
  <w:style w:type="paragraph" w:customStyle="1" w:styleId="title-doc-first">
    <w:name w:val="title-doc-first"/>
    <w:basedOn w:val="Normal"/>
    <w:uiPriority w:val="99"/>
    <w:rsid w:val="005D0C20"/>
    <w:pPr>
      <w:spacing w:before="100" w:beforeAutospacing="1" w:after="100" w:afterAutospacing="1" w:line="240" w:lineRule="auto"/>
    </w:pPr>
    <w:rPr>
      <w:rFonts w:ascii="Times New Roman" w:hAnsi="Times New Roman"/>
      <w:sz w:val="24"/>
      <w:szCs w:val="24"/>
    </w:rPr>
  </w:style>
  <w:style w:type="paragraph" w:customStyle="1" w:styleId="TR1">
    <w:name w:val="TR 1"/>
    <w:basedOn w:val="Heading1"/>
    <w:link w:val="TR1Zchn"/>
    <w:qFormat/>
    <w:rsid w:val="005D0C20"/>
    <w:pPr>
      <w:spacing w:before="120" w:after="120"/>
      <w:ind w:left="851" w:hanging="851"/>
    </w:pPr>
    <w:rPr>
      <w:b w:val="0"/>
      <w:bCs/>
      <w:sz w:val="24"/>
    </w:rPr>
  </w:style>
  <w:style w:type="character" w:customStyle="1" w:styleId="TR1Zchn">
    <w:name w:val="TR 1 Zchn"/>
    <w:link w:val="TR1"/>
    <w:rsid w:val="005D0C20"/>
    <w:rPr>
      <w:rFonts w:ascii="Arial" w:hAnsi="Arial" w:cs="Times New Roman"/>
      <w:bCs/>
      <w:kern w:val="28"/>
      <w:sz w:val="24"/>
      <w:szCs w:val="18"/>
      <w:lang w:eastAsia="de-DE"/>
    </w:rPr>
  </w:style>
  <w:style w:type="paragraph" w:customStyle="1" w:styleId="TR11">
    <w:name w:val="TR 1.1"/>
    <w:basedOn w:val="TR1"/>
    <w:link w:val="TR11Zchn"/>
    <w:qFormat/>
    <w:rsid w:val="005D0C20"/>
  </w:style>
  <w:style w:type="character" w:customStyle="1" w:styleId="TR11Zchn">
    <w:name w:val="TR 1.1 Zchn"/>
    <w:link w:val="TR11"/>
    <w:rsid w:val="005D0C20"/>
    <w:rPr>
      <w:rFonts w:ascii="Arial" w:hAnsi="Arial" w:cs="Times New Roman"/>
      <w:bCs/>
      <w:kern w:val="28"/>
      <w:sz w:val="24"/>
      <w:szCs w:val="18"/>
      <w:lang w:eastAsia="de-DE"/>
    </w:rPr>
  </w:style>
  <w:style w:type="paragraph" w:customStyle="1" w:styleId="TR111">
    <w:name w:val="TR 1.1.1"/>
    <w:basedOn w:val="Normal"/>
    <w:link w:val="TR111Zchn"/>
    <w:qFormat/>
    <w:rsid w:val="005D0C20"/>
    <w:pPr>
      <w:spacing w:before="120" w:after="120" w:line="240" w:lineRule="auto"/>
      <w:ind w:left="851" w:hanging="851"/>
      <w:jc w:val="both"/>
    </w:pPr>
    <w:rPr>
      <w:b/>
      <w:szCs w:val="18"/>
    </w:rPr>
  </w:style>
  <w:style w:type="character" w:customStyle="1" w:styleId="TR111Zchn">
    <w:name w:val="TR 1.1.1 Zchn"/>
    <w:link w:val="TR111"/>
    <w:rsid w:val="005D0C20"/>
    <w:rPr>
      <w:rFonts w:ascii="Arial" w:hAnsi="Arial" w:cs="Times New Roman"/>
      <w:b/>
      <w:sz w:val="18"/>
      <w:szCs w:val="18"/>
      <w:lang w:eastAsia="de-DE"/>
    </w:rPr>
  </w:style>
  <w:style w:type="paragraph" w:customStyle="1" w:styleId="TR1111">
    <w:name w:val="TR 1.1.1.1"/>
    <w:basedOn w:val="Normal"/>
    <w:link w:val="TR1111Zchn"/>
    <w:qFormat/>
    <w:rsid w:val="005D0C20"/>
    <w:pPr>
      <w:tabs>
        <w:tab w:val="left" w:pos="851"/>
      </w:tabs>
      <w:spacing w:before="120" w:after="120" w:line="260" w:lineRule="exact"/>
      <w:ind w:left="851" w:hanging="851"/>
      <w:jc w:val="both"/>
    </w:pPr>
    <w:rPr>
      <w:rFonts w:eastAsia="Calibri" w:cs="Arial"/>
      <w:szCs w:val="18"/>
    </w:rPr>
  </w:style>
  <w:style w:type="character" w:customStyle="1" w:styleId="TR1111Zchn">
    <w:name w:val="TR 1.1.1.1 Zchn"/>
    <w:link w:val="TR1111"/>
    <w:rsid w:val="005D0C20"/>
    <w:rPr>
      <w:rFonts w:ascii="Arial" w:eastAsia="Calibri" w:hAnsi="Arial" w:cs="Arial"/>
      <w:sz w:val="18"/>
      <w:szCs w:val="18"/>
      <w:lang w:eastAsia="de-DE"/>
    </w:rPr>
  </w:style>
  <w:style w:type="paragraph" w:customStyle="1" w:styleId="berschr1">
    <w:name w:val="Überschr_1"/>
    <w:basedOn w:val="Text"/>
    <w:next w:val="Text"/>
    <w:rsid w:val="005D0C20"/>
    <w:pPr>
      <w:spacing w:before="240" w:after="240" w:line="240" w:lineRule="auto"/>
    </w:pPr>
    <w:rPr>
      <w:b/>
      <w:sz w:val="24"/>
    </w:rPr>
  </w:style>
  <w:style w:type="paragraph" w:customStyle="1" w:styleId="berschrift111">
    <w:name w:val="Überschrift 1.1.1"/>
    <w:basedOn w:val="BRL-Standard"/>
    <w:next w:val="BRL-Standard"/>
    <w:autoRedefine/>
    <w:qFormat/>
    <w:rsid w:val="005D0C20"/>
    <w:pPr>
      <w:spacing w:after="240"/>
      <w:ind w:left="720" w:hanging="720"/>
    </w:pPr>
    <w:rPr>
      <w:b/>
      <w:sz w:val="20"/>
      <w:szCs w:val="16"/>
    </w:rPr>
  </w:style>
  <w:style w:type="paragraph" w:customStyle="1" w:styleId="berschriftAnlage">
    <w:name w:val="Überschrift Anlage"/>
    <w:basedOn w:val="Normal"/>
    <w:link w:val="berschriftAnlageZchn"/>
    <w:qFormat/>
    <w:rsid w:val="005D0C20"/>
    <w:pPr>
      <w:numPr>
        <w:numId w:val="34"/>
      </w:numPr>
      <w:spacing w:after="240" w:line="276" w:lineRule="auto"/>
      <w:jc w:val="both"/>
    </w:pPr>
    <w:rPr>
      <w:b/>
      <w:kern w:val="28"/>
      <w:szCs w:val="18"/>
    </w:rPr>
  </w:style>
  <w:style w:type="character" w:customStyle="1" w:styleId="berschriftAnlageZchn">
    <w:name w:val="Überschrift Anlage Zchn"/>
    <w:basedOn w:val="Heading1Char"/>
    <w:link w:val="berschriftAnlage"/>
    <w:rsid w:val="005D0C20"/>
    <w:rPr>
      <w:rFonts w:ascii="Arial" w:hAnsi="Arial" w:cs="Times New Roman"/>
      <w:b/>
      <w:kern w:val="28"/>
      <w:sz w:val="18"/>
      <w:szCs w:val="18"/>
      <w:lang w:eastAsia="de-DE"/>
    </w:rPr>
  </w:style>
  <w:style w:type="paragraph" w:customStyle="1" w:styleId="berschriftnichtnummeriert">
    <w:name w:val="Überschrift nicht nummeriert"/>
    <w:link w:val="berschriftnichtnummeriertZchn"/>
    <w:qFormat/>
    <w:rsid w:val="005D0C20"/>
    <w:pPr>
      <w:spacing w:after="160"/>
    </w:pPr>
    <w:rPr>
      <w:rFonts w:ascii="Arial" w:hAnsi="Arial" w:cs="Times New Roman"/>
      <w:b/>
      <w:kern w:val="28"/>
      <w:sz w:val="24"/>
      <w:szCs w:val="18"/>
      <w:lang w:eastAsia="de-DE"/>
    </w:rPr>
  </w:style>
  <w:style w:type="character" w:customStyle="1" w:styleId="berschriftnichtnummeriertZchn">
    <w:name w:val="Überschrift nicht nummeriert Zchn"/>
    <w:link w:val="berschriftnichtnummeriert"/>
    <w:rsid w:val="005D0C20"/>
    <w:rPr>
      <w:rFonts w:ascii="Arial" w:hAnsi="Arial" w:cs="Times New Roman"/>
      <w:b/>
      <w:kern w:val="28"/>
      <w:sz w:val="24"/>
      <w:szCs w:val="18"/>
      <w:lang w:eastAsia="de-DE"/>
    </w:rPr>
  </w:style>
  <w:style w:type="paragraph" w:customStyle="1" w:styleId="berschrift2Anlage">
    <w:name w:val="Überschrift2 Anlage"/>
    <w:basedOn w:val="berschriftAnlage"/>
    <w:link w:val="berschrift2AnlageZchn"/>
    <w:qFormat/>
    <w:rsid w:val="005D0C20"/>
    <w:pPr>
      <w:numPr>
        <w:ilvl w:val="1"/>
      </w:numPr>
    </w:pPr>
    <w:rPr>
      <w:color w:val="9E1A3C"/>
    </w:rPr>
  </w:style>
  <w:style w:type="character" w:customStyle="1" w:styleId="berschrift2AnlageZchn">
    <w:name w:val="Überschrift2 Anlage Zchn"/>
    <w:basedOn w:val="Heading2Char"/>
    <w:link w:val="berschrift2Anlage"/>
    <w:rsid w:val="005D0C20"/>
    <w:rPr>
      <w:rFonts w:ascii="Arial" w:hAnsi="Arial" w:cs="Times New Roman"/>
      <w:b/>
      <w:color w:val="9E1A3C"/>
      <w:kern w:val="28"/>
      <w:sz w:val="18"/>
      <w:szCs w:val="18"/>
      <w:lang w:eastAsia="de-DE"/>
    </w:rPr>
  </w:style>
  <w:style w:type="paragraph" w:styleId="EnvelopeReturn">
    <w:name w:val="envelope return"/>
    <w:basedOn w:val="Normal"/>
    <w:rsid w:val="005D0C20"/>
    <w:pPr>
      <w:spacing w:line="240" w:lineRule="auto"/>
      <w:jc w:val="both"/>
    </w:pPr>
    <w:rPr>
      <w:rFonts w:cs="Arial"/>
      <w:szCs w:val="18"/>
    </w:rPr>
  </w:style>
  <w:style w:type="paragraph" w:styleId="EnvelopeAddress">
    <w:name w:val="envelope address"/>
    <w:basedOn w:val="Normal"/>
    <w:rsid w:val="005D0C20"/>
    <w:pPr>
      <w:framePr w:w="4320" w:h="2160" w:hRule="exact" w:hSpace="141" w:wrap="auto" w:hAnchor="page" w:xAlign="center" w:yAlign="bottom"/>
      <w:spacing w:line="240" w:lineRule="auto"/>
      <w:ind w:left="1"/>
      <w:jc w:val="both"/>
    </w:pPr>
    <w:rPr>
      <w:rFonts w:cs="Arial"/>
      <w:sz w:val="24"/>
      <w:szCs w:val="24"/>
    </w:rPr>
  </w:style>
  <w:style w:type="paragraph" w:styleId="Signature">
    <w:name w:val="Signature"/>
    <w:basedOn w:val="Normal"/>
    <w:link w:val="SignatureChar"/>
    <w:rsid w:val="005D0C20"/>
    <w:pPr>
      <w:spacing w:line="240" w:lineRule="auto"/>
      <w:ind w:left="4252"/>
      <w:jc w:val="both"/>
    </w:pPr>
    <w:rPr>
      <w:sz w:val="24"/>
      <w:szCs w:val="24"/>
    </w:rPr>
  </w:style>
  <w:style w:type="character" w:customStyle="1" w:styleId="SignatureChar">
    <w:name w:val="Signature Char"/>
    <w:link w:val="Signature"/>
    <w:rsid w:val="005D0C20"/>
    <w:rPr>
      <w:rFonts w:ascii="Arial" w:hAnsi="Arial" w:cs="Times New Roman"/>
      <w:sz w:val="24"/>
      <w:szCs w:val="24"/>
      <w:lang w:eastAsia="de-DE"/>
    </w:rPr>
  </w:style>
  <w:style w:type="paragraph" w:styleId="Subtitle">
    <w:name w:val="Subtitle"/>
    <w:basedOn w:val="Normal"/>
    <w:link w:val="SubtitleChar"/>
    <w:qFormat/>
    <w:rsid w:val="005D0C20"/>
    <w:pPr>
      <w:spacing w:after="60" w:line="240" w:lineRule="auto"/>
      <w:jc w:val="center"/>
      <w:outlineLvl w:val="1"/>
    </w:pPr>
    <w:rPr>
      <w:rFonts w:cs="Arial"/>
      <w:sz w:val="24"/>
      <w:szCs w:val="24"/>
    </w:rPr>
  </w:style>
  <w:style w:type="character" w:customStyle="1" w:styleId="SubtitleChar">
    <w:name w:val="Subtitle Char"/>
    <w:link w:val="Subtitle"/>
    <w:rsid w:val="005D0C20"/>
    <w:rPr>
      <w:rFonts w:ascii="Arial" w:hAnsi="Arial" w:cs="Arial"/>
      <w:sz w:val="24"/>
      <w:szCs w:val="24"/>
      <w:lang w:eastAsia="de-DE"/>
    </w:rPr>
  </w:style>
  <w:style w:type="character" w:customStyle="1" w:styleId="value">
    <w:name w:val="value"/>
    <w:uiPriority w:val="99"/>
    <w:rsid w:val="005D0C20"/>
    <w:rPr>
      <w:rFonts w:cs="Times New Roman"/>
    </w:rPr>
  </w:style>
  <w:style w:type="paragraph" w:styleId="TOC4">
    <w:name w:val="toc 4"/>
    <w:basedOn w:val="TOC3"/>
    <w:next w:val="Normal"/>
    <w:autoRedefine/>
    <w:uiPriority w:val="39"/>
    <w:rsid w:val="005D0C20"/>
    <w:pPr>
      <w:tabs>
        <w:tab w:val="clear" w:pos="9922"/>
        <w:tab w:val="left" w:pos="851"/>
        <w:tab w:val="right" w:leader="dot" w:pos="9639"/>
      </w:tabs>
      <w:spacing w:after="100" w:line="260" w:lineRule="exact"/>
      <w:ind w:left="600" w:right="851" w:hanging="851"/>
    </w:pPr>
  </w:style>
  <w:style w:type="paragraph" w:styleId="TOC5">
    <w:name w:val="toc 5"/>
    <w:basedOn w:val="TOC3"/>
    <w:next w:val="Normal"/>
    <w:autoRedefine/>
    <w:uiPriority w:val="39"/>
    <w:rsid w:val="005D0C20"/>
    <w:pPr>
      <w:tabs>
        <w:tab w:val="clear" w:pos="9922"/>
        <w:tab w:val="left" w:pos="851"/>
        <w:tab w:val="right" w:leader="dot" w:pos="9923"/>
      </w:tabs>
      <w:spacing w:after="0" w:line="260" w:lineRule="exact"/>
      <w:ind w:left="851" w:right="851" w:hanging="851"/>
    </w:pPr>
  </w:style>
  <w:style w:type="paragraph" w:styleId="TOC6">
    <w:name w:val="toc 6"/>
    <w:basedOn w:val="Normal"/>
    <w:next w:val="Normal"/>
    <w:autoRedefine/>
    <w:unhideWhenUsed/>
    <w:rsid w:val="005D0C20"/>
    <w:pPr>
      <w:spacing w:line="240" w:lineRule="auto"/>
      <w:ind w:left="1000"/>
      <w:jc w:val="both"/>
    </w:pPr>
    <w:rPr>
      <w:rFonts w:ascii="Calibri" w:hAnsi="Calibri"/>
      <w:szCs w:val="18"/>
    </w:rPr>
  </w:style>
  <w:style w:type="paragraph" w:styleId="TOC7">
    <w:name w:val="toc 7"/>
    <w:basedOn w:val="Normal"/>
    <w:next w:val="Normal"/>
    <w:autoRedefine/>
    <w:unhideWhenUsed/>
    <w:rsid w:val="005D0C20"/>
    <w:pPr>
      <w:spacing w:line="240" w:lineRule="auto"/>
      <w:ind w:left="1200"/>
      <w:jc w:val="both"/>
    </w:pPr>
    <w:rPr>
      <w:rFonts w:ascii="Calibri" w:hAnsi="Calibri"/>
      <w:szCs w:val="18"/>
    </w:rPr>
  </w:style>
  <w:style w:type="paragraph" w:styleId="TOC8">
    <w:name w:val="toc 8"/>
    <w:basedOn w:val="Normal"/>
    <w:next w:val="Normal"/>
    <w:autoRedefine/>
    <w:unhideWhenUsed/>
    <w:rsid w:val="005D0C20"/>
    <w:pPr>
      <w:spacing w:line="240" w:lineRule="auto"/>
      <w:ind w:left="1400"/>
      <w:jc w:val="both"/>
    </w:pPr>
    <w:rPr>
      <w:rFonts w:ascii="Calibri" w:hAnsi="Calibri"/>
      <w:szCs w:val="18"/>
    </w:rPr>
  </w:style>
  <w:style w:type="paragraph" w:styleId="TOC9">
    <w:name w:val="toc 9"/>
    <w:basedOn w:val="Normal"/>
    <w:next w:val="Normal"/>
    <w:autoRedefine/>
    <w:unhideWhenUsed/>
    <w:rsid w:val="005D0C20"/>
    <w:pPr>
      <w:spacing w:line="240" w:lineRule="auto"/>
      <w:ind w:left="1600"/>
      <w:jc w:val="both"/>
    </w:pPr>
    <w:rPr>
      <w:rFonts w:ascii="Calibri" w:hAnsi="Calibri"/>
      <w:szCs w:val="18"/>
    </w:rPr>
  </w:style>
  <w:style w:type="paragraph" w:customStyle="1" w:styleId="xl111">
    <w:name w:val="xl111"/>
    <w:basedOn w:val="Normal"/>
    <w:rsid w:val="005D0C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Cs w:val="18"/>
    </w:rPr>
  </w:style>
  <w:style w:type="paragraph" w:customStyle="1" w:styleId="xl65">
    <w:name w:val="xl65"/>
    <w:basedOn w:val="Normal"/>
    <w:uiPriority w:val="99"/>
    <w:rsid w:val="005D0C20"/>
    <w:pPr>
      <w:spacing w:before="100" w:beforeAutospacing="1" w:after="100" w:afterAutospacing="1" w:line="240" w:lineRule="auto"/>
      <w:jc w:val="both"/>
    </w:pPr>
    <w:rPr>
      <w:rFonts w:ascii="Times New Roman" w:hAnsi="Times New Roman"/>
      <w:b/>
      <w:bCs/>
      <w:color w:val="000000"/>
      <w:sz w:val="24"/>
      <w:szCs w:val="24"/>
    </w:rPr>
  </w:style>
  <w:style w:type="paragraph" w:customStyle="1" w:styleId="xl66">
    <w:name w:val="xl66"/>
    <w:basedOn w:val="Normal"/>
    <w:uiPriority w:val="99"/>
    <w:rsid w:val="005D0C20"/>
    <w:pPr>
      <w:spacing w:before="100" w:beforeAutospacing="1" w:after="100" w:afterAutospacing="1" w:line="240" w:lineRule="auto"/>
      <w:jc w:val="both"/>
    </w:pPr>
    <w:rPr>
      <w:rFonts w:ascii="Times New Roman" w:hAnsi="Times New Roman"/>
      <w:sz w:val="24"/>
      <w:szCs w:val="24"/>
    </w:rPr>
  </w:style>
  <w:style w:type="paragraph" w:customStyle="1" w:styleId="xl67">
    <w:name w:val="xl67"/>
    <w:basedOn w:val="Normal"/>
    <w:uiPriority w:val="99"/>
    <w:rsid w:val="005D0C20"/>
    <w:pPr>
      <w:spacing w:before="100" w:beforeAutospacing="1" w:after="100" w:afterAutospacing="1" w:line="240" w:lineRule="auto"/>
      <w:jc w:val="both"/>
    </w:pPr>
    <w:rPr>
      <w:rFonts w:ascii="Times New Roman" w:hAnsi="Times New Roman"/>
      <w:b/>
      <w:bCs/>
      <w:color w:val="000000"/>
      <w:sz w:val="24"/>
      <w:szCs w:val="24"/>
    </w:rPr>
  </w:style>
  <w:style w:type="paragraph" w:customStyle="1" w:styleId="xl68">
    <w:name w:val="xl68"/>
    <w:basedOn w:val="Normal"/>
    <w:uiPriority w:val="99"/>
    <w:rsid w:val="005D0C20"/>
    <w:pPr>
      <w:shd w:val="clear" w:color="000000" w:fill="C0C0C0"/>
      <w:spacing w:before="100" w:beforeAutospacing="1" w:after="100" w:afterAutospacing="1" w:line="240" w:lineRule="auto"/>
      <w:jc w:val="both"/>
    </w:pPr>
    <w:rPr>
      <w:rFonts w:ascii="Times New Roman" w:hAnsi="Times New Roman"/>
      <w:sz w:val="24"/>
      <w:szCs w:val="24"/>
    </w:rPr>
  </w:style>
  <w:style w:type="paragraph" w:customStyle="1" w:styleId="xl69">
    <w:name w:val="xl69"/>
    <w:basedOn w:val="Normal"/>
    <w:uiPriority w:val="99"/>
    <w:rsid w:val="005D0C20"/>
    <w:pP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70">
    <w:name w:val="xl70"/>
    <w:basedOn w:val="Normal"/>
    <w:uiPriority w:val="99"/>
    <w:rsid w:val="005D0C20"/>
    <w:pPr>
      <w:spacing w:before="100" w:beforeAutospacing="1" w:after="100" w:afterAutospacing="1" w:line="240" w:lineRule="auto"/>
      <w:jc w:val="both"/>
    </w:pPr>
    <w:rPr>
      <w:rFonts w:ascii="Times New Roman" w:hAnsi="Times New Roman"/>
      <w:color w:val="000000"/>
      <w:sz w:val="24"/>
      <w:szCs w:val="24"/>
    </w:rPr>
  </w:style>
  <w:style w:type="paragraph" w:customStyle="1" w:styleId="xl71">
    <w:name w:val="xl71"/>
    <w:basedOn w:val="Normal"/>
    <w:uiPriority w:val="99"/>
    <w:rsid w:val="005D0C20"/>
    <w:pPr>
      <w:shd w:val="clear" w:color="000000" w:fill="C0C0C0"/>
      <w:spacing w:before="100" w:beforeAutospacing="1" w:after="100" w:afterAutospacing="1" w:line="240" w:lineRule="auto"/>
      <w:jc w:val="both"/>
    </w:pPr>
    <w:rPr>
      <w:rFonts w:ascii="Times New Roman" w:hAnsi="Times New Roman"/>
      <w:color w:val="000000"/>
      <w:sz w:val="24"/>
      <w:szCs w:val="24"/>
    </w:rPr>
  </w:style>
  <w:style w:type="paragraph" w:customStyle="1" w:styleId="xl72">
    <w:name w:val="xl72"/>
    <w:basedOn w:val="Normal"/>
    <w:uiPriority w:val="99"/>
    <w:rsid w:val="005D0C20"/>
    <w:pPr>
      <w:shd w:val="clear" w:color="000000" w:fill="C0C0C0"/>
      <w:spacing w:before="100" w:beforeAutospacing="1" w:after="100" w:afterAutospacing="1" w:line="240" w:lineRule="auto"/>
      <w:jc w:val="both"/>
    </w:pPr>
    <w:rPr>
      <w:rFonts w:ascii="Times New Roman" w:hAnsi="Times New Roman"/>
      <w:b/>
      <w:bCs/>
      <w:sz w:val="24"/>
      <w:szCs w:val="24"/>
    </w:rPr>
  </w:style>
  <w:style w:type="paragraph" w:customStyle="1" w:styleId="xl73">
    <w:name w:val="xl73"/>
    <w:basedOn w:val="Normal"/>
    <w:uiPriority w:val="99"/>
    <w:rsid w:val="005D0C20"/>
    <w:pPr>
      <w:spacing w:before="100" w:beforeAutospacing="1" w:after="100" w:afterAutospacing="1" w:line="240" w:lineRule="auto"/>
      <w:jc w:val="both"/>
    </w:pPr>
    <w:rPr>
      <w:rFonts w:ascii="Times New Roman" w:hAnsi="Times New Roman"/>
      <w:i/>
      <w:iCs/>
      <w:color w:val="0066CC"/>
      <w:sz w:val="24"/>
      <w:szCs w:val="24"/>
    </w:rPr>
  </w:style>
  <w:style w:type="paragraph" w:customStyle="1" w:styleId="ZBSeite2">
    <w:name w:val="ZB_Seite2"/>
    <w:basedOn w:val="Normal"/>
    <w:next w:val="Normal"/>
    <w:rsid w:val="005D0C20"/>
    <w:pPr>
      <w:tabs>
        <w:tab w:val="left" w:pos="480"/>
        <w:tab w:val="left" w:pos="720"/>
        <w:tab w:val="left" w:pos="1080"/>
        <w:tab w:val="left" w:pos="1680"/>
        <w:tab w:val="left" w:pos="2280"/>
        <w:tab w:val="left" w:pos="3240"/>
        <w:tab w:val="left" w:pos="6360"/>
      </w:tabs>
      <w:spacing w:before="120" w:after="120" w:line="240" w:lineRule="auto"/>
      <w:ind w:left="851" w:hanging="851"/>
      <w:jc w:val="both"/>
    </w:pPr>
    <w:rPr>
      <w:sz w:val="22"/>
      <w:szCs w:val="18"/>
    </w:rPr>
  </w:style>
  <w:style w:type="paragraph" w:customStyle="1" w:styleId="ZB-Bescheid">
    <w:name w:val="ZB-Bescheid"/>
    <w:basedOn w:val="Normal"/>
    <w:next w:val="Normal"/>
    <w:rsid w:val="005D0C20"/>
    <w:pPr>
      <w:spacing w:before="720" w:line="240" w:lineRule="auto"/>
      <w:jc w:val="center"/>
    </w:pPr>
    <w:rPr>
      <w:rFonts w:cs="Arial"/>
      <w:b/>
      <w:sz w:val="22"/>
      <w:szCs w:val="18"/>
    </w:rPr>
  </w:style>
  <w:style w:type="paragraph" w:customStyle="1" w:styleId="ZB-Standard">
    <w:name w:val="ZB-Standard"/>
    <w:basedOn w:val="Normal"/>
    <w:link w:val="ZB-StandardZchn"/>
    <w:rsid w:val="005D0C20"/>
    <w:pPr>
      <w:tabs>
        <w:tab w:val="left" w:pos="851"/>
        <w:tab w:val="left" w:pos="1418"/>
        <w:tab w:val="left" w:pos="5670"/>
      </w:tabs>
      <w:spacing w:after="60" w:line="240" w:lineRule="auto"/>
      <w:ind w:left="851" w:hanging="851"/>
      <w:jc w:val="both"/>
    </w:pPr>
    <w:rPr>
      <w:rFonts w:cs="Arial"/>
      <w:szCs w:val="18"/>
    </w:rPr>
  </w:style>
  <w:style w:type="character" w:customStyle="1" w:styleId="ZB-StandardZchn">
    <w:name w:val="ZB-Standard Zchn"/>
    <w:link w:val="ZB-Standard"/>
    <w:locked/>
    <w:rsid w:val="005D0C20"/>
    <w:rPr>
      <w:rFonts w:ascii="Arial" w:hAnsi="Arial" w:cs="Arial"/>
      <w:sz w:val="18"/>
      <w:szCs w:val="18"/>
      <w:lang w:eastAsia="de-DE"/>
    </w:rPr>
  </w:style>
  <w:style w:type="paragraph" w:customStyle="1" w:styleId="ZB-Bescheid-ber">
    <w:name w:val="ZB-Bescheid-über"/>
    <w:basedOn w:val="ZB-Standard"/>
    <w:rsid w:val="005D0C20"/>
    <w:pPr>
      <w:spacing w:after="480"/>
      <w:ind w:left="0" w:firstLine="0"/>
      <w:jc w:val="center"/>
    </w:pPr>
  </w:style>
  <w:style w:type="paragraph" w:customStyle="1" w:styleId="ZB-Kopfzeile">
    <w:name w:val="ZB-Kopfzeile"/>
    <w:basedOn w:val="Normal"/>
    <w:rsid w:val="005D0C20"/>
    <w:pPr>
      <w:spacing w:after="120" w:line="240" w:lineRule="auto"/>
      <w:jc w:val="both"/>
    </w:pPr>
    <w:rPr>
      <w:rFonts w:cs="Arial"/>
      <w:szCs w:val="18"/>
    </w:rPr>
  </w:style>
  <w:style w:type="paragraph" w:customStyle="1" w:styleId="ZB-Seite2-Absatz1">
    <w:name w:val="ZB-Seite2-Absatz1"/>
    <w:basedOn w:val="ZB-Standard"/>
    <w:next w:val="Normal"/>
    <w:rsid w:val="005D0C20"/>
    <w:pPr>
      <w:tabs>
        <w:tab w:val="clear" w:pos="851"/>
        <w:tab w:val="clear" w:pos="1418"/>
        <w:tab w:val="clear" w:pos="5670"/>
      </w:tabs>
      <w:ind w:left="0" w:firstLine="0"/>
    </w:pPr>
    <w:rPr>
      <w:rFonts w:cs="Times New Roman"/>
      <w:sz w:val="22"/>
    </w:rPr>
  </w:style>
  <w:style w:type="paragraph" w:customStyle="1" w:styleId="ZB-Standard2Seite">
    <w:name w:val="ZB-Standard 2.Seite"/>
    <w:basedOn w:val="ZB-Standard"/>
    <w:rsid w:val="005D0C20"/>
    <w:pPr>
      <w:numPr>
        <w:numId w:val="35"/>
      </w:numPr>
      <w:tabs>
        <w:tab w:val="clear" w:pos="851"/>
      </w:tabs>
      <w:spacing w:before="240" w:after="240"/>
    </w:pPr>
  </w:style>
  <w:style w:type="paragraph" w:customStyle="1" w:styleId="ZB-Tabelle">
    <w:name w:val="ZB-Tabelle"/>
    <w:basedOn w:val="Normal"/>
    <w:link w:val="ZB-TabelleZchn"/>
    <w:rsid w:val="005D0C20"/>
    <w:pPr>
      <w:tabs>
        <w:tab w:val="left" w:pos="851"/>
        <w:tab w:val="left" w:pos="1418"/>
        <w:tab w:val="left" w:pos="5670"/>
      </w:tabs>
      <w:spacing w:before="40" w:after="40" w:line="240" w:lineRule="auto"/>
      <w:jc w:val="both"/>
    </w:pPr>
    <w:rPr>
      <w:rFonts w:cs="Arial"/>
      <w:szCs w:val="18"/>
    </w:rPr>
  </w:style>
  <w:style w:type="character" w:customStyle="1" w:styleId="ZB-TabelleZchn">
    <w:name w:val="ZB-Tabelle Zchn"/>
    <w:link w:val="ZB-Tabelle"/>
    <w:rsid w:val="005D0C20"/>
    <w:rPr>
      <w:rFonts w:ascii="Arial" w:hAnsi="Arial" w:cs="Arial"/>
      <w:sz w:val="18"/>
      <w:szCs w:val="18"/>
      <w:lang w:eastAsia="de-DE"/>
    </w:rPr>
  </w:style>
  <w:style w:type="paragraph" w:customStyle="1" w:styleId="ZB-berschrift">
    <w:name w:val="ZB-Überschrift"/>
    <w:next w:val="Normal"/>
    <w:rsid w:val="005D0C20"/>
    <w:pPr>
      <w:tabs>
        <w:tab w:val="left" w:pos="851"/>
      </w:tabs>
      <w:spacing w:before="240" w:after="240" w:line="240" w:lineRule="auto"/>
      <w:ind w:left="851" w:hanging="851"/>
    </w:pPr>
    <w:rPr>
      <w:rFonts w:ascii="Arial" w:hAnsi="Arial" w:cs="Arial"/>
      <w:b/>
      <w:noProof/>
      <w:sz w:val="18"/>
      <w:szCs w:val="18"/>
      <w:lang w:eastAsia="de-DE"/>
    </w:rPr>
  </w:style>
  <w:style w:type="paragraph" w:customStyle="1" w:styleId="ZB-berschrift2">
    <w:name w:val="ZB-Überschrift2"/>
    <w:next w:val="Normal"/>
    <w:rsid w:val="005D0C20"/>
    <w:pPr>
      <w:spacing w:before="120" w:after="60" w:line="240" w:lineRule="auto"/>
      <w:ind w:left="851" w:hanging="851"/>
    </w:pPr>
    <w:rPr>
      <w:rFonts w:ascii="Arial" w:hAnsi="Arial" w:cs="Arial"/>
      <w:b/>
      <w:noProof/>
      <w:sz w:val="18"/>
      <w:szCs w:val="18"/>
      <w:lang w:eastAsia="de-DE"/>
    </w:rPr>
  </w:style>
  <w:style w:type="paragraph" w:customStyle="1" w:styleId="ZB-berschrift3">
    <w:name w:val="ZB-Überschrift3"/>
    <w:next w:val="ZB-Standard"/>
    <w:link w:val="ZB-berschrift3Zchn"/>
    <w:rsid w:val="005D0C20"/>
    <w:pPr>
      <w:spacing w:after="60" w:line="240" w:lineRule="auto"/>
      <w:ind w:left="851" w:hanging="851"/>
    </w:pPr>
    <w:rPr>
      <w:rFonts w:ascii="Arial" w:hAnsi="Arial" w:cs="Arial"/>
      <w:b/>
      <w:noProof/>
      <w:sz w:val="18"/>
      <w:szCs w:val="18"/>
      <w:lang w:eastAsia="de-DE"/>
    </w:rPr>
  </w:style>
  <w:style w:type="character" w:customStyle="1" w:styleId="ZB-berschrift3Zchn">
    <w:name w:val="ZB-Überschrift3 Zchn"/>
    <w:link w:val="ZB-berschrift3"/>
    <w:rsid w:val="005D0C20"/>
    <w:rPr>
      <w:rFonts w:ascii="Arial" w:hAnsi="Arial" w:cs="Arial"/>
      <w:b/>
      <w:noProof/>
      <w:sz w:val="18"/>
      <w:szCs w:val="18"/>
      <w:lang w:eastAsia="de-DE"/>
    </w:rPr>
  </w:style>
  <w:style w:type="character" w:customStyle="1" w:styleId="ZchnZchn13">
    <w:name w:val="Zchn Zchn13"/>
    <w:locked/>
    <w:rsid w:val="005D0C20"/>
    <w:rPr>
      <w:rFonts w:ascii="Arial" w:hAnsi="Arial"/>
      <w:lang w:val="en-GB" w:eastAsia="de-DE" w:bidi="ar-SA"/>
    </w:rPr>
  </w:style>
  <w:style w:type="character" w:customStyle="1" w:styleId="ZchnZchn9">
    <w:name w:val="Zchn Zchn9"/>
    <w:semiHidden/>
    <w:locked/>
    <w:rsid w:val="005D0C20"/>
    <w:rPr>
      <w:rFonts w:ascii="Arial" w:hAnsi="Arial"/>
      <w:sz w:val="22"/>
      <w:lang w:val="en-GB" w:eastAsia="de-DE" w:bidi="ar-SA"/>
    </w:rPr>
  </w:style>
  <w:style w:type="character" w:styleId="LineNumber">
    <w:name w:val="line number"/>
    <w:rsid w:val="005D0C20"/>
    <w:rPr>
      <w:rFonts w:ascii="Arial" w:hAnsi="Arial" w:cs="Arial"/>
    </w:rPr>
  </w:style>
  <w:style w:type="paragraph" w:styleId="Quote">
    <w:name w:val="Quote"/>
    <w:basedOn w:val="Normal"/>
    <w:next w:val="Normal"/>
    <w:link w:val="QuoteChar"/>
    <w:uiPriority w:val="29"/>
    <w:qFormat/>
    <w:rsid w:val="005D0C20"/>
    <w:pPr>
      <w:spacing w:line="276" w:lineRule="auto"/>
      <w:jc w:val="both"/>
    </w:pPr>
    <w:rPr>
      <w:i/>
      <w:iCs/>
      <w:color w:val="000000" w:themeColor="text1"/>
      <w:szCs w:val="18"/>
    </w:rPr>
  </w:style>
  <w:style w:type="character" w:customStyle="1" w:styleId="QuoteChar">
    <w:name w:val="Quote Char"/>
    <w:basedOn w:val="DefaultParagraphFont"/>
    <w:link w:val="Quote"/>
    <w:uiPriority w:val="29"/>
    <w:rsid w:val="005D0C20"/>
    <w:rPr>
      <w:rFonts w:ascii="Arial" w:hAnsi="Arial" w:cs="Times New Roman"/>
      <w:i/>
      <w:iCs/>
      <w:color w:val="000000" w:themeColor="text1"/>
      <w:sz w:val="18"/>
      <w:szCs w:val="18"/>
      <w:lang w:eastAsia="de-DE"/>
    </w:rPr>
  </w:style>
  <w:style w:type="paragraph" w:customStyle="1" w:styleId="Zulassungsgliederung">
    <w:name w:val="Zulassungsgliederung"/>
    <w:basedOn w:val="Normal"/>
    <w:next w:val="Normal"/>
    <w:rsid w:val="005D0C20"/>
    <w:pPr>
      <w:tabs>
        <w:tab w:val="left" w:pos="840"/>
        <w:tab w:val="left" w:pos="1200"/>
        <w:tab w:val="left" w:pos="1800"/>
        <w:tab w:val="left" w:pos="2400"/>
        <w:tab w:val="left" w:pos="3720"/>
        <w:tab w:val="left" w:pos="6600"/>
      </w:tabs>
      <w:spacing w:before="240" w:after="240" w:line="360" w:lineRule="auto"/>
      <w:ind w:left="851" w:hanging="851"/>
      <w:jc w:val="both"/>
    </w:pPr>
    <w:rPr>
      <w:b/>
      <w:szCs w:val="18"/>
    </w:rPr>
  </w:style>
  <w:style w:type="paragraph" w:customStyle="1" w:styleId="Zulassungskopf">
    <w:name w:val="Zulassungskopf"/>
    <w:basedOn w:val="Normal"/>
    <w:rsid w:val="005D0C20"/>
    <w:pPr>
      <w:tabs>
        <w:tab w:val="left" w:pos="3045"/>
        <w:tab w:val="left" w:pos="3260"/>
        <w:tab w:val="left" w:pos="10064"/>
      </w:tabs>
      <w:spacing w:before="240" w:after="240" w:line="276" w:lineRule="auto"/>
      <w:ind w:left="3045" w:hanging="3045"/>
      <w:jc w:val="both"/>
    </w:pPr>
    <w:rPr>
      <w:szCs w:val="18"/>
    </w:rPr>
  </w:style>
  <w:style w:type="paragraph" w:customStyle="1" w:styleId="Zulassungskopf2">
    <w:name w:val="Zulassungskopf2"/>
    <w:basedOn w:val="Zulassungskopf"/>
    <w:rsid w:val="005D0C20"/>
    <w:pPr>
      <w:tabs>
        <w:tab w:val="clear" w:pos="3045"/>
        <w:tab w:val="clear" w:pos="10064"/>
        <w:tab w:val="left" w:pos="3047"/>
        <w:tab w:val="left" w:pos="10063"/>
      </w:tabs>
      <w:ind w:firstLine="0"/>
    </w:pPr>
  </w:style>
  <w:style w:type="paragraph" w:customStyle="1" w:styleId="Zulassungsnummer">
    <w:name w:val="Zulassungsnummer"/>
    <w:basedOn w:val="Zulassungskopf"/>
    <w:rsid w:val="005D0C20"/>
    <w:pPr>
      <w:tabs>
        <w:tab w:val="clear" w:pos="3045"/>
        <w:tab w:val="clear" w:pos="3260"/>
        <w:tab w:val="clear" w:pos="10064"/>
        <w:tab w:val="center" w:pos="4111"/>
      </w:tabs>
      <w:spacing w:after="480"/>
      <w:ind w:left="3260" w:hanging="3260"/>
    </w:pPr>
  </w:style>
  <w:style w:type="character" w:customStyle="1" w:styleId="ZulassungsnummerZeichen">
    <w:name w:val="Zulassungsnummer_Zeichen"/>
    <w:rsid w:val="005D0C20"/>
    <w:rPr>
      <w:rFonts w:ascii="Arial" w:hAnsi="Arial" w:cs="Arial"/>
      <w:b/>
      <w:noProof w:val="0"/>
      <w:kern w:val="0"/>
      <w:sz w:val="18"/>
      <w:vertAlign w:val="baseline"/>
      <w:lang w:val="en-GB"/>
    </w:rPr>
  </w:style>
  <w:style w:type="paragraph" w:customStyle="1" w:styleId="Zulassungstext">
    <w:name w:val="Zulassungstext"/>
    <w:basedOn w:val="Normal"/>
    <w:next w:val="Normal"/>
    <w:rsid w:val="005D0C20"/>
    <w:pPr>
      <w:spacing w:line="276" w:lineRule="auto"/>
      <w:jc w:val="both"/>
    </w:pPr>
    <w:rPr>
      <w:szCs w:val="18"/>
    </w:rPr>
  </w:style>
  <w:style w:type="paragraph" w:styleId="Revision">
    <w:name w:val="Revision"/>
    <w:hidden/>
    <w:uiPriority w:val="99"/>
    <w:semiHidden/>
    <w:rsid w:val="004C2C77"/>
    <w:pPr>
      <w:spacing w:after="0" w:line="240" w:lineRule="auto"/>
    </w:pPr>
    <w:rPr>
      <w:rFonts w:ascii="Arial" w:eastAsia="Calibri" w:hAnsi="Arial" w:cs="Times New Roman"/>
    </w:rPr>
  </w:style>
  <w:style w:type="paragraph" w:customStyle="1" w:styleId="BRL-TabelleFettmittig">
    <w:name w:val="BRL-Tabelle + Fett;mittig"/>
    <w:basedOn w:val="Normal"/>
    <w:link w:val="BRL-TabelleFettmittigZchn"/>
    <w:qFormat/>
    <w:rsid w:val="004C2C77"/>
    <w:pPr>
      <w:spacing w:line="240" w:lineRule="auto"/>
      <w:ind w:right="113"/>
      <w:jc w:val="both"/>
    </w:pPr>
    <w:rPr>
      <w:szCs w:val="18"/>
    </w:rPr>
  </w:style>
  <w:style w:type="character" w:customStyle="1" w:styleId="BRL-TabelleFettmittigZchn">
    <w:name w:val="BRL-Tabelle + Fett;mittig Zchn"/>
    <w:link w:val="BRL-TabelleFettmittig"/>
    <w:rsid w:val="004C2C77"/>
    <w:rPr>
      <w:rFonts w:ascii="Arial" w:hAnsi="Arial" w:cs="Times New Roman"/>
      <w:sz w:val="18"/>
      <w:szCs w:val="18"/>
      <w:lang w:eastAsia="de-DE"/>
    </w:rPr>
  </w:style>
  <w:style w:type="paragraph" w:styleId="z-TopofForm">
    <w:name w:val="HTML Top of Form"/>
    <w:basedOn w:val="Normal"/>
    <w:next w:val="Normal"/>
    <w:link w:val="z-TopofFormChar"/>
    <w:hidden/>
    <w:uiPriority w:val="99"/>
    <w:unhideWhenUsed/>
    <w:rsid w:val="004C2C77"/>
    <w:pPr>
      <w:pBdr>
        <w:bottom w:val="single" w:sz="6" w:space="1" w:color="auto"/>
      </w:pBdr>
      <w:spacing w:line="240" w:lineRule="auto"/>
      <w:jc w:val="center"/>
    </w:pPr>
    <w:rPr>
      <w:rFonts w:cs="Arial"/>
      <w:vanish/>
      <w:sz w:val="16"/>
      <w:szCs w:val="16"/>
    </w:rPr>
  </w:style>
  <w:style w:type="character" w:customStyle="1" w:styleId="z-TopofFormChar">
    <w:name w:val="z-Top of Form Char"/>
    <w:basedOn w:val="DefaultParagraphFont"/>
    <w:link w:val="z-TopofForm"/>
    <w:uiPriority w:val="99"/>
    <w:rsid w:val="004C2C77"/>
    <w:rPr>
      <w:rFonts w:ascii="Arial" w:hAnsi="Arial" w:cs="Arial"/>
      <w:vanish/>
      <w:sz w:val="16"/>
      <w:szCs w:val="16"/>
      <w:lang w:eastAsia="de-DE"/>
    </w:rPr>
  </w:style>
  <w:style w:type="paragraph" w:styleId="z-BottomofForm">
    <w:name w:val="HTML Bottom of Form"/>
    <w:basedOn w:val="Normal"/>
    <w:next w:val="Normal"/>
    <w:link w:val="z-BottomofFormChar"/>
    <w:hidden/>
    <w:uiPriority w:val="99"/>
    <w:unhideWhenUsed/>
    <w:rsid w:val="004C2C77"/>
    <w:pPr>
      <w:pBdr>
        <w:top w:val="single" w:sz="6" w:space="1" w:color="auto"/>
      </w:pBdr>
      <w:spacing w:line="240" w:lineRule="auto"/>
      <w:jc w:val="center"/>
    </w:pPr>
    <w:rPr>
      <w:rFonts w:cs="Arial"/>
      <w:vanish/>
      <w:sz w:val="16"/>
      <w:szCs w:val="16"/>
    </w:rPr>
  </w:style>
  <w:style w:type="character" w:customStyle="1" w:styleId="z-BottomofFormChar">
    <w:name w:val="z-Bottom of Form Char"/>
    <w:basedOn w:val="DefaultParagraphFont"/>
    <w:link w:val="z-BottomofForm"/>
    <w:uiPriority w:val="99"/>
    <w:rsid w:val="004C2C77"/>
    <w:rPr>
      <w:rFonts w:ascii="Arial" w:hAnsi="Arial" w:cs="Arial"/>
      <w:vanish/>
      <w:sz w:val="16"/>
      <w:szCs w:val="16"/>
      <w:lang w:eastAsia="de-DE"/>
    </w:rPr>
  </w:style>
  <w:style w:type="paragraph" w:customStyle="1" w:styleId="Anhang-Titel">
    <w:name w:val="Anhang - Titel"/>
    <w:next w:val="Absatz"/>
    <w:link w:val="Anhang-TitelZchn"/>
    <w:rsid w:val="001F4D12"/>
    <w:pPr>
      <w:spacing w:after="140" w:line="240" w:lineRule="auto"/>
    </w:pPr>
    <w:rPr>
      <w:rFonts w:ascii="Arial" w:hAnsi="Arial" w:cs="Times New Roman"/>
      <w:b/>
      <w:noProof/>
      <w:kern w:val="28"/>
      <w:sz w:val="28"/>
      <w:szCs w:val="18"/>
      <w:lang w:eastAsia="de-DE"/>
    </w:rPr>
  </w:style>
  <w:style w:type="character" w:customStyle="1" w:styleId="Anhang-TitelZchn">
    <w:name w:val="Anhang - Titel Zchn"/>
    <w:basedOn w:val="Titelseite-berschrift1Zchn"/>
    <w:link w:val="Anhang-Titel"/>
    <w:rsid w:val="001F4D12"/>
    <w:rPr>
      <w:rFonts w:ascii="Arial" w:hAnsi="Arial" w:cs="Times New Roman"/>
      <w:b/>
      <w:noProof/>
      <w:kern w:val="28"/>
      <w:sz w:val="2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83">
      <w:bodyDiv w:val="1"/>
      <w:marLeft w:val="0"/>
      <w:marRight w:val="0"/>
      <w:marTop w:val="0"/>
      <w:marBottom w:val="0"/>
      <w:divBdr>
        <w:top w:val="none" w:sz="0" w:space="0" w:color="auto"/>
        <w:left w:val="none" w:sz="0" w:space="0" w:color="auto"/>
        <w:bottom w:val="none" w:sz="0" w:space="0" w:color="auto"/>
        <w:right w:val="none" w:sz="0" w:space="0" w:color="auto"/>
      </w:divBdr>
    </w:div>
    <w:div w:id="2172739">
      <w:bodyDiv w:val="1"/>
      <w:marLeft w:val="0"/>
      <w:marRight w:val="0"/>
      <w:marTop w:val="0"/>
      <w:marBottom w:val="0"/>
      <w:divBdr>
        <w:top w:val="none" w:sz="0" w:space="0" w:color="auto"/>
        <w:left w:val="none" w:sz="0" w:space="0" w:color="auto"/>
        <w:bottom w:val="none" w:sz="0" w:space="0" w:color="auto"/>
        <w:right w:val="none" w:sz="0" w:space="0" w:color="auto"/>
      </w:divBdr>
    </w:div>
    <w:div w:id="3015952">
      <w:bodyDiv w:val="1"/>
      <w:marLeft w:val="0"/>
      <w:marRight w:val="0"/>
      <w:marTop w:val="0"/>
      <w:marBottom w:val="0"/>
      <w:divBdr>
        <w:top w:val="none" w:sz="0" w:space="0" w:color="auto"/>
        <w:left w:val="none" w:sz="0" w:space="0" w:color="auto"/>
        <w:bottom w:val="none" w:sz="0" w:space="0" w:color="auto"/>
        <w:right w:val="none" w:sz="0" w:space="0" w:color="auto"/>
      </w:divBdr>
    </w:div>
    <w:div w:id="3020286">
      <w:bodyDiv w:val="1"/>
      <w:marLeft w:val="0"/>
      <w:marRight w:val="0"/>
      <w:marTop w:val="0"/>
      <w:marBottom w:val="0"/>
      <w:divBdr>
        <w:top w:val="none" w:sz="0" w:space="0" w:color="auto"/>
        <w:left w:val="none" w:sz="0" w:space="0" w:color="auto"/>
        <w:bottom w:val="none" w:sz="0" w:space="0" w:color="auto"/>
        <w:right w:val="none" w:sz="0" w:space="0" w:color="auto"/>
      </w:divBdr>
    </w:div>
    <w:div w:id="3897953">
      <w:bodyDiv w:val="1"/>
      <w:marLeft w:val="0"/>
      <w:marRight w:val="0"/>
      <w:marTop w:val="0"/>
      <w:marBottom w:val="0"/>
      <w:divBdr>
        <w:top w:val="none" w:sz="0" w:space="0" w:color="auto"/>
        <w:left w:val="none" w:sz="0" w:space="0" w:color="auto"/>
        <w:bottom w:val="none" w:sz="0" w:space="0" w:color="auto"/>
        <w:right w:val="none" w:sz="0" w:space="0" w:color="auto"/>
      </w:divBdr>
    </w:div>
    <w:div w:id="4483268">
      <w:bodyDiv w:val="1"/>
      <w:marLeft w:val="0"/>
      <w:marRight w:val="0"/>
      <w:marTop w:val="0"/>
      <w:marBottom w:val="0"/>
      <w:divBdr>
        <w:top w:val="none" w:sz="0" w:space="0" w:color="auto"/>
        <w:left w:val="none" w:sz="0" w:space="0" w:color="auto"/>
        <w:bottom w:val="none" w:sz="0" w:space="0" w:color="auto"/>
        <w:right w:val="none" w:sz="0" w:space="0" w:color="auto"/>
      </w:divBdr>
    </w:div>
    <w:div w:id="5795747">
      <w:bodyDiv w:val="1"/>
      <w:marLeft w:val="0"/>
      <w:marRight w:val="0"/>
      <w:marTop w:val="0"/>
      <w:marBottom w:val="0"/>
      <w:divBdr>
        <w:top w:val="none" w:sz="0" w:space="0" w:color="auto"/>
        <w:left w:val="none" w:sz="0" w:space="0" w:color="auto"/>
        <w:bottom w:val="none" w:sz="0" w:space="0" w:color="auto"/>
        <w:right w:val="none" w:sz="0" w:space="0" w:color="auto"/>
      </w:divBdr>
    </w:div>
    <w:div w:id="6947515">
      <w:bodyDiv w:val="1"/>
      <w:marLeft w:val="0"/>
      <w:marRight w:val="0"/>
      <w:marTop w:val="0"/>
      <w:marBottom w:val="0"/>
      <w:divBdr>
        <w:top w:val="none" w:sz="0" w:space="0" w:color="auto"/>
        <w:left w:val="none" w:sz="0" w:space="0" w:color="auto"/>
        <w:bottom w:val="none" w:sz="0" w:space="0" w:color="auto"/>
        <w:right w:val="none" w:sz="0" w:space="0" w:color="auto"/>
      </w:divBdr>
    </w:div>
    <w:div w:id="7030964">
      <w:bodyDiv w:val="1"/>
      <w:marLeft w:val="0"/>
      <w:marRight w:val="0"/>
      <w:marTop w:val="0"/>
      <w:marBottom w:val="0"/>
      <w:divBdr>
        <w:top w:val="none" w:sz="0" w:space="0" w:color="auto"/>
        <w:left w:val="none" w:sz="0" w:space="0" w:color="auto"/>
        <w:bottom w:val="none" w:sz="0" w:space="0" w:color="auto"/>
        <w:right w:val="none" w:sz="0" w:space="0" w:color="auto"/>
      </w:divBdr>
    </w:div>
    <w:div w:id="7685230">
      <w:bodyDiv w:val="1"/>
      <w:marLeft w:val="0"/>
      <w:marRight w:val="0"/>
      <w:marTop w:val="0"/>
      <w:marBottom w:val="0"/>
      <w:divBdr>
        <w:top w:val="none" w:sz="0" w:space="0" w:color="auto"/>
        <w:left w:val="none" w:sz="0" w:space="0" w:color="auto"/>
        <w:bottom w:val="none" w:sz="0" w:space="0" w:color="auto"/>
        <w:right w:val="none" w:sz="0" w:space="0" w:color="auto"/>
      </w:divBdr>
    </w:div>
    <w:div w:id="8071156">
      <w:bodyDiv w:val="1"/>
      <w:marLeft w:val="0"/>
      <w:marRight w:val="0"/>
      <w:marTop w:val="0"/>
      <w:marBottom w:val="0"/>
      <w:divBdr>
        <w:top w:val="none" w:sz="0" w:space="0" w:color="auto"/>
        <w:left w:val="none" w:sz="0" w:space="0" w:color="auto"/>
        <w:bottom w:val="none" w:sz="0" w:space="0" w:color="auto"/>
        <w:right w:val="none" w:sz="0" w:space="0" w:color="auto"/>
      </w:divBdr>
    </w:div>
    <w:div w:id="8333038">
      <w:bodyDiv w:val="1"/>
      <w:marLeft w:val="0"/>
      <w:marRight w:val="0"/>
      <w:marTop w:val="0"/>
      <w:marBottom w:val="0"/>
      <w:divBdr>
        <w:top w:val="none" w:sz="0" w:space="0" w:color="auto"/>
        <w:left w:val="none" w:sz="0" w:space="0" w:color="auto"/>
        <w:bottom w:val="none" w:sz="0" w:space="0" w:color="auto"/>
        <w:right w:val="none" w:sz="0" w:space="0" w:color="auto"/>
      </w:divBdr>
    </w:div>
    <w:div w:id="8459309">
      <w:bodyDiv w:val="1"/>
      <w:marLeft w:val="0"/>
      <w:marRight w:val="0"/>
      <w:marTop w:val="0"/>
      <w:marBottom w:val="0"/>
      <w:divBdr>
        <w:top w:val="none" w:sz="0" w:space="0" w:color="auto"/>
        <w:left w:val="none" w:sz="0" w:space="0" w:color="auto"/>
        <w:bottom w:val="none" w:sz="0" w:space="0" w:color="auto"/>
        <w:right w:val="none" w:sz="0" w:space="0" w:color="auto"/>
      </w:divBdr>
    </w:div>
    <w:div w:id="8721344">
      <w:bodyDiv w:val="1"/>
      <w:marLeft w:val="0"/>
      <w:marRight w:val="0"/>
      <w:marTop w:val="0"/>
      <w:marBottom w:val="0"/>
      <w:divBdr>
        <w:top w:val="none" w:sz="0" w:space="0" w:color="auto"/>
        <w:left w:val="none" w:sz="0" w:space="0" w:color="auto"/>
        <w:bottom w:val="none" w:sz="0" w:space="0" w:color="auto"/>
        <w:right w:val="none" w:sz="0" w:space="0" w:color="auto"/>
      </w:divBdr>
    </w:div>
    <w:div w:id="8798823">
      <w:bodyDiv w:val="1"/>
      <w:marLeft w:val="0"/>
      <w:marRight w:val="0"/>
      <w:marTop w:val="0"/>
      <w:marBottom w:val="0"/>
      <w:divBdr>
        <w:top w:val="none" w:sz="0" w:space="0" w:color="auto"/>
        <w:left w:val="none" w:sz="0" w:space="0" w:color="auto"/>
        <w:bottom w:val="none" w:sz="0" w:space="0" w:color="auto"/>
        <w:right w:val="none" w:sz="0" w:space="0" w:color="auto"/>
      </w:divBdr>
    </w:div>
    <w:div w:id="8872585">
      <w:bodyDiv w:val="1"/>
      <w:marLeft w:val="0"/>
      <w:marRight w:val="0"/>
      <w:marTop w:val="0"/>
      <w:marBottom w:val="0"/>
      <w:divBdr>
        <w:top w:val="none" w:sz="0" w:space="0" w:color="auto"/>
        <w:left w:val="none" w:sz="0" w:space="0" w:color="auto"/>
        <w:bottom w:val="none" w:sz="0" w:space="0" w:color="auto"/>
        <w:right w:val="none" w:sz="0" w:space="0" w:color="auto"/>
      </w:divBdr>
    </w:div>
    <w:div w:id="9141454">
      <w:bodyDiv w:val="1"/>
      <w:marLeft w:val="0"/>
      <w:marRight w:val="0"/>
      <w:marTop w:val="0"/>
      <w:marBottom w:val="0"/>
      <w:divBdr>
        <w:top w:val="none" w:sz="0" w:space="0" w:color="auto"/>
        <w:left w:val="none" w:sz="0" w:space="0" w:color="auto"/>
        <w:bottom w:val="none" w:sz="0" w:space="0" w:color="auto"/>
        <w:right w:val="none" w:sz="0" w:space="0" w:color="auto"/>
      </w:divBdr>
    </w:div>
    <w:div w:id="9184791">
      <w:bodyDiv w:val="1"/>
      <w:marLeft w:val="0"/>
      <w:marRight w:val="0"/>
      <w:marTop w:val="0"/>
      <w:marBottom w:val="0"/>
      <w:divBdr>
        <w:top w:val="none" w:sz="0" w:space="0" w:color="auto"/>
        <w:left w:val="none" w:sz="0" w:space="0" w:color="auto"/>
        <w:bottom w:val="none" w:sz="0" w:space="0" w:color="auto"/>
        <w:right w:val="none" w:sz="0" w:space="0" w:color="auto"/>
      </w:divBdr>
    </w:div>
    <w:div w:id="9574478">
      <w:bodyDiv w:val="1"/>
      <w:marLeft w:val="0"/>
      <w:marRight w:val="0"/>
      <w:marTop w:val="0"/>
      <w:marBottom w:val="0"/>
      <w:divBdr>
        <w:top w:val="none" w:sz="0" w:space="0" w:color="auto"/>
        <w:left w:val="none" w:sz="0" w:space="0" w:color="auto"/>
        <w:bottom w:val="none" w:sz="0" w:space="0" w:color="auto"/>
        <w:right w:val="none" w:sz="0" w:space="0" w:color="auto"/>
      </w:divBdr>
    </w:div>
    <w:div w:id="10108359">
      <w:bodyDiv w:val="1"/>
      <w:marLeft w:val="0"/>
      <w:marRight w:val="0"/>
      <w:marTop w:val="0"/>
      <w:marBottom w:val="0"/>
      <w:divBdr>
        <w:top w:val="none" w:sz="0" w:space="0" w:color="auto"/>
        <w:left w:val="none" w:sz="0" w:space="0" w:color="auto"/>
        <w:bottom w:val="none" w:sz="0" w:space="0" w:color="auto"/>
        <w:right w:val="none" w:sz="0" w:space="0" w:color="auto"/>
      </w:divBdr>
    </w:div>
    <w:div w:id="10189358">
      <w:bodyDiv w:val="1"/>
      <w:marLeft w:val="0"/>
      <w:marRight w:val="0"/>
      <w:marTop w:val="0"/>
      <w:marBottom w:val="0"/>
      <w:divBdr>
        <w:top w:val="none" w:sz="0" w:space="0" w:color="auto"/>
        <w:left w:val="none" w:sz="0" w:space="0" w:color="auto"/>
        <w:bottom w:val="none" w:sz="0" w:space="0" w:color="auto"/>
        <w:right w:val="none" w:sz="0" w:space="0" w:color="auto"/>
      </w:divBdr>
    </w:div>
    <w:div w:id="10231826">
      <w:bodyDiv w:val="1"/>
      <w:marLeft w:val="0"/>
      <w:marRight w:val="0"/>
      <w:marTop w:val="0"/>
      <w:marBottom w:val="0"/>
      <w:divBdr>
        <w:top w:val="none" w:sz="0" w:space="0" w:color="auto"/>
        <w:left w:val="none" w:sz="0" w:space="0" w:color="auto"/>
        <w:bottom w:val="none" w:sz="0" w:space="0" w:color="auto"/>
        <w:right w:val="none" w:sz="0" w:space="0" w:color="auto"/>
      </w:divBdr>
    </w:div>
    <w:div w:id="10689613">
      <w:bodyDiv w:val="1"/>
      <w:marLeft w:val="0"/>
      <w:marRight w:val="0"/>
      <w:marTop w:val="0"/>
      <w:marBottom w:val="0"/>
      <w:divBdr>
        <w:top w:val="none" w:sz="0" w:space="0" w:color="auto"/>
        <w:left w:val="none" w:sz="0" w:space="0" w:color="auto"/>
        <w:bottom w:val="none" w:sz="0" w:space="0" w:color="auto"/>
        <w:right w:val="none" w:sz="0" w:space="0" w:color="auto"/>
      </w:divBdr>
    </w:div>
    <w:div w:id="10760670">
      <w:bodyDiv w:val="1"/>
      <w:marLeft w:val="0"/>
      <w:marRight w:val="0"/>
      <w:marTop w:val="0"/>
      <w:marBottom w:val="0"/>
      <w:divBdr>
        <w:top w:val="none" w:sz="0" w:space="0" w:color="auto"/>
        <w:left w:val="none" w:sz="0" w:space="0" w:color="auto"/>
        <w:bottom w:val="none" w:sz="0" w:space="0" w:color="auto"/>
        <w:right w:val="none" w:sz="0" w:space="0" w:color="auto"/>
      </w:divBdr>
    </w:div>
    <w:div w:id="10767090">
      <w:bodyDiv w:val="1"/>
      <w:marLeft w:val="0"/>
      <w:marRight w:val="0"/>
      <w:marTop w:val="0"/>
      <w:marBottom w:val="0"/>
      <w:divBdr>
        <w:top w:val="none" w:sz="0" w:space="0" w:color="auto"/>
        <w:left w:val="none" w:sz="0" w:space="0" w:color="auto"/>
        <w:bottom w:val="none" w:sz="0" w:space="0" w:color="auto"/>
        <w:right w:val="none" w:sz="0" w:space="0" w:color="auto"/>
      </w:divBdr>
    </w:div>
    <w:div w:id="10843205">
      <w:bodyDiv w:val="1"/>
      <w:marLeft w:val="0"/>
      <w:marRight w:val="0"/>
      <w:marTop w:val="0"/>
      <w:marBottom w:val="0"/>
      <w:divBdr>
        <w:top w:val="none" w:sz="0" w:space="0" w:color="auto"/>
        <w:left w:val="none" w:sz="0" w:space="0" w:color="auto"/>
        <w:bottom w:val="none" w:sz="0" w:space="0" w:color="auto"/>
        <w:right w:val="none" w:sz="0" w:space="0" w:color="auto"/>
      </w:divBdr>
    </w:div>
    <w:div w:id="11346871">
      <w:bodyDiv w:val="1"/>
      <w:marLeft w:val="0"/>
      <w:marRight w:val="0"/>
      <w:marTop w:val="0"/>
      <w:marBottom w:val="0"/>
      <w:divBdr>
        <w:top w:val="none" w:sz="0" w:space="0" w:color="auto"/>
        <w:left w:val="none" w:sz="0" w:space="0" w:color="auto"/>
        <w:bottom w:val="none" w:sz="0" w:space="0" w:color="auto"/>
        <w:right w:val="none" w:sz="0" w:space="0" w:color="auto"/>
      </w:divBdr>
    </w:div>
    <w:div w:id="11804772">
      <w:bodyDiv w:val="1"/>
      <w:marLeft w:val="0"/>
      <w:marRight w:val="0"/>
      <w:marTop w:val="0"/>
      <w:marBottom w:val="0"/>
      <w:divBdr>
        <w:top w:val="none" w:sz="0" w:space="0" w:color="auto"/>
        <w:left w:val="none" w:sz="0" w:space="0" w:color="auto"/>
        <w:bottom w:val="none" w:sz="0" w:space="0" w:color="auto"/>
        <w:right w:val="none" w:sz="0" w:space="0" w:color="auto"/>
      </w:divBdr>
    </w:div>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12347938">
      <w:bodyDiv w:val="1"/>
      <w:marLeft w:val="0"/>
      <w:marRight w:val="0"/>
      <w:marTop w:val="0"/>
      <w:marBottom w:val="0"/>
      <w:divBdr>
        <w:top w:val="none" w:sz="0" w:space="0" w:color="auto"/>
        <w:left w:val="none" w:sz="0" w:space="0" w:color="auto"/>
        <w:bottom w:val="none" w:sz="0" w:space="0" w:color="auto"/>
        <w:right w:val="none" w:sz="0" w:space="0" w:color="auto"/>
      </w:divBdr>
    </w:div>
    <w:div w:id="12538152">
      <w:bodyDiv w:val="1"/>
      <w:marLeft w:val="0"/>
      <w:marRight w:val="0"/>
      <w:marTop w:val="0"/>
      <w:marBottom w:val="0"/>
      <w:divBdr>
        <w:top w:val="none" w:sz="0" w:space="0" w:color="auto"/>
        <w:left w:val="none" w:sz="0" w:space="0" w:color="auto"/>
        <w:bottom w:val="none" w:sz="0" w:space="0" w:color="auto"/>
        <w:right w:val="none" w:sz="0" w:space="0" w:color="auto"/>
      </w:divBdr>
    </w:div>
    <w:div w:id="13042509">
      <w:bodyDiv w:val="1"/>
      <w:marLeft w:val="0"/>
      <w:marRight w:val="0"/>
      <w:marTop w:val="0"/>
      <w:marBottom w:val="0"/>
      <w:divBdr>
        <w:top w:val="none" w:sz="0" w:space="0" w:color="auto"/>
        <w:left w:val="none" w:sz="0" w:space="0" w:color="auto"/>
        <w:bottom w:val="none" w:sz="0" w:space="0" w:color="auto"/>
        <w:right w:val="none" w:sz="0" w:space="0" w:color="auto"/>
      </w:divBdr>
    </w:div>
    <w:div w:id="13045787">
      <w:bodyDiv w:val="1"/>
      <w:marLeft w:val="0"/>
      <w:marRight w:val="0"/>
      <w:marTop w:val="0"/>
      <w:marBottom w:val="0"/>
      <w:divBdr>
        <w:top w:val="none" w:sz="0" w:space="0" w:color="auto"/>
        <w:left w:val="none" w:sz="0" w:space="0" w:color="auto"/>
        <w:bottom w:val="none" w:sz="0" w:space="0" w:color="auto"/>
        <w:right w:val="none" w:sz="0" w:space="0" w:color="auto"/>
      </w:divBdr>
    </w:div>
    <w:div w:id="14161763">
      <w:bodyDiv w:val="1"/>
      <w:marLeft w:val="0"/>
      <w:marRight w:val="0"/>
      <w:marTop w:val="0"/>
      <w:marBottom w:val="0"/>
      <w:divBdr>
        <w:top w:val="none" w:sz="0" w:space="0" w:color="auto"/>
        <w:left w:val="none" w:sz="0" w:space="0" w:color="auto"/>
        <w:bottom w:val="none" w:sz="0" w:space="0" w:color="auto"/>
        <w:right w:val="none" w:sz="0" w:space="0" w:color="auto"/>
      </w:divBdr>
    </w:div>
    <w:div w:id="14313914">
      <w:bodyDiv w:val="1"/>
      <w:marLeft w:val="0"/>
      <w:marRight w:val="0"/>
      <w:marTop w:val="0"/>
      <w:marBottom w:val="0"/>
      <w:divBdr>
        <w:top w:val="none" w:sz="0" w:space="0" w:color="auto"/>
        <w:left w:val="none" w:sz="0" w:space="0" w:color="auto"/>
        <w:bottom w:val="none" w:sz="0" w:space="0" w:color="auto"/>
        <w:right w:val="none" w:sz="0" w:space="0" w:color="auto"/>
      </w:divBdr>
    </w:div>
    <w:div w:id="15008575">
      <w:bodyDiv w:val="1"/>
      <w:marLeft w:val="0"/>
      <w:marRight w:val="0"/>
      <w:marTop w:val="0"/>
      <w:marBottom w:val="0"/>
      <w:divBdr>
        <w:top w:val="none" w:sz="0" w:space="0" w:color="auto"/>
        <w:left w:val="none" w:sz="0" w:space="0" w:color="auto"/>
        <w:bottom w:val="none" w:sz="0" w:space="0" w:color="auto"/>
        <w:right w:val="none" w:sz="0" w:space="0" w:color="auto"/>
      </w:divBdr>
    </w:div>
    <w:div w:id="15542390">
      <w:bodyDiv w:val="1"/>
      <w:marLeft w:val="0"/>
      <w:marRight w:val="0"/>
      <w:marTop w:val="0"/>
      <w:marBottom w:val="0"/>
      <w:divBdr>
        <w:top w:val="none" w:sz="0" w:space="0" w:color="auto"/>
        <w:left w:val="none" w:sz="0" w:space="0" w:color="auto"/>
        <w:bottom w:val="none" w:sz="0" w:space="0" w:color="auto"/>
        <w:right w:val="none" w:sz="0" w:space="0" w:color="auto"/>
      </w:divBdr>
    </w:div>
    <w:div w:id="15887914">
      <w:bodyDiv w:val="1"/>
      <w:marLeft w:val="0"/>
      <w:marRight w:val="0"/>
      <w:marTop w:val="0"/>
      <w:marBottom w:val="0"/>
      <w:divBdr>
        <w:top w:val="none" w:sz="0" w:space="0" w:color="auto"/>
        <w:left w:val="none" w:sz="0" w:space="0" w:color="auto"/>
        <w:bottom w:val="none" w:sz="0" w:space="0" w:color="auto"/>
        <w:right w:val="none" w:sz="0" w:space="0" w:color="auto"/>
      </w:divBdr>
    </w:div>
    <w:div w:id="16664465">
      <w:bodyDiv w:val="1"/>
      <w:marLeft w:val="0"/>
      <w:marRight w:val="0"/>
      <w:marTop w:val="0"/>
      <w:marBottom w:val="0"/>
      <w:divBdr>
        <w:top w:val="none" w:sz="0" w:space="0" w:color="auto"/>
        <w:left w:val="none" w:sz="0" w:space="0" w:color="auto"/>
        <w:bottom w:val="none" w:sz="0" w:space="0" w:color="auto"/>
        <w:right w:val="none" w:sz="0" w:space="0" w:color="auto"/>
      </w:divBdr>
    </w:div>
    <w:div w:id="16780274">
      <w:bodyDiv w:val="1"/>
      <w:marLeft w:val="0"/>
      <w:marRight w:val="0"/>
      <w:marTop w:val="0"/>
      <w:marBottom w:val="0"/>
      <w:divBdr>
        <w:top w:val="none" w:sz="0" w:space="0" w:color="auto"/>
        <w:left w:val="none" w:sz="0" w:space="0" w:color="auto"/>
        <w:bottom w:val="none" w:sz="0" w:space="0" w:color="auto"/>
        <w:right w:val="none" w:sz="0" w:space="0" w:color="auto"/>
      </w:divBdr>
    </w:div>
    <w:div w:id="17313863">
      <w:bodyDiv w:val="1"/>
      <w:marLeft w:val="0"/>
      <w:marRight w:val="0"/>
      <w:marTop w:val="0"/>
      <w:marBottom w:val="0"/>
      <w:divBdr>
        <w:top w:val="none" w:sz="0" w:space="0" w:color="auto"/>
        <w:left w:val="none" w:sz="0" w:space="0" w:color="auto"/>
        <w:bottom w:val="none" w:sz="0" w:space="0" w:color="auto"/>
        <w:right w:val="none" w:sz="0" w:space="0" w:color="auto"/>
      </w:divBdr>
    </w:div>
    <w:div w:id="17393925">
      <w:bodyDiv w:val="1"/>
      <w:marLeft w:val="0"/>
      <w:marRight w:val="0"/>
      <w:marTop w:val="0"/>
      <w:marBottom w:val="0"/>
      <w:divBdr>
        <w:top w:val="none" w:sz="0" w:space="0" w:color="auto"/>
        <w:left w:val="none" w:sz="0" w:space="0" w:color="auto"/>
        <w:bottom w:val="none" w:sz="0" w:space="0" w:color="auto"/>
        <w:right w:val="none" w:sz="0" w:space="0" w:color="auto"/>
      </w:divBdr>
    </w:div>
    <w:div w:id="17396019">
      <w:bodyDiv w:val="1"/>
      <w:marLeft w:val="0"/>
      <w:marRight w:val="0"/>
      <w:marTop w:val="0"/>
      <w:marBottom w:val="0"/>
      <w:divBdr>
        <w:top w:val="none" w:sz="0" w:space="0" w:color="auto"/>
        <w:left w:val="none" w:sz="0" w:space="0" w:color="auto"/>
        <w:bottom w:val="none" w:sz="0" w:space="0" w:color="auto"/>
        <w:right w:val="none" w:sz="0" w:space="0" w:color="auto"/>
      </w:divBdr>
    </w:div>
    <w:div w:id="17583014">
      <w:bodyDiv w:val="1"/>
      <w:marLeft w:val="0"/>
      <w:marRight w:val="0"/>
      <w:marTop w:val="0"/>
      <w:marBottom w:val="0"/>
      <w:divBdr>
        <w:top w:val="none" w:sz="0" w:space="0" w:color="auto"/>
        <w:left w:val="none" w:sz="0" w:space="0" w:color="auto"/>
        <w:bottom w:val="none" w:sz="0" w:space="0" w:color="auto"/>
        <w:right w:val="none" w:sz="0" w:space="0" w:color="auto"/>
      </w:divBdr>
    </w:div>
    <w:div w:id="18315821">
      <w:bodyDiv w:val="1"/>
      <w:marLeft w:val="0"/>
      <w:marRight w:val="0"/>
      <w:marTop w:val="0"/>
      <w:marBottom w:val="0"/>
      <w:divBdr>
        <w:top w:val="none" w:sz="0" w:space="0" w:color="auto"/>
        <w:left w:val="none" w:sz="0" w:space="0" w:color="auto"/>
        <w:bottom w:val="none" w:sz="0" w:space="0" w:color="auto"/>
        <w:right w:val="none" w:sz="0" w:space="0" w:color="auto"/>
      </w:divBdr>
    </w:div>
    <w:div w:id="18700143">
      <w:bodyDiv w:val="1"/>
      <w:marLeft w:val="0"/>
      <w:marRight w:val="0"/>
      <w:marTop w:val="0"/>
      <w:marBottom w:val="0"/>
      <w:divBdr>
        <w:top w:val="none" w:sz="0" w:space="0" w:color="auto"/>
        <w:left w:val="none" w:sz="0" w:space="0" w:color="auto"/>
        <w:bottom w:val="none" w:sz="0" w:space="0" w:color="auto"/>
        <w:right w:val="none" w:sz="0" w:space="0" w:color="auto"/>
      </w:divBdr>
    </w:div>
    <w:div w:id="19278530">
      <w:bodyDiv w:val="1"/>
      <w:marLeft w:val="0"/>
      <w:marRight w:val="0"/>
      <w:marTop w:val="0"/>
      <w:marBottom w:val="0"/>
      <w:divBdr>
        <w:top w:val="none" w:sz="0" w:space="0" w:color="auto"/>
        <w:left w:val="none" w:sz="0" w:space="0" w:color="auto"/>
        <w:bottom w:val="none" w:sz="0" w:space="0" w:color="auto"/>
        <w:right w:val="none" w:sz="0" w:space="0" w:color="auto"/>
      </w:divBdr>
    </w:div>
    <w:div w:id="19481278">
      <w:bodyDiv w:val="1"/>
      <w:marLeft w:val="0"/>
      <w:marRight w:val="0"/>
      <w:marTop w:val="0"/>
      <w:marBottom w:val="0"/>
      <w:divBdr>
        <w:top w:val="none" w:sz="0" w:space="0" w:color="auto"/>
        <w:left w:val="none" w:sz="0" w:space="0" w:color="auto"/>
        <w:bottom w:val="none" w:sz="0" w:space="0" w:color="auto"/>
        <w:right w:val="none" w:sz="0" w:space="0" w:color="auto"/>
      </w:divBdr>
    </w:div>
    <w:div w:id="19549581">
      <w:bodyDiv w:val="1"/>
      <w:marLeft w:val="0"/>
      <w:marRight w:val="0"/>
      <w:marTop w:val="0"/>
      <w:marBottom w:val="0"/>
      <w:divBdr>
        <w:top w:val="none" w:sz="0" w:space="0" w:color="auto"/>
        <w:left w:val="none" w:sz="0" w:space="0" w:color="auto"/>
        <w:bottom w:val="none" w:sz="0" w:space="0" w:color="auto"/>
        <w:right w:val="none" w:sz="0" w:space="0" w:color="auto"/>
      </w:divBdr>
    </w:div>
    <w:div w:id="20210271">
      <w:bodyDiv w:val="1"/>
      <w:marLeft w:val="0"/>
      <w:marRight w:val="0"/>
      <w:marTop w:val="0"/>
      <w:marBottom w:val="0"/>
      <w:divBdr>
        <w:top w:val="none" w:sz="0" w:space="0" w:color="auto"/>
        <w:left w:val="none" w:sz="0" w:space="0" w:color="auto"/>
        <w:bottom w:val="none" w:sz="0" w:space="0" w:color="auto"/>
        <w:right w:val="none" w:sz="0" w:space="0" w:color="auto"/>
      </w:divBdr>
    </w:div>
    <w:div w:id="21322065">
      <w:bodyDiv w:val="1"/>
      <w:marLeft w:val="0"/>
      <w:marRight w:val="0"/>
      <w:marTop w:val="0"/>
      <w:marBottom w:val="0"/>
      <w:divBdr>
        <w:top w:val="none" w:sz="0" w:space="0" w:color="auto"/>
        <w:left w:val="none" w:sz="0" w:space="0" w:color="auto"/>
        <w:bottom w:val="none" w:sz="0" w:space="0" w:color="auto"/>
        <w:right w:val="none" w:sz="0" w:space="0" w:color="auto"/>
      </w:divBdr>
    </w:div>
    <w:div w:id="21782801">
      <w:bodyDiv w:val="1"/>
      <w:marLeft w:val="0"/>
      <w:marRight w:val="0"/>
      <w:marTop w:val="0"/>
      <w:marBottom w:val="0"/>
      <w:divBdr>
        <w:top w:val="none" w:sz="0" w:space="0" w:color="auto"/>
        <w:left w:val="none" w:sz="0" w:space="0" w:color="auto"/>
        <w:bottom w:val="none" w:sz="0" w:space="0" w:color="auto"/>
        <w:right w:val="none" w:sz="0" w:space="0" w:color="auto"/>
      </w:divBdr>
    </w:div>
    <w:div w:id="21829234">
      <w:bodyDiv w:val="1"/>
      <w:marLeft w:val="0"/>
      <w:marRight w:val="0"/>
      <w:marTop w:val="0"/>
      <w:marBottom w:val="0"/>
      <w:divBdr>
        <w:top w:val="none" w:sz="0" w:space="0" w:color="auto"/>
        <w:left w:val="none" w:sz="0" w:space="0" w:color="auto"/>
        <w:bottom w:val="none" w:sz="0" w:space="0" w:color="auto"/>
        <w:right w:val="none" w:sz="0" w:space="0" w:color="auto"/>
      </w:divBdr>
    </w:div>
    <w:div w:id="22022181">
      <w:bodyDiv w:val="1"/>
      <w:marLeft w:val="0"/>
      <w:marRight w:val="0"/>
      <w:marTop w:val="0"/>
      <w:marBottom w:val="0"/>
      <w:divBdr>
        <w:top w:val="none" w:sz="0" w:space="0" w:color="auto"/>
        <w:left w:val="none" w:sz="0" w:space="0" w:color="auto"/>
        <w:bottom w:val="none" w:sz="0" w:space="0" w:color="auto"/>
        <w:right w:val="none" w:sz="0" w:space="0" w:color="auto"/>
      </w:divBdr>
    </w:div>
    <w:div w:id="22364137">
      <w:bodyDiv w:val="1"/>
      <w:marLeft w:val="0"/>
      <w:marRight w:val="0"/>
      <w:marTop w:val="0"/>
      <w:marBottom w:val="0"/>
      <w:divBdr>
        <w:top w:val="none" w:sz="0" w:space="0" w:color="auto"/>
        <w:left w:val="none" w:sz="0" w:space="0" w:color="auto"/>
        <w:bottom w:val="none" w:sz="0" w:space="0" w:color="auto"/>
        <w:right w:val="none" w:sz="0" w:space="0" w:color="auto"/>
      </w:divBdr>
    </w:div>
    <w:div w:id="22367293">
      <w:bodyDiv w:val="1"/>
      <w:marLeft w:val="0"/>
      <w:marRight w:val="0"/>
      <w:marTop w:val="0"/>
      <w:marBottom w:val="0"/>
      <w:divBdr>
        <w:top w:val="none" w:sz="0" w:space="0" w:color="auto"/>
        <w:left w:val="none" w:sz="0" w:space="0" w:color="auto"/>
        <w:bottom w:val="none" w:sz="0" w:space="0" w:color="auto"/>
        <w:right w:val="none" w:sz="0" w:space="0" w:color="auto"/>
      </w:divBdr>
    </w:div>
    <w:div w:id="22370732">
      <w:bodyDiv w:val="1"/>
      <w:marLeft w:val="0"/>
      <w:marRight w:val="0"/>
      <w:marTop w:val="0"/>
      <w:marBottom w:val="0"/>
      <w:divBdr>
        <w:top w:val="none" w:sz="0" w:space="0" w:color="auto"/>
        <w:left w:val="none" w:sz="0" w:space="0" w:color="auto"/>
        <w:bottom w:val="none" w:sz="0" w:space="0" w:color="auto"/>
        <w:right w:val="none" w:sz="0" w:space="0" w:color="auto"/>
      </w:divBdr>
    </w:div>
    <w:div w:id="22413519">
      <w:bodyDiv w:val="1"/>
      <w:marLeft w:val="0"/>
      <w:marRight w:val="0"/>
      <w:marTop w:val="0"/>
      <w:marBottom w:val="0"/>
      <w:divBdr>
        <w:top w:val="none" w:sz="0" w:space="0" w:color="auto"/>
        <w:left w:val="none" w:sz="0" w:space="0" w:color="auto"/>
        <w:bottom w:val="none" w:sz="0" w:space="0" w:color="auto"/>
        <w:right w:val="none" w:sz="0" w:space="0" w:color="auto"/>
      </w:divBdr>
    </w:div>
    <w:div w:id="23021478">
      <w:bodyDiv w:val="1"/>
      <w:marLeft w:val="0"/>
      <w:marRight w:val="0"/>
      <w:marTop w:val="0"/>
      <w:marBottom w:val="0"/>
      <w:divBdr>
        <w:top w:val="none" w:sz="0" w:space="0" w:color="auto"/>
        <w:left w:val="none" w:sz="0" w:space="0" w:color="auto"/>
        <w:bottom w:val="none" w:sz="0" w:space="0" w:color="auto"/>
        <w:right w:val="none" w:sz="0" w:space="0" w:color="auto"/>
      </w:divBdr>
    </w:div>
    <w:div w:id="23135590">
      <w:bodyDiv w:val="1"/>
      <w:marLeft w:val="0"/>
      <w:marRight w:val="0"/>
      <w:marTop w:val="0"/>
      <w:marBottom w:val="0"/>
      <w:divBdr>
        <w:top w:val="none" w:sz="0" w:space="0" w:color="auto"/>
        <w:left w:val="none" w:sz="0" w:space="0" w:color="auto"/>
        <w:bottom w:val="none" w:sz="0" w:space="0" w:color="auto"/>
        <w:right w:val="none" w:sz="0" w:space="0" w:color="auto"/>
      </w:divBdr>
    </w:div>
    <w:div w:id="23333453">
      <w:bodyDiv w:val="1"/>
      <w:marLeft w:val="0"/>
      <w:marRight w:val="0"/>
      <w:marTop w:val="0"/>
      <w:marBottom w:val="0"/>
      <w:divBdr>
        <w:top w:val="none" w:sz="0" w:space="0" w:color="auto"/>
        <w:left w:val="none" w:sz="0" w:space="0" w:color="auto"/>
        <w:bottom w:val="none" w:sz="0" w:space="0" w:color="auto"/>
        <w:right w:val="none" w:sz="0" w:space="0" w:color="auto"/>
      </w:divBdr>
    </w:div>
    <w:div w:id="23403998">
      <w:bodyDiv w:val="1"/>
      <w:marLeft w:val="0"/>
      <w:marRight w:val="0"/>
      <w:marTop w:val="0"/>
      <w:marBottom w:val="0"/>
      <w:divBdr>
        <w:top w:val="none" w:sz="0" w:space="0" w:color="auto"/>
        <w:left w:val="none" w:sz="0" w:space="0" w:color="auto"/>
        <w:bottom w:val="none" w:sz="0" w:space="0" w:color="auto"/>
        <w:right w:val="none" w:sz="0" w:space="0" w:color="auto"/>
      </w:divBdr>
    </w:div>
    <w:div w:id="24252821">
      <w:bodyDiv w:val="1"/>
      <w:marLeft w:val="0"/>
      <w:marRight w:val="0"/>
      <w:marTop w:val="0"/>
      <w:marBottom w:val="0"/>
      <w:divBdr>
        <w:top w:val="none" w:sz="0" w:space="0" w:color="auto"/>
        <w:left w:val="none" w:sz="0" w:space="0" w:color="auto"/>
        <w:bottom w:val="none" w:sz="0" w:space="0" w:color="auto"/>
        <w:right w:val="none" w:sz="0" w:space="0" w:color="auto"/>
      </w:divBdr>
    </w:div>
    <w:div w:id="24402764">
      <w:bodyDiv w:val="1"/>
      <w:marLeft w:val="0"/>
      <w:marRight w:val="0"/>
      <w:marTop w:val="0"/>
      <w:marBottom w:val="0"/>
      <w:divBdr>
        <w:top w:val="none" w:sz="0" w:space="0" w:color="auto"/>
        <w:left w:val="none" w:sz="0" w:space="0" w:color="auto"/>
        <w:bottom w:val="none" w:sz="0" w:space="0" w:color="auto"/>
        <w:right w:val="none" w:sz="0" w:space="0" w:color="auto"/>
      </w:divBdr>
    </w:div>
    <w:div w:id="24597888">
      <w:bodyDiv w:val="1"/>
      <w:marLeft w:val="0"/>
      <w:marRight w:val="0"/>
      <w:marTop w:val="0"/>
      <w:marBottom w:val="0"/>
      <w:divBdr>
        <w:top w:val="none" w:sz="0" w:space="0" w:color="auto"/>
        <w:left w:val="none" w:sz="0" w:space="0" w:color="auto"/>
        <w:bottom w:val="none" w:sz="0" w:space="0" w:color="auto"/>
        <w:right w:val="none" w:sz="0" w:space="0" w:color="auto"/>
      </w:divBdr>
    </w:div>
    <w:div w:id="26494967">
      <w:bodyDiv w:val="1"/>
      <w:marLeft w:val="0"/>
      <w:marRight w:val="0"/>
      <w:marTop w:val="0"/>
      <w:marBottom w:val="0"/>
      <w:divBdr>
        <w:top w:val="none" w:sz="0" w:space="0" w:color="auto"/>
        <w:left w:val="none" w:sz="0" w:space="0" w:color="auto"/>
        <w:bottom w:val="none" w:sz="0" w:space="0" w:color="auto"/>
        <w:right w:val="none" w:sz="0" w:space="0" w:color="auto"/>
      </w:divBdr>
    </w:div>
    <w:div w:id="27267425">
      <w:bodyDiv w:val="1"/>
      <w:marLeft w:val="0"/>
      <w:marRight w:val="0"/>
      <w:marTop w:val="0"/>
      <w:marBottom w:val="0"/>
      <w:divBdr>
        <w:top w:val="none" w:sz="0" w:space="0" w:color="auto"/>
        <w:left w:val="none" w:sz="0" w:space="0" w:color="auto"/>
        <w:bottom w:val="none" w:sz="0" w:space="0" w:color="auto"/>
        <w:right w:val="none" w:sz="0" w:space="0" w:color="auto"/>
      </w:divBdr>
    </w:div>
    <w:div w:id="27460376">
      <w:bodyDiv w:val="1"/>
      <w:marLeft w:val="0"/>
      <w:marRight w:val="0"/>
      <w:marTop w:val="0"/>
      <w:marBottom w:val="0"/>
      <w:divBdr>
        <w:top w:val="none" w:sz="0" w:space="0" w:color="auto"/>
        <w:left w:val="none" w:sz="0" w:space="0" w:color="auto"/>
        <w:bottom w:val="none" w:sz="0" w:space="0" w:color="auto"/>
        <w:right w:val="none" w:sz="0" w:space="0" w:color="auto"/>
      </w:divBdr>
    </w:div>
    <w:div w:id="27612577">
      <w:bodyDiv w:val="1"/>
      <w:marLeft w:val="0"/>
      <w:marRight w:val="0"/>
      <w:marTop w:val="0"/>
      <w:marBottom w:val="0"/>
      <w:divBdr>
        <w:top w:val="none" w:sz="0" w:space="0" w:color="auto"/>
        <w:left w:val="none" w:sz="0" w:space="0" w:color="auto"/>
        <w:bottom w:val="none" w:sz="0" w:space="0" w:color="auto"/>
        <w:right w:val="none" w:sz="0" w:space="0" w:color="auto"/>
      </w:divBdr>
    </w:div>
    <w:div w:id="27880965">
      <w:bodyDiv w:val="1"/>
      <w:marLeft w:val="0"/>
      <w:marRight w:val="0"/>
      <w:marTop w:val="0"/>
      <w:marBottom w:val="0"/>
      <w:divBdr>
        <w:top w:val="none" w:sz="0" w:space="0" w:color="auto"/>
        <w:left w:val="none" w:sz="0" w:space="0" w:color="auto"/>
        <w:bottom w:val="none" w:sz="0" w:space="0" w:color="auto"/>
        <w:right w:val="none" w:sz="0" w:space="0" w:color="auto"/>
      </w:divBdr>
    </w:div>
    <w:div w:id="28533482">
      <w:bodyDiv w:val="1"/>
      <w:marLeft w:val="0"/>
      <w:marRight w:val="0"/>
      <w:marTop w:val="0"/>
      <w:marBottom w:val="0"/>
      <w:divBdr>
        <w:top w:val="none" w:sz="0" w:space="0" w:color="auto"/>
        <w:left w:val="none" w:sz="0" w:space="0" w:color="auto"/>
        <w:bottom w:val="none" w:sz="0" w:space="0" w:color="auto"/>
        <w:right w:val="none" w:sz="0" w:space="0" w:color="auto"/>
      </w:divBdr>
    </w:div>
    <w:div w:id="30034791">
      <w:bodyDiv w:val="1"/>
      <w:marLeft w:val="0"/>
      <w:marRight w:val="0"/>
      <w:marTop w:val="0"/>
      <w:marBottom w:val="0"/>
      <w:divBdr>
        <w:top w:val="none" w:sz="0" w:space="0" w:color="auto"/>
        <w:left w:val="none" w:sz="0" w:space="0" w:color="auto"/>
        <w:bottom w:val="none" w:sz="0" w:space="0" w:color="auto"/>
        <w:right w:val="none" w:sz="0" w:space="0" w:color="auto"/>
      </w:divBdr>
    </w:div>
    <w:div w:id="30499751">
      <w:bodyDiv w:val="1"/>
      <w:marLeft w:val="0"/>
      <w:marRight w:val="0"/>
      <w:marTop w:val="0"/>
      <w:marBottom w:val="0"/>
      <w:divBdr>
        <w:top w:val="none" w:sz="0" w:space="0" w:color="auto"/>
        <w:left w:val="none" w:sz="0" w:space="0" w:color="auto"/>
        <w:bottom w:val="none" w:sz="0" w:space="0" w:color="auto"/>
        <w:right w:val="none" w:sz="0" w:space="0" w:color="auto"/>
      </w:divBdr>
    </w:div>
    <w:div w:id="30501227">
      <w:bodyDiv w:val="1"/>
      <w:marLeft w:val="0"/>
      <w:marRight w:val="0"/>
      <w:marTop w:val="0"/>
      <w:marBottom w:val="0"/>
      <w:divBdr>
        <w:top w:val="none" w:sz="0" w:space="0" w:color="auto"/>
        <w:left w:val="none" w:sz="0" w:space="0" w:color="auto"/>
        <w:bottom w:val="none" w:sz="0" w:space="0" w:color="auto"/>
        <w:right w:val="none" w:sz="0" w:space="0" w:color="auto"/>
      </w:divBdr>
    </w:div>
    <w:div w:id="30736752">
      <w:bodyDiv w:val="1"/>
      <w:marLeft w:val="0"/>
      <w:marRight w:val="0"/>
      <w:marTop w:val="0"/>
      <w:marBottom w:val="0"/>
      <w:divBdr>
        <w:top w:val="none" w:sz="0" w:space="0" w:color="auto"/>
        <w:left w:val="none" w:sz="0" w:space="0" w:color="auto"/>
        <w:bottom w:val="none" w:sz="0" w:space="0" w:color="auto"/>
        <w:right w:val="none" w:sz="0" w:space="0" w:color="auto"/>
      </w:divBdr>
    </w:div>
    <w:div w:id="30959289">
      <w:bodyDiv w:val="1"/>
      <w:marLeft w:val="0"/>
      <w:marRight w:val="0"/>
      <w:marTop w:val="0"/>
      <w:marBottom w:val="0"/>
      <w:divBdr>
        <w:top w:val="none" w:sz="0" w:space="0" w:color="auto"/>
        <w:left w:val="none" w:sz="0" w:space="0" w:color="auto"/>
        <w:bottom w:val="none" w:sz="0" w:space="0" w:color="auto"/>
        <w:right w:val="none" w:sz="0" w:space="0" w:color="auto"/>
      </w:divBdr>
    </w:div>
    <w:div w:id="30963846">
      <w:bodyDiv w:val="1"/>
      <w:marLeft w:val="0"/>
      <w:marRight w:val="0"/>
      <w:marTop w:val="0"/>
      <w:marBottom w:val="0"/>
      <w:divBdr>
        <w:top w:val="none" w:sz="0" w:space="0" w:color="auto"/>
        <w:left w:val="none" w:sz="0" w:space="0" w:color="auto"/>
        <w:bottom w:val="none" w:sz="0" w:space="0" w:color="auto"/>
        <w:right w:val="none" w:sz="0" w:space="0" w:color="auto"/>
      </w:divBdr>
    </w:div>
    <w:div w:id="31001061">
      <w:bodyDiv w:val="1"/>
      <w:marLeft w:val="0"/>
      <w:marRight w:val="0"/>
      <w:marTop w:val="0"/>
      <w:marBottom w:val="0"/>
      <w:divBdr>
        <w:top w:val="none" w:sz="0" w:space="0" w:color="auto"/>
        <w:left w:val="none" w:sz="0" w:space="0" w:color="auto"/>
        <w:bottom w:val="none" w:sz="0" w:space="0" w:color="auto"/>
        <w:right w:val="none" w:sz="0" w:space="0" w:color="auto"/>
      </w:divBdr>
    </w:div>
    <w:div w:id="31614107">
      <w:bodyDiv w:val="1"/>
      <w:marLeft w:val="0"/>
      <w:marRight w:val="0"/>
      <w:marTop w:val="0"/>
      <w:marBottom w:val="0"/>
      <w:divBdr>
        <w:top w:val="none" w:sz="0" w:space="0" w:color="auto"/>
        <w:left w:val="none" w:sz="0" w:space="0" w:color="auto"/>
        <w:bottom w:val="none" w:sz="0" w:space="0" w:color="auto"/>
        <w:right w:val="none" w:sz="0" w:space="0" w:color="auto"/>
      </w:divBdr>
    </w:div>
    <w:div w:id="31661400">
      <w:bodyDiv w:val="1"/>
      <w:marLeft w:val="0"/>
      <w:marRight w:val="0"/>
      <w:marTop w:val="0"/>
      <w:marBottom w:val="0"/>
      <w:divBdr>
        <w:top w:val="none" w:sz="0" w:space="0" w:color="auto"/>
        <w:left w:val="none" w:sz="0" w:space="0" w:color="auto"/>
        <w:bottom w:val="none" w:sz="0" w:space="0" w:color="auto"/>
        <w:right w:val="none" w:sz="0" w:space="0" w:color="auto"/>
      </w:divBdr>
    </w:div>
    <w:div w:id="32115259">
      <w:bodyDiv w:val="1"/>
      <w:marLeft w:val="0"/>
      <w:marRight w:val="0"/>
      <w:marTop w:val="0"/>
      <w:marBottom w:val="0"/>
      <w:divBdr>
        <w:top w:val="none" w:sz="0" w:space="0" w:color="auto"/>
        <w:left w:val="none" w:sz="0" w:space="0" w:color="auto"/>
        <w:bottom w:val="none" w:sz="0" w:space="0" w:color="auto"/>
        <w:right w:val="none" w:sz="0" w:space="0" w:color="auto"/>
      </w:divBdr>
    </w:div>
    <w:div w:id="33115634">
      <w:bodyDiv w:val="1"/>
      <w:marLeft w:val="0"/>
      <w:marRight w:val="0"/>
      <w:marTop w:val="0"/>
      <w:marBottom w:val="0"/>
      <w:divBdr>
        <w:top w:val="none" w:sz="0" w:space="0" w:color="auto"/>
        <w:left w:val="none" w:sz="0" w:space="0" w:color="auto"/>
        <w:bottom w:val="none" w:sz="0" w:space="0" w:color="auto"/>
        <w:right w:val="none" w:sz="0" w:space="0" w:color="auto"/>
      </w:divBdr>
    </w:div>
    <w:div w:id="33434795">
      <w:bodyDiv w:val="1"/>
      <w:marLeft w:val="0"/>
      <w:marRight w:val="0"/>
      <w:marTop w:val="0"/>
      <w:marBottom w:val="0"/>
      <w:divBdr>
        <w:top w:val="none" w:sz="0" w:space="0" w:color="auto"/>
        <w:left w:val="none" w:sz="0" w:space="0" w:color="auto"/>
        <w:bottom w:val="none" w:sz="0" w:space="0" w:color="auto"/>
        <w:right w:val="none" w:sz="0" w:space="0" w:color="auto"/>
      </w:divBdr>
    </w:div>
    <w:div w:id="33889279">
      <w:bodyDiv w:val="1"/>
      <w:marLeft w:val="0"/>
      <w:marRight w:val="0"/>
      <w:marTop w:val="0"/>
      <w:marBottom w:val="0"/>
      <w:divBdr>
        <w:top w:val="none" w:sz="0" w:space="0" w:color="auto"/>
        <w:left w:val="none" w:sz="0" w:space="0" w:color="auto"/>
        <w:bottom w:val="none" w:sz="0" w:space="0" w:color="auto"/>
        <w:right w:val="none" w:sz="0" w:space="0" w:color="auto"/>
      </w:divBdr>
    </w:div>
    <w:div w:id="34473561">
      <w:bodyDiv w:val="1"/>
      <w:marLeft w:val="0"/>
      <w:marRight w:val="0"/>
      <w:marTop w:val="0"/>
      <w:marBottom w:val="0"/>
      <w:divBdr>
        <w:top w:val="none" w:sz="0" w:space="0" w:color="auto"/>
        <w:left w:val="none" w:sz="0" w:space="0" w:color="auto"/>
        <w:bottom w:val="none" w:sz="0" w:space="0" w:color="auto"/>
        <w:right w:val="none" w:sz="0" w:space="0" w:color="auto"/>
      </w:divBdr>
    </w:div>
    <w:div w:id="34819225">
      <w:bodyDiv w:val="1"/>
      <w:marLeft w:val="0"/>
      <w:marRight w:val="0"/>
      <w:marTop w:val="0"/>
      <w:marBottom w:val="0"/>
      <w:divBdr>
        <w:top w:val="none" w:sz="0" w:space="0" w:color="auto"/>
        <w:left w:val="none" w:sz="0" w:space="0" w:color="auto"/>
        <w:bottom w:val="none" w:sz="0" w:space="0" w:color="auto"/>
        <w:right w:val="none" w:sz="0" w:space="0" w:color="auto"/>
      </w:divBdr>
    </w:div>
    <w:div w:id="35736839">
      <w:bodyDiv w:val="1"/>
      <w:marLeft w:val="0"/>
      <w:marRight w:val="0"/>
      <w:marTop w:val="0"/>
      <w:marBottom w:val="0"/>
      <w:divBdr>
        <w:top w:val="none" w:sz="0" w:space="0" w:color="auto"/>
        <w:left w:val="none" w:sz="0" w:space="0" w:color="auto"/>
        <w:bottom w:val="none" w:sz="0" w:space="0" w:color="auto"/>
        <w:right w:val="none" w:sz="0" w:space="0" w:color="auto"/>
      </w:divBdr>
    </w:div>
    <w:div w:id="35785097">
      <w:bodyDiv w:val="1"/>
      <w:marLeft w:val="0"/>
      <w:marRight w:val="0"/>
      <w:marTop w:val="0"/>
      <w:marBottom w:val="0"/>
      <w:divBdr>
        <w:top w:val="none" w:sz="0" w:space="0" w:color="auto"/>
        <w:left w:val="none" w:sz="0" w:space="0" w:color="auto"/>
        <w:bottom w:val="none" w:sz="0" w:space="0" w:color="auto"/>
        <w:right w:val="none" w:sz="0" w:space="0" w:color="auto"/>
      </w:divBdr>
    </w:div>
    <w:div w:id="36706600">
      <w:bodyDiv w:val="1"/>
      <w:marLeft w:val="0"/>
      <w:marRight w:val="0"/>
      <w:marTop w:val="0"/>
      <w:marBottom w:val="0"/>
      <w:divBdr>
        <w:top w:val="none" w:sz="0" w:space="0" w:color="auto"/>
        <w:left w:val="none" w:sz="0" w:space="0" w:color="auto"/>
        <w:bottom w:val="none" w:sz="0" w:space="0" w:color="auto"/>
        <w:right w:val="none" w:sz="0" w:space="0" w:color="auto"/>
      </w:divBdr>
    </w:div>
    <w:div w:id="36861284">
      <w:bodyDiv w:val="1"/>
      <w:marLeft w:val="0"/>
      <w:marRight w:val="0"/>
      <w:marTop w:val="0"/>
      <w:marBottom w:val="0"/>
      <w:divBdr>
        <w:top w:val="none" w:sz="0" w:space="0" w:color="auto"/>
        <w:left w:val="none" w:sz="0" w:space="0" w:color="auto"/>
        <w:bottom w:val="none" w:sz="0" w:space="0" w:color="auto"/>
        <w:right w:val="none" w:sz="0" w:space="0" w:color="auto"/>
      </w:divBdr>
    </w:div>
    <w:div w:id="37904219">
      <w:bodyDiv w:val="1"/>
      <w:marLeft w:val="0"/>
      <w:marRight w:val="0"/>
      <w:marTop w:val="0"/>
      <w:marBottom w:val="0"/>
      <w:divBdr>
        <w:top w:val="none" w:sz="0" w:space="0" w:color="auto"/>
        <w:left w:val="none" w:sz="0" w:space="0" w:color="auto"/>
        <w:bottom w:val="none" w:sz="0" w:space="0" w:color="auto"/>
        <w:right w:val="none" w:sz="0" w:space="0" w:color="auto"/>
      </w:divBdr>
    </w:div>
    <w:div w:id="37975053">
      <w:bodyDiv w:val="1"/>
      <w:marLeft w:val="0"/>
      <w:marRight w:val="0"/>
      <w:marTop w:val="0"/>
      <w:marBottom w:val="0"/>
      <w:divBdr>
        <w:top w:val="none" w:sz="0" w:space="0" w:color="auto"/>
        <w:left w:val="none" w:sz="0" w:space="0" w:color="auto"/>
        <w:bottom w:val="none" w:sz="0" w:space="0" w:color="auto"/>
        <w:right w:val="none" w:sz="0" w:space="0" w:color="auto"/>
      </w:divBdr>
    </w:div>
    <w:div w:id="38173022">
      <w:bodyDiv w:val="1"/>
      <w:marLeft w:val="0"/>
      <w:marRight w:val="0"/>
      <w:marTop w:val="0"/>
      <w:marBottom w:val="0"/>
      <w:divBdr>
        <w:top w:val="none" w:sz="0" w:space="0" w:color="auto"/>
        <w:left w:val="none" w:sz="0" w:space="0" w:color="auto"/>
        <w:bottom w:val="none" w:sz="0" w:space="0" w:color="auto"/>
        <w:right w:val="none" w:sz="0" w:space="0" w:color="auto"/>
      </w:divBdr>
    </w:div>
    <w:div w:id="38211636">
      <w:bodyDiv w:val="1"/>
      <w:marLeft w:val="0"/>
      <w:marRight w:val="0"/>
      <w:marTop w:val="0"/>
      <w:marBottom w:val="0"/>
      <w:divBdr>
        <w:top w:val="none" w:sz="0" w:space="0" w:color="auto"/>
        <w:left w:val="none" w:sz="0" w:space="0" w:color="auto"/>
        <w:bottom w:val="none" w:sz="0" w:space="0" w:color="auto"/>
        <w:right w:val="none" w:sz="0" w:space="0" w:color="auto"/>
      </w:divBdr>
    </w:div>
    <w:div w:id="38405283">
      <w:bodyDiv w:val="1"/>
      <w:marLeft w:val="0"/>
      <w:marRight w:val="0"/>
      <w:marTop w:val="0"/>
      <w:marBottom w:val="0"/>
      <w:divBdr>
        <w:top w:val="none" w:sz="0" w:space="0" w:color="auto"/>
        <w:left w:val="none" w:sz="0" w:space="0" w:color="auto"/>
        <w:bottom w:val="none" w:sz="0" w:space="0" w:color="auto"/>
        <w:right w:val="none" w:sz="0" w:space="0" w:color="auto"/>
      </w:divBdr>
    </w:div>
    <w:div w:id="38553267">
      <w:bodyDiv w:val="1"/>
      <w:marLeft w:val="0"/>
      <w:marRight w:val="0"/>
      <w:marTop w:val="0"/>
      <w:marBottom w:val="0"/>
      <w:divBdr>
        <w:top w:val="none" w:sz="0" w:space="0" w:color="auto"/>
        <w:left w:val="none" w:sz="0" w:space="0" w:color="auto"/>
        <w:bottom w:val="none" w:sz="0" w:space="0" w:color="auto"/>
        <w:right w:val="none" w:sz="0" w:space="0" w:color="auto"/>
      </w:divBdr>
    </w:div>
    <w:div w:id="39794304">
      <w:bodyDiv w:val="1"/>
      <w:marLeft w:val="0"/>
      <w:marRight w:val="0"/>
      <w:marTop w:val="0"/>
      <w:marBottom w:val="0"/>
      <w:divBdr>
        <w:top w:val="none" w:sz="0" w:space="0" w:color="auto"/>
        <w:left w:val="none" w:sz="0" w:space="0" w:color="auto"/>
        <w:bottom w:val="none" w:sz="0" w:space="0" w:color="auto"/>
        <w:right w:val="none" w:sz="0" w:space="0" w:color="auto"/>
      </w:divBdr>
    </w:div>
    <w:div w:id="40786488">
      <w:bodyDiv w:val="1"/>
      <w:marLeft w:val="0"/>
      <w:marRight w:val="0"/>
      <w:marTop w:val="0"/>
      <w:marBottom w:val="0"/>
      <w:divBdr>
        <w:top w:val="none" w:sz="0" w:space="0" w:color="auto"/>
        <w:left w:val="none" w:sz="0" w:space="0" w:color="auto"/>
        <w:bottom w:val="none" w:sz="0" w:space="0" w:color="auto"/>
        <w:right w:val="none" w:sz="0" w:space="0" w:color="auto"/>
      </w:divBdr>
    </w:div>
    <w:div w:id="41175114">
      <w:bodyDiv w:val="1"/>
      <w:marLeft w:val="0"/>
      <w:marRight w:val="0"/>
      <w:marTop w:val="0"/>
      <w:marBottom w:val="0"/>
      <w:divBdr>
        <w:top w:val="none" w:sz="0" w:space="0" w:color="auto"/>
        <w:left w:val="none" w:sz="0" w:space="0" w:color="auto"/>
        <w:bottom w:val="none" w:sz="0" w:space="0" w:color="auto"/>
        <w:right w:val="none" w:sz="0" w:space="0" w:color="auto"/>
      </w:divBdr>
    </w:div>
    <w:div w:id="41251057">
      <w:bodyDiv w:val="1"/>
      <w:marLeft w:val="0"/>
      <w:marRight w:val="0"/>
      <w:marTop w:val="0"/>
      <w:marBottom w:val="0"/>
      <w:divBdr>
        <w:top w:val="none" w:sz="0" w:space="0" w:color="auto"/>
        <w:left w:val="none" w:sz="0" w:space="0" w:color="auto"/>
        <w:bottom w:val="none" w:sz="0" w:space="0" w:color="auto"/>
        <w:right w:val="none" w:sz="0" w:space="0" w:color="auto"/>
      </w:divBdr>
    </w:div>
    <w:div w:id="41289168">
      <w:bodyDiv w:val="1"/>
      <w:marLeft w:val="0"/>
      <w:marRight w:val="0"/>
      <w:marTop w:val="0"/>
      <w:marBottom w:val="0"/>
      <w:divBdr>
        <w:top w:val="none" w:sz="0" w:space="0" w:color="auto"/>
        <w:left w:val="none" w:sz="0" w:space="0" w:color="auto"/>
        <w:bottom w:val="none" w:sz="0" w:space="0" w:color="auto"/>
        <w:right w:val="none" w:sz="0" w:space="0" w:color="auto"/>
      </w:divBdr>
    </w:div>
    <w:div w:id="41297158">
      <w:bodyDiv w:val="1"/>
      <w:marLeft w:val="0"/>
      <w:marRight w:val="0"/>
      <w:marTop w:val="0"/>
      <w:marBottom w:val="0"/>
      <w:divBdr>
        <w:top w:val="none" w:sz="0" w:space="0" w:color="auto"/>
        <w:left w:val="none" w:sz="0" w:space="0" w:color="auto"/>
        <w:bottom w:val="none" w:sz="0" w:space="0" w:color="auto"/>
        <w:right w:val="none" w:sz="0" w:space="0" w:color="auto"/>
      </w:divBdr>
    </w:div>
    <w:div w:id="41906163">
      <w:bodyDiv w:val="1"/>
      <w:marLeft w:val="0"/>
      <w:marRight w:val="0"/>
      <w:marTop w:val="0"/>
      <w:marBottom w:val="0"/>
      <w:divBdr>
        <w:top w:val="none" w:sz="0" w:space="0" w:color="auto"/>
        <w:left w:val="none" w:sz="0" w:space="0" w:color="auto"/>
        <w:bottom w:val="none" w:sz="0" w:space="0" w:color="auto"/>
        <w:right w:val="none" w:sz="0" w:space="0" w:color="auto"/>
      </w:divBdr>
    </w:div>
    <w:div w:id="41909865">
      <w:bodyDiv w:val="1"/>
      <w:marLeft w:val="0"/>
      <w:marRight w:val="0"/>
      <w:marTop w:val="0"/>
      <w:marBottom w:val="0"/>
      <w:divBdr>
        <w:top w:val="none" w:sz="0" w:space="0" w:color="auto"/>
        <w:left w:val="none" w:sz="0" w:space="0" w:color="auto"/>
        <w:bottom w:val="none" w:sz="0" w:space="0" w:color="auto"/>
        <w:right w:val="none" w:sz="0" w:space="0" w:color="auto"/>
      </w:divBdr>
    </w:div>
    <w:div w:id="41946642">
      <w:bodyDiv w:val="1"/>
      <w:marLeft w:val="0"/>
      <w:marRight w:val="0"/>
      <w:marTop w:val="0"/>
      <w:marBottom w:val="0"/>
      <w:divBdr>
        <w:top w:val="none" w:sz="0" w:space="0" w:color="auto"/>
        <w:left w:val="none" w:sz="0" w:space="0" w:color="auto"/>
        <w:bottom w:val="none" w:sz="0" w:space="0" w:color="auto"/>
        <w:right w:val="none" w:sz="0" w:space="0" w:color="auto"/>
      </w:divBdr>
    </w:div>
    <w:div w:id="42759745">
      <w:bodyDiv w:val="1"/>
      <w:marLeft w:val="0"/>
      <w:marRight w:val="0"/>
      <w:marTop w:val="0"/>
      <w:marBottom w:val="0"/>
      <w:divBdr>
        <w:top w:val="none" w:sz="0" w:space="0" w:color="auto"/>
        <w:left w:val="none" w:sz="0" w:space="0" w:color="auto"/>
        <w:bottom w:val="none" w:sz="0" w:space="0" w:color="auto"/>
        <w:right w:val="none" w:sz="0" w:space="0" w:color="auto"/>
      </w:divBdr>
    </w:div>
    <w:div w:id="43723742">
      <w:bodyDiv w:val="1"/>
      <w:marLeft w:val="0"/>
      <w:marRight w:val="0"/>
      <w:marTop w:val="0"/>
      <w:marBottom w:val="0"/>
      <w:divBdr>
        <w:top w:val="none" w:sz="0" w:space="0" w:color="auto"/>
        <w:left w:val="none" w:sz="0" w:space="0" w:color="auto"/>
        <w:bottom w:val="none" w:sz="0" w:space="0" w:color="auto"/>
        <w:right w:val="none" w:sz="0" w:space="0" w:color="auto"/>
      </w:divBdr>
    </w:div>
    <w:div w:id="44256171">
      <w:bodyDiv w:val="1"/>
      <w:marLeft w:val="0"/>
      <w:marRight w:val="0"/>
      <w:marTop w:val="0"/>
      <w:marBottom w:val="0"/>
      <w:divBdr>
        <w:top w:val="none" w:sz="0" w:space="0" w:color="auto"/>
        <w:left w:val="none" w:sz="0" w:space="0" w:color="auto"/>
        <w:bottom w:val="none" w:sz="0" w:space="0" w:color="auto"/>
        <w:right w:val="none" w:sz="0" w:space="0" w:color="auto"/>
      </w:divBdr>
    </w:div>
    <w:div w:id="44452840">
      <w:bodyDiv w:val="1"/>
      <w:marLeft w:val="0"/>
      <w:marRight w:val="0"/>
      <w:marTop w:val="0"/>
      <w:marBottom w:val="0"/>
      <w:divBdr>
        <w:top w:val="none" w:sz="0" w:space="0" w:color="auto"/>
        <w:left w:val="none" w:sz="0" w:space="0" w:color="auto"/>
        <w:bottom w:val="none" w:sz="0" w:space="0" w:color="auto"/>
        <w:right w:val="none" w:sz="0" w:space="0" w:color="auto"/>
      </w:divBdr>
    </w:div>
    <w:div w:id="45380583">
      <w:bodyDiv w:val="1"/>
      <w:marLeft w:val="0"/>
      <w:marRight w:val="0"/>
      <w:marTop w:val="0"/>
      <w:marBottom w:val="0"/>
      <w:divBdr>
        <w:top w:val="none" w:sz="0" w:space="0" w:color="auto"/>
        <w:left w:val="none" w:sz="0" w:space="0" w:color="auto"/>
        <w:bottom w:val="none" w:sz="0" w:space="0" w:color="auto"/>
        <w:right w:val="none" w:sz="0" w:space="0" w:color="auto"/>
      </w:divBdr>
    </w:div>
    <w:div w:id="45421485">
      <w:bodyDiv w:val="1"/>
      <w:marLeft w:val="0"/>
      <w:marRight w:val="0"/>
      <w:marTop w:val="0"/>
      <w:marBottom w:val="0"/>
      <w:divBdr>
        <w:top w:val="none" w:sz="0" w:space="0" w:color="auto"/>
        <w:left w:val="none" w:sz="0" w:space="0" w:color="auto"/>
        <w:bottom w:val="none" w:sz="0" w:space="0" w:color="auto"/>
        <w:right w:val="none" w:sz="0" w:space="0" w:color="auto"/>
      </w:divBdr>
    </w:div>
    <w:div w:id="46152433">
      <w:bodyDiv w:val="1"/>
      <w:marLeft w:val="0"/>
      <w:marRight w:val="0"/>
      <w:marTop w:val="0"/>
      <w:marBottom w:val="0"/>
      <w:divBdr>
        <w:top w:val="none" w:sz="0" w:space="0" w:color="auto"/>
        <w:left w:val="none" w:sz="0" w:space="0" w:color="auto"/>
        <w:bottom w:val="none" w:sz="0" w:space="0" w:color="auto"/>
        <w:right w:val="none" w:sz="0" w:space="0" w:color="auto"/>
      </w:divBdr>
    </w:div>
    <w:div w:id="46533601">
      <w:bodyDiv w:val="1"/>
      <w:marLeft w:val="0"/>
      <w:marRight w:val="0"/>
      <w:marTop w:val="0"/>
      <w:marBottom w:val="0"/>
      <w:divBdr>
        <w:top w:val="none" w:sz="0" w:space="0" w:color="auto"/>
        <w:left w:val="none" w:sz="0" w:space="0" w:color="auto"/>
        <w:bottom w:val="none" w:sz="0" w:space="0" w:color="auto"/>
        <w:right w:val="none" w:sz="0" w:space="0" w:color="auto"/>
      </w:divBdr>
    </w:div>
    <w:div w:id="47069585">
      <w:bodyDiv w:val="1"/>
      <w:marLeft w:val="0"/>
      <w:marRight w:val="0"/>
      <w:marTop w:val="0"/>
      <w:marBottom w:val="0"/>
      <w:divBdr>
        <w:top w:val="none" w:sz="0" w:space="0" w:color="auto"/>
        <w:left w:val="none" w:sz="0" w:space="0" w:color="auto"/>
        <w:bottom w:val="none" w:sz="0" w:space="0" w:color="auto"/>
        <w:right w:val="none" w:sz="0" w:space="0" w:color="auto"/>
      </w:divBdr>
    </w:div>
    <w:div w:id="47341458">
      <w:bodyDiv w:val="1"/>
      <w:marLeft w:val="0"/>
      <w:marRight w:val="0"/>
      <w:marTop w:val="0"/>
      <w:marBottom w:val="0"/>
      <w:divBdr>
        <w:top w:val="none" w:sz="0" w:space="0" w:color="auto"/>
        <w:left w:val="none" w:sz="0" w:space="0" w:color="auto"/>
        <w:bottom w:val="none" w:sz="0" w:space="0" w:color="auto"/>
        <w:right w:val="none" w:sz="0" w:space="0" w:color="auto"/>
      </w:divBdr>
    </w:div>
    <w:div w:id="47535649">
      <w:bodyDiv w:val="1"/>
      <w:marLeft w:val="0"/>
      <w:marRight w:val="0"/>
      <w:marTop w:val="0"/>
      <w:marBottom w:val="0"/>
      <w:divBdr>
        <w:top w:val="none" w:sz="0" w:space="0" w:color="auto"/>
        <w:left w:val="none" w:sz="0" w:space="0" w:color="auto"/>
        <w:bottom w:val="none" w:sz="0" w:space="0" w:color="auto"/>
        <w:right w:val="none" w:sz="0" w:space="0" w:color="auto"/>
      </w:divBdr>
    </w:div>
    <w:div w:id="48038228">
      <w:bodyDiv w:val="1"/>
      <w:marLeft w:val="0"/>
      <w:marRight w:val="0"/>
      <w:marTop w:val="0"/>
      <w:marBottom w:val="0"/>
      <w:divBdr>
        <w:top w:val="none" w:sz="0" w:space="0" w:color="auto"/>
        <w:left w:val="none" w:sz="0" w:space="0" w:color="auto"/>
        <w:bottom w:val="none" w:sz="0" w:space="0" w:color="auto"/>
        <w:right w:val="none" w:sz="0" w:space="0" w:color="auto"/>
      </w:divBdr>
    </w:div>
    <w:div w:id="48461817">
      <w:bodyDiv w:val="1"/>
      <w:marLeft w:val="0"/>
      <w:marRight w:val="0"/>
      <w:marTop w:val="0"/>
      <w:marBottom w:val="0"/>
      <w:divBdr>
        <w:top w:val="none" w:sz="0" w:space="0" w:color="auto"/>
        <w:left w:val="none" w:sz="0" w:space="0" w:color="auto"/>
        <w:bottom w:val="none" w:sz="0" w:space="0" w:color="auto"/>
        <w:right w:val="none" w:sz="0" w:space="0" w:color="auto"/>
      </w:divBdr>
    </w:div>
    <w:div w:id="48964302">
      <w:bodyDiv w:val="1"/>
      <w:marLeft w:val="0"/>
      <w:marRight w:val="0"/>
      <w:marTop w:val="0"/>
      <w:marBottom w:val="0"/>
      <w:divBdr>
        <w:top w:val="none" w:sz="0" w:space="0" w:color="auto"/>
        <w:left w:val="none" w:sz="0" w:space="0" w:color="auto"/>
        <w:bottom w:val="none" w:sz="0" w:space="0" w:color="auto"/>
        <w:right w:val="none" w:sz="0" w:space="0" w:color="auto"/>
      </w:divBdr>
    </w:div>
    <w:div w:id="49229891">
      <w:bodyDiv w:val="1"/>
      <w:marLeft w:val="0"/>
      <w:marRight w:val="0"/>
      <w:marTop w:val="0"/>
      <w:marBottom w:val="0"/>
      <w:divBdr>
        <w:top w:val="none" w:sz="0" w:space="0" w:color="auto"/>
        <w:left w:val="none" w:sz="0" w:space="0" w:color="auto"/>
        <w:bottom w:val="none" w:sz="0" w:space="0" w:color="auto"/>
        <w:right w:val="none" w:sz="0" w:space="0" w:color="auto"/>
      </w:divBdr>
    </w:div>
    <w:div w:id="49350442">
      <w:bodyDiv w:val="1"/>
      <w:marLeft w:val="0"/>
      <w:marRight w:val="0"/>
      <w:marTop w:val="0"/>
      <w:marBottom w:val="0"/>
      <w:divBdr>
        <w:top w:val="none" w:sz="0" w:space="0" w:color="auto"/>
        <w:left w:val="none" w:sz="0" w:space="0" w:color="auto"/>
        <w:bottom w:val="none" w:sz="0" w:space="0" w:color="auto"/>
        <w:right w:val="none" w:sz="0" w:space="0" w:color="auto"/>
      </w:divBdr>
    </w:div>
    <w:div w:id="49698724">
      <w:bodyDiv w:val="1"/>
      <w:marLeft w:val="0"/>
      <w:marRight w:val="0"/>
      <w:marTop w:val="0"/>
      <w:marBottom w:val="0"/>
      <w:divBdr>
        <w:top w:val="none" w:sz="0" w:space="0" w:color="auto"/>
        <w:left w:val="none" w:sz="0" w:space="0" w:color="auto"/>
        <w:bottom w:val="none" w:sz="0" w:space="0" w:color="auto"/>
        <w:right w:val="none" w:sz="0" w:space="0" w:color="auto"/>
      </w:divBdr>
    </w:div>
    <w:div w:id="50082377">
      <w:bodyDiv w:val="1"/>
      <w:marLeft w:val="0"/>
      <w:marRight w:val="0"/>
      <w:marTop w:val="0"/>
      <w:marBottom w:val="0"/>
      <w:divBdr>
        <w:top w:val="none" w:sz="0" w:space="0" w:color="auto"/>
        <w:left w:val="none" w:sz="0" w:space="0" w:color="auto"/>
        <w:bottom w:val="none" w:sz="0" w:space="0" w:color="auto"/>
        <w:right w:val="none" w:sz="0" w:space="0" w:color="auto"/>
      </w:divBdr>
    </w:div>
    <w:div w:id="50929596">
      <w:bodyDiv w:val="1"/>
      <w:marLeft w:val="0"/>
      <w:marRight w:val="0"/>
      <w:marTop w:val="0"/>
      <w:marBottom w:val="0"/>
      <w:divBdr>
        <w:top w:val="none" w:sz="0" w:space="0" w:color="auto"/>
        <w:left w:val="none" w:sz="0" w:space="0" w:color="auto"/>
        <w:bottom w:val="none" w:sz="0" w:space="0" w:color="auto"/>
        <w:right w:val="none" w:sz="0" w:space="0" w:color="auto"/>
      </w:divBdr>
    </w:div>
    <w:div w:id="52315608">
      <w:bodyDiv w:val="1"/>
      <w:marLeft w:val="0"/>
      <w:marRight w:val="0"/>
      <w:marTop w:val="0"/>
      <w:marBottom w:val="0"/>
      <w:divBdr>
        <w:top w:val="none" w:sz="0" w:space="0" w:color="auto"/>
        <w:left w:val="none" w:sz="0" w:space="0" w:color="auto"/>
        <w:bottom w:val="none" w:sz="0" w:space="0" w:color="auto"/>
        <w:right w:val="none" w:sz="0" w:space="0" w:color="auto"/>
      </w:divBdr>
    </w:div>
    <w:div w:id="52586430">
      <w:bodyDiv w:val="1"/>
      <w:marLeft w:val="0"/>
      <w:marRight w:val="0"/>
      <w:marTop w:val="0"/>
      <w:marBottom w:val="0"/>
      <w:divBdr>
        <w:top w:val="none" w:sz="0" w:space="0" w:color="auto"/>
        <w:left w:val="none" w:sz="0" w:space="0" w:color="auto"/>
        <w:bottom w:val="none" w:sz="0" w:space="0" w:color="auto"/>
        <w:right w:val="none" w:sz="0" w:space="0" w:color="auto"/>
      </w:divBdr>
    </w:div>
    <w:div w:id="54816079">
      <w:bodyDiv w:val="1"/>
      <w:marLeft w:val="0"/>
      <w:marRight w:val="0"/>
      <w:marTop w:val="0"/>
      <w:marBottom w:val="0"/>
      <w:divBdr>
        <w:top w:val="none" w:sz="0" w:space="0" w:color="auto"/>
        <w:left w:val="none" w:sz="0" w:space="0" w:color="auto"/>
        <w:bottom w:val="none" w:sz="0" w:space="0" w:color="auto"/>
        <w:right w:val="none" w:sz="0" w:space="0" w:color="auto"/>
      </w:divBdr>
    </w:div>
    <w:div w:id="55247404">
      <w:bodyDiv w:val="1"/>
      <w:marLeft w:val="0"/>
      <w:marRight w:val="0"/>
      <w:marTop w:val="0"/>
      <w:marBottom w:val="0"/>
      <w:divBdr>
        <w:top w:val="none" w:sz="0" w:space="0" w:color="auto"/>
        <w:left w:val="none" w:sz="0" w:space="0" w:color="auto"/>
        <w:bottom w:val="none" w:sz="0" w:space="0" w:color="auto"/>
        <w:right w:val="none" w:sz="0" w:space="0" w:color="auto"/>
      </w:divBdr>
    </w:div>
    <w:div w:id="55399312">
      <w:bodyDiv w:val="1"/>
      <w:marLeft w:val="0"/>
      <w:marRight w:val="0"/>
      <w:marTop w:val="0"/>
      <w:marBottom w:val="0"/>
      <w:divBdr>
        <w:top w:val="none" w:sz="0" w:space="0" w:color="auto"/>
        <w:left w:val="none" w:sz="0" w:space="0" w:color="auto"/>
        <w:bottom w:val="none" w:sz="0" w:space="0" w:color="auto"/>
        <w:right w:val="none" w:sz="0" w:space="0" w:color="auto"/>
      </w:divBdr>
    </w:div>
    <w:div w:id="55515541">
      <w:bodyDiv w:val="1"/>
      <w:marLeft w:val="0"/>
      <w:marRight w:val="0"/>
      <w:marTop w:val="0"/>
      <w:marBottom w:val="0"/>
      <w:divBdr>
        <w:top w:val="none" w:sz="0" w:space="0" w:color="auto"/>
        <w:left w:val="none" w:sz="0" w:space="0" w:color="auto"/>
        <w:bottom w:val="none" w:sz="0" w:space="0" w:color="auto"/>
        <w:right w:val="none" w:sz="0" w:space="0" w:color="auto"/>
      </w:divBdr>
    </w:div>
    <w:div w:id="55976238">
      <w:bodyDiv w:val="1"/>
      <w:marLeft w:val="0"/>
      <w:marRight w:val="0"/>
      <w:marTop w:val="0"/>
      <w:marBottom w:val="0"/>
      <w:divBdr>
        <w:top w:val="none" w:sz="0" w:space="0" w:color="auto"/>
        <w:left w:val="none" w:sz="0" w:space="0" w:color="auto"/>
        <w:bottom w:val="none" w:sz="0" w:space="0" w:color="auto"/>
        <w:right w:val="none" w:sz="0" w:space="0" w:color="auto"/>
      </w:divBdr>
    </w:div>
    <w:div w:id="56322276">
      <w:bodyDiv w:val="1"/>
      <w:marLeft w:val="0"/>
      <w:marRight w:val="0"/>
      <w:marTop w:val="0"/>
      <w:marBottom w:val="0"/>
      <w:divBdr>
        <w:top w:val="none" w:sz="0" w:space="0" w:color="auto"/>
        <w:left w:val="none" w:sz="0" w:space="0" w:color="auto"/>
        <w:bottom w:val="none" w:sz="0" w:space="0" w:color="auto"/>
        <w:right w:val="none" w:sz="0" w:space="0" w:color="auto"/>
      </w:divBdr>
    </w:div>
    <w:div w:id="56443515">
      <w:bodyDiv w:val="1"/>
      <w:marLeft w:val="0"/>
      <w:marRight w:val="0"/>
      <w:marTop w:val="0"/>
      <w:marBottom w:val="0"/>
      <w:divBdr>
        <w:top w:val="none" w:sz="0" w:space="0" w:color="auto"/>
        <w:left w:val="none" w:sz="0" w:space="0" w:color="auto"/>
        <w:bottom w:val="none" w:sz="0" w:space="0" w:color="auto"/>
        <w:right w:val="none" w:sz="0" w:space="0" w:color="auto"/>
      </w:divBdr>
    </w:div>
    <w:div w:id="57678666">
      <w:bodyDiv w:val="1"/>
      <w:marLeft w:val="0"/>
      <w:marRight w:val="0"/>
      <w:marTop w:val="0"/>
      <w:marBottom w:val="0"/>
      <w:divBdr>
        <w:top w:val="none" w:sz="0" w:space="0" w:color="auto"/>
        <w:left w:val="none" w:sz="0" w:space="0" w:color="auto"/>
        <w:bottom w:val="none" w:sz="0" w:space="0" w:color="auto"/>
        <w:right w:val="none" w:sz="0" w:space="0" w:color="auto"/>
      </w:divBdr>
    </w:div>
    <w:div w:id="58409591">
      <w:bodyDiv w:val="1"/>
      <w:marLeft w:val="0"/>
      <w:marRight w:val="0"/>
      <w:marTop w:val="0"/>
      <w:marBottom w:val="0"/>
      <w:divBdr>
        <w:top w:val="none" w:sz="0" w:space="0" w:color="auto"/>
        <w:left w:val="none" w:sz="0" w:space="0" w:color="auto"/>
        <w:bottom w:val="none" w:sz="0" w:space="0" w:color="auto"/>
        <w:right w:val="none" w:sz="0" w:space="0" w:color="auto"/>
      </w:divBdr>
    </w:div>
    <w:div w:id="58598676">
      <w:bodyDiv w:val="1"/>
      <w:marLeft w:val="0"/>
      <w:marRight w:val="0"/>
      <w:marTop w:val="0"/>
      <w:marBottom w:val="0"/>
      <w:divBdr>
        <w:top w:val="none" w:sz="0" w:space="0" w:color="auto"/>
        <w:left w:val="none" w:sz="0" w:space="0" w:color="auto"/>
        <w:bottom w:val="none" w:sz="0" w:space="0" w:color="auto"/>
        <w:right w:val="none" w:sz="0" w:space="0" w:color="auto"/>
      </w:divBdr>
    </w:div>
    <w:div w:id="59062191">
      <w:bodyDiv w:val="1"/>
      <w:marLeft w:val="0"/>
      <w:marRight w:val="0"/>
      <w:marTop w:val="0"/>
      <w:marBottom w:val="0"/>
      <w:divBdr>
        <w:top w:val="none" w:sz="0" w:space="0" w:color="auto"/>
        <w:left w:val="none" w:sz="0" w:space="0" w:color="auto"/>
        <w:bottom w:val="none" w:sz="0" w:space="0" w:color="auto"/>
        <w:right w:val="none" w:sz="0" w:space="0" w:color="auto"/>
      </w:divBdr>
    </w:div>
    <w:div w:id="59132148">
      <w:bodyDiv w:val="1"/>
      <w:marLeft w:val="0"/>
      <w:marRight w:val="0"/>
      <w:marTop w:val="0"/>
      <w:marBottom w:val="0"/>
      <w:divBdr>
        <w:top w:val="none" w:sz="0" w:space="0" w:color="auto"/>
        <w:left w:val="none" w:sz="0" w:space="0" w:color="auto"/>
        <w:bottom w:val="none" w:sz="0" w:space="0" w:color="auto"/>
        <w:right w:val="none" w:sz="0" w:space="0" w:color="auto"/>
      </w:divBdr>
    </w:div>
    <w:div w:id="60490631">
      <w:bodyDiv w:val="1"/>
      <w:marLeft w:val="0"/>
      <w:marRight w:val="0"/>
      <w:marTop w:val="0"/>
      <w:marBottom w:val="0"/>
      <w:divBdr>
        <w:top w:val="none" w:sz="0" w:space="0" w:color="auto"/>
        <w:left w:val="none" w:sz="0" w:space="0" w:color="auto"/>
        <w:bottom w:val="none" w:sz="0" w:space="0" w:color="auto"/>
        <w:right w:val="none" w:sz="0" w:space="0" w:color="auto"/>
      </w:divBdr>
    </w:div>
    <w:div w:id="61145932">
      <w:bodyDiv w:val="1"/>
      <w:marLeft w:val="0"/>
      <w:marRight w:val="0"/>
      <w:marTop w:val="0"/>
      <w:marBottom w:val="0"/>
      <w:divBdr>
        <w:top w:val="none" w:sz="0" w:space="0" w:color="auto"/>
        <w:left w:val="none" w:sz="0" w:space="0" w:color="auto"/>
        <w:bottom w:val="none" w:sz="0" w:space="0" w:color="auto"/>
        <w:right w:val="none" w:sz="0" w:space="0" w:color="auto"/>
      </w:divBdr>
    </w:div>
    <w:div w:id="61608391">
      <w:bodyDiv w:val="1"/>
      <w:marLeft w:val="0"/>
      <w:marRight w:val="0"/>
      <w:marTop w:val="0"/>
      <w:marBottom w:val="0"/>
      <w:divBdr>
        <w:top w:val="none" w:sz="0" w:space="0" w:color="auto"/>
        <w:left w:val="none" w:sz="0" w:space="0" w:color="auto"/>
        <w:bottom w:val="none" w:sz="0" w:space="0" w:color="auto"/>
        <w:right w:val="none" w:sz="0" w:space="0" w:color="auto"/>
      </w:divBdr>
    </w:div>
    <w:div w:id="61951402">
      <w:bodyDiv w:val="1"/>
      <w:marLeft w:val="0"/>
      <w:marRight w:val="0"/>
      <w:marTop w:val="0"/>
      <w:marBottom w:val="0"/>
      <w:divBdr>
        <w:top w:val="none" w:sz="0" w:space="0" w:color="auto"/>
        <w:left w:val="none" w:sz="0" w:space="0" w:color="auto"/>
        <w:bottom w:val="none" w:sz="0" w:space="0" w:color="auto"/>
        <w:right w:val="none" w:sz="0" w:space="0" w:color="auto"/>
      </w:divBdr>
    </w:div>
    <w:div w:id="62065198">
      <w:bodyDiv w:val="1"/>
      <w:marLeft w:val="0"/>
      <w:marRight w:val="0"/>
      <w:marTop w:val="0"/>
      <w:marBottom w:val="0"/>
      <w:divBdr>
        <w:top w:val="none" w:sz="0" w:space="0" w:color="auto"/>
        <w:left w:val="none" w:sz="0" w:space="0" w:color="auto"/>
        <w:bottom w:val="none" w:sz="0" w:space="0" w:color="auto"/>
        <w:right w:val="none" w:sz="0" w:space="0" w:color="auto"/>
      </w:divBdr>
    </w:div>
    <w:div w:id="62415721">
      <w:bodyDiv w:val="1"/>
      <w:marLeft w:val="0"/>
      <w:marRight w:val="0"/>
      <w:marTop w:val="0"/>
      <w:marBottom w:val="0"/>
      <w:divBdr>
        <w:top w:val="none" w:sz="0" w:space="0" w:color="auto"/>
        <w:left w:val="none" w:sz="0" w:space="0" w:color="auto"/>
        <w:bottom w:val="none" w:sz="0" w:space="0" w:color="auto"/>
        <w:right w:val="none" w:sz="0" w:space="0" w:color="auto"/>
      </w:divBdr>
    </w:div>
    <w:div w:id="62605806">
      <w:bodyDiv w:val="1"/>
      <w:marLeft w:val="0"/>
      <w:marRight w:val="0"/>
      <w:marTop w:val="0"/>
      <w:marBottom w:val="0"/>
      <w:divBdr>
        <w:top w:val="none" w:sz="0" w:space="0" w:color="auto"/>
        <w:left w:val="none" w:sz="0" w:space="0" w:color="auto"/>
        <w:bottom w:val="none" w:sz="0" w:space="0" w:color="auto"/>
        <w:right w:val="none" w:sz="0" w:space="0" w:color="auto"/>
      </w:divBdr>
    </w:div>
    <w:div w:id="63458017">
      <w:bodyDiv w:val="1"/>
      <w:marLeft w:val="0"/>
      <w:marRight w:val="0"/>
      <w:marTop w:val="0"/>
      <w:marBottom w:val="0"/>
      <w:divBdr>
        <w:top w:val="none" w:sz="0" w:space="0" w:color="auto"/>
        <w:left w:val="none" w:sz="0" w:space="0" w:color="auto"/>
        <w:bottom w:val="none" w:sz="0" w:space="0" w:color="auto"/>
        <w:right w:val="none" w:sz="0" w:space="0" w:color="auto"/>
      </w:divBdr>
    </w:div>
    <w:div w:id="63528165">
      <w:bodyDiv w:val="1"/>
      <w:marLeft w:val="0"/>
      <w:marRight w:val="0"/>
      <w:marTop w:val="0"/>
      <w:marBottom w:val="0"/>
      <w:divBdr>
        <w:top w:val="none" w:sz="0" w:space="0" w:color="auto"/>
        <w:left w:val="none" w:sz="0" w:space="0" w:color="auto"/>
        <w:bottom w:val="none" w:sz="0" w:space="0" w:color="auto"/>
        <w:right w:val="none" w:sz="0" w:space="0" w:color="auto"/>
      </w:divBdr>
    </w:div>
    <w:div w:id="63534933">
      <w:bodyDiv w:val="1"/>
      <w:marLeft w:val="0"/>
      <w:marRight w:val="0"/>
      <w:marTop w:val="0"/>
      <w:marBottom w:val="0"/>
      <w:divBdr>
        <w:top w:val="none" w:sz="0" w:space="0" w:color="auto"/>
        <w:left w:val="none" w:sz="0" w:space="0" w:color="auto"/>
        <w:bottom w:val="none" w:sz="0" w:space="0" w:color="auto"/>
        <w:right w:val="none" w:sz="0" w:space="0" w:color="auto"/>
      </w:divBdr>
    </w:div>
    <w:div w:id="63575090">
      <w:bodyDiv w:val="1"/>
      <w:marLeft w:val="0"/>
      <w:marRight w:val="0"/>
      <w:marTop w:val="0"/>
      <w:marBottom w:val="0"/>
      <w:divBdr>
        <w:top w:val="none" w:sz="0" w:space="0" w:color="auto"/>
        <w:left w:val="none" w:sz="0" w:space="0" w:color="auto"/>
        <w:bottom w:val="none" w:sz="0" w:space="0" w:color="auto"/>
        <w:right w:val="none" w:sz="0" w:space="0" w:color="auto"/>
      </w:divBdr>
    </w:div>
    <w:div w:id="64225441">
      <w:bodyDiv w:val="1"/>
      <w:marLeft w:val="0"/>
      <w:marRight w:val="0"/>
      <w:marTop w:val="0"/>
      <w:marBottom w:val="0"/>
      <w:divBdr>
        <w:top w:val="none" w:sz="0" w:space="0" w:color="auto"/>
        <w:left w:val="none" w:sz="0" w:space="0" w:color="auto"/>
        <w:bottom w:val="none" w:sz="0" w:space="0" w:color="auto"/>
        <w:right w:val="none" w:sz="0" w:space="0" w:color="auto"/>
      </w:divBdr>
    </w:div>
    <w:div w:id="64501737">
      <w:bodyDiv w:val="1"/>
      <w:marLeft w:val="0"/>
      <w:marRight w:val="0"/>
      <w:marTop w:val="0"/>
      <w:marBottom w:val="0"/>
      <w:divBdr>
        <w:top w:val="none" w:sz="0" w:space="0" w:color="auto"/>
        <w:left w:val="none" w:sz="0" w:space="0" w:color="auto"/>
        <w:bottom w:val="none" w:sz="0" w:space="0" w:color="auto"/>
        <w:right w:val="none" w:sz="0" w:space="0" w:color="auto"/>
      </w:divBdr>
    </w:div>
    <w:div w:id="64837272">
      <w:bodyDiv w:val="1"/>
      <w:marLeft w:val="0"/>
      <w:marRight w:val="0"/>
      <w:marTop w:val="0"/>
      <w:marBottom w:val="0"/>
      <w:divBdr>
        <w:top w:val="none" w:sz="0" w:space="0" w:color="auto"/>
        <w:left w:val="none" w:sz="0" w:space="0" w:color="auto"/>
        <w:bottom w:val="none" w:sz="0" w:space="0" w:color="auto"/>
        <w:right w:val="none" w:sz="0" w:space="0" w:color="auto"/>
      </w:divBdr>
    </w:div>
    <w:div w:id="65537218">
      <w:bodyDiv w:val="1"/>
      <w:marLeft w:val="0"/>
      <w:marRight w:val="0"/>
      <w:marTop w:val="0"/>
      <w:marBottom w:val="0"/>
      <w:divBdr>
        <w:top w:val="none" w:sz="0" w:space="0" w:color="auto"/>
        <w:left w:val="none" w:sz="0" w:space="0" w:color="auto"/>
        <w:bottom w:val="none" w:sz="0" w:space="0" w:color="auto"/>
        <w:right w:val="none" w:sz="0" w:space="0" w:color="auto"/>
      </w:divBdr>
    </w:div>
    <w:div w:id="65540567">
      <w:bodyDiv w:val="1"/>
      <w:marLeft w:val="0"/>
      <w:marRight w:val="0"/>
      <w:marTop w:val="0"/>
      <w:marBottom w:val="0"/>
      <w:divBdr>
        <w:top w:val="none" w:sz="0" w:space="0" w:color="auto"/>
        <w:left w:val="none" w:sz="0" w:space="0" w:color="auto"/>
        <w:bottom w:val="none" w:sz="0" w:space="0" w:color="auto"/>
        <w:right w:val="none" w:sz="0" w:space="0" w:color="auto"/>
      </w:divBdr>
    </w:div>
    <w:div w:id="66614711">
      <w:bodyDiv w:val="1"/>
      <w:marLeft w:val="0"/>
      <w:marRight w:val="0"/>
      <w:marTop w:val="0"/>
      <w:marBottom w:val="0"/>
      <w:divBdr>
        <w:top w:val="none" w:sz="0" w:space="0" w:color="auto"/>
        <w:left w:val="none" w:sz="0" w:space="0" w:color="auto"/>
        <w:bottom w:val="none" w:sz="0" w:space="0" w:color="auto"/>
        <w:right w:val="none" w:sz="0" w:space="0" w:color="auto"/>
      </w:divBdr>
    </w:div>
    <w:div w:id="67311528">
      <w:bodyDiv w:val="1"/>
      <w:marLeft w:val="0"/>
      <w:marRight w:val="0"/>
      <w:marTop w:val="0"/>
      <w:marBottom w:val="0"/>
      <w:divBdr>
        <w:top w:val="none" w:sz="0" w:space="0" w:color="auto"/>
        <w:left w:val="none" w:sz="0" w:space="0" w:color="auto"/>
        <w:bottom w:val="none" w:sz="0" w:space="0" w:color="auto"/>
        <w:right w:val="none" w:sz="0" w:space="0" w:color="auto"/>
      </w:divBdr>
    </w:div>
    <w:div w:id="68118272">
      <w:bodyDiv w:val="1"/>
      <w:marLeft w:val="0"/>
      <w:marRight w:val="0"/>
      <w:marTop w:val="0"/>
      <w:marBottom w:val="0"/>
      <w:divBdr>
        <w:top w:val="none" w:sz="0" w:space="0" w:color="auto"/>
        <w:left w:val="none" w:sz="0" w:space="0" w:color="auto"/>
        <w:bottom w:val="none" w:sz="0" w:space="0" w:color="auto"/>
        <w:right w:val="none" w:sz="0" w:space="0" w:color="auto"/>
      </w:divBdr>
    </w:div>
    <w:div w:id="68309410">
      <w:bodyDiv w:val="1"/>
      <w:marLeft w:val="0"/>
      <w:marRight w:val="0"/>
      <w:marTop w:val="0"/>
      <w:marBottom w:val="0"/>
      <w:divBdr>
        <w:top w:val="none" w:sz="0" w:space="0" w:color="auto"/>
        <w:left w:val="none" w:sz="0" w:space="0" w:color="auto"/>
        <w:bottom w:val="none" w:sz="0" w:space="0" w:color="auto"/>
        <w:right w:val="none" w:sz="0" w:space="0" w:color="auto"/>
      </w:divBdr>
    </w:div>
    <w:div w:id="68355419">
      <w:bodyDiv w:val="1"/>
      <w:marLeft w:val="0"/>
      <w:marRight w:val="0"/>
      <w:marTop w:val="0"/>
      <w:marBottom w:val="0"/>
      <w:divBdr>
        <w:top w:val="none" w:sz="0" w:space="0" w:color="auto"/>
        <w:left w:val="none" w:sz="0" w:space="0" w:color="auto"/>
        <w:bottom w:val="none" w:sz="0" w:space="0" w:color="auto"/>
        <w:right w:val="none" w:sz="0" w:space="0" w:color="auto"/>
      </w:divBdr>
    </w:div>
    <w:div w:id="68500518">
      <w:bodyDiv w:val="1"/>
      <w:marLeft w:val="0"/>
      <w:marRight w:val="0"/>
      <w:marTop w:val="0"/>
      <w:marBottom w:val="0"/>
      <w:divBdr>
        <w:top w:val="none" w:sz="0" w:space="0" w:color="auto"/>
        <w:left w:val="none" w:sz="0" w:space="0" w:color="auto"/>
        <w:bottom w:val="none" w:sz="0" w:space="0" w:color="auto"/>
        <w:right w:val="none" w:sz="0" w:space="0" w:color="auto"/>
      </w:divBdr>
    </w:div>
    <w:div w:id="68777124">
      <w:bodyDiv w:val="1"/>
      <w:marLeft w:val="0"/>
      <w:marRight w:val="0"/>
      <w:marTop w:val="0"/>
      <w:marBottom w:val="0"/>
      <w:divBdr>
        <w:top w:val="none" w:sz="0" w:space="0" w:color="auto"/>
        <w:left w:val="none" w:sz="0" w:space="0" w:color="auto"/>
        <w:bottom w:val="none" w:sz="0" w:space="0" w:color="auto"/>
        <w:right w:val="none" w:sz="0" w:space="0" w:color="auto"/>
      </w:divBdr>
    </w:div>
    <w:div w:id="68815212">
      <w:bodyDiv w:val="1"/>
      <w:marLeft w:val="0"/>
      <w:marRight w:val="0"/>
      <w:marTop w:val="0"/>
      <w:marBottom w:val="0"/>
      <w:divBdr>
        <w:top w:val="none" w:sz="0" w:space="0" w:color="auto"/>
        <w:left w:val="none" w:sz="0" w:space="0" w:color="auto"/>
        <w:bottom w:val="none" w:sz="0" w:space="0" w:color="auto"/>
        <w:right w:val="none" w:sz="0" w:space="0" w:color="auto"/>
      </w:divBdr>
    </w:div>
    <w:div w:id="68845231">
      <w:bodyDiv w:val="1"/>
      <w:marLeft w:val="0"/>
      <w:marRight w:val="0"/>
      <w:marTop w:val="0"/>
      <w:marBottom w:val="0"/>
      <w:divBdr>
        <w:top w:val="none" w:sz="0" w:space="0" w:color="auto"/>
        <w:left w:val="none" w:sz="0" w:space="0" w:color="auto"/>
        <w:bottom w:val="none" w:sz="0" w:space="0" w:color="auto"/>
        <w:right w:val="none" w:sz="0" w:space="0" w:color="auto"/>
      </w:divBdr>
    </w:div>
    <w:div w:id="69544969">
      <w:bodyDiv w:val="1"/>
      <w:marLeft w:val="0"/>
      <w:marRight w:val="0"/>
      <w:marTop w:val="0"/>
      <w:marBottom w:val="0"/>
      <w:divBdr>
        <w:top w:val="none" w:sz="0" w:space="0" w:color="auto"/>
        <w:left w:val="none" w:sz="0" w:space="0" w:color="auto"/>
        <w:bottom w:val="none" w:sz="0" w:space="0" w:color="auto"/>
        <w:right w:val="none" w:sz="0" w:space="0" w:color="auto"/>
      </w:divBdr>
    </w:div>
    <w:div w:id="70547217">
      <w:bodyDiv w:val="1"/>
      <w:marLeft w:val="0"/>
      <w:marRight w:val="0"/>
      <w:marTop w:val="0"/>
      <w:marBottom w:val="0"/>
      <w:divBdr>
        <w:top w:val="none" w:sz="0" w:space="0" w:color="auto"/>
        <w:left w:val="none" w:sz="0" w:space="0" w:color="auto"/>
        <w:bottom w:val="none" w:sz="0" w:space="0" w:color="auto"/>
        <w:right w:val="none" w:sz="0" w:space="0" w:color="auto"/>
      </w:divBdr>
    </w:div>
    <w:div w:id="71002579">
      <w:bodyDiv w:val="1"/>
      <w:marLeft w:val="0"/>
      <w:marRight w:val="0"/>
      <w:marTop w:val="0"/>
      <w:marBottom w:val="0"/>
      <w:divBdr>
        <w:top w:val="none" w:sz="0" w:space="0" w:color="auto"/>
        <w:left w:val="none" w:sz="0" w:space="0" w:color="auto"/>
        <w:bottom w:val="none" w:sz="0" w:space="0" w:color="auto"/>
        <w:right w:val="none" w:sz="0" w:space="0" w:color="auto"/>
      </w:divBdr>
    </w:div>
    <w:div w:id="71049270">
      <w:bodyDiv w:val="1"/>
      <w:marLeft w:val="0"/>
      <w:marRight w:val="0"/>
      <w:marTop w:val="0"/>
      <w:marBottom w:val="0"/>
      <w:divBdr>
        <w:top w:val="none" w:sz="0" w:space="0" w:color="auto"/>
        <w:left w:val="none" w:sz="0" w:space="0" w:color="auto"/>
        <w:bottom w:val="none" w:sz="0" w:space="0" w:color="auto"/>
        <w:right w:val="none" w:sz="0" w:space="0" w:color="auto"/>
      </w:divBdr>
    </w:div>
    <w:div w:id="71783058">
      <w:bodyDiv w:val="1"/>
      <w:marLeft w:val="0"/>
      <w:marRight w:val="0"/>
      <w:marTop w:val="0"/>
      <w:marBottom w:val="0"/>
      <w:divBdr>
        <w:top w:val="none" w:sz="0" w:space="0" w:color="auto"/>
        <w:left w:val="none" w:sz="0" w:space="0" w:color="auto"/>
        <w:bottom w:val="none" w:sz="0" w:space="0" w:color="auto"/>
        <w:right w:val="none" w:sz="0" w:space="0" w:color="auto"/>
      </w:divBdr>
    </w:div>
    <w:div w:id="72357366">
      <w:bodyDiv w:val="1"/>
      <w:marLeft w:val="0"/>
      <w:marRight w:val="0"/>
      <w:marTop w:val="0"/>
      <w:marBottom w:val="0"/>
      <w:divBdr>
        <w:top w:val="none" w:sz="0" w:space="0" w:color="auto"/>
        <w:left w:val="none" w:sz="0" w:space="0" w:color="auto"/>
        <w:bottom w:val="none" w:sz="0" w:space="0" w:color="auto"/>
        <w:right w:val="none" w:sz="0" w:space="0" w:color="auto"/>
      </w:divBdr>
    </w:div>
    <w:div w:id="72553369">
      <w:bodyDiv w:val="1"/>
      <w:marLeft w:val="0"/>
      <w:marRight w:val="0"/>
      <w:marTop w:val="0"/>
      <w:marBottom w:val="0"/>
      <w:divBdr>
        <w:top w:val="none" w:sz="0" w:space="0" w:color="auto"/>
        <w:left w:val="none" w:sz="0" w:space="0" w:color="auto"/>
        <w:bottom w:val="none" w:sz="0" w:space="0" w:color="auto"/>
        <w:right w:val="none" w:sz="0" w:space="0" w:color="auto"/>
      </w:divBdr>
    </w:div>
    <w:div w:id="74743643">
      <w:bodyDiv w:val="1"/>
      <w:marLeft w:val="0"/>
      <w:marRight w:val="0"/>
      <w:marTop w:val="0"/>
      <w:marBottom w:val="0"/>
      <w:divBdr>
        <w:top w:val="none" w:sz="0" w:space="0" w:color="auto"/>
        <w:left w:val="none" w:sz="0" w:space="0" w:color="auto"/>
        <w:bottom w:val="none" w:sz="0" w:space="0" w:color="auto"/>
        <w:right w:val="none" w:sz="0" w:space="0" w:color="auto"/>
      </w:divBdr>
    </w:div>
    <w:div w:id="74936307">
      <w:bodyDiv w:val="1"/>
      <w:marLeft w:val="0"/>
      <w:marRight w:val="0"/>
      <w:marTop w:val="0"/>
      <w:marBottom w:val="0"/>
      <w:divBdr>
        <w:top w:val="none" w:sz="0" w:space="0" w:color="auto"/>
        <w:left w:val="none" w:sz="0" w:space="0" w:color="auto"/>
        <w:bottom w:val="none" w:sz="0" w:space="0" w:color="auto"/>
        <w:right w:val="none" w:sz="0" w:space="0" w:color="auto"/>
      </w:divBdr>
    </w:div>
    <w:div w:id="75324289">
      <w:bodyDiv w:val="1"/>
      <w:marLeft w:val="0"/>
      <w:marRight w:val="0"/>
      <w:marTop w:val="0"/>
      <w:marBottom w:val="0"/>
      <w:divBdr>
        <w:top w:val="none" w:sz="0" w:space="0" w:color="auto"/>
        <w:left w:val="none" w:sz="0" w:space="0" w:color="auto"/>
        <w:bottom w:val="none" w:sz="0" w:space="0" w:color="auto"/>
        <w:right w:val="none" w:sz="0" w:space="0" w:color="auto"/>
      </w:divBdr>
    </w:div>
    <w:div w:id="75639049">
      <w:bodyDiv w:val="1"/>
      <w:marLeft w:val="0"/>
      <w:marRight w:val="0"/>
      <w:marTop w:val="0"/>
      <w:marBottom w:val="0"/>
      <w:divBdr>
        <w:top w:val="none" w:sz="0" w:space="0" w:color="auto"/>
        <w:left w:val="none" w:sz="0" w:space="0" w:color="auto"/>
        <w:bottom w:val="none" w:sz="0" w:space="0" w:color="auto"/>
        <w:right w:val="none" w:sz="0" w:space="0" w:color="auto"/>
      </w:divBdr>
    </w:div>
    <w:div w:id="76293201">
      <w:bodyDiv w:val="1"/>
      <w:marLeft w:val="0"/>
      <w:marRight w:val="0"/>
      <w:marTop w:val="0"/>
      <w:marBottom w:val="0"/>
      <w:divBdr>
        <w:top w:val="none" w:sz="0" w:space="0" w:color="auto"/>
        <w:left w:val="none" w:sz="0" w:space="0" w:color="auto"/>
        <w:bottom w:val="none" w:sz="0" w:space="0" w:color="auto"/>
        <w:right w:val="none" w:sz="0" w:space="0" w:color="auto"/>
      </w:divBdr>
    </w:div>
    <w:div w:id="76560866">
      <w:bodyDiv w:val="1"/>
      <w:marLeft w:val="0"/>
      <w:marRight w:val="0"/>
      <w:marTop w:val="0"/>
      <w:marBottom w:val="0"/>
      <w:divBdr>
        <w:top w:val="none" w:sz="0" w:space="0" w:color="auto"/>
        <w:left w:val="none" w:sz="0" w:space="0" w:color="auto"/>
        <w:bottom w:val="none" w:sz="0" w:space="0" w:color="auto"/>
        <w:right w:val="none" w:sz="0" w:space="0" w:color="auto"/>
      </w:divBdr>
    </w:div>
    <w:div w:id="76825496">
      <w:bodyDiv w:val="1"/>
      <w:marLeft w:val="0"/>
      <w:marRight w:val="0"/>
      <w:marTop w:val="0"/>
      <w:marBottom w:val="0"/>
      <w:divBdr>
        <w:top w:val="none" w:sz="0" w:space="0" w:color="auto"/>
        <w:left w:val="none" w:sz="0" w:space="0" w:color="auto"/>
        <w:bottom w:val="none" w:sz="0" w:space="0" w:color="auto"/>
        <w:right w:val="none" w:sz="0" w:space="0" w:color="auto"/>
      </w:divBdr>
    </w:div>
    <w:div w:id="76947678">
      <w:bodyDiv w:val="1"/>
      <w:marLeft w:val="0"/>
      <w:marRight w:val="0"/>
      <w:marTop w:val="0"/>
      <w:marBottom w:val="0"/>
      <w:divBdr>
        <w:top w:val="none" w:sz="0" w:space="0" w:color="auto"/>
        <w:left w:val="none" w:sz="0" w:space="0" w:color="auto"/>
        <w:bottom w:val="none" w:sz="0" w:space="0" w:color="auto"/>
        <w:right w:val="none" w:sz="0" w:space="0" w:color="auto"/>
      </w:divBdr>
    </w:div>
    <w:div w:id="77101297">
      <w:bodyDiv w:val="1"/>
      <w:marLeft w:val="0"/>
      <w:marRight w:val="0"/>
      <w:marTop w:val="0"/>
      <w:marBottom w:val="0"/>
      <w:divBdr>
        <w:top w:val="none" w:sz="0" w:space="0" w:color="auto"/>
        <w:left w:val="none" w:sz="0" w:space="0" w:color="auto"/>
        <w:bottom w:val="none" w:sz="0" w:space="0" w:color="auto"/>
        <w:right w:val="none" w:sz="0" w:space="0" w:color="auto"/>
      </w:divBdr>
    </w:div>
    <w:div w:id="77143437">
      <w:bodyDiv w:val="1"/>
      <w:marLeft w:val="0"/>
      <w:marRight w:val="0"/>
      <w:marTop w:val="0"/>
      <w:marBottom w:val="0"/>
      <w:divBdr>
        <w:top w:val="none" w:sz="0" w:space="0" w:color="auto"/>
        <w:left w:val="none" w:sz="0" w:space="0" w:color="auto"/>
        <w:bottom w:val="none" w:sz="0" w:space="0" w:color="auto"/>
        <w:right w:val="none" w:sz="0" w:space="0" w:color="auto"/>
      </w:divBdr>
    </w:div>
    <w:div w:id="77599735">
      <w:bodyDiv w:val="1"/>
      <w:marLeft w:val="0"/>
      <w:marRight w:val="0"/>
      <w:marTop w:val="0"/>
      <w:marBottom w:val="0"/>
      <w:divBdr>
        <w:top w:val="none" w:sz="0" w:space="0" w:color="auto"/>
        <w:left w:val="none" w:sz="0" w:space="0" w:color="auto"/>
        <w:bottom w:val="none" w:sz="0" w:space="0" w:color="auto"/>
        <w:right w:val="none" w:sz="0" w:space="0" w:color="auto"/>
      </w:divBdr>
    </w:div>
    <w:div w:id="78215268">
      <w:bodyDiv w:val="1"/>
      <w:marLeft w:val="0"/>
      <w:marRight w:val="0"/>
      <w:marTop w:val="0"/>
      <w:marBottom w:val="0"/>
      <w:divBdr>
        <w:top w:val="none" w:sz="0" w:space="0" w:color="auto"/>
        <w:left w:val="none" w:sz="0" w:space="0" w:color="auto"/>
        <w:bottom w:val="none" w:sz="0" w:space="0" w:color="auto"/>
        <w:right w:val="none" w:sz="0" w:space="0" w:color="auto"/>
      </w:divBdr>
    </w:div>
    <w:div w:id="78647515">
      <w:bodyDiv w:val="1"/>
      <w:marLeft w:val="0"/>
      <w:marRight w:val="0"/>
      <w:marTop w:val="0"/>
      <w:marBottom w:val="0"/>
      <w:divBdr>
        <w:top w:val="none" w:sz="0" w:space="0" w:color="auto"/>
        <w:left w:val="none" w:sz="0" w:space="0" w:color="auto"/>
        <w:bottom w:val="none" w:sz="0" w:space="0" w:color="auto"/>
        <w:right w:val="none" w:sz="0" w:space="0" w:color="auto"/>
      </w:divBdr>
    </w:div>
    <w:div w:id="78796621">
      <w:bodyDiv w:val="1"/>
      <w:marLeft w:val="0"/>
      <w:marRight w:val="0"/>
      <w:marTop w:val="0"/>
      <w:marBottom w:val="0"/>
      <w:divBdr>
        <w:top w:val="none" w:sz="0" w:space="0" w:color="auto"/>
        <w:left w:val="none" w:sz="0" w:space="0" w:color="auto"/>
        <w:bottom w:val="none" w:sz="0" w:space="0" w:color="auto"/>
        <w:right w:val="none" w:sz="0" w:space="0" w:color="auto"/>
      </w:divBdr>
    </w:div>
    <w:div w:id="78867727">
      <w:bodyDiv w:val="1"/>
      <w:marLeft w:val="0"/>
      <w:marRight w:val="0"/>
      <w:marTop w:val="0"/>
      <w:marBottom w:val="0"/>
      <w:divBdr>
        <w:top w:val="none" w:sz="0" w:space="0" w:color="auto"/>
        <w:left w:val="none" w:sz="0" w:space="0" w:color="auto"/>
        <w:bottom w:val="none" w:sz="0" w:space="0" w:color="auto"/>
        <w:right w:val="none" w:sz="0" w:space="0" w:color="auto"/>
      </w:divBdr>
    </w:div>
    <w:div w:id="79303112">
      <w:bodyDiv w:val="1"/>
      <w:marLeft w:val="0"/>
      <w:marRight w:val="0"/>
      <w:marTop w:val="0"/>
      <w:marBottom w:val="0"/>
      <w:divBdr>
        <w:top w:val="none" w:sz="0" w:space="0" w:color="auto"/>
        <w:left w:val="none" w:sz="0" w:space="0" w:color="auto"/>
        <w:bottom w:val="none" w:sz="0" w:space="0" w:color="auto"/>
        <w:right w:val="none" w:sz="0" w:space="0" w:color="auto"/>
      </w:divBdr>
    </w:div>
    <w:div w:id="79496374">
      <w:bodyDiv w:val="1"/>
      <w:marLeft w:val="0"/>
      <w:marRight w:val="0"/>
      <w:marTop w:val="0"/>
      <w:marBottom w:val="0"/>
      <w:divBdr>
        <w:top w:val="none" w:sz="0" w:space="0" w:color="auto"/>
        <w:left w:val="none" w:sz="0" w:space="0" w:color="auto"/>
        <w:bottom w:val="none" w:sz="0" w:space="0" w:color="auto"/>
        <w:right w:val="none" w:sz="0" w:space="0" w:color="auto"/>
      </w:divBdr>
    </w:div>
    <w:div w:id="80223760">
      <w:bodyDiv w:val="1"/>
      <w:marLeft w:val="0"/>
      <w:marRight w:val="0"/>
      <w:marTop w:val="0"/>
      <w:marBottom w:val="0"/>
      <w:divBdr>
        <w:top w:val="none" w:sz="0" w:space="0" w:color="auto"/>
        <w:left w:val="none" w:sz="0" w:space="0" w:color="auto"/>
        <w:bottom w:val="none" w:sz="0" w:space="0" w:color="auto"/>
        <w:right w:val="none" w:sz="0" w:space="0" w:color="auto"/>
      </w:divBdr>
    </w:div>
    <w:div w:id="80372139">
      <w:bodyDiv w:val="1"/>
      <w:marLeft w:val="0"/>
      <w:marRight w:val="0"/>
      <w:marTop w:val="0"/>
      <w:marBottom w:val="0"/>
      <w:divBdr>
        <w:top w:val="none" w:sz="0" w:space="0" w:color="auto"/>
        <w:left w:val="none" w:sz="0" w:space="0" w:color="auto"/>
        <w:bottom w:val="none" w:sz="0" w:space="0" w:color="auto"/>
        <w:right w:val="none" w:sz="0" w:space="0" w:color="auto"/>
      </w:divBdr>
    </w:div>
    <w:div w:id="80611776">
      <w:bodyDiv w:val="1"/>
      <w:marLeft w:val="0"/>
      <w:marRight w:val="0"/>
      <w:marTop w:val="0"/>
      <w:marBottom w:val="0"/>
      <w:divBdr>
        <w:top w:val="none" w:sz="0" w:space="0" w:color="auto"/>
        <w:left w:val="none" w:sz="0" w:space="0" w:color="auto"/>
        <w:bottom w:val="none" w:sz="0" w:space="0" w:color="auto"/>
        <w:right w:val="none" w:sz="0" w:space="0" w:color="auto"/>
      </w:divBdr>
    </w:div>
    <w:div w:id="81297104">
      <w:bodyDiv w:val="1"/>
      <w:marLeft w:val="0"/>
      <w:marRight w:val="0"/>
      <w:marTop w:val="0"/>
      <w:marBottom w:val="0"/>
      <w:divBdr>
        <w:top w:val="none" w:sz="0" w:space="0" w:color="auto"/>
        <w:left w:val="none" w:sz="0" w:space="0" w:color="auto"/>
        <w:bottom w:val="none" w:sz="0" w:space="0" w:color="auto"/>
        <w:right w:val="none" w:sz="0" w:space="0" w:color="auto"/>
      </w:divBdr>
    </w:div>
    <w:div w:id="81529044">
      <w:bodyDiv w:val="1"/>
      <w:marLeft w:val="0"/>
      <w:marRight w:val="0"/>
      <w:marTop w:val="0"/>
      <w:marBottom w:val="0"/>
      <w:divBdr>
        <w:top w:val="none" w:sz="0" w:space="0" w:color="auto"/>
        <w:left w:val="none" w:sz="0" w:space="0" w:color="auto"/>
        <w:bottom w:val="none" w:sz="0" w:space="0" w:color="auto"/>
        <w:right w:val="none" w:sz="0" w:space="0" w:color="auto"/>
      </w:divBdr>
    </w:div>
    <w:div w:id="81683208">
      <w:bodyDiv w:val="1"/>
      <w:marLeft w:val="0"/>
      <w:marRight w:val="0"/>
      <w:marTop w:val="0"/>
      <w:marBottom w:val="0"/>
      <w:divBdr>
        <w:top w:val="none" w:sz="0" w:space="0" w:color="auto"/>
        <w:left w:val="none" w:sz="0" w:space="0" w:color="auto"/>
        <w:bottom w:val="none" w:sz="0" w:space="0" w:color="auto"/>
        <w:right w:val="none" w:sz="0" w:space="0" w:color="auto"/>
      </w:divBdr>
    </w:div>
    <w:div w:id="81684295">
      <w:bodyDiv w:val="1"/>
      <w:marLeft w:val="0"/>
      <w:marRight w:val="0"/>
      <w:marTop w:val="0"/>
      <w:marBottom w:val="0"/>
      <w:divBdr>
        <w:top w:val="none" w:sz="0" w:space="0" w:color="auto"/>
        <w:left w:val="none" w:sz="0" w:space="0" w:color="auto"/>
        <w:bottom w:val="none" w:sz="0" w:space="0" w:color="auto"/>
        <w:right w:val="none" w:sz="0" w:space="0" w:color="auto"/>
      </w:divBdr>
    </w:div>
    <w:div w:id="81800496">
      <w:bodyDiv w:val="1"/>
      <w:marLeft w:val="0"/>
      <w:marRight w:val="0"/>
      <w:marTop w:val="0"/>
      <w:marBottom w:val="0"/>
      <w:divBdr>
        <w:top w:val="none" w:sz="0" w:space="0" w:color="auto"/>
        <w:left w:val="none" w:sz="0" w:space="0" w:color="auto"/>
        <w:bottom w:val="none" w:sz="0" w:space="0" w:color="auto"/>
        <w:right w:val="none" w:sz="0" w:space="0" w:color="auto"/>
      </w:divBdr>
    </w:div>
    <w:div w:id="81807370">
      <w:bodyDiv w:val="1"/>
      <w:marLeft w:val="0"/>
      <w:marRight w:val="0"/>
      <w:marTop w:val="0"/>
      <w:marBottom w:val="0"/>
      <w:divBdr>
        <w:top w:val="none" w:sz="0" w:space="0" w:color="auto"/>
        <w:left w:val="none" w:sz="0" w:space="0" w:color="auto"/>
        <w:bottom w:val="none" w:sz="0" w:space="0" w:color="auto"/>
        <w:right w:val="none" w:sz="0" w:space="0" w:color="auto"/>
      </w:divBdr>
    </w:div>
    <w:div w:id="82071011">
      <w:bodyDiv w:val="1"/>
      <w:marLeft w:val="0"/>
      <w:marRight w:val="0"/>
      <w:marTop w:val="0"/>
      <w:marBottom w:val="0"/>
      <w:divBdr>
        <w:top w:val="none" w:sz="0" w:space="0" w:color="auto"/>
        <w:left w:val="none" w:sz="0" w:space="0" w:color="auto"/>
        <w:bottom w:val="none" w:sz="0" w:space="0" w:color="auto"/>
        <w:right w:val="none" w:sz="0" w:space="0" w:color="auto"/>
      </w:divBdr>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82577263">
      <w:bodyDiv w:val="1"/>
      <w:marLeft w:val="0"/>
      <w:marRight w:val="0"/>
      <w:marTop w:val="0"/>
      <w:marBottom w:val="0"/>
      <w:divBdr>
        <w:top w:val="none" w:sz="0" w:space="0" w:color="auto"/>
        <w:left w:val="none" w:sz="0" w:space="0" w:color="auto"/>
        <w:bottom w:val="none" w:sz="0" w:space="0" w:color="auto"/>
        <w:right w:val="none" w:sz="0" w:space="0" w:color="auto"/>
      </w:divBdr>
    </w:div>
    <w:div w:id="83574761">
      <w:bodyDiv w:val="1"/>
      <w:marLeft w:val="0"/>
      <w:marRight w:val="0"/>
      <w:marTop w:val="0"/>
      <w:marBottom w:val="0"/>
      <w:divBdr>
        <w:top w:val="none" w:sz="0" w:space="0" w:color="auto"/>
        <w:left w:val="none" w:sz="0" w:space="0" w:color="auto"/>
        <w:bottom w:val="none" w:sz="0" w:space="0" w:color="auto"/>
        <w:right w:val="none" w:sz="0" w:space="0" w:color="auto"/>
      </w:divBdr>
    </w:div>
    <w:div w:id="83575544">
      <w:bodyDiv w:val="1"/>
      <w:marLeft w:val="0"/>
      <w:marRight w:val="0"/>
      <w:marTop w:val="0"/>
      <w:marBottom w:val="0"/>
      <w:divBdr>
        <w:top w:val="none" w:sz="0" w:space="0" w:color="auto"/>
        <w:left w:val="none" w:sz="0" w:space="0" w:color="auto"/>
        <w:bottom w:val="none" w:sz="0" w:space="0" w:color="auto"/>
        <w:right w:val="none" w:sz="0" w:space="0" w:color="auto"/>
      </w:divBdr>
    </w:div>
    <w:div w:id="83960376">
      <w:bodyDiv w:val="1"/>
      <w:marLeft w:val="0"/>
      <w:marRight w:val="0"/>
      <w:marTop w:val="0"/>
      <w:marBottom w:val="0"/>
      <w:divBdr>
        <w:top w:val="none" w:sz="0" w:space="0" w:color="auto"/>
        <w:left w:val="none" w:sz="0" w:space="0" w:color="auto"/>
        <w:bottom w:val="none" w:sz="0" w:space="0" w:color="auto"/>
        <w:right w:val="none" w:sz="0" w:space="0" w:color="auto"/>
      </w:divBdr>
    </w:div>
    <w:div w:id="84041571">
      <w:bodyDiv w:val="1"/>
      <w:marLeft w:val="0"/>
      <w:marRight w:val="0"/>
      <w:marTop w:val="0"/>
      <w:marBottom w:val="0"/>
      <w:divBdr>
        <w:top w:val="none" w:sz="0" w:space="0" w:color="auto"/>
        <w:left w:val="none" w:sz="0" w:space="0" w:color="auto"/>
        <w:bottom w:val="none" w:sz="0" w:space="0" w:color="auto"/>
        <w:right w:val="none" w:sz="0" w:space="0" w:color="auto"/>
      </w:divBdr>
    </w:div>
    <w:div w:id="85079151">
      <w:bodyDiv w:val="1"/>
      <w:marLeft w:val="0"/>
      <w:marRight w:val="0"/>
      <w:marTop w:val="0"/>
      <w:marBottom w:val="0"/>
      <w:divBdr>
        <w:top w:val="none" w:sz="0" w:space="0" w:color="auto"/>
        <w:left w:val="none" w:sz="0" w:space="0" w:color="auto"/>
        <w:bottom w:val="none" w:sz="0" w:space="0" w:color="auto"/>
        <w:right w:val="none" w:sz="0" w:space="0" w:color="auto"/>
      </w:divBdr>
    </w:div>
    <w:div w:id="85081004">
      <w:bodyDiv w:val="1"/>
      <w:marLeft w:val="0"/>
      <w:marRight w:val="0"/>
      <w:marTop w:val="0"/>
      <w:marBottom w:val="0"/>
      <w:divBdr>
        <w:top w:val="none" w:sz="0" w:space="0" w:color="auto"/>
        <w:left w:val="none" w:sz="0" w:space="0" w:color="auto"/>
        <w:bottom w:val="none" w:sz="0" w:space="0" w:color="auto"/>
        <w:right w:val="none" w:sz="0" w:space="0" w:color="auto"/>
      </w:divBdr>
    </w:div>
    <w:div w:id="86117948">
      <w:bodyDiv w:val="1"/>
      <w:marLeft w:val="0"/>
      <w:marRight w:val="0"/>
      <w:marTop w:val="0"/>
      <w:marBottom w:val="0"/>
      <w:divBdr>
        <w:top w:val="none" w:sz="0" w:space="0" w:color="auto"/>
        <w:left w:val="none" w:sz="0" w:space="0" w:color="auto"/>
        <w:bottom w:val="none" w:sz="0" w:space="0" w:color="auto"/>
        <w:right w:val="none" w:sz="0" w:space="0" w:color="auto"/>
      </w:divBdr>
    </w:div>
    <w:div w:id="86584340">
      <w:bodyDiv w:val="1"/>
      <w:marLeft w:val="0"/>
      <w:marRight w:val="0"/>
      <w:marTop w:val="0"/>
      <w:marBottom w:val="0"/>
      <w:divBdr>
        <w:top w:val="none" w:sz="0" w:space="0" w:color="auto"/>
        <w:left w:val="none" w:sz="0" w:space="0" w:color="auto"/>
        <w:bottom w:val="none" w:sz="0" w:space="0" w:color="auto"/>
        <w:right w:val="none" w:sz="0" w:space="0" w:color="auto"/>
      </w:divBdr>
    </w:div>
    <w:div w:id="86856109">
      <w:bodyDiv w:val="1"/>
      <w:marLeft w:val="0"/>
      <w:marRight w:val="0"/>
      <w:marTop w:val="0"/>
      <w:marBottom w:val="0"/>
      <w:divBdr>
        <w:top w:val="none" w:sz="0" w:space="0" w:color="auto"/>
        <w:left w:val="none" w:sz="0" w:space="0" w:color="auto"/>
        <w:bottom w:val="none" w:sz="0" w:space="0" w:color="auto"/>
        <w:right w:val="none" w:sz="0" w:space="0" w:color="auto"/>
      </w:divBdr>
    </w:div>
    <w:div w:id="87316192">
      <w:bodyDiv w:val="1"/>
      <w:marLeft w:val="0"/>
      <w:marRight w:val="0"/>
      <w:marTop w:val="0"/>
      <w:marBottom w:val="0"/>
      <w:divBdr>
        <w:top w:val="none" w:sz="0" w:space="0" w:color="auto"/>
        <w:left w:val="none" w:sz="0" w:space="0" w:color="auto"/>
        <w:bottom w:val="none" w:sz="0" w:space="0" w:color="auto"/>
        <w:right w:val="none" w:sz="0" w:space="0" w:color="auto"/>
      </w:divBdr>
    </w:div>
    <w:div w:id="87431286">
      <w:bodyDiv w:val="1"/>
      <w:marLeft w:val="0"/>
      <w:marRight w:val="0"/>
      <w:marTop w:val="0"/>
      <w:marBottom w:val="0"/>
      <w:divBdr>
        <w:top w:val="none" w:sz="0" w:space="0" w:color="auto"/>
        <w:left w:val="none" w:sz="0" w:space="0" w:color="auto"/>
        <w:bottom w:val="none" w:sz="0" w:space="0" w:color="auto"/>
        <w:right w:val="none" w:sz="0" w:space="0" w:color="auto"/>
      </w:divBdr>
    </w:div>
    <w:div w:id="87434623">
      <w:bodyDiv w:val="1"/>
      <w:marLeft w:val="0"/>
      <w:marRight w:val="0"/>
      <w:marTop w:val="0"/>
      <w:marBottom w:val="0"/>
      <w:divBdr>
        <w:top w:val="none" w:sz="0" w:space="0" w:color="auto"/>
        <w:left w:val="none" w:sz="0" w:space="0" w:color="auto"/>
        <w:bottom w:val="none" w:sz="0" w:space="0" w:color="auto"/>
        <w:right w:val="none" w:sz="0" w:space="0" w:color="auto"/>
      </w:divBdr>
    </w:div>
    <w:div w:id="87584543">
      <w:bodyDiv w:val="1"/>
      <w:marLeft w:val="0"/>
      <w:marRight w:val="0"/>
      <w:marTop w:val="0"/>
      <w:marBottom w:val="0"/>
      <w:divBdr>
        <w:top w:val="none" w:sz="0" w:space="0" w:color="auto"/>
        <w:left w:val="none" w:sz="0" w:space="0" w:color="auto"/>
        <w:bottom w:val="none" w:sz="0" w:space="0" w:color="auto"/>
        <w:right w:val="none" w:sz="0" w:space="0" w:color="auto"/>
      </w:divBdr>
    </w:div>
    <w:div w:id="87770425">
      <w:bodyDiv w:val="1"/>
      <w:marLeft w:val="0"/>
      <w:marRight w:val="0"/>
      <w:marTop w:val="0"/>
      <w:marBottom w:val="0"/>
      <w:divBdr>
        <w:top w:val="none" w:sz="0" w:space="0" w:color="auto"/>
        <w:left w:val="none" w:sz="0" w:space="0" w:color="auto"/>
        <w:bottom w:val="none" w:sz="0" w:space="0" w:color="auto"/>
        <w:right w:val="none" w:sz="0" w:space="0" w:color="auto"/>
      </w:divBdr>
    </w:div>
    <w:div w:id="89786044">
      <w:bodyDiv w:val="1"/>
      <w:marLeft w:val="0"/>
      <w:marRight w:val="0"/>
      <w:marTop w:val="0"/>
      <w:marBottom w:val="0"/>
      <w:divBdr>
        <w:top w:val="none" w:sz="0" w:space="0" w:color="auto"/>
        <w:left w:val="none" w:sz="0" w:space="0" w:color="auto"/>
        <w:bottom w:val="none" w:sz="0" w:space="0" w:color="auto"/>
        <w:right w:val="none" w:sz="0" w:space="0" w:color="auto"/>
      </w:divBdr>
    </w:div>
    <w:div w:id="90199654">
      <w:bodyDiv w:val="1"/>
      <w:marLeft w:val="0"/>
      <w:marRight w:val="0"/>
      <w:marTop w:val="0"/>
      <w:marBottom w:val="0"/>
      <w:divBdr>
        <w:top w:val="none" w:sz="0" w:space="0" w:color="auto"/>
        <w:left w:val="none" w:sz="0" w:space="0" w:color="auto"/>
        <w:bottom w:val="none" w:sz="0" w:space="0" w:color="auto"/>
        <w:right w:val="none" w:sz="0" w:space="0" w:color="auto"/>
      </w:divBdr>
    </w:div>
    <w:div w:id="90250320">
      <w:bodyDiv w:val="1"/>
      <w:marLeft w:val="0"/>
      <w:marRight w:val="0"/>
      <w:marTop w:val="0"/>
      <w:marBottom w:val="0"/>
      <w:divBdr>
        <w:top w:val="none" w:sz="0" w:space="0" w:color="auto"/>
        <w:left w:val="none" w:sz="0" w:space="0" w:color="auto"/>
        <w:bottom w:val="none" w:sz="0" w:space="0" w:color="auto"/>
        <w:right w:val="none" w:sz="0" w:space="0" w:color="auto"/>
      </w:divBdr>
    </w:div>
    <w:div w:id="90397520">
      <w:bodyDiv w:val="1"/>
      <w:marLeft w:val="0"/>
      <w:marRight w:val="0"/>
      <w:marTop w:val="0"/>
      <w:marBottom w:val="0"/>
      <w:divBdr>
        <w:top w:val="none" w:sz="0" w:space="0" w:color="auto"/>
        <w:left w:val="none" w:sz="0" w:space="0" w:color="auto"/>
        <w:bottom w:val="none" w:sz="0" w:space="0" w:color="auto"/>
        <w:right w:val="none" w:sz="0" w:space="0" w:color="auto"/>
      </w:divBdr>
    </w:div>
    <w:div w:id="90443273">
      <w:bodyDiv w:val="1"/>
      <w:marLeft w:val="0"/>
      <w:marRight w:val="0"/>
      <w:marTop w:val="0"/>
      <w:marBottom w:val="0"/>
      <w:divBdr>
        <w:top w:val="none" w:sz="0" w:space="0" w:color="auto"/>
        <w:left w:val="none" w:sz="0" w:space="0" w:color="auto"/>
        <w:bottom w:val="none" w:sz="0" w:space="0" w:color="auto"/>
        <w:right w:val="none" w:sz="0" w:space="0" w:color="auto"/>
      </w:divBdr>
    </w:div>
    <w:div w:id="90860405">
      <w:bodyDiv w:val="1"/>
      <w:marLeft w:val="0"/>
      <w:marRight w:val="0"/>
      <w:marTop w:val="0"/>
      <w:marBottom w:val="0"/>
      <w:divBdr>
        <w:top w:val="none" w:sz="0" w:space="0" w:color="auto"/>
        <w:left w:val="none" w:sz="0" w:space="0" w:color="auto"/>
        <w:bottom w:val="none" w:sz="0" w:space="0" w:color="auto"/>
        <w:right w:val="none" w:sz="0" w:space="0" w:color="auto"/>
      </w:divBdr>
    </w:div>
    <w:div w:id="91316470">
      <w:bodyDiv w:val="1"/>
      <w:marLeft w:val="0"/>
      <w:marRight w:val="0"/>
      <w:marTop w:val="0"/>
      <w:marBottom w:val="0"/>
      <w:divBdr>
        <w:top w:val="none" w:sz="0" w:space="0" w:color="auto"/>
        <w:left w:val="none" w:sz="0" w:space="0" w:color="auto"/>
        <w:bottom w:val="none" w:sz="0" w:space="0" w:color="auto"/>
        <w:right w:val="none" w:sz="0" w:space="0" w:color="auto"/>
      </w:divBdr>
    </w:div>
    <w:div w:id="91632010">
      <w:bodyDiv w:val="1"/>
      <w:marLeft w:val="0"/>
      <w:marRight w:val="0"/>
      <w:marTop w:val="0"/>
      <w:marBottom w:val="0"/>
      <w:divBdr>
        <w:top w:val="none" w:sz="0" w:space="0" w:color="auto"/>
        <w:left w:val="none" w:sz="0" w:space="0" w:color="auto"/>
        <w:bottom w:val="none" w:sz="0" w:space="0" w:color="auto"/>
        <w:right w:val="none" w:sz="0" w:space="0" w:color="auto"/>
      </w:divBdr>
    </w:div>
    <w:div w:id="92942397">
      <w:bodyDiv w:val="1"/>
      <w:marLeft w:val="0"/>
      <w:marRight w:val="0"/>
      <w:marTop w:val="0"/>
      <w:marBottom w:val="0"/>
      <w:divBdr>
        <w:top w:val="none" w:sz="0" w:space="0" w:color="auto"/>
        <w:left w:val="none" w:sz="0" w:space="0" w:color="auto"/>
        <w:bottom w:val="none" w:sz="0" w:space="0" w:color="auto"/>
        <w:right w:val="none" w:sz="0" w:space="0" w:color="auto"/>
      </w:divBdr>
    </w:div>
    <w:div w:id="93283784">
      <w:bodyDiv w:val="1"/>
      <w:marLeft w:val="0"/>
      <w:marRight w:val="0"/>
      <w:marTop w:val="0"/>
      <w:marBottom w:val="0"/>
      <w:divBdr>
        <w:top w:val="none" w:sz="0" w:space="0" w:color="auto"/>
        <w:left w:val="none" w:sz="0" w:space="0" w:color="auto"/>
        <w:bottom w:val="none" w:sz="0" w:space="0" w:color="auto"/>
        <w:right w:val="none" w:sz="0" w:space="0" w:color="auto"/>
      </w:divBdr>
    </w:div>
    <w:div w:id="93521332">
      <w:bodyDiv w:val="1"/>
      <w:marLeft w:val="0"/>
      <w:marRight w:val="0"/>
      <w:marTop w:val="0"/>
      <w:marBottom w:val="0"/>
      <w:divBdr>
        <w:top w:val="none" w:sz="0" w:space="0" w:color="auto"/>
        <w:left w:val="none" w:sz="0" w:space="0" w:color="auto"/>
        <w:bottom w:val="none" w:sz="0" w:space="0" w:color="auto"/>
        <w:right w:val="none" w:sz="0" w:space="0" w:color="auto"/>
      </w:divBdr>
    </w:div>
    <w:div w:id="93869675">
      <w:bodyDiv w:val="1"/>
      <w:marLeft w:val="0"/>
      <w:marRight w:val="0"/>
      <w:marTop w:val="0"/>
      <w:marBottom w:val="0"/>
      <w:divBdr>
        <w:top w:val="none" w:sz="0" w:space="0" w:color="auto"/>
        <w:left w:val="none" w:sz="0" w:space="0" w:color="auto"/>
        <w:bottom w:val="none" w:sz="0" w:space="0" w:color="auto"/>
        <w:right w:val="none" w:sz="0" w:space="0" w:color="auto"/>
      </w:divBdr>
    </w:div>
    <w:div w:id="94443550">
      <w:bodyDiv w:val="1"/>
      <w:marLeft w:val="0"/>
      <w:marRight w:val="0"/>
      <w:marTop w:val="0"/>
      <w:marBottom w:val="0"/>
      <w:divBdr>
        <w:top w:val="none" w:sz="0" w:space="0" w:color="auto"/>
        <w:left w:val="none" w:sz="0" w:space="0" w:color="auto"/>
        <w:bottom w:val="none" w:sz="0" w:space="0" w:color="auto"/>
        <w:right w:val="none" w:sz="0" w:space="0" w:color="auto"/>
      </w:divBdr>
    </w:div>
    <w:div w:id="95440327">
      <w:bodyDiv w:val="1"/>
      <w:marLeft w:val="0"/>
      <w:marRight w:val="0"/>
      <w:marTop w:val="0"/>
      <w:marBottom w:val="0"/>
      <w:divBdr>
        <w:top w:val="none" w:sz="0" w:space="0" w:color="auto"/>
        <w:left w:val="none" w:sz="0" w:space="0" w:color="auto"/>
        <w:bottom w:val="none" w:sz="0" w:space="0" w:color="auto"/>
        <w:right w:val="none" w:sz="0" w:space="0" w:color="auto"/>
      </w:divBdr>
    </w:div>
    <w:div w:id="95445384">
      <w:bodyDiv w:val="1"/>
      <w:marLeft w:val="0"/>
      <w:marRight w:val="0"/>
      <w:marTop w:val="0"/>
      <w:marBottom w:val="0"/>
      <w:divBdr>
        <w:top w:val="none" w:sz="0" w:space="0" w:color="auto"/>
        <w:left w:val="none" w:sz="0" w:space="0" w:color="auto"/>
        <w:bottom w:val="none" w:sz="0" w:space="0" w:color="auto"/>
        <w:right w:val="none" w:sz="0" w:space="0" w:color="auto"/>
      </w:divBdr>
    </w:div>
    <w:div w:id="95945530">
      <w:bodyDiv w:val="1"/>
      <w:marLeft w:val="0"/>
      <w:marRight w:val="0"/>
      <w:marTop w:val="0"/>
      <w:marBottom w:val="0"/>
      <w:divBdr>
        <w:top w:val="none" w:sz="0" w:space="0" w:color="auto"/>
        <w:left w:val="none" w:sz="0" w:space="0" w:color="auto"/>
        <w:bottom w:val="none" w:sz="0" w:space="0" w:color="auto"/>
        <w:right w:val="none" w:sz="0" w:space="0" w:color="auto"/>
      </w:divBdr>
    </w:div>
    <w:div w:id="96370044">
      <w:bodyDiv w:val="1"/>
      <w:marLeft w:val="0"/>
      <w:marRight w:val="0"/>
      <w:marTop w:val="0"/>
      <w:marBottom w:val="0"/>
      <w:divBdr>
        <w:top w:val="none" w:sz="0" w:space="0" w:color="auto"/>
        <w:left w:val="none" w:sz="0" w:space="0" w:color="auto"/>
        <w:bottom w:val="none" w:sz="0" w:space="0" w:color="auto"/>
        <w:right w:val="none" w:sz="0" w:space="0" w:color="auto"/>
      </w:divBdr>
    </w:div>
    <w:div w:id="96564096">
      <w:bodyDiv w:val="1"/>
      <w:marLeft w:val="0"/>
      <w:marRight w:val="0"/>
      <w:marTop w:val="0"/>
      <w:marBottom w:val="0"/>
      <w:divBdr>
        <w:top w:val="none" w:sz="0" w:space="0" w:color="auto"/>
        <w:left w:val="none" w:sz="0" w:space="0" w:color="auto"/>
        <w:bottom w:val="none" w:sz="0" w:space="0" w:color="auto"/>
        <w:right w:val="none" w:sz="0" w:space="0" w:color="auto"/>
      </w:divBdr>
    </w:div>
    <w:div w:id="96600331">
      <w:bodyDiv w:val="1"/>
      <w:marLeft w:val="0"/>
      <w:marRight w:val="0"/>
      <w:marTop w:val="0"/>
      <w:marBottom w:val="0"/>
      <w:divBdr>
        <w:top w:val="none" w:sz="0" w:space="0" w:color="auto"/>
        <w:left w:val="none" w:sz="0" w:space="0" w:color="auto"/>
        <w:bottom w:val="none" w:sz="0" w:space="0" w:color="auto"/>
        <w:right w:val="none" w:sz="0" w:space="0" w:color="auto"/>
      </w:divBdr>
    </w:div>
    <w:div w:id="96755230">
      <w:bodyDiv w:val="1"/>
      <w:marLeft w:val="0"/>
      <w:marRight w:val="0"/>
      <w:marTop w:val="0"/>
      <w:marBottom w:val="0"/>
      <w:divBdr>
        <w:top w:val="none" w:sz="0" w:space="0" w:color="auto"/>
        <w:left w:val="none" w:sz="0" w:space="0" w:color="auto"/>
        <w:bottom w:val="none" w:sz="0" w:space="0" w:color="auto"/>
        <w:right w:val="none" w:sz="0" w:space="0" w:color="auto"/>
      </w:divBdr>
    </w:div>
    <w:div w:id="96995393">
      <w:bodyDiv w:val="1"/>
      <w:marLeft w:val="0"/>
      <w:marRight w:val="0"/>
      <w:marTop w:val="0"/>
      <w:marBottom w:val="0"/>
      <w:divBdr>
        <w:top w:val="none" w:sz="0" w:space="0" w:color="auto"/>
        <w:left w:val="none" w:sz="0" w:space="0" w:color="auto"/>
        <w:bottom w:val="none" w:sz="0" w:space="0" w:color="auto"/>
        <w:right w:val="none" w:sz="0" w:space="0" w:color="auto"/>
      </w:divBdr>
    </w:div>
    <w:div w:id="97483580">
      <w:bodyDiv w:val="1"/>
      <w:marLeft w:val="0"/>
      <w:marRight w:val="0"/>
      <w:marTop w:val="0"/>
      <w:marBottom w:val="0"/>
      <w:divBdr>
        <w:top w:val="none" w:sz="0" w:space="0" w:color="auto"/>
        <w:left w:val="none" w:sz="0" w:space="0" w:color="auto"/>
        <w:bottom w:val="none" w:sz="0" w:space="0" w:color="auto"/>
        <w:right w:val="none" w:sz="0" w:space="0" w:color="auto"/>
      </w:divBdr>
    </w:div>
    <w:div w:id="97870891">
      <w:bodyDiv w:val="1"/>
      <w:marLeft w:val="0"/>
      <w:marRight w:val="0"/>
      <w:marTop w:val="0"/>
      <w:marBottom w:val="0"/>
      <w:divBdr>
        <w:top w:val="none" w:sz="0" w:space="0" w:color="auto"/>
        <w:left w:val="none" w:sz="0" w:space="0" w:color="auto"/>
        <w:bottom w:val="none" w:sz="0" w:space="0" w:color="auto"/>
        <w:right w:val="none" w:sz="0" w:space="0" w:color="auto"/>
      </w:divBdr>
    </w:div>
    <w:div w:id="97913484">
      <w:bodyDiv w:val="1"/>
      <w:marLeft w:val="0"/>
      <w:marRight w:val="0"/>
      <w:marTop w:val="0"/>
      <w:marBottom w:val="0"/>
      <w:divBdr>
        <w:top w:val="none" w:sz="0" w:space="0" w:color="auto"/>
        <w:left w:val="none" w:sz="0" w:space="0" w:color="auto"/>
        <w:bottom w:val="none" w:sz="0" w:space="0" w:color="auto"/>
        <w:right w:val="none" w:sz="0" w:space="0" w:color="auto"/>
      </w:divBdr>
    </w:div>
    <w:div w:id="97992264">
      <w:bodyDiv w:val="1"/>
      <w:marLeft w:val="0"/>
      <w:marRight w:val="0"/>
      <w:marTop w:val="0"/>
      <w:marBottom w:val="0"/>
      <w:divBdr>
        <w:top w:val="none" w:sz="0" w:space="0" w:color="auto"/>
        <w:left w:val="none" w:sz="0" w:space="0" w:color="auto"/>
        <w:bottom w:val="none" w:sz="0" w:space="0" w:color="auto"/>
        <w:right w:val="none" w:sz="0" w:space="0" w:color="auto"/>
      </w:divBdr>
    </w:div>
    <w:div w:id="98718541">
      <w:bodyDiv w:val="1"/>
      <w:marLeft w:val="0"/>
      <w:marRight w:val="0"/>
      <w:marTop w:val="0"/>
      <w:marBottom w:val="0"/>
      <w:divBdr>
        <w:top w:val="none" w:sz="0" w:space="0" w:color="auto"/>
        <w:left w:val="none" w:sz="0" w:space="0" w:color="auto"/>
        <w:bottom w:val="none" w:sz="0" w:space="0" w:color="auto"/>
        <w:right w:val="none" w:sz="0" w:space="0" w:color="auto"/>
      </w:divBdr>
    </w:div>
    <w:div w:id="99493569">
      <w:bodyDiv w:val="1"/>
      <w:marLeft w:val="0"/>
      <w:marRight w:val="0"/>
      <w:marTop w:val="0"/>
      <w:marBottom w:val="0"/>
      <w:divBdr>
        <w:top w:val="none" w:sz="0" w:space="0" w:color="auto"/>
        <w:left w:val="none" w:sz="0" w:space="0" w:color="auto"/>
        <w:bottom w:val="none" w:sz="0" w:space="0" w:color="auto"/>
        <w:right w:val="none" w:sz="0" w:space="0" w:color="auto"/>
      </w:divBdr>
    </w:div>
    <w:div w:id="99763533">
      <w:bodyDiv w:val="1"/>
      <w:marLeft w:val="0"/>
      <w:marRight w:val="0"/>
      <w:marTop w:val="0"/>
      <w:marBottom w:val="0"/>
      <w:divBdr>
        <w:top w:val="none" w:sz="0" w:space="0" w:color="auto"/>
        <w:left w:val="none" w:sz="0" w:space="0" w:color="auto"/>
        <w:bottom w:val="none" w:sz="0" w:space="0" w:color="auto"/>
        <w:right w:val="none" w:sz="0" w:space="0" w:color="auto"/>
      </w:divBdr>
    </w:div>
    <w:div w:id="99767653">
      <w:bodyDiv w:val="1"/>
      <w:marLeft w:val="0"/>
      <w:marRight w:val="0"/>
      <w:marTop w:val="0"/>
      <w:marBottom w:val="0"/>
      <w:divBdr>
        <w:top w:val="none" w:sz="0" w:space="0" w:color="auto"/>
        <w:left w:val="none" w:sz="0" w:space="0" w:color="auto"/>
        <w:bottom w:val="none" w:sz="0" w:space="0" w:color="auto"/>
        <w:right w:val="none" w:sz="0" w:space="0" w:color="auto"/>
      </w:divBdr>
    </w:div>
    <w:div w:id="100225918">
      <w:bodyDiv w:val="1"/>
      <w:marLeft w:val="0"/>
      <w:marRight w:val="0"/>
      <w:marTop w:val="0"/>
      <w:marBottom w:val="0"/>
      <w:divBdr>
        <w:top w:val="none" w:sz="0" w:space="0" w:color="auto"/>
        <w:left w:val="none" w:sz="0" w:space="0" w:color="auto"/>
        <w:bottom w:val="none" w:sz="0" w:space="0" w:color="auto"/>
        <w:right w:val="none" w:sz="0" w:space="0" w:color="auto"/>
      </w:divBdr>
    </w:div>
    <w:div w:id="100533469">
      <w:bodyDiv w:val="1"/>
      <w:marLeft w:val="0"/>
      <w:marRight w:val="0"/>
      <w:marTop w:val="0"/>
      <w:marBottom w:val="0"/>
      <w:divBdr>
        <w:top w:val="none" w:sz="0" w:space="0" w:color="auto"/>
        <w:left w:val="none" w:sz="0" w:space="0" w:color="auto"/>
        <w:bottom w:val="none" w:sz="0" w:space="0" w:color="auto"/>
        <w:right w:val="none" w:sz="0" w:space="0" w:color="auto"/>
      </w:divBdr>
    </w:div>
    <w:div w:id="100616288">
      <w:bodyDiv w:val="1"/>
      <w:marLeft w:val="0"/>
      <w:marRight w:val="0"/>
      <w:marTop w:val="0"/>
      <w:marBottom w:val="0"/>
      <w:divBdr>
        <w:top w:val="none" w:sz="0" w:space="0" w:color="auto"/>
        <w:left w:val="none" w:sz="0" w:space="0" w:color="auto"/>
        <w:bottom w:val="none" w:sz="0" w:space="0" w:color="auto"/>
        <w:right w:val="none" w:sz="0" w:space="0" w:color="auto"/>
      </w:divBdr>
    </w:div>
    <w:div w:id="101069944">
      <w:bodyDiv w:val="1"/>
      <w:marLeft w:val="0"/>
      <w:marRight w:val="0"/>
      <w:marTop w:val="0"/>
      <w:marBottom w:val="0"/>
      <w:divBdr>
        <w:top w:val="none" w:sz="0" w:space="0" w:color="auto"/>
        <w:left w:val="none" w:sz="0" w:space="0" w:color="auto"/>
        <w:bottom w:val="none" w:sz="0" w:space="0" w:color="auto"/>
        <w:right w:val="none" w:sz="0" w:space="0" w:color="auto"/>
      </w:divBdr>
    </w:div>
    <w:div w:id="101539380">
      <w:bodyDiv w:val="1"/>
      <w:marLeft w:val="0"/>
      <w:marRight w:val="0"/>
      <w:marTop w:val="0"/>
      <w:marBottom w:val="0"/>
      <w:divBdr>
        <w:top w:val="none" w:sz="0" w:space="0" w:color="auto"/>
        <w:left w:val="none" w:sz="0" w:space="0" w:color="auto"/>
        <w:bottom w:val="none" w:sz="0" w:space="0" w:color="auto"/>
        <w:right w:val="none" w:sz="0" w:space="0" w:color="auto"/>
      </w:divBdr>
    </w:div>
    <w:div w:id="101805340">
      <w:bodyDiv w:val="1"/>
      <w:marLeft w:val="0"/>
      <w:marRight w:val="0"/>
      <w:marTop w:val="0"/>
      <w:marBottom w:val="0"/>
      <w:divBdr>
        <w:top w:val="none" w:sz="0" w:space="0" w:color="auto"/>
        <w:left w:val="none" w:sz="0" w:space="0" w:color="auto"/>
        <w:bottom w:val="none" w:sz="0" w:space="0" w:color="auto"/>
        <w:right w:val="none" w:sz="0" w:space="0" w:color="auto"/>
      </w:divBdr>
    </w:div>
    <w:div w:id="102041538">
      <w:bodyDiv w:val="1"/>
      <w:marLeft w:val="0"/>
      <w:marRight w:val="0"/>
      <w:marTop w:val="0"/>
      <w:marBottom w:val="0"/>
      <w:divBdr>
        <w:top w:val="none" w:sz="0" w:space="0" w:color="auto"/>
        <w:left w:val="none" w:sz="0" w:space="0" w:color="auto"/>
        <w:bottom w:val="none" w:sz="0" w:space="0" w:color="auto"/>
        <w:right w:val="none" w:sz="0" w:space="0" w:color="auto"/>
      </w:divBdr>
    </w:div>
    <w:div w:id="102267822">
      <w:bodyDiv w:val="1"/>
      <w:marLeft w:val="0"/>
      <w:marRight w:val="0"/>
      <w:marTop w:val="0"/>
      <w:marBottom w:val="0"/>
      <w:divBdr>
        <w:top w:val="none" w:sz="0" w:space="0" w:color="auto"/>
        <w:left w:val="none" w:sz="0" w:space="0" w:color="auto"/>
        <w:bottom w:val="none" w:sz="0" w:space="0" w:color="auto"/>
        <w:right w:val="none" w:sz="0" w:space="0" w:color="auto"/>
      </w:divBdr>
    </w:div>
    <w:div w:id="102385643">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
    <w:div w:id="103312423">
      <w:bodyDiv w:val="1"/>
      <w:marLeft w:val="0"/>
      <w:marRight w:val="0"/>
      <w:marTop w:val="0"/>
      <w:marBottom w:val="0"/>
      <w:divBdr>
        <w:top w:val="none" w:sz="0" w:space="0" w:color="auto"/>
        <w:left w:val="none" w:sz="0" w:space="0" w:color="auto"/>
        <w:bottom w:val="none" w:sz="0" w:space="0" w:color="auto"/>
        <w:right w:val="none" w:sz="0" w:space="0" w:color="auto"/>
      </w:divBdr>
    </w:div>
    <w:div w:id="103430269">
      <w:bodyDiv w:val="1"/>
      <w:marLeft w:val="0"/>
      <w:marRight w:val="0"/>
      <w:marTop w:val="0"/>
      <w:marBottom w:val="0"/>
      <w:divBdr>
        <w:top w:val="none" w:sz="0" w:space="0" w:color="auto"/>
        <w:left w:val="none" w:sz="0" w:space="0" w:color="auto"/>
        <w:bottom w:val="none" w:sz="0" w:space="0" w:color="auto"/>
        <w:right w:val="none" w:sz="0" w:space="0" w:color="auto"/>
      </w:divBdr>
    </w:div>
    <w:div w:id="103499693">
      <w:bodyDiv w:val="1"/>
      <w:marLeft w:val="0"/>
      <w:marRight w:val="0"/>
      <w:marTop w:val="0"/>
      <w:marBottom w:val="0"/>
      <w:divBdr>
        <w:top w:val="none" w:sz="0" w:space="0" w:color="auto"/>
        <w:left w:val="none" w:sz="0" w:space="0" w:color="auto"/>
        <w:bottom w:val="none" w:sz="0" w:space="0" w:color="auto"/>
        <w:right w:val="none" w:sz="0" w:space="0" w:color="auto"/>
      </w:divBdr>
    </w:div>
    <w:div w:id="104229481">
      <w:bodyDiv w:val="1"/>
      <w:marLeft w:val="0"/>
      <w:marRight w:val="0"/>
      <w:marTop w:val="0"/>
      <w:marBottom w:val="0"/>
      <w:divBdr>
        <w:top w:val="none" w:sz="0" w:space="0" w:color="auto"/>
        <w:left w:val="none" w:sz="0" w:space="0" w:color="auto"/>
        <w:bottom w:val="none" w:sz="0" w:space="0" w:color="auto"/>
        <w:right w:val="none" w:sz="0" w:space="0" w:color="auto"/>
      </w:divBdr>
    </w:div>
    <w:div w:id="104346305">
      <w:bodyDiv w:val="1"/>
      <w:marLeft w:val="0"/>
      <w:marRight w:val="0"/>
      <w:marTop w:val="0"/>
      <w:marBottom w:val="0"/>
      <w:divBdr>
        <w:top w:val="none" w:sz="0" w:space="0" w:color="auto"/>
        <w:left w:val="none" w:sz="0" w:space="0" w:color="auto"/>
        <w:bottom w:val="none" w:sz="0" w:space="0" w:color="auto"/>
        <w:right w:val="none" w:sz="0" w:space="0" w:color="auto"/>
      </w:divBdr>
    </w:div>
    <w:div w:id="104858246">
      <w:bodyDiv w:val="1"/>
      <w:marLeft w:val="0"/>
      <w:marRight w:val="0"/>
      <w:marTop w:val="0"/>
      <w:marBottom w:val="0"/>
      <w:divBdr>
        <w:top w:val="none" w:sz="0" w:space="0" w:color="auto"/>
        <w:left w:val="none" w:sz="0" w:space="0" w:color="auto"/>
        <w:bottom w:val="none" w:sz="0" w:space="0" w:color="auto"/>
        <w:right w:val="none" w:sz="0" w:space="0" w:color="auto"/>
      </w:divBdr>
    </w:div>
    <w:div w:id="104926656">
      <w:bodyDiv w:val="1"/>
      <w:marLeft w:val="0"/>
      <w:marRight w:val="0"/>
      <w:marTop w:val="0"/>
      <w:marBottom w:val="0"/>
      <w:divBdr>
        <w:top w:val="none" w:sz="0" w:space="0" w:color="auto"/>
        <w:left w:val="none" w:sz="0" w:space="0" w:color="auto"/>
        <w:bottom w:val="none" w:sz="0" w:space="0" w:color="auto"/>
        <w:right w:val="none" w:sz="0" w:space="0" w:color="auto"/>
      </w:divBdr>
    </w:div>
    <w:div w:id="105318291">
      <w:bodyDiv w:val="1"/>
      <w:marLeft w:val="0"/>
      <w:marRight w:val="0"/>
      <w:marTop w:val="0"/>
      <w:marBottom w:val="0"/>
      <w:divBdr>
        <w:top w:val="none" w:sz="0" w:space="0" w:color="auto"/>
        <w:left w:val="none" w:sz="0" w:space="0" w:color="auto"/>
        <w:bottom w:val="none" w:sz="0" w:space="0" w:color="auto"/>
        <w:right w:val="none" w:sz="0" w:space="0" w:color="auto"/>
      </w:divBdr>
    </w:div>
    <w:div w:id="105320084">
      <w:bodyDiv w:val="1"/>
      <w:marLeft w:val="0"/>
      <w:marRight w:val="0"/>
      <w:marTop w:val="0"/>
      <w:marBottom w:val="0"/>
      <w:divBdr>
        <w:top w:val="none" w:sz="0" w:space="0" w:color="auto"/>
        <w:left w:val="none" w:sz="0" w:space="0" w:color="auto"/>
        <w:bottom w:val="none" w:sz="0" w:space="0" w:color="auto"/>
        <w:right w:val="none" w:sz="0" w:space="0" w:color="auto"/>
      </w:divBdr>
    </w:div>
    <w:div w:id="106658637">
      <w:bodyDiv w:val="1"/>
      <w:marLeft w:val="0"/>
      <w:marRight w:val="0"/>
      <w:marTop w:val="0"/>
      <w:marBottom w:val="0"/>
      <w:divBdr>
        <w:top w:val="none" w:sz="0" w:space="0" w:color="auto"/>
        <w:left w:val="none" w:sz="0" w:space="0" w:color="auto"/>
        <w:bottom w:val="none" w:sz="0" w:space="0" w:color="auto"/>
        <w:right w:val="none" w:sz="0" w:space="0" w:color="auto"/>
      </w:divBdr>
    </w:div>
    <w:div w:id="106848878">
      <w:bodyDiv w:val="1"/>
      <w:marLeft w:val="0"/>
      <w:marRight w:val="0"/>
      <w:marTop w:val="0"/>
      <w:marBottom w:val="0"/>
      <w:divBdr>
        <w:top w:val="none" w:sz="0" w:space="0" w:color="auto"/>
        <w:left w:val="none" w:sz="0" w:space="0" w:color="auto"/>
        <w:bottom w:val="none" w:sz="0" w:space="0" w:color="auto"/>
        <w:right w:val="none" w:sz="0" w:space="0" w:color="auto"/>
      </w:divBdr>
    </w:div>
    <w:div w:id="107159926">
      <w:bodyDiv w:val="1"/>
      <w:marLeft w:val="0"/>
      <w:marRight w:val="0"/>
      <w:marTop w:val="0"/>
      <w:marBottom w:val="0"/>
      <w:divBdr>
        <w:top w:val="none" w:sz="0" w:space="0" w:color="auto"/>
        <w:left w:val="none" w:sz="0" w:space="0" w:color="auto"/>
        <w:bottom w:val="none" w:sz="0" w:space="0" w:color="auto"/>
        <w:right w:val="none" w:sz="0" w:space="0" w:color="auto"/>
      </w:divBdr>
    </w:div>
    <w:div w:id="108087103">
      <w:bodyDiv w:val="1"/>
      <w:marLeft w:val="0"/>
      <w:marRight w:val="0"/>
      <w:marTop w:val="0"/>
      <w:marBottom w:val="0"/>
      <w:divBdr>
        <w:top w:val="none" w:sz="0" w:space="0" w:color="auto"/>
        <w:left w:val="none" w:sz="0" w:space="0" w:color="auto"/>
        <w:bottom w:val="none" w:sz="0" w:space="0" w:color="auto"/>
        <w:right w:val="none" w:sz="0" w:space="0" w:color="auto"/>
      </w:divBdr>
    </w:div>
    <w:div w:id="108285556">
      <w:bodyDiv w:val="1"/>
      <w:marLeft w:val="0"/>
      <w:marRight w:val="0"/>
      <w:marTop w:val="0"/>
      <w:marBottom w:val="0"/>
      <w:divBdr>
        <w:top w:val="none" w:sz="0" w:space="0" w:color="auto"/>
        <w:left w:val="none" w:sz="0" w:space="0" w:color="auto"/>
        <w:bottom w:val="none" w:sz="0" w:space="0" w:color="auto"/>
        <w:right w:val="none" w:sz="0" w:space="0" w:color="auto"/>
      </w:divBdr>
    </w:div>
    <w:div w:id="108743911">
      <w:bodyDiv w:val="1"/>
      <w:marLeft w:val="0"/>
      <w:marRight w:val="0"/>
      <w:marTop w:val="0"/>
      <w:marBottom w:val="0"/>
      <w:divBdr>
        <w:top w:val="none" w:sz="0" w:space="0" w:color="auto"/>
        <w:left w:val="none" w:sz="0" w:space="0" w:color="auto"/>
        <w:bottom w:val="none" w:sz="0" w:space="0" w:color="auto"/>
        <w:right w:val="none" w:sz="0" w:space="0" w:color="auto"/>
      </w:divBdr>
    </w:div>
    <w:div w:id="109203473">
      <w:bodyDiv w:val="1"/>
      <w:marLeft w:val="0"/>
      <w:marRight w:val="0"/>
      <w:marTop w:val="0"/>
      <w:marBottom w:val="0"/>
      <w:divBdr>
        <w:top w:val="none" w:sz="0" w:space="0" w:color="auto"/>
        <w:left w:val="none" w:sz="0" w:space="0" w:color="auto"/>
        <w:bottom w:val="none" w:sz="0" w:space="0" w:color="auto"/>
        <w:right w:val="none" w:sz="0" w:space="0" w:color="auto"/>
      </w:divBdr>
    </w:div>
    <w:div w:id="109471763">
      <w:bodyDiv w:val="1"/>
      <w:marLeft w:val="0"/>
      <w:marRight w:val="0"/>
      <w:marTop w:val="0"/>
      <w:marBottom w:val="0"/>
      <w:divBdr>
        <w:top w:val="none" w:sz="0" w:space="0" w:color="auto"/>
        <w:left w:val="none" w:sz="0" w:space="0" w:color="auto"/>
        <w:bottom w:val="none" w:sz="0" w:space="0" w:color="auto"/>
        <w:right w:val="none" w:sz="0" w:space="0" w:color="auto"/>
      </w:divBdr>
    </w:div>
    <w:div w:id="109473253">
      <w:bodyDiv w:val="1"/>
      <w:marLeft w:val="0"/>
      <w:marRight w:val="0"/>
      <w:marTop w:val="0"/>
      <w:marBottom w:val="0"/>
      <w:divBdr>
        <w:top w:val="none" w:sz="0" w:space="0" w:color="auto"/>
        <w:left w:val="none" w:sz="0" w:space="0" w:color="auto"/>
        <w:bottom w:val="none" w:sz="0" w:space="0" w:color="auto"/>
        <w:right w:val="none" w:sz="0" w:space="0" w:color="auto"/>
      </w:divBdr>
    </w:div>
    <w:div w:id="109713278">
      <w:bodyDiv w:val="1"/>
      <w:marLeft w:val="0"/>
      <w:marRight w:val="0"/>
      <w:marTop w:val="0"/>
      <w:marBottom w:val="0"/>
      <w:divBdr>
        <w:top w:val="none" w:sz="0" w:space="0" w:color="auto"/>
        <w:left w:val="none" w:sz="0" w:space="0" w:color="auto"/>
        <w:bottom w:val="none" w:sz="0" w:space="0" w:color="auto"/>
        <w:right w:val="none" w:sz="0" w:space="0" w:color="auto"/>
      </w:divBdr>
    </w:div>
    <w:div w:id="110051794">
      <w:bodyDiv w:val="1"/>
      <w:marLeft w:val="0"/>
      <w:marRight w:val="0"/>
      <w:marTop w:val="0"/>
      <w:marBottom w:val="0"/>
      <w:divBdr>
        <w:top w:val="none" w:sz="0" w:space="0" w:color="auto"/>
        <w:left w:val="none" w:sz="0" w:space="0" w:color="auto"/>
        <w:bottom w:val="none" w:sz="0" w:space="0" w:color="auto"/>
        <w:right w:val="none" w:sz="0" w:space="0" w:color="auto"/>
      </w:divBdr>
    </w:div>
    <w:div w:id="110131791">
      <w:bodyDiv w:val="1"/>
      <w:marLeft w:val="0"/>
      <w:marRight w:val="0"/>
      <w:marTop w:val="0"/>
      <w:marBottom w:val="0"/>
      <w:divBdr>
        <w:top w:val="none" w:sz="0" w:space="0" w:color="auto"/>
        <w:left w:val="none" w:sz="0" w:space="0" w:color="auto"/>
        <w:bottom w:val="none" w:sz="0" w:space="0" w:color="auto"/>
        <w:right w:val="none" w:sz="0" w:space="0" w:color="auto"/>
      </w:divBdr>
    </w:div>
    <w:div w:id="110322533">
      <w:bodyDiv w:val="1"/>
      <w:marLeft w:val="0"/>
      <w:marRight w:val="0"/>
      <w:marTop w:val="0"/>
      <w:marBottom w:val="0"/>
      <w:divBdr>
        <w:top w:val="none" w:sz="0" w:space="0" w:color="auto"/>
        <w:left w:val="none" w:sz="0" w:space="0" w:color="auto"/>
        <w:bottom w:val="none" w:sz="0" w:space="0" w:color="auto"/>
        <w:right w:val="none" w:sz="0" w:space="0" w:color="auto"/>
      </w:divBdr>
    </w:div>
    <w:div w:id="110514268">
      <w:bodyDiv w:val="1"/>
      <w:marLeft w:val="0"/>
      <w:marRight w:val="0"/>
      <w:marTop w:val="0"/>
      <w:marBottom w:val="0"/>
      <w:divBdr>
        <w:top w:val="none" w:sz="0" w:space="0" w:color="auto"/>
        <w:left w:val="none" w:sz="0" w:space="0" w:color="auto"/>
        <w:bottom w:val="none" w:sz="0" w:space="0" w:color="auto"/>
        <w:right w:val="none" w:sz="0" w:space="0" w:color="auto"/>
      </w:divBdr>
    </w:div>
    <w:div w:id="110588002">
      <w:bodyDiv w:val="1"/>
      <w:marLeft w:val="0"/>
      <w:marRight w:val="0"/>
      <w:marTop w:val="0"/>
      <w:marBottom w:val="0"/>
      <w:divBdr>
        <w:top w:val="none" w:sz="0" w:space="0" w:color="auto"/>
        <w:left w:val="none" w:sz="0" w:space="0" w:color="auto"/>
        <w:bottom w:val="none" w:sz="0" w:space="0" w:color="auto"/>
        <w:right w:val="none" w:sz="0" w:space="0" w:color="auto"/>
      </w:divBdr>
    </w:div>
    <w:div w:id="111435669">
      <w:bodyDiv w:val="1"/>
      <w:marLeft w:val="0"/>
      <w:marRight w:val="0"/>
      <w:marTop w:val="0"/>
      <w:marBottom w:val="0"/>
      <w:divBdr>
        <w:top w:val="none" w:sz="0" w:space="0" w:color="auto"/>
        <w:left w:val="none" w:sz="0" w:space="0" w:color="auto"/>
        <w:bottom w:val="none" w:sz="0" w:space="0" w:color="auto"/>
        <w:right w:val="none" w:sz="0" w:space="0" w:color="auto"/>
      </w:divBdr>
    </w:div>
    <w:div w:id="112134312">
      <w:bodyDiv w:val="1"/>
      <w:marLeft w:val="0"/>
      <w:marRight w:val="0"/>
      <w:marTop w:val="0"/>
      <w:marBottom w:val="0"/>
      <w:divBdr>
        <w:top w:val="none" w:sz="0" w:space="0" w:color="auto"/>
        <w:left w:val="none" w:sz="0" w:space="0" w:color="auto"/>
        <w:bottom w:val="none" w:sz="0" w:space="0" w:color="auto"/>
        <w:right w:val="none" w:sz="0" w:space="0" w:color="auto"/>
      </w:divBdr>
    </w:div>
    <w:div w:id="112528194">
      <w:bodyDiv w:val="1"/>
      <w:marLeft w:val="0"/>
      <w:marRight w:val="0"/>
      <w:marTop w:val="0"/>
      <w:marBottom w:val="0"/>
      <w:divBdr>
        <w:top w:val="none" w:sz="0" w:space="0" w:color="auto"/>
        <w:left w:val="none" w:sz="0" w:space="0" w:color="auto"/>
        <w:bottom w:val="none" w:sz="0" w:space="0" w:color="auto"/>
        <w:right w:val="none" w:sz="0" w:space="0" w:color="auto"/>
      </w:divBdr>
    </w:div>
    <w:div w:id="112791837">
      <w:bodyDiv w:val="1"/>
      <w:marLeft w:val="0"/>
      <w:marRight w:val="0"/>
      <w:marTop w:val="0"/>
      <w:marBottom w:val="0"/>
      <w:divBdr>
        <w:top w:val="none" w:sz="0" w:space="0" w:color="auto"/>
        <w:left w:val="none" w:sz="0" w:space="0" w:color="auto"/>
        <w:bottom w:val="none" w:sz="0" w:space="0" w:color="auto"/>
        <w:right w:val="none" w:sz="0" w:space="0" w:color="auto"/>
      </w:divBdr>
    </w:div>
    <w:div w:id="112797405">
      <w:bodyDiv w:val="1"/>
      <w:marLeft w:val="0"/>
      <w:marRight w:val="0"/>
      <w:marTop w:val="0"/>
      <w:marBottom w:val="0"/>
      <w:divBdr>
        <w:top w:val="none" w:sz="0" w:space="0" w:color="auto"/>
        <w:left w:val="none" w:sz="0" w:space="0" w:color="auto"/>
        <w:bottom w:val="none" w:sz="0" w:space="0" w:color="auto"/>
        <w:right w:val="none" w:sz="0" w:space="0" w:color="auto"/>
      </w:divBdr>
    </w:div>
    <w:div w:id="113015855">
      <w:bodyDiv w:val="1"/>
      <w:marLeft w:val="0"/>
      <w:marRight w:val="0"/>
      <w:marTop w:val="0"/>
      <w:marBottom w:val="0"/>
      <w:divBdr>
        <w:top w:val="none" w:sz="0" w:space="0" w:color="auto"/>
        <w:left w:val="none" w:sz="0" w:space="0" w:color="auto"/>
        <w:bottom w:val="none" w:sz="0" w:space="0" w:color="auto"/>
        <w:right w:val="none" w:sz="0" w:space="0" w:color="auto"/>
      </w:divBdr>
    </w:div>
    <w:div w:id="113445452">
      <w:bodyDiv w:val="1"/>
      <w:marLeft w:val="0"/>
      <w:marRight w:val="0"/>
      <w:marTop w:val="0"/>
      <w:marBottom w:val="0"/>
      <w:divBdr>
        <w:top w:val="none" w:sz="0" w:space="0" w:color="auto"/>
        <w:left w:val="none" w:sz="0" w:space="0" w:color="auto"/>
        <w:bottom w:val="none" w:sz="0" w:space="0" w:color="auto"/>
        <w:right w:val="none" w:sz="0" w:space="0" w:color="auto"/>
      </w:divBdr>
    </w:div>
    <w:div w:id="113795704">
      <w:bodyDiv w:val="1"/>
      <w:marLeft w:val="0"/>
      <w:marRight w:val="0"/>
      <w:marTop w:val="0"/>
      <w:marBottom w:val="0"/>
      <w:divBdr>
        <w:top w:val="none" w:sz="0" w:space="0" w:color="auto"/>
        <w:left w:val="none" w:sz="0" w:space="0" w:color="auto"/>
        <w:bottom w:val="none" w:sz="0" w:space="0" w:color="auto"/>
        <w:right w:val="none" w:sz="0" w:space="0" w:color="auto"/>
      </w:divBdr>
    </w:div>
    <w:div w:id="114177970">
      <w:bodyDiv w:val="1"/>
      <w:marLeft w:val="0"/>
      <w:marRight w:val="0"/>
      <w:marTop w:val="0"/>
      <w:marBottom w:val="0"/>
      <w:divBdr>
        <w:top w:val="none" w:sz="0" w:space="0" w:color="auto"/>
        <w:left w:val="none" w:sz="0" w:space="0" w:color="auto"/>
        <w:bottom w:val="none" w:sz="0" w:space="0" w:color="auto"/>
        <w:right w:val="none" w:sz="0" w:space="0" w:color="auto"/>
      </w:divBdr>
    </w:div>
    <w:div w:id="115370418">
      <w:bodyDiv w:val="1"/>
      <w:marLeft w:val="0"/>
      <w:marRight w:val="0"/>
      <w:marTop w:val="0"/>
      <w:marBottom w:val="0"/>
      <w:divBdr>
        <w:top w:val="none" w:sz="0" w:space="0" w:color="auto"/>
        <w:left w:val="none" w:sz="0" w:space="0" w:color="auto"/>
        <w:bottom w:val="none" w:sz="0" w:space="0" w:color="auto"/>
        <w:right w:val="none" w:sz="0" w:space="0" w:color="auto"/>
      </w:divBdr>
    </w:div>
    <w:div w:id="115371840">
      <w:bodyDiv w:val="1"/>
      <w:marLeft w:val="0"/>
      <w:marRight w:val="0"/>
      <w:marTop w:val="0"/>
      <w:marBottom w:val="0"/>
      <w:divBdr>
        <w:top w:val="none" w:sz="0" w:space="0" w:color="auto"/>
        <w:left w:val="none" w:sz="0" w:space="0" w:color="auto"/>
        <w:bottom w:val="none" w:sz="0" w:space="0" w:color="auto"/>
        <w:right w:val="none" w:sz="0" w:space="0" w:color="auto"/>
      </w:divBdr>
    </w:div>
    <w:div w:id="116145537">
      <w:bodyDiv w:val="1"/>
      <w:marLeft w:val="0"/>
      <w:marRight w:val="0"/>
      <w:marTop w:val="0"/>
      <w:marBottom w:val="0"/>
      <w:divBdr>
        <w:top w:val="none" w:sz="0" w:space="0" w:color="auto"/>
        <w:left w:val="none" w:sz="0" w:space="0" w:color="auto"/>
        <w:bottom w:val="none" w:sz="0" w:space="0" w:color="auto"/>
        <w:right w:val="none" w:sz="0" w:space="0" w:color="auto"/>
      </w:divBdr>
    </w:div>
    <w:div w:id="116267695">
      <w:bodyDiv w:val="1"/>
      <w:marLeft w:val="0"/>
      <w:marRight w:val="0"/>
      <w:marTop w:val="0"/>
      <w:marBottom w:val="0"/>
      <w:divBdr>
        <w:top w:val="none" w:sz="0" w:space="0" w:color="auto"/>
        <w:left w:val="none" w:sz="0" w:space="0" w:color="auto"/>
        <w:bottom w:val="none" w:sz="0" w:space="0" w:color="auto"/>
        <w:right w:val="none" w:sz="0" w:space="0" w:color="auto"/>
      </w:divBdr>
    </w:div>
    <w:div w:id="116918678">
      <w:bodyDiv w:val="1"/>
      <w:marLeft w:val="0"/>
      <w:marRight w:val="0"/>
      <w:marTop w:val="0"/>
      <w:marBottom w:val="0"/>
      <w:divBdr>
        <w:top w:val="none" w:sz="0" w:space="0" w:color="auto"/>
        <w:left w:val="none" w:sz="0" w:space="0" w:color="auto"/>
        <w:bottom w:val="none" w:sz="0" w:space="0" w:color="auto"/>
        <w:right w:val="none" w:sz="0" w:space="0" w:color="auto"/>
      </w:divBdr>
    </w:div>
    <w:div w:id="116948414">
      <w:bodyDiv w:val="1"/>
      <w:marLeft w:val="0"/>
      <w:marRight w:val="0"/>
      <w:marTop w:val="0"/>
      <w:marBottom w:val="0"/>
      <w:divBdr>
        <w:top w:val="none" w:sz="0" w:space="0" w:color="auto"/>
        <w:left w:val="none" w:sz="0" w:space="0" w:color="auto"/>
        <w:bottom w:val="none" w:sz="0" w:space="0" w:color="auto"/>
        <w:right w:val="none" w:sz="0" w:space="0" w:color="auto"/>
      </w:divBdr>
    </w:div>
    <w:div w:id="117115654">
      <w:bodyDiv w:val="1"/>
      <w:marLeft w:val="0"/>
      <w:marRight w:val="0"/>
      <w:marTop w:val="0"/>
      <w:marBottom w:val="0"/>
      <w:divBdr>
        <w:top w:val="none" w:sz="0" w:space="0" w:color="auto"/>
        <w:left w:val="none" w:sz="0" w:space="0" w:color="auto"/>
        <w:bottom w:val="none" w:sz="0" w:space="0" w:color="auto"/>
        <w:right w:val="none" w:sz="0" w:space="0" w:color="auto"/>
      </w:divBdr>
    </w:div>
    <w:div w:id="117143703">
      <w:bodyDiv w:val="1"/>
      <w:marLeft w:val="0"/>
      <w:marRight w:val="0"/>
      <w:marTop w:val="0"/>
      <w:marBottom w:val="0"/>
      <w:divBdr>
        <w:top w:val="none" w:sz="0" w:space="0" w:color="auto"/>
        <w:left w:val="none" w:sz="0" w:space="0" w:color="auto"/>
        <w:bottom w:val="none" w:sz="0" w:space="0" w:color="auto"/>
        <w:right w:val="none" w:sz="0" w:space="0" w:color="auto"/>
      </w:divBdr>
    </w:div>
    <w:div w:id="117456209">
      <w:bodyDiv w:val="1"/>
      <w:marLeft w:val="0"/>
      <w:marRight w:val="0"/>
      <w:marTop w:val="0"/>
      <w:marBottom w:val="0"/>
      <w:divBdr>
        <w:top w:val="none" w:sz="0" w:space="0" w:color="auto"/>
        <w:left w:val="none" w:sz="0" w:space="0" w:color="auto"/>
        <w:bottom w:val="none" w:sz="0" w:space="0" w:color="auto"/>
        <w:right w:val="none" w:sz="0" w:space="0" w:color="auto"/>
      </w:divBdr>
    </w:div>
    <w:div w:id="118884717">
      <w:bodyDiv w:val="1"/>
      <w:marLeft w:val="0"/>
      <w:marRight w:val="0"/>
      <w:marTop w:val="0"/>
      <w:marBottom w:val="0"/>
      <w:divBdr>
        <w:top w:val="none" w:sz="0" w:space="0" w:color="auto"/>
        <w:left w:val="none" w:sz="0" w:space="0" w:color="auto"/>
        <w:bottom w:val="none" w:sz="0" w:space="0" w:color="auto"/>
        <w:right w:val="none" w:sz="0" w:space="0" w:color="auto"/>
      </w:divBdr>
    </w:div>
    <w:div w:id="118959057">
      <w:bodyDiv w:val="1"/>
      <w:marLeft w:val="0"/>
      <w:marRight w:val="0"/>
      <w:marTop w:val="0"/>
      <w:marBottom w:val="0"/>
      <w:divBdr>
        <w:top w:val="none" w:sz="0" w:space="0" w:color="auto"/>
        <w:left w:val="none" w:sz="0" w:space="0" w:color="auto"/>
        <w:bottom w:val="none" w:sz="0" w:space="0" w:color="auto"/>
        <w:right w:val="none" w:sz="0" w:space="0" w:color="auto"/>
      </w:divBdr>
    </w:div>
    <w:div w:id="119345759">
      <w:bodyDiv w:val="1"/>
      <w:marLeft w:val="0"/>
      <w:marRight w:val="0"/>
      <w:marTop w:val="0"/>
      <w:marBottom w:val="0"/>
      <w:divBdr>
        <w:top w:val="none" w:sz="0" w:space="0" w:color="auto"/>
        <w:left w:val="none" w:sz="0" w:space="0" w:color="auto"/>
        <w:bottom w:val="none" w:sz="0" w:space="0" w:color="auto"/>
        <w:right w:val="none" w:sz="0" w:space="0" w:color="auto"/>
      </w:divBdr>
    </w:div>
    <w:div w:id="119498706">
      <w:bodyDiv w:val="1"/>
      <w:marLeft w:val="0"/>
      <w:marRight w:val="0"/>
      <w:marTop w:val="0"/>
      <w:marBottom w:val="0"/>
      <w:divBdr>
        <w:top w:val="none" w:sz="0" w:space="0" w:color="auto"/>
        <w:left w:val="none" w:sz="0" w:space="0" w:color="auto"/>
        <w:bottom w:val="none" w:sz="0" w:space="0" w:color="auto"/>
        <w:right w:val="none" w:sz="0" w:space="0" w:color="auto"/>
      </w:divBdr>
    </w:div>
    <w:div w:id="119499287">
      <w:bodyDiv w:val="1"/>
      <w:marLeft w:val="0"/>
      <w:marRight w:val="0"/>
      <w:marTop w:val="0"/>
      <w:marBottom w:val="0"/>
      <w:divBdr>
        <w:top w:val="none" w:sz="0" w:space="0" w:color="auto"/>
        <w:left w:val="none" w:sz="0" w:space="0" w:color="auto"/>
        <w:bottom w:val="none" w:sz="0" w:space="0" w:color="auto"/>
        <w:right w:val="none" w:sz="0" w:space="0" w:color="auto"/>
      </w:divBdr>
    </w:div>
    <w:div w:id="119737646">
      <w:bodyDiv w:val="1"/>
      <w:marLeft w:val="0"/>
      <w:marRight w:val="0"/>
      <w:marTop w:val="0"/>
      <w:marBottom w:val="0"/>
      <w:divBdr>
        <w:top w:val="none" w:sz="0" w:space="0" w:color="auto"/>
        <w:left w:val="none" w:sz="0" w:space="0" w:color="auto"/>
        <w:bottom w:val="none" w:sz="0" w:space="0" w:color="auto"/>
        <w:right w:val="none" w:sz="0" w:space="0" w:color="auto"/>
      </w:divBdr>
    </w:div>
    <w:div w:id="119765238">
      <w:bodyDiv w:val="1"/>
      <w:marLeft w:val="0"/>
      <w:marRight w:val="0"/>
      <w:marTop w:val="0"/>
      <w:marBottom w:val="0"/>
      <w:divBdr>
        <w:top w:val="none" w:sz="0" w:space="0" w:color="auto"/>
        <w:left w:val="none" w:sz="0" w:space="0" w:color="auto"/>
        <w:bottom w:val="none" w:sz="0" w:space="0" w:color="auto"/>
        <w:right w:val="none" w:sz="0" w:space="0" w:color="auto"/>
      </w:divBdr>
    </w:div>
    <w:div w:id="119885531">
      <w:bodyDiv w:val="1"/>
      <w:marLeft w:val="0"/>
      <w:marRight w:val="0"/>
      <w:marTop w:val="0"/>
      <w:marBottom w:val="0"/>
      <w:divBdr>
        <w:top w:val="none" w:sz="0" w:space="0" w:color="auto"/>
        <w:left w:val="none" w:sz="0" w:space="0" w:color="auto"/>
        <w:bottom w:val="none" w:sz="0" w:space="0" w:color="auto"/>
        <w:right w:val="none" w:sz="0" w:space="0" w:color="auto"/>
      </w:divBdr>
    </w:div>
    <w:div w:id="120533854">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
    <w:div w:id="121269253">
      <w:bodyDiv w:val="1"/>
      <w:marLeft w:val="0"/>
      <w:marRight w:val="0"/>
      <w:marTop w:val="0"/>
      <w:marBottom w:val="0"/>
      <w:divBdr>
        <w:top w:val="none" w:sz="0" w:space="0" w:color="auto"/>
        <w:left w:val="none" w:sz="0" w:space="0" w:color="auto"/>
        <w:bottom w:val="none" w:sz="0" w:space="0" w:color="auto"/>
        <w:right w:val="none" w:sz="0" w:space="0" w:color="auto"/>
      </w:divBdr>
    </w:div>
    <w:div w:id="121464181">
      <w:bodyDiv w:val="1"/>
      <w:marLeft w:val="0"/>
      <w:marRight w:val="0"/>
      <w:marTop w:val="0"/>
      <w:marBottom w:val="0"/>
      <w:divBdr>
        <w:top w:val="none" w:sz="0" w:space="0" w:color="auto"/>
        <w:left w:val="none" w:sz="0" w:space="0" w:color="auto"/>
        <w:bottom w:val="none" w:sz="0" w:space="0" w:color="auto"/>
        <w:right w:val="none" w:sz="0" w:space="0" w:color="auto"/>
      </w:divBdr>
    </w:div>
    <w:div w:id="121466542">
      <w:bodyDiv w:val="1"/>
      <w:marLeft w:val="0"/>
      <w:marRight w:val="0"/>
      <w:marTop w:val="0"/>
      <w:marBottom w:val="0"/>
      <w:divBdr>
        <w:top w:val="none" w:sz="0" w:space="0" w:color="auto"/>
        <w:left w:val="none" w:sz="0" w:space="0" w:color="auto"/>
        <w:bottom w:val="none" w:sz="0" w:space="0" w:color="auto"/>
        <w:right w:val="none" w:sz="0" w:space="0" w:color="auto"/>
      </w:divBdr>
    </w:div>
    <w:div w:id="121701898">
      <w:bodyDiv w:val="1"/>
      <w:marLeft w:val="0"/>
      <w:marRight w:val="0"/>
      <w:marTop w:val="0"/>
      <w:marBottom w:val="0"/>
      <w:divBdr>
        <w:top w:val="none" w:sz="0" w:space="0" w:color="auto"/>
        <w:left w:val="none" w:sz="0" w:space="0" w:color="auto"/>
        <w:bottom w:val="none" w:sz="0" w:space="0" w:color="auto"/>
        <w:right w:val="none" w:sz="0" w:space="0" w:color="auto"/>
      </w:divBdr>
    </w:div>
    <w:div w:id="121966300">
      <w:bodyDiv w:val="1"/>
      <w:marLeft w:val="0"/>
      <w:marRight w:val="0"/>
      <w:marTop w:val="0"/>
      <w:marBottom w:val="0"/>
      <w:divBdr>
        <w:top w:val="none" w:sz="0" w:space="0" w:color="auto"/>
        <w:left w:val="none" w:sz="0" w:space="0" w:color="auto"/>
        <w:bottom w:val="none" w:sz="0" w:space="0" w:color="auto"/>
        <w:right w:val="none" w:sz="0" w:space="0" w:color="auto"/>
      </w:divBdr>
    </w:div>
    <w:div w:id="121966757">
      <w:bodyDiv w:val="1"/>
      <w:marLeft w:val="0"/>
      <w:marRight w:val="0"/>
      <w:marTop w:val="0"/>
      <w:marBottom w:val="0"/>
      <w:divBdr>
        <w:top w:val="none" w:sz="0" w:space="0" w:color="auto"/>
        <w:left w:val="none" w:sz="0" w:space="0" w:color="auto"/>
        <w:bottom w:val="none" w:sz="0" w:space="0" w:color="auto"/>
        <w:right w:val="none" w:sz="0" w:space="0" w:color="auto"/>
      </w:divBdr>
    </w:div>
    <w:div w:id="122313160">
      <w:bodyDiv w:val="1"/>
      <w:marLeft w:val="0"/>
      <w:marRight w:val="0"/>
      <w:marTop w:val="0"/>
      <w:marBottom w:val="0"/>
      <w:divBdr>
        <w:top w:val="none" w:sz="0" w:space="0" w:color="auto"/>
        <w:left w:val="none" w:sz="0" w:space="0" w:color="auto"/>
        <w:bottom w:val="none" w:sz="0" w:space="0" w:color="auto"/>
        <w:right w:val="none" w:sz="0" w:space="0" w:color="auto"/>
      </w:divBdr>
    </w:div>
    <w:div w:id="122433949">
      <w:bodyDiv w:val="1"/>
      <w:marLeft w:val="0"/>
      <w:marRight w:val="0"/>
      <w:marTop w:val="0"/>
      <w:marBottom w:val="0"/>
      <w:divBdr>
        <w:top w:val="none" w:sz="0" w:space="0" w:color="auto"/>
        <w:left w:val="none" w:sz="0" w:space="0" w:color="auto"/>
        <w:bottom w:val="none" w:sz="0" w:space="0" w:color="auto"/>
        <w:right w:val="none" w:sz="0" w:space="0" w:color="auto"/>
      </w:divBdr>
    </w:div>
    <w:div w:id="123155008">
      <w:bodyDiv w:val="1"/>
      <w:marLeft w:val="0"/>
      <w:marRight w:val="0"/>
      <w:marTop w:val="0"/>
      <w:marBottom w:val="0"/>
      <w:divBdr>
        <w:top w:val="none" w:sz="0" w:space="0" w:color="auto"/>
        <w:left w:val="none" w:sz="0" w:space="0" w:color="auto"/>
        <w:bottom w:val="none" w:sz="0" w:space="0" w:color="auto"/>
        <w:right w:val="none" w:sz="0" w:space="0" w:color="auto"/>
      </w:divBdr>
    </w:div>
    <w:div w:id="123231253">
      <w:bodyDiv w:val="1"/>
      <w:marLeft w:val="0"/>
      <w:marRight w:val="0"/>
      <w:marTop w:val="0"/>
      <w:marBottom w:val="0"/>
      <w:divBdr>
        <w:top w:val="none" w:sz="0" w:space="0" w:color="auto"/>
        <w:left w:val="none" w:sz="0" w:space="0" w:color="auto"/>
        <w:bottom w:val="none" w:sz="0" w:space="0" w:color="auto"/>
        <w:right w:val="none" w:sz="0" w:space="0" w:color="auto"/>
      </w:divBdr>
    </w:div>
    <w:div w:id="123889828">
      <w:bodyDiv w:val="1"/>
      <w:marLeft w:val="0"/>
      <w:marRight w:val="0"/>
      <w:marTop w:val="0"/>
      <w:marBottom w:val="0"/>
      <w:divBdr>
        <w:top w:val="none" w:sz="0" w:space="0" w:color="auto"/>
        <w:left w:val="none" w:sz="0" w:space="0" w:color="auto"/>
        <w:bottom w:val="none" w:sz="0" w:space="0" w:color="auto"/>
        <w:right w:val="none" w:sz="0" w:space="0" w:color="auto"/>
      </w:divBdr>
    </w:div>
    <w:div w:id="124280055">
      <w:bodyDiv w:val="1"/>
      <w:marLeft w:val="0"/>
      <w:marRight w:val="0"/>
      <w:marTop w:val="0"/>
      <w:marBottom w:val="0"/>
      <w:divBdr>
        <w:top w:val="none" w:sz="0" w:space="0" w:color="auto"/>
        <w:left w:val="none" w:sz="0" w:space="0" w:color="auto"/>
        <w:bottom w:val="none" w:sz="0" w:space="0" w:color="auto"/>
        <w:right w:val="none" w:sz="0" w:space="0" w:color="auto"/>
      </w:divBdr>
    </w:div>
    <w:div w:id="125198280">
      <w:bodyDiv w:val="1"/>
      <w:marLeft w:val="0"/>
      <w:marRight w:val="0"/>
      <w:marTop w:val="0"/>
      <w:marBottom w:val="0"/>
      <w:divBdr>
        <w:top w:val="none" w:sz="0" w:space="0" w:color="auto"/>
        <w:left w:val="none" w:sz="0" w:space="0" w:color="auto"/>
        <w:bottom w:val="none" w:sz="0" w:space="0" w:color="auto"/>
        <w:right w:val="none" w:sz="0" w:space="0" w:color="auto"/>
      </w:divBdr>
    </w:div>
    <w:div w:id="125202846">
      <w:bodyDiv w:val="1"/>
      <w:marLeft w:val="0"/>
      <w:marRight w:val="0"/>
      <w:marTop w:val="0"/>
      <w:marBottom w:val="0"/>
      <w:divBdr>
        <w:top w:val="none" w:sz="0" w:space="0" w:color="auto"/>
        <w:left w:val="none" w:sz="0" w:space="0" w:color="auto"/>
        <w:bottom w:val="none" w:sz="0" w:space="0" w:color="auto"/>
        <w:right w:val="none" w:sz="0" w:space="0" w:color="auto"/>
      </w:divBdr>
    </w:div>
    <w:div w:id="125389813">
      <w:bodyDiv w:val="1"/>
      <w:marLeft w:val="0"/>
      <w:marRight w:val="0"/>
      <w:marTop w:val="0"/>
      <w:marBottom w:val="0"/>
      <w:divBdr>
        <w:top w:val="none" w:sz="0" w:space="0" w:color="auto"/>
        <w:left w:val="none" w:sz="0" w:space="0" w:color="auto"/>
        <w:bottom w:val="none" w:sz="0" w:space="0" w:color="auto"/>
        <w:right w:val="none" w:sz="0" w:space="0" w:color="auto"/>
      </w:divBdr>
    </w:div>
    <w:div w:id="126360403">
      <w:bodyDiv w:val="1"/>
      <w:marLeft w:val="0"/>
      <w:marRight w:val="0"/>
      <w:marTop w:val="0"/>
      <w:marBottom w:val="0"/>
      <w:divBdr>
        <w:top w:val="none" w:sz="0" w:space="0" w:color="auto"/>
        <w:left w:val="none" w:sz="0" w:space="0" w:color="auto"/>
        <w:bottom w:val="none" w:sz="0" w:space="0" w:color="auto"/>
        <w:right w:val="none" w:sz="0" w:space="0" w:color="auto"/>
      </w:divBdr>
    </w:div>
    <w:div w:id="126436480">
      <w:bodyDiv w:val="1"/>
      <w:marLeft w:val="0"/>
      <w:marRight w:val="0"/>
      <w:marTop w:val="0"/>
      <w:marBottom w:val="0"/>
      <w:divBdr>
        <w:top w:val="none" w:sz="0" w:space="0" w:color="auto"/>
        <w:left w:val="none" w:sz="0" w:space="0" w:color="auto"/>
        <w:bottom w:val="none" w:sz="0" w:space="0" w:color="auto"/>
        <w:right w:val="none" w:sz="0" w:space="0" w:color="auto"/>
      </w:divBdr>
    </w:div>
    <w:div w:id="126550605">
      <w:bodyDiv w:val="1"/>
      <w:marLeft w:val="0"/>
      <w:marRight w:val="0"/>
      <w:marTop w:val="0"/>
      <w:marBottom w:val="0"/>
      <w:divBdr>
        <w:top w:val="none" w:sz="0" w:space="0" w:color="auto"/>
        <w:left w:val="none" w:sz="0" w:space="0" w:color="auto"/>
        <w:bottom w:val="none" w:sz="0" w:space="0" w:color="auto"/>
        <w:right w:val="none" w:sz="0" w:space="0" w:color="auto"/>
      </w:divBdr>
    </w:div>
    <w:div w:id="128061017">
      <w:bodyDiv w:val="1"/>
      <w:marLeft w:val="0"/>
      <w:marRight w:val="0"/>
      <w:marTop w:val="0"/>
      <w:marBottom w:val="0"/>
      <w:divBdr>
        <w:top w:val="none" w:sz="0" w:space="0" w:color="auto"/>
        <w:left w:val="none" w:sz="0" w:space="0" w:color="auto"/>
        <w:bottom w:val="none" w:sz="0" w:space="0" w:color="auto"/>
        <w:right w:val="none" w:sz="0" w:space="0" w:color="auto"/>
      </w:divBdr>
    </w:div>
    <w:div w:id="128741481">
      <w:bodyDiv w:val="1"/>
      <w:marLeft w:val="0"/>
      <w:marRight w:val="0"/>
      <w:marTop w:val="0"/>
      <w:marBottom w:val="0"/>
      <w:divBdr>
        <w:top w:val="none" w:sz="0" w:space="0" w:color="auto"/>
        <w:left w:val="none" w:sz="0" w:space="0" w:color="auto"/>
        <w:bottom w:val="none" w:sz="0" w:space="0" w:color="auto"/>
        <w:right w:val="none" w:sz="0" w:space="0" w:color="auto"/>
      </w:divBdr>
    </w:div>
    <w:div w:id="129056177">
      <w:bodyDiv w:val="1"/>
      <w:marLeft w:val="0"/>
      <w:marRight w:val="0"/>
      <w:marTop w:val="0"/>
      <w:marBottom w:val="0"/>
      <w:divBdr>
        <w:top w:val="none" w:sz="0" w:space="0" w:color="auto"/>
        <w:left w:val="none" w:sz="0" w:space="0" w:color="auto"/>
        <w:bottom w:val="none" w:sz="0" w:space="0" w:color="auto"/>
        <w:right w:val="none" w:sz="0" w:space="0" w:color="auto"/>
      </w:divBdr>
    </w:div>
    <w:div w:id="130172296">
      <w:bodyDiv w:val="1"/>
      <w:marLeft w:val="0"/>
      <w:marRight w:val="0"/>
      <w:marTop w:val="0"/>
      <w:marBottom w:val="0"/>
      <w:divBdr>
        <w:top w:val="none" w:sz="0" w:space="0" w:color="auto"/>
        <w:left w:val="none" w:sz="0" w:space="0" w:color="auto"/>
        <w:bottom w:val="none" w:sz="0" w:space="0" w:color="auto"/>
        <w:right w:val="none" w:sz="0" w:space="0" w:color="auto"/>
      </w:divBdr>
    </w:div>
    <w:div w:id="130293678">
      <w:bodyDiv w:val="1"/>
      <w:marLeft w:val="0"/>
      <w:marRight w:val="0"/>
      <w:marTop w:val="0"/>
      <w:marBottom w:val="0"/>
      <w:divBdr>
        <w:top w:val="none" w:sz="0" w:space="0" w:color="auto"/>
        <w:left w:val="none" w:sz="0" w:space="0" w:color="auto"/>
        <w:bottom w:val="none" w:sz="0" w:space="0" w:color="auto"/>
        <w:right w:val="none" w:sz="0" w:space="0" w:color="auto"/>
      </w:divBdr>
    </w:div>
    <w:div w:id="130363074">
      <w:bodyDiv w:val="1"/>
      <w:marLeft w:val="0"/>
      <w:marRight w:val="0"/>
      <w:marTop w:val="0"/>
      <w:marBottom w:val="0"/>
      <w:divBdr>
        <w:top w:val="none" w:sz="0" w:space="0" w:color="auto"/>
        <w:left w:val="none" w:sz="0" w:space="0" w:color="auto"/>
        <w:bottom w:val="none" w:sz="0" w:space="0" w:color="auto"/>
        <w:right w:val="none" w:sz="0" w:space="0" w:color="auto"/>
      </w:divBdr>
    </w:div>
    <w:div w:id="130752978">
      <w:bodyDiv w:val="1"/>
      <w:marLeft w:val="0"/>
      <w:marRight w:val="0"/>
      <w:marTop w:val="0"/>
      <w:marBottom w:val="0"/>
      <w:divBdr>
        <w:top w:val="none" w:sz="0" w:space="0" w:color="auto"/>
        <w:left w:val="none" w:sz="0" w:space="0" w:color="auto"/>
        <w:bottom w:val="none" w:sz="0" w:space="0" w:color="auto"/>
        <w:right w:val="none" w:sz="0" w:space="0" w:color="auto"/>
      </w:divBdr>
    </w:div>
    <w:div w:id="130826411">
      <w:bodyDiv w:val="1"/>
      <w:marLeft w:val="0"/>
      <w:marRight w:val="0"/>
      <w:marTop w:val="0"/>
      <w:marBottom w:val="0"/>
      <w:divBdr>
        <w:top w:val="none" w:sz="0" w:space="0" w:color="auto"/>
        <w:left w:val="none" w:sz="0" w:space="0" w:color="auto"/>
        <w:bottom w:val="none" w:sz="0" w:space="0" w:color="auto"/>
        <w:right w:val="none" w:sz="0" w:space="0" w:color="auto"/>
      </w:divBdr>
    </w:div>
    <w:div w:id="132064981">
      <w:bodyDiv w:val="1"/>
      <w:marLeft w:val="0"/>
      <w:marRight w:val="0"/>
      <w:marTop w:val="0"/>
      <w:marBottom w:val="0"/>
      <w:divBdr>
        <w:top w:val="none" w:sz="0" w:space="0" w:color="auto"/>
        <w:left w:val="none" w:sz="0" w:space="0" w:color="auto"/>
        <w:bottom w:val="none" w:sz="0" w:space="0" w:color="auto"/>
        <w:right w:val="none" w:sz="0" w:space="0" w:color="auto"/>
      </w:divBdr>
    </w:div>
    <w:div w:id="132599694">
      <w:bodyDiv w:val="1"/>
      <w:marLeft w:val="0"/>
      <w:marRight w:val="0"/>
      <w:marTop w:val="0"/>
      <w:marBottom w:val="0"/>
      <w:divBdr>
        <w:top w:val="none" w:sz="0" w:space="0" w:color="auto"/>
        <w:left w:val="none" w:sz="0" w:space="0" w:color="auto"/>
        <w:bottom w:val="none" w:sz="0" w:space="0" w:color="auto"/>
        <w:right w:val="none" w:sz="0" w:space="0" w:color="auto"/>
      </w:divBdr>
    </w:div>
    <w:div w:id="133639897">
      <w:bodyDiv w:val="1"/>
      <w:marLeft w:val="0"/>
      <w:marRight w:val="0"/>
      <w:marTop w:val="0"/>
      <w:marBottom w:val="0"/>
      <w:divBdr>
        <w:top w:val="none" w:sz="0" w:space="0" w:color="auto"/>
        <w:left w:val="none" w:sz="0" w:space="0" w:color="auto"/>
        <w:bottom w:val="none" w:sz="0" w:space="0" w:color="auto"/>
        <w:right w:val="none" w:sz="0" w:space="0" w:color="auto"/>
      </w:divBdr>
    </w:div>
    <w:div w:id="133835106">
      <w:bodyDiv w:val="1"/>
      <w:marLeft w:val="0"/>
      <w:marRight w:val="0"/>
      <w:marTop w:val="0"/>
      <w:marBottom w:val="0"/>
      <w:divBdr>
        <w:top w:val="none" w:sz="0" w:space="0" w:color="auto"/>
        <w:left w:val="none" w:sz="0" w:space="0" w:color="auto"/>
        <w:bottom w:val="none" w:sz="0" w:space="0" w:color="auto"/>
        <w:right w:val="none" w:sz="0" w:space="0" w:color="auto"/>
      </w:divBdr>
    </w:div>
    <w:div w:id="135224240">
      <w:bodyDiv w:val="1"/>
      <w:marLeft w:val="0"/>
      <w:marRight w:val="0"/>
      <w:marTop w:val="0"/>
      <w:marBottom w:val="0"/>
      <w:divBdr>
        <w:top w:val="none" w:sz="0" w:space="0" w:color="auto"/>
        <w:left w:val="none" w:sz="0" w:space="0" w:color="auto"/>
        <w:bottom w:val="none" w:sz="0" w:space="0" w:color="auto"/>
        <w:right w:val="none" w:sz="0" w:space="0" w:color="auto"/>
      </w:divBdr>
    </w:div>
    <w:div w:id="135688101">
      <w:bodyDiv w:val="1"/>
      <w:marLeft w:val="0"/>
      <w:marRight w:val="0"/>
      <w:marTop w:val="0"/>
      <w:marBottom w:val="0"/>
      <w:divBdr>
        <w:top w:val="none" w:sz="0" w:space="0" w:color="auto"/>
        <w:left w:val="none" w:sz="0" w:space="0" w:color="auto"/>
        <w:bottom w:val="none" w:sz="0" w:space="0" w:color="auto"/>
        <w:right w:val="none" w:sz="0" w:space="0" w:color="auto"/>
      </w:divBdr>
    </w:div>
    <w:div w:id="135728334">
      <w:bodyDiv w:val="1"/>
      <w:marLeft w:val="0"/>
      <w:marRight w:val="0"/>
      <w:marTop w:val="0"/>
      <w:marBottom w:val="0"/>
      <w:divBdr>
        <w:top w:val="none" w:sz="0" w:space="0" w:color="auto"/>
        <w:left w:val="none" w:sz="0" w:space="0" w:color="auto"/>
        <w:bottom w:val="none" w:sz="0" w:space="0" w:color="auto"/>
        <w:right w:val="none" w:sz="0" w:space="0" w:color="auto"/>
      </w:divBdr>
    </w:div>
    <w:div w:id="136336557">
      <w:bodyDiv w:val="1"/>
      <w:marLeft w:val="0"/>
      <w:marRight w:val="0"/>
      <w:marTop w:val="0"/>
      <w:marBottom w:val="0"/>
      <w:divBdr>
        <w:top w:val="none" w:sz="0" w:space="0" w:color="auto"/>
        <w:left w:val="none" w:sz="0" w:space="0" w:color="auto"/>
        <w:bottom w:val="none" w:sz="0" w:space="0" w:color="auto"/>
        <w:right w:val="none" w:sz="0" w:space="0" w:color="auto"/>
      </w:divBdr>
    </w:div>
    <w:div w:id="137185267">
      <w:bodyDiv w:val="1"/>
      <w:marLeft w:val="0"/>
      <w:marRight w:val="0"/>
      <w:marTop w:val="0"/>
      <w:marBottom w:val="0"/>
      <w:divBdr>
        <w:top w:val="none" w:sz="0" w:space="0" w:color="auto"/>
        <w:left w:val="none" w:sz="0" w:space="0" w:color="auto"/>
        <w:bottom w:val="none" w:sz="0" w:space="0" w:color="auto"/>
        <w:right w:val="none" w:sz="0" w:space="0" w:color="auto"/>
      </w:divBdr>
    </w:div>
    <w:div w:id="137459013">
      <w:bodyDiv w:val="1"/>
      <w:marLeft w:val="0"/>
      <w:marRight w:val="0"/>
      <w:marTop w:val="0"/>
      <w:marBottom w:val="0"/>
      <w:divBdr>
        <w:top w:val="none" w:sz="0" w:space="0" w:color="auto"/>
        <w:left w:val="none" w:sz="0" w:space="0" w:color="auto"/>
        <w:bottom w:val="none" w:sz="0" w:space="0" w:color="auto"/>
        <w:right w:val="none" w:sz="0" w:space="0" w:color="auto"/>
      </w:divBdr>
    </w:div>
    <w:div w:id="137917502">
      <w:bodyDiv w:val="1"/>
      <w:marLeft w:val="0"/>
      <w:marRight w:val="0"/>
      <w:marTop w:val="0"/>
      <w:marBottom w:val="0"/>
      <w:divBdr>
        <w:top w:val="none" w:sz="0" w:space="0" w:color="auto"/>
        <w:left w:val="none" w:sz="0" w:space="0" w:color="auto"/>
        <w:bottom w:val="none" w:sz="0" w:space="0" w:color="auto"/>
        <w:right w:val="none" w:sz="0" w:space="0" w:color="auto"/>
      </w:divBdr>
    </w:div>
    <w:div w:id="138034818">
      <w:bodyDiv w:val="1"/>
      <w:marLeft w:val="0"/>
      <w:marRight w:val="0"/>
      <w:marTop w:val="0"/>
      <w:marBottom w:val="0"/>
      <w:divBdr>
        <w:top w:val="none" w:sz="0" w:space="0" w:color="auto"/>
        <w:left w:val="none" w:sz="0" w:space="0" w:color="auto"/>
        <w:bottom w:val="none" w:sz="0" w:space="0" w:color="auto"/>
        <w:right w:val="none" w:sz="0" w:space="0" w:color="auto"/>
      </w:divBdr>
    </w:div>
    <w:div w:id="138424007">
      <w:bodyDiv w:val="1"/>
      <w:marLeft w:val="0"/>
      <w:marRight w:val="0"/>
      <w:marTop w:val="0"/>
      <w:marBottom w:val="0"/>
      <w:divBdr>
        <w:top w:val="none" w:sz="0" w:space="0" w:color="auto"/>
        <w:left w:val="none" w:sz="0" w:space="0" w:color="auto"/>
        <w:bottom w:val="none" w:sz="0" w:space="0" w:color="auto"/>
        <w:right w:val="none" w:sz="0" w:space="0" w:color="auto"/>
      </w:divBdr>
    </w:div>
    <w:div w:id="138570357">
      <w:bodyDiv w:val="1"/>
      <w:marLeft w:val="0"/>
      <w:marRight w:val="0"/>
      <w:marTop w:val="0"/>
      <w:marBottom w:val="0"/>
      <w:divBdr>
        <w:top w:val="none" w:sz="0" w:space="0" w:color="auto"/>
        <w:left w:val="none" w:sz="0" w:space="0" w:color="auto"/>
        <w:bottom w:val="none" w:sz="0" w:space="0" w:color="auto"/>
        <w:right w:val="none" w:sz="0" w:space="0" w:color="auto"/>
      </w:divBdr>
    </w:div>
    <w:div w:id="139811694">
      <w:bodyDiv w:val="1"/>
      <w:marLeft w:val="0"/>
      <w:marRight w:val="0"/>
      <w:marTop w:val="0"/>
      <w:marBottom w:val="0"/>
      <w:divBdr>
        <w:top w:val="none" w:sz="0" w:space="0" w:color="auto"/>
        <w:left w:val="none" w:sz="0" w:space="0" w:color="auto"/>
        <w:bottom w:val="none" w:sz="0" w:space="0" w:color="auto"/>
        <w:right w:val="none" w:sz="0" w:space="0" w:color="auto"/>
      </w:divBdr>
    </w:div>
    <w:div w:id="140198456">
      <w:bodyDiv w:val="1"/>
      <w:marLeft w:val="0"/>
      <w:marRight w:val="0"/>
      <w:marTop w:val="0"/>
      <w:marBottom w:val="0"/>
      <w:divBdr>
        <w:top w:val="none" w:sz="0" w:space="0" w:color="auto"/>
        <w:left w:val="none" w:sz="0" w:space="0" w:color="auto"/>
        <w:bottom w:val="none" w:sz="0" w:space="0" w:color="auto"/>
        <w:right w:val="none" w:sz="0" w:space="0" w:color="auto"/>
      </w:divBdr>
    </w:div>
    <w:div w:id="140269891">
      <w:bodyDiv w:val="1"/>
      <w:marLeft w:val="0"/>
      <w:marRight w:val="0"/>
      <w:marTop w:val="0"/>
      <w:marBottom w:val="0"/>
      <w:divBdr>
        <w:top w:val="none" w:sz="0" w:space="0" w:color="auto"/>
        <w:left w:val="none" w:sz="0" w:space="0" w:color="auto"/>
        <w:bottom w:val="none" w:sz="0" w:space="0" w:color="auto"/>
        <w:right w:val="none" w:sz="0" w:space="0" w:color="auto"/>
      </w:divBdr>
    </w:div>
    <w:div w:id="140847800">
      <w:bodyDiv w:val="1"/>
      <w:marLeft w:val="0"/>
      <w:marRight w:val="0"/>
      <w:marTop w:val="0"/>
      <w:marBottom w:val="0"/>
      <w:divBdr>
        <w:top w:val="none" w:sz="0" w:space="0" w:color="auto"/>
        <w:left w:val="none" w:sz="0" w:space="0" w:color="auto"/>
        <w:bottom w:val="none" w:sz="0" w:space="0" w:color="auto"/>
        <w:right w:val="none" w:sz="0" w:space="0" w:color="auto"/>
      </w:divBdr>
    </w:div>
    <w:div w:id="140971831">
      <w:bodyDiv w:val="1"/>
      <w:marLeft w:val="0"/>
      <w:marRight w:val="0"/>
      <w:marTop w:val="0"/>
      <w:marBottom w:val="0"/>
      <w:divBdr>
        <w:top w:val="none" w:sz="0" w:space="0" w:color="auto"/>
        <w:left w:val="none" w:sz="0" w:space="0" w:color="auto"/>
        <w:bottom w:val="none" w:sz="0" w:space="0" w:color="auto"/>
        <w:right w:val="none" w:sz="0" w:space="0" w:color="auto"/>
      </w:divBdr>
    </w:div>
    <w:div w:id="141702706">
      <w:bodyDiv w:val="1"/>
      <w:marLeft w:val="0"/>
      <w:marRight w:val="0"/>
      <w:marTop w:val="0"/>
      <w:marBottom w:val="0"/>
      <w:divBdr>
        <w:top w:val="none" w:sz="0" w:space="0" w:color="auto"/>
        <w:left w:val="none" w:sz="0" w:space="0" w:color="auto"/>
        <w:bottom w:val="none" w:sz="0" w:space="0" w:color="auto"/>
        <w:right w:val="none" w:sz="0" w:space="0" w:color="auto"/>
      </w:divBdr>
    </w:div>
    <w:div w:id="141965049">
      <w:bodyDiv w:val="1"/>
      <w:marLeft w:val="0"/>
      <w:marRight w:val="0"/>
      <w:marTop w:val="0"/>
      <w:marBottom w:val="0"/>
      <w:divBdr>
        <w:top w:val="none" w:sz="0" w:space="0" w:color="auto"/>
        <w:left w:val="none" w:sz="0" w:space="0" w:color="auto"/>
        <w:bottom w:val="none" w:sz="0" w:space="0" w:color="auto"/>
        <w:right w:val="none" w:sz="0" w:space="0" w:color="auto"/>
      </w:divBdr>
    </w:div>
    <w:div w:id="142550737">
      <w:bodyDiv w:val="1"/>
      <w:marLeft w:val="0"/>
      <w:marRight w:val="0"/>
      <w:marTop w:val="0"/>
      <w:marBottom w:val="0"/>
      <w:divBdr>
        <w:top w:val="none" w:sz="0" w:space="0" w:color="auto"/>
        <w:left w:val="none" w:sz="0" w:space="0" w:color="auto"/>
        <w:bottom w:val="none" w:sz="0" w:space="0" w:color="auto"/>
        <w:right w:val="none" w:sz="0" w:space="0" w:color="auto"/>
      </w:divBdr>
    </w:div>
    <w:div w:id="142702808">
      <w:bodyDiv w:val="1"/>
      <w:marLeft w:val="0"/>
      <w:marRight w:val="0"/>
      <w:marTop w:val="0"/>
      <w:marBottom w:val="0"/>
      <w:divBdr>
        <w:top w:val="none" w:sz="0" w:space="0" w:color="auto"/>
        <w:left w:val="none" w:sz="0" w:space="0" w:color="auto"/>
        <w:bottom w:val="none" w:sz="0" w:space="0" w:color="auto"/>
        <w:right w:val="none" w:sz="0" w:space="0" w:color="auto"/>
      </w:divBdr>
    </w:div>
    <w:div w:id="142818276">
      <w:bodyDiv w:val="1"/>
      <w:marLeft w:val="0"/>
      <w:marRight w:val="0"/>
      <w:marTop w:val="0"/>
      <w:marBottom w:val="0"/>
      <w:divBdr>
        <w:top w:val="none" w:sz="0" w:space="0" w:color="auto"/>
        <w:left w:val="none" w:sz="0" w:space="0" w:color="auto"/>
        <w:bottom w:val="none" w:sz="0" w:space="0" w:color="auto"/>
        <w:right w:val="none" w:sz="0" w:space="0" w:color="auto"/>
      </w:divBdr>
    </w:div>
    <w:div w:id="143157663">
      <w:bodyDiv w:val="1"/>
      <w:marLeft w:val="0"/>
      <w:marRight w:val="0"/>
      <w:marTop w:val="0"/>
      <w:marBottom w:val="0"/>
      <w:divBdr>
        <w:top w:val="none" w:sz="0" w:space="0" w:color="auto"/>
        <w:left w:val="none" w:sz="0" w:space="0" w:color="auto"/>
        <w:bottom w:val="none" w:sz="0" w:space="0" w:color="auto"/>
        <w:right w:val="none" w:sz="0" w:space="0" w:color="auto"/>
      </w:divBdr>
    </w:div>
    <w:div w:id="143399168">
      <w:bodyDiv w:val="1"/>
      <w:marLeft w:val="0"/>
      <w:marRight w:val="0"/>
      <w:marTop w:val="0"/>
      <w:marBottom w:val="0"/>
      <w:divBdr>
        <w:top w:val="none" w:sz="0" w:space="0" w:color="auto"/>
        <w:left w:val="none" w:sz="0" w:space="0" w:color="auto"/>
        <w:bottom w:val="none" w:sz="0" w:space="0" w:color="auto"/>
        <w:right w:val="none" w:sz="0" w:space="0" w:color="auto"/>
      </w:divBdr>
    </w:div>
    <w:div w:id="144247188">
      <w:bodyDiv w:val="1"/>
      <w:marLeft w:val="0"/>
      <w:marRight w:val="0"/>
      <w:marTop w:val="0"/>
      <w:marBottom w:val="0"/>
      <w:divBdr>
        <w:top w:val="none" w:sz="0" w:space="0" w:color="auto"/>
        <w:left w:val="none" w:sz="0" w:space="0" w:color="auto"/>
        <w:bottom w:val="none" w:sz="0" w:space="0" w:color="auto"/>
        <w:right w:val="none" w:sz="0" w:space="0" w:color="auto"/>
      </w:divBdr>
    </w:div>
    <w:div w:id="144516299">
      <w:bodyDiv w:val="1"/>
      <w:marLeft w:val="0"/>
      <w:marRight w:val="0"/>
      <w:marTop w:val="0"/>
      <w:marBottom w:val="0"/>
      <w:divBdr>
        <w:top w:val="none" w:sz="0" w:space="0" w:color="auto"/>
        <w:left w:val="none" w:sz="0" w:space="0" w:color="auto"/>
        <w:bottom w:val="none" w:sz="0" w:space="0" w:color="auto"/>
        <w:right w:val="none" w:sz="0" w:space="0" w:color="auto"/>
      </w:divBdr>
    </w:div>
    <w:div w:id="144931032">
      <w:bodyDiv w:val="1"/>
      <w:marLeft w:val="0"/>
      <w:marRight w:val="0"/>
      <w:marTop w:val="0"/>
      <w:marBottom w:val="0"/>
      <w:divBdr>
        <w:top w:val="none" w:sz="0" w:space="0" w:color="auto"/>
        <w:left w:val="none" w:sz="0" w:space="0" w:color="auto"/>
        <w:bottom w:val="none" w:sz="0" w:space="0" w:color="auto"/>
        <w:right w:val="none" w:sz="0" w:space="0" w:color="auto"/>
      </w:divBdr>
    </w:div>
    <w:div w:id="146434314">
      <w:bodyDiv w:val="1"/>
      <w:marLeft w:val="0"/>
      <w:marRight w:val="0"/>
      <w:marTop w:val="0"/>
      <w:marBottom w:val="0"/>
      <w:divBdr>
        <w:top w:val="none" w:sz="0" w:space="0" w:color="auto"/>
        <w:left w:val="none" w:sz="0" w:space="0" w:color="auto"/>
        <w:bottom w:val="none" w:sz="0" w:space="0" w:color="auto"/>
        <w:right w:val="none" w:sz="0" w:space="0" w:color="auto"/>
      </w:divBdr>
    </w:div>
    <w:div w:id="146484416">
      <w:bodyDiv w:val="1"/>
      <w:marLeft w:val="0"/>
      <w:marRight w:val="0"/>
      <w:marTop w:val="0"/>
      <w:marBottom w:val="0"/>
      <w:divBdr>
        <w:top w:val="none" w:sz="0" w:space="0" w:color="auto"/>
        <w:left w:val="none" w:sz="0" w:space="0" w:color="auto"/>
        <w:bottom w:val="none" w:sz="0" w:space="0" w:color="auto"/>
        <w:right w:val="none" w:sz="0" w:space="0" w:color="auto"/>
      </w:divBdr>
    </w:div>
    <w:div w:id="146558479">
      <w:bodyDiv w:val="1"/>
      <w:marLeft w:val="0"/>
      <w:marRight w:val="0"/>
      <w:marTop w:val="0"/>
      <w:marBottom w:val="0"/>
      <w:divBdr>
        <w:top w:val="none" w:sz="0" w:space="0" w:color="auto"/>
        <w:left w:val="none" w:sz="0" w:space="0" w:color="auto"/>
        <w:bottom w:val="none" w:sz="0" w:space="0" w:color="auto"/>
        <w:right w:val="none" w:sz="0" w:space="0" w:color="auto"/>
      </w:divBdr>
    </w:div>
    <w:div w:id="147598609">
      <w:bodyDiv w:val="1"/>
      <w:marLeft w:val="0"/>
      <w:marRight w:val="0"/>
      <w:marTop w:val="0"/>
      <w:marBottom w:val="0"/>
      <w:divBdr>
        <w:top w:val="none" w:sz="0" w:space="0" w:color="auto"/>
        <w:left w:val="none" w:sz="0" w:space="0" w:color="auto"/>
        <w:bottom w:val="none" w:sz="0" w:space="0" w:color="auto"/>
        <w:right w:val="none" w:sz="0" w:space="0" w:color="auto"/>
      </w:divBdr>
    </w:div>
    <w:div w:id="147867928">
      <w:bodyDiv w:val="1"/>
      <w:marLeft w:val="0"/>
      <w:marRight w:val="0"/>
      <w:marTop w:val="0"/>
      <w:marBottom w:val="0"/>
      <w:divBdr>
        <w:top w:val="none" w:sz="0" w:space="0" w:color="auto"/>
        <w:left w:val="none" w:sz="0" w:space="0" w:color="auto"/>
        <w:bottom w:val="none" w:sz="0" w:space="0" w:color="auto"/>
        <w:right w:val="none" w:sz="0" w:space="0" w:color="auto"/>
      </w:divBdr>
    </w:div>
    <w:div w:id="147940572">
      <w:bodyDiv w:val="1"/>
      <w:marLeft w:val="0"/>
      <w:marRight w:val="0"/>
      <w:marTop w:val="0"/>
      <w:marBottom w:val="0"/>
      <w:divBdr>
        <w:top w:val="none" w:sz="0" w:space="0" w:color="auto"/>
        <w:left w:val="none" w:sz="0" w:space="0" w:color="auto"/>
        <w:bottom w:val="none" w:sz="0" w:space="0" w:color="auto"/>
        <w:right w:val="none" w:sz="0" w:space="0" w:color="auto"/>
      </w:divBdr>
    </w:div>
    <w:div w:id="147981742">
      <w:bodyDiv w:val="1"/>
      <w:marLeft w:val="0"/>
      <w:marRight w:val="0"/>
      <w:marTop w:val="0"/>
      <w:marBottom w:val="0"/>
      <w:divBdr>
        <w:top w:val="none" w:sz="0" w:space="0" w:color="auto"/>
        <w:left w:val="none" w:sz="0" w:space="0" w:color="auto"/>
        <w:bottom w:val="none" w:sz="0" w:space="0" w:color="auto"/>
        <w:right w:val="none" w:sz="0" w:space="0" w:color="auto"/>
      </w:divBdr>
    </w:div>
    <w:div w:id="148520255">
      <w:bodyDiv w:val="1"/>
      <w:marLeft w:val="0"/>
      <w:marRight w:val="0"/>
      <w:marTop w:val="0"/>
      <w:marBottom w:val="0"/>
      <w:divBdr>
        <w:top w:val="none" w:sz="0" w:space="0" w:color="auto"/>
        <w:left w:val="none" w:sz="0" w:space="0" w:color="auto"/>
        <w:bottom w:val="none" w:sz="0" w:space="0" w:color="auto"/>
        <w:right w:val="none" w:sz="0" w:space="0" w:color="auto"/>
      </w:divBdr>
    </w:div>
    <w:div w:id="148713810">
      <w:bodyDiv w:val="1"/>
      <w:marLeft w:val="0"/>
      <w:marRight w:val="0"/>
      <w:marTop w:val="0"/>
      <w:marBottom w:val="0"/>
      <w:divBdr>
        <w:top w:val="none" w:sz="0" w:space="0" w:color="auto"/>
        <w:left w:val="none" w:sz="0" w:space="0" w:color="auto"/>
        <w:bottom w:val="none" w:sz="0" w:space="0" w:color="auto"/>
        <w:right w:val="none" w:sz="0" w:space="0" w:color="auto"/>
      </w:divBdr>
    </w:div>
    <w:div w:id="148717597">
      <w:bodyDiv w:val="1"/>
      <w:marLeft w:val="0"/>
      <w:marRight w:val="0"/>
      <w:marTop w:val="0"/>
      <w:marBottom w:val="0"/>
      <w:divBdr>
        <w:top w:val="none" w:sz="0" w:space="0" w:color="auto"/>
        <w:left w:val="none" w:sz="0" w:space="0" w:color="auto"/>
        <w:bottom w:val="none" w:sz="0" w:space="0" w:color="auto"/>
        <w:right w:val="none" w:sz="0" w:space="0" w:color="auto"/>
      </w:divBdr>
    </w:div>
    <w:div w:id="149249867">
      <w:bodyDiv w:val="1"/>
      <w:marLeft w:val="0"/>
      <w:marRight w:val="0"/>
      <w:marTop w:val="0"/>
      <w:marBottom w:val="0"/>
      <w:divBdr>
        <w:top w:val="none" w:sz="0" w:space="0" w:color="auto"/>
        <w:left w:val="none" w:sz="0" w:space="0" w:color="auto"/>
        <w:bottom w:val="none" w:sz="0" w:space="0" w:color="auto"/>
        <w:right w:val="none" w:sz="0" w:space="0" w:color="auto"/>
      </w:divBdr>
    </w:div>
    <w:div w:id="149684340">
      <w:bodyDiv w:val="1"/>
      <w:marLeft w:val="0"/>
      <w:marRight w:val="0"/>
      <w:marTop w:val="0"/>
      <w:marBottom w:val="0"/>
      <w:divBdr>
        <w:top w:val="none" w:sz="0" w:space="0" w:color="auto"/>
        <w:left w:val="none" w:sz="0" w:space="0" w:color="auto"/>
        <w:bottom w:val="none" w:sz="0" w:space="0" w:color="auto"/>
        <w:right w:val="none" w:sz="0" w:space="0" w:color="auto"/>
      </w:divBdr>
    </w:div>
    <w:div w:id="149686198">
      <w:bodyDiv w:val="1"/>
      <w:marLeft w:val="0"/>
      <w:marRight w:val="0"/>
      <w:marTop w:val="0"/>
      <w:marBottom w:val="0"/>
      <w:divBdr>
        <w:top w:val="none" w:sz="0" w:space="0" w:color="auto"/>
        <w:left w:val="none" w:sz="0" w:space="0" w:color="auto"/>
        <w:bottom w:val="none" w:sz="0" w:space="0" w:color="auto"/>
        <w:right w:val="none" w:sz="0" w:space="0" w:color="auto"/>
      </w:divBdr>
    </w:div>
    <w:div w:id="150173945">
      <w:bodyDiv w:val="1"/>
      <w:marLeft w:val="0"/>
      <w:marRight w:val="0"/>
      <w:marTop w:val="0"/>
      <w:marBottom w:val="0"/>
      <w:divBdr>
        <w:top w:val="none" w:sz="0" w:space="0" w:color="auto"/>
        <w:left w:val="none" w:sz="0" w:space="0" w:color="auto"/>
        <w:bottom w:val="none" w:sz="0" w:space="0" w:color="auto"/>
        <w:right w:val="none" w:sz="0" w:space="0" w:color="auto"/>
      </w:divBdr>
    </w:div>
    <w:div w:id="150341459">
      <w:bodyDiv w:val="1"/>
      <w:marLeft w:val="0"/>
      <w:marRight w:val="0"/>
      <w:marTop w:val="0"/>
      <w:marBottom w:val="0"/>
      <w:divBdr>
        <w:top w:val="none" w:sz="0" w:space="0" w:color="auto"/>
        <w:left w:val="none" w:sz="0" w:space="0" w:color="auto"/>
        <w:bottom w:val="none" w:sz="0" w:space="0" w:color="auto"/>
        <w:right w:val="none" w:sz="0" w:space="0" w:color="auto"/>
      </w:divBdr>
    </w:div>
    <w:div w:id="150367706">
      <w:bodyDiv w:val="1"/>
      <w:marLeft w:val="0"/>
      <w:marRight w:val="0"/>
      <w:marTop w:val="0"/>
      <w:marBottom w:val="0"/>
      <w:divBdr>
        <w:top w:val="none" w:sz="0" w:space="0" w:color="auto"/>
        <w:left w:val="none" w:sz="0" w:space="0" w:color="auto"/>
        <w:bottom w:val="none" w:sz="0" w:space="0" w:color="auto"/>
        <w:right w:val="none" w:sz="0" w:space="0" w:color="auto"/>
      </w:divBdr>
    </w:div>
    <w:div w:id="151260308">
      <w:bodyDiv w:val="1"/>
      <w:marLeft w:val="0"/>
      <w:marRight w:val="0"/>
      <w:marTop w:val="0"/>
      <w:marBottom w:val="0"/>
      <w:divBdr>
        <w:top w:val="none" w:sz="0" w:space="0" w:color="auto"/>
        <w:left w:val="none" w:sz="0" w:space="0" w:color="auto"/>
        <w:bottom w:val="none" w:sz="0" w:space="0" w:color="auto"/>
        <w:right w:val="none" w:sz="0" w:space="0" w:color="auto"/>
      </w:divBdr>
    </w:div>
    <w:div w:id="152261267">
      <w:bodyDiv w:val="1"/>
      <w:marLeft w:val="0"/>
      <w:marRight w:val="0"/>
      <w:marTop w:val="0"/>
      <w:marBottom w:val="0"/>
      <w:divBdr>
        <w:top w:val="none" w:sz="0" w:space="0" w:color="auto"/>
        <w:left w:val="none" w:sz="0" w:space="0" w:color="auto"/>
        <w:bottom w:val="none" w:sz="0" w:space="0" w:color="auto"/>
        <w:right w:val="none" w:sz="0" w:space="0" w:color="auto"/>
      </w:divBdr>
    </w:div>
    <w:div w:id="152380125">
      <w:bodyDiv w:val="1"/>
      <w:marLeft w:val="0"/>
      <w:marRight w:val="0"/>
      <w:marTop w:val="0"/>
      <w:marBottom w:val="0"/>
      <w:divBdr>
        <w:top w:val="none" w:sz="0" w:space="0" w:color="auto"/>
        <w:left w:val="none" w:sz="0" w:space="0" w:color="auto"/>
        <w:bottom w:val="none" w:sz="0" w:space="0" w:color="auto"/>
        <w:right w:val="none" w:sz="0" w:space="0" w:color="auto"/>
      </w:divBdr>
    </w:div>
    <w:div w:id="152719659">
      <w:bodyDiv w:val="1"/>
      <w:marLeft w:val="0"/>
      <w:marRight w:val="0"/>
      <w:marTop w:val="0"/>
      <w:marBottom w:val="0"/>
      <w:divBdr>
        <w:top w:val="none" w:sz="0" w:space="0" w:color="auto"/>
        <w:left w:val="none" w:sz="0" w:space="0" w:color="auto"/>
        <w:bottom w:val="none" w:sz="0" w:space="0" w:color="auto"/>
        <w:right w:val="none" w:sz="0" w:space="0" w:color="auto"/>
      </w:divBdr>
    </w:div>
    <w:div w:id="154150374">
      <w:bodyDiv w:val="1"/>
      <w:marLeft w:val="0"/>
      <w:marRight w:val="0"/>
      <w:marTop w:val="0"/>
      <w:marBottom w:val="0"/>
      <w:divBdr>
        <w:top w:val="none" w:sz="0" w:space="0" w:color="auto"/>
        <w:left w:val="none" w:sz="0" w:space="0" w:color="auto"/>
        <w:bottom w:val="none" w:sz="0" w:space="0" w:color="auto"/>
        <w:right w:val="none" w:sz="0" w:space="0" w:color="auto"/>
      </w:divBdr>
    </w:div>
    <w:div w:id="154229479">
      <w:bodyDiv w:val="1"/>
      <w:marLeft w:val="0"/>
      <w:marRight w:val="0"/>
      <w:marTop w:val="0"/>
      <w:marBottom w:val="0"/>
      <w:divBdr>
        <w:top w:val="none" w:sz="0" w:space="0" w:color="auto"/>
        <w:left w:val="none" w:sz="0" w:space="0" w:color="auto"/>
        <w:bottom w:val="none" w:sz="0" w:space="0" w:color="auto"/>
        <w:right w:val="none" w:sz="0" w:space="0" w:color="auto"/>
      </w:divBdr>
    </w:div>
    <w:div w:id="154271818">
      <w:bodyDiv w:val="1"/>
      <w:marLeft w:val="0"/>
      <w:marRight w:val="0"/>
      <w:marTop w:val="0"/>
      <w:marBottom w:val="0"/>
      <w:divBdr>
        <w:top w:val="none" w:sz="0" w:space="0" w:color="auto"/>
        <w:left w:val="none" w:sz="0" w:space="0" w:color="auto"/>
        <w:bottom w:val="none" w:sz="0" w:space="0" w:color="auto"/>
        <w:right w:val="none" w:sz="0" w:space="0" w:color="auto"/>
      </w:divBdr>
    </w:div>
    <w:div w:id="154497470">
      <w:bodyDiv w:val="1"/>
      <w:marLeft w:val="0"/>
      <w:marRight w:val="0"/>
      <w:marTop w:val="0"/>
      <w:marBottom w:val="0"/>
      <w:divBdr>
        <w:top w:val="none" w:sz="0" w:space="0" w:color="auto"/>
        <w:left w:val="none" w:sz="0" w:space="0" w:color="auto"/>
        <w:bottom w:val="none" w:sz="0" w:space="0" w:color="auto"/>
        <w:right w:val="none" w:sz="0" w:space="0" w:color="auto"/>
      </w:divBdr>
    </w:div>
    <w:div w:id="155610337">
      <w:bodyDiv w:val="1"/>
      <w:marLeft w:val="0"/>
      <w:marRight w:val="0"/>
      <w:marTop w:val="0"/>
      <w:marBottom w:val="0"/>
      <w:divBdr>
        <w:top w:val="none" w:sz="0" w:space="0" w:color="auto"/>
        <w:left w:val="none" w:sz="0" w:space="0" w:color="auto"/>
        <w:bottom w:val="none" w:sz="0" w:space="0" w:color="auto"/>
        <w:right w:val="none" w:sz="0" w:space="0" w:color="auto"/>
      </w:divBdr>
    </w:div>
    <w:div w:id="156114466">
      <w:bodyDiv w:val="1"/>
      <w:marLeft w:val="0"/>
      <w:marRight w:val="0"/>
      <w:marTop w:val="0"/>
      <w:marBottom w:val="0"/>
      <w:divBdr>
        <w:top w:val="none" w:sz="0" w:space="0" w:color="auto"/>
        <w:left w:val="none" w:sz="0" w:space="0" w:color="auto"/>
        <w:bottom w:val="none" w:sz="0" w:space="0" w:color="auto"/>
        <w:right w:val="none" w:sz="0" w:space="0" w:color="auto"/>
      </w:divBdr>
    </w:div>
    <w:div w:id="158427457">
      <w:bodyDiv w:val="1"/>
      <w:marLeft w:val="0"/>
      <w:marRight w:val="0"/>
      <w:marTop w:val="0"/>
      <w:marBottom w:val="0"/>
      <w:divBdr>
        <w:top w:val="none" w:sz="0" w:space="0" w:color="auto"/>
        <w:left w:val="none" w:sz="0" w:space="0" w:color="auto"/>
        <w:bottom w:val="none" w:sz="0" w:space="0" w:color="auto"/>
        <w:right w:val="none" w:sz="0" w:space="0" w:color="auto"/>
      </w:divBdr>
    </w:div>
    <w:div w:id="158544560">
      <w:bodyDiv w:val="1"/>
      <w:marLeft w:val="0"/>
      <w:marRight w:val="0"/>
      <w:marTop w:val="0"/>
      <w:marBottom w:val="0"/>
      <w:divBdr>
        <w:top w:val="none" w:sz="0" w:space="0" w:color="auto"/>
        <w:left w:val="none" w:sz="0" w:space="0" w:color="auto"/>
        <w:bottom w:val="none" w:sz="0" w:space="0" w:color="auto"/>
        <w:right w:val="none" w:sz="0" w:space="0" w:color="auto"/>
      </w:divBdr>
    </w:div>
    <w:div w:id="158546257">
      <w:bodyDiv w:val="1"/>
      <w:marLeft w:val="0"/>
      <w:marRight w:val="0"/>
      <w:marTop w:val="0"/>
      <w:marBottom w:val="0"/>
      <w:divBdr>
        <w:top w:val="none" w:sz="0" w:space="0" w:color="auto"/>
        <w:left w:val="none" w:sz="0" w:space="0" w:color="auto"/>
        <w:bottom w:val="none" w:sz="0" w:space="0" w:color="auto"/>
        <w:right w:val="none" w:sz="0" w:space="0" w:color="auto"/>
      </w:divBdr>
    </w:div>
    <w:div w:id="158663285">
      <w:bodyDiv w:val="1"/>
      <w:marLeft w:val="0"/>
      <w:marRight w:val="0"/>
      <w:marTop w:val="0"/>
      <w:marBottom w:val="0"/>
      <w:divBdr>
        <w:top w:val="none" w:sz="0" w:space="0" w:color="auto"/>
        <w:left w:val="none" w:sz="0" w:space="0" w:color="auto"/>
        <w:bottom w:val="none" w:sz="0" w:space="0" w:color="auto"/>
        <w:right w:val="none" w:sz="0" w:space="0" w:color="auto"/>
      </w:divBdr>
    </w:div>
    <w:div w:id="159322122">
      <w:bodyDiv w:val="1"/>
      <w:marLeft w:val="0"/>
      <w:marRight w:val="0"/>
      <w:marTop w:val="0"/>
      <w:marBottom w:val="0"/>
      <w:divBdr>
        <w:top w:val="none" w:sz="0" w:space="0" w:color="auto"/>
        <w:left w:val="none" w:sz="0" w:space="0" w:color="auto"/>
        <w:bottom w:val="none" w:sz="0" w:space="0" w:color="auto"/>
        <w:right w:val="none" w:sz="0" w:space="0" w:color="auto"/>
      </w:divBdr>
    </w:div>
    <w:div w:id="159665626">
      <w:bodyDiv w:val="1"/>
      <w:marLeft w:val="0"/>
      <w:marRight w:val="0"/>
      <w:marTop w:val="0"/>
      <w:marBottom w:val="0"/>
      <w:divBdr>
        <w:top w:val="none" w:sz="0" w:space="0" w:color="auto"/>
        <w:left w:val="none" w:sz="0" w:space="0" w:color="auto"/>
        <w:bottom w:val="none" w:sz="0" w:space="0" w:color="auto"/>
        <w:right w:val="none" w:sz="0" w:space="0" w:color="auto"/>
      </w:divBdr>
    </w:div>
    <w:div w:id="159734739">
      <w:bodyDiv w:val="1"/>
      <w:marLeft w:val="0"/>
      <w:marRight w:val="0"/>
      <w:marTop w:val="0"/>
      <w:marBottom w:val="0"/>
      <w:divBdr>
        <w:top w:val="none" w:sz="0" w:space="0" w:color="auto"/>
        <w:left w:val="none" w:sz="0" w:space="0" w:color="auto"/>
        <w:bottom w:val="none" w:sz="0" w:space="0" w:color="auto"/>
        <w:right w:val="none" w:sz="0" w:space="0" w:color="auto"/>
      </w:divBdr>
    </w:div>
    <w:div w:id="159927136">
      <w:bodyDiv w:val="1"/>
      <w:marLeft w:val="0"/>
      <w:marRight w:val="0"/>
      <w:marTop w:val="0"/>
      <w:marBottom w:val="0"/>
      <w:divBdr>
        <w:top w:val="none" w:sz="0" w:space="0" w:color="auto"/>
        <w:left w:val="none" w:sz="0" w:space="0" w:color="auto"/>
        <w:bottom w:val="none" w:sz="0" w:space="0" w:color="auto"/>
        <w:right w:val="none" w:sz="0" w:space="0" w:color="auto"/>
      </w:divBdr>
    </w:div>
    <w:div w:id="160239771">
      <w:bodyDiv w:val="1"/>
      <w:marLeft w:val="0"/>
      <w:marRight w:val="0"/>
      <w:marTop w:val="0"/>
      <w:marBottom w:val="0"/>
      <w:divBdr>
        <w:top w:val="none" w:sz="0" w:space="0" w:color="auto"/>
        <w:left w:val="none" w:sz="0" w:space="0" w:color="auto"/>
        <w:bottom w:val="none" w:sz="0" w:space="0" w:color="auto"/>
        <w:right w:val="none" w:sz="0" w:space="0" w:color="auto"/>
      </w:divBdr>
    </w:div>
    <w:div w:id="160243353">
      <w:bodyDiv w:val="1"/>
      <w:marLeft w:val="0"/>
      <w:marRight w:val="0"/>
      <w:marTop w:val="0"/>
      <w:marBottom w:val="0"/>
      <w:divBdr>
        <w:top w:val="none" w:sz="0" w:space="0" w:color="auto"/>
        <w:left w:val="none" w:sz="0" w:space="0" w:color="auto"/>
        <w:bottom w:val="none" w:sz="0" w:space="0" w:color="auto"/>
        <w:right w:val="none" w:sz="0" w:space="0" w:color="auto"/>
      </w:divBdr>
    </w:div>
    <w:div w:id="161090298">
      <w:bodyDiv w:val="1"/>
      <w:marLeft w:val="0"/>
      <w:marRight w:val="0"/>
      <w:marTop w:val="0"/>
      <w:marBottom w:val="0"/>
      <w:divBdr>
        <w:top w:val="none" w:sz="0" w:space="0" w:color="auto"/>
        <w:left w:val="none" w:sz="0" w:space="0" w:color="auto"/>
        <w:bottom w:val="none" w:sz="0" w:space="0" w:color="auto"/>
        <w:right w:val="none" w:sz="0" w:space="0" w:color="auto"/>
      </w:divBdr>
    </w:div>
    <w:div w:id="161555494">
      <w:bodyDiv w:val="1"/>
      <w:marLeft w:val="0"/>
      <w:marRight w:val="0"/>
      <w:marTop w:val="0"/>
      <w:marBottom w:val="0"/>
      <w:divBdr>
        <w:top w:val="none" w:sz="0" w:space="0" w:color="auto"/>
        <w:left w:val="none" w:sz="0" w:space="0" w:color="auto"/>
        <w:bottom w:val="none" w:sz="0" w:space="0" w:color="auto"/>
        <w:right w:val="none" w:sz="0" w:space="0" w:color="auto"/>
      </w:divBdr>
    </w:div>
    <w:div w:id="162011705">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62665415">
      <w:bodyDiv w:val="1"/>
      <w:marLeft w:val="0"/>
      <w:marRight w:val="0"/>
      <w:marTop w:val="0"/>
      <w:marBottom w:val="0"/>
      <w:divBdr>
        <w:top w:val="none" w:sz="0" w:space="0" w:color="auto"/>
        <w:left w:val="none" w:sz="0" w:space="0" w:color="auto"/>
        <w:bottom w:val="none" w:sz="0" w:space="0" w:color="auto"/>
        <w:right w:val="none" w:sz="0" w:space="0" w:color="auto"/>
      </w:divBdr>
    </w:div>
    <w:div w:id="163202535">
      <w:bodyDiv w:val="1"/>
      <w:marLeft w:val="0"/>
      <w:marRight w:val="0"/>
      <w:marTop w:val="0"/>
      <w:marBottom w:val="0"/>
      <w:divBdr>
        <w:top w:val="none" w:sz="0" w:space="0" w:color="auto"/>
        <w:left w:val="none" w:sz="0" w:space="0" w:color="auto"/>
        <w:bottom w:val="none" w:sz="0" w:space="0" w:color="auto"/>
        <w:right w:val="none" w:sz="0" w:space="0" w:color="auto"/>
      </w:divBdr>
    </w:div>
    <w:div w:id="163253231">
      <w:bodyDiv w:val="1"/>
      <w:marLeft w:val="0"/>
      <w:marRight w:val="0"/>
      <w:marTop w:val="0"/>
      <w:marBottom w:val="0"/>
      <w:divBdr>
        <w:top w:val="none" w:sz="0" w:space="0" w:color="auto"/>
        <w:left w:val="none" w:sz="0" w:space="0" w:color="auto"/>
        <w:bottom w:val="none" w:sz="0" w:space="0" w:color="auto"/>
        <w:right w:val="none" w:sz="0" w:space="0" w:color="auto"/>
      </w:divBdr>
    </w:div>
    <w:div w:id="164170105">
      <w:bodyDiv w:val="1"/>
      <w:marLeft w:val="0"/>
      <w:marRight w:val="0"/>
      <w:marTop w:val="0"/>
      <w:marBottom w:val="0"/>
      <w:divBdr>
        <w:top w:val="none" w:sz="0" w:space="0" w:color="auto"/>
        <w:left w:val="none" w:sz="0" w:space="0" w:color="auto"/>
        <w:bottom w:val="none" w:sz="0" w:space="0" w:color="auto"/>
        <w:right w:val="none" w:sz="0" w:space="0" w:color="auto"/>
      </w:divBdr>
    </w:div>
    <w:div w:id="164321486">
      <w:bodyDiv w:val="1"/>
      <w:marLeft w:val="0"/>
      <w:marRight w:val="0"/>
      <w:marTop w:val="0"/>
      <w:marBottom w:val="0"/>
      <w:divBdr>
        <w:top w:val="none" w:sz="0" w:space="0" w:color="auto"/>
        <w:left w:val="none" w:sz="0" w:space="0" w:color="auto"/>
        <w:bottom w:val="none" w:sz="0" w:space="0" w:color="auto"/>
        <w:right w:val="none" w:sz="0" w:space="0" w:color="auto"/>
      </w:divBdr>
    </w:div>
    <w:div w:id="164446078">
      <w:bodyDiv w:val="1"/>
      <w:marLeft w:val="0"/>
      <w:marRight w:val="0"/>
      <w:marTop w:val="0"/>
      <w:marBottom w:val="0"/>
      <w:divBdr>
        <w:top w:val="none" w:sz="0" w:space="0" w:color="auto"/>
        <w:left w:val="none" w:sz="0" w:space="0" w:color="auto"/>
        <w:bottom w:val="none" w:sz="0" w:space="0" w:color="auto"/>
        <w:right w:val="none" w:sz="0" w:space="0" w:color="auto"/>
      </w:divBdr>
    </w:div>
    <w:div w:id="164517793">
      <w:bodyDiv w:val="1"/>
      <w:marLeft w:val="0"/>
      <w:marRight w:val="0"/>
      <w:marTop w:val="0"/>
      <w:marBottom w:val="0"/>
      <w:divBdr>
        <w:top w:val="none" w:sz="0" w:space="0" w:color="auto"/>
        <w:left w:val="none" w:sz="0" w:space="0" w:color="auto"/>
        <w:bottom w:val="none" w:sz="0" w:space="0" w:color="auto"/>
        <w:right w:val="none" w:sz="0" w:space="0" w:color="auto"/>
      </w:divBdr>
    </w:div>
    <w:div w:id="164831961">
      <w:bodyDiv w:val="1"/>
      <w:marLeft w:val="0"/>
      <w:marRight w:val="0"/>
      <w:marTop w:val="0"/>
      <w:marBottom w:val="0"/>
      <w:divBdr>
        <w:top w:val="none" w:sz="0" w:space="0" w:color="auto"/>
        <w:left w:val="none" w:sz="0" w:space="0" w:color="auto"/>
        <w:bottom w:val="none" w:sz="0" w:space="0" w:color="auto"/>
        <w:right w:val="none" w:sz="0" w:space="0" w:color="auto"/>
      </w:divBdr>
    </w:div>
    <w:div w:id="165247226">
      <w:bodyDiv w:val="1"/>
      <w:marLeft w:val="0"/>
      <w:marRight w:val="0"/>
      <w:marTop w:val="0"/>
      <w:marBottom w:val="0"/>
      <w:divBdr>
        <w:top w:val="none" w:sz="0" w:space="0" w:color="auto"/>
        <w:left w:val="none" w:sz="0" w:space="0" w:color="auto"/>
        <w:bottom w:val="none" w:sz="0" w:space="0" w:color="auto"/>
        <w:right w:val="none" w:sz="0" w:space="0" w:color="auto"/>
      </w:divBdr>
    </w:div>
    <w:div w:id="166597103">
      <w:bodyDiv w:val="1"/>
      <w:marLeft w:val="0"/>
      <w:marRight w:val="0"/>
      <w:marTop w:val="0"/>
      <w:marBottom w:val="0"/>
      <w:divBdr>
        <w:top w:val="none" w:sz="0" w:space="0" w:color="auto"/>
        <w:left w:val="none" w:sz="0" w:space="0" w:color="auto"/>
        <w:bottom w:val="none" w:sz="0" w:space="0" w:color="auto"/>
        <w:right w:val="none" w:sz="0" w:space="0" w:color="auto"/>
      </w:divBdr>
    </w:div>
    <w:div w:id="166750930">
      <w:bodyDiv w:val="1"/>
      <w:marLeft w:val="0"/>
      <w:marRight w:val="0"/>
      <w:marTop w:val="0"/>
      <w:marBottom w:val="0"/>
      <w:divBdr>
        <w:top w:val="none" w:sz="0" w:space="0" w:color="auto"/>
        <w:left w:val="none" w:sz="0" w:space="0" w:color="auto"/>
        <w:bottom w:val="none" w:sz="0" w:space="0" w:color="auto"/>
        <w:right w:val="none" w:sz="0" w:space="0" w:color="auto"/>
      </w:divBdr>
    </w:div>
    <w:div w:id="166949108">
      <w:bodyDiv w:val="1"/>
      <w:marLeft w:val="0"/>
      <w:marRight w:val="0"/>
      <w:marTop w:val="0"/>
      <w:marBottom w:val="0"/>
      <w:divBdr>
        <w:top w:val="none" w:sz="0" w:space="0" w:color="auto"/>
        <w:left w:val="none" w:sz="0" w:space="0" w:color="auto"/>
        <w:bottom w:val="none" w:sz="0" w:space="0" w:color="auto"/>
        <w:right w:val="none" w:sz="0" w:space="0" w:color="auto"/>
      </w:divBdr>
    </w:div>
    <w:div w:id="167796985">
      <w:bodyDiv w:val="1"/>
      <w:marLeft w:val="0"/>
      <w:marRight w:val="0"/>
      <w:marTop w:val="0"/>
      <w:marBottom w:val="0"/>
      <w:divBdr>
        <w:top w:val="none" w:sz="0" w:space="0" w:color="auto"/>
        <w:left w:val="none" w:sz="0" w:space="0" w:color="auto"/>
        <w:bottom w:val="none" w:sz="0" w:space="0" w:color="auto"/>
        <w:right w:val="none" w:sz="0" w:space="0" w:color="auto"/>
      </w:divBdr>
    </w:div>
    <w:div w:id="168253784">
      <w:bodyDiv w:val="1"/>
      <w:marLeft w:val="0"/>
      <w:marRight w:val="0"/>
      <w:marTop w:val="0"/>
      <w:marBottom w:val="0"/>
      <w:divBdr>
        <w:top w:val="none" w:sz="0" w:space="0" w:color="auto"/>
        <w:left w:val="none" w:sz="0" w:space="0" w:color="auto"/>
        <w:bottom w:val="none" w:sz="0" w:space="0" w:color="auto"/>
        <w:right w:val="none" w:sz="0" w:space="0" w:color="auto"/>
      </w:divBdr>
    </w:div>
    <w:div w:id="168296579">
      <w:bodyDiv w:val="1"/>
      <w:marLeft w:val="0"/>
      <w:marRight w:val="0"/>
      <w:marTop w:val="0"/>
      <w:marBottom w:val="0"/>
      <w:divBdr>
        <w:top w:val="none" w:sz="0" w:space="0" w:color="auto"/>
        <w:left w:val="none" w:sz="0" w:space="0" w:color="auto"/>
        <w:bottom w:val="none" w:sz="0" w:space="0" w:color="auto"/>
        <w:right w:val="none" w:sz="0" w:space="0" w:color="auto"/>
      </w:divBdr>
    </w:div>
    <w:div w:id="168451794">
      <w:bodyDiv w:val="1"/>
      <w:marLeft w:val="0"/>
      <w:marRight w:val="0"/>
      <w:marTop w:val="0"/>
      <w:marBottom w:val="0"/>
      <w:divBdr>
        <w:top w:val="none" w:sz="0" w:space="0" w:color="auto"/>
        <w:left w:val="none" w:sz="0" w:space="0" w:color="auto"/>
        <w:bottom w:val="none" w:sz="0" w:space="0" w:color="auto"/>
        <w:right w:val="none" w:sz="0" w:space="0" w:color="auto"/>
      </w:divBdr>
    </w:div>
    <w:div w:id="168646820">
      <w:bodyDiv w:val="1"/>
      <w:marLeft w:val="0"/>
      <w:marRight w:val="0"/>
      <w:marTop w:val="0"/>
      <w:marBottom w:val="0"/>
      <w:divBdr>
        <w:top w:val="none" w:sz="0" w:space="0" w:color="auto"/>
        <w:left w:val="none" w:sz="0" w:space="0" w:color="auto"/>
        <w:bottom w:val="none" w:sz="0" w:space="0" w:color="auto"/>
        <w:right w:val="none" w:sz="0" w:space="0" w:color="auto"/>
      </w:divBdr>
    </w:div>
    <w:div w:id="168715221">
      <w:bodyDiv w:val="1"/>
      <w:marLeft w:val="0"/>
      <w:marRight w:val="0"/>
      <w:marTop w:val="0"/>
      <w:marBottom w:val="0"/>
      <w:divBdr>
        <w:top w:val="none" w:sz="0" w:space="0" w:color="auto"/>
        <w:left w:val="none" w:sz="0" w:space="0" w:color="auto"/>
        <w:bottom w:val="none" w:sz="0" w:space="0" w:color="auto"/>
        <w:right w:val="none" w:sz="0" w:space="0" w:color="auto"/>
      </w:divBdr>
    </w:div>
    <w:div w:id="168914375">
      <w:bodyDiv w:val="1"/>
      <w:marLeft w:val="0"/>
      <w:marRight w:val="0"/>
      <w:marTop w:val="0"/>
      <w:marBottom w:val="0"/>
      <w:divBdr>
        <w:top w:val="none" w:sz="0" w:space="0" w:color="auto"/>
        <w:left w:val="none" w:sz="0" w:space="0" w:color="auto"/>
        <w:bottom w:val="none" w:sz="0" w:space="0" w:color="auto"/>
        <w:right w:val="none" w:sz="0" w:space="0" w:color="auto"/>
      </w:divBdr>
    </w:div>
    <w:div w:id="168984244">
      <w:bodyDiv w:val="1"/>
      <w:marLeft w:val="0"/>
      <w:marRight w:val="0"/>
      <w:marTop w:val="0"/>
      <w:marBottom w:val="0"/>
      <w:divBdr>
        <w:top w:val="none" w:sz="0" w:space="0" w:color="auto"/>
        <w:left w:val="none" w:sz="0" w:space="0" w:color="auto"/>
        <w:bottom w:val="none" w:sz="0" w:space="0" w:color="auto"/>
        <w:right w:val="none" w:sz="0" w:space="0" w:color="auto"/>
      </w:divBdr>
    </w:div>
    <w:div w:id="169101834">
      <w:bodyDiv w:val="1"/>
      <w:marLeft w:val="0"/>
      <w:marRight w:val="0"/>
      <w:marTop w:val="0"/>
      <w:marBottom w:val="0"/>
      <w:divBdr>
        <w:top w:val="none" w:sz="0" w:space="0" w:color="auto"/>
        <w:left w:val="none" w:sz="0" w:space="0" w:color="auto"/>
        <w:bottom w:val="none" w:sz="0" w:space="0" w:color="auto"/>
        <w:right w:val="none" w:sz="0" w:space="0" w:color="auto"/>
      </w:divBdr>
    </w:div>
    <w:div w:id="169413424">
      <w:bodyDiv w:val="1"/>
      <w:marLeft w:val="0"/>
      <w:marRight w:val="0"/>
      <w:marTop w:val="0"/>
      <w:marBottom w:val="0"/>
      <w:divBdr>
        <w:top w:val="none" w:sz="0" w:space="0" w:color="auto"/>
        <w:left w:val="none" w:sz="0" w:space="0" w:color="auto"/>
        <w:bottom w:val="none" w:sz="0" w:space="0" w:color="auto"/>
        <w:right w:val="none" w:sz="0" w:space="0" w:color="auto"/>
      </w:divBdr>
    </w:div>
    <w:div w:id="169613305">
      <w:bodyDiv w:val="1"/>
      <w:marLeft w:val="0"/>
      <w:marRight w:val="0"/>
      <w:marTop w:val="0"/>
      <w:marBottom w:val="0"/>
      <w:divBdr>
        <w:top w:val="none" w:sz="0" w:space="0" w:color="auto"/>
        <w:left w:val="none" w:sz="0" w:space="0" w:color="auto"/>
        <w:bottom w:val="none" w:sz="0" w:space="0" w:color="auto"/>
        <w:right w:val="none" w:sz="0" w:space="0" w:color="auto"/>
      </w:divBdr>
    </w:div>
    <w:div w:id="170921277">
      <w:bodyDiv w:val="1"/>
      <w:marLeft w:val="0"/>
      <w:marRight w:val="0"/>
      <w:marTop w:val="0"/>
      <w:marBottom w:val="0"/>
      <w:divBdr>
        <w:top w:val="none" w:sz="0" w:space="0" w:color="auto"/>
        <w:left w:val="none" w:sz="0" w:space="0" w:color="auto"/>
        <w:bottom w:val="none" w:sz="0" w:space="0" w:color="auto"/>
        <w:right w:val="none" w:sz="0" w:space="0" w:color="auto"/>
      </w:divBdr>
    </w:div>
    <w:div w:id="170948028">
      <w:bodyDiv w:val="1"/>
      <w:marLeft w:val="0"/>
      <w:marRight w:val="0"/>
      <w:marTop w:val="0"/>
      <w:marBottom w:val="0"/>
      <w:divBdr>
        <w:top w:val="none" w:sz="0" w:space="0" w:color="auto"/>
        <w:left w:val="none" w:sz="0" w:space="0" w:color="auto"/>
        <w:bottom w:val="none" w:sz="0" w:space="0" w:color="auto"/>
        <w:right w:val="none" w:sz="0" w:space="0" w:color="auto"/>
      </w:divBdr>
    </w:div>
    <w:div w:id="171993933">
      <w:bodyDiv w:val="1"/>
      <w:marLeft w:val="0"/>
      <w:marRight w:val="0"/>
      <w:marTop w:val="0"/>
      <w:marBottom w:val="0"/>
      <w:divBdr>
        <w:top w:val="none" w:sz="0" w:space="0" w:color="auto"/>
        <w:left w:val="none" w:sz="0" w:space="0" w:color="auto"/>
        <w:bottom w:val="none" w:sz="0" w:space="0" w:color="auto"/>
        <w:right w:val="none" w:sz="0" w:space="0" w:color="auto"/>
      </w:divBdr>
    </w:div>
    <w:div w:id="172385042">
      <w:bodyDiv w:val="1"/>
      <w:marLeft w:val="0"/>
      <w:marRight w:val="0"/>
      <w:marTop w:val="0"/>
      <w:marBottom w:val="0"/>
      <w:divBdr>
        <w:top w:val="none" w:sz="0" w:space="0" w:color="auto"/>
        <w:left w:val="none" w:sz="0" w:space="0" w:color="auto"/>
        <w:bottom w:val="none" w:sz="0" w:space="0" w:color="auto"/>
        <w:right w:val="none" w:sz="0" w:space="0" w:color="auto"/>
      </w:divBdr>
    </w:div>
    <w:div w:id="172845129">
      <w:bodyDiv w:val="1"/>
      <w:marLeft w:val="0"/>
      <w:marRight w:val="0"/>
      <w:marTop w:val="0"/>
      <w:marBottom w:val="0"/>
      <w:divBdr>
        <w:top w:val="none" w:sz="0" w:space="0" w:color="auto"/>
        <w:left w:val="none" w:sz="0" w:space="0" w:color="auto"/>
        <w:bottom w:val="none" w:sz="0" w:space="0" w:color="auto"/>
        <w:right w:val="none" w:sz="0" w:space="0" w:color="auto"/>
      </w:divBdr>
    </w:div>
    <w:div w:id="172913395">
      <w:bodyDiv w:val="1"/>
      <w:marLeft w:val="0"/>
      <w:marRight w:val="0"/>
      <w:marTop w:val="0"/>
      <w:marBottom w:val="0"/>
      <w:divBdr>
        <w:top w:val="none" w:sz="0" w:space="0" w:color="auto"/>
        <w:left w:val="none" w:sz="0" w:space="0" w:color="auto"/>
        <w:bottom w:val="none" w:sz="0" w:space="0" w:color="auto"/>
        <w:right w:val="none" w:sz="0" w:space="0" w:color="auto"/>
      </w:divBdr>
    </w:div>
    <w:div w:id="172915662">
      <w:bodyDiv w:val="1"/>
      <w:marLeft w:val="0"/>
      <w:marRight w:val="0"/>
      <w:marTop w:val="0"/>
      <w:marBottom w:val="0"/>
      <w:divBdr>
        <w:top w:val="none" w:sz="0" w:space="0" w:color="auto"/>
        <w:left w:val="none" w:sz="0" w:space="0" w:color="auto"/>
        <w:bottom w:val="none" w:sz="0" w:space="0" w:color="auto"/>
        <w:right w:val="none" w:sz="0" w:space="0" w:color="auto"/>
      </w:divBdr>
    </w:div>
    <w:div w:id="173998384">
      <w:bodyDiv w:val="1"/>
      <w:marLeft w:val="0"/>
      <w:marRight w:val="0"/>
      <w:marTop w:val="0"/>
      <w:marBottom w:val="0"/>
      <w:divBdr>
        <w:top w:val="none" w:sz="0" w:space="0" w:color="auto"/>
        <w:left w:val="none" w:sz="0" w:space="0" w:color="auto"/>
        <w:bottom w:val="none" w:sz="0" w:space="0" w:color="auto"/>
        <w:right w:val="none" w:sz="0" w:space="0" w:color="auto"/>
      </w:divBdr>
    </w:div>
    <w:div w:id="175076411">
      <w:bodyDiv w:val="1"/>
      <w:marLeft w:val="0"/>
      <w:marRight w:val="0"/>
      <w:marTop w:val="0"/>
      <w:marBottom w:val="0"/>
      <w:divBdr>
        <w:top w:val="none" w:sz="0" w:space="0" w:color="auto"/>
        <w:left w:val="none" w:sz="0" w:space="0" w:color="auto"/>
        <w:bottom w:val="none" w:sz="0" w:space="0" w:color="auto"/>
        <w:right w:val="none" w:sz="0" w:space="0" w:color="auto"/>
      </w:divBdr>
    </w:div>
    <w:div w:id="175267182">
      <w:bodyDiv w:val="1"/>
      <w:marLeft w:val="0"/>
      <w:marRight w:val="0"/>
      <w:marTop w:val="0"/>
      <w:marBottom w:val="0"/>
      <w:divBdr>
        <w:top w:val="none" w:sz="0" w:space="0" w:color="auto"/>
        <w:left w:val="none" w:sz="0" w:space="0" w:color="auto"/>
        <w:bottom w:val="none" w:sz="0" w:space="0" w:color="auto"/>
        <w:right w:val="none" w:sz="0" w:space="0" w:color="auto"/>
      </w:divBdr>
    </w:div>
    <w:div w:id="175462819">
      <w:bodyDiv w:val="1"/>
      <w:marLeft w:val="0"/>
      <w:marRight w:val="0"/>
      <w:marTop w:val="0"/>
      <w:marBottom w:val="0"/>
      <w:divBdr>
        <w:top w:val="none" w:sz="0" w:space="0" w:color="auto"/>
        <w:left w:val="none" w:sz="0" w:space="0" w:color="auto"/>
        <w:bottom w:val="none" w:sz="0" w:space="0" w:color="auto"/>
        <w:right w:val="none" w:sz="0" w:space="0" w:color="auto"/>
      </w:divBdr>
    </w:div>
    <w:div w:id="176429195">
      <w:bodyDiv w:val="1"/>
      <w:marLeft w:val="0"/>
      <w:marRight w:val="0"/>
      <w:marTop w:val="0"/>
      <w:marBottom w:val="0"/>
      <w:divBdr>
        <w:top w:val="none" w:sz="0" w:space="0" w:color="auto"/>
        <w:left w:val="none" w:sz="0" w:space="0" w:color="auto"/>
        <w:bottom w:val="none" w:sz="0" w:space="0" w:color="auto"/>
        <w:right w:val="none" w:sz="0" w:space="0" w:color="auto"/>
      </w:divBdr>
    </w:div>
    <w:div w:id="176694727">
      <w:bodyDiv w:val="1"/>
      <w:marLeft w:val="0"/>
      <w:marRight w:val="0"/>
      <w:marTop w:val="0"/>
      <w:marBottom w:val="0"/>
      <w:divBdr>
        <w:top w:val="none" w:sz="0" w:space="0" w:color="auto"/>
        <w:left w:val="none" w:sz="0" w:space="0" w:color="auto"/>
        <w:bottom w:val="none" w:sz="0" w:space="0" w:color="auto"/>
        <w:right w:val="none" w:sz="0" w:space="0" w:color="auto"/>
      </w:divBdr>
    </w:div>
    <w:div w:id="176970889">
      <w:bodyDiv w:val="1"/>
      <w:marLeft w:val="0"/>
      <w:marRight w:val="0"/>
      <w:marTop w:val="0"/>
      <w:marBottom w:val="0"/>
      <w:divBdr>
        <w:top w:val="none" w:sz="0" w:space="0" w:color="auto"/>
        <w:left w:val="none" w:sz="0" w:space="0" w:color="auto"/>
        <w:bottom w:val="none" w:sz="0" w:space="0" w:color="auto"/>
        <w:right w:val="none" w:sz="0" w:space="0" w:color="auto"/>
      </w:divBdr>
    </w:div>
    <w:div w:id="177278038">
      <w:bodyDiv w:val="1"/>
      <w:marLeft w:val="0"/>
      <w:marRight w:val="0"/>
      <w:marTop w:val="0"/>
      <w:marBottom w:val="0"/>
      <w:divBdr>
        <w:top w:val="none" w:sz="0" w:space="0" w:color="auto"/>
        <w:left w:val="none" w:sz="0" w:space="0" w:color="auto"/>
        <w:bottom w:val="none" w:sz="0" w:space="0" w:color="auto"/>
        <w:right w:val="none" w:sz="0" w:space="0" w:color="auto"/>
      </w:divBdr>
    </w:div>
    <w:div w:id="178128108">
      <w:bodyDiv w:val="1"/>
      <w:marLeft w:val="0"/>
      <w:marRight w:val="0"/>
      <w:marTop w:val="0"/>
      <w:marBottom w:val="0"/>
      <w:divBdr>
        <w:top w:val="none" w:sz="0" w:space="0" w:color="auto"/>
        <w:left w:val="none" w:sz="0" w:space="0" w:color="auto"/>
        <w:bottom w:val="none" w:sz="0" w:space="0" w:color="auto"/>
        <w:right w:val="none" w:sz="0" w:space="0" w:color="auto"/>
      </w:divBdr>
    </w:div>
    <w:div w:id="178203449">
      <w:bodyDiv w:val="1"/>
      <w:marLeft w:val="0"/>
      <w:marRight w:val="0"/>
      <w:marTop w:val="0"/>
      <w:marBottom w:val="0"/>
      <w:divBdr>
        <w:top w:val="none" w:sz="0" w:space="0" w:color="auto"/>
        <w:left w:val="none" w:sz="0" w:space="0" w:color="auto"/>
        <w:bottom w:val="none" w:sz="0" w:space="0" w:color="auto"/>
        <w:right w:val="none" w:sz="0" w:space="0" w:color="auto"/>
      </w:divBdr>
    </w:div>
    <w:div w:id="179199391">
      <w:bodyDiv w:val="1"/>
      <w:marLeft w:val="0"/>
      <w:marRight w:val="0"/>
      <w:marTop w:val="0"/>
      <w:marBottom w:val="0"/>
      <w:divBdr>
        <w:top w:val="none" w:sz="0" w:space="0" w:color="auto"/>
        <w:left w:val="none" w:sz="0" w:space="0" w:color="auto"/>
        <w:bottom w:val="none" w:sz="0" w:space="0" w:color="auto"/>
        <w:right w:val="none" w:sz="0" w:space="0" w:color="auto"/>
      </w:divBdr>
    </w:div>
    <w:div w:id="179508843">
      <w:bodyDiv w:val="1"/>
      <w:marLeft w:val="0"/>
      <w:marRight w:val="0"/>
      <w:marTop w:val="0"/>
      <w:marBottom w:val="0"/>
      <w:divBdr>
        <w:top w:val="none" w:sz="0" w:space="0" w:color="auto"/>
        <w:left w:val="none" w:sz="0" w:space="0" w:color="auto"/>
        <w:bottom w:val="none" w:sz="0" w:space="0" w:color="auto"/>
        <w:right w:val="none" w:sz="0" w:space="0" w:color="auto"/>
      </w:divBdr>
    </w:div>
    <w:div w:id="179514943">
      <w:bodyDiv w:val="1"/>
      <w:marLeft w:val="0"/>
      <w:marRight w:val="0"/>
      <w:marTop w:val="0"/>
      <w:marBottom w:val="0"/>
      <w:divBdr>
        <w:top w:val="none" w:sz="0" w:space="0" w:color="auto"/>
        <w:left w:val="none" w:sz="0" w:space="0" w:color="auto"/>
        <w:bottom w:val="none" w:sz="0" w:space="0" w:color="auto"/>
        <w:right w:val="none" w:sz="0" w:space="0" w:color="auto"/>
      </w:divBdr>
    </w:div>
    <w:div w:id="180361680">
      <w:bodyDiv w:val="1"/>
      <w:marLeft w:val="0"/>
      <w:marRight w:val="0"/>
      <w:marTop w:val="0"/>
      <w:marBottom w:val="0"/>
      <w:divBdr>
        <w:top w:val="none" w:sz="0" w:space="0" w:color="auto"/>
        <w:left w:val="none" w:sz="0" w:space="0" w:color="auto"/>
        <w:bottom w:val="none" w:sz="0" w:space="0" w:color="auto"/>
        <w:right w:val="none" w:sz="0" w:space="0" w:color="auto"/>
      </w:divBdr>
    </w:div>
    <w:div w:id="180558693">
      <w:bodyDiv w:val="1"/>
      <w:marLeft w:val="0"/>
      <w:marRight w:val="0"/>
      <w:marTop w:val="0"/>
      <w:marBottom w:val="0"/>
      <w:divBdr>
        <w:top w:val="none" w:sz="0" w:space="0" w:color="auto"/>
        <w:left w:val="none" w:sz="0" w:space="0" w:color="auto"/>
        <w:bottom w:val="none" w:sz="0" w:space="0" w:color="auto"/>
        <w:right w:val="none" w:sz="0" w:space="0" w:color="auto"/>
      </w:divBdr>
    </w:div>
    <w:div w:id="180628758">
      <w:bodyDiv w:val="1"/>
      <w:marLeft w:val="0"/>
      <w:marRight w:val="0"/>
      <w:marTop w:val="0"/>
      <w:marBottom w:val="0"/>
      <w:divBdr>
        <w:top w:val="none" w:sz="0" w:space="0" w:color="auto"/>
        <w:left w:val="none" w:sz="0" w:space="0" w:color="auto"/>
        <w:bottom w:val="none" w:sz="0" w:space="0" w:color="auto"/>
        <w:right w:val="none" w:sz="0" w:space="0" w:color="auto"/>
      </w:divBdr>
    </w:div>
    <w:div w:id="180819109">
      <w:bodyDiv w:val="1"/>
      <w:marLeft w:val="0"/>
      <w:marRight w:val="0"/>
      <w:marTop w:val="0"/>
      <w:marBottom w:val="0"/>
      <w:divBdr>
        <w:top w:val="none" w:sz="0" w:space="0" w:color="auto"/>
        <w:left w:val="none" w:sz="0" w:space="0" w:color="auto"/>
        <w:bottom w:val="none" w:sz="0" w:space="0" w:color="auto"/>
        <w:right w:val="none" w:sz="0" w:space="0" w:color="auto"/>
      </w:divBdr>
    </w:div>
    <w:div w:id="180896757">
      <w:bodyDiv w:val="1"/>
      <w:marLeft w:val="0"/>
      <w:marRight w:val="0"/>
      <w:marTop w:val="0"/>
      <w:marBottom w:val="0"/>
      <w:divBdr>
        <w:top w:val="none" w:sz="0" w:space="0" w:color="auto"/>
        <w:left w:val="none" w:sz="0" w:space="0" w:color="auto"/>
        <w:bottom w:val="none" w:sz="0" w:space="0" w:color="auto"/>
        <w:right w:val="none" w:sz="0" w:space="0" w:color="auto"/>
      </w:divBdr>
    </w:div>
    <w:div w:id="180902548">
      <w:bodyDiv w:val="1"/>
      <w:marLeft w:val="0"/>
      <w:marRight w:val="0"/>
      <w:marTop w:val="0"/>
      <w:marBottom w:val="0"/>
      <w:divBdr>
        <w:top w:val="none" w:sz="0" w:space="0" w:color="auto"/>
        <w:left w:val="none" w:sz="0" w:space="0" w:color="auto"/>
        <w:bottom w:val="none" w:sz="0" w:space="0" w:color="auto"/>
        <w:right w:val="none" w:sz="0" w:space="0" w:color="auto"/>
      </w:divBdr>
    </w:div>
    <w:div w:id="181553879">
      <w:bodyDiv w:val="1"/>
      <w:marLeft w:val="0"/>
      <w:marRight w:val="0"/>
      <w:marTop w:val="0"/>
      <w:marBottom w:val="0"/>
      <w:divBdr>
        <w:top w:val="none" w:sz="0" w:space="0" w:color="auto"/>
        <w:left w:val="none" w:sz="0" w:space="0" w:color="auto"/>
        <w:bottom w:val="none" w:sz="0" w:space="0" w:color="auto"/>
        <w:right w:val="none" w:sz="0" w:space="0" w:color="auto"/>
      </w:divBdr>
    </w:div>
    <w:div w:id="181558452">
      <w:bodyDiv w:val="1"/>
      <w:marLeft w:val="0"/>
      <w:marRight w:val="0"/>
      <w:marTop w:val="0"/>
      <w:marBottom w:val="0"/>
      <w:divBdr>
        <w:top w:val="none" w:sz="0" w:space="0" w:color="auto"/>
        <w:left w:val="none" w:sz="0" w:space="0" w:color="auto"/>
        <w:bottom w:val="none" w:sz="0" w:space="0" w:color="auto"/>
        <w:right w:val="none" w:sz="0" w:space="0" w:color="auto"/>
      </w:divBdr>
    </w:div>
    <w:div w:id="182062543">
      <w:bodyDiv w:val="1"/>
      <w:marLeft w:val="0"/>
      <w:marRight w:val="0"/>
      <w:marTop w:val="0"/>
      <w:marBottom w:val="0"/>
      <w:divBdr>
        <w:top w:val="none" w:sz="0" w:space="0" w:color="auto"/>
        <w:left w:val="none" w:sz="0" w:space="0" w:color="auto"/>
        <w:bottom w:val="none" w:sz="0" w:space="0" w:color="auto"/>
        <w:right w:val="none" w:sz="0" w:space="0" w:color="auto"/>
      </w:divBdr>
    </w:div>
    <w:div w:id="182089256">
      <w:bodyDiv w:val="1"/>
      <w:marLeft w:val="0"/>
      <w:marRight w:val="0"/>
      <w:marTop w:val="0"/>
      <w:marBottom w:val="0"/>
      <w:divBdr>
        <w:top w:val="none" w:sz="0" w:space="0" w:color="auto"/>
        <w:left w:val="none" w:sz="0" w:space="0" w:color="auto"/>
        <w:bottom w:val="none" w:sz="0" w:space="0" w:color="auto"/>
        <w:right w:val="none" w:sz="0" w:space="0" w:color="auto"/>
      </w:divBdr>
    </w:div>
    <w:div w:id="182132419">
      <w:bodyDiv w:val="1"/>
      <w:marLeft w:val="0"/>
      <w:marRight w:val="0"/>
      <w:marTop w:val="0"/>
      <w:marBottom w:val="0"/>
      <w:divBdr>
        <w:top w:val="none" w:sz="0" w:space="0" w:color="auto"/>
        <w:left w:val="none" w:sz="0" w:space="0" w:color="auto"/>
        <w:bottom w:val="none" w:sz="0" w:space="0" w:color="auto"/>
        <w:right w:val="none" w:sz="0" w:space="0" w:color="auto"/>
      </w:divBdr>
    </w:div>
    <w:div w:id="182330495">
      <w:bodyDiv w:val="1"/>
      <w:marLeft w:val="0"/>
      <w:marRight w:val="0"/>
      <w:marTop w:val="0"/>
      <w:marBottom w:val="0"/>
      <w:divBdr>
        <w:top w:val="none" w:sz="0" w:space="0" w:color="auto"/>
        <w:left w:val="none" w:sz="0" w:space="0" w:color="auto"/>
        <w:bottom w:val="none" w:sz="0" w:space="0" w:color="auto"/>
        <w:right w:val="none" w:sz="0" w:space="0" w:color="auto"/>
      </w:divBdr>
    </w:div>
    <w:div w:id="182480838">
      <w:bodyDiv w:val="1"/>
      <w:marLeft w:val="0"/>
      <w:marRight w:val="0"/>
      <w:marTop w:val="0"/>
      <w:marBottom w:val="0"/>
      <w:divBdr>
        <w:top w:val="none" w:sz="0" w:space="0" w:color="auto"/>
        <w:left w:val="none" w:sz="0" w:space="0" w:color="auto"/>
        <w:bottom w:val="none" w:sz="0" w:space="0" w:color="auto"/>
        <w:right w:val="none" w:sz="0" w:space="0" w:color="auto"/>
      </w:divBdr>
    </w:div>
    <w:div w:id="182676213">
      <w:bodyDiv w:val="1"/>
      <w:marLeft w:val="0"/>
      <w:marRight w:val="0"/>
      <w:marTop w:val="0"/>
      <w:marBottom w:val="0"/>
      <w:divBdr>
        <w:top w:val="none" w:sz="0" w:space="0" w:color="auto"/>
        <w:left w:val="none" w:sz="0" w:space="0" w:color="auto"/>
        <w:bottom w:val="none" w:sz="0" w:space="0" w:color="auto"/>
        <w:right w:val="none" w:sz="0" w:space="0" w:color="auto"/>
      </w:divBdr>
    </w:div>
    <w:div w:id="183322787">
      <w:bodyDiv w:val="1"/>
      <w:marLeft w:val="0"/>
      <w:marRight w:val="0"/>
      <w:marTop w:val="0"/>
      <w:marBottom w:val="0"/>
      <w:divBdr>
        <w:top w:val="none" w:sz="0" w:space="0" w:color="auto"/>
        <w:left w:val="none" w:sz="0" w:space="0" w:color="auto"/>
        <w:bottom w:val="none" w:sz="0" w:space="0" w:color="auto"/>
        <w:right w:val="none" w:sz="0" w:space="0" w:color="auto"/>
      </w:divBdr>
    </w:div>
    <w:div w:id="183784026">
      <w:bodyDiv w:val="1"/>
      <w:marLeft w:val="0"/>
      <w:marRight w:val="0"/>
      <w:marTop w:val="0"/>
      <w:marBottom w:val="0"/>
      <w:divBdr>
        <w:top w:val="none" w:sz="0" w:space="0" w:color="auto"/>
        <w:left w:val="none" w:sz="0" w:space="0" w:color="auto"/>
        <w:bottom w:val="none" w:sz="0" w:space="0" w:color="auto"/>
        <w:right w:val="none" w:sz="0" w:space="0" w:color="auto"/>
      </w:divBdr>
    </w:div>
    <w:div w:id="183831276">
      <w:bodyDiv w:val="1"/>
      <w:marLeft w:val="0"/>
      <w:marRight w:val="0"/>
      <w:marTop w:val="0"/>
      <w:marBottom w:val="0"/>
      <w:divBdr>
        <w:top w:val="none" w:sz="0" w:space="0" w:color="auto"/>
        <w:left w:val="none" w:sz="0" w:space="0" w:color="auto"/>
        <w:bottom w:val="none" w:sz="0" w:space="0" w:color="auto"/>
        <w:right w:val="none" w:sz="0" w:space="0" w:color="auto"/>
      </w:divBdr>
    </w:div>
    <w:div w:id="184365500">
      <w:bodyDiv w:val="1"/>
      <w:marLeft w:val="0"/>
      <w:marRight w:val="0"/>
      <w:marTop w:val="0"/>
      <w:marBottom w:val="0"/>
      <w:divBdr>
        <w:top w:val="none" w:sz="0" w:space="0" w:color="auto"/>
        <w:left w:val="none" w:sz="0" w:space="0" w:color="auto"/>
        <w:bottom w:val="none" w:sz="0" w:space="0" w:color="auto"/>
        <w:right w:val="none" w:sz="0" w:space="0" w:color="auto"/>
      </w:divBdr>
    </w:div>
    <w:div w:id="184439385">
      <w:bodyDiv w:val="1"/>
      <w:marLeft w:val="0"/>
      <w:marRight w:val="0"/>
      <w:marTop w:val="0"/>
      <w:marBottom w:val="0"/>
      <w:divBdr>
        <w:top w:val="none" w:sz="0" w:space="0" w:color="auto"/>
        <w:left w:val="none" w:sz="0" w:space="0" w:color="auto"/>
        <w:bottom w:val="none" w:sz="0" w:space="0" w:color="auto"/>
        <w:right w:val="none" w:sz="0" w:space="0" w:color="auto"/>
      </w:divBdr>
    </w:div>
    <w:div w:id="186985644">
      <w:bodyDiv w:val="1"/>
      <w:marLeft w:val="0"/>
      <w:marRight w:val="0"/>
      <w:marTop w:val="0"/>
      <w:marBottom w:val="0"/>
      <w:divBdr>
        <w:top w:val="none" w:sz="0" w:space="0" w:color="auto"/>
        <w:left w:val="none" w:sz="0" w:space="0" w:color="auto"/>
        <w:bottom w:val="none" w:sz="0" w:space="0" w:color="auto"/>
        <w:right w:val="none" w:sz="0" w:space="0" w:color="auto"/>
      </w:divBdr>
    </w:div>
    <w:div w:id="187375152">
      <w:bodyDiv w:val="1"/>
      <w:marLeft w:val="0"/>
      <w:marRight w:val="0"/>
      <w:marTop w:val="0"/>
      <w:marBottom w:val="0"/>
      <w:divBdr>
        <w:top w:val="none" w:sz="0" w:space="0" w:color="auto"/>
        <w:left w:val="none" w:sz="0" w:space="0" w:color="auto"/>
        <w:bottom w:val="none" w:sz="0" w:space="0" w:color="auto"/>
        <w:right w:val="none" w:sz="0" w:space="0" w:color="auto"/>
      </w:divBdr>
    </w:div>
    <w:div w:id="187454821">
      <w:bodyDiv w:val="1"/>
      <w:marLeft w:val="0"/>
      <w:marRight w:val="0"/>
      <w:marTop w:val="0"/>
      <w:marBottom w:val="0"/>
      <w:divBdr>
        <w:top w:val="none" w:sz="0" w:space="0" w:color="auto"/>
        <w:left w:val="none" w:sz="0" w:space="0" w:color="auto"/>
        <w:bottom w:val="none" w:sz="0" w:space="0" w:color="auto"/>
        <w:right w:val="none" w:sz="0" w:space="0" w:color="auto"/>
      </w:divBdr>
    </w:div>
    <w:div w:id="187911520">
      <w:bodyDiv w:val="1"/>
      <w:marLeft w:val="0"/>
      <w:marRight w:val="0"/>
      <w:marTop w:val="0"/>
      <w:marBottom w:val="0"/>
      <w:divBdr>
        <w:top w:val="none" w:sz="0" w:space="0" w:color="auto"/>
        <w:left w:val="none" w:sz="0" w:space="0" w:color="auto"/>
        <w:bottom w:val="none" w:sz="0" w:space="0" w:color="auto"/>
        <w:right w:val="none" w:sz="0" w:space="0" w:color="auto"/>
      </w:divBdr>
    </w:div>
    <w:div w:id="187917197">
      <w:bodyDiv w:val="1"/>
      <w:marLeft w:val="0"/>
      <w:marRight w:val="0"/>
      <w:marTop w:val="0"/>
      <w:marBottom w:val="0"/>
      <w:divBdr>
        <w:top w:val="none" w:sz="0" w:space="0" w:color="auto"/>
        <w:left w:val="none" w:sz="0" w:space="0" w:color="auto"/>
        <w:bottom w:val="none" w:sz="0" w:space="0" w:color="auto"/>
        <w:right w:val="none" w:sz="0" w:space="0" w:color="auto"/>
      </w:divBdr>
    </w:div>
    <w:div w:id="188105828">
      <w:bodyDiv w:val="1"/>
      <w:marLeft w:val="0"/>
      <w:marRight w:val="0"/>
      <w:marTop w:val="0"/>
      <w:marBottom w:val="0"/>
      <w:divBdr>
        <w:top w:val="none" w:sz="0" w:space="0" w:color="auto"/>
        <w:left w:val="none" w:sz="0" w:space="0" w:color="auto"/>
        <w:bottom w:val="none" w:sz="0" w:space="0" w:color="auto"/>
        <w:right w:val="none" w:sz="0" w:space="0" w:color="auto"/>
      </w:divBdr>
    </w:div>
    <w:div w:id="188297873">
      <w:bodyDiv w:val="1"/>
      <w:marLeft w:val="0"/>
      <w:marRight w:val="0"/>
      <w:marTop w:val="0"/>
      <w:marBottom w:val="0"/>
      <w:divBdr>
        <w:top w:val="none" w:sz="0" w:space="0" w:color="auto"/>
        <w:left w:val="none" w:sz="0" w:space="0" w:color="auto"/>
        <w:bottom w:val="none" w:sz="0" w:space="0" w:color="auto"/>
        <w:right w:val="none" w:sz="0" w:space="0" w:color="auto"/>
      </w:divBdr>
    </w:div>
    <w:div w:id="188762506">
      <w:bodyDiv w:val="1"/>
      <w:marLeft w:val="0"/>
      <w:marRight w:val="0"/>
      <w:marTop w:val="0"/>
      <w:marBottom w:val="0"/>
      <w:divBdr>
        <w:top w:val="none" w:sz="0" w:space="0" w:color="auto"/>
        <w:left w:val="none" w:sz="0" w:space="0" w:color="auto"/>
        <w:bottom w:val="none" w:sz="0" w:space="0" w:color="auto"/>
        <w:right w:val="none" w:sz="0" w:space="0" w:color="auto"/>
      </w:divBdr>
    </w:div>
    <w:div w:id="190146825">
      <w:bodyDiv w:val="1"/>
      <w:marLeft w:val="0"/>
      <w:marRight w:val="0"/>
      <w:marTop w:val="0"/>
      <w:marBottom w:val="0"/>
      <w:divBdr>
        <w:top w:val="none" w:sz="0" w:space="0" w:color="auto"/>
        <w:left w:val="none" w:sz="0" w:space="0" w:color="auto"/>
        <w:bottom w:val="none" w:sz="0" w:space="0" w:color="auto"/>
        <w:right w:val="none" w:sz="0" w:space="0" w:color="auto"/>
      </w:divBdr>
    </w:div>
    <w:div w:id="190187357">
      <w:bodyDiv w:val="1"/>
      <w:marLeft w:val="0"/>
      <w:marRight w:val="0"/>
      <w:marTop w:val="0"/>
      <w:marBottom w:val="0"/>
      <w:divBdr>
        <w:top w:val="none" w:sz="0" w:space="0" w:color="auto"/>
        <w:left w:val="none" w:sz="0" w:space="0" w:color="auto"/>
        <w:bottom w:val="none" w:sz="0" w:space="0" w:color="auto"/>
        <w:right w:val="none" w:sz="0" w:space="0" w:color="auto"/>
      </w:divBdr>
    </w:div>
    <w:div w:id="190191838">
      <w:bodyDiv w:val="1"/>
      <w:marLeft w:val="0"/>
      <w:marRight w:val="0"/>
      <w:marTop w:val="0"/>
      <w:marBottom w:val="0"/>
      <w:divBdr>
        <w:top w:val="none" w:sz="0" w:space="0" w:color="auto"/>
        <w:left w:val="none" w:sz="0" w:space="0" w:color="auto"/>
        <w:bottom w:val="none" w:sz="0" w:space="0" w:color="auto"/>
        <w:right w:val="none" w:sz="0" w:space="0" w:color="auto"/>
      </w:divBdr>
    </w:div>
    <w:div w:id="190729830">
      <w:bodyDiv w:val="1"/>
      <w:marLeft w:val="0"/>
      <w:marRight w:val="0"/>
      <w:marTop w:val="0"/>
      <w:marBottom w:val="0"/>
      <w:divBdr>
        <w:top w:val="none" w:sz="0" w:space="0" w:color="auto"/>
        <w:left w:val="none" w:sz="0" w:space="0" w:color="auto"/>
        <w:bottom w:val="none" w:sz="0" w:space="0" w:color="auto"/>
        <w:right w:val="none" w:sz="0" w:space="0" w:color="auto"/>
      </w:divBdr>
    </w:div>
    <w:div w:id="192043160">
      <w:bodyDiv w:val="1"/>
      <w:marLeft w:val="0"/>
      <w:marRight w:val="0"/>
      <w:marTop w:val="0"/>
      <w:marBottom w:val="0"/>
      <w:divBdr>
        <w:top w:val="none" w:sz="0" w:space="0" w:color="auto"/>
        <w:left w:val="none" w:sz="0" w:space="0" w:color="auto"/>
        <w:bottom w:val="none" w:sz="0" w:space="0" w:color="auto"/>
        <w:right w:val="none" w:sz="0" w:space="0" w:color="auto"/>
      </w:divBdr>
    </w:div>
    <w:div w:id="192110860">
      <w:bodyDiv w:val="1"/>
      <w:marLeft w:val="0"/>
      <w:marRight w:val="0"/>
      <w:marTop w:val="0"/>
      <w:marBottom w:val="0"/>
      <w:divBdr>
        <w:top w:val="none" w:sz="0" w:space="0" w:color="auto"/>
        <w:left w:val="none" w:sz="0" w:space="0" w:color="auto"/>
        <w:bottom w:val="none" w:sz="0" w:space="0" w:color="auto"/>
        <w:right w:val="none" w:sz="0" w:space="0" w:color="auto"/>
      </w:divBdr>
    </w:div>
    <w:div w:id="192115231">
      <w:bodyDiv w:val="1"/>
      <w:marLeft w:val="0"/>
      <w:marRight w:val="0"/>
      <w:marTop w:val="0"/>
      <w:marBottom w:val="0"/>
      <w:divBdr>
        <w:top w:val="none" w:sz="0" w:space="0" w:color="auto"/>
        <w:left w:val="none" w:sz="0" w:space="0" w:color="auto"/>
        <w:bottom w:val="none" w:sz="0" w:space="0" w:color="auto"/>
        <w:right w:val="none" w:sz="0" w:space="0" w:color="auto"/>
      </w:divBdr>
    </w:div>
    <w:div w:id="192116577">
      <w:bodyDiv w:val="1"/>
      <w:marLeft w:val="0"/>
      <w:marRight w:val="0"/>
      <w:marTop w:val="0"/>
      <w:marBottom w:val="0"/>
      <w:divBdr>
        <w:top w:val="none" w:sz="0" w:space="0" w:color="auto"/>
        <w:left w:val="none" w:sz="0" w:space="0" w:color="auto"/>
        <w:bottom w:val="none" w:sz="0" w:space="0" w:color="auto"/>
        <w:right w:val="none" w:sz="0" w:space="0" w:color="auto"/>
      </w:divBdr>
    </w:div>
    <w:div w:id="193272215">
      <w:bodyDiv w:val="1"/>
      <w:marLeft w:val="0"/>
      <w:marRight w:val="0"/>
      <w:marTop w:val="0"/>
      <w:marBottom w:val="0"/>
      <w:divBdr>
        <w:top w:val="none" w:sz="0" w:space="0" w:color="auto"/>
        <w:left w:val="none" w:sz="0" w:space="0" w:color="auto"/>
        <w:bottom w:val="none" w:sz="0" w:space="0" w:color="auto"/>
        <w:right w:val="none" w:sz="0" w:space="0" w:color="auto"/>
      </w:divBdr>
    </w:div>
    <w:div w:id="193883262">
      <w:bodyDiv w:val="1"/>
      <w:marLeft w:val="0"/>
      <w:marRight w:val="0"/>
      <w:marTop w:val="0"/>
      <w:marBottom w:val="0"/>
      <w:divBdr>
        <w:top w:val="none" w:sz="0" w:space="0" w:color="auto"/>
        <w:left w:val="none" w:sz="0" w:space="0" w:color="auto"/>
        <w:bottom w:val="none" w:sz="0" w:space="0" w:color="auto"/>
        <w:right w:val="none" w:sz="0" w:space="0" w:color="auto"/>
      </w:divBdr>
    </w:div>
    <w:div w:id="194731157">
      <w:bodyDiv w:val="1"/>
      <w:marLeft w:val="0"/>
      <w:marRight w:val="0"/>
      <w:marTop w:val="0"/>
      <w:marBottom w:val="0"/>
      <w:divBdr>
        <w:top w:val="none" w:sz="0" w:space="0" w:color="auto"/>
        <w:left w:val="none" w:sz="0" w:space="0" w:color="auto"/>
        <w:bottom w:val="none" w:sz="0" w:space="0" w:color="auto"/>
        <w:right w:val="none" w:sz="0" w:space="0" w:color="auto"/>
      </w:divBdr>
    </w:div>
    <w:div w:id="194930875">
      <w:bodyDiv w:val="1"/>
      <w:marLeft w:val="0"/>
      <w:marRight w:val="0"/>
      <w:marTop w:val="0"/>
      <w:marBottom w:val="0"/>
      <w:divBdr>
        <w:top w:val="none" w:sz="0" w:space="0" w:color="auto"/>
        <w:left w:val="none" w:sz="0" w:space="0" w:color="auto"/>
        <w:bottom w:val="none" w:sz="0" w:space="0" w:color="auto"/>
        <w:right w:val="none" w:sz="0" w:space="0" w:color="auto"/>
      </w:divBdr>
    </w:div>
    <w:div w:id="195313165">
      <w:bodyDiv w:val="1"/>
      <w:marLeft w:val="0"/>
      <w:marRight w:val="0"/>
      <w:marTop w:val="0"/>
      <w:marBottom w:val="0"/>
      <w:divBdr>
        <w:top w:val="none" w:sz="0" w:space="0" w:color="auto"/>
        <w:left w:val="none" w:sz="0" w:space="0" w:color="auto"/>
        <w:bottom w:val="none" w:sz="0" w:space="0" w:color="auto"/>
        <w:right w:val="none" w:sz="0" w:space="0" w:color="auto"/>
      </w:divBdr>
    </w:div>
    <w:div w:id="195896515">
      <w:bodyDiv w:val="1"/>
      <w:marLeft w:val="0"/>
      <w:marRight w:val="0"/>
      <w:marTop w:val="0"/>
      <w:marBottom w:val="0"/>
      <w:divBdr>
        <w:top w:val="none" w:sz="0" w:space="0" w:color="auto"/>
        <w:left w:val="none" w:sz="0" w:space="0" w:color="auto"/>
        <w:bottom w:val="none" w:sz="0" w:space="0" w:color="auto"/>
        <w:right w:val="none" w:sz="0" w:space="0" w:color="auto"/>
      </w:divBdr>
    </w:div>
    <w:div w:id="196045603">
      <w:bodyDiv w:val="1"/>
      <w:marLeft w:val="0"/>
      <w:marRight w:val="0"/>
      <w:marTop w:val="0"/>
      <w:marBottom w:val="0"/>
      <w:divBdr>
        <w:top w:val="none" w:sz="0" w:space="0" w:color="auto"/>
        <w:left w:val="none" w:sz="0" w:space="0" w:color="auto"/>
        <w:bottom w:val="none" w:sz="0" w:space="0" w:color="auto"/>
        <w:right w:val="none" w:sz="0" w:space="0" w:color="auto"/>
      </w:divBdr>
    </w:div>
    <w:div w:id="196311976">
      <w:bodyDiv w:val="1"/>
      <w:marLeft w:val="0"/>
      <w:marRight w:val="0"/>
      <w:marTop w:val="0"/>
      <w:marBottom w:val="0"/>
      <w:divBdr>
        <w:top w:val="none" w:sz="0" w:space="0" w:color="auto"/>
        <w:left w:val="none" w:sz="0" w:space="0" w:color="auto"/>
        <w:bottom w:val="none" w:sz="0" w:space="0" w:color="auto"/>
        <w:right w:val="none" w:sz="0" w:space="0" w:color="auto"/>
      </w:divBdr>
    </w:div>
    <w:div w:id="197663391">
      <w:bodyDiv w:val="1"/>
      <w:marLeft w:val="0"/>
      <w:marRight w:val="0"/>
      <w:marTop w:val="0"/>
      <w:marBottom w:val="0"/>
      <w:divBdr>
        <w:top w:val="none" w:sz="0" w:space="0" w:color="auto"/>
        <w:left w:val="none" w:sz="0" w:space="0" w:color="auto"/>
        <w:bottom w:val="none" w:sz="0" w:space="0" w:color="auto"/>
        <w:right w:val="none" w:sz="0" w:space="0" w:color="auto"/>
      </w:divBdr>
    </w:div>
    <w:div w:id="198006329">
      <w:bodyDiv w:val="1"/>
      <w:marLeft w:val="0"/>
      <w:marRight w:val="0"/>
      <w:marTop w:val="0"/>
      <w:marBottom w:val="0"/>
      <w:divBdr>
        <w:top w:val="none" w:sz="0" w:space="0" w:color="auto"/>
        <w:left w:val="none" w:sz="0" w:space="0" w:color="auto"/>
        <w:bottom w:val="none" w:sz="0" w:space="0" w:color="auto"/>
        <w:right w:val="none" w:sz="0" w:space="0" w:color="auto"/>
      </w:divBdr>
    </w:div>
    <w:div w:id="199245736">
      <w:bodyDiv w:val="1"/>
      <w:marLeft w:val="0"/>
      <w:marRight w:val="0"/>
      <w:marTop w:val="0"/>
      <w:marBottom w:val="0"/>
      <w:divBdr>
        <w:top w:val="none" w:sz="0" w:space="0" w:color="auto"/>
        <w:left w:val="none" w:sz="0" w:space="0" w:color="auto"/>
        <w:bottom w:val="none" w:sz="0" w:space="0" w:color="auto"/>
        <w:right w:val="none" w:sz="0" w:space="0" w:color="auto"/>
      </w:divBdr>
    </w:div>
    <w:div w:id="199326459">
      <w:bodyDiv w:val="1"/>
      <w:marLeft w:val="0"/>
      <w:marRight w:val="0"/>
      <w:marTop w:val="0"/>
      <w:marBottom w:val="0"/>
      <w:divBdr>
        <w:top w:val="none" w:sz="0" w:space="0" w:color="auto"/>
        <w:left w:val="none" w:sz="0" w:space="0" w:color="auto"/>
        <w:bottom w:val="none" w:sz="0" w:space="0" w:color="auto"/>
        <w:right w:val="none" w:sz="0" w:space="0" w:color="auto"/>
      </w:divBdr>
    </w:div>
    <w:div w:id="199781715">
      <w:bodyDiv w:val="1"/>
      <w:marLeft w:val="0"/>
      <w:marRight w:val="0"/>
      <w:marTop w:val="0"/>
      <w:marBottom w:val="0"/>
      <w:divBdr>
        <w:top w:val="none" w:sz="0" w:space="0" w:color="auto"/>
        <w:left w:val="none" w:sz="0" w:space="0" w:color="auto"/>
        <w:bottom w:val="none" w:sz="0" w:space="0" w:color="auto"/>
        <w:right w:val="none" w:sz="0" w:space="0" w:color="auto"/>
      </w:divBdr>
    </w:div>
    <w:div w:id="199785688">
      <w:bodyDiv w:val="1"/>
      <w:marLeft w:val="0"/>
      <w:marRight w:val="0"/>
      <w:marTop w:val="0"/>
      <w:marBottom w:val="0"/>
      <w:divBdr>
        <w:top w:val="none" w:sz="0" w:space="0" w:color="auto"/>
        <w:left w:val="none" w:sz="0" w:space="0" w:color="auto"/>
        <w:bottom w:val="none" w:sz="0" w:space="0" w:color="auto"/>
        <w:right w:val="none" w:sz="0" w:space="0" w:color="auto"/>
      </w:divBdr>
    </w:div>
    <w:div w:id="201135510">
      <w:bodyDiv w:val="1"/>
      <w:marLeft w:val="0"/>
      <w:marRight w:val="0"/>
      <w:marTop w:val="0"/>
      <w:marBottom w:val="0"/>
      <w:divBdr>
        <w:top w:val="none" w:sz="0" w:space="0" w:color="auto"/>
        <w:left w:val="none" w:sz="0" w:space="0" w:color="auto"/>
        <w:bottom w:val="none" w:sz="0" w:space="0" w:color="auto"/>
        <w:right w:val="none" w:sz="0" w:space="0" w:color="auto"/>
      </w:divBdr>
    </w:div>
    <w:div w:id="201478139">
      <w:bodyDiv w:val="1"/>
      <w:marLeft w:val="0"/>
      <w:marRight w:val="0"/>
      <w:marTop w:val="0"/>
      <w:marBottom w:val="0"/>
      <w:divBdr>
        <w:top w:val="none" w:sz="0" w:space="0" w:color="auto"/>
        <w:left w:val="none" w:sz="0" w:space="0" w:color="auto"/>
        <w:bottom w:val="none" w:sz="0" w:space="0" w:color="auto"/>
        <w:right w:val="none" w:sz="0" w:space="0" w:color="auto"/>
      </w:divBdr>
    </w:div>
    <w:div w:id="202714656">
      <w:bodyDiv w:val="1"/>
      <w:marLeft w:val="0"/>
      <w:marRight w:val="0"/>
      <w:marTop w:val="0"/>
      <w:marBottom w:val="0"/>
      <w:divBdr>
        <w:top w:val="none" w:sz="0" w:space="0" w:color="auto"/>
        <w:left w:val="none" w:sz="0" w:space="0" w:color="auto"/>
        <w:bottom w:val="none" w:sz="0" w:space="0" w:color="auto"/>
        <w:right w:val="none" w:sz="0" w:space="0" w:color="auto"/>
      </w:divBdr>
    </w:div>
    <w:div w:id="203176520">
      <w:bodyDiv w:val="1"/>
      <w:marLeft w:val="0"/>
      <w:marRight w:val="0"/>
      <w:marTop w:val="0"/>
      <w:marBottom w:val="0"/>
      <w:divBdr>
        <w:top w:val="none" w:sz="0" w:space="0" w:color="auto"/>
        <w:left w:val="none" w:sz="0" w:space="0" w:color="auto"/>
        <w:bottom w:val="none" w:sz="0" w:space="0" w:color="auto"/>
        <w:right w:val="none" w:sz="0" w:space="0" w:color="auto"/>
      </w:divBdr>
    </w:div>
    <w:div w:id="203640553">
      <w:bodyDiv w:val="1"/>
      <w:marLeft w:val="0"/>
      <w:marRight w:val="0"/>
      <w:marTop w:val="0"/>
      <w:marBottom w:val="0"/>
      <w:divBdr>
        <w:top w:val="none" w:sz="0" w:space="0" w:color="auto"/>
        <w:left w:val="none" w:sz="0" w:space="0" w:color="auto"/>
        <w:bottom w:val="none" w:sz="0" w:space="0" w:color="auto"/>
        <w:right w:val="none" w:sz="0" w:space="0" w:color="auto"/>
      </w:divBdr>
    </w:div>
    <w:div w:id="204025260">
      <w:bodyDiv w:val="1"/>
      <w:marLeft w:val="0"/>
      <w:marRight w:val="0"/>
      <w:marTop w:val="0"/>
      <w:marBottom w:val="0"/>
      <w:divBdr>
        <w:top w:val="none" w:sz="0" w:space="0" w:color="auto"/>
        <w:left w:val="none" w:sz="0" w:space="0" w:color="auto"/>
        <w:bottom w:val="none" w:sz="0" w:space="0" w:color="auto"/>
        <w:right w:val="none" w:sz="0" w:space="0" w:color="auto"/>
      </w:divBdr>
    </w:div>
    <w:div w:id="204027497">
      <w:bodyDiv w:val="1"/>
      <w:marLeft w:val="0"/>
      <w:marRight w:val="0"/>
      <w:marTop w:val="0"/>
      <w:marBottom w:val="0"/>
      <w:divBdr>
        <w:top w:val="none" w:sz="0" w:space="0" w:color="auto"/>
        <w:left w:val="none" w:sz="0" w:space="0" w:color="auto"/>
        <w:bottom w:val="none" w:sz="0" w:space="0" w:color="auto"/>
        <w:right w:val="none" w:sz="0" w:space="0" w:color="auto"/>
      </w:divBdr>
    </w:div>
    <w:div w:id="204686511">
      <w:bodyDiv w:val="1"/>
      <w:marLeft w:val="0"/>
      <w:marRight w:val="0"/>
      <w:marTop w:val="0"/>
      <w:marBottom w:val="0"/>
      <w:divBdr>
        <w:top w:val="none" w:sz="0" w:space="0" w:color="auto"/>
        <w:left w:val="none" w:sz="0" w:space="0" w:color="auto"/>
        <w:bottom w:val="none" w:sz="0" w:space="0" w:color="auto"/>
        <w:right w:val="none" w:sz="0" w:space="0" w:color="auto"/>
      </w:divBdr>
    </w:div>
    <w:div w:id="204801480">
      <w:bodyDiv w:val="1"/>
      <w:marLeft w:val="0"/>
      <w:marRight w:val="0"/>
      <w:marTop w:val="0"/>
      <w:marBottom w:val="0"/>
      <w:divBdr>
        <w:top w:val="none" w:sz="0" w:space="0" w:color="auto"/>
        <w:left w:val="none" w:sz="0" w:space="0" w:color="auto"/>
        <w:bottom w:val="none" w:sz="0" w:space="0" w:color="auto"/>
        <w:right w:val="none" w:sz="0" w:space="0" w:color="auto"/>
      </w:divBdr>
    </w:div>
    <w:div w:id="205071536">
      <w:bodyDiv w:val="1"/>
      <w:marLeft w:val="0"/>
      <w:marRight w:val="0"/>
      <w:marTop w:val="0"/>
      <w:marBottom w:val="0"/>
      <w:divBdr>
        <w:top w:val="none" w:sz="0" w:space="0" w:color="auto"/>
        <w:left w:val="none" w:sz="0" w:space="0" w:color="auto"/>
        <w:bottom w:val="none" w:sz="0" w:space="0" w:color="auto"/>
        <w:right w:val="none" w:sz="0" w:space="0" w:color="auto"/>
      </w:divBdr>
    </w:div>
    <w:div w:id="205220119">
      <w:bodyDiv w:val="1"/>
      <w:marLeft w:val="0"/>
      <w:marRight w:val="0"/>
      <w:marTop w:val="0"/>
      <w:marBottom w:val="0"/>
      <w:divBdr>
        <w:top w:val="none" w:sz="0" w:space="0" w:color="auto"/>
        <w:left w:val="none" w:sz="0" w:space="0" w:color="auto"/>
        <w:bottom w:val="none" w:sz="0" w:space="0" w:color="auto"/>
        <w:right w:val="none" w:sz="0" w:space="0" w:color="auto"/>
      </w:divBdr>
    </w:div>
    <w:div w:id="205258993">
      <w:bodyDiv w:val="1"/>
      <w:marLeft w:val="0"/>
      <w:marRight w:val="0"/>
      <w:marTop w:val="0"/>
      <w:marBottom w:val="0"/>
      <w:divBdr>
        <w:top w:val="none" w:sz="0" w:space="0" w:color="auto"/>
        <w:left w:val="none" w:sz="0" w:space="0" w:color="auto"/>
        <w:bottom w:val="none" w:sz="0" w:space="0" w:color="auto"/>
        <w:right w:val="none" w:sz="0" w:space="0" w:color="auto"/>
      </w:divBdr>
    </w:div>
    <w:div w:id="205416392">
      <w:bodyDiv w:val="1"/>
      <w:marLeft w:val="0"/>
      <w:marRight w:val="0"/>
      <w:marTop w:val="0"/>
      <w:marBottom w:val="0"/>
      <w:divBdr>
        <w:top w:val="none" w:sz="0" w:space="0" w:color="auto"/>
        <w:left w:val="none" w:sz="0" w:space="0" w:color="auto"/>
        <w:bottom w:val="none" w:sz="0" w:space="0" w:color="auto"/>
        <w:right w:val="none" w:sz="0" w:space="0" w:color="auto"/>
      </w:divBdr>
    </w:div>
    <w:div w:id="205486825">
      <w:bodyDiv w:val="1"/>
      <w:marLeft w:val="0"/>
      <w:marRight w:val="0"/>
      <w:marTop w:val="0"/>
      <w:marBottom w:val="0"/>
      <w:divBdr>
        <w:top w:val="none" w:sz="0" w:space="0" w:color="auto"/>
        <w:left w:val="none" w:sz="0" w:space="0" w:color="auto"/>
        <w:bottom w:val="none" w:sz="0" w:space="0" w:color="auto"/>
        <w:right w:val="none" w:sz="0" w:space="0" w:color="auto"/>
      </w:divBdr>
    </w:div>
    <w:div w:id="205728017">
      <w:bodyDiv w:val="1"/>
      <w:marLeft w:val="0"/>
      <w:marRight w:val="0"/>
      <w:marTop w:val="0"/>
      <w:marBottom w:val="0"/>
      <w:divBdr>
        <w:top w:val="none" w:sz="0" w:space="0" w:color="auto"/>
        <w:left w:val="none" w:sz="0" w:space="0" w:color="auto"/>
        <w:bottom w:val="none" w:sz="0" w:space="0" w:color="auto"/>
        <w:right w:val="none" w:sz="0" w:space="0" w:color="auto"/>
      </w:divBdr>
    </w:div>
    <w:div w:id="205795221">
      <w:bodyDiv w:val="1"/>
      <w:marLeft w:val="0"/>
      <w:marRight w:val="0"/>
      <w:marTop w:val="0"/>
      <w:marBottom w:val="0"/>
      <w:divBdr>
        <w:top w:val="none" w:sz="0" w:space="0" w:color="auto"/>
        <w:left w:val="none" w:sz="0" w:space="0" w:color="auto"/>
        <w:bottom w:val="none" w:sz="0" w:space="0" w:color="auto"/>
        <w:right w:val="none" w:sz="0" w:space="0" w:color="auto"/>
      </w:divBdr>
    </w:div>
    <w:div w:id="206111185">
      <w:bodyDiv w:val="1"/>
      <w:marLeft w:val="0"/>
      <w:marRight w:val="0"/>
      <w:marTop w:val="0"/>
      <w:marBottom w:val="0"/>
      <w:divBdr>
        <w:top w:val="none" w:sz="0" w:space="0" w:color="auto"/>
        <w:left w:val="none" w:sz="0" w:space="0" w:color="auto"/>
        <w:bottom w:val="none" w:sz="0" w:space="0" w:color="auto"/>
        <w:right w:val="none" w:sz="0" w:space="0" w:color="auto"/>
      </w:divBdr>
    </w:div>
    <w:div w:id="206795317">
      <w:bodyDiv w:val="1"/>
      <w:marLeft w:val="0"/>
      <w:marRight w:val="0"/>
      <w:marTop w:val="0"/>
      <w:marBottom w:val="0"/>
      <w:divBdr>
        <w:top w:val="none" w:sz="0" w:space="0" w:color="auto"/>
        <w:left w:val="none" w:sz="0" w:space="0" w:color="auto"/>
        <w:bottom w:val="none" w:sz="0" w:space="0" w:color="auto"/>
        <w:right w:val="none" w:sz="0" w:space="0" w:color="auto"/>
      </w:divBdr>
    </w:div>
    <w:div w:id="206918028">
      <w:bodyDiv w:val="1"/>
      <w:marLeft w:val="0"/>
      <w:marRight w:val="0"/>
      <w:marTop w:val="0"/>
      <w:marBottom w:val="0"/>
      <w:divBdr>
        <w:top w:val="none" w:sz="0" w:space="0" w:color="auto"/>
        <w:left w:val="none" w:sz="0" w:space="0" w:color="auto"/>
        <w:bottom w:val="none" w:sz="0" w:space="0" w:color="auto"/>
        <w:right w:val="none" w:sz="0" w:space="0" w:color="auto"/>
      </w:divBdr>
    </w:div>
    <w:div w:id="207104847">
      <w:bodyDiv w:val="1"/>
      <w:marLeft w:val="0"/>
      <w:marRight w:val="0"/>
      <w:marTop w:val="0"/>
      <w:marBottom w:val="0"/>
      <w:divBdr>
        <w:top w:val="none" w:sz="0" w:space="0" w:color="auto"/>
        <w:left w:val="none" w:sz="0" w:space="0" w:color="auto"/>
        <w:bottom w:val="none" w:sz="0" w:space="0" w:color="auto"/>
        <w:right w:val="none" w:sz="0" w:space="0" w:color="auto"/>
      </w:divBdr>
    </w:div>
    <w:div w:id="207105485">
      <w:bodyDiv w:val="1"/>
      <w:marLeft w:val="0"/>
      <w:marRight w:val="0"/>
      <w:marTop w:val="0"/>
      <w:marBottom w:val="0"/>
      <w:divBdr>
        <w:top w:val="none" w:sz="0" w:space="0" w:color="auto"/>
        <w:left w:val="none" w:sz="0" w:space="0" w:color="auto"/>
        <w:bottom w:val="none" w:sz="0" w:space="0" w:color="auto"/>
        <w:right w:val="none" w:sz="0" w:space="0" w:color="auto"/>
      </w:divBdr>
    </w:div>
    <w:div w:id="207187599">
      <w:bodyDiv w:val="1"/>
      <w:marLeft w:val="0"/>
      <w:marRight w:val="0"/>
      <w:marTop w:val="0"/>
      <w:marBottom w:val="0"/>
      <w:divBdr>
        <w:top w:val="none" w:sz="0" w:space="0" w:color="auto"/>
        <w:left w:val="none" w:sz="0" w:space="0" w:color="auto"/>
        <w:bottom w:val="none" w:sz="0" w:space="0" w:color="auto"/>
        <w:right w:val="none" w:sz="0" w:space="0" w:color="auto"/>
      </w:divBdr>
    </w:div>
    <w:div w:id="207373578">
      <w:bodyDiv w:val="1"/>
      <w:marLeft w:val="0"/>
      <w:marRight w:val="0"/>
      <w:marTop w:val="0"/>
      <w:marBottom w:val="0"/>
      <w:divBdr>
        <w:top w:val="none" w:sz="0" w:space="0" w:color="auto"/>
        <w:left w:val="none" w:sz="0" w:space="0" w:color="auto"/>
        <w:bottom w:val="none" w:sz="0" w:space="0" w:color="auto"/>
        <w:right w:val="none" w:sz="0" w:space="0" w:color="auto"/>
      </w:divBdr>
    </w:div>
    <w:div w:id="207686758">
      <w:bodyDiv w:val="1"/>
      <w:marLeft w:val="0"/>
      <w:marRight w:val="0"/>
      <w:marTop w:val="0"/>
      <w:marBottom w:val="0"/>
      <w:divBdr>
        <w:top w:val="none" w:sz="0" w:space="0" w:color="auto"/>
        <w:left w:val="none" w:sz="0" w:space="0" w:color="auto"/>
        <w:bottom w:val="none" w:sz="0" w:space="0" w:color="auto"/>
        <w:right w:val="none" w:sz="0" w:space="0" w:color="auto"/>
      </w:divBdr>
    </w:div>
    <w:div w:id="208348973">
      <w:bodyDiv w:val="1"/>
      <w:marLeft w:val="0"/>
      <w:marRight w:val="0"/>
      <w:marTop w:val="0"/>
      <w:marBottom w:val="0"/>
      <w:divBdr>
        <w:top w:val="none" w:sz="0" w:space="0" w:color="auto"/>
        <w:left w:val="none" w:sz="0" w:space="0" w:color="auto"/>
        <w:bottom w:val="none" w:sz="0" w:space="0" w:color="auto"/>
        <w:right w:val="none" w:sz="0" w:space="0" w:color="auto"/>
      </w:divBdr>
    </w:div>
    <w:div w:id="208802637">
      <w:bodyDiv w:val="1"/>
      <w:marLeft w:val="0"/>
      <w:marRight w:val="0"/>
      <w:marTop w:val="0"/>
      <w:marBottom w:val="0"/>
      <w:divBdr>
        <w:top w:val="none" w:sz="0" w:space="0" w:color="auto"/>
        <w:left w:val="none" w:sz="0" w:space="0" w:color="auto"/>
        <w:bottom w:val="none" w:sz="0" w:space="0" w:color="auto"/>
        <w:right w:val="none" w:sz="0" w:space="0" w:color="auto"/>
      </w:divBdr>
    </w:div>
    <w:div w:id="208882816">
      <w:bodyDiv w:val="1"/>
      <w:marLeft w:val="0"/>
      <w:marRight w:val="0"/>
      <w:marTop w:val="0"/>
      <w:marBottom w:val="0"/>
      <w:divBdr>
        <w:top w:val="none" w:sz="0" w:space="0" w:color="auto"/>
        <w:left w:val="none" w:sz="0" w:space="0" w:color="auto"/>
        <w:bottom w:val="none" w:sz="0" w:space="0" w:color="auto"/>
        <w:right w:val="none" w:sz="0" w:space="0" w:color="auto"/>
      </w:divBdr>
    </w:div>
    <w:div w:id="208961356">
      <w:bodyDiv w:val="1"/>
      <w:marLeft w:val="0"/>
      <w:marRight w:val="0"/>
      <w:marTop w:val="0"/>
      <w:marBottom w:val="0"/>
      <w:divBdr>
        <w:top w:val="none" w:sz="0" w:space="0" w:color="auto"/>
        <w:left w:val="none" w:sz="0" w:space="0" w:color="auto"/>
        <w:bottom w:val="none" w:sz="0" w:space="0" w:color="auto"/>
        <w:right w:val="none" w:sz="0" w:space="0" w:color="auto"/>
      </w:divBdr>
    </w:div>
    <w:div w:id="209000457">
      <w:bodyDiv w:val="1"/>
      <w:marLeft w:val="0"/>
      <w:marRight w:val="0"/>
      <w:marTop w:val="0"/>
      <w:marBottom w:val="0"/>
      <w:divBdr>
        <w:top w:val="none" w:sz="0" w:space="0" w:color="auto"/>
        <w:left w:val="none" w:sz="0" w:space="0" w:color="auto"/>
        <w:bottom w:val="none" w:sz="0" w:space="0" w:color="auto"/>
        <w:right w:val="none" w:sz="0" w:space="0" w:color="auto"/>
      </w:divBdr>
    </w:div>
    <w:div w:id="209076813">
      <w:bodyDiv w:val="1"/>
      <w:marLeft w:val="0"/>
      <w:marRight w:val="0"/>
      <w:marTop w:val="0"/>
      <w:marBottom w:val="0"/>
      <w:divBdr>
        <w:top w:val="none" w:sz="0" w:space="0" w:color="auto"/>
        <w:left w:val="none" w:sz="0" w:space="0" w:color="auto"/>
        <w:bottom w:val="none" w:sz="0" w:space="0" w:color="auto"/>
        <w:right w:val="none" w:sz="0" w:space="0" w:color="auto"/>
      </w:divBdr>
    </w:div>
    <w:div w:id="209730359">
      <w:bodyDiv w:val="1"/>
      <w:marLeft w:val="0"/>
      <w:marRight w:val="0"/>
      <w:marTop w:val="0"/>
      <w:marBottom w:val="0"/>
      <w:divBdr>
        <w:top w:val="none" w:sz="0" w:space="0" w:color="auto"/>
        <w:left w:val="none" w:sz="0" w:space="0" w:color="auto"/>
        <w:bottom w:val="none" w:sz="0" w:space="0" w:color="auto"/>
        <w:right w:val="none" w:sz="0" w:space="0" w:color="auto"/>
      </w:divBdr>
    </w:div>
    <w:div w:id="210578430">
      <w:bodyDiv w:val="1"/>
      <w:marLeft w:val="0"/>
      <w:marRight w:val="0"/>
      <w:marTop w:val="0"/>
      <w:marBottom w:val="0"/>
      <w:divBdr>
        <w:top w:val="none" w:sz="0" w:space="0" w:color="auto"/>
        <w:left w:val="none" w:sz="0" w:space="0" w:color="auto"/>
        <w:bottom w:val="none" w:sz="0" w:space="0" w:color="auto"/>
        <w:right w:val="none" w:sz="0" w:space="0" w:color="auto"/>
      </w:divBdr>
    </w:div>
    <w:div w:id="210845301">
      <w:bodyDiv w:val="1"/>
      <w:marLeft w:val="0"/>
      <w:marRight w:val="0"/>
      <w:marTop w:val="0"/>
      <w:marBottom w:val="0"/>
      <w:divBdr>
        <w:top w:val="none" w:sz="0" w:space="0" w:color="auto"/>
        <w:left w:val="none" w:sz="0" w:space="0" w:color="auto"/>
        <w:bottom w:val="none" w:sz="0" w:space="0" w:color="auto"/>
        <w:right w:val="none" w:sz="0" w:space="0" w:color="auto"/>
      </w:divBdr>
    </w:div>
    <w:div w:id="211354822">
      <w:bodyDiv w:val="1"/>
      <w:marLeft w:val="0"/>
      <w:marRight w:val="0"/>
      <w:marTop w:val="0"/>
      <w:marBottom w:val="0"/>
      <w:divBdr>
        <w:top w:val="none" w:sz="0" w:space="0" w:color="auto"/>
        <w:left w:val="none" w:sz="0" w:space="0" w:color="auto"/>
        <w:bottom w:val="none" w:sz="0" w:space="0" w:color="auto"/>
        <w:right w:val="none" w:sz="0" w:space="0" w:color="auto"/>
      </w:divBdr>
    </w:div>
    <w:div w:id="211354932">
      <w:bodyDiv w:val="1"/>
      <w:marLeft w:val="0"/>
      <w:marRight w:val="0"/>
      <w:marTop w:val="0"/>
      <w:marBottom w:val="0"/>
      <w:divBdr>
        <w:top w:val="none" w:sz="0" w:space="0" w:color="auto"/>
        <w:left w:val="none" w:sz="0" w:space="0" w:color="auto"/>
        <w:bottom w:val="none" w:sz="0" w:space="0" w:color="auto"/>
        <w:right w:val="none" w:sz="0" w:space="0" w:color="auto"/>
      </w:divBdr>
    </w:div>
    <w:div w:id="212155643">
      <w:bodyDiv w:val="1"/>
      <w:marLeft w:val="0"/>
      <w:marRight w:val="0"/>
      <w:marTop w:val="0"/>
      <w:marBottom w:val="0"/>
      <w:divBdr>
        <w:top w:val="none" w:sz="0" w:space="0" w:color="auto"/>
        <w:left w:val="none" w:sz="0" w:space="0" w:color="auto"/>
        <w:bottom w:val="none" w:sz="0" w:space="0" w:color="auto"/>
        <w:right w:val="none" w:sz="0" w:space="0" w:color="auto"/>
      </w:divBdr>
    </w:div>
    <w:div w:id="212272066">
      <w:bodyDiv w:val="1"/>
      <w:marLeft w:val="0"/>
      <w:marRight w:val="0"/>
      <w:marTop w:val="0"/>
      <w:marBottom w:val="0"/>
      <w:divBdr>
        <w:top w:val="none" w:sz="0" w:space="0" w:color="auto"/>
        <w:left w:val="none" w:sz="0" w:space="0" w:color="auto"/>
        <w:bottom w:val="none" w:sz="0" w:space="0" w:color="auto"/>
        <w:right w:val="none" w:sz="0" w:space="0" w:color="auto"/>
      </w:divBdr>
    </w:div>
    <w:div w:id="212426229">
      <w:bodyDiv w:val="1"/>
      <w:marLeft w:val="0"/>
      <w:marRight w:val="0"/>
      <w:marTop w:val="0"/>
      <w:marBottom w:val="0"/>
      <w:divBdr>
        <w:top w:val="none" w:sz="0" w:space="0" w:color="auto"/>
        <w:left w:val="none" w:sz="0" w:space="0" w:color="auto"/>
        <w:bottom w:val="none" w:sz="0" w:space="0" w:color="auto"/>
        <w:right w:val="none" w:sz="0" w:space="0" w:color="auto"/>
      </w:divBdr>
    </w:div>
    <w:div w:id="212692347">
      <w:bodyDiv w:val="1"/>
      <w:marLeft w:val="0"/>
      <w:marRight w:val="0"/>
      <w:marTop w:val="0"/>
      <w:marBottom w:val="0"/>
      <w:divBdr>
        <w:top w:val="none" w:sz="0" w:space="0" w:color="auto"/>
        <w:left w:val="none" w:sz="0" w:space="0" w:color="auto"/>
        <w:bottom w:val="none" w:sz="0" w:space="0" w:color="auto"/>
        <w:right w:val="none" w:sz="0" w:space="0" w:color="auto"/>
      </w:divBdr>
    </w:div>
    <w:div w:id="213583648">
      <w:bodyDiv w:val="1"/>
      <w:marLeft w:val="0"/>
      <w:marRight w:val="0"/>
      <w:marTop w:val="0"/>
      <w:marBottom w:val="0"/>
      <w:divBdr>
        <w:top w:val="none" w:sz="0" w:space="0" w:color="auto"/>
        <w:left w:val="none" w:sz="0" w:space="0" w:color="auto"/>
        <w:bottom w:val="none" w:sz="0" w:space="0" w:color="auto"/>
        <w:right w:val="none" w:sz="0" w:space="0" w:color="auto"/>
      </w:divBdr>
    </w:div>
    <w:div w:id="213810915">
      <w:bodyDiv w:val="1"/>
      <w:marLeft w:val="0"/>
      <w:marRight w:val="0"/>
      <w:marTop w:val="0"/>
      <w:marBottom w:val="0"/>
      <w:divBdr>
        <w:top w:val="none" w:sz="0" w:space="0" w:color="auto"/>
        <w:left w:val="none" w:sz="0" w:space="0" w:color="auto"/>
        <w:bottom w:val="none" w:sz="0" w:space="0" w:color="auto"/>
        <w:right w:val="none" w:sz="0" w:space="0" w:color="auto"/>
      </w:divBdr>
    </w:div>
    <w:div w:id="214388201">
      <w:bodyDiv w:val="1"/>
      <w:marLeft w:val="0"/>
      <w:marRight w:val="0"/>
      <w:marTop w:val="0"/>
      <w:marBottom w:val="0"/>
      <w:divBdr>
        <w:top w:val="none" w:sz="0" w:space="0" w:color="auto"/>
        <w:left w:val="none" w:sz="0" w:space="0" w:color="auto"/>
        <w:bottom w:val="none" w:sz="0" w:space="0" w:color="auto"/>
        <w:right w:val="none" w:sz="0" w:space="0" w:color="auto"/>
      </w:divBdr>
    </w:div>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215239174">
      <w:bodyDiv w:val="1"/>
      <w:marLeft w:val="0"/>
      <w:marRight w:val="0"/>
      <w:marTop w:val="0"/>
      <w:marBottom w:val="0"/>
      <w:divBdr>
        <w:top w:val="none" w:sz="0" w:space="0" w:color="auto"/>
        <w:left w:val="none" w:sz="0" w:space="0" w:color="auto"/>
        <w:bottom w:val="none" w:sz="0" w:space="0" w:color="auto"/>
        <w:right w:val="none" w:sz="0" w:space="0" w:color="auto"/>
      </w:divBdr>
    </w:div>
    <w:div w:id="215354810">
      <w:bodyDiv w:val="1"/>
      <w:marLeft w:val="0"/>
      <w:marRight w:val="0"/>
      <w:marTop w:val="0"/>
      <w:marBottom w:val="0"/>
      <w:divBdr>
        <w:top w:val="none" w:sz="0" w:space="0" w:color="auto"/>
        <w:left w:val="none" w:sz="0" w:space="0" w:color="auto"/>
        <w:bottom w:val="none" w:sz="0" w:space="0" w:color="auto"/>
        <w:right w:val="none" w:sz="0" w:space="0" w:color="auto"/>
      </w:divBdr>
    </w:div>
    <w:div w:id="215967625">
      <w:bodyDiv w:val="1"/>
      <w:marLeft w:val="0"/>
      <w:marRight w:val="0"/>
      <w:marTop w:val="0"/>
      <w:marBottom w:val="0"/>
      <w:divBdr>
        <w:top w:val="none" w:sz="0" w:space="0" w:color="auto"/>
        <w:left w:val="none" w:sz="0" w:space="0" w:color="auto"/>
        <w:bottom w:val="none" w:sz="0" w:space="0" w:color="auto"/>
        <w:right w:val="none" w:sz="0" w:space="0" w:color="auto"/>
      </w:divBdr>
    </w:div>
    <w:div w:id="216288243">
      <w:bodyDiv w:val="1"/>
      <w:marLeft w:val="0"/>
      <w:marRight w:val="0"/>
      <w:marTop w:val="0"/>
      <w:marBottom w:val="0"/>
      <w:divBdr>
        <w:top w:val="none" w:sz="0" w:space="0" w:color="auto"/>
        <w:left w:val="none" w:sz="0" w:space="0" w:color="auto"/>
        <w:bottom w:val="none" w:sz="0" w:space="0" w:color="auto"/>
        <w:right w:val="none" w:sz="0" w:space="0" w:color="auto"/>
      </w:divBdr>
    </w:div>
    <w:div w:id="217665367">
      <w:bodyDiv w:val="1"/>
      <w:marLeft w:val="0"/>
      <w:marRight w:val="0"/>
      <w:marTop w:val="0"/>
      <w:marBottom w:val="0"/>
      <w:divBdr>
        <w:top w:val="none" w:sz="0" w:space="0" w:color="auto"/>
        <w:left w:val="none" w:sz="0" w:space="0" w:color="auto"/>
        <w:bottom w:val="none" w:sz="0" w:space="0" w:color="auto"/>
        <w:right w:val="none" w:sz="0" w:space="0" w:color="auto"/>
      </w:divBdr>
    </w:div>
    <w:div w:id="217976634">
      <w:bodyDiv w:val="1"/>
      <w:marLeft w:val="0"/>
      <w:marRight w:val="0"/>
      <w:marTop w:val="0"/>
      <w:marBottom w:val="0"/>
      <w:divBdr>
        <w:top w:val="none" w:sz="0" w:space="0" w:color="auto"/>
        <w:left w:val="none" w:sz="0" w:space="0" w:color="auto"/>
        <w:bottom w:val="none" w:sz="0" w:space="0" w:color="auto"/>
        <w:right w:val="none" w:sz="0" w:space="0" w:color="auto"/>
      </w:divBdr>
    </w:div>
    <w:div w:id="218054726">
      <w:bodyDiv w:val="1"/>
      <w:marLeft w:val="0"/>
      <w:marRight w:val="0"/>
      <w:marTop w:val="0"/>
      <w:marBottom w:val="0"/>
      <w:divBdr>
        <w:top w:val="none" w:sz="0" w:space="0" w:color="auto"/>
        <w:left w:val="none" w:sz="0" w:space="0" w:color="auto"/>
        <w:bottom w:val="none" w:sz="0" w:space="0" w:color="auto"/>
        <w:right w:val="none" w:sz="0" w:space="0" w:color="auto"/>
      </w:divBdr>
    </w:div>
    <w:div w:id="218059120">
      <w:bodyDiv w:val="1"/>
      <w:marLeft w:val="0"/>
      <w:marRight w:val="0"/>
      <w:marTop w:val="0"/>
      <w:marBottom w:val="0"/>
      <w:divBdr>
        <w:top w:val="none" w:sz="0" w:space="0" w:color="auto"/>
        <w:left w:val="none" w:sz="0" w:space="0" w:color="auto"/>
        <w:bottom w:val="none" w:sz="0" w:space="0" w:color="auto"/>
        <w:right w:val="none" w:sz="0" w:space="0" w:color="auto"/>
      </w:divBdr>
    </w:div>
    <w:div w:id="218707213">
      <w:bodyDiv w:val="1"/>
      <w:marLeft w:val="0"/>
      <w:marRight w:val="0"/>
      <w:marTop w:val="0"/>
      <w:marBottom w:val="0"/>
      <w:divBdr>
        <w:top w:val="none" w:sz="0" w:space="0" w:color="auto"/>
        <w:left w:val="none" w:sz="0" w:space="0" w:color="auto"/>
        <w:bottom w:val="none" w:sz="0" w:space="0" w:color="auto"/>
        <w:right w:val="none" w:sz="0" w:space="0" w:color="auto"/>
      </w:divBdr>
    </w:div>
    <w:div w:id="218828260">
      <w:bodyDiv w:val="1"/>
      <w:marLeft w:val="0"/>
      <w:marRight w:val="0"/>
      <w:marTop w:val="0"/>
      <w:marBottom w:val="0"/>
      <w:divBdr>
        <w:top w:val="none" w:sz="0" w:space="0" w:color="auto"/>
        <w:left w:val="none" w:sz="0" w:space="0" w:color="auto"/>
        <w:bottom w:val="none" w:sz="0" w:space="0" w:color="auto"/>
        <w:right w:val="none" w:sz="0" w:space="0" w:color="auto"/>
      </w:divBdr>
    </w:div>
    <w:div w:id="218908731">
      <w:bodyDiv w:val="1"/>
      <w:marLeft w:val="0"/>
      <w:marRight w:val="0"/>
      <w:marTop w:val="0"/>
      <w:marBottom w:val="0"/>
      <w:divBdr>
        <w:top w:val="none" w:sz="0" w:space="0" w:color="auto"/>
        <w:left w:val="none" w:sz="0" w:space="0" w:color="auto"/>
        <w:bottom w:val="none" w:sz="0" w:space="0" w:color="auto"/>
        <w:right w:val="none" w:sz="0" w:space="0" w:color="auto"/>
      </w:divBdr>
    </w:div>
    <w:div w:id="219562387">
      <w:bodyDiv w:val="1"/>
      <w:marLeft w:val="0"/>
      <w:marRight w:val="0"/>
      <w:marTop w:val="0"/>
      <w:marBottom w:val="0"/>
      <w:divBdr>
        <w:top w:val="none" w:sz="0" w:space="0" w:color="auto"/>
        <w:left w:val="none" w:sz="0" w:space="0" w:color="auto"/>
        <w:bottom w:val="none" w:sz="0" w:space="0" w:color="auto"/>
        <w:right w:val="none" w:sz="0" w:space="0" w:color="auto"/>
      </w:divBdr>
    </w:div>
    <w:div w:id="219678167">
      <w:bodyDiv w:val="1"/>
      <w:marLeft w:val="0"/>
      <w:marRight w:val="0"/>
      <w:marTop w:val="0"/>
      <w:marBottom w:val="0"/>
      <w:divBdr>
        <w:top w:val="none" w:sz="0" w:space="0" w:color="auto"/>
        <w:left w:val="none" w:sz="0" w:space="0" w:color="auto"/>
        <w:bottom w:val="none" w:sz="0" w:space="0" w:color="auto"/>
        <w:right w:val="none" w:sz="0" w:space="0" w:color="auto"/>
      </w:divBdr>
    </w:div>
    <w:div w:id="220025860">
      <w:bodyDiv w:val="1"/>
      <w:marLeft w:val="0"/>
      <w:marRight w:val="0"/>
      <w:marTop w:val="0"/>
      <w:marBottom w:val="0"/>
      <w:divBdr>
        <w:top w:val="none" w:sz="0" w:space="0" w:color="auto"/>
        <w:left w:val="none" w:sz="0" w:space="0" w:color="auto"/>
        <w:bottom w:val="none" w:sz="0" w:space="0" w:color="auto"/>
        <w:right w:val="none" w:sz="0" w:space="0" w:color="auto"/>
      </w:divBdr>
    </w:div>
    <w:div w:id="220410025">
      <w:bodyDiv w:val="1"/>
      <w:marLeft w:val="0"/>
      <w:marRight w:val="0"/>
      <w:marTop w:val="0"/>
      <w:marBottom w:val="0"/>
      <w:divBdr>
        <w:top w:val="none" w:sz="0" w:space="0" w:color="auto"/>
        <w:left w:val="none" w:sz="0" w:space="0" w:color="auto"/>
        <w:bottom w:val="none" w:sz="0" w:space="0" w:color="auto"/>
        <w:right w:val="none" w:sz="0" w:space="0" w:color="auto"/>
      </w:divBdr>
    </w:div>
    <w:div w:id="220602776">
      <w:bodyDiv w:val="1"/>
      <w:marLeft w:val="0"/>
      <w:marRight w:val="0"/>
      <w:marTop w:val="0"/>
      <w:marBottom w:val="0"/>
      <w:divBdr>
        <w:top w:val="none" w:sz="0" w:space="0" w:color="auto"/>
        <w:left w:val="none" w:sz="0" w:space="0" w:color="auto"/>
        <w:bottom w:val="none" w:sz="0" w:space="0" w:color="auto"/>
        <w:right w:val="none" w:sz="0" w:space="0" w:color="auto"/>
      </w:divBdr>
    </w:div>
    <w:div w:id="222757561">
      <w:bodyDiv w:val="1"/>
      <w:marLeft w:val="0"/>
      <w:marRight w:val="0"/>
      <w:marTop w:val="0"/>
      <w:marBottom w:val="0"/>
      <w:divBdr>
        <w:top w:val="none" w:sz="0" w:space="0" w:color="auto"/>
        <w:left w:val="none" w:sz="0" w:space="0" w:color="auto"/>
        <w:bottom w:val="none" w:sz="0" w:space="0" w:color="auto"/>
        <w:right w:val="none" w:sz="0" w:space="0" w:color="auto"/>
      </w:divBdr>
    </w:div>
    <w:div w:id="223032843">
      <w:bodyDiv w:val="1"/>
      <w:marLeft w:val="0"/>
      <w:marRight w:val="0"/>
      <w:marTop w:val="0"/>
      <w:marBottom w:val="0"/>
      <w:divBdr>
        <w:top w:val="none" w:sz="0" w:space="0" w:color="auto"/>
        <w:left w:val="none" w:sz="0" w:space="0" w:color="auto"/>
        <w:bottom w:val="none" w:sz="0" w:space="0" w:color="auto"/>
        <w:right w:val="none" w:sz="0" w:space="0" w:color="auto"/>
      </w:divBdr>
    </w:div>
    <w:div w:id="223106247">
      <w:bodyDiv w:val="1"/>
      <w:marLeft w:val="0"/>
      <w:marRight w:val="0"/>
      <w:marTop w:val="0"/>
      <w:marBottom w:val="0"/>
      <w:divBdr>
        <w:top w:val="none" w:sz="0" w:space="0" w:color="auto"/>
        <w:left w:val="none" w:sz="0" w:space="0" w:color="auto"/>
        <w:bottom w:val="none" w:sz="0" w:space="0" w:color="auto"/>
        <w:right w:val="none" w:sz="0" w:space="0" w:color="auto"/>
      </w:divBdr>
    </w:div>
    <w:div w:id="223494798">
      <w:bodyDiv w:val="1"/>
      <w:marLeft w:val="0"/>
      <w:marRight w:val="0"/>
      <w:marTop w:val="0"/>
      <w:marBottom w:val="0"/>
      <w:divBdr>
        <w:top w:val="none" w:sz="0" w:space="0" w:color="auto"/>
        <w:left w:val="none" w:sz="0" w:space="0" w:color="auto"/>
        <w:bottom w:val="none" w:sz="0" w:space="0" w:color="auto"/>
        <w:right w:val="none" w:sz="0" w:space="0" w:color="auto"/>
      </w:divBdr>
    </w:div>
    <w:div w:id="224607651">
      <w:bodyDiv w:val="1"/>
      <w:marLeft w:val="0"/>
      <w:marRight w:val="0"/>
      <w:marTop w:val="0"/>
      <w:marBottom w:val="0"/>
      <w:divBdr>
        <w:top w:val="none" w:sz="0" w:space="0" w:color="auto"/>
        <w:left w:val="none" w:sz="0" w:space="0" w:color="auto"/>
        <w:bottom w:val="none" w:sz="0" w:space="0" w:color="auto"/>
        <w:right w:val="none" w:sz="0" w:space="0" w:color="auto"/>
      </w:divBdr>
    </w:div>
    <w:div w:id="225070255">
      <w:bodyDiv w:val="1"/>
      <w:marLeft w:val="0"/>
      <w:marRight w:val="0"/>
      <w:marTop w:val="0"/>
      <w:marBottom w:val="0"/>
      <w:divBdr>
        <w:top w:val="none" w:sz="0" w:space="0" w:color="auto"/>
        <w:left w:val="none" w:sz="0" w:space="0" w:color="auto"/>
        <w:bottom w:val="none" w:sz="0" w:space="0" w:color="auto"/>
        <w:right w:val="none" w:sz="0" w:space="0" w:color="auto"/>
      </w:divBdr>
    </w:div>
    <w:div w:id="225530288">
      <w:bodyDiv w:val="1"/>
      <w:marLeft w:val="0"/>
      <w:marRight w:val="0"/>
      <w:marTop w:val="0"/>
      <w:marBottom w:val="0"/>
      <w:divBdr>
        <w:top w:val="none" w:sz="0" w:space="0" w:color="auto"/>
        <w:left w:val="none" w:sz="0" w:space="0" w:color="auto"/>
        <w:bottom w:val="none" w:sz="0" w:space="0" w:color="auto"/>
        <w:right w:val="none" w:sz="0" w:space="0" w:color="auto"/>
      </w:divBdr>
    </w:div>
    <w:div w:id="225603099">
      <w:bodyDiv w:val="1"/>
      <w:marLeft w:val="0"/>
      <w:marRight w:val="0"/>
      <w:marTop w:val="0"/>
      <w:marBottom w:val="0"/>
      <w:divBdr>
        <w:top w:val="none" w:sz="0" w:space="0" w:color="auto"/>
        <w:left w:val="none" w:sz="0" w:space="0" w:color="auto"/>
        <w:bottom w:val="none" w:sz="0" w:space="0" w:color="auto"/>
        <w:right w:val="none" w:sz="0" w:space="0" w:color="auto"/>
      </w:divBdr>
    </w:div>
    <w:div w:id="226037129">
      <w:bodyDiv w:val="1"/>
      <w:marLeft w:val="0"/>
      <w:marRight w:val="0"/>
      <w:marTop w:val="0"/>
      <w:marBottom w:val="0"/>
      <w:divBdr>
        <w:top w:val="none" w:sz="0" w:space="0" w:color="auto"/>
        <w:left w:val="none" w:sz="0" w:space="0" w:color="auto"/>
        <w:bottom w:val="none" w:sz="0" w:space="0" w:color="auto"/>
        <w:right w:val="none" w:sz="0" w:space="0" w:color="auto"/>
      </w:divBdr>
    </w:div>
    <w:div w:id="227617430">
      <w:bodyDiv w:val="1"/>
      <w:marLeft w:val="0"/>
      <w:marRight w:val="0"/>
      <w:marTop w:val="0"/>
      <w:marBottom w:val="0"/>
      <w:divBdr>
        <w:top w:val="none" w:sz="0" w:space="0" w:color="auto"/>
        <w:left w:val="none" w:sz="0" w:space="0" w:color="auto"/>
        <w:bottom w:val="none" w:sz="0" w:space="0" w:color="auto"/>
        <w:right w:val="none" w:sz="0" w:space="0" w:color="auto"/>
      </w:divBdr>
    </w:div>
    <w:div w:id="227806357">
      <w:bodyDiv w:val="1"/>
      <w:marLeft w:val="0"/>
      <w:marRight w:val="0"/>
      <w:marTop w:val="0"/>
      <w:marBottom w:val="0"/>
      <w:divBdr>
        <w:top w:val="none" w:sz="0" w:space="0" w:color="auto"/>
        <w:left w:val="none" w:sz="0" w:space="0" w:color="auto"/>
        <w:bottom w:val="none" w:sz="0" w:space="0" w:color="auto"/>
        <w:right w:val="none" w:sz="0" w:space="0" w:color="auto"/>
      </w:divBdr>
    </w:div>
    <w:div w:id="228031916">
      <w:bodyDiv w:val="1"/>
      <w:marLeft w:val="0"/>
      <w:marRight w:val="0"/>
      <w:marTop w:val="0"/>
      <w:marBottom w:val="0"/>
      <w:divBdr>
        <w:top w:val="none" w:sz="0" w:space="0" w:color="auto"/>
        <w:left w:val="none" w:sz="0" w:space="0" w:color="auto"/>
        <w:bottom w:val="none" w:sz="0" w:space="0" w:color="auto"/>
        <w:right w:val="none" w:sz="0" w:space="0" w:color="auto"/>
      </w:divBdr>
    </w:div>
    <w:div w:id="228157640">
      <w:bodyDiv w:val="1"/>
      <w:marLeft w:val="0"/>
      <w:marRight w:val="0"/>
      <w:marTop w:val="0"/>
      <w:marBottom w:val="0"/>
      <w:divBdr>
        <w:top w:val="none" w:sz="0" w:space="0" w:color="auto"/>
        <w:left w:val="none" w:sz="0" w:space="0" w:color="auto"/>
        <w:bottom w:val="none" w:sz="0" w:space="0" w:color="auto"/>
        <w:right w:val="none" w:sz="0" w:space="0" w:color="auto"/>
      </w:divBdr>
    </w:div>
    <w:div w:id="228807609">
      <w:bodyDiv w:val="1"/>
      <w:marLeft w:val="0"/>
      <w:marRight w:val="0"/>
      <w:marTop w:val="0"/>
      <w:marBottom w:val="0"/>
      <w:divBdr>
        <w:top w:val="none" w:sz="0" w:space="0" w:color="auto"/>
        <w:left w:val="none" w:sz="0" w:space="0" w:color="auto"/>
        <w:bottom w:val="none" w:sz="0" w:space="0" w:color="auto"/>
        <w:right w:val="none" w:sz="0" w:space="0" w:color="auto"/>
      </w:divBdr>
    </w:div>
    <w:div w:id="228930437">
      <w:bodyDiv w:val="1"/>
      <w:marLeft w:val="0"/>
      <w:marRight w:val="0"/>
      <w:marTop w:val="0"/>
      <w:marBottom w:val="0"/>
      <w:divBdr>
        <w:top w:val="none" w:sz="0" w:space="0" w:color="auto"/>
        <w:left w:val="none" w:sz="0" w:space="0" w:color="auto"/>
        <w:bottom w:val="none" w:sz="0" w:space="0" w:color="auto"/>
        <w:right w:val="none" w:sz="0" w:space="0" w:color="auto"/>
      </w:divBdr>
    </w:div>
    <w:div w:id="228930505">
      <w:bodyDiv w:val="1"/>
      <w:marLeft w:val="0"/>
      <w:marRight w:val="0"/>
      <w:marTop w:val="0"/>
      <w:marBottom w:val="0"/>
      <w:divBdr>
        <w:top w:val="none" w:sz="0" w:space="0" w:color="auto"/>
        <w:left w:val="none" w:sz="0" w:space="0" w:color="auto"/>
        <w:bottom w:val="none" w:sz="0" w:space="0" w:color="auto"/>
        <w:right w:val="none" w:sz="0" w:space="0" w:color="auto"/>
      </w:divBdr>
    </w:div>
    <w:div w:id="229465123">
      <w:bodyDiv w:val="1"/>
      <w:marLeft w:val="0"/>
      <w:marRight w:val="0"/>
      <w:marTop w:val="0"/>
      <w:marBottom w:val="0"/>
      <w:divBdr>
        <w:top w:val="none" w:sz="0" w:space="0" w:color="auto"/>
        <w:left w:val="none" w:sz="0" w:space="0" w:color="auto"/>
        <w:bottom w:val="none" w:sz="0" w:space="0" w:color="auto"/>
        <w:right w:val="none" w:sz="0" w:space="0" w:color="auto"/>
      </w:divBdr>
    </w:div>
    <w:div w:id="229586027">
      <w:bodyDiv w:val="1"/>
      <w:marLeft w:val="0"/>
      <w:marRight w:val="0"/>
      <w:marTop w:val="0"/>
      <w:marBottom w:val="0"/>
      <w:divBdr>
        <w:top w:val="none" w:sz="0" w:space="0" w:color="auto"/>
        <w:left w:val="none" w:sz="0" w:space="0" w:color="auto"/>
        <w:bottom w:val="none" w:sz="0" w:space="0" w:color="auto"/>
        <w:right w:val="none" w:sz="0" w:space="0" w:color="auto"/>
      </w:divBdr>
    </w:div>
    <w:div w:id="229660329">
      <w:bodyDiv w:val="1"/>
      <w:marLeft w:val="0"/>
      <w:marRight w:val="0"/>
      <w:marTop w:val="0"/>
      <w:marBottom w:val="0"/>
      <w:divBdr>
        <w:top w:val="none" w:sz="0" w:space="0" w:color="auto"/>
        <w:left w:val="none" w:sz="0" w:space="0" w:color="auto"/>
        <w:bottom w:val="none" w:sz="0" w:space="0" w:color="auto"/>
        <w:right w:val="none" w:sz="0" w:space="0" w:color="auto"/>
      </w:divBdr>
    </w:div>
    <w:div w:id="230046703">
      <w:bodyDiv w:val="1"/>
      <w:marLeft w:val="0"/>
      <w:marRight w:val="0"/>
      <w:marTop w:val="0"/>
      <w:marBottom w:val="0"/>
      <w:divBdr>
        <w:top w:val="none" w:sz="0" w:space="0" w:color="auto"/>
        <w:left w:val="none" w:sz="0" w:space="0" w:color="auto"/>
        <w:bottom w:val="none" w:sz="0" w:space="0" w:color="auto"/>
        <w:right w:val="none" w:sz="0" w:space="0" w:color="auto"/>
      </w:divBdr>
    </w:div>
    <w:div w:id="230963283">
      <w:bodyDiv w:val="1"/>
      <w:marLeft w:val="0"/>
      <w:marRight w:val="0"/>
      <w:marTop w:val="0"/>
      <w:marBottom w:val="0"/>
      <w:divBdr>
        <w:top w:val="none" w:sz="0" w:space="0" w:color="auto"/>
        <w:left w:val="none" w:sz="0" w:space="0" w:color="auto"/>
        <w:bottom w:val="none" w:sz="0" w:space="0" w:color="auto"/>
        <w:right w:val="none" w:sz="0" w:space="0" w:color="auto"/>
      </w:divBdr>
    </w:div>
    <w:div w:id="231238181">
      <w:bodyDiv w:val="1"/>
      <w:marLeft w:val="0"/>
      <w:marRight w:val="0"/>
      <w:marTop w:val="0"/>
      <w:marBottom w:val="0"/>
      <w:divBdr>
        <w:top w:val="none" w:sz="0" w:space="0" w:color="auto"/>
        <w:left w:val="none" w:sz="0" w:space="0" w:color="auto"/>
        <w:bottom w:val="none" w:sz="0" w:space="0" w:color="auto"/>
        <w:right w:val="none" w:sz="0" w:space="0" w:color="auto"/>
      </w:divBdr>
    </w:div>
    <w:div w:id="231240430">
      <w:bodyDiv w:val="1"/>
      <w:marLeft w:val="0"/>
      <w:marRight w:val="0"/>
      <w:marTop w:val="0"/>
      <w:marBottom w:val="0"/>
      <w:divBdr>
        <w:top w:val="none" w:sz="0" w:space="0" w:color="auto"/>
        <w:left w:val="none" w:sz="0" w:space="0" w:color="auto"/>
        <w:bottom w:val="none" w:sz="0" w:space="0" w:color="auto"/>
        <w:right w:val="none" w:sz="0" w:space="0" w:color="auto"/>
      </w:divBdr>
    </w:div>
    <w:div w:id="231547958">
      <w:bodyDiv w:val="1"/>
      <w:marLeft w:val="0"/>
      <w:marRight w:val="0"/>
      <w:marTop w:val="0"/>
      <w:marBottom w:val="0"/>
      <w:divBdr>
        <w:top w:val="none" w:sz="0" w:space="0" w:color="auto"/>
        <w:left w:val="none" w:sz="0" w:space="0" w:color="auto"/>
        <w:bottom w:val="none" w:sz="0" w:space="0" w:color="auto"/>
        <w:right w:val="none" w:sz="0" w:space="0" w:color="auto"/>
      </w:divBdr>
    </w:div>
    <w:div w:id="232475066">
      <w:bodyDiv w:val="1"/>
      <w:marLeft w:val="0"/>
      <w:marRight w:val="0"/>
      <w:marTop w:val="0"/>
      <w:marBottom w:val="0"/>
      <w:divBdr>
        <w:top w:val="none" w:sz="0" w:space="0" w:color="auto"/>
        <w:left w:val="none" w:sz="0" w:space="0" w:color="auto"/>
        <w:bottom w:val="none" w:sz="0" w:space="0" w:color="auto"/>
        <w:right w:val="none" w:sz="0" w:space="0" w:color="auto"/>
      </w:divBdr>
    </w:div>
    <w:div w:id="232858095">
      <w:bodyDiv w:val="1"/>
      <w:marLeft w:val="0"/>
      <w:marRight w:val="0"/>
      <w:marTop w:val="0"/>
      <w:marBottom w:val="0"/>
      <w:divBdr>
        <w:top w:val="none" w:sz="0" w:space="0" w:color="auto"/>
        <w:left w:val="none" w:sz="0" w:space="0" w:color="auto"/>
        <w:bottom w:val="none" w:sz="0" w:space="0" w:color="auto"/>
        <w:right w:val="none" w:sz="0" w:space="0" w:color="auto"/>
      </w:divBdr>
    </w:div>
    <w:div w:id="232862149">
      <w:bodyDiv w:val="1"/>
      <w:marLeft w:val="0"/>
      <w:marRight w:val="0"/>
      <w:marTop w:val="0"/>
      <w:marBottom w:val="0"/>
      <w:divBdr>
        <w:top w:val="none" w:sz="0" w:space="0" w:color="auto"/>
        <w:left w:val="none" w:sz="0" w:space="0" w:color="auto"/>
        <w:bottom w:val="none" w:sz="0" w:space="0" w:color="auto"/>
        <w:right w:val="none" w:sz="0" w:space="0" w:color="auto"/>
      </w:divBdr>
    </w:div>
    <w:div w:id="232929760">
      <w:bodyDiv w:val="1"/>
      <w:marLeft w:val="0"/>
      <w:marRight w:val="0"/>
      <w:marTop w:val="0"/>
      <w:marBottom w:val="0"/>
      <w:divBdr>
        <w:top w:val="none" w:sz="0" w:space="0" w:color="auto"/>
        <w:left w:val="none" w:sz="0" w:space="0" w:color="auto"/>
        <w:bottom w:val="none" w:sz="0" w:space="0" w:color="auto"/>
        <w:right w:val="none" w:sz="0" w:space="0" w:color="auto"/>
      </w:divBdr>
    </w:div>
    <w:div w:id="233396299">
      <w:bodyDiv w:val="1"/>
      <w:marLeft w:val="0"/>
      <w:marRight w:val="0"/>
      <w:marTop w:val="0"/>
      <w:marBottom w:val="0"/>
      <w:divBdr>
        <w:top w:val="none" w:sz="0" w:space="0" w:color="auto"/>
        <w:left w:val="none" w:sz="0" w:space="0" w:color="auto"/>
        <w:bottom w:val="none" w:sz="0" w:space="0" w:color="auto"/>
        <w:right w:val="none" w:sz="0" w:space="0" w:color="auto"/>
      </w:divBdr>
    </w:div>
    <w:div w:id="233589014">
      <w:bodyDiv w:val="1"/>
      <w:marLeft w:val="0"/>
      <w:marRight w:val="0"/>
      <w:marTop w:val="0"/>
      <w:marBottom w:val="0"/>
      <w:divBdr>
        <w:top w:val="none" w:sz="0" w:space="0" w:color="auto"/>
        <w:left w:val="none" w:sz="0" w:space="0" w:color="auto"/>
        <w:bottom w:val="none" w:sz="0" w:space="0" w:color="auto"/>
        <w:right w:val="none" w:sz="0" w:space="0" w:color="auto"/>
      </w:divBdr>
    </w:div>
    <w:div w:id="234897686">
      <w:bodyDiv w:val="1"/>
      <w:marLeft w:val="0"/>
      <w:marRight w:val="0"/>
      <w:marTop w:val="0"/>
      <w:marBottom w:val="0"/>
      <w:divBdr>
        <w:top w:val="none" w:sz="0" w:space="0" w:color="auto"/>
        <w:left w:val="none" w:sz="0" w:space="0" w:color="auto"/>
        <w:bottom w:val="none" w:sz="0" w:space="0" w:color="auto"/>
        <w:right w:val="none" w:sz="0" w:space="0" w:color="auto"/>
      </w:divBdr>
    </w:div>
    <w:div w:id="234947021">
      <w:bodyDiv w:val="1"/>
      <w:marLeft w:val="0"/>
      <w:marRight w:val="0"/>
      <w:marTop w:val="0"/>
      <w:marBottom w:val="0"/>
      <w:divBdr>
        <w:top w:val="none" w:sz="0" w:space="0" w:color="auto"/>
        <w:left w:val="none" w:sz="0" w:space="0" w:color="auto"/>
        <w:bottom w:val="none" w:sz="0" w:space="0" w:color="auto"/>
        <w:right w:val="none" w:sz="0" w:space="0" w:color="auto"/>
      </w:divBdr>
    </w:div>
    <w:div w:id="235091652">
      <w:bodyDiv w:val="1"/>
      <w:marLeft w:val="0"/>
      <w:marRight w:val="0"/>
      <w:marTop w:val="0"/>
      <w:marBottom w:val="0"/>
      <w:divBdr>
        <w:top w:val="none" w:sz="0" w:space="0" w:color="auto"/>
        <w:left w:val="none" w:sz="0" w:space="0" w:color="auto"/>
        <w:bottom w:val="none" w:sz="0" w:space="0" w:color="auto"/>
        <w:right w:val="none" w:sz="0" w:space="0" w:color="auto"/>
      </w:divBdr>
    </w:div>
    <w:div w:id="235239257">
      <w:bodyDiv w:val="1"/>
      <w:marLeft w:val="0"/>
      <w:marRight w:val="0"/>
      <w:marTop w:val="0"/>
      <w:marBottom w:val="0"/>
      <w:divBdr>
        <w:top w:val="none" w:sz="0" w:space="0" w:color="auto"/>
        <w:left w:val="none" w:sz="0" w:space="0" w:color="auto"/>
        <w:bottom w:val="none" w:sz="0" w:space="0" w:color="auto"/>
        <w:right w:val="none" w:sz="0" w:space="0" w:color="auto"/>
      </w:divBdr>
    </w:div>
    <w:div w:id="236483135">
      <w:bodyDiv w:val="1"/>
      <w:marLeft w:val="0"/>
      <w:marRight w:val="0"/>
      <w:marTop w:val="0"/>
      <w:marBottom w:val="0"/>
      <w:divBdr>
        <w:top w:val="none" w:sz="0" w:space="0" w:color="auto"/>
        <w:left w:val="none" w:sz="0" w:space="0" w:color="auto"/>
        <w:bottom w:val="none" w:sz="0" w:space="0" w:color="auto"/>
        <w:right w:val="none" w:sz="0" w:space="0" w:color="auto"/>
      </w:divBdr>
    </w:div>
    <w:div w:id="236748687">
      <w:bodyDiv w:val="1"/>
      <w:marLeft w:val="0"/>
      <w:marRight w:val="0"/>
      <w:marTop w:val="0"/>
      <w:marBottom w:val="0"/>
      <w:divBdr>
        <w:top w:val="none" w:sz="0" w:space="0" w:color="auto"/>
        <w:left w:val="none" w:sz="0" w:space="0" w:color="auto"/>
        <w:bottom w:val="none" w:sz="0" w:space="0" w:color="auto"/>
        <w:right w:val="none" w:sz="0" w:space="0" w:color="auto"/>
      </w:divBdr>
    </w:div>
    <w:div w:id="236864210">
      <w:bodyDiv w:val="1"/>
      <w:marLeft w:val="0"/>
      <w:marRight w:val="0"/>
      <w:marTop w:val="0"/>
      <w:marBottom w:val="0"/>
      <w:divBdr>
        <w:top w:val="none" w:sz="0" w:space="0" w:color="auto"/>
        <w:left w:val="none" w:sz="0" w:space="0" w:color="auto"/>
        <w:bottom w:val="none" w:sz="0" w:space="0" w:color="auto"/>
        <w:right w:val="none" w:sz="0" w:space="0" w:color="auto"/>
      </w:divBdr>
    </w:div>
    <w:div w:id="237324268">
      <w:bodyDiv w:val="1"/>
      <w:marLeft w:val="0"/>
      <w:marRight w:val="0"/>
      <w:marTop w:val="0"/>
      <w:marBottom w:val="0"/>
      <w:divBdr>
        <w:top w:val="none" w:sz="0" w:space="0" w:color="auto"/>
        <w:left w:val="none" w:sz="0" w:space="0" w:color="auto"/>
        <w:bottom w:val="none" w:sz="0" w:space="0" w:color="auto"/>
        <w:right w:val="none" w:sz="0" w:space="0" w:color="auto"/>
      </w:divBdr>
    </w:div>
    <w:div w:id="237518819">
      <w:bodyDiv w:val="1"/>
      <w:marLeft w:val="0"/>
      <w:marRight w:val="0"/>
      <w:marTop w:val="0"/>
      <w:marBottom w:val="0"/>
      <w:divBdr>
        <w:top w:val="none" w:sz="0" w:space="0" w:color="auto"/>
        <w:left w:val="none" w:sz="0" w:space="0" w:color="auto"/>
        <w:bottom w:val="none" w:sz="0" w:space="0" w:color="auto"/>
        <w:right w:val="none" w:sz="0" w:space="0" w:color="auto"/>
      </w:divBdr>
    </w:div>
    <w:div w:id="237519639">
      <w:bodyDiv w:val="1"/>
      <w:marLeft w:val="0"/>
      <w:marRight w:val="0"/>
      <w:marTop w:val="0"/>
      <w:marBottom w:val="0"/>
      <w:divBdr>
        <w:top w:val="none" w:sz="0" w:space="0" w:color="auto"/>
        <w:left w:val="none" w:sz="0" w:space="0" w:color="auto"/>
        <w:bottom w:val="none" w:sz="0" w:space="0" w:color="auto"/>
        <w:right w:val="none" w:sz="0" w:space="0" w:color="auto"/>
      </w:divBdr>
    </w:div>
    <w:div w:id="237596160">
      <w:bodyDiv w:val="1"/>
      <w:marLeft w:val="0"/>
      <w:marRight w:val="0"/>
      <w:marTop w:val="0"/>
      <w:marBottom w:val="0"/>
      <w:divBdr>
        <w:top w:val="none" w:sz="0" w:space="0" w:color="auto"/>
        <w:left w:val="none" w:sz="0" w:space="0" w:color="auto"/>
        <w:bottom w:val="none" w:sz="0" w:space="0" w:color="auto"/>
        <w:right w:val="none" w:sz="0" w:space="0" w:color="auto"/>
      </w:divBdr>
    </w:div>
    <w:div w:id="238057838">
      <w:bodyDiv w:val="1"/>
      <w:marLeft w:val="0"/>
      <w:marRight w:val="0"/>
      <w:marTop w:val="0"/>
      <w:marBottom w:val="0"/>
      <w:divBdr>
        <w:top w:val="none" w:sz="0" w:space="0" w:color="auto"/>
        <w:left w:val="none" w:sz="0" w:space="0" w:color="auto"/>
        <w:bottom w:val="none" w:sz="0" w:space="0" w:color="auto"/>
        <w:right w:val="none" w:sz="0" w:space="0" w:color="auto"/>
      </w:divBdr>
    </w:div>
    <w:div w:id="239487368">
      <w:bodyDiv w:val="1"/>
      <w:marLeft w:val="0"/>
      <w:marRight w:val="0"/>
      <w:marTop w:val="0"/>
      <w:marBottom w:val="0"/>
      <w:divBdr>
        <w:top w:val="none" w:sz="0" w:space="0" w:color="auto"/>
        <w:left w:val="none" w:sz="0" w:space="0" w:color="auto"/>
        <w:bottom w:val="none" w:sz="0" w:space="0" w:color="auto"/>
        <w:right w:val="none" w:sz="0" w:space="0" w:color="auto"/>
      </w:divBdr>
    </w:div>
    <w:div w:id="239752133">
      <w:bodyDiv w:val="1"/>
      <w:marLeft w:val="0"/>
      <w:marRight w:val="0"/>
      <w:marTop w:val="0"/>
      <w:marBottom w:val="0"/>
      <w:divBdr>
        <w:top w:val="none" w:sz="0" w:space="0" w:color="auto"/>
        <w:left w:val="none" w:sz="0" w:space="0" w:color="auto"/>
        <w:bottom w:val="none" w:sz="0" w:space="0" w:color="auto"/>
        <w:right w:val="none" w:sz="0" w:space="0" w:color="auto"/>
      </w:divBdr>
    </w:div>
    <w:div w:id="240334253">
      <w:bodyDiv w:val="1"/>
      <w:marLeft w:val="0"/>
      <w:marRight w:val="0"/>
      <w:marTop w:val="0"/>
      <w:marBottom w:val="0"/>
      <w:divBdr>
        <w:top w:val="none" w:sz="0" w:space="0" w:color="auto"/>
        <w:left w:val="none" w:sz="0" w:space="0" w:color="auto"/>
        <w:bottom w:val="none" w:sz="0" w:space="0" w:color="auto"/>
        <w:right w:val="none" w:sz="0" w:space="0" w:color="auto"/>
      </w:divBdr>
    </w:div>
    <w:div w:id="241257244">
      <w:bodyDiv w:val="1"/>
      <w:marLeft w:val="0"/>
      <w:marRight w:val="0"/>
      <w:marTop w:val="0"/>
      <w:marBottom w:val="0"/>
      <w:divBdr>
        <w:top w:val="none" w:sz="0" w:space="0" w:color="auto"/>
        <w:left w:val="none" w:sz="0" w:space="0" w:color="auto"/>
        <w:bottom w:val="none" w:sz="0" w:space="0" w:color="auto"/>
        <w:right w:val="none" w:sz="0" w:space="0" w:color="auto"/>
      </w:divBdr>
    </w:div>
    <w:div w:id="241261649">
      <w:bodyDiv w:val="1"/>
      <w:marLeft w:val="0"/>
      <w:marRight w:val="0"/>
      <w:marTop w:val="0"/>
      <w:marBottom w:val="0"/>
      <w:divBdr>
        <w:top w:val="none" w:sz="0" w:space="0" w:color="auto"/>
        <w:left w:val="none" w:sz="0" w:space="0" w:color="auto"/>
        <w:bottom w:val="none" w:sz="0" w:space="0" w:color="auto"/>
        <w:right w:val="none" w:sz="0" w:space="0" w:color="auto"/>
      </w:divBdr>
    </w:div>
    <w:div w:id="241334471">
      <w:bodyDiv w:val="1"/>
      <w:marLeft w:val="0"/>
      <w:marRight w:val="0"/>
      <w:marTop w:val="0"/>
      <w:marBottom w:val="0"/>
      <w:divBdr>
        <w:top w:val="none" w:sz="0" w:space="0" w:color="auto"/>
        <w:left w:val="none" w:sz="0" w:space="0" w:color="auto"/>
        <w:bottom w:val="none" w:sz="0" w:space="0" w:color="auto"/>
        <w:right w:val="none" w:sz="0" w:space="0" w:color="auto"/>
      </w:divBdr>
    </w:div>
    <w:div w:id="241649622">
      <w:bodyDiv w:val="1"/>
      <w:marLeft w:val="0"/>
      <w:marRight w:val="0"/>
      <w:marTop w:val="0"/>
      <w:marBottom w:val="0"/>
      <w:divBdr>
        <w:top w:val="none" w:sz="0" w:space="0" w:color="auto"/>
        <w:left w:val="none" w:sz="0" w:space="0" w:color="auto"/>
        <w:bottom w:val="none" w:sz="0" w:space="0" w:color="auto"/>
        <w:right w:val="none" w:sz="0" w:space="0" w:color="auto"/>
      </w:divBdr>
    </w:div>
    <w:div w:id="241843106">
      <w:bodyDiv w:val="1"/>
      <w:marLeft w:val="0"/>
      <w:marRight w:val="0"/>
      <w:marTop w:val="0"/>
      <w:marBottom w:val="0"/>
      <w:divBdr>
        <w:top w:val="none" w:sz="0" w:space="0" w:color="auto"/>
        <w:left w:val="none" w:sz="0" w:space="0" w:color="auto"/>
        <w:bottom w:val="none" w:sz="0" w:space="0" w:color="auto"/>
        <w:right w:val="none" w:sz="0" w:space="0" w:color="auto"/>
      </w:divBdr>
    </w:div>
    <w:div w:id="241961540">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616731">
      <w:bodyDiv w:val="1"/>
      <w:marLeft w:val="0"/>
      <w:marRight w:val="0"/>
      <w:marTop w:val="0"/>
      <w:marBottom w:val="0"/>
      <w:divBdr>
        <w:top w:val="none" w:sz="0" w:space="0" w:color="auto"/>
        <w:left w:val="none" w:sz="0" w:space="0" w:color="auto"/>
        <w:bottom w:val="none" w:sz="0" w:space="0" w:color="auto"/>
        <w:right w:val="none" w:sz="0" w:space="0" w:color="auto"/>
      </w:divBdr>
    </w:div>
    <w:div w:id="242764972">
      <w:bodyDiv w:val="1"/>
      <w:marLeft w:val="0"/>
      <w:marRight w:val="0"/>
      <w:marTop w:val="0"/>
      <w:marBottom w:val="0"/>
      <w:divBdr>
        <w:top w:val="none" w:sz="0" w:space="0" w:color="auto"/>
        <w:left w:val="none" w:sz="0" w:space="0" w:color="auto"/>
        <w:bottom w:val="none" w:sz="0" w:space="0" w:color="auto"/>
        <w:right w:val="none" w:sz="0" w:space="0" w:color="auto"/>
      </w:divBdr>
    </w:div>
    <w:div w:id="244193876">
      <w:bodyDiv w:val="1"/>
      <w:marLeft w:val="0"/>
      <w:marRight w:val="0"/>
      <w:marTop w:val="0"/>
      <w:marBottom w:val="0"/>
      <w:divBdr>
        <w:top w:val="none" w:sz="0" w:space="0" w:color="auto"/>
        <w:left w:val="none" w:sz="0" w:space="0" w:color="auto"/>
        <w:bottom w:val="none" w:sz="0" w:space="0" w:color="auto"/>
        <w:right w:val="none" w:sz="0" w:space="0" w:color="auto"/>
      </w:divBdr>
    </w:div>
    <w:div w:id="244270414">
      <w:bodyDiv w:val="1"/>
      <w:marLeft w:val="0"/>
      <w:marRight w:val="0"/>
      <w:marTop w:val="0"/>
      <w:marBottom w:val="0"/>
      <w:divBdr>
        <w:top w:val="none" w:sz="0" w:space="0" w:color="auto"/>
        <w:left w:val="none" w:sz="0" w:space="0" w:color="auto"/>
        <w:bottom w:val="none" w:sz="0" w:space="0" w:color="auto"/>
        <w:right w:val="none" w:sz="0" w:space="0" w:color="auto"/>
      </w:divBdr>
    </w:div>
    <w:div w:id="244459213">
      <w:bodyDiv w:val="1"/>
      <w:marLeft w:val="0"/>
      <w:marRight w:val="0"/>
      <w:marTop w:val="0"/>
      <w:marBottom w:val="0"/>
      <w:divBdr>
        <w:top w:val="none" w:sz="0" w:space="0" w:color="auto"/>
        <w:left w:val="none" w:sz="0" w:space="0" w:color="auto"/>
        <w:bottom w:val="none" w:sz="0" w:space="0" w:color="auto"/>
        <w:right w:val="none" w:sz="0" w:space="0" w:color="auto"/>
      </w:divBdr>
    </w:div>
    <w:div w:id="244531405">
      <w:bodyDiv w:val="1"/>
      <w:marLeft w:val="0"/>
      <w:marRight w:val="0"/>
      <w:marTop w:val="0"/>
      <w:marBottom w:val="0"/>
      <w:divBdr>
        <w:top w:val="none" w:sz="0" w:space="0" w:color="auto"/>
        <w:left w:val="none" w:sz="0" w:space="0" w:color="auto"/>
        <w:bottom w:val="none" w:sz="0" w:space="0" w:color="auto"/>
        <w:right w:val="none" w:sz="0" w:space="0" w:color="auto"/>
      </w:divBdr>
    </w:div>
    <w:div w:id="245195245">
      <w:bodyDiv w:val="1"/>
      <w:marLeft w:val="0"/>
      <w:marRight w:val="0"/>
      <w:marTop w:val="0"/>
      <w:marBottom w:val="0"/>
      <w:divBdr>
        <w:top w:val="none" w:sz="0" w:space="0" w:color="auto"/>
        <w:left w:val="none" w:sz="0" w:space="0" w:color="auto"/>
        <w:bottom w:val="none" w:sz="0" w:space="0" w:color="auto"/>
        <w:right w:val="none" w:sz="0" w:space="0" w:color="auto"/>
      </w:divBdr>
    </w:div>
    <w:div w:id="245498832">
      <w:bodyDiv w:val="1"/>
      <w:marLeft w:val="0"/>
      <w:marRight w:val="0"/>
      <w:marTop w:val="0"/>
      <w:marBottom w:val="0"/>
      <w:divBdr>
        <w:top w:val="none" w:sz="0" w:space="0" w:color="auto"/>
        <w:left w:val="none" w:sz="0" w:space="0" w:color="auto"/>
        <w:bottom w:val="none" w:sz="0" w:space="0" w:color="auto"/>
        <w:right w:val="none" w:sz="0" w:space="0" w:color="auto"/>
      </w:divBdr>
    </w:div>
    <w:div w:id="245725979">
      <w:bodyDiv w:val="1"/>
      <w:marLeft w:val="0"/>
      <w:marRight w:val="0"/>
      <w:marTop w:val="0"/>
      <w:marBottom w:val="0"/>
      <w:divBdr>
        <w:top w:val="none" w:sz="0" w:space="0" w:color="auto"/>
        <w:left w:val="none" w:sz="0" w:space="0" w:color="auto"/>
        <w:bottom w:val="none" w:sz="0" w:space="0" w:color="auto"/>
        <w:right w:val="none" w:sz="0" w:space="0" w:color="auto"/>
      </w:divBdr>
    </w:div>
    <w:div w:id="245922316">
      <w:bodyDiv w:val="1"/>
      <w:marLeft w:val="0"/>
      <w:marRight w:val="0"/>
      <w:marTop w:val="0"/>
      <w:marBottom w:val="0"/>
      <w:divBdr>
        <w:top w:val="none" w:sz="0" w:space="0" w:color="auto"/>
        <w:left w:val="none" w:sz="0" w:space="0" w:color="auto"/>
        <w:bottom w:val="none" w:sz="0" w:space="0" w:color="auto"/>
        <w:right w:val="none" w:sz="0" w:space="0" w:color="auto"/>
      </w:divBdr>
    </w:div>
    <w:div w:id="246231098">
      <w:bodyDiv w:val="1"/>
      <w:marLeft w:val="0"/>
      <w:marRight w:val="0"/>
      <w:marTop w:val="0"/>
      <w:marBottom w:val="0"/>
      <w:divBdr>
        <w:top w:val="none" w:sz="0" w:space="0" w:color="auto"/>
        <w:left w:val="none" w:sz="0" w:space="0" w:color="auto"/>
        <w:bottom w:val="none" w:sz="0" w:space="0" w:color="auto"/>
        <w:right w:val="none" w:sz="0" w:space="0" w:color="auto"/>
      </w:divBdr>
    </w:div>
    <w:div w:id="246352445">
      <w:bodyDiv w:val="1"/>
      <w:marLeft w:val="0"/>
      <w:marRight w:val="0"/>
      <w:marTop w:val="0"/>
      <w:marBottom w:val="0"/>
      <w:divBdr>
        <w:top w:val="none" w:sz="0" w:space="0" w:color="auto"/>
        <w:left w:val="none" w:sz="0" w:space="0" w:color="auto"/>
        <w:bottom w:val="none" w:sz="0" w:space="0" w:color="auto"/>
        <w:right w:val="none" w:sz="0" w:space="0" w:color="auto"/>
      </w:divBdr>
    </w:div>
    <w:div w:id="246426306">
      <w:bodyDiv w:val="1"/>
      <w:marLeft w:val="0"/>
      <w:marRight w:val="0"/>
      <w:marTop w:val="0"/>
      <w:marBottom w:val="0"/>
      <w:divBdr>
        <w:top w:val="none" w:sz="0" w:space="0" w:color="auto"/>
        <w:left w:val="none" w:sz="0" w:space="0" w:color="auto"/>
        <w:bottom w:val="none" w:sz="0" w:space="0" w:color="auto"/>
        <w:right w:val="none" w:sz="0" w:space="0" w:color="auto"/>
      </w:divBdr>
    </w:div>
    <w:div w:id="246574483">
      <w:bodyDiv w:val="1"/>
      <w:marLeft w:val="0"/>
      <w:marRight w:val="0"/>
      <w:marTop w:val="0"/>
      <w:marBottom w:val="0"/>
      <w:divBdr>
        <w:top w:val="none" w:sz="0" w:space="0" w:color="auto"/>
        <w:left w:val="none" w:sz="0" w:space="0" w:color="auto"/>
        <w:bottom w:val="none" w:sz="0" w:space="0" w:color="auto"/>
        <w:right w:val="none" w:sz="0" w:space="0" w:color="auto"/>
      </w:divBdr>
    </w:div>
    <w:div w:id="246623948">
      <w:bodyDiv w:val="1"/>
      <w:marLeft w:val="0"/>
      <w:marRight w:val="0"/>
      <w:marTop w:val="0"/>
      <w:marBottom w:val="0"/>
      <w:divBdr>
        <w:top w:val="none" w:sz="0" w:space="0" w:color="auto"/>
        <w:left w:val="none" w:sz="0" w:space="0" w:color="auto"/>
        <w:bottom w:val="none" w:sz="0" w:space="0" w:color="auto"/>
        <w:right w:val="none" w:sz="0" w:space="0" w:color="auto"/>
      </w:divBdr>
    </w:div>
    <w:div w:id="246812731">
      <w:bodyDiv w:val="1"/>
      <w:marLeft w:val="0"/>
      <w:marRight w:val="0"/>
      <w:marTop w:val="0"/>
      <w:marBottom w:val="0"/>
      <w:divBdr>
        <w:top w:val="none" w:sz="0" w:space="0" w:color="auto"/>
        <w:left w:val="none" w:sz="0" w:space="0" w:color="auto"/>
        <w:bottom w:val="none" w:sz="0" w:space="0" w:color="auto"/>
        <w:right w:val="none" w:sz="0" w:space="0" w:color="auto"/>
      </w:divBdr>
    </w:div>
    <w:div w:id="246960303">
      <w:bodyDiv w:val="1"/>
      <w:marLeft w:val="0"/>
      <w:marRight w:val="0"/>
      <w:marTop w:val="0"/>
      <w:marBottom w:val="0"/>
      <w:divBdr>
        <w:top w:val="none" w:sz="0" w:space="0" w:color="auto"/>
        <w:left w:val="none" w:sz="0" w:space="0" w:color="auto"/>
        <w:bottom w:val="none" w:sz="0" w:space="0" w:color="auto"/>
        <w:right w:val="none" w:sz="0" w:space="0" w:color="auto"/>
      </w:divBdr>
    </w:div>
    <w:div w:id="247924727">
      <w:bodyDiv w:val="1"/>
      <w:marLeft w:val="0"/>
      <w:marRight w:val="0"/>
      <w:marTop w:val="0"/>
      <w:marBottom w:val="0"/>
      <w:divBdr>
        <w:top w:val="none" w:sz="0" w:space="0" w:color="auto"/>
        <w:left w:val="none" w:sz="0" w:space="0" w:color="auto"/>
        <w:bottom w:val="none" w:sz="0" w:space="0" w:color="auto"/>
        <w:right w:val="none" w:sz="0" w:space="0" w:color="auto"/>
      </w:divBdr>
    </w:div>
    <w:div w:id="248121673">
      <w:bodyDiv w:val="1"/>
      <w:marLeft w:val="0"/>
      <w:marRight w:val="0"/>
      <w:marTop w:val="0"/>
      <w:marBottom w:val="0"/>
      <w:divBdr>
        <w:top w:val="none" w:sz="0" w:space="0" w:color="auto"/>
        <w:left w:val="none" w:sz="0" w:space="0" w:color="auto"/>
        <w:bottom w:val="none" w:sz="0" w:space="0" w:color="auto"/>
        <w:right w:val="none" w:sz="0" w:space="0" w:color="auto"/>
      </w:divBdr>
    </w:div>
    <w:div w:id="249051366">
      <w:bodyDiv w:val="1"/>
      <w:marLeft w:val="0"/>
      <w:marRight w:val="0"/>
      <w:marTop w:val="0"/>
      <w:marBottom w:val="0"/>
      <w:divBdr>
        <w:top w:val="none" w:sz="0" w:space="0" w:color="auto"/>
        <w:left w:val="none" w:sz="0" w:space="0" w:color="auto"/>
        <w:bottom w:val="none" w:sz="0" w:space="0" w:color="auto"/>
        <w:right w:val="none" w:sz="0" w:space="0" w:color="auto"/>
      </w:divBdr>
    </w:div>
    <w:div w:id="249124595">
      <w:bodyDiv w:val="1"/>
      <w:marLeft w:val="0"/>
      <w:marRight w:val="0"/>
      <w:marTop w:val="0"/>
      <w:marBottom w:val="0"/>
      <w:divBdr>
        <w:top w:val="none" w:sz="0" w:space="0" w:color="auto"/>
        <w:left w:val="none" w:sz="0" w:space="0" w:color="auto"/>
        <w:bottom w:val="none" w:sz="0" w:space="0" w:color="auto"/>
        <w:right w:val="none" w:sz="0" w:space="0" w:color="auto"/>
      </w:divBdr>
    </w:div>
    <w:div w:id="250235566">
      <w:bodyDiv w:val="1"/>
      <w:marLeft w:val="0"/>
      <w:marRight w:val="0"/>
      <w:marTop w:val="0"/>
      <w:marBottom w:val="0"/>
      <w:divBdr>
        <w:top w:val="none" w:sz="0" w:space="0" w:color="auto"/>
        <w:left w:val="none" w:sz="0" w:space="0" w:color="auto"/>
        <w:bottom w:val="none" w:sz="0" w:space="0" w:color="auto"/>
        <w:right w:val="none" w:sz="0" w:space="0" w:color="auto"/>
      </w:divBdr>
    </w:div>
    <w:div w:id="250430043">
      <w:bodyDiv w:val="1"/>
      <w:marLeft w:val="0"/>
      <w:marRight w:val="0"/>
      <w:marTop w:val="0"/>
      <w:marBottom w:val="0"/>
      <w:divBdr>
        <w:top w:val="none" w:sz="0" w:space="0" w:color="auto"/>
        <w:left w:val="none" w:sz="0" w:space="0" w:color="auto"/>
        <w:bottom w:val="none" w:sz="0" w:space="0" w:color="auto"/>
        <w:right w:val="none" w:sz="0" w:space="0" w:color="auto"/>
      </w:divBdr>
    </w:div>
    <w:div w:id="250705858">
      <w:bodyDiv w:val="1"/>
      <w:marLeft w:val="0"/>
      <w:marRight w:val="0"/>
      <w:marTop w:val="0"/>
      <w:marBottom w:val="0"/>
      <w:divBdr>
        <w:top w:val="none" w:sz="0" w:space="0" w:color="auto"/>
        <w:left w:val="none" w:sz="0" w:space="0" w:color="auto"/>
        <w:bottom w:val="none" w:sz="0" w:space="0" w:color="auto"/>
        <w:right w:val="none" w:sz="0" w:space="0" w:color="auto"/>
      </w:divBdr>
    </w:div>
    <w:div w:id="251934539">
      <w:bodyDiv w:val="1"/>
      <w:marLeft w:val="0"/>
      <w:marRight w:val="0"/>
      <w:marTop w:val="0"/>
      <w:marBottom w:val="0"/>
      <w:divBdr>
        <w:top w:val="none" w:sz="0" w:space="0" w:color="auto"/>
        <w:left w:val="none" w:sz="0" w:space="0" w:color="auto"/>
        <w:bottom w:val="none" w:sz="0" w:space="0" w:color="auto"/>
        <w:right w:val="none" w:sz="0" w:space="0" w:color="auto"/>
      </w:divBdr>
    </w:div>
    <w:div w:id="253976073">
      <w:bodyDiv w:val="1"/>
      <w:marLeft w:val="0"/>
      <w:marRight w:val="0"/>
      <w:marTop w:val="0"/>
      <w:marBottom w:val="0"/>
      <w:divBdr>
        <w:top w:val="none" w:sz="0" w:space="0" w:color="auto"/>
        <w:left w:val="none" w:sz="0" w:space="0" w:color="auto"/>
        <w:bottom w:val="none" w:sz="0" w:space="0" w:color="auto"/>
        <w:right w:val="none" w:sz="0" w:space="0" w:color="auto"/>
      </w:divBdr>
    </w:div>
    <w:div w:id="254018078">
      <w:bodyDiv w:val="1"/>
      <w:marLeft w:val="0"/>
      <w:marRight w:val="0"/>
      <w:marTop w:val="0"/>
      <w:marBottom w:val="0"/>
      <w:divBdr>
        <w:top w:val="none" w:sz="0" w:space="0" w:color="auto"/>
        <w:left w:val="none" w:sz="0" w:space="0" w:color="auto"/>
        <w:bottom w:val="none" w:sz="0" w:space="0" w:color="auto"/>
        <w:right w:val="none" w:sz="0" w:space="0" w:color="auto"/>
      </w:divBdr>
    </w:div>
    <w:div w:id="254486215">
      <w:bodyDiv w:val="1"/>
      <w:marLeft w:val="0"/>
      <w:marRight w:val="0"/>
      <w:marTop w:val="0"/>
      <w:marBottom w:val="0"/>
      <w:divBdr>
        <w:top w:val="none" w:sz="0" w:space="0" w:color="auto"/>
        <w:left w:val="none" w:sz="0" w:space="0" w:color="auto"/>
        <w:bottom w:val="none" w:sz="0" w:space="0" w:color="auto"/>
        <w:right w:val="none" w:sz="0" w:space="0" w:color="auto"/>
      </w:divBdr>
    </w:div>
    <w:div w:id="254553111">
      <w:bodyDiv w:val="1"/>
      <w:marLeft w:val="0"/>
      <w:marRight w:val="0"/>
      <w:marTop w:val="0"/>
      <w:marBottom w:val="0"/>
      <w:divBdr>
        <w:top w:val="none" w:sz="0" w:space="0" w:color="auto"/>
        <w:left w:val="none" w:sz="0" w:space="0" w:color="auto"/>
        <w:bottom w:val="none" w:sz="0" w:space="0" w:color="auto"/>
        <w:right w:val="none" w:sz="0" w:space="0" w:color="auto"/>
      </w:divBdr>
    </w:div>
    <w:div w:id="255091944">
      <w:bodyDiv w:val="1"/>
      <w:marLeft w:val="0"/>
      <w:marRight w:val="0"/>
      <w:marTop w:val="0"/>
      <w:marBottom w:val="0"/>
      <w:divBdr>
        <w:top w:val="none" w:sz="0" w:space="0" w:color="auto"/>
        <w:left w:val="none" w:sz="0" w:space="0" w:color="auto"/>
        <w:bottom w:val="none" w:sz="0" w:space="0" w:color="auto"/>
        <w:right w:val="none" w:sz="0" w:space="0" w:color="auto"/>
      </w:divBdr>
    </w:div>
    <w:div w:id="256211976">
      <w:bodyDiv w:val="1"/>
      <w:marLeft w:val="0"/>
      <w:marRight w:val="0"/>
      <w:marTop w:val="0"/>
      <w:marBottom w:val="0"/>
      <w:divBdr>
        <w:top w:val="none" w:sz="0" w:space="0" w:color="auto"/>
        <w:left w:val="none" w:sz="0" w:space="0" w:color="auto"/>
        <w:bottom w:val="none" w:sz="0" w:space="0" w:color="auto"/>
        <w:right w:val="none" w:sz="0" w:space="0" w:color="auto"/>
      </w:divBdr>
    </w:div>
    <w:div w:id="256404651">
      <w:bodyDiv w:val="1"/>
      <w:marLeft w:val="0"/>
      <w:marRight w:val="0"/>
      <w:marTop w:val="0"/>
      <w:marBottom w:val="0"/>
      <w:divBdr>
        <w:top w:val="none" w:sz="0" w:space="0" w:color="auto"/>
        <w:left w:val="none" w:sz="0" w:space="0" w:color="auto"/>
        <w:bottom w:val="none" w:sz="0" w:space="0" w:color="auto"/>
        <w:right w:val="none" w:sz="0" w:space="0" w:color="auto"/>
      </w:divBdr>
    </w:div>
    <w:div w:id="256641387">
      <w:bodyDiv w:val="1"/>
      <w:marLeft w:val="0"/>
      <w:marRight w:val="0"/>
      <w:marTop w:val="0"/>
      <w:marBottom w:val="0"/>
      <w:divBdr>
        <w:top w:val="none" w:sz="0" w:space="0" w:color="auto"/>
        <w:left w:val="none" w:sz="0" w:space="0" w:color="auto"/>
        <w:bottom w:val="none" w:sz="0" w:space="0" w:color="auto"/>
        <w:right w:val="none" w:sz="0" w:space="0" w:color="auto"/>
      </w:divBdr>
    </w:div>
    <w:div w:id="257182561">
      <w:bodyDiv w:val="1"/>
      <w:marLeft w:val="0"/>
      <w:marRight w:val="0"/>
      <w:marTop w:val="0"/>
      <w:marBottom w:val="0"/>
      <w:divBdr>
        <w:top w:val="none" w:sz="0" w:space="0" w:color="auto"/>
        <w:left w:val="none" w:sz="0" w:space="0" w:color="auto"/>
        <w:bottom w:val="none" w:sz="0" w:space="0" w:color="auto"/>
        <w:right w:val="none" w:sz="0" w:space="0" w:color="auto"/>
      </w:divBdr>
    </w:div>
    <w:div w:id="257641686">
      <w:bodyDiv w:val="1"/>
      <w:marLeft w:val="0"/>
      <w:marRight w:val="0"/>
      <w:marTop w:val="0"/>
      <w:marBottom w:val="0"/>
      <w:divBdr>
        <w:top w:val="none" w:sz="0" w:space="0" w:color="auto"/>
        <w:left w:val="none" w:sz="0" w:space="0" w:color="auto"/>
        <w:bottom w:val="none" w:sz="0" w:space="0" w:color="auto"/>
        <w:right w:val="none" w:sz="0" w:space="0" w:color="auto"/>
      </w:divBdr>
    </w:div>
    <w:div w:id="257838103">
      <w:bodyDiv w:val="1"/>
      <w:marLeft w:val="0"/>
      <w:marRight w:val="0"/>
      <w:marTop w:val="0"/>
      <w:marBottom w:val="0"/>
      <w:divBdr>
        <w:top w:val="none" w:sz="0" w:space="0" w:color="auto"/>
        <w:left w:val="none" w:sz="0" w:space="0" w:color="auto"/>
        <w:bottom w:val="none" w:sz="0" w:space="0" w:color="auto"/>
        <w:right w:val="none" w:sz="0" w:space="0" w:color="auto"/>
      </w:divBdr>
    </w:div>
    <w:div w:id="257949738">
      <w:bodyDiv w:val="1"/>
      <w:marLeft w:val="0"/>
      <w:marRight w:val="0"/>
      <w:marTop w:val="0"/>
      <w:marBottom w:val="0"/>
      <w:divBdr>
        <w:top w:val="none" w:sz="0" w:space="0" w:color="auto"/>
        <w:left w:val="none" w:sz="0" w:space="0" w:color="auto"/>
        <w:bottom w:val="none" w:sz="0" w:space="0" w:color="auto"/>
        <w:right w:val="none" w:sz="0" w:space="0" w:color="auto"/>
      </w:divBdr>
    </w:div>
    <w:div w:id="258098189">
      <w:bodyDiv w:val="1"/>
      <w:marLeft w:val="0"/>
      <w:marRight w:val="0"/>
      <w:marTop w:val="0"/>
      <w:marBottom w:val="0"/>
      <w:divBdr>
        <w:top w:val="none" w:sz="0" w:space="0" w:color="auto"/>
        <w:left w:val="none" w:sz="0" w:space="0" w:color="auto"/>
        <w:bottom w:val="none" w:sz="0" w:space="0" w:color="auto"/>
        <w:right w:val="none" w:sz="0" w:space="0" w:color="auto"/>
      </w:divBdr>
    </w:div>
    <w:div w:id="258107429">
      <w:bodyDiv w:val="1"/>
      <w:marLeft w:val="0"/>
      <w:marRight w:val="0"/>
      <w:marTop w:val="0"/>
      <w:marBottom w:val="0"/>
      <w:divBdr>
        <w:top w:val="none" w:sz="0" w:space="0" w:color="auto"/>
        <w:left w:val="none" w:sz="0" w:space="0" w:color="auto"/>
        <w:bottom w:val="none" w:sz="0" w:space="0" w:color="auto"/>
        <w:right w:val="none" w:sz="0" w:space="0" w:color="auto"/>
      </w:divBdr>
    </w:div>
    <w:div w:id="258877817">
      <w:bodyDiv w:val="1"/>
      <w:marLeft w:val="0"/>
      <w:marRight w:val="0"/>
      <w:marTop w:val="0"/>
      <w:marBottom w:val="0"/>
      <w:divBdr>
        <w:top w:val="none" w:sz="0" w:space="0" w:color="auto"/>
        <w:left w:val="none" w:sz="0" w:space="0" w:color="auto"/>
        <w:bottom w:val="none" w:sz="0" w:space="0" w:color="auto"/>
        <w:right w:val="none" w:sz="0" w:space="0" w:color="auto"/>
      </w:divBdr>
    </w:div>
    <w:div w:id="259026902">
      <w:bodyDiv w:val="1"/>
      <w:marLeft w:val="0"/>
      <w:marRight w:val="0"/>
      <w:marTop w:val="0"/>
      <w:marBottom w:val="0"/>
      <w:divBdr>
        <w:top w:val="none" w:sz="0" w:space="0" w:color="auto"/>
        <w:left w:val="none" w:sz="0" w:space="0" w:color="auto"/>
        <w:bottom w:val="none" w:sz="0" w:space="0" w:color="auto"/>
        <w:right w:val="none" w:sz="0" w:space="0" w:color="auto"/>
      </w:divBdr>
    </w:div>
    <w:div w:id="259143477">
      <w:bodyDiv w:val="1"/>
      <w:marLeft w:val="0"/>
      <w:marRight w:val="0"/>
      <w:marTop w:val="0"/>
      <w:marBottom w:val="0"/>
      <w:divBdr>
        <w:top w:val="none" w:sz="0" w:space="0" w:color="auto"/>
        <w:left w:val="none" w:sz="0" w:space="0" w:color="auto"/>
        <w:bottom w:val="none" w:sz="0" w:space="0" w:color="auto"/>
        <w:right w:val="none" w:sz="0" w:space="0" w:color="auto"/>
      </w:divBdr>
    </w:div>
    <w:div w:id="259416148">
      <w:bodyDiv w:val="1"/>
      <w:marLeft w:val="0"/>
      <w:marRight w:val="0"/>
      <w:marTop w:val="0"/>
      <w:marBottom w:val="0"/>
      <w:divBdr>
        <w:top w:val="none" w:sz="0" w:space="0" w:color="auto"/>
        <w:left w:val="none" w:sz="0" w:space="0" w:color="auto"/>
        <w:bottom w:val="none" w:sz="0" w:space="0" w:color="auto"/>
        <w:right w:val="none" w:sz="0" w:space="0" w:color="auto"/>
      </w:divBdr>
    </w:div>
    <w:div w:id="259605986">
      <w:bodyDiv w:val="1"/>
      <w:marLeft w:val="0"/>
      <w:marRight w:val="0"/>
      <w:marTop w:val="0"/>
      <w:marBottom w:val="0"/>
      <w:divBdr>
        <w:top w:val="none" w:sz="0" w:space="0" w:color="auto"/>
        <w:left w:val="none" w:sz="0" w:space="0" w:color="auto"/>
        <w:bottom w:val="none" w:sz="0" w:space="0" w:color="auto"/>
        <w:right w:val="none" w:sz="0" w:space="0" w:color="auto"/>
      </w:divBdr>
    </w:div>
    <w:div w:id="259607993">
      <w:bodyDiv w:val="1"/>
      <w:marLeft w:val="0"/>
      <w:marRight w:val="0"/>
      <w:marTop w:val="0"/>
      <w:marBottom w:val="0"/>
      <w:divBdr>
        <w:top w:val="none" w:sz="0" w:space="0" w:color="auto"/>
        <w:left w:val="none" w:sz="0" w:space="0" w:color="auto"/>
        <w:bottom w:val="none" w:sz="0" w:space="0" w:color="auto"/>
        <w:right w:val="none" w:sz="0" w:space="0" w:color="auto"/>
      </w:divBdr>
    </w:div>
    <w:div w:id="259947064">
      <w:bodyDiv w:val="1"/>
      <w:marLeft w:val="0"/>
      <w:marRight w:val="0"/>
      <w:marTop w:val="0"/>
      <w:marBottom w:val="0"/>
      <w:divBdr>
        <w:top w:val="none" w:sz="0" w:space="0" w:color="auto"/>
        <w:left w:val="none" w:sz="0" w:space="0" w:color="auto"/>
        <w:bottom w:val="none" w:sz="0" w:space="0" w:color="auto"/>
        <w:right w:val="none" w:sz="0" w:space="0" w:color="auto"/>
      </w:divBdr>
    </w:div>
    <w:div w:id="260183719">
      <w:bodyDiv w:val="1"/>
      <w:marLeft w:val="0"/>
      <w:marRight w:val="0"/>
      <w:marTop w:val="0"/>
      <w:marBottom w:val="0"/>
      <w:divBdr>
        <w:top w:val="none" w:sz="0" w:space="0" w:color="auto"/>
        <w:left w:val="none" w:sz="0" w:space="0" w:color="auto"/>
        <w:bottom w:val="none" w:sz="0" w:space="0" w:color="auto"/>
        <w:right w:val="none" w:sz="0" w:space="0" w:color="auto"/>
      </w:divBdr>
    </w:div>
    <w:div w:id="260189997">
      <w:bodyDiv w:val="1"/>
      <w:marLeft w:val="0"/>
      <w:marRight w:val="0"/>
      <w:marTop w:val="0"/>
      <w:marBottom w:val="0"/>
      <w:divBdr>
        <w:top w:val="none" w:sz="0" w:space="0" w:color="auto"/>
        <w:left w:val="none" w:sz="0" w:space="0" w:color="auto"/>
        <w:bottom w:val="none" w:sz="0" w:space="0" w:color="auto"/>
        <w:right w:val="none" w:sz="0" w:space="0" w:color="auto"/>
      </w:divBdr>
    </w:div>
    <w:div w:id="260380751">
      <w:bodyDiv w:val="1"/>
      <w:marLeft w:val="0"/>
      <w:marRight w:val="0"/>
      <w:marTop w:val="0"/>
      <w:marBottom w:val="0"/>
      <w:divBdr>
        <w:top w:val="none" w:sz="0" w:space="0" w:color="auto"/>
        <w:left w:val="none" w:sz="0" w:space="0" w:color="auto"/>
        <w:bottom w:val="none" w:sz="0" w:space="0" w:color="auto"/>
        <w:right w:val="none" w:sz="0" w:space="0" w:color="auto"/>
      </w:divBdr>
    </w:div>
    <w:div w:id="260915534">
      <w:bodyDiv w:val="1"/>
      <w:marLeft w:val="0"/>
      <w:marRight w:val="0"/>
      <w:marTop w:val="0"/>
      <w:marBottom w:val="0"/>
      <w:divBdr>
        <w:top w:val="none" w:sz="0" w:space="0" w:color="auto"/>
        <w:left w:val="none" w:sz="0" w:space="0" w:color="auto"/>
        <w:bottom w:val="none" w:sz="0" w:space="0" w:color="auto"/>
        <w:right w:val="none" w:sz="0" w:space="0" w:color="auto"/>
      </w:divBdr>
    </w:div>
    <w:div w:id="261423778">
      <w:bodyDiv w:val="1"/>
      <w:marLeft w:val="0"/>
      <w:marRight w:val="0"/>
      <w:marTop w:val="0"/>
      <w:marBottom w:val="0"/>
      <w:divBdr>
        <w:top w:val="none" w:sz="0" w:space="0" w:color="auto"/>
        <w:left w:val="none" w:sz="0" w:space="0" w:color="auto"/>
        <w:bottom w:val="none" w:sz="0" w:space="0" w:color="auto"/>
        <w:right w:val="none" w:sz="0" w:space="0" w:color="auto"/>
      </w:divBdr>
    </w:div>
    <w:div w:id="261691543">
      <w:bodyDiv w:val="1"/>
      <w:marLeft w:val="0"/>
      <w:marRight w:val="0"/>
      <w:marTop w:val="0"/>
      <w:marBottom w:val="0"/>
      <w:divBdr>
        <w:top w:val="none" w:sz="0" w:space="0" w:color="auto"/>
        <w:left w:val="none" w:sz="0" w:space="0" w:color="auto"/>
        <w:bottom w:val="none" w:sz="0" w:space="0" w:color="auto"/>
        <w:right w:val="none" w:sz="0" w:space="0" w:color="auto"/>
      </w:divBdr>
    </w:div>
    <w:div w:id="261692320">
      <w:bodyDiv w:val="1"/>
      <w:marLeft w:val="0"/>
      <w:marRight w:val="0"/>
      <w:marTop w:val="0"/>
      <w:marBottom w:val="0"/>
      <w:divBdr>
        <w:top w:val="none" w:sz="0" w:space="0" w:color="auto"/>
        <w:left w:val="none" w:sz="0" w:space="0" w:color="auto"/>
        <w:bottom w:val="none" w:sz="0" w:space="0" w:color="auto"/>
        <w:right w:val="none" w:sz="0" w:space="0" w:color="auto"/>
      </w:divBdr>
    </w:div>
    <w:div w:id="262035851">
      <w:bodyDiv w:val="1"/>
      <w:marLeft w:val="0"/>
      <w:marRight w:val="0"/>
      <w:marTop w:val="0"/>
      <w:marBottom w:val="0"/>
      <w:divBdr>
        <w:top w:val="none" w:sz="0" w:space="0" w:color="auto"/>
        <w:left w:val="none" w:sz="0" w:space="0" w:color="auto"/>
        <w:bottom w:val="none" w:sz="0" w:space="0" w:color="auto"/>
        <w:right w:val="none" w:sz="0" w:space="0" w:color="auto"/>
      </w:divBdr>
    </w:div>
    <w:div w:id="262690319">
      <w:bodyDiv w:val="1"/>
      <w:marLeft w:val="0"/>
      <w:marRight w:val="0"/>
      <w:marTop w:val="0"/>
      <w:marBottom w:val="0"/>
      <w:divBdr>
        <w:top w:val="none" w:sz="0" w:space="0" w:color="auto"/>
        <w:left w:val="none" w:sz="0" w:space="0" w:color="auto"/>
        <w:bottom w:val="none" w:sz="0" w:space="0" w:color="auto"/>
        <w:right w:val="none" w:sz="0" w:space="0" w:color="auto"/>
      </w:divBdr>
    </w:div>
    <w:div w:id="262958578">
      <w:bodyDiv w:val="1"/>
      <w:marLeft w:val="0"/>
      <w:marRight w:val="0"/>
      <w:marTop w:val="0"/>
      <w:marBottom w:val="0"/>
      <w:divBdr>
        <w:top w:val="none" w:sz="0" w:space="0" w:color="auto"/>
        <w:left w:val="none" w:sz="0" w:space="0" w:color="auto"/>
        <w:bottom w:val="none" w:sz="0" w:space="0" w:color="auto"/>
        <w:right w:val="none" w:sz="0" w:space="0" w:color="auto"/>
      </w:divBdr>
    </w:div>
    <w:div w:id="263803048">
      <w:bodyDiv w:val="1"/>
      <w:marLeft w:val="0"/>
      <w:marRight w:val="0"/>
      <w:marTop w:val="0"/>
      <w:marBottom w:val="0"/>
      <w:divBdr>
        <w:top w:val="none" w:sz="0" w:space="0" w:color="auto"/>
        <w:left w:val="none" w:sz="0" w:space="0" w:color="auto"/>
        <w:bottom w:val="none" w:sz="0" w:space="0" w:color="auto"/>
        <w:right w:val="none" w:sz="0" w:space="0" w:color="auto"/>
      </w:divBdr>
    </w:div>
    <w:div w:id="265163569">
      <w:bodyDiv w:val="1"/>
      <w:marLeft w:val="0"/>
      <w:marRight w:val="0"/>
      <w:marTop w:val="0"/>
      <w:marBottom w:val="0"/>
      <w:divBdr>
        <w:top w:val="none" w:sz="0" w:space="0" w:color="auto"/>
        <w:left w:val="none" w:sz="0" w:space="0" w:color="auto"/>
        <w:bottom w:val="none" w:sz="0" w:space="0" w:color="auto"/>
        <w:right w:val="none" w:sz="0" w:space="0" w:color="auto"/>
      </w:divBdr>
    </w:div>
    <w:div w:id="265307965">
      <w:bodyDiv w:val="1"/>
      <w:marLeft w:val="0"/>
      <w:marRight w:val="0"/>
      <w:marTop w:val="0"/>
      <w:marBottom w:val="0"/>
      <w:divBdr>
        <w:top w:val="none" w:sz="0" w:space="0" w:color="auto"/>
        <w:left w:val="none" w:sz="0" w:space="0" w:color="auto"/>
        <w:bottom w:val="none" w:sz="0" w:space="0" w:color="auto"/>
        <w:right w:val="none" w:sz="0" w:space="0" w:color="auto"/>
      </w:divBdr>
    </w:div>
    <w:div w:id="266428715">
      <w:bodyDiv w:val="1"/>
      <w:marLeft w:val="0"/>
      <w:marRight w:val="0"/>
      <w:marTop w:val="0"/>
      <w:marBottom w:val="0"/>
      <w:divBdr>
        <w:top w:val="none" w:sz="0" w:space="0" w:color="auto"/>
        <w:left w:val="none" w:sz="0" w:space="0" w:color="auto"/>
        <w:bottom w:val="none" w:sz="0" w:space="0" w:color="auto"/>
        <w:right w:val="none" w:sz="0" w:space="0" w:color="auto"/>
      </w:divBdr>
    </w:div>
    <w:div w:id="266541287">
      <w:bodyDiv w:val="1"/>
      <w:marLeft w:val="0"/>
      <w:marRight w:val="0"/>
      <w:marTop w:val="0"/>
      <w:marBottom w:val="0"/>
      <w:divBdr>
        <w:top w:val="none" w:sz="0" w:space="0" w:color="auto"/>
        <w:left w:val="none" w:sz="0" w:space="0" w:color="auto"/>
        <w:bottom w:val="none" w:sz="0" w:space="0" w:color="auto"/>
        <w:right w:val="none" w:sz="0" w:space="0" w:color="auto"/>
      </w:divBdr>
    </w:div>
    <w:div w:id="266694510">
      <w:bodyDiv w:val="1"/>
      <w:marLeft w:val="0"/>
      <w:marRight w:val="0"/>
      <w:marTop w:val="0"/>
      <w:marBottom w:val="0"/>
      <w:divBdr>
        <w:top w:val="none" w:sz="0" w:space="0" w:color="auto"/>
        <w:left w:val="none" w:sz="0" w:space="0" w:color="auto"/>
        <w:bottom w:val="none" w:sz="0" w:space="0" w:color="auto"/>
        <w:right w:val="none" w:sz="0" w:space="0" w:color="auto"/>
      </w:divBdr>
    </w:div>
    <w:div w:id="266697252">
      <w:bodyDiv w:val="1"/>
      <w:marLeft w:val="0"/>
      <w:marRight w:val="0"/>
      <w:marTop w:val="0"/>
      <w:marBottom w:val="0"/>
      <w:divBdr>
        <w:top w:val="none" w:sz="0" w:space="0" w:color="auto"/>
        <w:left w:val="none" w:sz="0" w:space="0" w:color="auto"/>
        <w:bottom w:val="none" w:sz="0" w:space="0" w:color="auto"/>
        <w:right w:val="none" w:sz="0" w:space="0" w:color="auto"/>
      </w:divBdr>
    </w:div>
    <w:div w:id="267587797">
      <w:bodyDiv w:val="1"/>
      <w:marLeft w:val="0"/>
      <w:marRight w:val="0"/>
      <w:marTop w:val="0"/>
      <w:marBottom w:val="0"/>
      <w:divBdr>
        <w:top w:val="none" w:sz="0" w:space="0" w:color="auto"/>
        <w:left w:val="none" w:sz="0" w:space="0" w:color="auto"/>
        <w:bottom w:val="none" w:sz="0" w:space="0" w:color="auto"/>
        <w:right w:val="none" w:sz="0" w:space="0" w:color="auto"/>
      </w:divBdr>
    </w:div>
    <w:div w:id="267660935">
      <w:bodyDiv w:val="1"/>
      <w:marLeft w:val="0"/>
      <w:marRight w:val="0"/>
      <w:marTop w:val="0"/>
      <w:marBottom w:val="0"/>
      <w:divBdr>
        <w:top w:val="none" w:sz="0" w:space="0" w:color="auto"/>
        <w:left w:val="none" w:sz="0" w:space="0" w:color="auto"/>
        <w:bottom w:val="none" w:sz="0" w:space="0" w:color="auto"/>
        <w:right w:val="none" w:sz="0" w:space="0" w:color="auto"/>
      </w:divBdr>
    </w:div>
    <w:div w:id="267857294">
      <w:bodyDiv w:val="1"/>
      <w:marLeft w:val="0"/>
      <w:marRight w:val="0"/>
      <w:marTop w:val="0"/>
      <w:marBottom w:val="0"/>
      <w:divBdr>
        <w:top w:val="none" w:sz="0" w:space="0" w:color="auto"/>
        <w:left w:val="none" w:sz="0" w:space="0" w:color="auto"/>
        <w:bottom w:val="none" w:sz="0" w:space="0" w:color="auto"/>
        <w:right w:val="none" w:sz="0" w:space="0" w:color="auto"/>
      </w:divBdr>
    </w:div>
    <w:div w:id="267858094">
      <w:bodyDiv w:val="1"/>
      <w:marLeft w:val="0"/>
      <w:marRight w:val="0"/>
      <w:marTop w:val="0"/>
      <w:marBottom w:val="0"/>
      <w:divBdr>
        <w:top w:val="none" w:sz="0" w:space="0" w:color="auto"/>
        <w:left w:val="none" w:sz="0" w:space="0" w:color="auto"/>
        <w:bottom w:val="none" w:sz="0" w:space="0" w:color="auto"/>
        <w:right w:val="none" w:sz="0" w:space="0" w:color="auto"/>
      </w:divBdr>
    </w:div>
    <w:div w:id="268128327">
      <w:bodyDiv w:val="1"/>
      <w:marLeft w:val="0"/>
      <w:marRight w:val="0"/>
      <w:marTop w:val="0"/>
      <w:marBottom w:val="0"/>
      <w:divBdr>
        <w:top w:val="none" w:sz="0" w:space="0" w:color="auto"/>
        <w:left w:val="none" w:sz="0" w:space="0" w:color="auto"/>
        <w:bottom w:val="none" w:sz="0" w:space="0" w:color="auto"/>
        <w:right w:val="none" w:sz="0" w:space="0" w:color="auto"/>
      </w:divBdr>
    </w:div>
    <w:div w:id="268588410">
      <w:bodyDiv w:val="1"/>
      <w:marLeft w:val="0"/>
      <w:marRight w:val="0"/>
      <w:marTop w:val="0"/>
      <w:marBottom w:val="0"/>
      <w:divBdr>
        <w:top w:val="none" w:sz="0" w:space="0" w:color="auto"/>
        <w:left w:val="none" w:sz="0" w:space="0" w:color="auto"/>
        <w:bottom w:val="none" w:sz="0" w:space="0" w:color="auto"/>
        <w:right w:val="none" w:sz="0" w:space="0" w:color="auto"/>
      </w:divBdr>
    </w:div>
    <w:div w:id="268781361">
      <w:bodyDiv w:val="1"/>
      <w:marLeft w:val="0"/>
      <w:marRight w:val="0"/>
      <w:marTop w:val="0"/>
      <w:marBottom w:val="0"/>
      <w:divBdr>
        <w:top w:val="none" w:sz="0" w:space="0" w:color="auto"/>
        <w:left w:val="none" w:sz="0" w:space="0" w:color="auto"/>
        <w:bottom w:val="none" w:sz="0" w:space="0" w:color="auto"/>
        <w:right w:val="none" w:sz="0" w:space="0" w:color="auto"/>
      </w:divBdr>
    </w:div>
    <w:div w:id="268902242">
      <w:bodyDiv w:val="1"/>
      <w:marLeft w:val="0"/>
      <w:marRight w:val="0"/>
      <w:marTop w:val="0"/>
      <w:marBottom w:val="0"/>
      <w:divBdr>
        <w:top w:val="none" w:sz="0" w:space="0" w:color="auto"/>
        <w:left w:val="none" w:sz="0" w:space="0" w:color="auto"/>
        <w:bottom w:val="none" w:sz="0" w:space="0" w:color="auto"/>
        <w:right w:val="none" w:sz="0" w:space="0" w:color="auto"/>
      </w:divBdr>
    </w:div>
    <w:div w:id="269896790">
      <w:bodyDiv w:val="1"/>
      <w:marLeft w:val="0"/>
      <w:marRight w:val="0"/>
      <w:marTop w:val="0"/>
      <w:marBottom w:val="0"/>
      <w:divBdr>
        <w:top w:val="none" w:sz="0" w:space="0" w:color="auto"/>
        <w:left w:val="none" w:sz="0" w:space="0" w:color="auto"/>
        <w:bottom w:val="none" w:sz="0" w:space="0" w:color="auto"/>
        <w:right w:val="none" w:sz="0" w:space="0" w:color="auto"/>
      </w:divBdr>
    </w:div>
    <w:div w:id="269970353">
      <w:bodyDiv w:val="1"/>
      <w:marLeft w:val="0"/>
      <w:marRight w:val="0"/>
      <w:marTop w:val="0"/>
      <w:marBottom w:val="0"/>
      <w:divBdr>
        <w:top w:val="none" w:sz="0" w:space="0" w:color="auto"/>
        <w:left w:val="none" w:sz="0" w:space="0" w:color="auto"/>
        <w:bottom w:val="none" w:sz="0" w:space="0" w:color="auto"/>
        <w:right w:val="none" w:sz="0" w:space="0" w:color="auto"/>
      </w:divBdr>
    </w:div>
    <w:div w:id="270359696">
      <w:bodyDiv w:val="1"/>
      <w:marLeft w:val="0"/>
      <w:marRight w:val="0"/>
      <w:marTop w:val="0"/>
      <w:marBottom w:val="0"/>
      <w:divBdr>
        <w:top w:val="none" w:sz="0" w:space="0" w:color="auto"/>
        <w:left w:val="none" w:sz="0" w:space="0" w:color="auto"/>
        <w:bottom w:val="none" w:sz="0" w:space="0" w:color="auto"/>
        <w:right w:val="none" w:sz="0" w:space="0" w:color="auto"/>
      </w:divBdr>
    </w:div>
    <w:div w:id="270672605">
      <w:bodyDiv w:val="1"/>
      <w:marLeft w:val="0"/>
      <w:marRight w:val="0"/>
      <w:marTop w:val="0"/>
      <w:marBottom w:val="0"/>
      <w:divBdr>
        <w:top w:val="none" w:sz="0" w:space="0" w:color="auto"/>
        <w:left w:val="none" w:sz="0" w:space="0" w:color="auto"/>
        <w:bottom w:val="none" w:sz="0" w:space="0" w:color="auto"/>
        <w:right w:val="none" w:sz="0" w:space="0" w:color="auto"/>
      </w:divBdr>
    </w:div>
    <w:div w:id="271019244">
      <w:bodyDiv w:val="1"/>
      <w:marLeft w:val="0"/>
      <w:marRight w:val="0"/>
      <w:marTop w:val="0"/>
      <w:marBottom w:val="0"/>
      <w:divBdr>
        <w:top w:val="none" w:sz="0" w:space="0" w:color="auto"/>
        <w:left w:val="none" w:sz="0" w:space="0" w:color="auto"/>
        <w:bottom w:val="none" w:sz="0" w:space="0" w:color="auto"/>
        <w:right w:val="none" w:sz="0" w:space="0" w:color="auto"/>
      </w:divBdr>
    </w:div>
    <w:div w:id="271329208">
      <w:bodyDiv w:val="1"/>
      <w:marLeft w:val="0"/>
      <w:marRight w:val="0"/>
      <w:marTop w:val="0"/>
      <w:marBottom w:val="0"/>
      <w:divBdr>
        <w:top w:val="none" w:sz="0" w:space="0" w:color="auto"/>
        <w:left w:val="none" w:sz="0" w:space="0" w:color="auto"/>
        <w:bottom w:val="none" w:sz="0" w:space="0" w:color="auto"/>
        <w:right w:val="none" w:sz="0" w:space="0" w:color="auto"/>
      </w:divBdr>
    </w:div>
    <w:div w:id="271980940">
      <w:bodyDiv w:val="1"/>
      <w:marLeft w:val="0"/>
      <w:marRight w:val="0"/>
      <w:marTop w:val="0"/>
      <w:marBottom w:val="0"/>
      <w:divBdr>
        <w:top w:val="none" w:sz="0" w:space="0" w:color="auto"/>
        <w:left w:val="none" w:sz="0" w:space="0" w:color="auto"/>
        <w:bottom w:val="none" w:sz="0" w:space="0" w:color="auto"/>
        <w:right w:val="none" w:sz="0" w:space="0" w:color="auto"/>
      </w:divBdr>
    </w:div>
    <w:div w:id="272522123">
      <w:bodyDiv w:val="1"/>
      <w:marLeft w:val="0"/>
      <w:marRight w:val="0"/>
      <w:marTop w:val="0"/>
      <w:marBottom w:val="0"/>
      <w:divBdr>
        <w:top w:val="none" w:sz="0" w:space="0" w:color="auto"/>
        <w:left w:val="none" w:sz="0" w:space="0" w:color="auto"/>
        <w:bottom w:val="none" w:sz="0" w:space="0" w:color="auto"/>
        <w:right w:val="none" w:sz="0" w:space="0" w:color="auto"/>
      </w:divBdr>
    </w:div>
    <w:div w:id="272784909">
      <w:bodyDiv w:val="1"/>
      <w:marLeft w:val="0"/>
      <w:marRight w:val="0"/>
      <w:marTop w:val="0"/>
      <w:marBottom w:val="0"/>
      <w:divBdr>
        <w:top w:val="none" w:sz="0" w:space="0" w:color="auto"/>
        <w:left w:val="none" w:sz="0" w:space="0" w:color="auto"/>
        <w:bottom w:val="none" w:sz="0" w:space="0" w:color="auto"/>
        <w:right w:val="none" w:sz="0" w:space="0" w:color="auto"/>
      </w:divBdr>
    </w:div>
    <w:div w:id="274100215">
      <w:bodyDiv w:val="1"/>
      <w:marLeft w:val="0"/>
      <w:marRight w:val="0"/>
      <w:marTop w:val="0"/>
      <w:marBottom w:val="0"/>
      <w:divBdr>
        <w:top w:val="none" w:sz="0" w:space="0" w:color="auto"/>
        <w:left w:val="none" w:sz="0" w:space="0" w:color="auto"/>
        <w:bottom w:val="none" w:sz="0" w:space="0" w:color="auto"/>
        <w:right w:val="none" w:sz="0" w:space="0" w:color="auto"/>
      </w:divBdr>
    </w:div>
    <w:div w:id="274286735">
      <w:bodyDiv w:val="1"/>
      <w:marLeft w:val="0"/>
      <w:marRight w:val="0"/>
      <w:marTop w:val="0"/>
      <w:marBottom w:val="0"/>
      <w:divBdr>
        <w:top w:val="none" w:sz="0" w:space="0" w:color="auto"/>
        <w:left w:val="none" w:sz="0" w:space="0" w:color="auto"/>
        <w:bottom w:val="none" w:sz="0" w:space="0" w:color="auto"/>
        <w:right w:val="none" w:sz="0" w:space="0" w:color="auto"/>
      </w:divBdr>
    </w:div>
    <w:div w:id="274487401">
      <w:bodyDiv w:val="1"/>
      <w:marLeft w:val="0"/>
      <w:marRight w:val="0"/>
      <w:marTop w:val="0"/>
      <w:marBottom w:val="0"/>
      <w:divBdr>
        <w:top w:val="none" w:sz="0" w:space="0" w:color="auto"/>
        <w:left w:val="none" w:sz="0" w:space="0" w:color="auto"/>
        <w:bottom w:val="none" w:sz="0" w:space="0" w:color="auto"/>
        <w:right w:val="none" w:sz="0" w:space="0" w:color="auto"/>
      </w:divBdr>
    </w:div>
    <w:div w:id="274943062">
      <w:bodyDiv w:val="1"/>
      <w:marLeft w:val="0"/>
      <w:marRight w:val="0"/>
      <w:marTop w:val="0"/>
      <w:marBottom w:val="0"/>
      <w:divBdr>
        <w:top w:val="none" w:sz="0" w:space="0" w:color="auto"/>
        <w:left w:val="none" w:sz="0" w:space="0" w:color="auto"/>
        <w:bottom w:val="none" w:sz="0" w:space="0" w:color="auto"/>
        <w:right w:val="none" w:sz="0" w:space="0" w:color="auto"/>
      </w:divBdr>
    </w:div>
    <w:div w:id="275646773">
      <w:bodyDiv w:val="1"/>
      <w:marLeft w:val="0"/>
      <w:marRight w:val="0"/>
      <w:marTop w:val="0"/>
      <w:marBottom w:val="0"/>
      <w:divBdr>
        <w:top w:val="none" w:sz="0" w:space="0" w:color="auto"/>
        <w:left w:val="none" w:sz="0" w:space="0" w:color="auto"/>
        <w:bottom w:val="none" w:sz="0" w:space="0" w:color="auto"/>
        <w:right w:val="none" w:sz="0" w:space="0" w:color="auto"/>
      </w:divBdr>
    </w:div>
    <w:div w:id="275989559">
      <w:bodyDiv w:val="1"/>
      <w:marLeft w:val="0"/>
      <w:marRight w:val="0"/>
      <w:marTop w:val="0"/>
      <w:marBottom w:val="0"/>
      <w:divBdr>
        <w:top w:val="none" w:sz="0" w:space="0" w:color="auto"/>
        <w:left w:val="none" w:sz="0" w:space="0" w:color="auto"/>
        <w:bottom w:val="none" w:sz="0" w:space="0" w:color="auto"/>
        <w:right w:val="none" w:sz="0" w:space="0" w:color="auto"/>
      </w:divBdr>
    </w:div>
    <w:div w:id="276182137">
      <w:bodyDiv w:val="1"/>
      <w:marLeft w:val="0"/>
      <w:marRight w:val="0"/>
      <w:marTop w:val="0"/>
      <w:marBottom w:val="0"/>
      <w:divBdr>
        <w:top w:val="none" w:sz="0" w:space="0" w:color="auto"/>
        <w:left w:val="none" w:sz="0" w:space="0" w:color="auto"/>
        <w:bottom w:val="none" w:sz="0" w:space="0" w:color="auto"/>
        <w:right w:val="none" w:sz="0" w:space="0" w:color="auto"/>
      </w:divBdr>
    </w:div>
    <w:div w:id="276253479">
      <w:bodyDiv w:val="1"/>
      <w:marLeft w:val="0"/>
      <w:marRight w:val="0"/>
      <w:marTop w:val="0"/>
      <w:marBottom w:val="0"/>
      <w:divBdr>
        <w:top w:val="none" w:sz="0" w:space="0" w:color="auto"/>
        <w:left w:val="none" w:sz="0" w:space="0" w:color="auto"/>
        <w:bottom w:val="none" w:sz="0" w:space="0" w:color="auto"/>
        <w:right w:val="none" w:sz="0" w:space="0" w:color="auto"/>
      </w:divBdr>
    </w:div>
    <w:div w:id="276261528">
      <w:bodyDiv w:val="1"/>
      <w:marLeft w:val="0"/>
      <w:marRight w:val="0"/>
      <w:marTop w:val="0"/>
      <w:marBottom w:val="0"/>
      <w:divBdr>
        <w:top w:val="none" w:sz="0" w:space="0" w:color="auto"/>
        <w:left w:val="none" w:sz="0" w:space="0" w:color="auto"/>
        <w:bottom w:val="none" w:sz="0" w:space="0" w:color="auto"/>
        <w:right w:val="none" w:sz="0" w:space="0" w:color="auto"/>
      </w:divBdr>
    </w:div>
    <w:div w:id="276373853">
      <w:bodyDiv w:val="1"/>
      <w:marLeft w:val="0"/>
      <w:marRight w:val="0"/>
      <w:marTop w:val="0"/>
      <w:marBottom w:val="0"/>
      <w:divBdr>
        <w:top w:val="none" w:sz="0" w:space="0" w:color="auto"/>
        <w:left w:val="none" w:sz="0" w:space="0" w:color="auto"/>
        <w:bottom w:val="none" w:sz="0" w:space="0" w:color="auto"/>
        <w:right w:val="none" w:sz="0" w:space="0" w:color="auto"/>
      </w:divBdr>
    </w:div>
    <w:div w:id="276838582">
      <w:bodyDiv w:val="1"/>
      <w:marLeft w:val="0"/>
      <w:marRight w:val="0"/>
      <w:marTop w:val="0"/>
      <w:marBottom w:val="0"/>
      <w:divBdr>
        <w:top w:val="none" w:sz="0" w:space="0" w:color="auto"/>
        <w:left w:val="none" w:sz="0" w:space="0" w:color="auto"/>
        <w:bottom w:val="none" w:sz="0" w:space="0" w:color="auto"/>
        <w:right w:val="none" w:sz="0" w:space="0" w:color="auto"/>
      </w:divBdr>
    </w:div>
    <w:div w:id="277222460">
      <w:bodyDiv w:val="1"/>
      <w:marLeft w:val="0"/>
      <w:marRight w:val="0"/>
      <w:marTop w:val="0"/>
      <w:marBottom w:val="0"/>
      <w:divBdr>
        <w:top w:val="none" w:sz="0" w:space="0" w:color="auto"/>
        <w:left w:val="none" w:sz="0" w:space="0" w:color="auto"/>
        <w:bottom w:val="none" w:sz="0" w:space="0" w:color="auto"/>
        <w:right w:val="none" w:sz="0" w:space="0" w:color="auto"/>
      </w:divBdr>
    </w:div>
    <w:div w:id="278100556">
      <w:bodyDiv w:val="1"/>
      <w:marLeft w:val="0"/>
      <w:marRight w:val="0"/>
      <w:marTop w:val="0"/>
      <w:marBottom w:val="0"/>
      <w:divBdr>
        <w:top w:val="none" w:sz="0" w:space="0" w:color="auto"/>
        <w:left w:val="none" w:sz="0" w:space="0" w:color="auto"/>
        <w:bottom w:val="none" w:sz="0" w:space="0" w:color="auto"/>
        <w:right w:val="none" w:sz="0" w:space="0" w:color="auto"/>
      </w:divBdr>
    </w:div>
    <w:div w:id="279724974">
      <w:bodyDiv w:val="1"/>
      <w:marLeft w:val="0"/>
      <w:marRight w:val="0"/>
      <w:marTop w:val="0"/>
      <w:marBottom w:val="0"/>
      <w:divBdr>
        <w:top w:val="none" w:sz="0" w:space="0" w:color="auto"/>
        <w:left w:val="none" w:sz="0" w:space="0" w:color="auto"/>
        <w:bottom w:val="none" w:sz="0" w:space="0" w:color="auto"/>
        <w:right w:val="none" w:sz="0" w:space="0" w:color="auto"/>
      </w:divBdr>
    </w:div>
    <w:div w:id="280066820">
      <w:bodyDiv w:val="1"/>
      <w:marLeft w:val="0"/>
      <w:marRight w:val="0"/>
      <w:marTop w:val="0"/>
      <w:marBottom w:val="0"/>
      <w:divBdr>
        <w:top w:val="none" w:sz="0" w:space="0" w:color="auto"/>
        <w:left w:val="none" w:sz="0" w:space="0" w:color="auto"/>
        <w:bottom w:val="none" w:sz="0" w:space="0" w:color="auto"/>
        <w:right w:val="none" w:sz="0" w:space="0" w:color="auto"/>
      </w:divBdr>
    </w:div>
    <w:div w:id="280459297">
      <w:bodyDiv w:val="1"/>
      <w:marLeft w:val="0"/>
      <w:marRight w:val="0"/>
      <w:marTop w:val="0"/>
      <w:marBottom w:val="0"/>
      <w:divBdr>
        <w:top w:val="none" w:sz="0" w:space="0" w:color="auto"/>
        <w:left w:val="none" w:sz="0" w:space="0" w:color="auto"/>
        <w:bottom w:val="none" w:sz="0" w:space="0" w:color="auto"/>
        <w:right w:val="none" w:sz="0" w:space="0" w:color="auto"/>
      </w:divBdr>
    </w:div>
    <w:div w:id="281037455">
      <w:bodyDiv w:val="1"/>
      <w:marLeft w:val="0"/>
      <w:marRight w:val="0"/>
      <w:marTop w:val="0"/>
      <w:marBottom w:val="0"/>
      <w:divBdr>
        <w:top w:val="none" w:sz="0" w:space="0" w:color="auto"/>
        <w:left w:val="none" w:sz="0" w:space="0" w:color="auto"/>
        <w:bottom w:val="none" w:sz="0" w:space="0" w:color="auto"/>
        <w:right w:val="none" w:sz="0" w:space="0" w:color="auto"/>
      </w:divBdr>
    </w:div>
    <w:div w:id="281612718">
      <w:bodyDiv w:val="1"/>
      <w:marLeft w:val="0"/>
      <w:marRight w:val="0"/>
      <w:marTop w:val="0"/>
      <w:marBottom w:val="0"/>
      <w:divBdr>
        <w:top w:val="none" w:sz="0" w:space="0" w:color="auto"/>
        <w:left w:val="none" w:sz="0" w:space="0" w:color="auto"/>
        <w:bottom w:val="none" w:sz="0" w:space="0" w:color="auto"/>
        <w:right w:val="none" w:sz="0" w:space="0" w:color="auto"/>
      </w:divBdr>
    </w:div>
    <w:div w:id="282199334">
      <w:bodyDiv w:val="1"/>
      <w:marLeft w:val="0"/>
      <w:marRight w:val="0"/>
      <w:marTop w:val="0"/>
      <w:marBottom w:val="0"/>
      <w:divBdr>
        <w:top w:val="none" w:sz="0" w:space="0" w:color="auto"/>
        <w:left w:val="none" w:sz="0" w:space="0" w:color="auto"/>
        <w:bottom w:val="none" w:sz="0" w:space="0" w:color="auto"/>
        <w:right w:val="none" w:sz="0" w:space="0" w:color="auto"/>
      </w:divBdr>
    </w:div>
    <w:div w:id="282199690">
      <w:bodyDiv w:val="1"/>
      <w:marLeft w:val="0"/>
      <w:marRight w:val="0"/>
      <w:marTop w:val="0"/>
      <w:marBottom w:val="0"/>
      <w:divBdr>
        <w:top w:val="none" w:sz="0" w:space="0" w:color="auto"/>
        <w:left w:val="none" w:sz="0" w:space="0" w:color="auto"/>
        <w:bottom w:val="none" w:sz="0" w:space="0" w:color="auto"/>
        <w:right w:val="none" w:sz="0" w:space="0" w:color="auto"/>
      </w:divBdr>
    </w:div>
    <w:div w:id="282348926">
      <w:bodyDiv w:val="1"/>
      <w:marLeft w:val="0"/>
      <w:marRight w:val="0"/>
      <w:marTop w:val="0"/>
      <w:marBottom w:val="0"/>
      <w:divBdr>
        <w:top w:val="none" w:sz="0" w:space="0" w:color="auto"/>
        <w:left w:val="none" w:sz="0" w:space="0" w:color="auto"/>
        <w:bottom w:val="none" w:sz="0" w:space="0" w:color="auto"/>
        <w:right w:val="none" w:sz="0" w:space="0" w:color="auto"/>
      </w:divBdr>
    </w:div>
    <w:div w:id="282468811">
      <w:bodyDiv w:val="1"/>
      <w:marLeft w:val="0"/>
      <w:marRight w:val="0"/>
      <w:marTop w:val="0"/>
      <w:marBottom w:val="0"/>
      <w:divBdr>
        <w:top w:val="none" w:sz="0" w:space="0" w:color="auto"/>
        <w:left w:val="none" w:sz="0" w:space="0" w:color="auto"/>
        <w:bottom w:val="none" w:sz="0" w:space="0" w:color="auto"/>
        <w:right w:val="none" w:sz="0" w:space="0" w:color="auto"/>
      </w:divBdr>
    </w:div>
    <w:div w:id="283124304">
      <w:bodyDiv w:val="1"/>
      <w:marLeft w:val="0"/>
      <w:marRight w:val="0"/>
      <w:marTop w:val="0"/>
      <w:marBottom w:val="0"/>
      <w:divBdr>
        <w:top w:val="none" w:sz="0" w:space="0" w:color="auto"/>
        <w:left w:val="none" w:sz="0" w:space="0" w:color="auto"/>
        <w:bottom w:val="none" w:sz="0" w:space="0" w:color="auto"/>
        <w:right w:val="none" w:sz="0" w:space="0" w:color="auto"/>
      </w:divBdr>
    </w:div>
    <w:div w:id="283655347">
      <w:bodyDiv w:val="1"/>
      <w:marLeft w:val="0"/>
      <w:marRight w:val="0"/>
      <w:marTop w:val="0"/>
      <w:marBottom w:val="0"/>
      <w:divBdr>
        <w:top w:val="none" w:sz="0" w:space="0" w:color="auto"/>
        <w:left w:val="none" w:sz="0" w:space="0" w:color="auto"/>
        <w:bottom w:val="none" w:sz="0" w:space="0" w:color="auto"/>
        <w:right w:val="none" w:sz="0" w:space="0" w:color="auto"/>
      </w:divBdr>
    </w:div>
    <w:div w:id="283728777">
      <w:bodyDiv w:val="1"/>
      <w:marLeft w:val="0"/>
      <w:marRight w:val="0"/>
      <w:marTop w:val="0"/>
      <w:marBottom w:val="0"/>
      <w:divBdr>
        <w:top w:val="none" w:sz="0" w:space="0" w:color="auto"/>
        <w:left w:val="none" w:sz="0" w:space="0" w:color="auto"/>
        <w:bottom w:val="none" w:sz="0" w:space="0" w:color="auto"/>
        <w:right w:val="none" w:sz="0" w:space="0" w:color="auto"/>
      </w:divBdr>
    </w:div>
    <w:div w:id="283972796">
      <w:bodyDiv w:val="1"/>
      <w:marLeft w:val="0"/>
      <w:marRight w:val="0"/>
      <w:marTop w:val="0"/>
      <w:marBottom w:val="0"/>
      <w:divBdr>
        <w:top w:val="none" w:sz="0" w:space="0" w:color="auto"/>
        <w:left w:val="none" w:sz="0" w:space="0" w:color="auto"/>
        <w:bottom w:val="none" w:sz="0" w:space="0" w:color="auto"/>
        <w:right w:val="none" w:sz="0" w:space="0" w:color="auto"/>
      </w:divBdr>
    </w:div>
    <w:div w:id="284167437">
      <w:bodyDiv w:val="1"/>
      <w:marLeft w:val="0"/>
      <w:marRight w:val="0"/>
      <w:marTop w:val="0"/>
      <w:marBottom w:val="0"/>
      <w:divBdr>
        <w:top w:val="none" w:sz="0" w:space="0" w:color="auto"/>
        <w:left w:val="none" w:sz="0" w:space="0" w:color="auto"/>
        <w:bottom w:val="none" w:sz="0" w:space="0" w:color="auto"/>
        <w:right w:val="none" w:sz="0" w:space="0" w:color="auto"/>
      </w:divBdr>
    </w:div>
    <w:div w:id="284195857">
      <w:bodyDiv w:val="1"/>
      <w:marLeft w:val="0"/>
      <w:marRight w:val="0"/>
      <w:marTop w:val="0"/>
      <w:marBottom w:val="0"/>
      <w:divBdr>
        <w:top w:val="none" w:sz="0" w:space="0" w:color="auto"/>
        <w:left w:val="none" w:sz="0" w:space="0" w:color="auto"/>
        <w:bottom w:val="none" w:sz="0" w:space="0" w:color="auto"/>
        <w:right w:val="none" w:sz="0" w:space="0" w:color="auto"/>
      </w:divBdr>
    </w:div>
    <w:div w:id="284308760">
      <w:bodyDiv w:val="1"/>
      <w:marLeft w:val="0"/>
      <w:marRight w:val="0"/>
      <w:marTop w:val="0"/>
      <w:marBottom w:val="0"/>
      <w:divBdr>
        <w:top w:val="none" w:sz="0" w:space="0" w:color="auto"/>
        <w:left w:val="none" w:sz="0" w:space="0" w:color="auto"/>
        <w:bottom w:val="none" w:sz="0" w:space="0" w:color="auto"/>
        <w:right w:val="none" w:sz="0" w:space="0" w:color="auto"/>
      </w:divBdr>
    </w:div>
    <w:div w:id="285084848">
      <w:bodyDiv w:val="1"/>
      <w:marLeft w:val="0"/>
      <w:marRight w:val="0"/>
      <w:marTop w:val="0"/>
      <w:marBottom w:val="0"/>
      <w:divBdr>
        <w:top w:val="none" w:sz="0" w:space="0" w:color="auto"/>
        <w:left w:val="none" w:sz="0" w:space="0" w:color="auto"/>
        <w:bottom w:val="none" w:sz="0" w:space="0" w:color="auto"/>
        <w:right w:val="none" w:sz="0" w:space="0" w:color="auto"/>
      </w:divBdr>
    </w:div>
    <w:div w:id="286082507">
      <w:bodyDiv w:val="1"/>
      <w:marLeft w:val="0"/>
      <w:marRight w:val="0"/>
      <w:marTop w:val="0"/>
      <w:marBottom w:val="0"/>
      <w:divBdr>
        <w:top w:val="none" w:sz="0" w:space="0" w:color="auto"/>
        <w:left w:val="none" w:sz="0" w:space="0" w:color="auto"/>
        <w:bottom w:val="none" w:sz="0" w:space="0" w:color="auto"/>
        <w:right w:val="none" w:sz="0" w:space="0" w:color="auto"/>
      </w:divBdr>
    </w:div>
    <w:div w:id="286393840">
      <w:bodyDiv w:val="1"/>
      <w:marLeft w:val="0"/>
      <w:marRight w:val="0"/>
      <w:marTop w:val="0"/>
      <w:marBottom w:val="0"/>
      <w:divBdr>
        <w:top w:val="none" w:sz="0" w:space="0" w:color="auto"/>
        <w:left w:val="none" w:sz="0" w:space="0" w:color="auto"/>
        <w:bottom w:val="none" w:sz="0" w:space="0" w:color="auto"/>
        <w:right w:val="none" w:sz="0" w:space="0" w:color="auto"/>
      </w:divBdr>
    </w:div>
    <w:div w:id="287246625">
      <w:bodyDiv w:val="1"/>
      <w:marLeft w:val="0"/>
      <w:marRight w:val="0"/>
      <w:marTop w:val="0"/>
      <w:marBottom w:val="0"/>
      <w:divBdr>
        <w:top w:val="none" w:sz="0" w:space="0" w:color="auto"/>
        <w:left w:val="none" w:sz="0" w:space="0" w:color="auto"/>
        <w:bottom w:val="none" w:sz="0" w:space="0" w:color="auto"/>
        <w:right w:val="none" w:sz="0" w:space="0" w:color="auto"/>
      </w:divBdr>
    </w:div>
    <w:div w:id="287317510">
      <w:bodyDiv w:val="1"/>
      <w:marLeft w:val="0"/>
      <w:marRight w:val="0"/>
      <w:marTop w:val="0"/>
      <w:marBottom w:val="0"/>
      <w:divBdr>
        <w:top w:val="none" w:sz="0" w:space="0" w:color="auto"/>
        <w:left w:val="none" w:sz="0" w:space="0" w:color="auto"/>
        <w:bottom w:val="none" w:sz="0" w:space="0" w:color="auto"/>
        <w:right w:val="none" w:sz="0" w:space="0" w:color="auto"/>
      </w:divBdr>
    </w:div>
    <w:div w:id="287513031">
      <w:bodyDiv w:val="1"/>
      <w:marLeft w:val="0"/>
      <w:marRight w:val="0"/>
      <w:marTop w:val="0"/>
      <w:marBottom w:val="0"/>
      <w:divBdr>
        <w:top w:val="none" w:sz="0" w:space="0" w:color="auto"/>
        <w:left w:val="none" w:sz="0" w:space="0" w:color="auto"/>
        <w:bottom w:val="none" w:sz="0" w:space="0" w:color="auto"/>
        <w:right w:val="none" w:sz="0" w:space="0" w:color="auto"/>
      </w:divBdr>
    </w:div>
    <w:div w:id="288046829">
      <w:bodyDiv w:val="1"/>
      <w:marLeft w:val="0"/>
      <w:marRight w:val="0"/>
      <w:marTop w:val="0"/>
      <w:marBottom w:val="0"/>
      <w:divBdr>
        <w:top w:val="none" w:sz="0" w:space="0" w:color="auto"/>
        <w:left w:val="none" w:sz="0" w:space="0" w:color="auto"/>
        <w:bottom w:val="none" w:sz="0" w:space="0" w:color="auto"/>
        <w:right w:val="none" w:sz="0" w:space="0" w:color="auto"/>
      </w:divBdr>
    </w:div>
    <w:div w:id="288631615">
      <w:bodyDiv w:val="1"/>
      <w:marLeft w:val="0"/>
      <w:marRight w:val="0"/>
      <w:marTop w:val="0"/>
      <w:marBottom w:val="0"/>
      <w:divBdr>
        <w:top w:val="none" w:sz="0" w:space="0" w:color="auto"/>
        <w:left w:val="none" w:sz="0" w:space="0" w:color="auto"/>
        <w:bottom w:val="none" w:sz="0" w:space="0" w:color="auto"/>
        <w:right w:val="none" w:sz="0" w:space="0" w:color="auto"/>
      </w:divBdr>
    </w:div>
    <w:div w:id="289675806">
      <w:bodyDiv w:val="1"/>
      <w:marLeft w:val="0"/>
      <w:marRight w:val="0"/>
      <w:marTop w:val="0"/>
      <w:marBottom w:val="0"/>
      <w:divBdr>
        <w:top w:val="none" w:sz="0" w:space="0" w:color="auto"/>
        <w:left w:val="none" w:sz="0" w:space="0" w:color="auto"/>
        <w:bottom w:val="none" w:sz="0" w:space="0" w:color="auto"/>
        <w:right w:val="none" w:sz="0" w:space="0" w:color="auto"/>
      </w:divBdr>
    </w:div>
    <w:div w:id="290980094">
      <w:bodyDiv w:val="1"/>
      <w:marLeft w:val="0"/>
      <w:marRight w:val="0"/>
      <w:marTop w:val="0"/>
      <w:marBottom w:val="0"/>
      <w:divBdr>
        <w:top w:val="none" w:sz="0" w:space="0" w:color="auto"/>
        <w:left w:val="none" w:sz="0" w:space="0" w:color="auto"/>
        <w:bottom w:val="none" w:sz="0" w:space="0" w:color="auto"/>
        <w:right w:val="none" w:sz="0" w:space="0" w:color="auto"/>
      </w:divBdr>
    </w:div>
    <w:div w:id="291058222">
      <w:bodyDiv w:val="1"/>
      <w:marLeft w:val="0"/>
      <w:marRight w:val="0"/>
      <w:marTop w:val="0"/>
      <w:marBottom w:val="0"/>
      <w:divBdr>
        <w:top w:val="none" w:sz="0" w:space="0" w:color="auto"/>
        <w:left w:val="none" w:sz="0" w:space="0" w:color="auto"/>
        <w:bottom w:val="none" w:sz="0" w:space="0" w:color="auto"/>
        <w:right w:val="none" w:sz="0" w:space="0" w:color="auto"/>
      </w:divBdr>
    </w:div>
    <w:div w:id="291447694">
      <w:bodyDiv w:val="1"/>
      <w:marLeft w:val="0"/>
      <w:marRight w:val="0"/>
      <w:marTop w:val="0"/>
      <w:marBottom w:val="0"/>
      <w:divBdr>
        <w:top w:val="none" w:sz="0" w:space="0" w:color="auto"/>
        <w:left w:val="none" w:sz="0" w:space="0" w:color="auto"/>
        <w:bottom w:val="none" w:sz="0" w:space="0" w:color="auto"/>
        <w:right w:val="none" w:sz="0" w:space="0" w:color="auto"/>
      </w:divBdr>
    </w:div>
    <w:div w:id="292174639">
      <w:bodyDiv w:val="1"/>
      <w:marLeft w:val="0"/>
      <w:marRight w:val="0"/>
      <w:marTop w:val="0"/>
      <w:marBottom w:val="0"/>
      <w:divBdr>
        <w:top w:val="none" w:sz="0" w:space="0" w:color="auto"/>
        <w:left w:val="none" w:sz="0" w:space="0" w:color="auto"/>
        <w:bottom w:val="none" w:sz="0" w:space="0" w:color="auto"/>
        <w:right w:val="none" w:sz="0" w:space="0" w:color="auto"/>
      </w:divBdr>
    </w:div>
    <w:div w:id="292374434">
      <w:bodyDiv w:val="1"/>
      <w:marLeft w:val="0"/>
      <w:marRight w:val="0"/>
      <w:marTop w:val="0"/>
      <w:marBottom w:val="0"/>
      <w:divBdr>
        <w:top w:val="none" w:sz="0" w:space="0" w:color="auto"/>
        <w:left w:val="none" w:sz="0" w:space="0" w:color="auto"/>
        <w:bottom w:val="none" w:sz="0" w:space="0" w:color="auto"/>
        <w:right w:val="none" w:sz="0" w:space="0" w:color="auto"/>
      </w:divBdr>
    </w:div>
    <w:div w:id="292519420">
      <w:bodyDiv w:val="1"/>
      <w:marLeft w:val="0"/>
      <w:marRight w:val="0"/>
      <w:marTop w:val="0"/>
      <w:marBottom w:val="0"/>
      <w:divBdr>
        <w:top w:val="none" w:sz="0" w:space="0" w:color="auto"/>
        <w:left w:val="none" w:sz="0" w:space="0" w:color="auto"/>
        <w:bottom w:val="none" w:sz="0" w:space="0" w:color="auto"/>
        <w:right w:val="none" w:sz="0" w:space="0" w:color="auto"/>
      </w:divBdr>
    </w:div>
    <w:div w:id="292559767">
      <w:bodyDiv w:val="1"/>
      <w:marLeft w:val="0"/>
      <w:marRight w:val="0"/>
      <w:marTop w:val="0"/>
      <w:marBottom w:val="0"/>
      <w:divBdr>
        <w:top w:val="none" w:sz="0" w:space="0" w:color="auto"/>
        <w:left w:val="none" w:sz="0" w:space="0" w:color="auto"/>
        <w:bottom w:val="none" w:sz="0" w:space="0" w:color="auto"/>
        <w:right w:val="none" w:sz="0" w:space="0" w:color="auto"/>
      </w:divBdr>
    </w:div>
    <w:div w:id="292638100">
      <w:bodyDiv w:val="1"/>
      <w:marLeft w:val="0"/>
      <w:marRight w:val="0"/>
      <w:marTop w:val="0"/>
      <w:marBottom w:val="0"/>
      <w:divBdr>
        <w:top w:val="none" w:sz="0" w:space="0" w:color="auto"/>
        <w:left w:val="none" w:sz="0" w:space="0" w:color="auto"/>
        <w:bottom w:val="none" w:sz="0" w:space="0" w:color="auto"/>
        <w:right w:val="none" w:sz="0" w:space="0" w:color="auto"/>
      </w:divBdr>
    </w:div>
    <w:div w:id="292641610">
      <w:bodyDiv w:val="1"/>
      <w:marLeft w:val="0"/>
      <w:marRight w:val="0"/>
      <w:marTop w:val="0"/>
      <w:marBottom w:val="0"/>
      <w:divBdr>
        <w:top w:val="none" w:sz="0" w:space="0" w:color="auto"/>
        <w:left w:val="none" w:sz="0" w:space="0" w:color="auto"/>
        <w:bottom w:val="none" w:sz="0" w:space="0" w:color="auto"/>
        <w:right w:val="none" w:sz="0" w:space="0" w:color="auto"/>
      </w:divBdr>
    </w:div>
    <w:div w:id="293490124">
      <w:bodyDiv w:val="1"/>
      <w:marLeft w:val="0"/>
      <w:marRight w:val="0"/>
      <w:marTop w:val="0"/>
      <w:marBottom w:val="0"/>
      <w:divBdr>
        <w:top w:val="none" w:sz="0" w:space="0" w:color="auto"/>
        <w:left w:val="none" w:sz="0" w:space="0" w:color="auto"/>
        <w:bottom w:val="none" w:sz="0" w:space="0" w:color="auto"/>
        <w:right w:val="none" w:sz="0" w:space="0" w:color="auto"/>
      </w:divBdr>
    </w:div>
    <w:div w:id="293633648">
      <w:bodyDiv w:val="1"/>
      <w:marLeft w:val="0"/>
      <w:marRight w:val="0"/>
      <w:marTop w:val="0"/>
      <w:marBottom w:val="0"/>
      <w:divBdr>
        <w:top w:val="none" w:sz="0" w:space="0" w:color="auto"/>
        <w:left w:val="none" w:sz="0" w:space="0" w:color="auto"/>
        <w:bottom w:val="none" w:sz="0" w:space="0" w:color="auto"/>
        <w:right w:val="none" w:sz="0" w:space="0" w:color="auto"/>
      </w:divBdr>
    </w:div>
    <w:div w:id="294677032">
      <w:bodyDiv w:val="1"/>
      <w:marLeft w:val="0"/>
      <w:marRight w:val="0"/>
      <w:marTop w:val="0"/>
      <w:marBottom w:val="0"/>
      <w:divBdr>
        <w:top w:val="none" w:sz="0" w:space="0" w:color="auto"/>
        <w:left w:val="none" w:sz="0" w:space="0" w:color="auto"/>
        <w:bottom w:val="none" w:sz="0" w:space="0" w:color="auto"/>
        <w:right w:val="none" w:sz="0" w:space="0" w:color="auto"/>
      </w:divBdr>
    </w:div>
    <w:div w:id="294869714">
      <w:bodyDiv w:val="1"/>
      <w:marLeft w:val="0"/>
      <w:marRight w:val="0"/>
      <w:marTop w:val="0"/>
      <w:marBottom w:val="0"/>
      <w:divBdr>
        <w:top w:val="none" w:sz="0" w:space="0" w:color="auto"/>
        <w:left w:val="none" w:sz="0" w:space="0" w:color="auto"/>
        <w:bottom w:val="none" w:sz="0" w:space="0" w:color="auto"/>
        <w:right w:val="none" w:sz="0" w:space="0" w:color="auto"/>
      </w:divBdr>
    </w:div>
    <w:div w:id="295452519">
      <w:bodyDiv w:val="1"/>
      <w:marLeft w:val="0"/>
      <w:marRight w:val="0"/>
      <w:marTop w:val="0"/>
      <w:marBottom w:val="0"/>
      <w:divBdr>
        <w:top w:val="none" w:sz="0" w:space="0" w:color="auto"/>
        <w:left w:val="none" w:sz="0" w:space="0" w:color="auto"/>
        <w:bottom w:val="none" w:sz="0" w:space="0" w:color="auto"/>
        <w:right w:val="none" w:sz="0" w:space="0" w:color="auto"/>
      </w:divBdr>
    </w:div>
    <w:div w:id="295600096">
      <w:bodyDiv w:val="1"/>
      <w:marLeft w:val="0"/>
      <w:marRight w:val="0"/>
      <w:marTop w:val="0"/>
      <w:marBottom w:val="0"/>
      <w:divBdr>
        <w:top w:val="none" w:sz="0" w:space="0" w:color="auto"/>
        <w:left w:val="none" w:sz="0" w:space="0" w:color="auto"/>
        <w:bottom w:val="none" w:sz="0" w:space="0" w:color="auto"/>
        <w:right w:val="none" w:sz="0" w:space="0" w:color="auto"/>
      </w:divBdr>
    </w:div>
    <w:div w:id="295722356">
      <w:bodyDiv w:val="1"/>
      <w:marLeft w:val="0"/>
      <w:marRight w:val="0"/>
      <w:marTop w:val="0"/>
      <w:marBottom w:val="0"/>
      <w:divBdr>
        <w:top w:val="none" w:sz="0" w:space="0" w:color="auto"/>
        <w:left w:val="none" w:sz="0" w:space="0" w:color="auto"/>
        <w:bottom w:val="none" w:sz="0" w:space="0" w:color="auto"/>
        <w:right w:val="none" w:sz="0" w:space="0" w:color="auto"/>
      </w:divBdr>
    </w:div>
    <w:div w:id="295912705">
      <w:bodyDiv w:val="1"/>
      <w:marLeft w:val="0"/>
      <w:marRight w:val="0"/>
      <w:marTop w:val="0"/>
      <w:marBottom w:val="0"/>
      <w:divBdr>
        <w:top w:val="none" w:sz="0" w:space="0" w:color="auto"/>
        <w:left w:val="none" w:sz="0" w:space="0" w:color="auto"/>
        <w:bottom w:val="none" w:sz="0" w:space="0" w:color="auto"/>
        <w:right w:val="none" w:sz="0" w:space="0" w:color="auto"/>
      </w:divBdr>
    </w:div>
    <w:div w:id="296223894">
      <w:bodyDiv w:val="1"/>
      <w:marLeft w:val="0"/>
      <w:marRight w:val="0"/>
      <w:marTop w:val="0"/>
      <w:marBottom w:val="0"/>
      <w:divBdr>
        <w:top w:val="none" w:sz="0" w:space="0" w:color="auto"/>
        <w:left w:val="none" w:sz="0" w:space="0" w:color="auto"/>
        <w:bottom w:val="none" w:sz="0" w:space="0" w:color="auto"/>
        <w:right w:val="none" w:sz="0" w:space="0" w:color="auto"/>
      </w:divBdr>
    </w:div>
    <w:div w:id="298346480">
      <w:bodyDiv w:val="1"/>
      <w:marLeft w:val="0"/>
      <w:marRight w:val="0"/>
      <w:marTop w:val="0"/>
      <w:marBottom w:val="0"/>
      <w:divBdr>
        <w:top w:val="none" w:sz="0" w:space="0" w:color="auto"/>
        <w:left w:val="none" w:sz="0" w:space="0" w:color="auto"/>
        <w:bottom w:val="none" w:sz="0" w:space="0" w:color="auto"/>
        <w:right w:val="none" w:sz="0" w:space="0" w:color="auto"/>
      </w:divBdr>
    </w:div>
    <w:div w:id="298607922">
      <w:bodyDiv w:val="1"/>
      <w:marLeft w:val="0"/>
      <w:marRight w:val="0"/>
      <w:marTop w:val="0"/>
      <w:marBottom w:val="0"/>
      <w:divBdr>
        <w:top w:val="none" w:sz="0" w:space="0" w:color="auto"/>
        <w:left w:val="none" w:sz="0" w:space="0" w:color="auto"/>
        <w:bottom w:val="none" w:sz="0" w:space="0" w:color="auto"/>
        <w:right w:val="none" w:sz="0" w:space="0" w:color="auto"/>
      </w:divBdr>
    </w:div>
    <w:div w:id="299112360">
      <w:bodyDiv w:val="1"/>
      <w:marLeft w:val="0"/>
      <w:marRight w:val="0"/>
      <w:marTop w:val="0"/>
      <w:marBottom w:val="0"/>
      <w:divBdr>
        <w:top w:val="none" w:sz="0" w:space="0" w:color="auto"/>
        <w:left w:val="none" w:sz="0" w:space="0" w:color="auto"/>
        <w:bottom w:val="none" w:sz="0" w:space="0" w:color="auto"/>
        <w:right w:val="none" w:sz="0" w:space="0" w:color="auto"/>
      </w:divBdr>
    </w:div>
    <w:div w:id="299383418">
      <w:bodyDiv w:val="1"/>
      <w:marLeft w:val="0"/>
      <w:marRight w:val="0"/>
      <w:marTop w:val="0"/>
      <w:marBottom w:val="0"/>
      <w:divBdr>
        <w:top w:val="none" w:sz="0" w:space="0" w:color="auto"/>
        <w:left w:val="none" w:sz="0" w:space="0" w:color="auto"/>
        <w:bottom w:val="none" w:sz="0" w:space="0" w:color="auto"/>
        <w:right w:val="none" w:sz="0" w:space="0" w:color="auto"/>
      </w:divBdr>
    </w:div>
    <w:div w:id="299653089">
      <w:bodyDiv w:val="1"/>
      <w:marLeft w:val="0"/>
      <w:marRight w:val="0"/>
      <w:marTop w:val="0"/>
      <w:marBottom w:val="0"/>
      <w:divBdr>
        <w:top w:val="none" w:sz="0" w:space="0" w:color="auto"/>
        <w:left w:val="none" w:sz="0" w:space="0" w:color="auto"/>
        <w:bottom w:val="none" w:sz="0" w:space="0" w:color="auto"/>
        <w:right w:val="none" w:sz="0" w:space="0" w:color="auto"/>
      </w:divBdr>
    </w:div>
    <w:div w:id="299699249">
      <w:bodyDiv w:val="1"/>
      <w:marLeft w:val="0"/>
      <w:marRight w:val="0"/>
      <w:marTop w:val="0"/>
      <w:marBottom w:val="0"/>
      <w:divBdr>
        <w:top w:val="none" w:sz="0" w:space="0" w:color="auto"/>
        <w:left w:val="none" w:sz="0" w:space="0" w:color="auto"/>
        <w:bottom w:val="none" w:sz="0" w:space="0" w:color="auto"/>
        <w:right w:val="none" w:sz="0" w:space="0" w:color="auto"/>
      </w:divBdr>
    </w:div>
    <w:div w:id="299921783">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158502">
      <w:bodyDiv w:val="1"/>
      <w:marLeft w:val="0"/>
      <w:marRight w:val="0"/>
      <w:marTop w:val="0"/>
      <w:marBottom w:val="0"/>
      <w:divBdr>
        <w:top w:val="none" w:sz="0" w:space="0" w:color="auto"/>
        <w:left w:val="none" w:sz="0" w:space="0" w:color="auto"/>
        <w:bottom w:val="none" w:sz="0" w:space="0" w:color="auto"/>
        <w:right w:val="none" w:sz="0" w:space="0" w:color="auto"/>
      </w:divBdr>
    </w:div>
    <w:div w:id="301665200">
      <w:bodyDiv w:val="1"/>
      <w:marLeft w:val="0"/>
      <w:marRight w:val="0"/>
      <w:marTop w:val="0"/>
      <w:marBottom w:val="0"/>
      <w:divBdr>
        <w:top w:val="none" w:sz="0" w:space="0" w:color="auto"/>
        <w:left w:val="none" w:sz="0" w:space="0" w:color="auto"/>
        <w:bottom w:val="none" w:sz="0" w:space="0" w:color="auto"/>
        <w:right w:val="none" w:sz="0" w:space="0" w:color="auto"/>
      </w:divBdr>
    </w:div>
    <w:div w:id="302346287">
      <w:bodyDiv w:val="1"/>
      <w:marLeft w:val="0"/>
      <w:marRight w:val="0"/>
      <w:marTop w:val="0"/>
      <w:marBottom w:val="0"/>
      <w:divBdr>
        <w:top w:val="none" w:sz="0" w:space="0" w:color="auto"/>
        <w:left w:val="none" w:sz="0" w:space="0" w:color="auto"/>
        <w:bottom w:val="none" w:sz="0" w:space="0" w:color="auto"/>
        <w:right w:val="none" w:sz="0" w:space="0" w:color="auto"/>
      </w:divBdr>
    </w:div>
    <w:div w:id="302589507">
      <w:bodyDiv w:val="1"/>
      <w:marLeft w:val="0"/>
      <w:marRight w:val="0"/>
      <w:marTop w:val="0"/>
      <w:marBottom w:val="0"/>
      <w:divBdr>
        <w:top w:val="none" w:sz="0" w:space="0" w:color="auto"/>
        <w:left w:val="none" w:sz="0" w:space="0" w:color="auto"/>
        <w:bottom w:val="none" w:sz="0" w:space="0" w:color="auto"/>
        <w:right w:val="none" w:sz="0" w:space="0" w:color="auto"/>
      </w:divBdr>
    </w:div>
    <w:div w:id="302733070">
      <w:bodyDiv w:val="1"/>
      <w:marLeft w:val="0"/>
      <w:marRight w:val="0"/>
      <w:marTop w:val="0"/>
      <w:marBottom w:val="0"/>
      <w:divBdr>
        <w:top w:val="none" w:sz="0" w:space="0" w:color="auto"/>
        <w:left w:val="none" w:sz="0" w:space="0" w:color="auto"/>
        <w:bottom w:val="none" w:sz="0" w:space="0" w:color="auto"/>
        <w:right w:val="none" w:sz="0" w:space="0" w:color="auto"/>
      </w:divBdr>
    </w:div>
    <w:div w:id="302782031">
      <w:bodyDiv w:val="1"/>
      <w:marLeft w:val="0"/>
      <w:marRight w:val="0"/>
      <w:marTop w:val="0"/>
      <w:marBottom w:val="0"/>
      <w:divBdr>
        <w:top w:val="none" w:sz="0" w:space="0" w:color="auto"/>
        <w:left w:val="none" w:sz="0" w:space="0" w:color="auto"/>
        <w:bottom w:val="none" w:sz="0" w:space="0" w:color="auto"/>
        <w:right w:val="none" w:sz="0" w:space="0" w:color="auto"/>
      </w:divBdr>
    </w:div>
    <w:div w:id="303002406">
      <w:bodyDiv w:val="1"/>
      <w:marLeft w:val="0"/>
      <w:marRight w:val="0"/>
      <w:marTop w:val="0"/>
      <w:marBottom w:val="0"/>
      <w:divBdr>
        <w:top w:val="none" w:sz="0" w:space="0" w:color="auto"/>
        <w:left w:val="none" w:sz="0" w:space="0" w:color="auto"/>
        <w:bottom w:val="none" w:sz="0" w:space="0" w:color="auto"/>
        <w:right w:val="none" w:sz="0" w:space="0" w:color="auto"/>
      </w:divBdr>
    </w:div>
    <w:div w:id="303509082">
      <w:bodyDiv w:val="1"/>
      <w:marLeft w:val="0"/>
      <w:marRight w:val="0"/>
      <w:marTop w:val="0"/>
      <w:marBottom w:val="0"/>
      <w:divBdr>
        <w:top w:val="none" w:sz="0" w:space="0" w:color="auto"/>
        <w:left w:val="none" w:sz="0" w:space="0" w:color="auto"/>
        <w:bottom w:val="none" w:sz="0" w:space="0" w:color="auto"/>
        <w:right w:val="none" w:sz="0" w:space="0" w:color="auto"/>
      </w:divBdr>
    </w:div>
    <w:div w:id="304088516">
      <w:bodyDiv w:val="1"/>
      <w:marLeft w:val="0"/>
      <w:marRight w:val="0"/>
      <w:marTop w:val="0"/>
      <w:marBottom w:val="0"/>
      <w:divBdr>
        <w:top w:val="none" w:sz="0" w:space="0" w:color="auto"/>
        <w:left w:val="none" w:sz="0" w:space="0" w:color="auto"/>
        <w:bottom w:val="none" w:sz="0" w:space="0" w:color="auto"/>
        <w:right w:val="none" w:sz="0" w:space="0" w:color="auto"/>
      </w:divBdr>
    </w:div>
    <w:div w:id="304238447">
      <w:bodyDiv w:val="1"/>
      <w:marLeft w:val="0"/>
      <w:marRight w:val="0"/>
      <w:marTop w:val="0"/>
      <w:marBottom w:val="0"/>
      <w:divBdr>
        <w:top w:val="none" w:sz="0" w:space="0" w:color="auto"/>
        <w:left w:val="none" w:sz="0" w:space="0" w:color="auto"/>
        <w:bottom w:val="none" w:sz="0" w:space="0" w:color="auto"/>
        <w:right w:val="none" w:sz="0" w:space="0" w:color="auto"/>
      </w:divBdr>
    </w:div>
    <w:div w:id="304357037">
      <w:bodyDiv w:val="1"/>
      <w:marLeft w:val="0"/>
      <w:marRight w:val="0"/>
      <w:marTop w:val="0"/>
      <w:marBottom w:val="0"/>
      <w:divBdr>
        <w:top w:val="none" w:sz="0" w:space="0" w:color="auto"/>
        <w:left w:val="none" w:sz="0" w:space="0" w:color="auto"/>
        <w:bottom w:val="none" w:sz="0" w:space="0" w:color="auto"/>
        <w:right w:val="none" w:sz="0" w:space="0" w:color="auto"/>
      </w:divBdr>
    </w:div>
    <w:div w:id="304743131">
      <w:bodyDiv w:val="1"/>
      <w:marLeft w:val="0"/>
      <w:marRight w:val="0"/>
      <w:marTop w:val="0"/>
      <w:marBottom w:val="0"/>
      <w:divBdr>
        <w:top w:val="none" w:sz="0" w:space="0" w:color="auto"/>
        <w:left w:val="none" w:sz="0" w:space="0" w:color="auto"/>
        <w:bottom w:val="none" w:sz="0" w:space="0" w:color="auto"/>
        <w:right w:val="none" w:sz="0" w:space="0" w:color="auto"/>
      </w:divBdr>
    </w:div>
    <w:div w:id="306009588">
      <w:bodyDiv w:val="1"/>
      <w:marLeft w:val="0"/>
      <w:marRight w:val="0"/>
      <w:marTop w:val="0"/>
      <w:marBottom w:val="0"/>
      <w:divBdr>
        <w:top w:val="none" w:sz="0" w:space="0" w:color="auto"/>
        <w:left w:val="none" w:sz="0" w:space="0" w:color="auto"/>
        <w:bottom w:val="none" w:sz="0" w:space="0" w:color="auto"/>
        <w:right w:val="none" w:sz="0" w:space="0" w:color="auto"/>
      </w:divBdr>
    </w:div>
    <w:div w:id="307898336">
      <w:bodyDiv w:val="1"/>
      <w:marLeft w:val="0"/>
      <w:marRight w:val="0"/>
      <w:marTop w:val="0"/>
      <w:marBottom w:val="0"/>
      <w:divBdr>
        <w:top w:val="none" w:sz="0" w:space="0" w:color="auto"/>
        <w:left w:val="none" w:sz="0" w:space="0" w:color="auto"/>
        <w:bottom w:val="none" w:sz="0" w:space="0" w:color="auto"/>
        <w:right w:val="none" w:sz="0" w:space="0" w:color="auto"/>
      </w:divBdr>
    </w:div>
    <w:div w:id="308175272">
      <w:bodyDiv w:val="1"/>
      <w:marLeft w:val="0"/>
      <w:marRight w:val="0"/>
      <w:marTop w:val="0"/>
      <w:marBottom w:val="0"/>
      <w:divBdr>
        <w:top w:val="none" w:sz="0" w:space="0" w:color="auto"/>
        <w:left w:val="none" w:sz="0" w:space="0" w:color="auto"/>
        <w:bottom w:val="none" w:sz="0" w:space="0" w:color="auto"/>
        <w:right w:val="none" w:sz="0" w:space="0" w:color="auto"/>
      </w:divBdr>
    </w:div>
    <w:div w:id="308482415">
      <w:bodyDiv w:val="1"/>
      <w:marLeft w:val="0"/>
      <w:marRight w:val="0"/>
      <w:marTop w:val="0"/>
      <w:marBottom w:val="0"/>
      <w:divBdr>
        <w:top w:val="none" w:sz="0" w:space="0" w:color="auto"/>
        <w:left w:val="none" w:sz="0" w:space="0" w:color="auto"/>
        <w:bottom w:val="none" w:sz="0" w:space="0" w:color="auto"/>
        <w:right w:val="none" w:sz="0" w:space="0" w:color="auto"/>
      </w:divBdr>
    </w:div>
    <w:div w:id="308674586">
      <w:bodyDiv w:val="1"/>
      <w:marLeft w:val="0"/>
      <w:marRight w:val="0"/>
      <w:marTop w:val="0"/>
      <w:marBottom w:val="0"/>
      <w:divBdr>
        <w:top w:val="none" w:sz="0" w:space="0" w:color="auto"/>
        <w:left w:val="none" w:sz="0" w:space="0" w:color="auto"/>
        <w:bottom w:val="none" w:sz="0" w:space="0" w:color="auto"/>
        <w:right w:val="none" w:sz="0" w:space="0" w:color="auto"/>
      </w:divBdr>
    </w:div>
    <w:div w:id="308901386">
      <w:bodyDiv w:val="1"/>
      <w:marLeft w:val="0"/>
      <w:marRight w:val="0"/>
      <w:marTop w:val="0"/>
      <w:marBottom w:val="0"/>
      <w:divBdr>
        <w:top w:val="none" w:sz="0" w:space="0" w:color="auto"/>
        <w:left w:val="none" w:sz="0" w:space="0" w:color="auto"/>
        <w:bottom w:val="none" w:sz="0" w:space="0" w:color="auto"/>
        <w:right w:val="none" w:sz="0" w:space="0" w:color="auto"/>
      </w:divBdr>
    </w:div>
    <w:div w:id="309096849">
      <w:bodyDiv w:val="1"/>
      <w:marLeft w:val="0"/>
      <w:marRight w:val="0"/>
      <w:marTop w:val="0"/>
      <w:marBottom w:val="0"/>
      <w:divBdr>
        <w:top w:val="none" w:sz="0" w:space="0" w:color="auto"/>
        <w:left w:val="none" w:sz="0" w:space="0" w:color="auto"/>
        <w:bottom w:val="none" w:sz="0" w:space="0" w:color="auto"/>
        <w:right w:val="none" w:sz="0" w:space="0" w:color="auto"/>
      </w:divBdr>
    </w:div>
    <w:div w:id="309139074">
      <w:bodyDiv w:val="1"/>
      <w:marLeft w:val="0"/>
      <w:marRight w:val="0"/>
      <w:marTop w:val="0"/>
      <w:marBottom w:val="0"/>
      <w:divBdr>
        <w:top w:val="none" w:sz="0" w:space="0" w:color="auto"/>
        <w:left w:val="none" w:sz="0" w:space="0" w:color="auto"/>
        <w:bottom w:val="none" w:sz="0" w:space="0" w:color="auto"/>
        <w:right w:val="none" w:sz="0" w:space="0" w:color="auto"/>
      </w:divBdr>
    </w:div>
    <w:div w:id="309290831">
      <w:bodyDiv w:val="1"/>
      <w:marLeft w:val="0"/>
      <w:marRight w:val="0"/>
      <w:marTop w:val="0"/>
      <w:marBottom w:val="0"/>
      <w:divBdr>
        <w:top w:val="none" w:sz="0" w:space="0" w:color="auto"/>
        <w:left w:val="none" w:sz="0" w:space="0" w:color="auto"/>
        <w:bottom w:val="none" w:sz="0" w:space="0" w:color="auto"/>
        <w:right w:val="none" w:sz="0" w:space="0" w:color="auto"/>
      </w:divBdr>
    </w:div>
    <w:div w:id="309403163">
      <w:bodyDiv w:val="1"/>
      <w:marLeft w:val="0"/>
      <w:marRight w:val="0"/>
      <w:marTop w:val="0"/>
      <w:marBottom w:val="0"/>
      <w:divBdr>
        <w:top w:val="none" w:sz="0" w:space="0" w:color="auto"/>
        <w:left w:val="none" w:sz="0" w:space="0" w:color="auto"/>
        <w:bottom w:val="none" w:sz="0" w:space="0" w:color="auto"/>
        <w:right w:val="none" w:sz="0" w:space="0" w:color="auto"/>
      </w:divBdr>
    </w:div>
    <w:div w:id="309604329">
      <w:bodyDiv w:val="1"/>
      <w:marLeft w:val="0"/>
      <w:marRight w:val="0"/>
      <w:marTop w:val="0"/>
      <w:marBottom w:val="0"/>
      <w:divBdr>
        <w:top w:val="none" w:sz="0" w:space="0" w:color="auto"/>
        <w:left w:val="none" w:sz="0" w:space="0" w:color="auto"/>
        <w:bottom w:val="none" w:sz="0" w:space="0" w:color="auto"/>
        <w:right w:val="none" w:sz="0" w:space="0" w:color="auto"/>
      </w:divBdr>
    </w:div>
    <w:div w:id="310211322">
      <w:bodyDiv w:val="1"/>
      <w:marLeft w:val="0"/>
      <w:marRight w:val="0"/>
      <w:marTop w:val="0"/>
      <w:marBottom w:val="0"/>
      <w:divBdr>
        <w:top w:val="none" w:sz="0" w:space="0" w:color="auto"/>
        <w:left w:val="none" w:sz="0" w:space="0" w:color="auto"/>
        <w:bottom w:val="none" w:sz="0" w:space="0" w:color="auto"/>
        <w:right w:val="none" w:sz="0" w:space="0" w:color="auto"/>
      </w:divBdr>
    </w:div>
    <w:div w:id="310602597">
      <w:bodyDiv w:val="1"/>
      <w:marLeft w:val="0"/>
      <w:marRight w:val="0"/>
      <w:marTop w:val="0"/>
      <w:marBottom w:val="0"/>
      <w:divBdr>
        <w:top w:val="none" w:sz="0" w:space="0" w:color="auto"/>
        <w:left w:val="none" w:sz="0" w:space="0" w:color="auto"/>
        <w:bottom w:val="none" w:sz="0" w:space="0" w:color="auto"/>
        <w:right w:val="none" w:sz="0" w:space="0" w:color="auto"/>
      </w:divBdr>
    </w:div>
    <w:div w:id="310645089">
      <w:bodyDiv w:val="1"/>
      <w:marLeft w:val="0"/>
      <w:marRight w:val="0"/>
      <w:marTop w:val="0"/>
      <w:marBottom w:val="0"/>
      <w:divBdr>
        <w:top w:val="none" w:sz="0" w:space="0" w:color="auto"/>
        <w:left w:val="none" w:sz="0" w:space="0" w:color="auto"/>
        <w:bottom w:val="none" w:sz="0" w:space="0" w:color="auto"/>
        <w:right w:val="none" w:sz="0" w:space="0" w:color="auto"/>
      </w:divBdr>
    </w:div>
    <w:div w:id="311255101">
      <w:bodyDiv w:val="1"/>
      <w:marLeft w:val="0"/>
      <w:marRight w:val="0"/>
      <w:marTop w:val="0"/>
      <w:marBottom w:val="0"/>
      <w:divBdr>
        <w:top w:val="none" w:sz="0" w:space="0" w:color="auto"/>
        <w:left w:val="none" w:sz="0" w:space="0" w:color="auto"/>
        <w:bottom w:val="none" w:sz="0" w:space="0" w:color="auto"/>
        <w:right w:val="none" w:sz="0" w:space="0" w:color="auto"/>
      </w:divBdr>
    </w:div>
    <w:div w:id="311449630">
      <w:bodyDiv w:val="1"/>
      <w:marLeft w:val="0"/>
      <w:marRight w:val="0"/>
      <w:marTop w:val="0"/>
      <w:marBottom w:val="0"/>
      <w:divBdr>
        <w:top w:val="none" w:sz="0" w:space="0" w:color="auto"/>
        <w:left w:val="none" w:sz="0" w:space="0" w:color="auto"/>
        <w:bottom w:val="none" w:sz="0" w:space="0" w:color="auto"/>
        <w:right w:val="none" w:sz="0" w:space="0" w:color="auto"/>
      </w:divBdr>
    </w:div>
    <w:div w:id="311570198">
      <w:bodyDiv w:val="1"/>
      <w:marLeft w:val="0"/>
      <w:marRight w:val="0"/>
      <w:marTop w:val="0"/>
      <w:marBottom w:val="0"/>
      <w:divBdr>
        <w:top w:val="none" w:sz="0" w:space="0" w:color="auto"/>
        <w:left w:val="none" w:sz="0" w:space="0" w:color="auto"/>
        <w:bottom w:val="none" w:sz="0" w:space="0" w:color="auto"/>
        <w:right w:val="none" w:sz="0" w:space="0" w:color="auto"/>
      </w:divBdr>
    </w:div>
    <w:div w:id="312025638">
      <w:bodyDiv w:val="1"/>
      <w:marLeft w:val="0"/>
      <w:marRight w:val="0"/>
      <w:marTop w:val="0"/>
      <w:marBottom w:val="0"/>
      <w:divBdr>
        <w:top w:val="none" w:sz="0" w:space="0" w:color="auto"/>
        <w:left w:val="none" w:sz="0" w:space="0" w:color="auto"/>
        <w:bottom w:val="none" w:sz="0" w:space="0" w:color="auto"/>
        <w:right w:val="none" w:sz="0" w:space="0" w:color="auto"/>
      </w:divBdr>
    </w:div>
    <w:div w:id="313143012">
      <w:bodyDiv w:val="1"/>
      <w:marLeft w:val="0"/>
      <w:marRight w:val="0"/>
      <w:marTop w:val="0"/>
      <w:marBottom w:val="0"/>
      <w:divBdr>
        <w:top w:val="none" w:sz="0" w:space="0" w:color="auto"/>
        <w:left w:val="none" w:sz="0" w:space="0" w:color="auto"/>
        <w:bottom w:val="none" w:sz="0" w:space="0" w:color="auto"/>
        <w:right w:val="none" w:sz="0" w:space="0" w:color="auto"/>
      </w:divBdr>
    </w:div>
    <w:div w:id="313527135">
      <w:bodyDiv w:val="1"/>
      <w:marLeft w:val="0"/>
      <w:marRight w:val="0"/>
      <w:marTop w:val="0"/>
      <w:marBottom w:val="0"/>
      <w:divBdr>
        <w:top w:val="none" w:sz="0" w:space="0" w:color="auto"/>
        <w:left w:val="none" w:sz="0" w:space="0" w:color="auto"/>
        <w:bottom w:val="none" w:sz="0" w:space="0" w:color="auto"/>
        <w:right w:val="none" w:sz="0" w:space="0" w:color="auto"/>
      </w:divBdr>
    </w:div>
    <w:div w:id="313721674">
      <w:bodyDiv w:val="1"/>
      <w:marLeft w:val="0"/>
      <w:marRight w:val="0"/>
      <w:marTop w:val="0"/>
      <w:marBottom w:val="0"/>
      <w:divBdr>
        <w:top w:val="none" w:sz="0" w:space="0" w:color="auto"/>
        <w:left w:val="none" w:sz="0" w:space="0" w:color="auto"/>
        <w:bottom w:val="none" w:sz="0" w:space="0" w:color="auto"/>
        <w:right w:val="none" w:sz="0" w:space="0" w:color="auto"/>
      </w:divBdr>
    </w:div>
    <w:div w:id="313873679">
      <w:bodyDiv w:val="1"/>
      <w:marLeft w:val="0"/>
      <w:marRight w:val="0"/>
      <w:marTop w:val="0"/>
      <w:marBottom w:val="0"/>
      <w:divBdr>
        <w:top w:val="none" w:sz="0" w:space="0" w:color="auto"/>
        <w:left w:val="none" w:sz="0" w:space="0" w:color="auto"/>
        <w:bottom w:val="none" w:sz="0" w:space="0" w:color="auto"/>
        <w:right w:val="none" w:sz="0" w:space="0" w:color="auto"/>
      </w:divBdr>
    </w:div>
    <w:div w:id="314143491">
      <w:bodyDiv w:val="1"/>
      <w:marLeft w:val="0"/>
      <w:marRight w:val="0"/>
      <w:marTop w:val="0"/>
      <w:marBottom w:val="0"/>
      <w:divBdr>
        <w:top w:val="none" w:sz="0" w:space="0" w:color="auto"/>
        <w:left w:val="none" w:sz="0" w:space="0" w:color="auto"/>
        <w:bottom w:val="none" w:sz="0" w:space="0" w:color="auto"/>
        <w:right w:val="none" w:sz="0" w:space="0" w:color="auto"/>
      </w:divBdr>
    </w:div>
    <w:div w:id="314187964">
      <w:bodyDiv w:val="1"/>
      <w:marLeft w:val="0"/>
      <w:marRight w:val="0"/>
      <w:marTop w:val="0"/>
      <w:marBottom w:val="0"/>
      <w:divBdr>
        <w:top w:val="none" w:sz="0" w:space="0" w:color="auto"/>
        <w:left w:val="none" w:sz="0" w:space="0" w:color="auto"/>
        <w:bottom w:val="none" w:sz="0" w:space="0" w:color="auto"/>
        <w:right w:val="none" w:sz="0" w:space="0" w:color="auto"/>
      </w:divBdr>
    </w:div>
    <w:div w:id="314259836">
      <w:bodyDiv w:val="1"/>
      <w:marLeft w:val="0"/>
      <w:marRight w:val="0"/>
      <w:marTop w:val="0"/>
      <w:marBottom w:val="0"/>
      <w:divBdr>
        <w:top w:val="none" w:sz="0" w:space="0" w:color="auto"/>
        <w:left w:val="none" w:sz="0" w:space="0" w:color="auto"/>
        <w:bottom w:val="none" w:sz="0" w:space="0" w:color="auto"/>
        <w:right w:val="none" w:sz="0" w:space="0" w:color="auto"/>
      </w:divBdr>
    </w:div>
    <w:div w:id="314796366">
      <w:bodyDiv w:val="1"/>
      <w:marLeft w:val="0"/>
      <w:marRight w:val="0"/>
      <w:marTop w:val="0"/>
      <w:marBottom w:val="0"/>
      <w:divBdr>
        <w:top w:val="none" w:sz="0" w:space="0" w:color="auto"/>
        <w:left w:val="none" w:sz="0" w:space="0" w:color="auto"/>
        <w:bottom w:val="none" w:sz="0" w:space="0" w:color="auto"/>
        <w:right w:val="none" w:sz="0" w:space="0" w:color="auto"/>
      </w:divBdr>
    </w:div>
    <w:div w:id="315257440">
      <w:bodyDiv w:val="1"/>
      <w:marLeft w:val="0"/>
      <w:marRight w:val="0"/>
      <w:marTop w:val="0"/>
      <w:marBottom w:val="0"/>
      <w:divBdr>
        <w:top w:val="none" w:sz="0" w:space="0" w:color="auto"/>
        <w:left w:val="none" w:sz="0" w:space="0" w:color="auto"/>
        <w:bottom w:val="none" w:sz="0" w:space="0" w:color="auto"/>
        <w:right w:val="none" w:sz="0" w:space="0" w:color="auto"/>
      </w:divBdr>
    </w:div>
    <w:div w:id="315260891">
      <w:bodyDiv w:val="1"/>
      <w:marLeft w:val="0"/>
      <w:marRight w:val="0"/>
      <w:marTop w:val="0"/>
      <w:marBottom w:val="0"/>
      <w:divBdr>
        <w:top w:val="none" w:sz="0" w:space="0" w:color="auto"/>
        <w:left w:val="none" w:sz="0" w:space="0" w:color="auto"/>
        <w:bottom w:val="none" w:sz="0" w:space="0" w:color="auto"/>
        <w:right w:val="none" w:sz="0" w:space="0" w:color="auto"/>
      </w:divBdr>
    </w:div>
    <w:div w:id="315456828">
      <w:bodyDiv w:val="1"/>
      <w:marLeft w:val="0"/>
      <w:marRight w:val="0"/>
      <w:marTop w:val="0"/>
      <w:marBottom w:val="0"/>
      <w:divBdr>
        <w:top w:val="none" w:sz="0" w:space="0" w:color="auto"/>
        <w:left w:val="none" w:sz="0" w:space="0" w:color="auto"/>
        <w:bottom w:val="none" w:sz="0" w:space="0" w:color="auto"/>
        <w:right w:val="none" w:sz="0" w:space="0" w:color="auto"/>
      </w:divBdr>
    </w:div>
    <w:div w:id="315653130">
      <w:bodyDiv w:val="1"/>
      <w:marLeft w:val="0"/>
      <w:marRight w:val="0"/>
      <w:marTop w:val="0"/>
      <w:marBottom w:val="0"/>
      <w:divBdr>
        <w:top w:val="none" w:sz="0" w:space="0" w:color="auto"/>
        <w:left w:val="none" w:sz="0" w:space="0" w:color="auto"/>
        <w:bottom w:val="none" w:sz="0" w:space="0" w:color="auto"/>
        <w:right w:val="none" w:sz="0" w:space="0" w:color="auto"/>
      </w:divBdr>
    </w:div>
    <w:div w:id="315838489">
      <w:bodyDiv w:val="1"/>
      <w:marLeft w:val="0"/>
      <w:marRight w:val="0"/>
      <w:marTop w:val="0"/>
      <w:marBottom w:val="0"/>
      <w:divBdr>
        <w:top w:val="none" w:sz="0" w:space="0" w:color="auto"/>
        <w:left w:val="none" w:sz="0" w:space="0" w:color="auto"/>
        <w:bottom w:val="none" w:sz="0" w:space="0" w:color="auto"/>
        <w:right w:val="none" w:sz="0" w:space="0" w:color="auto"/>
      </w:divBdr>
    </w:div>
    <w:div w:id="315913852">
      <w:bodyDiv w:val="1"/>
      <w:marLeft w:val="0"/>
      <w:marRight w:val="0"/>
      <w:marTop w:val="0"/>
      <w:marBottom w:val="0"/>
      <w:divBdr>
        <w:top w:val="none" w:sz="0" w:space="0" w:color="auto"/>
        <w:left w:val="none" w:sz="0" w:space="0" w:color="auto"/>
        <w:bottom w:val="none" w:sz="0" w:space="0" w:color="auto"/>
        <w:right w:val="none" w:sz="0" w:space="0" w:color="auto"/>
      </w:divBdr>
    </w:div>
    <w:div w:id="316425885">
      <w:bodyDiv w:val="1"/>
      <w:marLeft w:val="0"/>
      <w:marRight w:val="0"/>
      <w:marTop w:val="0"/>
      <w:marBottom w:val="0"/>
      <w:divBdr>
        <w:top w:val="none" w:sz="0" w:space="0" w:color="auto"/>
        <w:left w:val="none" w:sz="0" w:space="0" w:color="auto"/>
        <w:bottom w:val="none" w:sz="0" w:space="0" w:color="auto"/>
        <w:right w:val="none" w:sz="0" w:space="0" w:color="auto"/>
      </w:divBdr>
    </w:div>
    <w:div w:id="316540537">
      <w:bodyDiv w:val="1"/>
      <w:marLeft w:val="0"/>
      <w:marRight w:val="0"/>
      <w:marTop w:val="0"/>
      <w:marBottom w:val="0"/>
      <w:divBdr>
        <w:top w:val="none" w:sz="0" w:space="0" w:color="auto"/>
        <w:left w:val="none" w:sz="0" w:space="0" w:color="auto"/>
        <w:bottom w:val="none" w:sz="0" w:space="0" w:color="auto"/>
        <w:right w:val="none" w:sz="0" w:space="0" w:color="auto"/>
      </w:divBdr>
    </w:div>
    <w:div w:id="316885143">
      <w:bodyDiv w:val="1"/>
      <w:marLeft w:val="0"/>
      <w:marRight w:val="0"/>
      <w:marTop w:val="0"/>
      <w:marBottom w:val="0"/>
      <w:divBdr>
        <w:top w:val="none" w:sz="0" w:space="0" w:color="auto"/>
        <w:left w:val="none" w:sz="0" w:space="0" w:color="auto"/>
        <w:bottom w:val="none" w:sz="0" w:space="0" w:color="auto"/>
        <w:right w:val="none" w:sz="0" w:space="0" w:color="auto"/>
      </w:divBdr>
    </w:div>
    <w:div w:id="317072960">
      <w:bodyDiv w:val="1"/>
      <w:marLeft w:val="0"/>
      <w:marRight w:val="0"/>
      <w:marTop w:val="0"/>
      <w:marBottom w:val="0"/>
      <w:divBdr>
        <w:top w:val="none" w:sz="0" w:space="0" w:color="auto"/>
        <w:left w:val="none" w:sz="0" w:space="0" w:color="auto"/>
        <w:bottom w:val="none" w:sz="0" w:space="0" w:color="auto"/>
        <w:right w:val="none" w:sz="0" w:space="0" w:color="auto"/>
      </w:divBdr>
    </w:div>
    <w:div w:id="317077195">
      <w:bodyDiv w:val="1"/>
      <w:marLeft w:val="0"/>
      <w:marRight w:val="0"/>
      <w:marTop w:val="0"/>
      <w:marBottom w:val="0"/>
      <w:divBdr>
        <w:top w:val="none" w:sz="0" w:space="0" w:color="auto"/>
        <w:left w:val="none" w:sz="0" w:space="0" w:color="auto"/>
        <w:bottom w:val="none" w:sz="0" w:space="0" w:color="auto"/>
        <w:right w:val="none" w:sz="0" w:space="0" w:color="auto"/>
      </w:divBdr>
    </w:div>
    <w:div w:id="317851060">
      <w:bodyDiv w:val="1"/>
      <w:marLeft w:val="0"/>
      <w:marRight w:val="0"/>
      <w:marTop w:val="0"/>
      <w:marBottom w:val="0"/>
      <w:divBdr>
        <w:top w:val="none" w:sz="0" w:space="0" w:color="auto"/>
        <w:left w:val="none" w:sz="0" w:space="0" w:color="auto"/>
        <w:bottom w:val="none" w:sz="0" w:space="0" w:color="auto"/>
        <w:right w:val="none" w:sz="0" w:space="0" w:color="auto"/>
      </w:divBdr>
    </w:div>
    <w:div w:id="318272430">
      <w:bodyDiv w:val="1"/>
      <w:marLeft w:val="0"/>
      <w:marRight w:val="0"/>
      <w:marTop w:val="0"/>
      <w:marBottom w:val="0"/>
      <w:divBdr>
        <w:top w:val="none" w:sz="0" w:space="0" w:color="auto"/>
        <w:left w:val="none" w:sz="0" w:space="0" w:color="auto"/>
        <w:bottom w:val="none" w:sz="0" w:space="0" w:color="auto"/>
        <w:right w:val="none" w:sz="0" w:space="0" w:color="auto"/>
      </w:divBdr>
    </w:div>
    <w:div w:id="318389104">
      <w:bodyDiv w:val="1"/>
      <w:marLeft w:val="0"/>
      <w:marRight w:val="0"/>
      <w:marTop w:val="0"/>
      <w:marBottom w:val="0"/>
      <w:divBdr>
        <w:top w:val="none" w:sz="0" w:space="0" w:color="auto"/>
        <w:left w:val="none" w:sz="0" w:space="0" w:color="auto"/>
        <w:bottom w:val="none" w:sz="0" w:space="0" w:color="auto"/>
        <w:right w:val="none" w:sz="0" w:space="0" w:color="auto"/>
      </w:divBdr>
    </w:div>
    <w:div w:id="318578195">
      <w:bodyDiv w:val="1"/>
      <w:marLeft w:val="0"/>
      <w:marRight w:val="0"/>
      <w:marTop w:val="0"/>
      <w:marBottom w:val="0"/>
      <w:divBdr>
        <w:top w:val="none" w:sz="0" w:space="0" w:color="auto"/>
        <w:left w:val="none" w:sz="0" w:space="0" w:color="auto"/>
        <w:bottom w:val="none" w:sz="0" w:space="0" w:color="auto"/>
        <w:right w:val="none" w:sz="0" w:space="0" w:color="auto"/>
      </w:divBdr>
    </w:div>
    <w:div w:id="318853184">
      <w:bodyDiv w:val="1"/>
      <w:marLeft w:val="0"/>
      <w:marRight w:val="0"/>
      <w:marTop w:val="0"/>
      <w:marBottom w:val="0"/>
      <w:divBdr>
        <w:top w:val="none" w:sz="0" w:space="0" w:color="auto"/>
        <w:left w:val="none" w:sz="0" w:space="0" w:color="auto"/>
        <w:bottom w:val="none" w:sz="0" w:space="0" w:color="auto"/>
        <w:right w:val="none" w:sz="0" w:space="0" w:color="auto"/>
      </w:divBdr>
    </w:div>
    <w:div w:id="319650436">
      <w:bodyDiv w:val="1"/>
      <w:marLeft w:val="0"/>
      <w:marRight w:val="0"/>
      <w:marTop w:val="0"/>
      <w:marBottom w:val="0"/>
      <w:divBdr>
        <w:top w:val="none" w:sz="0" w:space="0" w:color="auto"/>
        <w:left w:val="none" w:sz="0" w:space="0" w:color="auto"/>
        <w:bottom w:val="none" w:sz="0" w:space="0" w:color="auto"/>
        <w:right w:val="none" w:sz="0" w:space="0" w:color="auto"/>
      </w:divBdr>
    </w:div>
    <w:div w:id="319968434">
      <w:bodyDiv w:val="1"/>
      <w:marLeft w:val="0"/>
      <w:marRight w:val="0"/>
      <w:marTop w:val="0"/>
      <w:marBottom w:val="0"/>
      <w:divBdr>
        <w:top w:val="none" w:sz="0" w:space="0" w:color="auto"/>
        <w:left w:val="none" w:sz="0" w:space="0" w:color="auto"/>
        <w:bottom w:val="none" w:sz="0" w:space="0" w:color="auto"/>
        <w:right w:val="none" w:sz="0" w:space="0" w:color="auto"/>
      </w:divBdr>
    </w:div>
    <w:div w:id="320541745">
      <w:bodyDiv w:val="1"/>
      <w:marLeft w:val="0"/>
      <w:marRight w:val="0"/>
      <w:marTop w:val="0"/>
      <w:marBottom w:val="0"/>
      <w:divBdr>
        <w:top w:val="none" w:sz="0" w:space="0" w:color="auto"/>
        <w:left w:val="none" w:sz="0" w:space="0" w:color="auto"/>
        <w:bottom w:val="none" w:sz="0" w:space="0" w:color="auto"/>
        <w:right w:val="none" w:sz="0" w:space="0" w:color="auto"/>
      </w:divBdr>
    </w:div>
    <w:div w:id="320545661">
      <w:bodyDiv w:val="1"/>
      <w:marLeft w:val="0"/>
      <w:marRight w:val="0"/>
      <w:marTop w:val="0"/>
      <w:marBottom w:val="0"/>
      <w:divBdr>
        <w:top w:val="none" w:sz="0" w:space="0" w:color="auto"/>
        <w:left w:val="none" w:sz="0" w:space="0" w:color="auto"/>
        <w:bottom w:val="none" w:sz="0" w:space="0" w:color="auto"/>
        <w:right w:val="none" w:sz="0" w:space="0" w:color="auto"/>
      </w:divBdr>
    </w:div>
    <w:div w:id="320814405">
      <w:bodyDiv w:val="1"/>
      <w:marLeft w:val="0"/>
      <w:marRight w:val="0"/>
      <w:marTop w:val="0"/>
      <w:marBottom w:val="0"/>
      <w:divBdr>
        <w:top w:val="none" w:sz="0" w:space="0" w:color="auto"/>
        <w:left w:val="none" w:sz="0" w:space="0" w:color="auto"/>
        <w:bottom w:val="none" w:sz="0" w:space="0" w:color="auto"/>
        <w:right w:val="none" w:sz="0" w:space="0" w:color="auto"/>
      </w:divBdr>
    </w:div>
    <w:div w:id="320961743">
      <w:bodyDiv w:val="1"/>
      <w:marLeft w:val="0"/>
      <w:marRight w:val="0"/>
      <w:marTop w:val="0"/>
      <w:marBottom w:val="0"/>
      <w:divBdr>
        <w:top w:val="none" w:sz="0" w:space="0" w:color="auto"/>
        <w:left w:val="none" w:sz="0" w:space="0" w:color="auto"/>
        <w:bottom w:val="none" w:sz="0" w:space="0" w:color="auto"/>
        <w:right w:val="none" w:sz="0" w:space="0" w:color="auto"/>
      </w:divBdr>
    </w:div>
    <w:div w:id="321355559">
      <w:bodyDiv w:val="1"/>
      <w:marLeft w:val="0"/>
      <w:marRight w:val="0"/>
      <w:marTop w:val="0"/>
      <w:marBottom w:val="0"/>
      <w:divBdr>
        <w:top w:val="none" w:sz="0" w:space="0" w:color="auto"/>
        <w:left w:val="none" w:sz="0" w:space="0" w:color="auto"/>
        <w:bottom w:val="none" w:sz="0" w:space="0" w:color="auto"/>
        <w:right w:val="none" w:sz="0" w:space="0" w:color="auto"/>
      </w:divBdr>
    </w:div>
    <w:div w:id="321661394">
      <w:bodyDiv w:val="1"/>
      <w:marLeft w:val="0"/>
      <w:marRight w:val="0"/>
      <w:marTop w:val="0"/>
      <w:marBottom w:val="0"/>
      <w:divBdr>
        <w:top w:val="none" w:sz="0" w:space="0" w:color="auto"/>
        <w:left w:val="none" w:sz="0" w:space="0" w:color="auto"/>
        <w:bottom w:val="none" w:sz="0" w:space="0" w:color="auto"/>
        <w:right w:val="none" w:sz="0" w:space="0" w:color="auto"/>
      </w:divBdr>
    </w:div>
    <w:div w:id="321740191">
      <w:bodyDiv w:val="1"/>
      <w:marLeft w:val="0"/>
      <w:marRight w:val="0"/>
      <w:marTop w:val="0"/>
      <w:marBottom w:val="0"/>
      <w:divBdr>
        <w:top w:val="none" w:sz="0" w:space="0" w:color="auto"/>
        <w:left w:val="none" w:sz="0" w:space="0" w:color="auto"/>
        <w:bottom w:val="none" w:sz="0" w:space="0" w:color="auto"/>
        <w:right w:val="none" w:sz="0" w:space="0" w:color="auto"/>
      </w:divBdr>
    </w:div>
    <w:div w:id="322010545">
      <w:bodyDiv w:val="1"/>
      <w:marLeft w:val="0"/>
      <w:marRight w:val="0"/>
      <w:marTop w:val="0"/>
      <w:marBottom w:val="0"/>
      <w:divBdr>
        <w:top w:val="none" w:sz="0" w:space="0" w:color="auto"/>
        <w:left w:val="none" w:sz="0" w:space="0" w:color="auto"/>
        <w:bottom w:val="none" w:sz="0" w:space="0" w:color="auto"/>
        <w:right w:val="none" w:sz="0" w:space="0" w:color="auto"/>
      </w:divBdr>
    </w:div>
    <w:div w:id="322708515">
      <w:bodyDiv w:val="1"/>
      <w:marLeft w:val="0"/>
      <w:marRight w:val="0"/>
      <w:marTop w:val="0"/>
      <w:marBottom w:val="0"/>
      <w:divBdr>
        <w:top w:val="none" w:sz="0" w:space="0" w:color="auto"/>
        <w:left w:val="none" w:sz="0" w:space="0" w:color="auto"/>
        <w:bottom w:val="none" w:sz="0" w:space="0" w:color="auto"/>
        <w:right w:val="none" w:sz="0" w:space="0" w:color="auto"/>
      </w:divBdr>
    </w:div>
    <w:div w:id="322709807">
      <w:bodyDiv w:val="1"/>
      <w:marLeft w:val="0"/>
      <w:marRight w:val="0"/>
      <w:marTop w:val="0"/>
      <w:marBottom w:val="0"/>
      <w:divBdr>
        <w:top w:val="none" w:sz="0" w:space="0" w:color="auto"/>
        <w:left w:val="none" w:sz="0" w:space="0" w:color="auto"/>
        <w:bottom w:val="none" w:sz="0" w:space="0" w:color="auto"/>
        <w:right w:val="none" w:sz="0" w:space="0" w:color="auto"/>
      </w:divBdr>
    </w:div>
    <w:div w:id="322902974">
      <w:bodyDiv w:val="1"/>
      <w:marLeft w:val="0"/>
      <w:marRight w:val="0"/>
      <w:marTop w:val="0"/>
      <w:marBottom w:val="0"/>
      <w:divBdr>
        <w:top w:val="none" w:sz="0" w:space="0" w:color="auto"/>
        <w:left w:val="none" w:sz="0" w:space="0" w:color="auto"/>
        <w:bottom w:val="none" w:sz="0" w:space="0" w:color="auto"/>
        <w:right w:val="none" w:sz="0" w:space="0" w:color="auto"/>
      </w:divBdr>
    </w:div>
    <w:div w:id="323169727">
      <w:bodyDiv w:val="1"/>
      <w:marLeft w:val="0"/>
      <w:marRight w:val="0"/>
      <w:marTop w:val="0"/>
      <w:marBottom w:val="0"/>
      <w:divBdr>
        <w:top w:val="none" w:sz="0" w:space="0" w:color="auto"/>
        <w:left w:val="none" w:sz="0" w:space="0" w:color="auto"/>
        <w:bottom w:val="none" w:sz="0" w:space="0" w:color="auto"/>
        <w:right w:val="none" w:sz="0" w:space="0" w:color="auto"/>
      </w:divBdr>
    </w:div>
    <w:div w:id="323365568">
      <w:bodyDiv w:val="1"/>
      <w:marLeft w:val="0"/>
      <w:marRight w:val="0"/>
      <w:marTop w:val="0"/>
      <w:marBottom w:val="0"/>
      <w:divBdr>
        <w:top w:val="none" w:sz="0" w:space="0" w:color="auto"/>
        <w:left w:val="none" w:sz="0" w:space="0" w:color="auto"/>
        <w:bottom w:val="none" w:sz="0" w:space="0" w:color="auto"/>
        <w:right w:val="none" w:sz="0" w:space="0" w:color="auto"/>
      </w:divBdr>
    </w:div>
    <w:div w:id="323630674">
      <w:bodyDiv w:val="1"/>
      <w:marLeft w:val="0"/>
      <w:marRight w:val="0"/>
      <w:marTop w:val="0"/>
      <w:marBottom w:val="0"/>
      <w:divBdr>
        <w:top w:val="none" w:sz="0" w:space="0" w:color="auto"/>
        <w:left w:val="none" w:sz="0" w:space="0" w:color="auto"/>
        <w:bottom w:val="none" w:sz="0" w:space="0" w:color="auto"/>
        <w:right w:val="none" w:sz="0" w:space="0" w:color="auto"/>
      </w:divBdr>
    </w:div>
    <w:div w:id="324091085">
      <w:bodyDiv w:val="1"/>
      <w:marLeft w:val="0"/>
      <w:marRight w:val="0"/>
      <w:marTop w:val="0"/>
      <w:marBottom w:val="0"/>
      <w:divBdr>
        <w:top w:val="none" w:sz="0" w:space="0" w:color="auto"/>
        <w:left w:val="none" w:sz="0" w:space="0" w:color="auto"/>
        <w:bottom w:val="none" w:sz="0" w:space="0" w:color="auto"/>
        <w:right w:val="none" w:sz="0" w:space="0" w:color="auto"/>
      </w:divBdr>
    </w:div>
    <w:div w:id="324406263">
      <w:bodyDiv w:val="1"/>
      <w:marLeft w:val="0"/>
      <w:marRight w:val="0"/>
      <w:marTop w:val="0"/>
      <w:marBottom w:val="0"/>
      <w:divBdr>
        <w:top w:val="none" w:sz="0" w:space="0" w:color="auto"/>
        <w:left w:val="none" w:sz="0" w:space="0" w:color="auto"/>
        <w:bottom w:val="none" w:sz="0" w:space="0" w:color="auto"/>
        <w:right w:val="none" w:sz="0" w:space="0" w:color="auto"/>
      </w:divBdr>
    </w:div>
    <w:div w:id="324630208">
      <w:bodyDiv w:val="1"/>
      <w:marLeft w:val="0"/>
      <w:marRight w:val="0"/>
      <w:marTop w:val="0"/>
      <w:marBottom w:val="0"/>
      <w:divBdr>
        <w:top w:val="none" w:sz="0" w:space="0" w:color="auto"/>
        <w:left w:val="none" w:sz="0" w:space="0" w:color="auto"/>
        <w:bottom w:val="none" w:sz="0" w:space="0" w:color="auto"/>
        <w:right w:val="none" w:sz="0" w:space="0" w:color="auto"/>
      </w:divBdr>
    </w:div>
    <w:div w:id="324869269">
      <w:bodyDiv w:val="1"/>
      <w:marLeft w:val="0"/>
      <w:marRight w:val="0"/>
      <w:marTop w:val="0"/>
      <w:marBottom w:val="0"/>
      <w:divBdr>
        <w:top w:val="none" w:sz="0" w:space="0" w:color="auto"/>
        <w:left w:val="none" w:sz="0" w:space="0" w:color="auto"/>
        <w:bottom w:val="none" w:sz="0" w:space="0" w:color="auto"/>
        <w:right w:val="none" w:sz="0" w:space="0" w:color="auto"/>
      </w:divBdr>
    </w:div>
    <w:div w:id="325011964">
      <w:bodyDiv w:val="1"/>
      <w:marLeft w:val="0"/>
      <w:marRight w:val="0"/>
      <w:marTop w:val="0"/>
      <w:marBottom w:val="0"/>
      <w:divBdr>
        <w:top w:val="none" w:sz="0" w:space="0" w:color="auto"/>
        <w:left w:val="none" w:sz="0" w:space="0" w:color="auto"/>
        <w:bottom w:val="none" w:sz="0" w:space="0" w:color="auto"/>
        <w:right w:val="none" w:sz="0" w:space="0" w:color="auto"/>
      </w:divBdr>
    </w:div>
    <w:div w:id="325135445">
      <w:bodyDiv w:val="1"/>
      <w:marLeft w:val="0"/>
      <w:marRight w:val="0"/>
      <w:marTop w:val="0"/>
      <w:marBottom w:val="0"/>
      <w:divBdr>
        <w:top w:val="none" w:sz="0" w:space="0" w:color="auto"/>
        <w:left w:val="none" w:sz="0" w:space="0" w:color="auto"/>
        <w:bottom w:val="none" w:sz="0" w:space="0" w:color="auto"/>
        <w:right w:val="none" w:sz="0" w:space="0" w:color="auto"/>
      </w:divBdr>
    </w:div>
    <w:div w:id="325329934">
      <w:bodyDiv w:val="1"/>
      <w:marLeft w:val="0"/>
      <w:marRight w:val="0"/>
      <w:marTop w:val="0"/>
      <w:marBottom w:val="0"/>
      <w:divBdr>
        <w:top w:val="none" w:sz="0" w:space="0" w:color="auto"/>
        <w:left w:val="none" w:sz="0" w:space="0" w:color="auto"/>
        <w:bottom w:val="none" w:sz="0" w:space="0" w:color="auto"/>
        <w:right w:val="none" w:sz="0" w:space="0" w:color="auto"/>
      </w:divBdr>
    </w:div>
    <w:div w:id="325398376">
      <w:bodyDiv w:val="1"/>
      <w:marLeft w:val="0"/>
      <w:marRight w:val="0"/>
      <w:marTop w:val="0"/>
      <w:marBottom w:val="0"/>
      <w:divBdr>
        <w:top w:val="none" w:sz="0" w:space="0" w:color="auto"/>
        <w:left w:val="none" w:sz="0" w:space="0" w:color="auto"/>
        <w:bottom w:val="none" w:sz="0" w:space="0" w:color="auto"/>
        <w:right w:val="none" w:sz="0" w:space="0" w:color="auto"/>
      </w:divBdr>
    </w:div>
    <w:div w:id="325517580">
      <w:bodyDiv w:val="1"/>
      <w:marLeft w:val="0"/>
      <w:marRight w:val="0"/>
      <w:marTop w:val="0"/>
      <w:marBottom w:val="0"/>
      <w:divBdr>
        <w:top w:val="none" w:sz="0" w:space="0" w:color="auto"/>
        <w:left w:val="none" w:sz="0" w:space="0" w:color="auto"/>
        <w:bottom w:val="none" w:sz="0" w:space="0" w:color="auto"/>
        <w:right w:val="none" w:sz="0" w:space="0" w:color="auto"/>
      </w:divBdr>
    </w:div>
    <w:div w:id="326053822">
      <w:bodyDiv w:val="1"/>
      <w:marLeft w:val="0"/>
      <w:marRight w:val="0"/>
      <w:marTop w:val="0"/>
      <w:marBottom w:val="0"/>
      <w:divBdr>
        <w:top w:val="none" w:sz="0" w:space="0" w:color="auto"/>
        <w:left w:val="none" w:sz="0" w:space="0" w:color="auto"/>
        <w:bottom w:val="none" w:sz="0" w:space="0" w:color="auto"/>
        <w:right w:val="none" w:sz="0" w:space="0" w:color="auto"/>
      </w:divBdr>
    </w:div>
    <w:div w:id="326834298">
      <w:bodyDiv w:val="1"/>
      <w:marLeft w:val="0"/>
      <w:marRight w:val="0"/>
      <w:marTop w:val="0"/>
      <w:marBottom w:val="0"/>
      <w:divBdr>
        <w:top w:val="none" w:sz="0" w:space="0" w:color="auto"/>
        <w:left w:val="none" w:sz="0" w:space="0" w:color="auto"/>
        <w:bottom w:val="none" w:sz="0" w:space="0" w:color="auto"/>
        <w:right w:val="none" w:sz="0" w:space="0" w:color="auto"/>
      </w:divBdr>
    </w:div>
    <w:div w:id="326906225">
      <w:bodyDiv w:val="1"/>
      <w:marLeft w:val="0"/>
      <w:marRight w:val="0"/>
      <w:marTop w:val="0"/>
      <w:marBottom w:val="0"/>
      <w:divBdr>
        <w:top w:val="none" w:sz="0" w:space="0" w:color="auto"/>
        <w:left w:val="none" w:sz="0" w:space="0" w:color="auto"/>
        <w:bottom w:val="none" w:sz="0" w:space="0" w:color="auto"/>
        <w:right w:val="none" w:sz="0" w:space="0" w:color="auto"/>
      </w:divBdr>
    </w:div>
    <w:div w:id="327363689">
      <w:bodyDiv w:val="1"/>
      <w:marLeft w:val="0"/>
      <w:marRight w:val="0"/>
      <w:marTop w:val="0"/>
      <w:marBottom w:val="0"/>
      <w:divBdr>
        <w:top w:val="none" w:sz="0" w:space="0" w:color="auto"/>
        <w:left w:val="none" w:sz="0" w:space="0" w:color="auto"/>
        <w:bottom w:val="none" w:sz="0" w:space="0" w:color="auto"/>
        <w:right w:val="none" w:sz="0" w:space="0" w:color="auto"/>
      </w:divBdr>
    </w:div>
    <w:div w:id="328287448">
      <w:bodyDiv w:val="1"/>
      <w:marLeft w:val="0"/>
      <w:marRight w:val="0"/>
      <w:marTop w:val="0"/>
      <w:marBottom w:val="0"/>
      <w:divBdr>
        <w:top w:val="none" w:sz="0" w:space="0" w:color="auto"/>
        <w:left w:val="none" w:sz="0" w:space="0" w:color="auto"/>
        <w:bottom w:val="none" w:sz="0" w:space="0" w:color="auto"/>
        <w:right w:val="none" w:sz="0" w:space="0" w:color="auto"/>
      </w:divBdr>
    </w:div>
    <w:div w:id="329022354">
      <w:bodyDiv w:val="1"/>
      <w:marLeft w:val="0"/>
      <w:marRight w:val="0"/>
      <w:marTop w:val="0"/>
      <w:marBottom w:val="0"/>
      <w:divBdr>
        <w:top w:val="none" w:sz="0" w:space="0" w:color="auto"/>
        <w:left w:val="none" w:sz="0" w:space="0" w:color="auto"/>
        <w:bottom w:val="none" w:sz="0" w:space="0" w:color="auto"/>
        <w:right w:val="none" w:sz="0" w:space="0" w:color="auto"/>
      </w:divBdr>
    </w:div>
    <w:div w:id="329793137">
      <w:bodyDiv w:val="1"/>
      <w:marLeft w:val="0"/>
      <w:marRight w:val="0"/>
      <w:marTop w:val="0"/>
      <w:marBottom w:val="0"/>
      <w:divBdr>
        <w:top w:val="none" w:sz="0" w:space="0" w:color="auto"/>
        <w:left w:val="none" w:sz="0" w:space="0" w:color="auto"/>
        <w:bottom w:val="none" w:sz="0" w:space="0" w:color="auto"/>
        <w:right w:val="none" w:sz="0" w:space="0" w:color="auto"/>
      </w:divBdr>
    </w:div>
    <w:div w:id="329871369">
      <w:bodyDiv w:val="1"/>
      <w:marLeft w:val="0"/>
      <w:marRight w:val="0"/>
      <w:marTop w:val="0"/>
      <w:marBottom w:val="0"/>
      <w:divBdr>
        <w:top w:val="none" w:sz="0" w:space="0" w:color="auto"/>
        <w:left w:val="none" w:sz="0" w:space="0" w:color="auto"/>
        <w:bottom w:val="none" w:sz="0" w:space="0" w:color="auto"/>
        <w:right w:val="none" w:sz="0" w:space="0" w:color="auto"/>
      </w:divBdr>
    </w:div>
    <w:div w:id="330331885">
      <w:bodyDiv w:val="1"/>
      <w:marLeft w:val="0"/>
      <w:marRight w:val="0"/>
      <w:marTop w:val="0"/>
      <w:marBottom w:val="0"/>
      <w:divBdr>
        <w:top w:val="none" w:sz="0" w:space="0" w:color="auto"/>
        <w:left w:val="none" w:sz="0" w:space="0" w:color="auto"/>
        <w:bottom w:val="none" w:sz="0" w:space="0" w:color="auto"/>
        <w:right w:val="none" w:sz="0" w:space="0" w:color="auto"/>
      </w:divBdr>
    </w:div>
    <w:div w:id="330332473">
      <w:bodyDiv w:val="1"/>
      <w:marLeft w:val="0"/>
      <w:marRight w:val="0"/>
      <w:marTop w:val="0"/>
      <w:marBottom w:val="0"/>
      <w:divBdr>
        <w:top w:val="none" w:sz="0" w:space="0" w:color="auto"/>
        <w:left w:val="none" w:sz="0" w:space="0" w:color="auto"/>
        <w:bottom w:val="none" w:sz="0" w:space="0" w:color="auto"/>
        <w:right w:val="none" w:sz="0" w:space="0" w:color="auto"/>
      </w:divBdr>
    </w:div>
    <w:div w:id="330446013">
      <w:bodyDiv w:val="1"/>
      <w:marLeft w:val="0"/>
      <w:marRight w:val="0"/>
      <w:marTop w:val="0"/>
      <w:marBottom w:val="0"/>
      <w:divBdr>
        <w:top w:val="none" w:sz="0" w:space="0" w:color="auto"/>
        <w:left w:val="none" w:sz="0" w:space="0" w:color="auto"/>
        <w:bottom w:val="none" w:sz="0" w:space="0" w:color="auto"/>
        <w:right w:val="none" w:sz="0" w:space="0" w:color="auto"/>
      </w:divBdr>
    </w:div>
    <w:div w:id="330957596">
      <w:bodyDiv w:val="1"/>
      <w:marLeft w:val="0"/>
      <w:marRight w:val="0"/>
      <w:marTop w:val="0"/>
      <w:marBottom w:val="0"/>
      <w:divBdr>
        <w:top w:val="none" w:sz="0" w:space="0" w:color="auto"/>
        <w:left w:val="none" w:sz="0" w:space="0" w:color="auto"/>
        <w:bottom w:val="none" w:sz="0" w:space="0" w:color="auto"/>
        <w:right w:val="none" w:sz="0" w:space="0" w:color="auto"/>
      </w:divBdr>
    </w:div>
    <w:div w:id="331569836">
      <w:bodyDiv w:val="1"/>
      <w:marLeft w:val="0"/>
      <w:marRight w:val="0"/>
      <w:marTop w:val="0"/>
      <w:marBottom w:val="0"/>
      <w:divBdr>
        <w:top w:val="none" w:sz="0" w:space="0" w:color="auto"/>
        <w:left w:val="none" w:sz="0" w:space="0" w:color="auto"/>
        <w:bottom w:val="none" w:sz="0" w:space="0" w:color="auto"/>
        <w:right w:val="none" w:sz="0" w:space="0" w:color="auto"/>
      </w:divBdr>
    </w:div>
    <w:div w:id="332607214">
      <w:bodyDiv w:val="1"/>
      <w:marLeft w:val="0"/>
      <w:marRight w:val="0"/>
      <w:marTop w:val="0"/>
      <w:marBottom w:val="0"/>
      <w:divBdr>
        <w:top w:val="none" w:sz="0" w:space="0" w:color="auto"/>
        <w:left w:val="none" w:sz="0" w:space="0" w:color="auto"/>
        <w:bottom w:val="none" w:sz="0" w:space="0" w:color="auto"/>
        <w:right w:val="none" w:sz="0" w:space="0" w:color="auto"/>
      </w:divBdr>
    </w:div>
    <w:div w:id="332611185">
      <w:bodyDiv w:val="1"/>
      <w:marLeft w:val="0"/>
      <w:marRight w:val="0"/>
      <w:marTop w:val="0"/>
      <w:marBottom w:val="0"/>
      <w:divBdr>
        <w:top w:val="none" w:sz="0" w:space="0" w:color="auto"/>
        <w:left w:val="none" w:sz="0" w:space="0" w:color="auto"/>
        <w:bottom w:val="none" w:sz="0" w:space="0" w:color="auto"/>
        <w:right w:val="none" w:sz="0" w:space="0" w:color="auto"/>
      </w:divBdr>
    </w:div>
    <w:div w:id="332877101">
      <w:bodyDiv w:val="1"/>
      <w:marLeft w:val="0"/>
      <w:marRight w:val="0"/>
      <w:marTop w:val="0"/>
      <w:marBottom w:val="0"/>
      <w:divBdr>
        <w:top w:val="none" w:sz="0" w:space="0" w:color="auto"/>
        <w:left w:val="none" w:sz="0" w:space="0" w:color="auto"/>
        <w:bottom w:val="none" w:sz="0" w:space="0" w:color="auto"/>
        <w:right w:val="none" w:sz="0" w:space="0" w:color="auto"/>
      </w:divBdr>
    </w:div>
    <w:div w:id="332993263">
      <w:bodyDiv w:val="1"/>
      <w:marLeft w:val="0"/>
      <w:marRight w:val="0"/>
      <w:marTop w:val="0"/>
      <w:marBottom w:val="0"/>
      <w:divBdr>
        <w:top w:val="none" w:sz="0" w:space="0" w:color="auto"/>
        <w:left w:val="none" w:sz="0" w:space="0" w:color="auto"/>
        <w:bottom w:val="none" w:sz="0" w:space="0" w:color="auto"/>
        <w:right w:val="none" w:sz="0" w:space="0" w:color="auto"/>
      </w:divBdr>
    </w:div>
    <w:div w:id="333001383">
      <w:bodyDiv w:val="1"/>
      <w:marLeft w:val="0"/>
      <w:marRight w:val="0"/>
      <w:marTop w:val="0"/>
      <w:marBottom w:val="0"/>
      <w:divBdr>
        <w:top w:val="none" w:sz="0" w:space="0" w:color="auto"/>
        <w:left w:val="none" w:sz="0" w:space="0" w:color="auto"/>
        <w:bottom w:val="none" w:sz="0" w:space="0" w:color="auto"/>
        <w:right w:val="none" w:sz="0" w:space="0" w:color="auto"/>
      </w:divBdr>
    </w:div>
    <w:div w:id="333072014">
      <w:bodyDiv w:val="1"/>
      <w:marLeft w:val="0"/>
      <w:marRight w:val="0"/>
      <w:marTop w:val="0"/>
      <w:marBottom w:val="0"/>
      <w:divBdr>
        <w:top w:val="none" w:sz="0" w:space="0" w:color="auto"/>
        <w:left w:val="none" w:sz="0" w:space="0" w:color="auto"/>
        <w:bottom w:val="none" w:sz="0" w:space="0" w:color="auto"/>
        <w:right w:val="none" w:sz="0" w:space="0" w:color="auto"/>
      </w:divBdr>
    </w:div>
    <w:div w:id="334304188">
      <w:bodyDiv w:val="1"/>
      <w:marLeft w:val="0"/>
      <w:marRight w:val="0"/>
      <w:marTop w:val="0"/>
      <w:marBottom w:val="0"/>
      <w:divBdr>
        <w:top w:val="none" w:sz="0" w:space="0" w:color="auto"/>
        <w:left w:val="none" w:sz="0" w:space="0" w:color="auto"/>
        <w:bottom w:val="none" w:sz="0" w:space="0" w:color="auto"/>
        <w:right w:val="none" w:sz="0" w:space="0" w:color="auto"/>
      </w:divBdr>
    </w:div>
    <w:div w:id="334500280">
      <w:bodyDiv w:val="1"/>
      <w:marLeft w:val="0"/>
      <w:marRight w:val="0"/>
      <w:marTop w:val="0"/>
      <w:marBottom w:val="0"/>
      <w:divBdr>
        <w:top w:val="none" w:sz="0" w:space="0" w:color="auto"/>
        <w:left w:val="none" w:sz="0" w:space="0" w:color="auto"/>
        <w:bottom w:val="none" w:sz="0" w:space="0" w:color="auto"/>
        <w:right w:val="none" w:sz="0" w:space="0" w:color="auto"/>
      </w:divBdr>
    </w:div>
    <w:div w:id="335036265">
      <w:bodyDiv w:val="1"/>
      <w:marLeft w:val="0"/>
      <w:marRight w:val="0"/>
      <w:marTop w:val="0"/>
      <w:marBottom w:val="0"/>
      <w:divBdr>
        <w:top w:val="none" w:sz="0" w:space="0" w:color="auto"/>
        <w:left w:val="none" w:sz="0" w:space="0" w:color="auto"/>
        <w:bottom w:val="none" w:sz="0" w:space="0" w:color="auto"/>
        <w:right w:val="none" w:sz="0" w:space="0" w:color="auto"/>
      </w:divBdr>
    </w:div>
    <w:div w:id="336034439">
      <w:bodyDiv w:val="1"/>
      <w:marLeft w:val="0"/>
      <w:marRight w:val="0"/>
      <w:marTop w:val="0"/>
      <w:marBottom w:val="0"/>
      <w:divBdr>
        <w:top w:val="none" w:sz="0" w:space="0" w:color="auto"/>
        <w:left w:val="none" w:sz="0" w:space="0" w:color="auto"/>
        <w:bottom w:val="none" w:sz="0" w:space="0" w:color="auto"/>
        <w:right w:val="none" w:sz="0" w:space="0" w:color="auto"/>
      </w:divBdr>
    </w:div>
    <w:div w:id="336228098">
      <w:bodyDiv w:val="1"/>
      <w:marLeft w:val="0"/>
      <w:marRight w:val="0"/>
      <w:marTop w:val="0"/>
      <w:marBottom w:val="0"/>
      <w:divBdr>
        <w:top w:val="none" w:sz="0" w:space="0" w:color="auto"/>
        <w:left w:val="none" w:sz="0" w:space="0" w:color="auto"/>
        <w:bottom w:val="none" w:sz="0" w:space="0" w:color="auto"/>
        <w:right w:val="none" w:sz="0" w:space="0" w:color="auto"/>
      </w:divBdr>
    </w:div>
    <w:div w:id="337082676">
      <w:bodyDiv w:val="1"/>
      <w:marLeft w:val="0"/>
      <w:marRight w:val="0"/>
      <w:marTop w:val="0"/>
      <w:marBottom w:val="0"/>
      <w:divBdr>
        <w:top w:val="none" w:sz="0" w:space="0" w:color="auto"/>
        <w:left w:val="none" w:sz="0" w:space="0" w:color="auto"/>
        <w:bottom w:val="none" w:sz="0" w:space="0" w:color="auto"/>
        <w:right w:val="none" w:sz="0" w:space="0" w:color="auto"/>
      </w:divBdr>
    </w:div>
    <w:div w:id="337194741">
      <w:bodyDiv w:val="1"/>
      <w:marLeft w:val="0"/>
      <w:marRight w:val="0"/>
      <w:marTop w:val="0"/>
      <w:marBottom w:val="0"/>
      <w:divBdr>
        <w:top w:val="none" w:sz="0" w:space="0" w:color="auto"/>
        <w:left w:val="none" w:sz="0" w:space="0" w:color="auto"/>
        <w:bottom w:val="none" w:sz="0" w:space="0" w:color="auto"/>
        <w:right w:val="none" w:sz="0" w:space="0" w:color="auto"/>
      </w:divBdr>
    </w:div>
    <w:div w:id="337738335">
      <w:bodyDiv w:val="1"/>
      <w:marLeft w:val="0"/>
      <w:marRight w:val="0"/>
      <w:marTop w:val="0"/>
      <w:marBottom w:val="0"/>
      <w:divBdr>
        <w:top w:val="none" w:sz="0" w:space="0" w:color="auto"/>
        <w:left w:val="none" w:sz="0" w:space="0" w:color="auto"/>
        <w:bottom w:val="none" w:sz="0" w:space="0" w:color="auto"/>
        <w:right w:val="none" w:sz="0" w:space="0" w:color="auto"/>
      </w:divBdr>
    </w:div>
    <w:div w:id="338243665">
      <w:bodyDiv w:val="1"/>
      <w:marLeft w:val="0"/>
      <w:marRight w:val="0"/>
      <w:marTop w:val="0"/>
      <w:marBottom w:val="0"/>
      <w:divBdr>
        <w:top w:val="none" w:sz="0" w:space="0" w:color="auto"/>
        <w:left w:val="none" w:sz="0" w:space="0" w:color="auto"/>
        <w:bottom w:val="none" w:sz="0" w:space="0" w:color="auto"/>
        <w:right w:val="none" w:sz="0" w:space="0" w:color="auto"/>
      </w:divBdr>
    </w:div>
    <w:div w:id="338317351">
      <w:bodyDiv w:val="1"/>
      <w:marLeft w:val="0"/>
      <w:marRight w:val="0"/>
      <w:marTop w:val="0"/>
      <w:marBottom w:val="0"/>
      <w:divBdr>
        <w:top w:val="none" w:sz="0" w:space="0" w:color="auto"/>
        <w:left w:val="none" w:sz="0" w:space="0" w:color="auto"/>
        <w:bottom w:val="none" w:sz="0" w:space="0" w:color="auto"/>
        <w:right w:val="none" w:sz="0" w:space="0" w:color="auto"/>
      </w:divBdr>
    </w:div>
    <w:div w:id="338429440">
      <w:bodyDiv w:val="1"/>
      <w:marLeft w:val="0"/>
      <w:marRight w:val="0"/>
      <w:marTop w:val="0"/>
      <w:marBottom w:val="0"/>
      <w:divBdr>
        <w:top w:val="none" w:sz="0" w:space="0" w:color="auto"/>
        <w:left w:val="none" w:sz="0" w:space="0" w:color="auto"/>
        <w:bottom w:val="none" w:sz="0" w:space="0" w:color="auto"/>
        <w:right w:val="none" w:sz="0" w:space="0" w:color="auto"/>
      </w:divBdr>
    </w:div>
    <w:div w:id="338822135">
      <w:bodyDiv w:val="1"/>
      <w:marLeft w:val="0"/>
      <w:marRight w:val="0"/>
      <w:marTop w:val="0"/>
      <w:marBottom w:val="0"/>
      <w:divBdr>
        <w:top w:val="none" w:sz="0" w:space="0" w:color="auto"/>
        <w:left w:val="none" w:sz="0" w:space="0" w:color="auto"/>
        <w:bottom w:val="none" w:sz="0" w:space="0" w:color="auto"/>
        <w:right w:val="none" w:sz="0" w:space="0" w:color="auto"/>
      </w:divBdr>
    </w:div>
    <w:div w:id="339280529">
      <w:bodyDiv w:val="1"/>
      <w:marLeft w:val="0"/>
      <w:marRight w:val="0"/>
      <w:marTop w:val="0"/>
      <w:marBottom w:val="0"/>
      <w:divBdr>
        <w:top w:val="none" w:sz="0" w:space="0" w:color="auto"/>
        <w:left w:val="none" w:sz="0" w:space="0" w:color="auto"/>
        <w:bottom w:val="none" w:sz="0" w:space="0" w:color="auto"/>
        <w:right w:val="none" w:sz="0" w:space="0" w:color="auto"/>
      </w:divBdr>
    </w:div>
    <w:div w:id="339817265">
      <w:bodyDiv w:val="1"/>
      <w:marLeft w:val="0"/>
      <w:marRight w:val="0"/>
      <w:marTop w:val="0"/>
      <w:marBottom w:val="0"/>
      <w:divBdr>
        <w:top w:val="none" w:sz="0" w:space="0" w:color="auto"/>
        <w:left w:val="none" w:sz="0" w:space="0" w:color="auto"/>
        <w:bottom w:val="none" w:sz="0" w:space="0" w:color="auto"/>
        <w:right w:val="none" w:sz="0" w:space="0" w:color="auto"/>
      </w:divBdr>
    </w:div>
    <w:div w:id="339888951">
      <w:bodyDiv w:val="1"/>
      <w:marLeft w:val="0"/>
      <w:marRight w:val="0"/>
      <w:marTop w:val="0"/>
      <w:marBottom w:val="0"/>
      <w:divBdr>
        <w:top w:val="none" w:sz="0" w:space="0" w:color="auto"/>
        <w:left w:val="none" w:sz="0" w:space="0" w:color="auto"/>
        <w:bottom w:val="none" w:sz="0" w:space="0" w:color="auto"/>
        <w:right w:val="none" w:sz="0" w:space="0" w:color="auto"/>
      </w:divBdr>
    </w:div>
    <w:div w:id="340091157">
      <w:bodyDiv w:val="1"/>
      <w:marLeft w:val="0"/>
      <w:marRight w:val="0"/>
      <w:marTop w:val="0"/>
      <w:marBottom w:val="0"/>
      <w:divBdr>
        <w:top w:val="none" w:sz="0" w:space="0" w:color="auto"/>
        <w:left w:val="none" w:sz="0" w:space="0" w:color="auto"/>
        <w:bottom w:val="none" w:sz="0" w:space="0" w:color="auto"/>
        <w:right w:val="none" w:sz="0" w:space="0" w:color="auto"/>
      </w:divBdr>
    </w:div>
    <w:div w:id="340281327">
      <w:bodyDiv w:val="1"/>
      <w:marLeft w:val="0"/>
      <w:marRight w:val="0"/>
      <w:marTop w:val="0"/>
      <w:marBottom w:val="0"/>
      <w:divBdr>
        <w:top w:val="none" w:sz="0" w:space="0" w:color="auto"/>
        <w:left w:val="none" w:sz="0" w:space="0" w:color="auto"/>
        <w:bottom w:val="none" w:sz="0" w:space="0" w:color="auto"/>
        <w:right w:val="none" w:sz="0" w:space="0" w:color="auto"/>
      </w:divBdr>
    </w:div>
    <w:div w:id="340665209">
      <w:bodyDiv w:val="1"/>
      <w:marLeft w:val="0"/>
      <w:marRight w:val="0"/>
      <w:marTop w:val="0"/>
      <w:marBottom w:val="0"/>
      <w:divBdr>
        <w:top w:val="none" w:sz="0" w:space="0" w:color="auto"/>
        <w:left w:val="none" w:sz="0" w:space="0" w:color="auto"/>
        <w:bottom w:val="none" w:sz="0" w:space="0" w:color="auto"/>
        <w:right w:val="none" w:sz="0" w:space="0" w:color="auto"/>
      </w:divBdr>
    </w:div>
    <w:div w:id="340738842">
      <w:bodyDiv w:val="1"/>
      <w:marLeft w:val="0"/>
      <w:marRight w:val="0"/>
      <w:marTop w:val="0"/>
      <w:marBottom w:val="0"/>
      <w:divBdr>
        <w:top w:val="none" w:sz="0" w:space="0" w:color="auto"/>
        <w:left w:val="none" w:sz="0" w:space="0" w:color="auto"/>
        <w:bottom w:val="none" w:sz="0" w:space="0" w:color="auto"/>
        <w:right w:val="none" w:sz="0" w:space="0" w:color="auto"/>
      </w:divBdr>
    </w:div>
    <w:div w:id="341320611">
      <w:bodyDiv w:val="1"/>
      <w:marLeft w:val="0"/>
      <w:marRight w:val="0"/>
      <w:marTop w:val="0"/>
      <w:marBottom w:val="0"/>
      <w:divBdr>
        <w:top w:val="none" w:sz="0" w:space="0" w:color="auto"/>
        <w:left w:val="none" w:sz="0" w:space="0" w:color="auto"/>
        <w:bottom w:val="none" w:sz="0" w:space="0" w:color="auto"/>
        <w:right w:val="none" w:sz="0" w:space="0" w:color="auto"/>
      </w:divBdr>
    </w:div>
    <w:div w:id="341593744">
      <w:bodyDiv w:val="1"/>
      <w:marLeft w:val="0"/>
      <w:marRight w:val="0"/>
      <w:marTop w:val="0"/>
      <w:marBottom w:val="0"/>
      <w:divBdr>
        <w:top w:val="none" w:sz="0" w:space="0" w:color="auto"/>
        <w:left w:val="none" w:sz="0" w:space="0" w:color="auto"/>
        <w:bottom w:val="none" w:sz="0" w:space="0" w:color="auto"/>
        <w:right w:val="none" w:sz="0" w:space="0" w:color="auto"/>
      </w:divBdr>
    </w:div>
    <w:div w:id="341861068">
      <w:bodyDiv w:val="1"/>
      <w:marLeft w:val="0"/>
      <w:marRight w:val="0"/>
      <w:marTop w:val="0"/>
      <w:marBottom w:val="0"/>
      <w:divBdr>
        <w:top w:val="none" w:sz="0" w:space="0" w:color="auto"/>
        <w:left w:val="none" w:sz="0" w:space="0" w:color="auto"/>
        <w:bottom w:val="none" w:sz="0" w:space="0" w:color="auto"/>
        <w:right w:val="none" w:sz="0" w:space="0" w:color="auto"/>
      </w:divBdr>
    </w:div>
    <w:div w:id="341981962">
      <w:bodyDiv w:val="1"/>
      <w:marLeft w:val="0"/>
      <w:marRight w:val="0"/>
      <w:marTop w:val="0"/>
      <w:marBottom w:val="0"/>
      <w:divBdr>
        <w:top w:val="none" w:sz="0" w:space="0" w:color="auto"/>
        <w:left w:val="none" w:sz="0" w:space="0" w:color="auto"/>
        <w:bottom w:val="none" w:sz="0" w:space="0" w:color="auto"/>
        <w:right w:val="none" w:sz="0" w:space="0" w:color="auto"/>
      </w:divBdr>
    </w:div>
    <w:div w:id="342167818">
      <w:bodyDiv w:val="1"/>
      <w:marLeft w:val="0"/>
      <w:marRight w:val="0"/>
      <w:marTop w:val="0"/>
      <w:marBottom w:val="0"/>
      <w:divBdr>
        <w:top w:val="none" w:sz="0" w:space="0" w:color="auto"/>
        <w:left w:val="none" w:sz="0" w:space="0" w:color="auto"/>
        <w:bottom w:val="none" w:sz="0" w:space="0" w:color="auto"/>
        <w:right w:val="none" w:sz="0" w:space="0" w:color="auto"/>
      </w:divBdr>
    </w:div>
    <w:div w:id="342320176">
      <w:bodyDiv w:val="1"/>
      <w:marLeft w:val="0"/>
      <w:marRight w:val="0"/>
      <w:marTop w:val="0"/>
      <w:marBottom w:val="0"/>
      <w:divBdr>
        <w:top w:val="none" w:sz="0" w:space="0" w:color="auto"/>
        <w:left w:val="none" w:sz="0" w:space="0" w:color="auto"/>
        <w:bottom w:val="none" w:sz="0" w:space="0" w:color="auto"/>
        <w:right w:val="none" w:sz="0" w:space="0" w:color="auto"/>
      </w:divBdr>
    </w:div>
    <w:div w:id="342705459">
      <w:bodyDiv w:val="1"/>
      <w:marLeft w:val="0"/>
      <w:marRight w:val="0"/>
      <w:marTop w:val="0"/>
      <w:marBottom w:val="0"/>
      <w:divBdr>
        <w:top w:val="none" w:sz="0" w:space="0" w:color="auto"/>
        <w:left w:val="none" w:sz="0" w:space="0" w:color="auto"/>
        <w:bottom w:val="none" w:sz="0" w:space="0" w:color="auto"/>
        <w:right w:val="none" w:sz="0" w:space="0" w:color="auto"/>
      </w:divBdr>
    </w:div>
    <w:div w:id="343559880">
      <w:bodyDiv w:val="1"/>
      <w:marLeft w:val="0"/>
      <w:marRight w:val="0"/>
      <w:marTop w:val="0"/>
      <w:marBottom w:val="0"/>
      <w:divBdr>
        <w:top w:val="none" w:sz="0" w:space="0" w:color="auto"/>
        <w:left w:val="none" w:sz="0" w:space="0" w:color="auto"/>
        <w:bottom w:val="none" w:sz="0" w:space="0" w:color="auto"/>
        <w:right w:val="none" w:sz="0" w:space="0" w:color="auto"/>
      </w:divBdr>
    </w:div>
    <w:div w:id="343829391">
      <w:bodyDiv w:val="1"/>
      <w:marLeft w:val="0"/>
      <w:marRight w:val="0"/>
      <w:marTop w:val="0"/>
      <w:marBottom w:val="0"/>
      <w:divBdr>
        <w:top w:val="none" w:sz="0" w:space="0" w:color="auto"/>
        <w:left w:val="none" w:sz="0" w:space="0" w:color="auto"/>
        <w:bottom w:val="none" w:sz="0" w:space="0" w:color="auto"/>
        <w:right w:val="none" w:sz="0" w:space="0" w:color="auto"/>
      </w:divBdr>
    </w:div>
    <w:div w:id="344988196">
      <w:bodyDiv w:val="1"/>
      <w:marLeft w:val="0"/>
      <w:marRight w:val="0"/>
      <w:marTop w:val="0"/>
      <w:marBottom w:val="0"/>
      <w:divBdr>
        <w:top w:val="none" w:sz="0" w:space="0" w:color="auto"/>
        <w:left w:val="none" w:sz="0" w:space="0" w:color="auto"/>
        <w:bottom w:val="none" w:sz="0" w:space="0" w:color="auto"/>
        <w:right w:val="none" w:sz="0" w:space="0" w:color="auto"/>
      </w:divBdr>
    </w:div>
    <w:div w:id="345182616">
      <w:bodyDiv w:val="1"/>
      <w:marLeft w:val="0"/>
      <w:marRight w:val="0"/>
      <w:marTop w:val="0"/>
      <w:marBottom w:val="0"/>
      <w:divBdr>
        <w:top w:val="none" w:sz="0" w:space="0" w:color="auto"/>
        <w:left w:val="none" w:sz="0" w:space="0" w:color="auto"/>
        <w:bottom w:val="none" w:sz="0" w:space="0" w:color="auto"/>
        <w:right w:val="none" w:sz="0" w:space="0" w:color="auto"/>
      </w:divBdr>
    </w:div>
    <w:div w:id="345716487">
      <w:bodyDiv w:val="1"/>
      <w:marLeft w:val="0"/>
      <w:marRight w:val="0"/>
      <w:marTop w:val="0"/>
      <w:marBottom w:val="0"/>
      <w:divBdr>
        <w:top w:val="none" w:sz="0" w:space="0" w:color="auto"/>
        <w:left w:val="none" w:sz="0" w:space="0" w:color="auto"/>
        <w:bottom w:val="none" w:sz="0" w:space="0" w:color="auto"/>
        <w:right w:val="none" w:sz="0" w:space="0" w:color="auto"/>
      </w:divBdr>
    </w:div>
    <w:div w:id="346295175">
      <w:bodyDiv w:val="1"/>
      <w:marLeft w:val="0"/>
      <w:marRight w:val="0"/>
      <w:marTop w:val="0"/>
      <w:marBottom w:val="0"/>
      <w:divBdr>
        <w:top w:val="none" w:sz="0" w:space="0" w:color="auto"/>
        <w:left w:val="none" w:sz="0" w:space="0" w:color="auto"/>
        <w:bottom w:val="none" w:sz="0" w:space="0" w:color="auto"/>
        <w:right w:val="none" w:sz="0" w:space="0" w:color="auto"/>
      </w:divBdr>
    </w:div>
    <w:div w:id="347171987">
      <w:bodyDiv w:val="1"/>
      <w:marLeft w:val="0"/>
      <w:marRight w:val="0"/>
      <w:marTop w:val="0"/>
      <w:marBottom w:val="0"/>
      <w:divBdr>
        <w:top w:val="none" w:sz="0" w:space="0" w:color="auto"/>
        <w:left w:val="none" w:sz="0" w:space="0" w:color="auto"/>
        <w:bottom w:val="none" w:sz="0" w:space="0" w:color="auto"/>
        <w:right w:val="none" w:sz="0" w:space="0" w:color="auto"/>
      </w:divBdr>
    </w:div>
    <w:div w:id="347410634">
      <w:bodyDiv w:val="1"/>
      <w:marLeft w:val="0"/>
      <w:marRight w:val="0"/>
      <w:marTop w:val="0"/>
      <w:marBottom w:val="0"/>
      <w:divBdr>
        <w:top w:val="none" w:sz="0" w:space="0" w:color="auto"/>
        <w:left w:val="none" w:sz="0" w:space="0" w:color="auto"/>
        <w:bottom w:val="none" w:sz="0" w:space="0" w:color="auto"/>
        <w:right w:val="none" w:sz="0" w:space="0" w:color="auto"/>
      </w:divBdr>
    </w:div>
    <w:div w:id="348066380">
      <w:bodyDiv w:val="1"/>
      <w:marLeft w:val="0"/>
      <w:marRight w:val="0"/>
      <w:marTop w:val="0"/>
      <w:marBottom w:val="0"/>
      <w:divBdr>
        <w:top w:val="none" w:sz="0" w:space="0" w:color="auto"/>
        <w:left w:val="none" w:sz="0" w:space="0" w:color="auto"/>
        <w:bottom w:val="none" w:sz="0" w:space="0" w:color="auto"/>
        <w:right w:val="none" w:sz="0" w:space="0" w:color="auto"/>
      </w:divBdr>
    </w:div>
    <w:div w:id="348415832">
      <w:bodyDiv w:val="1"/>
      <w:marLeft w:val="0"/>
      <w:marRight w:val="0"/>
      <w:marTop w:val="0"/>
      <w:marBottom w:val="0"/>
      <w:divBdr>
        <w:top w:val="none" w:sz="0" w:space="0" w:color="auto"/>
        <w:left w:val="none" w:sz="0" w:space="0" w:color="auto"/>
        <w:bottom w:val="none" w:sz="0" w:space="0" w:color="auto"/>
        <w:right w:val="none" w:sz="0" w:space="0" w:color="auto"/>
      </w:divBdr>
    </w:div>
    <w:div w:id="348992608">
      <w:bodyDiv w:val="1"/>
      <w:marLeft w:val="0"/>
      <w:marRight w:val="0"/>
      <w:marTop w:val="0"/>
      <w:marBottom w:val="0"/>
      <w:divBdr>
        <w:top w:val="none" w:sz="0" w:space="0" w:color="auto"/>
        <w:left w:val="none" w:sz="0" w:space="0" w:color="auto"/>
        <w:bottom w:val="none" w:sz="0" w:space="0" w:color="auto"/>
        <w:right w:val="none" w:sz="0" w:space="0" w:color="auto"/>
      </w:divBdr>
    </w:div>
    <w:div w:id="350373975">
      <w:bodyDiv w:val="1"/>
      <w:marLeft w:val="0"/>
      <w:marRight w:val="0"/>
      <w:marTop w:val="0"/>
      <w:marBottom w:val="0"/>
      <w:divBdr>
        <w:top w:val="none" w:sz="0" w:space="0" w:color="auto"/>
        <w:left w:val="none" w:sz="0" w:space="0" w:color="auto"/>
        <w:bottom w:val="none" w:sz="0" w:space="0" w:color="auto"/>
        <w:right w:val="none" w:sz="0" w:space="0" w:color="auto"/>
      </w:divBdr>
    </w:div>
    <w:div w:id="350958593">
      <w:bodyDiv w:val="1"/>
      <w:marLeft w:val="0"/>
      <w:marRight w:val="0"/>
      <w:marTop w:val="0"/>
      <w:marBottom w:val="0"/>
      <w:divBdr>
        <w:top w:val="none" w:sz="0" w:space="0" w:color="auto"/>
        <w:left w:val="none" w:sz="0" w:space="0" w:color="auto"/>
        <w:bottom w:val="none" w:sz="0" w:space="0" w:color="auto"/>
        <w:right w:val="none" w:sz="0" w:space="0" w:color="auto"/>
      </w:divBdr>
    </w:div>
    <w:div w:id="352071980">
      <w:bodyDiv w:val="1"/>
      <w:marLeft w:val="0"/>
      <w:marRight w:val="0"/>
      <w:marTop w:val="0"/>
      <w:marBottom w:val="0"/>
      <w:divBdr>
        <w:top w:val="none" w:sz="0" w:space="0" w:color="auto"/>
        <w:left w:val="none" w:sz="0" w:space="0" w:color="auto"/>
        <w:bottom w:val="none" w:sz="0" w:space="0" w:color="auto"/>
        <w:right w:val="none" w:sz="0" w:space="0" w:color="auto"/>
      </w:divBdr>
    </w:div>
    <w:div w:id="352415611">
      <w:bodyDiv w:val="1"/>
      <w:marLeft w:val="0"/>
      <w:marRight w:val="0"/>
      <w:marTop w:val="0"/>
      <w:marBottom w:val="0"/>
      <w:divBdr>
        <w:top w:val="none" w:sz="0" w:space="0" w:color="auto"/>
        <w:left w:val="none" w:sz="0" w:space="0" w:color="auto"/>
        <w:bottom w:val="none" w:sz="0" w:space="0" w:color="auto"/>
        <w:right w:val="none" w:sz="0" w:space="0" w:color="auto"/>
      </w:divBdr>
    </w:div>
    <w:div w:id="352540802">
      <w:bodyDiv w:val="1"/>
      <w:marLeft w:val="0"/>
      <w:marRight w:val="0"/>
      <w:marTop w:val="0"/>
      <w:marBottom w:val="0"/>
      <w:divBdr>
        <w:top w:val="none" w:sz="0" w:space="0" w:color="auto"/>
        <w:left w:val="none" w:sz="0" w:space="0" w:color="auto"/>
        <w:bottom w:val="none" w:sz="0" w:space="0" w:color="auto"/>
        <w:right w:val="none" w:sz="0" w:space="0" w:color="auto"/>
      </w:divBdr>
    </w:div>
    <w:div w:id="352846699">
      <w:bodyDiv w:val="1"/>
      <w:marLeft w:val="0"/>
      <w:marRight w:val="0"/>
      <w:marTop w:val="0"/>
      <w:marBottom w:val="0"/>
      <w:divBdr>
        <w:top w:val="none" w:sz="0" w:space="0" w:color="auto"/>
        <w:left w:val="none" w:sz="0" w:space="0" w:color="auto"/>
        <w:bottom w:val="none" w:sz="0" w:space="0" w:color="auto"/>
        <w:right w:val="none" w:sz="0" w:space="0" w:color="auto"/>
      </w:divBdr>
    </w:div>
    <w:div w:id="353117960">
      <w:bodyDiv w:val="1"/>
      <w:marLeft w:val="0"/>
      <w:marRight w:val="0"/>
      <w:marTop w:val="0"/>
      <w:marBottom w:val="0"/>
      <w:divBdr>
        <w:top w:val="none" w:sz="0" w:space="0" w:color="auto"/>
        <w:left w:val="none" w:sz="0" w:space="0" w:color="auto"/>
        <w:bottom w:val="none" w:sz="0" w:space="0" w:color="auto"/>
        <w:right w:val="none" w:sz="0" w:space="0" w:color="auto"/>
      </w:divBdr>
    </w:div>
    <w:div w:id="353266993">
      <w:bodyDiv w:val="1"/>
      <w:marLeft w:val="0"/>
      <w:marRight w:val="0"/>
      <w:marTop w:val="0"/>
      <w:marBottom w:val="0"/>
      <w:divBdr>
        <w:top w:val="none" w:sz="0" w:space="0" w:color="auto"/>
        <w:left w:val="none" w:sz="0" w:space="0" w:color="auto"/>
        <w:bottom w:val="none" w:sz="0" w:space="0" w:color="auto"/>
        <w:right w:val="none" w:sz="0" w:space="0" w:color="auto"/>
      </w:divBdr>
    </w:div>
    <w:div w:id="353582535">
      <w:bodyDiv w:val="1"/>
      <w:marLeft w:val="0"/>
      <w:marRight w:val="0"/>
      <w:marTop w:val="0"/>
      <w:marBottom w:val="0"/>
      <w:divBdr>
        <w:top w:val="none" w:sz="0" w:space="0" w:color="auto"/>
        <w:left w:val="none" w:sz="0" w:space="0" w:color="auto"/>
        <w:bottom w:val="none" w:sz="0" w:space="0" w:color="auto"/>
        <w:right w:val="none" w:sz="0" w:space="0" w:color="auto"/>
      </w:divBdr>
    </w:div>
    <w:div w:id="353770448">
      <w:bodyDiv w:val="1"/>
      <w:marLeft w:val="0"/>
      <w:marRight w:val="0"/>
      <w:marTop w:val="0"/>
      <w:marBottom w:val="0"/>
      <w:divBdr>
        <w:top w:val="none" w:sz="0" w:space="0" w:color="auto"/>
        <w:left w:val="none" w:sz="0" w:space="0" w:color="auto"/>
        <w:bottom w:val="none" w:sz="0" w:space="0" w:color="auto"/>
        <w:right w:val="none" w:sz="0" w:space="0" w:color="auto"/>
      </w:divBdr>
    </w:div>
    <w:div w:id="354774659">
      <w:bodyDiv w:val="1"/>
      <w:marLeft w:val="0"/>
      <w:marRight w:val="0"/>
      <w:marTop w:val="0"/>
      <w:marBottom w:val="0"/>
      <w:divBdr>
        <w:top w:val="none" w:sz="0" w:space="0" w:color="auto"/>
        <w:left w:val="none" w:sz="0" w:space="0" w:color="auto"/>
        <w:bottom w:val="none" w:sz="0" w:space="0" w:color="auto"/>
        <w:right w:val="none" w:sz="0" w:space="0" w:color="auto"/>
      </w:divBdr>
    </w:div>
    <w:div w:id="354815714">
      <w:bodyDiv w:val="1"/>
      <w:marLeft w:val="0"/>
      <w:marRight w:val="0"/>
      <w:marTop w:val="0"/>
      <w:marBottom w:val="0"/>
      <w:divBdr>
        <w:top w:val="none" w:sz="0" w:space="0" w:color="auto"/>
        <w:left w:val="none" w:sz="0" w:space="0" w:color="auto"/>
        <w:bottom w:val="none" w:sz="0" w:space="0" w:color="auto"/>
        <w:right w:val="none" w:sz="0" w:space="0" w:color="auto"/>
      </w:divBdr>
    </w:div>
    <w:div w:id="354893246">
      <w:bodyDiv w:val="1"/>
      <w:marLeft w:val="0"/>
      <w:marRight w:val="0"/>
      <w:marTop w:val="0"/>
      <w:marBottom w:val="0"/>
      <w:divBdr>
        <w:top w:val="none" w:sz="0" w:space="0" w:color="auto"/>
        <w:left w:val="none" w:sz="0" w:space="0" w:color="auto"/>
        <w:bottom w:val="none" w:sz="0" w:space="0" w:color="auto"/>
        <w:right w:val="none" w:sz="0" w:space="0" w:color="auto"/>
      </w:divBdr>
    </w:div>
    <w:div w:id="355695476">
      <w:bodyDiv w:val="1"/>
      <w:marLeft w:val="0"/>
      <w:marRight w:val="0"/>
      <w:marTop w:val="0"/>
      <w:marBottom w:val="0"/>
      <w:divBdr>
        <w:top w:val="none" w:sz="0" w:space="0" w:color="auto"/>
        <w:left w:val="none" w:sz="0" w:space="0" w:color="auto"/>
        <w:bottom w:val="none" w:sz="0" w:space="0" w:color="auto"/>
        <w:right w:val="none" w:sz="0" w:space="0" w:color="auto"/>
      </w:divBdr>
    </w:div>
    <w:div w:id="356388963">
      <w:bodyDiv w:val="1"/>
      <w:marLeft w:val="0"/>
      <w:marRight w:val="0"/>
      <w:marTop w:val="0"/>
      <w:marBottom w:val="0"/>
      <w:divBdr>
        <w:top w:val="none" w:sz="0" w:space="0" w:color="auto"/>
        <w:left w:val="none" w:sz="0" w:space="0" w:color="auto"/>
        <w:bottom w:val="none" w:sz="0" w:space="0" w:color="auto"/>
        <w:right w:val="none" w:sz="0" w:space="0" w:color="auto"/>
      </w:divBdr>
    </w:div>
    <w:div w:id="356389404">
      <w:bodyDiv w:val="1"/>
      <w:marLeft w:val="0"/>
      <w:marRight w:val="0"/>
      <w:marTop w:val="0"/>
      <w:marBottom w:val="0"/>
      <w:divBdr>
        <w:top w:val="none" w:sz="0" w:space="0" w:color="auto"/>
        <w:left w:val="none" w:sz="0" w:space="0" w:color="auto"/>
        <w:bottom w:val="none" w:sz="0" w:space="0" w:color="auto"/>
        <w:right w:val="none" w:sz="0" w:space="0" w:color="auto"/>
      </w:divBdr>
    </w:div>
    <w:div w:id="356465184">
      <w:bodyDiv w:val="1"/>
      <w:marLeft w:val="0"/>
      <w:marRight w:val="0"/>
      <w:marTop w:val="0"/>
      <w:marBottom w:val="0"/>
      <w:divBdr>
        <w:top w:val="none" w:sz="0" w:space="0" w:color="auto"/>
        <w:left w:val="none" w:sz="0" w:space="0" w:color="auto"/>
        <w:bottom w:val="none" w:sz="0" w:space="0" w:color="auto"/>
        <w:right w:val="none" w:sz="0" w:space="0" w:color="auto"/>
      </w:divBdr>
    </w:div>
    <w:div w:id="356931426">
      <w:bodyDiv w:val="1"/>
      <w:marLeft w:val="0"/>
      <w:marRight w:val="0"/>
      <w:marTop w:val="0"/>
      <w:marBottom w:val="0"/>
      <w:divBdr>
        <w:top w:val="none" w:sz="0" w:space="0" w:color="auto"/>
        <w:left w:val="none" w:sz="0" w:space="0" w:color="auto"/>
        <w:bottom w:val="none" w:sz="0" w:space="0" w:color="auto"/>
        <w:right w:val="none" w:sz="0" w:space="0" w:color="auto"/>
      </w:divBdr>
    </w:div>
    <w:div w:id="357316733">
      <w:bodyDiv w:val="1"/>
      <w:marLeft w:val="0"/>
      <w:marRight w:val="0"/>
      <w:marTop w:val="0"/>
      <w:marBottom w:val="0"/>
      <w:divBdr>
        <w:top w:val="none" w:sz="0" w:space="0" w:color="auto"/>
        <w:left w:val="none" w:sz="0" w:space="0" w:color="auto"/>
        <w:bottom w:val="none" w:sz="0" w:space="0" w:color="auto"/>
        <w:right w:val="none" w:sz="0" w:space="0" w:color="auto"/>
      </w:divBdr>
    </w:div>
    <w:div w:id="357701766">
      <w:bodyDiv w:val="1"/>
      <w:marLeft w:val="0"/>
      <w:marRight w:val="0"/>
      <w:marTop w:val="0"/>
      <w:marBottom w:val="0"/>
      <w:divBdr>
        <w:top w:val="none" w:sz="0" w:space="0" w:color="auto"/>
        <w:left w:val="none" w:sz="0" w:space="0" w:color="auto"/>
        <w:bottom w:val="none" w:sz="0" w:space="0" w:color="auto"/>
        <w:right w:val="none" w:sz="0" w:space="0" w:color="auto"/>
      </w:divBdr>
    </w:div>
    <w:div w:id="357703606">
      <w:bodyDiv w:val="1"/>
      <w:marLeft w:val="0"/>
      <w:marRight w:val="0"/>
      <w:marTop w:val="0"/>
      <w:marBottom w:val="0"/>
      <w:divBdr>
        <w:top w:val="none" w:sz="0" w:space="0" w:color="auto"/>
        <w:left w:val="none" w:sz="0" w:space="0" w:color="auto"/>
        <w:bottom w:val="none" w:sz="0" w:space="0" w:color="auto"/>
        <w:right w:val="none" w:sz="0" w:space="0" w:color="auto"/>
      </w:divBdr>
    </w:div>
    <w:div w:id="357777983">
      <w:bodyDiv w:val="1"/>
      <w:marLeft w:val="0"/>
      <w:marRight w:val="0"/>
      <w:marTop w:val="0"/>
      <w:marBottom w:val="0"/>
      <w:divBdr>
        <w:top w:val="none" w:sz="0" w:space="0" w:color="auto"/>
        <w:left w:val="none" w:sz="0" w:space="0" w:color="auto"/>
        <w:bottom w:val="none" w:sz="0" w:space="0" w:color="auto"/>
        <w:right w:val="none" w:sz="0" w:space="0" w:color="auto"/>
      </w:divBdr>
    </w:div>
    <w:div w:id="357853962">
      <w:bodyDiv w:val="1"/>
      <w:marLeft w:val="0"/>
      <w:marRight w:val="0"/>
      <w:marTop w:val="0"/>
      <w:marBottom w:val="0"/>
      <w:divBdr>
        <w:top w:val="none" w:sz="0" w:space="0" w:color="auto"/>
        <w:left w:val="none" w:sz="0" w:space="0" w:color="auto"/>
        <w:bottom w:val="none" w:sz="0" w:space="0" w:color="auto"/>
        <w:right w:val="none" w:sz="0" w:space="0" w:color="auto"/>
      </w:divBdr>
    </w:div>
    <w:div w:id="358092031">
      <w:bodyDiv w:val="1"/>
      <w:marLeft w:val="0"/>
      <w:marRight w:val="0"/>
      <w:marTop w:val="0"/>
      <w:marBottom w:val="0"/>
      <w:divBdr>
        <w:top w:val="none" w:sz="0" w:space="0" w:color="auto"/>
        <w:left w:val="none" w:sz="0" w:space="0" w:color="auto"/>
        <w:bottom w:val="none" w:sz="0" w:space="0" w:color="auto"/>
        <w:right w:val="none" w:sz="0" w:space="0" w:color="auto"/>
      </w:divBdr>
    </w:div>
    <w:div w:id="358118219">
      <w:bodyDiv w:val="1"/>
      <w:marLeft w:val="0"/>
      <w:marRight w:val="0"/>
      <w:marTop w:val="0"/>
      <w:marBottom w:val="0"/>
      <w:divBdr>
        <w:top w:val="none" w:sz="0" w:space="0" w:color="auto"/>
        <w:left w:val="none" w:sz="0" w:space="0" w:color="auto"/>
        <w:bottom w:val="none" w:sz="0" w:space="0" w:color="auto"/>
        <w:right w:val="none" w:sz="0" w:space="0" w:color="auto"/>
      </w:divBdr>
    </w:div>
    <w:div w:id="359279093">
      <w:bodyDiv w:val="1"/>
      <w:marLeft w:val="0"/>
      <w:marRight w:val="0"/>
      <w:marTop w:val="0"/>
      <w:marBottom w:val="0"/>
      <w:divBdr>
        <w:top w:val="none" w:sz="0" w:space="0" w:color="auto"/>
        <w:left w:val="none" w:sz="0" w:space="0" w:color="auto"/>
        <w:bottom w:val="none" w:sz="0" w:space="0" w:color="auto"/>
        <w:right w:val="none" w:sz="0" w:space="0" w:color="auto"/>
      </w:divBdr>
    </w:div>
    <w:div w:id="359748625">
      <w:bodyDiv w:val="1"/>
      <w:marLeft w:val="0"/>
      <w:marRight w:val="0"/>
      <w:marTop w:val="0"/>
      <w:marBottom w:val="0"/>
      <w:divBdr>
        <w:top w:val="none" w:sz="0" w:space="0" w:color="auto"/>
        <w:left w:val="none" w:sz="0" w:space="0" w:color="auto"/>
        <w:bottom w:val="none" w:sz="0" w:space="0" w:color="auto"/>
        <w:right w:val="none" w:sz="0" w:space="0" w:color="auto"/>
      </w:divBdr>
    </w:div>
    <w:div w:id="360711255">
      <w:bodyDiv w:val="1"/>
      <w:marLeft w:val="0"/>
      <w:marRight w:val="0"/>
      <w:marTop w:val="0"/>
      <w:marBottom w:val="0"/>
      <w:divBdr>
        <w:top w:val="none" w:sz="0" w:space="0" w:color="auto"/>
        <w:left w:val="none" w:sz="0" w:space="0" w:color="auto"/>
        <w:bottom w:val="none" w:sz="0" w:space="0" w:color="auto"/>
        <w:right w:val="none" w:sz="0" w:space="0" w:color="auto"/>
      </w:divBdr>
    </w:div>
    <w:div w:id="360976799">
      <w:bodyDiv w:val="1"/>
      <w:marLeft w:val="0"/>
      <w:marRight w:val="0"/>
      <w:marTop w:val="0"/>
      <w:marBottom w:val="0"/>
      <w:divBdr>
        <w:top w:val="none" w:sz="0" w:space="0" w:color="auto"/>
        <w:left w:val="none" w:sz="0" w:space="0" w:color="auto"/>
        <w:bottom w:val="none" w:sz="0" w:space="0" w:color="auto"/>
        <w:right w:val="none" w:sz="0" w:space="0" w:color="auto"/>
      </w:divBdr>
    </w:div>
    <w:div w:id="361593092">
      <w:bodyDiv w:val="1"/>
      <w:marLeft w:val="0"/>
      <w:marRight w:val="0"/>
      <w:marTop w:val="0"/>
      <w:marBottom w:val="0"/>
      <w:divBdr>
        <w:top w:val="none" w:sz="0" w:space="0" w:color="auto"/>
        <w:left w:val="none" w:sz="0" w:space="0" w:color="auto"/>
        <w:bottom w:val="none" w:sz="0" w:space="0" w:color="auto"/>
        <w:right w:val="none" w:sz="0" w:space="0" w:color="auto"/>
      </w:divBdr>
    </w:div>
    <w:div w:id="362217726">
      <w:bodyDiv w:val="1"/>
      <w:marLeft w:val="0"/>
      <w:marRight w:val="0"/>
      <w:marTop w:val="0"/>
      <w:marBottom w:val="0"/>
      <w:divBdr>
        <w:top w:val="none" w:sz="0" w:space="0" w:color="auto"/>
        <w:left w:val="none" w:sz="0" w:space="0" w:color="auto"/>
        <w:bottom w:val="none" w:sz="0" w:space="0" w:color="auto"/>
        <w:right w:val="none" w:sz="0" w:space="0" w:color="auto"/>
      </w:divBdr>
    </w:div>
    <w:div w:id="362440690">
      <w:bodyDiv w:val="1"/>
      <w:marLeft w:val="0"/>
      <w:marRight w:val="0"/>
      <w:marTop w:val="0"/>
      <w:marBottom w:val="0"/>
      <w:divBdr>
        <w:top w:val="none" w:sz="0" w:space="0" w:color="auto"/>
        <w:left w:val="none" w:sz="0" w:space="0" w:color="auto"/>
        <w:bottom w:val="none" w:sz="0" w:space="0" w:color="auto"/>
        <w:right w:val="none" w:sz="0" w:space="0" w:color="auto"/>
      </w:divBdr>
    </w:div>
    <w:div w:id="362827166">
      <w:bodyDiv w:val="1"/>
      <w:marLeft w:val="0"/>
      <w:marRight w:val="0"/>
      <w:marTop w:val="0"/>
      <w:marBottom w:val="0"/>
      <w:divBdr>
        <w:top w:val="none" w:sz="0" w:space="0" w:color="auto"/>
        <w:left w:val="none" w:sz="0" w:space="0" w:color="auto"/>
        <w:bottom w:val="none" w:sz="0" w:space="0" w:color="auto"/>
        <w:right w:val="none" w:sz="0" w:space="0" w:color="auto"/>
      </w:divBdr>
    </w:div>
    <w:div w:id="363404476">
      <w:bodyDiv w:val="1"/>
      <w:marLeft w:val="0"/>
      <w:marRight w:val="0"/>
      <w:marTop w:val="0"/>
      <w:marBottom w:val="0"/>
      <w:divBdr>
        <w:top w:val="none" w:sz="0" w:space="0" w:color="auto"/>
        <w:left w:val="none" w:sz="0" w:space="0" w:color="auto"/>
        <w:bottom w:val="none" w:sz="0" w:space="0" w:color="auto"/>
        <w:right w:val="none" w:sz="0" w:space="0" w:color="auto"/>
      </w:divBdr>
    </w:div>
    <w:div w:id="363556022">
      <w:bodyDiv w:val="1"/>
      <w:marLeft w:val="0"/>
      <w:marRight w:val="0"/>
      <w:marTop w:val="0"/>
      <w:marBottom w:val="0"/>
      <w:divBdr>
        <w:top w:val="none" w:sz="0" w:space="0" w:color="auto"/>
        <w:left w:val="none" w:sz="0" w:space="0" w:color="auto"/>
        <w:bottom w:val="none" w:sz="0" w:space="0" w:color="auto"/>
        <w:right w:val="none" w:sz="0" w:space="0" w:color="auto"/>
      </w:divBdr>
    </w:div>
    <w:div w:id="364133566">
      <w:bodyDiv w:val="1"/>
      <w:marLeft w:val="0"/>
      <w:marRight w:val="0"/>
      <w:marTop w:val="0"/>
      <w:marBottom w:val="0"/>
      <w:divBdr>
        <w:top w:val="none" w:sz="0" w:space="0" w:color="auto"/>
        <w:left w:val="none" w:sz="0" w:space="0" w:color="auto"/>
        <w:bottom w:val="none" w:sz="0" w:space="0" w:color="auto"/>
        <w:right w:val="none" w:sz="0" w:space="0" w:color="auto"/>
      </w:divBdr>
    </w:div>
    <w:div w:id="365260189">
      <w:bodyDiv w:val="1"/>
      <w:marLeft w:val="0"/>
      <w:marRight w:val="0"/>
      <w:marTop w:val="0"/>
      <w:marBottom w:val="0"/>
      <w:divBdr>
        <w:top w:val="none" w:sz="0" w:space="0" w:color="auto"/>
        <w:left w:val="none" w:sz="0" w:space="0" w:color="auto"/>
        <w:bottom w:val="none" w:sz="0" w:space="0" w:color="auto"/>
        <w:right w:val="none" w:sz="0" w:space="0" w:color="auto"/>
      </w:divBdr>
    </w:div>
    <w:div w:id="365368722">
      <w:bodyDiv w:val="1"/>
      <w:marLeft w:val="0"/>
      <w:marRight w:val="0"/>
      <w:marTop w:val="0"/>
      <w:marBottom w:val="0"/>
      <w:divBdr>
        <w:top w:val="none" w:sz="0" w:space="0" w:color="auto"/>
        <w:left w:val="none" w:sz="0" w:space="0" w:color="auto"/>
        <w:bottom w:val="none" w:sz="0" w:space="0" w:color="auto"/>
        <w:right w:val="none" w:sz="0" w:space="0" w:color="auto"/>
      </w:divBdr>
    </w:div>
    <w:div w:id="365981902">
      <w:bodyDiv w:val="1"/>
      <w:marLeft w:val="0"/>
      <w:marRight w:val="0"/>
      <w:marTop w:val="0"/>
      <w:marBottom w:val="0"/>
      <w:divBdr>
        <w:top w:val="none" w:sz="0" w:space="0" w:color="auto"/>
        <w:left w:val="none" w:sz="0" w:space="0" w:color="auto"/>
        <w:bottom w:val="none" w:sz="0" w:space="0" w:color="auto"/>
        <w:right w:val="none" w:sz="0" w:space="0" w:color="auto"/>
      </w:divBdr>
    </w:div>
    <w:div w:id="366681574">
      <w:bodyDiv w:val="1"/>
      <w:marLeft w:val="0"/>
      <w:marRight w:val="0"/>
      <w:marTop w:val="0"/>
      <w:marBottom w:val="0"/>
      <w:divBdr>
        <w:top w:val="none" w:sz="0" w:space="0" w:color="auto"/>
        <w:left w:val="none" w:sz="0" w:space="0" w:color="auto"/>
        <w:bottom w:val="none" w:sz="0" w:space="0" w:color="auto"/>
        <w:right w:val="none" w:sz="0" w:space="0" w:color="auto"/>
      </w:divBdr>
    </w:div>
    <w:div w:id="366763123">
      <w:bodyDiv w:val="1"/>
      <w:marLeft w:val="0"/>
      <w:marRight w:val="0"/>
      <w:marTop w:val="0"/>
      <w:marBottom w:val="0"/>
      <w:divBdr>
        <w:top w:val="none" w:sz="0" w:space="0" w:color="auto"/>
        <w:left w:val="none" w:sz="0" w:space="0" w:color="auto"/>
        <w:bottom w:val="none" w:sz="0" w:space="0" w:color="auto"/>
        <w:right w:val="none" w:sz="0" w:space="0" w:color="auto"/>
      </w:divBdr>
    </w:div>
    <w:div w:id="366873402">
      <w:bodyDiv w:val="1"/>
      <w:marLeft w:val="0"/>
      <w:marRight w:val="0"/>
      <w:marTop w:val="0"/>
      <w:marBottom w:val="0"/>
      <w:divBdr>
        <w:top w:val="none" w:sz="0" w:space="0" w:color="auto"/>
        <w:left w:val="none" w:sz="0" w:space="0" w:color="auto"/>
        <w:bottom w:val="none" w:sz="0" w:space="0" w:color="auto"/>
        <w:right w:val="none" w:sz="0" w:space="0" w:color="auto"/>
      </w:divBdr>
    </w:div>
    <w:div w:id="366951692">
      <w:bodyDiv w:val="1"/>
      <w:marLeft w:val="0"/>
      <w:marRight w:val="0"/>
      <w:marTop w:val="0"/>
      <w:marBottom w:val="0"/>
      <w:divBdr>
        <w:top w:val="none" w:sz="0" w:space="0" w:color="auto"/>
        <w:left w:val="none" w:sz="0" w:space="0" w:color="auto"/>
        <w:bottom w:val="none" w:sz="0" w:space="0" w:color="auto"/>
        <w:right w:val="none" w:sz="0" w:space="0" w:color="auto"/>
      </w:divBdr>
    </w:div>
    <w:div w:id="369763809">
      <w:bodyDiv w:val="1"/>
      <w:marLeft w:val="0"/>
      <w:marRight w:val="0"/>
      <w:marTop w:val="0"/>
      <w:marBottom w:val="0"/>
      <w:divBdr>
        <w:top w:val="none" w:sz="0" w:space="0" w:color="auto"/>
        <w:left w:val="none" w:sz="0" w:space="0" w:color="auto"/>
        <w:bottom w:val="none" w:sz="0" w:space="0" w:color="auto"/>
        <w:right w:val="none" w:sz="0" w:space="0" w:color="auto"/>
      </w:divBdr>
    </w:div>
    <w:div w:id="370306062">
      <w:bodyDiv w:val="1"/>
      <w:marLeft w:val="0"/>
      <w:marRight w:val="0"/>
      <w:marTop w:val="0"/>
      <w:marBottom w:val="0"/>
      <w:divBdr>
        <w:top w:val="none" w:sz="0" w:space="0" w:color="auto"/>
        <w:left w:val="none" w:sz="0" w:space="0" w:color="auto"/>
        <w:bottom w:val="none" w:sz="0" w:space="0" w:color="auto"/>
        <w:right w:val="none" w:sz="0" w:space="0" w:color="auto"/>
      </w:divBdr>
    </w:div>
    <w:div w:id="370306280">
      <w:bodyDiv w:val="1"/>
      <w:marLeft w:val="0"/>
      <w:marRight w:val="0"/>
      <w:marTop w:val="0"/>
      <w:marBottom w:val="0"/>
      <w:divBdr>
        <w:top w:val="none" w:sz="0" w:space="0" w:color="auto"/>
        <w:left w:val="none" w:sz="0" w:space="0" w:color="auto"/>
        <w:bottom w:val="none" w:sz="0" w:space="0" w:color="auto"/>
        <w:right w:val="none" w:sz="0" w:space="0" w:color="auto"/>
      </w:divBdr>
    </w:div>
    <w:div w:id="370955678">
      <w:bodyDiv w:val="1"/>
      <w:marLeft w:val="0"/>
      <w:marRight w:val="0"/>
      <w:marTop w:val="0"/>
      <w:marBottom w:val="0"/>
      <w:divBdr>
        <w:top w:val="none" w:sz="0" w:space="0" w:color="auto"/>
        <w:left w:val="none" w:sz="0" w:space="0" w:color="auto"/>
        <w:bottom w:val="none" w:sz="0" w:space="0" w:color="auto"/>
        <w:right w:val="none" w:sz="0" w:space="0" w:color="auto"/>
      </w:divBdr>
    </w:div>
    <w:div w:id="371610705">
      <w:bodyDiv w:val="1"/>
      <w:marLeft w:val="0"/>
      <w:marRight w:val="0"/>
      <w:marTop w:val="0"/>
      <w:marBottom w:val="0"/>
      <w:divBdr>
        <w:top w:val="none" w:sz="0" w:space="0" w:color="auto"/>
        <w:left w:val="none" w:sz="0" w:space="0" w:color="auto"/>
        <w:bottom w:val="none" w:sz="0" w:space="0" w:color="auto"/>
        <w:right w:val="none" w:sz="0" w:space="0" w:color="auto"/>
      </w:divBdr>
    </w:div>
    <w:div w:id="372114740">
      <w:bodyDiv w:val="1"/>
      <w:marLeft w:val="0"/>
      <w:marRight w:val="0"/>
      <w:marTop w:val="0"/>
      <w:marBottom w:val="0"/>
      <w:divBdr>
        <w:top w:val="none" w:sz="0" w:space="0" w:color="auto"/>
        <w:left w:val="none" w:sz="0" w:space="0" w:color="auto"/>
        <w:bottom w:val="none" w:sz="0" w:space="0" w:color="auto"/>
        <w:right w:val="none" w:sz="0" w:space="0" w:color="auto"/>
      </w:divBdr>
    </w:div>
    <w:div w:id="372507982">
      <w:bodyDiv w:val="1"/>
      <w:marLeft w:val="0"/>
      <w:marRight w:val="0"/>
      <w:marTop w:val="0"/>
      <w:marBottom w:val="0"/>
      <w:divBdr>
        <w:top w:val="none" w:sz="0" w:space="0" w:color="auto"/>
        <w:left w:val="none" w:sz="0" w:space="0" w:color="auto"/>
        <w:bottom w:val="none" w:sz="0" w:space="0" w:color="auto"/>
        <w:right w:val="none" w:sz="0" w:space="0" w:color="auto"/>
      </w:divBdr>
    </w:div>
    <w:div w:id="372727252">
      <w:bodyDiv w:val="1"/>
      <w:marLeft w:val="0"/>
      <w:marRight w:val="0"/>
      <w:marTop w:val="0"/>
      <w:marBottom w:val="0"/>
      <w:divBdr>
        <w:top w:val="none" w:sz="0" w:space="0" w:color="auto"/>
        <w:left w:val="none" w:sz="0" w:space="0" w:color="auto"/>
        <w:bottom w:val="none" w:sz="0" w:space="0" w:color="auto"/>
        <w:right w:val="none" w:sz="0" w:space="0" w:color="auto"/>
      </w:divBdr>
    </w:div>
    <w:div w:id="372728875">
      <w:bodyDiv w:val="1"/>
      <w:marLeft w:val="0"/>
      <w:marRight w:val="0"/>
      <w:marTop w:val="0"/>
      <w:marBottom w:val="0"/>
      <w:divBdr>
        <w:top w:val="none" w:sz="0" w:space="0" w:color="auto"/>
        <w:left w:val="none" w:sz="0" w:space="0" w:color="auto"/>
        <w:bottom w:val="none" w:sz="0" w:space="0" w:color="auto"/>
        <w:right w:val="none" w:sz="0" w:space="0" w:color="auto"/>
      </w:divBdr>
    </w:div>
    <w:div w:id="372971318">
      <w:bodyDiv w:val="1"/>
      <w:marLeft w:val="0"/>
      <w:marRight w:val="0"/>
      <w:marTop w:val="0"/>
      <w:marBottom w:val="0"/>
      <w:divBdr>
        <w:top w:val="none" w:sz="0" w:space="0" w:color="auto"/>
        <w:left w:val="none" w:sz="0" w:space="0" w:color="auto"/>
        <w:bottom w:val="none" w:sz="0" w:space="0" w:color="auto"/>
        <w:right w:val="none" w:sz="0" w:space="0" w:color="auto"/>
      </w:divBdr>
    </w:div>
    <w:div w:id="373043109">
      <w:bodyDiv w:val="1"/>
      <w:marLeft w:val="0"/>
      <w:marRight w:val="0"/>
      <w:marTop w:val="0"/>
      <w:marBottom w:val="0"/>
      <w:divBdr>
        <w:top w:val="none" w:sz="0" w:space="0" w:color="auto"/>
        <w:left w:val="none" w:sz="0" w:space="0" w:color="auto"/>
        <w:bottom w:val="none" w:sz="0" w:space="0" w:color="auto"/>
        <w:right w:val="none" w:sz="0" w:space="0" w:color="auto"/>
      </w:divBdr>
    </w:div>
    <w:div w:id="373576397">
      <w:bodyDiv w:val="1"/>
      <w:marLeft w:val="0"/>
      <w:marRight w:val="0"/>
      <w:marTop w:val="0"/>
      <w:marBottom w:val="0"/>
      <w:divBdr>
        <w:top w:val="none" w:sz="0" w:space="0" w:color="auto"/>
        <w:left w:val="none" w:sz="0" w:space="0" w:color="auto"/>
        <w:bottom w:val="none" w:sz="0" w:space="0" w:color="auto"/>
        <w:right w:val="none" w:sz="0" w:space="0" w:color="auto"/>
      </w:divBdr>
    </w:div>
    <w:div w:id="373582642">
      <w:bodyDiv w:val="1"/>
      <w:marLeft w:val="0"/>
      <w:marRight w:val="0"/>
      <w:marTop w:val="0"/>
      <w:marBottom w:val="0"/>
      <w:divBdr>
        <w:top w:val="none" w:sz="0" w:space="0" w:color="auto"/>
        <w:left w:val="none" w:sz="0" w:space="0" w:color="auto"/>
        <w:bottom w:val="none" w:sz="0" w:space="0" w:color="auto"/>
        <w:right w:val="none" w:sz="0" w:space="0" w:color="auto"/>
      </w:divBdr>
    </w:div>
    <w:div w:id="373694105">
      <w:bodyDiv w:val="1"/>
      <w:marLeft w:val="0"/>
      <w:marRight w:val="0"/>
      <w:marTop w:val="0"/>
      <w:marBottom w:val="0"/>
      <w:divBdr>
        <w:top w:val="none" w:sz="0" w:space="0" w:color="auto"/>
        <w:left w:val="none" w:sz="0" w:space="0" w:color="auto"/>
        <w:bottom w:val="none" w:sz="0" w:space="0" w:color="auto"/>
        <w:right w:val="none" w:sz="0" w:space="0" w:color="auto"/>
      </w:divBdr>
    </w:div>
    <w:div w:id="374041278">
      <w:bodyDiv w:val="1"/>
      <w:marLeft w:val="0"/>
      <w:marRight w:val="0"/>
      <w:marTop w:val="0"/>
      <w:marBottom w:val="0"/>
      <w:divBdr>
        <w:top w:val="none" w:sz="0" w:space="0" w:color="auto"/>
        <w:left w:val="none" w:sz="0" w:space="0" w:color="auto"/>
        <w:bottom w:val="none" w:sz="0" w:space="0" w:color="auto"/>
        <w:right w:val="none" w:sz="0" w:space="0" w:color="auto"/>
      </w:divBdr>
    </w:div>
    <w:div w:id="374282711">
      <w:bodyDiv w:val="1"/>
      <w:marLeft w:val="0"/>
      <w:marRight w:val="0"/>
      <w:marTop w:val="0"/>
      <w:marBottom w:val="0"/>
      <w:divBdr>
        <w:top w:val="none" w:sz="0" w:space="0" w:color="auto"/>
        <w:left w:val="none" w:sz="0" w:space="0" w:color="auto"/>
        <w:bottom w:val="none" w:sz="0" w:space="0" w:color="auto"/>
        <w:right w:val="none" w:sz="0" w:space="0" w:color="auto"/>
      </w:divBdr>
    </w:div>
    <w:div w:id="374886676">
      <w:bodyDiv w:val="1"/>
      <w:marLeft w:val="0"/>
      <w:marRight w:val="0"/>
      <w:marTop w:val="0"/>
      <w:marBottom w:val="0"/>
      <w:divBdr>
        <w:top w:val="none" w:sz="0" w:space="0" w:color="auto"/>
        <w:left w:val="none" w:sz="0" w:space="0" w:color="auto"/>
        <w:bottom w:val="none" w:sz="0" w:space="0" w:color="auto"/>
        <w:right w:val="none" w:sz="0" w:space="0" w:color="auto"/>
      </w:divBdr>
    </w:div>
    <w:div w:id="374892309">
      <w:bodyDiv w:val="1"/>
      <w:marLeft w:val="0"/>
      <w:marRight w:val="0"/>
      <w:marTop w:val="0"/>
      <w:marBottom w:val="0"/>
      <w:divBdr>
        <w:top w:val="none" w:sz="0" w:space="0" w:color="auto"/>
        <w:left w:val="none" w:sz="0" w:space="0" w:color="auto"/>
        <w:bottom w:val="none" w:sz="0" w:space="0" w:color="auto"/>
        <w:right w:val="none" w:sz="0" w:space="0" w:color="auto"/>
      </w:divBdr>
    </w:div>
    <w:div w:id="375007056">
      <w:bodyDiv w:val="1"/>
      <w:marLeft w:val="0"/>
      <w:marRight w:val="0"/>
      <w:marTop w:val="0"/>
      <w:marBottom w:val="0"/>
      <w:divBdr>
        <w:top w:val="none" w:sz="0" w:space="0" w:color="auto"/>
        <w:left w:val="none" w:sz="0" w:space="0" w:color="auto"/>
        <w:bottom w:val="none" w:sz="0" w:space="0" w:color="auto"/>
        <w:right w:val="none" w:sz="0" w:space="0" w:color="auto"/>
      </w:divBdr>
    </w:div>
    <w:div w:id="375085273">
      <w:bodyDiv w:val="1"/>
      <w:marLeft w:val="0"/>
      <w:marRight w:val="0"/>
      <w:marTop w:val="0"/>
      <w:marBottom w:val="0"/>
      <w:divBdr>
        <w:top w:val="none" w:sz="0" w:space="0" w:color="auto"/>
        <w:left w:val="none" w:sz="0" w:space="0" w:color="auto"/>
        <w:bottom w:val="none" w:sz="0" w:space="0" w:color="auto"/>
        <w:right w:val="none" w:sz="0" w:space="0" w:color="auto"/>
      </w:divBdr>
    </w:div>
    <w:div w:id="375472974">
      <w:bodyDiv w:val="1"/>
      <w:marLeft w:val="0"/>
      <w:marRight w:val="0"/>
      <w:marTop w:val="0"/>
      <w:marBottom w:val="0"/>
      <w:divBdr>
        <w:top w:val="none" w:sz="0" w:space="0" w:color="auto"/>
        <w:left w:val="none" w:sz="0" w:space="0" w:color="auto"/>
        <w:bottom w:val="none" w:sz="0" w:space="0" w:color="auto"/>
        <w:right w:val="none" w:sz="0" w:space="0" w:color="auto"/>
      </w:divBdr>
    </w:div>
    <w:div w:id="375591123">
      <w:bodyDiv w:val="1"/>
      <w:marLeft w:val="0"/>
      <w:marRight w:val="0"/>
      <w:marTop w:val="0"/>
      <w:marBottom w:val="0"/>
      <w:divBdr>
        <w:top w:val="none" w:sz="0" w:space="0" w:color="auto"/>
        <w:left w:val="none" w:sz="0" w:space="0" w:color="auto"/>
        <w:bottom w:val="none" w:sz="0" w:space="0" w:color="auto"/>
        <w:right w:val="none" w:sz="0" w:space="0" w:color="auto"/>
      </w:divBdr>
    </w:div>
    <w:div w:id="375935625">
      <w:bodyDiv w:val="1"/>
      <w:marLeft w:val="0"/>
      <w:marRight w:val="0"/>
      <w:marTop w:val="0"/>
      <w:marBottom w:val="0"/>
      <w:divBdr>
        <w:top w:val="none" w:sz="0" w:space="0" w:color="auto"/>
        <w:left w:val="none" w:sz="0" w:space="0" w:color="auto"/>
        <w:bottom w:val="none" w:sz="0" w:space="0" w:color="auto"/>
        <w:right w:val="none" w:sz="0" w:space="0" w:color="auto"/>
      </w:divBdr>
    </w:div>
    <w:div w:id="376126362">
      <w:bodyDiv w:val="1"/>
      <w:marLeft w:val="0"/>
      <w:marRight w:val="0"/>
      <w:marTop w:val="0"/>
      <w:marBottom w:val="0"/>
      <w:divBdr>
        <w:top w:val="none" w:sz="0" w:space="0" w:color="auto"/>
        <w:left w:val="none" w:sz="0" w:space="0" w:color="auto"/>
        <w:bottom w:val="none" w:sz="0" w:space="0" w:color="auto"/>
        <w:right w:val="none" w:sz="0" w:space="0" w:color="auto"/>
      </w:divBdr>
    </w:div>
    <w:div w:id="377047019">
      <w:bodyDiv w:val="1"/>
      <w:marLeft w:val="0"/>
      <w:marRight w:val="0"/>
      <w:marTop w:val="0"/>
      <w:marBottom w:val="0"/>
      <w:divBdr>
        <w:top w:val="none" w:sz="0" w:space="0" w:color="auto"/>
        <w:left w:val="none" w:sz="0" w:space="0" w:color="auto"/>
        <w:bottom w:val="none" w:sz="0" w:space="0" w:color="auto"/>
        <w:right w:val="none" w:sz="0" w:space="0" w:color="auto"/>
      </w:divBdr>
    </w:div>
    <w:div w:id="377097646">
      <w:bodyDiv w:val="1"/>
      <w:marLeft w:val="0"/>
      <w:marRight w:val="0"/>
      <w:marTop w:val="0"/>
      <w:marBottom w:val="0"/>
      <w:divBdr>
        <w:top w:val="none" w:sz="0" w:space="0" w:color="auto"/>
        <w:left w:val="none" w:sz="0" w:space="0" w:color="auto"/>
        <w:bottom w:val="none" w:sz="0" w:space="0" w:color="auto"/>
        <w:right w:val="none" w:sz="0" w:space="0" w:color="auto"/>
      </w:divBdr>
    </w:div>
    <w:div w:id="377244967">
      <w:bodyDiv w:val="1"/>
      <w:marLeft w:val="0"/>
      <w:marRight w:val="0"/>
      <w:marTop w:val="0"/>
      <w:marBottom w:val="0"/>
      <w:divBdr>
        <w:top w:val="none" w:sz="0" w:space="0" w:color="auto"/>
        <w:left w:val="none" w:sz="0" w:space="0" w:color="auto"/>
        <w:bottom w:val="none" w:sz="0" w:space="0" w:color="auto"/>
        <w:right w:val="none" w:sz="0" w:space="0" w:color="auto"/>
      </w:divBdr>
    </w:div>
    <w:div w:id="377438002">
      <w:bodyDiv w:val="1"/>
      <w:marLeft w:val="0"/>
      <w:marRight w:val="0"/>
      <w:marTop w:val="0"/>
      <w:marBottom w:val="0"/>
      <w:divBdr>
        <w:top w:val="none" w:sz="0" w:space="0" w:color="auto"/>
        <w:left w:val="none" w:sz="0" w:space="0" w:color="auto"/>
        <w:bottom w:val="none" w:sz="0" w:space="0" w:color="auto"/>
        <w:right w:val="none" w:sz="0" w:space="0" w:color="auto"/>
      </w:divBdr>
    </w:div>
    <w:div w:id="377628275">
      <w:bodyDiv w:val="1"/>
      <w:marLeft w:val="0"/>
      <w:marRight w:val="0"/>
      <w:marTop w:val="0"/>
      <w:marBottom w:val="0"/>
      <w:divBdr>
        <w:top w:val="none" w:sz="0" w:space="0" w:color="auto"/>
        <w:left w:val="none" w:sz="0" w:space="0" w:color="auto"/>
        <w:bottom w:val="none" w:sz="0" w:space="0" w:color="auto"/>
        <w:right w:val="none" w:sz="0" w:space="0" w:color="auto"/>
      </w:divBdr>
    </w:div>
    <w:div w:id="378434149">
      <w:bodyDiv w:val="1"/>
      <w:marLeft w:val="0"/>
      <w:marRight w:val="0"/>
      <w:marTop w:val="0"/>
      <w:marBottom w:val="0"/>
      <w:divBdr>
        <w:top w:val="none" w:sz="0" w:space="0" w:color="auto"/>
        <w:left w:val="none" w:sz="0" w:space="0" w:color="auto"/>
        <w:bottom w:val="none" w:sz="0" w:space="0" w:color="auto"/>
        <w:right w:val="none" w:sz="0" w:space="0" w:color="auto"/>
      </w:divBdr>
    </w:div>
    <w:div w:id="378482617">
      <w:bodyDiv w:val="1"/>
      <w:marLeft w:val="0"/>
      <w:marRight w:val="0"/>
      <w:marTop w:val="0"/>
      <w:marBottom w:val="0"/>
      <w:divBdr>
        <w:top w:val="none" w:sz="0" w:space="0" w:color="auto"/>
        <w:left w:val="none" w:sz="0" w:space="0" w:color="auto"/>
        <w:bottom w:val="none" w:sz="0" w:space="0" w:color="auto"/>
        <w:right w:val="none" w:sz="0" w:space="0" w:color="auto"/>
      </w:divBdr>
    </w:div>
    <w:div w:id="378551472">
      <w:bodyDiv w:val="1"/>
      <w:marLeft w:val="0"/>
      <w:marRight w:val="0"/>
      <w:marTop w:val="0"/>
      <w:marBottom w:val="0"/>
      <w:divBdr>
        <w:top w:val="none" w:sz="0" w:space="0" w:color="auto"/>
        <w:left w:val="none" w:sz="0" w:space="0" w:color="auto"/>
        <w:bottom w:val="none" w:sz="0" w:space="0" w:color="auto"/>
        <w:right w:val="none" w:sz="0" w:space="0" w:color="auto"/>
      </w:divBdr>
    </w:div>
    <w:div w:id="379520474">
      <w:bodyDiv w:val="1"/>
      <w:marLeft w:val="0"/>
      <w:marRight w:val="0"/>
      <w:marTop w:val="0"/>
      <w:marBottom w:val="0"/>
      <w:divBdr>
        <w:top w:val="none" w:sz="0" w:space="0" w:color="auto"/>
        <w:left w:val="none" w:sz="0" w:space="0" w:color="auto"/>
        <w:bottom w:val="none" w:sz="0" w:space="0" w:color="auto"/>
        <w:right w:val="none" w:sz="0" w:space="0" w:color="auto"/>
      </w:divBdr>
    </w:div>
    <w:div w:id="379716449">
      <w:bodyDiv w:val="1"/>
      <w:marLeft w:val="0"/>
      <w:marRight w:val="0"/>
      <w:marTop w:val="0"/>
      <w:marBottom w:val="0"/>
      <w:divBdr>
        <w:top w:val="none" w:sz="0" w:space="0" w:color="auto"/>
        <w:left w:val="none" w:sz="0" w:space="0" w:color="auto"/>
        <w:bottom w:val="none" w:sz="0" w:space="0" w:color="auto"/>
        <w:right w:val="none" w:sz="0" w:space="0" w:color="auto"/>
      </w:divBdr>
    </w:div>
    <w:div w:id="380137280">
      <w:bodyDiv w:val="1"/>
      <w:marLeft w:val="0"/>
      <w:marRight w:val="0"/>
      <w:marTop w:val="0"/>
      <w:marBottom w:val="0"/>
      <w:divBdr>
        <w:top w:val="none" w:sz="0" w:space="0" w:color="auto"/>
        <w:left w:val="none" w:sz="0" w:space="0" w:color="auto"/>
        <w:bottom w:val="none" w:sz="0" w:space="0" w:color="auto"/>
        <w:right w:val="none" w:sz="0" w:space="0" w:color="auto"/>
      </w:divBdr>
    </w:div>
    <w:div w:id="380252333">
      <w:bodyDiv w:val="1"/>
      <w:marLeft w:val="0"/>
      <w:marRight w:val="0"/>
      <w:marTop w:val="0"/>
      <w:marBottom w:val="0"/>
      <w:divBdr>
        <w:top w:val="none" w:sz="0" w:space="0" w:color="auto"/>
        <w:left w:val="none" w:sz="0" w:space="0" w:color="auto"/>
        <w:bottom w:val="none" w:sz="0" w:space="0" w:color="auto"/>
        <w:right w:val="none" w:sz="0" w:space="0" w:color="auto"/>
      </w:divBdr>
    </w:div>
    <w:div w:id="380400577">
      <w:bodyDiv w:val="1"/>
      <w:marLeft w:val="0"/>
      <w:marRight w:val="0"/>
      <w:marTop w:val="0"/>
      <w:marBottom w:val="0"/>
      <w:divBdr>
        <w:top w:val="none" w:sz="0" w:space="0" w:color="auto"/>
        <w:left w:val="none" w:sz="0" w:space="0" w:color="auto"/>
        <w:bottom w:val="none" w:sz="0" w:space="0" w:color="auto"/>
        <w:right w:val="none" w:sz="0" w:space="0" w:color="auto"/>
      </w:divBdr>
    </w:div>
    <w:div w:id="380442386">
      <w:bodyDiv w:val="1"/>
      <w:marLeft w:val="0"/>
      <w:marRight w:val="0"/>
      <w:marTop w:val="0"/>
      <w:marBottom w:val="0"/>
      <w:divBdr>
        <w:top w:val="none" w:sz="0" w:space="0" w:color="auto"/>
        <w:left w:val="none" w:sz="0" w:space="0" w:color="auto"/>
        <w:bottom w:val="none" w:sz="0" w:space="0" w:color="auto"/>
        <w:right w:val="none" w:sz="0" w:space="0" w:color="auto"/>
      </w:divBdr>
    </w:div>
    <w:div w:id="380448622">
      <w:bodyDiv w:val="1"/>
      <w:marLeft w:val="0"/>
      <w:marRight w:val="0"/>
      <w:marTop w:val="0"/>
      <w:marBottom w:val="0"/>
      <w:divBdr>
        <w:top w:val="none" w:sz="0" w:space="0" w:color="auto"/>
        <w:left w:val="none" w:sz="0" w:space="0" w:color="auto"/>
        <w:bottom w:val="none" w:sz="0" w:space="0" w:color="auto"/>
        <w:right w:val="none" w:sz="0" w:space="0" w:color="auto"/>
      </w:divBdr>
    </w:div>
    <w:div w:id="381028298">
      <w:bodyDiv w:val="1"/>
      <w:marLeft w:val="0"/>
      <w:marRight w:val="0"/>
      <w:marTop w:val="0"/>
      <w:marBottom w:val="0"/>
      <w:divBdr>
        <w:top w:val="none" w:sz="0" w:space="0" w:color="auto"/>
        <w:left w:val="none" w:sz="0" w:space="0" w:color="auto"/>
        <w:bottom w:val="none" w:sz="0" w:space="0" w:color="auto"/>
        <w:right w:val="none" w:sz="0" w:space="0" w:color="auto"/>
      </w:divBdr>
    </w:div>
    <w:div w:id="381633175">
      <w:bodyDiv w:val="1"/>
      <w:marLeft w:val="0"/>
      <w:marRight w:val="0"/>
      <w:marTop w:val="0"/>
      <w:marBottom w:val="0"/>
      <w:divBdr>
        <w:top w:val="none" w:sz="0" w:space="0" w:color="auto"/>
        <w:left w:val="none" w:sz="0" w:space="0" w:color="auto"/>
        <w:bottom w:val="none" w:sz="0" w:space="0" w:color="auto"/>
        <w:right w:val="none" w:sz="0" w:space="0" w:color="auto"/>
      </w:divBdr>
    </w:div>
    <w:div w:id="381828331">
      <w:bodyDiv w:val="1"/>
      <w:marLeft w:val="0"/>
      <w:marRight w:val="0"/>
      <w:marTop w:val="0"/>
      <w:marBottom w:val="0"/>
      <w:divBdr>
        <w:top w:val="none" w:sz="0" w:space="0" w:color="auto"/>
        <w:left w:val="none" w:sz="0" w:space="0" w:color="auto"/>
        <w:bottom w:val="none" w:sz="0" w:space="0" w:color="auto"/>
        <w:right w:val="none" w:sz="0" w:space="0" w:color="auto"/>
      </w:divBdr>
    </w:div>
    <w:div w:id="382943612">
      <w:bodyDiv w:val="1"/>
      <w:marLeft w:val="0"/>
      <w:marRight w:val="0"/>
      <w:marTop w:val="0"/>
      <w:marBottom w:val="0"/>
      <w:divBdr>
        <w:top w:val="none" w:sz="0" w:space="0" w:color="auto"/>
        <w:left w:val="none" w:sz="0" w:space="0" w:color="auto"/>
        <w:bottom w:val="none" w:sz="0" w:space="0" w:color="auto"/>
        <w:right w:val="none" w:sz="0" w:space="0" w:color="auto"/>
      </w:divBdr>
    </w:div>
    <w:div w:id="383411437">
      <w:bodyDiv w:val="1"/>
      <w:marLeft w:val="0"/>
      <w:marRight w:val="0"/>
      <w:marTop w:val="0"/>
      <w:marBottom w:val="0"/>
      <w:divBdr>
        <w:top w:val="none" w:sz="0" w:space="0" w:color="auto"/>
        <w:left w:val="none" w:sz="0" w:space="0" w:color="auto"/>
        <w:bottom w:val="none" w:sz="0" w:space="0" w:color="auto"/>
        <w:right w:val="none" w:sz="0" w:space="0" w:color="auto"/>
      </w:divBdr>
    </w:div>
    <w:div w:id="383874512">
      <w:bodyDiv w:val="1"/>
      <w:marLeft w:val="0"/>
      <w:marRight w:val="0"/>
      <w:marTop w:val="0"/>
      <w:marBottom w:val="0"/>
      <w:divBdr>
        <w:top w:val="none" w:sz="0" w:space="0" w:color="auto"/>
        <w:left w:val="none" w:sz="0" w:space="0" w:color="auto"/>
        <w:bottom w:val="none" w:sz="0" w:space="0" w:color="auto"/>
        <w:right w:val="none" w:sz="0" w:space="0" w:color="auto"/>
      </w:divBdr>
    </w:div>
    <w:div w:id="384067143">
      <w:bodyDiv w:val="1"/>
      <w:marLeft w:val="0"/>
      <w:marRight w:val="0"/>
      <w:marTop w:val="0"/>
      <w:marBottom w:val="0"/>
      <w:divBdr>
        <w:top w:val="none" w:sz="0" w:space="0" w:color="auto"/>
        <w:left w:val="none" w:sz="0" w:space="0" w:color="auto"/>
        <w:bottom w:val="none" w:sz="0" w:space="0" w:color="auto"/>
        <w:right w:val="none" w:sz="0" w:space="0" w:color="auto"/>
      </w:divBdr>
    </w:div>
    <w:div w:id="384372621">
      <w:bodyDiv w:val="1"/>
      <w:marLeft w:val="0"/>
      <w:marRight w:val="0"/>
      <w:marTop w:val="0"/>
      <w:marBottom w:val="0"/>
      <w:divBdr>
        <w:top w:val="none" w:sz="0" w:space="0" w:color="auto"/>
        <w:left w:val="none" w:sz="0" w:space="0" w:color="auto"/>
        <w:bottom w:val="none" w:sz="0" w:space="0" w:color="auto"/>
        <w:right w:val="none" w:sz="0" w:space="0" w:color="auto"/>
      </w:divBdr>
    </w:div>
    <w:div w:id="386492838">
      <w:bodyDiv w:val="1"/>
      <w:marLeft w:val="0"/>
      <w:marRight w:val="0"/>
      <w:marTop w:val="0"/>
      <w:marBottom w:val="0"/>
      <w:divBdr>
        <w:top w:val="none" w:sz="0" w:space="0" w:color="auto"/>
        <w:left w:val="none" w:sz="0" w:space="0" w:color="auto"/>
        <w:bottom w:val="none" w:sz="0" w:space="0" w:color="auto"/>
        <w:right w:val="none" w:sz="0" w:space="0" w:color="auto"/>
      </w:divBdr>
    </w:div>
    <w:div w:id="386996952">
      <w:bodyDiv w:val="1"/>
      <w:marLeft w:val="0"/>
      <w:marRight w:val="0"/>
      <w:marTop w:val="0"/>
      <w:marBottom w:val="0"/>
      <w:divBdr>
        <w:top w:val="none" w:sz="0" w:space="0" w:color="auto"/>
        <w:left w:val="none" w:sz="0" w:space="0" w:color="auto"/>
        <w:bottom w:val="none" w:sz="0" w:space="0" w:color="auto"/>
        <w:right w:val="none" w:sz="0" w:space="0" w:color="auto"/>
      </w:divBdr>
    </w:div>
    <w:div w:id="388383590">
      <w:bodyDiv w:val="1"/>
      <w:marLeft w:val="0"/>
      <w:marRight w:val="0"/>
      <w:marTop w:val="0"/>
      <w:marBottom w:val="0"/>
      <w:divBdr>
        <w:top w:val="none" w:sz="0" w:space="0" w:color="auto"/>
        <w:left w:val="none" w:sz="0" w:space="0" w:color="auto"/>
        <w:bottom w:val="none" w:sz="0" w:space="0" w:color="auto"/>
        <w:right w:val="none" w:sz="0" w:space="0" w:color="auto"/>
      </w:divBdr>
    </w:div>
    <w:div w:id="388578680">
      <w:bodyDiv w:val="1"/>
      <w:marLeft w:val="0"/>
      <w:marRight w:val="0"/>
      <w:marTop w:val="0"/>
      <w:marBottom w:val="0"/>
      <w:divBdr>
        <w:top w:val="none" w:sz="0" w:space="0" w:color="auto"/>
        <w:left w:val="none" w:sz="0" w:space="0" w:color="auto"/>
        <w:bottom w:val="none" w:sz="0" w:space="0" w:color="auto"/>
        <w:right w:val="none" w:sz="0" w:space="0" w:color="auto"/>
      </w:divBdr>
    </w:div>
    <w:div w:id="388579736">
      <w:bodyDiv w:val="1"/>
      <w:marLeft w:val="0"/>
      <w:marRight w:val="0"/>
      <w:marTop w:val="0"/>
      <w:marBottom w:val="0"/>
      <w:divBdr>
        <w:top w:val="none" w:sz="0" w:space="0" w:color="auto"/>
        <w:left w:val="none" w:sz="0" w:space="0" w:color="auto"/>
        <w:bottom w:val="none" w:sz="0" w:space="0" w:color="auto"/>
        <w:right w:val="none" w:sz="0" w:space="0" w:color="auto"/>
      </w:divBdr>
    </w:div>
    <w:div w:id="388769042">
      <w:bodyDiv w:val="1"/>
      <w:marLeft w:val="0"/>
      <w:marRight w:val="0"/>
      <w:marTop w:val="0"/>
      <w:marBottom w:val="0"/>
      <w:divBdr>
        <w:top w:val="none" w:sz="0" w:space="0" w:color="auto"/>
        <w:left w:val="none" w:sz="0" w:space="0" w:color="auto"/>
        <w:bottom w:val="none" w:sz="0" w:space="0" w:color="auto"/>
        <w:right w:val="none" w:sz="0" w:space="0" w:color="auto"/>
      </w:divBdr>
    </w:div>
    <w:div w:id="389429922">
      <w:bodyDiv w:val="1"/>
      <w:marLeft w:val="0"/>
      <w:marRight w:val="0"/>
      <w:marTop w:val="0"/>
      <w:marBottom w:val="0"/>
      <w:divBdr>
        <w:top w:val="none" w:sz="0" w:space="0" w:color="auto"/>
        <w:left w:val="none" w:sz="0" w:space="0" w:color="auto"/>
        <w:bottom w:val="none" w:sz="0" w:space="0" w:color="auto"/>
        <w:right w:val="none" w:sz="0" w:space="0" w:color="auto"/>
      </w:divBdr>
    </w:div>
    <w:div w:id="389621614">
      <w:bodyDiv w:val="1"/>
      <w:marLeft w:val="0"/>
      <w:marRight w:val="0"/>
      <w:marTop w:val="0"/>
      <w:marBottom w:val="0"/>
      <w:divBdr>
        <w:top w:val="none" w:sz="0" w:space="0" w:color="auto"/>
        <w:left w:val="none" w:sz="0" w:space="0" w:color="auto"/>
        <w:bottom w:val="none" w:sz="0" w:space="0" w:color="auto"/>
        <w:right w:val="none" w:sz="0" w:space="0" w:color="auto"/>
      </w:divBdr>
    </w:div>
    <w:div w:id="391775627">
      <w:bodyDiv w:val="1"/>
      <w:marLeft w:val="0"/>
      <w:marRight w:val="0"/>
      <w:marTop w:val="0"/>
      <w:marBottom w:val="0"/>
      <w:divBdr>
        <w:top w:val="none" w:sz="0" w:space="0" w:color="auto"/>
        <w:left w:val="none" w:sz="0" w:space="0" w:color="auto"/>
        <w:bottom w:val="none" w:sz="0" w:space="0" w:color="auto"/>
        <w:right w:val="none" w:sz="0" w:space="0" w:color="auto"/>
      </w:divBdr>
    </w:div>
    <w:div w:id="391779368">
      <w:bodyDiv w:val="1"/>
      <w:marLeft w:val="0"/>
      <w:marRight w:val="0"/>
      <w:marTop w:val="0"/>
      <w:marBottom w:val="0"/>
      <w:divBdr>
        <w:top w:val="none" w:sz="0" w:space="0" w:color="auto"/>
        <w:left w:val="none" w:sz="0" w:space="0" w:color="auto"/>
        <w:bottom w:val="none" w:sz="0" w:space="0" w:color="auto"/>
        <w:right w:val="none" w:sz="0" w:space="0" w:color="auto"/>
      </w:divBdr>
    </w:div>
    <w:div w:id="392123788">
      <w:bodyDiv w:val="1"/>
      <w:marLeft w:val="0"/>
      <w:marRight w:val="0"/>
      <w:marTop w:val="0"/>
      <w:marBottom w:val="0"/>
      <w:divBdr>
        <w:top w:val="none" w:sz="0" w:space="0" w:color="auto"/>
        <w:left w:val="none" w:sz="0" w:space="0" w:color="auto"/>
        <w:bottom w:val="none" w:sz="0" w:space="0" w:color="auto"/>
        <w:right w:val="none" w:sz="0" w:space="0" w:color="auto"/>
      </w:divBdr>
    </w:div>
    <w:div w:id="392429648">
      <w:bodyDiv w:val="1"/>
      <w:marLeft w:val="0"/>
      <w:marRight w:val="0"/>
      <w:marTop w:val="0"/>
      <w:marBottom w:val="0"/>
      <w:divBdr>
        <w:top w:val="none" w:sz="0" w:space="0" w:color="auto"/>
        <w:left w:val="none" w:sz="0" w:space="0" w:color="auto"/>
        <w:bottom w:val="none" w:sz="0" w:space="0" w:color="auto"/>
        <w:right w:val="none" w:sz="0" w:space="0" w:color="auto"/>
      </w:divBdr>
    </w:div>
    <w:div w:id="393048010">
      <w:bodyDiv w:val="1"/>
      <w:marLeft w:val="0"/>
      <w:marRight w:val="0"/>
      <w:marTop w:val="0"/>
      <w:marBottom w:val="0"/>
      <w:divBdr>
        <w:top w:val="none" w:sz="0" w:space="0" w:color="auto"/>
        <w:left w:val="none" w:sz="0" w:space="0" w:color="auto"/>
        <w:bottom w:val="none" w:sz="0" w:space="0" w:color="auto"/>
        <w:right w:val="none" w:sz="0" w:space="0" w:color="auto"/>
      </w:divBdr>
    </w:div>
    <w:div w:id="393241811">
      <w:bodyDiv w:val="1"/>
      <w:marLeft w:val="0"/>
      <w:marRight w:val="0"/>
      <w:marTop w:val="0"/>
      <w:marBottom w:val="0"/>
      <w:divBdr>
        <w:top w:val="none" w:sz="0" w:space="0" w:color="auto"/>
        <w:left w:val="none" w:sz="0" w:space="0" w:color="auto"/>
        <w:bottom w:val="none" w:sz="0" w:space="0" w:color="auto"/>
        <w:right w:val="none" w:sz="0" w:space="0" w:color="auto"/>
      </w:divBdr>
    </w:div>
    <w:div w:id="393703778">
      <w:bodyDiv w:val="1"/>
      <w:marLeft w:val="0"/>
      <w:marRight w:val="0"/>
      <w:marTop w:val="0"/>
      <w:marBottom w:val="0"/>
      <w:divBdr>
        <w:top w:val="none" w:sz="0" w:space="0" w:color="auto"/>
        <w:left w:val="none" w:sz="0" w:space="0" w:color="auto"/>
        <w:bottom w:val="none" w:sz="0" w:space="0" w:color="auto"/>
        <w:right w:val="none" w:sz="0" w:space="0" w:color="auto"/>
      </w:divBdr>
    </w:div>
    <w:div w:id="393742809">
      <w:bodyDiv w:val="1"/>
      <w:marLeft w:val="0"/>
      <w:marRight w:val="0"/>
      <w:marTop w:val="0"/>
      <w:marBottom w:val="0"/>
      <w:divBdr>
        <w:top w:val="none" w:sz="0" w:space="0" w:color="auto"/>
        <w:left w:val="none" w:sz="0" w:space="0" w:color="auto"/>
        <w:bottom w:val="none" w:sz="0" w:space="0" w:color="auto"/>
        <w:right w:val="none" w:sz="0" w:space="0" w:color="auto"/>
      </w:divBdr>
    </w:div>
    <w:div w:id="393744097">
      <w:bodyDiv w:val="1"/>
      <w:marLeft w:val="0"/>
      <w:marRight w:val="0"/>
      <w:marTop w:val="0"/>
      <w:marBottom w:val="0"/>
      <w:divBdr>
        <w:top w:val="none" w:sz="0" w:space="0" w:color="auto"/>
        <w:left w:val="none" w:sz="0" w:space="0" w:color="auto"/>
        <w:bottom w:val="none" w:sz="0" w:space="0" w:color="auto"/>
        <w:right w:val="none" w:sz="0" w:space="0" w:color="auto"/>
      </w:divBdr>
    </w:div>
    <w:div w:id="393817899">
      <w:bodyDiv w:val="1"/>
      <w:marLeft w:val="0"/>
      <w:marRight w:val="0"/>
      <w:marTop w:val="0"/>
      <w:marBottom w:val="0"/>
      <w:divBdr>
        <w:top w:val="none" w:sz="0" w:space="0" w:color="auto"/>
        <w:left w:val="none" w:sz="0" w:space="0" w:color="auto"/>
        <w:bottom w:val="none" w:sz="0" w:space="0" w:color="auto"/>
        <w:right w:val="none" w:sz="0" w:space="0" w:color="auto"/>
      </w:divBdr>
    </w:div>
    <w:div w:id="393940413">
      <w:bodyDiv w:val="1"/>
      <w:marLeft w:val="0"/>
      <w:marRight w:val="0"/>
      <w:marTop w:val="0"/>
      <w:marBottom w:val="0"/>
      <w:divBdr>
        <w:top w:val="none" w:sz="0" w:space="0" w:color="auto"/>
        <w:left w:val="none" w:sz="0" w:space="0" w:color="auto"/>
        <w:bottom w:val="none" w:sz="0" w:space="0" w:color="auto"/>
        <w:right w:val="none" w:sz="0" w:space="0" w:color="auto"/>
      </w:divBdr>
    </w:div>
    <w:div w:id="394209765">
      <w:bodyDiv w:val="1"/>
      <w:marLeft w:val="0"/>
      <w:marRight w:val="0"/>
      <w:marTop w:val="0"/>
      <w:marBottom w:val="0"/>
      <w:divBdr>
        <w:top w:val="none" w:sz="0" w:space="0" w:color="auto"/>
        <w:left w:val="none" w:sz="0" w:space="0" w:color="auto"/>
        <w:bottom w:val="none" w:sz="0" w:space="0" w:color="auto"/>
        <w:right w:val="none" w:sz="0" w:space="0" w:color="auto"/>
      </w:divBdr>
    </w:div>
    <w:div w:id="394477019">
      <w:bodyDiv w:val="1"/>
      <w:marLeft w:val="0"/>
      <w:marRight w:val="0"/>
      <w:marTop w:val="0"/>
      <w:marBottom w:val="0"/>
      <w:divBdr>
        <w:top w:val="none" w:sz="0" w:space="0" w:color="auto"/>
        <w:left w:val="none" w:sz="0" w:space="0" w:color="auto"/>
        <w:bottom w:val="none" w:sz="0" w:space="0" w:color="auto"/>
        <w:right w:val="none" w:sz="0" w:space="0" w:color="auto"/>
      </w:divBdr>
    </w:div>
    <w:div w:id="394478259">
      <w:bodyDiv w:val="1"/>
      <w:marLeft w:val="0"/>
      <w:marRight w:val="0"/>
      <w:marTop w:val="0"/>
      <w:marBottom w:val="0"/>
      <w:divBdr>
        <w:top w:val="none" w:sz="0" w:space="0" w:color="auto"/>
        <w:left w:val="none" w:sz="0" w:space="0" w:color="auto"/>
        <w:bottom w:val="none" w:sz="0" w:space="0" w:color="auto"/>
        <w:right w:val="none" w:sz="0" w:space="0" w:color="auto"/>
      </w:divBdr>
    </w:div>
    <w:div w:id="394858562">
      <w:bodyDiv w:val="1"/>
      <w:marLeft w:val="0"/>
      <w:marRight w:val="0"/>
      <w:marTop w:val="0"/>
      <w:marBottom w:val="0"/>
      <w:divBdr>
        <w:top w:val="none" w:sz="0" w:space="0" w:color="auto"/>
        <w:left w:val="none" w:sz="0" w:space="0" w:color="auto"/>
        <w:bottom w:val="none" w:sz="0" w:space="0" w:color="auto"/>
        <w:right w:val="none" w:sz="0" w:space="0" w:color="auto"/>
      </w:divBdr>
    </w:div>
    <w:div w:id="395129515">
      <w:bodyDiv w:val="1"/>
      <w:marLeft w:val="0"/>
      <w:marRight w:val="0"/>
      <w:marTop w:val="0"/>
      <w:marBottom w:val="0"/>
      <w:divBdr>
        <w:top w:val="none" w:sz="0" w:space="0" w:color="auto"/>
        <w:left w:val="none" w:sz="0" w:space="0" w:color="auto"/>
        <w:bottom w:val="none" w:sz="0" w:space="0" w:color="auto"/>
        <w:right w:val="none" w:sz="0" w:space="0" w:color="auto"/>
      </w:divBdr>
    </w:div>
    <w:div w:id="395204238">
      <w:bodyDiv w:val="1"/>
      <w:marLeft w:val="0"/>
      <w:marRight w:val="0"/>
      <w:marTop w:val="0"/>
      <w:marBottom w:val="0"/>
      <w:divBdr>
        <w:top w:val="none" w:sz="0" w:space="0" w:color="auto"/>
        <w:left w:val="none" w:sz="0" w:space="0" w:color="auto"/>
        <w:bottom w:val="none" w:sz="0" w:space="0" w:color="auto"/>
        <w:right w:val="none" w:sz="0" w:space="0" w:color="auto"/>
      </w:divBdr>
    </w:div>
    <w:div w:id="395661874">
      <w:bodyDiv w:val="1"/>
      <w:marLeft w:val="0"/>
      <w:marRight w:val="0"/>
      <w:marTop w:val="0"/>
      <w:marBottom w:val="0"/>
      <w:divBdr>
        <w:top w:val="none" w:sz="0" w:space="0" w:color="auto"/>
        <w:left w:val="none" w:sz="0" w:space="0" w:color="auto"/>
        <w:bottom w:val="none" w:sz="0" w:space="0" w:color="auto"/>
        <w:right w:val="none" w:sz="0" w:space="0" w:color="auto"/>
      </w:divBdr>
    </w:div>
    <w:div w:id="396780829">
      <w:bodyDiv w:val="1"/>
      <w:marLeft w:val="0"/>
      <w:marRight w:val="0"/>
      <w:marTop w:val="0"/>
      <w:marBottom w:val="0"/>
      <w:divBdr>
        <w:top w:val="none" w:sz="0" w:space="0" w:color="auto"/>
        <w:left w:val="none" w:sz="0" w:space="0" w:color="auto"/>
        <w:bottom w:val="none" w:sz="0" w:space="0" w:color="auto"/>
        <w:right w:val="none" w:sz="0" w:space="0" w:color="auto"/>
      </w:divBdr>
    </w:div>
    <w:div w:id="396900764">
      <w:bodyDiv w:val="1"/>
      <w:marLeft w:val="0"/>
      <w:marRight w:val="0"/>
      <w:marTop w:val="0"/>
      <w:marBottom w:val="0"/>
      <w:divBdr>
        <w:top w:val="none" w:sz="0" w:space="0" w:color="auto"/>
        <w:left w:val="none" w:sz="0" w:space="0" w:color="auto"/>
        <w:bottom w:val="none" w:sz="0" w:space="0" w:color="auto"/>
        <w:right w:val="none" w:sz="0" w:space="0" w:color="auto"/>
      </w:divBdr>
    </w:div>
    <w:div w:id="397286982">
      <w:bodyDiv w:val="1"/>
      <w:marLeft w:val="0"/>
      <w:marRight w:val="0"/>
      <w:marTop w:val="0"/>
      <w:marBottom w:val="0"/>
      <w:divBdr>
        <w:top w:val="none" w:sz="0" w:space="0" w:color="auto"/>
        <w:left w:val="none" w:sz="0" w:space="0" w:color="auto"/>
        <w:bottom w:val="none" w:sz="0" w:space="0" w:color="auto"/>
        <w:right w:val="none" w:sz="0" w:space="0" w:color="auto"/>
      </w:divBdr>
    </w:div>
    <w:div w:id="397552198">
      <w:bodyDiv w:val="1"/>
      <w:marLeft w:val="0"/>
      <w:marRight w:val="0"/>
      <w:marTop w:val="0"/>
      <w:marBottom w:val="0"/>
      <w:divBdr>
        <w:top w:val="none" w:sz="0" w:space="0" w:color="auto"/>
        <w:left w:val="none" w:sz="0" w:space="0" w:color="auto"/>
        <w:bottom w:val="none" w:sz="0" w:space="0" w:color="auto"/>
        <w:right w:val="none" w:sz="0" w:space="0" w:color="auto"/>
      </w:divBdr>
    </w:div>
    <w:div w:id="398527489">
      <w:bodyDiv w:val="1"/>
      <w:marLeft w:val="0"/>
      <w:marRight w:val="0"/>
      <w:marTop w:val="0"/>
      <w:marBottom w:val="0"/>
      <w:divBdr>
        <w:top w:val="none" w:sz="0" w:space="0" w:color="auto"/>
        <w:left w:val="none" w:sz="0" w:space="0" w:color="auto"/>
        <w:bottom w:val="none" w:sz="0" w:space="0" w:color="auto"/>
        <w:right w:val="none" w:sz="0" w:space="0" w:color="auto"/>
      </w:divBdr>
    </w:div>
    <w:div w:id="398987079">
      <w:bodyDiv w:val="1"/>
      <w:marLeft w:val="0"/>
      <w:marRight w:val="0"/>
      <w:marTop w:val="0"/>
      <w:marBottom w:val="0"/>
      <w:divBdr>
        <w:top w:val="none" w:sz="0" w:space="0" w:color="auto"/>
        <w:left w:val="none" w:sz="0" w:space="0" w:color="auto"/>
        <w:bottom w:val="none" w:sz="0" w:space="0" w:color="auto"/>
        <w:right w:val="none" w:sz="0" w:space="0" w:color="auto"/>
      </w:divBdr>
    </w:div>
    <w:div w:id="399524737">
      <w:bodyDiv w:val="1"/>
      <w:marLeft w:val="0"/>
      <w:marRight w:val="0"/>
      <w:marTop w:val="0"/>
      <w:marBottom w:val="0"/>
      <w:divBdr>
        <w:top w:val="none" w:sz="0" w:space="0" w:color="auto"/>
        <w:left w:val="none" w:sz="0" w:space="0" w:color="auto"/>
        <w:bottom w:val="none" w:sz="0" w:space="0" w:color="auto"/>
        <w:right w:val="none" w:sz="0" w:space="0" w:color="auto"/>
      </w:divBdr>
    </w:div>
    <w:div w:id="400758560">
      <w:bodyDiv w:val="1"/>
      <w:marLeft w:val="0"/>
      <w:marRight w:val="0"/>
      <w:marTop w:val="0"/>
      <w:marBottom w:val="0"/>
      <w:divBdr>
        <w:top w:val="none" w:sz="0" w:space="0" w:color="auto"/>
        <w:left w:val="none" w:sz="0" w:space="0" w:color="auto"/>
        <w:bottom w:val="none" w:sz="0" w:space="0" w:color="auto"/>
        <w:right w:val="none" w:sz="0" w:space="0" w:color="auto"/>
      </w:divBdr>
    </w:div>
    <w:div w:id="401146402">
      <w:bodyDiv w:val="1"/>
      <w:marLeft w:val="0"/>
      <w:marRight w:val="0"/>
      <w:marTop w:val="0"/>
      <w:marBottom w:val="0"/>
      <w:divBdr>
        <w:top w:val="none" w:sz="0" w:space="0" w:color="auto"/>
        <w:left w:val="none" w:sz="0" w:space="0" w:color="auto"/>
        <w:bottom w:val="none" w:sz="0" w:space="0" w:color="auto"/>
        <w:right w:val="none" w:sz="0" w:space="0" w:color="auto"/>
      </w:divBdr>
    </w:div>
    <w:div w:id="401177317">
      <w:bodyDiv w:val="1"/>
      <w:marLeft w:val="0"/>
      <w:marRight w:val="0"/>
      <w:marTop w:val="0"/>
      <w:marBottom w:val="0"/>
      <w:divBdr>
        <w:top w:val="none" w:sz="0" w:space="0" w:color="auto"/>
        <w:left w:val="none" w:sz="0" w:space="0" w:color="auto"/>
        <w:bottom w:val="none" w:sz="0" w:space="0" w:color="auto"/>
        <w:right w:val="none" w:sz="0" w:space="0" w:color="auto"/>
      </w:divBdr>
    </w:div>
    <w:div w:id="402532350">
      <w:bodyDiv w:val="1"/>
      <w:marLeft w:val="0"/>
      <w:marRight w:val="0"/>
      <w:marTop w:val="0"/>
      <w:marBottom w:val="0"/>
      <w:divBdr>
        <w:top w:val="none" w:sz="0" w:space="0" w:color="auto"/>
        <w:left w:val="none" w:sz="0" w:space="0" w:color="auto"/>
        <w:bottom w:val="none" w:sz="0" w:space="0" w:color="auto"/>
        <w:right w:val="none" w:sz="0" w:space="0" w:color="auto"/>
      </w:divBdr>
    </w:div>
    <w:div w:id="402680762">
      <w:bodyDiv w:val="1"/>
      <w:marLeft w:val="0"/>
      <w:marRight w:val="0"/>
      <w:marTop w:val="0"/>
      <w:marBottom w:val="0"/>
      <w:divBdr>
        <w:top w:val="none" w:sz="0" w:space="0" w:color="auto"/>
        <w:left w:val="none" w:sz="0" w:space="0" w:color="auto"/>
        <w:bottom w:val="none" w:sz="0" w:space="0" w:color="auto"/>
        <w:right w:val="none" w:sz="0" w:space="0" w:color="auto"/>
      </w:divBdr>
    </w:div>
    <w:div w:id="402723467">
      <w:bodyDiv w:val="1"/>
      <w:marLeft w:val="0"/>
      <w:marRight w:val="0"/>
      <w:marTop w:val="0"/>
      <w:marBottom w:val="0"/>
      <w:divBdr>
        <w:top w:val="none" w:sz="0" w:space="0" w:color="auto"/>
        <w:left w:val="none" w:sz="0" w:space="0" w:color="auto"/>
        <w:bottom w:val="none" w:sz="0" w:space="0" w:color="auto"/>
        <w:right w:val="none" w:sz="0" w:space="0" w:color="auto"/>
      </w:divBdr>
    </w:div>
    <w:div w:id="402727506">
      <w:bodyDiv w:val="1"/>
      <w:marLeft w:val="0"/>
      <w:marRight w:val="0"/>
      <w:marTop w:val="0"/>
      <w:marBottom w:val="0"/>
      <w:divBdr>
        <w:top w:val="none" w:sz="0" w:space="0" w:color="auto"/>
        <w:left w:val="none" w:sz="0" w:space="0" w:color="auto"/>
        <w:bottom w:val="none" w:sz="0" w:space="0" w:color="auto"/>
        <w:right w:val="none" w:sz="0" w:space="0" w:color="auto"/>
      </w:divBdr>
    </w:div>
    <w:div w:id="403377430">
      <w:bodyDiv w:val="1"/>
      <w:marLeft w:val="0"/>
      <w:marRight w:val="0"/>
      <w:marTop w:val="0"/>
      <w:marBottom w:val="0"/>
      <w:divBdr>
        <w:top w:val="none" w:sz="0" w:space="0" w:color="auto"/>
        <w:left w:val="none" w:sz="0" w:space="0" w:color="auto"/>
        <w:bottom w:val="none" w:sz="0" w:space="0" w:color="auto"/>
        <w:right w:val="none" w:sz="0" w:space="0" w:color="auto"/>
      </w:divBdr>
    </w:div>
    <w:div w:id="403449503">
      <w:bodyDiv w:val="1"/>
      <w:marLeft w:val="0"/>
      <w:marRight w:val="0"/>
      <w:marTop w:val="0"/>
      <w:marBottom w:val="0"/>
      <w:divBdr>
        <w:top w:val="none" w:sz="0" w:space="0" w:color="auto"/>
        <w:left w:val="none" w:sz="0" w:space="0" w:color="auto"/>
        <w:bottom w:val="none" w:sz="0" w:space="0" w:color="auto"/>
        <w:right w:val="none" w:sz="0" w:space="0" w:color="auto"/>
      </w:divBdr>
    </w:div>
    <w:div w:id="403528155">
      <w:bodyDiv w:val="1"/>
      <w:marLeft w:val="0"/>
      <w:marRight w:val="0"/>
      <w:marTop w:val="0"/>
      <w:marBottom w:val="0"/>
      <w:divBdr>
        <w:top w:val="none" w:sz="0" w:space="0" w:color="auto"/>
        <w:left w:val="none" w:sz="0" w:space="0" w:color="auto"/>
        <w:bottom w:val="none" w:sz="0" w:space="0" w:color="auto"/>
        <w:right w:val="none" w:sz="0" w:space="0" w:color="auto"/>
      </w:divBdr>
    </w:div>
    <w:div w:id="404497729">
      <w:bodyDiv w:val="1"/>
      <w:marLeft w:val="0"/>
      <w:marRight w:val="0"/>
      <w:marTop w:val="0"/>
      <w:marBottom w:val="0"/>
      <w:divBdr>
        <w:top w:val="none" w:sz="0" w:space="0" w:color="auto"/>
        <w:left w:val="none" w:sz="0" w:space="0" w:color="auto"/>
        <w:bottom w:val="none" w:sz="0" w:space="0" w:color="auto"/>
        <w:right w:val="none" w:sz="0" w:space="0" w:color="auto"/>
      </w:divBdr>
    </w:div>
    <w:div w:id="404913051">
      <w:bodyDiv w:val="1"/>
      <w:marLeft w:val="0"/>
      <w:marRight w:val="0"/>
      <w:marTop w:val="0"/>
      <w:marBottom w:val="0"/>
      <w:divBdr>
        <w:top w:val="none" w:sz="0" w:space="0" w:color="auto"/>
        <w:left w:val="none" w:sz="0" w:space="0" w:color="auto"/>
        <w:bottom w:val="none" w:sz="0" w:space="0" w:color="auto"/>
        <w:right w:val="none" w:sz="0" w:space="0" w:color="auto"/>
      </w:divBdr>
    </w:div>
    <w:div w:id="405690206">
      <w:bodyDiv w:val="1"/>
      <w:marLeft w:val="0"/>
      <w:marRight w:val="0"/>
      <w:marTop w:val="0"/>
      <w:marBottom w:val="0"/>
      <w:divBdr>
        <w:top w:val="none" w:sz="0" w:space="0" w:color="auto"/>
        <w:left w:val="none" w:sz="0" w:space="0" w:color="auto"/>
        <w:bottom w:val="none" w:sz="0" w:space="0" w:color="auto"/>
        <w:right w:val="none" w:sz="0" w:space="0" w:color="auto"/>
      </w:divBdr>
    </w:div>
    <w:div w:id="407389783">
      <w:bodyDiv w:val="1"/>
      <w:marLeft w:val="0"/>
      <w:marRight w:val="0"/>
      <w:marTop w:val="0"/>
      <w:marBottom w:val="0"/>
      <w:divBdr>
        <w:top w:val="none" w:sz="0" w:space="0" w:color="auto"/>
        <w:left w:val="none" w:sz="0" w:space="0" w:color="auto"/>
        <w:bottom w:val="none" w:sz="0" w:space="0" w:color="auto"/>
        <w:right w:val="none" w:sz="0" w:space="0" w:color="auto"/>
      </w:divBdr>
    </w:div>
    <w:div w:id="407463168">
      <w:bodyDiv w:val="1"/>
      <w:marLeft w:val="0"/>
      <w:marRight w:val="0"/>
      <w:marTop w:val="0"/>
      <w:marBottom w:val="0"/>
      <w:divBdr>
        <w:top w:val="none" w:sz="0" w:space="0" w:color="auto"/>
        <w:left w:val="none" w:sz="0" w:space="0" w:color="auto"/>
        <w:bottom w:val="none" w:sz="0" w:space="0" w:color="auto"/>
        <w:right w:val="none" w:sz="0" w:space="0" w:color="auto"/>
      </w:divBdr>
    </w:div>
    <w:div w:id="407532138">
      <w:bodyDiv w:val="1"/>
      <w:marLeft w:val="0"/>
      <w:marRight w:val="0"/>
      <w:marTop w:val="0"/>
      <w:marBottom w:val="0"/>
      <w:divBdr>
        <w:top w:val="none" w:sz="0" w:space="0" w:color="auto"/>
        <w:left w:val="none" w:sz="0" w:space="0" w:color="auto"/>
        <w:bottom w:val="none" w:sz="0" w:space="0" w:color="auto"/>
        <w:right w:val="none" w:sz="0" w:space="0" w:color="auto"/>
      </w:divBdr>
    </w:div>
    <w:div w:id="408309615">
      <w:bodyDiv w:val="1"/>
      <w:marLeft w:val="0"/>
      <w:marRight w:val="0"/>
      <w:marTop w:val="0"/>
      <w:marBottom w:val="0"/>
      <w:divBdr>
        <w:top w:val="none" w:sz="0" w:space="0" w:color="auto"/>
        <w:left w:val="none" w:sz="0" w:space="0" w:color="auto"/>
        <w:bottom w:val="none" w:sz="0" w:space="0" w:color="auto"/>
        <w:right w:val="none" w:sz="0" w:space="0" w:color="auto"/>
      </w:divBdr>
    </w:div>
    <w:div w:id="408768949">
      <w:bodyDiv w:val="1"/>
      <w:marLeft w:val="0"/>
      <w:marRight w:val="0"/>
      <w:marTop w:val="0"/>
      <w:marBottom w:val="0"/>
      <w:divBdr>
        <w:top w:val="none" w:sz="0" w:space="0" w:color="auto"/>
        <w:left w:val="none" w:sz="0" w:space="0" w:color="auto"/>
        <w:bottom w:val="none" w:sz="0" w:space="0" w:color="auto"/>
        <w:right w:val="none" w:sz="0" w:space="0" w:color="auto"/>
      </w:divBdr>
    </w:div>
    <w:div w:id="408961074">
      <w:bodyDiv w:val="1"/>
      <w:marLeft w:val="0"/>
      <w:marRight w:val="0"/>
      <w:marTop w:val="0"/>
      <w:marBottom w:val="0"/>
      <w:divBdr>
        <w:top w:val="none" w:sz="0" w:space="0" w:color="auto"/>
        <w:left w:val="none" w:sz="0" w:space="0" w:color="auto"/>
        <w:bottom w:val="none" w:sz="0" w:space="0" w:color="auto"/>
        <w:right w:val="none" w:sz="0" w:space="0" w:color="auto"/>
      </w:divBdr>
    </w:div>
    <w:div w:id="409230862">
      <w:bodyDiv w:val="1"/>
      <w:marLeft w:val="0"/>
      <w:marRight w:val="0"/>
      <w:marTop w:val="0"/>
      <w:marBottom w:val="0"/>
      <w:divBdr>
        <w:top w:val="none" w:sz="0" w:space="0" w:color="auto"/>
        <w:left w:val="none" w:sz="0" w:space="0" w:color="auto"/>
        <w:bottom w:val="none" w:sz="0" w:space="0" w:color="auto"/>
        <w:right w:val="none" w:sz="0" w:space="0" w:color="auto"/>
      </w:divBdr>
    </w:div>
    <w:div w:id="409431947">
      <w:bodyDiv w:val="1"/>
      <w:marLeft w:val="0"/>
      <w:marRight w:val="0"/>
      <w:marTop w:val="0"/>
      <w:marBottom w:val="0"/>
      <w:divBdr>
        <w:top w:val="none" w:sz="0" w:space="0" w:color="auto"/>
        <w:left w:val="none" w:sz="0" w:space="0" w:color="auto"/>
        <w:bottom w:val="none" w:sz="0" w:space="0" w:color="auto"/>
        <w:right w:val="none" w:sz="0" w:space="0" w:color="auto"/>
      </w:divBdr>
    </w:div>
    <w:div w:id="410203052">
      <w:bodyDiv w:val="1"/>
      <w:marLeft w:val="0"/>
      <w:marRight w:val="0"/>
      <w:marTop w:val="0"/>
      <w:marBottom w:val="0"/>
      <w:divBdr>
        <w:top w:val="none" w:sz="0" w:space="0" w:color="auto"/>
        <w:left w:val="none" w:sz="0" w:space="0" w:color="auto"/>
        <w:bottom w:val="none" w:sz="0" w:space="0" w:color="auto"/>
        <w:right w:val="none" w:sz="0" w:space="0" w:color="auto"/>
      </w:divBdr>
    </w:div>
    <w:div w:id="410271988">
      <w:bodyDiv w:val="1"/>
      <w:marLeft w:val="0"/>
      <w:marRight w:val="0"/>
      <w:marTop w:val="0"/>
      <w:marBottom w:val="0"/>
      <w:divBdr>
        <w:top w:val="none" w:sz="0" w:space="0" w:color="auto"/>
        <w:left w:val="none" w:sz="0" w:space="0" w:color="auto"/>
        <w:bottom w:val="none" w:sz="0" w:space="0" w:color="auto"/>
        <w:right w:val="none" w:sz="0" w:space="0" w:color="auto"/>
      </w:divBdr>
    </w:div>
    <w:div w:id="410781367">
      <w:bodyDiv w:val="1"/>
      <w:marLeft w:val="0"/>
      <w:marRight w:val="0"/>
      <w:marTop w:val="0"/>
      <w:marBottom w:val="0"/>
      <w:divBdr>
        <w:top w:val="none" w:sz="0" w:space="0" w:color="auto"/>
        <w:left w:val="none" w:sz="0" w:space="0" w:color="auto"/>
        <w:bottom w:val="none" w:sz="0" w:space="0" w:color="auto"/>
        <w:right w:val="none" w:sz="0" w:space="0" w:color="auto"/>
      </w:divBdr>
    </w:div>
    <w:div w:id="411894342">
      <w:bodyDiv w:val="1"/>
      <w:marLeft w:val="0"/>
      <w:marRight w:val="0"/>
      <w:marTop w:val="0"/>
      <w:marBottom w:val="0"/>
      <w:divBdr>
        <w:top w:val="none" w:sz="0" w:space="0" w:color="auto"/>
        <w:left w:val="none" w:sz="0" w:space="0" w:color="auto"/>
        <w:bottom w:val="none" w:sz="0" w:space="0" w:color="auto"/>
        <w:right w:val="none" w:sz="0" w:space="0" w:color="auto"/>
      </w:divBdr>
    </w:div>
    <w:div w:id="412164769">
      <w:bodyDiv w:val="1"/>
      <w:marLeft w:val="0"/>
      <w:marRight w:val="0"/>
      <w:marTop w:val="0"/>
      <w:marBottom w:val="0"/>
      <w:divBdr>
        <w:top w:val="none" w:sz="0" w:space="0" w:color="auto"/>
        <w:left w:val="none" w:sz="0" w:space="0" w:color="auto"/>
        <w:bottom w:val="none" w:sz="0" w:space="0" w:color="auto"/>
        <w:right w:val="none" w:sz="0" w:space="0" w:color="auto"/>
      </w:divBdr>
    </w:div>
    <w:div w:id="412355941">
      <w:bodyDiv w:val="1"/>
      <w:marLeft w:val="0"/>
      <w:marRight w:val="0"/>
      <w:marTop w:val="0"/>
      <w:marBottom w:val="0"/>
      <w:divBdr>
        <w:top w:val="none" w:sz="0" w:space="0" w:color="auto"/>
        <w:left w:val="none" w:sz="0" w:space="0" w:color="auto"/>
        <w:bottom w:val="none" w:sz="0" w:space="0" w:color="auto"/>
        <w:right w:val="none" w:sz="0" w:space="0" w:color="auto"/>
      </w:divBdr>
    </w:div>
    <w:div w:id="413206962">
      <w:bodyDiv w:val="1"/>
      <w:marLeft w:val="0"/>
      <w:marRight w:val="0"/>
      <w:marTop w:val="0"/>
      <w:marBottom w:val="0"/>
      <w:divBdr>
        <w:top w:val="none" w:sz="0" w:space="0" w:color="auto"/>
        <w:left w:val="none" w:sz="0" w:space="0" w:color="auto"/>
        <w:bottom w:val="none" w:sz="0" w:space="0" w:color="auto"/>
        <w:right w:val="none" w:sz="0" w:space="0" w:color="auto"/>
      </w:divBdr>
    </w:div>
    <w:div w:id="414057707">
      <w:bodyDiv w:val="1"/>
      <w:marLeft w:val="0"/>
      <w:marRight w:val="0"/>
      <w:marTop w:val="0"/>
      <w:marBottom w:val="0"/>
      <w:divBdr>
        <w:top w:val="none" w:sz="0" w:space="0" w:color="auto"/>
        <w:left w:val="none" w:sz="0" w:space="0" w:color="auto"/>
        <w:bottom w:val="none" w:sz="0" w:space="0" w:color="auto"/>
        <w:right w:val="none" w:sz="0" w:space="0" w:color="auto"/>
      </w:divBdr>
    </w:div>
    <w:div w:id="414058113">
      <w:bodyDiv w:val="1"/>
      <w:marLeft w:val="0"/>
      <w:marRight w:val="0"/>
      <w:marTop w:val="0"/>
      <w:marBottom w:val="0"/>
      <w:divBdr>
        <w:top w:val="none" w:sz="0" w:space="0" w:color="auto"/>
        <w:left w:val="none" w:sz="0" w:space="0" w:color="auto"/>
        <w:bottom w:val="none" w:sz="0" w:space="0" w:color="auto"/>
        <w:right w:val="none" w:sz="0" w:space="0" w:color="auto"/>
      </w:divBdr>
    </w:div>
    <w:div w:id="414520348">
      <w:bodyDiv w:val="1"/>
      <w:marLeft w:val="0"/>
      <w:marRight w:val="0"/>
      <w:marTop w:val="0"/>
      <w:marBottom w:val="0"/>
      <w:divBdr>
        <w:top w:val="none" w:sz="0" w:space="0" w:color="auto"/>
        <w:left w:val="none" w:sz="0" w:space="0" w:color="auto"/>
        <w:bottom w:val="none" w:sz="0" w:space="0" w:color="auto"/>
        <w:right w:val="none" w:sz="0" w:space="0" w:color="auto"/>
      </w:divBdr>
    </w:div>
    <w:div w:id="414668852">
      <w:bodyDiv w:val="1"/>
      <w:marLeft w:val="0"/>
      <w:marRight w:val="0"/>
      <w:marTop w:val="0"/>
      <w:marBottom w:val="0"/>
      <w:divBdr>
        <w:top w:val="none" w:sz="0" w:space="0" w:color="auto"/>
        <w:left w:val="none" w:sz="0" w:space="0" w:color="auto"/>
        <w:bottom w:val="none" w:sz="0" w:space="0" w:color="auto"/>
        <w:right w:val="none" w:sz="0" w:space="0" w:color="auto"/>
      </w:divBdr>
    </w:div>
    <w:div w:id="414783228">
      <w:bodyDiv w:val="1"/>
      <w:marLeft w:val="0"/>
      <w:marRight w:val="0"/>
      <w:marTop w:val="0"/>
      <w:marBottom w:val="0"/>
      <w:divBdr>
        <w:top w:val="none" w:sz="0" w:space="0" w:color="auto"/>
        <w:left w:val="none" w:sz="0" w:space="0" w:color="auto"/>
        <w:bottom w:val="none" w:sz="0" w:space="0" w:color="auto"/>
        <w:right w:val="none" w:sz="0" w:space="0" w:color="auto"/>
      </w:divBdr>
    </w:div>
    <w:div w:id="415173958">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16825527">
      <w:bodyDiv w:val="1"/>
      <w:marLeft w:val="0"/>
      <w:marRight w:val="0"/>
      <w:marTop w:val="0"/>
      <w:marBottom w:val="0"/>
      <w:divBdr>
        <w:top w:val="none" w:sz="0" w:space="0" w:color="auto"/>
        <w:left w:val="none" w:sz="0" w:space="0" w:color="auto"/>
        <w:bottom w:val="none" w:sz="0" w:space="0" w:color="auto"/>
        <w:right w:val="none" w:sz="0" w:space="0" w:color="auto"/>
      </w:divBdr>
    </w:div>
    <w:div w:id="417362469">
      <w:bodyDiv w:val="1"/>
      <w:marLeft w:val="0"/>
      <w:marRight w:val="0"/>
      <w:marTop w:val="0"/>
      <w:marBottom w:val="0"/>
      <w:divBdr>
        <w:top w:val="none" w:sz="0" w:space="0" w:color="auto"/>
        <w:left w:val="none" w:sz="0" w:space="0" w:color="auto"/>
        <w:bottom w:val="none" w:sz="0" w:space="0" w:color="auto"/>
        <w:right w:val="none" w:sz="0" w:space="0" w:color="auto"/>
      </w:divBdr>
    </w:div>
    <w:div w:id="418335818">
      <w:bodyDiv w:val="1"/>
      <w:marLeft w:val="0"/>
      <w:marRight w:val="0"/>
      <w:marTop w:val="0"/>
      <w:marBottom w:val="0"/>
      <w:divBdr>
        <w:top w:val="none" w:sz="0" w:space="0" w:color="auto"/>
        <w:left w:val="none" w:sz="0" w:space="0" w:color="auto"/>
        <w:bottom w:val="none" w:sz="0" w:space="0" w:color="auto"/>
        <w:right w:val="none" w:sz="0" w:space="0" w:color="auto"/>
      </w:divBdr>
    </w:div>
    <w:div w:id="418908238">
      <w:bodyDiv w:val="1"/>
      <w:marLeft w:val="0"/>
      <w:marRight w:val="0"/>
      <w:marTop w:val="0"/>
      <w:marBottom w:val="0"/>
      <w:divBdr>
        <w:top w:val="none" w:sz="0" w:space="0" w:color="auto"/>
        <w:left w:val="none" w:sz="0" w:space="0" w:color="auto"/>
        <w:bottom w:val="none" w:sz="0" w:space="0" w:color="auto"/>
        <w:right w:val="none" w:sz="0" w:space="0" w:color="auto"/>
      </w:divBdr>
    </w:div>
    <w:div w:id="418985399">
      <w:bodyDiv w:val="1"/>
      <w:marLeft w:val="0"/>
      <w:marRight w:val="0"/>
      <w:marTop w:val="0"/>
      <w:marBottom w:val="0"/>
      <w:divBdr>
        <w:top w:val="none" w:sz="0" w:space="0" w:color="auto"/>
        <w:left w:val="none" w:sz="0" w:space="0" w:color="auto"/>
        <w:bottom w:val="none" w:sz="0" w:space="0" w:color="auto"/>
        <w:right w:val="none" w:sz="0" w:space="0" w:color="auto"/>
      </w:divBdr>
    </w:div>
    <w:div w:id="419253694">
      <w:bodyDiv w:val="1"/>
      <w:marLeft w:val="0"/>
      <w:marRight w:val="0"/>
      <w:marTop w:val="0"/>
      <w:marBottom w:val="0"/>
      <w:divBdr>
        <w:top w:val="none" w:sz="0" w:space="0" w:color="auto"/>
        <w:left w:val="none" w:sz="0" w:space="0" w:color="auto"/>
        <w:bottom w:val="none" w:sz="0" w:space="0" w:color="auto"/>
        <w:right w:val="none" w:sz="0" w:space="0" w:color="auto"/>
      </w:divBdr>
    </w:div>
    <w:div w:id="419718511">
      <w:bodyDiv w:val="1"/>
      <w:marLeft w:val="0"/>
      <w:marRight w:val="0"/>
      <w:marTop w:val="0"/>
      <w:marBottom w:val="0"/>
      <w:divBdr>
        <w:top w:val="none" w:sz="0" w:space="0" w:color="auto"/>
        <w:left w:val="none" w:sz="0" w:space="0" w:color="auto"/>
        <w:bottom w:val="none" w:sz="0" w:space="0" w:color="auto"/>
        <w:right w:val="none" w:sz="0" w:space="0" w:color="auto"/>
      </w:divBdr>
    </w:div>
    <w:div w:id="420183402">
      <w:bodyDiv w:val="1"/>
      <w:marLeft w:val="0"/>
      <w:marRight w:val="0"/>
      <w:marTop w:val="0"/>
      <w:marBottom w:val="0"/>
      <w:divBdr>
        <w:top w:val="none" w:sz="0" w:space="0" w:color="auto"/>
        <w:left w:val="none" w:sz="0" w:space="0" w:color="auto"/>
        <w:bottom w:val="none" w:sz="0" w:space="0" w:color="auto"/>
        <w:right w:val="none" w:sz="0" w:space="0" w:color="auto"/>
      </w:divBdr>
    </w:div>
    <w:div w:id="420495687">
      <w:bodyDiv w:val="1"/>
      <w:marLeft w:val="0"/>
      <w:marRight w:val="0"/>
      <w:marTop w:val="0"/>
      <w:marBottom w:val="0"/>
      <w:divBdr>
        <w:top w:val="none" w:sz="0" w:space="0" w:color="auto"/>
        <w:left w:val="none" w:sz="0" w:space="0" w:color="auto"/>
        <w:bottom w:val="none" w:sz="0" w:space="0" w:color="auto"/>
        <w:right w:val="none" w:sz="0" w:space="0" w:color="auto"/>
      </w:divBdr>
    </w:div>
    <w:div w:id="420949002">
      <w:bodyDiv w:val="1"/>
      <w:marLeft w:val="0"/>
      <w:marRight w:val="0"/>
      <w:marTop w:val="0"/>
      <w:marBottom w:val="0"/>
      <w:divBdr>
        <w:top w:val="none" w:sz="0" w:space="0" w:color="auto"/>
        <w:left w:val="none" w:sz="0" w:space="0" w:color="auto"/>
        <w:bottom w:val="none" w:sz="0" w:space="0" w:color="auto"/>
        <w:right w:val="none" w:sz="0" w:space="0" w:color="auto"/>
      </w:divBdr>
    </w:div>
    <w:div w:id="421027804">
      <w:bodyDiv w:val="1"/>
      <w:marLeft w:val="0"/>
      <w:marRight w:val="0"/>
      <w:marTop w:val="0"/>
      <w:marBottom w:val="0"/>
      <w:divBdr>
        <w:top w:val="none" w:sz="0" w:space="0" w:color="auto"/>
        <w:left w:val="none" w:sz="0" w:space="0" w:color="auto"/>
        <w:bottom w:val="none" w:sz="0" w:space="0" w:color="auto"/>
        <w:right w:val="none" w:sz="0" w:space="0" w:color="auto"/>
      </w:divBdr>
    </w:div>
    <w:div w:id="421686850">
      <w:bodyDiv w:val="1"/>
      <w:marLeft w:val="0"/>
      <w:marRight w:val="0"/>
      <w:marTop w:val="0"/>
      <w:marBottom w:val="0"/>
      <w:divBdr>
        <w:top w:val="none" w:sz="0" w:space="0" w:color="auto"/>
        <w:left w:val="none" w:sz="0" w:space="0" w:color="auto"/>
        <w:bottom w:val="none" w:sz="0" w:space="0" w:color="auto"/>
        <w:right w:val="none" w:sz="0" w:space="0" w:color="auto"/>
      </w:divBdr>
    </w:div>
    <w:div w:id="421726780">
      <w:bodyDiv w:val="1"/>
      <w:marLeft w:val="0"/>
      <w:marRight w:val="0"/>
      <w:marTop w:val="0"/>
      <w:marBottom w:val="0"/>
      <w:divBdr>
        <w:top w:val="none" w:sz="0" w:space="0" w:color="auto"/>
        <w:left w:val="none" w:sz="0" w:space="0" w:color="auto"/>
        <w:bottom w:val="none" w:sz="0" w:space="0" w:color="auto"/>
        <w:right w:val="none" w:sz="0" w:space="0" w:color="auto"/>
      </w:divBdr>
    </w:div>
    <w:div w:id="422072326">
      <w:bodyDiv w:val="1"/>
      <w:marLeft w:val="0"/>
      <w:marRight w:val="0"/>
      <w:marTop w:val="0"/>
      <w:marBottom w:val="0"/>
      <w:divBdr>
        <w:top w:val="none" w:sz="0" w:space="0" w:color="auto"/>
        <w:left w:val="none" w:sz="0" w:space="0" w:color="auto"/>
        <w:bottom w:val="none" w:sz="0" w:space="0" w:color="auto"/>
        <w:right w:val="none" w:sz="0" w:space="0" w:color="auto"/>
      </w:divBdr>
    </w:div>
    <w:div w:id="422338519">
      <w:bodyDiv w:val="1"/>
      <w:marLeft w:val="0"/>
      <w:marRight w:val="0"/>
      <w:marTop w:val="0"/>
      <w:marBottom w:val="0"/>
      <w:divBdr>
        <w:top w:val="none" w:sz="0" w:space="0" w:color="auto"/>
        <w:left w:val="none" w:sz="0" w:space="0" w:color="auto"/>
        <w:bottom w:val="none" w:sz="0" w:space="0" w:color="auto"/>
        <w:right w:val="none" w:sz="0" w:space="0" w:color="auto"/>
      </w:divBdr>
    </w:div>
    <w:div w:id="422533600">
      <w:bodyDiv w:val="1"/>
      <w:marLeft w:val="0"/>
      <w:marRight w:val="0"/>
      <w:marTop w:val="0"/>
      <w:marBottom w:val="0"/>
      <w:divBdr>
        <w:top w:val="none" w:sz="0" w:space="0" w:color="auto"/>
        <w:left w:val="none" w:sz="0" w:space="0" w:color="auto"/>
        <w:bottom w:val="none" w:sz="0" w:space="0" w:color="auto"/>
        <w:right w:val="none" w:sz="0" w:space="0" w:color="auto"/>
      </w:divBdr>
    </w:div>
    <w:div w:id="423647549">
      <w:bodyDiv w:val="1"/>
      <w:marLeft w:val="0"/>
      <w:marRight w:val="0"/>
      <w:marTop w:val="0"/>
      <w:marBottom w:val="0"/>
      <w:divBdr>
        <w:top w:val="none" w:sz="0" w:space="0" w:color="auto"/>
        <w:left w:val="none" w:sz="0" w:space="0" w:color="auto"/>
        <w:bottom w:val="none" w:sz="0" w:space="0" w:color="auto"/>
        <w:right w:val="none" w:sz="0" w:space="0" w:color="auto"/>
      </w:divBdr>
    </w:div>
    <w:div w:id="423913988">
      <w:bodyDiv w:val="1"/>
      <w:marLeft w:val="0"/>
      <w:marRight w:val="0"/>
      <w:marTop w:val="0"/>
      <w:marBottom w:val="0"/>
      <w:divBdr>
        <w:top w:val="none" w:sz="0" w:space="0" w:color="auto"/>
        <w:left w:val="none" w:sz="0" w:space="0" w:color="auto"/>
        <w:bottom w:val="none" w:sz="0" w:space="0" w:color="auto"/>
        <w:right w:val="none" w:sz="0" w:space="0" w:color="auto"/>
      </w:divBdr>
    </w:div>
    <w:div w:id="424880873">
      <w:bodyDiv w:val="1"/>
      <w:marLeft w:val="0"/>
      <w:marRight w:val="0"/>
      <w:marTop w:val="0"/>
      <w:marBottom w:val="0"/>
      <w:divBdr>
        <w:top w:val="none" w:sz="0" w:space="0" w:color="auto"/>
        <w:left w:val="none" w:sz="0" w:space="0" w:color="auto"/>
        <w:bottom w:val="none" w:sz="0" w:space="0" w:color="auto"/>
        <w:right w:val="none" w:sz="0" w:space="0" w:color="auto"/>
      </w:divBdr>
    </w:div>
    <w:div w:id="424882633">
      <w:bodyDiv w:val="1"/>
      <w:marLeft w:val="0"/>
      <w:marRight w:val="0"/>
      <w:marTop w:val="0"/>
      <w:marBottom w:val="0"/>
      <w:divBdr>
        <w:top w:val="none" w:sz="0" w:space="0" w:color="auto"/>
        <w:left w:val="none" w:sz="0" w:space="0" w:color="auto"/>
        <w:bottom w:val="none" w:sz="0" w:space="0" w:color="auto"/>
        <w:right w:val="none" w:sz="0" w:space="0" w:color="auto"/>
      </w:divBdr>
    </w:div>
    <w:div w:id="425030950">
      <w:bodyDiv w:val="1"/>
      <w:marLeft w:val="0"/>
      <w:marRight w:val="0"/>
      <w:marTop w:val="0"/>
      <w:marBottom w:val="0"/>
      <w:divBdr>
        <w:top w:val="none" w:sz="0" w:space="0" w:color="auto"/>
        <w:left w:val="none" w:sz="0" w:space="0" w:color="auto"/>
        <w:bottom w:val="none" w:sz="0" w:space="0" w:color="auto"/>
        <w:right w:val="none" w:sz="0" w:space="0" w:color="auto"/>
      </w:divBdr>
    </w:div>
    <w:div w:id="425275098">
      <w:bodyDiv w:val="1"/>
      <w:marLeft w:val="0"/>
      <w:marRight w:val="0"/>
      <w:marTop w:val="0"/>
      <w:marBottom w:val="0"/>
      <w:divBdr>
        <w:top w:val="none" w:sz="0" w:space="0" w:color="auto"/>
        <w:left w:val="none" w:sz="0" w:space="0" w:color="auto"/>
        <w:bottom w:val="none" w:sz="0" w:space="0" w:color="auto"/>
        <w:right w:val="none" w:sz="0" w:space="0" w:color="auto"/>
      </w:divBdr>
    </w:div>
    <w:div w:id="425462116">
      <w:bodyDiv w:val="1"/>
      <w:marLeft w:val="0"/>
      <w:marRight w:val="0"/>
      <w:marTop w:val="0"/>
      <w:marBottom w:val="0"/>
      <w:divBdr>
        <w:top w:val="none" w:sz="0" w:space="0" w:color="auto"/>
        <w:left w:val="none" w:sz="0" w:space="0" w:color="auto"/>
        <w:bottom w:val="none" w:sz="0" w:space="0" w:color="auto"/>
        <w:right w:val="none" w:sz="0" w:space="0" w:color="auto"/>
      </w:divBdr>
    </w:div>
    <w:div w:id="425535857">
      <w:bodyDiv w:val="1"/>
      <w:marLeft w:val="0"/>
      <w:marRight w:val="0"/>
      <w:marTop w:val="0"/>
      <w:marBottom w:val="0"/>
      <w:divBdr>
        <w:top w:val="none" w:sz="0" w:space="0" w:color="auto"/>
        <w:left w:val="none" w:sz="0" w:space="0" w:color="auto"/>
        <w:bottom w:val="none" w:sz="0" w:space="0" w:color="auto"/>
        <w:right w:val="none" w:sz="0" w:space="0" w:color="auto"/>
      </w:divBdr>
    </w:div>
    <w:div w:id="425881247">
      <w:bodyDiv w:val="1"/>
      <w:marLeft w:val="0"/>
      <w:marRight w:val="0"/>
      <w:marTop w:val="0"/>
      <w:marBottom w:val="0"/>
      <w:divBdr>
        <w:top w:val="none" w:sz="0" w:space="0" w:color="auto"/>
        <w:left w:val="none" w:sz="0" w:space="0" w:color="auto"/>
        <w:bottom w:val="none" w:sz="0" w:space="0" w:color="auto"/>
        <w:right w:val="none" w:sz="0" w:space="0" w:color="auto"/>
      </w:divBdr>
    </w:div>
    <w:div w:id="425922753">
      <w:bodyDiv w:val="1"/>
      <w:marLeft w:val="0"/>
      <w:marRight w:val="0"/>
      <w:marTop w:val="0"/>
      <w:marBottom w:val="0"/>
      <w:divBdr>
        <w:top w:val="none" w:sz="0" w:space="0" w:color="auto"/>
        <w:left w:val="none" w:sz="0" w:space="0" w:color="auto"/>
        <w:bottom w:val="none" w:sz="0" w:space="0" w:color="auto"/>
        <w:right w:val="none" w:sz="0" w:space="0" w:color="auto"/>
      </w:divBdr>
    </w:div>
    <w:div w:id="426080684">
      <w:bodyDiv w:val="1"/>
      <w:marLeft w:val="0"/>
      <w:marRight w:val="0"/>
      <w:marTop w:val="0"/>
      <w:marBottom w:val="0"/>
      <w:divBdr>
        <w:top w:val="none" w:sz="0" w:space="0" w:color="auto"/>
        <w:left w:val="none" w:sz="0" w:space="0" w:color="auto"/>
        <w:bottom w:val="none" w:sz="0" w:space="0" w:color="auto"/>
        <w:right w:val="none" w:sz="0" w:space="0" w:color="auto"/>
      </w:divBdr>
    </w:div>
    <w:div w:id="426081361">
      <w:bodyDiv w:val="1"/>
      <w:marLeft w:val="0"/>
      <w:marRight w:val="0"/>
      <w:marTop w:val="0"/>
      <w:marBottom w:val="0"/>
      <w:divBdr>
        <w:top w:val="none" w:sz="0" w:space="0" w:color="auto"/>
        <w:left w:val="none" w:sz="0" w:space="0" w:color="auto"/>
        <w:bottom w:val="none" w:sz="0" w:space="0" w:color="auto"/>
        <w:right w:val="none" w:sz="0" w:space="0" w:color="auto"/>
      </w:divBdr>
    </w:div>
    <w:div w:id="426390196">
      <w:bodyDiv w:val="1"/>
      <w:marLeft w:val="0"/>
      <w:marRight w:val="0"/>
      <w:marTop w:val="0"/>
      <w:marBottom w:val="0"/>
      <w:divBdr>
        <w:top w:val="none" w:sz="0" w:space="0" w:color="auto"/>
        <w:left w:val="none" w:sz="0" w:space="0" w:color="auto"/>
        <w:bottom w:val="none" w:sz="0" w:space="0" w:color="auto"/>
        <w:right w:val="none" w:sz="0" w:space="0" w:color="auto"/>
      </w:divBdr>
    </w:div>
    <w:div w:id="426459537">
      <w:bodyDiv w:val="1"/>
      <w:marLeft w:val="0"/>
      <w:marRight w:val="0"/>
      <w:marTop w:val="0"/>
      <w:marBottom w:val="0"/>
      <w:divBdr>
        <w:top w:val="none" w:sz="0" w:space="0" w:color="auto"/>
        <w:left w:val="none" w:sz="0" w:space="0" w:color="auto"/>
        <w:bottom w:val="none" w:sz="0" w:space="0" w:color="auto"/>
        <w:right w:val="none" w:sz="0" w:space="0" w:color="auto"/>
      </w:divBdr>
    </w:div>
    <w:div w:id="427697436">
      <w:bodyDiv w:val="1"/>
      <w:marLeft w:val="0"/>
      <w:marRight w:val="0"/>
      <w:marTop w:val="0"/>
      <w:marBottom w:val="0"/>
      <w:divBdr>
        <w:top w:val="none" w:sz="0" w:space="0" w:color="auto"/>
        <w:left w:val="none" w:sz="0" w:space="0" w:color="auto"/>
        <w:bottom w:val="none" w:sz="0" w:space="0" w:color="auto"/>
        <w:right w:val="none" w:sz="0" w:space="0" w:color="auto"/>
      </w:divBdr>
    </w:div>
    <w:div w:id="427697694">
      <w:bodyDiv w:val="1"/>
      <w:marLeft w:val="0"/>
      <w:marRight w:val="0"/>
      <w:marTop w:val="0"/>
      <w:marBottom w:val="0"/>
      <w:divBdr>
        <w:top w:val="none" w:sz="0" w:space="0" w:color="auto"/>
        <w:left w:val="none" w:sz="0" w:space="0" w:color="auto"/>
        <w:bottom w:val="none" w:sz="0" w:space="0" w:color="auto"/>
        <w:right w:val="none" w:sz="0" w:space="0" w:color="auto"/>
      </w:divBdr>
    </w:div>
    <w:div w:id="427777242">
      <w:bodyDiv w:val="1"/>
      <w:marLeft w:val="0"/>
      <w:marRight w:val="0"/>
      <w:marTop w:val="0"/>
      <w:marBottom w:val="0"/>
      <w:divBdr>
        <w:top w:val="none" w:sz="0" w:space="0" w:color="auto"/>
        <w:left w:val="none" w:sz="0" w:space="0" w:color="auto"/>
        <w:bottom w:val="none" w:sz="0" w:space="0" w:color="auto"/>
        <w:right w:val="none" w:sz="0" w:space="0" w:color="auto"/>
      </w:divBdr>
    </w:div>
    <w:div w:id="427851723">
      <w:bodyDiv w:val="1"/>
      <w:marLeft w:val="0"/>
      <w:marRight w:val="0"/>
      <w:marTop w:val="0"/>
      <w:marBottom w:val="0"/>
      <w:divBdr>
        <w:top w:val="none" w:sz="0" w:space="0" w:color="auto"/>
        <w:left w:val="none" w:sz="0" w:space="0" w:color="auto"/>
        <w:bottom w:val="none" w:sz="0" w:space="0" w:color="auto"/>
        <w:right w:val="none" w:sz="0" w:space="0" w:color="auto"/>
      </w:divBdr>
    </w:div>
    <w:div w:id="428429004">
      <w:bodyDiv w:val="1"/>
      <w:marLeft w:val="0"/>
      <w:marRight w:val="0"/>
      <w:marTop w:val="0"/>
      <w:marBottom w:val="0"/>
      <w:divBdr>
        <w:top w:val="none" w:sz="0" w:space="0" w:color="auto"/>
        <w:left w:val="none" w:sz="0" w:space="0" w:color="auto"/>
        <w:bottom w:val="none" w:sz="0" w:space="0" w:color="auto"/>
        <w:right w:val="none" w:sz="0" w:space="0" w:color="auto"/>
      </w:divBdr>
    </w:div>
    <w:div w:id="428550840">
      <w:bodyDiv w:val="1"/>
      <w:marLeft w:val="0"/>
      <w:marRight w:val="0"/>
      <w:marTop w:val="0"/>
      <w:marBottom w:val="0"/>
      <w:divBdr>
        <w:top w:val="none" w:sz="0" w:space="0" w:color="auto"/>
        <w:left w:val="none" w:sz="0" w:space="0" w:color="auto"/>
        <w:bottom w:val="none" w:sz="0" w:space="0" w:color="auto"/>
        <w:right w:val="none" w:sz="0" w:space="0" w:color="auto"/>
      </w:divBdr>
    </w:div>
    <w:div w:id="429550049">
      <w:bodyDiv w:val="1"/>
      <w:marLeft w:val="0"/>
      <w:marRight w:val="0"/>
      <w:marTop w:val="0"/>
      <w:marBottom w:val="0"/>
      <w:divBdr>
        <w:top w:val="none" w:sz="0" w:space="0" w:color="auto"/>
        <w:left w:val="none" w:sz="0" w:space="0" w:color="auto"/>
        <w:bottom w:val="none" w:sz="0" w:space="0" w:color="auto"/>
        <w:right w:val="none" w:sz="0" w:space="0" w:color="auto"/>
      </w:divBdr>
    </w:div>
    <w:div w:id="429620028">
      <w:bodyDiv w:val="1"/>
      <w:marLeft w:val="0"/>
      <w:marRight w:val="0"/>
      <w:marTop w:val="0"/>
      <w:marBottom w:val="0"/>
      <w:divBdr>
        <w:top w:val="none" w:sz="0" w:space="0" w:color="auto"/>
        <w:left w:val="none" w:sz="0" w:space="0" w:color="auto"/>
        <w:bottom w:val="none" w:sz="0" w:space="0" w:color="auto"/>
        <w:right w:val="none" w:sz="0" w:space="0" w:color="auto"/>
      </w:divBdr>
    </w:div>
    <w:div w:id="430585728">
      <w:bodyDiv w:val="1"/>
      <w:marLeft w:val="0"/>
      <w:marRight w:val="0"/>
      <w:marTop w:val="0"/>
      <w:marBottom w:val="0"/>
      <w:divBdr>
        <w:top w:val="none" w:sz="0" w:space="0" w:color="auto"/>
        <w:left w:val="none" w:sz="0" w:space="0" w:color="auto"/>
        <w:bottom w:val="none" w:sz="0" w:space="0" w:color="auto"/>
        <w:right w:val="none" w:sz="0" w:space="0" w:color="auto"/>
      </w:divBdr>
    </w:div>
    <w:div w:id="430668151">
      <w:bodyDiv w:val="1"/>
      <w:marLeft w:val="0"/>
      <w:marRight w:val="0"/>
      <w:marTop w:val="0"/>
      <w:marBottom w:val="0"/>
      <w:divBdr>
        <w:top w:val="none" w:sz="0" w:space="0" w:color="auto"/>
        <w:left w:val="none" w:sz="0" w:space="0" w:color="auto"/>
        <w:bottom w:val="none" w:sz="0" w:space="0" w:color="auto"/>
        <w:right w:val="none" w:sz="0" w:space="0" w:color="auto"/>
      </w:divBdr>
    </w:div>
    <w:div w:id="431630677">
      <w:bodyDiv w:val="1"/>
      <w:marLeft w:val="0"/>
      <w:marRight w:val="0"/>
      <w:marTop w:val="0"/>
      <w:marBottom w:val="0"/>
      <w:divBdr>
        <w:top w:val="none" w:sz="0" w:space="0" w:color="auto"/>
        <w:left w:val="none" w:sz="0" w:space="0" w:color="auto"/>
        <w:bottom w:val="none" w:sz="0" w:space="0" w:color="auto"/>
        <w:right w:val="none" w:sz="0" w:space="0" w:color="auto"/>
      </w:divBdr>
    </w:div>
    <w:div w:id="432022235">
      <w:bodyDiv w:val="1"/>
      <w:marLeft w:val="0"/>
      <w:marRight w:val="0"/>
      <w:marTop w:val="0"/>
      <w:marBottom w:val="0"/>
      <w:divBdr>
        <w:top w:val="none" w:sz="0" w:space="0" w:color="auto"/>
        <w:left w:val="none" w:sz="0" w:space="0" w:color="auto"/>
        <w:bottom w:val="none" w:sz="0" w:space="0" w:color="auto"/>
        <w:right w:val="none" w:sz="0" w:space="0" w:color="auto"/>
      </w:divBdr>
    </w:div>
    <w:div w:id="432558631">
      <w:bodyDiv w:val="1"/>
      <w:marLeft w:val="0"/>
      <w:marRight w:val="0"/>
      <w:marTop w:val="0"/>
      <w:marBottom w:val="0"/>
      <w:divBdr>
        <w:top w:val="none" w:sz="0" w:space="0" w:color="auto"/>
        <w:left w:val="none" w:sz="0" w:space="0" w:color="auto"/>
        <w:bottom w:val="none" w:sz="0" w:space="0" w:color="auto"/>
        <w:right w:val="none" w:sz="0" w:space="0" w:color="auto"/>
      </w:divBdr>
    </w:div>
    <w:div w:id="432868935">
      <w:bodyDiv w:val="1"/>
      <w:marLeft w:val="0"/>
      <w:marRight w:val="0"/>
      <w:marTop w:val="0"/>
      <w:marBottom w:val="0"/>
      <w:divBdr>
        <w:top w:val="none" w:sz="0" w:space="0" w:color="auto"/>
        <w:left w:val="none" w:sz="0" w:space="0" w:color="auto"/>
        <w:bottom w:val="none" w:sz="0" w:space="0" w:color="auto"/>
        <w:right w:val="none" w:sz="0" w:space="0" w:color="auto"/>
      </w:divBdr>
    </w:div>
    <w:div w:id="432939318">
      <w:bodyDiv w:val="1"/>
      <w:marLeft w:val="0"/>
      <w:marRight w:val="0"/>
      <w:marTop w:val="0"/>
      <w:marBottom w:val="0"/>
      <w:divBdr>
        <w:top w:val="none" w:sz="0" w:space="0" w:color="auto"/>
        <w:left w:val="none" w:sz="0" w:space="0" w:color="auto"/>
        <w:bottom w:val="none" w:sz="0" w:space="0" w:color="auto"/>
        <w:right w:val="none" w:sz="0" w:space="0" w:color="auto"/>
      </w:divBdr>
    </w:div>
    <w:div w:id="433132219">
      <w:bodyDiv w:val="1"/>
      <w:marLeft w:val="0"/>
      <w:marRight w:val="0"/>
      <w:marTop w:val="0"/>
      <w:marBottom w:val="0"/>
      <w:divBdr>
        <w:top w:val="none" w:sz="0" w:space="0" w:color="auto"/>
        <w:left w:val="none" w:sz="0" w:space="0" w:color="auto"/>
        <w:bottom w:val="none" w:sz="0" w:space="0" w:color="auto"/>
        <w:right w:val="none" w:sz="0" w:space="0" w:color="auto"/>
      </w:divBdr>
    </w:div>
    <w:div w:id="433135180">
      <w:bodyDiv w:val="1"/>
      <w:marLeft w:val="0"/>
      <w:marRight w:val="0"/>
      <w:marTop w:val="0"/>
      <w:marBottom w:val="0"/>
      <w:divBdr>
        <w:top w:val="none" w:sz="0" w:space="0" w:color="auto"/>
        <w:left w:val="none" w:sz="0" w:space="0" w:color="auto"/>
        <w:bottom w:val="none" w:sz="0" w:space="0" w:color="auto"/>
        <w:right w:val="none" w:sz="0" w:space="0" w:color="auto"/>
      </w:divBdr>
    </w:div>
    <w:div w:id="433935968">
      <w:bodyDiv w:val="1"/>
      <w:marLeft w:val="0"/>
      <w:marRight w:val="0"/>
      <w:marTop w:val="0"/>
      <w:marBottom w:val="0"/>
      <w:divBdr>
        <w:top w:val="none" w:sz="0" w:space="0" w:color="auto"/>
        <w:left w:val="none" w:sz="0" w:space="0" w:color="auto"/>
        <w:bottom w:val="none" w:sz="0" w:space="0" w:color="auto"/>
        <w:right w:val="none" w:sz="0" w:space="0" w:color="auto"/>
      </w:divBdr>
    </w:div>
    <w:div w:id="434250662">
      <w:bodyDiv w:val="1"/>
      <w:marLeft w:val="0"/>
      <w:marRight w:val="0"/>
      <w:marTop w:val="0"/>
      <w:marBottom w:val="0"/>
      <w:divBdr>
        <w:top w:val="none" w:sz="0" w:space="0" w:color="auto"/>
        <w:left w:val="none" w:sz="0" w:space="0" w:color="auto"/>
        <w:bottom w:val="none" w:sz="0" w:space="0" w:color="auto"/>
        <w:right w:val="none" w:sz="0" w:space="0" w:color="auto"/>
      </w:divBdr>
    </w:div>
    <w:div w:id="434254009">
      <w:bodyDiv w:val="1"/>
      <w:marLeft w:val="0"/>
      <w:marRight w:val="0"/>
      <w:marTop w:val="0"/>
      <w:marBottom w:val="0"/>
      <w:divBdr>
        <w:top w:val="none" w:sz="0" w:space="0" w:color="auto"/>
        <w:left w:val="none" w:sz="0" w:space="0" w:color="auto"/>
        <w:bottom w:val="none" w:sz="0" w:space="0" w:color="auto"/>
        <w:right w:val="none" w:sz="0" w:space="0" w:color="auto"/>
      </w:divBdr>
    </w:div>
    <w:div w:id="434518841">
      <w:bodyDiv w:val="1"/>
      <w:marLeft w:val="0"/>
      <w:marRight w:val="0"/>
      <w:marTop w:val="0"/>
      <w:marBottom w:val="0"/>
      <w:divBdr>
        <w:top w:val="none" w:sz="0" w:space="0" w:color="auto"/>
        <w:left w:val="none" w:sz="0" w:space="0" w:color="auto"/>
        <w:bottom w:val="none" w:sz="0" w:space="0" w:color="auto"/>
        <w:right w:val="none" w:sz="0" w:space="0" w:color="auto"/>
      </w:divBdr>
    </w:div>
    <w:div w:id="434636018">
      <w:bodyDiv w:val="1"/>
      <w:marLeft w:val="0"/>
      <w:marRight w:val="0"/>
      <w:marTop w:val="0"/>
      <w:marBottom w:val="0"/>
      <w:divBdr>
        <w:top w:val="none" w:sz="0" w:space="0" w:color="auto"/>
        <w:left w:val="none" w:sz="0" w:space="0" w:color="auto"/>
        <w:bottom w:val="none" w:sz="0" w:space="0" w:color="auto"/>
        <w:right w:val="none" w:sz="0" w:space="0" w:color="auto"/>
      </w:divBdr>
    </w:div>
    <w:div w:id="435365689">
      <w:bodyDiv w:val="1"/>
      <w:marLeft w:val="0"/>
      <w:marRight w:val="0"/>
      <w:marTop w:val="0"/>
      <w:marBottom w:val="0"/>
      <w:divBdr>
        <w:top w:val="none" w:sz="0" w:space="0" w:color="auto"/>
        <w:left w:val="none" w:sz="0" w:space="0" w:color="auto"/>
        <w:bottom w:val="none" w:sz="0" w:space="0" w:color="auto"/>
        <w:right w:val="none" w:sz="0" w:space="0" w:color="auto"/>
      </w:divBdr>
    </w:div>
    <w:div w:id="436145976">
      <w:bodyDiv w:val="1"/>
      <w:marLeft w:val="0"/>
      <w:marRight w:val="0"/>
      <w:marTop w:val="0"/>
      <w:marBottom w:val="0"/>
      <w:divBdr>
        <w:top w:val="none" w:sz="0" w:space="0" w:color="auto"/>
        <w:left w:val="none" w:sz="0" w:space="0" w:color="auto"/>
        <w:bottom w:val="none" w:sz="0" w:space="0" w:color="auto"/>
        <w:right w:val="none" w:sz="0" w:space="0" w:color="auto"/>
      </w:divBdr>
    </w:div>
    <w:div w:id="436216940">
      <w:bodyDiv w:val="1"/>
      <w:marLeft w:val="0"/>
      <w:marRight w:val="0"/>
      <w:marTop w:val="0"/>
      <w:marBottom w:val="0"/>
      <w:divBdr>
        <w:top w:val="none" w:sz="0" w:space="0" w:color="auto"/>
        <w:left w:val="none" w:sz="0" w:space="0" w:color="auto"/>
        <w:bottom w:val="none" w:sz="0" w:space="0" w:color="auto"/>
        <w:right w:val="none" w:sz="0" w:space="0" w:color="auto"/>
      </w:divBdr>
    </w:div>
    <w:div w:id="436217309">
      <w:bodyDiv w:val="1"/>
      <w:marLeft w:val="0"/>
      <w:marRight w:val="0"/>
      <w:marTop w:val="0"/>
      <w:marBottom w:val="0"/>
      <w:divBdr>
        <w:top w:val="none" w:sz="0" w:space="0" w:color="auto"/>
        <w:left w:val="none" w:sz="0" w:space="0" w:color="auto"/>
        <w:bottom w:val="none" w:sz="0" w:space="0" w:color="auto"/>
        <w:right w:val="none" w:sz="0" w:space="0" w:color="auto"/>
      </w:divBdr>
    </w:div>
    <w:div w:id="436608115">
      <w:bodyDiv w:val="1"/>
      <w:marLeft w:val="0"/>
      <w:marRight w:val="0"/>
      <w:marTop w:val="0"/>
      <w:marBottom w:val="0"/>
      <w:divBdr>
        <w:top w:val="none" w:sz="0" w:space="0" w:color="auto"/>
        <w:left w:val="none" w:sz="0" w:space="0" w:color="auto"/>
        <w:bottom w:val="none" w:sz="0" w:space="0" w:color="auto"/>
        <w:right w:val="none" w:sz="0" w:space="0" w:color="auto"/>
      </w:divBdr>
    </w:div>
    <w:div w:id="436633595">
      <w:bodyDiv w:val="1"/>
      <w:marLeft w:val="0"/>
      <w:marRight w:val="0"/>
      <w:marTop w:val="0"/>
      <w:marBottom w:val="0"/>
      <w:divBdr>
        <w:top w:val="none" w:sz="0" w:space="0" w:color="auto"/>
        <w:left w:val="none" w:sz="0" w:space="0" w:color="auto"/>
        <w:bottom w:val="none" w:sz="0" w:space="0" w:color="auto"/>
        <w:right w:val="none" w:sz="0" w:space="0" w:color="auto"/>
      </w:divBdr>
    </w:div>
    <w:div w:id="436873064">
      <w:bodyDiv w:val="1"/>
      <w:marLeft w:val="0"/>
      <w:marRight w:val="0"/>
      <w:marTop w:val="0"/>
      <w:marBottom w:val="0"/>
      <w:divBdr>
        <w:top w:val="none" w:sz="0" w:space="0" w:color="auto"/>
        <w:left w:val="none" w:sz="0" w:space="0" w:color="auto"/>
        <w:bottom w:val="none" w:sz="0" w:space="0" w:color="auto"/>
        <w:right w:val="none" w:sz="0" w:space="0" w:color="auto"/>
      </w:divBdr>
    </w:div>
    <w:div w:id="438834804">
      <w:bodyDiv w:val="1"/>
      <w:marLeft w:val="0"/>
      <w:marRight w:val="0"/>
      <w:marTop w:val="0"/>
      <w:marBottom w:val="0"/>
      <w:divBdr>
        <w:top w:val="none" w:sz="0" w:space="0" w:color="auto"/>
        <w:left w:val="none" w:sz="0" w:space="0" w:color="auto"/>
        <w:bottom w:val="none" w:sz="0" w:space="0" w:color="auto"/>
        <w:right w:val="none" w:sz="0" w:space="0" w:color="auto"/>
      </w:divBdr>
    </w:div>
    <w:div w:id="438989779">
      <w:bodyDiv w:val="1"/>
      <w:marLeft w:val="0"/>
      <w:marRight w:val="0"/>
      <w:marTop w:val="0"/>
      <w:marBottom w:val="0"/>
      <w:divBdr>
        <w:top w:val="none" w:sz="0" w:space="0" w:color="auto"/>
        <w:left w:val="none" w:sz="0" w:space="0" w:color="auto"/>
        <w:bottom w:val="none" w:sz="0" w:space="0" w:color="auto"/>
        <w:right w:val="none" w:sz="0" w:space="0" w:color="auto"/>
      </w:divBdr>
    </w:div>
    <w:div w:id="439104689">
      <w:bodyDiv w:val="1"/>
      <w:marLeft w:val="0"/>
      <w:marRight w:val="0"/>
      <w:marTop w:val="0"/>
      <w:marBottom w:val="0"/>
      <w:divBdr>
        <w:top w:val="none" w:sz="0" w:space="0" w:color="auto"/>
        <w:left w:val="none" w:sz="0" w:space="0" w:color="auto"/>
        <w:bottom w:val="none" w:sz="0" w:space="0" w:color="auto"/>
        <w:right w:val="none" w:sz="0" w:space="0" w:color="auto"/>
      </w:divBdr>
    </w:div>
    <w:div w:id="439227582">
      <w:bodyDiv w:val="1"/>
      <w:marLeft w:val="0"/>
      <w:marRight w:val="0"/>
      <w:marTop w:val="0"/>
      <w:marBottom w:val="0"/>
      <w:divBdr>
        <w:top w:val="none" w:sz="0" w:space="0" w:color="auto"/>
        <w:left w:val="none" w:sz="0" w:space="0" w:color="auto"/>
        <w:bottom w:val="none" w:sz="0" w:space="0" w:color="auto"/>
        <w:right w:val="none" w:sz="0" w:space="0" w:color="auto"/>
      </w:divBdr>
    </w:div>
    <w:div w:id="439378889">
      <w:bodyDiv w:val="1"/>
      <w:marLeft w:val="0"/>
      <w:marRight w:val="0"/>
      <w:marTop w:val="0"/>
      <w:marBottom w:val="0"/>
      <w:divBdr>
        <w:top w:val="none" w:sz="0" w:space="0" w:color="auto"/>
        <w:left w:val="none" w:sz="0" w:space="0" w:color="auto"/>
        <w:bottom w:val="none" w:sz="0" w:space="0" w:color="auto"/>
        <w:right w:val="none" w:sz="0" w:space="0" w:color="auto"/>
      </w:divBdr>
    </w:div>
    <w:div w:id="439762546">
      <w:bodyDiv w:val="1"/>
      <w:marLeft w:val="0"/>
      <w:marRight w:val="0"/>
      <w:marTop w:val="0"/>
      <w:marBottom w:val="0"/>
      <w:divBdr>
        <w:top w:val="none" w:sz="0" w:space="0" w:color="auto"/>
        <w:left w:val="none" w:sz="0" w:space="0" w:color="auto"/>
        <w:bottom w:val="none" w:sz="0" w:space="0" w:color="auto"/>
        <w:right w:val="none" w:sz="0" w:space="0" w:color="auto"/>
      </w:divBdr>
    </w:div>
    <w:div w:id="440027464">
      <w:bodyDiv w:val="1"/>
      <w:marLeft w:val="0"/>
      <w:marRight w:val="0"/>
      <w:marTop w:val="0"/>
      <w:marBottom w:val="0"/>
      <w:divBdr>
        <w:top w:val="none" w:sz="0" w:space="0" w:color="auto"/>
        <w:left w:val="none" w:sz="0" w:space="0" w:color="auto"/>
        <w:bottom w:val="none" w:sz="0" w:space="0" w:color="auto"/>
        <w:right w:val="none" w:sz="0" w:space="0" w:color="auto"/>
      </w:divBdr>
    </w:div>
    <w:div w:id="440077381">
      <w:bodyDiv w:val="1"/>
      <w:marLeft w:val="0"/>
      <w:marRight w:val="0"/>
      <w:marTop w:val="0"/>
      <w:marBottom w:val="0"/>
      <w:divBdr>
        <w:top w:val="none" w:sz="0" w:space="0" w:color="auto"/>
        <w:left w:val="none" w:sz="0" w:space="0" w:color="auto"/>
        <w:bottom w:val="none" w:sz="0" w:space="0" w:color="auto"/>
        <w:right w:val="none" w:sz="0" w:space="0" w:color="auto"/>
      </w:divBdr>
    </w:div>
    <w:div w:id="440104285">
      <w:bodyDiv w:val="1"/>
      <w:marLeft w:val="0"/>
      <w:marRight w:val="0"/>
      <w:marTop w:val="0"/>
      <w:marBottom w:val="0"/>
      <w:divBdr>
        <w:top w:val="none" w:sz="0" w:space="0" w:color="auto"/>
        <w:left w:val="none" w:sz="0" w:space="0" w:color="auto"/>
        <w:bottom w:val="none" w:sz="0" w:space="0" w:color="auto"/>
        <w:right w:val="none" w:sz="0" w:space="0" w:color="auto"/>
      </w:divBdr>
    </w:div>
    <w:div w:id="440540784">
      <w:bodyDiv w:val="1"/>
      <w:marLeft w:val="0"/>
      <w:marRight w:val="0"/>
      <w:marTop w:val="0"/>
      <w:marBottom w:val="0"/>
      <w:divBdr>
        <w:top w:val="none" w:sz="0" w:space="0" w:color="auto"/>
        <w:left w:val="none" w:sz="0" w:space="0" w:color="auto"/>
        <w:bottom w:val="none" w:sz="0" w:space="0" w:color="auto"/>
        <w:right w:val="none" w:sz="0" w:space="0" w:color="auto"/>
      </w:divBdr>
    </w:div>
    <w:div w:id="440688613">
      <w:bodyDiv w:val="1"/>
      <w:marLeft w:val="0"/>
      <w:marRight w:val="0"/>
      <w:marTop w:val="0"/>
      <w:marBottom w:val="0"/>
      <w:divBdr>
        <w:top w:val="none" w:sz="0" w:space="0" w:color="auto"/>
        <w:left w:val="none" w:sz="0" w:space="0" w:color="auto"/>
        <w:bottom w:val="none" w:sz="0" w:space="0" w:color="auto"/>
        <w:right w:val="none" w:sz="0" w:space="0" w:color="auto"/>
      </w:divBdr>
    </w:div>
    <w:div w:id="441191193">
      <w:bodyDiv w:val="1"/>
      <w:marLeft w:val="0"/>
      <w:marRight w:val="0"/>
      <w:marTop w:val="0"/>
      <w:marBottom w:val="0"/>
      <w:divBdr>
        <w:top w:val="none" w:sz="0" w:space="0" w:color="auto"/>
        <w:left w:val="none" w:sz="0" w:space="0" w:color="auto"/>
        <w:bottom w:val="none" w:sz="0" w:space="0" w:color="auto"/>
        <w:right w:val="none" w:sz="0" w:space="0" w:color="auto"/>
      </w:divBdr>
    </w:div>
    <w:div w:id="441341395">
      <w:bodyDiv w:val="1"/>
      <w:marLeft w:val="0"/>
      <w:marRight w:val="0"/>
      <w:marTop w:val="0"/>
      <w:marBottom w:val="0"/>
      <w:divBdr>
        <w:top w:val="none" w:sz="0" w:space="0" w:color="auto"/>
        <w:left w:val="none" w:sz="0" w:space="0" w:color="auto"/>
        <w:bottom w:val="none" w:sz="0" w:space="0" w:color="auto"/>
        <w:right w:val="none" w:sz="0" w:space="0" w:color="auto"/>
      </w:divBdr>
    </w:div>
    <w:div w:id="441345162">
      <w:bodyDiv w:val="1"/>
      <w:marLeft w:val="0"/>
      <w:marRight w:val="0"/>
      <w:marTop w:val="0"/>
      <w:marBottom w:val="0"/>
      <w:divBdr>
        <w:top w:val="none" w:sz="0" w:space="0" w:color="auto"/>
        <w:left w:val="none" w:sz="0" w:space="0" w:color="auto"/>
        <w:bottom w:val="none" w:sz="0" w:space="0" w:color="auto"/>
        <w:right w:val="none" w:sz="0" w:space="0" w:color="auto"/>
      </w:divBdr>
    </w:div>
    <w:div w:id="441611229">
      <w:bodyDiv w:val="1"/>
      <w:marLeft w:val="0"/>
      <w:marRight w:val="0"/>
      <w:marTop w:val="0"/>
      <w:marBottom w:val="0"/>
      <w:divBdr>
        <w:top w:val="none" w:sz="0" w:space="0" w:color="auto"/>
        <w:left w:val="none" w:sz="0" w:space="0" w:color="auto"/>
        <w:bottom w:val="none" w:sz="0" w:space="0" w:color="auto"/>
        <w:right w:val="none" w:sz="0" w:space="0" w:color="auto"/>
      </w:divBdr>
    </w:div>
    <w:div w:id="442189535">
      <w:bodyDiv w:val="1"/>
      <w:marLeft w:val="0"/>
      <w:marRight w:val="0"/>
      <w:marTop w:val="0"/>
      <w:marBottom w:val="0"/>
      <w:divBdr>
        <w:top w:val="none" w:sz="0" w:space="0" w:color="auto"/>
        <w:left w:val="none" w:sz="0" w:space="0" w:color="auto"/>
        <w:bottom w:val="none" w:sz="0" w:space="0" w:color="auto"/>
        <w:right w:val="none" w:sz="0" w:space="0" w:color="auto"/>
      </w:divBdr>
    </w:div>
    <w:div w:id="442261596">
      <w:bodyDiv w:val="1"/>
      <w:marLeft w:val="0"/>
      <w:marRight w:val="0"/>
      <w:marTop w:val="0"/>
      <w:marBottom w:val="0"/>
      <w:divBdr>
        <w:top w:val="none" w:sz="0" w:space="0" w:color="auto"/>
        <w:left w:val="none" w:sz="0" w:space="0" w:color="auto"/>
        <w:bottom w:val="none" w:sz="0" w:space="0" w:color="auto"/>
        <w:right w:val="none" w:sz="0" w:space="0" w:color="auto"/>
      </w:divBdr>
    </w:div>
    <w:div w:id="442305065">
      <w:bodyDiv w:val="1"/>
      <w:marLeft w:val="0"/>
      <w:marRight w:val="0"/>
      <w:marTop w:val="0"/>
      <w:marBottom w:val="0"/>
      <w:divBdr>
        <w:top w:val="none" w:sz="0" w:space="0" w:color="auto"/>
        <w:left w:val="none" w:sz="0" w:space="0" w:color="auto"/>
        <w:bottom w:val="none" w:sz="0" w:space="0" w:color="auto"/>
        <w:right w:val="none" w:sz="0" w:space="0" w:color="auto"/>
      </w:divBdr>
    </w:div>
    <w:div w:id="442649010">
      <w:bodyDiv w:val="1"/>
      <w:marLeft w:val="0"/>
      <w:marRight w:val="0"/>
      <w:marTop w:val="0"/>
      <w:marBottom w:val="0"/>
      <w:divBdr>
        <w:top w:val="none" w:sz="0" w:space="0" w:color="auto"/>
        <w:left w:val="none" w:sz="0" w:space="0" w:color="auto"/>
        <w:bottom w:val="none" w:sz="0" w:space="0" w:color="auto"/>
        <w:right w:val="none" w:sz="0" w:space="0" w:color="auto"/>
      </w:divBdr>
    </w:div>
    <w:div w:id="442968757">
      <w:bodyDiv w:val="1"/>
      <w:marLeft w:val="0"/>
      <w:marRight w:val="0"/>
      <w:marTop w:val="0"/>
      <w:marBottom w:val="0"/>
      <w:divBdr>
        <w:top w:val="none" w:sz="0" w:space="0" w:color="auto"/>
        <w:left w:val="none" w:sz="0" w:space="0" w:color="auto"/>
        <w:bottom w:val="none" w:sz="0" w:space="0" w:color="auto"/>
        <w:right w:val="none" w:sz="0" w:space="0" w:color="auto"/>
      </w:divBdr>
    </w:div>
    <w:div w:id="443035398">
      <w:bodyDiv w:val="1"/>
      <w:marLeft w:val="0"/>
      <w:marRight w:val="0"/>
      <w:marTop w:val="0"/>
      <w:marBottom w:val="0"/>
      <w:divBdr>
        <w:top w:val="none" w:sz="0" w:space="0" w:color="auto"/>
        <w:left w:val="none" w:sz="0" w:space="0" w:color="auto"/>
        <w:bottom w:val="none" w:sz="0" w:space="0" w:color="auto"/>
        <w:right w:val="none" w:sz="0" w:space="0" w:color="auto"/>
      </w:divBdr>
    </w:div>
    <w:div w:id="443422759">
      <w:bodyDiv w:val="1"/>
      <w:marLeft w:val="0"/>
      <w:marRight w:val="0"/>
      <w:marTop w:val="0"/>
      <w:marBottom w:val="0"/>
      <w:divBdr>
        <w:top w:val="none" w:sz="0" w:space="0" w:color="auto"/>
        <w:left w:val="none" w:sz="0" w:space="0" w:color="auto"/>
        <w:bottom w:val="none" w:sz="0" w:space="0" w:color="auto"/>
        <w:right w:val="none" w:sz="0" w:space="0" w:color="auto"/>
      </w:divBdr>
    </w:div>
    <w:div w:id="443841759">
      <w:bodyDiv w:val="1"/>
      <w:marLeft w:val="0"/>
      <w:marRight w:val="0"/>
      <w:marTop w:val="0"/>
      <w:marBottom w:val="0"/>
      <w:divBdr>
        <w:top w:val="none" w:sz="0" w:space="0" w:color="auto"/>
        <w:left w:val="none" w:sz="0" w:space="0" w:color="auto"/>
        <w:bottom w:val="none" w:sz="0" w:space="0" w:color="auto"/>
        <w:right w:val="none" w:sz="0" w:space="0" w:color="auto"/>
      </w:divBdr>
    </w:div>
    <w:div w:id="443886117">
      <w:bodyDiv w:val="1"/>
      <w:marLeft w:val="0"/>
      <w:marRight w:val="0"/>
      <w:marTop w:val="0"/>
      <w:marBottom w:val="0"/>
      <w:divBdr>
        <w:top w:val="none" w:sz="0" w:space="0" w:color="auto"/>
        <w:left w:val="none" w:sz="0" w:space="0" w:color="auto"/>
        <w:bottom w:val="none" w:sz="0" w:space="0" w:color="auto"/>
        <w:right w:val="none" w:sz="0" w:space="0" w:color="auto"/>
      </w:divBdr>
    </w:div>
    <w:div w:id="444078184">
      <w:bodyDiv w:val="1"/>
      <w:marLeft w:val="0"/>
      <w:marRight w:val="0"/>
      <w:marTop w:val="0"/>
      <w:marBottom w:val="0"/>
      <w:divBdr>
        <w:top w:val="none" w:sz="0" w:space="0" w:color="auto"/>
        <w:left w:val="none" w:sz="0" w:space="0" w:color="auto"/>
        <w:bottom w:val="none" w:sz="0" w:space="0" w:color="auto"/>
        <w:right w:val="none" w:sz="0" w:space="0" w:color="auto"/>
      </w:divBdr>
    </w:div>
    <w:div w:id="444272120">
      <w:bodyDiv w:val="1"/>
      <w:marLeft w:val="0"/>
      <w:marRight w:val="0"/>
      <w:marTop w:val="0"/>
      <w:marBottom w:val="0"/>
      <w:divBdr>
        <w:top w:val="none" w:sz="0" w:space="0" w:color="auto"/>
        <w:left w:val="none" w:sz="0" w:space="0" w:color="auto"/>
        <w:bottom w:val="none" w:sz="0" w:space="0" w:color="auto"/>
        <w:right w:val="none" w:sz="0" w:space="0" w:color="auto"/>
      </w:divBdr>
    </w:div>
    <w:div w:id="446509194">
      <w:bodyDiv w:val="1"/>
      <w:marLeft w:val="0"/>
      <w:marRight w:val="0"/>
      <w:marTop w:val="0"/>
      <w:marBottom w:val="0"/>
      <w:divBdr>
        <w:top w:val="none" w:sz="0" w:space="0" w:color="auto"/>
        <w:left w:val="none" w:sz="0" w:space="0" w:color="auto"/>
        <w:bottom w:val="none" w:sz="0" w:space="0" w:color="auto"/>
        <w:right w:val="none" w:sz="0" w:space="0" w:color="auto"/>
      </w:divBdr>
    </w:div>
    <w:div w:id="446851313">
      <w:bodyDiv w:val="1"/>
      <w:marLeft w:val="0"/>
      <w:marRight w:val="0"/>
      <w:marTop w:val="0"/>
      <w:marBottom w:val="0"/>
      <w:divBdr>
        <w:top w:val="none" w:sz="0" w:space="0" w:color="auto"/>
        <w:left w:val="none" w:sz="0" w:space="0" w:color="auto"/>
        <w:bottom w:val="none" w:sz="0" w:space="0" w:color="auto"/>
        <w:right w:val="none" w:sz="0" w:space="0" w:color="auto"/>
      </w:divBdr>
    </w:div>
    <w:div w:id="447823096">
      <w:bodyDiv w:val="1"/>
      <w:marLeft w:val="0"/>
      <w:marRight w:val="0"/>
      <w:marTop w:val="0"/>
      <w:marBottom w:val="0"/>
      <w:divBdr>
        <w:top w:val="none" w:sz="0" w:space="0" w:color="auto"/>
        <w:left w:val="none" w:sz="0" w:space="0" w:color="auto"/>
        <w:bottom w:val="none" w:sz="0" w:space="0" w:color="auto"/>
        <w:right w:val="none" w:sz="0" w:space="0" w:color="auto"/>
      </w:divBdr>
    </w:div>
    <w:div w:id="447899609">
      <w:bodyDiv w:val="1"/>
      <w:marLeft w:val="0"/>
      <w:marRight w:val="0"/>
      <w:marTop w:val="0"/>
      <w:marBottom w:val="0"/>
      <w:divBdr>
        <w:top w:val="none" w:sz="0" w:space="0" w:color="auto"/>
        <w:left w:val="none" w:sz="0" w:space="0" w:color="auto"/>
        <w:bottom w:val="none" w:sz="0" w:space="0" w:color="auto"/>
        <w:right w:val="none" w:sz="0" w:space="0" w:color="auto"/>
      </w:divBdr>
    </w:div>
    <w:div w:id="448008769">
      <w:bodyDiv w:val="1"/>
      <w:marLeft w:val="0"/>
      <w:marRight w:val="0"/>
      <w:marTop w:val="0"/>
      <w:marBottom w:val="0"/>
      <w:divBdr>
        <w:top w:val="none" w:sz="0" w:space="0" w:color="auto"/>
        <w:left w:val="none" w:sz="0" w:space="0" w:color="auto"/>
        <w:bottom w:val="none" w:sz="0" w:space="0" w:color="auto"/>
        <w:right w:val="none" w:sz="0" w:space="0" w:color="auto"/>
      </w:divBdr>
    </w:div>
    <w:div w:id="448353781">
      <w:bodyDiv w:val="1"/>
      <w:marLeft w:val="0"/>
      <w:marRight w:val="0"/>
      <w:marTop w:val="0"/>
      <w:marBottom w:val="0"/>
      <w:divBdr>
        <w:top w:val="none" w:sz="0" w:space="0" w:color="auto"/>
        <w:left w:val="none" w:sz="0" w:space="0" w:color="auto"/>
        <w:bottom w:val="none" w:sz="0" w:space="0" w:color="auto"/>
        <w:right w:val="none" w:sz="0" w:space="0" w:color="auto"/>
      </w:divBdr>
    </w:div>
    <w:div w:id="448471323">
      <w:bodyDiv w:val="1"/>
      <w:marLeft w:val="0"/>
      <w:marRight w:val="0"/>
      <w:marTop w:val="0"/>
      <w:marBottom w:val="0"/>
      <w:divBdr>
        <w:top w:val="none" w:sz="0" w:space="0" w:color="auto"/>
        <w:left w:val="none" w:sz="0" w:space="0" w:color="auto"/>
        <w:bottom w:val="none" w:sz="0" w:space="0" w:color="auto"/>
        <w:right w:val="none" w:sz="0" w:space="0" w:color="auto"/>
      </w:divBdr>
    </w:div>
    <w:div w:id="448746967">
      <w:bodyDiv w:val="1"/>
      <w:marLeft w:val="0"/>
      <w:marRight w:val="0"/>
      <w:marTop w:val="0"/>
      <w:marBottom w:val="0"/>
      <w:divBdr>
        <w:top w:val="none" w:sz="0" w:space="0" w:color="auto"/>
        <w:left w:val="none" w:sz="0" w:space="0" w:color="auto"/>
        <w:bottom w:val="none" w:sz="0" w:space="0" w:color="auto"/>
        <w:right w:val="none" w:sz="0" w:space="0" w:color="auto"/>
      </w:divBdr>
    </w:div>
    <w:div w:id="448747153">
      <w:bodyDiv w:val="1"/>
      <w:marLeft w:val="0"/>
      <w:marRight w:val="0"/>
      <w:marTop w:val="0"/>
      <w:marBottom w:val="0"/>
      <w:divBdr>
        <w:top w:val="none" w:sz="0" w:space="0" w:color="auto"/>
        <w:left w:val="none" w:sz="0" w:space="0" w:color="auto"/>
        <w:bottom w:val="none" w:sz="0" w:space="0" w:color="auto"/>
        <w:right w:val="none" w:sz="0" w:space="0" w:color="auto"/>
      </w:divBdr>
    </w:div>
    <w:div w:id="448862969">
      <w:bodyDiv w:val="1"/>
      <w:marLeft w:val="0"/>
      <w:marRight w:val="0"/>
      <w:marTop w:val="0"/>
      <w:marBottom w:val="0"/>
      <w:divBdr>
        <w:top w:val="none" w:sz="0" w:space="0" w:color="auto"/>
        <w:left w:val="none" w:sz="0" w:space="0" w:color="auto"/>
        <w:bottom w:val="none" w:sz="0" w:space="0" w:color="auto"/>
        <w:right w:val="none" w:sz="0" w:space="0" w:color="auto"/>
      </w:divBdr>
    </w:div>
    <w:div w:id="449278928">
      <w:bodyDiv w:val="1"/>
      <w:marLeft w:val="0"/>
      <w:marRight w:val="0"/>
      <w:marTop w:val="0"/>
      <w:marBottom w:val="0"/>
      <w:divBdr>
        <w:top w:val="none" w:sz="0" w:space="0" w:color="auto"/>
        <w:left w:val="none" w:sz="0" w:space="0" w:color="auto"/>
        <w:bottom w:val="none" w:sz="0" w:space="0" w:color="auto"/>
        <w:right w:val="none" w:sz="0" w:space="0" w:color="auto"/>
      </w:divBdr>
    </w:div>
    <w:div w:id="449710573">
      <w:bodyDiv w:val="1"/>
      <w:marLeft w:val="0"/>
      <w:marRight w:val="0"/>
      <w:marTop w:val="0"/>
      <w:marBottom w:val="0"/>
      <w:divBdr>
        <w:top w:val="none" w:sz="0" w:space="0" w:color="auto"/>
        <w:left w:val="none" w:sz="0" w:space="0" w:color="auto"/>
        <w:bottom w:val="none" w:sz="0" w:space="0" w:color="auto"/>
        <w:right w:val="none" w:sz="0" w:space="0" w:color="auto"/>
      </w:divBdr>
    </w:div>
    <w:div w:id="450055418">
      <w:bodyDiv w:val="1"/>
      <w:marLeft w:val="0"/>
      <w:marRight w:val="0"/>
      <w:marTop w:val="0"/>
      <w:marBottom w:val="0"/>
      <w:divBdr>
        <w:top w:val="none" w:sz="0" w:space="0" w:color="auto"/>
        <w:left w:val="none" w:sz="0" w:space="0" w:color="auto"/>
        <w:bottom w:val="none" w:sz="0" w:space="0" w:color="auto"/>
        <w:right w:val="none" w:sz="0" w:space="0" w:color="auto"/>
      </w:divBdr>
    </w:div>
    <w:div w:id="450709675">
      <w:bodyDiv w:val="1"/>
      <w:marLeft w:val="0"/>
      <w:marRight w:val="0"/>
      <w:marTop w:val="0"/>
      <w:marBottom w:val="0"/>
      <w:divBdr>
        <w:top w:val="none" w:sz="0" w:space="0" w:color="auto"/>
        <w:left w:val="none" w:sz="0" w:space="0" w:color="auto"/>
        <w:bottom w:val="none" w:sz="0" w:space="0" w:color="auto"/>
        <w:right w:val="none" w:sz="0" w:space="0" w:color="auto"/>
      </w:divBdr>
    </w:div>
    <w:div w:id="450979538">
      <w:bodyDiv w:val="1"/>
      <w:marLeft w:val="0"/>
      <w:marRight w:val="0"/>
      <w:marTop w:val="0"/>
      <w:marBottom w:val="0"/>
      <w:divBdr>
        <w:top w:val="none" w:sz="0" w:space="0" w:color="auto"/>
        <w:left w:val="none" w:sz="0" w:space="0" w:color="auto"/>
        <w:bottom w:val="none" w:sz="0" w:space="0" w:color="auto"/>
        <w:right w:val="none" w:sz="0" w:space="0" w:color="auto"/>
      </w:divBdr>
    </w:div>
    <w:div w:id="451631765">
      <w:bodyDiv w:val="1"/>
      <w:marLeft w:val="0"/>
      <w:marRight w:val="0"/>
      <w:marTop w:val="0"/>
      <w:marBottom w:val="0"/>
      <w:divBdr>
        <w:top w:val="none" w:sz="0" w:space="0" w:color="auto"/>
        <w:left w:val="none" w:sz="0" w:space="0" w:color="auto"/>
        <w:bottom w:val="none" w:sz="0" w:space="0" w:color="auto"/>
        <w:right w:val="none" w:sz="0" w:space="0" w:color="auto"/>
      </w:divBdr>
    </w:div>
    <w:div w:id="451752094">
      <w:bodyDiv w:val="1"/>
      <w:marLeft w:val="0"/>
      <w:marRight w:val="0"/>
      <w:marTop w:val="0"/>
      <w:marBottom w:val="0"/>
      <w:divBdr>
        <w:top w:val="none" w:sz="0" w:space="0" w:color="auto"/>
        <w:left w:val="none" w:sz="0" w:space="0" w:color="auto"/>
        <w:bottom w:val="none" w:sz="0" w:space="0" w:color="auto"/>
        <w:right w:val="none" w:sz="0" w:space="0" w:color="auto"/>
      </w:divBdr>
    </w:div>
    <w:div w:id="451899184">
      <w:bodyDiv w:val="1"/>
      <w:marLeft w:val="0"/>
      <w:marRight w:val="0"/>
      <w:marTop w:val="0"/>
      <w:marBottom w:val="0"/>
      <w:divBdr>
        <w:top w:val="none" w:sz="0" w:space="0" w:color="auto"/>
        <w:left w:val="none" w:sz="0" w:space="0" w:color="auto"/>
        <w:bottom w:val="none" w:sz="0" w:space="0" w:color="auto"/>
        <w:right w:val="none" w:sz="0" w:space="0" w:color="auto"/>
      </w:divBdr>
    </w:div>
    <w:div w:id="452402819">
      <w:bodyDiv w:val="1"/>
      <w:marLeft w:val="0"/>
      <w:marRight w:val="0"/>
      <w:marTop w:val="0"/>
      <w:marBottom w:val="0"/>
      <w:divBdr>
        <w:top w:val="none" w:sz="0" w:space="0" w:color="auto"/>
        <w:left w:val="none" w:sz="0" w:space="0" w:color="auto"/>
        <w:bottom w:val="none" w:sz="0" w:space="0" w:color="auto"/>
        <w:right w:val="none" w:sz="0" w:space="0" w:color="auto"/>
      </w:divBdr>
    </w:div>
    <w:div w:id="452403517">
      <w:bodyDiv w:val="1"/>
      <w:marLeft w:val="0"/>
      <w:marRight w:val="0"/>
      <w:marTop w:val="0"/>
      <w:marBottom w:val="0"/>
      <w:divBdr>
        <w:top w:val="none" w:sz="0" w:space="0" w:color="auto"/>
        <w:left w:val="none" w:sz="0" w:space="0" w:color="auto"/>
        <w:bottom w:val="none" w:sz="0" w:space="0" w:color="auto"/>
        <w:right w:val="none" w:sz="0" w:space="0" w:color="auto"/>
      </w:divBdr>
    </w:div>
    <w:div w:id="452528561">
      <w:bodyDiv w:val="1"/>
      <w:marLeft w:val="0"/>
      <w:marRight w:val="0"/>
      <w:marTop w:val="0"/>
      <w:marBottom w:val="0"/>
      <w:divBdr>
        <w:top w:val="none" w:sz="0" w:space="0" w:color="auto"/>
        <w:left w:val="none" w:sz="0" w:space="0" w:color="auto"/>
        <w:bottom w:val="none" w:sz="0" w:space="0" w:color="auto"/>
        <w:right w:val="none" w:sz="0" w:space="0" w:color="auto"/>
      </w:divBdr>
    </w:div>
    <w:div w:id="452797333">
      <w:bodyDiv w:val="1"/>
      <w:marLeft w:val="0"/>
      <w:marRight w:val="0"/>
      <w:marTop w:val="0"/>
      <w:marBottom w:val="0"/>
      <w:divBdr>
        <w:top w:val="none" w:sz="0" w:space="0" w:color="auto"/>
        <w:left w:val="none" w:sz="0" w:space="0" w:color="auto"/>
        <w:bottom w:val="none" w:sz="0" w:space="0" w:color="auto"/>
        <w:right w:val="none" w:sz="0" w:space="0" w:color="auto"/>
      </w:divBdr>
    </w:div>
    <w:div w:id="453599307">
      <w:bodyDiv w:val="1"/>
      <w:marLeft w:val="0"/>
      <w:marRight w:val="0"/>
      <w:marTop w:val="0"/>
      <w:marBottom w:val="0"/>
      <w:divBdr>
        <w:top w:val="none" w:sz="0" w:space="0" w:color="auto"/>
        <w:left w:val="none" w:sz="0" w:space="0" w:color="auto"/>
        <w:bottom w:val="none" w:sz="0" w:space="0" w:color="auto"/>
        <w:right w:val="none" w:sz="0" w:space="0" w:color="auto"/>
      </w:divBdr>
    </w:div>
    <w:div w:id="454062630">
      <w:bodyDiv w:val="1"/>
      <w:marLeft w:val="0"/>
      <w:marRight w:val="0"/>
      <w:marTop w:val="0"/>
      <w:marBottom w:val="0"/>
      <w:divBdr>
        <w:top w:val="none" w:sz="0" w:space="0" w:color="auto"/>
        <w:left w:val="none" w:sz="0" w:space="0" w:color="auto"/>
        <w:bottom w:val="none" w:sz="0" w:space="0" w:color="auto"/>
        <w:right w:val="none" w:sz="0" w:space="0" w:color="auto"/>
      </w:divBdr>
    </w:div>
    <w:div w:id="454099740">
      <w:bodyDiv w:val="1"/>
      <w:marLeft w:val="0"/>
      <w:marRight w:val="0"/>
      <w:marTop w:val="0"/>
      <w:marBottom w:val="0"/>
      <w:divBdr>
        <w:top w:val="none" w:sz="0" w:space="0" w:color="auto"/>
        <w:left w:val="none" w:sz="0" w:space="0" w:color="auto"/>
        <w:bottom w:val="none" w:sz="0" w:space="0" w:color="auto"/>
        <w:right w:val="none" w:sz="0" w:space="0" w:color="auto"/>
      </w:divBdr>
    </w:div>
    <w:div w:id="454325052">
      <w:bodyDiv w:val="1"/>
      <w:marLeft w:val="0"/>
      <w:marRight w:val="0"/>
      <w:marTop w:val="0"/>
      <w:marBottom w:val="0"/>
      <w:divBdr>
        <w:top w:val="none" w:sz="0" w:space="0" w:color="auto"/>
        <w:left w:val="none" w:sz="0" w:space="0" w:color="auto"/>
        <w:bottom w:val="none" w:sz="0" w:space="0" w:color="auto"/>
        <w:right w:val="none" w:sz="0" w:space="0" w:color="auto"/>
      </w:divBdr>
    </w:div>
    <w:div w:id="454373482">
      <w:bodyDiv w:val="1"/>
      <w:marLeft w:val="0"/>
      <w:marRight w:val="0"/>
      <w:marTop w:val="0"/>
      <w:marBottom w:val="0"/>
      <w:divBdr>
        <w:top w:val="none" w:sz="0" w:space="0" w:color="auto"/>
        <w:left w:val="none" w:sz="0" w:space="0" w:color="auto"/>
        <w:bottom w:val="none" w:sz="0" w:space="0" w:color="auto"/>
        <w:right w:val="none" w:sz="0" w:space="0" w:color="auto"/>
      </w:divBdr>
    </w:div>
    <w:div w:id="454567004">
      <w:bodyDiv w:val="1"/>
      <w:marLeft w:val="0"/>
      <w:marRight w:val="0"/>
      <w:marTop w:val="0"/>
      <w:marBottom w:val="0"/>
      <w:divBdr>
        <w:top w:val="none" w:sz="0" w:space="0" w:color="auto"/>
        <w:left w:val="none" w:sz="0" w:space="0" w:color="auto"/>
        <w:bottom w:val="none" w:sz="0" w:space="0" w:color="auto"/>
        <w:right w:val="none" w:sz="0" w:space="0" w:color="auto"/>
      </w:divBdr>
    </w:div>
    <w:div w:id="454762530">
      <w:bodyDiv w:val="1"/>
      <w:marLeft w:val="0"/>
      <w:marRight w:val="0"/>
      <w:marTop w:val="0"/>
      <w:marBottom w:val="0"/>
      <w:divBdr>
        <w:top w:val="none" w:sz="0" w:space="0" w:color="auto"/>
        <w:left w:val="none" w:sz="0" w:space="0" w:color="auto"/>
        <w:bottom w:val="none" w:sz="0" w:space="0" w:color="auto"/>
        <w:right w:val="none" w:sz="0" w:space="0" w:color="auto"/>
      </w:divBdr>
    </w:div>
    <w:div w:id="454911337">
      <w:bodyDiv w:val="1"/>
      <w:marLeft w:val="0"/>
      <w:marRight w:val="0"/>
      <w:marTop w:val="0"/>
      <w:marBottom w:val="0"/>
      <w:divBdr>
        <w:top w:val="none" w:sz="0" w:space="0" w:color="auto"/>
        <w:left w:val="none" w:sz="0" w:space="0" w:color="auto"/>
        <w:bottom w:val="none" w:sz="0" w:space="0" w:color="auto"/>
        <w:right w:val="none" w:sz="0" w:space="0" w:color="auto"/>
      </w:divBdr>
    </w:div>
    <w:div w:id="455174116">
      <w:bodyDiv w:val="1"/>
      <w:marLeft w:val="0"/>
      <w:marRight w:val="0"/>
      <w:marTop w:val="0"/>
      <w:marBottom w:val="0"/>
      <w:divBdr>
        <w:top w:val="none" w:sz="0" w:space="0" w:color="auto"/>
        <w:left w:val="none" w:sz="0" w:space="0" w:color="auto"/>
        <w:bottom w:val="none" w:sz="0" w:space="0" w:color="auto"/>
        <w:right w:val="none" w:sz="0" w:space="0" w:color="auto"/>
      </w:divBdr>
    </w:div>
    <w:div w:id="455368285">
      <w:bodyDiv w:val="1"/>
      <w:marLeft w:val="0"/>
      <w:marRight w:val="0"/>
      <w:marTop w:val="0"/>
      <w:marBottom w:val="0"/>
      <w:divBdr>
        <w:top w:val="none" w:sz="0" w:space="0" w:color="auto"/>
        <w:left w:val="none" w:sz="0" w:space="0" w:color="auto"/>
        <w:bottom w:val="none" w:sz="0" w:space="0" w:color="auto"/>
        <w:right w:val="none" w:sz="0" w:space="0" w:color="auto"/>
      </w:divBdr>
    </w:div>
    <w:div w:id="455753487">
      <w:bodyDiv w:val="1"/>
      <w:marLeft w:val="0"/>
      <w:marRight w:val="0"/>
      <w:marTop w:val="0"/>
      <w:marBottom w:val="0"/>
      <w:divBdr>
        <w:top w:val="none" w:sz="0" w:space="0" w:color="auto"/>
        <w:left w:val="none" w:sz="0" w:space="0" w:color="auto"/>
        <w:bottom w:val="none" w:sz="0" w:space="0" w:color="auto"/>
        <w:right w:val="none" w:sz="0" w:space="0" w:color="auto"/>
      </w:divBdr>
    </w:div>
    <w:div w:id="456026309">
      <w:bodyDiv w:val="1"/>
      <w:marLeft w:val="0"/>
      <w:marRight w:val="0"/>
      <w:marTop w:val="0"/>
      <w:marBottom w:val="0"/>
      <w:divBdr>
        <w:top w:val="none" w:sz="0" w:space="0" w:color="auto"/>
        <w:left w:val="none" w:sz="0" w:space="0" w:color="auto"/>
        <w:bottom w:val="none" w:sz="0" w:space="0" w:color="auto"/>
        <w:right w:val="none" w:sz="0" w:space="0" w:color="auto"/>
      </w:divBdr>
    </w:div>
    <w:div w:id="456265409">
      <w:bodyDiv w:val="1"/>
      <w:marLeft w:val="0"/>
      <w:marRight w:val="0"/>
      <w:marTop w:val="0"/>
      <w:marBottom w:val="0"/>
      <w:divBdr>
        <w:top w:val="none" w:sz="0" w:space="0" w:color="auto"/>
        <w:left w:val="none" w:sz="0" w:space="0" w:color="auto"/>
        <w:bottom w:val="none" w:sz="0" w:space="0" w:color="auto"/>
        <w:right w:val="none" w:sz="0" w:space="0" w:color="auto"/>
      </w:divBdr>
    </w:div>
    <w:div w:id="456408589">
      <w:bodyDiv w:val="1"/>
      <w:marLeft w:val="0"/>
      <w:marRight w:val="0"/>
      <w:marTop w:val="0"/>
      <w:marBottom w:val="0"/>
      <w:divBdr>
        <w:top w:val="none" w:sz="0" w:space="0" w:color="auto"/>
        <w:left w:val="none" w:sz="0" w:space="0" w:color="auto"/>
        <w:bottom w:val="none" w:sz="0" w:space="0" w:color="auto"/>
        <w:right w:val="none" w:sz="0" w:space="0" w:color="auto"/>
      </w:divBdr>
    </w:div>
    <w:div w:id="456532262">
      <w:bodyDiv w:val="1"/>
      <w:marLeft w:val="0"/>
      <w:marRight w:val="0"/>
      <w:marTop w:val="0"/>
      <w:marBottom w:val="0"/>
      <w:divBdr>
        <w:top w:val="none" w:sz="0" w:space="0" w:color="auto"/>
        <w:left w:val="none" w:sz="0" w:space="0" w:color="auto"/>
        <w:bottom w:val="none" w:sz="0" w:space="0" w:color="auto"/>
        <w:right w:val="none" w:sz="0" w:space="0" w:color="auto"/>
      </w:divBdr>
    </w:div>
    <w:div w:id="457450779">
      <w:bodyDiv w:val="1"/>
      <w:marLeft w:val="0"/>
      <w:marRight w:val="0"/>
      <w:marTop w:val="0"/>
      <w:marBottom w:val="0"/>
      <w:divBdr>
        <w:top w:val="none" w:sz="0" w:space="0" w:color="auto"/>
        <w:left w:val="none" w:sz="0" w:space="0" w:color="auto"/>
        <w:bottom w:val="none" w:sz="0" w:space="0" w:color="auto"/>
        <w:right w:val="none" w:sz="0" w:space="0" w:color="auto"/>
      </w:divBdr>
    </w:div>
    <w:div w:id="458034400">
      <w:bodyDiv w:val="1"/>
      <w:marLeft w:val="0"/>
      <w:marRight w:val="0"/>
      <w:marTop w:val="0"/>
      <w:marBottom w:val="0"/>
      <w:divBdr>
        <w:top w:val="none" w:sz="0" w:space="0" w:color="auto"/>
        <w:left w:val="none" w:sz="0" w:space="0" w:color="auto"/>
        <w:bottom w:val="none" w:sz="0" w:space="0" w:color="auto"/>
        <w:right w:val="none" w:sz="0" w:space="0" w:color="auto"/>
      </w:divBdr>
    </w:div>
    <w:div w:id="458378961">
      <w:bodyDiv w:val="1"/>
      <w:marLeft w:val="0"/>
      <w:marRight w:val="0"/>
      <w:marTop w:val="0"/>
      <w:marBottom w:val="0"/>
      <w:divBdr>
        <w:top w:val="none" w:sz="0" w:space="0" w:color="auto"/>
        <w:left w:val="none" w:sz="0" w:space="0" w:color="auto"/>
        <w:bottom w:val="none" w:sz="0" w:space="0" w:color="auto"/>
        <w:right w:val="none" w:sz="0" w:space="0" w:color="auto"/>
      </w:divBdr>
    </w:div>
    <w:div w:id="458567965">
      <w:bodyDiv w:val="1"/>
      <w:marLeft w:val="0"/>
      <w:marRight w:val="0"/>
      <w:marTop w:val="0"/>
      <w:marBottom w:val="0"/>
      <w:divBdr>
        <w:top w:val="none" w:sz="0" w:space="0" w:color="auto"/>
        <w:left w:val="none" w:sz="0" w:space="0" w:color="auto"/>
        <w:bottom w:val="none" w:sz="0" w:space="0" w:color="auto"/>
        <w:right w:val="none" w:sz="0" w:space="0" w:color="auto"/>
      </w:divBdr>
    </w:div>
    <w:div w:id="459112120">
      <w:bodyDiv w:val="1"/>
      <w:marLeft w:val="0"/>
      <w:marRight w:val="0"/>
      <w:marTop w:val="0"/>
      <w:marBottom w:val="0"/>
      <w:divBdr>
        <w:top w:val="none" w:sz="0" w:space="0" w:color="auto"/>
        <w:left w:val="none" w:sz="0" w:space="0" w:color="auto"/>
        <w:bottom w:val="none" w:sz="0" w:space="0" w:color="auto"/>
        <w:right w:val="none" w:sz="0" w:space="0" w:color="auto"/>
      </w:divBdr>
    </w:div>
    <w:div w:id="459804730">
      <w:bodyDiv w:val="1"/>
      <w:marLeft w:val="0"/>
      <w:marRight w:val="0"/>
      <w:marTop w:val="0"/>
      <w:marBottom w:val="0"/>
      <w:divBdr>
        <w:top w:val="none" w:sz="0" w:space="0" w:color="auto"/>
        <w:left w:val="none" w:sz="0" w:space="0" w:color="auto"/>
        <w:bottom w:val="none" w:sz="0" w:space="0" w:color="auto"/>
        <w:right w:val="none" w:sz="0" w:space="0" w:color="auto"/>
      </w:divBdr>
    </w:div>
    <w:div w:id="459884002">
      <w:bodyDiv w:val="1"/>
      <w:marLeft w:val="0"/>
      <w:marRight w:val="0"/>
      <w:marTop w:val="0"/>
      <w:marBottom w:val="0"/>
      <w:divBdr>
        <w:top w:val="none" w:sz="0" w:space="0" w:color="auto"/>
        <w:left w:val="none" w:sz="0" w:space="0" w:color="auto"/>
        <w:bottom w:val="none" w:sz="0" w:space="0" w:color="auto"/>
        <w:right w:val="none" w:sz="0" w:space="0" w:color="auto"/>
      </w:divBdr>
    </w:div>
    <w:div w:id="459958979">
      <w:bodyDiv w:val="1"/>
      <w:marLeft w:val="0"/>
      <w:marRight w:val="0"/>
      <w:marTop w:val="0"/>
      <w:marBottom w:val="0"/>
      <w:divBdr>
        <w:top w:val="none" w:sz="0" w:space="0" w:color="auto"/>
        <w:left w:val="none" w:sz="0" w:space="0" w:color="auto"/>
        <w:bottom w:val="none" w:sz="0" w:space="0" w:color="auto"/>
        <w:right w:val="none" w:sz="0" w:space="0" w:color="auto"/>
      </w:divBdr>
    </w:div>
    <w:div w:id="459961681">
      <w:bodyDiv w:val="1"/>
      <w:marLeft w:val="0"/>
      <w:marRight w:val="0"/>
      <w:marTop w:val="0"/>
      <w:marBottom w:val="0"/>
      <w:divBdr>
        <w:top w:val="none" w:sz="0" w:space="0" w:color="auto"/>
        <w:left w:val="none" w:sz="0" w:space="0" w:color="auto"/>
        <w:bottom w:val="none" w:sz="0" w:space="0" w:color="auto"/>
        <w:right w:val="none" w:sz="0" w:space="0" w:color="auto"/>
      </w:divBdr>
    </w:div>
    <w:div w:id="460000669">
      <w:bodyDiv w:val="1"/>
      <w:marLeft w:val="0"/>
      <w:marRight w:val="0"/>
      <w:marTop w:val="0"/>
      <w:marBottom w:val="0"/>
      <w:divBdr>
        <w:top w:val="none" w:sz="0" w:space="0" w:color="auto"/>
        <w:left w:val="none" w:sz="0" w:space="0" w:color="auto"/>
        <w:bottom w:val="none" w:sz="0" w:space="0" w:color="auto"/>
        <w:right w:val="none" w:sz="0" w:space="0" w:color="auto"/>
      </w:divBdr>
    </w:div>
    <w:div w:id="460270053">
      <w:bodyDiv w:val="1"/>
      <w:marLeft w:val="0"/>
      <w:marRight w:val="0"/>
      <w:marTop w:val="0"/>
      <w:marBottom w:val="0"/>
      <w:divBdr>
        <w:top w:val="none" w:sz="0" w:space="0" w:color="auto"/>
        <w:left w:val="none" w:sz="0" w:space="0" w:color="auto"/>
        <w:bottom w:val="none" w:sz="0" w:space="0" w:color="auto"/>
        <w:right w:val="none" w:sz="0" w:space="0" w:color="auto"/>
      </w:divBdr>
    </w:div>
    <w:div w:id="461458762">
      <w:bodyDiv w:val="1"/>
      <w:marLeft w:val="0"/>
      <w:marRight w:val="0"/>
      <w:marTop w:val="0"/>
      <w:marBottom w:val="0"/>
      <w:divBdr>
        <w:top w:val="none" w:sz="0" w:space="0" w:color="auto"/>
        <w:left w:val="none" w:sz="0" w:space="0" w:color="auto"/>
        <w:bottom w:val="none" w:sz="0" w:space="0" w:color="auto"/>
        <w:right w:val="none" w:sz="0" w:space="0" w:color="auto"/>
      </w:divBdr>
    </w:div>
    <w:div w:id="461847103">
      <w:bodyDiv w:val="1"/>
      <w:marLeft w:val="0"/>
      <w:marRight w:val="0"/>
      <w:marTop w:val="0"/>
      <w:marBottom w:val="0"/>
      <w:divBdr>
        <w:top w:val="none" w:sz="0" w:space="0" w:color="auto"/>
        <w:left w:val="none" w:sz="0" w:space="0" w:color="auto"/>
        <w:bottom w:val="none" w:sz="0" w:space="0" w:color="auto"/>
        <w:right w:val="none" w:sz="0" w:space="0" w:color="auto"/>
      </w:divBdr>
    </w:div>
    <w:div w:id="462189501">
      <w:bodyDiv w:val="1"/>
      <w:marLeft w:val="0"/>
      <w:marRight w:val="0"/>
      <w:marTop w:val="0"/>
      <w:marBottom w:val="0"/>
      <w:divBdr>
        <w:top w:val="none" w:sz="0" w:space="0" w:color="auto"/>
        <w:left w:val="none" w:sz="0" w:space="0" w:color="auto"/>
        <w:bottom w:val="none" w:sz="0" w:space="0" w:color="auto"/>
        <w:right w:val="none" w:sz="0" w:space="0" w:color="auto"/>
      </w:divBdr>
    </w:div>
    <w:div w:id="462505924">
      <w:bodyDiv w:val="1"/>
      <w:marLeft w:val="0"/>
      <w:marRight w:val="0"/>
      <w:marTop w:val="0"/>
      <w:marBottom w:val="0"/>
      <w:divBdr>
        <w:top w:val="none" w:sz="0" w:space="0" w:color="auto"/>
        <w:left w:val="none" w:sz="0" w:space="0" w:color="auto"/>
        <w:bottom w:val="none" w:sz="0" w:space="0" w:color="auto"/>
        <w:right w:val="none" w:sz="0" w:space="0" w:color="auto"/>
      </w:divBdr>
    </w:div>
    <w:div w:id="463230860">
      <w:bodyDiv w:val="1"/>
      <w:marLeft w:val="0"/>
      <w:marRight w:val="0"/>
      <w:marTop w:val="0"/>
      <w:marBottom w:val="0"/>
      <w:divBdr>
        <w:top w:val="none" w:sz="0" w:space="0" w:color="auto"/>
        <w:left w:val="none" w:sz="0" w:space="0" w:color="auto"/>
        <w:bottom w:val="none" w:sz="0" w:space="0" w:color="auto"/>
        <w:right w:val="none" w:sz="0" w:space="0" w:color="auto"/>
      </w:divBdr>
    </w:div>
    <w:div w:id="463231961">
      <w:bodyDiv w:val="1"/>
      <w:marLeft w:val="0"/>
      <w:marRight w:val="0"/>
      <w:marTop w:val="0"/>
      <w:marBottom w:val="0"/>
      <w:divBdr>
        <w:top w:val="none" w:sz="0" w:space="0" w:color="auto"/>
        <w:left w:val="none" w:sz="0" w:space="0" w:color="auto"/>
        <w:bottom w:val="none" w:sz="0" w:space="0" w:color="auto"/>
        <w:right w:val="none" w:sz="0" w:space="0" w:color="auto"/>
      </w:divBdr>
    </w:div>
    <w:div w:id="463431599">
      <w:bodyDiv w:val="1"/>
      <w:marLeft w:val="0"/>
      <w:marRight w:val="0"/>
      <w:marTop w:val="0"/>
      <w:marBottom w:val="0"/>
      <w:divBdr>
        <w:top w:val="none" w:sz="0" w:space="0" w:color="auto"/>
        <w:left w:val="none" w:sz="0" w:space="0" w:color="auto"/>
        <w:bottom w:val="none" w:sz="0" w:space="0" w:color="auto"/>
        <w:right w:val="none" w:sz="0" w:space="0" w:color="auto"/>
      </w:divBdr>
    </w:div>
    <w:div w:id="463473724">
      <w:bodyDiv w:val="1"/>
      <w:marLeft w:val="0"/>
      <w:marRight w:val="0"/>
      <w:marTop w:val="0"/>
      <w:marBottom w:val="0"/>
      <w:divBdr>
        <w:top w:val="none" w:sz="0" w:space="0" w:color="auto"/>
        <w:left w:val="none" w:sz="0" w:space="0" w:color="auto"/>
        <w:bottom w:val="none" w:sz="0" w:space="0" w:color="auto"/>
        <w:right w:val="none" w:sz="0" w:space="0" w:color="auto"/>
      </w:divBdr>
    </w:div>
    <w:div w:id="463696739">
      <w:bodyDiv w:val="1"/>
      <w:marLeft w:val="0"/>
      <w:marRight w:val="0"/>
      <w:marTop w:val="0"/>
      <w:marBottom w:val="0"/>
      <w:divBdr>
        <w:top w:val="none" w:sz="0" w:space="0" w:color="auto"/>
        <w:left w:val="none" w:sz="0" w:space="0" w:color="auto"/>
        <w:bottom w:val="none" w:sz="0" w:space="0" w:color="auto"/>
        <w:right w:val="none" w:sz="0" w:space="0" w:color="auto"/>
      </w:divBdr>
    </w:div>
    <w:div w:id="464661720">
      <w:bodyDiv w:val="1"/>
      <w:marLeft w:val="0"/>
      <w:marRight w:val="0"/>
      <w:marTop w:val="0"/>
      <w:marBottom w:val="0"/>
      <w:divBdr>
        <w:top w:val="none" w:sz="0" w:space="0" w:color="auto"/>
        <w:left w:val="none" w:sz="0" w:space="0" w:color="auto"/>
        <w:bottom w:val="none" w:sz="0" w:space="0" w:color="auto"/>
        <w:right w:val="none" w:sz="0" w:space="0" w:color="auto"/>
      </w:divBdr>
    </w:div>
    <w:div w:id="465242690">
      <w:bodyDiv w:val="1"/>
      <w:marLeft w:val="0"/>
      <w:marRight w:val="0"/>
      <w:marTop w:val="0"/>
      <w:marBottom w:val="0"/>
      <w:divBdr>
        <w:top w:val="none" w:sz="0" w:space="0" w:color="auto"/>
        <w:left w:val="none" w:sz="0" w:space="0" w:color="auto"/>
        <w:bottom w:val="none" w:sz="0" w:space="0" w:color="auto"/>
        <w:right w:val="none" w:sz="0" w:space="0" w:color="auto"/>
      </w:divBdr>
    </w:div>
    <w:div w:id="465322577">
      <w:bodyDiv w:val="1"/>
      <w:marLeft w:val="0"/>
      <w:marRight w:val="0"/>
      <w:marTop w:val="0"/>
      <w:marBottom w:val="0"/>
      <w:divBdr>
        <w:top w:val="none" w:sz="0" w:space="0" w:color="auto"/>
        <w:left w:val="none" w:sz="0" w:space="0" w:color="auto"/>
        <w:bottom w:val="none" w:sz="0" w:space="0" w:color="auto"/>
        <w:right w:val="none" w:sz="0" w:space="0" w:color="auto"/>
      </w:divBdr>
    </w:div>
    <w:div w:id="465397455">
      <w:bodyDiv w:val="1"/>
      <w:marLeft w:val="0"/>
      <w:marRight w:val="0"/>
      <w:marTop w:val="0"/>
      <w:marBottom w:val="0"/>
      <w:divBdr>
        <w:top w:val="none" w:sz="0" w:space="0" w:color="auto"/>
        <w:left w:val="none" w:sz="0" w:space="0" w:color="auto"/>
        <w:bottom w:val="none" w:sz="0" w:space="0" w:color="auto"/>
        <w:right w:val="none" w:sz="0" w:space="0" w:color="auto"/>
      </w:divBdr>
    </w:div>
    <w:div w:id="465852297">
      <w:bodyDiv w:val="1"/>
      <w:marLeft w:val="0"/>
      <w:marRight w:val="0"/>
      <w:marTop w:val="0"/>
      <w:marBottom w:val="0"/>
      <w:divBdr>
        <w:top w:val="none" w:sz="0" w:space="0" w:color="auto"/>
        <w:left w:val="none" w:sz="0" w:space="0" w:color="auto"/>
        <w:bottom w:val="none" w:sz="0" w:space="0" w:color="auto"/>
        <w:right w:val="none" w:sz="0" w:space="0" w:color="auto"/>
      </w:divBdr>
    </w:div>
    <w:div w:id="467167304">
      <w:bodyDiv w:val="1"/>
      <w:marLeft w:val="0"/>
      <w:marRight w:val="0"/>
      <w:marTop w:val="0"/>
      <w:marBottom w:val="0"/>
      <w:divBdr>
        <w:top w:val="none" w:sz="0" w:space="0" w:color="auto"/>
        <w:left w:val="none" w:sz="0" w:space="0" w:color="auto"/>
        <w:bottom w:val="none" w:sz="0" w:space="0" w:color="auto"/>
        <w:right w:val="none" w:sz="0" w:space="0" w:color="auto"/>
      </w:divBdr>
    </w:div>
    <w:div w:id="468012486">
      <w:bodyDiv w:val="1"/>
      <w:marLeft w:val="0"/>
      <w:marRight w:val="0"/>
      <w:marTop w:val="0"/>
      <w:marBottom w:val="0"/>
      <w:divBdr>
        <w:top w:val="none" w:sz="0" w:space="0" w:color="auto"/>
        <w:left w:val="none" w:sz="0" w:space="0" w:color="auto"/>
        <w:bottom w:val="none" w:sz="0" w:space="0" w:color="auto"/>
        <w:right w:val="none" w:sz="0" w:space="0" w:color="auto"/>
      </w:divBdr>
    </w:div>
    <w:div w:id="468674499">
      <w:bodyDiv w:val="1"/>
      <w:marLeft w:val="0"/>
      <w:marRight w:val="0"/>
      <w:marTop w:val="0"/>
      <w:marBottom w:val="0"/>
      <w:divBdr>
        <w:top w:val="none" w:sz="0" w:space="0" w:color="auto"/>
        <w:left w:val="none" w:sz="0" w:space="0" w:color="auto"/>
        <w:bottom w:val="none" w:sz="0" w:space="0" w:color="auto"/>
        <w:right w:val="none" w:sz="0" w:space="0" w:color="auto"/>
      </w:divBdr>
    </w:div>
    <w:div w:id="468714556">
      <w:bodyDiv w:val="1"/>
      <w:marLeft w:val="0"/>
      <w:marRight w:val="0"/>
      <w:marTop w:val="0"/>
      <w:marBottom w:val="0"/>
      <w:divBdr>
        <w:top w:val="none" w:sz="0" w:space="0" w:color="auto"/>
        <w:left w:val="none" w:sz="0" w:space="0" w:color="auto"/>
        <w:bottom w:val="none" w:sz="0" w:space="0" w:color="auto"/>
        <w:right w:val="none" w:sz="0" w:space="0" w:color="auto"/>
      </w:divBdr>
    </w:div>
    <w:div w:id="469053618">
      <w:bodyDiv w:val="1"/>
      <w:marLeft w:val="0"/>
      <w:marRight w:val="0"/>
      <w:marTop w:val="0"/>
      <w:marBottom w:val="0"/>
      <w:divBdr>
        <w:top w:val="none" w:sz="0" w:space="0" w:color="auto"/>
        <w:left w:val="none" w:sz="0" w:space="0" w:color="auto"/>
        <w:bottom w:val="none" w:sz="0" w:space="0" w:color="auto"/>
        <w:right w:val="none" w:sz="0" w:space="0" w:color="auto"/>
      </w:divBdr>
    </w:div>
    <w:div w:id="469982881">
      <w:bodyDiv w:val="1"/>
      <w:marLeft w:val="0"/>
      <w:marRight w:val="0"/>
      <w:marTop w:val="0"/>
      <w:marBottom w:val="0"/>
      <w:divBdr>
        <w:top w:val="none" w:sz="0" w:space="0" w:color="auto"/>
        <w:left w:val="none" w:sz="0" w:space="0" w:color="auto"/>
        <w:bottom w:val="none" w:sz="0" w:space="0" w:color="auto"/>
        <w:right w:val="none" w:sz="0" w:space="0" w:color="auto"/>
      </w:divBdr>
    </w:div>
    <w:div w:id="470560001">
      <w:bodyDiv w:val="1"/>
      <w:marLeft w:val="0"/>
      <w:marRight w:val="0"/>
      <w:marTop w:val="0"/>
      <w:marBottom w:val="0"/>
      <w:divBdr>
        <w:top w:val="none" w:sz="0" w:space="0" w:color="auto"/>
        <w:left w:val="none" w:sz="0" w:space="0" w:color="auto"/>
        <w:bottom w:val="none" w:sz="0" w:space="0" w:color="auto"/>
        <w:right w:val="none" w:sz="0" w:space="0" w:color="auto"/>
      </w:divBdr>
    </w:div>
    <w:div w:id="471019272">
      <w:bodyDiv w:val="1"/>
      <w:marLeft w:val="0"/>
      <w:marRight w:val="0"/>
      <w:marTop w:val="0"/>
      <w:marBottom w:val="0"/>
      <w:divBdr>
        <w:top w:val="none" w:sz="0" w:space="0" w:color="auto"/>
        <w:left w:val="none" w:sz="0" w:space="0" w:color="auto"/>
        <w:bottom w:val="none" w:sz="0" w:space="0" w:color="auto"/>
        <w:right w:val="none" w:sz="0" w:space="0" w:color="auto"/>
      </w:divBdr>
    </w:div>
    <w:div w:id="471140133">
      <w:bodyDiv w:val="1"/>
      <w:marLeft w:val="0"/>
      <w:marRight w:val="0"/>
      <w:marTop w:val="0"/>
      <w:marBottom w:val="0"/>
      <w:divBdr>
        <w:top w:val="none" w:sz="0" w:space="0" w:color="auto"/>
        <w:left w:val="none" w:sz="0" w:space="0" w:color="auto"/>
        <w:bottom w:val="none" w:sz="0" w:space="0" w:color="auto"/>
        <w:right w:val="none" w:sz="0" w:space="0" w:color="auto"/>
      </w:divBdr>
    </w:div>
    <w:div w:id="471748318">
      <w:bodyDiv w:val="1"/>
      <w:marLeft w:val="0"/>
      <w:marRight w:val="0"/>
      <w:marTop w:val="0"/>
      <w:marBottom w:val="0"/>
      <w:divBdr>
        <w:top w:val="none" w:sz="0" w:space="0" w:color="auto"/>
        <w:left w:val="none" w:sz="0" w:space="0" w:color="auto"/>
        <w:bottom w:val="none" w:sz="0" w:space="0" w:color="auto"/>
        <w:right w:val="none" w:sz="0" w:space="0" w:color="auto"/>
      </w:divBdr>
    </w:div>
    <w:div w:id="471752295">
      <w:bodyDiv w:val="1"/>
      <w:marLeft w:val="0"/>
      <w:marRight w:val="0"/>
      <w:marTop w:val="0"/>
      <w:marBottom w:val="0"/>
      <w:divBdr>
        <w:top w:val="none" w:sz="0" w:space="0" w:color="auto"/>
        <w:left w:val="none" w:sz="0" w:space="0" w:color="auto"/>
        <w:bottom w:val="none" w:sz="0" w:space="0" w:color="auto"/>
        <w:right w:val="none" w:sz="0" w:space="0" w:color="auto"/>
      </w:divBdr>
    </w:div>
    <w:div w:id="471794560">
      <w:bodyDiv w:val="1"/>
      <w:marLeft w:val="0"/>
      <w:marRight w:val="0"/>
      <w:marTop w:val="0"/>
      <w:marBottom w:val="0"/>
      <w:divBdr>
        <w:top w:val="none" w:sz="0" w:space="0" w:color="auto"/>
        <w:left w:val="none" w:sz="0" w:space="0" w:color="auto"/>
        <w:bottom w:val="none" w:sz="0" w:space="0" w:color="auto"/>
        <w:right w:val="none" w:sz="0" w:space="0" w:color="auto"/>
      </w:divBdr>
    </w:div>
    <w:div w:id="472330196">
      <w:bodyDiv w:val="1"/>
      <w:marLeft w:val="0"/>
      <w:marRight w:val="0"/>
      <w:marTop w:val="0"/>
      <w:marBottom w:val="0"/>
      <w:divBdr>
        <w:top w:val="none" w:sz="0" w:space="0" w:color="auto"/>
        <w:left w:val="none" w:sz="0" w:space="0" w:color="auto"/>
        <w:bottom w:val="none" w:sz="0" w:space="0" w:color="auto"/>
        <w:right w:val="none" w:sz="0" w:space="0" w:color="auto"/>
      </w:divBdr>
    </w:div>
    <w:div w:id="472524303">
      <w:bodyDiv w:val="1"/>
      <w:marLeft w:val="0"/>
      <w:marRight w:val="0"/>
      <w:marTop w:val="0"/>
      <w:marBottom w:val="0"/>
      <w:divBdr>
        <w:top w:val="none" w:sz="0" w:space="0" w:color="auto"/>
        <w:left w:val="none" w:sz="0" w:space="0" w:color="auto"/>
        <w:bottom w:val="none" w:sz="0" w:space="0" w:color="auto"/>
        <w:right w:val="none" w:sz="0" w:space="0" w:color="auto"/>
      </w:divBdr>
    </w:div>
    <w:div w:id="472599941">
      <w:bodyDiv w:val="1"/>
      <w:marLeft w:val="0"/>
      <w:marRight w:val="0"/>
      <w:marTop w:val="0"/>
      <w:marBottom w:val="0"/>
      <w:divBdr>
        <w:top w:val="none" w:sz="0" w:space="0" w:color="auto"/>
        <w:left w:val="none" w:sz="0" w:space="0" w:color="auto"/>
        <w:bottom w:val="none" w:sz="0" w:space="0" w:color="auto"/>
        <w:right w:val="none" w:sz="0" w:space="0" w:color="auto"/>
      </w:divBdr>
    </w:div>
    <w:div w:id="472602726">
      <w:bodyDiv w:val="1"/>
      <w:marLeft w:val="0"/>
      <w:marRight w:val="0"/>
      <w:marTop w:val="0"/>
      <w:marBottom w:val="0"/>
      <w:divBdr>
        <w:top w:val="none" w:sz="0" w:space="0" w:color="auto"/>
        <w:left w:val="none" w:sz="0" w:space="0" w:color="auto"/>
        <w:bottom w:val="none" w:sz="0" w:space="0" w:color="auto"/>
        <w:right w:val="none" w:sz="0" w:space="0" w:color="auto"/>
      </w:divBdr>
    </w:div>
    <w:div w:id="473065910">
      <w:bodyDiv w:val="1"/>
      <w:marLeft w:val="0"/>
      <w:marRight w:val="0"/>
      <w:marTop w:val="0"/>
      <w:marBottom w:val="0"/>
      <w:divBdr>
        <w:top w:val="none" w:sz="0" w:space="0" w:color="auto"/>
        <w:left w:val="none" w:sz="0" w:space="0" w:color="auto"/>
        <w:bottom w:val="none" w:sz="0" w:space="0" w:color="auto"/>
        <w:right w:val="none" w:sz="0" w:space="0" w:color="auto"/>
      </w:divBdr>
    </w:div>
    <w:div w:id="473065942">
      <w:bodyDiv w:val="1"/>
      <w:marLeft w:val="0"/>
      <w:marRight w:val="0"/>
      <w:marTop w:val="0"/>
      <w:marBottom w:val="0"/>
      <w:divBdr>
        <w:top w:val="none" w:sz="0" w:space="0" w:color="auto"/>
        <w:left w:val="none" w:sz="0" w:space="0" w:color="auto"/>
        <w:bottom w:val="none" w:sz="0" w:space="0" w:color="auto"/>
        <w:right w:val="none" w:sz="0" w:space="0" w:color="auto"/>
      </w:divBdr>
    </w:div>
    <w:div w:id="473066710">
      <w:bodyDiv w:val="1"/>
      <w:marLeft w:val="0"/>
      <w:marRight w:val="0"/>
      <w:marTop w:val="0"/>
      <w:marBottom w:val="0"/>
      <w:divBdr>
        <w:top w:val="none" w:sz="0" w:space="0" w:color="auto"/>
        <w:left w:val="none" w:sz="0" w:space="0" w:color="auto"/>
        <w:bottom w:val="none" w:sz="0" w:space="0" w:color="auto"/>
        <w:right w:val="none" w:sz="0" w:space="0" w:color="auto"/>
      </w:divBdr>
    </w:div>
    <w:div w:id="473301086">
      <w:bodyDiv w:val="1"/>
      <w:marLeft w:val="0"/>
      <w:marRight w:val="0"/>
      <w:marTop w:val="0"/>
      <w:marBottom w:val="0"/>
      <w:divBdr>
        <w:top w:val="none" w:sz="0" w:space="0" w:color="auto"/>
        <w:left w:val="none" w:sz="0" w:space="0" w:color="auto"/>
        <w:bottom w:val="none" w:sz="0" w:space="0" w:color="auto"/>
        <w:right w:val="none" w:sz="0" w:space="0" w:color="auto"/>
      </w:divBdr>
    </w:div>
    <w:div w:id="473527599">
      <w:bodyDiv w:val="1"/>
      <w:marLeft w:val="0"/>
      <w:marRight w:val="0"/>
      <w:marTop w:val="0"/>
      <w:marBottom w:val="0"/>
      <w:divBdr>
        <w:top w:val="none" w:sz="0" w:space="0" w:color="auto"/>
        <w:left w:val="none" w:sz="0" w:space="0" w:color="auto"/>
        <w:bottom w:val="none" w:sz="0" w:space="0" w:color="auto"/>
        <w:right w:val="none" w:sz="0" w:space="0" w:color="auto"/>
      </w:divBdr>
    </w:div>
    <w:div w:id="473790515">
      <w:bodyDiv w:val="1"/>
      <w:marLeft w:val="0"/>
      <w:marRight w:val="0"/>
      <w:marTop w:val="0"/>
      <w:marBottom w:val="0"/>
      <w:divBdr>
        <w:top w:val="none" w:sz="0" w:space="0" w:color="auto"/>
        <w:left w:val="none" w:sz="0" w:space="0" w:color="auto"/>
        <w:bottom w:val="none" w:sz="0" w:space="0" w:color="auto"/>
        <w:right w:val="none" w:sz="0" w:space="0" w:color="auto"/>
      </w:divBdr>
    </w:div>
    <w:div w:id="473836018">
      <w:bodyDiv w:val="1"/>
      <w:marLeft w:val="0"/>
      <w:marRight w:val="0"/>
      <w:marTop w:val="0"/>
      <w:marBottom w:val="0"/>
      <w:divBdr>
        <w:top w:val="none" w:sz="0" w:space="0" w:color="auto"/>
        <w:left w:val="none" w:sz="0" w:space="0" w:color="auto"/>
        <w:bottom w:val="none" w:sz="0" w:space="0" w:color="auto"/>
        <w:right w:val="none" w:sz="0" w:space="0" w:color="auto"/>
      </w:divBdr>
    </w:div>
    <w:div w:id="473840411">
      <w:bodyDiv w:val="1"/>
      <w:marLeft w:val="0"/>
      <w:marRight w:val="0"/>
      <w:marTop w:val="0"/>
      <w:marBottom w:val="0"/>
      <w:divBdr>
        <w:top w:val="none" w:sz="0" w:space="0" w:color="auto"/>
        <w:left w:val="none" w:sz="0" w:space="0" w:color="auto"/>
        <w:bottom w:val="none" w:sz="0" w:space="0" w:color="auto"/>
        <w:right w:val="none" w:sz="0" w:space="0" w:color="auto"/>
      </w:divBdr>
    </w:div>
    <w:div w:id="474765610">
      <w:bodyDiv w:val="1"/>
      <w:marLeft w:val="0"/>
      <w:marRight w:val="0"/>
      <w:marTop w:val="0"/>
      <w:marBottom w:val="0"/>
      <w:divBdr>
        <w:top w:val="none" w:sz="0" w:space="0" w:color="auto"/>
        <w:left w:val="none" w:sz="0" w:space="0" w:color="auto"/>
        <w:bottom w:val="none" w:sz="0" w:space="0" w:color="auto"/>
        <w:right w:val="none" w:sz="0" w:space="0" w:color="auto"/>
      </w:divBdr>
    </w:div>
    <w:div w:id="474954071">
      <w:bodyDiv w:val="1"/>
      <w:marLeft w:val="0"/>
      <w:marRight w:val="0"/>
      <w:marTop w:val="0"/>
      <w:marBottom w:val="0"/>
      <w:divBdr>
        <w:top w:val="none" w:sz="0" w:space="0" w:color="auto"/>
        <w:left w:val="none" w:sz="0" w:space="0" w:color="auto"/>
        <w:bottom w:val="none" w:sz="0" w:space="0" w:color="auto"/>
        <w:right w:val="none" w:sz="0" w:space="0" w:color="auto"/>
      </w:divBdr>
    </w:div>
    <w:div w:id="475143794">
      <w:bodyDiv w:val="1"/>
      <w:marLeft w:val="0"/>
      <w:marRight w:val="0"/>
      <w:marTop w:val="0"/>
      <w:marBottom w:val="0"/>
      <w:divBdr>
        <w:top w:val="none" w:sz="0" w:space="0" w:color="auto"/>
        <w:left w:val="none" w:sz="0" w:space="0" w:color="auto"/>
        <w:bottom w:val="none" w:sz="0" w:space="0" w:color="auto"/>
        <w:right w:val="none" w:sz="0" w:space="0" w:color="auto"/>
      </w:divBdr>
    </w:div>
    <w:div w:id="475341547">
      <w:bodyDiv w:val="1"/>
      <w:marLeft w:val="0"/>
      <w:marRight w:val="0"/>
      <w:marTop w:val="0"/>
      <w:marBottom w:val="0"/>
      <w:divBdr>
        <w:top w:val="none" w:sz="0" w:space="0" w:color="auto"/>
        <w:left w:val="none" w:sz="0" w:space="0" w:color="auto"/>
        <w:bottom w:val="none" w:sz="0" w:space="0" w:color="auto"/>
        <w:right w:val="none" w:sz="0" w:space="0" w:color="auto"/>
      </w:divBdr>
    </w:div>
    <w:div w:id="475604977">
      <w:bodyDiv w:val="1"/>
      <w:marLeft w:val="0"/>
      <w:marRight w:val="0"/>
      <w:marTop w:val="0"/>
      <w:marBottom w:val="0"/>
      <w:divBdr>
        <w:top w:val="none" w:sz="0" w:space="0" w:color="auto"/>
        <w:left w:val="none" w:sz="0" w:space="0" w:color="auto"/>
        <w:bottom w:val="none" w:sz="0" w:space="0" w:color="auto"/>
        <w:right w:val="none" w:sz="0" w:space="0" w:color="auto"/>
      </w:divBdr>
    </w:div>
    <w:div w:id="475999834">
      <w:bodyDiv w:val="1"/>
      <w:marLeft w:val="0"/>
      <w:marRight w:val="0"/>
      <w:marTop w:val="0"/>
      <w:marBottom w:val="0"/>
      <w:divBdr>
        <w:top w:val="none" w:sz="0" w:space="0" w:color="auto"/>
        <w:left w:val="none" w:sz="0" w:space="0" w:color="auto"/>
        <w:bottom w:val="none" w:sz="0" w:space="0" w:color="auto"/>
        <w:right w:val="none" w:sz="0" w:space="0" w:color="auto"/>
      </w:divBdr>
    </w:div>
    <w:div w:id="476261155">
      <w:bodyDiv w:val="1"/>
      <w:marLeft w:val="0"/>
      <w:marRight w:val="0"/>
      <w:marTop w:val="0"/>
      <w:marBottom w:val="0"/>
      <w:divBdr>
        <w:top w:val="none" w:sz="0" w:space="0" w:color="auto"/>
        <w:left w:val="none" w:sz="0" w:space="0" w:color="auto"/>
        <w:bottom w:val="none" w:sz="0" w:space="0" w:color="auto"/>
        <w:right w:val="none" w:sz="0" w:space="0" w:color="auto"/>
      </w:divBdr>
    </w:div>
    <w:div w:id="476385963">
      <w:bodyDiv w:val="1"/>
      <w:marLeft w:val="0"/>
      <w:marRight w:val="0"/>
      <w:marTop w:val="0"/>
      <w:marBottom w:val="0"/>
      <w:divBdr>
        <w:top w:val="none" w:sz="0" w:space="0" w:color="auto"/>
        <w:left w:val="none" w:sz="0" w:space="0" w:color="auto"/>
        <w:bottom w:val="none" w:sz="0" w:space="0" w:color="auto"/>
        <w:right w:val="none" w:sz="0" w:space="0" w:color="auto"/>
      </w:divBdr>
    </w:div>
    <w:div w:id="476535824">
      <w:bodyDiv w:val="1"/>
      <w:marLeft w:val="0"/>
      <w:marRight w:val="0"/>
      <w:marTop w:val="0"/>
      <w:marBottom w:val="0"/>
      <w:divBdr>
        <w:top w:val="none" w:sz="0" w:space="0" w:color="auto"/>
        <w:left w:val="none" w:sz="0" w:space="0" w:color="auto"/>
        <w:bottom w:val="none" w:sz="0" w:space="0" w:color="auto"/>
        <w:right w:val="none" w:sz="0" w:space="0" w:color="auto"/>
      </w:divBdr>
    </w:div>
    <w:div w:id="476537840">
      <w:bodyDiv w:val="1"/>
      <w:marLeft w:val="0"/>
      <w:marRight w:val="0"/>
      <w:marTop w:val="0"/>
      <w:marBottom w:val="0"/>
      <w:divBdr>
        <w:top w:val="none" w:sz="0" w:space="0" w:color="auto"/>
        <w:left w:val="none" w:sz="0" w:space="0" w:color="auto"/>
        <w:bottom w:val="none" w:sz="0" w:space="0" w:color="auto"/>
        <w:right w:val="none" w:sz="0" w:space="0" w:color="auto"/>
      </w:divBdr>
    </w:div>
    <w:div w:id="476918289">
      <w:bodyDiv w:val="1"/>
      <w:marLeft w:val="0"/>
      <w:marRight w:val="0"/>
      <w:marTop w:val="0"/>
      <w:marBottom w:val="0"/>
      <w:divBdr>
        <w:top w:val="none" w:sz="0" w:space="0" w:color="auto"/>
        <w:left w:val="none" w:sz="0" w:space="0" w:color="auto"/>
        <w:bottom w:val="none" w:sz="0" w:space="0" w:color="auto"/>
        <w:right w:val="none" w:sz="0" w:space="0" w:color="auto"/>
      </w:divBdr>
    </w:div>
    <w:div w:id="477185458">
      <w:bodyDiv w:val="1"/>
      <w:marLeft w:val="0"/>
      <w:marRight w:val="0"/>
      <w:marTop w:val="0"/>
      <w:marBottom w:val="0"/>
      <w:divBdr>
        <w:top w:val="none" w:sz="0" w:space="0" w:color="auto"/>
        <w:left w:val="none" w:sz="0" w:space="0" w:color="auto"/>
        <w:bottom w:val="none" w:sz="0" w:space="0" w:color="auto"/>
        <w:right w:val="none" w:sz="0" w:space="0" w:color="auto"/>
      </w:divBdr>
    </w:div>
    <w:div w:id="477185713">
      <w:bodyDiv w:val="1"/>
      <w:marLeft w:val="0"/>
      <w:marRight w:val="0"/>
      <w:marTop w:val="0"/>
      <w:marBottom w:val="0"/>
      <w:divBdr>
        <w:top w:val="none" w:sz="0" w:space="0" w:color="auto"/>
        <w:left w:val="none" w:sz="0" w:space="0" w:color="auto"/>
        <w:bottom w:val="none" w:sz="0" w:space="0" w:color="auto"/>
        <w:right w:val="none" w:sz="0" w:space="0" w:color="auto"/>
      </w:divBdr>
    </w:div>
    <w:div w:id="477305215">
      <w:bodyDiv w:val="1"/>
      <w:marLeft w:val="0"/>
      <w:marRight w:val="0"/>
      <w:marTop w:val="0"/>
      <w:marBottom w:val="0"/>
      <w:divBdr>
        <w:top w:val="none" w:sz="0" w:space="0" w:color="auto"/>
        <w:left w:val="none" w:sz="0" w:space="0" w:color="auto"/>
        <w:bottom w:val="none" w:sz="0" w:space="0" w:color="auto"/>
        <w:right w:val="none" w:sz="0" w:space="0" w:color="auto"/>
      </w:divBdr>
    </w:div>
    <w:div w:id="477456257">
      <w:bodyDiv w:val="1"/>
      <w:marLeft w:val="0"/>
      <w:marRight w:val="0"/>
      <w:marTop w:val="0"/>
      <w:marBottom w:val="0"/>
      <w:divBdr>
        <w:top w:val="none" w:sz="0" w:space="0" w:color="auto"/>
        <w:left w:val="none" w:sz="0" w:space="0" w:color="auto"/>
        <w:bottom w:val="none" w:sz="0" w:space="0" w:color="auto"/>
        <w:right w:val="none" w:sz="0" w:space="0" w:color="auto"/>
      </w:divBdr>
    </w:div>
    <w:div w:id="477649629">
      <w:bodyDiv w:val="1"/>
      <w:marLeft w:val="0"/>
      <w:marRight w:val="0"/>
      <w:marTop w:val="0"/>
      <w:marBottom w:val="0"/>
      <w:divBdr>
        <w:top w:val="none" w:sz="0" w:space="0" w:color="auto"/>
        <w:left w:val="none" w:sz="0" w:space="0" w:color="auto"/>
        <w:bottom w:val="none" w:sz="0" w:space="0" w:color="auto"/>
        <w:right w:val="none" w:sz="0" w:space="0" w:color="auto"/>
      </w:divBdr>
    </w:div>
    <w:div w:id="477654533">
      <w:bodyDiv w:val="1"/>
      <w:marLeft w:val="0"/>
      <w:marRight w:val="0"/>
      <w:marTop w:val="0"/>
      <w:marBottom w:val="0"/>
      <w:divBdr>
        <w:top w:val="none" w:sz="0" w:space="0" w:color="auto"/>
        <w:left w:val="none" w:sz="0" w:space="0" w:color="auto"/>
        <w:bottom w:val="none" w:sz="0" w:space="0" w:color="auto"/>
        <w:right w:val="none" w:sz="0" w:space="0" w:color="auto"/>
      </w:divBdr>
    </w:div>
    <w:div w:id="478811842">
      <w:bodyDiv w:val="1"/>
      <w:marLeft w:val="0"/>
      <w:marRight w:val="0"/>
      <w:marTop w:val="0"/>
      <w:marBottom w:val="0"/>
      <w:divBdr>
        <w:top w:val="none" w:sz="0" w:space="0" w:color="auto"/>
        <w:left w:val="none" w:sz="0" w:space="0" w:color="auto"/>
        <w:bottom w:val="none" w:sz="0" w:space="0" w:color="auto"/>
        <w:right w:val="none" w:sz="0" w:space="0" w:color="auto"/>
      </w:divBdr>
    </w:div>
    <w:div w:id="479200338">
      <w:bodyDiv w:val="1"/>
      <w:marLeft w:val="0"/>
      <w:marRight w:val="0"/>
      <w:marTop w:val="0"/>
      <w:marBottom w:val="0"/>
      <w:divBdr>
        <w:top w:val="none" w:sz="0" w:space="0" w:color="auto"/>
        <w:left w:val="none" w:sz="0" w:space="0" w:color="auto"/>
        <w:bottom w:val="none" w:sz="0" w:space="0" w:color="auto"/>
        <w:right w:val="none" w:sz="0" w:space="0" w:color="auto"/>
      </w:divBdr>
    </w:div>
    <w:div w:id="479462484">
      <w:bodyDiv w:val="1"/>
      <w:marLeft w:val="0"/>
      <w:marRight w:val="0"/>
      <w:marTop w:val="0"/>
      <w:marBottom w:val="0"/>
      <w:divBdr>
        <w:top w:val="none" w:sz="0" w:space="0" w:color="auto"/>
        <w:left w:val="none" w:sz="0" w:space="0" w:color="auto"/>
        <w:bottom w:val="none" w:sz="0" w:space="0" w:color="auto"/>
        <w:right w:val="none" w:sz="0" w:space="0" w:color="auto"/>
      </w:divBdr>
    </w:div>
    <w:div w:id="479464073">
      <w:bodyDiv w:val="1"/>
      <w:marLeft w:val="0"/>
      <w:marRight w:val="0"/>
      <w:marTop w:val="0"/>
      <w:marBottom w:val="0"/>
      <w:divBdr>
        <w:top w:val="none" w:sz="0" w:space="0" w:color="auto"/>
        <w:left w:val="none" w:sz="0" w:space="0" w:color="auto"/>
        <w:bottom w:val="none" w:sz="0" w:space="0" w:color="auto"/>
        <w:right w:val="none" w:sz="0" w:space="0" w:color="auto"/>
      </w:divBdr>
    </w:div>
    <w:div w:id="479615965">
      <w:bodyDiv w:val="1"/>
      <w:marLeft w:val="0"/>
      <w:marRight w:val="0"/>
      <w:marTop w:val="0"/>
      <w:marBottom w:val="0"/>
      <w:divBdr>
        <w:top w:val="none" w:sz="0" w:space="0" w:color="auto"/>
        <w:left w:val="none" w:sz="0" w:space="0" w:color="auto"/>
        <w:bottom w:val="none" w:sz="0" w:space="0" w:color="auto"/>
        <w:right w:val="none" w:sz="0" w:space="0" w:color="auto"/>
      </w:divBdr>
    </w:div>
    <w:div w:id="479687238">
      <w:bodyDiv w:val="1"/>
      <w:marLeft w:val="0"/>
      <w:marRight w:val="0"/>
      <w:marTop w:val="0"/>
      <w:marBottom w:val="0"/>
      <w:divBdr>
        <w:top w:val="none" w:sz="0" w:space="0" w:color="auto"/>
        <w:left w:val="none" w:sz="0" w:space="0" w:color="auto"/>
        <w:bottom w:val="none" w:sz="0" w:space="0" w:color="auto"/>
        <w:right w:val="none" w:sz="0" w:space="0" w:color="auto"/>
      </w:divBdr>
    </w:div>
    <w:div w:id="479805721">
      <w:bodyDiv w:val="1"/>
      <w:marLeft w:val="0"/>
      <w:marRight w:val="0"/>
      <w:marTop w:val="0"/>
      <w:marBottom w:val="0"/>
      <w:divBdr>
        <w:top w:val="none" w:sz="0" w:space="0" w:color="auto"/>
        <w:left w:val="none" w:sz="0" w:space="0" w:color="auto"/>
        <w:bottom w:val="none" w:sz="0" w:space="0" w:color="auto"/>
        <w:right w:val="none" w:sz="0" w:space="0" w:color="auto"/>
      </w:divBdr>
    </w:div>
    <w:div w:id="479808889">
      <w:bodyDiv w:val="1"/>
      <w:marLeft w:val="0"/>
      <w:marRight w:val="0"/>
      <w:marTop w:val="0"/>
      <w:marBottom w:val="0"/>
      <w:divBdr>
        <w:top w:val="none" w:sz="0" w:space="0" w:color="auto"/>
        <w:left w:val="none" w:sz="0" w:space="0" w:color="auto"/>
        <w:bottom w:val="none" w:sz="0" w:space="0" w:color="auto"/>
        <w:right w:val="none" w:sz="0" w:space="0" w:color="auto"/>
      </w:divBdr>
    </w:div>
    <w:div w:id="480925339">
      <w:bodyDiv w:val="1"/>
      <w:marLeft w:val="0"/>
      <w:marRight w:val="0"/>
      <w:marTop w:val="0"/>
      <w:marBottom w:val="0"/>
      <w:divBdr>
        <w:top w:val="none" w:sz="0" w:space="0" w:color="auto"/>
        <w:left w:val="none" w:sz="0" w:space="0" w:color="auto"/>
        <w:bottom w:val="none" w:sz="0" w:space="0" w:color="auto"/>
        <w:right w:val="none" w:sz="0" w:space="0" w:color="auto"/>
      </w:divBdr>
    </w:div>
    <w:div w:id="481043931">
      <w:bodyDiv w:val="1"/>
      <w:marLeft w:val="0"/>
      <w:marRight w:val="0"/>
      <w:marTop w:val="0"/>
      <w:marBottom w:val="0"/>
      <w:divBdr>
        <w:top w:val="none" w:sz="0" w:space="0" w:color="auto"/>
        <w:left w:val="none" w:sz="0" w:space="0" w:color="auto"/>
        <w:bottom w:val="none" w:sz="0" w:space="0" w:color="auto"/>
        <w:right w:val="none" w:sz="0" w:space="0" w:color="auto"/>
      </w:divBdr>
    </w:div>
    <w:div w:id="481581111">
      <w:bodyDiv w:val="1"/>
      <w:marLeft w:val="0"/>
      <w:marRight w:val="0"/>
      <w:marTop w:val="0"/>
      <w:marBottom w:val="0"/>
      <w:divBdr>
        <w:top w:val="none" w:sz="0" w:space="0" w:color="auto"/>
        <w:left w:val="none" w:sz="0" w:space="0" w:color="auto"/>
        <w:bottom w:val="none" w:sz="0" w:space="0" w:color="auto"/>
        <w:right w:val="none" w:sz="0" w:space="0" w:color="auto"/>
      </w:divBdr>
    </w:div>
    <w:div w:id="481892225">
      <w:bodyDiv w:val="1"/>
      <w:marLeft w:val="0"/>
      <w:marRight w:val="0"/>
      <w:marTop w:val="0"/>
      <w:marBottom w:val="0"/>
      <w:divBdr>
        <w:top w:val="none" w:sz="0" w:space="0" w:color="auto"/>
        <w:left w:val="none" w:sz="0" w:space="0" w:color="auto"/>
        <w:bottom w:val="none" w:sz="0" w:space="0" w:color="auto"/>
        <w:right w:val="none" w:sz="0" w:space="0" w:color="auto"/>
      </w:divBdr>
    </w:div>
    <w:div w:id="482820515">
      <w:bodyDiv w:val="1"/>
      <w:marLeft w:val="0"/>
      <w:marRight w:val="0"/>
      <w:marTop w:val="0"/>
      <w:marBottom w:val="0"/>
      <w:divBdr>
        <w:top w:val="none" w:sz="0" w:space="0" w:color="auto"/>
        <w:left w:val="none" w:sz="0" w:space="0" w:color="auto"/>
        <w:bottom w:val="none" w:sz="0" w:space="0" w:color="auto"/>
        <w:right w:val="none" w:sz="0" w:space="0" w:color="auto"/>
      </w:divBdr>
    </w:div>
    <w:div w:id="483471988">
      <w:bodyDiv w:val="1"/>
      <w:marLeft w:val="0"/>
      <w:marRight w:val="0"/>
      <w:marTop w:val="0"/>
      <w:marBottom w:val="0"/>
      <w:divBdr>
        <w:top w:val="none" w:sz="0" w:space="0" w:color="auto"/>
        <w:left w:val="none" w:sz="0" w:space="0" w:color="auto"/>
        <w:bottom w:val="none" w:sz="0" w:space="0" w:color="auto"/>
        <w:right w:val="none" w:sz="0" w:space="0" w:color="auto"/>
      </w:divBdr>
    </w:div>
    <w:div w:id="483594653">
      <w:bodyDiv w:val="1"/>
      <w:marLeft w:val="0"/>
      <w:marRight w:val="0"/>
      <w:marTop w:val="0"/>
      <w:marBottom w:val="0"/>
      <w:divBdr>
        <w:top w:val="none" w:sz="0" w:space="0" w:color="auto"/>
        <w:left w:val="none" w:sz="0" w:space="0" w:color="auto"/>
        <w:bottom w:val="none" w:sz="0" w:space="0" w:color="auto"/>
        <w:right w:val="none" w:sz="0" w:space="0" w:color="auto"/>
      </w:divBdr>
    </w:div>
    <w:div w:id="484005705">
      <w:bodyDiv w:val="1"/>
      <w:marLeft w:val="0"/>
      <w:marRight w:val="0"/>
      <w:marTop w:val="0"/>
      <w:marBottom w:val="0"/>
      <w:divBdr>
        <w:top w:val="none" w:sz="0" w:space="0" w:color="auto"/>
        <w:left w:val="none" w:sz="0" w:space="0" w:color="auto"/>
        <w:bottom w:val="none" w:sz="0" w:space="0" w:color="auto"/>
        <w:right w:val="none" w:sz="0" w:space="0" w:color="auto"/>
      </w:divBdr>
    </w:div>
    <w:div w:id="484006845">
      <w:bodyDiv w:val="1"/>
      <w:marLeft w:val="0"/>
      <w:marRight w:val="0"/>
      <w:marTop w:val="0"/>
      <w:marBottom w:val="0"/>
      <w:divBdr>
        <w:top w:val="none" w:sz="0" w:space="0" w:color="auto"/>
        <w:left w:val="none" w:sz="0" w:space="0" w:color="auto"/>
        <w:bottom w:val="none" w:sz="0" w:space="0" w:color="auto"/>
        <w:right w:val="none" w:sz="0" w:space="0" w:color="auto"/>
      </w:divBdr>
    </w:div>
    <w:div w:id="484199636">
      <w:bodyDiv w:val="1"/>
      <w:marLeft w:val="0"/>
      <w:marRight w:val="0"/>
      <w:marTop w:val="0"/>
      <w:marBottom w:val="0"/>
      <w:divBdr>
        <w:top w:val="none" w:sz="0" w:space="0" w:color="auto"/>
        <w:left w:val="none" w:sz="0" w:space="0" w:color="auto"/>
        <w:bottom w:val="none" w:sz="0" w:space="0" w:color="auto"/>
        <w:right w:val="none" w:sz="0" w:space="0" w:color="auto"/>
      </w:divBdr>
    </w:div>
    <w:div w:id="484245778">
      <w:bodyDiv w:val="1"/>
      <w:marLeft w:val="0"/>
      <w:marRight w:val="0"/>
      <w:marTop w:val="0"/>
      <w:marBottom w:val="0"/>
      <w:divBdr>
        <w:top w:val="none" w:sz="0" w:space="0" w:color="auto"/>
        <w:left w:val="none" w:sz="0" w:space="0" w:color="auto"/>
        <w:bottom w:val="none" w:sz="0" w:space="0" w:color="auto"/>
        <w:right w:val="none" w:sz="0" w:space="0" w:color="auto"/>
      </w:divBdr>
    </w:div>
    <w:div w:id="484320509">
      <w:bodyDiv w:val="1"/>
      <w:marLeft w:val="0"/>
      <w:marRight w:val="0"/>
      <w:marTop w:val="0"/>
      <w:marBottom w:val="0"/>
      <w:divBdr>
        <w:top w:val="none" w:sz="0" w:space="0" w:color="auto"/>
        <w:left w:val="none" w:sz="0" w:space="0" w:color="auto"/>
        <w:bottom w:val="none" w:sz="0" w:space="0" w:color="auto"/>
        <w:right w:val="none" w:sz="0" w:space="0" w:color="auto"/>
      </w:divBdr>
    </w:div>
    <w:div w:id="484705455">
      <w:bodyDiv w:val="1"/>
      <w:marLeft w:val="0"/>
      <w:marRight w:val="0"/>
      <w:marTop w:val="0"/>
      <w:marBottom w:val="0"/>
      <w:divBdr>
        <w:top w:val="none" w:sz="0" w:space="0" w:color="auto"/>
        <w:left w:val="none" w:sz="0" w:space="0" w:color="auto"/>
        <w:bottom w:val="none" w:sz="0" w:space="0" w:color="auto"/>
        <w:right w:val="none" w:sz="0" w:space="0" w:color="auto"/>
      </w:divBdr>
    </w:div>
    <w:div w:id="484931683">
      <w:bodyDiv w:val="1"/>
      <w:marLeft w:val="0"/>
      <w:marRight w:val="0"/>
      <w:marTop w:val="0"/>
      <w:marBottom w:val="0"/>
      <w:divBdr>
        <w:top w:val="none" w:sz="0" w:space="0" w:color="auto"/>
        <w:left w:val="none" w:sz="0" w:space="0" w:color="auto"/>
        <w:bottom w:val="none" w:sz="0" w:space="0" w:color="auto"/>
        <w:right w:val="none" w:sz="0" w:space="0" w:color="auto"/>
      </w:divBdr>
    </w:div>
    <w:div w:id="484975978">
      <w:bodyDiv w:val="1"/>
      <w:marLeft w:val="0"/>
      <w:marRight w:val="0"/>
      <w:marTop w:val="0"/>
      <w:marBottom w:val="0"/>
      <w:divBdr>
        <w:top w:val="none" w:sz="0" w:space="0" w:color="auto"/>
        <w:left w:val="none" w:sz="0" w:space="0" w:color="auto"/>
        <w:bottom w:val="none" w:sz="0" w:space="0" w:color="auto"/>
        <w:right w:val="none" w:sz="0" w:space="0" w:color="auto"/>
      </w:divBdr>
    </w:div>
    <w:div w:id="485243055">
      <w:bodyDiv w:val="1"/>
      <w:marLeft w:val="0"/>
      <w:marRight w:val="0"/>
      <w:marTop w:val="0"/>
      <w:marBottom w:val="0"/>
      <w:divBdr>
        <w:top w:val="none" w:sz="0" w:space="0" w:color="auto"/>
        <w:left w:val="none" w:sz="0" w:space="0" w:color="auto"/>
        <w:bottom w:val="none" w:sz="0" w:space="0" w:color="auto"/>
        <w:right w:val="none" w:sz="0" w:space="0" w:color="auto"/>
      </w:divBdr>
    </w:div>
    <w:div w:id="486093057">
      <w:bodyDiv w:val="1"/>
      <w:marLeft w:val="0"/>
      <w:marRight w:val="0"/>
      <w:marTop w:val="0"/>
      <w:marBottom w:val="0"/>
      <w:divBdr>
        <w:top w:val="none" w:sz="0" w:space="0" w:color="auto"/>
        <w:left w:val="none" w:sz="0" w:space="0" w:color="auto"/>
        <w:bottom w:val="none" w:sz="0" w:space="0" w:color="auto"/>
        <w:right w:val="none" w:sz="0" w:space="0" w:color="auto"/>
      </w:divBdr>
    </w:div>
    <w:div w:id="486820718">
      <w:bodyDiv w:val="1"/>
      <w:marLeft w:val="0"/>
      <w:marRight w:val="0"/>
      <w:marTop w:val="0"/>
      <w:marBottom w:val="0"/>
      <w:divBdr>
        <w:top w:val="none" w:sz="0" w:space="0" w:color="auto"/>
        <w:left w:val="none" w:sz="0" w:space="0" w:color="auto"/>
        <w:bottom w:val="none" w:sz="0" w:space="0" w:color="auto"/>
        <w:right w:val="none" w:sz="0" w:space="0" w:color="auto"/>
      </w:divBdr>
    </w:div>
    <w:div w:id="487407305">
      <w:bodyDiv w:val="1"/>
      <w:marLeft w:val="0"/>
      <w:marRight w:val="0"/>
      <w:marTop w:val="0"/>
      <w:marBottom w:val="0"/>
      <w:divBdr>
        <w:top w:val="none" w:sz="0" w:space="0" w:color="auto"/>
        <w:left w:val="none" w:sz="0" w:space="0" w:color="auto"/>
        <w:bottom w:val="none" w:sz="0" w:space="0" w:color="auto"/>
        <w:right w:val="none" w:sz="0" w:space="0" w:color="auto"/>
      </w:divBdr>
    </w:div>
    <w:div w:id="488717321">
      <w:bodyDiv w:val="1"/>
      <w:marLeft w:val="0"/>
      <w:marRight w:val="0"/>
      <w:marTop w:val="0"/>
      <w:marBottom w:val="0"/>
      <w:divBdr>
        <w:top w:val="none" w:sz="0" w:space="0" w:color="auto"/>
        <w:left w:val="none" w:sz="0" w:space="0" w:color="auto"/>
        <w:bottom w:val="none" w:sz="0" w:space="0" w:color="auto"/>
        <w:right w:val="none" w:sz="0" w:space="0" w:color="auto"/>
      </w:divBdr>
    </w:div>
    <w:div w:id="490176460">
      <w:bodyDiv w:val="1"/>
      <w:marLeft w:val="0"/>
      <w:marRight w:val="0"/>
      <w:marTop w:val="0"/>
      <w:marBottom w:val="0"/>
      <w:divBdr>
        <w:top w:val="none" w:sz="0" w:space="0" w:color="auto"/>
        <w:left w:val="none" w:sz="0" w:space="0" w:color="auto"/>
        <w:bottom w:val="none" w:sz="0" w:space="0" w:color="auto"/>
        <w:right w:val="none" w:sz="0" w:space="0" w:color="auto"/>
      </w:divBdr>
    </w:div>
    <w:div w:id="490297067">
      <w:bodyDiv w:val="1"/>
      <w:marLeft w:val="0"/>
      <w:marRight w:val="0"/>
      <w:marTop w:val="0"/>
      <w:marBottom w:val="0"/>
      <w:divBdr>
        <w:top w:val="none" w:sz="0" w:space="0" w:color="auto"/>
        <w:left w:val="none" w:sz="0" w:space="0" w:color="auto"/>
        <w:bottom w:val="none" w:sz="0" w:space="0" w:color="auto"/>
        <w:right w:val="none" w:sz="0" w:space="0" w:color="auto"/>
      </w:divBdr>
    </w:div>
    <w:div w:id="491334548">
      <w:bodyDiv w:val="1"/>
      <w:marLeft w:val="0"/>
      <w:marRight w:val="0"/>
      <w:marTop w:val="0"/>
      <w:marBottom w:val="0"/>
      <w:divBdr>
        <w:top w:val="none" w:sz="0" w:space="0" w:color="auto"/>
        <w:left w:val="none" w:sz="0" w:space="0" w:color="auto"/>
        <w:bottom w:val="none" w:sz="0" w:space="0" w:color="auto"/>
        <w:right w:val="none" w:sz="0" w:space="0" w:color="auto"/>
      </w:divBdr>
    </w:div>
    <w:div w:id="491413035">
      <w:bodyDiv w:val="1"/>
      <w:marLeft w:val="0"/>
      <w:marRight w:val="0"/>
      <w:marTop w:val="0"/>
      <w:marBottom w:val="0"/>
      <w:divBdr>
        <w:top w:val="none" w:sz="0" w:space="0" w:color="auto"/>
        <w:left w:val="none" w:sz="0" w:space="0" w:color="auto"/>
        <w:bottom w:val="none" w:sz="0" w:space="0" w:color="auto"/>
        <w:right w:val="none" w:sz="0" w:space="0" w:color="auto"/>
      </w:divBdr>
    </w:div>
    <w:div w:id="492455420">
      <w:bodyDiv w:val="1"/>
      <w:marLeft w:val="0"/>
      <w:marRight w:val="0"/>
      <w:marTop w:val="0"/>
      <w:marBottom w:val="0"/>
      <w:divBdr>
        <w:top w:val="none" w:sz="0" w:space="0" w:color="auto"/>
        <w:left w:val="none" w:sz="0" w:space="0" w:color="auto"/>
        <w:bottom w:val="none" w:sz="0" w:space="0" w:color="auto"/>
        <w:right w:val="none" w:sz="0" w:space="0" w:color="auto"/>
      </w:divBdr>
    </w:div>
    <w:div w:id="492532180">
      <w:bodyDiv w:val="1"/>
      <w:marLeft w:val="0"/>
      <w:marRight w:val="0"/>
      <w:marTop w:val="0"/>
      <w:marBottom w:val="0"/>
      <w:divBdr>
        <w:top w:val="none" w:sz="0" w:space="0" w:color="auto"/>
        <w:left w:val="none" w:sz="0" w:space="0" w:color="auto"/>
        <w:bottom w:val="none" w:sz="0" w:space="0" w:color="auto"/>
        <w:right w:val="none" w:sz="0" w:space="0" w:color="auto"/>
      </w:divBdr>
    </w:div>
    <w:div w:id="493424336">
      <w:bodyDiv w:val="1"/>
      <w:marLeft w:val="0"/>
      <w:marRight w:val="0"/>
      <w:marTop w:val="0"/>
      <w:marBottom w:val="0"/>
      <w:divBdr>
        <w:top w:val="none" w:sz="0" w:space="0" w:color="auto"/>
        <w:left w:val="none" w:sz="0" w:space="0" w:color="auto"/>
        <w:bottom w:val="none" w:sz="0" w:space="0" w:color="auto"/>
        <w:right w:val="none" w:sz="0" w:space="0" w:color="auto"/>
      </w:divBdr>
    </w:div>
    <w:div w:id="493837710">
      <w:bodyDiv w:val="1"/>
      <w:marLeft w:val="0"/>
      <w:marRight w:val="0"/>
      <w:marTop w:val="0"/>
      <w:marBottom w:val="0"/>
      <w:divBdr>
        <w:top w:val="none" w:sz="0" w:space="0" w:color="auto"/>
        <w:left w:val="none" w:sz="0" w:space="0" w:color="auto"/>
        <w:bottom w:val="none" w:sz="0" w:space="0" w:color="auto"/>
        <w:right w:val="none" w:sz="0" w:space="0" w:color="auto"/>
      </w:divBdr>
    </w:div>
    <w:div w:id="494154448">
      <w:bodyDiv w:val="1"/>
      <w:marLeft w:val="0"/>
      <w:marRight w:val="0"/>
      <w:marTop w:val="0"/>
      <w:marBottom w:val="0"/>
      <w:divBdr>
        <w:top w:val="none" w:sz="0" w:space="0" w:color="auto"/>
        <w:left w:val="none" w:sz="0" w:space="0" w:color="auto"/>
        <w:bottom w:val="none" w:sz="0" w:space="0" w:color="auto"/>
        <w:right w:val="none" w:sz="0" w:space="0" w:color="auto"/>
      </w:divBdr>
    </w:div>
    <w:div w:id="494495057">
      <w:bodyDiv w:val="1"/>
      <w:marLeft w:val="0"/>
      <w:marRight w:val="0"/>
      <w:marTop w:val="0"/>
      <w:marBottom w:val="0"/>
      <w:divBdr>
        <w:top w:val="none" w:sz="0" w:space="0" w:color="auto"/>
        <w:left w:val="none" w:sz="0" w:space="0" w:color="auto"/>
        <w:bottom w:val="none" w:sz="0" w:space="0" w:color="auto"/>
        <w:right w:val="none" w:sz="0" w:space="0" w:color="auto"/>
      </w:divBdr>
    </w:div>
    <w:div w:id="494610696">
      <w:bodyDiv w:val="1"/>
      <w:marLeft w:val="0"/>
      <w:marRight w:val="0"/>
      <w:marTop w:val="0"/>
      <w:marBottom w:val="0"/>
      <w:divBdr>
        <w:top w:val="none" w:sz="0" w:space="0" w:color="auto"/>
        <w:left w:val="none" w:sz="0" w:space="0" w:color="auto"/>
        <w:bottom w:val="none" w:sz="0" w:space="0" w:color="auto"/>
        <w:right w:val="none" w:sz="0" w:space="0" w:color="auto"/>
      </w:divBdr>
    </w:div>
    <w:div w:id="495195364">
      <w:bodyDiv w:val="1"/>
      <w:marLeft w:val="0"/>
      <w:marRight w:val="0"/>
      <w:marTop w:val="0"/>
      <w:marBottom w:val="0"/>
      <w:divBdr>
        <w:top w:val="none" w:sz="0" w:space="0" w:color="auto"/>
        <w:left w:val="none" w:sz="0" w:space="0" w:color="auto"/>
        <w:bottom w:val="none" w:sz="0" w:space="0" w:color="auto"/>
        <w:right w:val="none" w:sz="0" w:space="0" w:color="auto"/>
      </w:divBdr>
    </w:div>
    <w:div w:id="495270425">
      <w:bodyDiv w:val="1"/>
      <w:marLeft w:val="0"/>
      <w:marRight w:val="0"/>
      <w:marTop w:val="0"/>
      <w:marBottom w:val="0"/>
      <w:divBdr>
        <w:top w:val="none" w:sz="0" w:space="0" w:color="auto"/>
        <w:left w:val="none" w:sz="0" w:space="0" w:color="auto"/>
        <w:bottom w:val="none" w:sz="0" w:space="0" w:color="auto"/>
        <w:right w:val="none" w:sz="0" w:space="0" w:color="auto"/>
      </w:divBdr>
    </w:div>
    <w:div w:id="495656503">
      <w:bodyDiv w:val="1"/>
      <w:marLeft w:val="0"/>
      <w:marRight w:val="0"/>
      <w:marTop w:val="0"/>
      <w:marBottom w:val="0"/>
      <w:divBdr>
        <w:top w:val="none" w:sz="0" w:space="0" w:color="auto"/>
        <w:left w:val="none" w:sz="0" w:space="0" w:color="auto"/>
        <w:bottom w:val="none" w:sz="0" w:space="0" w:color="auto"/>
        <w:right w:val="none" w:sz="0" w:space="0" w:color="auto"/>
      </w:divBdr>
    </w:div>
    <w:div w:id="496001818">
      <w:bodyDiv w:val="1"/>
      <w:marLeft w:val="0"/>
      <w:marRight w:val="0"/>
      <w:marTop w:val="0"/>
      <w:marBottom w:val="0"/>
      <w:divBdr>
        <w:top w:val="none" w:sz="0" w:space="0" w:color="auto"/>
        <w:left w:val="none" w:sz="0" w:space="0" w:color="auto"/>
        <w:bottom w:val="none" w:sz="0" w:space="0" w:color="auto"/>
        <w:right w:val="none" w:sz="0" w:space="0" w:color="auto"/>
      </w:divBdr>
    </w:div>
    <w:div w:id="496305951">
      <w:bodyDiv w:val="1"/>
      <w:marLeft w:val="0"/>
      <w:marRight w:val="0"/>
      <w:marTop w:val="0"/>
      <w:marBottom w:val="0"/>
      <w:divBdr>
        <w:top w:val="none" w:sz="0" w:space="0" w:color="auto"/>
        <w:left w:val="none" w:sz="0" w:space="0" w:color="auto"/>
        <w:bottom w:val="none" w:sz="0" w:space="0" w:color="auto"/>
        <w:right w:val="none" w:sz="0" w:space="0" w:color="auto"/>
      </w:divBdr>
    </w:div>
    <w:div w:id="496849575">
      <w:bodyDiv w:val="1"/>
      <w:marLeft w:val="0"/>
      <w:marRight w:val="0"/>
      <w:marTop w:val="0"/>
      <w:marBottom w:val="0"/>
      <w:divBdr>
        <w:top w:val="none" w:sz="0" w:space="0" w:color="auto"/>
        <w:left w:val="none" w:sz="0" w:space="0" w:color="auto"/>
        <w:bottom w:val="none" w:sz="0" w:space="0" w:color="auto"/>
        <w:right w:val="none" w:sz="0" w:space="0" w:color="auto"/>
      </w:divBdr>
    </w:div>
    <w:div w:id="497313105">
      <w:bodyDiv w:val="1"/>
      <w:marLeft w:val="0"/>
      <w:marRight w:val="0"/>
      <w:marTop w:val="0"/>
      <w:marBottom w:val="0"/>
      <w:divBdr>
        <w:top w:val="none" w:sz="0" w:space="0" w:color="auto"/>
        <w:left w:val="none" w:sz="0" w:space="0" w:color="auto"/>
        <w:bottom w:val="none" w:sz="0" w:space="0" w:color="auto"/>
        <w:right w:val="none" w:sz="0" w:space="0" w:color="auto"/>
      </w:divBdr>
    </w:div>
    <w:div w:id="497381845">
      <w:bodyDiv w:val="1"/>
      <w:marLeft w:val="0"/>
      <w:marRight w:val="0"/>
      <w:marTop w:val="0"/>
      <w:marBottom w:val="0"/>
      <w:divBdr>
        <w:top w:val="none" w:sz="0" w:space="0" w:color="auto"/>
        <w:left w:val="none" w:sz="0" w:space="0" w:color="auto"/>
        <w:bottom w:val="none" w:sz="0" w:space="0" w:color="auto"/>
        <w:right w:val="none" w:sz="0" w:space="0" w:color="auto"/>
      </w:divBdr>
    </w:div>
    <w:div w:id="498153599">
      <w:bodyDiv w:val="1"/>
      <w:marLeft w:val="0"/>
      <w:marRight w:val="0"/>
      <w:marTop w:val="0"/>
      <w:marBottom w:val="0"/>
      <w:divBdr>
        <w:top w:val="none" w:sz="0" w:space="0" w:color="auto"/>
        <w:left w:val="none" w:sz="0" w:space="0" w:color="auto"/>
        <w:bottom w:val="none" w:sz="0" w:space="0" w:color="auto"/>
        <w:right w:val="none" w:sz="0" w:space="0" w:color="auto"/>
      </w:divBdr>
    </w:div>
    <w:div w:id="498354389">
      <w:bodyDiv w:val="1"/>
      <w:marLeft w:val="0"/>
      <w:marRight w:val="0"/>
      <w:marTop w:val="0"/>
      <w:marBottom w:val="0"/>
      <w:divBdr>
        <w:top w:val="none" w:sz="0" w:space="0" w:color="auto"/>
        <w:left w:val="none" w:sz="0" w:space="0" w:color="auto"/>
        <w:bottom w:val="none" w:sz="0" w:space="0" w:color="auto"/>
        <w:right w:val="none" w:sz="0" w:space="0" w:color="auto"/>
      </w:divBdr>
    </w:div>
    <w:div w:id="499002103">
      <w:bodyDiv w:val="1"/>
      <w:marLeft w:val="0"/>
      <w:marRight w:val="0"/>
      <w:marTop w:val="0"/>
      <w:marBottom w:val="0"/>
      <w:divBdr>
        <w:top w:val="none" w:sz="0" w:space="0" w:color="auto"/>
        <w:left w:val="none" w:sz="0" w:space="0" w:color="auto"/>
        <w:bottom w:val="none" w:sz="0" w:space="0" w:color="auto"/>
        <w:right w:val="none" w:sz="0" w:space="0" w:color="auto"/>
      </w:divBdr>
    </w:div>
    <w:div w:id="499351534">
      <w:bodyDiv w:val="1"/>
      <w:marLeft w:val="0"/>
      <w:marRight w:val="0"/>
      <w:marTop w:val="0"/>
      <w:marBottom w:val="0"/>
      <w:divBdr>
        <w:top w:val="none" w:sz="0" w:space="0" w:color="auto"/>
        <w:left w:val="none" w:sz="0" w:space="0" w:color="auto"/>
        <w:bottom w:val="none" w:sz="0" w:space="0" w:color="auto"/>
        <w:right w:val="none" w:sz="0" w:space="0" w:color="auto"/>
      </w:divBdr>
    </w:div>
    <w:div w:id="499545856">
      <w:bodyDiv w:val="1"/>
      <w:marLeft w:val="0"/>
      <w:marRight w:val="0"/>
      <w:marTop w:val="0"/>
      <w:marBottom w:val="0"/>
      <w:divBdr>
        <w:top w:val="none" w:sz="0" w:space="0" w:color="auto"/>
        <w:left w:val="none" w:sz="0" w:space="0" w:color="auto"/>
        <w:bottom w:val="none" w:sz="0" w:space="0" w:color="auto"/>
        <w:right w:val="none" w:sz="0" w:space="0" w:color="auto"/>
      </w:divBdr>
    </w:div>
    <w:div w:id="499933668">
      <w:bodyDiv w:val="1"/>
      <w:marLeft w:val="0"/>
      <w:marRight w:val="0"/>
      <w:marTop w:val="0"/>
      <w:marBottom w:val="0"/>
      <w:divBdr>
        <w:top w:val="none" w:sz="0" w:space="0" w:color="auto"/>
        <w:left w:val="none" w:sz="0" w:space="0" w:color="auto"/>
        <w:bottom w:val="none" w:sz="0" w:space="0" w:color="auto"/>
        <w:right w:val="none" w:sz="0" w:space="0" w:color="auto"/>
      </w:divBdr>
    </w:div>
    <w:div w:id="500195449">
      <w:bodyDiv w:val="1"/>
      <w:marLeft w:val="0"/>
      <w:marRight w:val="0"/>
      <w:marTop w:val="0"/>
      <w:marBottom w:val="0"/>
      <w:divBdr>
        <w:top w:val="none" w:sz="0" w:space="0" w:color="auto"/>
        <w:left w:val="none" w:sz="0" w:space="0" w:color="auto"/>
        <w:bottom w:val="none" w:sz="0" w:space="0" w:color="auto"/>
        <w:right w:val="none" w:sz="0" w:space="0" w:color="auto"/>
      </w:divBdr>
    </w:div>
    <w:div w:id="501624807">
      <w:bodyDiv w:val="1"/>
      <w:marLeft w:val="0"/>
      <w:marRight w:val="0"/>
      <w:marTop w:val="0"/>
      <w:marBottom w:val="0"/>
      <w:divBdr>
        <w:top w:val="none" w:sz="0" w:space="0" w:color="auto"/>
        <w:left w:val="none" w:sz="0" w:space="0" w:color="auto"/>
        <w:bottom w:val="none" w:sz="0" w:space="0" w:color="auto"/>
        <w:right w:val="none" w:sz="0" w:space="0" w:color="auto"/>
      </w:divBdr>
    </w:div>
    <w:div w:id="501698172">
      <w:bodyDiv w:val="1"/>
      <w:marLeft w:val="0"/>
      <w:marRight w:val="0"/>
      <w:marTop w:val="0"/>
      <w:marBottom w:val="0"/>
      <w:divBdr>
        <w:top w:val="none" w:sz="0" w:space="0" w:color="auto"/>
        <w:left w:val="none" w:sz="0" w:space="0" w:color="auto"/>
        <w:bottom w:val="none" w:sz="0" w:space="0" w:color="auto"/>
        <w:right w:val="none" w:sz="0" w:space="0" w:color="auto"/>
      </w:divBdr>
    </w:div>
    <w:div w:id="501897640">
      <w:bodyDiv w:val="1"/>
      <w:marLeft w:val="0"/>
      <w:marRight w:val="0"/>
      <w:marTop w:val="0"/>
      <w:marBottom w:val="0"/>
      <w:divBdr>
        <w:top w:val="none" w:sz="0" w:space="0" w:color="auto"/>
        <w:left w:val="none" w:sz="0" w:space="0" w:color="auto"/>
        <w:bottom w:val="none" w:sz="0" w:space="0" w:color="auto"/>
        <w:right w:val="none" w:sz="0" w:space="0" w:color="auto"/>
      </w:divBdr>
    </w:div>
    <w:div w:id="502169006">
      <w:bodyDiv w:val="1"/>
      <w:marLeft w:val="0"/>
      <w:marRight w:val="0"/>
      <w:marTop w:val="0"/>
      <w:marBottom w:val="0"/>
      <w:divBdr>
        <w:top w:val="none" w:sz="0" w:space="0" w:color="auto"/>
        <w:left w:val="none" w:sz="0" w:space="0" w:color="auto"/>
        <w:bottom w:val="none" w:sz="0" w:space="0" w:color="auto"/>
        <w:right w:val="none" w:sz="0" w:space="0" w:color="auto"/>
      </w:divBdr>
    </w:div>
    <w:div w:id="502279307">
      <w:bodyDiv w:val="1"/>
      <w:marLeft w:val="0"/>
      <w:marRight w:val="0"/>
      <w:marTop w:val="0"/>
      <w:marBottom w:val="0"/>
      <w:divBdr>
        <w:top w:val="none" w:sz="0" w:space="0" w:color="auto"/>
        <w:left w:val="none" w:sz="0" w:space="0" w:color="auto"/>
        <w:bottom w:val="none" w:sz="0" w:space="0" w:color="auto"/>
        <w:right w:val="none" w:sz="0" w:space="0" w:color="auto"/>
      </w:divBdr>
    </w:div>
    <w:div w:id="502747451">
      <w:bodyDiv w:val="1"/>
      <w:marLeft w:val="0"/>
      <w:marRight w:val="0"/>
      <w:marTop w:val="0"/>
      <w:marBottom w:val="0"/>
      <w:divBdr>
        <w:top w:val="none" w:sz="0" w:space="0" w:color="auto"/>
        <w:left w:val="none" w:sz="0" w:space="0" w:color="auto"/>
        <w:bottom w:val="none" w:sz="0" w:space="0" w:color="auto"/>
        <w:right w:val="none" w:sz="0" w:space="0" w:color="auto"/>
      </w:divBdr>
    </w:div>
    <w:div w:id="502823588">
      <w:bodyDiv w:val="1"/>
      <w:marLeft w:val="0"/>
      <w:marRight w:val="0"/>
      <w:marTop w:val="0"/>
      <w:marBottom w:val="0"/>
      <w:divBdr>
        <w:top w:val="none" w:sz="0" w:space="0" w:color="auto"/>
        <w:left w:val="none" w:sz="0" w:space="0" w:color="auto"/>
        <w:bottom w:val="none" w:sz="0" w:space="0" w:color="auto"/>
        <w:right w:val="none" w:sz="0" w:space="0" w:color="auto"/>
      </w:divBdr>
    </w:div>
    <w:div w:id="503210155">
      <w:bodyDiv w:val="1"/>
      <w:marLeft w:val="0"/>
      <w:marRight w:val="0"/>
      <w:marTop w:val="0"/>
      <w:marBottom w:val="0"/>
      <w:divBdr>
        <w:top w:val="none" w:sz="0" w:space="0" w:color="auto"/>
        <w:left w:val="none" w:sz="0" w:space="0" w:color="auto"/>
        <w:bottom w:val="none" w:sz="0" w:space="0" w:color="auto"/>
        <w:right w:val="none" w:sz="0" w:space="0" w:color="auto"/>
      </w:divBdr>
    </w:div>
    <w:div w:id="505289787">
      <w:bodyDiv w:val="1"/>
      <w:marLeft w:val="0"/>
      <w:marRight w:val="0"/>
      <w:marTop w:val="0"/>
      <w:marBottom w:val="0"/>
      <w:divBdr>
        <w:top w:val="none" w:sz="0" w:space="0" w:color="auto"/>
        <w:left w:val="none" w:sz="0" w:space="0" w:color="auto"/>
        <w:bottom w:val="none" w:sz="0" w:space="0" w:color="auto"/>
        <w:right w:val="none" w:sz="0" w:space="0" w:color="auto"/>
      </w:divBdr>
    </w:div>
    <w:div w:id="506100173">
      <w:bodyDiv w:val="1"/>
      <w:marLeft w:val="0"/>
      <w:marRight w:val="0"/>
      <w:marTop w:val="0"/>
      <w:marBottom w:val="0"/>
      <w:divBdr>
        <w:top w:val="none" w:sz="0" w:space="0" w:color="auto"/>
        <w:left w:val="none" w:sz="0" w:space="0" w:color="auto"/>
        <w:bottom w:val="none" w:sz="0" w:space="0" w:color="auto"/>
        <w:right w:val="none" w:sz="0" w:space="0" w:color="auto"/>
      </w:divBdr>
    </w:div>
    <w:div w:id="506135374">
      <w:bodyDiv w:val="1"/>
      <w:marLeft w:val="0"/>
      <w:marRight w:val="0"/>
      <w:marTop w:val="0"/>
      <w:marBottom w:val="0"/>
      <w:divBdr>
        <w:top w:val="none" w:sz="0" w:space="0" w:color="auto"/>
        <w:left w:val="none" w:sz="0" w:space="0" w:color="auto"/>
        <w:bottom w:val="none" w:sz="0" w:space="0" w:color="auto"/>
        <w:right w:val="none" w:sz="0" w:space="0" w:color="auto"/>
      </w:divBdr>
    </w:div>
    <w:div w:id="506989057">
      <w:bodyDiv w:val="1"/>
      <w:marLeft w:val="0"/>
      <w:marRight w:val="0"/>
      <w:marTop w:val="0"/>
      <w:marBottom w:val="0"/>
      <w:divBdr>
        <w:top w:val="none" w:sz="0" w:space="0" w:color="auto"/>
        <w:left w:val="none" w:sz="0" w:space="0" w:color="auto"/>
        <w:bottom w:val="none" w:sz="0" w:space="0" w:color="auto"/>
        <w:right w:val="none" w:sz="0" w:space="0" w:color="auto"/>
      </w:divBdr>
    </w:div>
    <w:div w:id="507138426">
      <w:bodyDiv w:val="1"/>
      <w:marLeft w:val="0"/>
      <w:marRight w:val="0"/>
      <w:marTop w:val="0"/>
      <w:marBottom w:val="0"/>
      <w:divBdr>
        <w:top w:val="none" w:sz="0" w:space="0" w:color="auto"/>
        <w:left w:val="none" w:sz="0" w:space="0" w:color="auto"/>
        <w:bottom w:val="none" w:sz="0" w:space="0" w:color="auto"/>
        <w:right w:val="none" w:sz="0" w:space="0" w:color="auto"/>
      </w:divBdr>
    </w:div>
    <w:div w:id="507717053">
      <w:bodyDiv w:val="1"/>
      <w:marLeft w:val="0"/>
      <w:marRight w:val="0"/>
      <w:marTop w:val="0"/>
      <w:marBottom w:val="0"/>
      <w:divBdr>
        <w:top w:val="none" w:sz="0" w:space="0" w:color="auto"/>
        <w:left w:val="none" w:sz="0" w:space="0" w:color="auto"/>
        <w:bottom w:val="none" w:sz="0" w:space="0" w:color="auto"/>
        <w:right w:val="none" w:sz="0" w:space="0" w:color="auto"/>
      </w:divBdr>
    </w:div>
    <w:div w:id="507864413">
      <w:bodyDiv w:val="1"/>
      <w:marLeft w:val="0"/>
      <w:marRight w:val="0"/>
      <w:marTop w:val="0"/>
      <w:marBottom w:val="0"/>
      <w:divBdr>
        <w:top w:val="none" w:sz="0" w:space="0" w:color="auto"/>
        <w:left w:val="none" w:sz="0" w:space="0" w:color="auto"/>
        <w:bottom w:val="none" w:sz="0" w:space="0" w:color="auto"/>
        <w:right w:val="none" w:sz="0" w:space="0" w:color="auto"/>
      </w:divBdr>
    </w:div>
    <w:div w:id="508638425">
      <w:bodyDiv w:val="1"/>
      <w:marLeft w:val="0"/>
      <w:marRight w:val="0"/>
      <w:marTop w:val="0"/>
      <w:marBottom w:val="0"/>
      <w:divBdr>
        <w:top w:val="none" w:sz="0" w:space="0" w:color="auto"/>
        <w:left w:val="none" w:sz="0" w:space="0" w:color="auto"/>
        <w:bottom w:val="none" w:sz="0" w:space="0" w:color="auto"/>
        <w:right w:val="none" w:sz="0" w:space="0" w:color="auto"/>
      </w:divBdr>
    </w:div>
    <w:div w:id="508642066">
      <w:bodyDiv w:val="1"/>
      <w:marLeft w:val="0"/>
      <w:marRight w:val="0"/>
      <w:marTop w:val="0"/>
      <w:marBottom w:val="0"/>
      <w:divBdr>
        <w:top w:val="none" w:sz="0" w:space="0" w:color="auto"/>
        <w:left w:val="none" w:sz="0" w:space="0" w:color="auto"/>
        <w:bottom w:val="none" w:sz="0" w:space="0" w:color="auto"/>
        <w:right w:val="none" w:sz="0" w:space="0" w:color="auto"/>
      </w:divBdr>
    </w:div>
    <w:div w:id="510027723">
      <w:bodyDiv w:val="1"/>
      <w:marLeft w:val="0"/>
      <w:marRight w:val="0"/>
      <w:marTop w:val="0"/>
      <w:marBottom w:val="0"/>
      <w:divBdr>
        <w:top w:val="none" w:sz="0" w:space="0" w:color="auto"/>
        <w:left w:val="none" w:sz="0" w:space="0" w:color="auto"/>
        <w:bottom w:val="none" w:sz="0" w:space="0" w:color="auto"/>
        <w:right w:val="none" w:sz="0" w:space="0" w:color="auto"/>
      </w:divBdr>
    </w:div>
    <w:div w:id="510754241">
      <w:bodyDiv w:val="1"/>
      <w:marLeft w:val="0"/>
      <w:marRight w:val="0"/>
      <w:marTop w:val="0"/>
      <w:marBottom w:val="0"/>
      <w:divBdr>
        <w:top w:val="none" w:sz="0" w:space="0" w:color="auto"/>
        <w:left w:val="none" w:sz="0" w:space="0" w:color="auto"/>
        <w:bottom w:val="none" w:sz="0" w:space="0" w:color="auto"/>
        <w:right w:val="none" w:sz="0" w:space="0" w:color="auto"/>
      </w:divBdr>
    </w:div>
    <w:div w:id="510997089">
      <w:bodyDiv w:val="1"/>
      <w:marLeft w:val="0"/>
      <w:marRight w:val="0"/>
      <w:marTop w:val="0"/>
      <w:marBottom w:val="0"/>
      <w:divBdr>
        <w:top w:val="none" w:sz="0" w:space="0" w:color="auto"/>
        <w:left w:val="none" w:sz="0" w:space="0" w:color="auto"/>
        <w:bottom w:val="none" w:sz="0" w:space="0" w:color="auto"/>
        <w:right w:val="none" w:sz="0" w:space="0" w:color="auto"/>
      </w:divBdr>
    </w:div>
    <w:div w:id="511185428">
      <w:bodyDiv w:val="1"/>
      <w:marLeft w:val="0"/>
      <w:marRight w:val="0"/>
      <w:marTop w:val="0"/>
      <w:marBottom w:val="0"/>
      <w:divBdr>
        <w:top w:val="none" w:sz="0" w:space="0" w:color="auto"/>
        <w:left w:val="none" w:sz="0" w:space="0" w:color="auto"/>
        <w:bottom w:val="none" w:sz="0" w:space="0" w:color="auto"/>
        <w:right w:val="none" w:sz="0" w:space="0" w:color="auto"/>
      </w:divBdr>
    </w:div>
    <w:div w:id="511340331">
      <w:bodyDiv w:val="1"/>
      <w:marLeft w:val="0"/>
      <w:marRight w:val="0"/>
      <w:marTop w:val="0"/>
      <w:marBottom w:val="0"/>
      <w:divBdr>
        <w:top w:val="none" w:sz="0" w:space="0" w:color="auto"/>
        <w:left w:val="none" w:sz="0" w:space="0" w:color="auto"/>
        <w:bottom w:val="none" w:sz="0" w:space="0" w:color="auto"/>
        <w:right w:val="none" w:sz="0" w:space="0" w:color="auto"/>
      </w:divBdr>
    </w:div>
    <w:div w:id="512259856">
      <w:bodyDiv w:val="1"/>
      <w:marLeft w:val="0"/>
      <w:marRight w:val="0"/>
      <w:marTop w:val="0"/>
      <w:marBottom w:val="0"/>
      <w:divBdr>
        <w:top w:val="none" w:sz="0" w:space="0" w:color="auto"/>
        <w:left w:val="none" w:sz="0" w:space="0" w:color="auto"/>
        <w:bottom w:val="none" w:sz="0" w:space="0" w:color="auto"/>
        <w:right w:val="none" w:sz="0" w:space="0" w:color="auto"/>
      </w:divBdr>
    </w:div>
    <w:div w:id="512452279">
      <w:bodyDiv w:val="1"/>
      <w:marLeft w:val="0"/>
      <w:marRight w:val="0"/>
      <w:marTop w:val="0"/>
      <w:marBottom w:val="0"/>
      <w:divBdr>
        <w:top w:val="none" w:sz="0" w:space="0" w:color="auto"/>
        <w:left w:val="none" w:sz="0" w:space="0" w:color="auto"/>
        <w:bottom w:val="none" w:sz="0" w:space="0" w:color="auto"/>
        <w:right w:val="none" w:sz="0" w:space="0" w:color="auto"/>
      </w:divBdr>
    </w:div>
    <w:div w:id="512914015">
      <w:bodyDiv w:val="1"/>
      <w:marLeft w:val="0"/>
      <w:marRight w:val="0"/>
      <w:marTop w:val="0"/>
      <w:marBottom w:val="0"/>
      <w:divBdr>
        <w:top w:val="none" w:sz="0" w:space="0" w:color="auto"/>
        <w:left w:val="none" w:sz="0" w:space="0" w:color="auto"/>
        <w:bottom w:val="none" w:sz="0" w:space="0" w:color="auto"/>
        <w:right w:val="none" w:sz="0" w:space="0" w:color="auto"/>
      </w:divBdr>
    </w:div>
    <w:div w:id="513232152">
      <w:bodyDiv w:val="1"/>
      <w:marLeft w:val="0"/>
      <w:marRight w:val="0"/>
      <w:marTop w:val="0"/>
      <w:marBottom w:val="0"/>
      <w:divBdr>
        <w:top w:val="none" w:sz="0" w:space="0" w:color="auto"/>
        <w:left w:val="none" w:sz="0" w:space="0" w:color="auto"/>
        <w:bottom w:val="none" w:sz="0" w:space="0" w:color="auto"/>
        <w:right w:val="none" w:sz="0" w:space="0" w:color="auto"/>
      </w:divBdr>
    </w:div>
    <w:div w:id="513685530">
      <w:bodyDiv w:val="1"/>
      <w:marLeft w:val="0"/>
      <w:marRight w:val="0"/>
      <w:marTop w:val="0"/>
      <w:marBottom w:val="0"/>
      <w:divBdr>
        <w:top w:val="none" w:sz="0" w:space="0" w:color="auto"/>
        <w:left w:val="none" w:sz="0" w:space="0" w:color="auto"/>
        <w:bottom w:val="none" w:sz="0" w:space="0" w:color="auto"/>
        <w:right w:val="none" w:sz="0" w:space="0" w:color="auto"/>
      </w:divBdr>
    </w:div>
    <w:div w:id="513883849">
      <w:bodyDiv w:val="1"/>
      <w:marLeft w:val="0"/>
      <w:marRight w:val="0"/>
      <w:marTop w:val="0"/>
      <w:marBottom w:val="0"/>
      <w:divBdr>
        <w:top w:val="none" w:sz="0" w:space="0" w:color="auto"/>
        <w:left w:val="none" w:sz="0" w:space="0" w:color="auto"/>
        <w:bottom w:val="none" w:sz="0" w:space="0" w:color="auto"/>
        <w:right w:val="none" w:sz="0" w:space="0" w:color="auto"/>
      </w:divBdr>
    </w:div>
    <w:div w:id="513955886">
      <w:bodyDiv w:val="1"/>
      <w:marLeft w:val="0"/>
      <w:marRight w:val="0"/>
      <w:marTop w:val="0"/>
      <w:marBottom w:val="0"/>
      <w:divBdr>
        <w:top w:val="none" w:sz="0" w:space="0" w:color="auto"/>
        <w:left w:val="none" w:sz="0" w:space="0" w:color="auto"/>
        <w:bottom w:val="none" w:sz="0" w:space="0" w:color="auto"/>
        <w:right w:val="none" w:sz="0" w:space="0" w:color="auto"/>
      </w:divBdr>
    </w:div>
    <w:div w:id="514150305">
      <w:bodyDiv w:val="1"/>
      <w:marLeft w:val="0"/>
      <w:marRight w:val="0"/>
      <w:marTop w:val="0"/>
      <w:marBottom w:val="0"/>
      <w:divBdr>
        <w:top w:val="none" w:sz="0" w:space="0" w:color="auto"/>
        <w:left w:val="none" w:sz="0" w:space="0" w:color="auto"/>
        <w:bottom w:val="none" w:sz="0" w:space="0" w:color="auto"/>
        <w:right w:val="none" w:sz="0" w:space="0" w:color="auto"/>
      </w:divBdr>
    </w:div>
    <w:div w:id="514610748">
      <w:bodyDiv w:val="1"/>
      <w:marLeft w:val="0"/>
      <w:marRight w:val="0"/>
      <w:marTop w:val="0"/>
      <w:marBottom w:val="0"/>
      <w:divBdr>
        <w:top w:val="none" w:sz="0" w:space="0" w:color="auto"/>
        <w:left w:val="none" w:sz="0" w:space="0" w:color="auto"/>
        <w:bottom w:val="none" w:sz="0" w:space="0" w:color="auto"/>
        <w:right w:val="none" w:sz="0" w:space="0" w:color="auto"/>
      </w:divBdr>
    </w:div>
    <w:div w:id="514617702">
      <w:bodyDiv w:val="1"/>
      <w:marLeft w:val="0"/>
      <w:marRight w:val="0"/>
      <w:marTop w:val="0"/>
      <w:marBottom w:val="0"/>
      <w:divBdr>
        <w:top w:val="none" w:sz="0" w:space="0" w:color="auto"/>
        <w:left w:val="none" w:sz="0" w:space="0" w:color="auto"/>
        <w:bottom w:val="none" w:sz="0" w:space="0" w:color="auto"/>
        <w:right w:val="none" w:sz="0" w:space="0" w:color="auto"/>
      </w:divBdr>
    </w:div>
    <w:div w:id="514728356">
      <w:bodyDiv w:val="1"/>
      <w:marLeft w:val="0"/>
      <w:marRight w:val="0"/>
      <w:marTop w:val="0"/>
      <w:marBottom w:val="0"/>
      <w:divBdr>
        <w:top w:val="none" w:sz="0" w:space="0" w:color="auto"/>
        <w:left w:val="none" w:sz="0" w:space="0" w:color="auto"/>
        <w:bottom w:val="none" w:sz="0" w:space="0" w:color="auto"/>
        <w:right w:val="none" w:sz="0" w:space="0" w:color="auto"/>
      </w:divBdr>
    </w:div>
    <w:div w:id="515387818">
      <w:bodyDiv w:val="1"/>
      <w:marLeft w:val="0"/>
      <w:marRight w:val="0"/>
      <w:marTop w:val="0"/>
      <w:marBottom w:val="0"/>
      <w:divBdr>
        <w:top w:val="none" w:sz="0" w:space="0" w:color="auto"/>
        <w:left w:val="none" w:sz="0" w:space="0" w:color="auto"/>
        <w:bottom w:val="none" w:sz="0" w:space="0" w:color="auto"/>
        <w:right w:val="none" w:sz="0" w:space="0" w:color="auto"/>
      </w:divBdr>
    </w:div>
    <w:div w:id="515771018">
      <w:bodyDiv w:val="1"/>
      <w:marLeft w:val="0"/>
      <w:marRight w:val="0"/>
      <w:marTop w:val="0"/>
      <w:marBottom w:val="0"/>
      <w:divBdr>
        <w:top w:val="none" w:sz="0" w:space="0" w:color="auto"/>
        <w:left w:val="none" w:sz="0" w:space="0" w:color="auto"/>
        <w:bottom w:val="none" w:sz="0" w:space="0" w:color="auto"/>
        <w:right w:val="none" w:sz="0" w:space="0" w:color="auto"/>
      </w:divBdr>
    </w:div>
    <w:div w:id="515778050">
      <w:bodyDiv w:val="1"/>
      <w:marLeft w:val="0"/>
      <w:marRight w:val="0"/>
      <w:marTop w:val="0"/>
      <w:marBottom w:val="0"/>
      <w:divBdr>
        <w:top w:val="none" w:sz="0" w:space="0" w:color="auto"/>
        <w:left w:val="none" w:sz="0" w:space="0" w:color="auto"/>
        <w:bottom w:val="none" w:sz="0" w:space="0" w:color="auto"/>
        <w:right w:val="none" w:sz="0" w:space="0" w:color="auto"/>
      </w:divBdr>
    </w:div>
    <w:div w:id="515922953">
      <w:bodyDiv w:val="1"/>
      <w:marLeft w:val="0"/>
      <w:marRight w:val="0"/>
      <w:marTop w:val="0"/>
      <w:marBottom w:val="0"/>
      <w:divBdr>
        <w:top w:val="none" w:sz="0" w:space="0" w:color="auto"/>
        <w:left w:val="none" w:sz="0" w:space="0" w:color="auto"/>
        <w:bottom w:val="none" w:sz="0" w:space="0" w:color="auto"/>
        <w:right w:val="none" w:sz="0" w:space="0" w:color="auto"/>
      </w:divBdr>
    </w:div>
    <w:div w:id="516047240">
      <w:bodyDiv w:val="1"/>
      <w:marLeft w:val="0"/>
      <w:marRight w:val="0"/>
      <w:marTop w:val="0"/>
      <w:marBottom w:val="0"/>
      <w:divBdr>
        <w:top w:val="none" w:sz="0" w:space="0" w:color="auto"/>
        <w:left w:val="none" w:sz="0" w:space="0" w:color="auto"/>
        <w:bottom w:val="none" w:sz="0" w:space="0" w:color="auto"/>
        <w:right w:val="none" w:sz="0" w:space="0" w:color="auto"/>
      </w:divBdr>
    </w:div>
    <w:div w:id="516113694">
      <w:bodyDiv w:val="1"/>
      <w:marLeft w:val="0"/>
      <w:marRight w:val="0"/>
      <w:marTop w:val="0"/>
      <w:marBottom w:val="0"/>
      <w:divBdr>
        <w:top w:val="none" w:sz="0" w:space="0" w:color="auto"/>
        <w:left w:val="none" w:sz="0" w:space="0" w:color="auto"/>
        <w:bottom w:val="none" w:sz="0" w:space="0" w:color="auto"/>
        <w:right w:val="none" w:sz="0" w:space="0" w:color="auto"/>
      </w:divBdr>
    </w:div>
    <w:div w:id="516116161">
      <w:bodyDiv w:val="1"/>
      <w:marLeft w:val="0"/>
      <w:marRight w:val="0"/>
      <w:marTop w:val="0"/>
      <w:marBottom w:val="0"/>
      <w:divBdr>
        <w:top w:val="none" w:sz="0" w:space="0" w:color="auto"/>
        <w:left w:val="none" w:sz="0" w:space="0" w:color="auto"/>
        <w:bottom w:val="none" w:sz="0" w:space="0" w:color="auto"/>
        <w:right w:val="none" w:sz="0" w:space="0" w:color="auto"/>
      </w:divBdr>
    </w:div>
    <w:div w:id="516382608">
      <w:bodyDiv w:val="1"/>
      <w:marLeft w:val="0"/>
      <w:marRight w:val="0"/>
      <w:marTop w:val="0"/>
      <w:marBottom w:val="0"/>
      <w:divBdr>
        <w:top w:val="none" w:sz="0" w:space="0" w:color="auto"/>
        <w:left w:val="none" w:sz="0" w:space="0" w:color="auto"/>
        <w:bottom w:val="none" w:sz="0" w:space="0" w:color="auto"/>
        <w:right w:val="none" w:sz="0" w:space="0" w:color="auto"/>
      </w:divBdr>
    </w:div>
    <w:div w:id="517474639">
      <w:bodyDiv w:val="1"/>
      <w:marLeft w:val="0"/>
      <w:marRight w:val="0"/>
      <w:marTop w:val="0"/>
      <w:marBottom w:val="0"/>
      <w:divBdr>
        <w:top w:val="none" w:sz="0" w:space="0" w:color="auto"/>
        <w:left w:val="none" w:sz="0" w:space="0" w:color="auto"/>
        <w:bottom w:val="none" w:sz="0" w:space="0" w:color="auto"/>
        <w:right w:val="none" w:sz="0" w:space="0" w:color="auto"/>
      </w:divBdr>
    </w:div>
    <w:div w:id="518201889">
      <w:bodyDiv w:val="1"/>
      <w:marLeft w:val="0"/>
      <w:marRight w:val="0"/>
      <w:marTop w:val="0"/>
      <w:marBottom w:val="0"/>
      <w:divBdr>
        <w:top w:val="none" w:sz="0" w:space="0" w:color="auto"/>
        <w:left w:val="none" w:sz="0" w:space="0" w:color="auto"/>
        <w:bottom w:val="none" w:sz="0" w:space="0" w:color="auto"/>
        <w:right w:val="none" w:sz="0" w:space="0" w:color="auto"/>
      </w:divBdr>
    </w:div>
    <w:div w:id="518467414">
      <w:bodyDiv w:val="1"/>
      <w:marLeft w:val="0"/>
      <w:marRight w:val="0"/>
      <w:marTop w:val="0"/>
      <w:marBottom w:val="0"/>
      <w:divBdr>
        <w:top w:val="none" w:sz="0" w:space="0" w:color="auto"/>
        <w:left w:val="none" w:sz="0" w:space="0" w:color="auto"/>
        <w:bottom w:val="none" w:sz="0" w:space="0" w:color="auto"/>
        <w:right w:val="none" w:sz="0" w:space="0" w:color="auto"/>
      </w:divBdr>
    </w:div>
    <w:div w:id="519321034">
      <w:bodyDiv w:val="1"/>
      <w:marLeft w:val="0"/>
      <w:marRight w:val="0"/>
      <w:marTop w:val="0"/>
      <w:marBottom w:val="0"/>
      <w:divBdr>
        <w:top w:val="none" w:sz="0" w:space="0" w:color="auto"/>
        <w:left w:val="none" w:sz="0" w:space="0" w:color="auto"/>
        <w:bottom w:val="none" w:sz="0" w:space="0" w:color="auto"/>
        <w:right w:val="none" w:sz="0" w:space="0" w:color="auto"/>
      </w:divBdr>
    </w:div>
    <w:div w:id="519779481">
      <w:bodyDiv w:val="1"/>
      <w:marLeft w:val="0"/>
      <w:marRight w:val="0"/>
      <w:marTop w:val="0"/>
      <w:marBottom w:val="0"/>
      <w:divBdr>
        <w:top w:val="none" w:sz="0" w:space="0" w:color="auto"/>
        <w:left w:val="none" w:sz="0" w:space="0" w:color="auto"/>
        <w:bottom w:val="none" w:sz="0" w:space="0" w:color="auto"/>
        <w:right w:val="none" w:sz="0" w:space="0" w:color="auto"/>
      </w:divBdr>
    </w:div>
    <w:div w:id="519859330">
      <w:bodyDiv w:val="1"/>
      <w:marLeft w:val="0"/>
      <w:marRight w:val="0"/>
      <w:marTop w:val="0"/>
      <w:marBottom w:val="0"/>
      <w:divBdr>
        <w:top w:val="none" w:sz="0" w:space="0" w:color="auto"/>
        <w:left w:val="none" w:sz="0" w:space="0" w:color="auto"/>
        <w:bottom w:val="none" w:sz="0" w:space="0" w:color="auto"/>
        <w:right w:val="none" w:sz="0" w:space="0" w:color="auto"/>
      </w:divBdr>
    </w:div>
    <w:div w:id="519901199">
      <w:bodyDiv w:val="1"/>
      <w:marLeft w:val="0"/>
      <w:marRight w:val="0"/>
      <w:marTop w:val="0"/>
      <w:marBottom w:val="0"/>
      <w:divBdr>
        <w:top w:val="none" w:sz="0" w:space="0" w:color="auto"/>
        <w:left w:val="none" w:sz="0" w:space="0" w:color="auto"/>
        <w:bottom w:val="none" w:sz="0" w:space="0" w:color="auto"/>
        <w:right w:val="none" w:sz="0" w:space="0" w:color="auto"/>
      </w:divBdr>
    </w:div>
    <w:div w:id="520559008">
      <w:bodyDiv w:val="1"/>
      <w:marLeft w:val="0"/>
      <w:marRight w:val="0"/>
      <w:marTop w:val="0"/>
      <w:marBottom w:val="0"/>
      <w:divBdr>
        <w:top w:val="none" w:sz="0" w:space="0" w:color="auto"/>
        <w:left w:val="none" w:sz="0" w:space="0" w:color="auto"/>
        <w:bottom w:val="none" w:sz="0" w:space="0" w:color="auto"/>
        <w:right w:val="none" w:sz="0" w:space="0" w:color="auto"/>
      </w:divBdr>
    </w:div>
    <w:div w:id="520778899">
      <w:bodyDiv w:val="1"/>
      <w:marLeft w:val="0"/>
      <w:marRight w:val="0"/>
      <w:marTop w:val="0"/>
      <w:marBottom w:val="0"/>
      <w:divBdr>
        <w:top w:val="none" w:sz="0" w:space="0" w:color="auto"/>
        <w:left w:val="none" w:sz="0" w:space="0" w:color="auto"/>
        <w:bottom w:val="none" w:sz="0" w:space="0" w:color="auto"/>
        <w:right w:val="none" w:sz="0" w:space="0" w:color="auto"/>
      </w:divBdr>
    </w:div>
    <w:div w:id="520972163">
      <w:bodyDiv w:val="1"/>
      <w:marLeft w:val="0"/>
      <w:marRight w:val="0"/>
      <w:marTop w:val="0"/>
      <w:marBottom w:val="0"/>
      <w:divBdr>
        <w:top w:val="none" w:sz="0" w:space="0" w:color="auto"/>
        <w:left w:val="none" w:sz="0" w:space="0" w:color="auto"/>
        <w:bottom w:val="none" w:sz="0" w:space="0" w:color="auto"/>
        <w:right w:val="none" w:sz="0" w:space="0" w:color="auto"/>
      </w:divBdr>
    </w:div>
    <w:div w:id="521356540">
      <w:bodyDiv w:val="1"/>
      <w:marLeft w:val="0"/>
      <w:marRight w:val="0"/>
      <w:marTop w:val="0"/>
      <w:marBottom w:val="0"/>
      <w:divBdr>
        <w:top w:val="none" w:sz="0" w:space="0" w:color="auto"/>
        <w:left w:val="none" w:sz="0" w:space="0" w:color="auto"/>
        <w:bottom w:val="none" w:sz="0" w:space="0" w:color="auto"/>
        <w:right w:val="none" w:sz="0" w:space="0" w:color="auto"/>
      </w:divBdr>
    </w:div>
    <w:div w:id="521936807">
      <w:bodyDiv w:val="1"/>
      <w:marLeft w:val="0"/>
      <w:marRight w:val="0"/>
      <w:marTop w:val="0"/>
      <w:marBottom w:val="0"/>
      <w:divBdr>
        <w:top w:val="none" w:sz="0" w:space="0" w:color="auto"/>
        <w:left w:val="none" w:sz="0" w:space="0" w:color="auto"/>
        <w:bottom w:val="none" w:sz="0" w:space="0" w:color="auto"/>
        <w:right w:val="none" w:sz="0" w:space="0" w:color="auto"/>
      </w:divBdr>
    </w:div>
    <w:div w:id="521942145">
      <w:bodyDiv w:val="1"/>
      <w:marLeft w:val="0"/>
      <w:marRight w:val="0"/>
      <w:marTop w:val="0"/>
      <w:marBottom w:val="0"/>
      <w:divBdr>
        <w:top w:val="none" w:sz="0" w:space="0" w:color="auto"/>
        <w:left w:val="none" w:sz="0" w:space="0" w:color="auto"/>
        <w:bottom w:val="none" w:sz="0" w:space="0" w:color="auto"/>
        <w:right w:val="none" w:sz="0" w:space="0" w:color="auto"/>
      </w:divBdr>
    </w:div>
    <w:div w:id="522859587">
      <w:bodyDiv w:val="1"/>
      <w:marLeft w:val="0"/>
      <w:marRight w:val="0"/>
      <w:marTop w:val="0"/>
      <w:marBottom w:val="0"/>
      <w:divBdr>
        <w:top w:val="none" w:sz="0" w:space="0" w:color="auto"/>
        <w:left w:val="none" w:sz="0" w:space="0" w:color="auto"/>
        <w:bottom w:val="none" w:sz="0" w:space="0" w:color="auto"/>
        <w:right w:val="none" w:sz="0" w:space="0" w:color="auto"/>
      </w:divBdr>
    </w:div>
    <w:div w:id="523128228">
      <w:bodyDiv w:val="1"/>
      <w:marLeft w:val="0"/>
      <w:marRight w:val="0"/>
      <w:marTop w:val="0"/>
      <w:marBottom w:val="0"/>
      <w:divBdr>
        <w:top w:val="none" w:sz="0" w:space="0" w:color="auto"/>
        <w:left w:val="none" w:sz="0" w:space="0" w:color="auto"/>
        <w:bottom w:val="none" w:sz="0" w:space="0" w:color="auto"/>
        <w:right w:val="none" w:sz="0" w:space="0" w:color="auto"/>
      </w:divBdr>
    </w:div>
    <w:div w:id="523713800">
      <w:bodyDiv w:val="1"/>
      <w:marLeft w:val="0"/>
      <w:marRight w:val="0"/>
      <w:marTop w:val="0"/>
      <w:marBottom w:val="0"/>
      <w:divBdr>
        <w:top w:val="none" w:sz="0" w:space="0" w:color="auto"/>
        <w:left w:val="none" w:sz="0" w:space="0" w:color="auto"/>
        <w:bottom w:val="none" w:sz="0" w:space="0" w:color="auto"/>
        <w:right w:val="none" w:sz="0" w:space="0" w:color="auto"/>
      </w:divBdr>
    </w:div>
    <w:div w:id="524055433">
      <w:bodyDiv w:val="1"/>
      <w:marLeft w:val="0"/>
      <w:marRight w:val="0"/>
      <w:marTop w:val="0"/>
      <w:marBottom w:val="0"/>
      <w:divBdr>
        <w:top w:val="none" w:sz="0" w:space="0" w:color="auto"/>
        <w:left w:val="none" w:sz="0" w:space="0" w:color="auto"/>
        <w:bottom w:val="none" w:sz="0" w:space="0" w:color="auto"/>
        <w:right w:val="none" w:sz="0" w:space="0" w:color="auto"/>
      </w:divBdr>
    </w:div>
    <w:div w:id="524179384">
      <w:bodyDiv w:val="1"/>
      <w:marLeft w:val="0"/>
      <w:marRight w:val="0"/>
      <w:marTop w:val="0"/>
      <w:marBottom w:val="0"/>
      <w:divBdr>
        <w:top w:val="none" w:sz="0" w:space="0" w:color="auto"/>
        <w:left w:val="none" w:sz="0" w:space="0" w:color="auto"/>
        <w:bottom w:val="none" w:sz="0" w:space="0" w:color="auto"/>
        <w:right w:val="none" w:sz="0" w:space="0" w:color="auto"/>
      </w:divBdr>
    </w:div>
    <w:div w:id="524514068">
      <w:bodyDiv w:val="1"/>
      <w:marLeft w:val="0"/>
      <w:marRight w:val="0"/>
      <w:marTop w:val="0"/>
      <w:marBottom w:val="0"/>
      <w:divBdr>
        <w:top w:val="none" w:sz="0" w:space="0" w:color="auto"/>
        <w:left w:val="none" w:sz="0" w:space="0" w:color="auto"/>
        <w:bottom w:val="none" w:sz="0" w:space="0" w:color="auto"/>
        <w:right w:val="none" w:sz="0" w:space="0" w:color="auto"/>
      </w:divBdr>
    </w:div>
    <w:div w:id="524901617">
      <w:bodyDiv w:val="1"/>
      <w:marLeft w:val="0"/>
      <w:marRight w:val="0"/>
      <w:marTop w:val="0"/>
      <w:marBottom w:val="0"/>
      <w:divBdr>
        <w:top w:val="none" w:sz="0" w:space="0" w:color="auto"/>
        <w:left w:val="none" w:sz="0" w:space="0" w:color="auto"/>
        <w:bottom w:val="none" w:sz="0" w:space="0" w:color="auto"/>
        <w:right w:val="none" w:sz="0" w:space="0" w:color="auto"/>
      </w:divBdr>
    </w:div>
    <w:div w:id="525675626">
      <w:bodyDiv w:val="1"/>
      <w:marLeft w:val="0"/>
      <w:marRight w:val="0"/>
      <w:marTop w:val="0"/>
      <w:marBottom w:val="0"/>
      <w:divBdr>
        <w:top w:val="none" w:sz="0" w:space="0" w:color="auto"/>
        <w:left w:val="none" w:sz="0" w:space="0" w:color="auto"/>
        <w:bottom w:val="none" w:sz="0" w:space="0" w:color="auto"/>
        <w:right w:val="none" w:sz="0" w:space="0" w:color="auto"/>
      </w:divBdr>
    </w:div>
    <w:div w:id="526017719">
      <w:bodyDiv w:val="1"/>
      <w:marLeft w:val="0"/>
      <w:marRight w:val="0"/>
      <w:marTop w:val="0"/>
      <w:marBottom w:val="0"/>
      <w:divBdr>
        <w:top w:val="none" w:sz="0" w:space="0" w:color="auto"/>
        <w:left w:val="none" w:sz="0" w:space="0" w:color="auto"/>
        <w:bottom w:val="none" w:sz="0" w:space="0" w:color="auto"/>
        <w:right w:val="none" w:sz="0" w:space="0" w:color="auto"/>
      </w:divBdr>
    </w:div>
    <w:div w:id="526404699">
      <w:bodyDiv w:val="1"/>
      <w:marLeft w:val="0"/>
      <w:marRight w:val="0"/>
      <w:marTop w:val="0"/>
      <w:marBottom w:val="0"/>
      <w:divBdr>
        <w:top w:val="none" w:sz="0" w:space="0" w:color="auto"/>
        <w:left w:val="none" w:sz="0" w:space="0" w:color="auto"/>
        <w:bottom w:val="none" w:sz="0" w:space="0" w:color="auto"/>
        <w:right w:val="none" w:sz="0" w:space="0" w:color="auto"/>
      </w:divBdr>
    </w:div>
    <w:div w:id="526412723">
      <w:bodyDiv w:val="1"/>
      <w:marLeft w:val="0"/>
      <w:marRight w:val="0"/>
      <w:marTop w:val="0"/>
      <w:marBottom w:val="0"/>
      <w:divBdr>
        <w:top w:val="none" w:sz="0" w:space="0" w:color="auto"/>
        <w:left w:val="none" w:sz="0" w:space="0" w:color="auto"/>
        <w:bottom w:val="none" w:sz="0" w:space="0" w:color="auto"/>
        <w:right w:val="none" w:sz="0" w:space="0" w:color="auto"/>
      </w:divBdr>
    </w:div>
    <w:div w:id="526873260">
      <w:bodyDiv w:val="1"/>
      <w:marLeft w:val="0"/>
      <w:marRight w:val="0"/>
      <w:marTop w:val="0"/>
      <w:marBottom w:val="0"/>
      <w:divBdr>
        <w:top w:val="none" w:sz="0" w:space="0" w:color="auto"/>
        <w:left w:val="none" w:sz="0" w:space="0" w:color="auto"/>
        <w:bottom w:val="none" w:sz="0" w:space="0" w:color="auto"/>
        <w:right w:val="none" w:sz="0" w:space="0" w:color="auto"/>
      </w:divBdr>
    </w:div>
    <w:div w:id="527109418">
      <w:bodyDiv w:val="1"/>
      <w:marLeft w:val="0"/>
      <w:marRight w:val="0"/>
      <w:marTop w:val="0"/>
      <w:marBottom w:val="0"/>
      <w:divBdr>
        <w:top w:val="none" w:sz="0" w:space="0" w:color="auto"/>
        <w:left w:val="none" w:sz="0" w:space="0" w:color="auto"/>
        <w:bottom w:val="none" w:sz="0" w:space="0" w:color="auto"/>
        <w:right w:val="none" w:sz="0" w:space="0" w:color="auto"/>
      </w:divBdr>
    </w:div>
    <w:div w:id="527915721">
      <w:bodyDiv w:val="1"/>
      <w:marLeft w:val="0"/>
      <w:marRight w:val="0"/>
      <w:marTop w:val="0"/>
      <w:marBottom w:val="0"/>
      <w:divBdr>
        <w:top w:val="none" w:sz="0" w:space="0" w:color="auto"/>
        <w:left w:val="none" w:sz="0" w:space="0" w:color="auto"/>
        <w:bottom w:val="none" w:sz="0" w:space="0" w:color="auto"/>
        <w:right w:val="none" w:sz="0" w:space="0" w:color="auto"/>
      </w:divBdr>
    </w:div>
    <w:div w:id="528228977">
      <w:bodyDiv w:val="1"/>
      <w:marLeft w:val="0"/>
      <w:marRight w:val="0"/>
      <w:marTop w:val="0"/>
      <w:marBottom w:val="0"/>
      <w:divBdr>
        <w:top w:val="none" w:sz="0" w:space="0" w:color="auto"/>
        <w:left w:val="none" w:sz="0" w:space="0" w:color="auto"/>
        <w:bottom w:val="none" w:sz="0" w:space="0" w:color="auto"/>
        <w:right w:val="none" w:sz="0" w:space="0" w:color="auto"/>
      </w:divBdr>
    </w:div>
    <w:div w:id="528958152">
      <w:bodyDiv w:val="1"/>
      <w:marLeft w:val="0"/>
      <w:marRight w:val="0"/>
      <w:marTop w:val="0"/>
      <w:marBottom w:val="0"/>
      <w:divBdr>
        <w:top w:val="none" w:sz="0" w:space="0" w:color="auto"/>
        <w:left w:val="none" w:sz="0" w:space="0" w:color="auto"/>
        <w:bottom w:val="none" w:sz="0" w:space="0" w:color="auto"/>
        <w:right w:val="none" w:sz="0" w:space="0" w:color="auto"/>
      </w:divBdr>
    </w:div>
    <w:div w:id="529227276">
      <w:bodyDiv w:val="1"/>
      <w:marLeft w:val="0"/>
      <w:marRight w:val="0"/>
      <w:marTop w:val="0"/>
      <w:marBottom w:val="0"/>
      <w:divBdr>
        <w:top w:val="none" w:sz="0" w:space="0" w:color="auto"/>
        <w:left w:val="none" w:sz="0" w:space="0" w:color="auto"/>
        <w:bottom w:val="none" w:sz="0" w:space="0" w:color="auto"/>
        <w:right w:val="none" w:sz="0" w:space="0" w:color="auto"/>
      </w:divBdr>
    </w:div>
    <w:div w:id="529759539">
      <w:bodyDiv w:val="1"/>
      <w:marLeft w:val="0"/>
      <w:marRight w:val="0"/>
      <w:marTop w:val="0"/>
      <w:marBottom w:val="0"/>
      <w:divBdr>
        <w:top w:val="none" w:sz="0" w:space="0" w:color="auto"/>
        <w:left w:val="none" w:sz="0" w:space="0" w:color="auto"/>
        <w:bottom w:val="none" w:sz="0" w:space="0" w:color="auto"/>
        <w:right w:val="none" w:sz="0" w:space="0" w:color="auto"/>
      </w:divBdr>
    </w:div>
    <w:div w:id="530191516">
      <w:bodyDiv w:val="1"/>
      <w:marLeft w:val="0"/>
      <w:marRight w:val="0"/>
      <w:marTop w:val="0"/>
      <w:marBottom w:val="0"/>
      <w:divBdr>
        <w:top w:val="none" w:sz="0" w:space="0" w:color="auto"/>
        <w:left w:val="none" w:sz="0" w:space="0" w:color="auto"/>
        <w:bottom w:val="none" w:sz="0" w:space="0" w:color="auto"/>
        <w:right w:val="none" w:sz="0" w:space="0" w:color="auto"/>
      </w:divBdr>
    </w:div>
    <w:div w:id="530873794">
      <w:bodyDiv w:val="1"/>
      <w:marLeft w:val="0"/>
      <w:marRight w:val="0"/>
      <w:marTop w:val="0"/>
      <w:marBottom w:val="0"/>
      <w:divBdr>
        <w:top w:val="none" w:sz="0" w:space="0" w:color="auto"/>
        <w:left w:val="none" w:sz="0" w:space="0" w:color="auto"/>
        <w:bottom w:val="none" w:sz="0" w:space="0" w:color="auto"/>
        <w:right w:val="none" w:sz="0" w:space="0" w:color="auto"/>
      </w:divBdr>
    </w:div>
    <w:div w:id="531185350">
      <w:bodyDiv w:val="1"/>
      <w:marLeft w:val="0"/>
      <w:marRight w:val="0"/>
      <w:marTop w:val="0"/>
      <w:marBottom w:val="0"/>
      <w:divBdr>
        <w:top w:val="none" w:sz="0" w:space="0" w:color="auto"/>
        <w:left w:val="none" w:sz="0" w:space="0" w:color="auto"/>
        <w:bottom w:val="none" w:sz="0" w:space="0" w:color="auto"/>
        <w:right w:val="none" w:sz="0" w:space="0" w:color="auto"/>
      </w:divBdr>
    </w:div>
    <w:div w:id="531262139">
      <w:bodyDiv w:val="1"/>
      <w:marLeft w:val="0"/>
      <w:marRight w:val="0"/>
      <w:marTop w:val="0"/>
      <w:marBottom w:val="0"/>
      <w:divBdr>
        <w:top w:val="none" w:sz="0" w:space="0" w:color="auto"/>
        <w:left w:val="none" w:sz="0" w:space="0" w:color="auto"/>
        <w:bottom w:val="none" w:sz="0" w:space="0" w:color="auto"/>
        <w:right w:val="none" w:sz="0" w:space="0" w:color="auto"/>
      </w:divBdr>
    </w:div>
    <w:div w:id="531456805">
      <w:bodyDiv w:val="1"/>
      <w:marLeft w:val="0"/>
      <w:marRight w:val="0"/>
      <w:marTop w:val="0"/>
      <w:marBottom w:val="0"/>
      <w:divBdr>
        <w:top w:val="none" w:sz="0" w:space="0" w:color="auto"/>
        <w:left w:val="none" w:sz="0" w:space="0" w:color="auto"/>
        <w:bottom w:val="none" w:sz="0" w:space="0" w:color="auto"/>
        <w:right w:val="none" w:sz="0" w:space="0" w:color="auto"/>
      </w:divBdr>
    </w:div>
    <w:div w:id="531653870">
      <w:bodyDiv w:val="1"/>
      <w:marLeft w:val="0"/>
      <w:marRight w:val="0"/>
      <w:marTop w:val="0"/>
      <w:marBottom w:val="0"/>
      <w:divBdr>
        <w:top w:val="none" w:sz="0" w:space="0" w:color="auto"/>
        <w:left w:val="none" w:sz="0" w:space="0" w:color="auto"/>
        <w:bottom w:val="none" w:sz="0" w:space="0" w:color="auto"/>
        <w:right w:val="none" w:sz="0" w:space="0" w:color="auto"/>
      </w:divBdr>
    </w:div>
    <w:div w:id="532114131">
      <w:bodyDiv w:val="1"/>
      <w:marLeft w:val="0"/>
      <w:marRight w:val="0"/>
      <w:marTop w:val="0"/>
      <w:marBottom w:val="0"/>
      <w:divBdr>
        <w:top w:val="none" w:sz="0" w:space="0" w:color="auto"/>
        <w:left w:val="none" w:sz="0" w:space="0" w:color="auto"/>
        <w:bottom w:val="none" w:sz="0" w:space="0" w:color="auto"/>
        <w:right w:val="none" w:sz="0" w:space="0" w:color="auto"/>
      </w:divBdr>
    </w:div>
    <w:div w:id="532349360">
      <w:bodyDiv w:val="1"/>
      <w:marLeft w:val="0"/>
      <w:marRight w:val="0"/>
      <w:marTop w:val="0"/>
      <w:marBottom w:val="0"/>
      <w:divBdr>
        <w:top w:val="none" w:sz="0" w:space="0" w:color="auto"/>
        <w:left w:val="none" w:sz="0" w:space="0" w:color="auto"/>
        <w:bottom w:val="none" w:sz="0" w:space="0" w:color="auto"/>
        <w:right w:val="none" w:sz="0" w:space="0" w:color="auto"/>
      </w:divBdr>
    </w:div>
    <w:div w:id="532694620">
      <w:bodyDiv w:val="1"/>
      <w:marLeft w:val="0"/>
      <w:marRight w:val="0"/>
      <w:marTop w:val="0"/>
      <w:marBottom w:val="0"/>
      <w:divBdr>
        <w:top w:val="none" w:sz="0" w:space="0" w:color="auto"/>
        <w:left w:val="none" w:sz="0" w:space="0" w:color="auto"/>
        <w:bottom w:val="none" w:sz="0" w:space="0" w:color="auto"/>
        <w:right w:val="none" w:sz="0" w:space="0" w:color="auto"/>
      </w:divBdr>
    </w:div>
    <w:div w:id="532766947">
      <w:bodyDiv w:val="1"/>
      <w:marLeft w:val="0"/>
      <w:marRight w:val="0"/>
      <w:marTop w:val="0"/>
      <w:marBottom w:val="0"/>
      <w:divBdr>
        <w:top w:val="none" w:sz="0" w:space="0" w:color="auto"/>
        <w:left w:val="none" w:sz="0" w:space="0" w:color="auto"/>
        <w:bottom w:val="none" w:sz="0" w:space="0" w:color="auto"/>
        <w:right w:val="none" w:sz="0" w:space="0" w:color="auto"/>
      </w:divBdr>
    </w:div>
    <w:div w:id="533083405">
      <w:bodyDiv w:val="1"/>
      <w:marLeft w:val="0"/>
      <w:marRight w:val="0"/>
      <w:marTop w:val="0"/>
      <w:marBottom w:val="0"/>
      <w:divBdr>
        <w:top w:val="none" w:sz="0" w:space="0" w:color="auto"/>
        <w:left w:val="none" w:sz="0" w:space="0" w:color="auto"/>
        <w:bottom w:val="none" w:sz="0" w:space="0" w:color="auto"/>
        <w:right w:val="none" w:sz="0" w:space="0" w:color="auto"/>
      </w:divBdr>
    </w:div>
    <w:div w:id="533857630">
      <w:bodyDiv w:val="1"/>
      <w:marLeft w:val="0"/>
      <w:marRight w:val="0"/>
      <w:marTop w:val="0"/>
      <w:marBottom w:val="0"/>
      <w:divBdr>
        <w:top w:val="none" w:sz="0" w:space="0" w:color="auto"/>
        <w:left w:val="none" w:sz="0" w:space="0" w:color="auto"/>
        <w:bottom w:val="none" w:sz="0" w:space="0" w:color="auto"/>
        <w:right w:val="none" w:sz="0" w:space="0" w:color="auto"/>
      </w:divBdr>
    </w:div>
    <w:div w:id="534001002">
      <w:bodyDiv w:val="1"/>
      <w:marLeft w:val="0"/>
      <w:marRight w:val="0"/>
      <w:marTop w:val="0"/>
      <w:marBottom w:val="0"/>
      <w:divBdr>
        <w:top w:val="none" w:sz="0" w:space="0" w:color="auto"/>
        <w:left w:val="none" w:sz="0" w:space="0" w:color="auto"/>
        <w:bottom w:val="none" w:sz="0" w:space="0" w:color="auto"/>
        <w:right w:val="none" w:sz="0" w:space="0" w:color="auto"/>
      </w:divBdr>
    </w:div>
    <w:div w:id="534268033">
      <w:bodyDiv w:val="1"/>
      <w:marLeft w:val="0"/>
      <w:marRight w:val="0"/>
      <w:marTop w:val="0"/>
      <w:marBottom w:val="0"/>
      <w:divBdr>
        <w:top w:val="none" w:sz="0" w:space="0" w:color="auto"/>
        <w:left w:val="none" w:sz="0" w:space="0" w:color="auto"/>
        <w:bottom w:val="none" w:sz="0" w:space="0" w:color="auto"/>
        <w:right w:val="none" w:sz="0" w:space="0" w:color="auto"/>
      </w:divBdr>
    </w:div>
    <w:div w:id="534585328">
      <w:bodyDiv w:val="1"/>
      <w:marLeft w:val="0"/>
      <w:marRight w:val="0"/>
      <w:marTop w:val="0"/>
      <w:marBottom w:val="0"/>
      <w:divBdr>
        <w:top w:val="none" w:sz="0" w:space="0" w:color="auto"/>
        <w:left w:val="none" w:sz="0" w:space="0" w:color="auto"/>
        <w:bottom w:val="none" w:sz="0" w:space="0" w:color="auto"/>
        <w:right w:val="none" w:sz="0" w:space="0" w:color="auto"/>
      </w:divBdr>
    </w:div>
    <w:div w:id="535776286">
      <w:bodyDiv w:val="1"/>
      <w:marLeft w:val="0"/>
      <w:marRight w:val="0"/>
      <w:marTop w:val="0"/>
      <w:marBottom w:val="0"/>
      <w:divBdr>
        <w:top w:val="none" w:sz="0" w:space="0" w:color="auto"/>
        <w:left w:val="none" w:sz="0" w:space="0" w:color="auto"/>
        <w:bottom w:val="none" w:sz="0" w:space="0" w:color="auto"/>
        <w:right w:val="none" w:sz="0" w:space="0" w:color="auto"/>
      </w:divBdr>
    </w:div>
    <w:div w:id="535970433">
      <w:bodyDiv w:val="1"/>
      <w:marLeft w:val="0"/>
      <w:marRight w:val="0"/>
      <w:marTop w:val="0"/>
      <w:marBottom w:val="0"/>
      <w:divBdr>
        <w:top w:val="none" w:sz="0" w:space="0" w:color="auto"/>
        <w:left w:val="none" w:sz="0" w:space="0" w:color="auto"/>
        <w:bottom w:val="none" w:sz="0" w:space="0" w:color="auto"/>
        <w:right w:val="none" w:sz="0" w:space="0" w:color="auto"/>
      </w:divBdr>
    </w:div>
    <w:div w:id="536045475">
      <w:bodyDiv w:val="1"/>
      <w:marLeft w:val="0"/>
      <w:marRight w:val="0"/>
      <w:marTop w:val="0"/>
      <w:marBottom w:val="0"/>
      <w:divBdr>
        <w:top w:val="none" w:sz="0" w:space="0" w:color="auto"/>
        <w:left w:val="none" w:sz="0" w:space="0" w:color="auto"/>
        <w:bottom w:val="none" w:sz="0" w:space="0" w:color="auto"/>
        <w:right w:val="none" w:sz="0" w:space="0" w:color="auto"/>
      </w:divBdr>
    </w:div>
    <w:div w:id="536426898">
      <w:bodyDiv w:val="1"/>
      <w:marLeft w:val="0"/>
      <w:marRight w:val="0"/>
      <w:marTop w:val="0"/>
      <w:marBottom w:val="0"/>
      <w:divBdr>
        <w:top w:val="none" w:sz="0" w:space="0" w:color="auto"/>
        <w:left w:val="none" w:sz="0" w:space="0" w:color="auto"/>
        <w:bottom w:val="none" w:sz="0" w:space="0" w:color="auto"/>
        <w:right w:val="none" w:sz="0" w:space="0" w:color="auto"/>
      </w:divBdr>
    </w:div>
    <w:div w:id="536548639">
      <w:bodyDiv w:val="1"/>
      <w:marLeft w:val="0"/>
      <w:marRight w:val="0"/>
      <w:marTop w:val="0"/>
      <w:marBottom w:val="0"/>
      <w:divBdr>
        <w:top w:val="none" w:sz="0" w:space="0" w:color="auto"/>
        <w:left w:val="none" w:sz="0" w:space="0" w:color="auto"/>
        <w:bottom w:val="none" w:sz="0" w:space="0" w:color="auto"/>
        <w:right w:val="none" w:sz="0" w:space="0" w:color="auto"/>
      </w:divBdr>
    </w:div>
    <w:div w:id="536747087">
      <w:bodyDiv w:val="1"/>
      <w:marLeft w:val="0"/>
      <w:marRight w:val="0"/>
      <w:marTop w:val="0"/>
      <w:marBottom w:val="0"/>
      <w:divBdr>
        <w:top w:val="none" w:sz="0" w:space="0" w:color="auto"/>
        <w:left w:val="none" w:sz="0" w:space="0" w:color="auto"/>
        <w:bottom w:val="none" w:sz="0" w:space="0" w:color="auto"/>
        <w:right w:val="none" w:sz="0" w:space="0" w:color="auto"/>
      </w:divBdr>
    </w:div>
    <w:div w:id="537133582">
      <w:bodyDiv w:val="1"/>
      <w:marLeft w:val="0"/>
      <w:marRight w:val="0"/>
      <w:marTop w:val="0"/>
      <w:marBottom w:val="0"/>
      <w:divBdr>
        <w:top w:val="none" w:sz="0" w:space="0" w:color="auto"/>
        <w:left w:val="none" w:sz="0" w:space="0" w:color="auto"/>
        <w:bottom w:val="none" w:sz="0" w:space="0" w:color="auto"/>
        <w:right w:val="none" w:sz="0" w:space="0" w:color="auto"/>
      </w:divBdr>
    </w:div>
    <w:div w:id="537471761">
      <w:bodyDiv w:val="1"/>
      <w:marLeft w:val="0"/>
      <w:marRight w:val="0"/>
      <w:marTop w:val="0"/>
      <w:marBottom w:val="0"/>
      <w:divBdr>
        <w:top w:val="none" w:sz="0" w:space="0" w:color="auto"/>
        <w:left w:val="none" w:sz="0" w:space="0" w:color="auto"/>
        <w:bottom w:val="none" w:sz="0" w:space="0" w:color="auto"/>
        <w:right w:val="none" w:sz="0" w:space="0" w:color="auto"/>
      </w:divBdr>
    </w:div>
    <w:div w:id="537595793">
      <w:bodyDiv w:val="1"/>
      <w:marLeft w:val="0"/>
      <w:marRight w:val="0"/>
      <w:marTop w:val="0"/>
      <w:marBottom w:val="0"/>
      <w:divBdr>
        <w:top w:val="none" w:sz="0" w:space="0" w:color="auto"/>
        <w:left w:val="none" w:sz="0" w:space="0" w:color="auto"/>
        <w:bottom w:val="none" w:sz="0" w:space="0" w:color="auto"/>
        <w:right w:val="none" w:sz="0" w:space="0" w:color="auto"/>
      </w:divBdr>
    </w:div>
    <w:div w:id="537933621">
      <w:bodyDiv w:val="1"/>
      <w:marLeft w:val="0"/>
      <w:marRight w:val="0"/>
      <w:marTop w:val="0"/>
      <w:marBottom w:val="0"/>
      <w:divBdr>
        <w:top w:val="none" w:sz="0" w:space="0" w:color="auto"/>
        <w:left w:val="none" w:sz="0" w:space="0" w:color="auto"/>
        <w:bottom w:val="none" w:sz="0" w:space="0" w:color="auto"/>
        <w:right w:val="none" w:sz="0" w:space="0" w:color="auto"/>
      </w:divBdr>
    </w:div>
    <w:div w:id="538011382">
      <w:bodyDiv w:val="1"/>
      <w:marLeft w:val="0"/>
      <w:marRight w:val="0"/>
      <w:marTop w:val="0"/>
      <w:marBottom w:val="0"/>
      <w:divBdr>
        <w:top w:val="none" w:sz="0" w:space="0" w:color="auto"/>
        <w:left w:val="none" w:sz="0" w:space="0" w:color="auto"/>
        <w:bottom w:val="none" w:sz="0" w:space="0" w:color="auto"/>
        <w:right w:val="none" w:sz="0" w:space="0" w:color="auto"/>
      </w:divBdr>
    </w:div>
    <w:div w:id="538661604">
      <w:bodyDiv w:val="1"/>
      <w:marLeft w:val="0"/>
      <w:marRight w:val="0"/>
      <w:marTop w:val="0"/>
      <w:marBottom w:val="0"/>
      <w:divBdr>
        <w:top w:val="none" w:sz="0" w:space="0" w:color="auto"/>
        <w:left w:val="none" w:sz="0" w:space="0" w:color="auto"/>
        <w:bottom w:val="none" w:sz="0" w:space="0" w:color="auto"/>
        <w:right w:val="none" w:sz="0" w:space="0" w:color="auto"/>
      </w:divBdr>
    </w:div>
    <w:div w:id="538975554">
      <w:bodyDiv w:val="1"/>
      <w:marLeft w:val="0"/>
      <w:marRight w:val="0"/>
      <w:marTop w:val="0"/>
      <w:marBottom w:val="0"/>
      <w:divBdr>
        <w:top w:val="none" w:sz="0" w:space="0" w:color="auto"/>
        <w:left w:val="none" w:sz="0" w:space="0" w:color="auto"/>
        <w:bottom w:val="none" w:sz="0" w:space="0" w:color="auto"/>
        <w:right w:val="none" w:sz="0" w:space="0" w:color="auto"/>
      </w:divBdr>
    </w:div>
    <w:div w:id="539245970">
      <w:bodyDiv w:val="1"/>
      <w:marLeft w:val="0"/>
      <w:marRight w:val="0"/>
      <w:marTop w:val="0"/>
      <w:marBottom w:val="0"/>
      <w:divBdr>
        <w:top w:val="none" w:sz="0" w:space="0" w:color="auto"/>
        <w:left w:val="none" w:sz="0" w:space="0" w:color="auto"/>
        <w:bottom w:val="none" w:sz="0" w:space="0" w:color="auto"/>
        <w:right w:val="none" w:sz="0" w:space="0" w:color="auto"/>
      </w:divBdr>
    </w:div>
    <w:div w:id="539367794">
      <w:bodyDiv w:val="1"/>
      <w:marLeft w:val="0"/>
      <w:marRight w:val="0"/>
      <w:marTop w:val="0"/>
      <w:marBottom w:val="0"/>
      <w:divBdr>
        <w:top w:val="none" w:sz="0" w:space="0" w:color="auto"/>
        <w:left w:val="none" w:sz="0" w:space="0" w:color="auto"/>
        <w:bottom w:val="none" w:sz="0" w:space="0" w:color="auto"/>
        <w:right w:val="none" w:sz="0" w:space="0" w:color="auto"/>
      </w:divBdr>
    </w:div>
    <w:div w:id="539635952">
      <w:bodyDiv w:val="1"/>
      <w:marLeft w:val="0"/>
      <w:marRight w:val="0"/>
      <w:marTop w:val="0"/>
      <w:marBottom w:val="0"/>
      <w:divBdr>
        <w:top w:val="none" w:sz="0" w:space="0" w:color="auto"/>
        <w:left w:val="none" w:sz="0" w:space="0" w:color="auto"/>
        <w:bottom w:val="none" w:sz="0" w:space="0" w:color="auto"/>
        <w:right w:val="none" w:sz="0" w:space="0" w:color="auto"/>
      </w:divBdr>
    </w:div>
    <w:div w:id="540363093">
      <w:bodyDiv w:val="1"/>
      <w:marLeft w:val="0"/>
      <w:marRight w:val="0"/>
      <w:marTop w:val="0"/>
      <w:marBottom w:val="0"/>
      <w:divBdr>
        <w:top w:val="none" w:sz="0" w:space="0" w:color="auto"/>
        <w:left w:val="none" w:sz="0" w:space="0" w:color="auto"/>
        <w:bottom w:val="none" w:sz="0" w:space="0" w:color="auto"/>
        <w:right w:val="none" w:sz="0" w:space="0" w:color="auto"/>
      </w:divBdr>
    </w:div>
    <w:div w:id="542137948">
      <w:bodyDiv w:val="1"/>
      <w:marLeft w:val="0"/>
      <w:marRight w:val="0"/>
      <w:marTop w:val="0"/>
      <w:marBottom w:val="0"/>
      <w:divBdr>
        <w:top w:val="none" w:sz="0" w:space="0" w:color="auto"/>
        <w:left w:val="none" w:sz="0" w:space="0" w:color="auto"/>
        <w:bottom w:val="none" w:sz="0" w:space="0" w:color="auto"/>
        <w:right w:val="none" w:sz="0" w:space="0" w:color="auto"/>
      </w:divBdr>
    </w:div>
    <w:div w:id="542250925">
      <w:bodyDiv w:val="1"/>
      <w:marLeft w:val="0"/>
      <w:marRight w:val="0"/>
      <w:marTop w:val="0"/>
      <w:marBottom w:val="0"/>
      <w:divBdr>
        <w:top w:val="none" w:sz="0" w:space="0" w:color="auto"/>
        <w:left w:val="none" w:sz="0" w:space="0" w:color="auto"/>
        <w:bottom w:val="none" w:sz="0" w:space="0" w:color="auto"/>
        <w:right w:val="none" w:sz="0" w:space="0" w:color="auto"/>
      </w:divBdr>
    </w:div>
    <w:div w:id="542594209">
      <w:bodyDiv w:val="1"/>
      <w:marLeft w:val="0"/>
      <w:marRight w:val="0"/>
      <w:marTop w:val="0"/>
      <w:marBottom w:val="0"/>
      <w:divBdr>
        <w:top w:val="none" w:sz="0" w:space="0" w:color="auto"/>
        <w:left w:val="none" w:sz="0" w:space="0" w:color="auto"/>
        <w:bottom w:val="none" w:sz="0" w:space="0" w:color="auto"/>
        <w:right w:val="none" w:sz="0" w:space="0" w:color="auto"/>
      </w:divBdr>
    </w:div>
    <w:div w:id="542596637">
      <w:bodyDiv w:val="1"/>
      <w:marLeft w:val="0"/>
      <w:marRight w:val="0"/>
      <w:marTop w:val="0"/>
      <w:marBottom w:val="0"/>
      <w:divBdr>
        <w:top w:val="none" w:sz="0" w:space="0" w:color="auto"/>
        <w:left w:val="none" w:sz="0" w:space="0" w:color="auto"/>
        <w:bottom w:val="none" w:sz="0" w:space="0" w:color="auto"/>
        <w:right w:val="none" w:sz="0" w:space="0" w:color="auto"/>
      </w:divBdr>
    </w:div>
    <w:div w:id="542794563">
      <w:bodyDiv w:val="1"/>
      <w:marLeft w:val="0"/>
      <w:marRight w:val="0"/>
      <w:marTop w:val="0"/>
      <w:marBottom w:val="0"/>
      <w:divBdr>
        <w:top w:val="none" w:sz="0" w:space="0" w:color="auto"/>
        <w:left w:val="none" w:sz="0" w:space="0" w:color="auto"/>
        <w:bottom w:val="none" w:sz="0" w:space="0" w:color="auto"/>
        <w:right w:val="none" w:sz="0" w:space="0" w:color="auto"/>
      </w:divBdr>
    </w:div>
    <w:div w:id="543104593">
      <w:bodyDiv w:val="1"/>
      <w:marLeft w:val="0"/>
      <w:marRight w:val="0"/>
      <w:marTop w:val="0"/>
      <w:marBottom w:val="0"/>
      <w:divBdr>
        <w:top w:val="none" w:sz="0" w:space="0" w:color="auto"/>
        <w:left w:val="none" w:sz="0" w:space="0" w:color="auto"/>
        <w:bottom w:val="none" w:sz="0" w:space="0" w:color="auto"/>
        <w:right w:val="none" w:sz="0" w:space="0" w:color="auto"/>
      </w:divBdr>
    </w:div>
    <w:div w:id="543566313">
      <w:bodyDiv w:val="1"/>
      <w:marLeft w:val="0"/>
      <w:marRight w:val="0"/>
      <w:marTop w:val="0"/>
      <w:marBottom w:val="0"/>
      <w:divBdr>
        <w:top w:val="none" w:sz="0" w:space="0" w:color="auto"/>
        <w:left w:val="none" w:sz="0" w:space="0" w:color="auto"/>
        <w:bottom w:val="none" w:sz="0" w:space="0" w:color="auto"/>
        <w:right w:val="none" w:sz="0" w:space="0" w:color="auto"/>
      </w:divBdr>
    </w:div>
    <w:div w:id="543637672">
      <w:bodyDiv w:val="1"/>
      <w:marLeft w:val="0"/>
      <w:marRight w:val="0"/>
      <w:marTop w:val="0"/>
      <w:marBottom w:val="0"/>
      <w:divBdr>
        <w:top w:val="none" w:sz="0" w:space="0" w:color="auto"/>
        <w:left w:val="none" w:sz="0" w:space="0" w:color="auto"/>
        <w:bottom w:val="none" w:sz="0" w:space="0" w:color="auto"/>
        <w:right w:val="none" w:sz="0" w:space="0" w:color="auto"/>
      </w:divBdr>
    </w:div>
    <w:div w:id="544756183">
      <w:bodyDiv w:val="1"/>
      <w:marLeft w:val="0"/>
      <w:marRight w:val="0"/>
      <w:marTop w:val="0"/>
      <w:marBottom w:val="0"/>
      <w:divBdr>
        <w:top w:val="none" w:sz="0" w:space="0" w:color="auto"/>
        <w:left w:val="none" w:sz="0" w:space="0" w:color="auto"/>
        <w:bottom w:val="none" w:sz="0" w:space="0" w:color="auto"/>
        <w:right w:val="none" w:sz="0" w:space="0" w:color="auto"/>
      </w:divBdr>
    </w:div>
    <w:div w:id="544758557">
      <w:bodyDiv w:val="1"/>
      <w:marLeft w:val="0"/>
      <w:marRight w:val="0"/>
      <w:marTop w:val="0"/>
      <w:marBottom w:val="0"/>
      <w:divBdr>
        <w:top w:val="none" w:sz="0" w:space="0" w:color="auto"/>
        <w:left w:val="none" w:sz="0" w:space="0" w:color="auto"/>
        <w:bottom w:val="none" w:sz="0" w:space="0" w:color="auto"/>
        <w:right w:val="none" w:sz="0" w:space="0" w:color="auto"/>
      </w:divBdr>
    </w:div>
    <w:div w:id="544828820">
      <w:bodyDiv w:val="1"/>
      <w:marLeft w:val="0"/>
      <w:marRight w:val="0"/>
      <w:marTop w:val="0"/>
      <w:marBottom w:val="0"/>
      <w:divBdr>
        <w:top w:val="none" w:sz="0" w:space="0" w:color="auto"/>
        <w:left w:val="none" w:sz="0" w:space="0" w:color="auto"/>
        <w:bottom w:val="none" w:sz="0" w:space="0" w:color="auto"/>
        <w:right w:val="none" w:sz="0" w:space="0" w:color="auto"/>
      </w:divBdr>
    </w:div>
    <w:div w:id="545027316">
      <w:bodyDiv w:val="1"/>
      <w:marLeft w:val="0"/>
      <w:marRight w:val="0"/>
      <w:marTop w:val="0"/>
      <w:marBottom w:val="0"/>
      <w:divBdr>
        <w:top w:val="none" w:sz="0" w:space="0" w:color="auto"/>
        <w:left w:val="none" w:sz="0" w:space="0" w:color="auto"/>
        <w:bottom w:val="none" w:sz="0" w:space="0" w:color="auto"/>
        <w:right w:val="none" w:sz="0" w:space="0" w:color="auto"/>
      </w:divBdr>
    </w:div>
    <w:div w:id="545261287">
      <w:bodyDiv w:val="1"/>
      <w:marLeft w:val="0"/>
      <w:marRight w:val="0"/>
      <w:marTop w:val="0"/>
      <w:marBottom w:val="0"/>
      <w:divBdr>
        <w:top w:val="none" w:sz="0" w:space="0" w:color="auto"/>
        <w:left w:val="none" w:sz="0" w:space="0" w:color="auto"/>
        <w:bottom w:val="none" w:sz="0" w:space="0" w:color="auto"/>
        <w:right w:val="none" w:sz="0" w:space="0" w:color="auto"/>
      </w:divBdr>
    </w:div>
    <w:div w:id="545794422">
      <w:bodyDiv w:val="1"/>
      <w:marLeft w:val="0"/>
      <w:marRight w:val="0"/>
      <w:marTop w:val="0"/>
      <w:marBottom w:val="0"/>
      <w:divBdr>
        <w:top w:val="none" w:sz="0" w:space="0" w:color="auto"/>
        <w:left w:val="none" w:sz="0" w:space="0" w:color="auto"/>
        <w:bottom w:val="none" w:sz="0" w:space="0" w:color="auto"/>
        <w:right w:val="none" w:sz="0" w:space="0" w:color="auto"/>
      </w:divBdr>
    </w:div>
    <w:div w:id="545877775">
      <w:bodyDiv w:val="1"/>
      <w:marLeft w:val="0"/>
      <w:marRight w:val="0"/>
      <w:marTop w:val="0"/>
      <w:marBottom w:val="0"/>
      <w:divBdr>
        <w:top w:val="none" w:sz="0" w:space="0" w:color="auto"/>
        <w:left w:val="none" w:sz="0" w:space="0" w:color="auto"/>
        <w:bottom w:val="none" w:sz="0" w:space="0" w:color="auto"/>
        <w:right w:val="none" w:sz="0" w:space="0" w:color="auto"/>
      </w:divBdr>
    </w:div>
    <w:div w:id="547185458">
      <w:bodyDiv w:val="1"/>
      <w:marLeft w:val="0"/>
      <w:marRight w:val="0"/>
      <w:marTop w:val="0"/>
      <w:marBottom w:val="0"/>
      <w:divBdr>
        <w:top w:val="none" w:sz="0" w:space="0" w:color="auto"/>
        <w:left w:val="none" w:sz="0" w:space="0" w:color="auto"/>
        <w:bottom w:val="none" w:sz="0" w:space="0" w:color="auto"/>
        <w:right w:val="none" w:sz="0" w:space="0" w:color="auto"/>
      </w:divBdr>
    </w:div>
    <w:div w:id="547497220">
      <w:bodyDiv w:val="1"/>
      <w:marLeft w:val="0"/>
      <w:marRight w:val="0"/>
      <w:marTop w:val="0"/>
      <w:marBottom w:val="0"/>
      <w:divBdr>
        <w:top w:val="none" w:sz="0" w:space="0" w:color="auto"/>
        <w:left w:val="none" w:sz="0" w:space="0" w:color="auto"/>
        <w:bottom w:val="none" w:sz="0" w:space="0" w:color="auto"/>
        <w:right w:val="none" w:sz="0" w:space="0" w:color="auto"/>
      </w:divBdr>
    </w:div>
    <w:div w:id="548423361">
      <w:bodyDiv w:val="1"/>
      <w:marLeft w:val="0"/>
      <w:marRight w:val="0"/>
      <w:marTop w:val="0"/>
      <w:marBottom w:val="0"/>
      <w:divBdr>
        <w:top w:val="none" w:sz="0" w:space="0" w:color="auto"/>
        <w:left w:val="none" w:sz="0" w:space="0" w:color="auto"/>
        <w:bottom w:val="none" w:sz="0" w:space="0" w:color="auto"/>
        <w:right w:val="none" w:sz="0" w:space="0" w:color="auto"/>
      </w:divBdr>
    </w:div>
    <w:div w:id="548496598">
      <w:bodyDiv w:val="1"/>
      <w:marLeft w:val="0"/>
      <w:marRight w:val="0"/>
      <w:marTop w:val="0"/>
      <w:marBottom w:val="0"/>
      <w:divBdr>
        <w:top w:val="none" w:sz="0" w:space="0" w:color="auto"/>
        <w:left w:val="none" w:sz="0" w:space="0" w:color="auto"/>
        <w:bottom w:val="none" w:sz="0" w:space="0" w:color="auto"/>
        <w:right w:val="none" w:sz="0" w:space="0" w:color="auto"/>
      </w:divBdr>
    </w:div>
    <w:div w:id="548609793">
      <w:bodyDiv w:val="1"/>
      <w:marLeft w:val="0"/>
      <w:marRight w:val="0"/>
      <w:marTop w:val="0"/>
      <w:marBottom w:val="0"/>
      <w:divBdr>
        <w:top w:val="none" w:sz="0" w:space="0" w:color="auto"/>
        <w:left w:val="none" w:sz="0" w:space="0" w:color="auto"/>
        <w:bottom w:val="none" w:sz="0" w:space="0" w:color="auto"/>
        <w:right w:val="none" w:sz="0" w:space="0" w:color="auto"/>
      </w:divBdr>
    </w:div>
    <w:div w:id="548688076">
      <w:bodyDiv w:val="1"/>
      <w:marLeft w:val="0"/>
      <w:marRight w:val="0"/>
      <w:marTop w:val="0"/>
      <w:marBottom w:val="0"/>
      <w:divBdr>
        <w:top w:val="none" w:sz="0" w:space="0" w:color="auto"/>
        <w:left w:val="none" w:sz="0" w:space="0" w:color="auto"/>
        <w:bottom w:val="none" w:sz="0" w:space="0" w:color="auto"/>
        <w:right w:val="none" w:sz="0" w:space="0" w:color="auto"/>
      </w:divBdr>
    </w:div>
    <w:div w:id="548761973">
      <w:bodyDiv w:val="1"/>
      <w:marLeft w:val="0"/>
      <w:marRight w:val="0"/>
      <w:marTop w:val="0"/>
      <w:marBottom w:val="0"/>
      <w:divBdr>
        <w:top w:val="none" w:sz="0" w:space="0" w:color="auto"/>
        <w:left w:val="none" w:sz="0" w:space="0" w:color="auto"/>
        <w:bottom w:val="none" w:sz="0" w:space="0" w:color="auto"/>
        <w:right w:val="none" w:sz="0" w:space="0" w:color="auto"/>
      </w:divBdr>
    </w:div>
    <w:div w:id="549223881">
      <w:bodyDiv w:val="1"/>
      <w:marLeft w:val="0"/>
      <w:marRight w:val="0"/>
      <w:marTop w:val="0"/>
      <w:marBottom w:val="0"/>
      <w:divBdr>
        <w:top w:val="none" w:sz="0" w:space="0" w:color="auto"/>
        <w:left w:val="none" w:sz="0" w:space="0" w:color="auto"/>
        <w:bottom w:val="none" w:sz="0" w:space="0" w:color="auto"/>
        <w:right w:val="none" w:sz="0" w:space="0" w:color="auto"/>
      </w:divBdr>
    </w:div>
    <w:div w:id="549461320">
      <w:bodyDiv w:val="1"/>
      <w:marLeft w:val="0"/>
      <w:marRight w:val="0"/>
      <w:marTop w:val="0"/>
      <w:marBottom w:val="0"/>
      <w:divBdr>
        <w:top w:val="none" w:sz="0" w:space="0" w:color="auto"/>
        <w:left w:val="none" w:sz="0" w:space="0" w:color="auto"/>
        <w:bottom w:val="none" w:sz="0" w:space="0" w:color="auto"/>
        <w:right w:val="none" w:sz="0" w:space="0" w:color="auto"/>
      </w:divBdr>
    </w:div>
    <w:div w:id="549537988">
      <w:bodyDiv w:val="1"/>
      <w:marLeft w:val="0"/>
      <w:marRight w:val="0"/>
      <w:marTop w:val="0"/>
      <w:marBottom w:val="0"/>
      <w:divBdr>
        <w:top w:val="none" w:sz="0" w:space="0" w:color="auto"/>
        <w:left w:val="none" w:sz="0" w:space="0" w:color="auto"/>
        <w:bottom w:val="none" w:sz="0" w:space="0" w:color="auto"/>
        <w:right w:val="none" w:sz="0" w:space="0" w:color="auto"/>
      </w:divBdr>
    </w:div>
    <w:div w:id="549655295">
      <w:bodyDiv w:val="1"/>
      <w:marLeft w:val="0"/>
      <w:marRight w:val="0"/>
      <w:marTop w:val="0"/>
      <w:marBottom w:val="0"/>
      <w:divBdr>
        <w:top w:val="none" w:sz="0" w:space="0" w:color="auto"/>
        <w:left w:val="none" w:sz="0" w:space="0" w:color="auto"/>
        <w:bottom w:val="none" w:sz="0" w:space="0" w:color="auto"/>
        <w:right w:val="none" w:sz="0" w:space="0" w:color="auto"/>
      </w:divBdr>
    </w:div>
    <w:div w:id="549657800">
      <w:bodyDiv w:val="1"/>
      <w:marLeft w:val="0"/>
      <w:marRight w:val="0"/>
      <w:marTop w:val="0"/>
      <w:marBottom w:val="0"/>
      <w:divBdr>
        <w:top w:val="none" w:sz="0" w:space="0" w:color="auto"/>
        <w:left w:val="none" w:sz="0" w:space="0" w:color="auto"/>
        <w:bottom w:val="none" w:sz="0" w:space="0" w:color="auto"/>
        <w:right w:val="none" w:sz="0" w:space="0" w:color="auto"/>
      </w:divBdr>
    </w:div>
    <w:div w:id="550506760">
      <w:bodyDiv w:val="1"/>
      <w:marLeft w:val="0"/>
      <w:marRight w:val="0"/>
      <w:marTop w:val="0"/>
      <w:marBottom w:val="0"/>
      <w:divBdr>
        <w:top w:val="none" w:sz="0" w:space="0" w:color="auto"/>
        <w:left w:val="none" w:sz="0" w:space="0" w:color="auto"/>
        <w:bottom w:val="none" w:sz="0" w:space="0" w:color="auto"/>
        <w:right w:val="none" w:sz="0" w:space="0" w:color="auto"/>
      </w:divBdr>
    </w:div>
    <w:div w:id="550961867">
      <w:bodyDiv w:val="1"/>
      <w:marLeft w:val="0"/>
      <w:marRight w:val="0"/>
      <w:marTop w:val="0"/>
      <w:marBottom w:val="0"/>
      <w:divBdr>
        <w:top w:val="none" w:sz="0" w:space="0" w:color="auto"/>
        <w:left w:val="none" w:sz="0" w:space="0" w:color="auto"/>
        <w:bottom w:val="none" w:sz="0" w:space="0" w:color="auto"/>
        <w:right w:val="none" w:sz="0" w:space="0" w:color="auto"/>
      </w:divBdr>
    </w:div>
    <w:div w:id="551623710">
      <w:bodyDiv w:val="1"/>
      <w:marLeft w:val="0"/>
      <w:marRight w:val="0"/>
      <w:marTop w:val="0"/>
      <w:marBottom w:val="0"/>
      <w:divBdr>
        <w:top w:val="none" w:sz="0" w:space="0" w:color="auto"/>
        <w:left w:val="none" w:sz="0" w:space="0" w:color="auto"/>
        <w:bottom w:val="none" w:sz="0" w:space="0" w:color="auto"/>
        <w:right w:val="none" w:sz="0" w:space="0" w:color="auto"/>
      </w:divBdr>
    </w:div>
    <w:div w:id="552080364">
      <w:bodyDiv w:val="1"/>
      <w:marLeft w:val="0"/>
      <w:marRight w:val="0"/>
      <w:marTop w:val="0"/>
      <w:marBottom w:val="0"/>
      <w:divBdr>
        <w:top w:val="none" w:sz="0" w:space="0" w:color="auto"/>
        <w:left w:val="none" w:sz="0" w:space="0" w:color="auto"/>
        <w:bottom w:val="none" w:sz="0" w:space="0" w:color="auto"/>
        <w:right w:val="none" w:sz="0" w:space="0" w:color="auto"/>
      </w:divBdr>
    </w:div>
    <w:div w:id="552736826">
      <w:bodyDiv w:val="1"/>
      <w:marLeft w:val="0"/>
      <w:marRight w:val="0"/>
      <w:marTop w:val="0"/>
      <w:marBottom w:val="0"/>
      <w:divBdr>
        <w:top w:val="none" w:sz="0" w:space="0" w:color="auto"/>
        <w:left w:val="none" w:sz="0" w:space="0" w:color="auto"/>
        <w:bottom w:val="none" w:sz="0" w:space="0" w:color="auto"/>
        <w:right w:val="none" w:sz="0" w:space="0" w:color="auto"/>
      </w:divBdr>
    </w:div>
    <w:div w:id="552811334">
      <w:bodyDiv w:val="1"/>
      <w:marLeft w:val="0"/>
      <w:marRight w:val="0"/>
      <w:marTop w:val="0"/>
      <w:marBottom w:val="0"/>
      <w:divBdr>
        <w:top w:val="none" w:sz="0" w:space="0" w:color="auto"/>
        <w:left w:val="none" w:sz="0" w:space="0" w:color="auto"/>
        <w:bottom w:val="none" w:sz="0" w:space="0" w:color="auto"/>
        <w:right w:val="none" w:sz="0" w:space="0" w:color="auto"/>
      </w:divBdr>
    </w:div>
    <w:div w:id="553078822">
      <w:bodyDiv w:val="1"/>
      <w:marLeft w:val="0"/>
      <w:marRight w:val="0"/>
      <w:marTop w:val="0"/>
      <w:marBottom w:val="0"/>
      <w:divBdr>
        <w:top w:val="none" w:sz="0" w:space="0" w:color="auto"/>
        <w:left w:val="none" w:sz="0" w:space="0" w:color="auto"/>
        <w:bottom w:val="none" w:sz="0" w:space="0" w:color="auto"/>
        <w:right w:val="none" w:sz="0" w:space="0" w:color="auto"/>
      </w:divBdr>
    </w:div>
    <w:div w:id="553274930">
      <w:bodyDiv w:val="1"/>
      <w:marLeft w:val="0"/>
      <w:marRight w:val="0"/>
      <w:marTop w:val="0"/>
      <w:marBottom w:val="0"/>
      <w:divBdr>
        <w:top w:val="none" w:sz="0" w:space="0" w:color="auto"/>
        <w:left w:val="none" w:sz="0" w:space="0" w:color="auto"/>
        <w:bottom w:val="none" w:sz="0" w:space="0" w:color="auto"/>
        <w:right w:val="none" w:sz="0" w:space="0" w:color="auto"/>
      </w:divBdr>
    </w:div>
    <w:div w:id="553470766">
      <w:bodyDiv w:val="1"/>
      <w:marLeft w:val="0"/>
      <w:marRight w:val="0"/>
      <w:marTop w:val="0"/>
      <w:marBottom w:val="0"/>
      <w:divBdr>
        <w:top w:val="none" w:sz="0" w:space="0" w:color="auto"/>
        <w:left w:val="none" w:sz="0" w:space="0" w:color="auto"/>
        <w:bottom w:val="none" w:sz="0" w:space="0" w:color="auto"/>
        <w:right w:val="none" w:sz="0" w:space="0" w:color="auto"/>
      </w:divBdr>
    </w:div>
    <w:div w:id="554001335">
      <w:bodyDiv w:val="1"/>
      <w:marLeft w:val="0"/>
      <w:marRight w:val="0"/>
      <w:marTop w:val="0"/>
      <w:marBottom w:val="0"/>
      <w:divBdr>
        <w:top w:val="none" w:sz="0" w:space="0" w:color="auto"/>
        <w:left w:val="none" w:sz="0" w:space="0" w:color="auto"/>
        <w:bottom w:val="none" w:sz="0" w:space="0" w:color="auto"/>
        <w:right w:val="none" w:sz="0" w:space="0" w:color="auto"/>
      </w:divBdr>
    </w:div>
    <w:div w:id="554199172">
      <w:bodyDiv w:val="1"/>
      <w:marLeft w:val="0"/>
      <w:marRight w:val="0"/>
      <w:marTop w:val="0"/>
      <w:marBottom w:val="0"/>
      <w:divBdr>
        <w:top w:val="none" w:sz="0" w:space="0" w:color="auto"/>
        <w:left w:val="none" w:sz="0" w:space="0" w:color="auto"/>
        <w:bottom w:val="none" w:sz="0" w:space="0" w:color="auto"/>
        <w:right w:val="none" w:sz="0" w:space="0" w:color="auto"/>
      </w:divBdr>
    </w:div>
    <w:div w:id="554924971">
      <w:bodyDiv w:val="1"/>
      <w:marLeft w:val="0"/>
      <w:marRight w:val="0"/>
      <w:marTop w:val="0"/>
      <w:marBottom w:val="0"/>
      <w:divBdr>
        <w:top w:val="none" w:sz="0" w:space="0" w:color="auto"/>
        <w:left w:val="none" w:sz="0" w:space="0" w:color="auto"/>
        <w:bottom w:val="none" w:sz="0" w:space="0" w:color="auto"/>
        <w:right w:val="none" w:sz="0" w:space="0" w:color="auto"/>
      </w:divBdr>
    </w:div>
    <w:div w:id="554974568">
      <w:bodyDiv w:val="1"/>
      <w:marLeft w:val="0"/>
      <w:marRight w:val="0"/>
      <w:marTop w:val="0"/>
      <w:marBottom w:val="0"/>
      <w:divBdr>
        <w:top w:val="none" w:sz="0" w:space="0" w:color="auto"/>
        <w:left w:val="none" w:sz="0" w:space="0" w:color="auto"/>
        <w:bottom w:val="none" w:sz="0" w:space="0" w:color="auto"/>
        <w:right w:val="none" w:sz="0" w:space="0" w:color="auto"/>
      </w:divBdr>
    </w:div>
    <w:div w:id="555627917">
      <w:bodyDiv w:val="1"/>
      <w:marLeft w:val="0"/>
      <w:marRight w:val="0"/>
      <w:marTop w:val="0"/>
      <w:marBottom w:val="0"/>
      <w:divBdr>
        <w:top w:val="none" w:sz="0" w:space="0" w:color="auto"/>
        <w:left w:val="none" w:sz="0" w:space="0" w:color="auto"/>
        <w:bottom w:val="none" w:sz="0" w:space="0" w:color="auto"/>
        <w:right w:val="none" w:sz="0" w:space="0" w:color="auto"/>
      </w:divBdr>
    </w:div>
    <w:div w:id="555778001">
      <w:bodyDiv w:val="1"/>
      <w:marLeft w:val="0"/>
      <w:marRight w:val="0"/>
      <w:marTop w:val="0"/>
      <w:marBottom w:val="0"/>
      <w:divBdr>
        <w:top w:val="none" w:sz="0" w:space="0" w:color="auto"/>
        <w:left w:val="none" w:sz="0" w:space="0" w:color="auto"/>
        <w:bottom w:val="none" w:sz="0" w:space="0" w:color="auto"/>
        <w:right w:val="none" w:sz="0" w:space="0" w:color="auto"/>
      </w:divBdr>
    </w:div>
    <w:div w:id="556205698">
      <w:bodyDiv w:val="1"/>
      <w:marLeft w:val="0"/>
      <w:marRight w:val="0"/>
      <w:marTop w:val="0"/>
      <w:marBottom w:val="0"/>
      <w:divBdr>
        <w:top w:val="none" w:sz="0" w:space="0" w:color="auto"/>
        <w:left w:val="none" w:sz="0" w:space="0" w:color="auto"/>
        <w:bottom w:val="none" w:sz="0" w:space="0" w:color="auto"/>
        <w:right w:val="none" w:sz="0" w:space="0" w:color="auto"/>
      </w:divBdr>
    </w:div>
    <w:div w:id="557126608">
      <w:bodyDiv w:val="1"/>
      <w:marLeft w:val="0"/>
      <w:marRight w:val="0"/>
      <w:marTop w:val="0"/>
      <w:marBottom w:val="0"/>
      <w:divBdr>
        <w:top w:val="none" w:sz="0" w:space="0" w:color="auto"/>
        <w:left w:val="none" w:sz="0" w:space="0" w:color="auto"/>
        <w:bottom w:val="none" w:sz="0" w:space="0" w:color="auto"/>
        <w:right w:val="none" w:sz="0" w:space="0" w:color="auto"/>
      </w:divBdr>
    </w:div>
    <w:div w:id="557322162">
      <w:bodyDiv w:val="1"/>
      <w:marLeft w:val="0"/>
      <w:marRight w:val="0"/>
      <w:marTop w:val="0"/>
      <w:marBottom w:val="0"/>
      <w:divBdr>
        <w:top w:val="none" w:sz="0" w:space="0" w:color="auto"/>
        <w:left w:val="none" w:sz="0" w:space="0" w:color="auto"/>
        <w:bottom w:val="none" w:sz="0" w:space="0" w:color="auto"/>
        <w:right w:val="none" w:sz="0" w:space="0" w:color="auto"/>
      </w:divBdr>
    </w:div>
    <w:div w:id="557476122">
      <w:bodyDiv w:val="1"/>
      <w:marLeft w:val="0"/>
      <w:marRight w:val="0"/>
      <w:marTop w:val="0"/>
      <w:marBottom w:val="0"/>
      <w:divBdr>
        <w:top w:val="none" w:sz="0" w:space="0" w:color="auto"/>
        <w:left w:val="none" w:sz="0" w:space="0" w:color="auto"/>
        <w:bottom w:val="none" w:sz="0" w:space="0" w:color="auto"/>
        <w:right w:val="none" w:sz="0" w:space="0" w:color="auto"/>
      </w:divBdr>
    </w:div>
    <w:div w:id="557592458">
      <w:bodyDiv w:val="1"/>
      <w:marLeft w:val="0"/>
      <w:marRight w:val="0"/>
      <w:marTop w:val="0"/>
      <w:marBottom w:val="0"/>
      <w:divBdr>
        <w:top w:val="none" w:sz="0" w:space="0" w:color="auto"/>
        <w:left w:val="none" w:sz="0" w:space="0" w:color="auto"/>
        <w:bottom w:val="none" w:sz="0" w:space="0" w:color="auto"/>
        <w:right w:val="none" w:sz="0" w:space="0" w:color="auto"/>
      </w:divBdr>
    </w:div>
    <w:div w:id="557743167">
      <w:bodyDiv w:val="1"/>
      <w:marLeft w:val="0"/>
      <w:marRight w:val="0"/>
      <w:marTop w:val="0"/>
      <w:marBottom w:val="0"/>
      <w:divBdr>
        <w:top w:val="none" w:sz="0" w:space="0" w:color="auto"/>
        <w:left w:val="none" w:sz="0" w:space="0" w:color="auto"/>
        <w:bottom w:val="none" w:sz="0" w:space="0" w:color="auto"/>
        <w:right w:val="none" w:sz="0" w:space="0" w:color="auto"/>
      </w:divBdr>
    </w:div>
    <w:div w:id="557937507">
      <w:bodyDiv w:val="1"/>
      <w:marLeft w:val="0"/>
      <w:marRight w:val="0"/>
      <w:marTop w:val="0"/>
      <w:marBottom w:val="0"/>
      <w:divBdr>
        <w:top w:val="none" w:sz="0" w:space="0" w:color="auto"/>
        <w:left w:val="none" w:sz="0" w:space="0" w:color="auto"/>
        <w:bottom w:val="none" w:sz="0" w:space="0" w:color="auto"/>
        <w:right w:val="none" w:sz="0" w:space="0" w:color="auto"/>
      </w:divBdr>
    </w:div>
    <w:div w:id="558053131">
      <w:bodyDiv w:val="1"/>
      <w:marLeft w:val="0"/>
      <w:marRight w:val="0"/>
      <w:marTop w:val="0"/>
      <w:marBottom w:val="0"/>
      <w:divBdr>
        <w:top w:val="none" w:sz="0" w:space="0" w:color="auto"/>
        <w:left w:val="none" w:sz="0" w:space="0" w:color="auto"/>
        <w:bottom w:val="none" w:sz="0" w:space="0" w:color="auto"/>
        <w:right w:val="none" w:sz="0" w:space="0" w:color="auto"/>
      </w:divBdr>
    </w:div>
    <w:div w:id="558243856">
      <w:bodyDiv w:val="1"/>
      <w:marLeft w:val="0"/>
      <w:marRight w:val="0"/>
      <w:marTop w:val="0"/>
      <w:marBottom w:val="0"/>
      <w:divBdr>
        <w:top w:val="none" w:sz="0" w:space="0" w:color="auto"/>
        <w:left w:val="none" w:sz="0" w:space="0" w:color="auto"/>
        <w:bottom w:val="none" w:sz="0" w:space="0" w:color="auto"/>
        <w:right w:val="none" w:sz="0" w:space="0" w:color="auto"/>
      </w:divBdr>
    </w:div>
    <w:div w:id="558789932">
      <w:bodyDiv w:val="1"/>
      <w:marLeft w:val="0"/>
      <w:marRight w:val="0"/>
      <w:marTop w:val="0"/>
      <w:marBottom w:val="0"/>
      <w:divBdr>
        <w:top w:val="none" w:sz="0" w:space="0" w:color="auto"/>
        <w:left w:val="none" w:sz="0" w:space="0" w:color="auto"/>
        <w:bottom w:val="none" w:sz="0" w:space="0" w:color="auto"/>
        <w:right w:val="none" w:sz="0" w:space="0" w:color="auto"/>
      </w:divBdr>
    </w:div>
    <w:div w:id="560023670">
      <w:bodyDiv w:val="1"/>
      <w:marLeft w:val="0"/>
      <w:marRight w:val="0"/>
      <w:marTop w:val="0"/>
      <w:marBottom w:val="0"/>
      <w:divBdr>
        <w:top w:val="none" w:sz="0" w:space="0" w:color="auto"/>
        <w:left w:val="none" w:sz="0" w:space="0" w:color="auto"/>
        <w:bottom w:val="none" w:sz="0" w:space="0" w:color="auto"/>
        <w:right w:val="none" w:sz="0" w:space="0" w:color="auto"/>
      </w:divBdr>
    </w:div>
    <w:div w:id="560600839">
      <w:bodyDiv w:val="1"/>
      <w:marLeft w:val="0"/>
      <w:marRight w:val="0"/>
      <w:marTop w:val="0"/>
      <w:marBottom w:val="0"/>
      <w:divBdr>
        <w:top w:val="none" w:sz="0" w:space="0" w:color="auto"/>
        <w:left w:val="none" w:sz="0" w:space="0" w:color="auto"/>
        <w:bottom w:val="none" w:sz="0" w:space="0" w:color="auto"/>
        <w:right w:val="none" w:sz="0" w:space="0" w:color="auto"/>
      </w:divBdr>
    </w:div>
    <w:div w:id="560870710">
      <w:bodyDiv w:val="1"/>
      <w:marLeft w:val="0"/>
      <w:marRight w:val="0"/>
      <w:marTop w:val="0"/>
      <w:marBottom w:val="0"/>
      <w:divBdr>
        <w:top w:val="none" w:sz="0" w:space="0" w:color="auto"/>
        <w:left w:val="none" w:sz="0" w:space="0" w:color="auto"/>
        <w:bottom w:val="none" w:sz="0" w:space="0" w:color="auto"/>
        <w:right w:val="none" w:sz="0" w:space="0" w:color="auto"/>
      </w:divBdr>
    </w:div>
    <w:div w:id="560992153">
      <w:bodyDiv w:val="1"/>
      <w:marLeft w:val="0"/>
      <w:marRight w:val="0"/>
      <w:marTop w:val="0"/>
      <w:marBottom w:val="0"/>
      <w:divBdr>
        <w:top w:val="none" w:sz="0" w:space="0" w:color="auto"/>
        <w:left w:val="none" w:sz="0" w:space="0" w:color="auto"/>
        <w:bottom w:val="none" w:sz="0" w:space="0" w:color="auto"/>
        <w:right w:val="none" w:sz="0" w:space="0" w:color="auto"/>
      </w:divBdr>
    </w:div>
    <w:div w:id="561061244">
      <w:bodyDiv w:val="1"/>
      <w:marLeft w:val="0"/>
      <w:marRight w:val="0"/>
      <w:marTop w:val="0"/>
      <w:marBottom w:val="0"/>
      <w:divBdr>
        <w:top w:val="none" w:sz="0" w:space="0" w:color="auto"/>
        <w:left w:val="none" w:sz="0" w:space="0" w:color="auto"/>
        <w:bottom w:val="none" w:sz="0" w:space="0" w:color="auto"/>
        <w:right w:val="none" w:sz="0" w:space="0" w:color="auto"/>
      </w:divBdr>
    </w:div>
    <w:div w:id="562104602">
      <w:bodyDiv w:val="1"/>
      <w:marLeft w:val="0"/>
      <w:marRight w:val="0"/>
      <w:marTop w:val="0"/>
      <w:marBottom w:val="0"/>
      <w:divBdr>
        <w:top w:val="none" w:sz="0" w:space="0" w:color="auto"/>
        <w:left w:val="none" w:sz="0" w:space="0" w:color="auto"/>
        <w:bottom w:val="none" w:sz="0" w:space="0" w:color="auto"/>
        <w:right w:val="none" w:sz="0" w:space="0" w:color="auto"/>
      </w:divBdr>
    </w:div>
    <w:div w:id="562561932">
      <w:bodyDiv w:val="1"/>
      <w:marLeft w:val="0"/>
      <w:marRight w:val="0"/>
      <w:marTop w:val="0"/>
      <w:marBottom w:val="0"/>
      <w:divBdr>
        <w:top w:val="none" w:sz="0" w:space="0" w:color="auto"/>
        <w:left w:val="none" w:sz="0" w:space="0" w:color="auto"/>
        <w:bottom w:val="none" w:sz="0" w:space="0" w:color="auto"/>
        <w:right w:val="none" w:sz="0" w:space="0" w:color="auto"/>
      </w:divBdr>
    </w:div>
    <w:div w:id="562646524">
      <w:bodyDiv w:val="1"/>
      <w:marLeft w:val="0"/>
      <w:marRight w:val="0"/>
      <w:marTop w:val="0"/>
      <w:marBottom w:val="0"/>
      <w:divBdr>
        <w:top w:val="none" w:sz="0" w:space="0" w:color="auto"/>
        <w:left w:val="none" w:sz="0" w:space="0" w:color="auto"/>
        <w:bottom w:val="none" w:sz="0" w:space="0" w:color="auto"/>
        <w:right w:val="none" w:sz="0" w:space="0" w:color="auto"/>
      </w:divBdr>
    </w:div>
    <w:div w:id="562835918">
      <w:bodyDiv w:val="1"/>
      <w:marLeft w:val="0"/>
      <w:marRight w:val="0"/>
      <w:marTop w:val="0"/>
      <w:marBottom w:val="0"/>
      <w:divBdr>
        <w:top w:val="none" w:sz="0" w:space="0" w:color="auto"/>
        <w:left w:val="none" w:sz="0" w:space="0" w:color="auto"/>
        <w:bottom w:val="none" w:sz="0" w:space="0" w:color="auto"/>
        <w:right w:val="none" w:sz="0" w:space="0" w:color="auto"/>
      </w:divBdr>
    </w:div>
    <w:div w:id="562838690">
      <w:bodyDiv w:val="1"/>
      <w:marLeft w:val="0"/>
      <w:marRight w:val="0"/>
      <w:marTop w:val="0"/>
      <w:marBottom w:val="0"/>
      <w:divBdr>
        <w:top w:val="none" w:sz="0" w:space="0" w:color="auto"/>
        <w:left w:val="none" w:sz="0" w:space="0" w:color="auto"/>
        <w:bottom w:val="none" w:sz="0" w:space="0" w:color="auto"/>
        <w:right w:val="none" w:sz="0" w:space="0" w:color="auto"/>
      </w:divBdr>
    </w:div>
    <w:div w:id="563492597">
      <w:bodyDiv w:val="1"/>
      <w:marLeft w:val="0"/>
      <w:marRight w:val="0"/>
      <w:marTop w:val="0"/>
      <w:marBottom w:val="0"/>
      <w:divBdr>
        <w:top w:val="none" w:sz="0" w:space="0" w:color="auto"/>
        <w:left w:val="none" w:sz="0" w:space="0" w:color="auto"/>
        <w:bottom w:val="none" w:sz="0" w:space="0" w:color="auto"/>
        <w:right w:val="none" w:sz="0" w:space="0" w:color="auto"/>
      </w:divBdr>
    </w:div>
    <w:div w:id="563754539">
      <w:bodyDiv w:val="1"/>
      <w:marLeft w:val="0"/>
      <w:marRight w:val="0"/>
      <w:marTop w:val="0"/>
      <w:marBottom w:val="0"/>
      <w:divBdr>
        <w:top w:val="none" w:sz="0" w:space="0" w:color="auto"/>
        <w:left w:val="none" w:sz="0" w:space="0" w:color="auto"/>
        <w:bottom w:val="none" w:sz="0" w:space="0" w:color="auto"/>
        <w:right w:val="none" w:sz="0" w:space="0" w:color="auto"/>
      </w:divBdr>
    </w:div>
    <w:div w:id="564294296">
      <w:bodyDiv w:val="1"/>
      <w:marLeft w:val="0"/>
      <w:marRight w:val="0"/>
      <w:marTop w:val="0"/>
      <w:marBottom w:val="0"/>
      <w:divBdr>
        <w:top w:val="none" w:sz="0" w:space="0" w:color="auto"/>
        <w:left w:val="none" w:sz="0" w:space="0" w:color="auto"/>
        <w:bottom w:val="none" w:sz="0" w:space="0" w:color="auto"/>
        <w:right w:val="none" w:sz="0" w:space="0" w:color="auto"/>
      </w:divBdr>
    </w:div>
    <w:div w:id="564294937">
      <w:bodyDiv w:val="1"/>
      <w:marLeft w:val="0"/>
      <w:marRight w:val="0"/>
      <w:marTop w:val="0"/>
      <w:marBottom w:val="0"/>
      <w:divBdr>
        <w:top w:val="none" w:sz="0" w:space="0" w:color="auto"/>
        <w:left w:val="none" w:sz="0" w:space="0" w:color="auto"/>
        <w:bottom w:val="none" w:sz="0" w:space="0" w:color="auto"/>
        <w:right w:val="none" w:sz="0" w:space="0" w:color="auto"/>
      </w:divBdr>
    </w:div>
    <w:div w:id="564683404">
      <w:bodyDiv w:val="1"/>
      <w:marLeft w:val="0"/>
      <w:marRight w:val="0"/>
      <w:marTop w:val="0"/>
      <w:marBottom w:val="0"/>
      <w:divBdr>
        <w:top w:val="none" w:sz="0" w:space="0" w:color="auto"/>
        <w:left w:val="none" w:sz="0" w:space="0" w:color="auto"/>
        <w:bottom w:val="none" w:sz="0" w:space="0" w:color="auto"/>
        <w:right w:val="none" w:sz="0" w:space="0" w:color="auto"/>
      </w:divBdr>
    </w:div>
    <w:div w:id="564877567">
      <w:bodyDiv w:val="1"/>
      <w:marLeft w:val="0"/>
      <w:marRight w:val="0"/>
      <w:marTop w:val="0"/>
      <w:marBottom w:val="0"/>
      <w:divBdr>
        <w:top w:val="none" w:sz="0" w:space="0" w:color="auto"/>
        <w:left w:val="none" w:sz="0" w:space="0" w:color="auto"/>
        <w:bottom w:val="none" w:sz="0" w:space="0" w:color="auto"/>
        <w:right w:val="none" w:sz="0" w:space="0" w:color="auto"/>
      </w:divBdr>
    </w:div>
    <w:div w:id="565188223">
      <w:bodyDiv w:val="1"/>
      <w:marLeft w:val="0"/>
      <w:marRight w:val="0"/>
      <w:marTop w:val="0"/>
      <w:marBottom w:val="0"/>
      <w:divBdr>
        <w:top w:val="none" w:sz="0" w:space="0" w:color="auto"/>
        <w:left w:val="none" w:sz="0" w:space="0" w:color="auto"/>
        <w:bottom w:val="none" w:sz="0" w:space="0" w:color="auto"/>
        <w:right w:val="none" w:sz="0" w:space="0" w:color="auto"/>
      </w:divBdr>
    </w:div>
    <w:div w:id="566451338">
      <w:bodyDiv w:val="1"/>
      <w:marLeft w:val="0"/>
      <w:marRight w:val="0"/>
      <w:marTop w:val="0"/>
      <w:marBottom w:val="0"/>
      <w:divBdr>
        <w:top w:val="none" w:sz="0" w:space="0" w:color="auto"/>
        <w:left w:val="none" w:sz="0" w:space="0" w:color="auto"/>
        <w:bottom w:val="none" w:sz="0" w:space="0" w:color="auto"/>
        <w:right w:val="none" w:sz="0" w:space="0" w:color="auto"/>
      </w:divBdr>
    </w:div>
    <w:div w:id="567620210">
      <w:bodyDiv w:val="1"/>
      <w:marLeft w:val="0"/>
      <w:marRight w:val="0"/>
      <w:marTop w:val="0"/>
      <w:marBottom w:val="0"/>
      <w:divBdr>
        <w:top w:val="none" w:sz="0" w:space="0" w:color="auto"/>
        <w:left w:val="none" w:sz="0" w:space="0" w:color="auto"/>
        <w:bottom w:val="none" w:sz="0" w:space="0" w:color="auto"/>
        <w:right w:val="none" w:sz="0" w:space="0" w:color="auto"/>
      </w:divBdr>
    </w:div>
    <w:div w:id="567765087">
      <w:bodyDiv w:val="1"/>
      <w:marLeft w:val="0"/>
      <w:marRight w:val="0"/>
      <w:marTop w:val="0"/>
      <w:marBottom w:val="0"/>
      <w:divBdr>
        <w:top w:val="none" w:sz="0" w:space="0" w:color="auto"/>
        <w:left w:val="none" w:sz="0" w:space="0" w:color="auto"/>
        <w:bottom w:val="none" w:sz="0" w:space="0" w:color="auto"/>
        <w:right w:val="none" w:sz="0" w:space="0" w:color="auto"/>
      </w:divBdr>
    </w:div>
    <w:div w:id="567768228">
      <w:bodyDiv w:val="1"/>
      <w:marLeft w:val="0"/>
      <w:marRight w:val="0"/>
      <w:marTop w:val="0"/>
      <w:marBottom w:val="0"/>
      <w:divBdr>
        <w:top w:val="none" w:sz="0" w:space="0" w:color="auto"/>
        <w:left w:val="none" w:sz="0" w:space="0" w:color="auto"/>
        <w:bottom w:val="none" w:sz="0" w:space="0" w:color="auto"/>
        <w:right w:val="none" w:sz="0" w:space="0" w:color="auto"/>
      </w:divBdr>
    </w:div>
    <w:div w:id="568154447">
      <w:bodyDiv w:val="1"/>
      <w:marLeft w:val="0"/>
      <w:marRight w:val="0"/>
      <w:marTop w:val="0"/>
      <w:marBottom w:val="0"/>
      <w:divBdr>
        <w:top w:val="none" w:sz="0" w:space="0" w:color="auto"/>
        <w:left w:val="none" w:sz="0" w:space="0" w:color="auto"/>
        <w:bottom w:val="none" w:sz="0" w:space="0" w:color="auto"/>
        <w:right w:val="none" w:sz="0" w:space="0" w:color="auto"/>
      </w:divBdr>
    </w:div>
    <w:div w:id="568805196">
      <w:bodyDiv w:val="1"/>
      <w:marLeft w:val="0"/>
      <w:marRight w:val="0"/>
      <w:marTop w:val="0"/>
      <w:marBottom w:val="0"/>
      <w:divBdr>
        <w:top w:val="none" w:sz="0" w:space="0" w:color="auto"/>
        <w:left w:val="none" w:sz="0" w:space="0" w:color="auto"/>
        <w:bottom w:val="none" w:sz="0" w:space="0" w:color="auto"/>
        <w:right w:val="none" w:sz="0" w:space="0" w:color="auto"/>
      </w:divBdr>
    </w:div>
    <w:div w:id="569121098">
      <w:bodyDiv w:val="1"/>
      <w:marLeft w:val="0"/>
      <w:marRight w:val="0"/>
      <w:marTop w:val="0"/>
      <w:marBottom w:val="0"/>
      <w:divBdr>
        <w:top w:val="none" w:sz="0" w:space="0" w:color="auto"/>
        <w:left w:val="none" w:sz="0" w:space="0" w:color="auto"/>
        <w:bottom w:val="none" w:sz="0" w:space="0" w:color="auto"/>
        <w:right w:val="none" w:sz="0" w:space="0" w:color="auto"/>
      </w:divBdr>
    </w:div>
    <w:div w:id="569122453">
      <w:bodyDiv w:val="1"/>
      <w:marLeft w:val="0"/>
      <w:marRight w:val="0"/>
      <w:marTop w:val="0"/>
      <w:marBottom w:val="0"/>
      <w:divBdr>
        <w:top w:val="none" w:sz="0" w:space="0" w:color="auto"/>
        <w:left w:val="none" w:sz="0" w:space="0" w:color="auto"/>
        <w:bottom w:val="none" w:sz="0" w:space="0" w:color="auto"/>
        <w:right w:val="none" w:sz="0" w:space="0" w:color="auto"/>
      </w:divBdr>
    </w:div>
    <w:div w:id="569342602">
      <w:bodyDiv w:val="1"/>
      <w:marLeft w:val="0"/>
      <w:marRight w:val="0"/>
      <w:marTop w:val="0"/>
      <w:marBottom w:val="0"/>
      <w:divBdr>
        <w:top w:val="none" w:sz="0" w:space="0" w:color="auto"/>
        <w:left w:val="none" w:sz="0" w:space="0" w:color="auto"/>
        <w:bottom w:val="none" w:sz="0" w:space="0" w:color="auto"/>
        <w:right w:val="none" w:sz="0" w:space="0" w:color="auto"/>
      </w:divBdr>
    </w:div>
    <w:div w:id="569391894">
      <w:bodyDiv w:val="1"/>
      <w:marLeft w:val="0"/>
      <w:marRight w:val="0"/>
      <w:marTop w:val="0"/>
      <w:marBottom w:val="0"/>
      <w:divBdr>
        <w:top w:val="none" w:sz="0" w:space="0" w:color="auto"/>
        <w:left w:val="none" w:sz="0" w:space="0" w:color="auto"/>
        <w:bottom w:val="none" w:sz="0" w:space="0" w:color="auto"/>
        <w:right w:val="none" w:sz="0" w:space="0" w:color="auto"/>
      </w:divBdr>
    </w:div>
    <w:div w:id="569463817">
      <w:bodyDiv w:val="1"/>
      <w:marLeft w:val="0"/>
      <w:marRight w:val="0"/>
      <w:marTop w:val="0"/>
      <w:marBottom w:val="0"/>
      <w:divBdr>
        <w:top w:val="none" w:sz="0" w:space="0" w:color="auto"/>
        <w:left w:val="none" w:sz="0" w:space="0" w:color="auto"/>
        <w:bottom w:val="none" w:sz="0" w:space="0" w:color="auto"/>
        <w:right w:val="none" w:sz="0" w:space="0" w:color="auto"/>
      </w:divBdr>
    </w:div>
    <w:div w:id="569579528">
      <w:bodyDiv w:val="1"/>
      <w:marLeft w:val="0"/>
      <w:marRight w:val="0"/>
      <w:marTop w:val="0"/>
      <w:marBottom w:val="0"/>
      <w:divBdr>
        <w:top w:val="none" w:sz="0" w:space="0" w:color="auto"/>
        <w:left w:val="none" w:sz="0" w:space="0" w:color="auto"/>
        <w:bottom w:val="none" w:sz="0" w:space="0" w:color="auto"/>
        <w:right w:val="none" w:sz="0" w:space="0" w:color="auto"/>
      </w:divBdr>
    </w:div>
    <w:div w:id="569775333">
      <w:bodyDiv w:val="1"/>
      <w:marLeft w:val="0"/>
      <w:marRight w:val="0"/>
      <w:marTop w:val="0"/>
      <w:marBottom w:val="0"/>
      <w:divBdr>
        <w:top w:val="none" w:sz="0" w:space="0" w:color="auto"/>
        <w:left w:val="none" w:sz="0" w:space="0" w:color="auto"/>
        <w:bottom w:val="none" w:sz="0" w:space="0" w:color="auto"/>
        <w:right w:val="none" w:sz="0" w:space="0" w:color="auto"/>
      </w:divBdr>
    </w:div>
    <w:div w:id="569852004">
      <w:bodyDiv w:val="1"/>
      <w:marLeft w:val="0"/>
      <w:marRight w:val="0"/>
      <w:marTop w:val="0"/>
      <w:marBottom w:val="0"/>
      <w:divBdr>
        <w:top w:val="none" w:sz="0" w:space="0" w:color="auto"/>
        <w:left w:val="none" w:sz="0" w:space="0" w:color="auto"/>
        <w:bottom w:val="none" w:sz="0" w:space="0" w:color="auto"/>
        <w:right w:val="none" w:sz="0" w:space="0" w:color="auto"/>
      </w:divBdr>
    </w:div>
    <w:div w:id="569972665">
      <w:bodyDiv w:val="1"/>
      <w:marLeft w:val="0"/>
      <w:marRight w:val="0"/>
      <w:marTop w:val="0"/>
      <w:marBottom w:val="0"/>
      <w:divBdr>
        <w:top w:val="none" w:sz="0" w:space="0" w:color="auto"/>
        <w:left w:val="none" w:sz="0" w:space="0" w:color="auto"/>
        <w:bottom w:val="none" w:sz="0" w:space="0" w:color="auto"/>
        <w:right w:val="none" w:sz="0" w:space="0" w:color="auto"/>
      </w:divBdr>
    </w:div>
    <w:div w:id="570123170">
      <w:bodyDiv w:val="1"/>
      <w:marLeft w:val="0"/>
      <w:marRight w:val="0"/>
      <w:marTop w:val="0"/>
      <w:marBottom w:val="0"/>
      <w:divBdr>
        <w:top w:val="none" w:sz="0" w:space="0" w:color="auto"/>
        <w:left w:val="none" w:sz="0" w:space="0" w:color="auto"/>
        <w:bottom w:val="none" w:sz="0" w:space="0" w:color="auto"/>
        <w:right w:val="none" w:sz="0" w:space="0" w:color="auto"/>
      </w:divBdr>
    </w:div>
    <w:div w:id="570507548">
      <w:bodyDiv w:val="1"/>
      <w:marLeft w:val="0"/>
      <w:marRight w:val="0"/>
      <w:marTop w:val="0"/>
      <w:marBottom w:val="0"/>
      <w:divBdr>
        <w:top w:val="none" w:sz="0" w:space="0" w:color="auto"/>
        <w:left w:val="none" w:sz="0" w:space="0" w:color="auto"/>
        <w:bottom w:val="none" w:sz="0" w:space="0" w:color="auto"/>
        <w:right w:val="none" w:sz="0" w:space="0" w:color="auto"/>
      </w:divBdr>
    </w:div>
    <w:div w:id="570653513">
      <w:bodyDiv w:val="1"/>
      <w:marLeft w:val="0"/>
      <w:marRight w:val="0"/>
      <w:marTop w:val="0"/>
      <w:marBottom w:val="0"/>
      <w:divBdr>
        <w:top w:val="none" w:sz="0" w:space="0" w:color="auto"/>
        <w:left w:val="none" w:sz="0" w:space="0" w:color="auto"/>
        <w:bottom w:val="none" w:sz="0" w:space="0" w:color="auto"/>
        <w:right w:val="none" w:sz="0" w:space="0" w:color="auto"/>
      </w:divBdr>
    </w:div>
    <w:div w:id="570848868">
      <w:bodyDiv w:val="1"/>
      <w:marLeft w:val="0"/>
      <w:marRight w:val="0"/>
      <w:marTop w:val="0"/>
      <w:marBottom w:val="0"/>
      <w:divBdr>
        <w:top w:val="none" w:sz="0" w:space="0" w:color="auto"/>
        <w:left w:val="none" w:sz="0" w:space="0" w:color="auto"/>
        <w:bottom w:val="none" w:sz="0" w:space="0" w:color="auto"/>
        <w:right w:val="none" w:sz="0" w:space="0" w:color="auto"/>
      </w:divBdr>
    </w:div>
    <w:div w:id="570965426">
      <w:bodyDiv w:val="1"/>
      <w:marLeft w:val="0"/>
      <w:marRight w:val="0"/>
      <w:marTop w:val="0"/>
      <w:marBottom w:val="0"/>
      <w:divBdr>
        <w:top w:val="none" w:sz="0" w:space="0" w:color="auto"/>
        <w:left w:val="none" w:sz="0" w:space="0" w:color="auto"/>
        <w:bottom w:val="none" w:sz="0" w:space="0" w:color="auto"/>
        <w:right w:val="none" w:sz="0" w:space="0" w:color="auto"/>
      </w:divBdr>
    </w:div>
    <w:div w:id="571047483">
      <w:bodyDiv w:val="1"/>
      <w:marLeft w:val="0"/>
      <w:marRight w:val="0"/>
      <w:marTop w:val="0"/>
      <w:marBottom w:val="0"/>
      <w:divBdr>
        <w:top w:val="none" w:sz="0" w:space="0" w:color="auto"/>
        <w:left w:val="none" w:sz="0" w:space="0" w:color="auto"/>
        <w:bottom w:val="none" w:sz="0" w:space="0" w:color="auto"/>
        <w:right w:val="none" w:sz="0" w:space="0" w:color="auto"/>
      </w:divBdr>
    </w:div>
    <w:div w:id="572009782">
      <w:bodyDiv w:val="1"/>
      <w:marLeft w:val="0"/>
      <w:marRight w:val="0"/>
      <w:marTop w:val="0"/>
      <w:marBottom w:val="0"/>
      <w:divBdr>
        <w:top w:val="none" w:sz="0" w:space="0" w:color="auto"/>
        <w:left w:val="none" w:sz="0" w:space="0" w:color="auto"/>
        <w:bottom w:val="none" w:sz="0" w:space="0" w:color="auto"/>
        <w:right w:val="none" w:sz="0" w:space="0" w:color="auto"/>
      </w:divBdr>
    </w:div>
    <w:div w:id="573399383">
      <w:bodyDiv w:val="1"/>
      <w:marLeft w:val="0"/>
      <w:marRight w:val="0"/>
      <w:marTop w:val="0"/>
      <w:marBottom w:val="0"/>
      <w:divBdr>
        <w:top w:val="none" w:sz="0" w:space="0" w:color="auto"/>
        <w:left w:val="none" w:sz="0" w:space="0" w:color="auto"/>
        <w:bottom w:val="none" w:sz="0" w:space="0" w:color="auto"/>
        <w:right w:val="none" w:sz="0" w:space="0" w:color="auto"/>
      </w:divBdr>
    </w:div>
    <w:div w:id="574052135">
      <w:bodyDiv w:val="1"/>
      <w:marLeft w:val="0"/>
      <w:marRight w:val="0"/>
      <w:marTop w:val="0"/>
      <w:marBottom w:val="0"/>
      <w:divBdr>
        <w:top w:val="none" w:sz="0" w:space="0" w:color="auto"/>
        <w:left w:val="none" w:sz="0" w:space="0" w:color="auto"/>
        <w:bottom w:val="none" w:sz="0" w:space="0" w:color="auto"/>
        <w:right w:val="none" w:sz="0" w:space="0" w:color="auto"/>
      </w:divBdr>
    </w:div>
    <w:div w:id="574317969">
      <w:bodyDiv w:val="1"/>
      <w:marLeft w:val="0"/>
      <w:marRight w:val="0"/>
      <w:marTop w:val="0"/>
      <w:marBottom w:val="0"/>
      <w:divBdr>
        <w:top w:val="none" w:sz="0" w:space="0" w:color="auto"/>
        <w:left w:val="none" w:sz="0" w:space="0" w:color="auto"/>
        <w:bottom w:val="none" w:sz="0" w:space="0" w:color="auto"/>
        <w:right w:val="none" w:sz="0" w:space="0" w:color="auto"/>
      </w:divBdr>
    </w:div>
    <w:div w:id="574512031">
      <w:bodyDiv w:val="1"/>
      <w:marLeft w:val="0"/>
      <w:marRight w:val="0"/>
      <w:marTop w:val="0"/>
      <w:marBottom w:val="0"/>
      <w:divBdr>
        <w:top w:val="none" w:sz="0" w:space="0" w:color="auto"/>
        <w:left w:val="none" w:sz="0" w:space="0" w:color="auto"/>
        <w:bottom w:val="none" w:sz="0" w:space="0" w:color="auto"/>
        <w:right w:val="none" w:sz="0" w:space="0" w:color="auto"/>
      </w:divBdr>
    </w:div>
    <w:div w:id="574979213">
      <w:bodyDiv w:val="1"/>
      <w:marLeft w:val="0"/>
      <w:marRight w:val="0"/>
      <w:marTop w:val="0"/>
      <w:marBottom w:val="0"/>
      <w:divBdr>
        <w:top w:val="none" w:sz="0" w:space="0" w:color="auto"/>
        <w:left w:val="none" w:sz="0" w:space="0" w:color="auto"/>
        <w:bottom w:val="none" w:sz="0" w:space="0" w:color="auto"/>
        <w:right w:val="none" w:sz="0" w:space="0" w:color="auto"/>
      </w:divBdr>
    </w:div>
    <w:div w:id="575092318">
      <w:bodyDiv w:val="1"/>
      <w:marLeft w:val="0"/>
      <w:marRight w:val="0"/>
      <w:marTop w:val="0"/>
      <w:marBottom w:val="0"/>
      <w:divBdr>
        <w:top w:val="none" w:sz="0" w:space="0" w:color="auto"/>
        <w:left w:val="none" w:sz="0" w:space="0" w:color="auto"/>
        <w:bottom w:val="none" w:sz="0" w:space="0" w:color="auto"/>
        <w:right w:val="none" w:sz="0" w:space="0" w:color="auto"/>
      </w:divBdr>
    </w:div>
    <w:div w:id="575092989">
      <w:bodyDiv w:val="1"/>
      <w:marLeft w:val="0"/>
      <w:marRight w:val="0"/>
      <w:marTop w:val="0"/>
      <w:marBottom w:val="0"/>
      <w:divBdr>
        <w:top w:val="none" w:sz="0" w:space="0" w:color="auto"/>
        <w:left w:val="none" w:sz="0" w:space="0" w:color="auto"/>
        <w:bottom w:val="none" w:sz="0" w:space="0" w:color="auto"/>
        <w:right w:val="none" w:sz="0" w:space="0" w:color="auto"/>
      </w:divBdr>
    </w:div>
    <w:div w:id="575163673">
      <w:bodyDiv w:val="1"/>
      <w:marLeft w:val="0"/>
      <w:marRight w:val="0"/>
      <w:marTop w:val="0"/>
      <w:marBottom w:val="0"/>
      <w:divBdr>
        <w:top w:val="none" w:sz="0" w:space="0" w:color="auto"/>
        <w:left w:val="none" w:sz="0" w:space="0" w:color="auto"/>
        <w:bottom w:val="none" w:sz="0" w:space="0" w:color="auto"/>
        <w:right w:val="none" w:sz="0" w:space="0" w:color="auto"/>
      </w:divBdr>
    </w:div>
    <w:div w:id="575285533">
      <w:bodyDiv w:val="1"/>
      <w:marLeft w:val="0"/>
      <w:marRight w:val="0"/>
      <w:marTop w:val="0"/>
      <w:marBottom w:val="0"/>
      <w:divBdr>
        <w:top w:val="none" w:sz="0" w:space="0" w:color="auto"/>
        <w:left w:val="none" w:sz="0" w:space="0" w:color="auto"/>
        <w:bottom w:val="none" w:sz="0" w:space="0" w:color="auto"/>
        <w:right w:val="none" w:sz="0" w:space="0" w:color="auto"/>
      </w:divBdr>
    </w:div>
    <w:div w:id="575673005">
      <w:bodyDiv w:val="1"/>
      <w:marLeft w:val="0"/>
      <w:marRight w:val="0"/>
      <w:marTop w:val="0"/>
      <w:marBottom w:val="0"/>
      <w:divBdr>
        <w:top w:val="none" w:sz="0" w:space="0" w:color="auto"/>
        <w:left w:val="none" w:sz="0" w:space="0" w:color="auto"/>
        <w:bottom w:val="none" w:sz="0" w:space="0" w:color="auto"/>
        <w:right w:val="none" w:sz="0" w:space="0" w:color="auto"/>
      </w:divBdr>
    </w:div>
    <w:div w:id="576214098">
      <w:bodyDiv w:val="1"/>
      <w:marLeft w:val="0"/>
      <w:marRight w:val="0"/>
      <w:marTop w:val="0"/>
      <w:marBottom w:val="0"/>
      <w:divBdr>
        <w:top w:val="none" w:sz="0" w:space="0" w:color="auto"/>
        <w:left w:val="none" w:sz="0" w:space="0" w:color="auto"/>
        <w:bottom w:val="none" w:sz="0" w:space="0" w:color="auto"/>
        <w:right w:val="none" w:sz="0" w:space="0" w:color="auto"/>
      </w:divBdr>
    </w:div>
    <w:div w:id="576324960">
      <w:bodyDiv w:val="1"/>
      <w:marLeft w:val="0"/>
      <w:marRight w:val="0"/>
      <w:marTop w:val="0"/>
      <w:marBottom w:val="0"/>
      <w:divBdr>
        <w:top w:val="none" w:sz="0" w:space="0" w:color="auto"/>
        <w:left w:val="none" w:sz="0" w:space="0" w:color="auto"/>
        <w:bottom w:val="none" w:sz="0" w:space="0" w:color="auto"/>
        <w:right w:val="none" w:sz="0" w:space="0" w:color="auto"/>
      </w:divBdr>
    </w:div>
    <w:div w:id="576669897">
      <w:bodyDiv w:val="1"/>
      <w:marLeft w:val="0"/>
      <w:marRight w:val="0"/>
      <w:marTop w:val="0"/>
      <w:marBottom w:val="0"/>
      <w:divBdr>
        <w:top w:val="none" w:sz="0" w:space="0" w:color="auto"/>
        <w:left w:val="none" w:sz="0" w:space="0" w:color="auto"/>
        <w:bottom w:val="none" w:sz="0" w:space="0" w:color="auto"/>
        <w:right w:val="none" w:sz="0" w:space="0" w:color="auto"/>
      </w:divBdr>
    </w:div>
    <w:div w:id="576862817">
      <w:bodyDiv w:val="1"/>
      <w:marLeft w:val="0"/>
      <w:marRight w:val="0"/>
      <w:marTop w:val="0"/>
      <w:marBottom w:val="0"/>
      <w:divBdr>
        <w:top w:val="none" w:sz="0" w:space="0" w:color="auto"/>
        <w:left w:val="none" w:sz="0" w:space="0" w:color="auto"/>
        <w:bottom w:val="none" w:sz="0" w:space="0" w:color="auto"/>
        <w:right w:val="none" w:sz="0" w:space="0" w:color="auto"/>
      </w:divBdr>
    </w:div>
    <w:div w:id="577011047">
      <w:bodyDiv w:val="1"/>
      <w:marLeft w:val="0"/>
      <w:marRight w:val="0"/>
      <w:marTop w:val="0"/>
      <w:marBottom w:val="0"/>
      <w:divBdr>
        <w:top w:val="none" w:sz="0" w:space="0" w:color="auto"/>
        <w:left w:val="none" w:sz="0" w:space="0" w:color="auto"/>
        <w:bottom w:val="none" w:sz="0" w:space="0" w:color="auto"/>
        <w:right w:val="none" w:sz="0" w:space="0" w:color="auto"/>
      </w:divBdr>
    </w:div>
    <w:div w:id="577326308">
      <w:bodyDiv w:val="1"/>
      <w:marLeft w:val="0"/>
      <w:marRight w:val="0"/>
      <w:marTop w:val="0"/>
      <w:marBottom w:val="0"/>
      <w:divBdr>
        <w:top w:val="none" w:sz="0" w:space="0" w:color="auto"/>
        <w:left w:val="none" w:sz="0" w:space="0" w:color="auto"/>
        <w:bottom w:val="none" w:sz="0" w:space="0" w:color="auto"/>
        <w:right w:val="none" w:sz="0" w:space="0" w:color="auto"/>
      </w:divBdr>
    </w:div>
    <w:div w:id="577859538">
      <w:bodyDiv w:val="1"/>
      <w:marLeft w:val="0"/>
      <w:marRight w:val="0"/>
      <w:marTop w:val="0"/>
      <w:marBottom w:val="0"/>
      <w:divBdr>
        <w:top w:val="none" w:sz="0" w:space="0" w:color="auto"/>
        <w:left w:val="none" w:sz="0" w:space="0" w:color="auto"/>
        <w:bottom w:val="none" w:sz="0" w:space="0" w:color="auto"/>
        <w:right w:val="none" w:sz="0" w:space="0" w:color="auto"/>
      </w:divBdr>
    </w:div>
    <w:div w:id="578518839">
      <w:bodyDiv w:val="1"/>
      <w:marLeft w:val="0"/>
      <w:marRight w:val="0"/>
      <w:marTop w:val="0"/>
      <w:marBottom w:val="0"/>
      <w:divBdr>
        <w:top w:val="none" w:sz="0" w:space="0" w:color="auto"/>
        <w:left w:val="none" w:sz="0" w:space="0" w:color="auto"/>
        <w:bottom w:val="none" w:sz="0" w:space="0" w:color="auto"/>
        <w:right w:val="none" w:sz="0" w:space="0" w:color="auto"/>
      </w:divBdr>
    </w:div>
    <w:div w:id="578707768">
      <w:bodyDiv w:val="1"/>
      <w:marLeft w:val="0"/>
      <w:marRight w:val="0"/>
      <w:marTop w:val="0"/>
      <w:marBottom w:val="0"/>
      <w:divBdr>
        <w:top w:val="none" w:sz="0" w:space="0" w:color="auto"/>
        <w:left w:val="none" w:sz="0" w:space="0" w:color="auto"/>
        <w:bottom w:val="none" w:sz="0" w:space="0" w:color="auto"/>
        <w:right w:val="none" w:sz="0" w:space="0" w:color="auto"/>
      </w:divBdr>
    </w:div>
    <w:div w:id="578901194">
      <w:bodyDiv w:val="1"/>
      <w:marLeft w:val="0"/>
      <w:marRight w:val="0"/>
      <w:marTop w:val="0"/>
      <w:marBottom w:val="0"/>
      <w:divBdr>
        <w:top w:val="none" w:sz="0" w:space="0" w:color="auto"/>
        <w:left w:val="none" w:sz="0" w:space="0" w:color="auto"/>
        <w:bottom w:val="none" w:sz="0" w:space="0" w:color="auto"/>
        <w:right w:val="none" w:sz="0" w:space="0" w:color="auto"/>
      </w:divBdr>
    </w:div>
    <w:div w:id="580408402">
      <w:bodyDiv w:val="1"/>
      <w:marLeft w:val="0"/>
      <w:marRight w:val="0"/>
      <w:marTop w:val="0"/>
      <w:marBottom w:val="0"/>
      <w:divBdr>
        <w:top w:val="none" w:sz="0" w:space="0" w:color="auto"/>
        <w:left w:val="none" w:sz="0" w:space="0" w:color="auto"/>
        <w:bottom w:val="none" w:sz="0" w:space="0" w:color="auto"/>
        <w:right w:val="none" w:sz="0" w:space="0" w:color="auto"/>
      </w:divBdr>
    </w:div>
    <w:div w:id="580523822">
      <w:bodyDiv w:val="1"/>
      <w:marLeft w:val="0"/>
      <w:marRight w:val="0"/>
      <w:marTop w:val="0"/>
      <w:marBottom w:val="0"/>
      <w:divBdr>
        <w:top w:val="none" w:sz="0" w:space="0" w:color="auto"/>
        <w:left w:val="none" w:sz="0" w:space="0" w:color="auto"/>
        <w:bottom w:val="none" w:sz="0" w:space="0" w:color="auto"/>
        <w:right w:val="none" w:sz="0" w:space="0" w:color="auto"/>
      </w:divBdr>
    </w:div>
    <w:div w:id="580532028">
      <w:bodyDiv w:val="1"/>
      <w:marLeft w:val="0"/>
      <w:marRight w:val="0"/>
      <w:marTop w:val="0"/>
      <w:marBottom w:val="0"/>
      <w:divBdr>
        <w:top w:val="none" w:sz="0" w:space="0" w:color="auto"/>
        <w:left w:val="none" w:sz="0" w:space="0" w:color="auto"/>
        <w:bottom w:val="none" w:sz="0" w:space="0" w:color="auto"/>
        <w:right w:val="none" w:sz="0" w:space="0" w:color="auto"/>
      </w:divBdr>
    </w:div>
    <w:div w:id="580606665">
      <w:bodyDiv w:val="1"/>
      <w:marLeft w:val="0"/>
      <w:marRight w:val="0"/>
      <w:marTop w:val="0"/>
      <w:marBottom w:val="0"/>
      <w:divBdr>
        <w:top w:val="none" w:sz="0" w:space="0" w:color="auto"/>
        <w:left w:val="none" w:sz="0" w:space="0" w:color="auto"/>
        <w:bottom w:val="none" w:sz="0" w:space="0" w:color="auto"/>
        <w:right w:val="none" w:sz="0" w:space="0" w:color="auto"/>
      </w:divBdr>
    </w:div>
    <w:div w:id="581376070">
      <w:bodyDiv w:val="1"/>
      <w:marLeft w:val="0"/>
      <w:marRight w:val="0"/>
      <w:marTop w:val="0"/>
      <w:marBottom w:val="0"/>
      <w:divBdr>
        <w:top w:val="none" w:sz="0" w:space="0" w:color="auto"/>
        <w:left w:val="none" w:sz="0" w:space="0" w:color="auto"/>
        <w:bottom w:val="none" w:sz="0" w:space="0" w:color="auto"/>
        <w:right w:val="none" w:sz="0" w:space="0" w:color="auto"/>
      </w:divBdr>
    </w:div>
    <w:div w:id="581524737">
      <w:bodyDiv w:val="1"/>
      <w:marLeft w:val="0"/>
      <w:marRight w:val="0"/>
      <w:marTop w:val="0"/>
      <w:marBottom w:val="0"/>
      <w:divBdr>
        <w:top w:val="none" w:sz="0" w:space="0" w:color="auto"/>
        <w:left w:val="none" w:sz="0" w:space="0" w:color="auto"/>
        <w:bottom w:val="none" w:sz="0" w:space="0" w:color="auto"/>
        <w:right w:val="none" w:sz="0" w:space="0" w:color="auto"/>
      </w:divBdr>
    </w:div>
    <w:div w:id="581525439">
      <w:bodyDiv w:val="1"/>
      <w:marLeft w:val="0"/>
      <w:marRight w:val="0"/>
      <w:marTop w:val="0"/>
      <w:marBottom w:val="0"/>
      <w:divBdr>
        <w:top w:val="none" w:sz="0" w:space="0" w:color="auto"/>
        <w:left w:val="none" w:sz="0" w:space="0" w:color="auto"/>
        <w:bottom w:val="none" w:sz="0" w:space="0" w:color="auto"/>
        <w:right w:val="none" w:sz="0" w:space="0" w:color="auto"/>
      </w:divBdr>
    </w:div>
    <w:div w:id="582493308">
      <w:bodyDiv w:val="1"/>
      <w:marLeft w:val="0"/>
      <w:marRight w:val="0"/>
      <w:marTop w:val="0"/>
      <w:marBottom w:val="0"/>
      <w:divBdr>
        <w:top w:val="none" w:sz="0" w:space="0" w:color="auto"/>
        <w:left w:val="none" w:sz="0" w:space="0" w:color="auto"/>
        <w:bottom w:val="none" w:sz="0" w:space="0" w:color="auto"/>
        <w:right w:val="none" w:sz="0" w:space="0" w:color="auto"/>
      </w:divBdr>
    </w:div>
    <w:div w:id="582495424">
      <w:bodyDiv w:val="1"/>
      <w:marLeft w:val="0"/>
      <w:marRight w:val="0"/>
      <w:marTop w:val="0"/>
      <w:marBottom w:val="0"/>
      <w:divBdr>
        <w:top w:val="none" w:sz="0" w:space="0" w:color="auto"/>
        <w:left w:val="none" w:sz="0" w:space="0" w:color="auto"/>
        <w:bottom w:val="none" w:sz="0" w:space="0" w:color="auto"/>
        <w:right w:val="none" w:sz="0" w:space="0" w:color="auto"/>
      </w:divBdr>
    </w:div>
    <w:div w:id="582879713">
      <w:bodyDiv w:val="1"/>
      <w:marLeft w:val="0"/>
      <w:marRight w:val="0"/>
      <w:marTop w:val="0"/>
      <w:marBottom w:val="0"/>
      <w:divBdr>
        <w:top w:val="none" w:sz="0" w:space="0" w:color="auto"/>
        <w:left w:val="none" w:sz="0" w:space="0" w:color="auto"/>
        <w:bottom w:val="none" w:sz="0" w:space="0" w:color="auto"/>
        <w:right w:val="none" w:sz="0" w:space="0" w:color="auto"/>
      </w:divBdr>
    </w:div>
    <w:div w:id="583495612">
      <w:bodyDiv w:val="1"/>
      <w:marLeft w:val="0"/>
      <w:marRight w:val="0"/>
      <w:marTop w:val="0"/>
      <w:marBottom w:val="0"/>
      <w:divBdr>
        <w:top w:val="none" w:sz="0" w:space="0" w:color="auto"/>
        <w:left w:val="none" w:sz="0" w:space="0" w:color="auto"/>
        <w:bottom w:val="none" w:sz="0" w:space="0" w:color="auto"/>
        <w:right w:val="none" w:sz="0" w:space="0" w:color="auto"/>
      </w:divBdr>
    </w:div>
    <w:div w:id="583732292">
      <w:bodyDiv w:val="1"/>
      <w:marLeft w:val="0"/>
      <w:marRight w:val="0"/>
      <w:marTop w:val="0"/>
      <w:marBottom w:val="0"/>
      <w:divBdr>
        <w:top w:val="none" w:sz="0" w:space="0" w:color="auto"/>
        <w:left w:val="none" w:sz="0" w:space="0" w:color="auto"/>
        <w:bottom w:val="none" w:sz="0" w:space="0" w:color="auto"/>
        <w:right w:val="none" w:sz="0" w:space="0" w:color="auto"/>
      </w:divBdr>
    </w:div>
    <w:div w:id="584849970">
      <w:bodyDiv w:val="1"/>
      <w:marLeft w:val="0"/>
      <w:marRight w:val="0"/>
      <w:marTop w:val="0"/>
      <w:marBottom w:val="0"/>
      <w:divBdr>
        <w:top w:val="none" w:sz="0" w:space="0" w:color="auto"/>
        <w:left w:val="none" w:sz="0" w:space="0" w:color="auto"/>
        <w:bottom w:val="none" w:sz="0" w:space="0" w:color="auto"/>
        <w:right w:val="none" w:sz="0" w:space="0" w:color="auto"/>
      </w:divBdr>
    </w:div>
    <w:div w:id="584994377">
      <w:bodyDiv w:val="1"/>
      <w:marLeft w:val="0"/>
      <w:marRight w:val="0"/>
      <w:marTop w:val="0"/>
      <w:marBottom w:val="0"/>
      <w:divBdr>
        <w:top w:val="none" w:sz="0" w:space="0" w:color="auto"/>
        <w:left w:val="none" w:sz="0" w:space="0" w:color="auto"/>
        <w:bottom w:val="none" w:sz="0" w:space="0" w:color="auto"/>
        <w:right w:val="none" w:sz="0" w:space="0" w:color="auto"/>
      </w:divBdr>
    </w:div>
    <w:div w:id="585069725">
      <w:bodyDiv w:val="1"/>
      <w:marLeft w:val="0"/>
      <w:marRight w:val="0"/>
      <w:marTop w:val="0"/>
      <w:marBottom w:val="0"/>
      <w:divBdr>
        <w:top w:val="none" w:sz="0" w:space="0" w:color="auto"/>
        <w:left w:val="none" w:sz="0" w:space="0" w:color="auto"/>
        <w:bottom w:val="none" w:sz="0" w:space="0" w:color="auto"/>
        <w:right w:val="none" w:sz="0" w:space="0" w:color="auto"/>
      </w:divBdr>
    </w:div>
    <w:div w:id="586226983">
      <w:bodyDiv w:val="1"/>
      <w:marLeft w:val="0"/>
      <w:marRight w:val="0"/>
      <w:marTop w:val="0"/>
      <w:marBottom w:val="0"/>
      <w:divBdr>
        <w:top w:val="none" w:sz="0" w:space="0" w:color="auto"/>
        <w:left w:val="none" w:sz="0" w:space="0" w:color="auto"/>
        <w:bottom w:val="none" w:sz="0" w:space="0" w:color="auto"/>
        <w:right w:val="none" w:sz="0" w:space="0" w:color="auto"/>
      </w:divBdr>
    </w:div>
    <w:div w:id="586352593">
      <w:bodyDiv w:val="1"/>
      <w:marLeft w:val="0"/>
      <w:marRight w:val="0"/>
      <w:marTop w:val="0"/>
      <w:marBottom w:val="0"/>
      <w:divBdr>
        <w:top w:val="none" w:sz="0" w:space="0" w:color="auto"/>
        <w:left w:val="none" w:sz="0" w:space="0" w:color="auto"/>
        <w:bottom w:val="none" w:sz="0" w:space="0" w:color="auto"/>
        <w:right w:val="none" w:sz="0" w:space="0" w:color="auto"/>
      </w:divBdr>
    </w:div>
    <w:div w:id="587543249">
      <w:bodyDiv w:val="1"/>
      <w:marLeft w:val="0"/>
      <w:marRight w:val="0"/>
      <w:marTop w:val="0"/>
      <w:marBottom w:val="0"/>
      <w:divBdr>
        <w:top w:val="none" w:sz="0" w:space="0" w:color="auto"/>
        <w:left w:val="none" w:sz="0" w:space="0" w:color="auto"/>
        <w:bottom w:val="none" w:sz="0" w:space="0" w:color="auto"/>
        <w:right w:val="none" w:sz="0" w:space="0" w:color="auto"/>
      </w:divBdr>
    </w:div>
    <w:div w:id="587664338">
      <w:bodyDiv w:val="1"/>
      <w:marLeft w:val="0"/>
      <w:marRight w:val="0"/>
      <w:marTop w:val="0"/>
      <w:marBottom w:val="0"/>
      <w:divBdr>
        <w:top w:val="none" w:sz="0" w:space="0" w:color="auto"/>
        <w:left w:val="none" w:sz="0" w:space="0" w:color="auto"/>
        <w:bottom w:val="none" w:sz="0" w:space="0" w:color="auto"/>
        <w:right w:val="none" w:sz="0" w:space="0" w:color="auto"/>
      </w:divBdr>
    </w:div>
    <w:div w:id="588270079">
      <w:bodyDiv w:val="1"/>
      <w:marLeft w:val="0"/>
      <w:marRight w:val="0"/>
      <w:marTop w:val="0"/>
      <w:marBottom w:val="0"/>
      <w:divBdr>
        <w:top w:val="none" w:sz="0" w:space="0" w:color="auto"/>
        <w:left w:val="none" w:sz="0" w:space="0" w:color="auto"/>
        <w:bottom w:val="none" w:sz="0" w:space="0" w:color="auto"/>
        <w:right w:val="none" w:sz="0" w:space="0" w:color="auto"/>
      </w:divBdr>
    </w:div>
    <w:div w:id="588538429">
      <w:bodyDiv w:val="1"/>
      <w:marLeft w:val="0"/>
      <w:marRight w:val="0"/>
      <w:marTop w:val="0"/>
      <w:marBottom w:val="0"/>
      <w:divBdr>
        <w:top w:val="none" w:sz="0" w:space="0" w:color="auto"/>
        <w:left w:val="none" w:sz="0" w:space="0" w:color="auto"/>
        <w:bottom w:val="none" w:sz="0" w:space="0" w:color="auto"/>
        <w:right w:val="none" w:sz="0" w:space="0" w:color="auto"/>
      </w:divBdr>
    </w:div>
    <w:div w:id="589045841">
      <w:bodyDiv w:val="1"/>
      <w:marLeft w:val="0"/>
      <w:marRight w:val="0"/>
      <w:marTop w:val="0"/>
      <w:marBottom w:val="0"/>
      <w:divBdr>
        <w:top w:val="none" w:sz="0" w:space="0" w:color="auto"/>
        <w:left w:val="none" w:sz="0" w:space="0" w:color="auto"/>
        <w:bottom w:val="none" w:sz="0" w:space="0" w:color="auto"/>
        <w:right w:val="none" w:sz="0" w:space="0" w:color="auto"/>
      </w:divBdr>
    </w:div>
    <w:div w:id="589582413">
      <w:bodyDiv w:val="1"/>
      <w:marLeft w:val="0"/>
      <w:marRight w:val="0"/>
      <w:marTop w:val="0"/>
      <w:marBottom w:val="0"/>
      <w:divBdr>
        <w:top w:val="none" w:sz="0" w:space="0" w:color="auto"/>
        <w:left w:val="none" w:sz="0" w:space="0" w:color="auto"/>
        <w:bottom w:val="none" w:sz="0" w:space="0" w:color="auto"/>
        <w:right w:val="none" w:sz="0" w:space="0" w:color="auto"/>
      </w:divBdr>
    </w:div>
    <w:div w:id="590428024">
      <w:bodyDiv w:val="1"/>
      <w:marLeft w:val="0"/>
      <w:marRight w:val="0"/>
      <w:marTop w:val="0"/>
      <w:marBottom w:val="0"/>
      <w:divBdr>
        <w:top w:val="none" w:sz="0" w:space="0" w:color="auto"/>
        <w:left w:val="none" w:sz="0" w:space="0" w:color="auto"/>
        <w:bottom w:val="none" w:sz="0" w:space="0" w:color="auto"/>
        <w:right w:val="none" w:sz="0" w:space="0" w:color="auto"/>
      </w:divBdr>
    </w:div>
    <w:div w:id="590625452">
      <w:bodyDiv w:val="1"/>
      <w:marLeft w:val="0"/>
      <w:marRight w:val="0"/>
      <w:marTop w:val="0"/>
      <w:marBottom w:val="0"/>
      <w:divBdr>
        <w:top w:val="none" w:sz="0" w:space="0" w:color="auto"/>
        <w:left w:val="none" w:sz="0" w:space="0" w:color="auto"/>
        <w:bottom w:val="none" w:sz="0" w:space="0" w:color="auto"/>
        <w:right w:val="none" w:sz="0" w:space="0" w:color="auto"/>
      </w:divBdr>
    </w:div>
    <w:div w:id="590820973">
      <w:bodyDiv w:val="1"/>
      <w:marLeft w:val="0"/>
      <w:marRight w:val="0"/>
      <w:marTop w:val="0"/>
      <w:marBottom w:val="0"/>
      <w:divBdr>
        <w:top w:val="none" w:sz="0" w:space="0" w:color="auto"/>
        <w:left w:val="none" w:sz="0" w:space="0" w:color="auto"/>
        <w:bottom w:val="none" w:sz="0" w:space="0" w:color="auto"/>
        <w:right w:val="none" w:sz="0" w:space="0" w:color="auto"/>
      </w:divBdr>
    </w:div>
    <w:div w:id="591013183">
      <w:bodyDiv w:val="1"/>
      <w:marLeft w:val="0"/>
      <w:marRight w:val="0"/>
      <w:marTop w:val="0"/>
      <w:marBottom w:val="0"/>
      <w:divBdr>
        <w:top w:val="none" w:sz="0" w:space="0" w:color="auto"/>
        <w:left w:val="none" w:sz="0" w:space="0" w:color="auto"/>
        <w:bottom w:val="none" w:sz="0" w:space="0" w:color="auto"/>
        <w:right w:val="none" w:sz="0" w:space="0" w:color="auto"/>
      </w:divBdr>
    </w:div>
    <w:div w:id="591201658">
      <w:bodyDiv w:val="1"/>
      <w:marLeft w:val="0"/>
      <w:marRight w:val="0"/>
      <w:marTop w:val="0"/>
      <w:marBottom w:val="0"/>
      <w:divBdr>
        <w:top w:val="none" w:sz="0" w:space="0" w:color="auto"/>
        <w:left w:val="none" w:sz="0" w:space="0" w:color="auto"/>
        <w:bottom w:val="none" w:sz="0" w:space="0" w:color="auto"/>
        <w:right w:val="none" w:sz="0" w:space="0" w:color="auto"/>
      </w:divBdr>
    </w:div>
    <w:div w:id="592786919">
      <w:bodyDiv w:val="1"/>
      <w:marLeft w:val="0"/>
      <w:marRight w:val="0"/>
      <w:marTop w:val="0"/>
      <w:marBottom w:val="0"/>
      <w:divBdr>
        <w:top w:val="none" w:sz="0" w:space="0" w:color="auto"/>
        <w:left w:val="none" w:sz="0" w:space="0" w:color="auto"/>
        <w:bottom w:val="none" w:sz="0" w:space="0" w:color="auto"/>
        <w:right w:val="none" w:sz="0" w:space="0" w:color="auto"/>
      </w:divBdr>
    </w:div>
    <w:div w:id="592859004">
      <w:bodyDiv w:val="1"/>
      <w:marLeft w:val="0"/>
      <w:marRight w:val="0"/>
      <w:marTop w:val="0"/>
      <w:marBottom w:val="0"/>
      <w:divBdr>
        <w:top w:val="none" w:sz="0" w:space="0" w:color="auto"/>
        <w:left w:val="none" w:sz="0" w:space="0" w:color="auto"/>
        <w:bottom w:val="none" w:sz="0" w:space="0" w:color="auto"/>
        <w:right w:val="none" w:sz="0" w:space="0" w:color="auto"/>
      </w:divBdr>
    </w:div>
    <w:div w:id="592977973">
      <w:bodyDiv w:val="1"/>
      <w:marLeft w:val="0"/>
      <w:marRight w:val="0"/>
      <w:marTop w:val="0"/>
      <w:marBottom w:val="0"/>
      <w:divBdr>
        <w:top w:val="none" w:sz="0" w:space="0" w:color="auto"/>
        <w:left w:val="none" w:sz="0" w:space="0" w:color="auto"/>
        <w:bottom w:val="none" w:sz="0" w:space="0" w:color="auto"/>
        <w:right w:val="none" w:sz="0" w:space="0" w:color="auto"/>
      </w:divBdr>
    </w:div>
    <w:div w:id="593049982">
      <w:bodyDiv w:val="1"/>
      <w:marLeft w:val="0"/>
      <w:marRight w:val="0"/>
      <w:marTop w:val="0"/>
      <w:marBottom w:val="0"/>
      <w:divBdr>
        <w:top w:val="none" w:sz="0" w:space="0" w:color="auto"/>
        <w:left w:val="none" w:sz="0" w:space="0" w:color="auto"/>
        <w:bottom w:val="none" w:sz="0" w:space="0" w:color="auto"/>
        <w:right w:val="none" w:sz="0" w:space="0" w:color="auto"/>
      </w:divBdr>
    </w:div>
    <w:div w:id="593057559">
      <w:bodyDiv w:val="1"/>
      <w:marLeft w:val="0"/>
      <w:marRight w:val="0"/>
      <w:marTop w:val="0"/>
      <w:marBottom w:val="0"/>
      <w:divBdr>
        <w:top w:val="none" w:sz="0" w:space="0" w:color="auto"/>
        <w:left w:val="none" w:sz="0" w:space="0" w:color="auto"/>
        <w:bottom w:val="none" w:sz="0" w:space="0" w:color="auto"/>
        <w:right w:val="none" w:sz="0" w:space="0" w:color="auto"/>
      </w:divBdr>
    </w:div>
    <w:div w:id="593242415">
      <w:bodyDiv w:val="1"/>
      <w:marLeft w:val="0"/>
      <w:marRight w:val="0"/>
      <w:marTop w:val="0"/>
      <w:marBottom w:val="0"/>
      <w:divBdr>
        <w:top w:val="none" w:sz="0" w:space="0" w:color="auto"/>
        <w:left w:val="none" w:sz="0" w:space="0" w:color="auto"/>
        <w:bottom w:val="none" w:sz="0" w:space="0" w:color="auto"/>
        <w:right w:val="none" w:sz="0" w:space="0" w:color="auto"/>
      </w:divBdr>
    </w:div>
    <w:div w:id="593518379">
      <w:bodyDiv w:val="1"/>
      <w:marLeft w:val="0"/>
      <w:marRight w:val="0"/>
      <w:marTop w:val="0"/>
      <w:marBottom w:val="0"/>
      <w:divBdr>
        <w:top w:val="none" w:sz="0" w:space="0" w:color="auto"/>
        <w:left w:val="none" w:sz="0" w:space="0" w:color="auto"/>
        <w:bottom w:val="none" w:sz="0" w:space="0" w:color="auto"/>
        <w:right w:val="none" w:sz="0" w:space="0" w:color="auto"/>
      </w:divBdr>
    </w:div>
    <w:div w:id="594091705">
      <w:bodyDiv w:val="1"/>
      <w:marLeft w:val="0"/>
      <w:marRight w:val="0"/>
      <w:marTop w:val="0"/>
      <w:marBottom w:val="0"/>
      <w:divBdr>
        <w:top w:val="none" w:sz="0" w:space="0" w:color="auto"/>
        <w:left w:val="none" w:sz="0" w:space="0" w:color="auto"/>
        <w:bottom w:val="none" w:sz="0" w:space="0" w:color="auto"/>
        <w:right w:val="none" w:sz="0" w:space="0" w:color="auto"/>
      </w:divBdr>
    </w:div>
    <w:div w:id="594167891">
      <w:bodyDiv w:val="1"/>
      <w:marLeft w:val="0"/>
      <w:marRight w:val="0"/>
      <w:marTop w:val="0"/>
      <w:marBottom w:val="0"/>
      <w:divBdr>
        <w:top w:val="none" w:sz="0" w:space="0" w:color="auto"/>
        <w:left w:val="none" w:sz="0" w:space="0" w:color="auto"/>
        <w:bottom w:val="none" w:sz="0" w:space="0" w:color="auto"/>
        <w:right w:val="none" w:sz="0" w:space="0" w:color="auto"/>
      </w:divBdr>
    </w:div>
    <w:div w:id="594169640">
      <w:bodyDiv w:val="1"/>
      <w:marLeft w:val="0"/>
      <w:marRight w:val="0"/>
      <w:marTop w:val="0"/>
      <w:marBottom w:val="0"/>
      <w:divBdr>
        <w:top w:val="none" w:sz="0" w:space="0" w:color="auto"/>
        <w:left w:val="none" w:sz="0" w:space="0" w:color="auto"/>
        <w:bottom w:val="none" w:sz="0" w:space="0" w:color="auto"/>
        <w:right w:val="none" w:sz="0" w:space="0" w:color="auto"/>
      </w:divBdr>
    </w:div>
    <w:div w:id="594555951">
      <w:bodyDiv w:val="1"/>
      <w:marLeft w:val="0"/>
      <w:marRight w:val="0"/>
      <w:marTop w:val="0"/>
      <w:marBottom w:val="0"/>
      <w:divBdr>
        <w:top w:val="none" w:sz="0" w:space="0" w:color="auto"/>
        <w:left w:val="none" w:sz="0" w:space="0" w:color="auto"/>
        <w:bottom w:val="none" w:sz="0" w:space="0" w:color="auto"/>
        <w:right w:val="none" w:sz="0" w:space="0" w:color="auto"/>
      </w:divBdr>
    </w:div>
    <w:div w:id="595132646">
      <w:bodyDiv w:val="1"/>
      <w:marLeft w:val="0"/>
      <w:marRight w:val="0"/>
      <w:marTop w:val="0"/>
      <w:marBottom w:val="0"/>
      <w:divBdr>
        <w:top w:val="none" w:sz="0" w:space="0" w:color="auto"/>
        <w:left w:val="none" w:sz="0" w:space="0" w:color="auto"/>
        <w:bottom w:val="none" w:sz="0" w:space="0" w:color="auto"/>
        <w:right w:val="none" w:sz="0" w:space="0" w:color="auto"/>
      </w:divBdr>
    </w:div>
    <w:div w:id="595361351">
      <w:bodyDiv w:val="1"/>
      <w:marLeft w:val="0"/>
      <w:marRight w:val="0"/>
      <w:marTop w:val="0"/>
      <w:marBottom w:val="0"/>
      <w:divBdr>
        <w:top w:val="none" w:sz="0" w:space="0" w:color="auto"/>
        <w:left w:val="none" w:sz="0" w:space="0" w:color="auto"/>
        <w:bottom w:val="none" w:sz="0" w:space="0" w:color="auto"/>
        <w:right w:val="none" w:sz="0" w:space="0" w:color="auto"/>
      </w:divBdr>
    </w:div>
    <w:div w:id="595528296">
      <w:bodyDiv w:val="1"/>
      <w:marLeft w:val="0"/>
      <w:marRight w:val="0"/>
      <w:marTop w:val="0"/>
      <w:marBottom w:val="0"/>
      <w:divBdr>
        <w:top w:val="none" w:sz="0" w:space="0" w:color="auto"/>
        <w:left w:val="none" w:sz="0" w:space="0" w:color="auto"/>
        <w:bottom w:val="none" w:sz="0" w:space="0" w:color="auto"/>
        <w:right w:val="none" w:sz="0" w:space="0" w:color="auto"/>
      </w:divBdr>
    </w:div>
    <w:div w:id="596475426">
      <w:bodyDiv w:val="1"/>
      <w:marLeft w:val="0"/>
      <w:marRight w:val="0"/>
      <w:marTop w:val="0"/>
      <w:marBottom w:val="0"/>
      <w:divBdr>
        <w:top w:val="none" w:sz="0" w:space="0" w:color="auto"/>
        <w:left w:val="none" w:sz="0" w:space="0" w:color="auto"/>
        <w:bottom w:val="none" w:sz="0" w:space="0" w:color="auto"/>
        <w:right w:val="none" w:sz="0" w:space="0" w:color="auto"/>
      </w:divBdr>
    </w:div>
    <w:div w:id="596599662">
      <w:bodyDiv w:val="1"/>
      <w:marLeft w:val="0"/>
      <w:marRight w:val="0"/>
      <w:marTop w:val="0"/>
      <w:marBottom w:val="0"/>
      <w:divBdr>
        <w:top w:val="none" w:sz="0" w:space="0" w:color="auto"/>
        <w:left w:val="none" w:sz="0" w:space="0" w:color="auto"/>
        <w:bottom w:val="none" w:sz="0" w:space="0" w:color="auto"/>
        <w:right w:val="none" w:sz="0" w:space="0" w:color="auto"/>
      </w:divBdr>
    </w:div>
    <w:div w:id="596669090">
      <w:bodyDiv w:val="1"/>
      <w:marLeft w:val="0"/>
      <w:marRight w:val="0"/>
      <w:marTop w:val="0"/>
      <w:marBottom w:val="0"/>
      <w:divBdr>
        <w:top w:val="none" w:sz="0" w:space="0" w:color="auto"/>
        <w:left w:val="none" w:sz="0" w:space="0" w:color="auto"/>
        <w:bottom w:val="none" w:sz="0" w:space="0" w:color="auto"/>
        <w:right w:val="none" w:sz="0" w:space="0" w:color="auto"/>
      </w:divBdr>
    </w:div>
    <w:div w:id="596907266">
      <w:bodyDiv w:val="1"/>
      <w:marLeft w:val="0"/>
      <w:marRight w:val="0"/>
      <w:marTop w:val="0"/>
      <w:marBottom w:val="0"/>
      <w:divBdr>
        <w:top w:val="none" w:sz="0" w:space="0" w:color="auto"/>
        <w:left w:val="none" w:sz="0" w:space="0" w:color="auto"/>
        <w:bottom w:val="none" w:sz="0" w:space="0" w:color="auto"/>
        <w:right w:val="none" w:sz="0" w:space="0" w:color="auto"/>
      </w:divBdr>
    </w:div>
    <w:div w:id="597176592">
      <w:bodyDiv w:val="1"/>
      <w:marLeft w:val="0"/>
      <w:marRight w:val="0"/>
      <w:marTop w:val="0"/>
      <w:marBottom w:val="0"/>
      <w:divBdr>
        <w:top w:val="none" w:sz="0" w:space="0" w:color="auto"/>
        <w:left w:val="none" w:sz="0" w:space="0" w:color="auto"/>
        <w:bottom w:val="none" w:sz="0" w:space="0" w:color="auto"/>
        <w:right w:val="none" w:sz="0" w:space="0" w:color="auto"/>
      </w:divBdr>
    </w:div>
    <w:div w:id="597761991">
      <w:bodyDiv w:val="1"/>
      <w:marLeft w:val="0"/>
      <w:marRight w:val="0"/>
      <w:marTop w:val="0"/>
      <w:marBottom w:val="0"/>
      <w:divBdr>
        <w:top w:val="none" w:sz="0" w:space="0" w:color="auto"/>
        <w:left w:val="none" w:sz="0" w:space="0" w:color="auto"/>
        <w:bottom w:val="none" w:sz="0" w:space="0" w:color="auto"/>
        <w:right w:val="none" w:sz="0" w:space="0" w:color="auto"/>
      </w:divBdr>
    </w:div>
    <w:div w:id="599067804">
      <w:bodyDiv w:val="1"/>
      <w:marLeft w:val="0"/>
      <w:marRight w:val="0"/>
      <w:marTop w:val="0"/>
      <w:marBottom w:val="0"/>
      <w:divBdr>
        <w:top w:val="none" w:sz="0" w:space="0" w:color="auto"/>
        <w:left w:val="none" w:sz="0" w:space="0" w:color="auto"/>
        <w:bottom w:val="none" w:sz="0" w:space="0" w:color="auto"/>
        <w:right w:val="none" w:sz="0" w:space="0" w:color="auto"/>
      </w:divBdr>
    </w:div>
    <w:div w:id="599222046">
      <w:bodyDiv w:val="1"/>
      <w:marLeft w:val="0"/>
      <w:marRight w:val="0"/>
      <w:marTop w:val="0"/>
      <w:marBottom w:val="0"/>
      <w:divBdr>
        <w:top w:val="none" w:sz="0" w:space="0" w:color="auto"/>
        <w:left w:val="none" w:sz="0" w:space="0" w:color="auto"/>
        <w:bottom w:val="none" w:sz="0" w:space="0" w:color="auto"/>
        <w:right w:val="none" w:sz="0" w:space="0" w:color="auto"/>
      </w:divBdr>
    </w:div>
    <w:div w:id="599265476">
      <w:bodyDiv w:val="1"/>
      <w:marLeft w:val="0"/>
      <w:marRight w:val="0"/>
      <w:marTop w:val="0"/>
      <w:marBottom w:val="0"/>
      <w:divBdr>
        <w:top w:val="none" w:sz="0" w:space="0" w:color="auto"/>
        <w:left w:val="none" w:sz="0" w:space="0" w:color="auto"/>
        <w:bottom w:val="none" w:sz="0" w:space="0" w:color="auto"/>
        <w:right w:val="none" w:sz="0" w:space="0" w:color="auto"/>
      </w:divBdr>
    </w:div>
    <w:div w:id="599723349">
      <w:bodyDiv w:val="1"/>
      <w:marLeft w:val="0"/>
      <w:marRight w:val="0"/>
      <w:marTop w:val="0"/>
      <w:marBottom w:val="0"/>
      <w:divBdr>
        <w:top w:val="none" w:sz="0" w:space="0" w:color="auto"/>
        <w:left w:val="none" w:sz="0" w:space="0" w:color="auto"/>
        <w:bottom w:val="none" w:sz="0" w:space="0" w:color="auto"/>
        <w:right w:val="none" w:sz="0" w:space="0" w:color="auto"/>
      </w:divBdr>
    </w:div>
    <w:div w:id="599728727">
      <w:bodyDiv w:val="1"/>
      <w:marLeft w:val="0"/>
      <w:marRight w:val="0"/>
      <w:marTop w:val="0"/>
      <w:marBottom w:val="0"/>
      <w:divBdr>
        <w:top w:val="none" w:sz="0" w:space="0" w:color="auto"/>
        <w:left w:val="none" w:sz="0" w:space="0" w:color="auto"/>
        <w:bottom w:val="none" w:sz="0" w:space="0" w:color="auto"/>
        <w:right w:val="none" w:sz="0" w:space="0" w:color="auto"/>
      </w:divBdr>
    </w:div>
    <w:div w:id="599795750">
      <w:bodyDiv w:val="1"/>
      <w:marLeft w:val="0"/>
      <w:marRight w:val="0"/>
      <w:marTop w:val="0"/>
      <w:marBottom w:val="0"/>
      <w:divBdr>
        <w:top w:val="none" w:sz="0" w:space="0" w:color="auto"/>
        <w:left w:val="none" w:sz="0" w:space="0" w:color="auto"/>
        <w:bottom w:val="none" w:sz="0" w:space="0" w:color="auto"/>
        <w:right w:val="none" w:sz="0" w:space="0" w:color="auto"/>
      </w:divBdr>
    </w:div>
    <w:div w:id="599946377">
      <w:bodyDiv w:val="1"/>
      <w:marLeft w:val="0"/>
      <w:marRight w:val="0"/>
      <w:marTop w:val="0"/>
      <w:marBottom w:val="0"/>
      <w:divBdr>
        <w:top w:val="none" w:sz="0" w:space="0" w:color="auto"/>
        <w:left w:val="none" w:sz="0" w:space="0" w:color="auto"/>
        <w:bottom w:val="none" w:sz="0" w:space="0" w:color="auto"/>
        <w:right w:val="none" w:sz="0" w:space="0" w:color="auto"/>
      </w:divBdr>
    </w:div>
    <w:div w:id="600256411">
      <w:bodyDiv w:val="1"/>
      <w:marLeft w:val="0"/>
      <w:marRight w:val="0"/>
      <w:marTop w:val="0"/>
      <w:marBottom w:val="0"/>
      <w:divBdr>
        <w:top w:val="none" w:sz="0" w:space="0" w:color="auto"/>
        <w:left w:val="none" w:sz="0" w:space="0" w:color="auto"/>
        <w:bottom w:val="none" w:sz="0" w:space="0" w:color="auto"/>
        <w:right w:val="none" w:sz="0" w:space="0" w:color="auto"/>
      </w:divBdr>
    </w:div>
    <w:div w:id="600338140">
      <w:bodyDiv w:val="1"/>
      <w:marLeft w:val="0"/>
      <w:marRight w:val="0"/>
      <w:marTop w:val="0"/>
      <w:marBottom w:val="0"/>
      <w:divBdr>
        <w:top w:val="none" w:sz="0" w:space="0" w:color="auto"/>
        <w:left w:val="none" w:sz="0" w:space="0" w:color="auto"/>
        <w:bottom w:val="none" w:sz="0" w:space="0" w:color="auto"/>
        <w:right w:val="none" w:sz="0" w:space="0" w:color="auto"/>
      </w:divBdr>
    </w:div>
    <w:div w:id="600726759">
      <w:bodyDiv w:val="1"/>
      <w:marLeft w:val="0"/>
      <w:marRight w:val="0"/>
      <w:marTop w:val="0"/>
      <w:marBottom w:val="0"/>
      <w:divBdr>
        <w:top w:val="none" w:sz="0" w:space="0" w:color="auto"/>
        <w:left w:val="none" w:sz="0" w:space="0" w:color="auto"/>
        <w:bottom w:val="none" w:sz="0" w:space="0" w:color="auto"/>
        <w:right w:val="none" w:sz="0" w:space="0" w:color="auto"/>
      </w:divBdr>
    </w:div>
    <w:div w:id="602422563">
      <w:bodyDiv w:val="1"/>
      <w:marLeft w:val="0"/>
      <w:marRight w:val="0"/>
      <w:marTop w:val="0"/>
      <w:marBottom w:val="0"/>
      <w:divBdr>
        <w:top w:val="none" w:sz="0" w:space="0" w:color="auto"/>
        <w:left w:val="none" w:sz="0" w:space="0" w:color="auto"/>
        <w:bottom w:val="none" w:sz="0" w:space="0" w:color="auto"/>
        <w:right w:val="none" w:sz="0" w:space="0" w:color="auto"/>
      </w:divBdr>
    </w:div>
    <w:div w:id="602959523">
      <w:bodyDiv w:val="1"/>
      <w:marLeft w:val="0"/>
      <w:marRight w:val="0"/>
      <w:marTop w:val="0"/>
      <w:marBottom w:val="0"/>
      <w:divBdr>
        <w:top w:val="none" w:sz="0" w:space="0" w:color="auto"/>
        <w:left w:val="none" w:sz="0" w:space="0" w:color="auto"/>
        <w:bottom w:val="none" w:sz="0" w:space="0" w:color="auto"/>
        <w:right w:val="none" w:sz="0" w:space="0" w:color="auto"/>
      </w:divBdr>
    </w:div>
    <w:div w:id="603003720">
      <w:bodyDiv w:val="1"/>
      <w:marLeft w:val="0"/>
      <w:marRight w:val="0"/>
      <w:marTop w:val="0"/>
      <w:marBottom w:val="0"/>
      <w:divBdr>
        <w:top w:val="none" w:sz="0" w:space="0" w:color="auto"/>
        <w:left w:val="none" w:sz="0" w:space="0" w:color="auto"/>
        <w:bottom w:val="none" w:sz="0" w:space="0" w:color="auto"/>
        <w:right w:val="none" w:sz="0" w:space="0" w:color="auto"/>
      </w:divBdr>
    </w:div>
    <w:div w:id="603421790">
      <w:bodyDiv w:val="1"/>
      <w:marLeft w:val="0"/>
      <w:marRight w:val="0"/>
      <w:marTop w:val="0"/>
      <w:marBottom w:val="0"/>
      <w:divBdr>
        <w:top w:val="none" w:sz="0" w:space="0" w:color="auto"/>
        <w:left w:val="none" w:sz="0" w:space="0" w:color="auto"/>
        <w:bottom w:val="none" w:sz="0" w:space="0" w:color="auto"/>
        <w:right w:val="none" w:sz="0" w:space="0" w:color="auto"/>
      </w:divBdr>
    </w:div>
    <w:div w:id="603653919">
      <w:bodyDiv w:val="1"/>
      <w:marLeft w:val="0"/>
      <w:marRight w:val="0"/>
      <w:marTop w:val="0"/>
      <w:marBottom w:val="0"/>
      <w:divBdr>
        <w:top w:val="none" w:sz="0" w:space="0" w:color="auto"/>
        <w:left w:val="none" w:sz="0" w:space="0" w:color="auto"/>
        <w:bottom w:val="none" w:sz="0" w:space="0" w:color="auto"/>
        <w:right w:val="none" w:sz="0" w:space="0" w:color="auto"/>
      </w:divBdr>
    </w:div>
    <w:div w:id="604072751">
      <w:bodyDiv w:val="1"/>
      <w:marLeft w:val="0"/>
      <w:marRight w:val="0"/>
      <w:marTop w:val="0"/>
      <w:marBottom w:val="0"/>
      <w:divBdr>
        <w:top w:val="none" w:sz="0" w:space="0" w:color="auto"/>
        <w:left w:val="none" w:sz="0" w:space="0" w:color="auto"/>
        <w:bottom w:val="none" w:sz="0" w:space="0" w:color="auto"/>
        <w:right w:val="none" w:sz="0" w:space="0" w:color="auto"/>
      </w:divBdr>
    </w:div>
    <w:div w:id="605120092">
      <w:bodyDiv w:val="1"/>
      <w:marLeft w:val="0"/>
      <w:marRight w:val="0"/>
      <w:marTop w:val="0"/>
      <w:marBottom w:val="0"/>
      <w:divBdr>
        <w:top w:val="none" w:sz="0" w:space="0" w:color="auto"/>
        <w:left w:val="none" w:sz="0" w:space="0" w:color="auto"/>
        <w:bottom w:val="none" w:sz="0" w:space="0" w:color="auto"/>
        <w:right w:val="none" w:sz="0" w:space="0" w:color="auto"/>
      </w:divBdr>
    </w:div>
    <w:div w:id="605885957">
      <w:bodyDiv w:val="1"/>
      <w:marLeft w:val="0"/>
      <w:marRight w:val="0"/>
      <w:marTop w:val="0"/>
      <w:marBottom w:val="0"/>
      <w:divBdr>
        <w:top w:val="none" w:sz="0" w:space="0" w:color="auto"/>
        <w:left w:val="none" w:sz="0" w:space="0" w:color="auto"/>
        <w:bottom w:val="none" w:sz="0" w:space="0" w:color="auto"/>
        <w:right w:val="none" w:sz="0" w:space="0" w:color="auto"/>
      </w:divBdr>
    </w:div>
    <w:div w:id="606035885">
      <w:bodyDiv w:val="1"/>
      <w:marLeft w:val="0"/>
      <w:marRight w:val="0"/>
      <w:marTop w:val="0"/>
      <w:marBottom w:val="0"/>
      <w:divBdr>
        <w:top w:val="none" w:sz="0" w:space="0" w:color="auto"/>
        <w:left w:val="none" w:sz="0" w:space="0" w:color="auto"/>
        <w:bottom w:val="none" w:sz="0" w:space="0" w:color="auto"/>
        <w:right w:val="none" w:sz="0" w:space="0" w:color="auto"/>
      </w:divBdr>
    </w:div>
    <w:div w:id="606229664">
      <w:bodyDiv w:val="1"/>
      <w:marLeft w:val="0"/>
      <w:marRight w:val="0"/>
      <w:marTop w:val="0"/>
      <w:marBottom w:val="0"/>
      <w:divBdr>
        <w:top w:val="none" w:sz="0" w:space="0" w:color="auto"/>
        <w:left w:val="none" w:sz="0" w:space="0" w:color="auto"/>
        <w:bottom w:val="none" w:sz="0" w:space="0" w:color="auto"/>
        <w:right w:val="none" w:sz="0" w:space="0" w:color="auto"/>
      </w:divBdr>
    </w:div>
    <w:div w:id="606425806">
      <w:bodyDiv w:val="1"/>
      <w:marLeft w:val="0"/>
      <w:marRight w:val="0"/>
      <w:marTop w:val="0"/>
      <w:marBottom w:val="0"/>
      <w:divBdr>
        <w:top w:val="none" w:sz="0" w:space="0" w:color="auto"/>
        <w:left w:val="none" w:sz="0" w:space="0" w:color="auto"/>
        <w:bottom w:val="none" w:sz="0" w:space="0" w:color="auto"/>
        <w:right w:val="none" w:sz="0" w:space="0" w:color="auto"/>
      </w:divBdr>
    </w:div>
    <w:div w:id="606473401">
      <w:bodyDiv w:val="1"/>
      <w:marLeft w:val="0"/>
      <w:marRight w:val="0"/>
      <w:marTop w:val="0"/>
      <w:marBottom w:val="0"/>
      <w:divBdr>
        <w:top w:val="none" w:sz="0" w:space="0" w:color="auto"/>
        <w:left w:val="none" w:sz="0" w:space="0" w:color="auto"/>
        <w:bottom w:val="none" w:sz="0" w:space="0" w:color="auto"/>
        <w:right w:val="none" w:sz="0" w:space="0" w:color="auto"/>
      </w:divBdr>
    </w:div>
    <w:div w:id="607080688">
      <w:bodyDiv w:val="1"/>
      <w:marLeft w:val="0"/>
      <w:marRight w:val="0"/>
      <w:marTop w:val="0"/>
      <w:marBottom w:val="0"/>
      <w:divBdr>
        <w:top w:val="none" w:sz="0" w:space="0" w:color="auto"/>
        <w:left w:val="none" w:sz="0" w:space="0" w:color="auto"/>
        <w:bottom w:val="none" w:sz="0" w:space="0" w:color="auto"/>
        <w:right w:val="none" w:sz="0" w:space="0" w:color="auto"/>
      </w:divBdr>
    </w:div>
    <w:div w:id="607853461">
      <w:bodyDiv w:val="1"/>
      <w:marLeft w:val="0"/>
      <w:marRight w:val="0"/>
      <w:marTop w:val="0"/>
      <w:marBottom w:val="0"/>
      <w:divBdr>
        <w:top w:val="none" w:sz="0" w:space="0" w:color="auto"/>
        <w:left w:val="none" w:sz="0" w:space="0" w:color="auto"/>
        <w:bottom w:val="none" w:sz="0" w:space="0" w:color="auto"/>
        <w:right w:val="none" w:sz="0" w:space="0" w:color="auto"/>
      </w:divBdr>
    </w:div>
    <w:div w:id="608198268">
      <w:bodyDiv w:val="1"/>
      <w:marLeft w:val="0"/>
      <w:marRight w:val="0"/>
      <w:marTop w:val="0"/>
      <w:marBottom w:val="0"/>
      <w:divBdr>
        <w:top w:val="none" w:sz="0" w:space="0" w:color="auto"/>
        <w:left w:val="none" w:sz="0" w:space="0" w:color="auto"/>
        <w:bottom w:val="none" w:sz="0" w:space="0" w:color="auto"/>
        <w:right w:val="none" w:sz="0" w:space="0" w:color="auto"/>
      </w:divBdr>
    </w:div>
    <w:div w:id="608319076">
      <w:bodyDiv w:val="1"/>
      <w:marLeft w:val="0"/>
      <w:marRight w:val="0"/>
      <w:marTop w:val="0"/>
      <w:marBottom w:val="0"/>
      <w:divBdr>
        <w:top w:val="none" w:sz="0" w:space="0" w:color="auto"/>
        <w:left w:val="none" w:sz="0" w:space="0" w:color="auto"/>
        <w:bottom w:val="none" w:sz="0" w:space="0" w:color="auto"/>
        <w:right w:val="none" w:sz="0" w:space="0" w:color="auto"/>
      </w:divBdr>
    </w:div>
    <w:div w:id="608589687">
      <w:bodyDiv w:val="1"/>
      <w:marLeft w:val="0"/>
      <w:marRight w:val="0"/>
      <w:marTop w:val="0"/>
      <w:marBottom w:val="0"/>
      <w:divBdr>
        <w:top w:val="none" w:sz="0" w:space="0" w:color="auto"/>
        <w:left w:val="none" w:sz="0" w:space="0" w:color="auto"/>
        <w:bottom w:val="none" w:sz="0" w:space="0" w:color="auto"/>
        <w:right w:val="none" w:sz="0" w:space="0" w:color="auto"/>
      </w:divBdr>
    </w:div>
    <w:div w:id="608702720">
      <w:bodyDiv w:val="1"/>
      <w:marLeft w:val="0"/>
      <w:marRight w:val="0"/>
      <w:marTop w:val="0"/>
      <w:marBottom w:val="0"/>
      <w:divBdr>
        <w:top w:val="none" w:sz="0" w:space="0" w:color="auto"/>
        <w:left w:val="none" w:sz="0" w:space="0" w:color="auto"/>
        <w:bottom w:val="none" w:sz="0" w:space="0" w:color="auto"/>
        <w:right w:val="none" w:sz="0" w:space="0" w:color="auto"/>
      </w:divBdr>
    </w:div>
    <w:div w:id="609632852">
      <w:bodyDiv w:val="1"/>
      <w:marLeft w:val="0"/>
      <w:marRight w:val="0"/>
      <w:marTop w:val="0"/>
      <w:marBottom w:val="0"/>
      <w:divBdr>
        <w:top w:val="none" w:sz="0" w:space="0" w:color="auto"/>
        <w:left w:val="none" w:sz="0" w:space="0" w:color="auto"/>
        <w:bottom w:val="none" w:sz="0" w:space="0" w:color="auto"/>
        <w:right w:val="none" w:sz="0" w:space="0" w:color="auto"/>
      </w:divBdr>
    </w:div>
    <w:div w:id="610018641">
      <w:bodyDiv w:val="1"/>
      <w:marLeft w:val="0"/>
      <w:marRight w:val="0"/>
      <w:marTop w:val="0"/>
      <w:marBottom w:val="0"/>
      <w:divBdr>
        <w:top w:val="none" w:sz="0" w:space="0" w:color="auto"/>
        <w:left w:val="none" w:sz="0" w:space="0" w:color="auto"/>
        <w:bottom w:val="none" w:sz="0" w:space="0" w:color="auto"/>
        <w:right w:val="none" w:sz="0" w:space="0" w:color="auto"/>
      </w:divBdr>
    </w:div>
    <w:div w:id="610354797">
      <w:bodyDiv w:val="1"/>
      <w:marLeft w:val="0"/>
      <w:marRight w:val="0"/>
      <w:marTop w:val="0"/>
      <w:marBottom w:val="0"/>
      <w:divBdr>
        <w:top w:val="none" w:sz="0" w:space="0" w:color="auto"/>
        <w:left w:val="none" w:sz="0" w:space="0" w:color="auto"/>
        <w:bottom w:val="none" w:sz="0" w:space="0" w:color="auto"/>
        <w:right w:val="none" w:sz="0" w:space="0" w:color="auto"/>
      </w:divBdr>
    </w:div>
    <w:div w:id="610404382">
      <w:bodyDiv w:val="1"/>
      <w:marLeft w:val="0"/>
      <w:marRight w:val="0"/>
      <w:marTop w:val="0"/>
      <w:marBottom w:val="0"/>
      <w:divBdr>
        <w:top w:val="none" w:sz="0" w:space="0" w:color="auto"/>
        <w:left w:val="none" w:sz="0" w:space="0" w:color="auto"/>
        <w:bottom w:val="none" w:sz="0" w:space="0" w:color="auto"/>
        <w:right w:val="none" w:sz="0" w:space="0" w:color="auto"/>
      </w:divBdr>
    </w:div>
    <w:div w:id="610817602">
      <w:bodyDiv w:val="1"/>
      <w:marLeft w:val="0"/>
      <w:marRight w:val="0"/>
      <w:marTop w:val="0"/>
      <w:marBottom w:val="0"/>
      <w:divBdr>
        <w:top w:val="none" w:sz="0" w:space="0" w:color="auto"/>
        <w:left w:val="none" w:sz="0" w:space="0" w:color="auto"/>
        <w:bottom w:val="none" w:sz="0" w:space="0" w:color="auto"/>
        <w:right w:val="none" w:sz="0" w:space="0" w:color="auto"/>
      </w:divBdr>
    </w:div>
    <w:div w:id="611085166">
      <w:bodyDiv w:val="1"/>
      <w:marLeft w:val="0"/>
      <w:marRight w:val="0"/>
      <w:marTop w:val="0"/>
      <w:marBottom w:val="0"/>
      <w:divBdr>
        <w:top w:val="none" w:sz="0" w:space="0" w:color="auto"/>
        <w:left w:val="none" w:sz="0" w:space="0" w:color="auto"/>
        <w:bottom w:val="none" w:sz="0" w:space="0" w:color="auto"/>
        <w:right w:val="none" w:sz="0" w:space="0" w:color="auto"/>
      </w:divBdr>
    </w:div>
    <w:div w:id="611128060">
      <w:bodyDiv w:val="1"/>
      <w:marLeft w:val="0"/>
      <w:marRight w:val="0"/>
      <w:marTop w:val="0"/>
      <w:marBottom w:val="0"/>
      <w:divBdr>
        <w:top w:val="none" w:sz="0" w:space="0" w:color="auto"/>
        <w:left w:val="none" w:sz="0" w:space="0" w:color="auto"/>
        <w:bottom w:val="none" w:sz="0" w:space="0" w:color="auto"/>
        <w:right w:val="none" w:sz="0" w:space="0" w:color="auto"/>
      </w:divBdr>
    </w:div>
    <w:div w:id="611285517">
      <w:bodyDiv w:val="1"/>
      <w:marLeft w:val="0"/>
      <w:marRight w:val="0"/>
      <w:marTop w:val="0"/>
      <w:marBottom w:val="0"/>
      <w:divBdr>
        <w:top w:val="none" w:sz="0" w:space="0" w:color="auto"/>
        <w:left w:val="none" w:sz="0" w:space="0" w:color="auto"/>
        <w:bottom w:val="none" w:sz="0" w:space="0" w:color="auto"/>
        <w:right w:val="none" w:sz="0" w:space="0" w:color="auto"/>
      </w:divBdr>
    </w:div>
    <w:div w:id="611518838">
      <w:bodyDiv w:val="1"/>
      <w:marLeft w:val="0"/>
      <w:marRight w:val="0"/>
      <w:marTop w:val="0"/>
      <w:marBottom w:val="0"/>
      <w:divBdr>
        <w:top w:val="none" w:sz="0" w:space="0" w:color="auto"/>
        <w:left w:val="none" w:sz="0" w:space="0" w:color="auto"/>
        <w:bottom w:val="none" w:sz="0" w:space="0" w:color="auto"/>
        <w:right w:val="none" w:sz="0" w:space="0" w:color="auto"/>
      </w:divBdr>
    </w:div>
    <w:div w:id="611666537">
      <w:bodyDiv w:val="1"/>
      <w:marLeft w:val="0"/>
      <w:marRight w:val="0"/>
      <w:marTop w:val="0"/>
      <w:marBottom w:val="0"/>
      <w:divBdr>
        <w:top w:val="none" w:sz="0" w:space="0" w:color="auto"/>
        <w:left w:val="none" w:sz="0" w:space="0" w:color="auto"/>
        <w:bottom w:val="none" w:sz="0" w:space="0" w:color="auto"/>
        <w:right w:val="none" w:sz="0" w:space="0" w:color="auto"/>
      </w:divBdr>
    </w:div>
    <w:div w:id="611740135">
      <w:bodyDiv w:val="1"/>
      <w:marLeft w:val="0"/>
      <w:marRight w:val="0"/>
      <w:marTop w:val="0"/>
      <w:marBottom w:val="0"/>
      <w:divBdr>
        <w:top w:val="none" w:sz="0" w:space="0" w:color="auto"/>
        <w:left w:val="none" w:sz="0" w:space="0" w:color="auto"/>
        <w:bottom w:val="none" w:sz="0" w:space="0" w:color="auto"/>
        <w:right w:val="none" w:sz="0" w:space="0" w:color="auto"/>
      </w:divBdr>
    </w:div>
    <w:div w:id="612513949">
      <w:bodyDiv w:val="1"/>
      <w:marLeft w:val="0"/>
      <w:marRight w:val="0"/>
      <w:marTop w:val="0"/>
      <w:marBottom w:val="0"/>
      <w:divBdr>
        <w:top w:val="none" w:sz="0" w:space="0" w:color="auto"/>
        <w:left w:val="none" w:sz="0" w:space="0" w:color="auto"/>
        <w:bottom w:val="none" w:sz="0" w:space="0" w:color="auto"/>
        <w:right w:val="none" w:sz="0" w:space="0" w:color="auto"/>
      </w:divBdr>
    </w:div>
    <w:div w:id="612900462">
      <w:bodyDiv w:val="1"/>
      <w:marLeft w:val="0"/>
      <w:marRight w:val="0"/>
      <w:marTop w:val="0"/>
      <w:marBottom w:val="0"/>
      <w:divBdr>
        <w:top w:val="none" w:sz="0" w:space="0" w:color="auto"/>
        <w:left w:val="none" w:sz="0" w:space="0" w:color="auto"/>
        <w:bottom w:val="none" w:sz="0" w:space="0" w:color="auto"/>
        <w:right w:val="none" w:sz="0" w:space="0" w:color="auto"/>
      </w:divBdr>
    </w:div>
    <w:div w:id="613025429">
      <w:bodyDiv w:val="1"/>
      <w:marLeft w:val="0"/>
      <w:marRight w:val="0"/>
      <w:marTop w:val="0"/>
      <w:marBottom w:val="0"/>
      <w:divBdr>
        <w:top w:val="none" w:sz="0" w:space="0" w:color="auto"/>
        <w:left w:val="none" w:sz="0" w:space="0" w:color="auto"/>
        <w:bottom w:val="none" w:sz="0" w:space="0" w:color="auto"/>
        <w:right w:val="none" w:sz="0" w:space="0" w:color="auto"/>
      </w:divBdr>
    </w:div>
    <w:div w:id="613363992">
      <w:bodyDiv w:val="1"/>
      <w:marLeft w:val="0"/>
      <w:marRight w:val="0"/>
      <w:marTop w:val="0"/>
      <w:marBottom w:val="0"/>
      <w:divBdr>
        <w:top w:val="none" w:sz="0" w:space="0" w:color="auto"/>
        <w:left w:val="none" w:sz="0" w:space="0" w:color="auto"/>
        <w:bottom w:val="none" w:sz="0" w:space="0" w:color="auto"/>
        <w:right w:val="none" w:sz="0" w:space="0" w:color="auto"/>
      </w:divBdr>
    </w:div>
    <w:div w:id="613709113">
      <w:bodyDiv w:val="1"/>
      <w:marLeft w:val="0"/>
      <w:marRight w:val="0"/>
      <w:marTop w:val="0"/>
      <w:marBottom w:val="0"/>
      <w:divBdr>
        <w:top w:val="none" w:sz="0" w:space="0" w:color="auto"/>
        <w:left w:val="none" w:sz="0" w:space="0" w:color="auto"/>
        <w:bottom w:val="none" w:sz="0" w:space="0" w:color="auto"/>
        <w:right w:val="none" w:sz="0" w:space="0" w:color="auto"/>
      </w:divBdr>
    </w:div>
    <w:div w:id="613949607">
      <w:bodyDiv w:val="1"/>
      <w:marLeft w:val="0"/>
      <w:marRight w:val="0"/>
      <w:marTop w:val="0"/>
      <w:marBottom w:val="0"/>
      <w:divBdr>
        <w:top w:val="none" w:sz="0" w:space="0" w:color="auto"/>
        <w:left w:val="none" w:sz="0" w:space="0" w:color="auto"/>
        <w:bottom w:val="none" w:sz="0" w:space="0" w:color="auto"/>
        <w:right w:val="none" w:sz="0" w:space="0" w:color="auto"/>
      </w:divBdr>
    </w:div>
    <w:div w:id="614026425">
      <w:bodyDiv w:val="1"/>
      <w:marLeft w:val="0"/>
      <w:marRight w:val="0"/>
      <w:marTop w:val="0"/>
      <w:marBottom w:val="0"/>
      <w:divBdr>
        <w:top w:val="none" w:sz="0" w:space="0" w:color="auto"/>
        <w:left w:val="none" w:sz="0" w:space="0" w:color="auto"/>
        <w:bottom w:val="none" w:sz="0" w:space="0" w:color="auto"/>
        <w:right w:val="none" w:sz="0" w:space="0" w:color="auto"/>
      </w:divBdr>
    </w:div>
    <w:div w:id="614289873">
      <w:bodyDiv w:val="1"/>
      <w:marLeft w:val="0"/>
      <w:marRight w:val="0"/>
      <w:marTop w:val="0"/>
      <w:marBottom w:val="0"/>
      <w:divBdr>
        <w:top w:val="none" w:sz="0" w:space="0" w:color="auto"/>
        <w:left w:val="none" w:sz="0" w:space="0" w:color="auto"/>
        <w:bottom w:val="none" w:sz="0" w:space="0" w:color="auto"/>
        <w:right w:val="none" w:sz="0" w:space="0" w:color="auto"/>
      </w:divBdr>
    </w:div>
    <w:div w:id="614941399">
      <w:bodyDiv w:val="1"/>
      <w:marLeft w:val="0"/>
      <w:marRight w:val="0"/>
      <w:marTop w:val="0"/>
      <w:marBottom w:val="0"/>
      <w:divBdr>
        <w:top w:val="none" w:sz="0" w:space="0" w:color="auto"/>
        <w:left w:val="none" w:sz="0" w:space="0" w:color="auto"/>
        <w:bottom w:val="none" w:sz="0" w:space="0" w:color="auto"/>
        <w:right w:val="none" w:sz="0" w:space="0" w:color="auto"/>
      </w:divBdr>
    </w:div>
    <w:div w:id="615060963">
      <w:bodyDiv w:val="1"/>
      <w:marLeft w:val="0"/>
      <w:marRight w:val="0"/>
      <w:marTop w:val="0"/>
      <w:marBottom w:val="0"/>
      <w:divBdr>
        <w:top w:val="none" w:sz="0" w:space="0" w:color="auto"/>
        <w:left w:val="none" w:sz="0" w:space="0" w:color="auto"/>
        <w:bottom w:val="none" w:sz="0" w:space="0" w:color="auto"/>
        <w:right w:val="none" w:sz="0" w:space="0" w:color="auto"/>
      </w:divBdr>
    </w:div>
    <w:div w:id="615258321">
      <w:bodyDiv w:val="1"/>
      <w:marLeft w:val="0"/>
      <w:marRight w:val="0"/>
      <w:marTop w:val="0"/>
      <w:marBottom w:val="0"/>
      <w:divBdr>
        <w:top w:val="none" w:sz="0" w:space="0" w:color="auto"/>
        <w:left w:val="none" w:sz="0" w:space="0" w:color="auto"/>
        <w:bottom w:val="none" w:sz="0" w:space="0" w:color="auto"/>
        <w:right w:val="none" w:sz="0" w:space="0" w:color="auto"/>
      </w:divBdr>
    </w:div>
    <w:div w:id="615480656">
      <w:bodyDiv w:val="1"/>
      <w:marLeft w:val="0"/>
      <w:marRight w:val="0"/>
      <w:marTop w:val="0"/>
      <w:marBottom w:val="0"/>
      <w:divBdr>
        <w:top w:val="none" w:sz="0" w:space="0" w:color="auto"/>
        <w:left w:val="none" w:sz="0" w:space="0" w:color="auto"/>
        <w:bottom w:val="none" w:sz="0" w:space="0" w:color="auto"/>
        <w:right w:val="none" w:sz="0" w:space="0" w:color="auto"/>
      </w:divBdr>
    </w:div>
    <w:div w:id="615869328">
      <w:bodyDiv w:val="1"/>
      <w:marLeft w:val="0"/>
      <w:marRight w:val="0"/>
      <w:marTop w:val="0"/>
      <w:marBottom w:val="0"/>
      <w:divBdr>
        <w:top w:val="none" w:sz="0" w:space="0" w:color="auto"/>
        <w:left w:val="none" w:sz="0" w:space="0" w:color="auto"/>
        <w:bottom w:val="none" w:sz="0" w:space="0" w:color="auto"/>
        <w:right w:val="none" w:sz="0" w:space="0" w:color="auto"/>
      </w:divBdr>
    </w:div>
    <w:div w:id="615910758">
      <w:bodyDiv w:val="1"/>
      <w:marLeft w:val="0"/>
      <w:marRight w:val="0"/>
      <w:marTop w:val="0"/>
      <w:marBottom w:val="0"/>
      <w:divBdr>
        <w:top w:val="none" w:sz="0" w:space="0" w:color="auto"/>
        <w:left w:val="none" w:sz="0" w:space="0" w:color="auto"/>
        <w:bottom w:val="none" w:sz="0" w:space="0" w:color="auto"/>
        <w:right w:val="none" w:sz="0" w:space="0" w:color="auto"/>
      </w:divBdr>
    </w:div>
    <w:div w:id="616059227">
      <w:bodyDiv w:val="1"/>
      <w:marLeft w:val="0"/>
      <w:marRight w:val="0"/>
      <w:marTop w:val="0"/>
      <w:marBottom w:val="0"/>
      <w:divBdr>
        <w:top w:val="none" w:sz="0" w:space="0" w:color="auto"/>
        <w:left w:val="none" w:sz="0" w:space="0" w:color="auto"/>
        <w:bottom w:val="none" w:sz="0" w:space="0" w:color="auto"/>
        <w:right w:val="none" w:sz="0" w:space="0" w:color="auto"/>
      </w:divBdr>
    </w:div>
    <w:div w:id="616135822">
      <w:bodyDiv w:val="1"/>
      <w:marLeft w:val="0"/>
      <w:marRight w:val="0"/>
      <w:marTop w:val="0"/>
      <w:marBottom w:val="0"/>
      <w:divBdr>
        <w:top w:val="none" w:sz="0" w:space="0" w:color="auto"/>
        <w:left w:val="none" w:sz="0" w:space="0" w:color="auto"/>
        <w:bottom w:val="none" w:sz="0" w:space="0" w:color="auto"/>
        <w:right w:val="none" w:sz="0" w:space="0" w:color="auto"/>
      </w:divBdr>
    </w:div>
    <w:div w:id="616182874">
      <w:bodyDiv w:val="1"/>
      <w:marLeft w:val="0"/>
      <w:marRight w:val="0"/>
      <w:marTop w:val="0"/>
      <w:marBottom w:val="0"/>
      <w:divBdr>
        <w:top w:val="none" w:sz="0" w:space="0" w:color="auto"/>
        <w:left w:val="none" w:sz="0" w:space="0" w:color="auto"/>
        <w:bottom w:val="none" w:sz="0" w:space="0" w:color="auto"/>
        <w:right w:val="none" w:sz="0" w:space="0" w:color="auto"/>
      </w:divBdr>
    </w:div>
    <w:div w:id="616303219">
      <w:bodyDiv w:val="1"/>
      <w:marLeft w:val="0"/>
      <w:marRight w:val="0"/>
      <w:marTop w:val="0"/>
      <w:marBottom w:val="0"/>
      <w:divBdr>
        <w:top w:val="none" w:sz="0" w:space="0" w:color="auto"/>
        <w:left w:val="none" w:sz="0" w:space="0" w:color="auto"/>
        <w:bottom w:val="none" w:sz="0" w:space="0" w:color="auto"/>
        <w:right w:val="none" w:sz="0" w:space="0" w:color="auto"/>
      </w:divBdr>
    </w:div>
    <w:div w:id="616762982">
      <w:bodyDiv w:val="1"/>
      <w:marLeft w:val="0"/>
      <w:marRight w:val="0"/>
      <w:marTop w:val="0"/>
      <w:marBottom w:val="0"/>
      <w:divBdr>
        <w:top w:val="none" w:sz="0" w:space="0" w:color="auto"/>
        <w:left w:val="none" w:sz="0" w:space="0" w:color="auto"/>
        <w:bottom w:val="none" w:sz="0" w:space="0" w:color="auto"/>
        <w:right w:val="none" w:sz="0" w:space="0" w:color="auto"/>
      </w:divBdr>
    </w:div>
    <w:div w:id="616833841">
      <w:bodyDiv w:val="1"/>
      <w:marLeft w:val="0"/>
      <w:marRight w:val="0"/>
      <w:marTop w:val="0"/>
      <w:marBottom w:val="0"/>
      <w:divBdr>
        <w:top w:val="none" w:sz="0" w:space="0" w:color="auto"/>
        <w:left w:val="none" w:sz="0" w:space="0" w:color="auto"/>
        <w:bottom w:val="none" w:sz="0" w:space="0" w:color="auto"/>
        <w:right w:val="none" w:sz="0" w:space="0" w:color="auto"/>
      </w:divBdr>
    </w:div>
    <w:div w:id="617027338">
      <w:bodyDiv w:val="1"/>
      <w:marLeft w:val="0"/>
      <w:marRight w:val="0"/>
      <w:marTop w:val="0"/>
      <w:marBottom w:val="0"/>
      <w:divBdr>
        <w:top w:val="none" w:sz="0" w:space="0" w:color="auto"/>
        <w:left w:val="none" w:sz="0" w:space="0" w:color="auto"/>
        <w:bottom w:val="none" w:sz="0" w:space="0" w:color="auto"/>
        <w:right w:val="none" w:sz="0" w:space="0" w:color="auto"/>
      </w:divBdr>
    </w:div>
    <w:div w:id="617032790">
      <w:bodyDiv w:val="1"/>
      <w:marLeft w:val="0"/>
      <w:marRight w:val="0"/>
      <w:marTop w:val="0"/>
      <w:marBottom w:val="0"/>
      <w:divBdr>
        <w:top w:val="none" w:sz="0" w:space="0" w:color="auto"/>
        <w:left w:val="none" w:sz="0" w:space="0" w:color="auto"/>
        <w:bottom w:val="none" w:sz="0" w:space="0" w:color="auto"/>
        <w:right w:val="none" w:sz="0" w:space="0" w:color="auto"/>
      </w:divBdr>
    </w:div>
    <w:div w:id="617565987">
      <w:bodyDiv w:val="1"/>
      <w:marLeft w:val="0"/>
      <w:marRight w:val="0"/>
      <w:marTop w:val="0"/>
      <w:marBottom w:val="0"/>
      <w:divBdr>
        <w:top w:val="none" w:sz="0" w:space="0" w:color="auto"/>
        <w:left w:val="none" w:sz="0" w:space="0" w:color="auto"/>
        <w:bottom w:val="none" w:sz="0" w:space="0" w:color="auto"/>
        <w:right w:val="none" w:sz="0" w:space="0" w:color="auto"/>
      </w:divBdr>
    </w:div>
    <w:div w:id="617687904">
      <w:bodyDiv w:val="1"/>
      <w:marLeft w:val="0"/>
      <w:marRight w:val="0"/>
      <w:marTop w:val="0"/>
      <w:marBottom w:val="0"/>
      <w:divBdr>
        <w:top w:val="none" w:sz="0" w:space="0" w:color="auto"/>
        <w:left w:val="none" w:sz="0" w:space="0" w:color="auto"/>
        <w:bottom w:val="none" w:sz="0" w:space="0" w:color="auto"/>
        <w:right w:val="none" w:sz="0" w:space="0" w:color="auto"/>
      </w:divBdr>
    </w:div>
    <w:div w:id="618343812">
      <w:bodyDiv w:val="1"/>
      <w:marLeft w:val="0"/>
      <w:marRight w:val="0"/>
      <w:marTop w:val="0"/>
      <w:marBottom w:val="0"/>
      <w:divBdr>
        <w:top w:val="none" w:sz="0" w:space="0" w:color="auto"/>
        <w:left w:val="none" w:sz="0" w:space="0" w:color="auto"/>
        <w:bottom w:val="none" w:sz="0" w:space="0" w:color="auto"/>
        <w:right w:val="none" w:sz="0" w:space="0" w:color="auto"/>
      </w:divBdr>
    </w:div>
    <w:div w:id="618606573">
      <w:bodyDiv w:val="1"/>
      <w:marLeft w:val="0"/>
      <w:marRight w:val="0"/>
      <w:marTop w:val="0"/>
      <w:marBottom w:val="0"/>
      <w:divBdr>
        <w:top w:val="none" w:sz="0" w:space="0" w:color="auto"/>
        <w:left w:val="none" w:sz="0" w:space="0" w:color="auto"/>
        <w:bottom w:val="none" w:sz="0" w:space="0" w:color="auto"/>
        <w:right w:val="none" w:sz="0" w:space="0" w:color="auto"/>
      </w:divBdr>
    </w:div>
    <w:div w:id="619840618">
      <w:bodyDiv w:val="1"/>
      <w:marLeft w:val="0"/>
      <w:marRight w:val="0"/>
      <w:marTop w:val="0"/>
      <w:marBottom w:val="0"/>
      <w:divBdr>
        <w:top w:val="none" w:sz="0" w:space="0" w:color="auto"/>
        <w:left w:val="none" w:sz="0" w:space="0" w:color="auto"/>
        <w:bottom w:val="none" w:sz="0" w:space="0" w:color="auto"/>
        <w:right w:val="none" w:sz="0" w:space="0" w:color="auto"/>
      </w:divBdr>
    </w:div>
    <w:div w:id="621233837">
      <w:bodyDiv w:val="1"/>
      <w:marLeft w:val="0"/>
      <w:marRight w:val="0"/>
      <w:marTop w:val="0"/>
      <w:marBottom w:val="0"/>
      <w:divBdr>
        <w:top w:val="none" w:sz="0" w:space="0" w:color="auto"/>
        <w:left w:val="none" w:sz="0" w:space="0" w:color="auto"/>
        <w:bottom w:val="none" w:sz="0" w:space="0" w:color="auto"/>
        <w:right w:val="none" w:sz="0" w:space="0" w:color="auto"/>
      </w:divBdr>
    </w:div>
    <w:div w:id="622420385">
      <w:bodyDiv w:val="1"/>
      <w:marLeft w:val="0"/>
      <w:marRight w:val="0"/>
      <w:marTop w:val="0"/>
      <w:marBottom w:val="0"/>
      <w:divBdr>
        <w:top w:val="none" w:sz="0" w:space="0" w:color="auto"/>
        <w:left w:val="none" w:sz="0" w:space="0" w:color="auto"/>
        <w:bottom w:val="none" w:sz="0" w:space="0" w:color="auto"/>
        <w:right w:val="none" w:sz="0" w:space="0" w:color="auto"/>
      </w:divBdr>
    </w:div>
    <w:div w:id="622660068">
      <w:bodyDiv w:val="1"/>
      <w:marLeft w:val="0"/>
      <w:marRight w:val="0"/>
      <w:marTop w:val="0"/>
      <w:marBottom w:val="0"/>
      <w:divBdr>
        <w:top w:val="none" w:sz="0" w:space="0" w:color="auto"/>
        <w:left w:val="none" w:sz="0" w:space="0" w:color="auto"/>
        <w:bottom w:val="none" w:sz="0" w:space="0" w:color="auto"/>
        <w:right w:val="none" w:sz="0" w:space="0" w:color="auto"/>
      </w:divBdr>
    </w:div>
    <w:div w:id="622813881">
      <w:bodyDiv w:val="1"/>
      <w:marLeft w:val="0"/>
      <w:marRight w:val="0"/>
      <w:marTop w:val="0"/>
      <w:marBottom w:val="0"/>
      <w:divBdr>
        <w:top w:val="none" w:sz="0" w:space="0" w:color="auto"/>
        <w:left w:val="none" w:sz="0" w:space="0" w:color="auto"/>
        <w:bottom w:val="none" w:sz="0" w:space="0" w:color="auto"/>
        <w:right w:val="none" w:sz="0" w:space="0" w:color="auto"/>
      </w:divBdr>
    </w:div>
    <w:div w:id="625088407">
      <w:bodyDiv w:val="1"/>
      <w:marLeft w:val="0"/>
      <w:marRight w:val="0"/>
      <w:marTop w:val="0"/>
      <w:marBottom w:val="0"/>
      <w:divBdr>
        <w:top w:val="none" w:sz="0" w:space="0" w:color="auto"/>
        <w:left w:val="none" w:sz="0" w:space="0" w:color="auto"/>
        <w:bottom w:val="none" w:sz="0" w:space="0" w:color="auto"/>
        <w:right w:val="none" w:sz="0" w:space="0" w:color="auto"/>
      </w:divBdr>
    </w:div>
    <w:div w:id="625282525">
      <w:bodyDiv w:val="1"/>
      <w:marLeft w:val="0"/>
      <w:marRight w:val="0"/>
      <w:marTop w:val="0"/>
      <w:marBottom w:val="0"/>
      <w:divBdr>
        <w:top w:val="none" w:sz="0" w:space="0" w:color="auto"/>
        <w:left w:val="none" w:sz="0" w:space="0" w:color="auto"/>
        <w:bottom w:val="none" w:sz="0" w:space="0" w:color="auto"/>
        <w:right w:val="none" w:sz="0" w:space="0" w:color="auto"/>
      </w:divBdr>
    </w:div>
    <w:div w:id="625698917">
      <w:bodyDiv w:val="1"/>
      <w:marLeft w:val="0"/>
      <w:marRight w:val="0"/>
      <w:marTop w:val="0"/>
      <w:marBottom w:val="0"/>
      <w:divBdr>
        <w:top w:val="none" w:sz="0" w:space="0" w:color="auto"/>
        <w:left w:val="none" w:sz="0" w:space="0" w:color="auto"/>
        <w:bottom w:val="none" w:sz="0" w:space="0" w:color="auto"/>
        <w:right w:val="none" w:sz="0" w:space="0" w:color="auto"/>
      </w:divBdr>
    </w:div>
    <w:div w:id="625890906">
      <w:bodyDiv w:val="1"/>
      <w:marLeft w:val="0"/>
      <w:marRight w:val="0"/>
      <w:marTop w:val="0"/>
      <w:marBottom w:val="0"/>
      <w:divBdr>
        <w:top w:val="none" w:sz="0" w:space="0" w:color="auto"/>
        <w:left w:val="none" w:sz="0" w:space="0" w:color="auto"/>
        <w:bottom w:val="none" w:sz="0" w:space="0" w:color="auto"/>
        <w:right w:val="none" w:sz="0" w:space="0" w:color="auto"/>
      </w:divBdr>
    </w:div>
    <w:div w:id="626401043">
      <w:bodyDiv w:val="1"/>
      <w:marLeft w:val="0"/>
      <w:marRight w:val="0"/>
      <w:marTop w:val="0"/>
      <w:marBottom w:val="0"/>
      <w:divBdr>
        <w:top w:val="none" w:sz="0" w:space="0" w:color="auto"/>
        <w:left w:val="none" w:sz="0" w:space="0" w:color="auto"/>
        <w:bottom w:val="none" w:sz="0" w:space="0" w:color="auto"/>
        <w:right w:val="none" w:sz="0" w:space="0" w:color="auto"/>
      </w:divBdr>
    </w:div>
    <w:div w:id="627397880">
      <w:bodyDiv w:val="1"/>
      <w:marLeft w:val="0"/>
      <w:marRight w:val="0"/>
      <w:marTop w:val="0"/>
      <w:marBottom w:val="0"/>
      <w:divBdr>
        <w:top w:val="none" w:sz="0" w:space="0" w:color="auto"/>
        <w:left w:val="none" w:sz="0" w:space="0" w:color="auto"/>
        <w:bottom w:val="none" w:sz="0" w:space="0" w:color="auto"/>
        <w:right w:val="none" w:sz="0" w:space="0" w:color="auto"/>
      </w:divBdr>
    </w:div>
    <w:div w:id="627400764">
      <w:bodyDiv w:val="1"/>
      <w:marLeft w:val="0"/>
      <w:marRight w:val="0"/>
      <w:marTop w:val="0"/>
      <w:marBottom w:val="0"/>
      <w:divBdr>
        <w:top w:val="none" w:sz="0" w:space="0" w:color="auto"/>
        <w:left w:val="none" w:sz="0" w:space="0" w:color="auto"/>
        <w:bottom w:val="none" w:sz="0" w:space="0" w:color="auto"/>
        <w:right w:val="none" w:sz="0" w:space="0" w:color="auto"/>
      </w:divBdr>
    </w:div>
    <w:div w:id="627510569">
      <w:bodyDiv w:val="1"/>
      <w:marLeft w:val="0"/>
      <w:marRight w:val="0"/>
      <w:marTop w:val="0"/>
      <w:marBottom w:val="0"/>
      <w:divBdr>
        <w:top w:val="none" w:sz="0" w:space="0" w:color="auto"/>
        <w:left w:val="none" w:sz="0" w:space="0" w:color="auto"/>
        <w:bottom w:val="none" w:sz="0" w:space="0" w:color="auto"/>
        <w:right w:val="none" w:sz="0" w:space="0" w:color="auto"/>
      </w:divBdr>
    </w:div>
    <w:div w:id="627976872">
      <w:bodyDiv w:val="1"/>
      <w:marLeft w:val="0"/>
      <w:marRight w:val="0"/>
      <w:marTop w:val="0"/>
      <w:marBottom w:val="0"/>
      <w:divBdr>
        <w:top w:val="none" w:sz="0" w:space="0" w:color="auto"/>
        <w:left w:val="none" w:sz="0" w:space="0" w:color="auto"/>
        <w:bottom w:val="none" w:sz="0" w:space="0" w:color="auto"/>
        <w:right w:val="none" w:sz="0" w:space="0" w:color="auto"/>
      </w:divBdr>
    </w:div>
    <w:div w:id="627979716">
      <w:bodyDiv w:val="1"/>
      <w:marLeft w:val="0"/>
      <w:marRight w:val="0"/>
      <w:marTop w:val="0"/>
      <w:marBottom w:val="0"/>
      <w:divBdr>
        <w:top w:val="none" w:sz="0" w:space="0" w:color="auto"/>
        <w:left w:val="none" w:sz="0" w:space="0" w:color="auto"/>
        <w:bottom w:val="none" w:sz="0" w:space="0" w:color="auto"/>
        <w:right w:val="none" w:sz="0" w:space="0" w:color="auto"/>
      </w:divBdr>
    </w:div>
    <w:div w:id="628052766">
      <w:bodyDiv w:val="1"/>
      <w:marLeft w:val="0"/>
      <w:marRight w:val="0"/>
      <w:marTop w:val="0"/>
      <w:marBottom w:val="0"/>
      <w:divBdr>
        <w:top w:val="none" w:sz="0" w:space="0" w:color="auto"/>
        <w:left w:val="none" w:sz="0" w:space="0" w:color="auto"/>
        <w:bottom w:val="none" w:sz="0" w:space="0" w:color="auto"/>
        <w:right w:val="none" w:sz="0" w:space="0" w:color="auto"/>
      </w:divBdr>
    </w:div>
    <w:div w:id="628362095">
      <w:bodyDiv w:val="1"/>
      <w:marLeft w:val="0"/>
      <w:marRight w:val="0"/>
      <w:marTop w:val="0"/>
      <w:marBottom w:val="0"/>
      <w:divBdr>
        <w:top w:val="none" w:sz="0" w:space="0" w:color="auto"/>
        <w:left w:val="none" w:sz="0" w:space="0" w:color="auto"/>
        <w:bottom w:val="none" w:sz="0" w:space="0" w:color="auto"/>
        <w:right w:val="none" w:sz="0" w:space="0" w:color="auto"/>
      </w:divBdr>
    </w:div>
    <w:div w:id="629481192">
      <w:bodyDiv w:val="1"/>
      <w:marLeft w:val="0"/>
      <w:marRight w:val="0"/>
      <w:marTop w:val="0"/>
      <w:marBottom w:val="0"/>
      <w:divBdr>
        <w:top w:val="none" w:sz="0" w:space="0" w:color="auto"/>
        <w:left w:val="none" w:sz="0" w:space="0" w:color="auto"/>
        <w:bottom w:val="none" w:sz="0" w:space="0" w:color="auto"/>
        <w:right w:val="none" w:sz="0" w:space="0" w:color="auto"/>
      </w:divBdr>
    </w:div>
    <w:div w:id="630210478">
      <w:bodyDiv w:val="1"/>
      <w:marLeft w:val="0"/>
      <w:marRight w:val="0"/>
      <w:marTop w:val="0"/>
      <w:marBottom w:val="0"/>
      <w:divBdr>
        <w:top w:val="none" w:sz="0" w:space="0" w:color="auto"/>
        <w:left w:val="none" w:sz="0" w:space="0" w:color="auto"/>
        <w:bottom w:val="none" w:sz="0" w:space="0" w:color="auto"/>
        <w:right w:val="none" w:sz="0" w:space="0" w:color="auto"/>
      </w:divBdr>
    </w:div>
    <w:div w:id="631135092">
      <w:bodyDiv w:val="1"/>
      <w:marLeft w:val="0"/>
      <w:marRight w:val="0"/>
      <w:marTop w:val="0"/>
      <w:marBottom w:val="0"/>
      <w:divBdr>
        <w:top w:val="none" w:sz="0" w:space="0" w:color="auto"/>
        <w:left w:val="none" w:sz="0" w:space="0" w:color="auto"/>
        <w:bottom w:val="none" w:sz="0" w:space="0" w:color="auto"/>
        <w:right w:val="none" w:sz="0" w:space="0" w:color="auto"/>
      </w:divBdr>
    </w:div>
    <w:div w:id="631329671">
      <w:bodyDiv w:val="1"/>
      <w:marLeft w:val="0"/>
      <w:marRight w:val="0"/>
      <w:marTop w:val="0"/>
      <w:marBottom w:val="0"/>
      <w:divBdr>
        <w:top w:val="none" w:sz="0" w:space="0" w:color="auto"/>
        <w:left w:val="none" w:sz="0" w:space="0" w:color="auto"/>
        <w:bottom w:val="none" w:sz="0" w:space="0" w:color="auto"/>
        <w:right w:val="none" w:sz="0" w:space="0" w:color="auto"/>
      </w:divBdr>
    </w:div>
    <w:div w:id="631374659">
      <w:bodyDiv w:val="1"/>
      <w:marLeft w:val="0"/>
      <w:marRight w:val="0"/>
      <w:marTop w:val="0"/>
      <w:marBottom w:val="0"/>
      <w:divBdr>
        <w:top w:val="none" w:sz="0" w:space="0" w:color="auto"/>
        <w:left w:val="none" w:sz="0" w:space="0" w:color="auto"/>
        <w:bottom w:val="none" w:sz="0" w:space="0" w:color="auto"/>
        <w:right w:val="none" w:sz="0" w:space="0" w:color="auto"/>
      </w:divBdr>
    </w:div>
    <w:div w:id="631786981">
      <w:bodyDiv w:val="1"/>
      <w:marLeft w:val="0"/>
      <w:marRight w:val="0"/>
      <w:marTop w:val="0"/>
      <w:marBottom w:val="0"/>
      <w:divBdr>
        <w:top w:val="none" w:sz="0" w:space="0" w:color="auto"/>
        <w:left w:val="none" w:sz="0" w:space="0" w:color="auto"/>
        <w:bottom w:val="none" w:sz="0" w:space="0" w:color="auto"/>
        <w:right w:val="none" w:sz="0" w:space="0" w:color="auto"/>
      </w:divBdr>
    </w:div>
    <w:div w:id="632100946">
      <w:bodyDiv w:val="1"/>
      <w:marLeft w:val="0"/>
      <w:marRight w:val="0"/>
      <w:marTop w:val="0"/>
      <w:marBottom w:val="0"/>
      <w:divBdr>
        <w:top w:val="none" w:sz="0" w:space="0" w:color="auto"/>
        <w:left w:val="none" w:sz="0" w:space="0" w:color="auto"/>
        <w:bottom w:val="none" w:sz="0" w:space="0" w:color="auto"/>
        <w:right w:val="none" w:sz="0" w:space="0" w:color="auto"/>
      </w:divBdr>
    </w:div>
    <w:div w:id="632566379">
      <w:bodyDiv w:val="1"/>
      <w:marLeft w:val="0"/>
      <w:marRight w:val="0"/>
      <w:marTop w:val="0"/>
      <w:marBottom w:val="0"/>
      <w:divBdr>
        <w:top w:val="none" w:sz="0" w:space="0" w:color="auto"/>
        <w:left w:val="none" w:sz="0" w:space="0" w:color="auto"/>
        <w:bottom w:val="none" w:sz="0" w:space="0" w:color="auto"/>
        <w:right w:val="none" w:sz="0" w:space="0" w:color="auto"/>
      </w:divBdr>
    </w:div>
    <w:div w:id="633170771">
      <w:bodyDiv w:val="1"/>
      <w:marLeft w:val="0"/>
      <w:marRight w:val="0"/>
      <w:marTop w:val="0"/>
      <w:marBottom w:val="0"/>
      <w:divBdr>
        <w:top w:val="none" w:sz="0" w:space="0" w:color="auto"/>
        <w:left w:val="none" w:sz="0" w:space="0" w:color="auto"/>
        <w:bottom w:val="none" w:sz="0" w:space="0" w:color="auto"/>
        <w:right w:val="none" w:sz="0" w:space="0" w:color="auto"/>
      </w:divBdr>
    </w:div>
    <w:div w:id="633175793">
      <w:bodyDiv w:val="1"/>
      <w:marLeft w:val="0"/>
      <w:marRight w:val="0"/>
      <w:marTop w:val="0"/>
      <w:marBottom w:val="0"/>
      <w:divBdr>
        <w:top w:val="none" w:sz="0" w:space="0" w:color="auto"/>
        <w:left w:val="none" w:sz="0" w:space="0" w:color="auto"/>
        <w:bottom w:val="none" w:sz="0" w:space="0" w:color="auto"/>
        <w:right w:val="none" w:sz="0" w:space="0" w:color="auto"/>
      </w:divBdr>
    </w:div>
    <w:div w:id="633340502">
      <w:bodyDiv w:val="1"/>
      <w:marLeft w:val="0"/>
      <w:marRight w:val="0"/>
      <w:marTop w:val="0"/>
      <w:marBottom w:val="0"/>
      <w:divBdr>
        <w:top w:val="none" w:sz="0" w:space="0" w:color="auto"/>
        <w:left w:val="none" w:sz="0" w:space="0" w:color="auto"/>
        <w:bottom w:val="none" w:sz="0" w:space="0" w:color="auto"/>
        <w:right w:val="none" w:sz="0" w:space="0" w:color="auto"/>
      </w:divBdr>
    </w:div>
    <w:div w:id="633415946">
      <w:bodyDiv w:val="1"/>
      <w:marLeft w:val="0"/>
      <w:marRight w:val="0"/>
      <w:marTop w:val="0"/>
      <w:marBottom w:val="0"/>
      <w:divBdr>
        <w:top w:val="none" w:sz="0" w:space="0" w:color="auto"/>
        <w:left w:val="none" w:sz="0" w:space="0" w:color="auto"/>
        <w:bottom w:val="none" w:sz="0" w:space="0" w:color="auto"/>
        <w:right w:val="none" w:sz="0" w:space="0" w:color="auto"/>
      </w:divBdr>
    </w:div>
    <w:div w:id="633563369">
      <w:bodyDiv w:val="1"/>
      <w:marLeft w:val="0"/>
      <w:marRight w:val="0"/>
      <w:marTop w:val="0"/>
      <w:marBottom w:val="0"/>
      <w:divBdr>
        <w:top w:val="none" w:sz="0" w:space="0" w:color="auto"/>
        <w:left w:val="none" w:sz="0" w:space="0" w:color="auto"/>
        <w:bottom w:val="none" w:sz="0" w:space="0" w:color="auto"/>
        <w:right w:val="none" w:sz="0" w:space="0" w:color="auto"/>
      </w:divBdr>
    </w:div>
    <w:div w:id="633564797">
      <w:bodyDiv w:val="1"/>
      <w:marLeft w:val="0"/>
      <w:marRight w:val="0"/>
      <w:marTop w:val="0"/>
      <w:marBottom w:val="0"/>
      <w:divBdr>
        <w:top w:val="none" w:sz="0" w:space="0" w:color="auto"/>
        <w:left w:val="none" w:sz="0" w:space="0" w:color="auto"/>
        <w:bottom w:val="none" w:sz="0" w:space="0" w:color="auto"/>
        <w:right w:val="none" w:sz="0" w:space="0" w:color="auto"/>
      </w:divBdr>
    </w:div>
    <w:div w:id="633758011">
      <w:bodyDiv w:val="1"/>
      <w:marLeft w:val="0"/>
      <w:marRight w:val="0"/>
      <w:marTop w:val="0"/>
      <w:marBottom w:val="0"/>
      <w:divBdr>
        <w:top w:val="none" w:sz="0" w:space="0" w:color="auto"/>
        <w:left w:val="none" w:sz="0" w:space="0" w:color="auto"/>
        <w:bottom w:val="none" w:sz="0" w:space="0" w:color="auto"/>
        <w:right w:val="none" w:sz="0" w:space="0" w:color="auto"/>
      </w:divBdr>
    </w:div>
    <w:div w:id="634335778">
      <w:bodyDiv w:val="1"/>
      <w:marLeft w:val="0"/>
      <w:marRight w:val="0"/>
      <w:marTop w:val="0"/>
      <w:marBottom w:val="0"/>
      <w:divBdr>
        <w:top w:val="none" w:sz="0" w:space="0" w:color="auto"/>
        <w:left w:val="none" w:sz="0" w:space="0" w:color="auto"/>
        <w:bottom w:val="none" w:sz="0" w:space="0" w:color="auto"/>
        <w:right w:val="none" w:sz="0" w:space="0" w:color="auto"/>
      </w:divBdr>
    </w:div>
    <w:div w:id="634875116">
      <w:bodyDiv w:val="1"/>
      <w:marLeft w:val="0"/>
      <w:marRight w:val="0"/>
      <w:marTop w:val="0"/>
      <w:marBottom w:val="0"/>
      <w:divBdr>
        <w:top w:val="none" w:sz="0" w:space="0" w:color="auto"/>
        <w:left w:val="none" w:sz="0" w:space="0" w:color="auto"/>
        <w:bottom w:val="none" w:sz="0" w:space="0" w:color="auto"/>
        <w:right w:val="none" w:sz="0" w:space="0" w:color="auto"/>
      </w:divBdr>
    </w:div>
    <w:div w:id="635068318">
      <w:bodyDiv w:val="1"/>
      <w:marLeft w:val="0"/>
      <w:marRight w:val="0"/>
      <w:marTop w:val="0"/>
      <w:marBottom w:val="0"/>
      <w:divBdr>
        <w:top w:val="none" w:sz="0" w:space="0" w:color="auto"/>
        <w:left w:val="none" w:sz="0" w:space="0" w:color="auto"/>
        <w:bottom w:val="none" w:sz="0" w:space="0" w:color="auto"/>
        <w:right w:val="none" w:sz="0" w:space="0" w:color="auto"/>
      </w:divBdr>
    </w:div>
    <w:div w:id="636034179">
      <w:bodyDiv w:val="1"/>
      <w:marLeft w:val="0"/>
      <w:marRight w:val="0"/>
      <w:marTop w:val="0"/>
      <w:marBottom w:val="0"/>
      <w:divBdr>
        <w:top w:val="none" w:sz="0" w:space="0" w:color="auto"/>
        <w:left w:val="none" w:sz="0" w:space="0" w:color="auto"/>
        <w:bottom w:val="none" w:sz="0" w:space="0" w:color="auto"/>
        <w:right w:val="none" w:sz="0" w:space="0" w:color="auto"/>
      </w:divBdr>
    </w:div>
    <w:div w:id="636490254">
      <w:bodyDiv w:val="1"/>
      <w:marLeft w:val="0"/>
      <w:marRight w:val="0"/>
      <w:marTop w:val="0"/>
      <w:marBottom w:val="0"/>
      <w:divBdr>
        <w:top w:val="none" w:sz="0" w:space="0" w:color="auto"/>
        <w:left w:val="none" w:sz="0" w:space="0" w:color="auto"/>
        <w:bottom w:val="none" w:sz="0" w:space="0" w:color="auto"/>
        <w:right w:val="none" w:sz="0" w:space="0" w:color="auto"/>
      </w:divBdr>
    </w:div>
    <w:div w:id="638078378">
      <w:bodyDiv w:val="1"/>
      <w:marLeft w:val="0"/>
      <w:marRight w:val="0"/>
      <w:marTop w:val="0"/>
      <w:marBottom w:val="0"/>
      <w:divBdr>
        <w:top w:val="none" w:sz="0" w:space="0" w:color="auto"/>
        <w:left w:val="none" w:sz="0" w:space="0" w:color="auto"/>
        <w:bottom w:val="none" w:sz="0" w:space="0" w:color="auto"/>
        <w:right w:val="none" w:sz="0" w:space="0" w:color="auto"/>
      </w:divBdr>
    </w:div>
    <w:div w:id="638195851">
      <w:bodyDiv w:val="1"/>
      <w:marLeft w:val="0"/>
      <w:marRight w:val="0"/>
      <w:marTop w:val="0"/>
      <w:marBottom w:val="0"/>
      <w:divBdr>
        <w:top w:val="none" w:sz="0" w:space="0" w:color="auto"/>
        <w:left w:val="none" w:sz="0" w:space="0" w:color="auto"/>
        <w:bottom w:val="none" w:sz="0" w:space="0" w:color="auto"/>
        <w:right w:val="none" w:sz="0" w:space="0" w:color="auto"/>
      </w:divBdr>
    </w:div>
    <w:div w:id="639649919">
      <w:bodyDiv w:val="1"/>
      <w:marLeft w:val="0"/>
      <w:marRight w:val="0"/>
      <w:marTop w:val="0"/>
      <w:marBottom w:val="0"/>
      <w:divBdr>
        <w:top w:val="none" w:sz="0" w:space="0" w:color="auto"/>
        <w:left w:val="none" w:sz="0" w:space="0" w:color="auto"/>
        <w:bottom w:val="none" w:sz="0" w:space="0" w:color="auto"/>
        <w:right w:val="none" w:sz="0" w:space="0" w:color="auto"/>
      </w:divBdr>
    </w:div>
    <w:div w:id="639772143">
      <w:bodyDiv w:val="1"/>
      <w:marLeft w:val="0"/>
      <w:marRight w:val="0"/>
      <w:marTop w:val="0"/>
      <w:marBottom w:val="0"/>
      <w:divBdr>
        <w:top w:val="none" w:sz="0" w:space="0" w:color="auto"/>
        <w:left w:val="none" w:sz="0" w:space="0" w:color="auto"/>
        <w:bottom w:val="none" w:sz="0" w:space="0" w:color="auto"/>
        <w:right w:val="none" w:sz="0" w:space="0" w:color="auto"/>
      </w:divBdr>
    </w:div>
    <w:div w:id="640429009">
      <w:bodyDiv w:val="1"/>
      <w:marLeft w:val="0"/>
      <w:marRight w:val="0"/>
      <w:marTop w:val="0"/>
      <w:marBottom w:val="0"/>
      <w:divBdr>
        <w:top w:val="none" w:sz="0" w:space="0" w:color="auto"/>
        <w:left w:val="none" w:sz="0" w:space="0" w:color="auto"/>
        <w:bottom w:val="none" w:sz="0" w:space="0" w:color="auto"/>
        <w:right w:val="none" w:sz="0" w:space="0" w:color="auto"/>
      </w:divBdr>
    </w:div>
    <w:div w:id="640843288">
      <w:bodyDiv w:val="1"/>
      <w:marLeft w:val="0"/>
      <w:marRight w:val="0"/>
      <w:marTop w:val="0"/>
      <w:marBottom w:val="0"/>
      <w:divBdr>
        <w:top w:val="none" w:sz="0" w:space="0" w:color="auto"/>
        <w:left w:val="none" w:sz="0" w:space="0" w:color="auto"/>
        <w:bottom w:val="none" w:sz="0" w:space="0" w:color="auto"/>
        <w:right w:val="none" w:sz="0" w:space="0" w:color="auto"/>
      </w:divBdr>
    </w:div>
    <w:div w:id="643659139">
      <w:bodyDiv w:val="1"/>
      <w:marLeft w:val="0"/>
      <w:marRight w:val="0"/>
      <w:marTop w:val="0"/>
      <w:marBottom w:val="0"/>
      <w:divBdr>
        <w:top w:val="none" w:sz="0" w:space="0" w:color="auto"/>
        <w:left w:val="none" w:sz="0" w:space="0" w:color="auto"/>
        <w:bottom w:val="none" w:sz="0" w:space="0" w:color="auto"/>
        <w:right w:val="none" w:sz="0" w:space="0" w:color="auto"/>
      </w:divBdr>
    </w:div>
    <w:div w:id="644042985">
      <w:bodyDiv w:val="1"/>
      <w:marLeft w:val="0"/>
      <w:marRight w:val="0"/>
      <w:marTop w:val="0"/>
      <w:marBottom w:val="0"/>
      <w:divBdr>
        <w:top w:val="none" w:sz="0" w:space="0" w:color="auto"/>
        <w:left w:val="none" w:sz="0" w:space="0" w:color="auto"/>
        <w:bottom w:val="none" w:sz="0" w:space="0" w:color="auto"/>
        <w:right w:val="none" w:sz="0" w:space="0" w:color="auto"/>
      </w:divBdr>
    </w:div>
    <w:div w:id="644243384">
      <w:bodyDiv w:val="1"/>
      <w:marLeft w:val="0"/>
      <w:marRight w:val="0"/>
      <w:marTop w:val="0"/>
      <w:marBottom w:val="0"/>
      <w:divBdr>
        <w:top w:val="none" w:sz="0" w:space="0" w:color="auto"/>
        <w:left w:val="none" w:sz="0" w:space="0" w:color="auto"/>
        <w:bottom w:val="none" w:sz="0" w:space="0" w:color="auto"/>
        <w:right w:val="none" w:sz="0" w:space="0" w:color="auto"/>
      </w:divBdr>
    </w:div>
    <w:div w:id="644940249">
      <w:bodyDiv w:val="1"/>
      <w:marLeft w:val="0"/>
      <w:marRight w:val="0"/>
      <w:marTop w:val="0"/>
      <w:marBottom w:val="0"/>
      <w:divBdr>
        <w:top w:val="none" w:sz="0" w:space="0" w:color="auto"/>
        <w:left w:val="none" w:sz="0" w:space="0" w:color="auto"/>
        <w:bottom w:val="none" w:sz="0" w:space="0" w:color="auto"/>
        <w:right w:val="none" w:sz="0" w:space="0" w:color="auto"/>
      </w:divBdr>
    </w:div>
    <w:div w:id="645007921">
      <w:bodyDiv w:val="1"/>
      <w:marLeft w:val="0"/>
      <w:marRight w:val="0"/>
      <w:marTop w:val="0"/>
      <w:marBottom w:val="0"/>
      <w:divBdr>
        <w:top w:val="none" w:sz="0" w:space="0" w:color="auto"/>
        <w:left w:val="none" w:sz="0" w:space="0" w:color="auto"/>
        <w:bottom w:val="none" w:sz="0" w:space="0" w:color="auto"/>
        <w:right w:val="none" w:sz="0" w:space="0" w:color="auto"/>
      </w:divBdr>
    </w:div>
    <w:div w:id="645160052">
      <w:bodyDiv w:val="1"/>
      <w:marLeft w:val="0"/>
      <w:marRight w:val="0"/>
      <w:marTop w:val="0"/>
      <w:marBottom w:val="0"/>
      <w:divBdr>
        <w:top w:val="none" w:sz="0" w:space="0" w:color="auto"/>
        <w:left w:val="none" w:sz="0" w:space="0" w:color="auto"/>
        <w:bottom w:val="none" w:sz="0" w:space="0" w:color="auto"/>
        <w:right w:val="none" w:sz="0" w:space="0" w:color="auto"/>
      </w:divBdr>
    </w:div>
    <w:div w:id="646012119">
      <w:bodyDiv w:val="1"/>
      <w:marLeft w:val="0"/>
      <w:marRight w:val="0"/>
      <w:marTop w:val="0"/>
      <w:marBottom w:val="0"/>
      <w:divBdr>
        <w:top w:val="none" w:sz="0" w:space="0" w:color="auto"/>
        <w:left w:val="none" w:sz="0" w:space="0" w:color="auto"/>
        <w:bottom w:val="none" w:sz="0" w:space="0" w:color="auto"/>
        <w:right w:val="none" w:sz="0" w:space="0" w:color="auto"/>
      </w:divBdr>
    </w:div>
    <w:div w:id="646082996">
      <w:bodyDiv w:val="1"/>
      <w:marLeft w:val="0"/>
      <w:marRight w:val="0"/>
      <w:marTop w:val="0"/>
      <w:marBottom w:val="0"/>
      <w:divBdr>
        <w:top w:val="none" w:sz="0" w:space="0" w:color="auto"/>
        <w:left w:val="none" w:sz="0" w:space="0" w:color="auto"/>
        <w:bottom w:val="none" w:sz="0" w:space="0" w:color="auto"/>
        <w:right w:val="none" w:sz="0" w:space="0" w:color="auto"/>
      </w:divBdr>
    </w:div>
    <w:div w:id="646133367">
      <w:bodyDiv w:val="1"/>
      <w:marLeft w:val="0"/>
      <w:marRight w:val="0"/>
      <w:marTop w:val="0"/>
      <w:marBottom w:val="0"/>
      <w:divBdr>
        <w:top w:val="none" w:sz="0" w:space="0" w:color="auto"/>
        <w:left w:val="none" w:sz="0" w:space="0" w:color="auto"/>
        <w:bottom w:val="none" w:sz="0" w:space="0" w:color="auto"/>
        <w:right w:val="none" w:sz="0" w:space="0" w:color="auto"/>
      </w:divBdr>
    </w:div>
    <w:div w:id="646513038">
      <w:bodyDiv w:val="1"/>
      <w:marLeft w:val="0"/>
      <w:marRight w:val="0"/>
      <w:marTop w:val="0"/>
      <w:marBottom w:val="0"/>
      <w:divBdr>
        <w:top w:val="none" w:sz="0" w:space="0" w:color="auto"/>
        <w:left w:val="none" w:sz="0" w:space="0" w:color="auto"/>
        <w:bottom w:val="none" w:sz="0" w:space="0" w:color="auto"/>
        <w:right w:val="none" w:sz="0" w:space="0" w:color="auto"/>
      </w:divBdr>
    </w:div>
    <w:div w:id="647898367">
      <w:bodyDiv w:val="1"/>
      <w:marLeft w:val="0"/>
      <w:marRight w:val="0"/>
      <w:marTop w:val="0"/>
      <w:marBottom w:val="0"/>
      <w:divBdr>
        <w:top w:val="none" w:sz="0" w:space="0" w:color="auto"/>
        <w:left w:val="none" w:sz="0" w:space="0" w:color="auto"/>
        <w:bottom w:val="none" w:sz="0" w:space="0" w:color="auto"/>
        <w:right w:val="none" w:sz="0" w:space="0" w:color="auto"/>
      </w:divBdr>
    </w:div>
    <w:div w:id="647976873">
      <w:bodyDiv w:val="1"/>
      <w:marLeft w:val="0"/>
      <w:marRight w:val="0"/>
      <w:marTop w:val="0"/>
      <w:marBottom w:val="0"/>
      <w:divBdr>
        <w:top w:val="none" w:sz="0" w:space="0" w:color="auto"/>
        <w:left w:val="none" w:sz="0" w:space="0" w:color="auto"/>
        <w:bottom w:val="none" w:sz="0" w:space="0" w:color="auto"/>
        <w:right w:val="none" w:sz="0" w:space="0" w:color="auto"/>
      </w:divBdr>
    </w:div>
    <w:div w:id="648511075">
      <w:bodyDiv w:val="1"/>
      <w:marLeft w:val="0"/>
      <w:marRight w:val="0"/>
      <w:marTop w:val="0"/>
      <w:marBottom w:val="0"/>
      <w:divBdr>
        <w:top w:val="none" w:sz="0" w:space="0" w:color="auto"/>
        <w:left w:val="none" w:sz="0" w:space="0" w:color="auto"/>
        <w:bottom w:val="none" w:sz="0" w:space="0" w:color="auto"/>
        <w:right w:val="none" w:sz="0" w:space="0" w:color="auto"/>
      </w:divBdr>
    </w:div>
    <w:div w:id="648679058">
      <w:bodyDiv w:val="1"/>
      <w:marLeft w:val="0"/>
      <w:marRight w:val="0"/>
      <w:marTop w:val="0"/>
      <w:marBottom w:val="0"/>
      <w:divBdr>
        <w:top w:val="none" w:sz="0" w:space="0" w:color="auto"/>
        <w:left w:val="none" w:sz="0" w:space="0" w:color="auto"/>
        <w:bottom w:val="none" w:sz="0" w:space="0" w:color="auto"/>
        <w:right w:val="none" w:sz="0" w:space="0" w:color="auto"/>
      </w:divBdr>
    </w:div>
    <w:div w:id="648680035">
      <w:bodyDiv w:val="1"/>
      <w:marLeft w:val="0"/>
      <w:marRight w:val="0"/>
      <w:marTop w:val="0"/>
      <w:marBottom w:val="0"/>
      <w:divBdr>
        <w:top w:val="none" w:sz="0" w:space="0" w:color="auto"/>
        <w:left w:val="none" w:sz="0" w:space="0" w:color="auto"/>
        <w:bottom w:val="none" w:sz="0" w:space="0" w:color="auto"/>
        <w:right w:val="none" w:sz="0" w:space="0" w:color="auto"/>
      </w:divBdr>
    </w:div>
    <w:div w:id="648705704">
      <w:bodyDiv w:val="1"/>
      <w:marLeft w:val="0"/>
      <w:marRight w:val="0"/>
      <w:marTop w:val="0"/>
      <w:marBottom w:val="0"/>
      <w:divBdr>
        <w:top w:val="none" w:sz="0" w:space="0" w:color="auto"/>
        <w:left w:val="none" w:sz="0" w:space="0" w:color="auto"/>
        <w:bottom w:val="none" w:sz="0" w:space="0" w:color="auto"/>
        <w:right w:val="none" w:sz="0" w:space="0" w:color="auto"/>
      </w:divBdr>
    </w:div>
    <w:div w:id="649793308">
      <w:bodyDiv w:val="1"/>
      <w:marLeft w:val="0"/>
      <w:marRight w:val="0"/>
      <w:marTop w:val="0"/>
      <w:marBottom w:val="0"/>
      <w:divBdr>
        <w:top w:val="none" w:sz="0" w:space="0" w:color="auto"/>
        <w:left w:val="none" w:sz="0" w:space="0" w:color="auto"/>
        <w:bottom w:val="none" w:sz="0" w:space="0" w:color="auto"/>
        <w:right w:val="none" w:sz="0" w:space="0" w:color="auto"/>
      </w:divBdr>
    </w:div>
    <w:div w:id="649871457">
      <w:bodyDiv w:val="1"/>
      <w:marLeft w:val="0"/>
      <w:marRight w:val="0"/>
      <w:marTop w:val="0"/>
      <w:marBottom w:val="0"/>
      <w:divBdr>
        <w:top w:val="none" w:sz="0" w:space="0" w:color="auto"/>
        <w:left w:val="none" w:sz="0" w:space="0" w:color="auto"/>
        <w:bottom w:val="none" w:sz="0" w:space="0" w:color="auto"/>
        <w:right w:val="none" w:sz="0" w:space="0" w:color="auto"/>
      </w:divBdr>
    </w:div>
    <w:div w:id="650209619">
      <w:bodyDiv w:val="1"/>
      <w:marLeft w:val="0"/>
      <w:marRight w:val="0"/>
      <w:marTop w:val="0"/>
      <w:marBottom w:val="0"/>
      <w:divBdr>
        <w:top w:val="none" w:sz="0" w:space="0" w:color="auto"/>
        <w:left w:val="none" w:sz="0" w:space="0" w:color="auto"/>
        <w:bottom w:val="none" w:sz="0" w:space="0" w:color="auto"/>
        <w:right w:val="none" w:sz="0" w:space="0" w:color="auto"/>
      </w:divBdr>
    </w:div>
    <w:div w:id="650527449">
      <w:bodyDiv w:val="1"/>
      <w:marLeft w:val="0"/>
      <w:marRight w:val="0"/>
      <w:marTop w:val="0"/>
      <w:marBottom w:val="0"/>
      <w:divBdr>
        <w:top w:val="none" w:sz="0" w:space="0" w:color="auto"/>
        <w:left w:val="none" w:sz="0" w:space="0" w:color="auto"/>
        <w:bottom w:val="none" w:sz="0" w:space="0" w:color="auto"/>
        <w:right w:val="none" w:sz="0" w:space="0" w:color="auto"/>
      </w:divBdr>
    </w:div>
    <w:div w:id="650793538">
      <w:bodyDiv w:val="1"/>
      <w:marLeft w:val="0"/>
      <w:marRight w:val="0"/>
      <w:marTop w:val="0"/>
      <w:marBottom w:val="0"/>
      <w:divBdr>
        <w:top w:val="none" w:sz="0" w:space="0" w:color="auto"/>
        <w:left w:val="none" w:sz="0" w:space="0" w:color="auto"/>
        <w:bottom w:val="none" w:sz="0" w:space="0" w:color="auto"/>
        <w:right w:val="none" w:sz="0" w:space="0" w:color="auto"/>
      </w:divBdr>
    </w:div>
    <w:div w:id="650907214">
      <w:bodyDiv w:val="1"/>
      <w:marLeft w:val="0"/>
      <w:marRight w:val="0"/>
      <w:marTop w:val="0"/>
      <w:marBottom w:val="0"/>
      <w:divBdr>
        <w:top w:val="none" w:sz="0" w:space="0" w:color="auto"/>
        <w:left w:val="none" w:sz="0" w:space="0" w:color="auto"/>
        <w:bottom w:val="none" w:sz="0" w:space="0" w:color="auto"/>
        <w:right w:val="none" w:sz="0" w:space="0" w:color="auto"/>
      </w:divBdr>
    </w:div>
    <w:div w:id="650915046">
      <w:bodyDiv w:val="1"/>
      <w:marLeft w:val="0"/>
      <w:marRight w:val="0"/>
      <w:marTop w:val="0"/>
      <w:marBottom w:val="0"/>
      <w:divBdr>
        <w:top w:val="none" w:sz="0" w:space="0" w:color="auto"/>
        <w:left w:val="none" w:sz="0" w:space="0" w:color="auto"/>
        <w:bottom w:val="none" w:sz="0" w:space="0" w:color="auto"/>
        <w:right w:val="none" w:sz="0" w:space="0" w:color="auto"/>
      </w:divBdr>
    </w:div>
    <w:div w:id="651131769">
      <w:bodyDiv w:val="1"/>
      <w:marLeft w:val="0"/>
      <w:marRight w:val="0"/>
      <w:marTop w:val="0"/>
      <w:marBottom w:val="0"/>
      <w:divBdr>
        <w:top w:val="none" w:sz="0" w:space="0" w:color="auto"/>
        <w:left w:val="none" w:sz="0" w:space="0" w:color="auto"/>
        <w:bottom w:val="none" w:sz="0" w:space="0" w:color="auto"/>
        <w:right w:val="none" w:sz="0" w:space="0" w:color="auto"/>
      </w:divBdr>
    </w:div>
    <w:div w:id="651180858">
      <w:bodyDiv w:val="1"/>
      <w:marLeft w:val="0"/>
      <w:marRight w:val="0"/>
      <w:marTop w:val="0"/>
      <w:marBottom w:val="0"/>
      <w:divBdr>
        <w:top w:val="none" w:sz="0" w:space="0" w:color="auto"/>
        <w:left w:val="none" w:sz="0" w:space="0" w:color="auto"/>
        <w:bottom w:val="none" w:sz="0" w:space="0" w:color="auto"/>
        <w:right w:val="none" w:sz="0" w:space="0" w:color="auto"/>
      </w:divBdr>
    </w:div>
    <w:div w:id="651494590">
      <w:bodyDiv w:val="1"/>
      <w:marLeft w:val="0"/>
      <w:marRight w:val="0"/>
      <w:marTop w:val="0"/>
      <w:marBottom w:val="0"/>
      <w:divBdr>
        <w:top w:val="none" w:sz="0" w:space="0" w:color="auto"/>
        <w:left w:val="none" w:sz="0" w:space="0" w:color="auto"/>
        <w:bottom w:val="none" w:sz="0" w:space="0" w:color="auto"/>
        <w:right w:val="none" w:sz="0" w:space="0" w:color="auto"/>
      </w:divBdr>
    </w:div>
    <w:div w:id="651762883">
      <w:bodyDiv w:val="1"/>
      <w:marLeft w:val="0"/>
      <w:marRight w:val="0"/>
      <w:marTop w:val="0"/>
      <w:marBottom w:val="0"/>
      <w:divBdr>
        <w:top w:val="none" w:sz="0" w:space="0" w:color="auto"/>
        <w:left w:val="none" w:sz="0" w:space="0" w:color="auto"/>
        <w:bottom w:val="none" w:sz="0" w:space="0" w:color="auto"/>
        <w:right w:val="none" w:sz="0" w:space="0" w:color="auto"/>
      </w:divBdr>
    </w:div>
    <w:div w:id="651911650">
      <w:bodyDiv w:val="1"/>
      <w:marLeft w:val="0"/>
      <w:marRight w:val="0"/>
      <w:marTop w:val="0"/>
      <w:marBottom w:val="0"/>
      <w:divBdr>
        <w:top w:val="none" w:sz="0" w:space="0" w:color="auto"/>
        <w:left w:val="none" w:sz="0" w:space="0" w:color="auto"/>
        <w:bottom w:val="none" w:sz="0" w:space="0" w:color="auto"/>
        <w:right w:val="none" w:sz="0" w:space="0" w:color="auto"/>
      </w:divBdr>
    </w:div>
    <w:div w:id="652370237">
      <w:bodyDiv w:val="1"/>
      <w:marLeft w:val="0"/>
      <w:marRight w:val="0"/>
      <w:marTop w:val="0"/>
      <w:marBottom w:val="0"/>
      <w:divBdr>
        <w:top w:val="none" w:sz="0" w:space="0" w:color="auto"/>
        <w:left w:val="none" w:sz="0" w:space="0" w:color="auto"/>
        <w:bottom w:val="none" w:sz="0" w:space="0" w:color="auto"/>
        <w:right w:val="none" w:sz="0" w:space="0" w:color="auto"/>
      </w:divBdr>
    </w:div>
    <w:div w:id="652804663">
      <w:bodyDiv w:val="1"/>
      <w:marLeft w:val="0"/>
      <w:marRight w:val="0"/>
      <w:marTop w:val="0"/>
      <w:marBottom w:val="0"/>
      <w:divBdr>
        <w:top w:val="none" w:sz="0" w:space="0" w:color="auto"/>
        <w:left w:val="none" w:sz="0" w:space="0" w:color="auto"/>
        <w:bottom w:val="none" w:sz="0" w:space="0" w:color="auto"/>
        <w:right w:val="none" w:sz="0" w:space="0" w:color="auto"/>
      </w:divBdr>
    </w:div>
    <w:div w:id="652871696">
      <w:bodyDiv w:val="1"/>
      <w:marLeft w:val="0"/>
      <w:marRight w:val="0"/>
      <w:marTop w:val="0"/>
      <w:marBottom w:val="0"/>
      <w:divBdr>
        <w:top w:val="none" w:sz="0" w:space="0" w:color="auto"/>
        <w:left w:val="none" w:sz="0" w:space="0" w:color="auto"/>
        <w:bottom w:val="none" w:sz="0" w:space="0" w:color="auto"/>
        <w:right w:val="none" w:sz="0" w:space="0" w:color="auto"/>
      </w:divBdr>
    </w:div>
    <w:div w:id="652947046">
      <w:bodyDiv w:val="1"/>
      <w:marLeft w:val="0"/>
      <w:marRight w:val="0"/>
      <w:marTop w:val="0"/>
      <w:marBottom w:val="0"/>
      <w:divBdr>
        <w:top w:val="none" w:sz="0" w:space="0" w:color="auto"/>
        <w:left w:val="none" w:sz="0" w:space="0" w:color="auto"/>
        <w:bottom w:val="none" w:sz="0" w:space="0" w:color="auto"/>
        <w:right w:val="none" w:sz="0" w:space="0" w:color="auto"/>
      </w:divBdr>
    </w:div>
    <w:div w:id="653216877">
      <w:bodyDiv w:val="1"/>
      <w:marLeft w:val="0"/>
      <w:marRight w:val="0"/>
      <w:marTop w:val="0"/>
      <w:marBottom w:val="0"/>
      <w:divBdr>
        <w:top w:val="none" w:sz="0" w:space="0" w:color="auto"/>
        <w:left w:val="none" w:sz="0" w:space="0" w:color="auto"/>
        <w:bottom w:val="none" w:sz="0" w:space="0" w:color="auto"/>
        <w:right w:val="none" w:sz="0" w:space="0" w:color="auto"/>
      </w:divBdr>
    </w:div>
    <w:div w:id="653220328">
      <w:bodyDiv w:val="1"/>
      <w:marLeft w:val="0"/>
      <w:marRight w:val="0"/>
      <w:marTop w:val="0"/>
      <w:marBottom w:val="0"/>
      <w:divBdr>
        <w:top w:val="none" w:sz="0" w:space="0" w:color="auto"/>
        <w:left w:val="none" w:sz="0" w:space="0" w:color="auto"/>
        <w:bottom w:val="none" w:sz="0" w:space="0" w:color="auto"/>
        <w:right w:val="none" w:sz="0" w:space="0" w:color="auto"/>
      </w:divBdr>
    </w:div>
    <w:div w:id="653726250">
      <w:bodyDiv w:val="1"/>
      <w:marLeft w:val="0"/>
      <w:marRight w:val="0"/>
      <w:marTop w:val="0"/>
      <w:marBottom w:val="0"/>
      <w:divBdr>
        <w:top w:val="none" w:sz="0" w:space="0" w:color="auto"/>
        <w:left w:val="none" w:sz="0" w:space="0" w:color="auto"/>
        <w:bottom w:val="none" w:sz="0" w:space="0" w:color="auto"/>
        <w:right w:val="none" w:sz="0" w:space="0" w:color="auto"/>
      </w:divBdr>
    </w:div>
    <w:div w:id="654190765">
      <w:bodyDiv w:val="1"/>
      <w:marLeft w:val="0"/>
      <w:marRight w:val="0"/>
      <w:marTop w:val="0"/>
      <w:marBottom w:val="0"/>
      <w:divBdr>
        <w:top w:val="none" w:sz="0" w:space="0" w:color="auto"/>
        <w:left w:val="none" w:sz="0" w:space="0" w:color="auto"/>
        <w:bottom w:val="none" w:sz="0" w:space="0" w:color="auto"/>
        <w:right w:val="none" w:sz="0" w:space="0" w:color="auto"/>
      </w:divBdr>
    </w:div>
    <w:div w:id="654726027">
      <w:bodyDiv w:val="1"/>
      <w:marLeft w:val="0"/>
      <w:marRight w:val="0"/>
      <w:marTop w:val="0"/>
      <w:marBottom w:val="0"/>
      <w:divBdr>
        <w:top w:val="none" w:sz="0" w:space="0" w:color="auto"/>
        <w:left w:val="none" w:sz="0" w:space="0" w:color="auto"/>
        <w:bottom w:val="none" w:sz="0" w:space="0" w:color="auto"/>
        <w:right w:val="none" w:sz="0" w:space="0" w:color="auto"/>
      </w:divBdr>
    </w:div>
    <w:div w:id="655572574">
      <w:bodyDiv w:val="1"/>
      <w:marLeft w:val="0"/>
      <w:marRight w:val="0"/>
      <w:marTop w:val="0"/>
      <w:marBottom w:val="0"/>
      <w:divBdr>
        <w:top w:val="none" w:sz="0" w:space="0" w:color="auto"/>
        <w:left w:val="none" w:sz="0" w:space="0" w:color="auto"/>
        <w:bottom w:val="none" w:sz="0" w:space="0" w:color="auto"/>
        <w:right w:val="none" w:sz="0" w:space="0" w:color="auto"/>
      </w:divBdr>
    </w:div>
    <w:div w:id="655649261">
      <w:bodyDiv w:val="1"/>
      <w:marLeft w:val="0"/>
      <w:marRight w:val="0"/>
      <w:marTop w:val="0"/>
      <w:marBottom w:val="0"/>
      <w:divBdr>
        <w:top w:val="none" w:sz="0" w:space="0" w:color="auto"/>
        <w:left w:val="none" w:sz="0" w:space="0" w:color="auto"/>
        <w:bottom w:val="none" w:sz="0" w:space="0" w:color="auto"/>
        <w:right w:val="none" w:sz="0" w:space="0" w:color="auto"/>
      </w:divBdr>
    </w:div>
    <w:div w:id="655688768">
      <w:bodyDiv w:val="1"/>
      <w:marLeft w:val="0"/>
      <w:marRight w:val="0"/>
      <w:marTop w:val="0"/>
      <w:marBottom w:val="0"/>
      <w:divBdr>
        <w:top w:val="none" w:sz="0" w:space="0" w:color="auto"/>
        <w:left w:val="none" w:sz="0" w:space="0" w:color="auto"/>
        <w:bottom w:val="none" w:sz="0" w:space="0" w:color="auto"/>
        <w:right w:val="none" w:sz="0" w:space="0" w:color="auto"/>
      </w:divBdr>
    </w:div>
    <w:div w:id="656301643">
      <w:bodyDiv w:val="1"/>
      <w:marLeft w:val="0"/>
      <w:marRight w:val="0"/>
      <w:marTop w:val="0"/>
      <w:marBottom w:val="0"/>
      <w:divBdr>
        <w:top w:val="none" w:sz="0" w:space="0" w:color="auto"/>
        <w:left w:val="none" w:sz="0" w:space="0" w:color="auto"/>
        <w:bottom w:val="none" w:sz="0" w:space="0" w:color="auto"/>
        <w:right w:val="none" w:sz="0" w:space="0" w:color="auto"/>
      </w:divBdr>
    </w:div>
    <w:div w:id="656346248">
      <w:bodyDiv w:val="1"/>
      <w:marLeft w:val="0"/>
      <w:marRight w:val="0"/>
      <w:marTop w:val="0"/>
      <w:marBottom w:val="0"/>
      <w:divBdr>
        <w:top w:val="none" w:sz="0" w:space="0" w:color="auto"/>
        <w:left w:val="none" w:sz="0" w:space="0" w:color="auto"/>
        <w:bottom w:val="none" w:sz="0" w:space="0" w:color="auto"/>
        <w:right w:val="none" w:sz="0" w:space="0" w:color="auto"/>
      </w:divBdr>
    </w:div>
    <w:div w:id="656417353">
      <w:bodyDiv w:val="1"/>
      <w:marLeft w:val="0"/>
      <w:marRight w:val="0"/>
      <w:marTop w:val="0"/>
      <w:marBottom w:val="0"/>
      <w:divBdr>
        <w:top w:val="none" w:sz="0" w:space="0" w:color="auto"/>
        <w:left w:val="none" w:sz="0" w:space="0" w:color="auto"/>
        <w:bottom w:val="none" w:sz="0" w:space="0" w:color="auto"/>
        <w:right w:val="none" w:sz="0" w:space="0" w:color="auto"/>
      </w:divBdr>
    </w:div>
    <w:div w:id="656567882">
      <w:bodyDiv w:val="1"/>
      <w:marLeft w:val="0"/>
      <w:marRight w:val="0"/>
      <w:marTop w:val="0"/>
      <w:marBottom w:val="0"/>
      <w:divBdr>
        <w:top w:val="none" w:sz="0" w:space="0" w:color="auto"/>
        <w:left w:val="none" w:sz="0" w:space="0" w:color="auto"/>
        <w:bottom w:val="none" w:sz="0" w:space="0" w:color="auto"/>
        <w:right w:val="none" w:sz="0" w:space="0" w:color="auto"/>
      </w:divBdr>
    </w:div>
    <w:div w:id="656959921">
      <w:bodyDiv w:val="1"/>
      <w:marLeft w:val="0"/>
      <w:marRight w:val="0"/>
      <w:marTop w:val="0"/>
      <w:marBottom w:val="0"/>
      <w:divBdr>
        <w:top w:val="none" w:sz="0" w:space="0" w:color="auto"/>
        <w:left w:val="none" w:sz="0" w:space="0" w:color="auto"/>
        <w:bottom w:val="none" w:sz="0" w:space="0" w:color="auto"/>
        <w:right w:val="none" w:sz="0" w:space="0" w:color="auto"/>
      </w:divBdr>
    </w:div>
    <w:div w:id="657225858">
      <w:bodyDiv w:val="1"/>
      <w:marLeft w:val="0"/>
      <w:marRight w:val="0"/>
      <w:marTop w:val="0"/>
      <w:marBottom w:val="0"/>
      <w:divBdr>
        <w:top w:val="none" w:sz="0" w:space="0" w:color="auto"/>
        <w:left w:val="none" w:sz="0" w:space="0" w:color="auto"/>
        <w:bottom w:val="none" w:sz="0" w:space="0" w:color="auto"/>
        <w:right w:val="none" w:sz="0" w:space="0" w:color="auto"/>
      </w:divBdr>
    </w:div>
    <w:div w:id="657271725">
      <w:bodyDiv w:val="1"/>
      <w:marLeft w:val="0"/>
      <w:marRight w:val="0"/>
      <w:marTop w:val="0"/>
      <w:marBottom w:val="0"/>
      <w:divBdr>
        <w:top w:val="none" w:sz="0" w:space="0" w:color="auto"/>
        <w:left w:val="none" w:sz="0" w:space="0" w:color="auto"/>
        <w:bottom w:val="none" w:sz="0" w:space="0" w:color="auto"/>
        <w:right w:val="none" w:sz="0" w:space="0" w:color="auto"/>
      </w:divBdr>
    </w:div>
    <w:div w:id="657340747">
      <w:bodyDiv w:val="1"/>
      <w:marLeft w:val="0"/>
      <w:marRight w:val="0"/>
      <w:marTop w:val="0"/>
      <w:marBottom w:val="0"/>
      <w:divBdr>
        <w:top w:val="none" w:sz="0" w:space="0" w:color="auto"/>
        <w:left w:val="none" w:sz="0" w:space="0" w:color="auto"/>
        <w:bottom w:val="none" w:sz="0" w:space="0" w:color="auto"/>
        <w:right w:val="none" w:sz="0" w:space="0" w:color="auto"/>
      </w:divBdr>
    </w:div>
    <w:div w:id="658079175">
      <w:bodyDiv w:val="1"/>
      <w:marLeft w:val="0"/>
      <w:marRight w:val="0"/>
      <w:marTop w:val="0"/>
      <w:marBottom w:val="0"/>
      <w:divBdr>
        <w:top w:val="none" w:sz="0" w:space="0" w:color="auto"/>
        <w:left w:val="none" w:sz="0" w:space="0" w:color="auto"/>
        <w:bottom w:val="none" w:sz="0" w:space="0" w:color="auto"/>
        <w:right w:val="none" w:sz="0" w:space="0" w:color="auto"/>
      </w:divBdr>
    </w:div>
    <w:div w:id="658120013">
      <w:bodyDiv w:val="1"/>
      <w:marLeft w:val="0"/>
      <w:marRight w:val="0"/>
      <w:marTop w:val="0"/>
      <w:marBottom w:val="0"/>
      <w:divBdr>
        <w:top w:val="none" w:sz="0" w:space="0" w:color="auto"/>
        <w:left w:val="none" w:sz="0" w:space="0" w:color="auto"/>
        <w:bottom w:val="none" w:sz="0" w:space="0" w:color="auto"/>
        <w:right w:val="none" w:sz="0" w:space="0" w:color="auto"/>
      </w:divBdr>
    </w:div>
    <w:div w:id="658194708">
      <w:bodyDiv w:val="1"/>
      <w:marLeft w:val="0"/>
      <w:marRight w:val="0"/>
      <w:marTop w:val="0"/>
      <w:marBottom w:val="0"/>
      <w:divBdr>
        <w:top w:val="none" w:sz="0" w:space="0" w:color="auto"/>
        <w:left w:val="none" w:sz="0" w:space="0" w:color="auto"/>
        <w:bottom w:val="none" w:sz="0" w:space="0" w:color="auto"/>
        <w:right w:val="none" w:sz="0" w:space="0" w:color="auto"/>
      </w:divBdr>
    </w:div>
    <w:div w:id="658537790">
      <w:bodyDiv w:val="1"/>
      <w:marLeft w:val="0"/>
      <w:marRight w:val="0"/>
      <w:marTop w:val="0"/>
      <w:marBottom w:val="0"/>
      <w:divBdr>
        <w:top w:val="none" w:sz="0" w:space="0" w:color="auto"/>
        <w:left w:val="none" w:sz="0" w:space="0" w:color="auto"/>
        <w:bottom w:val="none" w:sz="0" w:space="0" w:color="auto"/>
        <w:right w:val="none" w:sz="0" w:space="0" w:color="auto"/>
      </w:divBdr>
    </w:div>
    <w:div w:id="658971073">
      <w:bodyDiv w:val="1"/>
      <w:marLeft w:val="0"/>
      <w:marRight w:val="0"/>
      <w:marTop w:val="0"/>
      <w:marBottom w:val="0"/>
      <w:divBdr>
        <w:top w:val="none" w:sz="0" w:space="0" w:color="auto"/>
        <w:left w:val="none" w:sz="0" w:space="0" w:color="auto"/>
        <w:bottom w:val="none" w:sz="0" w:space="0" w:color="auto"/>
        <w:right w:val="none" w:sz="0" w:space="0" w:color="auto"/>
      </w:divBdr>
    </w:div>
    <w:div w:id="659038829">
      <w:bodyDiv w:val="1"/>
      <w:marLeft w:val="0"/>
      <w:marRight w:val="0"/>
      <w:marTop w:val="0"/>
      <w:marBottom w:val="0"/>
      <w:divBdr>
        <w:top w:val="none" w:sz="0" w:space="0" w:color="auto"/>
        <w:left w:val="none" w:sz="0" w:space="0" w:color="auto"/>
        <w:bottom w:val="none" w:sz="0" w:space="0" w:color="auto"/>
        <w:right w:val="none" w:sz="0" w:space="0" w:color="auto"/>
      </w:divBdr>
    </w:div>
    <w:div w:id="659192617">
      <w:bodyDiv w:val="1"/>
      <w:marLeft w:val="0"/>
      <w:marRight w:val="0"/>
      <w:marTop w:val="0"/>
      <w:marBottom w:val="0"/>
      <w:divBdr>
        <w:top w:val="none" w:sz="0" w:space="0" w:color="auto"/>
        <w:left w:val="none" w:sz="0" w:space="0" w:color="auto"/>
        <w:bottom w:val="none" w:sz="0" w:space="0" w:color="auto"/>
        <w:right w:val="none" w:sz="0" w:space="0" w:color="auto"/>
      </w:divBdr>
    </w:div>
    <w:div w:id="659315215">
      <w:bodyDiv w:val="1"/>
      <w:marLeft w:val="0"/>
      <w:marRight w:val="0"/>
      <w:marTop w:val="0"/>
      <w:marBottom w:val="0"/>
      <w:divBdr>
        <w:top w:val="none" w:sz="0" w:space="0" w:color="auto"/>
        <w:left w:val="none" w:sz="0" w:space="0" w:color="auto"/>
        <w:bottom w:val="none" w:sz="0" w:space="0" w:color="auto"/>
        <w:right w:val="none" w:sz="0" w:space="0" w:color="auto"/>
      </w:divBdr>
    </w:div>
    <w:div w:id="659506386">
      <w:bodyDiv w:val="1"/>
      <w:marLeft w:val="0"/>
      <w:marRight w:val="0"/>
      <w:marTop w:val="0"/>
      <w:marBottom w:val="0"/>
      <w:divBdr>
        <w:top w:val="none" w:sz="0" w:space="0" w:color="auto"/>
        <w:left w:val="none" w:sz="0" w:space="0" w:color="auto"/>
        <w:bottom w:val="none" w:sz="0" w:space="0" w:color="auto"/>
        <w:right w:val="none" w:sz="0" w:space="0" w:color="auto"/>
      </w:divBdr>
    </w:div>
    <w:div w:id="660232564">
      <w:bodyDiv w:val="1"/>
      <w:marLeft w:val="0"/>
      <w:marRight w:val="0"/>
      <w:marTop w:val="0"/>
      <w:marBottom w:val="0"/>
      <w:divBdr>
        <w:top w:val="none" w:sz="0" w:space="0" w:color="auto"/>
        <w:left w:val="none" w:sz="0" w:space="0" w:color="auto"/>
        <w:bottom w:val="none" w:sz="0" w:space="0" w:color="auto"/>
        <w:right w:val="none" w:sz="0" w:space="0" w:color="auto"/>
      </w:divBdr>
    </w:div>
    <w:div w:id="660892710">
      <w:bodyDiv w:val="1"/>
      <w:marLeft w:val="0"/>
      <w:marRight w:val="0"/>
      <w:marTop w:val="0"/>
      <w:marBottom w:val="0"/>
      <w:divBdr>
        <w:top w:val="none" w:sz="0" w:space="0" w:color="auto"/>
        <w:left w:val="none" w:sz="0" w:space="0" w:color="auto"/>
        <w:bottom w:val="none" w:sz="0" w:space="0" w:color="auto"/>
        <w:right w:val="none" w:sz="0" w:space="0" w:color="auto"/>
      </w:divBdr>
    </w:div>
    <w:div w:id="661079688">
      <w:bodyDiv w:val="1"/>
      <w:marLeft w:val="0"/>
      <w:marRight w:val="0"/>
      <w:marTop w:val="0"/>
      <w:marBottom w:val="0"/>
      <w:divBdr>
        <w:top w:val="none" w:sz="0" w:space="0" w:color="auto"/>
        <w:left w:val="none" w:sz="0" w:space="0" w:color="auto"/>
        <w:bottom w:val="none" w:sz="0" w:space="0" w:color="auto"/>
        <w:right w:val="none" w:sz="0" w:space="0" w:color="auto"/>
      </w:divBdr>
    </w:div>
    <w:div w:id="661276010">
      <w:bodyDiv w:val="1"/>
      <w:marLeft w:val="0"/>
      <w:marRight w:val="0"/>
      <w:marTop w:val="0"/>
      <w:marBottom w:val="0"/>
      <w:divBdr>
        <w:top w:val="none" w:sz="0" w:space="0" w:color="auto"/>
        <w:left w:val="none" w:sz="0" w:space="0" w:color="auto"/>
        <w:bottom w:val="none" w:sz="0" w:space="0" w:color="auto"/>
        <w:right w:val="none" w:sz="0" w:space="0" w:color="auto"/>
      </w:divBdr>
    </w:div>
    <w:div w:id="661391192">
      <w:bodyDiv w:val="1"/>
      <w:marLeft w:val="0"/>
      <w:marRight w:val="0"/>
      <w:marTop w:val="0"/>
      <w:marBottom w:val="0"/>
      <w:divBdr>
        <w:top w:val="none" w:sz="0" w:space="0" w:color="auto"/>
        <w:left w:val="none" w:sz="0" w:space="0" w:color="auto"/>
        <w:bottom w:val="none" w:sz="0" w:space="0" w:color="auto"/>
        <w:right w:val="none" w:sz="0" w:space="0" w:color="auto"/>
      </w:divBdr>
    </w:div>
    <w:div w:id="662048475">
      <w:bodyDiv w:val="1"/>
      <w:marLeft w:val="0"/>
      <w:marRight w:val="0"/>
      <w:marTop w:val="0"/>
      <w:marBottom w:val="0"/>
      <w:divBdr>
        <w:top w:val="none" w:sz="0" w:space="0" w:color="auto"/>
        <w:left w:val="none" w:sz="0" w:space="0" w:color="auto"/>
        <w:bottom w:val="none" w:sz="0" w:space="0" w:color="auto"/>
        <w:right w:val="none" w:sz="0" w:space="0" w:color="auto"/>
      </w:divBdr>
    </w:div>
    <w:div w:id="663123892">
      <w:bodyDiv w:val="1"/>
      <w:marLeft w:val="0"/>
      <w:marRight w:val="0"/>
      <w:marTop w:val="0"/>
      <w:marBottom w:val="0"/>
      <w:divBdr>
        <w:top w:val="none" w:sz="0" w:space="0" w:color="auto"/>
        <w:left w:val="none" w:sz="0" w:space="0" w:color="auto"/>
        <w:bottom w:val="none" w:sz="0" w:space="0" w:color="auto"/>
        <w:right w:val="none" w:sz="0" w:space="0" w:color="auto"/>
      </w:divBdr>
    </w:div>
    <w:div w:id="663314563">
      <w:bodyDiv w:val="1"/>
      <w:marLeft w:val="0"/>
      <w:marRight w:val="0"/>
      <w:marTop w:val="0"/>
      <w:marBottom w:val="0"/>
      <w:divBdr>
        <w:top w:val="none" w:sz="0" w:space="0" w:color="auto"/>
        <w:left w:val="none" w:sz="0" w:space="0" w:color="auto"/>
        <w:bottom w:val="none" w:sz="0" w:space="0" w:color="auto"/>
        <w:right w:val="none" w:sz="0" w:space="0" w:color="auto"/>
      </w:divBdr>
    </w:div>
    <w:div w:id="663512461">
      <w:bodyDiv w:val="1"/>
      <w:marLeft w:val="0"/>
      <w:marRight w:val="0"/>
      <w:marTop w:val="0"/>
      <w:marBottom w:val="0"/>
      <w:divBdr>
        <w:top w:val="none" w:sz="0" w:space="0" w:color="auto"/>
        <w:left w:val="none" w:sz="0" w:space="0" w:color="auto"/>
        <w:bottom w:val="none" w:sz="0" w:space="0" w:color="auto"/>
        <w:right w:val="none" w:sz="0" w:space="0" w:color="auto"/>
      </w:divBdr>
    </w:div>
    <w:div w:id="663775130">
      <w:bodyDiv w:val="1"/>
      <w:marLeft w:val="0"/>
      <w:marRight w:val="0"/>
      <w:marTop w:val="0"/>
      <w:marBottom w:val="0"/>
      <w:divBdr>
        <w:top w:val="none" w:sz="0" w:space="0" w:color="auto"/>
        <w:left w:val="none" w:sz="0" w:space="0" w:color="auto"/>
        <w:bottom w:val="none" w:sz="0" w:space="0" w:color="auto"/>
        <w:right w:val="none" w:sz="0" w:space="0" w:color="auto"/>
      </w:divBdr>
    </w:div>
    <w:div w:id="663776524">
      <w:bodyDiv w:val="1"/>
      <w:marLeft w:val="0"/>
      <w:marRight w:val="0"/>
      <w:marTop w:val="0"/>
      <w:marBottom w:val="0"/>
      <w:divBdr>
        <w:top w:val="none" w:sz="0" w:space="0" w:color="auto"/>
        <w:left w:val="none" w:sz="0" w:space="0" w:color="auto"/>
        <w:bottom w:val="none" w:sz="0" w:space="0" w:color="auto"/>
        <w:right w:val="none" w:sz="0" w:space="0" w:color="auto"/>
      </w:divBdr>
    </w:div>
    <w:div w:id="663820684">
      <w:bodyDiv w:val="1"/>
      <w:marLeft w:val="0"/>
      <w:marRight w:val="0"/>
      <w:marTop w:val="0"/>
      <w:marBottom w:val="0"/>
      <w:divBdr>
        <w:top w:val="none" w:sz="0" w:space="0" w:color="auto"/>
        <w:left w:val="none" w:sz="0" w:space="0" w:color="auto"/>
        <w:bottom w:val="none" w:sz="0" w:space="0" w:color="auto"/>
        <w:right w:val="none" w:sz="0" w:space="0" w:color="auto"/>
      </w:divBdr>
    </w:div>
    <w:div w:id="664434414">
      <w:bodyDiv w:val="1"/>
      <w:marLeft w:val="0"/>
      <w:marRight w:val="0"/>
      <w:marTop w:val="0"/>
      <w:marBottom w:val="0"/>
      <w:divBdr>
        <w:top w:val="none" w:sz="0" w:space="0" w:color="auto"/>
        <w:left w:val="none" w:sz="0" w:space="0" w:color="auto"/>
        <w:bottom w:val="none" w:sz="0" w:space="0" w:color="auto"/>
        <w:right w:val="none" w:sz="0" w:space="0" w:color="auto"/>
      </w:divBdr>
    </w:div>
    <w:div w:id="664624415">
      <w:bodyDiv w:val="1"/>
      <w:marLeft w:val="0"/>
      <w:marRight w:val="0"/>
      <w:marTop w:val="0"/>
      <w:marBottom w:val="0"/>
      <w:divBdr>
        <w:top w:val="none" w:sz="0" w:space="0" w:color="auto"/>
        <w:left w:val="none" w:sz="0" w:space="0" w:color="auto"/>
        <w:bottom w:val="none" w:sz="0" w:space="0" w:color="auto"/>
        <w:right w:val="none" w:sz="0" w:space="0" w:color="auto"/>
      </w:divBdr>
    </w:div>
    <w:div w:id="664867988">
      <w:bodyDiv w:val="1"/>
      <w:marLeft w:val="0"/>
      <w:marRight w:val="0"/>
      <w:marTop w:val="0"/>
      <w:marBottom w:val="0"/>
      <w:divBdr>
        <w:top w:val="none" w:sz="0" w:space="0" w:color="auto"/>
        <w:left w:val="none" w:sz="0" w:space="0" w:color="auto"/>
        <w:bottom w:val="none" w:sz="0" w:space="0" w:color="auto"/>
        <w:right w:val="none" w:sz="0" w:space="0" w:color="auto"/>
      </w:divBdr>
    </w:div>
    <w:div w:id="665594168">
      <w:bodyDiv w:val="1"/>
      <w:marLeft w:val="0"/>
      <w:marRight w:val="0"/>
      <w:marTop w:val="0"/>
      <w:marBottom w:val="0"/>
      <w:divBdr>
        <w:top w:val="none" w:sz="0" w:space="0" w:color="auto"/>
        <w:left w:val="none" w:sz="0" w:space="0" w:color="auto"/>
        <w:bottom w:val="none" w:sz="0" w:space="0" w:color="auto"/>
        <w:right w:val="none" w:sz="0" w:space="0" w:color="auto"/>
      </w:divBdr>
    </w:div>
    <w:div w:id="665715008">
      <w:bodyDiv w:val="1"/>
      <w:marLeft w:val="0"/>
      <w:marRight w:val="0"/>
      <w:marTop w:val="0"/>
      <w:marBottom w:val="0"/>
      <w:divBdr>
        <w:top w:val="none" w:sz="0" w:space="0" w:color="auto"/>
        <w:left w:val="none" w:sz="0" w:space="0" w:color="auto"/>
        <w:bottom w:val="none" w:sz="0" w:space="0" w:color="auto"/>
        <w:right w:val="none" w:sz="0" w:space="0" w:color="auto"/>
      </w:divBdr>
    </w:div>
    <w:div w:id="666173820">
      <w:bodyDiv w:val="1"/>
      <w:marLeft w:val="0"/>
      <w:marRight w:val="0"/>
      <w:marTop w:val="0"/>
      <w:marBottom w:val="0"/>
      <w:divBdr>
        <w:top w:val="none" w:sz="0" w:space="0" w:color="auto"/>
        <w:left w:val="none" w:sz="0" w:space="0" w:color="auto"/>
        <w:bottom w:val="none" w:sz="0" w:space="0" w:color="auto"/>
        <w:right w:val="none" w:sz="0" w:space="0" w:color="auto"/>
      </w:divBdr>
    </w:div>
    <w:div w:id="666246473">
      <w:bodyDiv w:val="1"/>
      <w:marLeft w:val="0"/>
      <w:marRight w:val="0"/>
      <w:marTop w:val="0"/>
      <w:marBottom w:val="0"/>
      <w:divBdr>
        <w:top w:val="none" w:sz="0" w:space="0" w:color="auto"/>
        <w:left w:val="none" w:sz="0" w:space="0" w:color="auto"/>
        <w:bottom w:val="none" w:sz="0" w:space="0" w:color="auto"/>
        <w:right w:val="none" w:sz="0" w:space="0" w:color="auto"/>
      </w:divBdr>
    </w:div>
    <w:div w:id="666517400">
      <w:bodyDiv w:val="1"/>
      <w:marLeft w:val="0"/>
      <w:marRight w:val="0"/>
      <w:marTop w:val="0"/>
      <w:marBottom w:val="0"/>
      <w:divBdr>
        <w:top w:val="none" w:sz="0" w:space="0" w:color="auto"/>
        <w:left w:val="none" w:sz="0" w:space="0" w:color="auto"/>
        <w:bottom w:val="none" w:sz="0" w:space="0" w:color="auto"/>
        <w:right w:val="none" w:sz="0" w:space="0" w:color="auto"/>
      </w:divBdr>
    </w:div>
    <w:div w:id="666518183">
      <w:bodyDiv w:val="1"/>
      <w:marLeft w:val="0"/>
      <w:marRight w:val="0"/>
      <w:marTop w:val="0"/>
      <w:marBottom w:val="0"/>
      <w:divBdr>
        <w:top w:val="none" w:sz="0" w:space="0" w:color="auto"/>
        <w:left w:val="none" w:sz="0" w:space="0" w:color="auto"/>
        <w:bottom w:val="none" w:sz="0" w:space="0" w:color="auto"/>
        <w:right w:val="none" w:sz="0" w:space="0" w:color="auto"/>
      </w:divBdr>
    </w:div>
    <w:div w:id="667174605">
      <w:bodyDiv w:val="1"/>
      <w:marLeft w:val="0"/>
      <w:marRight w:val="0"/>
      <w:marTop w:val="0"/>
      <w:marBottom w:val="0"/>
      <w:divBdr>
        <w:top w:val="none" w:sz="0" w:space="0" w:color="auto"/>
        <w:left w:val="none" w:sz="0" w:space="0" w:color="auto"/>
        <w:bottom w:val="none" w:sz="0" w:space="0" w:color="auto"/>
        <w:right w:val="none" w:sz="0" w:space="0" w:color="auto"/>
      </w:divBdr>
    </w:div>
    <w:div w:id="667293510">
      <w:bodyDiv w:val="1"/>
      <w:marLeft w:val="0"/>
      <w:marRight w:val="0"/>
      <w:marTop w:val="0"/>
      <w:marBottom w:val="0"/>
      <w:divBdr>
        <w:top w:val="none" w:sz="0" w:space="0" w:color="auto"/>
        <w:left w:val="none" w:sz="0" w:space="0" w:color="auto"/>
        <w:bottom w:val="none" w:sz="0" w:space="0" w:color="auto"/>
        <w:right w:val="none" w:sz="0" w:space="0" w:color="auto"/>
      </w:divBdr>
    </w:div>
    <w:div w:id="667637502">
      <w:bodyDiv w:val="1"/>
      <w:marLeft w:val="0"/>
      <w:marRight w:val="0"/>
      <w:marTop w:val="0"/>
      <w:marBottom w:val="0"/>
      <w:divBdr>
        <w:top w:val="none" w:sz="0" w:space="0" w:color="auto"/>
        <w:left w:val="none" w:sz="0" w:space="0" w:color="auto"/>
        <w:bottom w:val="none" w:sz="0" w:space="0" w:color="auto"/>
        <w:right w:val="none" w:sz="0" w:space="0" w:color="auto"/>
      </w:divBdr>
    </w:div>
    <w:div w:id="667681169">
      <w:bodyDiv w:val="1"/>
      <w:marLeft w:val="0"/>
      <w:marRight w:val="0"/>
      <w:marTop w:val="0"/>
      <w:marBottom w:val="0"/>
      <w:divBdr>
        <w:top w:val="none" w:sz="0" w:space="0" w:color="auto"/>
        <w:left w:val="none" w:sz="0" w:space="0" w:color="auto"/>
        <w:bottom w:val="none" w:sz="0" w:space="0" w:color="auto"/>
        <w:right w:val="none" w:sz="0" w:space="0" w:color="auto"/>
      </w:divBdr>
    </w:div>
    <w:div w:id="667831889">
      <w:bodyDiv w:val="1"/>
      <w:marLeft w:val="0"/>
      <w:marRight w:val="0"/>
      <w:marTop w:val="0"/>
      <w:marBottom w:val="0"/>
      <w:divBdr>
        <w:top w:val="none" w:sz="0" w:space="0" w:color="auto"/>
        <w:left w:val="none" w:sz="0" w:space="0" w:color="auto"/>
        <w:bottom w:val="none" w:sz="0" w:space="0" w:color="auto"/>
        <w:right w:val="none" w:sz="0" w:space="0" w:color="auto"/>
      </w:divBdr>
    </w:div>
    <w:div w:id="668210961">
      <w:bodyDiv w:val="1"/>
      <w:marLeft w:val="0"/>
      <w:marRight w:val="0"/>
      <w:marTop w:val="0"/>
      <w:marBottom w:val="0"/>
      <w:divBdr>
        <w:top w:val="none" w:sz="0" w:space="0" w:color="auto"/>
        <w:left w:val="none" w:sz="0" w:space="0" w:color="auto"/>
        <w:bottom w:val="none" w:sz="0" w:space="0" w:color="auto"/>
        <w:right w:val="none" w:sz="0" w:space="0" w:color="auto"/>
      </w:divBdr>
    </w:div>
    <w:div w:id="668942111">
      <w:bodyDiv w:val="1"/>
      <w:marLeft w:val="0"/>
      <w:marRight w:val="0"/>
      <w:marTop w:val="0"/>
      <w:marBottom w:val="0"/>
      <w:divBdr>
        <w:top w:val="none" w:sz="0" w:space="0" w:color="auto"/>
        <w:left w:val="none" w:sz="0" w:space="0" w:color="auto"/>
        <w:bottom w:val="none" w:sz="0" w:space="0" w:color="auto"/>
        <w:right w:val="none" w:sz="0" w:space="0" w:color="auto"/>
      </w:divBdr>
    </w:div>
    <w:div w:id="669261105">
      <w:bodyDiv w:val="1"/>
      <w:marLeft w:val="0"/>
      <w:marRight w:val="0"/>
      <w:marTop w:val="0"/>
      <w:marBottom w:val="0"/>
      <w:divBdr>
        <w:top w:val="none" w:sz="0" w:space="0" w:color="auto"/>
        <w:left w:val="none" w:sz="0" w:space="0" w:color="auto"/>
        <w:bottom w:val="none" w:sz="0" w:space="0" w:color="auto"/>
        <w:right w:val="none" w:sz="0" w:space="0" w:color="auto"/>
      </w:divBdr>
    </w:div>
    <w:div w:id="669715352">
      <w:bodyDiv w:val="1"/>
      <w:marLeft w:val="0"/>
      <w:marRight w:val="0"/>
      <w:marTop w:val="0"/>
      <w:marBottom w:val="0"/>
      <w:divBdr>
        <w:top w:val="none" w:sz="0" w:space="0" w:color="auto"/>
        <w:left w:val="none" w:sz="0" w:space="0" w:color="auto"/>
        <w:bottom w:val="none" w:sz="0" w:space="0" w:color="auto"/>
        <w:right w:val="none" w:sz="0" w:space="0" w:color="auto"/>
      </w:divBdr>
    </w:div>
    <w:div w:id="669716433">
      <w:bodyDiv w:val="1"/>
      <w:marLeft w:val="0"/>
      <w:marRight w:val="0"/>
      <w:marTop w:val="0"/>
      <w:marBottom w:val="0"/>
      <w:divBdr>
        <w:top w:val="none" w:sz="0" w:space="0" w:color="auto"/>
        <w:left w:val="none" w:sz="0" w:space="0" w:color="auto"/>
        <w:bottom w:val="none" w:sz="0" w:space="0" w:color="auto"/>
        <w:right w:val="none" w:sz="0" w:space="0" w:color="auto"/>
      </w:divBdr>
    </w:div>
    <w:div w:id="670766081">
      <w:bodyDiv w:val="1"/>
      <w:marLeft w:val="0"/>
      <w:marRight w:val="0"/>
      <w:marTop w:val="0"/>
      <w:marBottom w:val="0"/>
      <w:divBdr>
        <w:top w:val="none" w:sz="0" w:space="0" w:color="auto"/>
        <w:left w:val="none" w:sz="0" w:space="0" w:color="auto"/>
        <w:bottom w:val="none" w:sz="0" w:space="0" w:color="auto"/>
        <w:right w:val="none" w:sz="0" w:space="0" w:color="auto"/>
      </w:divBdr>
    </w:div>
    <w:div w:id="670832544">
      <w:bodyDiv w:val="1"/>
      <w:marLeft w:val="0"/>
      <w:marRight w:val="0"/>
      <w:marTop w:val="0"/>
      <w:marBottom w:val="0"/>
      <w:divBdr>
        <w:top w:val="none" w:sz="0" w:space="0" w:color="auto"/>
        <w:left w:val="none" w:sz="0" w:space="0" w:color="auto"/>
        <w:bottom w:val="none" w:sz="0" w:space="0" w:color="auto"/>
        <w:right w:val="none" w:sz="0" w:space="0" w:color="auto"/>
      </w:divBdr>
    </w:div>
    <w:div w:id="671033667">
      <w:bodyDiv w:val="1"/>
      <w:marLeft w:val="0"/>
      <w:marRight w:val="0"/>
      <w:marTop w:val="0"/>
      <w:marBottom w:val="0"/>
      <w:divBdr>
        <w:top w:val="none" w:sz="0" w:space="0" w:color="auto"/>
        <w:left w:val="none" w:sz="0" w:space="0" w:color="auto"/>
        <w:bottom w:val="none" w:sz="0" w:space="0" w:color="auto"/>
        <w:right w:val="none" w:sz="0" w:space="0" w:color="auto"/>
      </w:divBdr>
    </w:div>
    <w:div w:id="671225787">
      <w:bodyDiv w:val="1"/>
      <w:marLeft w:val="0"/>
      <w:marRight w:val="0"/>
      <w:marTop w:val="0"/>
      <w:marBottom w:val="0"/>
      <w:divBdr>
        <w:top w:val="none" w:sz="0" w:space="0" w:color="auto"/>
        <w:left w:val="none" w:sz="0" w:space="0" w:color="auto"/>
        <w:bottom w:val="none" w:sz="0" w:space="0" w:color="auto"/>
        <w:right w:val="none" w:sz="0" w:space="0" w:color="auto"/>
      </w:divBdr>
    </w:div>
    <w:div w:id="671372222">
      <w:bodyDiv w:val="1"/>
      <w:marLeft w:val="0"/>
      <w:marRight w:val="0"/>
      <w:marTop w:val="0"/>
      <w:marBottom w:val="0"/>
      <w:divBdr>
        <w:top w:val="none" w:sz="0" w:space="0" w:color="auto"/>
        <w:left w:val="none" w:sz="0" w:space="0" w:color="auto"/>
        <w:bottom w:val="none" w:sz="0" w:space="0" w:color="auto"/>
        <w:right w:val="none" w:sz="0" w:space="0" w:color="auto"/>
      </w:divBdr>
    </w:div>
    <w:div w:id="671419348">
      <w:bodyDiv w:val="1"/>
      <w:marLeft w:val="0"/>
      <w:marRight w:val="0"/>
      <w:marTop w:val="0"/>
      <w:marBottom w:val="0"/>
      <w:divBdr>
        <w:top w:val="none" w:sz="0" w:space="0" w:color="auto"/>
        <w:left w:val="none" w:sz="0" w:space="0" w:color="auto"/>
        <w:bottom w:val="none" w:sz="0" w:space="0" w:color="auto"/>
        <w:right w:val="none" w:sz="0" w:space="0" w:color="auto"/>
      </w:divBdr>
    </w:div>
    <w:div w:id="671490441">
      <w:bodyDiv w:val="1"/>
      <w:marLeft w:val="0"/>
      <w:marRight w:val="0"/>
      <w:marTop w:val="0"/>
      <w:marBottom w:val="0"/>
      <w:divBdr>
        <w:top w:val="none" w:sz="0" w:space="0" w:color="auto"/>
        <w:left w:val="none" w:sz="0" w:space="0" w:color="auto"/>
        <w:bottom w:val="none" w:sz="0" w:space="0" w:color="auto"/>
        <w:right w:val="none" w:sz="0" w:space="0" w:color="auto"/>
      </w:divBdr>
    </w:div>
    <w:div w:id="671683540">
      <w:bodyDiv w:val="1"/>
      <w:marLeft w:val="0"/>
      <w:marRight w:val="0"/>
      <w:marTop w:val="0"/>
      <w:marBottom w:val="0"/>
      <w:divBdr>
        <w:top w:val="none" w:sz="0" w:space="0" w:color="auto"/>
        <w:left w:val="none" w:sz="0" w:space="0" w:color="auto"/>
        <w:bottom w:val="none" w:sz="0" w:space="0" w:color="auto"/>
        <w:right w:val="none" w:sz="0" w:space="0" w:color="auto"/>
      </w:divBdr>
    </w:div>
    <w:div w:id="672030012">
      <w:bodyDiv w:val="1"/>
      <w:marLeft w:val="0"/>
      <w:marRight w:val="0"/>
      <w:marTop w:val="0"/>
      <w:marBottom w:val="0"/>
      <w:divBdr>
        <w:top w:val="none" w:sz="0" w:space="0" w:color="auto"/>
        <w:left w:val="none" w:sz="0" w:space="0" w:color="auto"/>
        <w:bottom w:val="none" w:sz="0" w:space="0" w:color="auto"/>
        <w:right w:val="none" w:sz="0" w:space="0" w:color="auto"/>
      </w:divBdr>
    </w:div>
    <w:div w:id="672341859">
      <w:bodyDiv w:val="1"/>
      <w:marLeft w:val="0"/>
      <w:marRight w:val="0"/>
      <w:marTop w:val="0"/>
      <w:marBottom w:val="0"/>
      <w:divBdr>
        <w:top w:val="none" w:sz="0" w:space="0" w:color="auto"/>
        <w:left w:val="none" w:sz="0" w:space="0" w:color="auto"/>
        <w:bottom w:val="none" w:sz="0" w:space="0" w:color="auto"/>
        <w:right w:val="none" w:sz="0" w:space="0" w:color="auto"/>
      </w:divBdr>
    </w:div>
    <w:div w:id="672418012">
      <w:bodyDiv w:val="1"/>
      <w:marLeft w:val="0"/>
      <w:marRight w:val="0"/>
      <w:marTop w:val="0"/>
      <w:marBottom w:val="0"/>
      <w:divBdr>
        <w:top w:val="none" w:sz="0" w:space="0" w:color="auto"/>
        <w:left w:val="none" w:sz="0" w:space="0" w:color="auto"/>
        <w:bottom w:val="none" w:sz="0" w:space="0" w:color="auto"/>
        <w:right w:val="none" w:sz="0" w:space="0" w:color="auto"/>
      </w:divBdr>
    </w:div>
    <w:div w:id="672493592">
      <w:bodyDiv w:val="1"/>
      <w:marLeft w:val="0"/>
      <w:marRight w:val="0"/>
      <w:marTop w:val="0"/>
      <w:marBottom w:val="0"/>
      <w:divBdr>
        <w:top w:val="none" w:sz="0" w:space="0" w:color="auto"/>
        <w:left w:val="none" w:sz="0" w:space="0" w:color="auto"/>
        <w:bottom w:val="none" w:sz="0" w:space="0" w:color="auto"/>
        <w:right w:val="none" w:sz="0" w:space="0" w:color="auto"/>
      </w:divBdr>
    </w:div>
    <w:div w:id="672757742">
      <w:bodyDiv w:val="1"/>
      <w:marLeft w:val="0"/>
      <w:marRight w:val="0"/>
      <w:marTop w:val="0"/>
      <w:marBottom w:val="0"/>
      <w:divBdr>
        <w:top w:val="none" w:sz="0" w:space="0" w:color="auto"/>
        <w:left w:val="none" w:sz="0" w:space="0" w:color="auto"/>
        <w:bottom w:val="none" w:sz="0" w:space="0" w:color="auto"/>
        <w:right w:val="none" w:sz="0" w:space="0" w:color="auto"/>
      </w:divBdr>
    </w:div>
    <w:div w:id="672802765">
      <w:bodyDiv w:val="1"/>
      <w:marLeft w:val="0"/>
      <w:marRight w:val="0"/>
      <w:marTop w:val="0"/>
      <w:marBottom w:val="0"/>
      <w:divBdr>
        <w:top w:val="none" w:sz="0" w:space="0" w:color="auto"/>
        <w:left w:val="none" w:sz="0" w:space="0" w:color="auto"/>
        <w:bottom w:val="none" w:sz="0" w:space="0" w:color="auto"/>
        <w:right w:val="none" w:sz="0" w:space="0" w:color="auto"/>
      </w:divBdr>
    </w:div>
    <w:div w:id="673412955">
      <w:bodyDiv w:val="1"/>
      <w:marLeft w:val="0"/>
      <w:marRight w:val="0"/>
      <w:marTop w:val="0"/>
      <w:marBottom w:val="0"/>
      <w:divBdr>
        <w:top w:val="none" w:sz="0" w:space="0" w:color="auto"/>
        <w:left w:val="none" w:sz="0" w:space="0" w:color="auto"/>
        <w:bottom w:val="none" w:sz="0" w:space="0" w:color="auto"/>
        <w:right w:val="none" w:sz="0" w:space="0" w:color="auto"/>
      </w:divBdr>
    </w:div>
    <w:div w:id="673800997">
      <w:bodyDiv w:val="1"/>
      <w:marLeft w:val="0"/>
      <w:marRight w:val="0"/>
      <w:marTop w:val="0"/>
      <w:marBottom w:val="0"/>
      <w:divBdr>
        <w:top w:val="none" w:sz="0" w:space="0" w:color="auto"/>
        <w:left w:val="none" w:sz="0" w:space="0" w:color="auto"/>
        <w:bottom w:val="none" w:sz="0" w:space="0" w:color="auto"/>
        <w:right w:val="none" w:sz="0" w:space="0" w:color="auto"/>
      </w:divBdr>
    </w:div>
    <w:div w:id="674577798">
      <w:bodyDiv w:val="1"/>
      <w:marLeft w:val="0"/>
      <w:marRight w:val="0"/>
      <w:marTop w:val="0"/>
      <w:marBottom w:val="0"/>
      <w:divBdr>
        <w:top w:val="none" w:sz="0" w:space="0" w:color="auto"/>
        <w:left w:val="none" w:sz="0" w:space="0" w:color="auto"/>
        <w:bottom w:val="none" w:sz="0" w:space="0" w:color="auto"/>
        <w:right w:val="none" w:sz="0" w:space="0" w:color="auto"/>
      </w:divBdr>
    </w:div>
    <w:div w:id="675226833">
      <w:bodyDiv w:val="1"/>
      <w:marLeft w:val="0"/>
      <w:marRight w:val="0"/>
      <w:marTop w:val="0"/>
      <w:marBottom w:val="0"/>
      <w:divBdr>
        <w:top w:val="none" w:sz="0" w:space="0" w:color="auto"/>
        <w:left w:val="none" w:sz="0" w:space="0" w:color="auto"/>
        <w:bottom w:val="none" w:sz="0" w:space="0" w:color="auto"/>
        <w:right w:val="none" w:sz="0" w:space="0" w:color="auto"/>
      </w:divBdr>
    </w:div>
    <w:div w:id="675306035">
      <w:bodyDiv w:val="1"/>
      <w:marLeft w:val="0"/>
      <w:marRight w:val="0"/>
      <w:marTop w:val="0"/>
      <w:marBottom w:val="0"/>
      <w:divBdr>
        <w:top w:val="none" w:sz="0" w:space="0" w:color="auto"/>
        <w:left w:val="none" w:sz="0" w:space="0" w:color="auto"/>
        <w:bottom w:val="none" w:sz="0" w:space="0" w:color="auto"/>
        <w:right w:val="none" w:sz="0" w:space="0" w:color="auto"/>
      </w:divBdr>
    </w:div>
    <w:div w:id="675958645">
      <w:bodyDiv w:val="1"/>
      <w:marLeft w:val="0"/>
      <w:marRight w:val="0"/>
      <w:marTop w:val="0"/>
      <w:marBottom w:val="0"/>
      <w:divBdr>
        <w:top w:val="none" w:sz="0" w:space="0" w:color="auto"/>
        <w:left w:val="none" w:sz="0" w:space="0" w:color="auto"/>
        <w:bottom w:val="none" w:sz="0" w:space="0" w:color="auto"/>
        <w:right w:val="none" w:sz="0" w:space="0" w:color="auto"/>
      </w:divBdr>
    </w:div>
    <w:div w:id="677193899">
      <w:bodyDiv w:val="1"/>
      <w:marLeft w:val="0"/>
      <w:marRight w:val="0"/>
      <w:marTop w:val="0"/>
      <w:marBottom w:val="0"/>
      <w:divBdr>
        <w:top w:val="none" w:sz="0" w:space="0" w:color="auto"/>
        <w:left w:val="none" w:sz="0" w:space="0" w:color="auto"/>
        <w:bottom w:val="none" w:sz="0" w:space="0" w:color="auto"/>
        <w:right w:val="none" w:sz="0" w:space="0" w:color="auto"/>
      </w:divBdr>
    </w:div>
    <w:div w:id="677537024">
      <w:bodyDiv w:val="1"/>
      <w:marLeft w:val="0"/>
      <w:marRight w:val="0"/>
      <w:marTop w:val="0"/>
      <w:marBottom w:val="0"/>
      <w:divBdr>
        <w:top w:val="none" w:sz="0" w:space="0" w:color="auto"/>
        <w:left w:val="none" w:sz="0" w:space="0" w:color="auto"/>
        <w:bottom w:val="none" w:sz="0" w:space="0" w:color="auto"/>
        <w:right w:val="none" w:sz="0" w:space="0" w:color="auto"/>
      </w:divBdr>
    </w:div>
    <w:div w:id="678041088">
      <w:bodyDiv w:val="1"/>
      <w:marLeft w:val="0"/>
      <w:marRight w:val="0"/>
      <w:marTop w:val="0"/>
      <w:marBottom w:val="0"/>
      <w:divBdr>
        <w:top w:val="none" w:sz="0" w:space="0" w:color="auto"/>
        <w:left w:val="none" w:sz="0" w:space="0" w:color="auto"/>
        <w:bottom w:val="none" w:sz="0" w:space="0" w:color="auto"/>
        <w:right w:val="none" w:sz="0" w:space="0" w:color="auto"/>
      </w:divBdr>
    </w:div>
    <w:div w:id="678122584">
      <w:bodyDiv w:val="1"/>
      <w:marLeft w:val="0"/>
      <w:marRight w:val="0"/>
      <w:marTop w:val="0"/>
      <w:marBottom w:val="0"/>
      <w:divBdr>
        <w:top w:val="none" w:sz="0" w:space="0" w:color="auto"/>
        <w:left w:val="none" w:sz="0" w:space="0" w:color="auto"/>
        <w:bottom w:val="none" w:sz="0" w:space="0" w:color="auto"/>
        <w:right w:val="none" w:sz="0" w:space="0" w:color="auto"/>
      </w:divBdr>
    </w:div>
    <w:div w:id="678233657">
      <w:bodyDiv w:val="1"/>
      <w:marLeft w:val="0"/>
      <w:marRight w:val="0"/>
      <w:marTop w:val="0"/>
      <w:marBottom w:val="0"/>
      <w:divBdr>
        <w:top w:val="none" w:sz="0" w:space="0" w:color="auto"/>
        <w:left w:val="none" w:sz="0" w:space="0" w:color="auto"/>
        <w:bottom w:val="none" w:sz="0" w:space="0" w:color="auto"/>
        <w:right w:val="none" w:sz="0" w:space="0" w:color="auto"/>
      </w:divBdr>
    </w:div>
    <w:div w:id="678697306">
      <w:bodyDiv w:val="1"/>
      <w:marLeft w:val="0"/>
      <w:marRight w:val="0"/>
      <w:marTop w:val="0"/>
      <w:marBottom w:val="0"/>
      <w:divBdr>
        <w:top w:val="none" w:sz="0" w:space="0" w:color="auto"/>
        <w:left w:val="none" w:sz="0" w:space="0" w:color="auto"/>
        <w:bottom w:val="none" w:sz="0" w:space="0" w:color="auto"/>
        <w:right w:val="none" w:sz="0" w:space="0" w:color="auto"/>
      </w:divBdr>
    </w:div>
    <w:div w:id="679232975">
      <w:bodyDiv w:val="1"/>
      <w:marLeft w:val="0"/>
      <w:marRight w:val="0"/>
      <w:marTop w:val="0"/>
      <w:marBottom w:val="0"/>
      <w:divBdr>
        <w:top w:val="none" w:sz="0" w:space="0" w:color="auto"/>
        <w:left w:val="none" w:sz="0" w:space="0" w:color="auto"/>
        <w:bottom w:val="none" w:sz="0" w:space="0" w:color="auto"/>
        <w:right w:val="none" w:sz="0" w:space="0" w:color="auto"/>
      </w:divBdr>
    </w:div>
    <w:div w:id="679504673">
      <w:bodyDiv w:val="1"/>
      <w:marLeft w:val="0"/>
      <w:marRight w:val="0"/>
      <w:marTop w:val="0"/>
      <w:marBottom w:val="0"/>
      <w:divBdr>
        <w:top w:val="none" w:sz="0" w:space="0" w:color="auto"/>
        <w:left w:val="none" w:sz="0" w:space="0" w:color="auto"/>
        <w:bottom w:val="none" w:sz="0" w:space="0" w:color="auto"/>
        <w:right w:val="none" w:sz="0" w:space="0" w:color="auto"/>
      </w:divBdr>
    </w:div>
    <w:div w:id="679544982">
      <w:bodyDiv w:val="1"/>
      <w:marLeft w:val="0"/>
      <w:marRight w:val="0"/>
      <w:marTop w:val="0"/>
      <w:marBottom w:val="0"/>
      <w:divBdr>
        <w:top w:val="none" w:sz="0" w:space="0" w:color="auto"/>
        <w:left w:val="none" w:sz="0" w:space="0" w:color="auto"/>
        <w:bottom w:val="none" w:sz="0" w:space="0" w:color="auto"/>
        <w:right w:val="none" w:sz="0" w:space="0" w:color="auto"/>
      </w:divBdr>
    </w:div>
    <w:div w:id="679816574">
      <w:bodyDiv w:val="1"/>
      <w:marLeft w:val="0"/>
      <w:marRight w:val="0"/>
      <w:marTop w:val="0"/>
      <w:marBottom w:val="0"/>
      <w:divBdr>
        <w:top w:val="none" w:sz="0" w:space="0" w:color="auto"/>
        <w:left w:val="none" w:sz="0" w:space="0" w:color="auto"/>
        <w:bottom w:val="none" w:sz="0" w:space="0" w:color="auto"/>
        <w:right w:val="none" w:sz="0" w:space="0" w:color="auto"/>
      </w:divBdr>
    </w:div>
    <w:div w:id="679968691">
      <w:bodyDiv w:val="1"/>
      <w:marLeft w:val="0"/>
      <w:marRight w:val="0"/>
      <w:marTop w:val="0"/>
      <w:marBottom w:val="0"/>
      <w:divBdr>
        <w:top w:val="none" w:sz="0" w:space="0" w:color="auto"/>
        <w:left w:val="none" w:sz="0" w:space="0" w:color="auto"/>
        <w:bottom w:val="none" w:sz="0" w:space="0" w:color="auto"/>
        <w:right w:val="none" w:sz="0" w:space="0" w:color="auto"/>
      </w:divBdr>
    </w:div>
    <w:div w:id="680739007">
      <w:bodyDiv w:val="1"/>
      <w:marLeft w:val="0"/>
      <w:marRight w:val="0"/>
      <w:marTop w:val="0"/>
      <w:marBottom w:val="0"/>
      <w:divBdr>
        <w:top w:val="none" w:sz="0" w:space="0" w:color="auto"/>
        <w:left w:val="none" w:sz="0" w:space="0" w:color="auto"/>
        <w:bottom w:val="none" w:sz="0" w:space="0" w:color="auto"/>
        <w:right w:val="none" w:sz="0" w:space="0" w:color="auto"/>
      </w:divBdr>
    </w:div>
    <w:div w:id="680933443">
      <w:bodyDiv w:val="1"/>
      <w:marLeft w:val="0"/>
      <w:marRight w:val="0"/>
      <w:marTop w:val="0"/>
      <w:marBottom w:val="0"/>
      <w:divBdr>
        <w:top w:val="none" w:sz="0" w:space="0" w:color="auto"/>
        <w:left w:val="none" w:sz="0" w:space="0" w:color="auto"/>
        <w:bottom w:val="none" w:sz="0" w:space="0" w:color="auto"/>
        <w:right w:val="none" w:sz="0" w:space="0" w:color="auto"/>
      </w:divBdr>
    </w:div>
    <w:div w:id="681516522">
      <w:bodyDiv w:val="1"/>
      <w:marLeft w:val="0"/>
      <w:marRight w:val="0"/>
      <w:marTop w:val="0"/>
      <w:marBottom w:val="0"/>
      <w:divBdr>
        <w:top w:val="none" w:sz="0" w:space="0" w:color="auto"/>
        <w:left w:val="none" w:sz="0" w:space="0" w:color="auto"/>
        <w:bottom w:val="none" w:sz="0" w:space="0" w:color="auto"/>
        <w:right w:val="none" w:sz="0" w:space="0" w:color="auto"/>
      </w:divBdr>
    </w:div>
    <w:div w:id="681931687">
      <w:bodyDiv w:val="1"/>
      <w:marLeft w:val="0"/>
      <w:marRight w:val="0"/>
      <w:marTop w:val="0"/>
      <w:marBottom w:val="0"/>
      <w:divBdr>
        <w:top w:val="none" w:sz="0" w:space="0" w:color="auto"/>
        <w:left w:val="none" w:sz="0" w:space="0" w:color="auto"/>
        <w:bottom w:val="none" w:sz="0" w:space="0" w:color="auto"/>
        <w:right w:val="none" w:sz="0" w:space="0" w:color="auto"/>
      </w:divBdr>
    </w:div>
    <w:div w:id="682434142">
      <w:bodyDiv w:val="1"/>
      <w:marLeft w:val="0"/>
      <w:marRight w:val="0"/>
      <w:marTop w:val="0"/>
      <w:marBottom w:val="0"/>
      <w:divBdr>
        <w:top w:val="none" w:sz="0" w:space="0" w:color="auto"/>
        <w:left w:val="none" w:sz="0" w:space="0" w:color="auto"/>
        <w:bottom w:val="none" w:sz="0" w:space="0" w:color="auto"/>
        <w:right w:val="none" w:sz="0" w:space="0" w:color="auto"/>
      </w:divBdr>
    </w:div>
    <w:div w:id="683213543">
      <w:bodyDiv w:val="1"/>
      <w:marLeft w:val="0"/>
      <w:marRight w:val="0"/>
      <w:marTop w:val="0"/>
      <w:marBottom w:val="0"/>
      <w:divBdr>
        <w:top w:val="none" w:sz="0" w:space="0" w:color="auto"/>
        <w:left w:val="none" w:sz="0" w:space="0" w:color="auto"/>
        <w:bottom w:val="none" w:sz="0" w:space="0" w:color="auto"/>
        <w:right w:val="none" w:sz="0" w:space="0" w:color="auto"/>
      </w:divBdr>
    </w:div>
    <w:div w:id="683364724">
      <w:bodyDiv w:val="1"/>
      <w:marLeft w:val="0"/>
      <w:marRight w:val="0"/>
      <w:marTop w:val="0"/>
      <w:marBottom w:val="0"/>
      <w:divBdr>
        <w:top w:val="none" w:sz="0" w:space="0" w:color="auto"/>
        <w:left w:val="none" w:sz="0" w:space="0" w:color="auto"/>
        <w:bottom w:val="none" w:sz="0" w:space="0" w:color="auto"/>
        <w:right w:val="none" w:sz="0" w:space="0" w:color="auto"/>
      </w:divBdr>
    </w:div>
    <w:div w:id="683555829">
      <w:bodyDiv w:val="1"/>
      <w:marLeft w:val="0"/>
      <w:marRight w:val="0"/>
      <w:marTop w:val="0"/>
      <w:marBottom w:val="0"/>
      <w:divBdr>
        <w:top w:val="none" w:sz="0" w:space="0" w:color="auto"/>
        <w:left w:val="none" w:sz="0" w:space="0" w:color="auto"/>
        <w:bottom w:val="none" w:sz="0" w:space="0" w:color="auto"/>
        <w:right w:val="none" w:sz="0" w:space="0" w:color="auto"/>
      </w:divBdr>
    </w:div>
    <w:div w:id="684134245">
      <w:bodyDiv w:val="1"/>
      <w:marLeft w:val="0"/>
      <w:marRight w:val="0"/>
      <w:marTop w:val="0"/>
      <w:marBottom w:val="0"/>
      <w:divBdr>
        <w:top w:val="none" w:sz="0" w:space="0" w:color="auto"/>
        <w:left w:val="none" w:sz="0" w:space="0" w:color="auto"/>
        <w:bottom w:val="none" w:sz="0" w:space="0" w:color="auto"/>
        <w:right w:val="none" w:sz="0" w:space="0" w:color="auto"/>
      </w:divBdr>
    </w:div>
    <w:div w:id="684288965">
      <w:bodyDiv w:val="1"/>
      <w:marLeft w:val="0"/>
      <w:marRight w:val="0"/>
      <w:marTop w:val="0"/>
      <w:marBottom w:val="0"/>
      <w:divBdr>
        <w:top w:val="none" w:sz="0" w:space="0" w:color="auto"/>
        <w:left w:val="none" w:sz="0" w:space="0" w:color="auto"/>
        <w:bottom w:val="none" w:sz="0" w:space="0" w:color="auto"/>
        <w:right w:val="none" w:sz="0" w:space="0" w:color="auto"/>
      </w:divBdr>
    </w:div>
    <w:div w:id="685710387">
      <w:bodyDiv w:val="1"/>
      <w:marLeft w:val="0"/>
      <w:marRight w:val="0"/>
      <w:marTop w:val="0"/>
      <w:marBottom w:val="0"/>
      <w:divBdr>
        <w:top w:val="none" w:sz="0" w:space="0" w:color="auto"/>
        <w:left w:val="none" w:sz="0" w:space="0" w:color="auto"/>
        <w:bottom w:val="none" w:sz="0" w:space="0" w:color="auto"/>
        <w:right w:val="none" w:sz="0" w:space="0" w:color="auto"/>
      </w:divBdr>
    </w:div>
    <w:div w:id="685981049">
      <w:bodyDiv w:val="1"/>
      <w:marLeft w:val="0"/>
      <w:marRight w:val="0"/>
      <w:marTop w:val="0"/>
      <w:marBottom w:val="0"/>
      <w:divBdr>
        <w:top w:val="none" w:sz="0" w:space="0" w:color="auto"/>
        <w:left w:val="none" w:sz="0" w:space="0" w:color="auto"/>
        <w:bottom w:val="none" w:sz="0" w:space="0" w:color="auto"/>
        <w:right w:val="none" w:sz="0" w:space="0" w:color="auto"/>
      </w:divBdr>
    </w:div>
    <w:div w:id="686177289">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367365">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86639929">
      <w:bodyDiv w:val="1"/>
      <w:marLeft w:val="0"/>
      <w:marRight w:val="0"/>
      <w:marTop w:val="0"/>
      <w:marBottom w:val="0"/>
      <w:divBdr>
        <w:top w:val="none" w:sz="0" w:space="0" w:color="auto"/>
        <w:left w:val="none" w:sz="0" w:space="0" w:color="auto"/>
        <w:bottom w:val="none" w:sz="0" w:space="0" w:color="auto"/>
        <w:right w:val="none" w:sz="0" w:space="0" w:color="auto"/>
      </w:divBdr>
    </w:div>
    <w:div w:id="686642860">
      <w:bodyDiv w:val="1"/>
      <w:marLeft w:val="0"/>
      <w:marRight w:val="0"/>
      <w:marTop w:val="0"/>
      <w:marBottom w:val="0"/>
      <w:divBdr>
        <w:top w:val="none" w:sz="0" w:space="0" w:color="auto"/>
        <w:left w:val="none" w:sz="0" w:space="0" w:color="auto"/>
        <w:bottom w:val="none" w:sz="0" w:space="0" w:color="auto"/>
        <w:right w:val="none" w:sz="0" w:space="0" w:color="auto"/>
      </w:divBdr>
    </w:div>
    <w:div w:id="686757512">
      <w:bodyDiv w:val="1"/>
      <w:marLeft w:val="0"/>
      <w:marRight w:val="0"/>
      <w:marTop w:val="0"/>
      <w:marBottom w:val="0"/>
      <w:divBdr>
        <w:top w:val="none" w:sz="0" w:space="0" w:color="auto"/>
        <w:left w:val="none" w:sz="0" w:space="0" w:color="auto"/>
        <w:bottom w:val="none" w:sz="0" w:space="0" w:color="auto"/>
        <w:right w:val="none" w:sz="0" w:space="0" w:color="auto"/>
      </w:divBdr>
    </w:div>
    <w:div w:id="686761378">
      <w:bodyDiv w:val="1"/>
      <w:marLeft w:val="0"/>
      <w:marRight w:val="0"/>
      <w:marTop w:val="0"/>
      <w:marBottom w:val="0"/>
      <w:divBdr>
        <w:top w:val="none" w:sz="0" w:space="0" w:color="auto"/>
        <w:left w:val="none" w:sz="0" w:space="0" w:color="auto"/>
        <w:bottom w:val="none" w:sz="0" w:space="0" w:color="auto"/>
        <w:right w:val="none" w:sz="0" w:space="0" w:color="auto"/>
      </w:divBdr>
    </w:div>
    <w:div w:id="687292561">
      <w:bodyDiv w:val="1"/>
      <w:marLeft w:val="0"/>
      <w:marRight w:val="0"/>
      <w:marTop w:val="0"/>
      <w:marBottom w:val="0"/>
      <w:divBdr>
        <w:top w:val="none" w:sz="0" w:space="0" w:color="auto"/>
        <w:left w:val="none" w:sz="0" w:space="0" w:color="auto"/>
        <w:bottom w:val="none" w:sz="0" w:space="0" w:color="auto"/>
        <w:right w:val="none" w:sz="0" w:space="0" w:color="auto"/>
      </w:divBdr>
    </w:div>
    <w:div w:id="687293769">
      <w:bodyDiv w:val="1"/>
      <w:marLeft w:val="0"/>
      <w:marRight w:val="0"/>
      <w:marTop w:val="0"/>
      <w:marBottom w:val="0"/>
      <w:divBdr>
        <w:top w:val="none" w:sz="0" w:space="0" w:color="auto"/>
        <w:left w:val="none" w:sz="0" w:space="0" w:color="auto"/>
        <w:bottom w:val="none" w:sz="0" w:space="0" w:color="auto"/>
        <w:right w:val="none" w:sz="0" w:space="0" w:color="auto"/>
      </w:divBdr>
    </w:div>
    <w:div w:id="687295697">
      <w:bodyDiv w:val="1"/>
      <w:marLeft w:val="0"/>
      <w:marRight w:val="0"/>
      <w:marTop w:val="0"/>
      <w:marBottom w:val="0"/>
      <w:divBdr>
        <w:top w:val="none" w:sz="0" w:space="0" w:color="auto"/>
        <w:left w:val="none" w:sz="0" w:space="0" w:color="auto"/>
        <w:bottom w:val="none" w:sz="0" w:space="0" w:color="auto"/>
        <w:right w:val="none" w:sz="0" w:space="0" w:color="auto"/>
      </w:divBdr>
    </w:div>
    <w:div w:id="687492209">
      <w:bodyDiv w:val="1"/>
      <w:marLeft w:val="0"/>
      <w:marRight w:val="0"/>
      <w:marTop w:val="0"/>
      <w:marBottom w:val="0"/>
      <w:divBdr>
        <w:top w:val="none" w:sz="0" w:space="0" w:color="auto"/>
        <w:left w:val="none" w:sz="0" w:space="0" w:color="auto"/>
        <w:bottom w:val="none" w:sz="0" w:space="0" w:color="auto"/>
        <w:right w:val="none" w:sz="0" w:space="0" w:color="auto"/>
      </w:divBdr>
    </w:div>
    <w:div w:id="687755063">
      <w:bodyDiv w:val="1"/>
      <w:marLeft w:val="0"/>
      <w:marRight w:val="0"/>
      <w:marTop w:val="0"/>
      <w:marBottom w:val="0"/>
      <w:divBdr>
        <w:top w:val="none" w:sz="0" w:space="0" w:color="auto"/>
        <w:left w:val="none" w:sz="0" w:space="0" w:color="auto"/>
        <w:bottom w:val="none" w:sz="0" w:space="0" w:color="auto"/>
        <w:right w:val="none" w:sz="0" w:space="0" w:color="auto"/>
      </w:divBdr>
    </w:div>
    <w:div w:id="687755451">
      <w:bodyDiv w:val="1"/>
      <w:marLeft w:val="0"/>
      <w:marRight w:val="0"/>
      <w:marTop w:val="0"/>
      <w:marBottom w:val="0"/>
      <w:divBdr>
        <w:top w:val="none" w:sz="0" w:space="0" w:color="auto"/>
        <w:left w:val="none" w:sz="0" w:space="0" w:color="auto"/>
        <w:bottom w:val="none" w:sz="0" w:space="0" w:color="auto"/>
        <w:right w:val="none" w:sz="0" w:space="0" w:color="auto"/>
      </w:divBdr>
    </w:div>
    <w:div w:id="687802707">
      <w:bodyDiv w:val="1"/>
      <w:marLeft w:val="0"/>
      <w:marRight w:val="0"/>
      <w:marTop w:val="0"/>
      <w:marBottom w:val="0"/>
      <w:divBdr>
        <w:top w:val="none" w:sz="0" w:space="0" w:color="auto"/>
        <w:left w:val="none" w:sz="0" w:space="0" w:color="auto"/>
        <w:bottom w:val="none" w:sz="0" w:space="0" w:color="auto"/>
        <w:right w:val="none" w:sz="0" w:space="0" w:color="auto"/>
      </w:divBdr>
    </w:div>
    <w:div w:id="688456890">
      <w:bodyDiv w:val="1"/>
      <w:marLeft w:val="0"/>
      <w:marRight w:val="0"/>
      <w:marTop w:val="0"/>
      <w:marBottom w:val="0"/>
      <w:divBdr>
        <w:top w:val="none" w:sz="0" w:space="0" w:color="auto"/>
        <w:left w:val="none" w:sz="0" w:space="0" w:color="auto"/>
        <w:bottom w:val="none" w:sz="0" w:space="0" w:color="auto"/>
        <w:right w:val="none" w:sz="0" w:space="0" w:color="auto"/>
      </w:divBdr>
    </w:div>
    <w:div w:id="688798140">
      <w:bodyDiv w:val="1"/>
      <w:marLeft w:val="0"/>
      <w:marRight w:val="0"/>
      <w:marTop w:val="0"/>
      <w:marBottom w:val="0"/>
      <w:divBdr>
        <w:top w:val="none" w:sz="0" w:space="0" w:color="auto"/>
        <w:left w:val="none" w:sz="0" w:space="0" w:color="auto"/>
        <w:bottom w:val="none" w:sz="0" w:space="0" w:color="auto"/>
        <w:right w:val="none" w:sz="0" w:space="0" w:color="auto"/>
      </w:divBdr>
    </w:div>
    <w:div w:id="689797935">
      <w:bodyDiv w:val="1"/>
      <w:marLeft w:val="0"/>
      <w:marRight w:val="0"/>
      <w:marTop w:val="0"/>
      <w:marBottom w:val="0"/>
      <w:divBdr>
        <w:top w:val="none" w:sz="0" w:space="0" w:color="auto"/>
        <w:left w:val="none" w:sz="0" w:space="0" w:color="auto"/>
        <w:bottom w:val="none" w:sz="0" w:space="0" w:color="auto"/>
        <w:right w:val="none" w:sz="0" w:space="0" w:color="auto"/>
      </w:divBdr>
    </w:div>
    <w:div w:id="689842673">
      <w:bodyDiv w:val="1"/>
      <w:marLeft w:val="0"/>
      <w:marRight w:val="0"/>
      <w:marTop w:val="0"/>
      <w:marBottom w:val="0"/>
      <w:divBdr>
        <w:top w:val="none" w:sz="0" w:space="0" w:color="auto"/>
        <w:left w:val="none" w:sz="0" w:space="0" w:color="auto"/>
        <w:bottom w:val="none" w:sz="0" w:space="0" w:color="auto"/>
        <w:right w:val="none" w:sz="0" w:space="0" w:color="auto"/>
      </w:divBdr>
    </w:div>
    <w:div w:id="689917292">
      <w:bodyDiv w:val="1"/>
      <w:marLeft w:val="0"/>
      <w:marRight w:val="0"/>
      <w:marTop w:val="0"/>
      <w:marBottom w:val="0"/>
      <w:divBdr>
        <w:top w:val="none" w:sz="0" w:space="0" w:color="auto"/>
        <w:left w:val="none" w:sz="0" w:space="0" w:color="auto"/>
        <w:bottom w:val="none" w:sz="0" w:space="0" w:color="auto"/>
        <w:right w:val="none" w:sz="0" w:space="0" w:color="auto"/>
      </w:divBdr>
    </w:div>
    <w:div w:id="691230336">
      <w:bodyDiv w:val="1"/>
      <w:marLeft w:val="0"/>
      <w:marRight w:val="0"/>
      <w:marTop w:val="0"/>
      <w:marBottom w:val="0"/>
      <w:divBdr>
        <w:top w:val="none" w:sz="0" w:space="0" w:color="auto"/>
        <w:left w:val="none" w:sz="0" w:space="0" w:color="auto"/>
        <w:bottom w:val="none" w:sz="0" w:space="0" w:color="auto"/>
        <w:right w:val="none" w:sz="0" w:space="0" w:color="auto"/>
      </w:divBdr>
    </w:div>
    <w:div w:id="691608562">
      <w:bodyDiv w:val="1"/>
      <w:marLeft w:val="0"/>
      <w:marRight w:val="0"/>
      <w:marTop w:val="0"/>
      <w:marBottom w:val="0"/>
      <w:divBdr>
        <w:top w:val="none" w:sz="0" w:space="0" w:color="auto"/>
        <w:left w:val="none" w:sz="0" w:space="0" w:color="auto"/>
        <w:bottom w:val="none" w:sz="0" w:space="0" w:color="auto"/>
        <w:right w:val="none" w:sz="0" w:space="0" w:color="auto"/>
      </w:divBdr>
    </w:div>
    <w:div w:id="692416225">
      <w:bodyDiv w:val="1"/>
      <w:marLeft w:val="0"/>
      <w:marRight w:val="0"/>
      <w:marTop w:val="0"/>
      <w:marBottom w:val="0"/>
      <w:divBdr>
        <w:top w:val="none" w:sz="0" w:space="0" w:color="auto"/>
        <w:left w:val="none" w:sz="0" w:space="0" w:color="auto"/>
        <w:bottom w:val="none" w:sz="0" w:space="0" w:color="auto"/>
        <w:right w:val="none" w:sz="0" w:space="0" w:color="auto"/>
      </w:divBdr>
    </w:div>
    <w:div w:id="692457045">
      <w:bodyDiv w:val="1"/>
      <w:marLeft w:val="0"/>
      <w:marRight w:val="0"/>
      <w:marTop w:val="0"/>
      <w:marBottom w:val="0"/>
      <w:divBdr>
        <w:top w:val="none" w:sz="0" w:space="0" w:color="auto"/>
        <w:left w:val="none" w:sz="0" w:space="0" w:color="auto"/>
        <w:bottom w:val="none" w:sz="0" w:space="0" w:color="auto"/>
        <w:right w:val="none" w:sz="0" w:space="0" w:color="auto"/>
      </w:divBdr>
    </w:div>
    <w:div w:id="692657574">
      <w:bodyDiv w:val="1"/>
      <w:marLeft w:val="0"/>
      <w:marRight w:val="0"/>
      <w:marTop w:val="0"/>
      <w:marBottom w:val="0"/>
      <w:divBdr>
        <w:top w:val="none" w:sz="0" w:space="0" w:color="auto"/>
        <w:left w:val="none" w:sz="0" w:space="0" w:color="auto"/>
        <w:bottom w:val="none" w:sz="0" w:space="0" w:color="auto"/>
        <w:right w:val="none" w:sz="0" w:space="0" w:color="auto"/>
      </w:divBdr>
    </w:div>
    <w:div w:id="692726019">
      <w:bodyDiv w:val="1"/>
      <w:marLeft w:val="0"/>
      <w:marRight w:val="0"/>
      <w:marTop w:val="0"/>
      <w:marBottom w:val="0"/>
      <w:divBdr>
        <w:top w:val="none" w:sz="0" w:space="0" w:color="auto"/>
        <w:left w:val="none" w:sz="0" w:space="0" w:color="auto"/>
        <w:bottom w:val="none" w:sz="0" w:space="0" w:color="auto"/>
        <w:right w:val="none" w:sz="0" w:space="0" w:color="auto"/>
      </w:divBdr>
    </w:div>
    <w:div w:id="692996641">
      <w:bodyDiv w:val="1"/>
      <w:marLeft w:val="0"/>
      <w:marRight w:val="0"/>
      <w:marTop w:val="0"/>
      <w:marBottom w:val="0"/>
      <w:divBdr>
        <w:top w:val="none" w:sz="0" w:space="0" w:color="auto"/>
        <w:left w:val="none" w:sz="0" w:space="0" w:color="auto"/>
        <w:bottom w:val="none" w:sz="0" w:space="0" w:color="auto"/>
        <w:right w:val="none" w:sz="0" w:space="0" w:color="auto"/>
      </w:divBdr>
    </w:div>
    <w:div w:id="693189269">
      <w:bodyDiv w:val="1"/>
      <w:marLeft w:val="0"/>
      <w:marRight w:val="0"/>
      <w:marTop w:val="0"/>
      <w:marBottom w:val="0"/>
      <w:divBdr>
        <w:top w:val="none" w:sz="0" w:space="0" w:color="auto"/>
        <w:left w:val="none" w:sz="0" w:space="0" w:color="auto"/>
        <w:bottom w:val="none" w:sz="0" w:space="0" w:color="auto"/>
        <w:right w:val="none" w:sz="0" w:space="0" w:color="auto"/>
      </w:divBdr>
    </w:div>
    <w:div w:id="693458303">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695469459">
      <w:bodyDiv w:val="1"/>
      <w:marLeft w:val="0"/>
      <w:marRight w:val="0"/>
      <w:marTop w:val="0"/>
      <w:marBottom w:val="0"/>
      <w:divBdr>
        <w:top w:val="none" w:sz="0" w:space="0" w:color="auto"/>
        <w:left w:val="none" w:sz="0" w:space="0" w:color="auto"/>
        <w:bottom w:val="none" w:sz="0" w:space="0" w:color="auto"/>
        <w:right w:val="none" w:sz="0" w:space="0" w:color="auto"/>
      </w:divBdr>
    </w:div>
    <w:div w:id="696077031">
      <w:bodyDiv w:val="1"/>
      <w:marLeft w:val="0"/>
      <w:marRight w:val="0"/>
      <w:marTop w:val="0"/>
      <w:marBottom w:val="0"/>
      <w:divBdr>
        <w:top w:val="none" w:sz="0" w:space="0" w:color="auto"/>
        <w:left w:val="none" w:sz="0" w:space="0" w:color="auto"/>
        <w:bottom w:val="none" w:sz="0" w:space="0" w:color="auto"/>
        <w:right w:val="none" w:sz="0" w:space="0" w:color="auto"/>
      </w:divBdr>
    </w:div>
    <w:div w:id="696542004">
      <w:bodyDiv w:val="1"/>
      <w:marLeft w:val="0"/>
      <w:marRight w:val="0"/>
      <w:marTop w:val="0"/>
      <w:marBottom w:val="0"/>
      <w:divBdr>
        <w:top w:val="none" w:sz="0" w:space="0" w:color="auto"/>
        <w:left w:val="none" w:sz="0" w:space="0" w:color="auto"/>
        <w:bottom w:val="none" w:sz="0" w:space="0" w:color="auto"/>
        <w:right w:val="none" w:sz="0" w:space="0" w:color="auto"/>
      </w:divBdr>
    </w:div>
    <w:div w:id="696658751">
      <w:bodyDiv w:val="1"/>
      <w:marLeft w:val="0"/>
      <w:marRight w:val="0"/>
      <w:marTop w:val="0"/>
      <w:marBottom w:val="0"/>
      <w:divBdr>
        <w:top w:val="none" w:sz="0" w:space="0" w:color="auto"/>
        <w:left w:val="none" w:sz="0" w:space="0" w:color="auto"/>
        <w:bottom w:val="none" w:sz="0" w:space="0" w:color="auto"/>
        <w:right w:val="none" w:sz="0" w:space="0" w:color="auto"/>
      </w:divBdr>
    </w:div>
    <w:div w:id="696737580">
      <w:bodyDiv w:val="1"/>
      <w:marLeft w:val="0"/>
      <w:marRight w:val="0"/>
      <w:marTop w:val="0"/>
      <w:marBottom w:val="0"/>
      <w:divBdr>
        <w:top w:val="none" w:sz="0" w:space="0" w:color="auto"/>
        <w:left w:val="none" w:sz="0" w:space="0" w:color="auto"/>
        <w:bottom w:val="none" w:sz="0" w:space="0" w:color="auto"/>
        <w:right w:val="none" w:sz="0" w:space="0" w:color="auto"/>
      </w:divBdr>
    </w:div>
    <w:div w:id="697050097">
      <w:bodyDiv w:val="1"/>
      <w:marLeft w:val="0"/>
      <w:marRight w:val="0"/>
      <w:marTop w:val="0"/>
      <w:marBottom w:val="0"/>
      <w:divBdr>
        <w:top w:val="none" w:sz="0" w:space="0" w:color="auto"/>
        <w:left w:val="none" w:sz="0" w:space="0" w:color="auto"/>
        <w:bottom w:val="none" w:sz="0" w:space="0" w:color="auto"/>
        <w:right w:val="none" w:sz="0" w:space="0" w:color="auto"/>
      </w:divBdr>
    </w:div>
    <w:div w:id="697119639">
      <w:bodyDiv w:val="1"/>
      <w:marLeft w:val="0"/>
      <w:marRight w:val="0"/>
      <w:marTop w:val="0"/>
      <w:marBottom w:val="0"/>
      <w:divBdr>
        <w:top w:val="none" w:sz="0" w:space="0" w:color="auto"/>
        <w:left w:val="none" w:sz="0" w:space="0" w:color="auto"/>
        <w:bottom w:val="none" w:sz="0" w:space="0" w:color="auto"/>
        <w:right w:val="none" w:sz="0" w:space="0" w:color="auto"/>
      </w:divBdr>
    </w:div>
    <w:div w:id="697585645">
      <w:bodyDiv w:val="1"/>
      <w:marLeft w:val="0"/>
      <w:marRight w:val="0"/>
      <w:marTop w:val="0"/>
      <w:marBottom w:val="0"/>
      <w:divBdr>
        <w:top w:val="none" w:sz="0" w:space="0" w:color="auto"/>
        <w:left w:val="none" w:sz="0" w:space="0" w:color="auto"/>
        <w:bottom w:val="none" w:sz="0" w:space="0" w:color="auto"/>
        <w:right w:val="none" w:sz="0" w:space="0" w:color="auto"/>
      </w:divBdr>
    </w:div>
    <w:div w:id="697777323">
      <w:bodyDiv w:val="1"/>
      <w:marLeft w:val="0"/>
      <w:marRight w:val="0"/>
      <w:marTop w:val="0"/>
      <w:marBottom w:val="0"/>
      <w:divBdr>
        <w:top w:val="none" w:sz="0" w:space="0" w:color="auto"/>
        <w:left w:val="none" w:sz="0" w:space="0" w:color="auto"/>
        <w:bottom w:val="none" w:sz="0" w:space="0" w:color="auto"/>
        <w:right w:val="none" w:sz="0" w:space="0" w:color="auto"/>
      </w:divBdr>
    </w:div>
    <w:div w:id="698051381">
      <w:bodyDiv w:val="1"/>
      <w:marLeft w:val="0"/>
      <w:marRight w:val="0"/>
      <w:marTop w:val="0"/>
      <w:marBottom w:val="0"/>
      <w:divBdr>
        <w:top w:val="none" w:sz="0" w:space="0" w:color="auto"/>
        <w:left w:val="none" w:sz="0" w:space="0" w:color="auto"/>
        <w:bottom w:val="none" w:sz="0" w:space="0" w:color="auto"/>
        <w:right w:val="none" w:sz="0" w:space="0" w:color="auto"/>
      </w:divBdr>
    </w:div>
    <w:div w:id="698358526">
      <w:bodyDiv w:val="1"/>
      <w:marLeft w:val="0"/>
      <w:marRight w:val="0"/>
      <w:marTop w:val="0"/>
      <w:marBottom w:val="0"/>
      <w:divBdr>
        <w:top w:val="none" w:sz="0" w:space="0" w:color="auto"/>
        <w:left w:val="none" w:sz="0" w:space="0" w:color="auto"/>
        <w:bottom w:val="none" w:sz="0" w:space="0" w:color="auto"/>
        <w:right w:val="none" w:sz="0" w:space="0" w:color="auto"/>
      </w:divBdr>
    </w:div>
    <w:div w:id="698579747">
      <w:bodyDiv w:val="1"/>
      <w:marLeft w:val="0"/>
      <w:marRight w:val="0"/>
      <w:marTop w:val="0"/>
      <w:marBottom w:val="0"/>
      <w:divBdr>
        <w:top w:val="none" w:sz="0" w:space="0" w:color="auto"/>
        <w:left w:val="none" w:sz="0" w:space="0" w:color="auto"/>
        <w:bottom w:val="none" w:sz="0" w:space="0" w:color="auto"/>
        <w:right w:val="none" w:sz="0" w:space="0" w:color="auto"/>
      </w:divBdr>
    </w:div>
    <w:div w:id="698821276">
      <w:bodyDiv w:val="1"/>
      <w:marLeft w:val="0"/>
      <w:marRight w:val="0"/>
      <w:marTop w:val="0"/>
      <w:marBottom w:val="0"/>
      <w:divBdr>
        <w:top w:val="none" w:sz="0" w:space="0" w:color="auto"/>
        <w:left w:val="none" w:sz="0" w:space="0" w:color="auto"/>
        <w:bottom w:val="none" w:sz="0" w:space="0" w:color="auto"/>
        <w:right w:val="none" w:sz="0" w:space="0" w:color="auto"/>
      </w:divBdr>
    </w:div>
    <w:div w:id="699626736">
      <w:bodyDiv w:val="1"/>
      <w:marLeft w:val="0"/>
      <w:marRight w:val="0"/>
      <w:marTop w:val="0"/>
      <w:marBottom w:val="0"/>
      <w:divBdr>
        <w:top w:val="none" w:sz="0" w:space="0" w:color="auto"/>
        <w:left w:val="none" w:sz="0" w:space="0" w:color="auto"/>
        <w:bottom w:val="none" w:sz="0" w:space="0" w:color="auto"/>
        <w:right w:val="none" w:sz="0" w:space="0" w:color="auto"/>
      </w:divBdr>
    </w:div>
    <w:div w:id="700012225">
      <w:bodyDiv w:val="1"/>
      <w:marLeft w:val="0"/>
      <w:marRight w:val="0"/>
      <w:marTop w:val="0"/>
      <w:marBottom w:val="0"/>
      <w:divBdr>
        <w:top w:val="none" w:sz="0" w:space="0" w:color="auto"/>
        <w:left w:val="none" w:sz="0" w:space="0" w:color="auto"/>
        <w:bottom w:val="none" w:sz="0" w:space="0" w:color="auto"/>
        <w:right w:val="none" w:sz="0" w:space="0" w:color="auto"/>
      </w:divBdr>
    </w:div>
    <w:div w:id="700133665">
      <w:bodyDiv w:val="1"/>
      <w:marLeft w:val="0"/>
      <w:marRight w:val="0"/>
      <w:marTop w:val="0"/>
      <w:marBottom w:val="0"/>
      <w:divBdr>
        <w:top w:val="none" w:sz="0" w:space="0" w:color="auto"/>
        <w:left w:val="none" w:sz="0" w:space="0" w:color="auto"/>
        <w:bottom w:val="none" w:sz="0" w:space="0" w:color="auto"/>
        <w:right w:val="none" w:sz="0" w:space="0" w:color="auto"/>
      </w:divBdr>
    </w:div>
    <w:div w:id="701125359">
      <w:bodyDiv w:val="1"/>
      <w:marLeft w:val="0"/>
      <w:marRight w:val="0"/>
      <w:marTop w:val="0"/>
      <w:marBottom w:val="0"/>
      <w:divBdr>
        <w:top w:val="none" w:sz="0" w:space="0" w:color="auto"/>
        <w:left w:val="none" w:sz="0" w:space="0" w:color="auto"/>
        <w:bottom w:val="none" w:sz="0" w:space="0" w:color="auto"/>
        <w:right w:val="none" w:sz="0" w:space="0" w:color="auto"/>
      </w:divBdr>
    </w:div>
    <w:div w:id="701130286">
      <w:bodyDiv w:val="1"/>
      <w:marLeft w:val="0"/>
      <w:marRight w:val="0"/>
      <w:marTop w:val="0"/>
      <w:marBottom w:val="0"/>
      <w:divBdr>
        <w:top w:val="none" w:sz="0" w:space="0" w:color="auto"/>
        <w:left w:val="none" w:sz="0" w:space="0" w:color="auto"/>
        <w:bottom w:val="none" w:sz="0" w:space="0" w:color="auto"/>
        <w:right w:val="none" w:sz="0" w:space="0" w:color="auto"/>
      </w:divBdr>
    </w:div>
    <w:div w:id="701438279">
      <w:bodyDiv w:val="1"/>
      <w:marLeft w:val="0"/>
      <w:marRight w:val="0"/>
      <w:marTop w:val="0"/>
      <w:marBottom w:val="0"/>
      <w:divBdr>
        <w:top w:val="none" w:sz="0" w:space="0" w:color="auto"/>
        <w:left w:val="none" w:sz="0" w:space="0" w:color="auto"/>
        <w:bottom w:val="none" w:sz="0" w:space="0" w:color="auto"/>
        <w:right w:val="none" w:sz="0" w:space="0" w:color="auto"/>
      </w:divBdr>
    </w:div>
    <w:div w:id="701512381">
      <w:bodyDiv w:val="1"/>
      <w:marLeft w:val="0"/>
      <w:marRight w:val="0"/>
      <w:marTop w:val="0"/>
      <w:marBottom w:val="0"/>
      <w:divBdr>
        <w:top w:val="none" w:sz="0" w:space="0" w:color="auto"/>
        <w:left w:val="none" w:sz="0" w:space="0" w:color="auto"/>
        <w:bottom w:val="none" w:sz="0" w:space="0" w:color="auto"/>
        <w:right w:val="none" w:sz="0" w:space="0" w:color="auto"/>
      </w:divBdr>
    </w:div>
    <w:div w:id="701514068">
      <w:bodyDiv w:val="1"/>
      <w:marLeft w:val="0"/>
      <w:marRight w:val="0"/>
      <w:marTop w:val="0"/>
      <w:marBottom w:val="0"/>
      <w:divBdr>
        <w:top w:val="none" w:sz="0" w:space="0" w:color="auto"/>
        <w:left w:val="none" w:sz="0" w:space="0" w:color="auto"/>
        <w:bottom w:val="none" w:sz="0" w:space="0" w:color="auto"/>
        <w:right w:val="none" w:sz="0" w:space="0" w:color="auto"/>
      </w:divBdr>
    </w:div>
    <w:div w:id="701515846">
      <w:bodyDiv w:val="1"/>
      <w:marLeft w:val="0"/>
      <w:marRight w:val="0"/>
      <w:marTop w:val="0"/>
      <w:marBottom w:val="0"/>
      <w:divBdr>
        <w:top w:val="none" w:sz="0" w:space="0" w:color="auto"/>
        <w:left w:val="none" w:sz="0" w:space="0" w:color="auto"/>
        <w:bottom w:val="none" w:sz="0" w:space="0" w:color="auto"/>
        <w:right w:val="none" w:sz="0" w:space="0" w:color="auto"/>
      </w:divBdr>
    </w:div>
    <w:div w:id="702368392">
      <w:bodyDiv w:val="1"/>
      <w:marLeft w:val="0"/>
      <w:marRight w:val="0"/>
      <w:marTop w:val="0"/>
      <w:marBottom w:val="0"/>
      <w:divBdr>
        <w:top w:val="none" w:sz="0" w:space="0" w:color="auto"/>
        <w:left w:val="none" w:sz="0" w:space="0" w:color="auto"/>
        <w:bottom w:val="none" w:sz="0" w:space="0" w:color="auto"/>
        <w:right w:val="none" w:sz="0" w:space="0" w:color="auto"/>
      </w:divBdr>
    </w:div>
    <w:div w:id="702439400">
      <w:bodyDiv w:val="1"/>
      <w:marLeft w:val="0"/>
      <w:marRight w:val="0"/>
      <w:marTop w:val="0"/>
      <w:marBottom w:val="0"/>
      <w:divBdr>
        <w:top w:val="none" w:sz="0" w:space="0" w:color="auto"/>
        <w:left w:val="none" w:sz="0" w:space="0" w:color="auto"/>
        <w:bottom w:val="none" w:sz="0" w:space="0" w:color="auto"/>
        <w:right w:val="none" w:sz="0" w:space="0" w:color="auto"/>
      </w:divBdr>
    </w:div>
    <w:div w:id="702483991">
      <w:bodyDiv w:val="1"/>
      <w:marLeft w:val="0"/>
      <w:marRight w:val="0"/>
      <w:marTop w:val="0"/>
      <w:marBottom w:val="0"/>
      <w:divBdr>
        <w:top w:val="none" w:sz="0" w:space="0" w:color="auto"/>
        <w:left w:val="none" w:sz="0" w:space="0" w:color="auto"/>
        <w:bottom w:val="none" w:sz="0" w:space="0" w:color="auto"/>
        <w:right w:val="none" w:sz="0" w:space="0" w:color="auto"/>
      </w:divBdr>
    </w:div>
    <w:div w:id="702511941">
      <w:bodyDiv w:val="1"/>
      <w:marLeft w:val="0"/>
      <w:marRight w:val="0"/>
      <w:marTop w:val="0"/>
      <w:marBottom w:val="0"/>
      <w:divBdr>
        <w:top w:val="none" w:sz="0" w:space="0" w:color="auto"/>
        <w:left w:val="none" w:sz="0" w:space="0" w:color="auto"/>
        <w:bottom w:val="none" w:sz="0" w:space="0" w:color="auto"/>
        <w:right w:val="none" w:sz="0" w:space="0" w:color="auto"/>
      </w:divBdr>
    </w:div>
    <w:div w:id="702630545">
      <w:bodyDiv w:val="1"/>
      <w:marLeft w:val="0"/>
      <w:marRight w:val="0"/>
      <w:marTop w:val="0"/>
      <w:marBottom w:val="0"/>
      <w:divBdr>
        <w:top w:val="none" w:sz="0" w:space="0" w:color="auto"/>
        <w:left w:val="none" w:sz="0" w:space="0" w:color="auto"/>
        <w:bottom w:val="none" w:sz="0" w:space="0" w:color="auto"/>
        <w:right w:val="none" w:sz="0" w:space="0" w:color="auto"/>
      </w:divBdr>
    </w:div>
    <w:div w:id="703096151">
      <w:bodyDiv w:val="1"/>
      <w:marLeft w:val="0"/>
      <w:marRight w:val="0"/>
      <w:marTop w:val="0"/>
      <w:marBottom w:val="0"/>
      <w:divBdr>
        <w:top w:val="none" w:sz="0" w:space="0" w:color="auto"/>
        <w:left w:val="none" w:sz="0" w:space="0" w:color="auto"/>
        <w:bottom w:val="none" w:sz="0" w:space="0" w:color="auto"/>
        <w:right w:val="none" w:sz="0" w:space="0" w:color="auto"/>
      </w:divBdr>
    </w:div>
    <w:div w:id="703292779">
      <w:bodyDiv w:val="1"/>
      <w:marLeft w:val="0"/>
      <w:marRight w:val="0"/>
      <w:marTop w:val="0"/>
      <w:marBottom w:val="0"/>
      <w:divBdr>
        <w:top w:val="none" w:sz="0" w:space="0" w:color="auto"/>
        <w:left w:val="none" w:sz="0" w:space="0" w:color="auto"/>
        <w:bottom w:val="none" w:sz="0" w:space="0" w:color="auto"/>
        <w:right w:val="none" w:sz="0" w:space="0" w:color="auto"/>
      </w:divBdr>
    </w:div>
    <w:div w:id="703293499">
      <w:bodyDiv w:val="1"/>
      <w:marLeft w:val="0"/>
      <w:marRight w:val="0"/>
      <w:marTop w:val="0"/>
      <w:marBottom w:val="0"/>
      <w:divBdr>
        <w:top w:val="none" w:sz="0" w:space="0" w:color="auto"/>
        <w:left w:val="none" w:sz="0" w:space="0" w:color="auto"/>
        <w:bottom w:val="none" w:sz="0" w:space="0" w:color="auto"/>
        <w:right w:val="none" w:sz="0" w:space="0" w:color="auto"/>
      </w:divBdr>
    </w:div>
    <w:div w:id="704141017">
      <w:bodyDiv w:val="1"/>
      <w:marLeft w:val="0"/>
      <w:marRight w:val="0"/>
      <w:marTop w:val="0"/>
      <w:marBottom w:val="0"/>
      <w:divBdr>
        <w:top w:val="none" w:sz="0" w:space="0" w:color="auto"/>
        <w:left w:val="none" w:sz="0" w:space="0" w:color="auto"/>
        <w:bottom w:val="none" w:sz="0" w:space="0" w:color="auto"/>
        <w:right w:val="none" w:sz="0" w:space="0" w:color="auto"/>
      </w:divBdr>
    </w:div>
    <w:div w:id="704524546">
      <w:bodyDiv w:val="1"/>
      <w:marLeft w:val="0"/>
      <w:marRight w:val="0"/>
      <w:marTop w:val="0"/>
      <w:marBottom w:val="0"/>
      <w:divBdr>
        <w:top w:val="none" w:sz="0" w:space="0" w:color="auto"/>
        <w:left w:val="none" w:sz="0" w:space="0" w:color="auto"/>
        <w:bottom w:val="none" w:sz="0" w:space="0" w:color="auto"/>
        <w:right w:val="none" w:sz="0" w:space="0" w:color="auto"/>
      </w:divBdr>
    </w:div>
    <w:div w:id="704986556">
      <w:bodyDiv w:val="1"/>
      <w:marLeft w:val="0"/>
      <w:marRight w:val="0"/>
      <w:marTop w:val="0"/>
      <w:marBottom w:val="0"/>
      <w:divBdr>
        <w:top w:val="none" w:sz="0" w:space="0" w:color="auto"/>
        <w:left w:val="none" w:sz="0" w:space="0" w:color="auto"/>
        <w:bottom w:val="none" w:sz="0" w:space="0" w:color="auto"/>
        <w:right w:val="none" w:sz="0" w:space="0" w:color="auto"/>
      </w:divBdr>
    </w:div>
    <w:div w:id="705495310">
      <w:bodyDiv w:val="1"/>
      <w:marLeft w:val="0"/>
      <w:marRight w:val="0"/>
      <w:marTop w:val="0"/>
      <w:marBottom w:val="0"/>
      <w:divBdr>
        <w:top w:val="none" w:sz="0" w:space="0" w:color="auto"/>
        <w:left w:val="none" w:sz="0" w:space="0" w:color="auto"/>
        <w:bottom w:val="none" w:sz="0" w:space="0" w:color="auto"/>
        <w:right w:val="none" w:sz="0" w:space="0" w:color="auto"/>
      </w:divBdr>
    </w:div>
    <w:div w:id="706678689">
      <w:bodyDiv w:val="1"/>
      <w:marLeft w:val="0"/>
      <w:marRight w:val="0"/>
      <w:marTop w:val="0"/>
      <w:marBottom w:val="0"/>
      <w:divBdr>
        <w:top w:val="none" w:sz="0" w:space="0" w:color="auto"/>
        <w:left w:val="none" w:sz="0" w:space="0" w:color="auto"/>
        <w:bottom w:val="none" w:sz="0" w:space="0" w:color="auto"/>
        <w:right w:val="none" w:sz="0" w:space="0" w:color="auto"/>
      </w:divBdr>
    </w:div>
    <w:div w:id="707142162">
      <w:bodyDiv w:val="1"/>
      <w:marLeft w:val="0"/>
      <w:marRight w:val="0"/>
      <w:marTop w:val="0"/>
      <w:marBottom w:val="0"/>
      <w:divBdr>
        <w:top w:val="none" w:sz="0" w:space="0" w:color="auto"/>
        <w:left w:val="none" w:sz="0" w:space="0" w:color="auto"/>
        <w:bottom w:val="none" w:sz="0" w:space="0" w:color="auto"/>
        <w:right w:val="none" w:sz="0" w:space="0" w:color="auto"/>
      </w:divBdr>
    </w:div>
    <w:div w:id="707948813">
      <w:bodyDiv w:val="1"/>
      <w:marLeft w:val="0"/>
      <w:marRight w:val="0"/>
      <w:marTop w:val="0"/>
      <w:marBottom w:val="0"/>
      <w:divBdr>
        <w:top w:val="none" w:sz="0" w:space="0" w:color="auto"/>
        <w:left w:val="none" w:sz="0" w:space="0" w:color="auto"/>
        <w:bottom w:val="none" w:sz="0" w:space="0" w:color="auto"/>
        <w:right w:val="none" w:sz="0" w:space="0" w:color="auto"/>
      </w:divBdr>
    </w:div>
    <w:div w:id="708341634">
      <w:bodyDiv w:val="1"/>
      <w:marLeft w:val="0"/>
      <w:marRight w:val="0"/>
      <w:marTop w:val="0"/>
      <w:marBottom w:val="0"/>
      <w:divBdr>
        <w:top w:val="none" w:sz="0" w:space="0" w:color="auto"/>
        <w:left w:val="none" w:sz="0" w:space="0" w:color="auto"/>
        <w:bottom w:val="none" w:sz="0" w:space="0" w:color="auto"/>
        <w:right w:val="none" w:sz="0" w:space="0" w:color="auto"/>
      </w:divBdr>
    </w:div>
    <w:div w:id="708381057">
      <w:bodyDiv w:val="1"/>
      <w:marLeft w:val="0"/>
      <w:marRight w:val="0"/>
      <w:marTop w:val="0"/>
      <w:marBottom w:val="0"/>
      <w:divBdr>
        <w:top w:val="none" w:sz="0" w:space="0" w:color="auto"/>
        <w:left w:val="none" w:sz="0" w:space="0" w:color="auto"/>
        <w:bottom w:val="none" w:sz="0" w:space="0" w:color="auto"/>
        <w:right w:val="none" w:sz="0" w:space="0" w:color="auto"/>
      </w:divBdr>
    </w:div>
    <w:div w:id="708728032">
      <w:bodyDiv w:val="1"/>
      <w:marLeft w:val="0"/>
      <w:marRight w:val="0"/>
      <w:marTop w:val="0"/>
      <w:marBottom w:val="0"/>
      <w:divBdr>
        <w:top w:val="none" w:sz="0" w:space="0" w:color="auto"/>
        <w:left w:val="none" w:sz="0" w:space="0" w:color="auto"/>
        <w:bottom w:val="none" w:sz="0" w:space="0" w:color="auto"/>
        <w:right w:val="none" w:sz="0" w:space="0" w:color="auto"/>
      </w:divBdr>
    </w:div>
    <w:div w:id="709302620">
      <w:bodyDiv w:val="1"/>
      <w:marLeft w:val="0"/>
      <w:marRight w:val="0"/>
      <w:marTop w:val="0"/>
      <w:marBottom w:val="0"/>
      <w:divBdr>
        <w:top w:val="none" w:sz="0" w:space="0" w:color="auto"/>
        <w:left w:val="none" w:sz="0" w:space="0" w:color="auto"/>
        <w:bottom w:val="none" w:sz="0" w:space="0" w:color="auto"/>
        <w:right w:val="none" w:sz="0" w:space="0" w:color="auto"/>
      </w:divBdr>
    </w:div>
    <w:div w:id="709769497">
      <w:bodyDiv w:val="1"/>
      <w:marLeft w:val="0"/>
      <w:marRight w:val="0"/>
      <w:marTop w:val="0"/>
      <w:marBottom w:val="0"/>
      <w:divBdr>
        <w:top w:val="none" w:sz="0" w:space="0" w:color="auto"/>
        <w:left w:val="none" w:sz="0" w:space="0" w:color="auto"/>
        <w:bottom w:val="none" w:sz="0" w:space="0" w:color="auto"/>
        <w:right w:val="none" w:sz="0" w:space="0" w:color="auto"/>
      </w:divBdr>
    </w:div>
    <w:div w:id="709844991">
      <w:bodyDiv w:val="1"/>
      <w:marLeft w:val="0"/>
      <w:marRight w:val="0"/>
      <w:marTop w:val="0"/>
      <w:marBottom w:val="0"/>
      <w:divBdr>
        <w:top w:val="none" w:sz="0" w:space="0" w:color="auto"/>
        <w:left w:val="none" w:sz="0" w:space="0" w:color="auto"/>
        <w:bottom w:val="none" w:sz="0" w:space="0" w:color="auto"/>
        <w:right w:val="none" w:sz="0" w:space="0" w:color="auto"/>
      </w:divBdr>
    </w:div>
    <w:div w:id="710037818">
      <w:bodyDiv w:val="1"/>
      <w:marLeft w:val="0"/>
      <w:marRight w:val="0"/>
      <w:marTop w:val="0"/>
      <w:marBottom w:val="0"/>
      <w:divBdr>
        <w:top w:val="none" w:sz="0" w:space="0" w:color="auto"/>
        <w:left w:val="none" w:sz="0" w:space="0" w:color="auto"/>
        <w:bottom w:val="none" w:sz="0" w:space="0" w:color="auto"/>
        <w:right w:val="none" w:sz="0" w:space="0" w:color="auto"/>
      </w:divBdr>
    </w:div>
    <w:div w:id="711147795">
      <w:bodyDiv w:val="1"/>
      <w:marLeft w:val="0"/>
      <w:marRight w:val="0"/>
      <w:marTop w:val="0"/>
      <w:marBottom w:val="0"/>
      <w:divBdr>
        <w:top w:val="none" w:sz="0" w:space="0" w:color="auto"/>
        <w:left w:val="none" w:sz="0" w:space="0" w:color="auto"/>
        <w:bottom w:val="none" w:sz="0" w:space="0" w:color="auto"/>
        <w:right w:val="none" w:sz="0" w:space="0" w:color="auto"/>
      </w:divBdr>
    </w:div>
    <w:div w:id="711460114">
      <w:bodyDiv w:val="1"/>
      <w:marLeft w:val="0"/>
      <w:marRight w:val="0"/>
      <w:marTop w:val="0"/>
      <w:marBottom w:val="0"/>
      <w:divBdr>
        <w:top w:val="none" w:sz="0" w:space="0" w:color="auto"/>
        <w:left w:val="none" w:sz="0" w:space="0" w:color="auto"/>
        <w:bottom w:val="none" w:sz="0" w:space="0" w:color="auto"/>
        <w:right w:val="none" w:sz="0" w:space="0" w:color="auto"/>
      </w:divBdr>
    </w:div>
    <w:div w:id="711660969">
      <w:bodyDiv w:val="1"/>
      <w:marLeft w:val="0"/>
      <w:marRight w:val="0"/>
      <w:marTop w:val="0"/>
      <w:marBottom w:val="0"/>
      <w:divBdr>
        <w:top w:val="none" w:sz="0" w:space="0" w:color="auto"/>
        <w:left w:val="none" w:sz="0" w:space="0" w:color="auto"/>
        <w:bottom w:val="none" w:sz="0" w:space="0" w:color="auto"/>
        <w:right w:val="none" w:sz="0" w:space="0" w:color="auto"/>
      </w:divBdr>
    </w:div>
    <w:div w:id="712535438">
      <w:bodyDiv w:val="1"/>
      <w:marLeft w:val="0"/>
      <w:marRight w:val="0"/>
      <w:marTop w:val="0"/>
      <w:marBottom w:val="0"/>
      <w:divBdr>
        <w:top w:val="none" w:sz="0" w:space="0" w:color="auto"/>
        <w:left w:val="none" w:sz="0" w:space="0" w:color="auto"/>
        <w:bottom w:val="none" w:sz="0" w:space="0" w:color="auto"/>
        <w:right w:val="none" w:sz="0" w:space="0" w:color="auto"/>
      </w:divBdr>
    </w:div>
    <w:div w:id="712972283">
      <w:bodyDiv w:val="1"/>
      <w:marLeft w:val="0"/>
      <w:marRight w:val="0"/>
      <w:marTop w:val="0"/>
      <w:marBottom w:val="0"/>
      <w:divBdr>
        <w:top w:val="none" w:sz="0" w:space="0" w:color="auto"/>
        <w:left w:val="none" w:sz="0" w:space="0" w:color="auto"/>
        <w:bottom w:val="none" w:sz="0" w:space="0" w:color="auto"/>
        <w:right w:val="none" w:sz="0" w:space="0" w:color="auto"/>
      </w:divBdr>
    </w:div>
    <w:div w:id="713578411">
      <w:bodyDiv w:val="1"/>
      <w:marLeft w:val="0"/>
      <w:marRight w:val="0"/>
      <w:marTop w:val="0"/>
      <w:marBottom w:val="0"/>
      <w:divBdr>
        <w:top w:val="none" w:sz="0" w:space="0" w:color="auto"/>
        <w:left w:val="none" w:sz="0" w:space="0" w:color="auto"/>
        <w:bottom w:val="none" w:sz="0" w:space="0" w:color="auto"/>
        <w:right w:val="none" w:sz="0" w:space="0" w:color="auto"/>
      </w:divBdr>
    </w:div>
    <w:div w:id="713848974">
      <w:bodyDiv w:val="1"/>
      <w:marLeft w:val="0"/>
      <w:marRight w:val="0"/>
      <w:marTop w:val="0"/>
      <w:marBottom w:val="0"/>
      <w:divBdr>
        <w:top w:val="none" w:sz="0" w:space="0" w:color="auto"/>
        <w:left w:val="none" w:sz="0" w:space="0" w:color="auto"/>
        <w:bottom w:val="none" w:sz="0" w:space="0" w:color="auto"/>
        <w:right w:val="none" w:sz="0" w:space="0" w:color="auto"/>
      </w:divBdr>
    </w:div>
    <w:div w:id="714934108">
      <w:bodyDiv w:val="1"/>
      <w:marLeft w:val="0"/>
      <w:marRight w:val="0"/>
      <w:marTop w:val="0"/>
      <w:marBottom w:val="0"/>
      <w:divBdr>
        <w:top w:val="none" w:sz="0" w:space="0" w:color="auto"/>
        <w:left w:val="none" w:sz="0" w:space="0" w:color="auto"/>
        <w:bottom w:val="none" w:sz="0" w:space="0" w:color="auto"/>
        <w:right w:val="none" w:sz="0" w:space="0" w:color="auto"/>
      </w:divBdr>
    </w:div>
    <w:div w:id="715813809">
      <w:bodyDiv w:val="1"/>
      <w:marLeft w:val="0"/>
      <w:marRight w:val="0"/>
      <w:marTop w:val="0"/>
      <w:marBottom w:val="0"/>
      <w:divBdr>
        <w:top w:val="none" w:sz="0" w:space="0" w:color="auto"/>
        <w:left w:val="none" w:sz="0" w:space="0" w:color="auto"/>
        <w:bottom w:val="none" w:sz="0" w:space="0" w:color="auto"/>
        <w:right w:val="none" w:sz="0" w:space="0" w:color="auto"/>
      </w:divBdr>
    </w:div>
    <w:div w:id="716003783">
      <w:bodyDiv w:val="1"/>
      <w:marLeft w:val="0"/>
      <w:marRight w:val="0"/>
      <w:marTop w:val="0"/>
      <w:marBottom w:val="0"/>
      <w:divBdr>
        <w:top w:val="none" w:sz="0" w:space="0" w:color="auto"/>
        <w:left w:val="none" w:sz="0" w:space="0" w:color="auto"/>
        <w:bottom w:val="none" w:sz="0" w:space="0" w:color="auto"/>
        <w:right w:val="none" w:sz="0" w:space="0" w:color="auto"/>
      </w:divBdr>
    </w:div>
    <w:div w:id="716126185">
      <w:bodyDiv w:val="1"/>
      <w:marLeft w:val="0"/>
      <w:marRight w:val="0"/>
      <w:marTop w:val="0"/>
      <w:marBottom w:val="0"/>
      <w:divBdr>
        <w:top w:val="none" w:sz="0" w:space="0" w:color="auto"/>
        <w:left w:val="none" w:sz="0" w:space="0" w:color="auto"/>
        <w:bottom w:val="none" w:sz="0" w:space="0" w:color="auto"/>
        <w:right w:val="none" w:sz="0" w:space="0" w:color="auto"/>
      </w:divBdr>
    </w:div>
    <w:div w:id="716315525">
      <w:bodyDiv w:val="1"/>
      <w:marLeft w:val="0"/>
      <w:marRight w:val="0"/>
      <w:marTop w:val="0"/>
      <w:marBottom w:val="0"/>
      <w:divBdr>
        <w:top w:val="none" w:sz="0" w:space="0" w:color="auto"/>
        <w:left w:val="none" w:sz="0" w:space="0" w:color="auto"/>
        <w:bottom w:val="none" w:sz="0" w:space="0" w:color="auto"/>
        <w:right w:val="none" w:sz="0" w:space="0" w:color="auto"/>
      </w:divBdr>
    </w:div>
    <w:div w:id="716664239">
      <w:bodyDiv w:val="1"/>
      <w:marLeft w:val="0"/>
      <w:marRight w:val="0"/>
      <w:marTop w:val="0"/>
      <w:marBottom w:val="0"/>
      <w:divBdr>
        <w:top w:val="none" w:sz="0" w:space="0" w:color="auto"/>
        <w:left w:val="none" w:sz="0" w:space="0" w:color="auto"/>
        <w:bottom w:val="none" w:sz="0" w:space="0" w:color="auto"/>
        <w:right w:val="none" w:sz="0" w:space="0" w:color="auto"/>
      </w:divBdr>
    </w:div>
    <w:div w:id="716668076">
      <w:bodyDiv w:val="1"/>
      <w:marLeft w:val="0"/>
      <w:marRight w:val="0"/>
      <w:marTop w:val="0"/>
      <w:marBottom w:val="0"/>
      <w:divBdr>
        <w:top w:val="none" w:sz="0" w:space="0" w:color="auto"/>
        <w:left w:val="none" w:sz="0" w:space="0" w:color="auto"/>
        <w:bottom w:val="none" w:sz="0" w:space="0" w:color="auto"/>
        <w:right w:val="none" w:sz="0" w:space="0" w:color="auto"/>
      </w:divBdr>
    </w:div>
    <w:div w:id="717120967">
      <w:bodyDiv w:val="1"/>
      <w:marLeft w:val="0"/>
      <w:marRight w:val="0"/>
      <w:marTop w:val="0"/>
      <w:marBottom w:val="0"/>
      <w:divBdr>
        <w:top w:val="none" w:sz="0" w:space="0" w:color="auto"/>
        <w:left w:val="none" w:sz="0" w:space="0" w:color="auto"/>
        <w:bottom w:val="none" w:sz="0" w:space="0" w:color="auto"/>
        <w:right w:val="none" w:sz="0" w:space="0" w:color="auto"/>
      </w:divBdr>
    </w:div>
    <w:div w:id="717323155">
      <w:bodyDiv w:val="1"/>
      <w:marLeft w:val="0"/>
      <w:marRight w:val="0"/>
      <w:marTop w:val="0"/>
      <w:marBottom w:val="0"/>
      <w:divBdr>
        <w:top w:val="none" w:sz="0" w:space="0" w:color="auto"/>
        <w:left w:val="none" w:sz="0" w:space="0" w:color="auto"/>
        <w:bottom w:val="none" w:sz="0" w:space="0" w:color="auto"/>
        <w:right w:val="none" w:sz="0" w:space="0" w:color="auto"/>
      </w:divBdr>
    </w:div>
    <w:div w:id="717822013">
      <w:bodyDiv w:val="1"/>
      <w:marLeft w:val="0"/>
      <w:marRight w:val="0"/>
      <w:marTop w:val="0"/>
      <w:marBottom w:val="0"/>
      <w:divBdr>
        <w:top w:val="none" w:sz="0" w:space="0" w:color="auto"/>
        <w:left w:val="none" w:sz="0" w:space="0" w:color="auto"/>
        <w:bottom w:val="none" w:sz="0" w:space="0" w:color="auto"/>
        <w:right w:val="none" w:sz="0" w:space="0" w:color="auto"/>
      </w:divBdr>
    </w:div>
    <w:div w:id="717896330">
      <w:bodyDiv w:val="1"/>
      <w:marLeft w:val="0"/>
      <w:marRight w:val="0"/>
      <w:marTop w:val="0"/>
      <w:marBottom w:val="0"/>
      <w:divBdr>
        <w:top w:val="none" w:sz="0" w:space="0" w:color="auto"/>
        <w:left w:val="none" w:sz="0" w:space="0" w:color="auto"/>
        <w:bottom w:val="none" w:sz="0" w:space="0" w:color="auto"/>
        <w:right w:val="none" w:sz="0" w:space="0" w:color="auto"/>
      </w:divBdr>
    </w:div>
    <w:div w:id="718092914">
      <w:bodyDiv w:val="1"/>
      <w:marLeft w:val="0"/>
      <w:marRight w:val="0"/>
      <w:marTop w:val="0"/>
      <w:marBottom w:val="0"/>
      <w:divBdr>
        <w:top w:val="none" w:sz="0" w:space="0" w:color="auto"/>
        <w:left w:val="none" w:sz="0" w:space="0" w:color="auto"/>
        <w:bottom w:val="none" w:sz="0" w:space="0" w:color="auto"/>
        <w:right w:val="none" w:sz="0" w:space="0" w:color="auto"/>
      </w:divBdr>
    </w:div>
    <w:div w:id="718169030">
      <w:bodyDiv w:val="1"/>
      <w:marLeft w:val="0"/>
      <w:marRight w:val="0"/>
      <w:marTop w:val="0"/>
      <w:marBottom w:val="0"/>
      <w:divBdr>
        <w:top w:val="none" w:sz="0" w:space="0" w:color="auto"/>
        <w:left w:val="none" w:sz="0" w:space="0" w:color="auto"/>
        <w:bottom w:val="none" w:sz="0" w:space="0" w:color="auto"/>
        <w:right w:val="none" w:sz="0" w:space="0" w:color="auto"/>
      </w:divBdr>
    </w:div>
    <w:div w:id="718360735">
      <w:bodyDiv w:val="1"/>
      <w:marLeft w:val="0"/>
      <w:marRight w:val="0"/>
      <w:marTop w:val="0"/>
      <w:marBottom w:val="0"/>
      <w:divBdr>
        <w:top w:val="none" w:sz="0" w:space="0" w:color="auto"/>
        <w:left w:val="none" w:sz="0" w:space="0" w:color="auto"/>
        <w:bottom w:val="none" w:sz="0" w:space="0" w:color="auto"/>
        <w:right w:val="none" w:sz="0" w:space="0" w:color="auto"/>
      </w:divBdr>
    </w:div>
    <w:div w:id="718558422">
      <w:bodyDiv w:val="1"/>
      <w:marLeft w:val="0"/>
      <w:marRight w:val="0"/>
      <w:marTop w:val="0"/>
      <w:marBottom w:val="0"/>
      <w:divBdr>
        <w:top w:val="none" w:sz="0" w:space="0" w:color="auto"/>
        <w:left w:val="none" w:sz="0" w:space="0" w:color="auto"/>
        <w:bottom w:val="none" w:sz="0" w:space="0" w:color="auto"/>
        <w:right w:val="none" w:sz="0" w:space="0" w:color="auto"/>
      </w:divBdr>
    </w:div>
    <w:div w:id="718865067">
      <w:bodyDiv w:val="1"/>
      <w:marLeft w:val="0"/>
      <w:marRight w:val="0"/>
      <w:marTop w:val="0"/>
      <w:marBottom w:val="0"/>
      <w:divBdr>
        <w:top w:val="none" w:sz="0" w:space="0" w:color="auto"/>
        <w:left w:val="none" w:sz="0" w:space="0" w:color="auto"/>
        <w:bottom w:val="none" w:sz="0" w:space="0" w:color="auto"/>
        <w:right w:val="none" w:sz="0" w:space="0" w:color="auto"/>
      </w:divBdr>
    </w:div>
    <w:div w:id="718940411">
      <w:bodyDiv w:val="1"/>
      <w:marLeft w:val="0"/>
      <w:marRight w:val="0"/>
      <w:marTop w:val="0"/>
      <w:marBottom w:val="0"/>
      <w:divBdr>
        <w:top w:val="none" w:sz="0" w:space="0" w:color="auto"/>
        <w:left w:val="none" w:sz="0" w:space="0" w:color="auto"/>
        <w:bottom w:val="none" w:sz="0" w:space="0" w:color="auto"/>
        <w:right w:val="none" w:sz="0" w:space="0" w:color="auto"/>
      </w:divBdr>
    </w:div>
    <w:div w:id="719019206">
      <w:bodyDiv w:val="1"/>
      <w:marLeft w:val="0"/>
      <w:marRight w:val="0"/>
      <w:marTop w:val="0"/>
      <w:marBottom w:val="0"/>
      <w:divBdr>
        <w:top w:val="none" w:sz="0" w:space="0" w:color="auto"/>
        <w:left w:val="none" w:sz="0" w:space="0" w:color="auto"/>
        <w:bottom w:val="none" w:sz="0" w:space="0" w:color="auto"/>
        <w:right w:val="none" w:sz="0" w:space="0" w:color="auto"/>
      </w:divBdr>
    </w:div>
    <w:div w:id="719284259">
      <w:bodyDiv w:val="1"/>
      <w:marLeft w:val="0"/>
      <w:marRight w:val="0"/>
      <w:marTop w:val="0"/>
      <w:marBottom w:val="0"/>
      <w:divBdr>
        <w:top w:val="none" w:sz="0" w:space="0" w:color="auto"/>
        <w:left w:val="none" w:sz="0" w:space="0" w:color="auto"/>
        <w:bottom w:val="none" w:sz="0" w:space="0" w:color="auto"/>
        <w:right w:val="none" w:sz="0" w:space="0" w:color="auto"/>
      </w:divBdr>
    </w:div>
    <w:div w:id="719327074">
      <w:bodyDiv w:val="1"/>
      <w:marLeft w:val="0"/>
      <w:marRight w:val="0"/>
      <w:marTop w:val="0"/>
      <w:marBottom w:val="0"/>
      <w:divBdr>
        <w:top w:val="none" w:sz="0" w:space="0" w:color="auto"/>
        <w:left w:val="none" w:sz="0" w:space="0" w:color="auto"/>
        <w:bottom w:val="none" w:sz="0" w:space="0" w:color="auto"/>
        <w:right w:val="none" w:sz="0" w:space="0" w:color="auto"/>
      </w:divBdr>
    </w:div>
    <w:div w:id="719935193">
      <w:bodyDiv w:val="1"/>
      <w:marLeft w:val="0"/>
      <w:marRight w:val="0"/>
      <w:marTop w:val="0"/>
      <w:marBottom w:val="0"/>
      <w:divBdr>
        <w:top w:val="none" w:sz="0" w:space="0" w:color="auto"/>
        <w:left w:val="none" w:sz="0" w:space="0" w:color="auto"/>
        <w:bottom w:val="none" w:sz="0" w:space="0" w:color="auto"/>
        <w:right w:val="none" w:sz="0" w:space="0" w:color="auto"/>
      </w:divBdr>
    </w:div>
    <w:div w:id="720131207">
      <w:bodyDiv w:val="1"/>
      <w:marLeft w:val="0"/>
      <w:marRight w:val="0"/>
      <w:marTop w:val="0"/>
      <w:marBottom w:val="0"/>
      <w:divBdr>
        <w:top w:val="none" w:sz="0" w:space="0" w:color="auto"/>
        <w:left w:val="none" w:sz="0" w:space="0" w:color="auto"/>
        <w:bottom w:val="none" w:sz="0" w:space="0" w:color="auto"/>
        <w:right w:val="none" w:sz="0" w:space="0" w:color="auto"/>
      </w:divBdr>
    </w:div>
    <w:div w:id="720179957">
      <w:bodyDiv w:val="1"/>
      <w:marLeft w:val="0"/>
      <w:marRight w:val="0"/>
      <w:marTop w:val="0"/>
      <w:marBottom w:val="0"/>
      <w:divBdr>
        <w:top w:val="none" w:sz="0" w:space="0" w:color="auto"/>
        <w:left w:val="none" w:sz="0" w:space="0" w:color="auto"/>
        <w:bottom w:val="none" w:sz="0" w:space="0" w:color="auto"/>
        <w:right w:val="none" w:sz="0" w:space="0" w:color="auto"/>
      </w:divBdr>
    </w:div>
    <w:div w:id="720521601">
      <w:bodyDiv w:val="1"/>
      <w:marLeft w:val="0"/>
      <w:marRight w:val="0"/>
      <w:marTop w:val="0"/>
      <w:marBottom w:val="0"/>
      <w:divBdr>
        <w:top w:val="none" w:sz="0" w:space="0" w:color="auto"/>
        <w:left w:val="none" w:sz="0" w:space="0" w:color="auto"/>
        <w:bottom w:val="none" w:sz="0" w:space="0" w:color="auto"/>
        <w:right w:val="none" w:sz="0" w:space="0" w:color="auto"/>
      </w:divBdr>
    </w:div>
    <w:div w:id="720591682">
      <w:bodyDiv w:val="1"/>
      <w:marLeft w:val="0"/>
      <w:marRight w:val="0"/>
      <w:marTop w:val="0"/>
      <w:marBottom w:val="0"/>
      <w:divBdr>
        <w:top w:val="none" w:sz="0" w:space="0" w:color="auto"/>
        <w:left w:val="none" w:sz="0" w:space="0" w:color="auto"/>
        <w:bottom w:val="none" w:sz="0" w:space="0" w:color="auto"/>
        <w:right w:val="none" w:sz="0" w:space="0" w:color="auto"/>
      </w:divBdr>
    </w:div>
    <w:div w:id="720598533">
      <w:bodyDiv w:val="1"/>
      <w:marLeft w:val="0"/>
      <w:marRight w:val="0"/>
      <w:marTop w:val="0"/>
      <w:marBottom w:val="0"/>
      <w:divBdr>
        <w:top w:val="none" w:sz="0" w:space="0" w:color="auto"/>
        <w:left w:val="none" w:sz="0" w:space="0" w:color="auto"/>
        <w:bottom w:val="none" w:sz="0" w:space="0" w:color="auto"/>
        <w:right w:val="none" w:sz="0" w:space="0" w:color="auto"/>
      </w:divBdr>
    </w:div>
    <w:div w:id="720862195">
      <w:bodyDiv w:val="1"/>
      <w:marLeft w:val="0"/>
      <w:marRight w:val="0"/>
      <w:marTop w:val="0"/>
      <w:marBottom w:val="0"/>
      <w:divBdr>
        <w:top w:val="none" w:sz="0" w:space="0" w:color="auto"/>
        <w:left w:val="none" w:sz="0" w:space="0" w:color="auto"/>
        <w:bottom w:val="none" w:sz="0" w:space="0" w:color="auto"/>
        <w:right w:val="none" w:sz="0" w:space="0" w:color="auto"/>
      </w:divBdr>
    </w:div>
    <w:div w:id="721363272">
      <w:bodyDiv w:val="1"/>
      <w:marLeft w:val="0"/>
      <w:marRight w:val="0"/>
      <w:marTop w:val="0"/>
      <w:marBottom w:val="0"/>
      <w:divBdr>
        <w:top w:val="none" w:sz="0" w:space="0" w:color="auto"/>
        <w:left w:val="none" w:sz="0" w:space="0" w:color="auto"/>
        <w:bottom w:val="none" w:sz="0" w:space="0" w:color="auto"/>
        <w:right w:val="none" w:sz="0" w:space="0" w:color="auto"/>
      </w:divBdr>
    </w:div>
    <w:div w:id="722145705">
      <w:bodyDiv w:val="1"/>
      <w:marLeft w:val="0"/>
      <w:marRight w:val="0"/>
      <w:marTop w:val="0"/>
      <w:marBottom w:val="0"/>
      <w:divBdr>
        <w:top w:val="none" w:sz="0" w:space="0" w:color="auto"/>
        <w:left w:val="none" w:sz="0" w:space="0" w:color="auto"/>
        <w:bottom w:val="none" w:sz="0" w:space="0" w:color="auto"/>
        <w:right w:val="none" w:sz="0" w:space="0" w:color="auto"/>
      </w:divBdr>
    </w:div>
    <w:div w:id="722287878">
      <w:bodyDiv w:val="1"/>
      <w:marLeft w:val="0"/>
      <w:marRight w:val="0"/>
      <w:marTop w:val="0"/>
      <w:marBottom w:val="0"/>
      <w:divBdr>
        <w:top w:val="none" w:sz="0" w:space="0" w:color="auto"/>
        <w:left w:val="none" w:sz="0" w:space="0" w:color="auto"/>
        <w:bottom w:val="none" w:sz="0" w:space="0" w:color="auto"/>
        <w:right w:val="none" w:sz="0" w:space="0" w:color="auto"/>
      </w:divBdr>
    </w:div>
    <w:div w:id="722600161">
      <w:bodyDiv w:val="1"/>
      <w:marLeft w:val="0"/>
      <w:marRight w:val="0"/>
      <w:marTop w:val="0"/>
      <w:marBottom w:val="0"/>
      <w:divBdr>
        <w:top w:val="none" w:sz="0" w:space="0" w:color="auto"/>
        <w:left w:val="none" w:sz="0" w:space="0" w:color="auto"/>
        <w:bottom w:val="none" w:sz="0" w:space="0" w:color="auto"/>
        <w:right w:val="none" w:sz="0" w:space="0" w:color="auto"/>
      </w:divBdr>
    </w:div>
    <w:div w:id="723212705">
      <w:bodyDiv w:val="1"/>
      <w:marLeft w:val="0"/>
      <w:marRight w:val="0"/>
      <w:marTop w:val="0"/>
      <w:marBottom w:val="0"/>
      <w:divBdr>
        <w:top w:val="none" w:sz="0" w:space="0" w:color="auto"/>
        <w:left w:val="none" w:sz="0" w:space="0" w:color="auto"/>
        <w:bottom w:val="none" w:sz="0" w:space="0" w:color="auto"/>
        <w:right w:val="none" w:sz="0" w:space="0" w:color="auto"/>
      </w:divBdr>
    </w:div>
    <w:div w:id="723598950">
      <w:bodyDiv w:val="1"/>
      <w:marLeft w:val="0"/>
      <w:marRight w:val="0"/>
      <w:marTop w:val="0"/>
      <w:marBottom w:val="0"/>
      <w:divBdr>
        <w:top w:val="none" w:sz="0" w:space="0" w:color="auto"/>
        <w:left w:val="none" w:sz="0" w:space="0" w:color="auto"/>
        <w:bottom w:val="none" w:sz="0" w:space="0" w:color="auto"/>
        <w:right w:val="none" w:sz="0" w:space="0" w:color="auto"/>
      </w:divBdr>
    </w:div>
    <w:div w:id="723793754">
      <w:bodyDiv w:val="1"/>
      <w:marLeft w:val="0"/>
      <w:marRight w:val="0"/>
      <w:marTop w:val="0"/>
      <w:marBottom w:val="0"/>
      <w:divBdr>
        <w:top w:val="none" w:sz="0" w:space="0" w:color="auto"/>
        <w:left w:val="none" w:sz="0" w:space="0" w:color="auto"/>
        <w:bottom w:val="none" w:sz="0" w:space="0" w:color="auto"/>
        <w:right w:val="none" w:sz="0" w:space="0" w:color="auto"/>
      </w:divBdr>
    </w:div>
    <w:div w:id="723914896">
      <w:bodyDiv w:val="1"/>
      <w:marLeft w:val="0"/>
      <w:marRight w:val="0"/>
      <w:marTop w:val="0"/>
      <w:marBottom w:val="0"/>
      <w:divBdr>
        <w:top w:val="none" w:sz="0" w:space="0" w:color="auto"/>
        <w:left w:val="none" w:sz="0" w:space="0" w:color="auto"/>
        <w:bottom w:val="none" w:sz="0" w:space="0" w:color="auto"/>
        <w:right w:val="none" w:sz="0" w:space="0" w:color="auto"/>
      </w:divBdr>
    </w:div>
    <w:div w:id="724523462">
      <w:bodyDiv w:val="1"/>
      <w:marLeft w:val="0"/>
      <w:marRight w:val="0"/>
      <w:marTop w:val="0"/>
      <w:marBottom w:val="0"/>
      <w:divBdr>
        <w:top w:val="none" w:sz="0" w:space="0" w:color="auto"/>
        <w:left w:val="none" w:sz="0" w:space="0" w:color="auto"/>
        <w:bottom w:val="none" w:sz="0" w:space="0" w:color="auto"/>
        <w:right w:val="none" w:sz="0" w:space="0" w:color="auto"/>
      </w:divBdr>
    </w:div>
    <w:div w:id="724912055">
      <w:bodyDiv w:val="1"/>
      <w:marLeft w:val="0"/>
      <w:marRight w:val="0"/>
      <w:marTop w:val="0"/>
      <w:marBottom w:val="0"/>
      <w:divBdr>
        <w:top w:val="none" w:sz="0" w:space="0" w:color="auto"/>
        <w:left w:val="none" w:sz="0" w:space="0" w:color="auto"/>
        <w:bottom w:val="none" w:sz="0" w:space="0" w:color="auto"/>
        <w:right w:val="none" w:sz="0" w:space="0" w:color="auto"/>
      </w:divBdr>
    </w:div>
    <w:div w:id="725029821">
      <w:bodyDiv w:val="1"/>
      <w:marLeft w:val="0"/>
      <w:marRight w:val="0"/>
      <w:marTop w:val="0"/>
      <w:marBottom w:val="0"/>
      <w:divBdr>
        <w:top w:val="none" w:sz="0" w:space="0" w:color="auto"/>
        <w:left w:val="none" w:sz="0" w:space="0" w:color="auto"/>
        <w:bottom w:val="none" w:sz="0" w:space="0" w:color="auto"/>
        <w:right w:val="none" w:sz="0" w:space="0" w:color="auto"/>
      </w:divBdr>
    </w:div>
    <w:div w:id="725031114">
      <w:bodyDiv w:val="1"/>
      <w:marLeft w:val="0"/>
      <w:marRight w:val="0"/>
      <w:marTop w:val="0"/>
      <w:marBottom w:val="0"/>
      <w:divBdr>
        <w:top w:val="none" w:sz="0" w:space="0" w:color="auto"/>
        <w:left w:val="none" w:sz="0" w:space="0" w:color="auto"/>
        <w:bottom w:val="none" w:sz="0" w:space="0" w:color="auto"/>
        <w:right w:val="none" w:sz="0" w:space="0" w:color="auto"/>
      </w:divBdr>
    </w:div>
    <w:div w:id="725447120">
      <w:bodyDiv w:val="1"/>
      <w:marLeft w:val="0"/>
      <w:marRight w:val="0"/>
      <w:marTop w:val="0"/>
      <w:marBottom w:val="0"/>
      <w:divBdr>
        <w:top w:val="none" w:sz="0" w:space="0" w:color="auto"/>
        <w:left w:val="none" w:sz="0" w:space="0" w:color="auto"/>
        <w:bottom w:val="none" w:sz="0" w:space="0" w:color="auto"/>
        <w:right w:val="none" w:sz="0" w:space="0" w:color="auto"/>
      </w:divBdr>
    </w:div>
    <w:div w:id="726298882">
      <w:bodyDiv w:val="1"/>
      <w:marLeft w:val="0"/>
      <w:marRight w:val="0"/>
      <w:marTop w:val="0"/>
      <w:marBottom w:val="0"/>
      <w:divBdr>
        <w:top w:val="none" w:sz="0" w:space="0" w:color="auto"/>
        <w:left w:val="none" w:sz="0" w:space="0" w:color="auto"/>
        <w:bottom w:val="none" w:sz="0" w:space="0" w:color="auto"/>
        <w:right w:val="none" w:sz="0" w:space="0" w:color="auto"/>
      </w:divBdr>
    </w:div>
    <w:div w:id="727874523">
      <w:bodyDiv w:val="1"/>
      <w:marLeft w:val="0"/>
      <w:marRight w:val="0"/>
      <w:marTop w:val="0"/>
      <w:marBottom w:val="0"/>
      <w:divBdr>
        <w:top w:val="none" w:sz="0" w:space="0" w:color="auto"/>
        <w:left w:val="none" w:sz="0" w:space="0" w:color="auto"/>
        <w:bottom w:val="none" w:sz="0" w:space="0" w:color="auto"/>
        <w:right w:val="none" w:sz="0" w:space="0" w:color="auto"/>
      </w:divBdr>
    </w:div>
    <w:div w:id="728000789">
      <w:bodyDiv w:val="1"/>
      <w:marLeft w:val="0"/>
      <w:marRight w:val="0"/>
      <w:marTop w:val="0"/>
      <w:marBottom w:val="0"/>
      <w:divBdr>
        <w:top w:val="none" w:sz="0" w:space="0" w:color="auto"/>
        <w:left w:val="none" w:sz="0" w:space="0" w:color="auto"/>
        <w:bottom w:val="none" w:sz="0" w:space="0" w:color="auto"/>
        <w:right w:val="none" w:sz="0" w:space="0" w:color="auto"/>
      </w:divBdr>
    </w:div>
    <w:div w:id="728039447">
      <w:bodyDiv w:val="1"/>
      <w:marLeft w:val="0"/>
      <w:marRight w:val="0"/>
      <w:marTop w:val="0"/>
      <w:marBottom w:val="0"/>
      <w:divBdr>
        <w:top w:val="none" w:sz="0" w:space="0" w:color="auto"/>
        <w:left w:val="none" w:sz="0" w:space="0" w:color="auto"/>
        <w:bottom w:val="none" w:sz="0" w:space="0" w:color="auto"/>
        <w:right w:val="none" w:sz="0" w:space="0" w:color="auto"/>
      </w:divBdr>
    </w:div>
    <w:div w:id="728262184">
      <w:bodyDiv w:val="1"/>
      <w:marLeft w:val="0"/>
      <w:marRight w:val="0"/>
      <w:marTop w:val="0"/>
      <w:marBottom w:val="0"/>
      <w:divBdr>
        <w:top w:val="none" w:sz="0" w:space="0" w:color="auto"/>
        <w:left w:val="none" w:sz="0" w:space="0" w:color="auto"/>
        <w:bottom w:val="none" w:sz="0" w:space="0" w:color="auto"/>
        <w:right w:val="none" w:sz="0" w:space="0" w:color="auto"/>
      </w:divBdr>
    </w:div>
    <w:div w:id="728962168">
      <w:bodyDiv w:val="1"/>
      <w:marLeft w:val="0"/>
      <w:marRight w:val="0"/>
      <w:marTop w:val="0"/>
      <w:marBottom w:val="0"/>
      <w:divBdr>
        <w:top w:val="none" w:sz="0" w:space="0" w:color="auto"/>
        <w:left w:val="none" w:sz="0" w:space="0" w:color="auto"/>
        <w:bottom w:val="none" w:sz="0" w:space="0" w:color="auto"/>
        <w:right w:val="none" w:sz="0" w:space="0" w:color="auto"/>
      </w:divBdr>
    </w:div>
    <w:div w:id="729422815">
      <w:bodyDiv w:val="1"/>
      <w:marLeft w:val="0"/>
      <w:marRight w:val="0"/>
      <w:marTop w:val="0"/>
      <w:marBottom w:val="0"/>
      <w:divBdr>
        <w:top w:val="none" w:sz="0" w:space="0" w:color="auto"/>
        <w:left w:val="none" w:sz="0" w:space="0" w:color="auto"/>
        <w:bottom w:val="none" w:sz="0" w:space="0" w:color="auto"/>
        <w:right w:val="none" w:sz="0" w:space="0" w:color="auto"/>
      </w:divBdr>
    </w:div>
    <w:div w:id="729613832">
      <w:bodyDiv w:val="1"/>
      <w:marLeft w:val="0"/>
      <w:marRight w:val="0"/>
      <w:marTop w:val="0"/>
      <w:marBottom w:val="0"/>
      <w:divBdr>
        <w:top w:val="none" w:sz="0" w:space="0" w:color="auto"/>
        <w:left w:val="none" w:sz="0" w:space="0" w:color="auto"/>
        <w:bottom w:val="none" w:sz="0" w:space="0" w:color="auto"/>
        <w:right w:val="none" w:sz="0" w:space="0" w:color="auto"/>
      </w:divBdr>
    </w:div>
    <w:div w:id="729887254">
      <w:bodyDiv w:val="1"/>
      <w:marLeft w:val="0"/>
      <w:marRight w:val="0"/>
      <w:marTop w:val="0"/>
      <w:marBottom w:val="0"/>
      <w:divBdr>
        <w:top w:val="none" w:sz="0" w:space="0" w:color="auto"/>
        <w:left w:val="none" w:sz="0" w:space="0" w:color="auto"/>
        <w:bottom w:val="none" w:sz="0" w:space="0" w:color="auto"/>
        <w:right w:val="none" w:sz="0" w:space="0" w:color="auto"/>
      </w:divBdr>
    </w:div>
    <w:div w:id="730424818">
      <w:bodyDiv w:val="1"/>
      <w:marLeft w:val="0"/>
      <w:marRight w:val="0"/>
      <w:marTop w:val="0"/>
      <w:marBottom w:val="0"/>
      <w:divBdr>
        <w:top w:val="none" w:sz="0" w:space="0" w:color="auto"/>
        <w:left w:val="none" w:sz="0" w:space="0" w:color="auto"/>
        <w:bottom w:val="none" w:sz="0" w:space="0" w:color="auto"/>
        <w:right w:val="none" w:sz="0" w:space="0" w:color="auto"/>
      </w:divBdr>
    </w:div>
    <w:div w:id="730540810">
      <w:bodyDiv w:val="1"/>
      <w:marLeft w:val="0"/>
      <w:marRight w:val="0"/>
      <w:marTop w:val="0"/>
      <w:marBottom w:val="0"/>
      <w:divBdr>
        <w:top w:val="none" w:sz="0" w:space="0" w:color="auto"/>
        <w:left w:val="none" w:sz="0" w:space="0" w:color="auto"/>
        <w:bottom w:val="none" w:sz="0" w:space="0" w:color="auto"/>
        <w:right w:val="none" w:sz="0" w:space="0" w:color="auto"/>
      </w:divBdr>
    </w:div>
    <w:div w:id="730930598">
      <w:bodyDiv w:val="1"/>
      <w:marLeft w:val="0"/>
      <w:marRight w:val="0"/>
      <w:marTop w:val="0"/>
      <w:marBottom w:val="0"/>
      <w:divBdr>
        <w:top w:val="none" w:sz="0" w:space="0" w:color="auto"/>
        <w:left w:val="none" w:sz="0" w:space="0" w:color="auto"/>
        <w:bottom w:val="none" w:sz="0" w:space="0" w:color="auto"/>
        <w:right w:val="none" w:sz="0" w:space="0" w:color="auto"/>
      </w:divBdr>
    </w:div>
    <w:div w:id="731201794">
      <w:bodyDiv w:val="1"/>
      <w:marLeft w:val="0"/>
      <w:marRight w:val="0"/>
      <w:marTop w:val="0"/>
      <w:marBottom w:val="0"/>
      <w:divBdr>
        <w:top w:val="none" w:sz="0" w:space="0" w:color="auto"/>
        <w:left w:val="none" w:sz="0" w:space="0" w:color="auto"/>
        <w:bottom w:val="none" w:sz="0" w:space="0" w:color="auto"/>
        <w:right w:val="none" w:sz="0" w:space="0" w:color="auto"/>
      </w:divBdr>
    </w:div>
    <w:div w:id="731268560">
      <w:bodyDiv w:val="1"/>
      <w:marLeft w:val="0"/>
      <w:marRight w:val="0"/>
      <w:marTop w:val="0"/>
      <w:marBottom w:val="0"/>
      <w:divBdr>
        <w:top w:val="none" w:sz="0" w:space="0" w:color="auto"/>
        <w:left w:val="none" w:sz="0" w:space="0" w:color="auto"/>
        <w:bottom w:val="none" w:sz="0" w:space="0" w:color="auto"/>
        <w:right w:val="none" w:sz="0" w:space="0" w:color="auto"/>
      </w:divBdr>
    </w:div>
    <w:div w:id="731394870">
      <w:bodyDiv w:val="1"/>
      <w:marLeft w:val="0"/>
      <w:marRight w:val="0"/>
      <w:marTop w:val="0"/>
      <w:marBottom w:val="0"/>
      <w:divBdr>
        <w:top w:val="none" w:sz="0" w:space="0" w:color="auto"/>
        <w:left w:val="none" w:sz="0" w:space="0" w:color="auto"/>
        <w:bottom w:val="none" w:sz="0" w:space="0" w:color="auto"/>
        <w:right w:val="none" w:sz="0" w:space="0" w:color="auto"/>
      </w:divBdr>
    </w:div>
    <w:div w:id="732313249">
      <w:bodyDiv w:val="1"/>
      <w:marLeft w:val="0"/>
      <w:marRight w:val="0"/>
      <w:marTop w:val="0"/>
      <w:marBottom w:val="0"/>
      <w:divBdr>
        <w:top w:val="none" w:sz="0" w:space="0" w:color="auto"/>
        <w:left w:val="none" w:sz="0" w:space="0" w:color="auto"/>
        <w:bottom w:val="none" w:sz="0" w:space="0" w:color="auto"/>
        <w:right w:val="none" w:sz="0" w:space="0" w:color="auto"/>
      </w:divBdr>
    </w:div>
    <w:div w:id="733622255">
      <w:bodyDiv w:val="1"/>
      <w:marLeft w:val="0"/>
      <w:marRight w:val="0"/>
      <w:marTop w:val="0"/>
      <w:marBottom w:val="0"/>
      <w:divBdr>
        <w:top w:val="none" w:sz="0" w:space="0" w:color="auto"/>
        <w:left w:val="none" w:sz="0" w:space="0" w:color="auto"/>
        <w:bottom w:val="none" w:sz="0" w:space="0" w:color="auto"/>
        <w:right w:val="none" w:sz="0" w:space="0" w:color="auto"/>
      </w:divBdr>
    </w:div>
    <w:div w:id="733695318">
      <w:bodyDiv w:val="1"/>
      <w:marLeft w:val="0"/>
      <w:marRight w:val="0"/>
      <w:marTop w:val="0"/>
      <w:marBottom w:val="0"/>
      <w:divBdr>
        <w:top w:val="none" w:sz="0" w:space="0" w:color="auto"/>
        <w:left w:val="none" w:sz="0" w:space="0" w:color="auto"/>
        <w:bottom w:val="none" w:sz="0" w:space="0" w:color="auto"/>
        <w:right w:val="none" w:sz="0" w:space="0" w:color="auto"/>
      </w:divBdr>
    </w:div>
    <w:div w:id="734932016">
      <w:bodyDiv w:val="1"/>
      <w:marLeft w:val="0"/>
      <w:marRight w:val="0"/>
      <w:marTop w:val="0"/>
      <w:marBottom w:val="0"/>
      <w:divBdr>
        <w:top w:val="none" w:sz="0" w:space="0" w:color="auto"/>
        <w:left w:val="none" w:sz="0" w:space="0" w:color="auto"/>
        <w:bottom w:val="none" w:sz="0" w:space="0" w:color="auto"/>
        <w:right w:val="none" w:sz="0" w:space="0" w:color="auto"/>
      </w:divBdr>
    </w:div>
    <w:div w:id="735201143">
      <w:bodyDiv w:val="1"/>
      <w:marLeft w:val="0"/>
      <w:marRight w:val="0"/>
      <w:marTop w:val="0"/>
      <w:marBottom w:val="0"/>
      <w:divBdr>
        <w:top w:val="none" w:sz="0" w:space="0" w:color="auto"/>
        <w:left w:val="none" w:sz="0" w:space="0" w:color="auto"/>
        <w:bottom w:val="none" w:sz="0" w:space="0" w:color="auto"/>
        <w:right w:val="none" w:sz="0" w:space="0" w:color="auto"/>
      </w:divBdr>
    </w:div>
    <w:div w:id="735277209">
      <w:bodyDiv w:val="1"/>
      <w:marLeft w:val="0"/>
      <w:marRight w:val="0"/>
      <w:marTop w:val="0"/>
      <w:marBottom w:val="0"/>
      <w:divBdr>
        <w:top w:val="none" w:sz="0" w:space="0" w:color="auto"/>
        <w:left w:val="none" w:sz="0" w:space="0" w:color="auto"/>
        <w:bottom w:val="none" w:sz="0" w:space="0" w:color="auto"/>
        <w:right w:val="none" w:sz="0" w:space="0" w:color="auto"/>
      </w:divBdr>
    </w:div>
    <w:div w:id="735319646">
      <w:bodyDiv w:val="1"/>
      <w:marLeft w:val="0"/>
      <w:marRight w:val="0"/>
      <w:marTop w:val="0"/>
      <w:marBottom w:val="0"/>
      <w:divBdr>
        <w:top w:val="none" w:sz="0" w:space="0" w:color="auto"/>
        <w:left w:val="none" w:sz="0" w:space="0" w:color="auto"/>
        <w:bottom w:val="none" w:sz="0" w:space="0" w:color="auto"/>
        <w:right w:val="none" w:sz="0" w:space="0" w:color="auto"/>
      </w:divBdr>
    </w:div>
    <w:div w:id="736247561">
      <w:bodyDiv w:val="1"/>
      <w:marLeft w:val="0"/>
      <w:marRight w:val="0"/>
      <w:marTop w:val="0"/>
      <w:marBottom w:val="0"/>
      <w:divBdr>
        <w:top w:val="none" w:sz="0" w:space="0" w:color="auto"/>
        <w:left w:val="none" w:sz="0" w:space="0" w:color="auto"/>
        <w:bottom w:val="none" w:sz="0" w:space="0" w:color="auto"/>
        <w:right w:val="none" w:sz="0" w:space="0" w:color="auto"/>
      </w:divBdr>
    </w:div>
    <w:div w:id="736585721">
      <w:bodyDiv w:val="1"/>
      <w:marLeft w:val="0"/>
      <w:marRight w:val="0"/>
      <w:marTop w:val="0"/>
      <w:marBottom w:val="0"/>
      <w:divBdr>
        <w:top w:val="none" w:sz="0" w:space="0" w:color="auto"/>
        <w:left w:val="none" w:sz="0" w:space="0" w:color="auto"/>
        <w:bottom w:val="none" w:sz="0" w:space="0" w:color="auto"/>
        <w:right w:val="none" w:sz="0" w:space="0" w:color="auto"/>
      </w:divBdr>
    </w:div>
    <w:div w:id="737435881">
      <w:bodyDiv w:val="1"/>
      <w:marLeft w:val="0"/>
      <w:marRight w:val="0"/>
      <w:marTop w:val="0"/>
      <w:marBottom w:val="0"/>
      <w:divBdr>
        <w:top w:val="none" w:sz="0" w:space="0" w:color="auto"/>
        <w:left w:val="none" w:sz="0" w:space="0" w:color="auto"/>
        <w:bottom w:val="none" w:sz="0" w:space="0" w:color="auto"/>
        <w:right w:val="none" w:sz="0" w:space="0" w:color="auto"/>
      </w:divBdr>
    </w:div>
    <w:div w:id="737635044">
      <w:bodyDiv w:val="1"/>
      <w:marLeft w:val="0"/>
      <w:marRight w:val="0"/>
      <w:marTop w:val="0"/>
      <w:marBottom w:val="0"/>
      <w:divBdr>
        <w:top w:val="none" w:sz="0" w:space="0" w:color="auto"/>
        <w:left w:val="none" w:sz="0" w:space="0" w:color="auto"/>
        <w:bottom w:val="none" w:sz="0" w:space="0" w:color="auto"/>
        <w:right w:val="none" w:sz="0" w:space="0" w:color="auto"/>
      </w:divBdr>
    </w:div>
    <w:div w:id="737898900">
      <w:bodyDiv w:val="1"/>
      <w:marLeft w:val="0"/>
      <w:marRight w:val="0"/>
      <w:marTop w:val="0"/>
      <w:marBottom w:val="0"/>
      <w:divBdr>
        <w:top w:val="none" w:sz="0" w:space="0" w:color="auto"/>
        <w:left w:val="none" w:sz="0" w:space="0" w:color="auto"/>
        <w:bottom w:val="none" w:sz="0" w:space="0" w:color="auto"/>
        <w:right w:val="none" w:sz="0" w:space="0" w:color="auto"/>
      </w:divBdr>
    </w:div>
    <w:div w:id="738286710">
      <w:bodyDiv w:val="1"/>
      <w:marLeft w:val="0"/>
      <w:marRight w:val="0"/>
      <w:marTop w:val="0"/>
      <w:marBottom w:val="0"/>
      <w:divBdr>
        <w:top w:val="none" w:sz="0" w:space="0" w:color="auto"/>
        <w:left w:val="none" w:sz="0" w:space="0" w:color="auto"/>
        <w:bottom w:val="none" w:sz="0" w:space="0" w:color="auto"/>
        <w:right w:val="none" w:sz="0" w:space="0" w:color="auto"/>
      </w:divBdr>
    </w:div>
    <w:div w:id="738867106">
      <w:bodyDiv w:val="1"/>
      <w:marLeft w:val="0"/>
      <w:marRight w:val="0"/>
      <w:marTop w:val="0"/>
      <w:marBottom w:val="0"/>
      <w:divBdr>
        <w:top w:val="none" w:sz="0" w:space="0" w:color="auto"/>
        <w:left w:val="none" w:sz="0" w:space="0" w:color="auto"/>
        <w:bottom w:val="none" w:sz="0" w:space="0" w:color="auto"/>
        <w:right w:val="none" w:sz="0" w:space="0" w:color="auto"/>
      </w:divBdr>
    </w:div>
    <w:div w:id="739135620">
      <w:bodyDiv w:val="1"/>
      <w:marLeft w:val="0"/>
      <w:marRight w:val="0"/>
      <w:marTop w:val="0"/>
      <w:marBottom w:val="0"/>
      <w:divBdr>
        <w:top w:val="none" w:sz="0" w:space="0" w:color="auto"/>
        <w:left w:val="none" w:sz="0" w:space="0" w:color="auto"/>
        <w:bottom w:val="none" w:sz="0" w:space="0" w:color="auto"/>
        <w:right w:val="none" w:sz="0" w:space="0" w:color="auto"/>
      </w:divBdr>
    </w:div>
    <w:div w:id="739907863">
      <w:bodyDiv w:val="1"/>
      <w:marLeft w:val="0"/>
      <w:marRight w:val="0"/>
      <w:marTop w:val="0"/>
      <w:marBottom w:val="0"/>
      <w:divBdr>
        <w:top w:val="none" w:sz="0" w:space="0" w:color="auto"/>
        <w:left w:val="none" w:sz="0" w:space="0" w:color="auto"/>
        <w:bottom w:val="none" w:sz="0" w:space="0" w:color="auto"/>
        <w:right w:val="none" w:sz="0" w:space="0" w:color="auto"/>
      </w:divBdr>
    </w:div>
    <w:div w:id="740518558">
      <w:bodyDiv w:val="1"/>
      <w:marLeft w:val="0"/>
      <w:marRight w:val="0"/>
      <w:marTop w:val="0"/>
      <w:marBottom w:val="0"/>
      <w:divBdr>
        <w:top w:val="none" w:sz="0" w:space="0" w:color="auto"/>
        <w:left w:val="none" w:sz="0" w:space="0" w:color="auto"/>
        <w:bottom w:val="none" w:sz="0" w:space="0" w:color="auto"/>
        <w:right w:val="none" w:sz="0" w:space="0" w:color="auto"/>
      </w:divBdr>
    </w:div>
    <w:div w:id="740714275">
      <w:bodyDiv w:val="1"/>
      <w:marLeft w:val="0"/>
      <w:marRight w:val="0"/>
      <w:marTop w:val="0"/>
      <w:marBottom w:val="0"/>
      <w:divBdr>
        <w:top w:val="none" w:sz="0" w:space="0" w:color="auto"/>
        <w:left w:val="none" w:sz="0" w:space="0" w:color="auto"/>
        <w:bottom w:val="none" w:sz="0" w:space="0" w:color="auto"/>
        <w:right w:val="none" w:sz="0" w:space="0" w:color="auto"/>
      </w:divBdr>
    </w:div>
    <w:div w:id="740755119">
      <w:bodyDiv w:val="1"/>
      <w:marLeft w:val="0"/>
      <w:marRight w:val="0"/>
      <w:marTop w:val="0"/>
      <w:marBottom w:val="0"/>
      <w:divBdr>
        <w:top w:val="none" w:sz="0" w:space="0" w:color="auto"/>
        <w:left w:val="none" w:sz="0" w:space="0" w:color="auto"/>
        <w:bottom w:val="none" w:sz="0" w:space="0" w:color="auto"/>
        <w:right w:val="none" w:sz="0" w:space="0" w:color="auto"/>
      </w:divBdr>
    </w:div>
    <w:div w:id="740755221">
      <w:bodyDiv w:val="1"/>
      <w:marLeft w:val="0"/>
      <w:marRight w:val="0"/>
      <w:marTop w:val="0"/>
      <w:marBottom w:val="0"/>
      <w:divBdr>
        <w:top w:val="none" w:sz="0" w:space="0" w:color="auto"/>
        <w:left w:val="none" w:sz="0" w:space="0" w:color="auto"/>
        <w:bottom w:val="none" w:sz="0" w:space="0" w:color="auto"/>
        <w:right w:val="none" w:sz="0" w:space="0" w:color="auto"/>
      </w:divBdr>
    </w:div>
    <w:div w:id="741026172">
      <w:bodyDiv w:val="1"/>
      <w:marLeft w:val="0"/>
      <w:marRight w:val="0"/>
      <w:marTop w:val="0"/>
      <w:marBottom w:val="0"/>
      <w:divBdr>
        <w:top w:val="none" w:sz="0" w:space="0" w:color="auto"/>
        <w:left w:val="none" w:sz="0" w:space="0" w:color="auto"/>
        <w:bottom w:val="none" w:sz="0" w:space="0" w:color="auto"/>
        <w:right w:val="none" w:sz="0" w:space="0" w:color="auto"/>
      </w:divBdr>
    </w:div>
    <w:div w:id="741295197">
      <w:bodyDiv w:val="1"/>
      <w:marLeft w:val="0"/>
      <w:marRight w:val="0"/>
      <w:marTop w:val="0"/>
      <w:marBottom w:val="0"/>
      <w:divBdr>
        <w:top w:val="none" w:sz="0" w:space="0" w:color="auto"/>
        <w:left w:val="none" w:sz="0" w:space="0" w:color="auto"/>
        <w:bottom w:val="none" w:sz="0" w:space="0" w:color="auto"/>
        <w:right w:val="none" w:sz="0" w:space="0" w:color="auto"/>
      </w:divBdr>
    </w:div>
    <w:div w:id="741760276">
      <w:bodyDiv w:val="1"/>
      <w:marLeft w:val="0"/>
      <w:marRight w:val="0"/>
      <w:marTop w:val="0"/>
      <w:marBottom w:val="0"/>
      <w:divBdr>
        <w:top w:val="none" w:sz="0" w:space="0" w:color="auto"/>
        <w:left w:val="none" w:sz="0" w:space="0" w:color="auto"/>
        <w:bottom w:val="none" w:sz="0" w:space="0" w:color="auto"/>
        <w:right w:val="none" w:sz="0" w:space="0" w:color="auto"/>
      </w:divBdr>
    </w:div>
    <w:div w:id="742222739">
      <w:bodyDiv w:val="1"/>
      <w:marLeft w:val="0"/>
      <w:marRight w:val="0"/>
      <w:marTop w:val="0"/>
      <w:marBottom w:val="0"/>
      <w:divBdr>
        <w:top w:val="none" w:sz="0" w:space="0" w:color="auto"/>
        <w:left w:val="none" w:sz="0" w:space="0" w:color="auto"/>
        <w:bottom w:val="none" w:sz="0" w:space="0" w:color="auto"/>
        <w:right w:val="none" w:sz="0" w:space="0" w:color="auto"/>
      </w:divBdr>
    </w:div>
    <w:div w:id="742725559">
      <w:bodyDiv w:val="1"/>
      <w:marLeft w:val="0"/>
      <w:marRight w:val="0"/>
      <w:marTop w:val="0"/>
      <w:marBottom w:val="0"/>
      <w:divBdr>
        <w:top w:val="none" w:sz="0" w:space="0" w:color="auto"/>
        <w:left w:val="none" w:sz="0" w:space="0" w:color="auto"/>
        <w:bottom w:val="none" w:sz="0" w:space="0" w:color="auto"/>
        <w:right w:val="none" w:sz="0" w:space="0" w:color="auto"/>
      </w:divBdr>
    </w:div>
    <w:div w:id="743331726">
      <w:bodyDiv w:val="1"/>
      <w:marLeft w:val="0"/>
      <w:marRight w:val="0"/>
      <w:marTop w:val="0"/>
      <w:marBottom w:val="0"/>
      <w:divBdr>
        <w:top w:val="none" w:sz="0" w:space="0" w:color="auto"/>
        <w:left w:val="none" w:sz="0" w:space="0" w:color="auto"/>
        <w:bottom w:val="none" w:sz="0" w:space="0" w:color="auto"/>
        <w:right w:val="none" w:sz="0" w:space="0" w:color="auto"/>
      </w:divBdr>
    </w:div>
    <w:div w:id="743336200">
      <w:bodyDiv w:val="1"/>
      <w:marLeft w:val="0"/>
      <w:marRight w:val="0"/>
      <w:marTop w:val="0"/>
      <w:marBottom w:val="0"/>
      <w:divBdr>
        <w:top w:val="none" w:sz="0" w:space="0" w:color="auto"/>
        <w:left w:val="none" w:sz="0" w:space="0" w:color="auto"/>
        <w:bottom w:val="none" w:sz="0" w:space="0" w:color="auto"/>
        <w:right w:val="none" w:sz="0" w:space="0" w:color="auto"/>
      </w:divBdr>
    </w:div>
    <w:div w:id="744957523">
      <w:bodyDiv w:val="1"/>
      <w:marLeft w:val="0"/>
      <w:marRight w:val="0"/>
      <w:marTop w:val="0"/>
      <w:marBottom w:val="0"/>
      <w:divBdr>
        <w:top w:val="none" w:sz="0" w:space="0" w:color="auto"/>
        <w:left w:val="none" w:sz="0" w:space="0" w:color="auto"/>
        <w:bottom w:val="none" w:sz="0" w:space="0" w:color="auto"/>
        <w:right w:val="none" w:sz="0" w:space="0" w:color="auto"/>
      </w:divBdr>
    </w:div>
    <w:div w:id="745299727">
      <w:bodyDiv w:val="1"/>
      <w:marLeft w:val="0"/>
      <w:marRight w:val="0"/>
      <w:marTop w:val="0"/>
      <w:marBottom w:val="0"/>
      <w:divBdr>
        <w:top w:val="none" w:sz="0" w:space="0" w:color="auto"/>
        <w:left w:val="none" w:sz="0" w:space="0" w:color="auto"/>
        <w:bottom w:val="none" w:sz="0" w:space="0" w:color="auto"/>
        <w:right w:val="none" w:sz="0" w:space="0" w:color="auto"/>
      </w:divBdr>
    </w:div>
    <w:div w:id="745300406">
      <w:bodyDiv w:val="1"/>
      <w:marLeft w:val="0"/>
      <w:marRight w:val="0"/>
      <w:marTop w:val="0"/>
      <w:marBottom w:val="0"/>
      <w:divBdr>
        <w:top w:val="none" w:sz="0" w:space="0" w:color="auto"/>
        <w:left w:val="none" w:sz="0" w:space="0" w:color="auto"/>
        <w:bottom w:val="none" w:sz="0" w:space="0" w:color="auto"/>
        <w:right w:val="none" w:sz="0" w:space="0" w:color="auto"/>
      </w:divBdr>
    </w:div>
    <w:div w:id="745301006">
      <w:bodyDiv w:val="1"/>
      <w:marLeft w:val="0"/>
      <w:marRight w:val="0"/>
      <w:marTop w:val="0"/>
      <w:marBottom w:val="0"/>
      <w:divBdr>
        <w:top w:val="none" w:sz="0" w:space="0" w:color="auto"/>
        <w:left w:val="none" w:sz="0" w:space="0" w:color="auto"/>
        <w:bottom w:val="none" w:sz="0" w:space="0" w:color="auto"/>
        <w:right w:val="none" w:sz="0" w:space="0" w:color="auto"/>
      </w:divBdr>
    </w:div>
    <w:div w:id="745345660">
      <w:bodyDiv w:val="1"/>
      <w:marLeft w:val="0"/>
      <w:marRight w:val="0"/>
      <w:marTop w:val="0"/>
      <w:marBottom w:val="0"/>
      <w:divBdr>
        <w:top w:val="none" w:sz="0" w:space="0" w:color="auto"/>
        <w:left w:val="none" w:sz="0" w:space="0" w:color="auto"/>
        <w:bottom w:val="none" w:sz="0" w:space="0" w:color="auto"/>
        <w:right w:val="none" w:sz="0" w:space="0" w:color="auto"/>
      </w:divBdr>
    </w:div>
    <w:div w:id="746153920">
      <w:bodyDiv w:val="1"/>
      <w:marLeft w:val="0"/>
      <w:marRight w:val="0"/>
      <w:marTop w:val="0"/>
      <w:marBottom w:val="0"/>
      <w:divBdr>
        <w:top w:val="none" w:sz="0" w:space="0" w:color="auto"/>
        <w:left w:val="none" w:sz="0" w:space="0" w:color="auto"/>
        <w:bottom w:val="none" w:sz="0" w:space="0" w:color="auto"/>
        <w:right w:val="none" w:sz="0" w:space="0" w:color="auto"/>
      </w:divBdr>
    </w:div>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746802921">
      <w:bodyDiv w:val="1"/>
      <w:marLeft w:val="0"/>
      <w:marRight w:val="0"/>
      <w:marTop w:val="0"/>
      <w:marBottom w:val="0"/>
      <w:divBdr>
        <w:top w:val="none" w:sz="0" w:space="0" w:color="auto"/>
        <w:left w:val="none" w:sz="0" w:space="0" w:color="auto"/>
        <w:bottom w:val="none" w:sz="0" w:space="0" w:color="auto"/>
        <w:right w:val="none" w:sz="0" w:space="0" w:color="auto"/>
      </w:divBdr>
    </w:div>
    <w:div w:id="746804075">
      <w:bodyDiv w:val="1"/>
      <w:marLeft w:val="0"/>
      <w:marRight w:val="0"/>
      <w:marTop w:val="0"/>
      <w:marBottom w:val="0"/>
      <w:divBdr>
        <w:top w:val="none" w:sz="0" w:space="0" w:color="auto"/>
        <w:left w:val="none" w:sz="0" w:space="0" w:color="auto"/>
        <w:bottom w:val="none" w:sz="0" w:space="0" w:color="auto"/>
        <w:right w:val="none" w:sz="0" w:space="0" w:color="auto"/>
      </w:divBdr>
    </w:div>
    <w:div w:id="747380578">
      <w:bodyDiv w:val="1"/>
      <w:marLeft w:val="0"/>
      <w:marRight w:val="0"/>
      <w:marTop w:val="0"/>
      <w:marBottom w:val="0"/>
      <w:divBdr>
        <w:top w:val="none" w:sz="0" w:space="0" w:color="auto"/>
        <w:left w:val="none" w:sz="0" w:space="0" w:color="auto"/>
        <w:bottom w:val="none" w:sz="0" w:space="0" w:color="auto"/>
        <w:right w:val="none" w:sz="0" w:space="0" w:color="auto"/>
      </w:divBdr>
    </w:div>
    <w:div w:id="747731821">
      <w:bodyDiv w:val="1"/>
      <w:marLeft w:val="0"/>
      <w:marRight w:val="0"/>
      <w:marTop w:val="0"/>
      <w:marBottom w:val="0"/>
      <w:divBdr>
        <w:top w:val="none" w:sz="0" w:space="0" w:color="auto"/>
        <w:left w:val="none" w:sz="0" w:space="0" w:color="auto"/>
        <w:bottom w:val="none" w:sz="0" w:space="0" w:color="auto"/>
        <w:right w:val="none" w:sz="0" w:space="0" w:color="auto"/>
      </w:divBdr>
    </w:div>
    <w:div w:id="747994968">
      <w:bodyDiv w:val="1"/>
      <w:marLeft w:val="0"/>
      <w:marRight w:val="0"/>
      <w:marTop w:val="0"/>
      <w:marBottom w:val="0"/>
      <w:divBdr>
        <w:top w:val="none" w:sz="0" w:space="0" w:color="auto"/>
        <w:left w:val="none" w:sz="0" w:space="0" w:color="auto"/>
        <w:bottom w:val="none" w:sz="0" w:space="0" w:color="auto"/>
        <w:right w:val="none" w:sz="0" w:space="0" w:color="auto"/>
      </w:divBdr>
    </w:div>
    <w:div w:id="748305507">
      <w:bodyDiv w:val="1"/>
      <w:marLeft w:val="0"/>
      <w:marRight w:val="0"/>
      <w:marTop w:val="0"/>
      <w:marBottom w:val="0"/>
      <w:divBdr>
        <w:top w:val="none" w:sz="0" w:space="0" w:color="auto"/>
        <w:left w:val="none" w:sz="0" w:space="0" w:color="auto"/>
        <w:bottom w:val="none" w:sz="0" w:space="0" w:color="auto"/>
        <w:right w:val="none" w:sz="0" w:space="0" w:color="auto"/>
      </w:divBdr>
    </w:div>
    <w:div w:id="749929803">
      <w:bodyDiv w:val="1"/>
      <w:marLeft w:val="0"/>
      <w:marRight w:val="0"/>
      <w:marTop w:val="0"/>
      <w:marBottom w:val="0"/>
      <w:divBdr>
        <w:top w:val="none" w:sz="0" w:space="0" w:color="auto"/>
        <w:left w:val="none" w:sz="0" w:space="0" w:color="auto"/>
        <w:bottom w:val="none" w:sz="0" w:space="0" w:color="auto"/>
        <w:right w:val="none" w:sz="0" w:space="0" w:color="auto"/>
      </w:divBdr>
    </w:div>
    <w:div w:id="750200109">
      <w:bodyDiv w:val="1"/>
      <w:marLeft w:val="0"/>
      <w:marRight w:val="0"/>
      <w:marTop w:val="0"/>
      <w:marBottom w:val="0"/>
      <w:divBdr>
        <w:top w:val="none" w:sz="0" w:space="0" w:color="auto"/>
        <w:left w:val="none" w:sz="0" w:space="0" w:color="auto"/>
        <w:bottom w:val="none" w:sz="0" w:space="0" w:color="auto"/>
        <w:right w:val="none" w:sz="0" w:space="0" w:color="auto"/>
      </w:divBdr>
    </w:div>
    <w:div w:id="750546897">
      <w:bodyDiv w:val="1"/>
      <w:marLeft w:val="0"/>
      <w:marRight w:val="0"/>
      <w:marTop w:val="0"/>
      <w:marBottom w:val="0"/>
      <w:divBdr>
        <w:top w:val="none" w:sz="0" w:space="0" w:color="auto"/>
        <w:left w:val="none" w:sz="0" w:space="0" w:color="auto"/>
        <w:bottom w:val="none" w:sz="0" w:space="0" w:color="auto"/>
        <w:right w:val="none" w:sz="0" w:space="0" w:color="auto"/>
      </w:divBdr>
    </w:div>
    <w:div w:id="750811252">
      <w:bodyDiv w:val="1"/>
      <w:marLeft w:val="0"/>
      <w:marRight w:val="0"/>
      <w:marTop w:val="0"/>
      <w:marBottom w:val="0"/>
      <w:divBdr>
        <w:top w:val="none" w:sz="0" w:space="0" w:color="auto"/>
        <w:left w:val="none" w:sz="0" w:space="0" w:color="auto"/>
        <w:bottom w:val="none" w:sz="0" w:space="0" w:color="auto"/>
        <w:right w:val="none" w:sz="0" w:space="0" w:color="auto"/>
      </w:divBdr>
    </w:div>
    <w:div w:id="751387519">
      <w:bodyDiv w:val="1"/>
      <w:marLeft w:val="0"/>
      <w:marRight w:val="0"/>
      <w:marTop w:val="0"/>
      <w:marBottom w:val="0"/>
      <w:divBdr>
        <w:top w:val="none" w:sz="0" w:space="0" w:color="auto"/>
        <w:left w:val="none" w:sz="0" w:space="0" w:color="auto"/>
        <w:bottom w:val="none" w:sz="0" w:space="0" w:color="auto"/>
        <w:right w:val="none" w:sz="0" w:space="0" w:color="auto"/>
      </w:divBdr>
    </w:div>
    <w:div w:id="751390175">
      <w:bodyDiv w:val="1"/>
      <w:marLeft w:val="0"/>
      <w:marRight w:val="0"/>
      <w:marTop w:val="0"/>
      <w:marBottom w:val="0"/>
      <w:divBdr>
        <w:top w:val="none" w:sz="0" w:space="0" w:color="auto"/>
        <w:left w:val="none" w:sz="0" w:space="0" w:color="auto"/>
        <w:bottom w:val="none" w:sz="0" w:space="0" w:color="auto"/>
        <w:right w:val="none" w:sz="0" w:space="0" w:color="auto"/>
      </w:divBdr>
    </w:div>
    <w:div w:id="751897469">
      <w:bodyDiv w:val="1"/>
      <w:marLeft w:val="0"/>
      <w:marRight w:val="0"/>
      <w:marTop w:val="0"/>
      <w:marBottom w:val="0"/>
      <w:divBdr>
        <w:top w:val="none" w:sz="0" w:space="0" w:color="auto"/>
        <w:left w:val="none" w:sz="0" w:space="0" w:color="auto"/>
        <w:bottom w:val="none" w:sz="0" w:space="0" w:color="auto"/>
        <w:right w:val="none" w:sz="0" w:space="0" w:color="auto"/>
      </w:divBdr>
    </w:div>
    <w:div w:id="752168105">
      <w:bodyDiv w:val="1"/>
      <w:marLeft w:val="0"/>
      <w:marRight w:val="0"/>
      <w:marTop w:val="0"/>
      <w:marBottom w:val="0"/>
      <w:divBdr>
        <w:top w:val="none" w:sz="0" w:space="0" w:color="auto"/>
        <w:left w:val="none" w:sz="0" w:space="0" w:color="auto"/>
        <w:bottom w:val="none" w:sz="0" w:space="0" w:color="auto"/>
        <w:right w:val="none" w:sz="0" w:space="0" w:color="auto"/>
      </w:divBdr>
    </w:div>
    <w:div w:id="752435338">
      <w:bodyDiv w:val="1"/>
      <w:marLeft w:val="0"/>
      <w:marRight w:val="0"/>
      <w:marTop w:val="0"/>
      <w:marBottom w:val="0"/>
      <w:divBdr>
        <w:top w:val="none" w:sz="0" w:space="0" w:color="auto"/>
        <w:left w:val="none" w:sz="0" w:space="0" w:color="auto"/>
        <w:bottom w:val="none" w:sz="0" w:space="0" w:color="auto"/>
        <w:right w:val="none" w:sz="0" w:space="0" w:color="auto"/>
      </w:divBdr>
    </w:div>
    <w:div w:id="752629358">
      <w:bodyDiv w:val="1"/>
      <w:marLeft w:val="0"/>
      <w:marRight w:val="0"/>
      <w:marTop w:val="0"/>
      <w:marBottom w:val="0"/>
      <w:divBdr>
        <w:top w:val="none" w:sz="0" w:space="0" w:color="auto"/>
        <w:left w:val="none" w:sz="0" w:space="0" w:color="auto"/>
        <w:bottom w:val="none" w:sz="0" w:space="0" w:color="auto"/>
        <w:right w:val="none" w:sz="0" w:space="0" w:color="auto"/>
      </w:divBdr>
    </w:div>
    <w:div w:id="752700077">
      <w:bodyDiv w:val="1"/>
      <w:marLeft w:val="0"/>
      <w:marRight w:val="0"/>
      <w:marTop w:val="0"/>
      <w:marBottom w:val="0"/>
      <w:divBdr>
        <w:top w:val="none" w:sz="0" w:space="0" w:color="auto"/>
        <w:left w:val="none" w:sz="0" w:space="0" w:color="auto"/>
        <w:bottom w:val="none" w:sz="0" w:space="0" w:color="auto"/>
        <w:right w:val="none" w:sz="0" w:space="0" w:color="auto"/>
      </w:divBdr>
    </w:div>
    <w:div w:id="753279429">
      <w:bodyDiv w:val="1"/>
      <w:marLeft w:val="0"/>
      <w:marRight w:val="0"/>
      <w:marTop w:val="0"/>
      <w:marBottom w:val="0"/>
      <w:divBdr>
        <w:top w:val="none" w:sz="0" w:space="0" w:color="auto"/>
        <w:left w:val="none" w:sz="0" w:space="0" w:color="auto"/>
        <w:bottom w:val="none" w:sz="0" w:space="0" w:color="auto"/>
        <w:right w:val="none" w:sz="0" w:space="0" w:color="auto"/>
      </w:divBdr>
    </w:div>
    <w:div w:id="753747872">
      <w:bodyDiv w:val="1"/>
      <w:marLeft w:val="0"/>
      <w:marRight w:val="0"/>
      <w:marTop w:val="0"/>
      <w:marBottom w:val="0"/>
      <w:divBdr>
        <w:top w:val="none" w:sz="0" w:space="0" w:color="auto"/>
        <w:left w:val="none" w:sz="0" w:space="0" w:color="auto"/>
        <w:bottom w:val="none" w:sz="0" w:space="0" w:color="auto"/>
        <w:right w:val="none" w:sz="0" w:space="0" w:color="auto"/>
      </w:divBdr>
    </w:div>
    <w:div w:id="753748629">
      <w:bodyDiv w:val="1"/>
      <w:marLeft w:val="0"/>
      <w:marRight w:val="0"/>
      <w:marTop w:val="0"/>
      <w:marBottom w:val="0"/>
      <w:divBdr>
        <w:top w:val="none" w:sz="0" w:space="0" w:color="auto"/>
        <w:left w:val="none" w:sz="0" w:space="0" w:color="auto"/>
        <w:bottom w:val="none" w:sz="0" w:space="0" w:color="auto"/>
        <w:right w:val="none" w:sz="0" w:space="0" w:color="auto"/>
      </w:divBdr>
    </w:div>
    <w:div w:id="753861163">
      <w:bodyDiv w:val="1"/>
      <w:marLeft w:val="0"/>
      <w:marRight w:val="0"/>
      <w:marTop w:val="0"/>
      <w:marBottom w:val="0"/>
      <w:divBdr>
        <w:top w:val="none" w:sz="0" w:space="0" w:color="auto"/>
        <w:left w:val="none" w:sz="0" w:space="0" w:color="auto"/>
        <w:bottom w:val="none" w:sz="0" w:space="0" w:color="auto"/>
        <w:right w:val="none" w:sz="0" w:space="0" w:color="auto"/>
      </w:divBdr>
    </w:div>
    <w:div w:id="754404249">
      <w:bodyDiv w:val="1"/>
      <w:marLeft w:val="0"/>
      <w:marRight w:val="0"/>
      <w:marTop w:val="0"/>
      <w:marBottom w:val="0"/>
      <w:divBdr>
        <w:top w:val="none" w:sz="0" w:space="0" w:color="auto"/>
        <w:left w:val="none" w:sz="0" w:space="0" w:color="auto"/>
        <w:bottom w:val="none" w:sz="0" w:space="0" w:color="auto"/>
        <w:right w:val="none" w:sz="0" w:space="0" w:color="auto"/>
      </w:divBdr>
    </w:div>
    <w:div w:id="754591908">
      <w:bodyDiv w:val="1"/>
      <w:marLeft w:val="0"/>
      <w:marRight w:val="0"/>
      <w:marTop w:val="0"/>
      <w:marBottom w:val="0"/>
      <w:divBdr>
        <w:top w:val="none" w:sz="0" w:space="0" w:color="auto"/>
        <w:left w:val="none" w:sz="0" w:space="0" w:color="auto"/>
        <w:bottom w:val="none" w:sz="0" w:space="0" w:color="auto"/>
        <w:right w:val="none" w:sz="0" w:space="0" w:color="auto"/>
      </w:divBdr>
    </w:div>
    <w:div w:id="754977062">
      <w:bodyDiv w:val="1"/>
      <w:marLeft w:val="0"/>
      <w:marRight w:val="0"/>
      <w:marTop w:val="0"/>
      <w:marBottom w:val="0"/>
      <w:divBdr>
        <w:top w:val="none" w:sz="0" w:space="0" w:color="auto"/>
        <w:left w:val="none" w:sz="0" w:space="0" w:color="auto"/>
        <w:bottom w:val="none" w:sz="0" w:space="0" w:color="auto"/>
        <w:right w:val="none" w:sz="0" w:space="0" w:color="auto"/>
      </w:divBdr>
    </w:div>
    <w:div w:id="755588422">
      <w:bodyDiv w:val="1"/>
      <w:marLeft w:val="0"/>
      <w:marRight w:val="0"/>
      <w:marTop w:val="0"/>
      <w:marBottom w:val="0"/>
      <w:divBdr>
        <w:top w:val="none" w:sz="0" w:space="0" w:color="auto"/>
        <w:left w:val="none" w:sz="0" w:space="0" w:color="auto"/>
        <w:bottom w:val="none" w:sz="0" w:space="0" w:color="auto"/>
        <w:right w:val="none" w:sz="0" w:space="0" w:color="auto"/>
      </w:divBdr>
    </w:div>
    <w:div w:id="755981344">
      <w:bodyDiv w:val="1"/>
      <w:marLeft w:val="0"/>
      <w:marRight w:val="0"/>
      <w:marTop w:val="0"/>
      <w:marBottom w:val="0"/>
      <w:divBdr>
        <w:top w:val="none" w:sz="0" w:space="0" w:color="auto"/>
        <w:left w:val="none" w:sz="0" w:space="0" w:color="auto"/>
        <w:bottom w:val="none" w:sz="0" w:space="0" w:color="auto"/>
        <w:right w:val="none" w:sz="0" w:space="0" w:color="auto"/>
      </w:divBdr>
    </w:div>
    <w:div w:id="757021104">
      <w:bodyDiv w:val="1"/>
      <w:marLeft w:val="0"/>
      <w:marRight w:val="0"/>
      <w:marTop w:val="0"/>
      <w:marBottom w:val="0"/>
      <w:divBdr>
        <w:top w:val="none" w:sz="0" w:space="0" w:color="auto"/>
        <w:left w:val="none" w:sz="0" w:space="0" w:color="auto"/>
        <w:bottom w:val="none" w:sz="0" w:space="0" w:color="auto"/>
        <w:right w:val="none" w:sz="0" w:space="0" w:color="auto"/>
      </w:divBdr>
    </w:div>
    <w:div w:id="757291207">
      <w:bodyDiv w:val="1"/>
      <w:marLeft w:val="0"/>
      <w:marRight w:val="0"/>
      <w:marTop w:val="0"/>
      <w:marBottom w:val="0"/>
      <w:divBdr>
        <w:top w:val="none" w:sz="0" w:space="0" w:color="auto"/>
        <w:left w:val="none" w:sz="0" w:space="0" w:color="auto"/>
        <w:bottom w:val="none" w:sz="0" w:space="0" w:color="auto"/>
        <w:right w:val="none" w:sz="0" w:space="0" w:color="auto"/>
      </w:divBdr>
    </w:div>
    <w:div w:id="758260931">
      <w:bodyDiv w:val="1"/>
      <w:marLeft w:val="0"/>
      <w:marRight w:val="0"/>
      <w:marTop w:val="0"/>
      <w:marBottom w:val="0"/>
      <w:divBdr>
        <w:top w:val="none" w:sz="0" w:space="0" w:color="auto"/>
        <w:left w:val="none" w:sz="0" w:space="0" w:color="auto"/>
        <w:bottom w:val="none" w:sz="0" w:space="0" w:color="auto"/>
        <w:right w:val="none" w:sz="0" w:space="0" w:color="auto"/>
      </w:divBdr>
    </w:div>
    <w:div w:id="758909515">
      <w:bodyDiv w:val="1"/>
      <w:marLeft w:val="0"/>
      <w:marRight w:val="0"/>
      <w:marTop w:val="0"/>
      <w:marBottom w:val="0"/>
      <w:divBdr>
        <w:top w:val="none" w:sz="0" w:space="0" w:color="auto"/>
        <w:left w:val="none" w:sz="0" w:space="0" w:color="auto"/>
        <w:bottom w:val="none" w:sz="0" w:space="0" w:color="auto"/>
        <w:right w:val="none" w:sz="0" w:space="0" w:color="auto"/>
      </w:divBdr>
    </w:div>
    <w:div w:id="758985067">
      <w:bodyDiv w:val="1"/>
      <w:marLeft w:val="0"/>
      <w:marRight w:val="0"/>
      <w:marTop w:val="0"/>
      <w:marBottom w:val="0"/>
      <w:divBdr>
        <w:top w:val="none" w:sz="0" w:space="0" w:color="auto"/>
        <w:left w:val="none" w:sz="0" w:space="0" w:color="auto"/>
        <w:bottom w:val="none" w:sz="0" w:space="0" w:color="auto"/>
        <w:right w:val="none" w:sz="0" w:space="0" w:color="auto"/>
      </w:divBdr>
    </w:div>
    <w:div w:id="760612159">
      <w:bodyDiv w:val="1"/>
      <w:marLeft w:val="0"/>
      <w:marRight w:val="0"/>
      <w:marTop w:val="0"/>
      <w:marBottom w:val="0"/>
      <w:divBdr>
        <w:top w:val="none" w:sz="0" w:space="0" w:color="auto"/>
        <w:left w:val="none" w:sz="0" w:space="0" w:color="auto"/>
        <w:bottom w:val="none" w:sz="0" w:space="0" w:color="auto"/>
        <w:right w:val="none" w:sz="0" w:space="0" w:color="auto"/>
      </w:divBdr>
    </w:div>
    <w:div w:id="760762946">
      <w:bodyDiv w:val="1"/>
      <w:marLeft w:val="0"/>
      <w:marRight w:val="0"/>
      <w:marTop w:val="0"/>
      <w:marBottom w:val="0"/>
      <w:divBdr>
        <w:top w:val="none" w:sz="0" w:space="0" w:color="auto"/>
        <w:left w:val="none" w:sz="0" w:space="0" w:color="auto"/>
        <w:bottom w:val="none" w:sz="0" w:space="0" w:color="auto"/>
        <w:right w:val="none" w:sz="0" w:space="0" w:color="auto"/>
      </w:divBdr>
    </w:div>
    <w:div w:id="761411872">
      <w:bodyDiv w:val="1"/>
      <w:marLeft w:val="0"/>
      <w:marRight w:val="0"/>
      <w:marTop w:val="0"/>
      <w:marBottom w:val="0"/>
      <w:divBdr>
        <w:top w:val="none" w:sz="0" w:space="0" w:color="auto"/>
        <w:left w:val="none" w:sz="0" w:space="0" w:color="auto"/>
        <w:bottom w:val="none" w:sz="0" w:space="0" w:color="auto"/>
        <w:right w:val="none" w:sz="0" w:space="0" w:color="auto"/>
      </w:divBdr>
    </w:div>
    <w:div w:id="761609292">
      <w:bodyDiv w:val="1"/>
      <w:marLeft w:val="0"/>
      <w:marRight w:val="0"/>
      <w:marTop w:val="0"/>
      <w:marBottom w:val="0"/>
      <w:divBdr>
        <w:top w:val="none" w:sz="0" w:space="0" w:color="auto"/>
        <w:left w:val="none" w:sz="0" w:space="0" w:color="auto"/>
        <w:bottom w:val="none" w:sz="0" w:space="0" w:color="auto"/>
        <w:right w:val="none" w:sz="0" w:space="0" w:color="auto"/>
      </w:divBdr>
    </w:div>
    <w:div w:id="762647949">
      <w:bodyDiv w:val="1"/>
      <w:marLeft w:val="0"/>
      <w:marRight w:val="0"/>
      <w:marTop w:val="0"/>
      <w:marBottom w:val="0"/>
      <w:divBdr>
        <w:top w:val="none" w:sz="0" w:space="0" w:color="auto"/>
        <w:left w:val="none" w:sz="0" w:space="0" w:color="auto"/>
        <w:bottom w:val="none" w:sz="0" w:space="0" w:color="auto"/>
        <w:right w:val="none" w:sz="0" w:space="0" w:color="auto"/>
      </w:divBdr>
    </w:div>
    <w:div w:id="763110820">
      <w:bodyDiv w:val="1"/>
      <w:marLeft w:val="0"/>
      <w:marRight w:val="0"/>
      <w:marTop w:val="0"/>
      <w:marBottom w:val="0"/>
      <w:divBdr>
        <w:top w:val="none" w:sz="0" w:space="0" w:color="auto"/>
        <w:left w:val="none" w:sz="0" w:space="0" w:color="auto"/>
        <w:bottom w:val="none" w:sz="0" w:space="0" w:color="auto"/>
        <w:right w:val="none" w:sz="0" w:space="0" w:color="auto"/>
      </w:divBdr>
    </w:div>
    <w:div w:id="763306467">
      <w:bodyDiv w:val="1"/>
      <w:marLeft w:val="0"/>
      <w:marRight w:val="0"/>
      <w:marTop w:val="0"/>
      <w:marBottom w:val="0"/>
      <w:divBdr>
        <w:top w:val="none" w:sz="0" w:space="0" w:color="auto"/>
        <w:left w:val="none" w:sz="0" w:space="0" w:color="auto"/>
        <w:bottom w:val="none" w:sz="0" w:space="0" w:color="auto"/>
        <w:right w:val="none" w:sz="0" w:space="0" w:color="auto"/>
      </w:divBdr>
    </w:div>
    <w:div w:id="763960130">
      <w:bodyDiv w:val="1"/>
      <w:marLeft w:val="0"/>
      <w:marRight w:val="0"/>
      <w:marTop w:val="0"/>
      <w:marBottom w:val="0"/>
      <w:divBdr>
        <w:top w:val="none" w:sz="0" w:space="0" w:color="auto"/>
        <w:left w:val="none" w:sz="0" w:space="0" w:color="auto"/>
        <w:bottom w:val="none" w:sz="0" w:space="0" w:color="auto"/>
        <w:right w:val="none" w:sz="0" w:space="0" w:color="auto"/>
      </w:divBdr>
    </w:div>
    <w:div w:id="764229260">
      <w:bodyDiv w:val="1"/>
      <w:marLeft w:val="0"/>
      <w:marRight w:val="0"/>
      <w:marTop w:val="0"/>
      <w:marBottom w:val="0"/>
      <w:divBdr>
        <w:top w:val="none" w:sz="0" w:space="0" w:color="auto"/>
        <w:left w:val="none" w:sz="0" w:space="0" w:color="auto"/>
        <w:bottom w:val="none" w:sz="0" w:space="0" w:color="auto"/>
        <w:right w:val="none" w:sz="0" w:space="0" w:color="auto"/>
      </w:divBdr>
    </w:div>
    <w:div w:id="765275353">
      <w:bodyDiv w:val="1"/>
      <w:marLeft w:val="0"/>
      <w:marRight w:val="0"/>
      <w:marTop w:val="0"/>
      <w:marBottom w:val="0"/>
      <w:divBdr>
        <w:top w:val="none" w:sz="0" w:space="0" w:color="auto"/>
        <w:left w:val="none" w:sz="0" w:space="0" w:color="auto"/>
        <w:bottom w:val="none" w:sz="0" w:space="0" w:color="auto"/>
        <w:right w:val="none" w:sz="0" w:space="0" w:color="auto"/>
      </w:divBdr>
    </w:div>
    <w:div w:id="765854286">
      <w:bodyDiv w:val="1"/>
      <w:marLeft w:val="0"/>
      <w:marRight w:val="0"/>
      <w:marTop w:val="0"/>
      <w:marBottom w:val="0"/>
      <w:divBdr>
        <w:top w:val="none" w:sz="0" w:space="0" w:color="auto"/>
        <w:left w:val="none" w:sz="0" w:space="0" w:color="auto"/>
        <w:bottom w:val="none" w:sz="0" w:space="0" w:color="auto"/>
        <w:right w:val="none" w:sz="0" w:space="0" w:color="auto"/>
      </w:divBdr>
    </w:div>
    <w:div w:id="766271699">
      <w:bodyDiv w:val="1"/>
      <w:marLeft w:val="0"/>
      <w:marRight w:val="0"/>
      <w:marTop w:val="0"/>
      <w:marBottom w:val="0"/>
      <w:divBdr>
        <w:top w:val="none" w:sz="0" w:space="0" w:color="auto"/>
        <w:left w:val="none" w:sz="0" w:space="0" w:color="auto"/>
        <w:bottom w:val="none" w:sz="0" w:space="0" w:color="auto"/>
        <w:right w:val="none" w:sz="0" w:space="0" w:color="auto"/>
      </w:divBdr>
    </w:div>
    <w:div w:id="766731973">
      <w:bodyDiv w:val="1"/>
      <w:marLeft w:val="0"/>
      <w:marRight w:val="0"/>
      <w:marTop w:val="0"/>
      <w:marBottom w:val="0"/>
      <w:divBdr>
        <w:top w:val="none" w:sz="0" w:space="0" w:color="auto"/>
        <w:left w:val="none" w:sz="0" w:space="0" w:color="auto"/>
        <w:bottom w:val="none" w:sz="0" w:space="0" w:color="auto"/>
        <w:right w:val="none" w:sz="0" w:space="0" w:color="auto"/>
      </w:divBdr>
    </w:div>
    <w:div w:id="766772575">
      <w:bodyDiv w:val="1"/>
      <w:marLeft w:val="0"/>
      <w:marRight w:val="0"/>
      <w:marTop w:val="0"/>
      <w:marBottom w:val="0"/>
      <w:divBdr>
        <w:top w:val="none" w:sz="0" w:space="0" w:color="auto"/>
        <w:left w:val="none" w:sz="0" w:space="0" w:color="auto"/>
        <w:bottom w:val="none" w:sz="0" w:space="0" w:color="auto"/>
        <w:right w:val="none" w:sz="0" w:space="0" w:color="auto"/>
      </w:divBdr>
    </w:div>
    <w:div w:id="766998180">
      <w:bodyDiv w:val="1"/>
      <w:marLeft w:val="0"/>
      <w:marRight w:val="0"/>
      <w:marTop w:val="0"/>
      <w:marBottom w:val="0"/>
      <w:divBdr>
        <w:top w:val="none" w:sz="0" w:space="0" w:color="auto"/>
        <w:left w:val="none" w:sz="0" w:space="0" w:color="auto"/>
        <w:bottom w:val="none" w:sz="0" w:space="0" w:color="auto"/>
        <w:right w:val="none" w:sz="0" w:space="0" w:color="auto"/>
      </w:divBdr>
    </w:div>
    <w:div w:id="767123505">
      <w:bodyDiv w:val="1"/>
      <w:marLeft w:val="0"/>
      <w:marRight w:val="0"/>
      <w:marTop w:val="0"/>
      <w:marBottom w:val="0"/>
      <w:divBdr>
        <w:top w:val="none" w:sz="0" w:space="0" w:color="auto"/>
        <w:left w:val="none" w:sz="0" w:space="0" w:color="auto"/>
        <w:bottom w:val="none" w:sz="0" w:space="0" w:color="auto"/>
        <w:right w:val="none" w:sz="0" w:space="0" w:color="auto"/>
      </w:divBdr>
    </w:div>
    <w:div w:id="767307585">
      <w:bodyDiv w:val="1"/>
      <w:marLeft w:val="0"/>
      <w:marRight w:val="0"/>
      <w:marTop w:val="0"/>
      <w:marBottom w:val="0"/>
      <w:divBdr>
        <w:top w:val="none" w:sz="0" w:space="0" w:color="auto"/>
        <w:left w:val="none" w:sz="0" w:space="0" w:color="auto"/>
        <w:bottom w:val="none" w:sz="0" w:space="0" w:color="auto"/>
        <w:right w:val="none" w:sz="0" w:space="0" w:color="auto"/>
      </w:divBdr>
    </w:div>
    <w:div w:id="767626698">
      <w:bodyDiv w:val="1"/>
      <w:marLeft w:val="0"/>
      <w:marRight w:val="0"/>
      <w:marTop w:val="0"/>
      <w:marBottom w:val="0"/>
      <w:divBdr>
        <w:top w:val="none" w:sz="0" w:space="0" w:color="auto"/>
        <w:left w:val="none" w:sz="0" w:space="0" w:color="auto"/>
        <w:bottom w:val="none" w:sz="0" w:space="0" w:color="auto"/>
        <w:right w:val="none" w:sz="0" w:space="0" w:color="auto"/>
      </w:divBdr>
    </w:div>
    <w:div w:id="767770703">
      <w:bodyDiv w:val="1"/>
      <w:marLeft w:val="0"/>
      <w:marRight w:val="0"/>
      <w:marTop w:val="0"/>
      <w:marBottom w:val="0"/>
      <w:divBdr>
        <w:top w:val="none" w:sz="0" w:space="0" w:color="auto"/>
        <w:left w:val="none" w:sz="0" w:space="0" w:color="auto"/>
        <w:bottom w:val="none" w:sz="0" w:space="0" w:color="auto"/>
        <w:right w:val="none" w:sz="0" w:space="0" w:color="auto"/>
      </w:divBdr>
    </w:div>
    <w:div w:id="767846804">
      <w:bodyDiv w:val="1"/>
      <w:marLeft w:val="0"/>
      <w:marRight w:val="0"/>
      <w:marTop w:val="0"/>
      <w:marBottom w:val="0"/>
      <w:divBdr>
        <w:top w:val="none" w:sz="0" w:space="0" w:color="auto"/>
        <w:left w:val="none" w:sz="0" w:space="0" w:color="auto"/>
        <w:bottom w:val="none" w:sz="0" w:space="0" w:color="auto"/>
        <w:right w:val="none" w:sz="0" w:space="0" w:color="auto"/>
      </w:divBdr>
    </w:div>
    <w:div w:id="768502537">
      <w:bodyDiv w:val="1"/>
      <w:marLeft w:val="0"/>
      <w:marRight w:val="0"/>
      <w:marTop w:val="0"/>
      <w:marBottom w:val="0"/>
      <w:divBdr>
        <w:top w:val="none" w:sz="0" w:space="0" w:color="auto"/>
        <w:left w:val="none" w:sz="0" w:space="0" w:color="auto"/>
        <w:bottom w:val="none" w:sz="0" w:space="0" w:color="auto"/>
        <w:right w:val="none" w:sz="0" w:space="0" w:color="auto"/>
      </w:divBdr>
    </w:div>
    <w:div w:id="768698363">
      <w:bodyDiv w:val="1"/>
      <w:marLeft w:val="0"/>
      <w:marRight w:val="0"/>
      <w:marTop w:val="0"/>
      <w:marBottom w:val="0"/>
      <w:divBdr>
        <w:top w:val="none" w:sz="0" w:space="0" w:color="auto"/>
        <w:left w:val="none" w:sz="0" w:space="0" w:color="auto"/>
        <w:bottom w:val="none" w:sz="0" w:space="0" w:color="auto"/>
        <w:right w:val="none" w:sz="0" w:space="0" w:color="auto"/>
      </w:divBdr>
    </w:div>
    <w:div w:id="768893660">
      <w:bodyDiv w:val="1"/>
      <w:marLeft w:val="0"/>
      <w:marRight w:val="0"/>
      <w:marTop w:val="0"/>
      <w:marBottom w:val="0"/>
      <w:divBdr>
        <w:top w:val="none" w:sz="0" w:space="0" w:color="auto"/>
        <w:left w:val="none" w:sz="0" w:space="0" w:color="auto"/>
        <w:bottom w:val="none" w:sz="0" w:space="0" w:color="auto"/>
        <w:right w:val="none" w:sz="0" w:space="0" w:color="auto"/>
      </w:divBdr>
    </w:div>
    <w:div w:id="769354056">
      <w:bodyDiv w:val="1"/>
      <w:marLeft w:val="0"/>
      <w:marRight w:val="0"/>
      <w:marTop w:val="0"/>
      <w:marBottom w:val="0"/>
      <w:divBdr>
        <w:top w:val="none" w:sz="0" w:space="0" w:color="auto"/>
        <w:left w:val="none" w:sz="0" w:space="0" w:color="auto"/>
        <w:bottom w:val="none" w:sz="0" w:space="0" w:color="auto"/>
        <w:right w:val="none" w:sz="0" w:space="0" w:color="auto"/>
      </w:divBdr>
    </w:div>
    <w:div w:id="769617131">
      <w:bodyDiv w:val="1"/>
      <w:marLeft w:val="0"/>
      <w:marRight w:val="0"/>
      <w:marTop w:val="0"/>
      <w:marBottom w:val="0"/>
      <w:divBdr>
        <w:top w:val="none" w:sz="0" w:space="0" w:color="auto"/>
        <w:left w:val="none" w:sz="0" w:space="0" w:color="auto"/>
        <w:bottom w:val="none" w:sz="0" w:space="0" w:color="auto"/>
        <w:right w:val="none" w:sz="0" w:space="0" w:color="auto"/>
      </w:divBdr>
    </w:div>
    <w:div w:id="769931656">
      <w:bodyDiv w:val="1"/>
      <w:marLeft w:val="0"/>
      <w:marRight w:val="0"/>
      <w:marTop w:val="0"/>
      <w:marBottom w:val="0"/>
      <w:divBdr>
        <w:top w:val="none" w:sz="0" w:space="0" w:color="auto"/>
        <w:left w:val="none" w:sz="0" w:space="0" w:color="auto"/>
        <w:bottom w:val="none" w:sz="0" w:space="0" w:color="auto"/>
        <w:right w:val="none" w:sz="0" w:space="0" w:color="auto"/>
      </w:divBdr>
    </w:div>
    <w:div w:id="770931590">
      <w:bodyDiv w:val="1"/>
      <w:marLeft w:val="0"/>
      <w:marRight w:val="0"/>
      <w:marTop w:val="0"/>
      <w:marBottom w:val="0"/>
      <w:divBdr>
        <w:top w:val="none" w:sz="0" w:space="0" w:color="auto"/>
        <w:left w:val="none" w:sz="0" w:space="0" w:color="auto"/>
        <w:bottom w:val="none" w:sz="0" w:space="0" w:color="auto"/>
        <w:right w:val="none" w:sz="0" w:space="0" w:color="auto"/>
      </w:divBdr>
    </w:div>
    <w:div w:id="772818389">
      <w:bodyDiv w:val="1"/>
      <w:marLeft w:val="0"/>
      <w:marRight w:val="0"/>
      <w:marTop w:val="0"/>
      <w:marBottom w:val="0"/>
      <w:divBdr>
        <w:top w:val="none" w:sz="0" w:space="0" w:color="auto"/>
        <w:left w:val="none" w:sz="0" w:space="0" w:color="auto"/>
        <w:bottom w:val="none" w:sz="0" w:space="0" w:color="auto"/>
        <w:right w:val="none" w:sz="0" w:space="0" w:color="auto"/>
      </w:divBdr>
    </w:div>
    <w:div w:id="773133249">
      <w:bodyDiv w:val="1"/>
      <w:marLeft w:val="0"/>
      <w:marRight w:val="0"/>
      <w:marTop w:val="0"/>
      <w:marBottom w:val="0"/>
      <w:divBdr>
        <w:top w:val="none" w:sz="0" w:space="0" w:color="auto"/>
        <w:left w:val="none" w:sz="0" w:space="0" w:color="auto"/>
        <w:bottom w:val="none" w:sz="0" w:space="0" w:color="auto"/>
        <w:right w:val="none" w:sz="0" w:space="0" w:color="auto"/>
      </w:divBdr>
    </w:div>
    <w:div w:id="773986996">
      <w:bodyDiv w:val="1"/>
      <w:marLeft w:val="0"/>
      <w:marRight w:val="0"/>
      <w:marTop w:val="0"/>
      <w:marBottom w:val="0"/>
      <w:divBdr>
        <w:top w:val="none" w:sz="0" w:space="0" w:color="auto"/>
        <w:left w:val="none" w:sz="0" w:space="0" w:color="auto"/>
        <w:bottom w:val="none" w:sz="0" w:space="0" w:color="auto"/>
        <w:right w:val="none" w:sz="0" w:space="0" w:color="auto"/>
      </w:divBdr>
    </w:div>
    <w:div w:id="774204280">
      <w:bodyDiv w:val="1"/>
      <w:marLeft w:val="0"/>
      <w:marRight w:val="0"/>
      <w:marTop w:val="0"/>
      <w:marBottom w:val="0"/>
      <w:divBdr>
        <w:top w:val="none" w:sz="0" w:space="0" w:color="auto"/>
        <w:left w:val="none" w:sz="0" w:space="0" w:color="auto"/>
        <w:bottom w:val="none" w:sz="0" w:space="0" w:color="auto"/>
        <w:right w:val="none" w:sz="0" w:space="0" w:color="auto"/>
      </w:divBdr>
    </w:div>
    <w:div w:id="774517516">
      <w:bodyDiv w:val="1"/>
      <w:marLeft w:val="0"/>
      <w:marRight w:val="0"/>
      <w:marTop w:val="0"/>
      <w:marBottom w:val="0"/>
      <w:divBdr>
        <w:top w:val="none" w:sz="0" w:space="0" w:color="auto"/>
        <w:left w:val="none" w:sz="0" w:space="0" w:color="auto"/>
        <w:bottom w:val="none" w:sz="0" w:space="0" w:color="auto"/>
        <w:right w:val="none" w:sz="0" w:space="0" w:color="auto"/>
      </w:divBdr>
    </w:div>
    <w:div w:id="776682233">
      <w:bodyDiv w:val="1"/>
      <w:marLeft w:val="0"/>
      <w:marRight w:val="0"/>
      <w:marTop w:val="0"/>
      <w:marBottom w:val="0"/>
      <w:divBdr>
        <w:top w:val="none" w:sz="0" w:space="0" w:color="auto"/>
        <w:left w:val="none" w:sz="0" w:space="0" w:color="auto"/>
        <w:bottom w:val="none" w:sz="0" w:space="0" w:color="auto"/>
        <w:right w:val="none" w:sz="0" w:space="0" w:color="auto"/>
      </w:divBdr>
    </w:div>
    <w:div w:id="777068458">
      <w:bodyDiv w:val="1"/>
      <w:marLeft w:val="0"/>
      <w:marRight w:val="0"/>
      <w:marTop w:val="0"/>
      <w:marBottom w:val="0"/>
      <w:divBdr>
        <w:top w:val="none" w:sz="0" w:space="0" w:color="auto"/>
        <w:left w:val="none" w:sz="0" w:space="0" w:color="auto"/>
        <w:bottom w:val="none" w:sz="0" w:space="0" w:color="auto"/>
        <w:right w:val="none" w:sz="0" w:space="0" w:color="auto"/>
      </w:divBdr>
    </w:div>
    <w:div w:id="777214671">
      <w:bodyDiv w:val="1"/>
      <w:marLeft w:val="0"/>
      <w:marRight w:val="0"/>
      <w:marTop w:val="0"/>
      <w:marBottom w:val="0"/>
      <w:divBdr>
        <w:top w:val="none" w:sz="0" w:space="0" w:color="auto"/>
        <w:left w:val="none" w:sz="0" w:space="0" w:color="auto"/>
        <w:bottom w:val="none" w:sz="0" w:space="0" w:color="auto"/>
        <w:right w:val="none" w:sz="0" w:space="0" w:color="auto"/>
      </w:divBdr>
    </w:div>
    <w:div w:id="780681814">
      <w:bodyDiv w:val="1"/>
      <w:marLeft w:val="0"/>
      <w:marRight w:val="0"/>
      <w:marTop w:val="0"/>
      <w:marBottom w:val="0"/>
      <w:divBdr>
        <w:top w:val="none" w:sz="0" w:space="0" w:color="auto"/>
        <w:left w:val="none" w:sz="0" w:space="0" w:color="auto"/>
        <w:bottom w:val="none" w:sz="0" w:space="0" w:color="auto"/>
        <w:right w:val="none" w:sz="0" w:space="0" w:color="auto"/>
      </w:divBdr>
    </w:div>
    <w:div w:id="781146530">
      <w:bodyDiv w:val="1"/>
      <w:marLeft w:val="0"/>
      <w:marRight w:val="0"/>
      <w:marTop w:val="0"/>
      <w:marBottom w:val="0"/>
      <w:divBdr>
        <w:top w:val="none" w:sz="0" w:space="0" w:color="auto"/>
        <w:left w:val="none" w:sz="0" w:space="0" w:color="auto"/>
        <w:bottom w:val="none" w:sz="0" w:space="0" w:color="auto"/>
        <w:right w:val="none" w:sz="0" w:space="0" w:color="auto"/>
      </w:divBdr>
    </w:div>
    <w:div w:id="781267350">
      <w:bodyDiv w:val="1"/>
      <w:marLeft w:val="0"/>
      <w:marRight w:val="0"/>
      <w:marTop w:val="0"/>
      <w:marBottom w:val="0"/>
      <w:divBdr>
        <w:top w:val="none" w:sz="0" w:space="0" w:color="auto"/>
        <w:left w:val="none" w:sz="0" w:space="0" w:color="auto"/>
        <w:bottom w:val="none" w:sz="0" w:space="0" w:color="auto"/>
        <w:right w:val="none" w:sz="0" w:space="0" w:color="auto"/>
      </w:divBdr>
    </w:div>
    <w:div w:id="781728457">
      <w:bodyDiv w:val="1"/>
      <w:marLeft w:val="0"/>
      <w:marRight w:val="0"/>
      <w:marTop w:val="0"/>
      <w:marBottom w:val="0"/>
      <w:divBdr>
        <w:top w:val="none" w:sz="0" w:space="0" w:color="auto"/>
        <w:left w:val="none" w:sz="0" w:space="0" w:color="auto"/>
        <w:bottom w:val="none" w:sz="0" w:space="0" w:color="auto"/>
        <w:right w:val="none" w:sz="0" w:space="0" w:color="auto"/>
      </w:divBdr>
    </w:div>
    <w:div w:id="783036614">
      <w:bodyDiv w:val="1"/>
      <w:marLeft w:val="0"/>
      <w:marRight w:val="0"/>
      <w:marTop w:val="0"/>
      <w:marBottom w:val="0"/>
      <w:divBdr>
        <w:top w:val="none" w:sz="0" w:space="0" w:color="auto"/>
        <w:left w:val="none" w:sz="0" w:space="0" w:color="auto"/>
        <w:bottom w:val="none" w:sz="0" w:space="0" w:color="auto"/>
        <w:right w:val="none" w:sz="0" w:space="0" w:color="auto"/>
      </w:divBdr>
    </w:div>
    <w:div w:id="783501478">
      <w:bodyDiv w:val="1"/>
      <w:marLeft w:val="0"/>
      <w:marRight w:val="0"/>
      <w:marTop w:val="0"/>
      <w:marBottom w:val="0"/>
      <w:divBdr>
        <w:top w:val="none" w:sz="0" w:space="0" w:color="auto"/>
        <w:left w:val="none" w:sz="0" w:space="0" w:color="auto"/>
        <w:bottom w:val="none" w:sz="0" w:space="0" w:color="auto"/>
        <w:right w:val="none" w:sz="0" w:space="0" w:color="auto"/>
      </w:divBdr>
    </w:div>
    <w:div w:id="784733683">
      <w:bodyDiv w:val="1"/>
      <w:marLeft w:val="0"/>
      <w:marRight w:val="0"/>
      <w:marTop w:val="0"/>
      <w:marBottom w:val="0"/>
      <w:divBdr>
        <w:top w:val="none" w:sz="0" w:space="0" w:color="auto"/>
        <w:left w:val="none" w:sz="0" w:space="0" w:color="auto"/>
        <w:bottom w:val="none" w:sz="0" w:space="0" w:color="auto"/>
        <w:right w:val="none" w:sz="0" w:space="0" w:color="auto"/>
      </w:divBdr>
    </w:div>
    <w:div w:id="785541583">
      <w:bodyDiv w:val="1"/>
      <w:marLeft w:val="0"/>
      <w:marRight w:val="0"/>
      <w:marTop w:val="0"/>
      <w:marBottom w:val="0"/>
      <w:divBdr>
        <w:top w:val="none" w:sz="0" w:space="0" w:color="auto"/>
        <w:left w:val="none" w:sz="0" w:space="0" w:color="auto"/>
        <w:bottom w:val="none" w:sz="0" w:space="0" w:color="auto"/>
        <w:right w:val="none" w:sz="0" w:space="0" w:color="auto"/>
      </w:divBdr>
    </w:div>
    <w:div w:id="786005809">
      <w:bodyDiv w:val="1"/>
      <w:marLeft w:val="0"/>
      <w:marRight w:val="0"/>
      <w:marTop w:val="0"/>
      <w:marBottom w:val="0"/>
      <w:divBdr>
        <w:top w:val="none" w:sz="0" w:space="0" w:color="auto"/>
        <w:left w:val="none" w:sz="0" w:space="0" w:color="auto"/>
        <w:bottom w:val="none" w:sz="0" w:space="0" w:color="auto"/>
        <w:right w:val="none" w:sz="0" w:space="0" w:color="auto"/>
      </w:divBdr>
    </w:div>
    <w:div w:id="786117698">
      <w:bodyDiv w:val="1"/>
      <w:marLeft w:val="0"/>
      <w:marRight w:val="0"/>
      <w:marTop w:val="0"/>
      <w:marBottom w:val="0"/>
      <w:divBdr>
        <w:top w:val="none" w:sz="0" w:space="0" w:color="auto"/>
        <w:left w:val="none" w:sz="0" w:space="0" w:color="auto"/>
        <w:bottom w:val="none" w:sz="0" w:space="0" w:color="auto"/>
        <w:right w:val="none" w:sz="0" w:space="0" w:color="auto"/>
      </w:divBdr>
    </w:div>
    <w:div w:id="786238854">
      <w:bodyDiv w:val="1"/>
      <w:marLeft w:val="0"/>
      <w:marRight w:val="0"/>
      <w:marTop w:val="0"/>
      <w:marBottom w:val="0"/>
      <w:divBdr>
        <w:top w:val="none" w:sz="0" w:space="0" w:color="auto"/>
        <w:left w:val="none" w:sz="0" w:space="0" w:color="auto"/>
        <w:bottom w:val="none" w:sz="0" w:space="0" w:color="auto"/>
        <w:right w:val="none" w:sz="0" w:space="0" w:color="auto"/>
      </w:divBdr>
    </w:div>
    <w:div w:id="787284291">
      <w:bodyDiv w:val="1"/>
      <w:marLeft w:val="0"/>
      <w:marRight w:val="0"/>
      <w:marTop w:val="0"/>
      <w:marBottom w:val="0"/>
      <w:divBdr>
        <w:top w:val="none" w:sz="0" w:space="0" w:color="auto"/>
        <w:left w:val="none" w:sz="0" w:space="0" w:color="auto"/>
        <w:bottom w:val="none" w:sz="0" w:space="0" w:color="auto"/>
        <w:right w:val="none" w:sz="0" w:space="0" w:color="auto"/>
      </w:divBdr>
    </w:div>
    <w:div w:id="787895470">
      <w:bodyDiv w:val="1"/>
      <w:marLeft w:val="0"/>
      <w:marRight w:val="0"/>
      <w:marTop w:val="0"/>
      <w:marBottom w:val="0"/>
      <w:divBdr>
        <w:top w:val="none" w:sz="0" w:space="0" w:color="auto"/>
        <w:left w:val="none" w:sz="0" w:space="0" w:color="auto"/>
        <w:bottom w:val="none" w:sz="0" w:space="0" w:color="auto"/>
        <w:right w:val="none" w:sz="0" w:space="0" w:color="auto"/>
      </w:divBdr>
    </w:div>
    <w:div w:id="788667119">
      <w:bodyDiv w:val="1"/>
      <w:marLeft w:val="0"/>
      <w:marRight w:val="0"/>
      <w:marTop w:val="0"/>
      <w:marBottom w:val="0"/>
      <w:divBdr>
        <w:top w:val="none" w:sz="0" w:space="0" w:color="auto"/>
        <w:left w:val="none" w:sz="0" w:space="0" w:color="auto"/>
        <w:bottom w:val="none" w:sz="0" w:space="0" w:color="auto"/>
        <w:right w:val="none" w:sz="0" w:space="0" w:color="auto"/>
      </w:divBdr>
    </w:div>
    <w:div w:id="788940457">
      <w:bodyDiv w:val="1"/>
      <w:marLeft w:val="0"/>
      <w:marRight w:val="0"/>
      <w:marTop w:val="0"/>
      <w:marBottom w:val="0"/>
      <w:divBdr>
        <w:top w:val="none" w:sz="0" w:space="0" w:color="auto"/>
        <w:left w:val="none" w:sz="0" w:space="0" w:color="auto"/>
        <w:bottom w:val="none" w:sz="0" w:space="0" w:color="auto"/>
        <w:right w:val="none" w:sz="0" w:space="0" w:color="auto"/>
      </w:divBdr>
    </w:div>
    <w:div w:id="789394893">
      <w:bodyDiv w:val="1"/>
      <w:marLeft w:val="0"/>
      <w:marRight w:val="0"/>
      <w:marTop w:val="0"/>
      <w:marBottom w:val="0"/>
      <w:divBdr>
        <w:top w:val="none" w:sz="0" w:space="0" w:color="auto"/>
        <w:left w:val="none" w:sz="0" w:space="0" w:color="auto"/>
        <w:bottom w:val="none" w:sz="0" w:space="0" w:color="auto"/>
        <w:right w:val="none" w:sz="0" w:space="0" w:color="auto"/>
      </w:divBdr>
    </w:div>
    <w:div w:id="789399952">
      <w:bodyDiv w:val="1"/>
      <w:marLeft w:val="0"/>
      <w:marRight w:val="0"/>
      <w:marTop w:val="0"/>
      <w:marBottom w:val="0"/>
      <w:divBdr>
        <w:top w:val="none" w:sz="0" w:space="0" w:color="auto"/>
        <w:left w:val="none" w:sz="0" w:space="0" w:color="auto"/>
        <w:bottom w:val="none" w:sz="0" w:space="0" w:color="auto"/>
        <w:right w:val="none" w:sz="0" w:space="0" w:color="auto"/>
      </w:divBdr>
    </w:div>
    <w:div w:id="789513767">
      <w:bodyDiv w:val="1"/>
      <w:marLeft w:val="0"/>
      <w:marRight w:val="0"/>
      <w:marTop w:val="0"/>
      <w:marBottom w:val="0"/>
      <w:divBdr>
        <w:top w:val="none" w:sz="0" w:space="0" w:color="auto"/>
        <w:left w:val="none" w:sz="0" w:space="0" w:color="auto"/>
        <w:bottom w:val="none" w:sz="0" w:space="0" w:color="auto"/>
        <w:right w:val="none" w:sz="0" w:space="0" w:color="auto"/>
      </w:divBdr>
    </w:div>
    <w:div w:id="789513841">
      <w:bodyDiv w:val="1"/>
      <w:marLeft w:val="0"/>
      <w:marRight w:val="0"/>
      <w:marTop w:val="0"/>
      <w:marBottom w:val="0"/>
      <w:divBdr>
        <w:top w:val="none" w:sz="0" w:space="0" w:color="auto"/>
        <w:left w:val="none" w:sz="0" w:space="0" w:color="auto"/>
        <w:bottom w:val="none" w:sz="0" w:space="0" w:color="auto"/>
        <w:right w:val="none" w:sz="0" w:space="0" w:color="auto"/>
      </w:divBdr>
    </w:div>
    <w:div w:id="790048498">
      <w:bodyDiv w:val="1"/>
      <w:marLeft w:val="0"/>
      <w:marRight w:val="0"/>
      <w:marTop w:val="0"/>
      <w:marBottom w:val="0"/>
      <w:divBdr>
        <w:top w:val="none" w:sz="0" w:space="0" w:color="auto"/>
        <w:left w:val="none" w:sz="0" w:space="0" w:color="auto"/>
        <w:bottom w:val="none" w:sz="0" w:space="0" w:color="auto"/>
        <w:right w:val="none" w:sz="0" w:space="0" w:color="auto"/>
      </w:divBdr>
    </w:div>
    <w:div w:id="790435622">
      <w:bodyDiv w:val="1"/>
      <w:marLeft w:val="0"/>
      <w:marRight w:val="0"/>
      <w:marTop w:val="0"/>
      <w:marBottom w:val="0"/>
      <w:divBdr>
        <w:top w:val="none" w:sz="0" w:space="0" w:color="auto"/>
        <w:left w:val="none" w:sz="0" w:space="0" w:color="auto"/>
        <w:bottom w:val="none" w:sz="0" w:space="0" w:color="auto"/>
        <w:right w:val="none" w:sz="0" w:space="0" w:color="auto"/>
      </w:divBdr>
    </w:div>
    <w:div w:id="790519393">
      <w:bodyDiv w:val="1"/>
      <w:marLeft w:val="0"/>
      <w:marRight w:val="0"/>
      <w:marTop w:val="0"/>
      <w:marBottom w:val="0"/>
      <w:divBdr>
        <w:top w:val="none" w:sz="0" w:space="0" w:color="auto"/>
        <w:left w:val="none" w:sz="0" w:space="0" w:color="auto"/>
        <w:bottom w:val="none" w:sz="0" w:space="0" w:color="auto"/>
        <w:right w:val="none" w:sz="0" w:space="0" w:color="auto"/>
      </w:divBdr>
    </w:div>
    <w:div w:id="790628560">
      <w:bodyDiv w:val="1"/>
      <w:marLeft w:val="0"/>
      <w:marRight w:val="0"/>
      <w:marTop w:val="0"/>
      <w:marBottom w:val="0"/>
      <w:divBdr>
        <w:top w:val="none" w:sz="0" w:space="0" w:color="auto"/>
        <w:left w:val="none" w:sz="0" w:space="0" w:color="auto"/>
        <w:bottom w:val="none" w:sz="0" w:space="0" w:color="auto"/>
        <w:right w:val="none" w:sz="0" w:space="0" w:color="auto"/>
      </w:divBdr>
    </w:div>
    <w:div w:id="790782063">
      <w:bodyDiv w:val="1"/>
      <w:marLeft w:val="0"/>
      <w:marRight w:val="0"/>
      <w:marTop w:val="0"/>
      <w:marBottom w:val="0"/>
      <w:divBdr>
        <w:top w:val="none" w:sz="0" w:space="0" w:color="auto"/>
        <w:left w:val="none" w:sz="0" w:space="0" w:color="auto"/>
        <w:bottom w:val="none" w:sz="0" w:space="0" w:color="auto"/>
        <w:right w:val="none" w:sz="0" w:space="0" w:color="auto"/>
      </w:divBdr>
    </w:div>
    <w:div w:id="791745756">
      <w:bodyDiv w:val="1"/>
      <w:marLeft w:val="0"/>
      <w:marRight w:val="0"/>
      <w:marTop w:val="0"/>
      <w:marBottom w:val="0"/>
      <w:divBdr>
        <w:top w:val="none" w:sz="0" w:space="0" w:color="auto"/>
        <w:left w:val="none" w:sz="0" w:space="0" w:color="auto"/>
        <w:bottom w:val="none" w:sz="0" w:space="0" w:color="auto"/>
        <w:right w:val="none" w:sz="0" w:space="0" w:color="auto"/>
      </w:divBdr>
    </w:div>
    <w:div w:id="792019930">
      <w:bodyDiv w:val="1"/>
      <w:marLeft w:val="0"/>
      <w:marRight w:val="0"/>
      <w:marTop w:val="0"/>
      <w:marBottom w:val="0"/>
      <w:divBdr>
        <w:top w:val="none" w:sz="0" w:space="0" w:color="auto"/>
        <w:left w:val="none" w:sz="0" w:space="0" w:color="auto"/>
        <w:bottom w:val="none" w:sz="0" w:space="0" w:color="auto"/>
        <w:right w:val="none" w:sz="0" w:space="0" w:color="auto"/>
      </w:divBdr>
    </w:div>
    <w:div w:id="792287619">
      <w:bodyDiv w:val="1"/>
      <w:marLeft w:val="0"/>
      <w:marRight w:val="0"/>
      <w:marTop w:val="0"/>
      <w:marBottom w:val="0"/>
      <w:divBdr>
        <w:top w:val="none" w:sz="0" w:space="0" w:color="auto"/>
        <w:left w:val="none" w:sz="0" w:space="0" w:color="auto"/>
        <w:bottom w:val="none" w:sz="0" w:space="0" w:color="auto"/>
        <w:right w:val="none" w:sz="0" w:space="0" w:color="auto"/>
      </w:divBdr>
    </w:div>
    <w:div w:id="792333525">
      <w:bodyDiv w:val="1"/>
      <w:marLeft w:val="0"/>
      <w:marRight w:val="0"/>
      <w:marTop w:val="0"/>
      <w:marBottom w:val="0"/>
      <w:divBdr>
        <w:top w:val="none" w:sz="0" w:space="0" w:color="auto"/>
        <w:left w:val="none" w:sz="0" w:space="0" w:color="auto"/>
        <w:bottom w:val="none" w:sz="0" w:space="0" w:color="auto"/>
        <w:right w:val="none" w:sz="0" w:space="0" w:color="auto"/>
      </w:divBdr>
    </w:div>
    <w:div w:id="793405257">
      <w:bodyDiv w:val="1"/>
      <w:marLeft w:val="0"/>
      <w:marRight w:val="0"/>
      <w:marTop w:val="0"/>
      <w:marBottom w:val="0"/>
      <w:divBdr>
        <w:top w:val="none" w:sz="0" w:space="0" w:color="auto"/>
        <w:left w:val="none" w:sz="0" w:space="0" w:color="auto"/>
        <w:bottom w:val="none" w:sz="0" w:space="0" w:color="auto"/>
        <w:right w:val="none" w:sz="0" w:space="0" w:color="auto"/>
      </w:divBdr>
    </w:div>
    <w:div w:id="794056612">
      <w:bodyDiv w:val="1"/>
      <w:marLeft w:val="0"/>
      <w:marRight w:val="0"/>
      <w:marTop w:val="0"/>
      <w:marBottom w:val="0"/>
      <w:divBdr>
        <w:top w:val="none" w:sz="0" w:space="0" w:color="auto"/>
        <w:left w:val="none" w:sz="0" w:space="0" w:color="auto"/>
        <w:bottom w:val="none" w:sz="0" w:space="0" w:color="auto"/>
        <w:right w:val="none" w:sz="0" w:space="0" w:color="auto"/>
      </w:divBdr>
    </w:div>
    <w:div w:id="794102820">
      <w:bodyDiv w:val="1"/>
      <w:marLeft w:val="0"/>
      <w:marRight w:val="0"/>
      <w:marTop w:val="0"/>
      <w:marBottom w:val="0"/>
      <w:divBdr>
        <w:top w:val="none" w:sz="0" w:space="0" w:color="auto"/>
        <w:left w:val="none" w:sz="0" w:space="0" w:color="auto"/>
        <w:bottom w:val="none" w:sz="0" w:space="0" w:color="auto"/>
        <w:right w:val="none" w:sz="0" w:space="0" w:color="auto"/>
      </w:divBdr>
    </w:div>
    <w:div w:id="794642066">
      <w:bodyDiv w:val="1"/>
      <w:marLeft w:val="0"/>
      <w:marRight w:val="0"/>
      <w:marTop w:val="0"/>
      <w:marBottom w:val="0"/>
      <w:divBdr>
        <w:top w:val="none" w:sz="0" w:space="0" w:color="auto"/>
        <w:left w:val="none" w:sz="0" w:space="0" w:color="auto"/>
        <w:bottom w:val="none" w:sz="0" w:space="0" w:color="auto"/>
        <w:right w:val="none" w:sz="0" w:space="0" w:color="auto"/>
      </w:divBdr>
    </w:div>
    <w:div w:id="794714250">
      <w:bodyDiv w:val="1"/>
      <w:marLeft w:val="0"/>
      <w:marRight w:val="0"/>
      <w:marTop w:val="0"/>
      <w:marBottom w:val="0"/>
      <w:divBdr>
        <w:top w:val="none" w:sz="0" w:space="0" w:color="auto"/>
        <w:left w:val="none" w:sz="0" w:space="0" w:color="auto"/>
        <w:bottom w:val="none" w:sz="0" w:space="0" w:color="auto"/>
        <w:right w:val="none" w:sz="0" w:space="0" w:color="auto"/>
      </w:divBdr>
    </w:div>
    <w:div w:id="794835948">
      <w:bodyDiv w:val="1"/>
      <w:marLeft w:val="0"/>
      <w:marRight w:val="0"/>
      <w:marTop w:val="0"/>
      <w:marBottom w:val="0"/>
      <w:divBdr>
        <w:top w:val="none" w:sz="0" w:space="0" w:color="auto"/>
        <w:left w:val="none" w:sz="0" w:space="0" w:color="auto"/>
        <w:bottom w:val="none" w:sz="0" w:space="0" w:color="auto"/>
        <w:right w:val="none" w:sz="0" w:space="0" w:color="auto"/>
      </w:divBdr>
    </w:div>
    <w:div w:id="795367389">
      <w:bodyDiv w:val="1"/>
      <w:marLeft w:val="0"/>
      <w:marRight w:val="0"/>
      <w:marTop w:val="0"/>
      <w:marBottom w:val="0"/>
      <w:divBdr>
        <w:top w:val="none" w:sz="0" w:space="0" w:color="auto"/>
        <w:left w:val="none" w:sz="0" w:space="0" w:color="auto"/>
        <w:bottom w:val="none" w:sz="0" w:space="0" w:color="auto"/>
        <w:right w:val="none" w:sz="0" w:space="0" w:color="auto"/>
      </w:divBdr>
    </w:div>
    <w:div w:id="795442430">
      <w:bodyDiv w:val="1"/>
      <w:marLeft w:val="0"/>
      <w:marRight w:val="0"/>
      <w:marTop w:val="0"/>
      <w:marBottom w:val="0"/>
      <w:divBdr>
        <w:top w:val="none" w:sz="0" w:space="0" w:color="auto"/>
        <w:left w:val="none" w:sz="0" w:space="0" w:color="auto"/>
        <w:bottom w:val="none" w:sz="0" w:space="0" w:color="auto"/>
        <w:right w:val="none" w:sz="0" w:space="0" w:color="auto"/>
      </w:divBdr>
    </w:div>
    <w:div w:id="795870871">
      <w:bodyDiv w:val="1"/>
      <w:marLeft w:val="0"/>
      <w:marRight w:val="0"/>
      <w:marTop w:val="0"/>
      <w:marBottom w:val="0"/>
      <w:divBdr>
        <w:top w:val="none" w:sz="0" w:space="0" w:color="auto"/>
        <w:left w:val="none" w:sz="0" w:space="0" w:color="auto"/>
        <w:bottom w:val="none" w:sz="0" w:space="0" w:color="auto"/>
        <w:right w:val="none" w:sz="0" w:space="0" w:color="auto"/>
      </w:divBdr>
    </w:div>
    <w:div w:id="795872119">
      <w:bodyDiv w:val="1"/>
      <w:marLeft w:val="0"/>
      <w:marRight w:val="0"/>
      <w:marTop w:val="0"/>
      <w:marBottom w:val="0"/>
      <w:divBdr>
        <w:top w:val="none" w:sz="0" w:space="0" w:color="auto"/>
        <w:left w:val="none" w:sz="0" w:space="0" w:color="auto"/>
        <w:bottom w:val="none" w:sz="0" w:space="0" w:color="auto"/>
        <w:right w:val="none" w:sz="0" w:space="0" w:color="auto"/>
      </w:divBdr>
    </w:div>
    <w:div w:id="796024455">
      <w:bodyDiv w:val="1"/>
      <w:marLeft w:val="0"/>
      <w:marRight w:val="0"/>
      <w:marTop w:val="0"/>
      <w:marBottom w:val="0"/>
      <w:divBdr>
        <w:top w:val="none" w:sz="0" w:space="0" w:color="auto"/>
        <w:left w:val="none" w:sz="0" w:space="0" w:color="auto"/>
        <w:bottom w:val="none" w:sz="0" w:space="0" w:color="auto"/>
        <w:right w:val="none" w:sz="0" w:space="0" w:color="auto"/>
      </w:divBdr>
    </w:div>
    <w:div w:id="796028815">
      <w:bodyDiv w:val="1"/>
      <w:marLeft w:val="0"/>
      <w:marRight w:val="0"/>
      <w:marTop w:val="0"/>
      <w:marBottom w:val="0"/>
      <w:divBdr>
        <w:top w:val="none" w:sz="0" w:space="0" w:color="auto"/>
        <w:left w:val="none" w:sz="0" w:space="0" w:color="auto"/>
        <w:bottom w:val="none" w:sz="0" w:space="0" w:color="auto"/>
        <w:right w:val="none" w:sz="0" w:space="0" w:color="auto"/>
      </w:divBdr>
    </w:div>
    <w:div w:id="796609414">
      <w:bodyDiv w:val="1"/>
      <w:marLeft w:val="0"/>
      <w:marRight w:val="0"/>
      <w:marTop w:val="0"/>
      <w:marBottom w:val="0"/>
      <w:divBdr>
        <w:top w:val="none" w:sz="0" w:space="0" w:color="auto"/>
        <w:left w:val="none" w:sz="0" w:space="0" w:color="auto"/>
        <w:bottom w:val="none" w:sz="0" w:space="0" w:color="auto"/>
        <w:right w:val="none" w:sz="0" w:space="0" w:color="auto"/>
      </w:divBdr>
    </w:div>
    <w:div w:id="796797194">
      <w:bodyDiv w:val="1"/>
      <w:marLeft w:val="0"/>
      <w:marRight w:val="0"/>
      <w:marTop w:val="0"/>
      <w:marBottom w:val="0"/>
      <w:divBdr>
        <w:top w:val="none" w:sz="0" w:space="0" w:color="auto"/>
        <w:left w:val="none" w:sz="0" w:space="0" w:color="auto"/>
        <w:bottom w:val="none" w:sz="0" w:space="0" w:color="auto"/>
        <w:right w:val="none" w:sz="0" w:space="0" w:color="auto"/>
      </w:divBdr>
    </w:div>
    <w:div w:id="797798077">
      <w:bodyDiv w:val="1"/>
      <w:marLeft w:val="0"/>
      <w:marRight w:val="0"/>
      <w:marTop w:val="0"/>
      <w:marBottom w:val="0"/>
      <w:divBdr>
        <w:top w:val="none" w:sz="0" w:space="0" w:color="auto"/>
        <w:left w:val="none" w:sz="0" w:space="0" w:color="auto"/>
        <w:bottom w:val="none" w:sz="0" w:space="0" w:color="auto"/>
        <w:right w:val="none" w:sz="0" w:space="0" w:color="auto"/>
      </w:divBdr>
    </w:div>
    <w:div w:id="798885316">
      <w:bodyDiv w:val="1"/>
      <w:marLeft w:val="0"/>
      <w:marRight w:val="0"/>
      <w:marTop w:val="0"/>
      <w:marBottom w:val="0"/>
      <w:divBdr>
        <w:top w:val="none" w:sz="0" w:space="0" w:color="auto"/>
        <w:left w:val="none" w:sz="0" w:space="0" w:color="auto"/>
        <w:bottom w:val="none" w:sz="0" w:space="0" w:color="auto"/>
        <w:right w:val="none" w:sz="0" w:space="0" w:color="auto"/>
      </w:divBdr>
    </w:div>
    <w:div w:id="798961939">
      <w:bodyDiv w:val="1"/>
      <w:marLeft w:val="0"/>
      <w:marRight w:val="0"/>
      <w:marTop w:val="0"/>
      <w:marBottom w:val="0"/>
      <w:divBdr>
        <w:top w:val="none" w:sz="0" w:space="0" w:color="auto"/>
        <w:left w:val="none" w:sz="0" w:space="0" w:color="auto"/>
        <w:bottom w:val="none" w:sz="0" w:space="0" w:color="auto"/>
        <w:right w:val="none" w:sz="0" w:space="0" w:color="auto"/>
      </w:divBdr>
    </w:div>
    <w:div w:id="799878004">
      <w:bodyDiv w:val="1"/>
      <w:marLeft w:val="0"/>
      <w:marRight w:val="0"/>
      <w:marTop w:val="0"/>
      <w:marBottom w:val="0"/>
      <w:divBdr>
        <w:top w:val="none" w:sz="0" w:space="0" w:color="auto"/>
        <w:left w:val="none" w:sz="0" w:space="0" w:color="auto"/>
        <w:bottom w:val="none" w:sz="0" w:space="0" w:color="auto"/>
        <w:right w:val="none" w:sz="0" w:space="0" w:color="auto"/>
      </w:divBdr>
    </w:div>
    <w:div w:id="799998729">
      <w:bodyDiv w:val="1"/>
      <w:marLeft w:val="0"/>
      <w:marRight w:val="0"/>
      <w:marTop w:val="0"/>
      <w:marBottom w:val="0"/>
      <w:divBdr>
        <w:top w:val="none" w:sz="0" w:space="0" w:color="auto"/>
        <w:left w:val="none" w:sz="0" w:space="0" w:color="auto"/>
        <w:bottom w:val="none" w:sz="0" w:space="0" w:color="auto"/>
        <w:right w:val="none" w:sz="0" w:space="0" w:color="auto"/>
      </w:divBdr>
    </w:div>
    <w:div w:id="800029812">
      <w:bodyDiv w:val="1"/>
      <w:marLeft w:val="0"/>
      <w:marRight w:val="0"/>
      <w:marTop w:val="0"/>
      <w:marBottom w:val="0"/>
      <w:divBdr>
        <w:top w:val="none" w:sz="0" w:space="0" w:color="auto"/>
        <w:left w:val="none" w:sz="0" w:space="0" w:color="auto"/>
        <w:bottom w:val="none" w:sz="0" w:space="0" w:color="auto"/>
        <w:right w:val="none" w:sz="0" w:space="0" w:color="auto"/>
      </w:divBdr>
    </w:div>
    <w:div w:id="800029892">
      <w:bodyDiv w:val="1"/>
      <w:marLeft w:val="0"/>
      <w:marRight w:val="0"/>
      <w:marTop w:val="0"/>
      <w:marBottom w:val="0"/>
      <w:divBdr>
        <w:top w:val="none" w:sz="0" w:space="0" w:color="auto"/>
        <w:left w:val="none" w:sz="0" w:space="0" w:color="auto"/>
        <w:bottom w:val="none" w:sz="0" w:space="0" w:color="auto"/>
        <w:right w:val="none" w:sz="0" w:space="0" w:color="auto"/>
      </w:divBdr>
    </w:div>
    <w:div w:id="800147690">
      <w:bodyDiv w:val="1"/>
      <w:marLeft w:val="0"/>
      <w:marRight w:val="0"/>
      <w:marTop w:val="0"/>
      <w:marBottom w:val="0"/>
      <w:divBdr>
        <w:top w:val="none" w:sz="0" w:space="0" w:color="auto"/>
        <w:left w:val="none" w:sz="0" w:space="0" w:color="auto"/>
        <w:bottom w:val="none" w:sz="0" w:space="0" w:color="auto"/>
        <w:right w:val="none" w:sz="0" w:space="0" w:color="auto"/>
      </w:divBdr>
    </w:div>
    <w:div w:id="800197407">
      <w:bodyDiv w:val="1"/>
      <w:marLeft w:val="0"/>
      <w:marRight w:val="0"/>
      <w:marTop w:val="0"/>
      <w:marBottom w:val="0"/>
      <w:divBdr>
        <w:top w:val="none" w:sz="0" w:space="0" w:color="auto"/>
        <w:left w:val="none" w:sz="0" w:space="0" w:color="auto"/>
        <w:bottom w:val="none" w:sz="0" w:space="0" w:color="auto"/>
        <w:right w:val="none" w:sz="0" w:space="0" w:color="auto"/>
      </w:divBdr>
    </w:div>
    <w:div w:id="800610074">
      <w:bodyDiv w:val="1"/>
      <w:marLeft w:val="0"/>
      <w:marRight w:val="0"/>
      <w:marTop w:val="0"/>
      <w:marBottom w:val="0"/>
      <w:divBdr>
        <w:top w:val="none" w:sz="0" w:space="0" w:color="auto"/>
        <w:left w:val="none" w:sz="0" w:space="0" w:color="auto"/>
        <w:bottom w:val="none" w:sz="0" w:space="0" w:color="auto"/>
        <w:right w:val="none" w:sz="0" w:space="0" w:color="auto"/>
      </w:divBdr>
    </w:div>
    <w:div w:id="800659669">
      <w:bodyDiv w:val="1"/>
      <w:marLeft w:val="0"/>
      <w:marRight w:val="0"/>
      <w:marTop w:val="0"/>
      <w:marBottom w:val="0"/>
      <w:divBdr>
        <w:top w:val="none" w:sz="0" w:space="0" w:color="auto"/>
        <w:left w:val="none" w:sz="0" w:space="0" w:color="auto"/>
        <w:bottom w:val="none" w:sz="0" w:space="0" w:color="auto"/>
        <w:right w:val="none" w:sz="0" w:space="0" w:color="auto"/>
      </w:divBdr>
    </w:div>
    <w:div w:id="801314657">
      <w:bodyDiv w:val="1"/>
      <w:marLeft w:val="0"/>
      <w:marRight w:val="0"/>
      <w:marTop w:val="0"/>
      <w:marBottom w:val="0"/>
      <w:divBdr>
        <w:top w:val="none" w:sz="0" w:space="0" w:color="auto"/>
        <w:left w:val="none" w:sz="0" w:space="0" w:color="auto"/>
        <w:bottom w:val="none" w:sz="0" w:space="0" w:color="auto"/>
        <w:right w:val="none" w:sz="0" w:space="0" w:color="auto"/>
      </w:divBdr>
    </w:div>
    <w:div w:id="802233309">
      <w:bodyDiv w:val="1"/>
      <w:marLeft w:val="0"/>
      <w:marRight w:val="0"/>
      <w:marTop w:val="0"/>
      <w:marBottom w:val="0"/>
      <w:divBdr>
        <w:top w:val="none" w:sz="0" w:space="0" w:color="auto"/>
        <w:left w:val="none" w:sz="0" w:space="0" w:color="auto"/>
        <w:bottom w:val="none" w:sz="0" w:space="0" w:color="auto"/>
        <w:right w:val="none" w:sz="0" w:space="0" w:color="auto"/>
      </w:divBdr>
    </w:div>
    <w:div w:id="802428639">
      <w:bodyDiv w:val="1"/>
      <w:marLeft w:val="0"/>
      <w:marRight w:val="0"/>
      <w:marTop w:val="0"/>
      <w:marBottom w:val="0"/>
      <w:divBdr>
        <w:top w:val="none" w:sz="0" w:space="0" w:color="auto"/>
        <w:left w:val="none" w:sz="0" w:space="0" w:color="auto"/>
        <w:bottom w:val="none" w:sz="0" w:space="0" w:color="auto"/>
        <w:right w:val="none" w:sz="0" w:space="0" w:color="auto"/>
      </w:divBdr>
    </w:div>
    <w:div w:id="802501506">
      <w:bodyDiv w:val="1"/>
      <w:marLeft w:val="0"/>
      <w:marRight w:val="0"/>
      <w:marTop w:val="0"/>
      <w:marBottom w:val="0"/>
      <w:divBdr>
        <w:top w:val="none" w:sz="0" w:space="0" w:color="auto"/>
        <w:left w:val="none" w:sz="0" w:space="0" w:color="auto"/>
        <w:bottom w:val="none" w:sz="0" w:space="0" w:color="auto"/>
        <w:right w:val="none" w:sz="0" w:space="0" w:color="auto"/>
      </w:divBdr>
    </w:div>
    <w:div w:id="803544599">
      <w:bodyDiv w:val="1"/>
      <w:marLeft w:val="0"/>
      <w:marRight w:val="0"/>
      <w:marTop w:val="0"/>
      <w:marBottom w:val="0"/>
      <w:divBdr>
        <w:top w:val="none" w:sz="0" w:space="0" w:color="auto"/>
        <w:left w:val="none" w:sz="0" w:space="0" w:color="auto"/>
        <w:bottom w:val="none" w:sz="0" w:space="0" w:color="auto"/>
        <w:right w:val="none" w:sz="0" w:space="0" w:color="auto"/>
      </w:divBdr>
    </w:div>
    <w:div w:id="803739337">
      <w:bodyDiv w:val="1"/>
      <w:marLeft w:val="0"/>
      <w:marRight w:val="0"/>
      <w:marTop w:val="0"/>
      <w:marBottom w:val="0"/>
      <w:divBdr>
        <w:top w:val="none" w:sz="0" w:space="0" w:color="auto"/>
        <w:left w:val="none" w:sz="0" w:space="0" w:color="auto"/>
        <w:bottom w:val="none" w:sz="0" w:space="0" w:color="auto"/>
        <w:right w:val="none" w:sz="0" w:space="0" w:color="auto"/>
      </w:divBdr>
    </w:div>
    <w:div w:id="804196981">
      <w:bodyDiv w:val="1"/>
      <w:marLeft w:val="0"/>
      <w:marRight w:val="0"/>
      <w:marTop w:val="0"/>
      <w:marBottom w:val="0"/>
      <w:divBdr>
        <w:top w:val="none" w:sz="0" w:space="0" w:color="auto"/>
        <w:left w:val="none" w:sz="0" w:space="0" w:color="auto"/>
        <w:bottom w:val="none" w:sz="0" w:space="0" w:color="auto"/>
        <w:right w:val="none" w:sz="0" w:space="0" w:color="auto"/>
      </w:divBdr>
    </w:div>
    <w:div w:id="804468392">
      <w:bodyDiv w:val="1"/>
      <w:marLeft w:val="0"/>
      <w:marRight w:val="0"/>
      <w:marTop w:val="0"/>
      <w:marBottom w:val="0"/>
      <w:divBdr>
        <w:top w:val="none" w:sz="0" w:space="0" w:color="auto"/>
        <w:left w:val="none" w:sz="0" w:space="0" w:color="auto"/>
        <w:bottom w:val="none" w:sz="0" w:space="0" w:color="auto"/>
        <w:right w:val="none" w:sz="0" w:space="0" w:color="auto"/>
      </w:divBdr>
    </w:div>
    <w:div w:id="804854190">
      <w:bodyDiv w:val="1"/>
      <w:marLeft w:val="0"/>
      <w:marRight w:val="0"/>
      <w:marTop w:val="0"/>
      <w:marBottom w:val="0"/>
      <w:divBdr>
        <w:top w:val="none" w:sz="0" w:space="0" w:color="auto"/>
        <w:left w:val="none" w:sz="0" w:space="0" w:color="auto"/>
        <w:bottom w:val="none" w:sz="0" w:space="0" w:color="auto"/>
        <w:right w:val="none" w:sz="0" w:space="0" w:color="auto"/>
      </w:divBdr>
    </w:div>
    <w:div w:id="804933019">
      <w:bodyDiv w:val="1"/>
      <w:marLeft w:val="0"/>
      <w:marRight w:val="0"/>
      <w:marTop w:val="0"/>
      <w:marBottom w:val="0"/>
      <w:divBdr>
        <w:top w:val="none" w:sz="0" w:space="0" w:color="auto"/>
        <w:left w:val="none" w:sz="0" w:space="0" w:color="auto"/>
        <w:bottom w:val="none" w:sz="0" w:space="0" w:color="auto"/>
        <w:right w:val="none" w:sz="0" w:space="0" w:color="auto"/>
      </w:divBdr>
    </w:div>
    <w:div w:id="805203677">
      <w:bodyDiv w:val="1"/>
      <w:marLeft w:val="0"/>
      <w:marRight w:val="0"/>
      <w:marTop w:val="0"/>
      <w:marBottom w:val="0"/>
      <w:divBdr>
        <w:top w:val="none" w:sz="0" w:space="0" w:color="auto"/>
        <w:left w:val="none" w:sz="0" w:space="0" w:color="auto"/>
        <w:bottom w:val="none" w:sz="0" w:space="0" w:color="auto"/>
        <w:right w:val="none" w:sz="0" w:space="0" w:color="auto"/>
      </w:divBdr>
    </w:div>
    <w:div w:id="806050878">
      <w:bodyDiv w:val="1"/>
      <w:marLeft w:val="0"/>
      <w:marRight w:val="0"/>
      <w:marTop w:val="0"/>
      <w:marBottom w:val="0"/>
      <w:divBdr>
        <w:top w:val="none" w:sz="0" w:space="0" w:color="auto"/>
        <w:left w:val="none" w:sz="0" w:space="0" w:color="auto"/>
        <w:bottom w:val="none" w:sz="0" w:space="0" w:color="auto"/>
        <w:right w:val="none" w:sz="0" w:space="0" w:color="auto"/>
      </w:divBdr>
    </w:div>
    <w:div w:id="806356071">
      <w:bodyDiv w:val="1"/>
      <w:marLeft w:val="0"/>
      <w:marRight w:val="0"/>
      <w:marTop w:val="0"/>
      <w:marBottom w:val="0"/>
      <w:divBdr>
        <w:top w:val="none" w:sz="0" w:space="0" w:color="auto"/>
        <w:left w:val="none" w:sz="0" w:space="0" w:color="auto"/>
        <w:bottom w:val="none" w:sz="0" w:space="0" w:color="auto"/>
        <w:right w:val="none" w:sz="0" w:space="0" w:color="auto"/>
      </w:divBdr>
    </w:div>
    <w:div w:id="806555513">
      <w:bodyDiv w:val="1"/>
      <w:marLeft w:val="0"/>
      <w:marRight w:val="0"/>
      <w:marTop w:val="0"/>
      <w:marBottom w:val="0"/>
      <w:divBdr>
        <w:top w:val="none" w:sz="0" w:space="0" w:color="auto"/>
        <w:left w:val="none" w:sz="0" w:space="0" w:color="auto"/>
        <w:bottom w:val="none" w:sz="0" w:space="0" w:color="auto"/>
        <w:right w:val="none" w:sz="0" w:space="0" w:color="auto"/>
      </w:divBdr>
    </w:div>
    <w:div w:id="806968204">
      <w:bodyDiv w:val="1"/>
      <w:marLeft w:val="0"/>
      <w:marRight w:val="0"/>
      <w:marTop w:val="0"/>
      <w:marBottom w:val="0"/>
      <w:divBdr>
        <w:top w:val="none" w:sz="0" w:space="0" w:color="auto"/>
        <w:left w:val="none" w:sz="0" w:space="0" w:color="auto"/>
        <w:bottom w:val="none" w:sz="0" w:space="0" w:color="auto"/>
        <w:right w:val="none" w:sz="0" w:space="0" w:color="auto"/>
      </w:divBdr>
    </w:div>
    <w:div w:id="807095092">
      <w:bodyDiv w:val="1"/>
      <w:marLeft w:val="0"/>
      <w:marRight w:val="0"/>
      <w:marTop w:val="0"/>
      <w:marBottom w:val="0"/>
      <w:divBdr>
        <w:top w:val="none" w:sz="0" w:space="0" w:color="auto"/>
        <w:left w:val="none" w:sz="0" w:space="0" w:color="auto"/>
        <w:bottom w:val="none" w:sz="0" w:space="0" w:color="auto"/>
        <w:right w:val="none" w:sz="0" w:space="0" w:color="auto"/>
      </w:divBdr>
    </w:div>
    <w:div w:id="807362395">
      <w:bodyDiv w:val="1"/>
      <w:marLeft w:val="0"/>
      <w:marRight w:val="0"/>
      <w:marTop w:val="0"/>
      <w:marBottom w:val="0"/>
      <w:divBdr>
        <w:top w:val="none" w:sz="0" w:space="0" w:color="auto"/>
        <w:left w:val="none" w:sz="0" w:space="0" w:color="auto"/>
        <w:bottom w:val="none" w:sz="0" w:space="0" w:color="auto"/>
        <w:right w:val="none" w:sz="0" w:space="0" w:color="auto"/>
      </w:divBdr>
    </w:div>
    <w:div w:id="807748329">
      <w:bodyDiv w:val="1"/>
      <w:marLeft w:val="0"/>
      <w:marRight w:val="0"/>
      <w:marTop w:val="0"/>
      <w:marBottom w:val="0"/>
      <w:divBdr>
        <w:top w:val="none" w:sz="0" w:space="0" w:color="auto"/>
        <w:left w:val="none" w:sz="0" w:space="0" w:color="auto"/>
        <w:bottom w:val="none" w:sz="0" w:space="0" w:color="auto"/>
        <w:right w:val="none" w:sz="0" w:space="0" w:color="auto"/>
      </w:divBdr>
    </w:div>
    <w:div w:id="808323848">
      <w:bodyDiv w:val="1"/>
      <w:marLeft w:val="0"/>
      <w:marRight w:val="0"/>
      <w:marTop w:val="0"/>
      <w:marBottom w:val="0"/>
      <w:divBdr>
        <w:top w:val="none" w:sz="0" w:space="0" w:color="auto"/>
        <w:left w:val="none" w:sz="0" w:space="0" w:color="auto"/>
        <w:bottom w:val="none" w:sz="0" w:space="0" w:color="auto"/>
        <w:right w:val="none" w:sz="0" w:space="0" w:color="auto"/>
      </w:divBdr>
    </w:div>
    <w:div w:id="808546707">
      <w:bodyDiv w:val="1"/>
      <w:marLeft w:val="0"/>
      <w:marRight w:val="0"/>
      <w:marTop w:val="0"/>
      <w:marBottom w:val="0"/>
      <w:divBdr>
        <w:top w:val="none" w:sz="0" w:space="0" w:color="auto"/>
        <w:left w:val="none" w:sz="0" w:space="0" w:color="auto"/>
        <w:bottom w:val="none" w:sz="0" w:space="0" w:color="auto"/>
        <w:right w:val="none" w:sz="0" w:space="0" w:color="auto"/>
      </w:divBdr>
    </w:div>
    <w:div w:id="809174741">
      <w:bodyDiv w:val="1"/>
      <w:marLeft w:val="0"/>
      <w:marRight w:val="0"/>
      <w:marTop w:val="0"/>
      <w:marBottom w:val="0"/>
      <w:divBdr>
        <w:top w:val="none" w:sz="0" w:space="0" w:color="auto"/>
        <w:left w:val="none" w:sz="0" w:space="0" w:color="auto"/>
        <w:bottom w:val="none" w:sz="0" w:space="0" w:color="auto"/>
        <w:right w:val="none" w:sz="0" w:space="0" w:color="auto"/>
      </w:divBdr>
    </w:div>
    <w:div w:id="809442349">
      <w:bodyDiv w:val="1"/>
      <w:marLeft w:val="0"/>
      <w:marRight w:val="0"/>
      <w:marTop w:val="0"/>
      <w:marBottom w:val="0"/>
      <w:divBdr>
        <w:top w:val="none" w:sz="0" w:space="0" w:color="auto"/>
        <w:left w:val="none" w:sz="0" w:space="0" w:color="auto"/>
        <w:bottom w:val="none" w:sz="0" w:space="0" w:color="auto"/>
        <w:right w:val="none" w:sz="0" w:space="0" w:color="auto"/>
      </w:divBdr>
    </w:div>
    <w:div w:id="810444469">
      <w:bodyDiv w:val="1"/>
      <w:marLeft w:val="0"/>
      <w:marRight w:val="0"/>
      <w:marTop w:val="0"/>
      <w:marBottom w:val="0"/>
      <w:divBdr>
        <w:top w:val="none" w:sz="0" w:space="0" w:color="auto"/>
        <w:left w:val="none" w:sz="0" w:space="0" w:color="auto"/>
        <w:bottom w:val="none" w:sz="0" w:space="0" w:color="auto"/>
        <w:right w:val="none" w:sz="0" w:space="0" w:color="auto"/>
      </w:divBdr>
    </w:div>
    <w:div w:id="810831886">
      <w:bodyDiv w:val="1"/>
      <w:marLeft w:val="0"/>
      <w:marRight w:val="0"/>
      <w:marTop w:val="0"/>
      <w:marBottom w:val="0"/>
      <w:divBdr>
        <w:top w:val="none" w:sz="0" w:space="0" w:color="auto"/>
        <w:left w:val="none" w:sz="0" w:space="0" w:color="auto"/>
        <w:bottom w:val="none" w:sz="0" w:space="0" w:color="auto"/>
        <w:right w:val="none" w:sz="0" w:space="0" w:color="auto"/>
      </w:divBdr>
    </w:div>
    <w:div w:id="810904017">
      <w:bodyDiv w:val="1"/>
      <w:marLeft w:val="0"/>
      <w:marRight w:val="0"/>
      <w:marTop w:val="0"/>
      <w:marBottom w:val="0"/>
      <w:divBdr>
        <w:top w:val="none" w:sz="0" w:space="0" w:color="auto"/>
        <w:left w:val="none" w:sz="0" w:space="0" w:color="auto"/>
        <w:bottom w:val="none" w:sz="0" w:space="0" w:color="auto"/>
        <w:right w:val="none" w:sz="0" w:space="0" w:color="auto"/>
      </w:divBdr>
    </w:div>
    <w:div w:id="811604921">
      <w:bodyDiv w:val="1"/>
      <w:marLeft w:val="0"/>
      <w:marRight w:val="0"/>
      <w:marTop w:val="0"/>
      <w:marBottom w:val="0"/>
      <w:divBdr>
        <w:top w:val="none" w:sz="0" w:space="0" w:color="auto"/>
        <w:left w:val="none" w:sz="0" w:space="0" w:color="auto"/>
        <w:bottom w:val="none" w:sz="0" w:space="0" w:color="auto"/>
        <w:right w:val="none" w:sz="0" w:space="0" w:color="auto"/>
      </w:divBdr>
    </w:div>
    <w:div w:id="811605502">
      <w:bodyDiv w:val="1"/>
      <w:marLeft w:val="0"/>
      <w:marRight w:val="0"/>
      <w:marTop w:val="0"/>
      <w:marBottom w:val="0"/>
      <w:divBdr>
        <w:top w:val="none" w:sz="0" w:space="0" w:color="auto"/>
        <w:left w:val="none" w:sz="0" w:space="0" w:color="auto"/>
        <w:bottom w:val="none" w:sz="0" w:space="0" w:color="auto"/>
        <w:right w:val="none" w:sz="0" w:space="0" w:color="auto"/>
      </w:divBdr>
    </w:div>
    <w:div w:id="812409145">
      <w:bodyDiv w:val="1"/>
      <w:marLeft w:val="0"/>
      <w:marRight w:val="0"/>
      <w:marTop w:val="0"/>
      <w:marBottom w:val="0"/>
      <w:divBdr>
        <w:top w:val="none" w:sz="0" w:space="0" w:color="auto"/>
        <w:left w:val="none" w:sz="0" w:space="0" w:color="auto"/>
        <w:bottom w:val="none" w:sz="0" w:space="0" w:color="auto"/>
        <w:right w:val="none" w:sz="0" w:space="0" w:color="auto"/>
      </w:divBdr>
    </w:div>
    <w:div w:id="813328131">
      <w:bodyDiv w:val="1"/>
      <w:marLeft w:val="0"/>
      <w:marRight w:val="0"/>
      <w:marTop w:val="0"/>
      <w:marBottom w:val="0"/>
      <w:divBdr>
        <w:top w:val="none" w:sz="0" w:space="0" w:color="auto"/>
        <w:left w:val="none" w:sz="0" w:space="0" w:color="auto"/>
        <w:bottom w:val="none" w:sz="0" w:space="0" w:color="auto"/>
        <w:right w:val="none" w:sz="0" w:space="0" w:color="auto"/>
      </w:divBdr>
    </w:div>
    <w:div w:id="813453119">
      <w:bodyDiv w:val="1"/>
      <w:marLeft w:val="0"/>
      <w:marRight w:val="0"/>
      <w:marTop w:val="0"/>
      <w:marBottom w:val="0"/>
      <w:divBdr>
        <w:top w:val="none" w:sz="0" w:space="0" w:color="auto"/>
        <w:left w:val="none" w:sz="0" w:space="0" w:color="auto"/>
        <w:bottom w:val="none" w:sz="0" w:space="0" w:color="auto"/>
        <w:right w:val="none" w:sz="0" w:space="0" w:color="auto"/>
      </w:divBdr>
    </w:div>
    <w:div w:id="814298861">
      <w:bodyDiv w:val="1"/>
      <w:marLeft w:val="0"/>
      <w:marRight w:val="0"/>
      <w:marTop w:val="0"/>
      <w:marBottom w:val="0"/>
      <w:divBdr>
        <w:top w:val="none" w:sz="0" w:space="0" w:color="auto"/>
        <w:left w:val="none" w:sz="0" w:space="0" w:color="auto"/>
        <w:bottom w:val="none" w:sz="0" w:space="0" w:color="auto"/>
        <w:right w:val="none" w:sz="0" w:space="0" w:color="auto"/>
      </w:divBdr>
    </w:div>
    <w:div w:id="814569229">
      <w:bodyDiv w:val="1"/>
      <w:marLeft w:val="0"/>
      <w:marRight w:val="0"/>
      <w:marTop w:val="0"/>
      <w:marBottom w:val="0"/>
      <w:divBdr>
        <w:top w:val="none" w:sz="0" w:space="0" w:color="auto"/>
        <w:left w:val="none" w:sz="0" w:space="0" w:color="auto"/>
        <w:bottom w:val="none" w:sz="0" w:space="0" w:color="auto"/>
        <w:right w:val="none" w:sz="0" w:space="0" w:color="auto"/>
      </w:divBdr>
    </w:div>
    <w:div w:id="815025718">
      <w:bodyDiv w:val="1"/>
      <w:marLeft w:val="0"/>
      <w:marRight w:val="0"/>
      <w:marTop w:val="0"/>
      <w:marBottom w:val="0"/>
      <w:divBdr>
        <w:top w:val="none" w:sz="0" w:space="0" w:color="auto"/>
        <w:left w:val="none" w:sz="0" w:space="0" w:color="auto"/>
        <w:bottom w:val="none" w:sz="0" w:space="0" w:color="auto"/>
        <w:right w:val="none" w:sz="0" w:space="0" w:color="auto"/>
      </w:divBdr>
    </w:div>
    <w:div w:id="815027348">
      <w:bodyDiv w:val="1"/>
      <w:marLeft w:val="0"/>
      <w:marRight w:val="0"/>
      <w:marTop w:val="0"/>
      <w:marBottom w:val="0"/>
      <w:divBdr>
        <w:top w:val="none" w:sz="0" w:space="0" w:color="auto"/>
        <w:left w:val="none" w:sz="0" w:space="0" w:color="auto"/>
        <w:bottom w:val="none" w:sz="0" w:space="0" w:color="auto"/>
        <w:right w:val="none" w:sz="0" w:space="0" w:color="auto"/>
      </w:divBdr>
    </w:div>
    <w:div w:id="815145375">
      <w:bodyDiv w:val="1"/>
      <w:marLeft w:val="0"/>
      <w:marRight w:val="0"/>
      <w:marTop w:val="0"/>
      <w:marBottom w:val="0"/>
      <w:divBdr>
        <w:top w:val="none" w:sz="0" w:space="0" w:color="auto"/>
        <w:left w:val="none" w:sz="0" w:space="0" w:color="auto"/>
        <w:bottom w:val="none" w:sz="0" w:space="0" w:color="auto"/>
        <w:right w:val="none" w:sz="0" w:space="0" w:color="auto"/>
      </w:divBdr>
    </w:div>
    <w:div w:id="816344007">
      <w:bodyDiv w:val="1"/>
      <w:marLeft w:val="0"/>
      <w:marRight w:val="0"/>
      <w:marTop w:val="0"/>
      <w:marBottom w:val="0"/>
      <w:divBdr>
        <w:top w:val="none" w:sz="0" w:space="0" w:color="auto"/>
        <w:left w:val="none" w:sz="0" w:space="0" w:color="auto"/>
        <w:bottom w:val="none" w:sz="0" w:space="0" w:color="auto"/>
        <w:right w:val="none" w:sz="0" w:space="0" w:color="auto"/>
      </w:divBdr>
    </w:div>
    <w:div w:id="816991350">
      <w:bodyDiv w:val="1"/>
      <w:marLeft w:val="0"/>
      <w:marRight w:val="0"/>
      <w:marTop w:val="0"/>
      <w:marBottom w:val="0"/>
      <w:divBdr>
        <w:top w:val="none" w:sz="0" w:space="0" w:color="auto"/>
        <w:left w:val="none" w:sz="0" w:space="0" w:color="auto"/>
        <w:bottom w:val="none" w:sz="0" w:space="0" w:color="auto"/>
        <w:right w:val="none" w:sz="0" w:space="0" w:color="auto"/>
      </w:divBdr>
    </w:div>
    <w:div w:id="817572122">
      <w:bodyDiv w:val="1"/>
      <w:marLeft w:val="0"/>
      <w:marRight w:val="0"/>
      <w:marTop w:val="0"/>
      <w:marBottom w:val="0"/>
      <w:divBdr>
        <w:top w:val="none" w:sz="0" w:space="0" w:color="auto"/>
        <w:left w:val="none" w:sz="0" w:space="0" w:color="auto"/>
        <w:bottom w:val="none" w:sz="0" w:space="0" w:color="auto"/>
        <w:right w:val="none" w:sz="0" w:space="0" w:color="auto"/>
      </w:divBdr>
    </w:div>
    <w:div w:id="817959722">
      <w:bodyDiv w:val="1"/>
      <w:marLeft w:val="0"/>
      <w:marRight w:val="0"/>
      <w:marTop w:val="0"/>
      <w:marBottom w:val="0"/>
      <w:divBdr>
        <w:top w:val="none" w:sz="0" w:space="0" w:color="auto"/>
        <w:left w:val="none" w:sz="0" w:space="0" w:color="auto"/>
        <w:bottom w:val="none" w:sz="0" w:space="0" w:color="auto"/>
        <w:right w:val="none" w:sz="0" w:space="0" w:color="auto"/>
      </w:divBdr>
    </w:div>
    <w:div w:id="818227948">
      <w:bodyDiv w:val="1"/>
      <w:marLeft w:val="0"/>
      <w:marRight w:val="0"/>
      <w:marTop w:val="0"/>
      <w:marBottom w:val="0"/>
      <w:divBdr>
        <w:top w:val="none" w:sz="0" w:space="0" w:color="auto"/>
        <w:left w:val="none" w:sz="0" w:space="0" w:color="auto"/>
        <w:bottom w:val="none" w:sz="0" w:space="0" w:color="auto"/>
        <w:right w:val="none" w:sz="0" w:space="0" w:color="auto"/>
      </w:divBdr>
    </w:div>
    <w:div w:id="818619143">
      <w:bodyDiv w:val="1"/>
      <w:marLeft w:val="0"/>
      <w:marRight w:val="0"/>
      <w:marTop w:val="0"/>
      <w:marBottom w:val="0"/>
      <w:divBdr>
        <w:top w:val="none" w:sz="0" w:space="0" w:color="auto"/>
        <w:left w:val="none" w:sz="0" w:space="0" w:color="auto"/>
        <w:bottom w:val="none" w:sz="0" w:space="0" w:color="auto"/>
        <w:right w:val="none" w:sz="0" w:space="0" w:color="auto"/>
      </w:divBdr>
    </w:div>
    <w:div w:id="819541019">
      <w:bodyDiv w:val="1"/>
      <w:marLeft w:val="0"/>
      <w:marRight w:val="0"/>
      <w:marTop w:val="0"/>
      <w:marBottom w:val="0"/>
      <w:divBdr>
        <w:top w:val="none" w:sz="0" w:space="0" w:color="auto"/>
        <w:left w:val="none" w:sz="0" w:space="0" w:color="auto"/>
        <w:bottom w:val="none" w:sz="0" w:space="0" w:color="auto"/>
        <w:right w:val="none" w:sz="0" w:space="0" w:color="auto"/>
      </w:divBdr>
    </w:div>
    <w:div w:id="819813528">
      <w:bodyDiv w:val="1"/>
      <w:marLeft w:val="0"/>
      <w:marRight w:val="0"/>
      <w:marTop w:val="0"/>
      <w:marBottom w:val="0"/>
      <w:divBdr>
        <w:top w:val="none" w:sz="0" w:space="0" w:color="auto"/>
        <w:left w:val="none" w:sz="0" w:space="0" w:color="auto"/>
        <w:bottom w:val="none" w:sz="0" w:space="0" w:color="auto"/>
        <w:right w:val="none" w:sz="0" w:space="0" w:color="auto"/>
      </w:divBdr>
    </w:div>
    <w:div w:id="819999338">
      <w:bodyDiv w:val="1"/>
      <w:marLeft w:val="0"/>
      <w:marRight w:val="0"/>
      <w:marTop w:val="0"/>
      <w:marBottom w:val="0"/>
      <w:divBdr>
        <w:top w:val="none" w:sz="0" w:space="0" w:color="auto"/>
        <w:left w:val="none" w:sz="0" w:space="0" w:color="auto"/>
        <w:bottom w:val="none" w:sz="0" w:space="0" w:color="auto"/>
        <w:right w:val="none" w:sz="0" w:space="0" w:color="auto"/>
      </w:divBdr>
    </w:div>
    <w:div w:id="820393869">
      <w:bodyDiv w:val="1"/>
      <w:marLeft w:val="0"/>
      <w:marRight w:val="0"/>
      <w:marTop w:val="0"/>
      <w:marBottom w:val="0"/>
      <w:divBdr>
        <w:top w:val="none" w:sz="0" w:space="0" w:color="auto"/>
        <w:left w:val="none" w:sz="0" w:space="0" w:color="auto"/>
        <w:bottom w:val="none" w:sz="0" w:space="0" w:color="auto"/>
        <w:right w:val="none" w:sz="0" w:space="0" w:color="auto"/>
      </w:divBdr>
    </w:div>
    <w:div w:id="821430214">
      <w:bodyDiv w:val="1"/>
      <w:marLeft w:val="0"/>
      <w:marRight w:val="0"/>
      <w:marTop w:val="0"/>
      <w:marBottom w:val="0"/>
      <w:divBdr>
        <w:top w:val="none" w:sz="0" w:space="0" w:color="auto"/>
        <w:left w:val="none" w:sz="0" w:space="0" w:color="auto"/>
        <w:bottom w:val="none" w:sz="0" w:space="0" w:color="auto"/>
        <w:right w:val="none" w:sz="0" w:space="0" w:color="auto"/>
      </w:divBdr>
    </w:div>
    <w:div w:id="821506989">
      <w:bodyDiv w:val="1"/>
      <w:marLeft w:val="0"/>
      <w:marRight w:val="0"/>
      <w:marTop w:val="0"/>
      <w:marBottom w:val="0"/>
      <w:divBdr>
        <w:top w:val="none" w:sz="0" w:space="0" w:color="auto"/>
        <w:left w:val="none" w:sz="0" w:space="0" w:color="auto"/>
        <w:bottom w:val="none" w:sz="0" w:space="0" w:color="auto"/>
        <w:right w:val="none" w:sz="0" w:space="0" w:color="auto"/>
      </w:divBdr>
    </w:div>
    <w:div w:id="821778345">
      <w:bodyDiv w:val="1"/>
      <w:marLeft w:val="0"/>
      <w:marRight w:val="0"/>
      <w:marTop w:val="0"/>
      <w:marBottom w:val="0"/>
      <w:divBdr>
        <w:top w:val="none" w:sz="0" w:space="0" w:color="auto"/>
        <w:left w:val="none" w:sz="0" w:space="0" w:color="auto"/>
        <w:bottom w:val="none" w:sz="0" w:space="0" w:color="auto"/>
        <w:right w:val="none" w:sz="0" w:space="0" w:color="auto"/>
      </w:divBdr>
    </w:div>
    <w:div w:id="822085348">
      <w:bodyDiv w:val="1"/>
      <w:marLeft w:val="0"/>
      <w:marRight w:val="0"/>
      <w:marTop w:val="0"/>
      <w:marBottom w:val="0"/>
      <w:divBdr>
        <w:top w:val="none" w:sz="0" w:space="0" w:color="auto"/>
        <w:left w:val="none" w:sz="0" w:space="0" w:color="auto"/>
        <w:bottom w:val="none" w:sz="0" w:space="0" w:color="auto"/>
        <w:right w:val="none" w:sz="0" w:space="0" w:color="auto"/>
      </w:divBdr>
    </w:div>
    <w:div w:id="823280917">
      <w:bodyDiv w:val="1"/>
      <w:marLeft w:val="0"/>
      <w:marRight w:val="0"/>
      <w:marTop w:val="0"/>
      <w:marBottom w:val="0"/>
      <w:divBdr>
        <w:top w:val="none" w:sz="0" w:space="0" w:color="auto"/>
        <w:left w:val="none" w:sz="0" w:space="0" w:color="auto"/>
        <w:bottom w:val="none" w:sz="0" w:space="0" w:color="auto"/>
        <w:right w:val="none" w:sz="0" w:space="0" w:color="auto"/>
      </w:divBdr>
    </w:div>
    <w:div w:id="823350441">
      <w:bodyDiv w:val="1"/>
      <w:marLeft w:val="0"/>
      <w:marRight w:val="0"/>
      <w:marTop w:val="0"/>
      <w:marBottom w:val="0"/>
      <w:divBdr>
        <w:top w:val="none" w:sz="0" w:space="0" w:color="auto"/>
        <w:left w:val="none" w:sz="0" w:space="0" w:color="auto"/>
        <w:bottom w:val="none" w:sz="0" w:space="0" w:color="auto"/>
        <w:right w:val="none" w:sz="0" w:space="0" w:color="auto"/>
      </w:divBdr>
    </w:div>
    <w:div w:id="823358528">
      <w:bodyDiv w:val="1"/>
      <w:marLeft w:val="0"/>
      <w:marRight w:val="0"/>
      <w:marTop w:val="0"/>
      <w:marBottom w:val="0"/>
      <w:divBdr>
        <w:top w:val="none" w:sz="0" w:space="0" w:color="auto"/>
        <w:left w:val="none" w:sz="0" w:space="0" w:color="auto"/>
        <w:bottom w:val="none" w:sz="0" w:space="0" w:color="auto"/>
        <w:right w:val="none" w:sz="0" w:space="0" w:color="auto"/>
      </w:divBdr>
    </w:div>
    <w:div w:id="823736727">
      <w:bodyDiv w:val="1"/>
      <w:marLeft w:val="0"/>
      <w:marRight w:val="0"/>
      <w:marTop w:val="0"/>
      <w:marBottom w:val="0"/>
      <w:divBdr>
        <w:top w:val="none" w:sz="0" w:space="0" w:color="auto"/>
        <w:left w:val="none" w:sz="0" w:space="0" w:color="auto"/>
        <w:bottom w:val="none" w:sz="0" w:space="0" w:color="auto"/>
        <w:right w:val="none" w:sz="0" w:space="0" w:color="auto"/>
      </w:divBdr>
    </w:div>
    <w:div w:id="823743298">
      <w:bodyDiv w:val="1"/>
      <w:marLeft w:val="0"/>
      <w:marRight w:val="0"/>
      <w:marTop w:val="0"/>
      <w:marBottom w:val="0"/>
      <w:divBdr>
        <w:top w:val="none" w:sz="0" w:space="0" w:color="auto"/>
        <w:left w:val="none" w:sz="0" w:space="0" w:color="auto"/>
        <w:bottom w:val="none" w:sz="0" w:space="0" w:color="auto"/>
        <w:right w:val="none" w:sz="0" w:space="0" w:color="auto"/>
      </w:divBdr>
    </w:div>
    <w:div w:id="824321074">
      <w:bodyDiv w:val="1"/>
      <w:marLeft w:val="0"/>
      <w:marRight w:val="0"/>
      <w:marTop w:val="0"/>
      <w:marBottom w:val="0"/>
      <w:divBdr>
        <w:top w:val="none" w:sz="0" w:space="0" w:color="auto"/>
        <w:left w:val="none" w:sz="0" w:space="0" w:color="auto"/>
        <w:bottom w:val="none" w:sz="0" w:space="0" w:color="auto"/>
        <w:right w:val="none" w:sz="0" w:space="0" w:color="auto"/>
      </w:divBdr>
    </w:div>
    <w:div w:id="825315703">
      <w:bodyDiv w:val="1"/>
      <w:marLeft w:val="0"/>
      <w:marRight w:val="0"/>
      <w:marTop w:val="0"/>
      <w:marBottom w:val="0"/>
      <w:divBdr>
        <w:top w:val="none" w:sz="0" w:space="0" w:color="auto"/>
        <w:left w:val="none" w:sz="0" w:space="0" w:color="auto"/>
        <w:bottom w:val="none" w:sz="0" w:space="0" w:color="auto"/>
        <w:right w:val="none" w:sz="0" w:space="0" w:color="auto"/>
      </w:divBdr>
    </w:div>
    <w:div w:id="825821977">
      <w:bodyDiv w:val="1"/>
      <w:marLeft w:val="0"/>
      <w:marRight w:val="0"/>
      <w:marTop w:val="0"/>
      <w:marBottom w:val="0"/>
      <w:divBdr>
        <w:top w:val="none" w:sz="0" w:space="0" w:color="auto"/>
        <w:left w:val="none" w:sz="0" w:space="0" w:color="auto"/>
        <w:bottom w:val="none" w:sz="0" w:space="0" w:color="auto"/>
        <w:right w:val="none" w:sz="0" w:space="0" w:color="auto"/>
      </w:divBdr>
    </w:div>
    <w:div w:id="826287197">
      <w:bodyDiv w:val="1"/>
      <w:marLeft w:val="0"/>
      <w:marRight w:val="0"/>
      <w:marTop w:val="0"/>
      <w:marBottom w:val="0"/>
      <w:divBdr>
        <w:top w:val="none" w:sz="0" w:space="0" w:color="auto"/>
        <w:left w:val="none" w:sz="0" w:space="0" w:color="auto"/>
        <w:bottom w:val="none" w:sz="0" w:space="0" w:color="auto"/>
        <w:right w:val="none" w:sz="0" w:space="0" w:color="auto"/>
      </w:divBdr>
    </w:div>
    <w:div w:id="826900233">
      <w:bodyDiv w:val="1"/>
      <w:marLeft w:val="0"/>
      <w:marRight w:val="0"/>
      <w:marTop w:val="0"/>
      <w:marBottom w:val="0"/>
      <w:divBdr>
        <w:top w:val="none" w:sz="0" w:space="0" w:color="auto"/>
        <w:left w:val="none" w:sz="0" w:space="0" w:color="auto"/>
        <w:bottom w:val="none" w:sz="0" w:space="0" w:color="auto"/>
        <w:right w:val="none" w:sz="0" w:space="0" w:color="auto"/>
      </w:divBdr>
    </w:div>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828405414">
      <w:bodyDiv w:val="1"/>
      <w:marLeft w:val="0"/>
      <w:marRight w:val="0"/>
      <w:marTop w:val="0"/>
      <w:marBottom w:val="0"/>
      <w:divBdr>
        <w:top w:val="none" w:sz="0" w:space="0" w:color="auto"/>
        <w:left w:val="none" w:sz="0" w:space="0" w:color="auto"/>
        <w:bottom w:val="none" w:sz="0" w:space="0" w:color="auto"/>
        <w:right w:val="none" w:sz="0" w:space="0" w:color="auto"/>
      </w:divBdr>
    </w:div>
    <w:div w:id="828597510">
      <w:bodyDiv w:val="1"/>
      <w:marLeft w:val="0"/>
      <w:marRight w:val="0"/>
      <w:marTop w:val="0"/>
      <w:marBottom w:val="0"/>
      <w:divBdr>
        <w:top w:val="none" w:sz="0" w:space="0" w:color="auto"/>
        <w:left w:val="none" w:sz="0" w:space="0" w:color="auto"/>
        <w:bottom w:val="none" w:sz="0" w:space="0" w:color="auto"/>
        <w:right w:val="none" w:sz="0" w:space="0" w:color="auto"/>
      </w:divBdr>
    </w:div>
    <w:div w:id="828600706">
      <w:bodyDiv w:val="1"/>
      <w:marLeft w:val="0"/>
      <w:marRight w:val="0"/>
      <w:marTop w:val="0"/>
      <w:marBottom w:val="0"/>
      <w:divBdr>
        <w:top w:val="none" w:sz="0" w:space="0" w:color="auto"/>
        <w:left w:val="none" w:sz="0" w:space="0" w:color="auto"/>
        <w:bottom w:val="none" w:sz="0" w:space="0" w:color="auto"/>
        <w:right w:val="none" w:sz="0" w:space="0" w:color="auto"/>
      </w:divBdr>
    </w:div>
    <w:div w:id="828600974">
      <w:bodyDiv w:val="1"/>
      <w:marLeft w:val="0"/>
      <w:marRight w:val="0"/>
      <w:marTop w:val="0"/>
      <w:marBottom w:val="0"/>
      <w:divBdr>
        <w:top w:val="none" w:sz="0" w:space="0" w:color="auto"/>
        <w:left w:val="none" w:sz="0" w:space="0" w:color="auto"/>
        <w:bottom w:val="none" w:sz="0" w:space="0" w:color="auto"/>
        <w:right w:val="none" w:sz="0" w:space="0" w:color="auto"/>
      </w:divBdr>
    </w:div>
    <w:div w:id="828794202">
      <w:bodyDiv w:val="1"/>
      <w:marLeft w:val="0"/>
      <w:marRight w:val="0"/>
      <w:marTop w:val="0"/>
      <w:marBottom w:val="0"/>
      <w:divBdr>
        <w:top w:val="none" w:sz="0" w:space="0" w:color="auto"/>
        <w:left w:val="none" w:sz="0" w:space="0" w:color="auto"/>
        <w:bottom w:val="none" w:sz="0" w:space="0" w:color="auto"/>
        <w:right w:val="none" w:sz="0" w:space="0" w:color="auto"/>
      </w:divBdr>
    </w:div>
    <w:div w:id="828981688">
      <w:bodyDiv w:val="1"/>
      <w:marLeft w:val="0"/>
      <w:marRight w:val="0"/>
      <w:marTop w:val="0"/>
      <w:marBottom w:val="0"/>
      <w:divBdr>
        <w:top w:val="none" w:sz="0" w:space="0" w:color="auto"/>
        <w:left w:val="none" w:sz="0" w:space="0" w:color="auto"/>
        <w:bottom w:val="none" w:sz="0" w:space="0" w:color="auto"/>
        <w:right w:val="none" w:sz="0" w:space="0" w:color="auto"/>
      </w:divBdr>
    </w:div>
    <w:div w:id="829640292">
      <w:bodyDiv w:val="1"/>
      <w:marLeft w:val="0"/>
      <w:marRight w:val="0"/>
      <w:marTop w:val="0"/>
      <w:marBottom w:val="0"/>
      <w:divBdr>
        <w:top w:val="none" w:sz="0" w:space="0" w:color="auto"/>
        <w:left w:val="none" w:sz="0" w:space="0" w:color="auto"/>
        <w:bottom w:val="none" w:sz="0" w:space="0" w:color="auto"/>
        <w:right w:val="none" w:sz="0" w:space="0" w:color="auto"/>
      </w:divBdr>
    </w:div>
    <w:div w:id="829714374">
      <w:bodyDiv w:val="1"/>
      <w:marLeft w:val="0"/>
      <w:marRight w:val="0"/>
      <w:marTop w:val="0"/>
      <w:marBottom w:val="0"/>
      <w:divBdr>
        <w:top w:val="none" w:sz="0" w:space="0" w:color="auto"/>
        <w:left w:val="none" w:sz="0" w:space="0" w:color="auto"/>
        <w:bottom w:val="none" w:sz="0" w:space="0" w:color="auto"/>
        <w:right w:val="none" w:sz="0" w:space="0" w:color="auto"/>
      </w:divBdr>
    </w:div>
    <w:div w:id="830290228">
      <w:bodyDiv w:val="1"/>
      <w:marLeft w:val="0"/>
      <w:marRight w:val="0"/>
      <w:marTop w:val="0"/>
      <w:marBottom w:val="0"/>
      <w:divBdr>
        <w:top w:val="none" w:sz="0" w:space="0" w:color="auto"/>
        <w:left w:val="none" w:sz="0" w:space="0" w:color="auto"/>
        <w:bottom w:val="none" w:sz="0" w:space="0" w:color="auto"/>
        <w:right w:val="none" w:sz="0" w:space="0" w:color="auto"/>
      </w:divBdr>
    </w:div>
    <w:div w:id="830485092">
      <w:bodyDiv w:val="1"/>
      <w:marLeft w:val="0"/>
      <w:marRight w:val="0"/>
      <w:marTop w:val="0"/>
      <w:marBottom w:val="0"/>
      <w:divBdr>
        <w:top w:val="none" w:sz="0" w:space="0" w:color="auto"/>
        <w:left w:val="none" w:sz="0" w:space="0" w:color="auto"/>
        <w:bottom w:val="none" w:sz="0" w:space="0" w:color="auto"/>
        <w:right w:val="none" w:sz="0" w:space="0" w:color="auto"/>
      </w:divBdr>
    </w:div>
    <w:div w:id="830830796">
      <w:bodyDiv w:val="1"/>
      <w:marLeft w:val="0"/>
      <w:marRight w:val="0"/>
      <w:marTop w:val="0"/>
      <w:marBottom w:val="0"/>
      <w:divBdr>
        <w:top w:val="none" w:sz="0" w:space="0" w:color="auto"/>
        <w:left w:val="none" w:sz="0" w:space="0" w:color="auto"/>
        <w:bottom w:val="none" w:sz="0" w:space="0" w:color="auto"/>
        <w:right w:val="none" w:sz="0" w:space="0" w:color="auto"/>
      </w:divBdr>
    </w:div>
    <w:div w:id="831020118">
      <w:bodyDiv w:val="1"/>
      <w:marLeft w:val="0"/>
      <w:marRight w:val="0"/>
      <w:marTop w:val="0"/>
      <w:marBottom w:val="0"/>
      <w:divBdr>
        <w:top w:val="none" w:sz="0" w:space="0" w:color="auto"/>
        <w:left w:val="none" w:sz="0" w:space="0" w:color="auto"/>
        <w:bottom w:val="none" w:sz="0" w:space="0" w:color="auto"/>
        <w:right w:val="none" w:sz="0" w:space="0" w:color="auto"/>
      </w:divBdr>
    </w:div>
    <w:div w:id="831066122">
      <w:bodyDiv w:val="1"/>
      <w:marLeft w:val="0"/>
      <w:marRight w:val="0"/>
      <w:marTop w:val="0"/>
      <w:marBottom w:val="0"/>
      <w:divBdr>
        <w:top w:val="none" w:sz="0" w:space="0" w:color="auto"/>
        <w:left w:val="none" w:sz="0" w:space="0" w:color="auto"/>
        <w:bottom w:val="none" w:sz="0" w:space="0" w:color="auto"/>
        <w:right w:val="none" w:sz="0" w:space="0" w:color="auto"/>
      </w:divBdr>
    </w:div>
    <w:div w:id="831288570">
      <w:bodyDiv w:val="1"/>
      <w:marLeft w:val="0"/>
      <w:marRight w:val="0"/>
      <w:marTop w:val="0"/>
      <w:marBottom w:val="0"/>
      <w:divBdr>
        <w:top w:val="none" w:sz="0" w:space="0" w:color="auto"/>
        <w:left w:val="none" w:sz="0" w:space="0" w:color="auto"/>
        <w:bottom w:val="none" w:sz="0" w:space="0" w:color="auto"/>
        <w:right w:val="none" w:sz="0" w:space="0" w:color="auto"/>
      </w:divBdr>
    </w:div>
    <w:div w:id="831339266">
      <w:bodyDiv w:val="1"/>
      <w:marLeft w:val="0"/>
      <w:marRight w:val="0"/>
      <w:marTop w:val="0"/>
      <w:marBottom w:val="0"/>
      <w:divBdr>
        <w:top w:val="none" w:sz="0" w:space="0" w:color="auto"/>
        <w:left w:val="none" w:sz="0" w:space="0" w:color="auto"/>
        <w:bottom w:val="none" w:sz="0" w:space="0" w:color="auto"/>
        <w:right w:val="none" w:sz="0" w:space="0" w:color="auto"/>
      </w:divBdr>
    </w:div>
    <w:div w:id="831793664">
      <w:bodyDiv w:val="1"/>
      <w:marLeft w:val="0"/>
      <w:marRight w:val="0"/>
      <w:marTop w:val="0"/>
      <w:marBottom w:val="0"/>
      <w:divBdr>
        <w:top w:val="none" w:sz="0" w:space="0" w:color="auto"/>
        <w:left w:val="none" w:sz="0" w:space="0" w:color="auto"/>
        <w:bottom w:val="none" w:sz="0" w:space="0" w:color="auto"/>
        <w:right w:val="none" w:sz="0" w:space="0" w:color="auto"/>
      </w:divBdr>
    </w:div>
    <w:div w:id="832719887">
      <w:bodyDiv w:val="1"/>
      <w:marLeft w:val="0"/>
      <w:marRight w:val="0"/>
      <w:marTop w:val="0"/>
      <w:marBottom w:val="0"/>
      <w:divBdr>
        <w:top w:val="none" w:sz="0" w:space="0" w:color="auto"/>
        <w:left w:val="none" w:sz="0" w:space="0" w:color="auto"/>
        <w:bottom w:val="none" w:sz="0" w:space="0" w:color="auto"/>
        <w:right w:val="none" w:sz="0" w:space="0" w:color="auto"/>
      </w:divBdr>
    </w:div>
    <w:div w:id="833111821">
      <w:bodyDiv w:val="1"/>
      <w:marLeft w:val="0"/>
      <w:marRight w:val="0"/>
      <w:marTop w:val="0"/>
      <w:marBottom w:val="0"/>
      <w:divBdr>
        <w:top w:val="none" w:sz="0" w:space="0" w:color="auto"/>
        <w:left w:val="none" w:sz="0" w:space="0" w:color="auto"/>
        <w:bottom w:val="none" w:sz="0" w:space="0" w:color="auto"/>
        <w:right w:val="none" w:sz="0" w:space="0" w:color="auto"/>
      </w:divBdr>
    </w:div>
    <w:div w:id="833686484">
      <w:bodyDiv w:val="1"/>
      <w:marLeft w:val="0"/>
      <w:marRight w:val="0"/>
      <w:marTop w:val="0"/>
      <w:marBottom w:val="0"/>
      <w:divBdr>
        <w:top w:val="none" w:sz="0" w:space="0" w:color="auto"/>
        <w:left w:val="none" w:sz="0" w:space="0" w:color="auto"/>
        <w:bottom w:val="none" w:sz="0" w:space="0" w:color="auto"/>
        <w:right w:val="none" w:sz="0" w:space="0" w:color="auto"/>
      </w:divBdr>
    </w:div>
    <w:div w:id="834104599">
      <w:bodyDiv w:val="1"/>
      <w:marLeft w:val="0"/>
      <w:marRight w:val="0"/>
      <w:marTop w:val="0"/>
      <w:marBottom w:val="0"/>
      <w:divBdr>
        <w:top w:val="none" w:sz="0" w:space="0" w:color="auto"/>
        <w:left w:val="none" w:sz="0" w:space="0" w:color="auto"/>
        <w:bottom w:val="none" w:sz="0" w:space="0" w:color="auto"/>
        <w:right w:val="none" w:sz="0" w:space="0" w:color="auto"/>
      </w:divBdr>
    </w:div>
    <w:div w:id="834688638">
      <w:bodyDiv w:val="1"/>
      <w:marLeft w:val="0"/>
      <w:marRight w:val="0"/>
      <w:marTop w:val="0"/>
      <w:marBottom w:val="0"/>
      <w:divBdr>
        <w:top w:val="none" w:sz="0" w:space="0" w:color="auto"/>
        <w:left w:val="none" w:sz="0" w:space="0" w:color="auto"/>
        <w:bottom w:val="none" w:sz="0" w:space="0" w:color="auto"/>
        <w:right w:val="none" w:sz="0" w:space="0" w:color="auto"/>
      </w:divBdr>
    </w:div>
    <w:div w:id="834808050">
      <w:bodyDiv w:val="1"/>
      <w:marLeft w:val="0"/>
      <w:marRight w:val="0"/>
      <w:marTop w:val="0"/>
      <w:marBottom w:val="0"/>
      <w:divBdr>
        <w:top w:val="none" w:sz="0" w:space="0" w:color="auto"/>
        <w:left w:val="none" w:sz="0" w:space="0" w:color="auto"/>
        <w:bottom w:val="none" w:sz="0" w:space="0" w:color="auto"/>
        <w:right w:val="none" w:sz="0" w:space="0" w:color="auto"/>
      </w:divBdr>
    </w:div>
    <w:div w:id="835002031">
      <w:bodyDiv w:val="1"/>
      <w:marLeft w:val="0"/>
      <w:marRight w:val="0"/>
      <w:marTop w:val="0"/>
      <w:marBottom w:val="0"/>
      <w:divBdr>
        <w:top w:val="none" w:sz="0" w:space="0" w:color="auto"/>
        <w:left w:val="none" w:sz="0" w:space="0" w:color="auto"/>
        <w:bottom w:val="none" w:sz="0" w:space="0" w:color="auto"/>
        <w:right w:val="none" w:sz="0" w:space="0" w:color="auto"/>
      </w:divBdr>
    </w:div>
    <w:div w:id="835345626">
      <w:bodyDiv w:val="1"/>
      <w:marLeft w:val="0"/>
      <w:marRight w:val="0"/>
      <w:marTop w:val="0"/>
      <w:marBottom w:val="0"/>
      <w:divBdr>
        <w:top w:val="none" w:sz="0" w:space="0" w:color="auto"/>
        <w:left w:val="none" w:sz="0" w:space="0" w:color="auto"/>
        <w:bottom w:val="none" w:sz="0" w:space="0" w:color="auto"/>
        <w:right w:val="none" w:sz="0" w:space="0" w:color="auto"/>
      </w:divBdr>
    </w:div>
    <w:div w:id="835804256">
      <w:bodyDiv w:val="1"/>
      <w:marLeft w:val="0"/>
      <w:marRight w:val="0"/>
      <w:marTop w:val="0"/>
      <w:marBottom w:val="0"/>
      <w:divBdr>
        <w:top w:val="none" w:sz="0" w:space="0" w:color="auto"/>
        <w:left w:val="none" w:sz="0" w:space="0" w:color="auto"/>
        <w:bottom w:val="none" w:sz="0" w:space="0" w:color="auto"/>
        <w:right w:val="none" w:sz="0" w:space="0" w:color="auto"/>
      </w:divBdr>
    </w:div>
    <w:div w:id="836576948">
      <w:bodyDiv w:val="1"/>
      <w:marLeft w:val="0"/>
      <w:marRight w:val="0"/>
      <w:marTop w:val="0"/>
      <w:marBottom w:val="0"/>
      <w:divBdr>
        <w:top w:val="none" w:sz="0" w:space="0" w:color="auto"/>
        <w:left w:val="none" w:sz="0" w:space="0" w:color="auto"/>
        <w:bottom w:val="none" w:sz="0" w:space="0" w:color="auto"/>
        <w:right w:val="none" w:sz="0" w:space="0" w:color="auto"/>
      </w:divBdr>
    </w:div>
    <w:div w:id="837114557">
      <w:bodyDiv w:val="1"/>
      <w:marLeft w:val="0"/>
      <w:marRight w:val="0"/>
      <w:marTop w:val="0"/>
      <w:marBottom w:val="0"/>
      <w:divBdr>
        <w:top w:val="none" w:sz="0" w:space="0" w:color="auto"/>
        <w:left w:val="none" w:sz="0" w:space="0" w:color="auto"/>
        <w:bottom w:val="none" w:sz="0" w:space="0" w:color="auto"/>
        <w:right w:val="none" w:sz="0" w:space="0" w:color="auto"/>
      </w:divBdr>
    </w:div>
    <w:div w:id="837185220">
      <w:bodyDiv w:val="1"/>
      <w:marLeft w:val="0"/>
      <w:marRight w:val="0"/>
      <w:marTop w:val="0"/>
      <w:marBottom w:val="0"/>
      <w:divBdr>
        <w:top w:val="none" w:sz="0" w:space="0" w:color="auto"/>
        <w:left w:val="none" w:sz="0" w:space="0" w:color="auto"/>
        <w:bottom w:val="none" w:sz="0" w:space="0" w:color="auto"/>
        <w:right w:val="none" w:sz="0" w:space="0" w:color="auto"/>
      </w:divBdr>
    </w:div>
    <w:div w:id="837842070">
      <w:bodyDiv w:val="1"/>
      <w:marLeft w:val="0"/>
      <w:marRight w:val="0"/>
      <w:marTop w:val="0"/>
      <w:marBottom w:val="0"/>
      <w:divBdr>
        <w:top w:val="none" w:sz="0" w:space="0" w:color="auto"/>
        <w:left w:val="none" w:sz="0" w:space="0" w:color="auto"/>
        <w:bottom w:val="none" w:sz="0" w:space="0" w:color="auto"/>
        <w:right w:val="none" w:sz="0" w:space="0" w:color="auto"/>
      </w:divBdr>
    </w:div>
    <w:div w:id="838008937">
      <w:bodyDiv w:val="1"/>
      <w:marLeft w:val="0"/>
      <w:marRight w:val="0"/>
      <w:marTop w:val="0"/>
      <w:marBottom w:val="0"/>
      <w:divBdr>
        <w:top w:val="none" w:sz="0" w:space="0" w:color="auto"/>
        <w:left w:val="none" w:sz="0" w:space="0" w:color="auto"/>
        <w:bottom w:val="none" w:sz="0" w:space="0" w:color="auto"/>
        <w:right w:val="none" w:sz="0" w:space="0" w:color="auto"/>
      </w:divBdr>
    </w:div>
    <w:div w:id="838037948">
      <w:bodyDiv w:val="1"/>
      <w:marLeft w:val="0"/>
      <w:marRight w:val="0"/>
      <w:marTop w:val="0"/>
      <w:marBottom w:val="0"/>
      <w:divBdr>
        <w:top w:val="none" w:sz="0" w:space="0" w:color="auto"/>
        <w:left w:val="none" w:sz="0" w:space="0" w:color="auto"/>
        <w:bottom w:val="none" w:sz="0" w:space="0" w:color="auto"/>
        <w:right w:val="none" w:sz="0" w:space="0" w:color="auto"/>
      </w:divBdr>
    </w:div>
    <w:div w:id="838736430">
      <w:bodyDiv w:val="1"/>
      <w:marLeft w:val="0"/>
      <w:marRight w:val="0"/>
      <w:marTop w:val="0"/>
      <w:marBottom w:val="0"/>
      <w:divBdr>
        <w:top w:val="none" w:sz="0" w:space="0" w:color="auto"/>
        <w:left w:val="none" w:sz="0" w:space="0" w:color="auto"/>
        <w:bottom w:val="none" w:sz="0" w:space="0" w:color="auto"/>
        <w:right w:val="none" w:sz="0" w:space="0" w:color="auto"/>
      </w:divBdr>
    </w:div>
    <w:div w:id="839126848">
      <w:bodyDiv w:val="1"/>
      <w:marLeft w:val="0"/>
      <w:marRight w:val="0"/>
      <w:marTop w:val="0"/>
      <w:marBottom w:val="0"/>
      <w:divBdr>
        <w:top w:val="none" w:sz="0" w:space="0" w:color="auto"/>
        <w:left w:val="none" w:sz="0" w:space="0" w:color="auto"/>
        <w:bottom w:val="none" w:sz="0" w:space="0" w:color="auto"/>
        <w:right w:val="none" w:sz="0" w:space="0" w:color="auto"/>
      </w:divBdr>
    </w:div>
    <w:div w:id="839587974">
      <w:bodyDiv w:val="1"/>
      <w:marLeft w:val="0"/>
      <w:marRight w:val="0"/>
      <w:marTop w:val="0"/>
      <w:marBottom w:val="0"/>
      <w:divBdr>
        <w:top w:val="none" w:sz="0" w:space="0" w:color="auto"/>
        <w:left w:val="none" w:sz="0" w:space="0" w:color="auto"/>
        <w:bottom w:val="none" w:sz="0" w:space="0" w:color="auto"/>
        <w:right w:val="none" w:sz="0" w:space="0" w:color="auto"/>
      </w:divBdr>
    </w:div>
    <w:div w:id="840435571">
      <w:bodyDiv w:val="1"/>
      <w:marLeft w:val="0"/>
      <w:marRight w:val="0"/>
      <w:marTop w:val="0"/>
      <w:marBottom w:val="0"/>
      <w:divBdr>
        <w:top w:val="none" w:sz="0" w:space="0" w:color="auto"/>
        <w:left w:val="none" w:sz="0" w:space="0" w:color="auto"/>
        <w:bottom w:val="none" w:sz="0" w:space="0" w:color="auto"/>
        <w:right w:val="none" w:sz="0" w:space="0" w:color="auto"/>
      </w:divBdr>
    </w:div>
    <w:div w:id="840510742">
      <w:bodyDiv w:val="1"/>
      <w:marLeft w:val="0"/>
      <w:marRight w:val="0"/>
      <w:marTop w:val="0"/>
      <w:marBottom w:val="0"/>
      <w:divBdr>
        <w:top w:val="none" w:sz="0" w:space="0" w:color="auto"/>
        <w:left w:val="none" w:sz="0" w:space="0" w:color="auto"/>
        <w:bottom w:val="none" w:sz="0" w:space="0" w:color="auto"/>
        <w:right w:val="none" w:sz="0" w:space="0" w:color="auto"/>
      </w:divBdr>
    </w:div>
    <w:div w:id="840773035">
      <w:bodyDiv w:val="1"/>
      <w:marLeft w:val="0"/>
      <w:marRight w:val="0"/>
      <w:marTop w:val="0"/>
      <w:marBottom w:val="0"/>
      <w:divBdr>
        <w:top w:val="none" w:sz="0" w:space="0" w:color="auto"/>
        <w:left w:val="none" w:sz="0" w:space="0" w:color="auto"/>
        <w:bottom w:val="none" w:sz="0" w:space="0" w:color="auto"/>
        <w:right w:val="none" w:sz="0" w:space="0" w:color="auto"/>
      </w:divBdr>
    </w:div>
    <w:div w:id="840853448">
      <w:bodyDiv w:val="1"/>
      <w:marLeft w:val="0"/>
      <w:marRight w:val="0"/>
      <w:marTop w:val="0"/>
      <w:marBottom w:val="0"/>
      <w:divBdr>
        <w:top w:val="none" w:sz="0" w:space="0" w:color="auto"/>
        <w:left w:val="none" w:sz="0" w:space="0" w:color="auto"/>
        <w:bottom w:val="none" w:sz="0" w:space="0" w:color="auto"/>
        <w:right w:val="none" w:sz="0" w:space="0" w:color="auto"/>
      </w:divBdr>
    </w:div>
    <w:div w:id="841697754">
      <w:bodyDiv w:val="1"/>
      <w:marLeft w:val="0"/>
      <w:marRight w:val="0"/>
      <w:marTop w:val="0"/>
      <w:marBottom w:val="0"/>
      <w:divBdr>
        <w:top w:val="none" w:sz="0" w:space="0" w:color="auto"/>
        <w:left w:val="none" w:sz="0" w:space="0" w:color="auto"/>
        <w:bottom w:val="none" w:sz="0" w:space="0" w:color="auto"/>
        <w:right w:val="none" w:sz="0" w:space="0" w:color="auto"/>
      </w:divBdr>
    </w:div>
    <w:div w:id="841775698">
      <w:bodyDiv w:val="1"/>
      <w:marLeft w:val="0"/>
      <w:marRight w:val="0"/>
      <w:marTop w:val="0"/>
      <w:marBottom w:val="0"/>
      <w:divBdr>
        <w:top w:val="none" w:sz="0" w:space="0" w:color="auto"/>
        <w:left w:val="none" w:sz="0" w:space="0" w:color="auto"/>
        <w:bottom w:val="none" w:sz="0" w:space="0" w:color="auto"/>
        <w:right w:val="none" w:sz="0" w:space="0" w:color="auto"/>
      </w:divBdr>
    </w:div>
    <w:div w:id="841941772">
      <w:bodyDiv w:val="1"/>
      <w:marLeft w:val="0"/>
      <w:marRight w:val="0"/>
      <w:marTop w:val="0"/>
      <w:marBottom w:val="0"/>
      <w:divBdr>
        <w:top w:val="none" w:sz="0" w:space="0" w:color="auto"/>
        <w:left w:val="none" w:sz="0" w:space="0" w:color="auto"/>
        <w:bottom w:val="none" w:sz="0" w:space="0" w:color="auto"/>
        <w:right w:val="none" w:sz="0" w:space="0" w:color="auto"/>
      </w:divBdr>
    </w:div>
    <w:div w:id="841968057">
      <w:bodyDiv w:val="1"/>
      <w:marLeft w:val="0"/>
      <w:marRight w:val="0"/>
      <w:marTop w:val="0"/>
      <w:marBottom w:val="0"/>
      <w:divBdr>
        <w:top w:val="none" w:sz="0" w:space="0" w:color="auto"/>
        <w:left w:val="none" w:sz="0" w:space="0" w:color="auto"/>
        <w:bottom w:val="none" w:sz="0" w:space="0" w:color="auto"/>
        <w:right w:val="none" w:sz="0" w:space="0" w:color="auto"/>
      </w:divBdr>
    </w:div>
    <w:div w:id="842432438">
      <w:bodyDiv w:val="1"/>
      <w:marLeft w:val="0"/>
      <w:marRight w:val="0"/>
      <w:marTop w:val="0"/>
      <w:marBottom w:val="0"/>
      <w:divBdr>
        <w:top w:val="none" w:sz="0" w:space="0" w:color="auto"/>
        <w:left w:val="none" w:sz="0" w:space="0" w:color="auto"/>
        <w:bottom w:val="none" w:sz="0" w:space="0" w:color="auto"/>
        <w:right w:val="none" w:sz="0" w:space="0" w:color="auto"/>
      </w:divBdr>
    </w:div>
    <w:div w:id="842816246">
      <w:bodyDiv w:val="1"/>
      <w:marLeft w:val="0"/>
      <w:marRight w:val="0"/>
      <w:marTop w:val="0"/>
      <w:marBottom w:val="0"/>
      <w:divBdr>
        <w:top w:val="none" w:sz="0" w:space="0" w:color="auto"/>
        <w:left w:val="none" w:sz="0" w:space="0" w:color="auto"/>
        <w:bottom w:val="none" w:sz="0" w:space="0" w:color="auto"/>
        <w:right w:val="none" w:sz="0" w:space="0" w:color="auto"/>
      </w:divBdr>
    </w:div>
    <w:div w:id="842858933">
      <w:bodyDiv w:val="1"/>
      <w:marLeft w:val="0"/>
      <w:marRight w:val="0"/>
      <w:marTop w:val="0"/>
      <w:marBottom w:val="0"/>
      <w:divBdr>
        <w:top w:val="none" w:sz="0" w:space="0" w:color="auto"/>
        <w:left w:val="none" w:sz="0" w:space="0" w:color="auto"/>
        <w:bottom w:val="none" w:sz="0" w:space="0" w:color="auto"/>
        <w:right w:val="none" w:sz="0" w:space="0" w:color="auto"/>
      </w:divBdr>
    </w:div>
    <w:div w:id="842939242">
      <w:bodyDiv w:val="1"/>
      <w:marLeft w:val="0"/>
      <w:marRight w:val="0"/>
      <w:marTop w:val="0"/>
      <w:marBottom w:val="0"/>
      <w:divBdr>
        <w:top w:val="none" w:sz="0" w:space="0" w:color="auto"/>
        <w:left w:val="none" w:sz="0" w:space="0" w:color="auto"/>
        <w:bottom w:val="none" w:sz="0" w:space="0" w:color="auto"/>
        <w:right w:val="none" w:sz="0" w:space="0" w:color="auto"/>
      </w:divBdr>
    </w:div>
    <w:div w:id="843130948">
      <w:bodyDiv w:val="1"/>
      <w:marLeft w:val="0"/>
      <w:marRight w:val="0"/>
      <w:marTop w:val="0"/>
      <w:marBottom w:val="0"/>
      <w:divBdr>
        <w:top w:val="none" w:sz="0" w:space="0" w:color="auto"/>
        <w:left w:val="none" w:sz="0" w:space="0" w:color="auto"/>
        <w:bottom w:val="none" w:sz="0" w:space="0" w:color="auto"/>
        <w:right w:val="none" w:sz="0" w:space="0" w:color="auto"/>
      </w:divBdr>
    </w:div>
    <w:div w:id="843276924">
      <w:bodyDiv w:val="1"/>
      <w:marLeft w:val="0"/>
      <w:marRight w:val="0"/>
      <w:marTop w:val="0"/>
      <w:marBottom w:val="0"/>
      <w:divBdr>
        <w:top w:val="none" w:sz="0" w:space="0" w:color="auto"/>
        <w:left w:val="none" w:sz="0" w:space="0" w:color="auto"/>
        <w:bottom w:val="none" w:sz="0" w:space="0" w:color="auto"/>
        <w:right w:val="none" w:sz="0" w:space="0" w:color="auto"/>
      </w:divBdr>
    </w:div>
    <w:div w:id="843857969">
      <w:bodyDiv w:val="1"/>
      <w:marLeft w:val="0"/>
      <w:marRight w:val="0"/>
      <w:marTop w:val="0"/>
      <w:marBottom w:val="0"/>
      <w:divBdr>
        <w:top w:val="none" w:sz="0" w:space="0" w:color="auto"/>
        <w:left w:val="none" w:sz="0" w:space="0" w:color="auto"/>
        <w:bottom w:val="none" w:sz="0" w:space="0" w:color="auto"/>
        <w:right w:val="none" w:sz="0" w:space="0" w:color="auto"/>
      </w:divBdr>
    </w:div>
    <w:div w:id="843861731">
      <w:bodyDiv w:val="1"/>
      <w:marLeft w:val="0"/>
      <w:marRight w:val="0"/>
      <w:marTop w:val="0"/>
      <w:marBottom w:val="0"/>
      <w:divBdr>
        <w:top w:val="none" w:sz="0" w:space="0" w:color="auto"/>
        <w:left w:val="none" w:sz="0" w:space="0" w:color="auto"/>
        <w:bottom w:val="none" w:sz="0" w:space="0" w:color="auto"/>
        <w:right w:val="none" w:sz="0" w:space="0" w:color="auto"/>
      </w:divBdr>
    </w:div>
    <w:div w:id="844250734">
      <w:bodyDiv w:val="1"/>
      <w:marLeft w:val="0"/>
      <w:marRight w:val="0"/>
      <w:marTop w:val="0"/>
      <w:marBottom w:val="0"/>
      <w:divBdr>
        <w:top w:val="none" w:sz="0" w:space="0" w:color="auto"/>
        <w:left w:val="none" w:sz="0" w:space="0" w:color="auto"/>
        <w:bottom w:val="none" w:sz="0" w:space="0" w:color="auto"/>
        <w:right w:val="none" w:sz="0" w:space="0" w:color="auto"/>
      </w:divBdr>
    </w:div>
    <w:div w:id="844899868">
      <w:bodyDiv w:val="1"/>
      <w:marLeft w:val="0"/>
      <w:marRight w:val="0"/>
      <w:marTop w:val="0"/>
      <w:marBottom w:val="0"/>
      <w:divBdr>
        <w:top w:val="none" w:sz="0" w:space="0" w:color="auto"/>
        <w:left w:val="none" w:sz="0" w:space="0" w:color="auto"/>
        <w:bottom w:val="none" w:sz="0" w:space="0" w:color="auto"/>
        <w:right w:val="none" w:sz="0" w:space="0" w:color="auto"/>
      </w:divBdr>
    </w:div>
    <w:div w:id="845287099">
      <w:bodyDiv w:val="1"/>
      <w:marLeft w:val="0"/>
      <w:marRight w:val="0"/>
      <w:marTop w:val="0"/>
      <w:marBottom w:val="0"/>
      <w:divBdr>
        <w:top w:val="none" w:sz="0" w:space="0" w:color="auto"/>
        <w:left w:val="none" w:sz="0" w:space="0" w:color="auto"/>
        <w:bottom w:val="none" w:sz="0" w:space="0" w:color="auto"/>
        <w:right w:val="none" w:sz="0" w:space="0" w:color="auto"/>
      </w:divBdr>
    </w:div>
    <w:div w:id="846555441">
      <w:bodyDiv w:val="1"/>
      <w:marLeft w:val="0"/>
      <w:marRight w:val="0"/>
      <w:marTop w:val="0"/>
      <w:marBottom w:val="0"/>
      <w:divBdr>
        <w:top w:val="none" w:sz="0" w:space="0" w:color="auto"/>
        <w:left w:val="none" w:sz="0" w:space="0" w:color="auto"/>
        <w:bottom w:val="none" w:sz="0" w:space="0" w:color="auto"/>
        <w:right w:val="none" w:sz="0" w:space="0" w:color="auto"/>
      </w:divBdr>
    </w:div>
    <w:div w:id="846604260">
      <w:bodyDiv w:val="1"/>
      <w:marLeft w:val="0"/>
      <w:marRight w:val="0"/>
      <w:marTop w:val="0"/>
      <w:marBottom w:val="0"/>
      <w:divBdr>
        <w:top w:val="none" w:sz="0" w:space="0" w:color="auto"/>
        <w:left w:val="none" w:sz="0" w:space="0" w:color="auto"/>
        <w:bottom w:val="none" w:sz="0" w:space="0" w:color="auto"/>
        <w:right w:val="none" w:sz="0" w:space="0" w:color="auto"/>
      </w:divBdr>
    </w:div>
    <w:div w:id="846988196">
      <w:bodyDiv w:val="1"/>
      <w:marLeft w:val="0"/>
      <w:marRight w:val="0"/>
      <w:marTop w:val="0"/>
      <w:marBottom w:val="0"/>
      <w:divBdr>
        <w:top w:val="none" w:sz="0" w:space="0" w:color="auto"/>
        <w:left w:val="none" w:sz="0" w:space="0" w:color="auto"/>
        <w:bottom w:val="none" w:sz="0" w:space="0" w:color="auto"/>
        <w:right w:val="none" w:sz="0" w:space="0" w:color="auto"/>
      </w:divBdr>
    </w:div>
    <w:div w:id="847256896">
      <w:bodyDiv w:val="1"/>
      <w:marLeft w:val="0"/>
      <w:marRight w:val="0"/>
      <w:marTop w:val="0"/>
      <w:marBottom w:val="0"/>
      <w:divBdr>
        <w:top w:val="none" w:sz="0" w:space="0" w:color="auto"/>
        <w:left w:val="none" w:sz="0" w:space="0" w:color="auto"/>
        <w:bottom w:val="none" w:sz="0" w:space="0" w:color="auto"/>
        <w:right w:val="none" w:sz="0" w:space="0" w:color="auto"/>
      </w:divBdr>
    </w:div>
    <w:div w:id="847601893">
      <w:bodyDiv w:val="1"/>
      <w:marLeft w:val="0"/>
      <w:marRight w:val="0"/>
      <w:marTop w:val="0"/>
      <w:marBottom w:val="0"/>
      <w:divBdr>
        <w:top w:val="none" w:sz="0" w:space="0" w:color="auto"/>
        <w:left w:val="none" w:sz="0" w:space="0" w:color="auto"/>
        <w:bottom w:val="none" w:sz="0" w:space="0" w:color="auto"/>
        <w:right w:val="none" w:sz="0" w:space="0" w:color="auto"/>
      </w:divBdr>
    </w:div>
    <w:div w:id="848251862">
      <w:bodyDiv w:val="1"/>
      <w:marLeft w:val="0"/>
      <w:marRight w:val="0"/>
      <w:marTop w:val="0"/>
      <w:marBottom w:val="0"/>
      <w:divBdr>
        <w:top w:val="none" w:sz="0" w:space="0" w:color="auto"/>
        <w:left w:val="none" w:sz="0" w:space="0" w:color="auto"/>
        <w:bottom w:val="none" w:sz="0" w:space="0" w:color="auto"/>
        <w:right w:val="none" w:sz="0" w:space="0" w:color="auto"/>
      </w:divBdr>
    </w:div>
    <w:div w:id="848712547">
      <w:bodyDiv w:val="1"/>
      <w:marLeft w:val="0"/>
      <w:marRight w:val="0"/>
      <w:marTop w:val="0"/>
      <w:marBottom w:val="0"/>
      <w:divBdr>
        <w:top w:val="none" w:sz="0" w:space="0" w:color="auto"/>
        <w:left w:val="none" w:sz="0" w:space="0" w:color="auto"/>
        <w:bottom w:val="none" w:sz="0" w:space="0" w:color="auto"/>
        <w:right w:val="none" w:sz="0" w:space="0" w:color="auto"/>
      </w:divBdr>
    </w:div>
    <w:div w:id="849026553">
      <w:bodyDiv w:val="1"/>
      <w:marLeft w:val="0"/>
      <w:marRight w:val="0"/>
      <w:marTop w:val="0"/>
      <w:marBottom w:val="0"/>
      <w:divBdr>
        <w:top w:val="none" w:sz="0" w:space="0" w:color="auto"/>
        <w:left w:val="none" w:sz="0" w:space="0" w:color="auto"/>
        <w:bottom w:val="none" w:sz="0" w:space="0" w:color="auto"/>
        <w:right w:val="none" w:sz="0" w:space="0" w:color="auto"/>
      </w:divBdr>
    </w:div>
    <w:div w:id="849028267">
      <w:bodyDiv w:val="1"/>
      <w:marLeft w:val="0"/>
      <w:marRight w:val="0"/>
      <w:marTop w:val="0"/>
      <w:marBottom w:val="0"/>
      <w:divBdr>
        <w:top w:val="none" w:sz="0" w:space="0" w:color="auto"/>
        <w:left w:val="none" w:sz="0" w:space="0" w:color="auto"/>
        <w:bottom w:val="none" w:sz="0" w:space="0" w:color="auto"/>
        <w:right w:val="none" w:sz="0" w:space="0" w:color="auto"/>
      </w:divBdr>
    </w:div>
    <w:div w:id="849103631">
      <w:bodyDiv w:val="1"/>
      <w:marLeft w:val="0"/>
      <w:marRight w:val="0"/>
      <w:marTop w:val="0"/>
      <w:marBottom w:val="0"/>
      <w:divBdr>
        <w:top w:val="none" w:sz="0" w:space="0" w:color="auto"/>
        <w:left w:val="none" w:sz="0" w:space="0" w:color="auto"/>
        <w:bottom w:val="none" w:sz="0" w:space="0" w:color="auto"/>
        <w:right w:val="none" w:sz="0" w:space="0" w:color="auto"/>
      </w:divBdr>
    </w:div>
    <w:div w:id="849298538">
      <w:bodyDiv w:val="1"/>
      <w:marLeft w:val="0"/>
      <w:marRight w:val="0"/>
      <w:marTop w:val="0"/>
      <w:marBottom w:val="0"/>
      <w:divBdr>
        <w:top w:val="none" w:sz="0" w:space="0" w:color="auto"/>
        <w:left w:val="none" w:sz="0" w:space="0" w:color="auto"/>
        <w:bottom w:val="none" w:sz="0" w:space="0" w:color="auto"/>
        <w:right w:val="none" w:sz="0" w:space="0" w:color="auto"/>
      </w:divBdr>
    </w:div>
    <w:div w:id="849834583">
      <w:bodyDiv w:val="1"/>
      <w:marLeft w:val="0"/>
      <w:marRight w:val="0"/>
      <w:marTop w:val="0"/>
      <w:marBottom w:val="0"/>
      <w:divBdr>
        <w:top w:val="none" w:sz="0" w:space="0" w:color="auto"/>
        <w:left w:val="none" w:sz="0" w:space="0" w:color="auto"/>
        <w:bottom w:val="none" w:sz="0" w:space="0" w:color="auto"/>
        <w:right w:val="none" w:sz="0" w:space="0" w:color="auto"/>
      </w:divBdr>
    </w:div>
    <w:div w:id="850098114">
      <w:bodyDiv w:val="1"/>
      <w:marLeft w:val="0"/>
      <w:marRight w:val="0"/>
      <w:marTop w:val="0"/>
      <w:marBottom w:val="0"/>
      <w:divBdr>
        <w:top w:val="none" w:sz="0" w:space="0" w:color="auto"/>
        <w:left w:val="none" w:sz="0" w:space="0" w:color="auto"/>
        <w:bottom w:val="none" w:sz="0" w:space="0" w:color="auto"/>
        <w:right w:val="none" w:sz="0" w:space="0" w:color="auto"/>
      </w:divBdr>
    </w:div>
    <w:div w:id="851073387">
      <w:bodyDiv w:val="1"/>
      <w:marLeft w:val="0"/>
      <w:marRight w:val="0"/>
      <w:marTop w:val="0"/>
      <w:marBottom w:val="0"/>
      <w:divBdr>
        <w:top w:val="none" w:sz="0" w:space="0" w:color="auto"/>
        <w:left w:val="none" w:sz="0" w:space="0" w:color="auto"/>
        <w:bottom w:val="none" w:sz="0" w:space="0" w:color="auto"/>
        <w:right w:val="none" w:sz="0" w:space="0" w:color="auto"/>
      </w:divBdr>
    </w:div>
    <w:div w:id="851456343">
      <w:bodyDiv w:val="1"/>
      <w:marLeft w:val="0"/>
      <w:marRight w:val="0"/>
      <w:marTop w:val="0"/>
      <w:marBottom w:val="0"/>
      <w:divBdr>
        <w:top w:val="none" w:sz="0" w:space="0" w:color="auto"/>
        <w:left w:val="none" w:sz="0" w:space="0" w:color="auto"/>
        <w:bottom w:val="none" w:sz="0" w:space="0" w:color="auto"/>
        <w:right w:val="none" w:sz="0" w:space="0" w:color="auto"/>
      </w:divBdr>
    </w:div>
    <w:div w:id="852501955">
      <w:bodyDiv w:val="1"/>
      <w:marLeft w:val="0"/>
      <w:marRight w:val="0"/>
      <w:marTop w:val="0"/>
      <w:marBottom w:val="0"/>
      <w:divBdr>
        <w:top w:val="none" w:sz="0" w:space="0" w:color="auto"/>
        <w:left w:val="none" w:sz="0" w:space="0" w:color="auto"/>
        <w:bottom w:val="none" w:sz="0" w:space="0" w:color="auto"/>
        <w:right w:val="none" w:sz="0" w:space="0" w:color="auto"/>
      </w:divBdr>
    </w:div>
    <w:div w:id="852645363">
      <w:bodyDiv w:val="1"/>
      <w:marLeft w:val="0"/>
      <w:marRight w:val="0"/>
      <w:marTop w:val="0"/>
      <w:marBottom w:val="0"/>
      <w:divBdr>
        <w:top w:val="none" w:sz="0" w:space="0" w:color="auto"/>
        <w:left w:val="none" w:sz="0" w:space="0" w:color="auto"/>
        <w:bottom w:val="none" w:sz="0" w:space="0" w:color="auto"/>
        <w:right w:val="none" w:sz="0" w:space="0" w:color="auto"/>
      </w:divBdr>
    </w:div>
    <w:div w:id="853225207">
      <w:bodyDiv w:val="1"/>
      <w:marLeft w:val="0"/>
      <w:marRight w:val="0"/>
      <w:marTop w:val="0"/>
      <w:marBottom w:val="0"/>
      <w:divBdr>
        <w:top w:val="none" w:sz="0" w:space="0" w:color="auto"/>
        <w:left w:val="none" w:sz="0" w:space="0" w:color="auto"/>
        <w:bottom w:val="none" w:sz="0" w:space="0" w:color="auto"/>
        <w:right w:val="none" w:sz="0" w:space="0" w:color="auto"/>
      </w:divBdr>
    </w:div>
    <w:div w:id="853571873">
      <w:bodyDiv w:val="1"/>
      <w:marLeft w:val="0"/>
      <w:marRight w:val="0"/>
      <w:marTop w:val="0"/>
      <w:marBottom w:val="0"/>
      <w:divBdr>
        <w:top w:val="none" w:sz="0" w:space="0" w:color="auto"/>
        <w:left w:val="none" w:sz="0" w:space="0" w:color="auto"/>
        <w:bottom w:val="none" w:sz="0" w:space="0" w:color="auto"/>
        <w:right w:val="none" w:sz="0" w:space="0" w:color="auto"/>
      </w:divBdr>
    </w:div>
    <w:div w:id="853619085">
      <w:bodyDiv w:val="1"/>
      <w:marLeft w:val="0"/>
      <w:marRight w:val="0"/>
      <w:marTop w:val="0"/>
      <w:marBottom w:val="0"/>
      <w:divBdr>
        <w:top w:val="none" w:sz="0" w:space="0" w:color="auto"/>
        <w:left w:val="none" w:sz="0" w:space="0" w:color="auto"/>
        <w:bottom w:val="none" w:sz="0" w:space="0" w:color="auto"/>
        <w:right w:val="none" w:sz="0" w:space="0" w:color="auto"/>
      </w:divBdr>
    </w:div>
    <w:div w:id="853879580">
      <w:bodyDiv w:val="1"/>
      <w:marLeft w:val="0"/>
      <w:marRight w:val="0"/>
      <w:marTop w:val="0"/>
      <w:marBottom w:val="0"/>
      <w:divBdr>
        <w:top w:val="none" w:sz="0" w:space="0" w:color="auto"/>
        <w:left w:val="none" w:sz="0" w:space="0" w:color="auto"/>
        <w:bottom w:val="none" w:sz="0" w:space="0" w:color="auto"/>
        <w:right w:val="none" w:sz="0" w:space="0" w:color="auto"/>
      </w:divBdr>
    </w:div>
    <w:div w:id="854810963">
      <w:bodyDiv w:val="1"/>
      <w:marLeft w:val="0"/>
      <w:marRight w:val="0"/>
      <w:marTop w:val="0"/>
      <w:marBottom w:val="0"/>
      <w:divBdr>
        <w:top w:val="none" w:sz="0" w:space="0" w:color="auto"/>
        <w:left w:val="none" w:sz="0" w:space="0" w:color="auto"/>
        <w:bottom w:val="none" w:sz="0" w:space="0" w:color="auto"/>
        <w:right w:val="none" w:sz="0" w:space="0" w:color="auto"/>
      </w:divBdr>
    </w:div>
    <w:div w:id="855384576">
      <w:bodyDiv w:val="1"/>
      <w:marLeft w:val="0"/>
      <w:marRight w:val="0"/>
      <w:marTop w:val="0"/>
      <w:marBottom w:val="0"/>
      <w:divBdr>
        <w:top w:val="none" w:sz="0" w:space="0" w:color="auto"/>
        <w:left w:val="none" w:sz="0" w:space="0" w:color="auto"/>
        <w:bottom w:val="none" w:sz="0" w:space="0" w:color="auto"/>
        <w:right w:val="none" w:sz="0" w:space="0" w:color="auto"/>
      </w:divBdr>
    </w:div>
    <w:div w:id="855928142">
      <w:bodyDiv w:val="1"/>
      <w:marLeft w:val="0"/>
      <w:marRight w:val="0"/>
      <w:marTop w:val="0"/>
      <w:marBottom w:val="0"/>
      <w:divBdr>
        <w:top w:val="none" w:sz="0" w:space="0" w:color="auto"/>
        <w:left w:val="none" w:sz="0" w:space="0" w:color="auto"/>
        <w:bottom w:val="none" w:sz="0" w:space="0" w:color="auto"/>
        <w:right w:val="none" w:sz="0" w:space="0" w:color="auto"/>
      </w:divBdr>
    </w:div>
    <w:div w:id="856625734">
      <w:bodyDiv w:val="1"/>
      <w:marLeft w:val="0"/>
      <w:marRight w:val="0"/>
      <w:marTop w:val="0"/>
      <w:marBottom w:val="0"/>
      <w:divBdr>
        <w:top w:val="none" w:sz="0" w:space="0" w:color="auto"/>
        <w:left w:val="none" w:sz="0" w:space="0" w:color="auto"/>
        <w:bottom w:val="none" w:sz="0" w:space="0" w:color="auto"/>
        <w:right w:val="none" w:sz="0" w:space="0" w:color="auto"/>
      </w:divBdr>
    </w:div>
    <w:div w:id="857041567">
      <w:bodyDiv w:val="1"/>
      <w:marLeft w:val="0"/>
      <w:marRight w:val="0"/>
      <w:marTop w:val="0"/>
      <w:marBottom w:val="0"/>
      <w:divBdr>
        <w:top w:val="none" w:sz="0" w:space="0" w:color="auto"/>
        <w:left w:val="none" w:sz="0" w:space="0" w:color="auto"/>
        <w:bottom w:val="none" w:sz="0" w:space="0" w:color="auto"/>
        <w:right w:val="none" w:sz="0" w:space="0" w:color="auto"/>
      </w:divBdr>
    </w:div>
    <w:div w:id="857232636">
      <w:bodyDiv w:val="1"/>
      <w:marLeft w:val="0"/>
      <w:marRight w:val="0"/>
      <w:marTop w:val="0"/>
      <w:marBottom w:val="0"/>
      <w:divBdr>
        <w:top w:val="none" w:sz="0" w:space="0" w:color="auto"/>
        <w:left w:val="none" w:sz="0" w:space="0" w:color="auto"/>
        <w:bottom w:val="none" w:sz="0" w:space="0" w:color="auto"/>
        <w:right w:val="none" w:sz="0" w:space="0" w:color="auto"/>
      </w:divBdr>
    </w:div>
    <w:div w:id="857888729">
      <w:bodyDiv w:val="1"/>
      <w:marLeft w:val="0"/>
      <w:marRight w:val="0"/>
      <w:marTop w:val="0"/>
      <w:marBottom w:val="0"/>
      <w:divBdr>
        <w:top w:val="none" w:sz="0" w:space="0" w:color="auto"/>
        <w:left w:val="none" w:sz="0" w:space="0" w:color="auto"/>
        <w:bottom w:val="none" w:sz="0" w:space="0" w:color="auto"/>
        <w:right w:val="none" w:sz="0" w:space="0" w:color="auto"/>
      </w:divBdr>
    </w:div>
    <w:div w:id="858003149">
      <w:bodyDiv w:val="1"/>
      <w:marLeft w:val="0"/>
      <w:marRight w:val="0"/>
      <w:marTop w:val="0"/>
      <w:marBottom w:val="0"/>
      <w:divBdr>
        <w:top w:val="none" w:sz="0" w:space="0" w:color="auto"/>
        <w:left w:val="none" w:sz="0" w:space="0" w:color="auto"/>
        <w:bottom w:val="none" w:sz="0" w:space="0" w:color="auto"/>
        <w:right w:val="none" w:sz="0" w:space="0" w:color="auto"/>
      </w:divBdr>
    </w:div>
    <w:div w:id="859439464">
      <w:bodyDiv w:val="1"/>
      <w:marLeft w:val="0"/>
      <w:marRight w:val="0"/>
      <w:marTop w:val="0"/>
      <w:marBottom w:val="0"/>
      <w:divBdr>
        <w:top w:val="none" w:sz="0" w:space="0" w:color="auto"/>
        <w:left w:val="none" w:sz="0" w:space="0" w:color="auto"/>
        <w:bottom w:val="none" w:sz="0" w:space="0" w:color="auto"/>
        <w:right w:val="none" w:sz="0" w:space="0" w:color="auto"/>
      </w:divBdr>
    </w:div>
    <w:div w:id="861671366">
      <w:bodyDiv w:val="1"/>
      <w:marLeft w:val="0"/>
      <w:marRight w:val="0"/>
      <w:marTop w:val="0"/>
      <w:marBottom w:val="0"/>
      <w:divBdr>
        <w:top w:val="none" w:sz="0" w:space="0" w:color="auto"/>
        <w:left w:val="none" w:sz="0" w:space="0" w:color="auto"/>
        <w:bottom w:val="none" w:sz="0" w:space="0" w:color="auto"/>
        <w:right w:val="none" w:sz="0" w:space="0" w:color="auto"/>
      </w:divBdr>
    </w:div>
    <w:div w:id="862131785">
      <w:bodyDiv w:val="1"/>
      <w:marLeft w:val="0"/>
      <w:marRight w:val="0"/>
      <w:marTop w:val="0"/>
      <w:marBottom w:val="0"/>
      <w:divBdr>
        <w:top w:val="none" w:sz="0" w:space="0" w:color="auto"/>
        <w:left w:val="none" w:sz="0" w:space="0" w:color="auto"/>
        <w:bottom w:val="none" w:sz="0" w:space="0" w:color="auto"/>
        <w:right w:val="none" w:sz="0" w:space="0" w:color="auto"/>
      </w:divBdr>
    </w:div>
    <w:div w:id="862475316">
      <w:bodyDiv w:val="1"/>
      <w:marLeft w:val="0"/>
      <w:marRight w:val="0"/>
      <w:marTop w:val="0"/>
      <w:marBottom w:val="0"/>
      <w:divBdr>
        <w:top w:val="none" w:sz="0" w:space="0" w:color="auto"/>
        <w:left w:val="none" w:sz="0" w:space="0" w:color="auto"/>
        <w:bottom w:val="none" w:sz="0" w:space="0" w:color="auto"/>
        <w:right w:val="none" w:sz="0" w:space="0" w:color="auto"/>
      </w:divBdr>
    </w:div>
    <w:div w:id="862591710">
      <w:bodyDiv w:val="1"/>
      <w:marLeft w:val="0"/>
      <w:marRight w:val="0"/>
      <w:marTop w:val="0"/>
      <w:marBottom w:val="0"/>
      <w:divBdr>
        <w:top w:val="none" w:sz="0" w:space="0" w:color="auto"/>
        <w:left w:val="none" w:sz="0" w:space="0" w:color="auto"/>
        <w:bottom w:val="none" w:sz="0" w:space="0" w:color="auto"/>
        <w:right w:val="none" w:sz="0" w:space="0" w:color="auto"/>
      </w:divBdr>
    </w:div>
    <w:div w:id="863783499">
      <w:bodyDiv w:val="1"/>
      <w:marLeft w:val="0"/>
      <w:marRight w:val="0"/>
      <w:marTop w:val="0"/>
      <w:marBottom w:val="0"/>
      <w:divBdr>
        <w:top w:val="none" w:sz="0" w:space="0" w:color="auto"/>
        <w:left w:val="none" w:sz="0" w:space="0" w:color="auto"/>
        <w:bottom w:val="none" w:sz="0" w:space="0" w:color="auto"/>
        <w:right w:val="none" w:sz="0" w:space="0" w:color="auto"/>
      </w:divBdr>
    </w:div>
    <w:div w:id="863859085">
      <w:bodyDiv w:val="1"/>
      <w:marLeft w:val="0"/>
      <w:marRight w:val="0"/>
      <w:marTop w:val="0"/>
      <w:marBottom w:val="0"/>
      <w:divBdr>
        <w:top w:val="none" w:sz="0" w:space="0" w:color="auto"/>
        <w:left w:val="none" w:sz="0" w:space="0" w:color="auto"/>
        <w:bottom w:val="none" w:sz="0" w:space="0" w:color="auto"/>
        <w:right w:val="none" w:sz="0" w:space="0" w:color="auto"/>
      </w:divBdr>
    </w:div>
    <w:div w:id="864253356">
      <w:bodyDiv w:val="1"/>
      <w:marLeft w:val="0"/>
      <w:marRight w:val="0"/>
      <w:marTop w:val="0"/>
      <w:marBottom w:val="0"/>
      <w:divBdr>
        <w:top w:val="none" w:sz="0" w:space="0" w:color="auto"/>
        <w:left w:val="none" w:sz="0" w:space="0" w:color="auto"/>
        <w:bottom w:val="none" w:sz="0" w:space="0" w:color="auto"/>
        <w:right w:val="none" w:sz="0" w:space="0" w:color="auto"/>
      </w:divBdr>
    </w:div>
    <w:div w:id="864514578">
      <w:bodyDiv w:val="1"/>
      <w:marLeft w:val="0"/>
      <w:marRight w:val="0"/>
      <w:marTop w:val="0"/>
      <w:marBottom w:val="0"/>
      <w:divBdr>
        <w:top w:val="none" w:sz="0" w:space="0" w:color="auto"/>
        <w:left w:val="none" w:sz="0" w:space="0" w:color="auto"/>
        <w:bottom w:val="none" w:sz="0" w:space="0" w:color="auto"/>
        <w:right w:val="none" w:sz="0" w:space="0" w:color="auto"/>
      </w:divBdr>
    </w:div>
    <w:div w:id="865480105">
      <w:bodyDiv w:val="1"/>
      <w:marLeft w:val="0"/>
      <w:marRight w:val="0"/>
      <w:marTop w:val="0"/>
      <w:marBottom w:val="0"/>
      <w:divBdr>
        <w:top w:val="none" w:sz="0" w:space="0" w:color="auto"/>
        <w:left w:val="none" w:sz="0" w:space="0" w:color="auto"/>
        <w:bottom w:val="none" w:sz="0" w:space="0" w:color="auto"/>
        <w:right w:val="none" w:sz="0" w:space="0" w:color="auto"/>
      </w:divBdr>
    </w:div>
    <w:div w:id="865676402">
      <w:bodyDiv w:val="1"/>
      <w:marLeft w:val="0"/>
      <w:marRight w:val="0"/>
      <w:marTop w:val="0"/>
      <w:marBottom w:val="0"/>
      <w:divBdr>
        <w:top w:val="none" w:sz="0" w:space="0" w:color="auto"/>
        <w:left w:val="none" w:sz="0" w:space="0" w:color="auto"/>
        <w:bottom w:val="none" w:sz="0" w:space="0" w:color="auto"/>
        <w:right w:val="none" w:sz="0" w:space="0" w:color="auto"/>
      </w:divBdr>
    </w:div>
    <w:div w:id="865827949">
      <w:bodyDiv w:val="1"/>
      <w:marLeft w:val="0"/>
      <w:marRight w:val="0"/>
      <w:marTop w:val="0"/>
      <w:marBottom w:val="0"/>
      <w:divBdr>
        <w:top w:val="none" w:sz="0" w:space="0" w:color="auto"/>
        <w:left w:val="none" w:sz="0" w:space="0" w:color="auto"/>
        <w:bottom w:val="none" w:sz="0" w:space="0" w:color="auto"/>
        <w:right w:val="none" w:sz="0" w:space="0" w:color="auto"/>
      </w:divBdr>
    </w:div>
    <w:div w:id="865875143">
      <w:bodyDiv w:val="1"/>
      <w:marLeft w:val="0"/>
      <w:marRight w:val="0"/>
      <w:marTop w:val="0"/>
      <w:marBottom w:val="0"/>
      <w:divBdr>
        <w:top w:val="none" w:sz="0" w:space="0" w:color="auto"/>
        <w:left w:val="none" w:sz="0" w:space="0" w:color="auto"/>
        <w:bottom w:val="none" w:sz="0" w:space="0" w:color="auto"/>
        <w:right w:val="none" w:sz="0" w:space="0" w:color="auto"/>
      </w:divBdr>
    </w:div>
    <w:div w:id="866333673">
      <w:bodyDiv w:val="1"/>
      <w:marLeft w:val="0"/>
      <w:marRight w:val="0"/>
      <w:marTop w:val="0"/>
      <w:marBottom w:val="0"/>
      <w:divBdr>
        <w:top w:val="none" w:sz="0" w:space="0" w:color="auto"/>
        <w:left w:val="none" w:sz="0" w:space="0" w:color="auto"/>
        <w:bottom w:val="none" w:sz="0" w:space="0" w:color="auto"/>
        <w:right w:val="none" w:sz="0" w:space="0" w:color="auto"/>
      </w:divBdr>
    </w:div>
    <w:div w:id="866524920">
      <w:bodyDiv w:val="1"/>
      <w:marLeft w:val="0"/>
      <w:marRight w:val="0"/>
      <w:marTop w:val="0"/>
      <w:marBottom w:val="0"/>
      <w:divBdr>
        <w:top w:val="none" w:sz="0" w:space="0" w:color="auto"/>
        <w:left w:val="none" w:sz="0" w:space="0" w:color="auto"/>
        <w:bottom w:val="none" w:sz="0" w:space="0" w:color="auto"/>
        <w:right w:val="none" w:sz="0" w:space="0" w:color="auto"/>
      </w:divBdr>
    </w:div>
    <w:div w:id="866715548">
      <w:bodyDiv w:val="1"/>
      <w:marLeft w:val="0"/>
      <w:marRight w:val="0"/>
      <w:marTop w:val="0"/>
      <w:marBottom w:val="0"/>
      <w:divBdr>
        <w:top w:val="none" w:sz="0" w:space="0" w:color="auto"/>
        <w:left w:val="none" w:sz="0" w:space="0" w:color="auto"/>
        <w:bottom w:val="none" w:sz="0" w:space="0" w:color="auto"/>
        <w:right w:val="none" w:sz="0" w:space="0" w:color="auto"/>
      </w:divBdr>
    </w:div>
    <w:div w:id="866721651">
      <w:bodyDiv w:val="1"/>
      <w:marLeft w:val="0"/>
      <w:marRight w:val="0"/>
      <w:marTop w:val="0"/>
      <w:marBottom w:val="0"/>
      <w:divBdr>
        <w:top w:val="none" w:sz="0" w:space="0" w:color="auto"/>
        <w:left w:val="none" w:sz="0" w:space="0" w:color="auto"/>
        <w:bottom w:val="none" w:sz="0" w:space="0" w:color="auto"/>
        <w:right w:val="none" w:sz="0" w:space="0" w:color="auto"/>
      </w:divBdr>
    </w:div>
    <w:div w:id="868176474">
      <w:bodyDiv w:val="1"/>
      <w:marLeft w:val="0"/>
      <w:marRight w:val="0"/>
      <w:marTop w:val="0"/>
      <w:marBottom w:val="0"/>
      <w:divBdr>
        <w:top w:val="none" w:sz="0" w:space="0" w:color="auto"/>
        <w:left w:val="none" w:sz="0" w:space="0" w:color="auto"/>
        <w:bottom w:val="none" w:sz="0" w:space="0" w:color="auto"/>
        <w:right w:val="none" w:sz="0" w:space="0" w:color="auto"/>
      </w:divBdr>
    </w:div>
    <w:div w:id="868447374">
      <w:bodyDiv w:val="1"/>
      <w:marLeft w:val="0"/>
      <w:marRight w:val="0"/>
      <w:marTop w:val="0"/>
      <w:marBottom w:val="0"/>
      <w:divBdr>
        <w:top w:val="none" w:sz="0" w:space="0" w:color="auto"/>
        <w:left w:val="none" w:sz="0" w:space="0" w:color="auto"/>
        <w:bottom w:val="none" w:sz="0" w:space="0" w:color="auto"/>
        <w:right w:val="none" w:sz="0" w:space="0" w:color="auto"/>
      </w:divBdr>
    </w:div>
    <w:div w:id="868566428">
      <w:bodyDiv w:val="1"/>
      <w:marLeft w:val="0"/>
      <w:marRight w:val="0"/>
      <w:marTop w:val="0"/>
      <w:marBottom w:val="0"/>
      <w:divBdr>
        <w:top w:val="none" w:sz="0" w:space="0" w:color="auto"/>
        <w:left w:val="none" w:sz="0" w:space="0" w:color="auto"/>
        <w:bottom w:val="none" w:sz="0" w:space="0" w:color="auto"/>
        <w:right w:val="none" w:sz="0" w:space="0" w:color="auto"/>
      </w:divBdr>
    </w:div>
    <w:div w:id="869612263">
      <w:bodyDiv w:val="1"/>
      <w:marLeft w:val="0"/>
      <w:marRight w:val="0"/>
      <w:marTop w:val="0"/>
      <w:marBottom w:val="0"/>
      <w:divBdr>
        <w:top w:val="none" w:sz="0" w:space="0" w:color="auto"/>
        <w:left w:val="none" w:sz="0" w:space="0" w:color="auto"/>
        <w:bottom w:val="none" w:sz="0" w:space="0" w:color="auto"/>
        <w:right w:val="none" w:sz="0" w:space="0" w:color="auto"/>
      </w:divBdr>
    </w:div>
    <w:div w:id="870268039">
      <w:bodyDiv w:val="1"/>
      <w:marLeft w:val="0"/>
      <w:marRight w:val="0"/>
      <w:marTop w:val="0"/>
      <w:marBottom w:val="0"/>
      <w:divBdr>
        <w:top w:val="none" w:sz="0" w:space="0" w:color="auto"/>
        <w:left w:val="none" w:sz="0" w:space="0" w:color="auto"/>
        <w:bottom w:val="none" w:sz="0" w:space="0" w:color="auto"/>
        <w:right w:val="none" w:sz="0" w:space="0" w:color="auto"/>
      </w:divBdr>
    </w:div>
    <w:div w:id="870415187">
      <w:bodyDiv w:val="1"/>
      <w:marLeft w:val="0"/>
      <w:marRight w:val="0"/>
      <w:marTop w:val="0"/>
      <w:marBottom w:val="0"/>
      <w:divBdr>
        <w:top w:val="none" w:sz="0" w:space="0" w:color="auto"/>
        <w:left w:val="none" w:sz="0" w:space="0" w:color="auto"/>
        <w:bottom w:val="none" w:sz="0" w:space="0" w:color="auto"/>
        <w:right w:val="none" w:sz="0" w:space="0" w:color="auto"/>
      </w:divBdr>
    </w:div>
    <w:div w:id="870461558">
      <w:bodyDiv w:val="1"/>
      <w:marLeft w:val="0"/>
      <w:marRight w:val="0"/>
      <w:marTop w:val="0"/>
      <w:marBottom w:val="0"/>
      <w:divBdr>
        <w:top w:val="none" w:sz="0" w:space="0" w:color="auto"/>
        <w:left w:val="none" w:sz="0" w:space="0" w:color="auto"/>
        <w:bottom w:val="none" w:sz="0" w:space="0" w:color="auto"/>
        <w:right w:val="none" w:sz="0" w:space="0" w:color="auto"/>
      </w:divBdr>
    </w:div>
    <w:div w:id="870531517">
      <w:bodyDiv w:val="1"/>
      <w:marLeft w:val="0"/>
      <w:marRight w:val="0"/>
      <w:marTop w:val="0"/>
      <w:marBottom w:val="0"/>
      <w:divBdr>
        <w:top w:val="none" w:sz="0" w:space="0" w:color="auto"/>
        <w:left w:val="none" w:sz="0" w:space="0" w:color="auto"/>
        <w:bottom w:val="none" w:sz="0" w:space="0" w:color="auto"/>
        <w:right w:val="none" w:sz="0" w:space="0" w:color="auto"/>
      </w:divBdr>
    </w:div>
    <w:div w:id="870799929">
      <w:bodyDiv w:val="1"/>
      <w:marLeft w:val="0"/>
      <w:marRight w:val="0"/>
      <w:marTop w:val="0"/>
      <w:marBottom w:val="0"/>
      <w:divBdr>
        <w:top w:val="none" w:sz="0" w:space="0" w:color="auto"/>
        <w:left w:val="none" w:sz="0" w:space="0" w:color="auto"/>
        <w:bottom w:val="none" w:sz="0" w:space="0" w:color="auto"/>
        <w:right w:val="none" w:sz="0" w:space="0" w:color="auto"/>
      </w:divBdr>
    </w:div>
    <w:div w:id="871187842">
      <w:bodyDiv w:val="1"/>
      <w:marLeft w:val="0"/>
      <w:marRight w:val="0"/>
      <w:marTop w:val="0"/>
      <w:marBottom w:val="0"/>
      <w:divBdr>
        <w:top w:val="none" w:sz="0" w:space="0" w:color="auto"/>
        <w:left w:val="none" w:sz="0" w:space="0" w:color="auto"/>
        <w:bottom w:val="none" w:sz="0" w:space="0" w:color="auto"/>
        <w:right w:val="none" w:sz="0" w:space="0" w:color="auto"/>
      </w:divBdr>
    </w:div>
    <w:div w:id="871302534">
      <w:bodyDiv w:val="1"/>
      <w:marLeft w:val="0"/>
      <w:marRight w:val="0"/>
      <w:marTop w:val="0"/>
      <w:marBottom w:val="0"/>
      <w:divBdr>
        <w:top w:val="none" w:sz="0" w:space="0" w:color="auto"/>
        <w:left w:val="none" w:sz="0" w:space="0" w:color="auto"/>
        <w:bottom w:val="none" w:sz="0" w:space="0" w:color="auto"/>
        <w:right w:val="none" w:sz="0" w:space="0" w:color="auto"/>
      </w:divBdr>
    </w:div>
    <w:div w:id="871305950">
      <w:bodyDiv w:val="1"/>
      <w:marLeft w:val="0"/>
      <w:marRight w:val="0"/>
      <w:marTop w:val="0"/>
      <w:marBottom w:val="0"/>
      <w:divBdr>
        <w:top w:val="none" w:sz="0" w:space="0" w:color="auto"/>
        <w:left w:val="none" w:sz="0" w:space="0" w:color="auto"/>
        <w:bottom w:val="none" w:sz="0" w:space="0" w:color="auto"/>
        <w:right w:val="none" w:sz="0" w:space="0" w:color="auto"/>
      </w:divBdr>
    </w:div>
    <w:div w:id="871456244">
      <w:bodyDiv w:val="1"/>
      <w:marLeft w:val="0"/>
      <w:marRight w:val="0"/>
      <w:marTop w:val="0"/>
      <w:marBottom w:val="0"/>
      <w:divBdr>
        <w:top w:val="none" w:sz="0" w:space="0" w:color="auto"/>
        <w:left w:val="none" w:sz="0" w:space="0" w:color="auto"/>
        <w:bottom w:val="none" w:sz="0" w:space="0" w:color="auto"/>
        <w:right w:val="none" w:sz="0" w:space="0" w:color="auto"/>
      </w:divBdr>
    </w:div>
    <w:div w:id="871573124">
      <w:bodyDiv w:val="1"/>
      <w:marLeft w:val="0"/>
      <w:marRight w:val="0"/>
      <w:marTop w:val="0"/>
      <w:marBottom w:val="0"/>
      <w:divBdr>
        <w:top w:val="none" w:sz="0" w:space="0" w:color="auto"/>
        <w:left w:val="none" w:sz="0" w:space="0" w:color="auto"/>
        <w:bottom w:val="none" w:sz="0" w:space="0" w:color="auto"/>
        <w:right w:val="none" w:sz="0" w:space="0" w:color="auto"/>
      </w:divBdr>
    </w:div>
    <w:div w:id="871840310">
      <w:bodyDiv w:val="1"/>
      <w:marLeft w:val="0"/>
      <w:marRight w:val="0"/>
      <w:marTop w:val="0"/>
      <w:marBottom w:val="0"/>
      <w:divBdr>
        <w:top w:val="none" w:sz="0" w:space="0" w:color="auto"/>
        <w:left w:val="none" w:sz="0" w:space="0" w:color="auto"/>
        <w:bottom w:val="none" w:sz="0" w:space="0" w:color="auto"/>
        <w:right w:val="none" w:sz="0" w:space="0" w:color="auto"/>
      </w:divBdr>
    </w:div>
    <w:div w:id="871959809">
      <w:bodyDiv w:val="1"/>
      <w:marLeft w:val="0"/>
      <w:marRight w:val="0"/>
      <w:marTop w:val="0"/>
      <w:marBottom w:val="0"/>
      <w:divBdr>
        <w:top w:val="none" w:sz="0" w:space="0" w:color="auto"/>
        <w:left w:val="none" w:sz="0" w:space="0" w:color="auto"/>
        <w:bottom w:val="none" w:sz="0" w:space="0" w:color="auto"/>
        <w:right w:val="none" w:sz="0" w:space="0" w:color="auto"/>
      </w:divBdr>
    </w:div>
    <w:div w:id="872153640">
      <w:bodyDiv w:val="1"/>
      <w:marLeft w:val="0"/>
      <w:marRight w:val="0"/>
      <w:marTop w:val="0"/>
      <w:marBottom w:val="0"/>
      <w:divBdr>
        <w:top w:val="none" w:sz="0" w:space="0" w:color="auto"/>
        <w:left w:val="none" w:sz="0" w:space="0" w:color="auto"/>
        <w:bottom w:val="none" w:sz="0" w:space="0" w:color="auto"/>
        <w:right w:val="none" w:sz="0" w:space="0" w:color="auto"/>
      </w:divBdr>
    </w:div>
    <w:div w:id="872229609">
      <w:bodyDiv w:val="1"/>
      <w:marLeft w:val="0"/>
      <w:marRight w:val="0"/>
      <w:marTop w:val="0"/>
      <w:marBottom w:val="0"/>
      <w:divBdr>
        <w:top w:val="none" w:sz="0" w:space="0" w:color="auto"/>
        <w:left w:val="none" w:sz="0" w:space="0" w:color="auto"/>
        <w:bottom w:val="none" w:sz="0" w:space="0" w:color="auto"/>
        <w:right w:val="none" w:sz="0" w:space="0" w:color="auto"/>
      </w:divBdr>
    </w:div>
    <w:div w:id="873153077">
      <w:bodyDiv w:val="1"/>
      <w:marLeft w:val="0"/>
      <w:marRight w:val="0"/>
      <w:marTop w:val="0"/>
      <w:marBottom w:val="0"/>
      <w:divBdr>
        <w:top w:val="none" w:sz="0" w:space="0" w:color="auto"/>
        <w:left w:val="none" w:sz="0" w:space="0" w:color="auto"/>
        <w:bottom w:val="none" w:sz="0" w:space="0" w:color="auto"/>
        <w:right w:val="none" w:sz="0" w:space="0" w:color="auto"/>
      </w:divBdr>
    </w:div>
    <w:div w:id="873273071">
      <w:bodyDiv w:val="1"/>
      <w:marLeft w:val="0"/>
      <w:marRight w:val="0"/>
      <w:marTop w:val="0"/>
      <w:marBottom w:val="0"/>
      <w:divBdr>
        <w:top w:val="none" w:sz="0" w:space="0" w:color="auto"/>
        <w:left w:val="none" w:sz="0" w:space="0" w:color="auto"/>
        <w:bottom w:val="none" w:sz="0" w:space="0" w:color="auto"/>
        <w:right w:val="none" w:sz="0" w:space="0" w:color="auto"/>
      </w:divBdr>
    </w:div>
    <w:div w:id="873349331">
      <w:bodyDiv w:val="1"/>
      <w:marLeft w:val="0"/>
      <w:marRight w:val="0"/>
      <w:marTop w:val="0"/>
      <w:marBottom w:val="0"/>
      <w:divBdr>
        <w:top w:val="none" w:sz="0" w:space="0" w:color="auto"/>
        <w:left w:val="none" w:sz="0" w:space="0" w:color="auto"/>
        <w:bottom w:val="none" w:sz="0" w:space="0" w:color="auto"/>
        <w:right w:val="none" w:sz="0" w:space="0" w:color="auto"/>
      </w:divBdr>
    </w:div>
    <w:div w:id="874388859">
      <w:bodyDiv w:val="1"/>
      <w:marLeft w:val="0"/>
      <w:marRight w:val="0"/>
      <w:marTop w:val="0"/>
      <w:marBottom w:val="0"/>
      <w:divBdr>
        <w:top w:val="none" w:sz="0" w:space="0" w:color="auto"/>
        <w:left w:val="none" w:sz="0" w:space="0" w:color="auto"/>
        <w:bottom w:val="none" w:sz="0" w:space="0" w:color="auto"/>
        <w:right w:val="none" w:sz="0" w:space="0" w:color="auto"/>
      </w:divBdr>
    </w:div>
    <w:div w:id="874848168">
      <w:bodyDiv w:val="1"/>
      <w:marLeft w:val="0"/>
      <w:marRight w:val="0"/>
      <w:marTop w:val="0"/>
      <w:marBottom w:val="0"/>
      <w:divBdr>
        <w:top w:val="none" w:sz="0" w:space="0" w:color="auto"/>
        <w:left w:val="none" w:sz="0" w:space="0" w:color="auto"/>
        <w:bottom w:val="none" w:sz="0" w:space="0" w:color="auto"/>
        <w:right w:val="none" w:sz="0" w:space="0" w:color="auto"/>
      </w:divBdr>
    </w:div>
    <w:div w:id="874853246">
      <w:bodyDiv w:val="1"/>
      <w:marLeft w:val="0"/>
      <w:marRight w:val="0"/>
      <w:marTop w:val="0"/>
      <w:marBottom w:val="0"/>
      <w:divBdr>
        <w:top w:val="none" w:sz="0" w:space="0" w:color="auto"/>
        <w:left w:val="none" w:sz="0" w:space="0" w:color="auto"/>
        <w:bottom w:val="none" w:sz="0" w:space="0" w:color="auto"/>
        <w:right w:val="none" w:sz="0" w:space="0" w:color="auto"/>
      </w:divBdr>
    </w:div>
    <w:div w:id="874856027">
      <w:bodyDiv w:val="1"/>
      <w:marLeft w:val="0"/>
      <w:marRight w:val="0"/>
      <w:marTop w:val="0"/>
      <w:marBottom w:val="0"/>
      <w:divBdr>
        <w:top w:val="none" w:sz="0" w:space="0" w:color="auto"/>
        <w:left w:val="none" w:sz="0" w:space="0" w:color="auto"/>
        <w:bottom w:val="none" w:sz="0" w:space="0" w:color="auto"/>
        <w:right w:val="none" w:sz="0" w:space="0" w:color="auto"/>
      </w:divBdr>
    </w:div>
    <w:div w:id="875393430">
      <w:bodyDiv w:val="1"/>
      <w:marLeft w:val="0"/>
      <w:marRight w:val="0"/>
      <w:marTop w:val="0"/>
      <w:marBottom w:val="0"/>
      <w:divBdr>
        <w:top w:val="none" w:sz="0" w:space="0" w:color="auto"/>
        <w:left w:val="none" w:sz="0" w:space="0" w:color="auto"/>
        <w:bottom w:val="none" w:sz="0" w:space="0" w:color="auto"/>
        <w:right w:val="none" w:sz="0" w:space="0" w:color="auto"/>
      </w:divBdr>
    </w:div>
    <w:div w:id="875892639">
      <w:bodyDiv w:val="1"/>
      <w:marLeft w:val="0"/>
      <w:marRight w:val="0"/>
      <w:marTop w:val="0"/>
      <w:marBottom w:val="0"/>
      <w:divBdr>
        <w:top w:val="none" w:sz="0" w:space="0" w:color="auto"/>
        <w:left w:val="none" w:sz="0" w:space="0" w:color="auto"/>
        <w:bottom w:val="none" w:sz="0" w:space="0" w:color="auto"/>
        <w:right w:val="none" w:sz="0" w:space="0" w:color="auto"/>
      </w:divBdr>
    </w:div>
    <w:div w:id="876234796">
      <w:bodyDiv w:val="1"/>
      <w:marLeft w:val="0"/>
      <w:marRight w:val="0"/>
      <w:marTop w:val="0"/>
      <w:marBottom w:val="0"/>
      <w:divBdr>
        <w:top w:val="none" w:sz="0" w:space="0" w:color="auto"/>
        <w:left w:val="none" w:sz="0" w:space="0" w:color="auto"/>
        <w:bottom w:val="none" w:sz="0" w:space="0" w:color="auto"/>
        <w:right w:val="none" w:sz="0" w:space="0" w:color="auto"/>
      </w:divBdr>
    </w:div>
    <w:div w:id="876546870">
      <w:bodyDiv w:val="1"/>
      <w:marLeft w:val="0"/>
      <w:marRight w:val="0"/>
      <w:marTop w:val="0"/>
      <w:marBottom w:val="0"/>
      <w:divBdr>
        <w:top w:val="none" w:sz="0" w:space="0" w:color="auto"/>
        <w:left w:val="none" w:sz="0" w:space="0" w:color="auto"/>
        <w:bottom w:val="none" w:sz="0" w:space="0" w:color="auto"/>
        <w:right w:val="none" w:sz="0" w:space="0" w:color="auto"/>
      </w:divBdr>
    </w:div>
    <w:div w:id="876963703">
      <w:bodyDiv w:val="1"/>
      <w:marLeft w:val="0"/>
      <w:marRight w:val="0"/>
      <w:marTop w:val="0"/>
      <w:marBottom w:val="0"/>
      <w:divBdr>
        <w:top w:val="none" w:sz="0" w:space="0" w:color="auto"/>
        <w:left w:val="none" w:sz="0" w:space="0" w:color="auto"/>
        <w:bottom w:val="none" w:sz="0" w:space="0" w:color="auto"/>
        <w:right w:val="none" w:sz="0" w:space="0" w:color="auto"/>
      </w:divBdr>
    </w:div>
    <w:div w:id="877281078">
      <w:bodyDiv w:val="1"/>
      <w:marLeft w:val="0"/>
      <w:marRight w:val="0"/>
      <w:marTop w:val="0"/>
      <w:marBottom w:val="0"/>
      <w:divBdr>
        <w:top w:val="none" w:sz="0" w:space="0" w:color="auto"/>
        <w:left w:val="none" w:sz="0" w:space="0" w:color="auto"/>
        <w:bottom w:val="none" w:sz="0" w:space="0" w:color="auto"/>
        <w:right w:val="none" w:sz="0" w:space="0" w:color="auto"/>
      </w:divBdr>
    </w:div>
    <w:div w:id="877821267">
      <w:bodyDiv w:val="1"/>
      <w:marLeft w:val="0"/>
      <w:marRight w:val="0"/>
      <w:marTop w:val="0"/>
      <w:marBottom w:val="0"/>
      <w:divBdr>
        <w:top w:val="none" w:sz="0" w:space="0" w:color="auto"/>
        <w:left w:val="none" w:sz="0" w:space="0" w:color="auto"/>
        <w:bottom w:val="none" w:sz="0" w:space="0" w:color="auto"/>
        <w:right w:val="none" w:sz="0" w:space="0" w:color="auto"/>
      </w:divBdr>
    </w:div>
    <w:div w:id="878667920">
      <w:bodyDiv w:val="1"/>
      <w:marLeft w:val="0"/>
      <w:marRight w:val="0"/>
      <w:marTop w:val="0"/>
      <w:marBottom w:val="0"/>
      <w:divBdr>
        <w:top w:val="none" w:sz="0" w:space="0" w:color="auto"/>
        <w:left w:val="none" w:sz="0" w:space="0" w:color="auto"/>
        <w:bottom w:val="none" w:sz="0" w:space="0" w:color="auto"/>
        <w:right w:val="none" w:sz="0" w:space="0" w:color="auto"/>
      </w:divBdr>
    </w:div>
    <w:div w:id="879167302">
      <w:bodyDiv w:val="1"/>
      <w:marLeft w:val="0"/>
      <w:marRight w:val="0"/>
      <w:marTop w:val="0"/>
      <w:marBottom w:val="0"/>
      <w:divBdr>
        <w:top w:val="none" w:sz="0" w:space="0" w:color="auto"/>
        <w:left w:val="none" w:sz="0" w:space="0" w:color="auto"/>
        <w:bottom w:val="none" w:sz="0" w:space="0" w:color="auto"/>
        <w:right w:val="none" w:sz="0" w:space="0" w:color="auto"/>
      </w:divBdr>
    </w:div>
    <w:div w:id="880095218">
      <w:bodyDiv w:val="1"/>
      <w:marLeft w:val="0"/>
      <w:marRight w:val="0"/>
      <w:marTop w:val="0"/>
      <w:marBottom w:val="0"/>
      <w:divBdr>
        <w:top w:val="none" w:sz="0" w:space="0" w:color="auto"/>
        <w:left w:val="none" w:sz="0" w:space="0" w:color="auto"/>
        <w:bottom w:val="none" w:sz="0" w:space="0" w:color="auto"/>
        <w:right w:val="none" w:sz="0" w:space="0" w:color="auto"/>
      </w:divBdr>
    </w:div>
    <w:div w:id="880170660">
      <w:bodyDiv w:val="1"/>
      <w:marLeft w:val="0"/>
      <w:marRight w:val="0"/>
      <w:marTop w:val="0"/>
      <w:marBottom w:val="0"/>
      <w:divBdr>
        <w:top w:val="none" w:sz="0" w:space="0" w:color="auto"/>
        <w:left w:val="none" w:sz="0" w:space="0" w:color="auto"/>
        <w:bottom w:val="none" w:sz="0" w:space="0" w:color="auto"/>
        <w:right w:val="none" w:sz="0" w:space="0" w:color="auto"/>
      </w:divBdr>
    </w:div>
    <w:div w:id="880626483">
      <w:bodyDiv w:val="1"/>
      <w:marLeft w:val="0"/>
      <w:marRight w:val="0"/>
      <w:marTop w:val="0"/>
      <w:marBottom w:val="0"/>
      <w:divBdr>
        <w:top w:val="none" w:sz="0" w:space="0" w:color="auto"/>
        <w:left w:val="none" w:sz="0" w:space="0" w:color="auto"/>
        <w:bottom w:val="none" w:sz="0" w:space="0" w:color="auto"/>
        <w:right w:val="none" w:sz="0" w:space="0" w:color="auto"/>
      </w:divBdr>
    </w:div>
    <w:div w:id="880748532">
      <w:bodyDiv w:val="1"/>
      <w:marLeft w:val="0"/>
      <w:marRight w:val="0"/>
      <w:marTop w:val="0"/>
      <w:marBottom w:val="0"/>
      <w:divBdr>
        <w:top w:val="none" w:sz="0" w:space="0" w:color="auto"/>
        <w:left w:val="none" w:sz="0" w:space="0" w:color="auto"/>
        <w:bottom w:val="none" w:sz="0" w:space="0" w:color="auto"/>
        <w:right w:val="none" w:sz="0" w:space="0" w:color="auto"/>
      </w:divBdr>
    </w:div>
    <w:div w:id="880945005">
      <w:bodyDiv w:val="1"/>
      <w:marLeft w:val="0"/>
      <w:marRight w:val="0"/>
      <w:marTop w:val="0"/>
      <w:marBottom w:val="0"/>
      <w:divBdr>
        <w:top w:val="none" w:sz="0" w:space="0" w:color="auto"/>
        <w:left w:val="none" w:sz="0" w:space="0" w:color="auto"/>
        <w:bottom w:val="none" w:sz="0" w:space="0" w:color="auto"/>
        <w:right w:val="none" w:sz="0" w:space="0" w:color="auto"/>
      </w:divBdr>
    </w:div>
    <w:div w:id="881135863">
      <w:bodyDiv w:val="1"/>
      <w:marLeft w:val="0"/>
      <w:marRight w:val="0"/>
      <w:marTop w:val="0"/>
      <w:marBottom w:val="0"/>
      <w:divBdr>
        <w:top w:val="none" w:sz="0" w:space="0" w:color="auto"/>
        <w:left w:val="none" w:sz="0" w:space="0" w:color="auto"/>
        <w:bottom w:val="none" w:sz="0" w:space="0" w:color="auto"/>
        <w:right w:val="none" w:sz="0" w:space="0" w:color="auto"/>
      </w:divBdr>
    </w:div>
    <w:div w:id="882399754">
      <w:bodyDiv w:val="1"/>
      <w:marLeft w:val="0"/>
      <w:marRight w:val="0"/>
      <w:marTop w:val="0"/>
      <w:marBottom w:val="0"/>
      <w:divBdr>
        <w:top w:val="none" w:sz="0" w:space="0" w:color="auto"/>
        <w:left w:val="none" w:sz="0" w:space="0" w:color="auto"/>
        <w:bottom w:val="none" w:sz="0" w:space="0" w:color="auto"/>
        <w:right w:val="none" w:sz="0" w:space="0" w:color="auto"/>
      </w:divBdr>
    </w:div>
    <w:div w:id="882405794">
      <w:bodyDiv w:val="1"/>
      <w:marLeft w:val="0"/>
      <w:marRight w:val="0"/>
      <w:marTop w:val="0"/>
      <w:marBottom w:val="0"/>
      <w:divBdr>
        <w:top w:val="none" w:sz="0" w:space="0" w:color="auto"/>
        <w:left w:val="none" w:sz="0" w:space="0" w:color="auto"/>
        <w:bottom w:val="none" w:sz="0" w:space="0" w:color="auto"/>
        <w:right w:val="none" w:sz="0" w:space="0" w:color="auto"/>
      </w:divBdr>
    </w:div>
    <w:div w:id="882406549">
      <w:bodyDiv w:val="1"/>
      <w:marLeft w:val="0"/>
      <w:marRight w:val="0"/>
      <w:marTop w:val="0"/>
      <w:marBottom w:val="0"/>
      <w:divBdr>
        <w:top w:val="none" w:sz="0" w:space="0" w:color="auto"/>
        <w:left w:val="none" w:sz="0" w:space="0" w:color="auto"/>
        <w:bottom w:val="none" w:sz="0" w:space="0" w:color="auto"/>
        <w:right w:val="none" w:sz="0" w:space="0" w:color="auto"/>
      </w:divBdr>
    </w:div>
    <w:div w:id="882474171">
      <w:bodyDiv w:val="1"/>
      <w:marLeft w:val="0"/>
      <w:marRight w:val="0"/>
      <w:marTop w:val="0"/>
      <w:marBottom w:val="0"/>
      <w:divBdr>
        <w:top w:val="none" w:sz="0" w:space="0" w:color="auto"/>
        <w:left w:val="none" w:sz="0" w:space="0" w:color="auto"/>
        <w:bottom w:val="none" w:sz="0" w:space="0" w:color="auto"/>
        <w:right w:val="none" w:sz="0" w:space="0" w:color="auto"/>
      </w:divBdr>
    </w:div>
    <w:div w:id="883373694">
      <w:bodyDiv w:val="1"/>
      <w:marLeft w:val="0"/>
      <w:marRight w:val="0"/>
      <w:marTop w:val="0"/>
      <w:marBottom w:val="0"/>
      <w:divBdr>
        <w:top w:val="none" w:sz="0" w:space="0" w:color="auto"/>
        <w:left w:val="none" w:sz="0" w:space="0" w:color="auto"/>
        <w:bottom w:val="none" w:sz="0" w:space="0" w:color="auto"/>
        <w:right w:val="none" w:sz="0" w:space="0" w:color="auto"/>
      </w:divBdr>
    </w:div>
    <w:div w:id="883442184">
      <w:bodyDiv w:val="1"/>
      <w:marLeft w:val="0"/>
      <w:marRight w:val="0"/>
      <w:marTop w:val="0"/>
      <w:marBottom w:val="0"/>
      <w:divBdr>
        <w:top w:val="none" w:sz="0" w:space="0" w:color="auto"/>
        <w:left w:val="none" w:sz="0" w:space="0" w:color="auto"/>
        <w:bottom w:val="none" w:sz="0" w:space="0" w:color="auto"/>
        <w:right w:val="none" w:sz="0" w:space="0" w:color="auto"/>
      </w:divBdr>
    </w:div>
    <w:div w:id="883713184">
      <w:bodyDiv w:val="1"/>
      <w:marLeft w:val="0"/>
      <w:marRight w:val="0"/>
      <w:marTop w:val="0"/>
      <w:marBottom w:val="0"/>
      <w:divBdr>
        <w:top w:val="none" w:sz="0" w:space="0" w:color="auto"/>
        <w:left w:val="none" w:sz="0" w:space="0" w:color="auto"/>
        <w:bottom w:val="none" w:sz="0" w:space="0" w:color="auto"/>
        <w:right w:val="none" w:sz="0" w:space="0" w:color="auto"/>
      </w:divBdr>
    </w:div>
    <w:div w:id="884029864">
      <w:bodyDiv w:val="1"/>
      <w:marLeft w:val="0"/>
      <w:marRight w:val="0"/>
      <w:marTop w:val="0"/>
      <w:marBottom w:val="0"/>
      <w:divBdr>
        <w:top w:val="none" w:sz="0" w:space="0" w:color="auto"/>
        <w:left w:val="none" w:sz="0" w:space="0" w:color="auto"/>
        <w:bottom w:val="none" w:sz="0" w:space="0" w:color="auto"/>
        <w:right w:val="none" w:sz="0" w:space="0" w:color="auto"/>
      </w:divBdr>
    </w:div>
    <w:div w:id="884096192">
      <w:bodyDiv w:val="1"/>
      <w:marLeft w:val="0"/>
      <w:marRight w:val="0"/>
      <w:marTop w:val="0"/>
      <w:marBottom w:val="0"/>
      <w:divBdr>
        <w:top w:val="none" w:sz="0" w:space="0" w:color="auto"/>
        <w:left w:val="none" w:sz="0" w:space="0" w:color="auto"/>
        <w:bottom w:val="none" w:sz="0" w:space="0" w:color="auto"/>
        <w:right w:val="none" w:sz="0" w:space="0" w:color="auto"/>
      </w:divBdr>
    </w:div>
    <w:div w:id="884558917">
      <w:bodyDiv w:val="1"/>
      <w:marLeft w:val="0"/>
      <w:marRight w:val="0"/>
      <w:marTop w:val="0"/>
      <w:marBottom w:val="0"/>
      <w:divBdr>
        <w:top w:val="none" w:sz="0" w:space="0" w:color="auto"/>
        <w:left w:val="none" w:sz="0" w:space="0" w:color="auto"/>
        <w:bottom w:val="none" w:sz="0" w:space="0" w:color="auto"/>
        <w:right w:val="none" w:sz="0" w:space="0" w:color="auto"/>
      </w:divBdr>
    </w:div>
    <w:div w:id="884562554">
      <w:bodyDiv w:val="1"/>
      <w:marLeft w:val="0"/>
      <w:marRight w:val="0"/>
      <w:marTop w:val="0"/>
      <w:marBottom w:val="0"/>
      <w:divBdr>
        <w:top w:val="none" w:sz="0" w:space="0" w:color="auto"/>
        <w:left w:val="none" w:sz="0" w:space="0" w:color="auto"/>
        <w:bottom w:val="none" w:sz="0" w:space="0" w:color="auto"/>
        <w:right w:val="none" w:sz="0" w:space="0" w:color="auto"/>
      </w:divBdr>
    </w:div>
    <w:div w:id="884676845">
      <w:bodyDiv w:val="1"/>
      <w:marLeft w:val="0"/>
      <w:marRight w:val="0"/>
      <w:marTop w:val="0"/>
      <w:marBottom w:val="0"/>
      <w:divBdr>
        <w:top w:val="none" w:sz="0" w:space="0" w:color="auto"/>
        <w:left w:val="none" w:sz="0" w:space="0" w:color="auto"/>
        <w:bottom w:val="none" w:sz="0" w:space="0" w:color="auto"/>
        <w:right w:val="none" w:sz="0" w:space="0" w:color="auto"/>
      </w:divBdr>
    </w:div>
    <w:div w:id="884752104">
      <w:bodyDiv w:val="1"/>
      <w:marLeft w:val="0"/>
      <w:marRight w:val="0"/>
      <w:marTop w:val="0"/>
      <w:marBottom w:val="0"/>
      <w:divBdr>
        <w:top w:val="none" w:sz="0" w:space="0" w:color="auto"/>
        <w:left w:val="none" w:sz="0" w:space="0" w:color="auto"/>
        <w:bottom w:val="none" w:sz="0" w:space="0" w:color="auto"/>
        <w:right w:val="none" w:sz="0" w:space="0" w:color="auto"/>
      </w:divBdr>
    </w:div>
    <w:div w:id="885141923">
      <w:bodyDiv w:val="1"/>
      <w:marLeft w:val="0"/>
      <w:marRight w:val="0"/>
      <w:marTop w:val="0"/>
      <w:marBottom w:val="0"/>
      <w:divBdr>
        <w:top w:val="none" w:sz="0" w:space="0" w:color="auto"/>
        <w:left w:val="none" w:sz="0" w:space="0" w:color="auto"/>
        <w:bottom w:val="none" w:sz="0" w:space="0" w:color="auto"/>
        <w:right w:val="none" w:sz="0" w:space="0" w:color="auto"/>
      </w:divBdr>
    </w:div>
    <w:div w:id="885262736">
      <w:bodyDiv w:val="1"/>
      <w:marLeft w:val="0"/>
      <w:marRight w:val="0"/>
      <w:marTop w:val="0"/>
      <w:marBottom w:val="0"/>
      <w:divBdr>
        <w:top w:val="none" w:sz="0" w:space="0" w:color="auto"/>
        <w:left w:val="none" w:sz="0" w:space="0" w:color="auto"/>
        <w:bottom w:val="none" w:sz="0" w:space="0" w:color="auto"/>
        <w:right w:val="none" w:sz="0" w:space="0" w:color="auto"/>
      </w:divBdr>
    </w:div>
    <w:div w:id="885336285">
      <w:bodyDiv w:val="1"/>
      <w:marLeft w:val="0"/>
      <w:marRight w:val="0"/>
      <w:marTop w:val="0"/>
      <w:marBottom w:val="0"/>
      <w:divBdr>
        <w:top w:val="none" w:sz="0" w:space="0" w:color="auto"/>
        <w:left w:val="none" w:sz="0" w:space="0" w:color="auto"/>
        <w:bottom w:val="none" w:sz="0" w:space="0" w:color="auto"/>
        <w:right w:val="none" w:sz="0" w:space="0" w:color="auto"/>
      </w:divBdr>
    </w:div>
    <w:div w:id="885411302">
      <w:bodyDiv w:val="1"/>
      <w:marLeft w:val="0"/>
      <w:marRight w:val="0"/>
      <w:marTop w:val="0"/>
      <w:marBottom w:val="0"/>
      <w:divBdr>
        <w:top w:val="none" w:sz="0" w:space="0" w:color="auto"/>
        <w:left w:val="none" w:sz="0" w:space="0" w:color="auto"/>
        <w:bottom w:val="none" w:sz="0" w:space="0" w:color="auto"/>
        <w:right w:val="none" w:sz="0" w:space="0" w:color="auto"/>
      </w:divBdr>
    </w:div>
    <w:div w:id="885457593">
      <w:bodyDiv w:val="1"/>
      <w:marLeft w:val="0"/>
      <w:marRight w:val="0"/>
      <w:marTop w:val="0"/>
      <w:marBottom w:val="0"/>
      <w:divBdr>
        <w:top w:val="none" w:sz="0" w:space="0" w:color="auto"/>
        <w:left w:val="none" w:sz="0" w:space="0" w:color="auto"/>
        <w:bottom w:val="none" w:sz="0" w:space="0" w:color="auto"/>
        <w:right w:val="none" w:sz="0" w:space="0" w:color="auto"/>
      </w:divBdr>
    </w:div>
    <w:div w:id="886335027">
      <w:bodyDiv w:val="1"/>
      <w:marLeft w:val="0"/>
      <w:marRight w:val="0"/>
      <w:marTop w:val="0"/>
      <w:marBottom w:val="0"/>
      <w:divBdr>
        <w:top w:val="none" w:sz="0" w:space="0" w:color="auto"/>
        <w:left w:val="none" w:sz="0" w:space="0" w:color="auto"/>
        <w:bottom w:val="none" w:sz="0" w:space="0" w:color="auto"/>
        <w:right w:val="none" w:sz="0" w:space="0" w:color="auto"/>
      </w:divBdr>
    </w:div>
    <w:div w:id="886530511">
      <w:bodyDiv w:val="1"/>
      <w:marLeft w:val="0"/>
      <w:marRight w:val="0"/>
      <w:marTop w:val="0"/>
      <w:marBottom w:val="0"/>
      <w:divBdr>
        <w:top w:val="none" w:sz="0" w:space="0" w:color="auto"/>
        <w:left w:val="none" w:sz="0" w:space="0" w:color="auto"/>
        <w:bottom w:val="none" w:sz="0" w:space="0" w:color="auto"/>
        <w:right w:val="none" w:sz="0" w:space="0" w:color="auto"/>
      </w:divBdr>
    </w:div>
    <w:div w:id="887179834">
      <w:bodyDiv w:val="1"/>
      <w:marLeft w:val="0"/>
      <w:marRight w:val="0"/>
      <w:marTop w:val="0"/>
      <w:marBottom w:val="0"/>
      <w:divBdr>
        <w:top w:val="none" w:sz="0" w:space="0" w:color="auto"/>
        <w:left w:val="none" w:sz="0" w:space="0" w:color="auto"/>
        <w:bottom w:val="none" w:sz="0" w:space="0" w:color="auto"/>
        <w:right w:val="none" w:sz="0" w:space="0" w:color="auto"/>
      </w:divBdr>
    </w:div>
    <w:div w:id="887379971">
      <w:bodyDiv w:val="1"/>
      <w:marLeft w:val="0"/>
      <w:marRight w:val="0"/>
      <w:marTop w:val="0"/>
      <w:marBottom w:val="0"/>
      <w:divBdr>
        <w:top w:val="none" w:sz="0" w:space="0" w:color="auto"/>
        <w:left w:val="none" w:sz="0" w:space="0" w:color="auto"/>
        <w:bottom w:val="none" w:sz="0" w:space="0" w:color="auto"/>
        <w:right w:val="none" w:sz="0" w:space="0" w:color="auto"/>
      </w:divBdr>
    </w:div>
    <w:div w:id="887572212">
      <w:bodyDiv w:val="1"/>
      <w:marLeft w:val="0"/>
      <w:marRight w:val="0"/>
      <w:marTop w:val="0"/>
      <w:marBottom w:val="0"/>
      <w:divBdr>
        <w:top w:val="none" w:sz="0" w:space="0" w:color="auto"/>
        <w:left w:val="none" w:sz="0" w:space="0" w:color="auto"/>
        <w:bottom w:val="none" w:sz="0" w:space="0" w:color="auto"/>
        <w:right w:val="none" w:sz="0" w:space="0" w:color="auto"/>
      </w:divBdr>
    </w:div>
    <w:div w:id="888154087">
      <w:bodyDiv w:val="1"/>
      <w:marLeft w:val="0"/>
      <w:marRight w:val="0"/>
      <w:marTop w:val="0"/>
      <w:marBottom w:val="0"/>
      <w:divBdr>
        <w:top w:val="none" w:sz="0" w:space="0" w:color="auto"/>
        <w:left w:val="none" w:sz="0" w:space="0" w:color="auto"/>
        <w:bottom w:val="none" w:sz="0" w:space="0" w:color="auto"/>
        <w:right w:val="none" w:sz="0" w:space="0" w:color="auto"/>
      </w:divBdr>
    </w:div>
    <w:div w:id="888305089">
      <w:bodyDiv w:val="1"/>
      <w:marLeft w:val="0"/>
      <w:marRight w:val="0"/>
      <w:marTop w:val="0"/>
      <w:marBottom w:val="0"/>
      <w:divBdr>
        <w:top w:val="none" w:sz="0" w:space="0" w:color="auto"/>
        <w:left w:val="none" w:sz="0" w:space="0" w:color="auto"/>
        <w:bottom w:val="none" w:sz="0" w:space="0" w:color="auto"/>
        <w:right w:val="none" w:sz="0" w:space="0" w:color="auto"/>
      </w:divBdr>
    </w:div>
    <w:div w:id="889194797">
      <w:bodyDiv w:val="1"/>
      <w:marLeft w:val="0"/>
      <w:marRight w:val="0"/>
      <w:marTop w:val="0"/>
      <w:marBottom w:val="0"/>
      <w:divBdr>
        <w:top w:val="none" w:sz="0" w:space="0" w:color="auto"/>
        <w:left w:val="none" w:sz="0" w:space="0" w:color="auto"/>
        <w:bottom w:val="none" w:sz="0" w:space="0" w:color="auto"/>
        <w:right w:val="none" w:sz="0" w:space="0" w:color="auto"/>
      </w:divBdr>
    </w:div>
    <w:div w:id="889390245">
      <w:bodyDiv w:val="1"/>
      <w:marLeft w:val="0"/>
      <w:marRight w:val="0"/>
      <w:marTop w:val="0"/>
      <w:marBottom w:val="0"/>
      <w:divBdr>
        <w:top w:val="none" w:sz="0" w:space="0" w:color="auto"/>
        <w:left w:val="none" w:sz="0" w:space="0" w:color="auto"/>
        <w:bottom w:val="none" w:sz="0" w:space="0" w:color="auto"/>
        <w:right w:val="none" w:sz="0" w:space="0" w:color="auto"/>
      </w:divBdr>
    </w:div>
    <w:div w:id="890728755">
      <w:bodyDiv w:val="1"/>
      <w:marLeft w:val="0"/>
      <w:marRight w:val="0"/>
      <w:marTop w:val="0"/>
      <w:marBottom w:val="0"/>
      <w:divBdr>
        <w:top w:val="none" w:sz="0" w:space="0" w:color="auto"/>
        <w:left w:val="none" w:sz="0" w:space="0" w:color="auto"/>
        <w:bottom w:val="none" w:sz="0" w:space="0" w:color="auto"/>
        <w:right w:val="none" w:sz="0" w:space="0" w:color="auto"/>
      </w:divBdr>
    </w:div>
    <w:div w:id="891582256">
      <w:bodyDiv w:val="1"/>
      <w:marLeft w:val="0"/>
      <w:marRight w:val="0"/>
      <w:marTop w:val="0"/>
      <w:marBottom w:val="0"/>
      <w:divBdr>
        <w:top w:val="none" w:sz="0" w:space="0" w:color="auto"/>
        <w:left w:val="none" w:sz="0" w:space="0" w:color="auto"/>
        <w:bottom w:val="none" w:sz="0" w:space="0" w:color="auto"/>
        <w:right w:val="none" w:sz="0" w:space="0" w:color="auto"/>
      </w:divBdr>
    </w:div>
    <w:div w:id="892472428">
      <w:bodyDiv w:val="1"/>
      <w:marLeft w:val="0"/>
      <w:marRight w:val="0"/>
      <w:marTop w:val="0"/>
      <w:marBottom w:val="0"/>
      <w:divBdr>
        <w:top w:val="none" w:sz="0" w:space="0" w:color="auto"/>
        <w:left w:val="none" w:sz="0" w:space="0" w:color="auto"/>
        <w:bottom w:val="none" w:sz="0" w:space="0" w:color="auto"/>
        <w:right w:val="none" w:sz="0" w:space="0" w:color="auto"/>
      </w:divBdr>
    </w:div>
    <w:div w:id="892497844">
      <w:bodyDiv w:val="1"/>
      <w:marLeft w:val="0"/>
      <w:marRight w:val="0"/>
      <w:marTop w:val="0"/>
      <w:marBottom w:val="0"/>
      <w:divBdr>
        <w:top w:val="none" w:sz="0" w:space="0" w:color="auto"/>
        <w:left w:val="none" w:sz="0" w:space="0" w:color="auto"/>
        <w:bottom w:val="none" w:sz="0" w:space="0" w:color="auto"/>
        <w:right w:val="none" w:sz="0" w:space="0" w:color="auto"/>
      </w:divBdr>
    </w:div>
    <w:div w:id="892888663">
      <w:bodyDiv w:val="1"/>
      <w:marLeft w:val="0"/>
      <w:marRight w:val="0"/>
      <w:marTop w:val="0"/>
      <w:marBottom w:val="0"/>
      <w:divBdr>
        <w:top w:val="none" w:sz="0" w:space="0" w:color="auto"/>
        <w:left w:val="none" w:sz="0" w:space="0" w:color="auto"/>
        <w:bottom w:val="none" w:sz="0" w:space="0" w:color="auto"/>
        <w:right w:val="none" w:sz="0" w:space="0" w:color="auto"/>
      </w:divBdr>
    </w:div>
    <w:div w:id="893277979">
      <w:bodyDiv w:val="1"/>
      <w:marLeft w:val="0"/>
      <w:marRight w:val="0"/>
      <w:marTop w:val="0"/>
      <w:marBottom w:val="0"/>
      <w:divBdr>
        <w:top w:val="none" w:sz="0" w:space="0" w:color="auto"/>
        <w:left w:val="none" w:sz="0" w:space="0" w:color="auto"/>
        <w:bottom w:val="none" w:sz="0" w:space="0" w:color="auto"/>
        <w:right w:val="none" w:sz="0" w:space="0" w:color="auto"/>
      </w:divBdr>
    </w:div>
    <w:div w:id="893589563">
      <w:bodyDiv w:val="1"/>
      <w:marLeft w:val="0"/>
      <w:marRight w:val="0"/>
      <w:marTop w:val="0"/>
      <w:marBottom w:val="0"/>
      <w:divBdr>
        <w:top w:val="none" w:sz="0" w:space="0" w:color="auto"/>
        <w:left w:val="none" w:sz="0" w:space="0" w:color="auto"/>
        <w:bottom w:val="none" w:sz="0" w:space="0" w:color="auto"/>
        <w:right w:val="none" w:sz="0" w:space="0" w:color="auto"/>
      </w:divBdr>
    </w:div>
    <w:div w:id="893732380">
      <w:bodyDiv w:val="1"/>
      <w:marLeft w:val="0"/>
      <w:marRight w:val="0"/>
      <w:marTop w:val="0"/>
      <w:marBottom w:val="0"/>
      <w:divBdr>
        <w:top w:val="none" w:sz="0" w:space="0" w:color="auto"/>
        <w:left w:val="none" w:sz="0" w:space="0" w:color="auto"/>
        <w:bottom w:val="none" w:sz="0" w:space="0" w:color="auto"/>
        <w:right w:val="none" w:sz="0" w:space="0" w:color="auto"/>
      </w:divBdr>
    </w:div>
    <w:div w:id="893735227">
      <w:bodyDiv w:val="1"/>
      <w:marLeft w:val="0"/>
      <w:marRight w:val="0"/>
      <w:marTop w:val="0"/>
      <w:marBottom w:val="0"/>
      <w:divBdr>
        <w:top w:val="none" w:sz="0" w:space="0" w:color="auto"/>
        <w:left w:val="none" w:sz="0" w:space="0" w:color="auto"/>
        <w:bottom w:val="none" w:sz="0" w:space="0" w:color="auto"/>
        <w:right w:val="none" w:sz="0" w:space="0" w:color="auto"/>
      </w:divBdr>
    </w:div>
    <w:div w:id="894896702">
      <w:bodyDiv w:val="1"/>
      <w:marLeft w:val="0"/>
      <w:marRight w:val="0"/>
      <w:marTop w:val="0"/>
      <w:marBottom w:val="0"/>
      <w:divBdr>
        <w:top w:val="none" w:sz="0" w:space="0" w:color="auto"/>
        <w:left w:val="none" w:sz="0" w:space="0" w:color="auto"/>
        <w:bottom w:val="none" w:sz="0" w:space="0" w:color="auto"/>
        <w:right w:val="none" w:sz="0" w:space="0" w:color="auto"/>
      </w:divBdr>
    </w:div>
    <w:div w:id="894969547">
      <w:bodyDiv w:val="1"/>
      <w:marLeft w:val="0"/>
      <w:marRight w:val="0"/>
      <w:marTop w:val="0"/>
      <w:marBottom w:val="0"/>
      <w:divBdr>
        <w:top w:val="none" w:sz="0" w:space="0" w:color="auto"/>
        <w:left w:val="none" w:sz="0" w:space="0" w:color="auto"/>
        <w:bottom w:val="none" w:sz="0" w:space="0" w:color="auto"/>
        <w:right w:val="none" w:sz="0" w:space="0" w:color="auto"/>
      </w:divBdr>
    </w:div>
    <w:div w:id="896011718">
      <w:bodyDiv w:val="1"/>
      <w:marLeft w:val="0"/>
      <w:marRight w:val="0"/>
      <w:marTop w:val="0"/>
      <w:marBottom w:val="0"/>
      <w:divBdr>
        <w:top w:val="none" w:sz="0" w:space="0" w:color="auto"/>
        <w:left w:val="none" w:sz="0" w:space="0" w:color="auto"/>
        <w:bottom w:val="none" w:sz="0" w:space="0" w:color="auto"/>
        <w:right w:val="none" w:sz="0" w:space="0" w:color="auto"/>
      </w:divBdr>
    </w:div>
    <w:div w:id="896671966">
      <w:bodyDiv w:val="1"/>
      <w:marLeft w:val="0"/>
      <w:marRight w:val="0"/>
      <w:marTop w:val="0"/>
      <w:marBottom w:val="0"/>
      <w:divBdr>
        <w:top w:val="none" w:sz="0" w:space="0" w:color="auto"/>
        <w:left w:val="none" w:sz="0" w:space="0" w:color="auto"/>
        <w:bottom w:val="none" w:sz="0" w:space="0" w:color="auto"/>
        <w:right w:val="none" w:sz="0" w:space="0" w:color="auto"/>
      </w:divBdr>
    </w:div>
    <w:div w:id="896746052">
      <w:bodyDiv w:val="1"/>
      <w:marLeft w:val="0"/>
      <w:marRight w:val="0"/>
      <w:marTop w:val="0"/>
      <w:marBottom w:val="0"/>
      <w:divBdr>
        <w:top w:val="none" w:sz="0" w:space="0" w:color="auto"/>
        <w:left w:val="none" w:sz="0" w:space="0" w:color="auto"/>
        <w:bottom w:val="none" w:sz="0" w:space="0" w:color="auto"/>
        <w:right w:val="none" w:sz="0" w:space="0" w:color="auto"/>
      </w:divBdr>
    </w:div>
    <w:div w:id="896823618">
      <w:bodyDiv w:val="1"/>
      <w:marLeft w:val="0"/>
      <w:marRight w:val="0"/>
      <w:marTop w:val="0"/>
      <w:marBottom w:val="0"/>
      <w:divBdr>
        <w:top w:val="none" w:sz="0" w:space="0" w:color="auto"/>
        <w:left w:val="none" w:sz="0" w:space="0" w:color="auto"/>
        <w:bottom w:val="none" w:sz="0" w:space="0" w:color="auto"/>
        <w:right w:val="none" w:sz="0" w:space="0" w:color="auto"/>
      </w:divBdr>
    </w:div>
    <w:div w:id="896863010">
      <w:bodyDiv w:val="1"/>
      <w:marLeft w:val="0"/>
      <w:marRight w:val="0"/>
      <w:marTop w:val="0"/>
      <w:marBottom w:val="0"/>
      <w:divBdr>
        <w:top w:val="none" w:sz="0" w:space="0" w:color="auto"/>
        <w:left w:val="none" w:sz="0" w:space="0" w:color="auto"/>
        <w:bottom w:val="none" w:sz="0" w:space="0" w:color="auto"/>
        <w:right w:val="none" w:sz="0" w:space="0" w:color="auto"/>
      </w:divBdr>
    </w:div>
    <w:div w:id="896890338">
      <w:bodyDiv w:val="1"/>
      <w:marLeft w:val="0"/>
      <w:marRight w:val="0"/>
      <w:marTop w:val="0"/>
      <w:marBottom w:val="0"/>
      <w:divBdr>
        <w:top w:val="none" w:sz="0" w:space="0" w:color="auto"/>
        <w:left w:val="none" w:sz="0" w:space="0" w:color="auto"/>
        <w:bottom w:val="none" w:sz="0" w:space="0" w:color="auto"/>
        <w:right w:val="none" w:sz="0" w:space="0" w:color="auto"/>
      </w:divBdr>
    </w:div>
    <w:div w:id="896941736">
      <w:bodyDiv w:val="1"/>
      <w:marLeft w:val="0"/>
      <w:marRight w:val="0"/>
      <w:marTop w:val="0"/>
      <w:marBottom w:val="0"/>
      <w:divBdr>
        <w:top w:val="none" w:sz="0" w:space="0" w:color="auto"/>
        <w:left w:val="none" w:sz="0" w:space="0" w:color="auto"/>
        <w:bottom w:val="none" w:sz="0" w:space="0" w:color="auto"/>
        <w:right w:val="none" w:sz="0" w:space="0" w:color="auto"/>
      </w:divBdr>
    </w:div>
    <w:div w:id="897133252">
      <w:bodyDiv w:val="1"/>
      <w:marLeft w:val="0"/>
      <w:marRight w:val="0"/>
      <w:marTop w:val="0"/>
      <w:marBottom w:val="0"/>
      <w:divBdr>
        <w:top w:val="none" w:sz="0" w:space="0" w:color="auto"/>
        <w:left w:val="none" w:sz="0" w:space="0" w:color="auto"/>
        <w:bottom w:val="none" w:sz="0" w:space="0" w:color="auto"/>
        <w:right w:val="none" w:sz="0" w:space="0" w:color="auto"/>
      </w:divBdr>
    </w:div>
    <w:div w:id="897786196">
      <w:bodyDiv w:val="1"/>
      <w:marLeft w:val="0"/>
      <w:marRight w:val="0"/>
      <w:marTop w:val="0"/>
      <w:marBottom w:val="0"/>
      <w:divBdr>
        <w:top w:val="none" w:sz="0" w:space="0" w:color="auto"/>
        <w:left w:val="none" w:sz="0" w:space="0" w:color="auto"/>
        <w:bottom w:val="none" w:sz="0" w:space="0" w:color="auto"/>
        <w:right w:val="none" w:sz="0" w:space="0" w:color="auto"/>
      </w:divBdr>
    </w:div>
    <w:div w:id="898633691">
      <w:bodyDiv w:val="1"/>
      <w:marLeft w:val="0"/>
      <w:marRight w:val="0"/>
      <w:marTop w:val="0"/>
      <w:marBottom w:val="0"/>
      <w:divBdr>
        <w:top w:val="none" w:sz="0" w:space="0" w:color="auto"/>
        <w:left w:val="none" w:sz="0" w:space="0" w:color="auto"/>
        <w:bottom w:val="none" w:sz="0" w:space="0" w:color="auto"/>
        <w:right w:val="none" w:sz="0" w:space="0" w:color="auto"/>
      </w:divBdr>
    </w:div>
    <w:div w:id="899050925">
      <w:bodyDiv w:val="1"/>
      <w:marLeft w:val="0"/>
      <w:marRight w:val="0"/>
      <w:marTop w:val="0"/>
      <w:marBottom w:val="0"/>
      <w:divBdr>
        <w:top w:val="none" w:sz="0" w:space="0" w:color="auto"/>
        <w:left w:val="none" w:sz="0" w:space="0" w:color="auto"/>
        <w:bottom w:val="none" w:sz="0" w:space="0" w:color="auto"/>
        <w:right w:val="none" w:sz="0" w:space="0" w:color="auto"/>
      </w:divBdr>
    </w:div>
    <w:div w:id="900139836">
      <w:bodyDiv w:val="1"/>
      <w:marLeft w:val="0"/>
      <w:marRight w:val="0"/>
      <w:marTop w:val="0"/>
      <w:marBottom w:val="0"/>
      <w:divBdr>
        <w:top w:val="none" w:sz="0" w:space="0" w:color="auto"/>
        <w:left w:val="none" w:sz="0" w:space="0" w:color="auto"/>
        <w:bottom w:val="none" w:sz="0" w:space="0" w:color="auto"/>
        <w:right w:val="none" w:sz="0" w:space="0" w:color="auto"/>
      </w:divBdr>
    </w:div>
    <w:div w:id="900213926">
      <w:bodyDiv w:val="1"/>
      <w:marLeft w:val="0"/>
      <w:marRight w:val="0"/>
      <w:marTop w:val="0"/>
      <w:marBottom w:val="0"/>
      <w:divBdr>
        <w:top w:val="none" w:sz="0" w:space="0" w:color="auto"/>
        <w:left w:val="none" w:sz="0" w:space="0" w:color="auto"/>
        <w:bottom w:val="none" w:sz="0" w:space="0" w:color="auto"/>
        <w:right w:val="none" w:sz="0" w:space="0" w:color="auto"/>
      </w:divBdr>
    </w:div>
    <w:div w:id="900554159">
      <w:bodyDiv w:val="1"/>
      <w:marLeft w:val="0"/>
      <w:marRight w:val="0"/>
      <w:marTop w:val="0"/>
      <w:marBottom w:val="0"/>
      <w:divBdr>
        <w:top w:val="none" w:sz="0" w:space="0" w:color="auto"/>
        <w:left w:val="none" w:sz="0" w:space="0" w:color="auto"/>
        <w:bottom w:val="none" w:sz="0" w:space="0" w:color="auto"/>
        <w:right w:val="none" w:sz="0" w:space="0" w:color="auto"/>
      </w:divBdr>
    </w:div>
    <w:div w:id="900560090">
      <w:bodyDiv w:val="1"/>
      <w:marLeft w:val="0"/>
      <w:marRight w:val="0"/>
      <w:marTop w:val="0"/>
      <w:marBottom w:val="0"/>
      <w:divBdr>
        <w:top w:val="none" w:sz="0" w:space="0" w:color="auto"/>
        <w:left w:val="none" w:sz="0" w:space="0" w:color="auto"/>
        <w:bottom w:val="none" w:sz="0" w:space="0" w:color="auto"/>
        <w:right w:val="none" w:sz="0" w:space="0" w:color="auto"/>
      </w:divBdr>
    </w:div>
    <w:div w:id="900598732">
      <w:bodyDiv w:val="1"/>
      <w:marLeft w:val="0"/>
      <w:marRight w:val="0"/>
      <w:marTop w:val="0"/>
      <w:marBottom w:val="0"/>
      <w:divBdr>
        <w:top w:val="none" w:sz="0" w:space="0" w:color="auto"/>
        <w:left w:val="none" w:sz="0" w:space="0" w:color="auto"/>
        <w:bottom w:val="none" w:sz="0" w:space="0" w:color="auto"/>
        <w:right w:val="none" w:sz="0" w:space="0" w:color="auto"/>
      </w:divBdr>
    </w:div>
    <w:div w:id="901060550">
      <w:bodyDiv w:val="1"/>
      <w:marLeft w:val="0"/>
      <w:marRight w:val="0"/>
      <w:marTop w:val="0"/>
      <w:marBottom w:val="0"/>
      <w:divBdr>
        <w:top w:val="none" w:sz="0" w:space="0" w:color="auto"/>
        <w:left w:val="none" w:sz="0" w:space="0" w:color="auto"/>
        <w:bottom w:val="none" w:sz="0" w:space="0" w:color="auto"/>
        <w:right w:val="none" w:sz="0" w:space="0" w:color="auto"/>
      </w:divBdr>
    </w:div>
    <w:div w:id="901714216">
      <w:bodyDiv w:val="1"/>
      <w:marLeft w:val="0"/>
      <w:marRight w:val="0"/>
      <w:marTop w:val="0"/>
      <w:marBottom w:val="0"/>
      <w:divBdr>
        <w:top w:val="none" w:sz="0" w:space="0" w:color="auto"/>
        <w:left w:val="none" w:sz="0" w:space="0" w:color="auto"/>
        <w:bottom w:val="none" w:sz="0" w:space="0" w:color="auto"/>
        <w:right w:val="none" w:sz="0" w:space="0" w:color="auto"/>
      </w:divBdr>
    </w:div>
    <w:div w:id="901797208">
      <w:bodyDiv w:val="1"/>
      <w:marLeft w:val="0"/>
      <w:marRight w:val="0"/>
      <w:marTop w:val="0"/>
      <w:marBottom w:val="0"/>
      <w:divBdr>
        <w:top w:val="none" w:sz="0" w:space="0" w:color="auto"/>
        <w:left w:val="none" w:sz="0" w:space="0" w:color="auto"/>
        <w:bottom w:val="none" w:sz="0" w:space="0" w:color="auto"/>
        <w:right w:val="none" w:sz="0" w:space="0" w:color="auto"/>
      </w:divBdr>
    </w:div>
    <w:div w:id="902907767">
      <w:bodyDiv w:val="1"/>
      <w:marLeft w:val="0"/>
      <w:marRight w:val="0"/>
      <w:marTop w:val="0"/>
      <w:marBottom w:val="0"/>
      <w:divBdr>
        <w:top w:val="none" w:sz="0" w:space="0" w:color="auto"/>
        <w:left w:val="none" w:sz="0" w:space="0" w:color="auto"/>
        <w:bottom w:val="none" w:sz="0" w:space="0" w:color="auto"/>
        <w:right w:val="none" w:sz="0" w:space="0" w:color="auto"/>
      </w:divBdr>
    </w:div>
    <w:div w:id="902982697">
      <w:bodyDiv w:val="1"/>
      <w:marLeft w:val="0"/>
      <w:marRight w:val="0"/>
      <w:marTop w:val="0"/>
      <w:marBottom w:val="0"/>
      <w:divBdr>
        <w:top w:val="none" w:sz="0" w:space="0" w:color="auto"/>
        <w:left w:val="none" w:sz="0" w:space="0" w:color="auto"/>
        <w:bottom w:val="none" w:sz="0" w:space="0" w:color="auto"/>
        <w:right w:val="none" w:sz="0" w:space="0" w:color="auto"/>
      </w:divBdr>
    </w:div>
    <w:div w:id="904493438">
      <w:bodyDiv w:val="1"/>
      <w:marLeft w:val="0"/>
      <w:marRight w:val="0"/>
      <w:marTop w:val="0"/>
      <w:marBottom w:val="0"/>
      <w:divBdr>
        <w:top w:val="none" w:sz="0" w:space="0" w:color="auto"/>
        <w:left w:val="none" w:sz="0" w:space="0" w:color="auto"/>
        <w:bottom w:val="none" w:sz="0" w:space="0" w:color="auto"/>
        <w:right w:val="none" w:sz="0" w:space="0" w:color="auto"/>
      </w:divBdr>
    </w:div>
    <w:div w:id="904996232">
      <w:bodyDiv w:val="1"/>
      <w:marLeft w:val="0"/>
      <w:marRight w:val="0"/>
      <w:marTop w:val="0"/>
      <w:marBottom w:val="0"/>
      <w:divBdr>
        <w:top w:val="none" w:sz="0" w:space="0" w:color="auto"/>
        <w:left w:val="none" w:sz="0" w:space="0" w:color="auto"/>
        <w:bottom w:val="none" w:sz="0" w:space="0" w:color="auto"/>
        <w:right w:val="none" w:sz="0" w:space="0" w:color="auto"/>
      </w:divBdr>
    </w:div>
    <w:div w:id="905143882">
      <w:bodyDiv w:val="1"/>
      <w:marLeft w:val="0"/>
      <w:marRight w:val="0"/>
      <w:marTop w:val="0"/>
      <w:marBottom w:val="0"/>
      <w:divBdr>
        <w:top w:val="none" w:sz="0" w:space="0" w:color="auto"/>
        <w:left w:val="none" w:sz="0" w:space="0" w:color="auto"/>
        <w:bottom w:val="none" w:sz="0" w:space="0" w:color="auto"/>
        <w:right w:val="none" w:sz="0" w:space="0" w:color="auto"/>
      </w:divBdr>
    </w:div>
    <w:div w:id="905648247">
      <w:bodyDiv w:val="1"/>
      <w:marLeft w:val="0"/>
      <w:marRight w:val="0"/>
      <w:marTop w:val="0"/>
      <w:marBottom w:val="0"/>
      <w:divBdr>
        <w:top w:val="none" w:sz="0" w:space="0" w:color="auto"/>
        <w:left w:val="none" w:sz="0" w:space="0" w:color="auto"/>
        <w:bottom w:val="none" w:sz="0" w:space="0" w:color="auto"/>
        <w:right w:val="none" w:sz="0" w:space="0" w:color="auto"/>
      </w:divBdr>
    </w:div>
    <w:div w:id="905724113">
      <w:bodyDiv w:val="1"/>
      <w:marLeft w:val="0"/>
      <w:marRight w:val="0"/>
      <w:marTop w:val="0"/>
      <w:marBottom w:val="0"/>
      <w:divBdr>
        <w:top w:val="none" w:sz="0" w:space="0" w:color="auto"/>
        <w:left w:val="none" w:sz="0" w:space="0" w:color="auto"/>
        <w:bottom w:val="none" w:sz="0" w:space="0" w:color="auto"/>
        <w:right w:val="none" w:sz="0" w:space="0" w:color="auto"/>
      </w:divBdr>
    </w:div>
    <w:div w:id="906845176">
      <w:bodyDiv w:val="1"/>
      <w:marLeft w:val="0"/>
      <w:marRight w:val="0"/>
      <w:marTop w:val="0"/>
      <w:marBottom w:val="0"/>
      <w:divBdr>
        <w:top w:val="none" w:sz="0" w:space="0" w:color="auto"/>
        <w:left w:val="none" w:sz="0" w:space="0" w:color="auto"/>
        <w:bottom w:val="none" w:sz="0" w:space="0" w:color="auto"/>
        <w:right w:val="none" w:sz="0" w:space="0" w:color="auto"/>
      </w:divBdr>
    </w:div>
    <w:div w:id="907691792">
      <w:bodyDiv w:val="1"/>
      <w:marLeft w:val="0"/>
      <w:marRight w:val="0"/>
      <w:marTop w:val="0"/>
      <w:marBottom w:val="0"/>
      <w:divBdr>
        <w:top w:val="none" w:sz="0" w:space="0" w:color="auto"/>
        <w:left w:val="none" w:sz="0" w:space="0" w:color="auto"/>
        <w:bottom w:val="none" w:sz="0" w:space="0" w:color="auto"/>
        <w:right w:val="none" w:sz="0" w:space="0" w:color="auto"/>
      </w:divBdr>
    </w:div>
    <w:div w:id="909467839">
      <w:bodyDiv w:val="1"/>
      <w:marLeft w:val="0"/>
      <w:marRight w:val="0"/>
      <w:marTop w:val="0"/>
      <w:marBottom w:val="0"/>
      <w:divBdr>
        <w:top w:val="none" w:sz="0" w:space="0" w:color="auto"/>
        <w:left w:val="none" w:sz="0" w:space="0" w:color="auto"/>
        <w:bottom w:val="none" w:sz="0" w:space="0" w:color="auto"/>
        <w:right w:val="none" w:sz="0" w:space="0" w:color="auto"/>
      </w:divBdr>
    </w:div>
    <w:div w:id="909541367">
      <w:bodyDiv w:val="1"/>
      <w:marLeft w:val="0"/>
      <w:marRight w:val="0"/>
      <w:marTop w:val="0"/>
      <w:marBottom w:val="0"/>
      <w:divBdr>
        <w:top w:val="none" w:sz="0" w:space="0" w:color="auto"/>
        <w:left w:val="none" w:sz="0" w:space="0" w:color="auto"/>
        <w:bottom w:val="none" w:sz="0" w:space="0" w:color="auto"/>
        <w:right w:val="none" w:sz="0" w:space="0" w:color="auto"/>
      </w:divBdr>
    </w:div>
    <w:div w:id="909576414">
      <w:bodyDiv w:val="1"/>
      <w:marLeft w:val="0"/>
      <w:marRight w:val="0"/>
      <w:marTop w:val="0"/>
      <w:marBottom w:val="0"/>
      <w:divBdr>
        <w:top w:val="none" w:sz="0" w:space="0" w:color="auto"/>
        <w:left w:val="none" w:sz="0" w:space="0" w:color="auto"/>
        <w:bottom w:val="none" w:sz="0" w:space="0" w:color="auto"/>
        <w:right w:val="none" w:sz="0" w:space="0" w:color="auto"/>
      </w:divBdr>
    </w:div>
    <w:div w:id="909772997">
      <w:bodyDiv w:val="1"/>
      <w:marLeft w:val="0"/>
      <w:marRight w:val="0"/>
      <w:marTop w:val="0"/>
      <w:marBottom w:val="0"/>
      <w:divBdr>
        <w:top w:val="none" w:sz="0" w:space="0" w:color="auto"/>
        <w:left w:val="none" w:sz="0" w:space="0" w:color="auto"/>
        <w:bottom w:val="none" w:sz="0" w:space="0" w:color="auto"/>
        <w:right w:val="none" w:sz="0" w:space="0" w:color="auto"/>
      </w:divBdr>
    </w:div>
    <w:div w:id="910500696">
      <w:bodyDiv w:val="1"/>
      <w:marLeft w:val="0"/>
      <w:marRight w:val="0"/>
      <w:marTop w:val="0"/>
      <w:marBottom w:val="0"/>
      <w:divBdr>
        <w:top w:val="none" w:sz="0" w:space="0" w:color="auto"/>
        <w:left w:val="none" w:sz="0" w:space="0" w:color="auto"/>
        <w:bottom w:val="none" w:sz="0" w:space="0" w:color="auto"/>
        <w:right w:val="none" w:sz="0" w:space="0" w:color="auto"/>
      </w:divBdr>
    </w:div>
    <w:div w:id="910503150">
      <w:bodyDiv w:val="1"/>
      <w:marLeft w:val="0"/>
      <w:marRight w:val="0"/>
      <w:marTop w:val="0"/>
      <w:marBottom w:val="0"/>
      <w:divBdr>
        <w:top w:val="none" w:sz="0" w:space="0" w:color="auto"/>
        <w:left w:val="none" w:sz="0" w:space="0" w:color="auto"/>
        <w:bottom w:val="none" w:sz="0" w:space="0" w:color="auto"/>
        <w:right w:val="none" w:sz="0" w:space="0" w:color="auto"/>
      </w:divBdr>
    </w:div>
    <w:div w:id="911084014">
      <w:bodyDiv w:val="1"/>
      <w:marLeft w:val="0"/>
      <w:marRight w:val="0"/>
      <w:marTop w:val="0"/>
      <w:marBottom w:val="0"/>
      <w:divBdr>
        <w:top w:val="none" w:sz="0" w:space="0" w:color="auto"/>
        <w:left w:val="none" w:sz="0" w:space="0" w:color="auto"/>
        <w:bottom w:val="none" w:sz="0" w:space="0" w:color="auto"/>
        <w:right w:val="none" w:sz="0" w:space="0" w:color="auto"/>
      </w:divBdr>
    </w:div>
    <w:div w:id="911307317">
      <w:bodyDiv w:val="1"/>
      <w:marLeft w:val="0"/>
      <w:marRight w:val="0"/>
      <w:marTop w:val="0"/>
      <w:marBottom w:val="0"/>
      <w:divBdr>
        <w:top w:val="none" w:sz="0" w:space="0" w:color="auto"/>
        <w:left w:val="none" w:sz="0" w:space="0" w:color="auto"/>
        <w:bottom w:val="none" w:sz="0" w:space="0" w:color="auto"/>
        <w:right w:val="none" w:sz="0" w:space="0" w:color="auto"/>
      </w:divBdr>
    </w:div>
    <w:div w:id="911351748">
      <w:bodyDiv w:val="1"/>
      <w:marLeft w:val="0"/>
      <w:marRight w:val="0"/>
      <w:marTop w:val="0"/>
      <w:marBottom w:val="0"/>
      <w:divBdr>
        <w:top w:val="none" w:sz="0" w:space="0" w:color="auto"/>
        <w:left w:val="none" w:sz="0" w:space="0" w:color="auto"/>
        <w:bottom w:val="none" w:sz="0" w:space="0" w:color="auto"/>
        <w:right w:val="none" w:sz="0" w:space="0" w:color="auto"/>
      </w:divBdr>
    </w:div>
    <w:div w:id="911354937">
      <w:bodyDiv w:val="1"/>
      <w:marLeft w:val="0"/>
      <w:marRight w:val="0"/>
      <w:marTop w:val="0"/>
      <w:marBottom w:val="0"/>
      <w:divBdr>
        <w:top w:val="none" w:sz="0" w:space="0" w:color="auto"/>
        <w:left w:val="none" w:sz="0" w:space="0" w:color="auto"/>
        <w:bottom w:val="none" w:sz="0" w:space="0" w:color="auto"/>
        <w:right w:val="none" w:sz="0" w:space="0" w:color="auto"/>
      </w:divBdr>
    </w:div>
    <w:div w:id="911814827">
      <w:bodyDiv w:val="1"/>
      <w:marLeft w:val="0"/>
      <w:marRight w:val="0"/>
      <w:marTop w:val="0"/>
      <w:marBottom w:val="0"/>
      <w:divBdr>
        <w:top w:val="none" w:sz="0" w:space="0" w:color="auto"/>
        <w:left w:val="none" w:sz="0" w:space="0" w:color="auto"/>
        <w:bottom w:val="none" w:sz="0" w:space="0" w:color="auto"/>
        <w:right w:val="none" w:sz="0" w:space="0" w:color="auto"/>
      </w:divBdr>
    </w:div>
    <w:div w:id="911888366">
      <w:bodyDiv w:val="1"/>
      <w:marLeft w:val="0"/>
      <w:marRight w:val="0"/>
      <w:marTop w:val="0"/>
      <w:marBottom w:val="0"/>
      <w:divBdr>
        <w:top w:val="none" w:sz="0" w:space="0" w:color="auto"/>
        <w:left w:val="none" w:sz="0" w:space="0" w:color="auto"/>
        <w:bottom w:val="none" w:sz="0" w:space="0" w:color="auto"/>
        <w:right w:val="none" w:sz="0" w:space="0" w:color="auto"/>
      </w:divBdr>
    </w:div>
    <w:div w:id="912659964">
      <w:bodyDiv w:val="1"/>
      <w:marLeft w:val="0"/>
      <w:marRight w:val="0"/>
      <w:marTop w:val="0"/>
      <w:marBottom w:val="0"/>
      <w:divBdr>
        <w:top w:val="none" w:sz="0" w:space="0" w:color="auto"/>
        <w:left w:val="none" w:sz="0" w:space="0" w:color="auto"/>
        <w:bottom w:val="none" w:sz="0" w:space="0" w:color="auto"/>
        <w:right w:val="none" w:sz="0" w:space="0" w:color="auto"/>
      </w:divBdr>
    </w:div>
    <w:div w:id="912855592">
      <w:bodyDiv w:val="1"/>
      <w:marLeft w:val="0"/>
      <w:marRight w:val="0"/>
      <w:marTop w:val="0"/>
      <w:marBottom w:val="0"/>
      <w:divBdr>
        <w:top w:val="none" w:sz="0" w:space="0" w:color="auto"/>
        <w:left w:val="none" w:sz="0" w:space="0" w:color="auto"/>
        <w:bottom w:val="none" w:sz="0" w:space="0" w:color="auto"/>
        <w:right w:val="none" w:sz="0" w:space="0" w:color="auto"/>
      </w:divBdr>
    </w:div>
    <w:div w:id="913128132">
      <w:bodyDiv w:val="1"/>
      <w:marLeft w:val="0"/>
      <w:marRight w:val="0"/>
      <w:marTop w:val="0"/>
      <w:marBottom w:val="0"/>
      <w:divBdr>
        <w:top w:val="none" w:sz="0" w:space="0" w:color="auto"/>
        <w:left w:val="none" w:sz="0" w:space="0" w:color="auto"/>
        <w:bottom w:val="none" w:sz="0" w:space="0" w:color="auto"/>
        <w:right w:val="none" w:sz="0" w:space="0" w:color="auto"/>
      </w:divBdr>
    </w:div>
    <w:div w:id="913200503">
      <w:bodyDiv w:val="1"/>
      <w:marLeft w:val="0"/>
      <w:marRight w:val="0"/>
      <w:marTop w:val="0"/>
      <w:marBottom w:val="0"/>
      <w:divBdr>
        <w:top w:val="none" w:sz="0" w:space="0" w:color="auto"/>
        <w:left w:val="none" w:sz="0" w:space="0" w:color="auto"/>
        <w:bottom w:val="none" w:sz="0" w:space="0" w:color="auto"/>
        <w:right w:val="none" w:sz="0" w:space="0" w:color="auto"/>
      </w:divBdr>
    </w:div>
    <w:div w:id="913511951">
      <w:bodyDiv w:val="1"/>
      <w:marLeft w:val="0"/>
      <w:marRight w:val="0"/>
      <w:marTop w:val="0"/>
      <w:marBottom w:val="0"/>
      <w:divBdr>
        <w:top w:val="none" w:sz="0" w:space="0" w:color="auto"/>
        <w:left w:val="none" w:sz="0" w:space="0" w:color="auto"/>
        <w:bottom w:val="none" w:sz="0" w:space="0" w:color="auto"/>
        <w:right w:val="none" w:sz="0" w:space="0" w:color="auto"/>
      </w:divBdr>
    </w:div>
    <w:div w:id="913586000">
      <w:bodyDiv w:val="1"/>
      <w:marLeft w:val="0"/>
      <w:marRight w:val="0"/>
      <w:marTop w:val="0"/>
      <w:marBottom w:val="0"/>
      <w:divBdr>
        <w:top w:val="none" w:sz="0" w:space="0" w:color="auto"/>
        <w:left w:val="none" w:sz="0" w:space="0" w:color="auto"/>
        <w:bottom w:val="none" w:sz="0" w:space="0" w:color="auto"/>
        <w:right w:val="none" w:sz="0" w:space="0" w:color="auto"/>
      </w:divBdr>
    </w:div>
    <w:div w:id="915439102">
      <w:bodyDiv w:val="1"/>
      <w:marLeft w:val="0"/>
      <w:marRight w:val="0"/>
      <w:marTop w:val="0"/>
      <w:marBottom w:val="0"/>
      <w:divBdr>
        <w:top w:val="none" w:sz="0" w:space="0" w:color="auto"/>
        <w:left w:val="none" w:sz="0" w:space="0" w:color="auto"/>
        <w:bottom w:val="none" w:sz="0" w:space="0" w:color="auto"/>
        <w:right w:val="none" w:sz="0" w:space="0" w:color="auto"/>
      </w:divBdr>
    </w:div>
    <w:div w:id="915482370">
      <w:bodyDiv w:val="1"/>
      <w:marLeft w:val="0"/>
      <w:marRight w:val="0"/>
      <w:marTop w:val="0"/>
      <w:marBottom w:val="0"/>
      <w:divBdr>
        <w:top w:val="none" w:sz="0" w:space="0" w:color="auto"/>
        <w:left w:val="none" w:sz="0" w:space="0" w:color="auto"/>
        <w:bottom w:val="none" w:sz="0" w:space="0" w:color="auto"/>
        <w:right w:val="none" w:sz="0" w:space="0" w:color="auto"/>
      </w:divBdr>
    </w:div>
    <w:div w:id="915824177">
      <w:bodyDiv w:val="1"/>
      <w:marLeft w:val="0"/>
      <w:marRight w:val="0"/>
      <w:marTop w:val="0"/>
      <w:marBottom w:val="0"/>
      <w:divBdr>
        <w:top w:val="none" w:sz="0" w:space="0" w:color="auto"/>
        <w:left w:val="none" w:sz="0" w:space="0" w:color="auto"/>
        <w:bottom w:val="none" w:sz="0" w:space="0" w:color="auto"/>
        <w:right w:val="none" w:sz="0" w:space="0" w:color="auto"/>
      </w:divBdr>
    </w:div>
    <w:div w:id="916020517">
      <w:bodyDiv w:val="1"/>
      <w:marLeft w:val="0"/>
      <w:marRight w:val="0"/>
      <w:marTop w:val="0"/>
      <w:marBottom w:val="0"/>
      <w:divBdr>
        <w:top w:val="none" w:sz="0" w:space="0" w:color="auto"/>
        <w:left w:val="none" w:sz="0" w:space="0" w:color="auto"/>
        <w:bottom w:val="none" w:sz="0" w:space="0" w:color="auto"/>
        <w:right w:val="none" w:sz="0" w:space="0" w:color="auto"/>
      </w:divBdr>
    </w:div>
    <w:div w:id="917055971">
      <w:bodyDiv w:val="1"/>
      <w:marLeft w:val="0"/>
      <w:marRight w:val="0"/>
      <w:marTop w:val="0"/>
      <w:marBottom w:val="0"/>
      <w:divBdr>
        <w:top w:val="none" w:sz="0" w:space="0" w:color="auto"/>
        <w:left w:val="none" w:sz="0" w:space="0" w:color="auto"/>
        <w:bottom w:val="none" w:sz="0" w:space="0" w:color="auto"/>
        <w:right w:val="none" w:sz="0" w:space="0" w:color="auto"/>
      </w:divBdr>
    </w:div>
    <w:div w:id="917135482">
      <w:bodyDiv w:val="1"/>
      <w:marLeft w:val="0"/>
      <w:marRight w:val="0"/>
      <w:marTop w:val="0"/>
      <w:marBottom w:val="0"/>
      <w:divBdr>
        <w:top w:val="none" w:sz="0" w:space="0" w:color="auto"/>
        <w:left w:val="none" w:sz="0" w:space="0" w:color="auto"/>
        <w:bottom w:val="none" w:sz="0" w:space="0" w:color="auto"/>
        <w:right w:val="none" w:sz="0" w:space="0" w:color="auto"/>
      </w:divBdr>
    </w:div>
    <w:div w:id="917516520">
      <w:bodyDiv w:val="1"/>
      <w:marLeft w:val="0"/>
      <w:marRight w:val="0"/>
      <w:marTop w:val="0"/>
      <w:marBottom w:val="0"/>
      <w:divBdr>
        <w:top w:val="none" w:sz="0" w:space="0" w:color="auto"/>
        <w:left w:val="none" w:sz="0" w:space="0" w:color="auto"/>
        <w:bottom w:val="none" w:sz="0" w:space="0" w:color="auto"/>
        <w:right w:val="none" w:sz="0" w:space="0" w:color="auto"/>
      </w:divBdr>
    </w:div>
    <w:div w:id="917596118">
      <w:bodyDiv w:val="1"/>
      <w:marLeft w:val="0"/>
      <w:marRight w:val="0"/>
      <w:marTop w:val="0"/>
      <w:marBottom w:val="0"/>
      <w:divBdr>
        <w:top w:val="none" w:sz="0" w:space="0" w:color="auto"/>
        <w:left w:val="none" w:sz="0" w:space="0" w:color="auto"/>
        <w:bottom w:val="none" w:sz="0" w:space="0" w:color="auto"/>
        <w:right w:val="none" w:sz="0" w:space="0" w:color="auto"/>
      </w:divBdr>
    </w:div>
    <w:div w:id="919145150">
      <w:bodyDiv w:val="1"/>
      <w:marLeft w:val="0"/>
      <w:marRight w:val="0"/>
      <w:marTop w:val="0"/>
      <w:marBottom w:val="0"/>
      <w:divBdr>
        <w:top w:val="none" w:sz="0" w:space="0" w:color="auto"/>
        <w:left w:val="none" w:sz="0" w:space="0" w:color="auto"/>
        <w:bottom w:val="none" w:sz="0" w:space="0" w:color="auto"/>
        <w:right w:val="none" w:sz="0" w:space="0" w:color="auto"/>
      </w:divBdr>
    </w:div>
    <w:div w:id="919752278">
      <w:bodyDiv w:val="1"/>
      <w:marLeft w:val="0"/>
      <w:marRight w:val="0"/>
      <w:marTop w:val="0"/>
      <w:marBottom w:val="0"/>
      <w:divBdr>
        <w:top w:val="none" w:sz="0" w:space="0" w:color="auto"/>
        <w:left w:val="none" w:sz="0" w:space="0" w:color="auto"/>
        <w:bottom w:val="none" w:sz="0" w:space="0" w:color="auto"/>
        <w:right w:val="none" w:sz="0" w:space="0" w:color="auto"/>
      </w:divBdr>
    </w:div>
    <w:div w:id="919753253">
      <w:bodyDiv w:val="1"/>
      <w:marLeft w:val="0"/>
      <w:marRight w:val="0"/>
      <w:marTop w:val="0"/>
      <w:marBottom w:val="0"/>
      <w:divBdr>
        <w:top w:val="none" w:sz="0" w:space="0" w:color="auto"/>
        <w:left w:val="none" w:sz="0" w:space="0" w:color="auto"/>
        <w:bottom w:val="none" w:sz="0" w:space="0" w:color="auto"/>
        <w:right w:val="none" w:sz="0" w:space="0" w:color="auto"/>
      </w:divBdr>
    </w:div>
    <w:div w:id="920286717">
      <w:bodyDiv w:val="1"/>
      <w:marLeft w:val="0"/>
      <w:marRight w:val="0"/>
      <w:marTop w:val="0"/>
      <w:marBottom w:val="0"/>
      <w:divBdr>
        <w:top w:val="none" w:sz="0" w:space="0" w:color="auto"/>
        <w:left w:val="none" w:sz="0" w:space="0" w:color="auto"/>
        <w:bottom w:val="none" w:sz="0" w:space="0" w:color="auto"/>
        <w:right w:val="none" w:sz="0" w:space="0" w:color="auto"/>
      </w:divBdr>
    </w:div>
    <w:div w:id="920335967">
      <w:bodyDiv w:val="1"/>
      <w:marLeft w:val="0"/>
      <w:marRight w:val="0"/>
      <w:marTop w:val="0"/>
      <w:marBottom w:val="0"/>
      <w:divBdr>
        <w:top w:val="none" w:sz="0" w:space="0" w:color="auto"/>
        <w:left w:val="none" w:sz="0" w:space="0" w:color="auto"/>
        <w:bottom w:val="none" w:sz="0" w:space="0" w:color="auto"/>
        <w:right w:val="none" w:sz="0" w:space="0" w:color="auto"/>
      </w:divBdr>
    </w:div>
    <w:div w:id="920601297">
      <w:bodyDiv w:val="1"/>
      <w:marLeft w:val="0"/>
      <w:marRight w:val="0"/>
      <w:marTop w:val="0"/>
      <w:marBottom w:val="0"/>
      <w:divBdr>
        <w:top w:val="none" w:sz="0" w:space="0" w:color="auto"/>
        <w:left w:val="none" w:sz="0" w:space="0" w:color="auto"/>
        <w:bottom w:val="none" w:sz="0" w:space="0" w:color="auto"/>
        <w:right w:val="none" w:sz="0" w:space="0" w:color="auto"/>
      </w:divBdr>
    </w:div>
    <w:div w:id="920674646">
      <w:bodyDiv w:val="1"/>
      <w:marLeft w:val="0"/>
      <w:marRight w:val="0"/>
      <w:marTop w:val="0"/>
      <w:marBottom w:val="0"/>
      <w:divBdr>
        <w:top w:val="none" w:sz="0" w:space="0" w:color="auto"/>
        <w:left w:val="none" w:sz="0" w:space="0" w:color="auto"/>
        <w:bottom w:val="none" w:sz="0" w:space="0" w:color="auto"/>
        <w:right w:val="none" w:sz="0" w:space="0" w:color="auto"/>
      </w:divBdr>
    </w:div>
    <w:div w:id="921064843">
      <w:bodyDiv w:val="1"/>
      <w:marLeft w:val="0"/>
      <w:marRight w:val="0"/>
      <w:marTop w:val="0"/>
      <w:marBottom w:val="0"/>
      <w:divBdr>
        <w:top w:val="none" w:sz="0" w:space="0" w:color="auto"/>
        <w:left w:val="none" w:sz="0" w:space="0" w:color="auto"/>
        <w:bottom w:val="none" w:sz="0" w:space="0" w:color="auto"/>
        <w:right w:val="none" w:sz="0" w:space="0" w:color="auto"/>
      </w:divBdr>
    </w:div>
    <w:div w:id="921333276">
      <w:bodyDiv w:val="1"/>
      <w:marLeft w:val="0"/>
      <w:marRight w:val="0"/>
      <w:marTop w:val="0"/>
      <w:marBottom w:val="0"/>
      <w:divBdr>
        <w:top w:val="none" w:sz="0" w:space="0" w:color="auto"/>
        <w:left w:val="none" w:sz="0" w:space="0" w:color="auto"/>
        <w:bottom w:val="none" w:sz="0" w:space="0" w:color="auto"/>
        <w:right w:val="none" w:sz="0" w:space="0" w:color="auto"/>
      </w:divBdr>
    </w:div>
    <w:div w:id="921450476">
      <w:bodyDiv w:val="1"/>
      <w:marLeft w:val="0"/>
      <w:marRight w:val="0"/>
      <w:marTop w:val="0"/>
      <w:marBottom w:val="0"/>
      <w:divBdr>
        <w:top w:val="none" w:sz="0" w:space="0" w:color="auto"/>
        <w:left w:val="none" w:sz="0" w:space="0" w:color="auto"/>
        <w:bottom w:val="none" w:sz="0" w:space="0" w:color="auto"/>
        <w:right w:val="none" w:sz="0" w:space="0" w:color="auto"/>
      </w:divBdr>
    </w:div>
    <w:div w:id="921524280">
      <w:bodyDiv w:val="1"/>
      <w:marLeft w:val="0"/>
      <w:marRight w:val="0"/>
      <w:marTop w:val="0"/>
      <w:marBottom w:val="0"/>
      <w:divBdr>
        <w:top w:val="none" w:sz="0" w:space="0" w:color="auto"/>
        <w:left w:val="none" w:sz="0" w:space="0" w:color="auto"/>
        <w:bottom w:val="none" w:sz="0" w:space="0" w:color="auto"/>
        <w:right w:val="none" w:sz="0" w:space="0" w:color="auto"/>
      </w:divBdr>
    </w:div>
    <w:div w:id="921988188">
      <w:bodyDiv w:val="1"/>
      <w:marLeft w:val="0"/>
      <w:marRight w:val="0"/>
      <w:marTop w:val="0"/>
      <w:marBottom w:val="0"/>
      <w:divBdr>
        <w:top w:val="none" w:sz="0" w:space="0" w:color="auto"/>
        <w:left w:val="none" w:sz="0" w:space="0" w:color="auto"/>
        <w:bottom w:val="none" w:sz="0" w:space="0" w:color="auto"/>
        <w:right w:val="none" w:sz="0" w:space="0" w:color="auto"/>
      </w:divBdr>
    </w:div>
    <w:div w:id="922180246">
      <w:bodyDiv w:val="1"/>
      <w:marLeft w:val="0"/>
      <w:marRight w:val="0"/>
      <w:marTop w:val="0"/>
      <w:marBottom w:val="0"/>
      <w:divBdr>
        <w:top w:val="none" w:sz="0" w:space="0" w:color="auto"/>
        <w:left w:val="none" w:sz="0" w:space="0" w:color="auto"/>
        <w:bottom w:val="none" w:sz="0" w:space="0" w:color="auto"/>
        <w:right w:val="none" w:sz="0" w:space="0" w:color="auto"/>
      </w:divBdr>
    </w:div>
    <w:div w:id="922689768">
      <w:bodyDiv w:val="1"/>
      <w:marLeft w:val="0"/>
      <w:marRight w:val="0"/>
      <w:marTop w:val="0"/>
      <w:marBottom w:val="0"/>
      <w:divBdr>
        <w:top w:val="none" w:sz="0" w:space="0" w:color="auto"/>
        <w:left w:val="none" w:sz="0" w:space="0" w:color="auto"/>
        <w:bottom w:val="none" w:sz="0" w:space="0" w:color="auto"/>
        <w:right w:val="none" w:sz="0" w:space="0" w:color="auto"/>
      </w:divBdr>
    </w:div>
    <w:div w:id="923103417">
      <w:bodyDiv w:val="1"/>
      <w:marLeft w:val="0"/>
      <w:marRight w:val="0"/>
      <w:marTop w:val="0"/>
      <w:marBottom w:val="0"/>
      <w:divBdr>
        <w:top w:val="none" w:sz="0" w:space="0" w:color="auto"/>
        <w:left w:val="none" w:sz="0" w:space="0" w:color="auto"/>
        <w:bottom w:val="none" w:sz="0" w:space="0" w:color="auto"/>
        <w:right w:val="none" w:sz="0" w:space="0" w:color="auto"/>
      </w:divBdr>
    </w:div>
    <w:div w:id="923420966">
      <w:bodyDiv w:val="1"/>
      <w:marLeft w:val="0"/>
      <w:marRight w:val="0"/>
      <w:marTop w:val="0"/>
      <w:marBottom w:val="0"/>
      <w:divBdr>
        <w:top w:val="none" w:sz="0" w:space="0" w:color="auto"/>
        <w:left w:val="none" w:sz="0" w:space="0" w:color="auto"/>
        <w:bottom w:val="none" w:sz="0" w:space="0" w:color="auto"/>
        <w:right w:val="none" w:sz="0" w:space="0" w:color="auto"/>
      </w:divBdr>
    </w:div>
    <w:div w:id="924069897">
      <w:bodyDiv w:val="1"/>
      <w:marLeft w:val="0"/>
      <w:marRight w:val="0"/>
      <w:marTop w:val="0"/>
      <w:marBottom w:val="0"/>
      <w:divBdr>
        <w:top w:val="none" w:sz="0" w:space="0" w:color="auto"/>
        <w:left w:val="none" w:sz="0" w:space="0" w:color="auto"/>
        <w:bottom w:val="none" w:sz="0" w:space="0" w:color="auto"/>
        <w:right w:val="none" w:sz="0" w:space="0" w:color="auto"/>
      </w:divBdr>
    </w:div>
    <w:div w:id="924342361">
      <w:bodyDiv w:val="1"/>
      <w:marLeft w:val="0"/>
      <w:marRight w:val="0"/>
      <w:marTop w:val="0"/>
      <w:marBottom w:val="0"/>
      <w:divBdr>
        <w:top w:val="none" w:sz="0" w:space="0" w:color="auto"/>
        <w:left w:val="none" w:sz="0" w:space="0" w:color="auto"/>
        <w:bottom w:val="none" w:sz="0" w:space="0" w:color="auto"/>
        <w:right w:val="none" w:sz="0" w:space="0" w:color="auto"/>
      </w:divBdr>
    </w:div>
    <w:div w:id="924994306">
      <w:bodyDiv w:val="1"/>
      <w:marLeft w:val="0"/>
      <w:marRight w:val="0"/>
      <w:marTop w:val="0"/>
      <w:marBottom w:val="0"/>
      <w:divBdr>
        <w:top w:val="none" w:sz="0" w:space="0" w:color="auto"/>
        <w:left w:val="none" w:sz="0" w:space="0" w:color="auto"/>
        <w:bottom w:val="none" w:sz="0" w:space="0" w:color="auto"/>
        <w:right w:val="none" w:sz="0" w:space="0" w:color="auto"/>
      </w:divBdr>
    </w:div>
    <w:div w:id="925266775">
      <w:bodyDiv w:val="1"/>
      <w:marLeft w:val="0"/>
      <w:marRight w:val="0"/>
      <w:marTop w:val="0"/>
      <w:marBottom w:val="0"/>
      <w:divBdr>
        <w:top w:val="none" w:sz="0" w:space="0" w:color="auto"/>
        <w:left w:val="none" w:sz="0" w:space="0" w:color="auto"/>
        <w:bottom w:val="none" w:sz="0" w:space="0" w:color="auto"/>
        <w:right w:val="none" w:sz="0" w:space="0" w:color="auto"/>
      </w:divBdr>
    </w:div>
    <w:div w:id="927271441">
      <w:bodyDiv w:val="1"/>
      <w:marLeft w:val="0"/>
      <w:marRight w:val="0"/>
      <w:marTop w:val="0"/>
      <w:marBottom w:val="0"/>
      <w:divBdr>
        <w:top w:val="none" w:sz="0" w:space="0" w:color="auto"/>
        <w:left w:val="none" w:sz="0" w:space="0" w:color="auto"/>
        <w:bottom w:val="none" w:sz="0" w:space="0" w:color="auto"/>
        <w:right w:val="none" w:sz="0" w:space="0" w:color="auto"/>
      </w:divBdr>
    </w:div>
    <w:div w:id="927737361">
      <w:bodyDiv w:val="1"/>
      <w:marLeft w:val="0"/>
      <w:marRight w:val="0"/>
      <w:marTop w:val="0"/>
      <w:marBottom w:val="0"/>
      <w:divBdr>
        <w:top w:val="none" w:sz="0" w:space="0" w:color="auto"/>
        <w:left w:val="none" w:sz="0" w:space="0" w:color="auto"/>
        <w:bottom w:val="none" w:sz="0" w:space="0" w:color="auto"/>
        <w:right w:val="none" w:sz="0" w:space="0" w:color="auto"/>
      </w:divBdr>
    </w:div>
    <w:div w:id="927889039">
      <w:bodyDiv w:val="1"/>
      <w:marLeft w:val="0"/>
      <w:marRight w:val="0"/>
      <w:marTop w:val="0"/>
      <w:marBottom w:val="0"/>
      <w:divBdr>
        <w:top w:val="none" w:sz="0" w:space="0" w:color="auto"/>
        <w:left w:val="none" w:sz="0" w:space="0" w:color="auto"/>
        <w:bottom w:val="none" w:sz="0" w:space="0" w:color="auto"/>
        <w:right w:val="none" w:sz="0" w:space="0" w:color="auto"/>
      </w:divBdr>
    </w:div>
    <w:div w:id="928386438">
      <w:bodyDiv w:val="1"/>
      <w:marLeft w:val="0"/>
      <w:marRight w:val="0"/>
      <w:marTop w:val="0"/>
      <w:marBottom w:val="0"/>
      <w:divBdr>
        <w:top w:val="none" w:sz="0" w:space="0" w:color="auto"/>
        <w:left w:val="none" w:sz="0" w:space="0" w:color="auto"/>
        <w:bottom w:val="none" w:sz="0" w:space="0" w:color="auto"/>
        <w:right w:val="none" w:sz="0" w:space="0" w:color="auto"/>
      </w:divBdr>
    </w:div>
    <w:div w:id="928579704">
      <w:bodyDiv w:val="1"/>
      <w:marLeft w:val="0"/>
      <w:marRight w:val="0"/>
      <w:marTop w:val="0"/>
      <w:marBottom w:val="0"/>
      <w:divBdr>
        <w:top w:val="none" w:sz="0" w:space="0" w:color="auto"/>
        <w:left w:val="none" w:sz="0" w:space="0" w:color="auto"/>
        <w:bottom w:val="none" w:sz="0" w:space="0" w:color="auto"/>
        <w:right w:val="none" w:sz="0" w:space="0" w:color="auto"/>
      </w:divBdr>
    </w:div>
    <w:div w:id="929000172">
      <w:bodyDiv w:val="1"/>
      <w:marLeft w:val="0"/>
      <w:marRight w:val="0"/>
      <w:marTop w:val="0"/>
      <w:marBottom w:val="0"/>
      <w:divBdr>
        <w:top w:val="none" w:sz="0" w:space="0" w:color="auto"/>
        <w:left w:val="none" w:sz="0" w:space="0" w:color="auto"/>
        <w:bottom w:val="none" w:sz="0" w:space="0" w:color="auto"/>
        <w:right w:val="none" w:sz="0" w:space="0" w:color="auto"/>
      </w:divBdr>
    </w:div>
    <w:div w:id="929045199">
      <w:bodyDiv w:val="1"/>
      <w:marLeft w:val="0"/>
      <w:marRight w:val="0"/>
      <w:marTop w:val="0"/>
      <w:marBottom w:val="0"/>
      <w:divBdr>
        <w:top w:val="none" w:sz="0" w:space="0" w:color="auto"/>
        <w:left w:val="none" w:sz="0" w:space="0" w:color="auto"/>
        <w:bottom w:val="none" w:sz="0" w:space="0" w:color="auto"/>
        <w:right w:val="none" w:sz="0" w:space="0" w:color="auto"/>
      </w:divBdr>
    </w:div>
    <w:div w:id="929121514">
      <w:bodyDiv w:val="1"/>
      <w:marLeft w:val="0"/>
      <w:marRight w:val="0"/>
      <w:marTop w:val="0"/>
      <w:marBottom w:val="0"/>
      <w:divBdr>
        <w:top w:val="none" w:sz="0" w:space="0" w:color="auto"/>
        <w:left w:val="none" w:sz="0" w:space="0" w:color="auto"/>
        <w:bottom w:val="none" w:sz="0" w:space="0" w:color="auto"/>
        <w:right w:val="none" w:sz="0" w:space="0" w:color="auto"/>
      </w:divBdr>
    </w:div>
    <w:div w:id="930357016">
      <w:bodyDiv w:val="1"/>
      <w:marLeft w:val="0"/>
      <w:marRight w:val="0"/>
      <w:marTop w:val="0"/>
      <w:marBottom w:val="0"/>
      <w:divBdr>
        <w:top w:val="none" w:sz="0" w:space="0" w:color="auto"/>
        <w:left w:val="none" w:sz="0" w:space="0" w:color="auto"/>
        <w:bottom w:val="none" w:sz="0" w:space="0" w:color="auto"/>
        <w:right w:val="none" w:sz="0" w:space="0" w:color="auto"/>
      </w:divBdr>
    </w:div>
    <w:div w:id="931006847">
      <w:bodyDiv w:val="1"/>
      <w:marLeft w:val="0"/>
      <w:marRight w:val="0"/>
      <w:marTop w:val="0"/>
      <w:marBottom w:val="0"/>
      <w:divBdr>
        <w:top w:val="none" w:sz="0" w:space="0" w:color="auto"/>
        <w:left w:val="none" w:sz="0" w:space="0" w:color="auto"/>
        <w:bottom w:val="none" w:sz="0" w:space="0" w:color="auto"/>
        <w:right w:val="none" w:sz="0" w:space="0" w:color="auto"/>
      </w:divBdr>
    </w:div>
    <w:div w:id="931161681">
      <w:bodyDiv w:val="1"/>
      <w:marLeft w:val="0"/>
      <w:marRight w:val="0"/>
      <w:marTop w:val="0"/>
      <w:marBottom w:val="0"/>
      <w:divBdr>
        <w:top w:val="none" w:sz="0" w:space="0" w:color="auto"/>
        <w:left w:val="none" w:sz="0" w:space="0" w:color="auto"/>
        <w:bottom w:val="none" w:sz="0" w:space="0" w:color="auto"/>
        <w:right w:val="none" w:sz="0" w:space="0" w:color="auto"/>
      </w:divBdr>
    </w:div>
    <w:div w:id="931283289">
      <w:bodyDiv w:val="1"/>
      <w:marLeft w:val="0"/>
      <w:marRight w:val="0"/>
      <w:marTop w:val="0"/>
      <w:marBottom w:val="0"/>
      <w:divBdr>
        <w:top w:val="none" w:sz="0" w:space="0" w:color="auto"/>
        <w:left w:val="none" w:sz="0" w:space="0" w:color="auto"/>
        <w:bottom w:val="none" w:sz="0" w:space="0" w:color="auto"/>
        <w:right w:val="none" w:sz="0" w:space="0" w:color="auto"/>
      </w:divBdr>
    </w:div>
    <w:div w:id="932668226">
      <w:bodyDiv w:val="1"/>
      <w:marLeft w:val="0"/>
      <w:marRight w:val="0"/>
      <w:marTop w:val="0"/>
      <w:marBottom w:val="0"/>
      <w:divBdr>
        <w:top w:val="none" w:sz="0" w:space="0" w:color="auto"/>
        <w:left w:val="none" w:sz="0" w:space="0" w:color="auto"/>
        <w:bottom w:val="none" w:sz="0" w:space="0" w:color="auto"/>
        <w:right w:val="none" w:sz="0" w:space="0" w:color="auto"/>
      </w:divBdr>
    </w:div>
    <w:div w:id="933128702">
      <w:bodyDiv w:val="1"/>
      <w:marLeft w:val="0"/>
      <w:marRight w:val="0"/>
      <w:marTop w:val="0"/>
      <w:marBottom w:val="0"/>
      <w:divBdr>
        <w:top w:val="none" w:sz="0" w:space="0" w:color="auto"/>
        <w:left w:val="none" w:sz="0" w:space="0" w:color="auto"/>
        <w:bottom w:val="none" w:sz="0" w:space="0" w:color="auto"/>
        <w:right w:val="none" w:sz="0" w:space="0" w:color="auto"/>
      </w:divBdr>
    </w:div>
    <w:div w:id="934048414">
      <w:bodyDiv w:val="1"/>
      <w:marLeft w:val="0"/>
      <w:marRight w:val="0"/>
      <w:marTop w:val="0"/>
      <w:marBottom w:val="0"/>
      <w:divBdr>
        <w:top w:val="none" w:sz="0" w:space="0" w:color="auto"/>
        <w:left w:val="none" w:sz="0" w:space="0" w:color="auto"/>
        <w:bottom w:val="none" w:sz="0" w:space="0" w:color="auto"/>
        <w:right w:val="none" w:sz="0" w:space="0" w:color="auto"/>
      </w:divBdr>
    </w:div>
    <w:div w:id="935019326">
      <w:bodyDiv w:val="1"/>
      <w:marLeft w:val="0"/>
      <w:marRight w:val="0"/>
      <w:marTop w:val="0"/>
      <w:marBottom w:val="0"/>
      <w:divBdr>
        <w:top w:val="none" w:sz="0" w:space="0" w:color="auto"/>
        <w:left w:val="none" w:sz="0" w:space="0" w:color="auto"/>
        <w:bottom w:val="none" w:sz="0" w:space="0" w:color="auto"/>
        <w:right w:val="none" w:sz="0" w:space="0" w:color="auto"/>
      </w:divBdr>
    </w:div>
    <w:div w:id="935748153">
      <w:bodyDiv w:val="1"/>
      <w:marLeft w:val="0"/>
      <w:marRight w:val="0"/>
      <w:marTop w:val="0"/>
      <w:marBottom w:val="0"/>
      <w:divBdr>
        <w:top w:val="none" w:sz="0" w:space="0" w:color="auto"/>
        <w:left w:val="none" w:sz="0" w:space="0" w:color="auto"/>
        <w:bottom w:val="none" w:sz="0" w:space="0" w:color="auto"/>
        <w:right w:val="none" w:sz="0" w:space="0" w:color="auto"/>
      </w:divBdr>
    </w:div>
    <w:div w:id="936256579">
      <w:bodyDiv w:val="1"/>
      <w:marLeft w:val="0"/>
      <w:marRight w:val="0"/>
      <w:marTop w:val="0"/>
      <w:marBottom w:val="0"/>
      <w:divBdr>
        <w:top w:val="none" w:sz="0" w:space="0" w:color="auto"/>
        <w:left w:val="none" w:sz="0" w:space="0" w:color="auto"/>
        <w:bottom w:val="none" w:sz="0" w:space="0" w:color="auto"/>
        <w:right w:val="none" w:sz="0" w:space="0" w:color="auto"/>
      </w:divBdr>
    </w:div>
    <w:div w:id="936713770">
      <w:bodyDiv w:val="1"/>
      <w:marLeft w:val="0"/>
      <w:marRight w:val="0"/>
      <w:marTop w:val="0"/>
      <w:marBottom w:val="0"/>
      <w:divBdr>
        <w:top w:val="none" w:sz="0" w:space="0" w:color="auto"/>
        <w:left w:val="none" w:sz="0" w:space="0" w:color="auto"/>
        <w:bottom w:val="none" w:sz="0" w:space="0" w:color="auto"/>
        <w:right w:val="none" w:sz="0" w:space="0" w:color="auto"/>
      </w:divBdr>
    </w:div>
    <w:div w:id="936865069">
      <w:bodyDiv w:val="1"/>
      <w:marLeft w:val="0"/>
      <w:marRight w:val="0"/>
      <w:marTop w:val="0"/>
      <w:marBottom w:val="0"/>
      <w:divBdr>
        <w:top w:val="none" w:sz="0" w:space="0" w:color="auto"/>
        <w:left w:val="none" w:sz="0" w:space="0" w:color="auto"/>
        <w:bottom w:val="none" w:sz="0" w:space="0" w:color="auto"/>
        <w:right w:val="none" w:sz="0" w:space="0" w:color="auto"/>
      </w:divBdr>
    </w:div>
    <w:div w:id="936979754">
      <w:bodyDiv w:val="1"/>
      <w:marLeft w:val="0"/>
      <w:marRight w:val="0"/>
      <w:marTop w:val="0"/>
      <w:marBottom w:val="0"/>
      <w:divBdr>
        <w:top w:val="none" w:sz="0" w:space="0" w:color="auto"/>
        <w:left w:val="none" w:sz="0" w:space="0" w:color="auto"/>
        <w:bottom w:val="none" w:sz="0" w:space="0" w:color="auto"/>
        <w:right w:val="none" w:sz="0" w:space="0" w:color="auto"/>
      </w:divBdr>
    </w:div>
    <w:div w:id="937176723">
      <w:bodyDiv w:val="1"/>
      <w:marLeft w:val="0"/>
      <w:marRight w:val="0"/>
      <w:marTop w:val="0"/>
      <w:marBottom w:val="0"/>
      <w:divBdr>
        <w:top w:val="none" w:sz="0" w:space="0" w:color="auto"/>
        <w:left w:val="none" w:sz="0" w:space="0" w:color="auto"/>
        <w:bottom w:val="none" w:sz="0" w:space="0" w:color="auto"/>
        <w:right w:val="none" w:sz="0" w:space="0" w:color="auto"/>
      </w:divBdr>
    </w:div>
    <w:div w:id="937712896">
      <w:bodyDiv w:val="1"/>
      <w:marLeft w:val="0"/>
      <w:marRight w:val="0"/>
      <w:marTop w:val="0"/>
      <w:marBottom w:val="0"/>
      <w:divBdr>
        <w:top w:val="none" w:sz="0" w:space="0" w:color="auto"/>
        <w:left w:val="none" w:sz="0" w:space="0" w:color="auto"/>
        <w:bottom w:val="none" w:sz="0" w:space="0" w:color="auto"/>
        <w:right w:val="none" w:sz="0" w:space="0" w:color="auto"/>
      </w:divBdr>
    </w:div>
    <w:div w:id="938828127">
      <w:bodyDiv w:val="1"/>
      <w:marLeft w:val="0"/>
      <w:marRight w:val="0"/>
      <w:marTop w:val="0"/>
      <w:marBottom w:val="0"/>
      <w:divBdr>
        <w:top w:val="none" w:sz="0" w:space="0" w:color="auto"/>
        <w:left w:val="none" w:sz="0" w:space="0" w:color="auto"/>
        <w:bottom w:val="none" w:sz="0" w:space="0" w:color="auto"/>
        <w:right w:val="none" w:sz="0" w:space="0" w:color="auto"/>
      </w:divBdr>
    </w:div>
    <w:div w:id="939146752">
      <w:bodyDiv w:val="1"/>
      <w:marLeft w:val="0"/>
      <w:marRight w:val="0"/>
      <w:marTop w:val="0"/>
      <w:marBottom w:val="0"/>
      <w:divBdr>
        <w:top w:val="none" w:sz="0" w:space="0" w:color="auto"/>
        <w:left w:val="none" w:sz="0" w:space="0" w:color="auto"/>
        <w:bottom w:val="none" w:sz="0" w:space="0" w:color="auto"/>
        <w:right w:val="none" w:sz="0" w:space="0" w:color="auto"/>
      </w:divBdr>
    </w:div>
    <w:div w:id="939215100">
      <w:bodyDiv w:val="1"/>
      <w:marLeft w:val="0"/>
      <w:marRight w:val="0"/>
      <w:marTop w:val="0"/>
      <w:marBottom w:val="0"/>
      <w:divBdr>
        <w:top w:val="none" w:sz="0" w:space="0" w:color="auto"/>
        <w:left w:val="none" w:sz="0" w:space="0" w:color="auto"/>
        <w:bottom w:val="none" w:sz="0" w:space="0" w:color="auto"/>
        <w:right w:val="none" w:sz="0" w:space="0" w:color="auto"/>
      </w:divBdr>
    </w:div>
    <w:div w:id="939338138">
      <w:bodyDiv w:val="1"/>
      <w:marLeft w:val="0"/>
      <w:marRight w:val="0"/>
      <w:marTop w:val="0"/>
      <w:marBottom w:val="0"/>
      <w:divBdr>
        <w:top w:val="none" w:sz="0" w:space="0" w:color="auto"/>
        <w:left w:val="none" w:sz="0" w:space="0" w:color="auto"/>
        <w:bottom w:val="none" w:sz="0" w:space="0" w:color="auto"/>
        <w:right w:val="none" w:sz="0" w:space="0" w:color="auto"/>
      </w:divBdr>
    </w:div>
    <w:div w:id="939534171">
      <w:bodyDiv w:val="1"/>
      <w:marLeft w:val="0"/>
      <w:marRight w:val="0"/>
      <w:marTop w:val="0"/>
      <w:marBottom w:val="0"/>
      <w:divBdr>
        <w:top w:val="none" w:sz="0" w:space="0" w:color="auto"/>
        <w:left w:val="none" w:sz="0" w:space="0" w:color="auto"/>
        <w:bottom w:val="none" w:sz="0" w:space="0" w:color="auto"/>
        <w:right w:val="none" w:sz="0" w:space="0" w:color="auto"/>
      </w:divBdr>
    </w:div>
    <w:div w:id="939799903">
      <w:bodyDiv w:val="1"/>
      <w:marLeft w:val="0"/>
      <w:marRight w:val="0"/>
      <w:marTop w:val="0"/>
      <w:marBottom w:val="0"/>
      <w:divBdr>
        <w:top w:val="none" w:sz="0" w:space="0" w:color="auto"/>
        <w:left w:val="none" w:sz="0" w:space="0" w:color="auto"/>
        <w:bottom w:val="none" w:sz="0" w:space="0" w:color="auto"/>
        <w:right w:val="none" w:sz="0" w:space="0" w:color="auto"/>
      </w:divBdr>
    </w:div>
    <w:div w:id="939993084">
      <w:bodyDiv w:val="1"/>
      <w:marLeft w:val="0"/>
      <w:marRight w:val="0"/>
      <w:marTop w:val="0"/>
      <w:marBottom w:val="0"/>
      <w:divBdr>
        <w:top w:val="none" w:sz="0" w:space="0" w:color="auto"/>
        <w:left w:val="none" w:sz="0" w:space="0" w:color="auto"/>
        <w:bottom w:val="none" w:sz="0" w:space="0" w:color="auto"/>
        <w:right w:val="none" w:sz="0" w:space="0" w:color="auto"/>
      </w:divBdr>
    </w:div>
    <w:div w:id="940066278">
      <w:bodyDiv w:val="1"/>
      <w:marLeft w:val="0"/>
      <w:marRight w:val="0"/>
      <w:marTop w:val="0"/>
      <w:marBottom w:val="0"/>
      <w:divBdr>
        <w:top w:val="none" w:sz="0" w:space="0" w:color="auto"/>
        <w:left w:val="none" w:sz="0" w:space="0" w:color="auto"/>
        <w:bottom w:val="none" w:sz="0" w:space="0" w:color="auto"/>
        <w:right w:val="none" w:sz="0" w:space="0" w:color="auto"/>
      </w:divBdr>
    </w:div>
    <w:div w:id="940651617">
      <w:bodyDiv w:val="1"/>
      <w:marLeft w:val="0"/>
      <w:marRight w:val="0"/>
      <w:marTop w:val="0"/>
      <w:marBottom w:val="0"/>
      <w:divBdr>
        <w:top w:val="none" w:sz="0" w:space="0" w:color="auto"/>
        <w:left w:val="none" w:sz="0" w:space="0" w:color="auto"/>
        <w:bottom w:val="none" w:sz="0" w:space="0" w:color="auto"/>
        <w:right w:val="none" w:sz="0" w:space="0" w:color="auto"/>
      </w:divBdr>
    </w:div>
    <w:div w:id="940843033">
      <w:bodyDiv w:val="1"/>
      <w:marLeft w:val="0"/>
      <w:marRight w:val="0"/>
      <w:marTop w:val="0"/>
      <w:marBottom w:val="0"/>
      <w:divBdr>
        <w:top w:val="none" w:sz="0" w:space="0" w:color="auto"/>
        <w:left w:val="none" w:sz="0" w:space="0" w:color="auto"/>
        <w:bottom w:val="none" w:sz="0" w:space="0" w:color="auto"/>
        <w:right w:val="none" w:sz="0" w:space="0" w:color="auto"/>
      </w:divBdr>
    </w:div>
    <w:div w:id="941035484">
      <w:bodyDiv w:val="1"/>
      <w:marLeft w:val="0"/>
      <w:marRight w:val="0"/>
      <w:marTop w:val="0"/>
      <w:marBottom w:val="0"/>
      <w:divBdr>
        <w:top w:val="none" w:sz="0" w:space="0" w:color="auto"/>
        <w:left w:val="none" w:sz="0" w:space="0" w:color="auto"/>
        <w:bottom w:val="none" w:sz="0" w:space="0" w:color="auto"/>
        <w:right w:val="none" w:sz="0" w:space="0" w:color="auto"/>
      </w:divBdr>
    </w:div>
    <w:div w:id="942346618">
      <w:bodyDiv w:val="1"/>
      <w:marLeft w:val="0"/>
      <w:marRight w:val="0"/>
      <w:marTop w:val="0"/>
      <w:marBottom w:val="0"/>
      <w:divBdr>
        <w:top w:val="none" w:sz="0" w:space="0" w:color="auto"/>
        <w:left w:val="none" w:sz="0" w:space="0" w:color="auto"/>
        <w:bottom w:val="none" w:sz="0" w:space="0" w:color="auto"/>
        <w:right w:val="none" w:sz="0" w:space="0" w:color="auto"/>
      </w:divBdr>
    </w:div>
    <w:div w:id="942762885">
      <w:bodyDiv w:val="1"/>
      <w:marLeft w:val="0"/>
      <w:marRight w:val="0"/>
      <w:marTop w:val="0"/>
      <w:marBottom w:val="0"/>
      <w:divBdr>
        <w:top w:val="none" w:sz="0" w:space="0" w:color="auto"/>
        <w:left w:val="none" w:sz="0" w:space="0" w:color="auto"/>
        <w:bottom w:val="none" w:sz="0" w:space="0" w:color="auto"/>
        <w:right w:val="none" w:sz="0" w:space="0" w:color="auto"/>
      </w:divBdr>
    </w:div>
    <w:div w:id="943272521">
      <w:bodyDiv w:val="1"/>
      <w:marLeft w:val="0"/>
      <w:marRight w:val="0"/>
      <w:marTop w:val="0"/>
      <w:marBottom w:val="0"/>
      <w:divBdr>
        <w:top w:val="none" w:sz="0" w:space="0" w:color="auto"/>
        <w:left w:val="none" w:sz="0" w:space="0" w:color="auto"/>
        <w:bottom w:val="none" w:sz="0" w:space="0" w:color="auto"/>
        <w:right w:val="none" w:sz="0" w:space="0" w:color="auto"/>
      </w:divBdr>
    </w:div>
    <w:div w:id="943537847">
      <w:bodyDiv w:val="1"/>
      <w:marLeft w:val="0"/>
      <w:marRight w:val="0"/>
      <w:marTop w:val="0"/>
      <w:marBottom w:val="0"/>
      <w:divBdr>
        <w:top w:val="none" w:sz="0" w:space="0" w:color="auto"/>
        <w:left w:val="none" w:sz="0" w:space="0" w:color="auto"/>
        <w:bottom w:val="none" w:sz="0" w:space="0" w:color="auto"/>
        <w:right w:val="none" w:sz="0" w:space="0" w:color="auto"/>
      </w:divBdr>
    </w:div>
    <w:div w:id="944190262">
      <w:bodyDiv w:val="1"/>
      <w:marLeft w:val="0"/>
      <w:marRight w:val="0"/>
      <w:marTop w:val="0"/>
      <w:marBottom w:val="0"/>
      <w:divBdr>
        <w:top w:val="none" w:sz="0" w:space="0" w:color="auto"/>
        <w:left w:val="none" w:sz="0" w:space="0" w:color="auto"/>
        <w:bottom w:val="none" w:sz="0" w:space="0" w:color="auto"/>
        <w:right w:val="none" w:sz="0" w:space="0" w:color="auto"/>
      </w:divBdr>
    </w:div>
    <w:div w:id="944309258">
      <w:bodyDiv w:val="1"/>
      <w:marLeft w:val="0"/>
      <w:marRight w:val="0"/>
      <w:marTop w:val="0"/>
      <w:marBottom w:val="0"/>
      <w:divBdr>
        <w:top w:val="none" w:sz="0" w:space="0" w:color="auto"/>
        <w:left w:val="none" w:sz="0" w:space="0" w:color="auto"/>
        <w:bottom w:val="none" w:sz="0" w:space="0" w:color="auto"/>
        <w:right w:val="none" w:sz="0" w:space="0" w:color="auto"/>
      </w:divBdr>
    </w:div>
    <w:div w:id="945424314">
      <w:bodyDiv w:val="1"/>
      <w:marLeft w:val="0"/>
      <w:marRight w:val="0"/>
      <w:marTop w:val="0"/>
      <w:marBottom w:val="0"/>
      <w:divBdr>
        <w:top w:val="none" w:sz="0" w:space="0" w:color="auto"/>
        <w:left w:val="none" w:sz="0" w:space="0" w:color="auto"/>
        <w:bottom w:val="none" w:sz="0" w:space="0" w:color="auto"/>
        <w:right w:val="none" w:sz="0" w:space="0" w:color="auto"/>
      </w:divBdr>
    </w:div>
    <w:div w:id="945579010">
      <w:bodyDiv w:val="1"/>
      <w:marLeft w:val="0"/>
      <w:marRight w:val="0"/>
      <w:marTop w:val="0"/>
      <w:marBottom w:val="0"/>
      <w:divBdr>
        <w:top w:val="none" w:sz="0" w:space="0" w:color="auto"/>
        <w:left w:val="none" w:sz="0" w:space="0" w:color="auto"/>
        <w:bottom w:val="none" w:sz="0" w:space="0" w:color="auto"/>
        <w:right w:val="none" w:sz="0" w:space="0" w:color="auto"/>
      </w:divBdr>
    </w:div>
    <w:div w:id="946422818">
      <w:bodyDiv w:val="1"/>
      <w:marLeft w:val="0"/>
      <w:marRight w:val="0"/>
      <w:marTop w:val="0"/>
      <w:marBottom w:val="0"/>
      <w:divBdr>
        <w:top w:val="none" w:sz="0" w:space="0" w:color="auto"/>
        <w:left w:val="none" w:sz="0" w:space="0" w:color="auto"/>
        <w:bottom w:val="none" w:sz="0" w:space="0" w:color="auto"/>
        <w:right w:val="none" w:sz="0" w:space="0" w:color="auto"/>
      </w:divBdr>
    </w:div>
    <w:div w:id="946544227">
      <w:bodyDiv w:val="1"/>
      <w:marLeft w:val="0"/>
      <w:marRight w:val="0"/>
      <w:marTop w:val="0"/>
      <w:marBottom w:val="0"/>
      <w:divBdr>
        <w:top w:val="none" w:sz="0" w:space="0" w:color="auto"/>
        <w:left w:val="none" w:sz="0" w:space="0" w:color="auto"/>
        <w:bottom w:val="none" w:sz="0" w:space="0" w:color="auto"/>
        <w:right w:val="none" w:sz="0" w:space="0" w:color="auto"/>
      </w:divBdr>
    </w:div>
    <w:div w:id="946733854">
      <w:bodyDiv w:val="1"/>
      <w:marLeft w:val="0"/>
      <w:marRight w:val="0"/>
      <w:marTop w:val="0"/>
      <w:marBottom w:val="0"/>
      <w:divBdr>
        <w:top w:val="none" w:sz="0" w:space="0" w:color="auto"/>
        <w:left w:val="none" w:sz="0" w:space="0" w:color="auto"/>
        <w:bottom w:val="none" w:sz="0" w:space="0" w:color="auto"/>
        <w:right w:val="none" w:sz="0" w:space="0" w:color="auto"/>
      </w:divBdr>
    </w:div>
    <w:div w:id="947002326">
      <w:bodyDiv w:val="1"/>
      <w:marLeft w:val="0"/>
      <w:marRight w:val="0"/>
      <w:marTop w:val="0"/>
      <w:marBottom w:val="0"/>
      <w:divBdr>
        <w:top w:val="none" w:sz="0" w:space="0" w:color="auto"/>
        <w:left w:val="none" w:sz="0" w:space="0" w:color="auto"/>
        <w:bottom w:val="none" w:sz="0" w:space="0" w:color="auto"/>
        <w:right w:val="none" w:sz="0" w:space="0" w:color="auto"/>
      </w:divBdr>
    </w:div>
    <w:div w:id="947198913">
      <w:bodyDiv w:val="1"/>
      <w:marLeft w:val="0"/>
      <w:marRight w:val="0"/>
      <w:marTop w:val="0"/>
      <w:marBottom w:val="0"/>
      <w:divBdr>
        <w:top w:val="none" w:sz="0" w:space="0" w:color="auto"/>
        <w:left w:val="none" w:sz="0" w:space="0" w:color="auto"/>
        <w:bottom w:val="none" w:sz="0" w:space="0" w:color="auto"/>
        <w:right w:val="none" w:sz="0" w:space="0" w:color="auto"/>
      </w:divBdr>
    </w:div>
    <w:div w:id="947393862">
      <w:bodyDiv w:val="1"/>
      <w:marLeft w:val="0"/>
      <w:marRight w:val="0"/>
      <w:marTop w:val="0"/>
      <w:marBottom w:val="0"/>
      <w:divBdr>
        <w:top w:val="none" w:sz="0" w:space="0" w:color="auto"/>
        <w:left w:val="none" w:sz="0" w:space="0" w:color="auto"/>
        <w:bottom w:val="none" w:sz="0" w:space="0" w:color="auto"/>
        <w:right w:val="none" w:sz="0" w:space="0" w:color="auto"/>
      </w:divBdr>
    </w:div>
    <w:div w:id="947587942">
      <w:bodyDiv w:val="1"/>
      <w:marLeft w:val="0"/>
      <w:marRight w:val="0"/>
      <w:marTop w:val="0"/>
      <w:marBottom w:val="0"/>
      <w:divBdr>
        <w:top w:val="none" w:sz="0" w:space="0" w:color="auto"/>
        <w:left w:val="none" w:sz="0" w:space="0" w:color="auto"/>
        <w:bottom w:val="none" w:sz="0" w:space="0" w:color="auto"/>
        <w:right w:val="none" w:sz="0" w:space="0" w:color="auto"/>
      </w:divBdr>
    </w:div>
    <w:div w:id="947664165">
      <w:bodyDiv w:val="1"/>
      <w:marLeft w:val="0"/>
      <w:marRight w:val="0"/>
      <w:marTop w:val="0"/>
      <w:marBottom w:val="0"/>
      <w:divBdr>
        <w:top w:val="none" w:sz="0" w:space="0" w:color="auto"/>
        <w:left w:val="none" w:sz="0" w:space="0" w:color="auto"/>
        <w:bottom w:val="none" w:sz="0" w:space="0" w:color="auto"/>
        <w:right w:val="none" w:sz="0" w:space="0" w:color="auto"/>
      </w:divBdr>
    </w:div>
    <w:div w:id="947741589">
      <w:bodyDiv w:val="1"/>
      <w:marLeft w:val="0"/>
      <w:marRight w:val="0"/>
      <w:marTop w:val="0"/>
      <w:marBottom w:val="0"/>
      <w:divBdr>
        <w:top w:val="none" w:sz="0" w:space="0" w:color="auto"/>
        <w:left w:val="none" w:sz="0" w:space="0" w:color="auto"/>
        <w:bottom w:val="none" w:sz="0" w:space="0" w:color="auto"/>
        <w:right w:val="none" w:sz="0" w:space="0" w:color="auto"/>
      </w:divBdr>
    </w:div>
    <w:div w:id="948514358">
      <w:bodyDiv w:val="1"/>
      <w:marLeft w:val="0"/>
      <w:marRight w:val="0"/>
      <w:marTop w:val="0"/>
      <w:marBottom w:val="0"/>
      <w:divBdr>
        <w:top w:val="none" w:sz="0" w:space="0" w:color="auto"/>
        <w:left w:val="none" w:sz="0" w:space="0" w:color="auto"/>
        <w:bottom w:val="none" w:sz="0" w:space="0" w:color="auto"/>
        <w:right w:val="none" w:sz="0" w:space="0" w:color="auto"/>
      </w:divBdr>
    </w:div>
    <w:div w:id="949699337">
      <w:bodyDiv w:val="1"/>
      <w:marLeft w:val="0"/>
      <w:marRight w:val="0"/>
      <w:marTop w:val="0"/>
      <w:marBottom w:val="0"/>
      <w:divBdr>
        <w:top w:val="none" w:sz="0" w:space="0" w:color="auto"/>
        <w:left w:val="none" w:sz="0" w:space="0" w:color="auto"/>
        <w:bottom w:val="none" w:sz="0" w:space="0" w:color="auto"/>
        <w:right w:val="none" w:sz="0" w:space="0" w:color="auto"/>
      </w:divBdr>
    </w:div>
    <w:div w:id="949703530">
      <w:bodyDiv w:val="1"/>
      <w:marLeft w:val="0"/>
      <w:marRight w:val="0"/>
      <w:marTop w:val="0"/>
      <w:marBottom w:val="0"/>
      <w:divBdr>
        <w:top w:val="none" w:sz="0" w:space="0" w:color="auto"/>
        <w:left w:val="none" w:sz="0" w:space="0" w:color="auto"/>
        <w:bottom w:val="none" w:sz="0" w:space="0" w:color="auto"/>
        <w:right w:val="none" w:sz="0" w:space="0" w:color="auto"/>
      </w:divBdr>
    </w:div>
    <w:div w:id="949896781">
      <w:bodyDiv w:val="1"/>
      <w:marLeft w:val="0"/>
      <w:marRight w:val="0"/>
      <w:marTop w:val="0"/>
      <w:marBottom w:val="0"/>
      <w:divBdr>
        <w:top w:val="none" w:sz="0" w:space="0" w:color="auto"/>
        <w:left w:val="none" w:sz="0" w:space="0" w:color="auto"/>
        <w:bottom w:val="none" w:sz="0" w:space="0" w:color="auto"/>
        <w:right w:val="none" w:sz="0" w:space="0" w:color="auto"/>
      </w:divBdr>
    </w:div>
    <w:div w:id="949969020">
      <w:bodyDiv w:val="1"/>
      <w:marLeft w:val="0"/>
      <w:marRight w:val="0"/>
      <w:marTop w:val="0"/>
      <w:marBottom w:val="0"/>
      <w:divBdr>
        <w:top w:val="none" w:sz="0" w:space="0" w:color="auto"/>
        <w:left w:val="none" w:sz="0" w:space="0" w:color="auto"/>
        <w:bottom w:val="none" w:sz="0" w:space="0" w:color="auto"/>
        <w:right w:val="none" w:sz="0" w:space="0" w:color="auto"/>
      </w:divBdr>
    </w:div>
    <w:div w:id="950551387">
      <w:bodyDiv w:val="1"/>
      <w:marLeft w:val="0"/>
      <w:marRight w:val="0"/>
      <w:marTop w:val="0"/>
      <w:marBottom w:val="0"/>
      <w:divBdr>
        <w:top w:val="none" w:sz="0" w:space="0" w:color="auto"/>
        <w:left w:val="none" w:sz="0" w:space="0" w:color="auto"/>
        <w:bottom w:val="none" w:sz="0" w:space="0" w:color="auto"/>
        <w:right w:val="none" w:sz="0" w:space="0" w:color="auto"/>
      </w:divBdr>
    </w:div>
    <w:div w:id="950742885">
      <w:bodyDiv w:val="1"/>
      <w:marLeft w:val="0"/>
      <w:marRight w:val="0"/>
      <w:marTop w:val="0"/>
      <w:marBottom w:val="0"/>
      <w:divBdr>
        <w:top w:val="none" w:sz="0" w:space="0" w:color="auto"/>
        <w:left w:val="none" w:sz="0" w:space="0" w:color="auto"/>
        <w:bottom w:val="none" w:sz="0" w:space="0" w:color="auto"/>
        <w:right w:val="none" w:sz="0" w:space="0" w:color="auto"/>
      </w:divBdr>
    </w:div>
    <w:div w:id="951011604">
      <w:bodyDiv w:val="1"/>
      <w:marLeft w:val="0"/>
      <w:marRight w:val="0"/>
      <w:marTop w:val="0"/>
      <w:marBottom w:val="0"/>
      <w:divBdr>
        <w:top w:val="none" w:sz="0" w:space="0" w:color="auto"/>
        <w:left w:val="none" w:sz="0" w:space="0" w:color="auto"/>
        <w:bottom w:val="none" w:sz="0" w:space="0" w:color="auto"/>
        <w:right w:val="none" w:sz="0" w:space="0" w:color="auto"/>
      </w:divBdr>
    </w:div>
    <w:div w:id="951204668">
      <w:bodyDiv w:val="1"/>
      <w:marLeft w:val="0"/>
      <w:marRight w:val="0"/>
      <w:marTop w:val="0"/>
      <w:marBottom w:val="0"/>
      <w:divBdr>
        <w:top w:val="none" w:sz="0" w:space="0" w:color="auto"/>
        <w:left w:val="none" w:sz="0" w:space="0" w:color="auto"/>
        <w:bottom w:val="none" w:sz="0" w:space="0" w:color="auto"/>
        <w:right w:val="none" w:sz="0" w:space="0" w:color="auto"/>
      </w:divBdr>
    </w:div>
    <w:div w:id="951322383">
      <w:bodyDiv w:val="1"/>
      <w:marLeft w:val="0"/>
      <w:marRight w:val="0"/>
      <w:marTop w:val="0"/>
      <w:marBottom w:val="0"/>
      <w:divBdr>
        <w:top w:val="none" w:sz="0" w:space="0" w:color="auto"/>
        <w:left w:val="none" w:sz="0" w:space="0" w:color="auto"/>
        <w:bottom w:val="none" w:sz="0" w:space="0" w:color="auto"/>
        <w:right w:val="none" w:sz="0" w:space="0" w:color="auto"/>
      </w:divBdr>
    </w:div>
    <w:div w:id="951324662">
      <w:bodyDiv w:val="1"/>
      <w:marLeft w:val="0"/>
      <w:marRight w:val="0"/>
      <w:marTop w:val="0"/>
      <w:marBottom w:val="0"/>
      <w:divBdr>
        <w:top w:val="none" w:sz="0" w:space="0" w:color="auto"/>
        <w:left w:val="none" w:sz="0" w:space="0" w:color="auto"/>
        <w:bottom w:val="none" w:sz="0" w:space="0" w:color="auto"/>
        <w:right w:val="none" w:sz="0" w:space="0" w:color="auto"/>
      </w:divBdr>
    </w:div>
    <w:div w:id="951479017">
      <w:bodyDiv w:val="1"/>
      <w:marLeft w:val="0"/>
      <w:marRight w:val="0"/>
      <w:marTop w:val="0"/>
      <w:marBottom w:val="0"/>
      <w:divBdr>
        <w:top w:val="none" w:sz="0" w:space="0" w:color="auto"/>
        <w:left w:val="none" w:sz="0" w:space="0" w:color="auto"/>
        <w:bottom w:val="none" w:sz="0" w:space="0" w:color="auto"/>
        <w:right w:val="none" w:sz="0" w:space="0" w:color="auto"/>
      </w:divBdr>
    </w:div>
    <w:div w:id="952177987">
      <w:bodyDiv w:val="1"/>
      <w:marLeft w:val="0"/>
      <w:marRight w:val="0"/>
      <w:marTop w:val="0"/>
      <w:marBottom w:val="0"/>
      <w:divBdr>
        <w:top w:val="none" w:sz="0" w:space="0" w:color="auto"/>
        <w:left w:val="none" w:sz="0" w:space="0" w:color="auto"/>
        <w:bottom w:val="none" w:sz="0" w:space="0" w:color="auto"/>
        <w:right w:val="none" w:sz="0" w:space="0" w:color="auto"/>
      </w:divBdr>
    </w:div>
    <w:div w:id="952632741">
      <w:bodyDiv w:val="1"/>
      <w:marLeft w:val="0"/>
      <w:marRight w:val="0"/>
      <w:marTop w:val="0"/>
      <w:marBottom w:val="0"/>
      <w:divBdr>
        <w:top w:val="none" w:sz="0" w:space="0" w:color="auto"/>
        <w:left w:val="none" w:sz="0" w:space="0" w:color="auto"/>
        <w:bottom w:val="none" w:sz="0" w:space="0" w:color="auto"/>
        <w:right w:val="none" w:sz="0" w:space="0" w:color="auto"/>
      </w:divBdr>
    </w:div>
    <w:div w:id="953831644">
      <w:bodyDiv w:val="1"/>
      <w:marLeft w:val="0"/>
      <w:marRight w:val="0"/>
      <w:marTop w:val="0"/>
      <w:marBottom w:val="0"/>
      <w:divBdr>
        <w:top w:val="none" w:sz="0" w:space="0" w:color="auto"/>
        <w:left w:val="none" w:sz="0" w:space="0" w:color="auto"/>
        <w:bottom w:val="none" w:sz="0" w:space="0" w:color="auto"/>
        <w:right w:val="none" w:sz="0" w:space="0" w:color="auto"/>
      </w:divBdr>
    </w:div>
    <w:div w:id="953902013">
      <w:bodyDiv w:val="1"/>
      <w:marLeft w:val="0"/>
      <w:marRight w:val="0"/>
      <w:marTop w:val="0"/>
      <w:marBottom w:val="0"/>
      <w:divBdr>
        <w:top w:val="none" w:sz="0" w:space="0" w:color="auto"/>
        <w:left w:val="none" w:sz="0" w:space="0" w:color="auto"/>
        <w:bottom w:val="none" w:sz="0" w:space="0" w:color="auto"/>
        <w:right w:val="none" w:sz="0" w:space="0" w:color="auto"/>
      </w:divBdr>
    </w:div>
    <w:div w:id="954143724">
      <w:bodyDiv w:val="1"/>
      <w:marLeft w:val="0"/>
      <w:marRight w:val="0"/>
      <w:marTop w:val="0"/>
      <w:marBottom w:val="0"/>
      <w:divBdr>
        <w:top w:val="none" w:sz="0" w:space="0" w:color="auto"/>
        <w:left w:val="none" w:sz="0" w:space="0" w:color="auto"/>
        <w:bottom w:val="none" w:sz="0" w:space="0" w:color="auto"/>
        <w:right w:val="none" w:sz="0" w:space="0" w:color="auto"/>
      </w:divBdr>
    </w:div>
    <w:div w:id="954285181">
      <w:bodyDiv w:val="1"/>
      <w:marLeft w:val="0"/>
      <w:marRight w:val="0"/>
      <w:marTop w:val="0"/>
      <w:marBottom w:val="0"/>
      <w:divBdr>
        <w:top w:val="none" w:sz="0" w:space="0" w:color="auto"/>
        <w:left w:val="none" w:sz="0" w:space="0" w:color="auto"/>
        <w:bottom w:val="none" w:sz="0" w:space="0" w:color="auto"/>
        <w:right w:val="none" w:sz="0" w:space="0" w:color="auto"/>
      </w:divBdr>
    </w:div>
    <w:div w:id="954288123">
      <w:bodyDiv w:val="1"/>
      <w:marLeft w:val="0"/>
      <w:marRight w:val="0"/>
      <w:marTop w:val="0"/>
      <w:marBottom w:val="0"/>
      <w:divBdr>
        <w:top w:val="none" w:sz="0" w:space="0" w:color="auto"/>
        <w:left w:val="none" w:sz="0" w:space="0" w:color="auto"/>
        <w:bottom w:val="none" w:sz="0" w:space="0" w:color="auto"/>
        <w:right w:val="none" w:sz="0" w:space="0" w:color="auto"/>
      </w:divBdr>
    </w:div>
    <w:div w:id="955482096">
      <w:bodyDiv w:val="1"/>
      <w:marLeft w:val="0"/>
      <w:marRight w:val="0"/>
      <w:marTop w:val="0"/>
      <w:marBottom w:val="0"/>
      <w:divBdr>
        <w:top w:val="none" w:sz="0" w:space="0" w:color="auto"/>
        <w:left w:val="none" w:sz="0" w:space="0" w:color="auto"/>
        <w:bottom w:val="none" w:sz="0" w:space="0" w:color="auto"/>
        <w:right w:val="none" w:sz="0" w:space="0" w:color="auto"/>
      </w:divBdr>
    </w:div>
    <w:div w:id="955796584">
      <w:bodyDiv w:val="1"/>
      <w:marLeft w:val="0"/>
      <w:marRight w:val="0"/>
      <w:marTop w:val="0"/>
      <w:marBottom w:val="0"/>
      <w:divBdr>
        <w:top w:val="none" w:sz="0" w:space="0" w:color="auto"/>
        <w:left w:val="none" w:sz="0" w:space="0" w:color="auto"/>
        <w:bottom w:val="none" w:sz="0" w:space="0" w:color="auto"/>
        <w:right w:val="none" w:sz="0" w:space="0" w:color="auto"/>
      </w:divBdr>
    </w:div>
    <w:div w:id="956065551">
      <w:bodyDiv w:val="1"/>
      <w:marLeft w:val="0"/>
      <w:marRight w:val="0"/>
      <w:marTop w:val="0"/>
      <w:marBottom w:val="0"/>
      <w:divBdr>
        <w:top w:val="none" w:sz="0" w:space="0" w:color="auto"/>
        <w:left w:val="none" w:sz="0" w:space="0" w:color="auto"/>
        <w:bottom w:val="none" w:sz="0" w:space="0" w:color="auto"/>
        <w:right w:val="none" w:sz="0" w:space="0" w:color="auto"/>
      </w:divBdr>
    </w:div>
    <w:div w:id="957182253">
      <w:bodyDiv w:val="1"/>
      <w:marLeft w:val="0"/>
      <w:marRight w:val="0"/>
      <w:marTop w:val="0"/>
      <w:marBottom w:val="0"/>
      <w:divBdr>
        <w:top w:val="none" w:sz="0" w:space="0" w:color="auto"/>
        <w:left w:val="none" w:sz="0" w:space="0" w:color="auto"/>
        <w:bottom w:val="none" w:sz="0" w:space="0" w:color="auto"/>
        <w:right w:val="none" w:sz="0" w:space="0" w:color="auto"/>
      </w:divBdr>
    </w:div>
    <w:div w:id="957183567">
      <w:bodyDiv w:val="1"/>
      <w:marLeft w:val="0"/>
      <w:marRight w:val="0"/>
      <w:marTop w:val="0"/>
      <w:marBottom w:val="0"/>
      <w:divBdr>
        <w:top w:val="none" w:sz="0" w:space="0" w:color="auto"/>
        <w:left w:val="none" w:sz="0" w:space="0" w:color="auto"/>
        <w:bottom w:val="none" w:sz="0" w:space="0" w:color="auto"/>
        <w:right w:val="none" w:sz="0" w:space="0" w:color="auto"/>
      </w:divBdr>
    </w:div>
    <w:div w:id="957679950">
      <w:bodyDiv w:val="1"/>
      <w:marLeft w:val="0"/>
      <w:marRight w:val="0"/>
      <w:marTop w:val="0"/>
      <w:marBottom w:val="0"/>
      <w:divBdr>
        <w:top w:val="none" w:sz="0" w:space="0" w:color="auto"/>
        <w:left w:val="none" w:sz="0" w:space="0" w:color="auto"/>
        <w:bottom w:val="none" w:sz="0" w:space="0" w:color="auto"/>
        <w:right w:val="none" w:sz="0" w:space="0" w:color="auto"/>
      </w:divBdr>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803186">
      <w:bodyDiv w:val="1"/>
      <w:marLeft w:val="0"/>
      <w:marRight w:val="0"/>
      <w:marTop w:val="0"/>
      <w:marBottom w:val="0"/>
      <w:divBdr>
        <w:top w:val="none" w:sz="0" w:space="0" w:color="auto"/>
        <w:left w:val="none" w:sz="0" w:space="0" w:color="auto"/>
        <w:bottom w:val="none" w:sz="0" w:space="0" w:color="auto"/>
        <w:right w:val="none" w:sz="0" w:space="0" w:color="auto"/>
      </w:divBdr>
    </w:div>
    <w:div w:id="958872472">
      <w:bodyDiv w:val="1"/>
      <w:marLeft w:val="0"/>
      <w:marRight w:val="0"/>
      <w:marTop w:val="0"/>
      <w:marBottom w:val="0"/>
      <w:divBdr>
        <w:top w:val="none" w:sz="0" w:space="0" w:color="auto"/>
        <w:left w:val="none" w:sz="0" w:space="0" w:color="auto"/>
        <w:bottom w:val="none" w:sz="0" w:space="0" w:color="auto"/>
        <w:right w:val="none" w:sz="0" w:space="0" w:color="auto"/>
      </w:divBdr>
    </w:div>
    <w:div w:id="959216457">
      <w:bodyDiv w:val="1"/>
      <w:marLeft w:val="0"/>
      <w:marRight w:val="0"/>
      <w:marTop w:val="0"/>
      <w:marBottom w:val="0"/>
      <w:divBdr>
        <w:top w:val="none" w:sz="0" w:space="0" w:color="auto"/>
        <w:left w:val="none" w:sz="0" w:space="0" w:color="auto"/>
        <w:bottom w:val="none" w:sz="0" w:space="0" w:color="auto"/>
        <w:right w:val="none" w:sz="0" w:space="0" w:color="auto"/>
      </w:divBdr>
    </w:div>
    <w:div w:id="959841037">
      <w:bodyDiv w:val="1"/>
      <w:marLeft w:val="0"/>
      <w:marRight w:val="0"/>
      <w:marTop w:val="0"/>
      <w:marBottom w:val="0"/>
      <w:divBdr>
        <w:top w:val="none" w:sz="0" w:space="0" w:color="auto"/>
        <w:left w:val="none" w:sz="0" w:space="0" w:color="auto"/>
        <w:bottom w:val="none" w:sz="0" w:space="0" w:color="auto"/>
        <w:right w:val="none" w:sz="0" w:space="0" w:color="auto"/>
      </w:divBdr>
    </w:div>
    <w:div w:id="959920702">
      <w:bodyDiv w:val="1"/>
      <w:marLeft w:val="0"/>
      <w:marRight w:val="0"/>
      <w:marTop w:val="0"/>
      <w:marBottom w:val="0"/>
      <w:divBdr>
        <w:top w:val="none" w:sz="0" w:space="0" w:color="auto"/>
        <w:left w:val="none" w:sz="0" w:space="0" w:color="auto"/>
        <w:bottom w:val="none" w:sz="0" w:space="0" w:color="auto"/>
        <w:right w:val="none" w:sz="0" w:space="0" w:color="auto"/>
      </w:divBdr>
    </w:div>
    <w:div w:id="960721249">
      <w:bodyDiv w:val="1"/>
      <w:marLeft w:val="0"/>
      <w:marRight w:val="0"/>
      <w:marTop w:val="0"/>
      <w:marBottom w:val="0"/>
      <w:divBdr>
        <w:top w:val="none" w:sz="0" w:space="0" w:color="auto"/>
        <w:left w:val="none" w:sz="0" w:space="0" w:color="auto"/>
        <w:bottom w:val="none" w:sz="0" w:space="0" w:color="auto"/>
        <w:right w:val="none" w:sz="0" w:space="0" w:color="auto"/>
      </w:divBdr>
    </w:div>
    <w:div w:id="960915269">
      <w:bodyDiv w:val="1"/>
      <w:marLeft w:val="0"/>
      <w:marRight w:val="0"/>
      <w:marTop w:val="0"/>
      <w:marBottom w:val="0"/>
      <w:divBdr>
        <w:top w:val="none" w:sz="0" w:space="0" w:color="auto"/>
        <w:left w:val="none" w:sz="0" w:space="0" w:color="auto"/>
        <w:bottom w:val="none" w:sz="0" w:space="0" w:color="auto"/>
        <w:right w:val="none" w:sz="0" w:space="0" w:color="auto"/>
      </w:divBdr>
    </w:div>
    <w:div w:id="961301174">
      <w:bodyDiv w:val="1"/>
      <w:marLeft w:val="0"/>
      <w:marRight w:val="0"/>
      <w:marTop w:val="0"/>
      <w:marBottom w:val="0"/>
      <w:divBdr>
        <w:top w:val="none" w:sz="0" w:space="0" w:color="auto"/>
        <w:left w:val="none" w:sz="0" w:space="0" w:color="auto"/>
        <w:bottom w:val="none" w:sz="0" w:space="0" w:color="auto"/>
        <w:right w:val="none" w:sz="0" w:space="0" w:color="auto"/>
      </w:divBdr>
    </w:div>
    <w:div w:id="962493686">
      <w:bodyDiv w:val="1"/>
      <w:marLeft w:val="0"/>
      <w:marRight w:val="0"/>
      <w:marTop w:val="0"/>
      <w:marBottom w:val="0"/>
      <w:divBdr>
        <w:top w:val="none" w:sz="0" w:space="0" w:color="auto"/>
        <w:left w:val="none" w:sz="0" w:space="0" w:color="auto"/>
        <w:bottom w:val="none" w:sz="0" w:space="0" w:color="auto"/>
        <w:right w:val="none" w:sz="0" w:space="0" w:color="auto"/>
      </w:divBdr>
    </w:div>
    <w:div w:id="963538764">
      <w:bodyDiv w:val="1"/>
      <w:marLeft w:val="0"/>
      <w:marRight w:val="0"/>
      <w:marTop w:val="0"/>
      <w:marBottom w:val="0"/>
      <w:divBdr>
        <w:top w:val="none" w:sz="0" w:space="0" w:color="auto"/>
        <w:left w:val="none" w:sz="0" w:space="0" w:color="auto"/>
        <w:bottom w:val="none" w:sz="0" w:space="0" w:color="auto"/>
        <w:right w:val="none" w:sz="0" w:space="0" w:color="auto"/>
      </w:divBdr>
    </w:div>
    <w:div w:id="963775615">
      <w:bodyDiv w:val="1"/>
      <w:marLeft w:val="0"/>
      <w:marRight w:val="0"/>
      <w:marTop w:val="0"/>
      <w:marBottom w:val="0"/>
      <w:divBdr>
        <w:top w:val="none" w:sz="0" w:space="0" w:color="auto"/>
        <w:left w:val="none" w:sz="0" w:space="0" w:color="auto"/>
        <w:bottom w:val="none" w:sz="0" w:space="0" w:color="auto"/>
        <w:right w:val="none" w:sz="0" w:space="0" w:color="auto"/>
      </w:divBdr>
    </w:div>
    <w:div w:id="963847691">
      <w:bodyDiv w:val="1"/>
      <w:marLeft w:val="0"/>
      <w:marRight w:val="0"/>
      <w:marTop w:val="0"/>
      <w:marBottom w:val="0"/>
      <w:divBdr>
        <w:top w:val="none" w:sz="0" w:space="0" w:color="auto"/>
        <w:left w:val="none" w:sz="0" w:space="0" w:color="auto"/>
        <w:bottom w:val="none" w:sz="0" w:space="0" w:color="auto"/>
        <w:right w:val="none" w:sz="0" w:space="0" w:color="auto"/>
      </w:divBdr>
    </w:div>
    <w:div w:id="964386019">
      <w:bodyDiv w:val="1"/>
      <w:marLeft w:val="0"/>
      <w:marRight w:val="0"/>
      <w:marTop w:val="0"/>
      <w:marBottom w:val="0"/>
      <w:divBdr>
        <w:top w:val="none" w:sz="0" w:space="0" w:color="auto"/>
        <w:left w:val="none" w:sz="0" w:space="0" w:color="auto"/>
        <w:bottom w:val="none" w:sz="0" w:space="0" w:color="auto"/>
        <w:right w:val="none" w:sz="0" w:space="0" w:color="auto"/>
      </w:divBdr>
    </w:div>
    <w:div w:id="965817414">
      <w:bodyDiv w:val="1"/>
      <w:marLeft w:val="0"/>
      <w:marRight w:val="0"/>
      <w:marTop w:val="0"/>
      <w:marBottom w:val="0"/>
      <w:divBdr>
        <w:top w:val="none" w:sz="0" w:space="0" w:color="auto"/>
        <w:left w:val="none" w:sz="0" w:space="0" w:color="auto"/>
        <w:bottom w:val="none" w:sz="0" w:space="0" w:color="auto"/>
        <w:right w:val="none" w:sz="0" w:space="0" w:color="auto"/>
      </w:divBdr>
    </w:div>
    <w:div w:id="965887366">
      <w:bodyDiv w:val="1"/>
      <w:marLeft w:val="0"/>
      <w:marRight w:val="0"/>
      <w:marTop w:val="0"/>
      <w:marBottom w:val="0"/>
      <w:divBdr>
        <w:top w:val="none" w:sz="0" w:space="0" w:color="auto"/>
        <w:left w:val="none" w:sz="0" w:space="0" w:color="auto"/>
        <w:bottom w:val="none" w:sz="0" w:space="0" w:color="auto"/>
        <w:right w:val="none" w:sz="0" w:space="0" w:color="auto"/>
      </w:divBdr>
    </w:div>
    <w:div w:id="965892355">
      <w:bodyDiv w:val="1"/>
      <w:marLeft w:val="0"/>
      <w:marRight w:val="0"/>
      <w:marTop w:val="0"/>
      <w:marBottom w:val="0"/>
      <w:divBdr>
        <w:top w:val="none" w:sz="0" w:space="0" w:color="auto"/>
        <w:left w:val="none" w:sz="0" w:space="0" w:color="auto"/>
        <w:bottom w:val="none" w:sz="0" w:space="0" w:color="auto"/>
        <w:right w:val="none" w:sz="0" w:space="0" w:color="auto"/>
      </w:divBdr>
    </w:div>
    <w:div w:id="966158129">
      <w:bodyDiv w:val="1"/>
      <w:marLeft w:val="0"/>
      <w:marRight w:val="0"/>
      <w:marTop w:val="0"/>
      <w:marBottom w:val="0"/>
      <w:divBdr>
        <w:top w:val="none" w:sz="0" w:space="0" w:color="auto"/>
        <w:left w:val="none" w:sz="0" w:space="0" w:color="auto"/>
        <w:bottom w:val="none" w:sz="0" w:space="0" w:color="auto"/>
        <w:right w:val="none" w:sz="0" w:space="0" w:color="auto"/>
      </w:divBdr>
    </w:div>
    <w:div w:id="966466735">
      <w:bodyDiv w:val="1"/>
      <w:marLeft w:val="0"/>
      <w:marRight w:val="0"/>
      <w:marTop w:val="0"/>
      <w:marBottom w:val="0"/>
      <w:divBdr>
        <w:top w:val="none" w:sz="0" w:space="0" w:color="auto"/>
        <w:left w:val="none" w:sz="0" w:space="0" w:color="auto"/>
        <w:bottom w:val="none" w:sz="0" w:space="0" w:color="auto"/>
        <w:right w:val="none" w:sz="0" w:space="0" w:color="auto"/>
      </w:divBdr>
    </w:div>
    <w:div w:id="966816883">
      <w:bodyDiv w:val="1"/>
      <w:marLeft w:val="0"/>
      <w:marRight w:val="0"/>
      <w:marTop w:val="0"/>
      <w:marBottom w:val="0"/>
      <w:divBdr>
        <w:top w:val="none" w:sz="0" w:space="0" w:color="auto"/>
        <w:left w:val="none" w:sz="0" w:space="0" w:color="auto"/>
        <w:bottom w:val="none" w:sz="0" w:space="0" w:color="auto"/>
        <w:right w:val="none" w:sz="0" w:space="0" w:color="auto"/>
      </w:divBdr>
    </w:div>
    <w:div w:id="967468405">
      <w:bodyDiv w:val="1"/>
      <w:marLeft w:val="0"/>
      <w:marRight w:val="0"/>
      <w:marTop w:val="0"/>
      <w:marBottom w:val="0"/>
      <w:divBdr>
        <w:top w:val="none" w:sz="0" w:space="0" w:color="auto"/>
        <w:left w:val="none" w:sz="0" w:space="0" w:color="auto"/>
        <w:bottom w:val="none" w:sz="0" w:space="0" w:color="auto"/>
        <w:right w:val="none" w:sz="0" w:space="0" w:color="auto"/>
      </w:divBdr>
    </w:div>
    <w:div w:id="967516834">
      <w:bodyDiv w:val="1"/>
      <w:marLeft w:val="0"/>
      <w:marRight w:val="0"/>
      <w:marTop w:val="0"/>
      <w:marBottom w:val="0"/>
      <w:divBdr>
        <w:top w:val="none" w:sz="0" w:space="0" w:color="auto"/>
        <w:left w:val="none" w:sz="0" w:space="0" w:color="auto"/>
        <w:bottom w:val="none" w:sz="0" w:space="0" w:color="auto"/>
        <w:right w:val="none" w:sz="0" w:space="0" w:color="auto"/>
      </w:divBdr>
    </w:div>
    <w:div w:id="968707181">
      <w:bodyDiv w:val="1"/>
      <w:marLeft w:val="0"/>
      <w:marRight w:val="0"/>
      <w:marTop w:val="0"/>
      <w:marBottom w:val="0"/>
      <w:divBdr>
        <w:top w:val="none" w:sz="0" w:space="0" w:color="auto"/>
        <w:left w:val="none" w:sz="0" w:space="0" w:color="auto"/>
        <w:bottom w:val="none" w:sz="0" w:space="0" w:color="auto"/>
        <w:right w:val="none" w:sz="0" w:space="0" w:color="auto"/>
      </w:divBdr>
    </w:div>
    <w:div w:id="969361235">
      <w:bodyDiv w:val="1"/>
      <w:marLeft w:val="0"/>
      <w:marRight w:val="0"/>
      <w:marTop w:val="0"/>
      <w:marBottom w:val="0"/>
      <w:divBdr>
        <w:top w:val="none" w:sz="0" w:space="0" w:color="auto"/>
        <w:left w:val="none" w:sz="0" w:space="0" w:color="auto"/>
        <w:bottom w:val="none" w:sz="0" w:space="0" w:color="auto"/>
        <w:right w:val="none" w:sz="0" w:space="0" w:color="auto"/>
      </w:divBdr>
    </w:div>
    <w:div w:id="970209877">
      <w:bodyDiv w:val="1"/>
      <w:marLeft w:val="0"/>
      <w:marRight w:val="0"/>
      <w:marTop w:val="0"/>
      <w:marBottom w:val="0"/>
      <w:divBdr>
        <w:top w:val="none" w:sz="0" w:space="0" w:color="auto"/>
        <w:left w:val="none" w:sz="0" w:space="0" w:color="auto"/>
        <w:bottom w:val="none" w:sz="0" w:space="0" w:color="auto"/>
        <w:right w:val="none" w:sz="0" w:space="0" w:color="auto"/>
      </w:divBdr>
    </w:div>
    <w:div w:id="970476357">
      <w:bodyDiv w:val="1"/>
      <w:marLeft w:val="0"/>
      <w:marRight w:val="0"/>
      <w:marTop w:val="0"/>
      <w:marBottom w:val="0"/>
      <w:divBdr>
        <w:top w:val="none" w:sz="0" w:space="0" w:color="auto"/>
        <w:left w:val="none" w:sz="0" w:space="0" w:color="auto"/>
        <w:bottom w:val="none" w:sz="0" w:space="0" w:color="auto"/>
        <w:right w:val="none" w:sz="0" w:space="0" w:color="auto"/>
      </w:divBdr>
    </w:div>
    <w:div w:id="970482072">
      <w:bodyDiv w:val="1"/>
      <w:marLeft w:val="0"/>
      <w:marRight w:val="0"/>
      <w:marTop w:val="0"/>
      <w:marBottom w:val="0"/>
      <w:divBdr>
        <w:top w:val="none" w:sz="0" w:space="0" w:color="auto"/>
        <w:left w:val="none" w:sz="0" w:space="0" w:color="auto"/>
        <w:bottom w:val="none" w:sz="0" w:space="0" w:color="auto"/>
        <w:right w:val="none" w:sz="0" w:space="0" w:color="auto"/>
      </w:divBdr>
    </w:div>
    <w:div w:id="970598762">
      <w:bodyDiv w:val="1"/>
      <w:marLeft w:val="0"/>
      <w:marRight w:val="0"/>
      <w:marTop w:val="0"/>
      <w:marBottom w:val="0"/>
      <w:divBdr>
        <w:top w:val="none" w:sz="0" w:space="0" w:color="auto"/>
        <w:left w:val="none" w:sz="0" w:space="0" w:color="auto"/>
        <w:bottom w:val="none" w:sz="0" w:space="0" w:color="auto"/>
        <w:right w:val="none" w:sz="0" w:space="0" w:color="auto"/>
      </w:divBdr>
    </w:div>
    <w:div w:id="970668701">
      <w:bodyDiv w:val="1"/>
      <w:marLeft w:val="0"/>
      <w:marRight w:val="0"/>
      <w:marTop w:val="0"/>
      <w:marBottom w:val="0"/>
      <w:divBdr>
        <w:top w:val="none" w:sz="0" w:space="0" w:color="auto"/>
        <w:left w:val="none" w:sz="0" w:space="0" w:color="auto"/>
        <w:bottom w:val="none" w:sz="0" w:space="0" w:color="auto"/>
        <w:right w:val="none" w:sz="0" w:space="0" w:color="auto"/>
      </w:divBdr>
    </w:div>
    <w:div w:id="970674992">
      <w:bodyDiv w:val="1"/>
      <w:marLeft w:val="0"/>
      <w:marRight w:val="0"/>
      <w:marTop w:val="0"/>
      <w:marBottom w:val="0"/>
      <w:divBdr>
        <w:top w:val="none" w:sz="0" w:space="0" w:color="auto"/>
        <w:left w:val="none" w:sz="0" w:space="0" w:color="auto"/>
        <w:bottom w:val="none" w:sz="0" w:space="0" w:color="auto"/>
        <w:right w:val="none" w:sz="0" w:space="0" w:color="auto"/>
      </w:divBdr>
    </w:div>
    <w:div w:id="970987130">
      <w:bodyDiv w:val="1"/>
      <w:marLeft w:val="0"/>
      <w:marRight w:val="0"/>
      <w:marTop w:val="0"/>
      <w:marBottom w:val="0"/>
      <w:divBdr>
        <w:top w:val="none" w:sz="0" w:space="0" w:color="auto"/>
        <w:left w:val="none" w:sz="0" w:space="0" w:color="auto"/>
        <w:bottom w:val="none" w:sz="0" w:space="0" w:color="auto"/>
        <w:right w:val="none" w:sz="0" w:space="0" w:color="auto"/>
      </w:divBdr>
    </w:div>
    <w:div w:id="971129721">
      <w:bodyDiv w:val="1"/>
      <w:marLeft w:val="0"/>
      <w:marRight w:val="0"/>
      <w:marTop w:val="0"/>
      <w:marBottom w:val="0"/>
      <w:divBdr>
        <w:top w:val="none" w:sz="0" w:space="0" w:color="auto"/>
        <w:left w:val="none" w:sz="0" w:space="0" w:color="auto"/>
        <w:bottom w:val="none" w:sz="0" w:space="0" w:color="auto"/>
        <w:right w:val="none" w:sz="0" w:space="0" w:color="auto"/>
      </w:divBdr>
    </w:div>
    <w:div w:id="972096447">
      <w:bodyDiv w:val="1"/>
      <w:marLeft w:val="0"/>
      <w:marRight w:val="0"/>
      <w:marTop w:val="0"/>
      <w:marBottom w:val="0"/>
      <w:divBdr>
        <w:top w:val="none" w:sz="0" w:space="0" w:color="auto"/>
        <w:left w:val="none" w:sz="0" w:space="0" w:color="auto"/>
        <w:bottom w:val="none" w:sz="0" w:space="0" w:color="auto"/>
        <w:right w:val="none" w:sz="0" w:space="0" w:color="auto"/>
      </w:divBdr>
    </w:div>
    <w:div w:id="972253620">
      <w:bodyDiv w:val="1"/>
      <w:marLeft w:val="0"/>
      <w:marRight w:val="0"/>
      <w:marTop w:val="0"/>
      <w:marBottom w:val="0"/>
      <w:divBdr>
        <w:top w:val="none" w:sz="0" w:space="0" w:color="auto"/>
        <w:left w:val="none" w:sz="0" w:space="0" w:color="auto"/>
        <w:bottom w:val="none" w:sz="0" w:space="0" w:color="auto"/>
        <w:right w:val="none" w:sz="0" w:space="0" w:color="auto"/>
      </w:divBdr>
    </w:div>
    <w:div w:id="972364821">
      <w:bodyDiv w:val="1"/>
      <w:marLeft w:val="0"/>
      <w:marRight w:val="0"/>
      <w:marTop w:val="0"/>
      <w:marBottom w:val="0"/>
      <w:divBdr>
        <w:top w:val="none" w:sz="0" w:space="0" w:color="auto"/>
        <w:left w:val="none" w:sz="0" w:space="0" w:color="auto"/>
        <w:bottom w:val="none" w:sz="0" w:space="0" w:color="auto"/>
        <w:right w:val="none" w:sz="0" w:space="0" w:color="auto"/>
      </w:divBdr>
    </w:div>
    <w:div w:id="973411681">
      <w:bodyDiv w:val="1"/>
      <w:marLeft w:val="0"/>
      <w:marRight w:val="0"/>
      <w:marTop w:val="0"/>
      <w:marBottom w:val="0"/>
      <w:divBdr>
        <w:top w:val="none" w:sz="0" w:space="0" w:color="auto"/>
        <w:left w:val="none" w:sz="0" w:space="0" w:color="auto"/>
        <w:bottom w:val="none" w:sz="0" w:space="0" w:color="auto"/>
        <w:right w:val="none" w:sz="0" w:space="0" w:color="auto"/>
      </w:divBdr>
    </w:div>
    <w:div w:id="973755551">
      <w:bodyDiv w:val="1"/>
      <w:marLeft w:val="0"/>
      <w:marRight w:val="0"/>
      <w:marTop w:val="0"/>
      <w:marBottom w:val="0"/>
      <w:divBdr>
        <w:top w:val="none" w:sz="0" w:space="0" w:color="auto"/>
        <w:left w:val="none" w:sz="0" w:space="0" w:color="auto"/>
        <w:bottom w:val="none" w:sz="0" w:space="0" w:color="auto"/>
        <w:right w:val="none" w:sz="0" w:space="0" w:color="auto"/>
      </w:divBdr>
    </w:div>
    <w:div w:id="974025999">
      <w:bodyDiv w:val="1"/>
      <w:marLeft w:val="0"/>
      <w:marRight w:val="0"/>
      <w:marTop w:val="0"/>
      <w:marBottom w:val="0"/>
      <w:divBdr>
        <w:top w:val="none" w:sz="0" w:space="0" w:color="auto"/>
        <w:left w:val="none" w:sz="0" w:space="0" w:color="auto"/>
        <w:bottom w:val="none" w:sz="0" w:space="0" w:color="auto"/>
        <w:right w:val="none" w:sz="0" w:space="0" w:color="auto"/>
      </w:divBdr>
    </w:div>
    <w:div w:id="975913061">
      <w:bodyDiv w:val="1"/>
      <w:marLeft w:val="0"/>
      <w:marRight w:val="0"/>
      <w:marTop w:val="0"/>
      <w:marBottom w:val="0"/>
      <w:divBdr>
        <w:top w:val="none" w:sz="0" w:space="0" w:color="auto"/>
        <w:left w:val="none" w:sz="0" w:space="0" w:color="auto"/>
        <w:bottom w:val="none" w:sz="0" w:space="0" w:color="auto"/>
        <w:right w:val="none" w:sz="0" w:space="0" w:color="auto"/>
      </w:divBdr>
    </w:div>
    <w:div w:id="976640146">
      <w:bodyDiv w:val="1"/>
      <w:marLeft w:val="0"/>
      <w:marRight w:val="0"/>
      <w:marTop w:val="0"/>
      <w:marBottom w:val="0"/>
      <w:divBdr>
        <w:top w:val="none" w:sz="0" w:space="0" w:color="auto"/>
        <w:left w:val="none" w:sz="0" w:space="0" w:color="auto"/>
        <w:bottom w:val="none" w:sz="0" w:space="0" w:color="auto"/>
        <w:right w:val="none" w:sz="0" w:space="0" w:color="auto"/>
      </w:divBdr>
    </w:div>
    <w:div w:id="976648121">
      <w:bodyDiv w:val="1"/>
      <w:marLeft w:val="0"/>
      <w:marRight w:val="0"/>
      <w:marTop w:val="0"/>
      <w:marBottom w:val="0"/>
      <w:divBdr>
        <w:top w:val="none" w:sz="0" w:space="0" w:color="auto"/>
        <w:left w:val="none" w:sz="0" w:space="0" w:color="auto"/>
        <w:bottom w:val="none" w:sz="0" w:space="0" w:color="auto"/>
        <w:right w:val="none" w:sz="0" w:space="0" w:color="auto"/>
      </w:divBdr>
    </w:div>
    <w:div w:id="976691539">
      <w:bodyDiv w:val="1"/>
      <w:marLeft w:val="0"/>
      <w:marRight w:val="0"/>
      <w:marTop w:val="0"/>
      <w:marBottom w:val="0"/>
      <w:divBdr>
        <w:top w:val="none" w:sz="0" w:space="0" w:color="auto"/>
        <w:left w:val="none" w:sz="0" w:space="0" w:color="auto"/>
        <w:bottom w:val="none" w:sz="0" w:space="0" w:color="auto"/>
        <w:right w:val="none" w:sz="0" w:space="0" w:color="auto"/>
      </w:divBdr>
    </w:div>
    <w:div w:id="976909947">
      <w:bodyDiv w:val="1"/>
      <w:marLeft w:val="0"/>
      <w:marRight w:val="0"/>
      <w:marTop w:val="0"/>
      <w:marBottom w:val="0"/>
      <w:divBdr>
        <w:top w:val="none" w:sz="0" w:space="0" w:color="auto"/>
        <w:left w:val="none" w:sz="0" w:space="0" w:color="auto"/>
        <w:bottom w:val="none" w:sz="0" w:space="0" w:color="auto"/>
        <w:right w:val="none" w:sz="0" w:space="0" w:color="auto"/>
      </w:divBdr>
    </w:div>
    <w:div w:id="979460084">
      <w:bodyDiv w:val="1"/>
      <w:marLeft w:val="0"/>
      <w:marRight w:val="0"/>
      <w:marTop w:val="0"/>
      <w:marBottom w:val="0"/>
      <w:divBdr>
        <w:top w:val="none" w:sz="0" w:space="0" w:color="auto"/>
        <w:left w:val="none" w:sz="0" w:space="0" w:color="auto"/>
        <w:bottom w:val="none" w:sz="0" w:space="0" w:color="auto"/>
        <w:right w:val="none" w:sz="0" w:space="0" w:color="auto"/>
      </w:divBdr>
    </w:div>
    <w:div w:id="981160075">
      <w:bodyDiv w:val="1"/>
      <w:marLeft w:val="0"/>
      <w:marRight w:val="0"/>
      <w:marTop w:val="0"/>
      <w:marBottom w:val="0"/>
      <w:divBdr>
        <w:top w:val="none" w:sz="0" w:space="0" w:color="auto"/>
        <w:left w:val="none" w:sz="0" w:space="0" w:color="auto"/>
        <w:bottom w:val="none" w:sz="0" w:space="0" w:color="auto"/>
        <w:right w:val="none" w:sz="0" w:space="0" w:color="auto"/>
      </w:divBdr>
    </w:div>
    <w:div w:id="981497247">
      <w:bodyDiv w:val="1"/>
      <w:marLeft w:val="0"/>
      <w:marRight w:val="0"/>
      <w:marTop w:val="0"/>
      <w:marBottom w:val="0"/>
      <w:divBdr>
        <w:top w:val="none" w:sz="0" w:space="0" w:color="auto"/>
        <w:left w:val="none" w:sz="0" w:space="0" w:color="auto"/>
        <w:bottom w:val="none" w:sz="0" w:space="0" w:color="auto"/>
        <w:right w:val="none" w:sz="0" w:space="0" w:color="auto"/>
      </w:divBdr>
    </w:div>
    <w:div w:id="982394255">
      <w:bodyDiv w:val="1"/>
      <w:marLeft w:val="0"/>
      <w:marRight w:val="0"/>
      <w:marTop w:val="0"/>
      <w:marBottom w:val="0"/>
      <w:divBdr>
        <w:top w:val="none" w:sz="0" w:space="0" w:color="auto"/>
        <w:left w:val="none" w:sz="0" w:space="0" w:color="auto"/>
        <w:bottom w:val="none" w:sz="0" w:space="0" w:color="auto"/>
        <w:right w:val="none" w:sz="0" w:space="0" w:color="auto"/>
      </w:divBdr>
    </w:div>
    <w:div w:id="982930990">
      <w:bodyDiv w:val="1"/>
      <w:marLeft w:val="0"/>
      <w:marRight w:val="0"/>
      <w:marTop w:val="0"/>
      <w:marBottom w:val="0"/>
      <w:divBdr>
        <w:top w:val="none" w:sz="0" w:space="0" w:color="auto"/>
        <w:left w:val="none" w:sz="0" w:space="0" w:color="auto"/>
        <w:bottom w:val="none" w:sz="0" w:space="0" w:color="auto"/>
        <w:right w:val="none" w:sz="0" w:space="0" w:color="auto"/>
      </w:divBdr>
    </w:div>
    <w:div w:id="983000402">
      <w:bodyDiv w:val="1"/>
      <w:marLeft w:val="0"/>
      <w:marRight w:val="0"/>
      <w:marTop w:val="0"/>
      <w:marBottom w:val="0"/>
      <w:divBdr>
        <w:top w:val="none" w:sz="0" w:space="0" w:color="auto"/>
        <w:left w:val="none" w:sz="0" w:space="0" w:color="auto"/>
        <w:bottom w:val="none" w:sz="0" w:space="0" w:color="auto"/>
        <w:right w:val="none" w:sz="0" w:space="0" w:color="auto"/>
      </w:divBdr>
    </w:div>
    <w:div w:id="983007104">
      <w:bodyDiv w:val="1"/>
      <w:marLeft w:val="0"/>
      <w:marRight w:val="0"/>
      <w:marTop w:val="0"/>
      <w:marBottom w:val="0"/>
      <w:divBdr>
        <w:top w:val="none" w:sz="0" w:space="0" w:color="auto"/>
        <w:left w:val="none" w:sz="0" w:space="0" w:color="auto"/>
        <w:bottom w:val="none" w:sz="0" w:space="0" w:color="auto"/>
        <w:right w:val="none" w:sz="0" w:space="0" w:color="auto"/>
      </w:divBdr>
    </w:div>
    <w:div w:id="983241871">
      <w:bodyDiv w:val="1"/>
      <w:marLeft w:val="0"/>
      <w:marRight w:val="0"/>
      <w:marTop w:val="0"/>
      <w:marBottom w:val="0"/>
      <w:divBdr>
        <w:top w:val="none" w:sz="0" w:space="0" w:color="auto"/>
        <w:left w:val="none" w:sz="0" w:space="0" w:color="auto"/>
        <w:bottom w:val="none" w:sz="0" w:space="0" w:color="auto"/>
        <w:right w:val="none" w:sz="0" w:space="0" w:color="auto"/>
      </w:divBdr>
    </w:div>
    <w:div w:id="983513031">
      <w:bodyDiv w:val="1"/>
      <w:marLeft w:val="0"/>
      <w:marRight w:val="0"/>
      <w:marTop w:val="0"/>
      <w:marBottom w:val="0"/>
      <w:divBdr>
        <w:top w:val="none" w:sz="0" w:space="0" w:color="auto"/>
        <w:left w:val="none" w:sz="0" w:space="0" w:color="auto"/>
        <w:bottom w:val="none" w:sz="0" w:space="0" w:color="auto"/>
        <w:right w:val="none" w:sz="0" w:space="0" w:color="auto"/>
      </w:divBdr>
    </w:div>
    <w:div w:id="983967613">
      <w:bodyDiv w:val="1"/>
      <w:marLeft w:val="0"/>
      <w:marRight w:val="0"/>
      <w:marTop w:val="0"/>
      <w:marBottom w:val="0"/>
      <w:divBdr>
        <w:top w:val="none" w:sz="0" w:space="0" w:color="auto"/>
        <w:left w:val="none" w:sz="0" w:space="0" w:color="auto"/>
        <w:bottom w:val="none" w:sz="0" w:space="0" w:color="auto"/>
        <w:right w:val="none" w:sz="0" w:space="0" w:color="auto"/>
      </w:divBdr>
    </w:div>
    <w:div w:id="984431245">
      <w:bodyDiv w:val="1"/>
      <w:marLeft w:val="0"/>
      <w:marRight w:val="0"/>
      <w:marTop w:val="0"/>
      <w:marBottom w:val="0"/>
      <w:divBdr>
        <w:top w:val="none" w:sz="0" w:space="0" w:color="auto"/>
        <w:left w:val="none" w:sz="0" w:space="0" w:color="auto"/>
        <w:bottom w:val="none" w:sz="0" w:space="0" w:color="auto"/>
        <w:right w:val="none" w:sz="0" w:space="0" w:color="auto"/>
      </w:divBdr>
    </w:div>
    <w:div w:id="984771784">
      <w:bodyDiv w:val="1"/>
      <w:marLeft w:val="0"/>
      <w:marRight w:val="0"/>
      <w:marTop w:val="0"/>
      <w:marBottom w:val="0"/>
      <w:divBdr>
        <w:top w:val="none" w:sz="0" w:space="0" w:color="auto"/>
        <w:left w:val="none" w:sz="0" w:space="0" w:color="auto"/>
        <w:bottom w:val="none" w:sz="0" w:space="0" w:color="auto"/>
        <w:right w:val="none" w:sz="0" w:space="0" w:color="auto"/>
      </w:divBdr>
    </w:div>
    <w:div w:id="984816952">
      <w:bodyDiv w:val="1"/>
      <w:marLeft w:val="0"/>
      <w:marRight w:val="0"/>
      <w:marTop w:val="0"/>
      <w:marBottom w:val="0"/>
      <w:divBdr>
        <w:top w:val="none" w:sz="0" w:space="0" w:color="auto"/>
        <w:left w:val="none" w:sz="0" w:space="0" w:color="auto"/>
        <w:bottom w:val="none" w:sz="0" w:space="0" w:color="auto"/>
        <w:right w:val="none" w:sz="0" w:space="0" w:color="auto"/>
      </w:divBdr>
    </w:div>
    <w:div w:id="985090104">
      <w:bodyDiv w:val="1"/>
      <w:marLeft w:val="0"/>
      <w:marRight w:val="0"/>
      <w:marTop w:val="0"/>
      <w:marBottom w:val="0"/>
      <w:divBdr>
        <w:top w:val="none" w:sz="0" w:space="0" w:color="auto"/>
        <w:left w:val="none" w:sz="0" w:space="0" w:color="auto"/>
        <w:bottom w:val="none" w:sz="0" w:space="0" w:color="auto"/>
        <w:right w:val="none" w:sz="0" w:space="0" w:color="auto"/>
      </w:divBdr>
    </w:div>
    <w:div w:id="985401039">
      <w:bodyDiv w:val="1"/>
      <w:marLeft w:val="0"/>
      <w:marRight w:val="0"/>
      <w:marTop w:val="0"/>
      <w:marBottom w:val="0"/>
      <w:divBdr>
        <w:top w:val="none" w:sz="0" w:space="0" w:color="auto"/>
        <w:left w:val="none" w:sz="0" w:space="0" w:color="auto"/>
        <w:bottom w:val="none" w:sz="0" w:space="0" w:color="auto"/>
        <w:right w:val="none" w:sz="0" w:space="0" w:color="auto"/>
      </w:divBdr>
    </w:div>
    <w:div w:id="985667943">
      <w:bodyDiv w:val="1"/>
      <w:marLeft w:val="0"/>
      <w:marRight w:val="0"/>
      <w:marTop w:val="0"/>
      <w:marBottom w:val="0"/>
      <w:divBdr>
        <w:top w:val="none" w:sz="0" w:space="0" w:color="auto"/>
        <w:left w:val="none" w:sz="0" w:space="0" w:color="auto"/>
        <w:bottom w:val="none" w:sz="0" w:space="0" w:color="auto"/>
        <w:right w:val="none" w:sz="0" w:space="0" w:color="auto"/>
      </w:divBdr>
    </w:div>
    <w:div w:id="985670968">
      <w:bodyDiv w:val="1"/>
      <w:marLeft w:val="0"/>
      <w:marRight w:val="0"/>
      <w:marTop w:val="0"/>
      <w:marBottom w:val="0"/>
      <w:divBdr>
        <w:top w:val="none" w:sz="0" w:space="0" w:color="auto"/>
        <w:left w:val="none" w:sz="0" w:space="0" w:color="auto"/>
        <w:bottom w:val="none" w:sz="0" w:space="0" w:color="auto"/>
        <w:right w:val="none" w:sz="0" w:space="0" w:color="auto"/>
      </w:divBdr>
    </w:div>
    <w:div w:id="985820386">
      <w:bodyDiv w:val="1"/>
      <w:marLeft w:val="0"/>
      <w:marRight w:val="0"/>
      <w:marTop w:val="0"/>
      <w:marBottom w:val="0"/>
      <w:divBdr>
        <w:top w:val="none" w:sz="0" w:space="0" w:color="auto"/>
        <w:left w:val="none" w:sz="0" w:space="0" w:color="auto"/>
        <w:bottom w:val="none" w:sz="0" w:space="0" w:color="auto"/>
        <w:right w:val="none" w:sz="0" w:space="0" w:color="auto"/>
      </w:divBdr>
    </w:div>
    <w:div w:id="986594535">
      <w:bodyDiv w:val="1"/>
      <w:marLeft w:val="0"/>
      <w:marRight w:val="0"/>
      <w:marTop w:val="0"/>
      <w:marBottom w:val="0"/>
      <w:divBdr>
        <w:top w:val="none" w:sz="0" w:space="0" w:color="auto"/>
        <w:left w:val="none" w:sz="0" w:space="0" w:color="auto"/>
        <w:bottom w:val="none" w:sz="0" w:space="0" w:color="auto"/>
        <w:right w:val="none" w:sz="0" w:space="0" w:color="auto"/>
      </w:divBdr>
    </w:div>
    <w:div w:id="986670983">
      <w:bodyDiv w:val="1"/>
      <w:marLeft w:val="0"/>
      <w:marRight w:val="0"/>
      <w:marTop w:val="0"/>
      <w:marBottom w:val="0"/>
      <w:divBdr>
        <w:top w:val="none" w:sz="0" w:space="0" w:color="auto"/>
        <w:left w:val="none" w:sz="0" w:space="0" w:color="auto"/>
        <w:bottom w:val="none" w:sz="0" w:space="0" w:color="auto"/>
        <w:right w:val="none" w:sz="0" w:space="0" w:color="auto"/>
      </w:divBdr>
    </w:div>
    <w:div w:id="987171145">
      <w:bodyDiv w:val="1"/>
      <w:marLeft w:val="0"/>
      <w:marRight w:val="0"/>
      <w:marTop w:val="0"/>
      <w:marBottom w:val="0"/>
      <w:divBdr>
        <w:top w:val="none" w:sz="0" w:space="0" w:color="auto"/>
        <w:left w:val="none" w:sz="0" w:space="0" w:color="auto"/>
        <w:bottom w:val="none" w:sz="0" w:space="0" w:color="auto"/>
        <w:right w:val="none" w:sz="0" w:space="0" w:color="auto"/>
      </w:divBdr>
    </w:div>
    <w:div w:id="987435711">
      <w:bodyDiv w:val="1"/>
      <w:marLeft w:val="0"/>
      <w:marRight w:val="0"/>
      <w:marTop w:val="0"/>
      <w:marBottom w:val="0"/>
      <w:divBdr>
        <w:top w:val="none" w:sz="0" w:space="0" w:color="auto"/>
        <w:left w:val="none" w:sz="0" w:space="0" w:color="auto"/>
        <w:bottom w:val="none" w:sz="0" w:space="0" w:color="auto"/>
        <w:right w:val="none" w:sz="0" w:space="0" w:color="auto"/>
      </w:divBdr>
    </w:div>
    <w:div w:id="987972654">
      <w:bodyDiv w:val="1"/>
      <w:marLeft w:val="0"/>
      <w:marRight w:val="0"/>
      <w:marTop w:val="0"/>
      <w:marBottom w:val="0"/>
      <w:divBdr>
        <w:top w:val="none" w:sz="0" w:space="0" w:color="auto"/>
        <w:left w:val="none" w:sz="0" w:space="0" w:color="auto"/>
        <w:bottom w:val="none" w:sz="0" w:space="0" w:color="auto"/>
        <w:right w:val="none" w:sz="0" w:space="0" w:color="auto"/>
      </w:divBdr>
    </w:div>
    <w:div w:id="988361171">
      <w:bodyDiv w:val="1"/>
      <w:marLeft w:val="0"/>
      <w:marRight w:val="0"/>
      <w:marTop w:val="0"/>
      <w:marBottom w:val="0"/>
      <w:divBdr>
        <w:top w:val="none" w:sz="0" w:space="0" w:color="auto"/>
        <w:left w:val="none" w:sz="0" w:space="0" w:color="auto"/>
        <w:bottom w:val="none" w:sz="0" w:space="0" w:color="auto"/>
        <w:right w:val="none" w:sz="0" w:space="0" w:color="auto"/>
      </w:divBdr>
    </w:div>
    <w:div w:id="988556002">
      <w:bodyDiv w:val="1"/>
      <w:marLeft w:val="0"/>
      <w:marRight w:val="0"/>
      <w:marTop w:val="0"/>
      <w:marBottom w:val="0"/>
      <w:divBdr>
        <w:top w:val="none" w:sz="0" w:space="0" w:color="auto"/>
        <w:left w:val="none" w:sz="0" w:space="0" w:color="auto"/>
        <w:bottom w:val="none" w:sz="0" w:space="0" w:color="auto"/>
        <w:right w:val="none" w:sz="0" w:space="0" w:color="auto"/>
      </w:divBdr>
    </w:div>
    <w:div w:id="988704786">
      <w:bodyDiv w:val="1"/>
      <w:marLeft w:val="0"/>
      <w:marRight w:val="0"/>
      <w:marTop w:val="0"/>
      <w:marBottom w:val="0"/>
      <w:divBdr>
        <w:top w:val="none" w:sz="0" w:space="0" w:color="auto"/>
        <w:left w:val="none" w:sz="0" w:space="0" w:color="auto"/>
        <w:bottom w:val="none" w:sz="0" w:space="0" w:color="auto"/>
        <w:right w:val="none" w:sz="0" w:space="0" w:color="auto"/>
      </w:divBdr>
    </w:div>
    <w:div w:id="988705702">
      <w:bodyDiv w:val="1"/>
      <w:marLeft w:val="0"/>
      <w:marRight w:val="0"/>
      <w:marTop w:val="0"/>
      <w:marBottom w:val="0"/>
      <w:divBdr>
        <w:top w:val="none" w:sz="0" w:space="0" w:color="auto"/>
        <w:left w:val="none" w:sz="0" w:space="0" w:color="auto"/>
        <w:bottom w:val="none" w:sz="0" w:space="0" w:color="auto"/>
        <w:right w:val="none" w:sz="0" w:space="0" w:color="auto"/>
      </w:divBdr>
    </w:div>
    <w:div w:id="989752763">
      <w:bodyDiv w:val="1"/>
      <w:marLeft w:val="0"/>
      <w:marRight w:val="0"/>
      <w:marTop w:val="0"/>
      <w:marBottom w:val="0"/>
      <w:divBdr>
        <w:top w:val="none" w:sz="0" w:space="0" w:color="auto"/>
        <w:left w:val="none" w:sz="0" w:space="0" w:color="auto"/>
        <w:bottom w:val="none" w:sz="0" w:space="0" w:color="auto"/>
        <w:right w:val="none" w:sz="0" w:space="0" w:color="auto"/>
      </w:divBdr>
    </w:div>
    <w:div w:id="990213179">
      <w:bodyDiv w:val="1"/>
      <w:marLeft w:val="0"/>
      <w:marRight w:val="0"/>
      <w:marTop w:val="0"/>
      <w:marBottom w:val="0"/>
      <w:divBdr>
        <w:top w:val="none" w:sz="0" w:space="0" w:color="auto"/>
        <w:left w:val="none" w:sz="0" w:space="0" w:color="auto"/>
        <w:bottom w:val="none" w:sz="0" w:space="0" w:color="auto"/>
        <w:right w:val="none" w:sz="0" w:space="0" w:color="auto"/>
      </w:divBdr>
    </w:div>
    <w:div w:id="990525690">
      <w:bodyDiv w:val="1"/>
      <w:marLeft w:val="0"/>
      <w:marRight w:val="0"/>
      <w:marTop w:val="0"/>
      <w:marBottom w:val="0"/>
      <w:divBdr>
        <w:top w:val="none" w:sz="0" w:space="0" w:color="auto"/>
        <w:left w:val="none" w:sz="0" w:space="0" w:color="auto"/>
        <w:bottom w:val="none" w:sz="0" w:space="0" w:color="auto"/>
        <w:right w:val="none" w:sz="0" w:space="0" w:color="auto"/>
      </w:divBdr>
    </w:div>
    <w:div w:id="990601919">
      <w:bodyDiv w:val="1"/>
      <w:marLeft w:val="0"/>
      <w:marRight w:val="0"/>
      <w:marTop w:val="0"/>
      <w:marBottom w:val="0"/>
      <w:divBdr>
        <w:top w:val="none" w:sz="0" w:space="0" w:color="auto"/>
        <w:left w:val="none" w:sz="0" w:space="0" w:color="auto"/>
        <w:bottom w:val="none" w:sz="0" w:space="0" w:color="auto"/>
        <w:right w:val="none" w:sz="0" w:space="0" w:color="auto"/>
      </w:divBdr>
    </w:div>
    <w:div w:id="990794868">
      <w:bodyDiv w:val="1"/>
      <w:marLeft w:val="0"/>
      <w:marRight w:val="0"/>
      <w:marTop w:val="0"/>
      <w:marBottom w:val="0"/>
      <w:divBdr>
        <w:top w:val="none" w:sz="0" w:space="0" w:color="auto"/>
        <w:left w:val="none" w:sz="0" w:space="0" w:color="auto"/>
        <w:bottom w:val="none" w:sz="0" w:space="0" w:color="auto"/>
        <w:right w:val="none" w:sz="0" w:space="0" w:color="auto"/>
      </w:divBdr>
    </w:div>
    <w:div w:id="990911657">
      <w:bodyDiv w:val="1"/>
      <w:marLeft w:val="0"/>
      <w:marRight w:val="0"/>
      <w:marTop w:val="0"/>
      <w:marBottom w:val="0"/>
      <w:divBdr>
        <w:top w:val="none" w:sz="0" w:space="0" w:color="auto"/>
        <w:left w:val="none" w:sz="0" w:space="0" w:color="auto"/>
        <w:bottom w:val="none" w:sz="0" w:space="0" w:color="auto"/>
        <w:right w:val="none" w:sz="0" w:space="0" w:color="auto"/>
      </w:divBdr>
    </w:div>
    <w:div w:id="991910788">
      <w:bodyDiv w:val="1"/>
      <w:marLeft w:val="0"/>
      <w:marRight w:val="0"/>
      <w:marTop w:val="0"/>
      <w:marBottom w:val="0"/>
      <w:divBdr>
        <w:top w:val="none" w:sz="0" w:space="0" w:color="auto"/>
        <w:left w:val="none" w:sz="0" w:space="0" w:color="auto"/>
        <w:bottom w:val="none" w:sz="0" w:space="0" w:color="auto"/>
        <w:right w:val="none" w:sz="0" w:space="0" w:color="auto"/>
      </w:divBdr>
    </w:div>
    <w:div w:id="992567657">
      <w:bodyDiv w:val="1"/>
      <w:marLeft w:val="0"/>
      <w:marRight w:val="0"/>
      <w:marTop w:val="0"/>
      <w:marBottom w:val="0"/>
      <w:divBdr>
        <w:top w:val="none" w:sz="0" w:space="0" w:color="auto"/>
        <w:left w:val="none" w:sz="0" w:space="0" w:color="auto"/>
        <w:bottom w:val="none" w:sz="0" w:space="0" w:color="auto"/>
        <w:right w:val="none" w:sz="0" w:space="0" w:color="auto"/>
      </w:divBdr>
    </w:div>
    <w:div w:id="992635290">
      <w:bodyDiv w:val="1"/>
      <w:marLeft w:val="0"/>
      <w:marRight w:val="0"/>
      <w:marTop w:val="0"/>
      <w:marBottom w:val="0"/>
      <w:divBdr>
        <w:top w:val="none" w:sz="0" w:space="0" w:color="auto"/>
        <w:left w:val="none" w:sz="0" w:space="0" w:color="auto"/>
        <w:bottom w:val="none" w:sz="0" w:space="0" w:color="auto"/>
        <w:right w:val="none" w:sz="0" w:space="0" w:color="auto"/>
      </w:divBdr>
    </w:div>
    <w:div w:id="992639908">
      <w:bodyDiv w:val="1"/>
      <w:marLeft w:val="0"/>
      <w:marRight w:val="0"/>
      <w:marTop w:val="0"/>
      <w:marBottom w:val="0"/>
      <w:divBdr>
        <w:top w:val="none" w:sz="0" w:space="0" w:color="auto"/>
        <w:left w:val="none" w:sz="0" w:space="0" w:color="auto"/>
        <w:bottom w:val="none" w:sz="0" w:space="0" w:color="auto"/>
        <w:right w:val="none" w:sz="0" w:space="0" w:color="auto"/>
      </w:divBdr>
    </w:div>
    <w:div w:id="992683239">
      <w:bodyDiv w:val="1"/>
      <w:marLeft w:val="0"/>
      <w:marRight w:val="0"/>
      <w:marTop w:val="0"/>
      <w:marBottom w:val="0"/>
      <w:divBdr>
        <w:top w:val="none" w:sz="0" w:space="0" w:color="auto"/>
        <w:left w:val="none" w:sz="0" w:space="0" w:color="auto"/>
        <w:bottom w:val="none" w:sz="0" w:space="0" w:color="auto"/>
        <w:right w:val="none" w:sz="0" w:space="0" w:color="auto"/>
      </w:divBdr>
    </w:div>
    <w:div w:id="992951671">
      <w:bodyDiv w:val="1"/>
      <w:marLeft w:val="0"/>
      <w:marRight w:val="0"/>
      <w:marTop w:val="0"/>
      <w:marBottom w:val="0"/>
      <w:divBdr>
        <w:top w:val="none" w:sz="0" w:space="0" w:color="auto"/>
        <w:left w:val="none" w:sz="0" w:space="0" w:color="auto"/>
        <w:bottom w:val="none" w:sz="0" w:space="0" w:color="auto"/>
        <w:right w:val="none" w:sz="0" w:space="0" w:color="auto"/>
      </w:divBdr>
    </w:div>
    <w:div w:id="993220959">
      <w:bodyDiv w:val="1"/>
      <w:marLeft w:val="0"/>
      <w:marRight w:val="0"/>
      <w:marTop w:val="0"/>
      <w:marBottom w:val="0"/>
      <w:divBdr>
        <w:top w:val="none" w:sz="0" w:space="0" w:color="auto"/>
        <w:left w:val="none" w:sz="0" w:space="0" w:color="auto"/>
        <w:bottom w:val="none" w:sz="0" w:space="0" w:color="auto"/>
        <w:right w:val="none" w:sz="0" w:space="0" w:color="auto"/>
      </w:divBdr>
    </w:div>
    <w:div w:id="993336776">
      <w:bodyDiv w:val="1"/>
      <w:marLeft w:val="0"/>
      <w:marRight w:val="0"/>
      <w:marTop w:val="0"/>
      <w:marBottom w:val="0"/>
      <w:divBdr>
        <w:top w:val="none" w:sz="0" w:space="0" w:color="auto"/>
        <w:left w:val="none" w:sz="0" w:space="0" w:color="auto"/>
        <w:bottom w:val="none" w:sz="0" w:space="0" w:color="auto"/>
        <w:right w:val="none" w:sz="0" w:space="0" w:color="auto"/>
      </w:divBdr>
    </w:div>
    <w:div w:id="993486999">
      <w:bodyDiv w:val="1"/>
      <w:marLeft w:val="0"/>
      <w:marRight w:val="0"/>
      <w:marTop w:val="0"/>
      <w:marBottom w:val="0"/>
      <w:divBdr>
        <w:top w:val="none" w:sz="0" w:space="0" w:color="auto"/>
        <w:left w:val="none" w:sz="0" w:space="0" w:color="auto"/>
        <w:bottom w:val="none" w:sz="0" w:space="0" w:color="auto"/>
        <w:right w:val="none" w:sz="0" w:space="0" w:color="auto"/>
      </w:divBdr>
    </w:div>
    <w:div w:id="993604924">
      <w:bodyDiv w:val="1"/>
      <w:marLeft w:val="0"/>
      <w:marRight w:val="0"/>
      <w:marTop w:val="0"/>
      <w:marBottom w:val="0"/>
      <w:divBdr>
        <w:top w:val="none" w:sz="0" w:space="0" w:color="auto"/>
        <w:left w:val="none" w:sz="0" w:space="0" w:color="auto"/>
        <w:bottom w:val="none" w:sz="0" w:space="0" w:color="auto"/>
        <w:right w:val="none" w:sz="0" w:space="0" w:color="auto"/>
      </w:divBdr>
    </w:div>
    <w:div w:id="994719782">
      <w:bodyDiv w:val="1"/>
      <w:marLeft w:val="0"/>
      <w:marRight w:val="0"/>
      <w:marTop w:val="0"/>
      <w:marBottom w:val="0"/>
      <w:divBdr>
        <w:top w:val="none" w:sz="0" w:space="0" w:color="auto"/>
        <w:left w:val="none" w:sz="0" w:space="0" w:color="auto"/>
        <w:bottom w:val="none" w:sz="0" w:space="0" w:color="auto"/>
        <w:right w:val="none" w:sz="0" w:space="0" w:color="auto"/>
      </w:divBdr>
    </w:div>
    <w:div w:id="995449560">
      <w:bodyDiv w:val="1"/>
      <w:marLeft w:val="0"/>
      <w:marRight w:val="0"/>
      <w:marTop w:val="0"/>
      <w:marBottom w:val="0"/>
      <w:divBdr>
        <w:top w:val="none" w:sz="0" w:space="0" w:color="auto"/>
        <w:left w:val="none" w:sz="0" w:space="0" w:color="auto"/>
        <w:bottom w:val="none" w:sz="0" w:space="0" w:color="auto"/>
        <w:right w:val="none" w:sz="0" w:space="0" w:color="auto"/>
      </w:divBdr>
    </w:div>
    <w:div w:id="995692364">
      <w:bodyDiv w:val="1"/>
      <w:marLeft w:val="0"/>
      <w:marRight w:val="0"/>
      <w:marTop w:val="0"/>
      <w:marBottom w:val="0"/>
      <w:divBdr>
        <w:top w:val="none" w:sz="0" w:space="0" w:color="auto"/>
        <w:left w:val="none" w:sz="0" w:space="0" w:color="auto"/>
        <w:bottom w:val="none" w:sz="0" w:space="0" w:color="auto"/>
        <w:right w:val="none" w:sz="0" w:space="0" w:color="auto"/>
      </w:divBdr>
    </w:div>
    <w:div w:id="996500414">
      <w:bodyDiv w:val="1"/>
      <w:marLeft w:val="0"/>
      <w:marRight w:val="0"/>
      <w:marTop w:val="0"/>
      <w:marBottom w:val="0"/>
      <w:divBdr>
        <w:top w:val="none" w:sz="0" w:space="0" w:color="auto"/>
        <w:left w:val="none" w:sz="0" w:space="0" w:color="auto"/>
        <w:bottom w:val="none" w:sz="0" w:space="0" w:color="auto"/>
        <w:right w:val="none" w:sz="0" w:space="0" w:color="auto"/>
      </w:divBdr>
    </w:div>
    <w:div w:id="997421359">
      <w:bodyDiv w:val="1"/>
      <w:marLeft w:val="0"/>
      <w:marRight w:val="0"/>
      <w:marTop w:val="0"/>
      <w:marBottom w:val="0"/>
      <w:divBdr>
        <w:top w:val="none" w:sz="0" w:space="0" w:color="auto"/>
        <w:left w:val="none" w:sz="0" w:space="0" w:color="auto"/>
        <w:bottom w:val="none" w:sz="0" w:space="0" w:color="auto"/>
        <w:right w:val="none" w:sz="0" w:space="0" w:color="auto"/>
      </w:divBdr>
    </w:div>
    <w:div w:id="997617011">
      <w:bodyDiv w:val="1"/>
      <w:marLeft w:val="0"/>
      <w:marRight w:val="0"/>
      <w:marTop w:val="0"/>
      <w:marBottom w:val="0"/>
      <w:divBdr>
        <w:top w:val="none" w:sz="0" w:space="0" w:color="auto"/>
        <w:left w:val="none" w:sz="0" w:space="0" w:color="auto"/>
        <w:bottom w:val="none" w:sz="0" w:space="0" w:color="auto"/>
        <w:right w:val="none" w:sz="0" w:space="0" w:color="auto"/>
      </w:divBdr>
    </w:div>
    <w:div w:id="997920539">
      <w:bodyDiv w:val="1"/>
      <w:marLeft w:val="0"/>
      <w:marRight w:val="0"/>
      <w:marTop w:val="0"/>
      <w:marBottom w:val="0"/>
      <w:divBdr>
        <w:top w:val="none" w:sz="0" w:space="0" w:color="auto"/>
        <w:left w:val="none" w:sz="0" w:space="0" w:color="auto"/>
        <w:bottom w:val="none" w:sz="0" w:space="0" w:color="auto"/>
        <w:right w:val="none" w:sz="0" w:space="0" w:color="auto"/>
      </w:divBdr>
    </w:div>
    <w:div w:id="999380967">
      <w:bodyDiv w:val="1"/>
      <w:marLeft w:val="0"/>
      <w:marRight w:val="0"/>
      <w:marTop w:val="0"/>
      <w:marBottom w:val="0"/>
      <w:divBdr>
        <w:top w:val="none" w:sz="0" w:space="0" w:color="auto"/>
        <w:left w:val="none" w:sz="0" w:space="0" w:color="auto"/>
        <w:bottom w:val="none" w:sz="0" w:space="0" w:color="auto"/>
        <w:right w:val="none" w:sz="0" w:space="0" w:color="auto"/>
      </w:divBdr>
    </w:div>
    <w:div w:id="1000540496">
      <w:bodyDiv w:val="1"/>
      <w:marLeft w:val="0"/>
      <w:marRight w:val="0"/>
      <w:marTop w:val="0"/>
      <w:marBottom w:val="0"/>
      <w:divBdr>
        <w:top w:val="none" w:sz="0" w:space="0" w:color="auto"/>
        <w:left w:val="none" w:sz="0" w:space="0" w:color="auto"/>
        <w:bottom w:val="none" w:sz="0" w:space="0" w:color="auto"/>
        <w:right w:val="none" w:sz="0" w:space="0" w:color="auto"/>
      </w:divBdr>
    </w:div>
    <w:div w:id="1000692543">
      <w:bodyDiv w:val="1"/>
      <w:marLeft w:val="0"/>
      <w:marRight w:val="0"/>
      <w:marTop w:val="0"/>
      <w:marBottom w:val="0"/>
      <w:divBdr>
        <w:top w:val="none" w:sz="0" w:space="0" w:color="auto"/>
        <w:left w:val="none" w:sz="0" w:space="0" w:color="auto"/>
        <w:bottom w:val="none" w:sz="0" w:space="0" w:color="auto"/>
        <w:right w:val="none" w:sz="0" w:space="0" w:color="auto"/>
      </w:divBdr>
    </w:div>
    <w:div w:id="1000893911">
      <w:bodyDiv w:val="1"/>
      <w:marLeft w:val="0"/>
      <w:marRight w:val="0"/>
      <w:marTop w:val="0"/>
      <w:marBottom w:val="0"/>
      <w:divBdr>
        <w:top w:val="none" w:sz="0" w:space="0" w:color="auto"/>
        <w:left w:val="none" w:sz="0" w:space="0" w:color="auto"/>
        <w:bottom w:val="none" w:sz="0" w:space="0" w:color="auto"/>
        <w:right w:val="none" w:sz="0" w:space="0" w:color="auto"/>
      </w:divBdr>
    </w:div>
    <w:div w:id="1001200695">
      <w:bodyDiv w:val="1"/>
      <w:marLeft w:val="0"/>
      <w:marRight w:val="0"/>
      <w:marTop w:val="0"/>
      <w:marBottom w:val="0"/>
      <w:divBdr>
        <w:top w:val="none" w:sz="0" w:space="0" w:color="auto"/>
        <w:left w:val="none" w:sz="0" w:space="0" w:color="auto"/>
        <w:bottom w:val="none" w:sz="0" w:space="0" w:color="auto"/>
        <w:right w:val="none" w:sz="0" w:space="0" w:color="auto"/>
      </w:divBdr>
    </w:div>
    <w:div w:id="1001280752">
      <w:bodyDiv w:val="1"/>
      <w:marLeft w:val="0"/>
      <w:marRight w:val="0"/>
      <w:marTop w:val="0"/>
      <w:marBottom w:val="0"/>
      <w:divBdr>
        <w:top w:val="none" w:sz="0" w:space="0" w:color="auto"/>
        <w:left w:val="none" w:sz="0" w:space="0" w:color="auto"/>
        <w:bottom w:val="none" w:sz="0" w:space="0" w:color="auto"/>
        <w:right w:val="none" w:sz="0" w:space="0" w:color="auto"/>
      </w:divBdr>
    </w:div>
    <w:div w:id="1001549492">
      <w:bodyDiv w:val="1"/>
      <w:marLeft w:val="0"/>
      <w:marRight w:val="0"/>
      <w:marTop w:val="0"/>
      <w:marBottom w:val="0"/>
      <w:divBdr>
        <w:top w:val="none" w:sz="0" w:space="0" w:color="auto"/>
        <w:left w:val="none" w:sz="0" w:space="0" w:color="auto"/>
        <w:bottom w:val="none" w:sz="0" w:space="0" w:color="auto"/>
        <w:right w:val="none" w:sz="0" w:space="0" w:color="auto"/>
      </w:divBdr>
    </w:div>
    <w:div w:id="1001588091">
      <w:bodyDiv w:val="1"/>
      <w:marLeft w:val="0"/>
      <w:marRight w:val="0"/>
      <w:marTop w:val="0"/>
      <w:marBottom w:val="0"/>
      <w:divBdr>
        <w:top w:val="none" w:sz="0" w:space="0" w:color="auto"/>
        <w:left w:val="none" w:sz="0" w:space="0" w:color="auto"/>
        <w:bottom w:val="none" w:sz="0" w:space="0" w:color="auto"/>
        <w:right w:val="none" w:sz="0" w:space="0" w:color="auto"/>
      </w:divBdr>
    </w:div>
    <w:div w:id="1002010228">
      <w:bodyDiv w:val="1"/>
      <w:marLeft w:val="0"/>
      <w:marRight w:val="0"/>
      <w:marTop w:val="0"/>
      <w:marBottom w:val="0"/>
      <w:divBdr>
        <w:top w:val="none" w:sz="0" w:space="0" w:color="auto"/>
        <w:left w:val="none" w:sz="0" w:space="0" w:color="auto"/>
        <w:bottom w:val="none" w:sz="0" w:space="0" w:color="auto"/>
        <w:right w:val="none" w:sz="0" w:space="0" w:color="auto"/>
      </w:divBdr>
    </w:div>
    <w:div w:id="1002122154">
      <w:bodyDiv w:val="1"/>
      <w:marLeft w:val="0"/>
      <w:marRight w:val="0"/>
      <w:marTop w:val="0"/>
      <w:marBottom w:val="0"/>
      <w:divBdr>
        <w:top w:val="none" w:sz="0" w:space="0" w:color="auto"/>
        <w:left w:val="none" w:sz="0" w:space="0" w:color="auto"/>
        <w:bottom w:val="none" w:sz="0" w:space="0" w:color="auto"/>
        <w:right w:val="none" w:sz="0" w:space="0" w:color="auto"/>
      </w:divBdr>
    </w:div>
    <w:div w:id="1002126664">
      <w:bodyDiv w:val="1"/>
      <w:marLeft w:val="0"/>
      <w:marRight w:val="0"/>
      <w:marTop w:val="0"/>
      <w:marBottom w:val="0"/>
      <w:divBdr>
        <w:top w:val="none" w:sz="0" w:space="0" w:color="auto"/>
        <w:left w:val="none" w:sz="0" w:space="0" w:color="auto"/>
        <w:bottom w:val="none" w:sz="0" w:space="0" w:color="auto"/>
        <w:right w:val="none" w:sz="0" w:space="0" w:color="auto"/>
      </w:divBdr>
    </w:div>
    <w:div w:id="1003818826">
      <w:bodyDiv w:val="1"/>
      <w:marLeft w:val="0"/>
      <w:marRight w:val="0"/>
      <w:marTop w:val="0"/>
      <w:marBottom w:val="0"/>
      <w:divBdr>
        <w:top w:val="none" w:sz="0" w:space="0" w:color="auto"/>
        <w:left w:val="none" w:sz="0" w:space="0" w:color="auto"/>
        <w:bottom w:val="none" w:sz="0" w:space="0" w:color="auto"/>
        <w:right w:val="none" w:sz="0" w:space="0" w:color="auto"/>
      </w:divBdr>
    </w:div>
    <w:div w:id="1004436368">
      <w:bodyDiv w:val="1"/>
      <w:marLeft w:val="0"/>
      <w:marRight w:val="0"/>
      <w:marTop w:val="0"/>
      <w:marBottom w:val="0"/>
      <w:divBdr>
        <w:top w:val="none" w:sz="0" w:space="0" w:color="auto"/>
        <w:left w:val="none" w:sz="0" w:space="0" w:color="auto"/>
        <w:bottom w:val="none" w:sz="0" w:space="0" w:color="auto"/>
        <w:right w:val="none" w:sz="0" w:space="0" w:color="auto"/>
      </w:divBdr>
    </w:div>
    <w:div w:id="1004668221">
      <w:bodyDiv w:val="1"/>
      <w:marLeft w:val="0"/>
      <w:marRight w:val="0"/>
      <w:marTop w:val="0"/>
      <w:marBottom w:val="0"/>
      <w:divBdr>
        <w:top w:val="none" w:sz="0" w:space="0" w:color="auto"/>
        <w:left w:val="none" w:sz="0" w:space="0" w:color="auto"/>
        <w:bottom w:val="none" w:sz="0" w:space="0" w:color="auto"/>
        <w:right w:val="none" w:sz="0" w:space="0" w:color="auto"/>
      </w:divBdr>
    </w:div>
    <w:div w:id="1005472004">
      <w:bodyDiv w:val="1"/>
      <w:marLeft w:val="0"/>
      <w:marRight w:val="0"/>
      <w:marTop w:val="0"/>
      <w:marBottom w:val="0"/>
      <w:divBdr>
        <w:top w:val="none" w:sz="0" w:space="0" w:color="auto"/>
        <w:left w:val="none" w:sz="0" w:space="0" w:color="auto"/>
        <w:bottom w:val="none" w:sz="0" w:space="0" w:color="auto"/>
        <w:right w:val="none" w:sz="0" w:space="0" w:color="auto"/>
      </w:divBdr>
    </w:div>
    <w:div w:id="1006252718">
      <w:bodyDiv w:val="1"/>
      <w:marLeft w:val="0"/>
      <w:marRight w:val="0"/>
      <w:marTop w:val="0"/>
      <w:marBottom w:val="0"/>
      <w:divBdr>
        <w:top w:val="none" w:sz="0" w:space="0" w:color="auto"/>
        <w:left w:val="none" w:sz="0" w:space="0" w:color="auto"/>
        <w:bottom w:val="none" w:sz="0" w:space="0" w:color="auto"/>
        <w:right w:val="none" w:sz="0" w:space="0" w:color="auto"/>
      </w:divBdr>
    </w:div>
    <w:div w:id="1006597069">
      <w:bodyDiv w:val="1"/>
      <w:marLeft w:val="0"/>
      <w:marRight w:val="0"/>
      <w:marTop w:val="0"/>
      <w:marBottom w:val="0"/>
      <w:divBdr>
        <w:top w:val="none" w:sz="0" w:space="0" w:color="auto"/>
        <w:left w:val="none" w:sz="0" w:space="0" w:color="auto"/>
        <w:bottom w:val="none" w:sz="0" w:space="0" w:color="auto"/>
        <w:right w:val="none" w:sz="0" w:space="0" w:color="auto"/>
      </w:divBdr>
    </w:div>
    <w:div w:id="1006980873">
      <w:bodyDiv w:val="1"/>
      <w:marLeft w:val="0"/>
      <w:marRight w:val="0"/>
      <w:marTop w:val="0"/>
      <w:marBottom w:val="0"/>
      <w:divBdr>
        <w:top w:val="none" w:sz="0" w:space="0" w:color="auto"/>
        <w:left w:val="none" w:sz="0" w:space="0" w:color="auto"/>
        <w:bottom w:val="none" w:sz="0" w:space="0" w:color="auto"/>
        <w:right w:val="none" w:sz="0" w:space="0" w:color="auto"/>
      </w:divBdr>
    </w:div>
    <w:div w:id="1006984808">
      <w:bodyDiv w:val="1"/>
      <w:marLeft w:val="0"/>
      <w:marRight w:val="0"/>
      <w:marTop w:val="0"/>
      <w:marBottom w:val="0"/>
      <w:divBdr>
        <w:top w:val="none" w:sz="0" w:space="0" w:color="auto"/>
        <w:left w:val="none" w:sz="0" w:space="0" w:color="auto"/>
        <w:bottom w:val="none" w:sz="0" w:space="0" w:color="auto"/>
        <w:right w:val="none" w:sz="0" w:space="0" w:color="auto"/>
      </w:divBdr>
    </w:div>
    <w:div w:id="1007177223">
      <w:bodyDiv w:val="1"/>
      <w:marLeft w:val="0"/>
      <w:marRight w:val="0"/>
      <w:marTop w:val="0"/>
      <w:marBottom w:val="0"/>
      <w:divBdr>
        <w:top w:val="none" w:sz="0" w:space="0" w:color="auto"/>
        <w:left w:val="none" w:sz="0" w:space="0" w:color="auto"/>
        <w:bottom w:val="none" w:sz="0" w:space="0" w:color="auto"/>
        <w:right w:val="none" w:sz="0" w:space="0" w:color="auto"/>
      </w:divBdr>
    </w:div>
    <w:div w:id="1008291766">
      <w:bodyDiv w:val="1"/>
      <w:marLeft w:val="0"/>
      <w:marRight w:val="0"/>
      <w:marTop w:val="0"/>
      <w:marBottom w:val="0"/>
      <w:divBdr>
        <w:top w:val="none" w:sz="0" w:space="0" w:color="auto"/>
        <w:left w:val="none" w:sz="0" w:space="0" w:color="auto"/>
        <w:bottom w:val="none" w:sz="0" w:space="0" w:color="auto"/>
        <w:right w:val="none" w:sz="0" w:space="0" w:color="auto"/>
      </w:divBdr>
    </w:div>
    <w:div w:id="1008874903">
      <w:bodyDiv w:val="1"/>
      <w:marLeft w:val="0"/>
      <w:marRight w:val="0"/>
      <w:marTop w:val="0"/>
      <w:marBottom w:val="0"/>
      <w:divBdr>
        <w:top w:val="none" w:sz="0" w:space="0" w:color="auto"/>
        <w:left w:val="none" w:sz="0" w:space="0" w:color="auto"/>
        <w:bottom w:val="none" w:sz="0" w:space="0" w:color="auto"/>
        <w:right w:val="none" w:sz="0" w:space="0" w:color="auto"/>
      </w:divBdr>
    </w:div>
    <w:div w:id="1008943759">
      <w:bodyDiv w:val="1"/>
      <w:marLeft w:val="0"/>
      <w:marRight w:val="0"/>
      <w:marTop w:val="0"/>
      <w:marBottom w:val="0"/>
      <w:divBdr>
        <w:top w:val="none" w:sz="0" w:space="0" w:color="auto"/>
        <w:left w:val="none" w:sz="0" w:space="0" w:color="auto"/>
        <w:bottom w:val="none" w:sz="0" w:space="0" w:color="auto"/>
        <w:right w:val="none" w:sz="0" w:space="0" w:color="auto"/>
      </w:divBdr>
    </w:div>
    <w:div w:id="1009406091">
      <w:bodyDiv w:val="1"/>
      <w:marLeft w:val="0"/>
      <w:marRight w:val="0"/>
      <w:marTop w:val="0"/>
      <w:marBottom w:val="0"/>
      <w:divBdr>
        <w:top w:val="none" w:sz="0" w:space="0" w:color="auto"/>
        <w:left w:val="none" w:sz="0" w:space="0" w:color="auto"/>
        <w:bottom w:val="none" w:sz="0" w:space="0" w:color="auto"/>
        <w:right w:val="none" w:sz="0" w:space="0" w:color="auto"/>
      </w:divBdr>
    </w:div>
    <w:div w:id="1010253092">
      <w:bodyDiv w:val="1"/>
      <w:marLeft w:val="0"/>
      <w:marRight w:val="0"/>
      <w:marTop w:val="0"/>
      <w:marBottom w:val="0"/>
      <w:divBdr>
        <w:top w:val="none" w:sz="0" w:space="0" w:color="auto"/>
        <w:left w:val="none" w:sz="0" w:space="0" w:color="auto"/>
        <w:bottom w:val="none" w:sz="0" w:space="0" w:color="auto"/>
        <w:right w:val="none" w:sz="0" w:space="0" w:color="auto"/>
      </w:divBdr>
    </w:div>
    <w:div w:id="1010452553">
      <w:bodyDiv w:val="1"/>
      <w:marLeft w:val="0"/>
      <w:marRight w:val="0"/>
      <w:marTop w:val="0"/>
      <w:marBottom w:val="0"/>
      <w:divBdr>
        <w:top w:val="none" w:sz="0" w:space="0" w:color="auto"/>
        <w:left w:val="none" w:sz="0" w:space="0" w:color="auto"/>
        <w:bottom w:val="none" w:sz="0" w:space="0" w:color="auto"/>
        <w:right w:val="none" w:sz="0" w:space="0" w:color="auto"/>
      </w:divBdr>
    </w:div>
    <w:div w:id="1010525429">
      <w:bodyDiv w:val="1"/>
      <w:marLeft w:val="0"/>
      <w:marRight w:val="0"/>
      <w:marTop w:val="0"/>
      <w:marBottom w:val="0"/>
      <w:divBdr>
        <w:top w:val="none" w:sz="0" w:space="0" w:color="auto"/>
        <w:left w:val="none" w:sz="0" w:space="0" w:color="auto"/>
        <w:bottom w:val="none" w:sz="0" w:space="0" w:color="auto"/>
        <w:right w:val="none" w:sz="0" w:space="0" w:color="auto"/>
      </w:divBdr>
    </w:div>
    <w:div w:id="1010570390">
      <w:bodyDiv w:val="1"/>
      <w:marLeft w:val="0"/>
      <w:marRight w:val="0"/>
      <w:marTop w:val="0"/>
      <w:marBottom w:val="0"/>
      <w:divBdr>
        <w:top w:val="none" w:sz="0" w:space="0" w:color="auto"/>
        <w:left w:val="none" w:sz="0" w:space="0" w:color="auto"/>
        <w:bottom w:val="none" w:sz="0" w:space="0" w:color="auto"/>
        <w:right w:val="none" w:sz="0" w:space="0" w:color="auto"/>
      </w:divBdr>
    </w:div>
    <w:div w:id="1010723110">
      <w:bodyDiv w:val="1"/>
      <w:marLeft w:val="0"/>
      <w:marRight w:val="0"/>
      <w:marTop w:val="0"/>
      <w:marBottom w:val="0"/>
      <w:divBdr>
        <w:top w:val="none" w:sz="0" w:space="0" w:color="auto"/>
        <w:left w:val="none" w:sz="0" w:space="0" w:color="auto"/>
        <w:bottom w:val="none" w:sz="0" w:space="0" w:color="auto"/>
        <w:right w:val="none" w:sz="0" w:space="0" w:color="auto"/>
      </w:divBdr>
    </w:div>
    <w:div w:id="1010791572">
      <w:bodyDiv w:val="1"/>
      <w:marLeft w:val="0"/>
      <w:marRight w:val="0"/>
      <w:marTop w:val="0"/>
      <w:marBottom w:val="0"/>
      <w:divBdr>
        <w:top w:val="none" w:sz="0" w:space="0" w:color="auto"/>
        <w:left w:val="none" w:sz="0" w:space="0" w:color="auto"/>
        <w:bottom w:val="none" w:sz="0" w:space="0" w:color="auto"/>
        <w:right w:val="none" w:sz="0" w:space="0" w:color="auto"/>
      </w:divBdr>
    </w:div>
    <w:div w:id="1011176100">
      <w:bodyDiv w:val="1"/>
      <w:marLeft w:val="0"/>
      <w:marRight w:val="0"/>
      <w:marTop w:val="0"/>
      <w:marBottom w:val="0"/>
      <w:divBdr>
        <w:top w:val="none" w:sz="0" w:space="0" w:color="auto"/>
        <w:left w:val="none" w:sz="0" w:space="0" w:color="auto"/>
        <w:bottom w:val="none" w:sz="0" w:space="0" w:color="auto"/>
        <w:right w:val="none" w:sz="0" w:space="0" w:color="auto"/>
      </w:divBdr>
    </w:div>
    <w:div w:id="1011836982">
      <w:bodyDiv w:val="1"/>
      <w:marLeft w:val="0"/>
      <w:marRight w:val="0"/>
      <w:marTop w:val="0"/>
      <w:marBottom w:val="0"/>
      <w:divBdr>
        <w:top w:val="none" w:sz="0" w:space="0" w:color="auto"/>
        <w:left w:val="none" w:sz="0" w:space="0" w:color="auto"/>
        <w:bottom w:val="none" w:sz="0" w:space="0" w:color="auto"/>
        <w:right w:val="none" w:sz="0" w:space="0" w:color="auto"/>
      </w:divBdr>
    </w:div>
    <w:div w:id="1012336003">
      <w:bodyDiv w:val="1"/>
      <w:marLeft w:val="0"/>
      <w:marRight w:val="0"/>
      <w:marTop w:val="0"/>
      <w:marBottom w:val="0"/>
      <w:divBdr>
        <w:top w:val="none" w:sz="0" w:space="0" w:color="auto"/>
        <w:left w:val="none" w:sz="0" w:space="0" w:color="auto"/>
        <w:bottom w:val="none" w:sz="0" w:space="0" w:color="auto"/>
        <w:right w:val="none" w:sz="0" w:space="0" w:color="auto"/>
      </w:divBdr>
    </w:div>
    <w:div w:id="1013191491">
      <w:bodyDiv w:val="1"/>
      <w:marLeft w:val="0"/>
      <w:marRight w:val="0"/>
      <w:marTop w:val="0"/>
      <w:marBottom w:val="0"/>
      <w:divBdr>
        <w:top w:val="none" w:sz="0" w:space="0" w:color="auto"/>
        <w:left w:val="none" w:sz="0" w:space="0" w:color="auto"/>
        <w:bottom w:val="none" w:sz="0" w:space="0" w:color="auto"/>
        <w:right w:val="none" w:sz="0" w:space="0" w:color="auto"/>
      </w:divBdr>
    </w:div>
    <w:div w:id="1015494665">
      <w:bodyDiv w:val="1"/>
      <w:marLeft w:val="0"/>
      <w:marRight w:val="0"/>
      <w:marTop w:val="0"/>
      <w:marBottom w:val="0"/>
      <w:divBdr>
        <w:top w:val="none" w:sz="0" w:space="0" w:color="auto"/>
        <w:left w:val="none" w:sz="0" w:space="0" w:color="auto"/>
        <w:bottom w:val="none" w:sz="0" w:space="0" w:color="auto"/>
        <w:right w:val="none" w:sz="0" w:space="0" w:color="auto"/>
      </w:divBdr>
    </w:div>
    <w:div w:id="1015501557">
      <w:bodyDiv w:val="1"/>
      <w:marLeft w:val="0"/>
      <w:marRight w:val="0"/>
      <w:marTop w:val="0"/>
      <w:marBottom w:val="0"/>
      <w:divBdr>
        <w:top w:val="none" w:sz="0" w:space="0" w:color="auto"/>
        <w:left w:val="none" w:sz="0" w:space="0" w:color="auto"/>
        <w:bottom w:val="none" w:sz="0" w:space="0" w:color="auto"/>
        <w:right w:val="none" w:sz="0" w:space="0" w:color="auto"/>
      </w:divBdr>
    </w:div>
    <w:div w:id="1015578147">
      <w:bodyDiv w:val="1"/>
      <w:marLeft w:val="0"/>
      <w:marRight w:val="0"/>
      <w:marTop w:val="0"/>
      <w:marBottom w:val="0"/>
      <w:divBdr>
        <w:top w:val="none" w:sz="0" w:space="0" w:color="auto"/>
        <w:left w:val="none" w:sz="0" w:space="0" w:color="auto"/>
        <w:bottom w:val="none" w:sz="0" w:space="0" w:color="auto"/>
        <w:right w:val="none" w:sz="0" w:space="0" w:color="auto"/>
      </w:divBdr>
    </w:div>
    <w:div w:id="1015695831">
      <w:bodyDiv w:val="1"/>
      <w:marLeft w:val="0"/>
      <w:marRight w:val="0"/>
      <w:marTop w:val="0"/>
      <w:marBottom w:val="0"/>
      <w:divBdr>
        <w:top w:val="none" w:sz="0" w:space="0" w:color="auto"/>
        <w:left w:val="none" w:sz="0" w:space="0" w:color="auto"/>
        <w:bottom w:val="none" w:sz="0" w:space="0" w:color="auto"/>
        <w:right w:val="none" w:sz="0" w:space="0" w:color="auto"/>
      </w:divBdr>
    </w:div>
    <w:div w:id="1015962371">
      <w:bodyDiv w:val="1"/>
      <w:marLeft w:val="0"/>
      <w:marRight w:val="0"/>
      <w:marTop w:val="0"/>
      <w:marBottom w:val="0"/>
      <w:divBdr>
        <w:top w:val="none" w:sz="0" w:space="0" w:color="auto"/>
        <w:left w:val="none" w:sz="0" w:space="0" w:color="auto"/>
        <w:bottom w:val="none" w:sz="0" w:space="0" w:color="auto"/>
        <w:right w:val="none" w:sz="0" w:space="0" w:color="auto"/>
      </w:divBdr>
    </w:div>
    <w:div w:id="1016074826">
      <w:bodyDiv w:val="1"/>
      <w:marLeft w:val="0"/>
      <w:marRight w:val="0"/>
      <w:marTop w:val="0"/>
      <w:marBottom w:val="0"/>
      <w:divBdr>
        <w:top w:val="none" w:sz="0" w:space="0" w:color="auto"/>
        <w:left w:val="none" w:sz="0" w:space="0" w:color="auto"/>
        <w:bottom w:val="none" w:sz="0" w:space="0" w:color="auto"/>
        <w:right w:val="none" w:sz="0" w:space="0" w:color="auto"/>
      </w:divBdr>
    </w:div>
    <w:div w:id="1016730902">
      <w:bodyDiv w:val="1"/>
      <w:marLeft w:val="0"/>
      <w:marRight w:val="0"/>
      <w:marTop w:val="0"/>
      <w:marBottom w:val="0"/>
      <w:divBdr>
        <w:top w:val="none" w:sz="0" w:space="0" w:color="auto"/>
        <w:left w:val="none" w:sz="0" w:space="0" w:color="auto"/>
        <w:bottom w:val="none" w:sz="0" w:space="0" w:color="auto"/>
        <w:right w:val="none" w:sz="0" w:space="0" w:color="auto"/>
      </w:divBdr>
    </w:div>
    <w:div w:id="1017582883">
      <w:bodyDiv w:val="1"/>
      <w:marLeft w:val="0"/>
      <w:marRight w:val="0"/>
      <w:marTop w:val="0"/>
      <w:marBottom w:val="0"/>
      <w:divBdr>
        <w:top w:val="none" w:sz="0" w:space="0" w:color="auto"/>
        <w:left w:val="none" w:sz="0" w:space="0" w:color="auto"/>
        <w:bottom w:val="none" w:sz="0" w:space="0" w:color="auto"/>
        <w:right w:val="none" w:sz="0" w:space="0" w:color="auto"/>
      </w:divBdr>
    </w:div>
    <w:div w:id="1018235189">
      <w:bodyDiv w:val="1"/>
      <w:marLeft w:val="0"/>
      <w:marRight w:val="0"/>
      <w:marTop w:val="0"/>
      <w:marBottom w:val="0"/>
      <w:divBdr>
        <w:top w:val="none" w:sz="0" w:space="0" w:color="auto"/>
        <w:left w:val="none" w:sz="0" w:space="0" w:color="auto"/>
        <w:bottom w:val="none" w:sz="0" w:space="0" w:color="auto"/>
        <w:right w:val="none" w:sz="0" w:space="0" w:color="auto"/>
      </w:divBdr>
    </w:div>
    <w:div w:id="1018238329">
      <w:bodyDiv w:val="1"/>
      <w:marLeft w:val="0"/>
      <w:marRight w:val="0"/>
      <w:marTop w:val="0"/>
      <w:marBottom w:val="0"/>
      <w:divBdr>
        <w:top w:val="none" w:sz="0" w:space="0" w:color="auto"/>
        <w:left w:val="none" w:sz="0" w:space="0" w:color="auto"/>
        <w:bottom w:val="none" w:sz="0" w:space="0" w:color="auto"/>
        <w:right w:val="none" w:sz="0" w:space="0" w:color="auto"/>
      </w:divBdr>
    </w:div>
    <w:div w:id="1018384369">
      <w:bodyDiv w:val="1"/>
      <w:marLeft w:val="0"/>
      <w:marRight w:val="0"/>
      <w:marTop w:val="0"/>
      <w:marBottom w:val="0"/>
      <w:divBdr>
        <w:top w:val="none" w:sz="0" w:space="0" w:color="auto"/>
        <w:left w:val="none" w:sz="0" w:space="0" w:color="auto"/>
        <w:bottom w:val="none" w:sz="0" w:space="0" w:color="auto"/>
        <w:right w:val="none" w:sz="0" w:space="0" w:color="auto"/>
      </w:divBdr>
    </w:div>
    <w:div w:id="1018699976">
      <w:bodyDiv w:val="1"/>
      <w:marLeft w:val="0"/>
      <w:marRight w:val="0"/>
      <w:marTop w:val="0"/>
      <w:marBottom w:val="0"/>
      <w:divBdr>
        <w:top w:val="none" w:sz="0" w:space="0" w:color="auto"/>
        <w:left w:val="none" w:sz="0" w:space="0" w:color="auto"/>
        <w:bottom w:val="none" w:sz="0" w:space="0" w:color="auto"/>
        <w:right w:val="none" w:sz="0" w:space="0" w:color="auto"/>
      </w:divBdr>
    </w:div>
    <w:div w:id="1018700049">
      <w:bodyDiv w:val="1"/>
      <w:marLeft w:val="0"/>
      <w:marRight w:val="0"/>
      <w:marTop w:val="0"/>
      <w:marBottom w:val="0"/>
      <w:divBdr>
        <w:top w:val="none" w:sz="0" w:space="0" w:color="auto"/>
        <w:left w:val="none" w:sz="0" w:space="0" w:color="auto"/>
        <w:bottom w:val="none" w:sz="0" w:space="0" w:color="auto"/>
        <w:right w:val="none" w:sz="0" w:space="0" w:color="auto"/>
      </w:divBdr>
    </w:div>
    <w:div w:id="1019508889">
      <w:bodyDiv w:val="1"/>
      <w:marLeft w:val="0"/>
      <w:marRight w:val="0"/>
      <w:marTop w:val="0"/>
      <w:marBottom w:val="0"/>
      <w:divBdr>
        <w:top w:val="none" w:sz="0" w:space="0" w:color="auto"/>
        <w:left w:val="none" w:sz="0" w:space="0" w:color="auto"/>
        <w:bottom w:val="none" w:sz="0" w:space="0" w:color="auto"/>
        <w:right w:val="none" w:sz="0" w:space="0" w:color="auto"/>
      </w:divBdr>
    </w:div>
    <w:div w:id="1019740973">
      <w:bodyDiv w:val="1"/>
      <w:marLeft w:val="0"/>
      <w:marRight w:val="0"/>
      <w:marTop w:val="0"/>
      <w:marBottom w:val="0"/>
      <w:divBdr>
        <w:top w:val="none" w:sz="0" w:space="0" w:color="auto"/>
        <w:left w:val="none" w:sz="0" w:space="0" w:color="auto"/>
        <w:bottom w:val="none" w:sz="0" w:space="0" w:color="auto"/>
        <w:right w:val="none" w:sz="0" w:space="0" w:color="auto"/>
      </w:divBdr>
    </w:div>
    <w:div w:id="1020551670">
      <w:bodyDiv w:val="1"/>
      <w:marLeft w:val="0"/>
      <w:marRight w:val="0"/>
      <w:marTop w:val="0"/>
      <w:marBottom w:val="0"/>
      <w:divBdr>
        <w:top w:val="none" w:sz="0" w:space="0" w:color="auto"/>
        <w:left w:val="none" w:sz="0" w:space="0" w:color="auto"/>
        <w:bottom w:val="none" w:sz="0" w:space="0" w:color="auto"/>
        <w:right w:val="none" w:sz="0" w:space="0" w:color="auto"/>
      </w:divBdr>
    </w:div>
    <w:div w:id="1020816897">
      <w:bodyDiv w:val="1"/>
      <w:marLeft w:val="0"/>
      <w:marRight w:val="0"/>
      <w:marTop w:val="0"/>
      <w:marBottom w:val="0"/>
      <w:divBdr>
        <w:top w:val="none" w:sz="0" w:space="0" w:color="auto"/>
        <w:left w:val="none" w:sz="0" w:space="0" w:color="auto"/>
        <w:bottom w:val="none" w:sz="0" w:space="0" w:color="auto"/>
        <w:right w:val="none" w:sz="0" w:space="0" w:color="auto"/>
      </w:divBdr>
    </w:div>
    <w:div w:id="1020936474">
      <w:bodyDiv w:val="1"/>
      <w:marLeft w:val="0"/>
      <w:marRight w:val="0"/>
      <w:marTop w:val="0"/>
      <w:marBottom w:val="0"/>
      <w:divBdr>
        <w:top w:val="none" w:sz="0" w:space="0" w:color="auto"/>
        <w:left w:val="none" w:sz="0" w:space="0" w:color="auto"/>
        <w:bottom w:val="none" w:sz="0" w:space="0" w:color="auto"/>
        <w:right w:val="none" w:sz="0" w:space="0" w:color="auto"/>
      </w:divBdr>
    </w:div>
    <w:div w:id="1022438369">
      <w:bodyDiv w:val="1"/>
      <w:marLeft w:val="0"/>
      <w:marRight w:val="0"/>
      <w:marTop w:val="0"/>
      <w:marBottom w:val="0"/>
      <w:divBdr>
        <w:top w:val="none" w:sz="0" w:space="0" w:color="auto"/>
        <w:left w:val="none" w:sz="0" w:space="0" w:color="auto"/>
        <w:bottom w:val="none" w:sz="0" w:space="0" w:color="auto"/>
        <w:right w:val="none" w:sz="0" w:space="0" w:color="auto"/>
      </w:divBdr>
    </w:div>
    <w:div w:id="1022899960">
      <w:bodyDiv w:val="1"/>
      <w:marLeft w:val="0"/>
      <w:marRight w:val="0"/>
      <w:marTop w:val="0"/>
      <w:marBottom w:val="0"/>
      <w:divBdr>
        <w:top w:val="none" w:sz="0" w:space="0" w:color="auto"/>
        <w:left w:val="none" w:sz="0" w:space="0" w:color="auto"/>
        <w:bottom w:val="none" w:sz="0" w:space="0" w:color="auto"/>
        <w:right w:val="none" w:sz="0" w:space="0" w:color="auto"/>
      </w:divBdr>
    </w:div>
    <w:div w:id="1023290747">
      <w:bodyDiv w:val="1"/>
      <w:marLeft w:val="0"/>
      <w:marRight w:val="0"/>
      <w:marTop w:val="0"/>
      <w:marBottom w:val="0"/>
      <w:divBdr>
        <w:top w:val="none" w:sz="0" w:space="0" w:color="auto"/>
        <w:left w:val="none" w:sz="0" w:space="0" w:color="auto"/>
        <w:bottom w:val="none" w:sz="0" w:space="0" w:color="auto"/>
        <w:right w:val="none" w:sz="0" w:space="0" w:color="auto"/>
      </w:divBdr>
    </w:div>
    <w:div w:id="1023899578">
      <w:bodyDiv w:val="1"/>
      <w:marLeft w:val="0"/>
      <w:marRight w:val="0"/>
      <w:marTop w:val="0"/>
      <w:marBottom w:val="0"/>
      <w:divBdr>
        <w:top w:val="none" w:sz="0" w:space="0" w:color="auto"/>
        <w:left w:val="none" w:sz="0" w:space="0" w:color="auto"/>
        <w:bottom w:val="none" w:sz="0" w:space="0" w:color="auto"/>
        <w:right w:val="none" w:sz="0" w:space="0" w:color="auto"/>
      </w:divBdr>
    </w:div>
    <w:div w:id="1024019751">
      <w:bodyDiv w:val="1"/>
      <w:marLeft w:val="0"/>
      <w:marRight w:val="0"/>
      <w:marTop w:val="0"/>
      <w:marBottom w:val="0"/>
      <w:divBdr>
        <w:top w:val="none" w:sz="0" w:space="0" w:color="auto"/>
        <w:left w:val="none" w:sz="0" w:space="0" w:color="auto"/>
        <w:bottom w:val="none" w:sz="0" w:space="0" w:color="auto"/>
        <w:right w:val="none" w:sz="0" w:space="0" w:color="auto"/>
      </w:divBdr>
    </w:div>
    <w:div w:id="1024163556">
      <w:bodyDiv w:val="1"/>
      <w:marLeft w:val="0"/>
      <w:marRight w:val="0"/>
      <w:marTop w:val="0"/>
      <w:marBottom w:val="0"/>
      <w:divBdr>
        <w:top w:val="none" w:sz="0" w:space="0" w:color="auto"/>
        <w:left w:val="none" w:sz="0" w:space="0" w:color="auto"/>
        <w:bottom w:val="none" w:sz="0" w:space="0" w:color="auto"/>
        <w:right w:val="none" w:sz="0" w:space="0" w:color="auto"/>
      </w:divBdr>
    </w:div>
    <w:div w:id="1024403447">
      <w:bodyDiv w:val="1"/>
      <w:marLeft w:val="0"/>
      <w:marRight w:val="0"/>
      <w:marTop w:val="0"/>
      <w:marBottom w:val="0"/>
      <w:divBdr>
        <w:top w:val="none" w:sz="0" w:space="0" w:color="auto"/>
        <w:left w:val="none" w:sz="0" w:space="0" w:color="auto"/>
        <w:bottom w:val="none" w:sz="0" w:space="0" w:color="auto"/>
        <w:right w:val="none" w:sz="0" w:space="0" w:color="auto"/>
      </w:divBdr>
    </w:div>
    <w:div w:id="1024668139">
      <w:bodyDiv w:val="1"/>
      <w:marLeft w:val="0"/>
      <w:marRight w:val="0"/>
      <w:marTop w:val="0"/>
      <w:marBottom w:val="0"/>
      <w:divBdr>
        <w:top w:val="none" w:sz="0" w:space="0" w:color="auto"/>
        <w:left w:val="none" w:sz="0" w:space="0" w:color="auto"/>
        <w:bottom w:val="none" w:sz="0" w:space="0" w:color="auto"/>
        <w:right w:val="none" w:sz="0" w:space="0" w:color="auto"/>
      </w:divBdr>
    </w:div>
    <w:div w:id="1025473850">
      <w:bodyDiv w:val="1"/>
      <w:marLeft w:val="0"/>
      <w:marRight w:val="0"/>
      <w:marTop w:val="0"/>
      <w:marBottom w:val="0"/>
      <w:divBdr>
        <w:top w:val="none" w:sz="0" w:space="0" w:color="auto"/>
        <w:left w:val="none" w:sz="0" w:space="0" w:color="auto"/>
        <w:bottom w:val="none" w:sz="0" w:space="0" w:color="auto"/>
        <w:right w:val="none" w:sz="0" w:space="0" w:color="auto"/>
      </w:divBdr>
    </w:div>
    <w:div w:id="1025710190">
      <w:bodyDiv w:val="1"/>
      <w:marLeft w:val="0"/>
      <w:marRight w:val="0"/>
      <w:marTop w:val="0"/>
      <w:marBottom w:val="0"/>
      <w:divBdr>
        <w:top w:val="none" w:sz="0" w:space="0" w:color="auto"/>
        <w:left w:val="none" w:sz="0" w:space="0" w:color="auto"/>
        <w:bottom w:val="none" w:sz="0" w:space="0" w:color="auto"/>
        <w:right w:val="none" w:sz="0" w:space="0" w:color="auto"/>
      </w:divBdr>
    </w:div>
    <w:div w:id="1026252355">
      <w:bodyDiv w:val="1"/>
      <w:marLeft w:val="0"/>
      <w:marRight w:val="0"/>
      <w:marTop w:val="0"/>
      <w:marBottom w:val="0"/>
      <w:divBdr>
        <w:top w:val="none" w:sz="0" w:space="0" w:color="auto"/>
        <w:left w:val="none" w:sz="0" w:space="0" w:color="auto"/>
        <w:bottom w:val="none" w:sz="0" w:space="0" w:color="auto"/>
        <w:right w:val="none" w:sz="0" w:space="0" w:color="auto"/>
      </w:divBdr>
    </w:div>
    <w:div w:id="1026491857">
      <w:bodyDiv w:val="1"/>
      <w:marLeft w:val="0"/>
      <w:marRight w:val="0"/>
      <w:marTop w:val="0"/>
      <w:marBottom w:val="0"/>
      <w:divBdr>
        <w:top w:val="none" w:sz="0" w:space="0" w:color="auto"/>
        <w:left w:val="none" w:sz="0" w:space="0" w:color="auto"/>
        <w:bottom w:val="none" w:sz="0" w:space="0" w:color="auto"/>
        <w:right w:val="none" w:sz="0" w:space="0" w:color="auto"/>
      </w:divBdr>
    </w:div>
    <w:div w:id="1027217725">
      <w:bodyDiv w:val="1"/>
      <w:marLeft w:val="0"/>
      <w:marRight w:val="0"/>
      <w:marTop w:val="0"/>
      <w:marBottom w:val="0"/>
      <w:divBdr>
        <w:top w:val="none" w:sz="0" w:space="0" w:color="auto"/>
        <w:left w:val="none" w:sz="0" w:space="0" w:color="auto"/>
        <w:bottom w:val="none" w:sz="0" w:space="0" w:color="auto"/>
        <w:right w:val="none" w:sz="0" w:space="0" w:color="auto"/>
      </w:divBdr>
    </w:div>
    <w:div w:id="1028219885">
      <w:bodyDiv w:val="1"/>
      <w:marLeft w:val="0"/>
      <w:marRight w:val="0"/>
      <w:marTop w:val="0"/>
      <w:marBottom w:val="0"/>
      <w:divBdr>
        <w:top w:val="none" w:sz="0" w:space="0" w:color="auto"/>
        <w:left w:val="none" w:sz="0" w:space="0" w:color="auto"/>
        <w:bottom w:val="none" w:sz="0" w:space="0" w:color="auto"/>
        <w:right w:val="none" w:sz="0" w:space="0" w:color="auto"/>
      </w:divBdr>
    </w:div>
    <w:div w:id="1028412386">
      <w:bodyDiv w:val="1"/>
      <w:marLeft w:val="0"/>
      <w:marRight w:val="0"/>
      <w:marTop w:val="0"/>
      <w:marBottom w:val="0"/>
      <w:divBdr>
        <w:top w:val="none" w:sz="0" w:space="0" w:color="auto"/>
        <w:left w:val="none" w:sz="0" w:space="0" w:color="auto"/>
        <w:bottom w:val="none" w:sz="0" w:space="0" w:color="auto"/>
        <w:right w:val="none" w:sz="0" w:space="0" w:color="auto"/>
      </w:divBdr>
    </w:div>
    <w:div w:id="1028485016">
      <w:bodyDiv w:val="1"/>
      <w:marLeft w:val="0"/>
      <w:marRight w:val="0"/>
      <w:marTop w:val="0"/>
      <w:marBottom w:val="0"/>
      <w:divBdr>
        <w:top w:val="none" w:sz="0" w:space="0" w:color="auto"/>
        <w:left w:val="none" w:sz="0" w:space="0" w:color="auto"/>
        <w:bottom w:val="none" w:sz="0" w:space="0" w:color="auto"/>
        <w:right w:val="none" w:sz="0" w:space="0" w:color="auto"/>
      </w:divBdr>
    </w:div>
    <w:div w:id="1028680415">
      <w:bodyDiv w:val="1"/>
      <w:marLeft w:val="0"/>
      <w:marRight w:val="0"/>
      <w:marTop w:val="0"/>
      <w:marBottom w:val="0"/>
      <w:divBdr>
        <w:top w:val="none" w:sz="0" w:space="0" w:color="auto"/>
        <w:left w:val="none" w:sz="0" w:space="0" w:color="auto"/>
        <w:bottom w:val="none" w:sz="0" w:space="0" w:color="auto"/>
        <w:right w:val="none" w:sz="0" w:space="0" w:color="auto"/>
      </w:divBdr>
    </w:div>
    <w:div w:id="1029336180">
      <w:bodyDiv w:val="1"/>
      <w:marLeft w:val="0"/>
      <w:marRight w:val="0"/>
      <w:marTop w:val="0"/>
      <w:marBottom w:val="0"/>
      <w:divBdr>
        <w:top w:val="none" w:sz="0" w:space="0" w:color="auto"/>
        <w:left w:val="none" w:sz="0" w:space="0" w:color="auto"/>
        <w:bottom w:val="none" w:sz="0" w:space="0" w:color="auto"/>
        <w:right w:val="none" w:sz="0" w:space="0" w:color="auto"/>
      </w:divBdr>
    </w:div>
    <w:div w:id="1029725707">
      <w:bodyDiv w:val="1"/>
      <w:marLeft w:val="0"/>
      <w:marRight w:val="0"/>
      <w:marTop w:val="0"/>
      <w:marBottom w:val="0"/>
      <w:divBdr>
        <w:top w:val="none" w:sz="0" w:space="0" w:color="auto"/>
        <w:left w:val="none" w:sz="0" w:space="0" w:color="auto"/>
        <w:bottom w:val="none" w:sz="0" w:space="0" w:color="auto"/>
        <w:right w:val="none" w:sz="0" w:space="0" w:color="auto"/>
      </w:divBdr>
    </w:div>
    <w:div w:id="1030766679">
      <w:bodyDiv w:val="1"/>
      <w:marLeft w:val="0"/>
      <w:marRight w:val="0"/>
      <w:marTop w:val="0"/>
      <w:marBottom w:val="0"/>
      <w:divBdr>
        <w:top w:val="none" w:sz="0" w:space="0" w:color="auto"/>
        <w:left w:val="none" w:sz="0" w:space="0" w:color="auto"/>
        <w:bottom w:val="none" w:sz="0" w:space="0" w:color="auto"/>
        <w:right w:val="none" w:sz="0" w:space="0" w:color="auto"/>
      </w:divBdr>
    </w:div>
    <w:div w:id="1031151698">
      <w:bodyDiv w:val="1"/>
      <w:marLeft w:val="0"/>
      <w:marRight w:val="0"/>
      <w:marTop w:val="0"/>
      <w:marBottom w:val="0"/>
      <w:divBdr>
        <w:top w:val="none" w:sz="0" w:space="0" w:color="auto"/>
        <w:left w:val="none" w:sz="0" w:space="0" w:color="auto"/>
        <w:bottom w:val="none" w:sz="0" w:space="0" w:color="auto"/>
        <w:right w:val="none" w:sz="0" w:space="0" w:color="auto"/>
      </w:divBdr>
    </w:div>
    <w:div w:id="1031299860">
      <w:bodyDiv w:val="1"/>
      <w:marLeft w:val="0"/>
      <w:marRight w:val="0"/>
      <w:marTop w:val="0"/>
      <w:marBottom w:val="0"/>
      <w:divBdr>
        <w:top w:val="none" w:sz="0" w:space="0" w:color="auto"/>
        <w:left w:val="none" w:sz="0" w:space="0" w:color="auto"/>
        <w:bottom w:val="none" w:sz="0" w:space="0" w:color="auto"/>
        <w:right w:val="none" w:sz="0" w:space="0" w:color="auto"/>
      </w:divBdr>
    </w:div>
    <w:div w:id="1031885062">
      <w:bodyDiv w:val="1"/>
      <w:marLeft w:val="0"/>
      <w:marRight w:val="0"/>
      <w:marTop w:val="0"/>
      <w:marBottom w:val="0"/>
      <w:divBdr>
        <w:top w:val="none" w:sz="0" w:space="0" w:color="auto"/>
        <w:left w:val="none" w:sz="0" w:space="0" w:color="auto"/>
        <w:bottom w:val="none" w:sz="0" w:space="0" w:color="auto"/>
        <w:right w:val="none" w:sz="0" w:space="0" w:color="auto"/>
      </w:divBdr>
    </w:div>
    <w:div w:id="1032144915">
      <w:bodyDiv w:val="1"/>
      <w:marLeft w:val="0"/>
      <w:marRight w:val="0"/>
      <w:marTop w:val="0"/>
      <w:marBottom w:val="0"/>
      <w:divBdr>
        <w:top w:val="none" w:sz="0" w:space="0" w:color="auto"/>
        <w:left w:val="none" w:sz="0" w:space="0" w:color="auto"/>
        <w:bottom w:val="none" w:sz="0" w:space="0" w:color="auto"/>
        <w:right w:val="none" w:sz="0" w:space="0" w:color="auto"/>
      </w:divBdr>
    </w:div>
    <w:div w:id="1033775330">
      <w:bodyDiv w:val="1"/>
      <w:marLeft w:val="0"/>
      <w:marRight w:val="0"/>
      <w:marTop w:val="0"/>
      <w:marBottom w:val="0"/>
      <w:divBdr>
        <w:top w:val="none" w:sz="0" w:space="0" w:color="auto"/>
        <w:left w:val="none" w:sz="0" w:space="0" w:color="auto"/>
        <w:bottom w:val="none" w:sz="0" w:space="0" w:color="auto"/>
        <w:right w:val="none" w:sz="0" w:space="0" w:color="auto"/>
      </w:divBdr>
    </w:div>
    <w:div w:id="1034117434">
      <w:bodyDiv w:val="1"/>
      <w:marLeft w:val="0"/>
      <w:marRight w:val="0"/>
      <w:marTop w:val="0"/>
      <w:marBottom w:val="0"/>
      <w:divBdr>
        <w:top w:val="none" w:sz="0" w:space="0" w:color="auto"/>
        <w:left w:val="none" w:sz="0" w:space="0" w:color="auto"/>
        <w:bottom w:val="none" w:sz="0" w:space="0" w:color="auto"/>
        <w:right w:val="none" w:sz="0" w:space="0" w:color="auto"/>
      </w:divBdr>
    </w:div>
    <w:div w:id="1034581161">
      <w:bodyDiv w:val="1"/>
      <w:marLeft w:val="0"/>
      <w:marRight w:val="0"/>
      <w:marTop w:val="0"/>
      <w:marBottom w:val="0"/>
      <w:divBdr>
        <w:top w:val="none" w:sz="0" w:space="0" w:color="auto"/>
        <w:left w:val="none" w:sz="0" w:space="0" w:color="auto"/>
        <w:bottom w:val="none" w:sz="0" w:space="0" w:color="auto"/>
        <w:right w:val="none" w:sz="0" w:space="0" w:color="auto"/>
      </w:divBdr>
    </w:div>
    <w:div w:id="1035617510">
      <w:bodyDiv w:val="1"/>
      <w:marLeft w:val="0"/>
      <w:marRight w:val="0"/>
      <w:marTop w:val="0"/>
      <w:marBottom w:val="0"/>
      <w:divBdr>
        <w:top w:val="none" w:sz="0" w:space="0" w:color="auto"/>
        <w:left w:val="none" w:sz="0" w:space="0" w:color="auto"/>
        <w:bottom w:val="none" w:sz="0" w:space="0" w:color="auto"/>
        <w:right w:val="none" w:sz="0" w:space="0" w:color="auto"/>
      </w:divBdr>
    </w:div>
    <w:div w:id="1036471583">
      <w:bodyDiv w:val="1"/>
      <w:marLeft w:val="0"/>
      <w:marRight w:val="0"/>
      <w:marTop w:val="0"/>
      <w:marBottom w:val="0"/>
      <w:divBdr>
        <w:top w:val="none" w:sz="0" w:space="0" w:color="auto"/>
        <w:left w:val="none" w:sz="0" w:space="0" w:color="auto"/>
        <w:bottom w:val="none" w:sz="0" w:space="0" w:color="auto"/>
        <w:right w:val="none" w:sz="0" w:space="0" w:color="auto"/>
      </w:divBdr>
    </w:div>
    <w:div w:id="1036736577">
      <w:bodyDiv w:val="1"/>
      <w:marLeft w:val="0"/>
      <w:marRight w:val="0"/>
      <w:marTop w:val="0"/>
      <w:marBottom w:val="0"/>
      <w:divBdr>
        <w:top w:val="none" w:sz="0" w:space="0" w:color="auto"/>
        <w:left w:val="none" w:sz="0" w:space="0" w:color="auto"/>
        <w:bottom w:val="none" w:sz="0" w:space="0" w:color="auto"/>
        <w:right w:val="none" w:sz="0" w:space="0" w:color="auto"/>
      </w:divBdr>
    </w:div>
    <w:div w:id="1037004866">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037699640">
      <w:bodyDiv w:val="1"/>
      <w:marLeft w:val="0"/>
      <w:marRight w:val="0"/>
      <w:marTop w:val="0"/>
      <w:marBottom w:val="0"/>
      <w:divBdr>
        <w:top w:val="none" w:sz="0" w:space="0" w:color="auto"/>
        <w:left w:val="none" w:sz="0" w:space="0" w:color="auto"/>
        <w:bottom w:val="none" w:sz="0" w:space="0" w:color="auto"/>
        <w:right w:val="none" w:sz="0" w:space="0" w:color="auto"/>
      </w:divBdr>
    </w:div>
    <w:div w:id="1037970745">
      <w:bodyDiv w:val="1"/>
      <w:marLeft w:val="0"/>
      <w:marRight w:val="0"/>
      <w:marTop w:val="0"/>
      <w:marBottom w:val="0"/>
      <w:divBdr>
        <w:top w:val="none" w:sz="0" w:space="0" w:color="auto"/>
        <w:left w:val="none" w:sz="0" w:space="0" w:color="auto"/>
        <w:bottom w:val="none" w:sz="0" w:space="0" w:color="auto"/>
        <w:right w:val="none" w:sz="0" w:space="0" w:color="auto"/>
      </w:divBdr>
    </w:div>
    <w:div w:id="1038043459">
      <w:bodyDiv w:val="1"/>
      <w:marLeft w:val="0"/>
      <w:marRight w:val="0"/>
      <w:marTop w:val="0"/>
      <w:marBottom w:val="0"/>
      <w:divBdr>
        <w:top w:val="none" w:sz="0" w:space="0" w:color="auto"/>
        <w:left w:val="none" w:sz="0" w:space="0" w:color="auto"/>
        <w:bottom w:val="none" w:sz="0" w:space="0" w:color="auto"/>
        <w:right w:val="none" w:sz="0" w:space="0" w:color="auto"/>
      </w:divBdr>
    </w:div>
    <w:div w:id="1038240313">
      <w:bodyDiv w:val="1"/>
      <w:marLeft w:val="0"/>
      <w:marRight w:val="0"/>
      <w:marTop w:val="0"/>
      <w:marBottom w:val="0"/>
      <w:divBdr>
        <w:top w:val="none" w:sz="0" w:space="0" w:color="auto"/>
        <w:left w:val="none" w:sz="0" w:space="0" w:color="auto"/>
        <w:bottom w:val="none" w:sz="0" w:space="0" w:color="auto"/>
        <w:right w:val="none" w:sz="0" w:space="0" w:color="auto"/>
      </w:divBdr>
    </w:div>
    <w:div w:id="1038630330">
      <w:bodyDiv w:val="1"/>
      <w:marLeft w:val="0"/>
      <w:marRight w:val="0"/>
      <w:marTop w:val="0"/>
      <w:marBottom w:val="0"/>
      <w:divBdr>
        <w:top w:val="none" w:sz="0" w:space="0" w:color="auto"/>
        <w:left w:val="none" w:sz="0" w:space="0" w:color="auto"/>
        <w:bottom w:val="none" w:sz="0" w:space="0" w:color="auto"/>
        <w:right w:val="none" w:sz="0" w:space="0" w:color="auto"/>
      </w:divBdr>
    </w:div>
    <w:div w:id="1038823227">
      <w:bodyDiv w:val="1"/>
      <w:marLeft w:val="0"/>
      <w:marRight w:val="0"/>
      <w:marTop w:val="0"/>
      <w:marBottom w:val="0"/>
      <w:divBdr>
        <w:top w:val="none" w:sz="0" w:space="0" w:color="auto"/>
        <w:left w:val="none" w:sz="0" w:space="0" w:color="auto"/>
        <w:bottom w:val="none" w:sz="0" w:space="0" w:color="auto"/>
        <w:right w:val="none" w:sz="0" w:space="0" w:color="auto"/>
      </w:divBdr>
    </w:div>
    <w:div w:id="1038895306">
      <w:bodyDiv w:val="1"/>
      <w:marLeft w:val="0"/>
      <w:marRight w:val="0"/>
      <w:marTop w:val="0"/>
      <w:marBottom w:val="0"/>
      <w:divBdr>
        <w:top w:val="none" w:sz="0" w:space="0" w:color="auto"/>
        <w:left w:val="none" w:sz="0" w:space="0" w:color="auto"/>
        <w:bottom w:val="none" w:sz="0" w:space="0" w:color="auto"/>
        <w:right w:val="none" w:sz="0" w:space="0" w:color="auto"/>
      </w:divBdr>
    </w:div>
    <w:div w:id="1038974092">
      <w:bodyDiv w:val="1"/>
      <w:marLeft w:val="0"/>
      <w:marRight w:val="0"/>
      <w:marTop w:val="0"/>
      <w:marBottom w:val="0"/>
      <w:divBdr>
        <w:top w:val="none" w:sz="0" w:space="0" w:color="auto"/>
        <w:left w:val="none" w:sz="0" w:space="0" w:color="auto"/>
        <w:bottom w:val="none" w:sz="0" w:space="0" w:color="auto"/>
        <w:right w:val="none" w:sz="0" w:space="0" w:color="auto"/>
      </w:divBdr>
    </w:div>
    <w:div w:id="1039167185">
      <w:bodyDiv w:val="1"/>
      <w:marLeft w:val="0"/>
      <w:marRight w:val="0"/>
      <w:marTop w:val="0"/>
      <w:marBottom w:val="0"/>
      <w:divBdr>
        <w:top w:val="none" w:sz="0" w:space="0" w:color="auto"/>
        <w:left w:val="none" w:sz="0" w:space="0" w:color="auto"/>
        <w:bottom w:val="none" w:sz="0" w:space="0" w:color="auto"/>
        <w:right w:val="none" w:sz="0" w:space="0" w:color="auto"/>
      </w:divBdr>
    </w:div>
    <w:div w:id="1039477907">
      <w:bodyDiv w:val="1"/>
      <w:marLeft w:val="0"/>
      <w:marRight w:val="0"/>
      <w:marTop w:val="0"/>
      <w:marBottom w:val="0"/>
      <w:divBdr>
        <w:top w:val="none" w:sz="0" w:space="0" w:color="auto"/>
        <w:left w:val="none" w:sz="0" w:space="0" w:color="auto"/>
        <w:bottom w:val="none" w:sz="0" w:space="0" w:color="auto"/>
        <w:right w:val="none" w:sz="0" w:space="0" w:color="auto"/>
      </w:divBdr>
    </w:div>
    <w:div w:id="1039546460">
      <w:bodyDiv w:val="1"/>
      <w:marLeft w:val="0"/>
      <w:marRight w:val="0"/>
      <w:marTop w:val="0"/>
      <w:marBottom w:val="0"/>
      <w:divBdr>
        <w:top w:val="none" w:sz="0" w:space="0" w:color="auto"/>
        <w:left w:val="none" w:sz="0" w:space="0" w:color="auto"/>
        <w:bottom w:val="none" w:sz="0" w:space="0" w:color="auto"/>
        <w:right w:val="none" w:sz="0" w:space="0" w:color="auto"/>
      </w:divBdr>
    </w:div>
    <w:div w:id="1039860480">
      <w:bodyDiv w:val="1"/>
      <w:marLeft w:val="0"/>
      <w:marRight w:val="0"/>
      <w:marTop w:val="0"/>
      <w:marBottom w:val="0"/>
      <w:divBdr>
        <w:top w:val="none" w:sz="0" w:space="0" w:color="auto"/>
        <w:left w:val="none" w:sz="0" w:space="0" w:color="auto"/>
        <w:bottom w:val="none" w:sz="0" w:space="0" w:color="auto"/>
        <w:right w:val="none" w:sz="0" w:space="0" w:color="auto"/>
      </w:divBdr>
    </w:div>
    <w:div w:id="1040323398">
      <w:bodyDiv w:val="1"/>
      <w:marLeft w:val="0"/>
      <w:marRight w:val="0"/>
      <w:marTop w:val="0"/>
      <w:marBottom w:val="0"/>
      <w:divBdr>
        <w:top w:val="none" w:sz="0" w:space="0" w:color="auto"/>
        <w:left w:val="none" w:sz="0" w:space="0" w:color="auto"/>
        <w:bottom w:val="none" w:sz="0" w:space="0" w:color="auto"/>
        <w:right w:val="none" w:sz="0" w:space="0" w:color="auto"/>
      </w:divBdr>
    </w:div>
    <w:div w:id="1040596017">
      <w:bodyDiv w:val="1"/>
      <w:marLeft w:val="0"/>
      <w:marRight w:val="0"/>
      <w:marTop w:val="0"/>
      <w:marBottom w:val="0"/>
      <w:divBdr>
        <w:top w:val="none" w:sz="0" w:space="0" w:color="auto"/>
        <w:left w:val="none" w:sz="0" w:space="0" w:color="auto"/>
        <w:bottom w:val="none" w:sz="0" w:space="0" w:color="auto"/>
        <w:right w:val="none" w:sz="0" w:space="0" w:color="auto"/>
      </w:divBdr>
    </w:div>
    <w:div w:id="1040788247">
      <w:bodyDiv w:val="1"/>
      <w:marLeft w:val="0"/>
      <w:marRight w:val="0"/>
      <w:marTop w:val="0"/>
      <w:marBottom w:val="0"/>
      <w:divBdr>
        <w:top w:val="none" w:sz="0" w:space="0" w:color="auto"/>
        <w:left w:val="none" w:sz="0" w:space="0" w:color="auto"/>
        <w:bottom w:val="none" w:sz="0" w:space="0" w:color="auto"/>
        <w:right w:val="none" w:sz="0" w:space="0" w:color="auto"/>
      </w:divBdr>
    </w:div>
    <w:div w:id="1040978818">
      <w:bodyDiv w:val="1"/>
      <w:marLeft w:val="0"/>
      <w:marRight w:val="0"/>
      <w:marTop w:val="0"/>
      <w:marBottom w:val="0"/>
      <w:divBdr>
        <w:top w:val="none" w:sz="0" w:space="0" w:color="auto"/>
        <w:left w:val="none" w:sz="0" w:space="0" w:color="auto"/>
        <w:bottom w:val="none" w:sz="0" w:space="0" w:color="auto"/>
        <w:right w:val="none" w:sz="0" w:space="0" w:color="auto"/>
      </w:divBdr>
    </w:div>
    <w:div w:id="1041125486">
      <w:bodyDiv w:val="1"/>
      <w:marLeft w:val="0"/>
      <w:marRight w:val="0"/>
      <w:marTop w:val="0"/>
      <w:marBottom w:val="0"/>
      <w:divBdr>
        <w:top w:val="none" w:sz="0" w:space="0" w:color="auto"/>
        <w:left w:val="none" w:sz="0" w:space="0" w:color="auto"/>
        <w:bottom w:val="none" w:sz="0" w:space="0" w:color="auto"/>
        <w:right w:val="none" w:sz="0" w:space="0" w:color="auto"/>
      </w:divBdr>
    </w:div>
    <w:div w:id="1041126769">
      <w:bodyDiv w:val="1"/>
      <w:marLeft w:val="0"/>
      <w:marRight w:val="0"/>
      <w:marTop w:val="0"/>
      <w:marBottom w:val="0"/>
      <w:divBdr>
        <w:top w:val="none" w:sz="0" w:space="0" w:color="auto"/>
        <w:left w:val="none" w:sz="0" w:space="0" w:color="auto"/>
        <w:bottom w:val="none" w:sz="0" w:space="0" w:color="auto"/>
        <w:right w:val="none" w:sz="0" w:space="0" w:color="auto"/>
      </w:divBdr>
    </w:div>
    <w:div w:id="1041322777">
      <w:bodyDiv w:val="1"/>
      <w:marLeft w:val="0"/>
      <w:marRight w:val="0"/>
      <w:marTop w:val="0"/>
      <w:marBottom w:val="0"/>
      <w:divBdr>
        <w:top w:val="none" w:sz="0" w:space="0" w:color="auto"/>
        <w:left w:val="none" w:sz="0" w:space="0" w:color="auto"/>
        <w:bottom w:val="none" w:sz="0" w:space="0" w:color="auto"/>
        <w:right w:val="none" w:sz="0" w:space="0" w:color="auto"/>
      </w:divBdr>
    </w:div>
    <w:div w:id="1042051019">
      <w:bodyDiv w:val="1"/>
      <w:marLeft w:val="0"/>
      <w:marRight w:val="0"/>
      <w:marTop w:val="0"/>
      <w:marBottom w:val="0"/>
      <w:divBdr>
        <w:top w:val="none" w:sz="0" w:space="0" w:color="auto"/>
        <w:left w:val="none" w:sz="0" w:space="0" w:color="auto"/>
        <w:bottom w:val="none" w:sz="0" w:space="0" w:color="auto"/>
        <w:right w:val="none" w:sz="0" w:space="0" w:color="auto"/>
      </w:divBdr>
    </w:div>
    <w:div w:id="1042172866">
      <w:bodyDiv w:val="1"/>
      <w:marLeft w:val="0"/>
      <w:marRight w:val="0"/>
      <w:marTop w:val="0"/>
      <w:marBottom w:val="0"/>
      <w:divBdr>
        <w:top w:val="none" w:sz="0" w:space="0" w:color="auto"/>
        <w:left w:val="none" w:sz="0" w:space="0" w:color="auto"/>
        <w:bottom w:val="none" w:sz="0" w:space="0" w:color="auto"/>
        <w:right w:val="none" w:sz="0" w:space="0" w:color="auto"/>
      </w:divBdr>
    </w:div>
    <w:div w:id="1042243226">
      <w:bodyDiv w:val="1"/>
      <w:marLeft w:val="0"/>
      <w:marRight w:val="0"/>
      <w:marTop w:val="0"/>
      <w:marBottom w:val="0"/>
      <w:divBdr>
        <w:top w:val="none" w:sz="0" w:space="0" w:color="auto"/>
        <w:left w:val="none" w:sz="0" w:space="0" w:color="auto"/>
        <w:bottom w:val="none" w:sz="0" w:space="0" w:color="auto"/>
        <w:right w:val="none" w:sz="0" w:space="0" w:color="auto"/>
      </w:divBdr>
    </w:div>
    <w:div w:id="1042443655">
      <w:bodyDiv w:val="1"/>
      <w:marLeft w:val="0"/>
      <w:marRight w:val="0"/>
      <w:marTop w:val="0"/>
      <w:marBottom w:val="0"/>
      <w:divBdr>
        <w:top w:val="none" w:sz="0" w:space="0" w:color="auto"/>
        <w:left w:val="none" w:sz="0" w:space="0" w:color="auto"/>
        <w:bottom w:val="none" w:sz="0" w:space="0" w:color="auto"/>
        <w:right w:val="none" w:sz="0" w:space="0" w:color="auto"/>
      </w:divBdr>
    </w:div>
    <w:div w:id="1042560847">
      <w:bodyDiv w:val="1"/>
      <w:marLeft w:val="0"/>
      <w:marRight w:val="0"/>
      <w:marTop w:val="0"/>
      <w:marBottom w:val="0"/>
      <w:divBdr>
        <w:top w:val="none" w:sz="0" w:space="0" w:color="auto"/>
        <w:left w:val="none" w:sz="0" w:space="0" w:color="auto"/>
        <w:bottom w:val="none" w:sz="0" w:space="0" w:color="auto"/>
        <w:right w:val="none" w:sz="0" w:space="0" w:color="auto"/>
      </w:divBdr>
    </w:div>
    <w:div w:id="1042828495">
      <w:bodyDiv w:val="1"/>
      <w:marLeft w:val="0"/>
      <w:marRight w:val="0"/>
      <w:marTop w:val="0"/>
      <w:marBottom w:val="0"/>
      <w:divBdr>
        <w:top w:val="none" w:sz="0" w:space="0" w:color="auto"/>
        <w:left w:val="none" w:sz="0" w:space="0" w:color="auto"/>
        <w:bottom w:val="none" w:sz="0" w:space="0" w:color="auto"/>
        <w:right w:val="none" w:sz="0" w:space="0" w:color="auto"/>
      </w:divBdr>
    </w:div>
    <w:div w:id="1043408674">
      <w:bodyDiv w:val="1"/>
      <w:marLeft w:val="0"/>
      <w:marRight w:val="0"/>
      <w:marTop w:val="0"/>
      <w:marBottom w:val="0"/>
      <w:divBdr>
        <w:top w:val="none" w:sz="0" w:space="0" w:color="auto"/>
        <w:left w:val="none" w:sz="0" w:space="0" w:color="auto"/>
        <w:bottom w:val="none" w:sz="0" w:space="0" w:color="auto"/>
        <w:right w:val="none" w:sz="0" w:space="0" w:color="auto"/>
      </w:divBdr>
    </w:div>
    <w:div w:id="1043603255">
      <w:bodyDiv w:val="1"/>
      <w:marLeft w:val="0"/>
      <w:marRight w:val="0"/>
      <w:marTop w:val="0"/>
      <w:marBottom w:val="0"/>
      <w:divBdr>
        <w:top w:val="none" w:sz="0" w:space="0" w:color="auto"/>
        <w:left w:val="none" w:sz="0" w:space="0" w:color="auto"/>
        <w:bottom w:val="none" w:sz="0" w:space="0" w:color="auto"/>
        <w:right w:val="none" w:sz="0" w:space="0" w:color="auto"/>
      </w:divBdr>
    </w:div>
    <w:div w:id="1043672795">
      <w:bodyDiv w:val="1"/>
      <w:marLeft w:val="0"/>
      <w:marRight w:val="0"/>
      <w:marTop w:val="0"/>
      <w:marBottom w:val="0"/>
      <w:divBdr>
        <w:top w:val="none" w:sz="0" w:space="0" w:color="auto"/>
        <w:left w:val="none" w:sz="0" w:space="0" w:color="auto"/>
        <w:bottom w:val="none" w:sz="0" w:space="0" w:color="auto"/>
        <w:right w:val="none" w:sz="0" w:space="0" w:color="auto"/>
      </w:divBdr>
    </w:div>
    <w:div w:id="1043795194">
      <w:bodyDiv w:val="1"/>
      <w:marLeft w:val="0"/>
      <w:marRight w:val="0"/>
      <w:marTop w:val="0"/>
      <w:marBottom w:val="0"/>
      <w:divBdr>
        <w:top w:val="none" w:sz="0" w:space="0" w:color="auto"/>
        <w:left w:val="none" w:sz="0" w:space="0" w:color="auto"/>
        <w:bottom w:val="none" w:sz="0" w:space="0" w:color="auto"/>
        <w:right w:val="none" w:sz="0" w:space="0" w:color="auto"/>
      </w:divBdr>
    </w:div>
    <w:div w:id="1045984027">
      <w:bodyDiv w:val="1"/>
      <w:marLeft w:val="0"/>
      <w:marRight w:val="0"/>
      <w:marTop w:val="0"/>
      <w:marBottom w:val="0"/>
      <w:divBdr>
        <w:top w:val="none" w:sz="0" w:space="0" w:color="auto"/>
        <w:left w:val="none" w:sz="0" w:space="0" w:color="auto"/>
        <w:bottom w:val="none" w:sz="0" w:space="0" w:color="auto"/>
        <w:right w:val="none" w:sz="0" w:space="0" w:color="auto"/>
      </w:divBdr>
    </w:div>
    <w:div w:id="1046024779">
      <w:bodyDiv w:val="1"/>
      <w:marLeft w:val="0"/>
      <w:marRight w:val="0"/>
      <w:marTop w:val="0"/>
      <w:marBottom w:val="0"/>
      <w:divBdr>
        <w:top w:val="none" w:sz="0" w:space="0" w:color="auto"/>
        <w:left w:val="none" w:sz="0" w:space="0" w:color="auto"/>
        <w:bottom w:val="none" w:sz="0" w:space="0" w:color="auto"/>
        <w:right w:val="none" w:sz="0" w:space="0" w:color="auto"/>
      </w:divBdr>
    </w:div>
    <w:div w:id="1046105558">
      <w:bodyDiv w:val="1"/>
      <w:marLeft w:val="0"/>
      <w:marRight w:val="0"/>
      <w:marTop w:val="0"/>
      <w:marBottom w:val="0"/>
      <w:divBdr>
        <w:top w:val="none" w:sz="0" w:space="0" w:color="auto"/>
        <w:left w:val="none" w:sz="0" w:space="0" w:color="auto"/>
        <w:bottom w:val="none" w:sz="0" w:space="0" w:color="auto"/>
        <w:right w:val="none" w:sz="0" w:space="0" w:color="auto"/>
      </w:divBdr>
    </w:div>
    <w:div w:id="1047026988">
      <w:bodyDiv w:val="1"/>
      <w:marLeft w:val="0"/>
      <w:marRight w:val="0"/>
      <w:marTop w:val="0"/>
      <w:marBottom w:val="0"/>
      <w:divBdr>
        <w:top w:val="none" w:sz="0" w:space="0" w:color="auto"/>
        <w:left w:val="none" w:sz="0" w:space="0" w:color="auto"/>
        <w:bottom w:val="none" w:sz="0" w:space="0" w:color="auto"/>
        <w:right w:val="none" w:sz="0" w:space="0" w:color="auto"/>
      </w:divBdr>
    </w:div>
    <w:div w:id="1047412683">
      <w:bodyDiv w:val="1"/>
      <w:marLeft w:val="0"/>
      <w:marRight w:val="0"/>
      <w:marTop w:val="0"/>
      <w:marBottom w:val="0"/>
      <w:divBdr>
        <w:top w:val="none" w:sz="0" w:space="0" w:color="auto"/>
        <w:left w:val="none" w:sz="0" w:space="0" w:color="auto"/>
        <w:bottom w:val="none" w:sz="0" w:space="0" w:color="auto"/>
        <w:right w:val="none" w:sz="0" w:space="0" w:color="auto"/>
      </w:divBdr>
    </w:div>
    <w:div w:id="1047608507">
      <w:bodyDiv w:val="1"/>
      <w:marLeft w:val="0"/>
      <w:marRight w:val="0"/>
      <w:marTop w:val="0"/>
      <w:marBottom w:val="0"/>
      <w:divBdr>
        <w:top w:val="none" w:sz="0" w:space="0" w:color="auto"/>
        <w:left w:val="none" w:sz="0" w:space="0" w:color="auto"/>
        <w:bottom w:val="none" w:sz="0" w:space="0" w:color="auto"/>
        <w:right w:val="none" w:sz="0" w:space="0" w:color="auto"/>
      </w:divBdr>
    </w:div>
    <w:div w:id="1047795725">
      <w:bodyDiv w:val="1"/>
      <w:marLeft w:val="0"/>
      <w:marRight w:val="0"/>
      <w:marTop w:val="0"/>
      <w:marBottom w:val="0"/>
      <w:divBdr>
        <w:top w:val="none" w:sz="0" w:space="0" w:color="auto"/>
        <w:left w:val="none" w:sz="0" w:space="0" w:color="auto"/>
        <w:bottom w:val="none" w:sz="0" w:space="0" w:color="auto"/>
        <w:right w:val="none" w:sz="0" w:space="0" w:color="auto"/>
      </w:divBdr>
    </w:div>
    <w:div w:id="1047878375">
      <w:bodyDiv w:val="1"/>
      <w:marLeft w:val="0"/>
      <w:marRight w:val="0"/>
      <w:marTop w:val="0"/>
      <w:marBottom w:val="0"/>
      <w:divBdr>
        <w:top w:val="none" w:sz="0" w:space="0" w:color="auto"/>
        <w:left w:val="none" w:sz="0" w:space="0" w:color="auto"/>
        <w:bottom w:val="none" w:sz="0" w:space="0" w:color="auto"/>
        <w:right w:val="none" w:sz="0" w:space="0" w:color="auto"/>
      </w:divBdr>
    </w:div>
    <w:div w:id="1047952292">
      <w:bodyDiv w:val="1"/>
      <w:marLeft w:val="0"/>
      <w:marRight w:val="0"/>
      <w:marTop w:val="0"/>
      <w:marBottom w:val="0"/>
      <w:divBdr>
        <w:top w:val="none" w:sz="0" w:space="0" w:color="auto"/>
        <w:left w:val="none" w:sz="0" w:space="0" w:color="auto"/>
        <w:bottom w:val="none" w:sz="0" w:space="0" w:color="auto"/>
        <w:right w:val="none" w:sz="0" w:space="0" w:color="auto"/>
      </w:divBdr>
    </w:div>
    <w:div w:id="1048144067">
      <w:bodyDiv w:val="1"/>
      <w:marLeft w:val="0"/>
      <w:marRight w:val="0"/>
      <w:marTop w:val="0"/>
      <w:marBottom w:val="0"/>
      <w:divBdr>
        <w:top w:val="none" w:sz="0" w:space="0" w:color="auto"/>
        <w:left w:val="none" w:sz="0" w:space="0" w:color="auto"/>
        <w:bottom w:val="none" w:sz="0" w:space="0" w:color="auto"/>
        <w:right w:val="none" w:sz="0" w:space="0" w:color="auto"/>
      </w:divBdr>
    </w:div>
    <w:div w:id="1048407997">
      <w:bodyDiv w:val="1"/>
      <w:marLeft w:val="0"/>
      <w:marRight w:val="0"/>
      <w:marTop w:val="0"/>
      <w:marBottom w:val="0"/>
      <w:divBdr>
        <w:top w:val="none" w:sz="0" w:space="0" w:color="auto"/>
        <w:left w:val="none" w:sz="0" w:space="0" w:color="auto"/>
        <w:bottom w:val="none" w:sz="0" w:space="0" w:color="auto"/>
        <w:right w:val="none" w:sz="0" w:space="0" w:color="auto"/>
      </w:divBdr>
    </w:div>
    <w:div w:id="1048408195">
      <w:bodyDiv w:val="1"/>
      <w:marLeft w:val="0"/>
      <w:marRight w:val="0"/>
      <w:marTop w:val="0"/>
      <w:marBottom w:val="0"/>
      <w:divBdr>
        <w:top w:val="none" w:sz="0" w:space="0" w:color="auto"/>
        <w:left w:val="none" w:sz="0" w:space="0" w:color="auto"/>
        <w:bottom w:val="none" w:sz="0" w:space="0" w:color="auto"/>
        <w:right w:val="none" w:sz="0" w:space="0" w:color="auto"/>
      </w:divBdr>
    </w:div>
    <w:div w:id="1048457481">
      <w:bodyDiv w:val="1"/>
      <w:marLeft w:val="0"/>
      <w:marRight w:val="0"/>
      <w:marTop w:val="0"/>
      <w:marBottom w:val="0"/>
      <w:divBdr>
        <w:top w:val="none" w:sz="0" w:space="0" w:color="auto"/>
        <w:left w:val="none" w:sz="0" w:space="0" w:color="auto"/>
        <w:bottom w:val="none" w:sz="0" w:space="0" w:color="auto"/>
        <w:right w:val="none" w:sz="0" w:space="0" w:color="auto"/>
      </w:divBdr>
    </w:div>
    <w:div w:id="1048529553">
      <w:bodyDiv w:val="1"/>
      <w:marLeft w:val="0"/>
      <w:marRight w:val="0"/>
      <w:marTop w:val="0"/>
      <w:marBottom w:val="0"/>
      <w:divBdr>
        <w:top w:val="none" w:sz="0" w:space="0" w:color="auto"/>
        <w:left w:val="none" w:sz="0" w:space="0" w:color="auto"/>
        <w:bottom w:val="none" w:sz="0" w:space="0" w:color="auto"/>
        <w:right w:val="none" w:sz="0" w:space="0" w:color="auto"/>
      </w:divBdr>
    </w:div>
    <w:div w:id="1048799543">
      <w:bodyDiv w:val="1"/>
      <w:marLeft w:val="0"/>
      <w:marRight w:val="0"/>
      <w:marTop w:val="0"/>
      <w:marBottom w:val="0"/>
      <w:divBdr>
        <w:top w:val="none" w:sz="0" w:space="0" w:color="auto"/>
        <w:left w:val="none" w:sz="0" w:space="0" w:color="auto"/>
        <w:bottom w:val="none" w:sz="0" w:space="0" w:color="auto"/>
        <w:right w:val="none" w:sz="0" w:space="0" w:color="auto"/>
      </w:divBdr>
    </w:div>
    <w:div w:id="1049843992">
      <w:bodyDiv w:val="1"/>
      <w:marLeft w:val="0"/>
      <w:marRight w:val="0"/>
      <w:marTop w:val="0"/>
      <w:marBottom w:val="0"/>
      <w:divBdr>
        <w:top w:val="none" w:sz="0" w:space="0" w:color="auto"/>
        <w:left w:val="none" w:sz="0" w:space="0" w:color="auto"/>
        <w:bottom w:val="none" w:sz="0" w:space="0" w:color="auto"/>
        <w:right w:val="none" w:sz="0" w:space="0" w:color="auto"/>
      </w:divBdr>
    </w:div>
    <w:div w:id="1050225156">
      <w:bodyDiv w:val="1"/>
      <w:marLeft w:val="0"/>
      <w:marRight w:val="0"/>
      <w:marTop w:val="0"/>
      <w:marBottom w:val="0"/>
      <w:divBdr>
        <w:top w:val="none" w:sz="0" w:space="0" w:color="auto"/>
        <w:left w:val="none" w:sz="0" w:space="0" w:color="auto"/>
        <w:bottom w:val="none" w:sz="0" w:space="0" w:color="auto"/>
        <w:right w:val="none" w:sz="0" w:space="0" w:color="auto"/>
      </w:divBdr>
    </w:div>
    <w:div w:id="1050298577">
      <w:bodyDiv w:val="1"/>
      <w:marLeft w:val="0"/>
      <w:marRight w:val="0"/>
      <w:marTop w:val="0"/>
      <w:marBottom w:val="0"/>
      <w:divBdr>
        <w:top w:val="none" w:sz="0" w:space="0" w:color="auto"/>
        <w:left w:val="none" w:sz="0" w:space="0" w:color="auto"/>
        <w:bottom w:val="none" w:sz="0" w:space="0" w:color="auto"/>
        <w:right w:val="none" w:sz="0" w:space="0" w:color="auto"/>
      </w:divBdr>
    </w:div>
    <w:div w:id="1050766881">
      <w:bodyDiv w:val="1"/>
      <w:marLeft w:val="0"/>
      <w:marRight w:val="0"/>
      <w:marTop w:val="0"/>
      <w:marBottom w:val="0"/>
      <w:divBdr>
        <w:top w:val="none" w:sz="0" w:space="0" w:color="auto"/>
        <w:left w:val="none" w:sz="0" w:space="0" w:color="auto"/>
        <w:bottom w:val="none" w:sz="0" w:space="0" w:color="auto"/>
        <w:right w:val="none" w:sz="0" w:space="0" w:color="auto"/>
      </w:divBdr>
    </w:div>
    <w:div w:id="1054768378">
      <w:bodyDiv w:val="1"/>
      <w:marLeft w:val="0"/>
      <w:marRight w:val="0"/>
      <w:marTop w:val="0"/>
      <w:marBottom w:val="0"/>
      <w:divBdr>
        <w:top w:val="none" w:sz="0" w:space="0" w:color="auto"/>
        <w:left w:val="none" w:sz="0" w:space="0" w:color="auto"/>
        <w:bottom w:val="none" w:sz="0" w:space="0" w:color="auto"/>
        <w:right w:val="none" w:sz="0" w:space="0" w:color="auto"/>
      </w:divBdr>
    </w:div>
    <w:div w:id="1055858498">
      <w:bodyDiv w:val="1"/>
      <w:marLeft w:val="0"/>
      <w:marRight w:val="0"/>
      <w:marTop w:val="0"/>
      <w:marBottom w:val="0"/>
      <w:divBdr>
        <w:top w:val="none" w:sz="0" w:space="0" w:color="auto"/>
        <w:left w:val="none" w:sz="0" w:space="0" w:color="auto"/>
        <w:bottom w:val="none" w:sz="0" w:space="0" w:color="auto"/>
        <w:right w:val="none" w:sz="0" w:space="0" w:color="auto"/>
      </w:divBdr>
    </w:div>
    <w:div w:id="1056004986">
      <w:bodyDiv w:val="1"/>
      <w:marLeft w:val="0"/>
      <w:marRight w:val="0"/>
      <w:marTop w:val="0"/>
      <w:marBottom w:val="0"/>
      <w:divBdr>
        <w:top w:val="none" w:sz="0" w:space="0" w:color="auto"/>
        <w:left w:val="none" w:sz="0" w:space="0" w:color="auto"/>
        <w:bottom w:val="none" w:sz="0" w:space="0" w:color="auto"/>
        <w:right w:val="none" w:sz="0" w:space="0" w:color="auto"/>
      </w:divBdr>
    </w:div>
    <w:div w:id="1056394904">
      <w:bodyDiv w:val="1"/>
      <w:marLeft w:val="0"/>
      <w:marRight w:val="0"/>
      <w:marTop w:val="0"/>
      <w:marBottom w:val="0"/>
      <w:divBdr>
        <w:top w:val="none" w:sz="0" w:space="0" w:color="auto"/>
        <w:left w:val="none" w:sz="0" w:space="0" w:color="auto"/>
        <w:bottom w:val="none" w:sz="0" w:space="0" w:color="auto"/>
        <w:right w:val="none" w:sz="0" w:space="0" w:color="auto"/>
      </w:divBdr>
    </w:div>
    <w:div w:id="1057045805">
      <w:bodyDiv w:val="1"/>
      <w:marLeft w:val="0"/>
      <w:marRight w:val="0"/>
      <w:marTop w:val="0"/>
      <w:marBottom w:val="0"/>
      <w:divBdr>
        <w:top w:val="none" w:sz="0" w:space="0" w:color="auto"/>
        <w:left w:val="none" w:sz="0" w:space="0" w:color="auto"/>
        <w:bottom w:val="none" w:sz="0" w:space="0" w:color="auto"/>
        <w:right w:val="none" w:sz="0" w:space="0" w:color="auto"/>
      </w:divBdr>
    </w:div>
    <w:div w:id="1057514490">
      <w:bodyDiv w:val="1"/>
      <w:marLeft w:val="0"/>
      <w:marRight w:val="0"/>
      <w:marTop w:val="0"/>
      <w:marBottom w:val="0"/>
      <w:divBdr>
        <w:top w:val="none" w:sz="0" w:space="0" w:color="auto"/>
        <w:left w:val="none" w:sz="0" w:space="0" w:color="auto"/>
        <w:bottom w:val="none" w:sz="0" w:space="0" w:color="auto"/>
        <w:right w:val="none" w:sz="0" w:space="0" w:color="auto"/>
      </w:divBdr>
    </w:div>
    <w:div w:id="1058237374">
      <w:bodyDiv w:val="1"/>
      <w:marLeft w:val="0"/>
      <w:marRight w:val="0"/>
      <w:marTop w:val="0"/>
      <w:marBottom w:val="0"/>
      <w:divBdr>
        <w:top w:val="none" w:sz="0" w:space="0" w:color="auto"/>
        <w:left w:val="none" w:sz="0" w:space="0" w:color="auto"/>
        <w:bottom w:val="none" w:sz="0" w:space="0" w:color="auto"/>
        <w:right w:val="none" w:sz="0" w:space="0" w:color="auto"/>
      </w:divBdr>
    </w:div>
    <w:div w:id="1058674003">
      <w:bodyDiv w:val="1"/>
      <w:marLeft w:val="0"/>
      <w:marRight w:val="0"/>
      <w:marTop w:val="0"/>
      <w:marBottom w:val="0"/>
      <w:divBdr>
        <w:top w:val="none" w:sz="0" w:space="0" w:color="auto"/>
        <w:left w:val="none" w:sz="0" w:space="0" w:color="auto"/>
        <w:bottom w:val="none" w:sz="0" w:space="0" w:color="auto"/>
        <w:right w:val="none" w:sz="0" w:space="0" w:color="auto"/>
      </w:divBdr>
    </w:div>
    <w:div w:id="1058892630">
      <w:bodyDiv w:val="1"/>
      <w:marLeft w:val="0"/>
      <w:marRight w:val="0"/>
      <w:marTop w:val="0"/>
      <w:marBottom w:val="0"/>
      <w:divBdr>
        <w:top w:val="none" w:sz="0" w:space="0" w:color="auto"/>
        <w:left w:val="none" w:sz="0" w:space="0" w:color="auto"/>
        <w:bottom w:val="none" w:sz="0" w:space="0" w:color="auto"/>
        <w:right w:val="none" w:sz="0" w:space="0" w:color="auto"/>
      </w:divBdr>
    </w:div>
    <w:div w:id="1059210919">
      <w:bodyDiv w:val="1"/>
      <w:marLeft w:val="0"/>
      <w:marRight w:val="0"/>
      <w:marTop w:val="0"/>
      <w:marBottom w:val="0"/>
      <w:divBdr>
        <w:top w:val="none" w:sz="0" w:space="0" w:color="auto"/>
        <w:left w:val="none" w:sz="0" w:space="0" w:color="auto"/>
        <w:bottom w:val="none" w:sz="0" w:space="0" w:color="auto"/>
        <w:right w:val="none" w:sz="0" w:space="0" w:color="auto"/>
      </w:divBdr>
    </w:div>
    <w:div w:id="1059212637">
      <w:bodyDiv w:val="1"/>
      <w:marLeft w:val="0"/>
      <w:marRight w:val="0"/>
      <w:marTop w:val="0"/>
      <w:marBottom w:val="0"/>
      <w:divBdr>
        <w:top w:val="none" w:sz="0" w:space="0" w:color="auto"/>
        <w:left w:val="none" w:sz="0" w:space="0" w:color="auto"/>
        <w:bottom w:val="none" w:sz="0" w:space="0" w:color="auto"/>
        <w:right w:val="none" w:sz="0" w:space="0" w:color="auto"/>
      </w:divBdr>
    </w:div>
    <w:div w:id="1059744752">
      <w:bodyDiv w:val="1"/>
      <w:marLeft w:val="0"/>
      <w:marRight w:val="0"/>
      <w:marTop w:val="0"/>
      <w:marBottom w:val="0"/>
      <w:divBdr>
        <w:top w:val="none" w:sz="0" w:space="0" w:color="auto"/>
        <w:left w:val="none" w:sz="0" w:space="0" w:color="auto"/>
        <w:bottom w:val="none" w:sz="0" w:space="0" w:color="auto"/>
        <w:right w:val="none" w:sz="0" w:space="0" w:color="auto"/>
      </w:divBdr>
    </w:div>
    <w:div w:id="1060982509">
      <w:bodyDiv w:val="1"/>
      <w:marLeft w:val="0"/>
      <w:marRight w:val="0"/>
      <w:marTop w:val="0"/>
      <w:marBottom w:val="0"/>
      <w:divBdr>
        <w:top w:val="none" w:sz="0" w:space="0" w:color="auto"/>
        <w:left w:val="none" w:sz="0" w:space="0" w:color="auto"/>
        <w:bottom w:val="none" w:sz="0" w:space="0" w:color="auto"/>
        <w:right w:val="none" w:sz="0" w:space="0" w:color="auto"/>
      </w:divBdr>
    </w:div>
    <w:div w:id="1060985128">
      <w:bodyDiv w:val="1"/>
      <w:marLeft w:val="0"/>
      <w:marRight w:val="0"/>
      <w:marTop w:val="0"/>
      <w:marBottom w:val="0"/>
      <w:divBdr>
        <w:top w:val="none" w:sz="0" w:space="0" w:color="auto"/>
        <w:left w:val="none" w:sz="0" w:space="0" w:color="auto"/>
        <w:bottom w:val="none" w:sz="0" w:space="0" w:color="auto"/>
        <w:right w:val="none" w:sz="0" w:space="0" w:color="auto"/>
      </w:divBdr>
    </w:div>
    <w:div w:id="1061056785">
      <w:bodyDiv w:val="1"/>
      <w:marLeft w:val="0"/>
      <w:marRight w:val="0"/>
      <w:marTop w:val="0"/>
      <w:marBottom w:val="0"/>
      <w:divBdr>
        <w:top w:val="none" w:sz="0" w:space="0" w:color="auto"/>
        <w:left w:val="none" w:sz="0" w:space="0" w:color="auto"/>
        <w:bottom w:val="none" w:sz="0" w:space="0" w:color="auto"/>
        <w:right w:val="none" w:sz="0" w:space="0" w:color="auto"/>
      </w:divBdr>
    </w:div>
    <w:div w:id="1061445566">
      <w:bodyDiv w:val="1"/>
      <w:marLeft w:val="0"/>
      <w:marRight w:val="0"/>
      <w:marTop w:val="0"/>
      <w:marBottom w:val="0"/>
      <w:divBdr>
        <w:top w:val="none" w:sz="0" w:space="0" w:color="auto"/>
        <w:left w:val="none" w:sz="0" w:space="0" w:color="auto"/>
        <w:bottom w:val="none" w:sz="0" w:space="0" w:color="auto"/>
        <w:right w:val="none" w:sz="0" w:space="0" w:color="auto"/>
      </w:divBdr>
    </w:div>
    <w:div w:id="1061706985">
      <w:bodyDiv w:val="1"/>
      <w:marLeft w:val="0"/>
      <w:marRight w:val="0"/>
      <w:marTop w:val="0"/>
      <w:marBottom w:val="0"/>
      <w:divBdr>
        <w:top w:val="none" w:sz="0" w:space="0" w:color="auto"/>
        <w:left w:val="none" w:sz="0" w:space="0" w:color="auto"/>
        <w:bottom w:val="none" w:sz="0" w:space="0" w:color="auto"/>
        <w:right w:val="none" w:sz="0" w:space="0" w:color="auto"/>
      </w:divBdr>
    </w:div>
    <w:div w:id="1062292521">
      <w:bodyDiv w:val="1"/>
      <w:marLeft w:val="0"/>
      <w:marRight w:val="0"/>
      <w:marTop w:val="0"/>
      <w:marBottom w:val="0"/>
      <w:divBdr>
        <w:top w:val="none" w:sz="0" w:space="0" w:color="auto"/>
        <w:left w:val="none" w:sz="0" w:space="0" w:color="auto"/>
        <w:bottom w:val="none" w:sz="0" w:space="0" w:color="auto"/>
        <w:right w:val="none" w:sz="0" w:space="0" w:color="auto"/>
      </w:divBdr>
    </w:div>
    <w:div w:id="1063061123">
      <w:bodyDiv w:val="1"/>
      <w:marLeft w:val="0"/>
      <w:marRight w:val="0"/>
      <w:marTop w:val="0"/>
      <w:marBottom w:val="0"/>
      <w:divBdr>
        <w:top w:val="none" w:sz="0" w:space="0" w:color="auto"/>
        <w:left w:val="none" w:sz="0" w:space="0" w:color="auto"/>
        <w:bottom w:val="none" w:sz="0" w:space="0" w:color="auto"/>
        <w:right w:val="none" w:sz="0" w:space="0" w:color="auto"/>
      </w:divBdr>
    </w:div>
    <w:div w:id="1064642981">
      <w:bodyDiv w:val="1"/>
      <w:marLeft w:val="0"/>
      <w:marRight w:val="0"/>
      <w:marTop w:val="0"/>
      <w:marBottom w:val="0"/>
      <w:divBdr>
        <w:top w:val="none" w:sz="0" w:space="0" w:color="auto"/>
        <w:left w:val="none" w:sz="0" w:space="0" w:color="auto"/>
        <w:bottom w:val="none" w:sz="0" w:space="0" w:color="auto"/>
        <w:right w:val="none" w:sz="0" w:space="0" w:color="auto"/>
      </w:divBdr>
    </w:div>
    <w:div w:id="1065105338">
      <w:bodyDiv w:val="1"/>
      <w:marLeft w:val="0"/>
      <w:marRight w:val="0"/>
      <w:marTop w:val="0"/>
      <w:marBottom w:val="0"/>
      <w:divBdr>
        <w:top w:val="none" w:sz="0" w:space="0" w:color="auto"/>
        <w:left w:val="none" w:sz="0" w:space="0" w:color="auto"/>
        <w:bottom w:val="none" w:sz="0" w:space="0" w:color="auto"/>
        <w:right w:val="none" w:sz="0" w:space="0" w:color="auto"/>
      </w:divBdr>
    </w:div>
    <w:div w:id="1065492133">
      <w:bodyDiv w:val="1"/>
      <w:marLeft w:val="0"/>
      <w:marRight w:val="0"/>
      <w:marTop w:val="0"/>
      <w:marBottom w:val="0"/>
      <w:divBdr>
        <w:top w:val="none" w:sz="0" w:space="0" w:color="auto"/>
        <w:left w:val="none" w:sz="0" w:space="0" w:color="auto"/>
        <w:bottom w:val="none" w:sz="0" w:space="0" w:color="auto"/>
        <w:right w:val="none" w:sz="0" w:space="0" w:color="auto"/>
      </w:divBdr>
    </w:div>
    <w:div w:id="1067024226">
      <w:bodyDiv w:val="1"/>
      <w:marLeft w:val="0"/>
      <w:marRight w:val="0"/>
      <w:marTop w:val="0"/>
      <w:marBottom w:val="0"/>
      <w:divBdr>
        <w:top w:val="none" w:sz="0" w:space="0" w:color="auto"/>
        <w:left w:val="none" w:sz="0" w:space="0" w:color="auto"/>
        <w:bottom w:val="none" w:sz="0" w:space="0" w:color="auto"/>
        <w:right w:val="none" w:sz="0" w:space="0" w:color="auto"/>
      </w:divBdr>
    </w:div>
    <w:div w:id="1067145144">
      <w:bodyDiv w:val="1"/>
      <w:marLeft w:val="0"/>
      <w:marRight w:val="0"/>
      <w:marTop w:val="0"/>
      <w:marBottom w:val="0"/>
      <w:divBdr>
        <w:top w:val="none" w:sz="0" w:space="0" w:color="auto"/>
        <w:left w:val="none" w:sz="0" w:space="0" w:color="auto"/>
        <w:bottom w:val="none" w:sz="0" w:space="0" w:color="auto"/>
        <w:right w:val="none" w:sz="0" w:space="0" w:color="auto"/>
      </w:divBdr>
    </w:div>
    <w:div w:id="1068113493">
      <w:bodyDiv w:val="1"/>
      <w:marLeft w:val="0"/>
      <w:marRight w:val="0"/>
      <w:marTop w:val="0"/>
      <w:marBottom w:val="0"/>
      <w:divBdr>
        <w:top w:val="none" w:sz="0" w:space="0" w:color="auto"/>
        <w:left w:val="none" w:sz="0" w:space="0" w:color="auto"/>
        <w:bottom w:val="none" w:sz="0" w:space="0" w:color="auto"/>
        <w:right w:val="none" w:sz="0" w:space="0" w:color="auto"/>
      </w:divBdr>
    </w:div>
    <w:div w:id="1068650185">
      <w:bodyDiv w:val="1"/>
      <w:marLeft w:val="0"/>
      <w:marRight w:val="0"/>
      <w:marTop w:val="0"/>
      <w:marBottom w:val="0"/>
      <w:divBdr>
        <w:top w:val="none" w:sz="0" w:space="0" w:color="auto"/>
        <w:left w:val="none" w:sz="0" w:space="0" w:color="auto"/>
        <w:bottom w:val="none" w:sz="0" w:space="0" w:color="auto"/>
        <w:right w:val="none" w:sz="0" w:space="0" w:color="auto"/>
      </w:divBdr>
    </w:div>
    <w:div w:id="1069688789">
      <w:bodyDiv w:val="1"/>
      <w:marLeft w:val="0"/>
      <w:marRight w:val="0"/>
      <w:marTop w:val="0"/>
      <w:marBottom w:val="0"/>
      <w:divBdr>
        <w:top w:val="none" w:sz="0" w:space="0" w:color="auto"/>
        <w:left w:val="none" w:sz="0" w:space="0" w:color="auto"/>
        <w:bottom w:val="none" w:sz="0" w:space="0" w:color="auto"/>
        <w:right w:val="none" w:sz="0" w:space="0" w:color="auto"/>
      </w:divBdr>
    </w:div>
    <w:div w:id="1070232765">
      <w:bodyDiv w:val="1"/>
      <w:marLeft w:val="0"/>
      <w:marRight w:val="0"/>
      <w:marTop w:val="0"/>
      <w:marBottom w:val="0"/>
      <w:divBdr>
        <w:top w:val="none" w:sz="0" w:space="0" w:color="auto"/>
        <w:left w:val="none" w:sz="0" w:space="0" w:color="auto"/>
        <w:bottom w:val="none" w:sz="0" w:space="0" w:color="auto"/>
        <w:right w:val="none" w:sz="0" w:space="0" w:color="auto"/>
      </w:divBdr>
    </w:div>
    <w:div w:id="1071582146">
      <w:bodyDiv w:val="1"/>
      <w:marLeft w:val="0"/>
      <w:marRight w:val="0"/>
      <w:marTop w:val="0"/>
      <w:marBottom w:val="0"/>
      <w:divBdr>
        <w:top w:val="none" w:sz="0" w:space="0" w:color="auto"/>
        <w:left w:val="none" w:sz="0" w:space="0" w:color="auto"/>
        <w:bottom w:val="none" w:sz="0" w:space="0" w:color="auto"/>
        <w:right w:val="none" w:sz="0" w:space="0" w:color="auto"/>
      </w:divBdr>
    </w:div>
    <w:div w:id="1072507591">
      <w:bodyDiv w:val="1"/>
      <w:marLeft w:val="0"/>
      <w:marRight w:val="0"/>
      <w:marTop w:val="0"/>
      <w:marBottom w:val="0"/>
      <w:divBdr>
        <w:top w:val="none" w:sz="0" w:space="0" w:color="auto"/>
        <w:left w:val="none" w:sz="0" w:space="0" w:color="auto"/>
        <w:bottom w:val="none" w:sz="0" w:space="0" w:color="auto"/>
        <w:right w:val="none" w:sz="0" w:space="0" w:color="auto"/>
      </w:divBdr>
    </w:div>
    <w:div w:id="1072966752">
      <w:bodyDiv w:val="1"/>
      <w:marLeft w:val="0"/>
      <w:marRight w:val="0"/>
      <w:marTop w:val="0"/>
      <w:marBottom w:val="0"/>
      <w:divBdr>
        <w:top w:val="none" w:sz="0" w:space="0" w:color="auto"/>
        <w:left w:val="none" w:sz="0" w:space="0" w:color="auto"/>
        <w:bottom w:val="none" w:sz="0" w:space="0" w:color="auto"/>
        <w:right w:val="none" w:sz="0" w:space="0" w:color="auto"/>
      </w:divBdr>
    </w:div>
    <w:div w:id="1073088601">
      <w:bodyDiv w:val="1"/>
      <w:marLeft w:val="0"/>
      <w:marRight w:val="0"/>
      <w:marTop w:val="0"/>
      <w:marBottom w:val="0"/>
      <w:divBdr>
        <w:top w:val="none" w:sz="0" w:space="0" w:color="auto"/>
        <w:left w:val="none" w:sz="0" w:space="0" w:color="auto"/>
        <w:bottom w:val="none" w:sz="0" w:space="0" w:color="auto"/>
        <w:right w:val="none" w:sz="0" w:space="0" w:color="auto"/>
      </w:divBdr>
    </w:div>
    <w:div w:id="1073507782">
      <w:bodyDiv w:val="1"/>
      <w:marLeft w:val="0"/>
      <w:marRight w:val="0"/>
      <w:marTop w:val="0"/>
      <w:marBottom w:val="0"/>
      <w:divBdr>
        <w:top w:val="none" w:sz="0" w:space="0" w:color="auto"/>
        <w:left w:val="none" w:sz="0" w:space="0" w:color="auto"/>
        <w:bottom w:val="none" w:sz="0" w:space="0" w:color="auto"/>
        <w:right w:val="none" w:sz="0" w:space="0" w:color="auto"/>
      </w:divBdr>
    </w:div>
    <w:div w:id="1073628441">
      <w:bodyDiv w:val="1"/>
      <w:marLeft w:val="0"/>
      <w:marRight w:val="0"/>
      <w:marTop w:val="0"/>
      <w:marBottom w:val="0"/>
      <w:divBdr>
        <w:top w:val="none" w:sz="0" w:space="0" w:color="auto"/>
        <w:left w:val="none" w:sz="0" w:space="0" w:color="auto"/>
        <w:bottom w:val="none" w:sz="0" w:space="0" w:color="auto"/>
        <w:right w:val="none" w:sz="0" w:space="0" w:color="auto"/>
      </w:divBdr>
    </w:div>
    <w:div w:id="1073968940">
      <w:bodyDiv w:val="1"/>
      <w:marLeft w:val="0"/>
      <w:marRight w:val="0"/>
      <w:marTop w:val="0"/>
      <w:marBottom w:val="0"/>
      <w:divBdr>
        <w:top w:val="none" w:sz="0" w:space="0" w:color="auto"/>
        <w:left w:val="none" w:sz="0" w:space="0" w:color="auto"/>
        <w:bottom w:val="none" w:sz="0" w:space="0" w:color="auto"/>
        <w:right w:val="none" w:sz="0" w:space="0" w:color="auto"/>
      </w:divBdr>
    </w:div>
    <w:div w:id="1074663528">
      <w:bodyDiv w:val="1"/>
      <w:marLeft w:val="0"/>
      <w:marRight w:val="0"/>
      <w:marTop w:val="0"/>
      <w:marBottom w:val="0"/>
      <w:divBdr>
        <w:top w:val="none" w:sz="0" w:space="0" w:color="auto"/>
        <w:left w:val="none" w:sz="0" w:space="0" w:color="auto"/>
        <w:bottom w:val="none" w:sz="0" w:space="0" w:color="auto"/>
        <w:right w:val="none" w:sz="0" w:space="0" w:color="auto"/>
      </w:divBdr>
    </w:div>
    <w:div w:id="1075203385">
      <w:bodyDiv w:val="1"/>
      <w:marLeft w:val="0"/>
      <w:marRight w:val="0"/>
      <w:marTop w:val="0"/>
      <w:marBottom w:val="0"/>
      <w:divBdr>
        <w:top w:val="none" w:sz="0" w:space="0" w:color="auto"/>
        <w:left w:val="none" w:sz="0" w:space="0" w:color="auto"/>
        <w:bottom w:val="none" w:sz="0" w:space="0" w:color="auto"/>
        <w:right w:val="none" w:sz="0" w:space="0" w:color="auto"/>
      </w:divBdr>
    </w:div>
    <w:div w:id="1075324999">
      <w:bodyDiv w:val="1"/>
      <w:marLeft w:val="0"/>
      <w:marRight w:val="0"/>
      <w:marTop w:val="0"/>
      <w:marBottom w:val="0"/>
      <w:divBdr>
        <w:top w:val="none" w:sz="0" w:space="0" w:color="auto"/>
        <w:left w:val="none" w:sz="0" w:space="0" w:color="auto"/>
        <w:bottom w:val="none" w:sz="0" w:space="0" w:color="auto"/>
        <w:right w:val="none" w:sz="0" w:space="0" w:color="auto"/>
      </w:divBdr>
    </w:div>
    <w:div w:id="1075517676">
      <w:bodyDiv w:val="1"/>
      <w:marLeft w:val="0"/>
      <w:marRight w:val="0"/>
      <w:marTop w:val="0"/>
      <w:marBottom w:val="0"/>
      <w:divBdr>
        <w:top w:val="none" w:sz="0" w:space="0" w:color="auto"/>
        <w:left w:val="none" w:sz="0" w:space="0" w:color="auto"/>
        <w:bottom w:val="none" w:sz="0" w:space="0" w:color="auto"/>
        <w:right w:val="none" w:sz="0" w:space="0" w:color="auto"/>
      </w:divBdr>
    </w:div>
    <w:div w:id="1075518282">
      <w:bodyDiv w:val="1"/>
      <w:marLeft w:val="0"/>
      <w:marRight w:val="0"/>
      <w:marTop w:val="0"/>
      <w:marBottom w:val="0"/>
      <w:divBdr>
        <w:top w:val="none" w:sz="0" w:space="0" w:color="auto"/>
        <w:left w:val="none" w:sz="0" w:space="0" w:color="auto"/>
        <w:bottom w:val="none" w:sz="0" w:space="0" w:color="auto"/>
        <w:right w:val="none" w:sz="0" w:space="0" w:color="auto"/>
      </w:divBdr>
    </w:div>
    <w:div w:id="1075737293">
      <w:bodyDiv w:val="1"/>
      <w:marLeft w:val="0"/>
      <w:marRight w:val="0"/>
      <w:marTop w:val="0"/>
      <w:marBottom w:val="0"/>
      <w:divBdr>
        <w:top w:val="none" w:sz="0" w:space="0" w:color="auto"/>
        <w:left w:val="none" w:sz="0" w:space="0" w:color="auto"/>
        <w:bottom w:val="none" w:sz="0" w:space="0" w:color="auto"/>
        <w:right w:val="none" w:sz="0" w:space="0" w:color="auto"/>
      </w:divBdr>
    </w:div>
    <w:div w:id="1076174587">
      <w:bodyDiv w:val="1"/>
      <w:marLeft w:val="0"/>
      <w:marRight w:val="0"/>
      <w:marTop w:val="0"/>
      <w:marBottom w:val="0"/>
      <w:divBdr>
        <w:top w:val="none" w:sz="0" w:space="0" w:color="auto"/>
        <w:left w:val="none" w:sz="0" w:space="0" w:color="auto"/>
        <w:bottom w:val="none" w:sz="0" w:space="0" w:color="auto"/>
        <w:right w:val="none" w:sz="0" w:space="0" w:color="auto"/>
      </w:divBdr>
    </w:div>
    <w:div w:id="1076702437">
      <w:bodyDiv w:val="1"/>
      <w:marLeft w:val="0"/>
      <w:marRight w:val="0"/>
      <w:marTop w:val="0"/>
      <w:marBottom w:val="0"/>
      <w:divBdr>
        <w:top w:val="none" w:sz="0" w:space="0" w:color="auto"/>
        <w:left w:val="none" w:sz="0" w:space="0" w:color="auto"/>
        <w:bottom w:val="none" w:sz="0" w:space="0" w:color="auto"/>
        <w:right w:val="none" w:sz="0" w:space="0" w:color="auto"/>
      </w:divBdr>
    </w:div>
    <w:div w:id="1076778795">
      <w:bodyDiv w:val="1"/>
      <w:marLeft w:val="0"/>
      <w:marRight w:val="0"/>
      <w:marTop w:val="0"/>
      <w:marBottom w:val="0"/>
      <w:divBdr>
        <w:top w:val="none" w:sz="0" w:space="0" w:color="auto"/>
        <w:left w:val="none" w:sz="0" w:space="0" w:color="auto"/>
        <w:bottom w:val="none" w:sz="0" w:space="0" w:color="auto"/>
        <w:right w:val="none" w:sz="0" w:space="0" w:color="auto"/>
      </w:divBdr>
    </w:div>
    <w:div w:id="1077287078">
      <w:bodyDiv w:val="1"/>
      <w:marLeft w:val="0"/>
      <w:marRight w:val="0"/>
      <w:marTop w:val="0"/>
      <w:marBottom w:val="0"/>
      <w:divBdr>
        <w:top w:val="none" w:sz="0" w:space="0" w:color="auto"/>
        <w:left w:val="none" w:sz="0" w:space="0" w:color="auto"/>
        <w:bottom w:val="none" w:sz="0" w:space="0" w:color="auto"/>
        <w:right w:val="none" w:sz="0" w:space="0" w:color="auto"/>
      </w:divBdr>
    </w:div>
    <w:div w:id="1077440717">
      <w:bodyDiv w:val="1"/>
      <w:marLeft w:val="0"/>
      <w:marRight w:val="0"/>
      <w:marTop w:val="0"/>
      <w:marBottom w:val="0"/>
      <w:divBdr>
        <w:top w:val="none" w:sz="0" w:space="0" w:color="auto"/>
        <w:left w:val="none" w:sz="0" w:space="0" w:color="auto"/>
        <w:bottom w:val="none" w:sz="0" w:space="0" w:color="auto"/>
        <w:right w:val="none" w:sz="0" w:space="0" w:color="auto"/>
      </w:divBdr>
    </w:div>
    <w:div w:id="1077482017">
      <w:bodyDiv w:val="1"/>
      <w:marLeft w:val="0"/>
      <w:marRight w:val="0"/>
      <w:marTop w:val="0"/>
      <w:marBottom w:val="0"/>
      <w:divBdr>
        <w:top w:val="none" w:sz="0" w:space="0" w:color="auto"/>
        <w:left w:val="none" w:sz="0" w:space="0" w:color="auto"/>
        <w:bottom w:val="none" w:sz="0" w:space="0" w:color="auto"/>
        <w:right w:val="none" w:sz="0" w:space="0" w:color="auto"/>
      </w:divBdr>
    </w:div>
    <w:div w:id="1077744671">
      <w:bodyDiv w:val="1"/>
      <w:marLeft w:val="0"/>
      <w:marRight w:val="0"/>
      <w:marTop w:val="0"/>
      <w:marBottom w:val="0"/>
      <w:divBdr>
        <w:top w:val="none" w:sz="0" w:space="0" w:color="auto"/>
        <w:left w:val="none" w:sz="0" w:space="0" w:color="auto"/>
        <w:bottom w:val="none" w:sz="0" w:space="0" w:color="auto"/>
        <w:right w:val="none" w:sz="0" w:space="0" w:color="auto"/>
      </w:divBdr>
    </w:div>
    <w:div w:id="1077826405">
      <w:bodyDiv w:val="1"/>
      <w:marLeft w:val="0"/>
      <w:marRight w:val="0"/>
      <w:marTop w:val="0"/>
      <w:marBottom w:val="0"/>
      <w:divBdr>
        <w:top w:val="none" w:sz="0" w:space="0" w:color="auto"/>
        <w:left w:val="none" w:sz="0" w:space="0" w:color="auto"/>
        <w:bottom w:val="none" w:sz="0" w:space="0" w:color="auto"/>
        <w:right w:val="none" w:sz="0" w:space="0" w:color="auto"/>
      </w:divBdr>
    </w:div>
    <w:div w:id="1078021916">
      <w:bodyDiv w:val="1"/>
      <w:marLeft w:val="0"/>
      <w:marRight w:val="0"/>
      <w:marTop w:val="0"/>
      <w:marBottom w:val="0"/>
      <w:divBdr>
        <w:top w:val="none" w:sz="0" w:space="0" w:color="auto"/>
        <w:left w:val="none" w:sz="0" w:space="0" w:color="auto"/>
        <w:bottom w:val="none" w:sz="0" w:space="0" w:color="auto"/>
        <w:right w:val="none" w:sz="0" w:space="0" w:color="auto"/>
      </w:divBdr>
    </w:div>
    <w:div w:id="1078208000">
      <w:bodyDiv w:val="1"/>
      <w:marLeft w:val="0"/>
      <w:marRight w:val="0"/>
      <w:marTop w:val="0"/>
      <w:marBottom w:val="0"/>
      <w:divBdr>
        <w:top w:val="none" w:sz="0" w:space="0" w:color="auto"/>
        <w:left w:val="none" w:sz="0" w:space="0" w:color="auto"/>
        <w:bottom w:val="none" w:sz="0" w:space="0" w:color="auto"/>
        <w:right w:val="none" w:sz="0" w:space="0" w:color="auto"/>
      </w:divBdr>
    </w:div>
    <w:div w:id="1078213654">
      <w:bodyDiv w:val="1"/>
      <w:marLeft w:val="0"/>
      <w:marRight w:val="0"/>
      <w:marTop w:val="0"/>
      <w:marBottom w:val="0"/>
      <w:divBdr>
        <w:top w:val="none" w:sz="0" w:space="0" w:color="auto"/>
        <w:left w:val="none" w:sz="0" w:space="0" w:color="auto"/>
        <w:bottom w:val="none" w:sz="0" w:space="0" w:color="auto"/>
        <w:right w:val="none" w:sz="0" w:space="0" w:color="auto"/>
      </w:divBdr>
    </w:div>
    <w:div w:id="1078594464">
      <w:bodyDiv w:val="1"/>
      <w:marLeft w:val="0"/>
      <w:marRight w:val="0"/>
      <w:marTop w:val="0"/>
      <w:marBottom w:val="0"/>
      <w:divBdr>
        <w:top w:val="none" w:sz="0" w:space="0" w:color="auto"/>
        <w:left w:val="none" w:sz="0" w:space="0" w:color="auto"/>
        <w:bottom w:val="none" w:sz="0" w:space="0" w:color="auto"/>
        <w:right w:val="none" w:sz="0" w:space="0" w:color="auto"/>
      </w:divBdr>
    </w:div>
    <w:div w:id="1078673203">
      <w:bodyDiv w:val="1"/>
      <w:marLeft w:val="0"/>
      <w:marRight w:val="0"/>
      <w:marTop w:val="0"/>
      <w:marBottom w:val="0"/>
      <w:divBdr>
        <w:top w:val="none" w:sz="0" w:space="0" w:color="auto"/>
        <w:left w:val="none" w:sz="0" w:space="0" w:color="auto"/>
        <w:bottom w:val="none" w:sz="0" w:space="0" w:color="auto"/>
        <w:right w:val="none" w:sz="0" w:space="0" w:color="auto"/>
      </w:divBdr>
    </w:div>
    <w:div w:id="1078793998">
      <w:bodyDiv w:val="1"/>
      <w:marLeft w:val="0"/>
      <w:marRight w:val="0"/>
      <w:marTop w:val="0"/>
      <w:marBottom w:val="0"/>
      <w:divBdr>
        <w:top w:val="none" w:sz="0" w:space="0" w:color="auto"/>
        <w:left w:val="none" w:sz="0" w:space="0" w:color="auto"/>
        <w:bottom w:val="none" w:sz="0" w:space="0" w:color="auto"/>
        <w:right w:val="none" w:sz="0" w:space="0" w:color="auto"/>
      </w:divBdr>
    </w:div>
    <w:div w:id="1078820310">
      <w:bodyDiv w:val="1"/>
      <w:marLeft w:val="0"/>
      <w:marRight w:val="0"/>
      <w:marTop w:val="0"/>
      <w:marBottom w:val="0"/>
      <w:divBdr>
        <w:top w:val="none" w:sz="0" w:space="0" w:color="auto"/>
        <w:left w:val="none" w:sz="0" w:space="0" w:color="auto"/>
        <w:bottom w:val="none" w:sz="0" w:space="0" w:color="auto"/>
        <w:right w:val="none" w:sz="0" w:space="0" w:color="auto"/>
      </w:divBdr>
    </w:div>
    <w:div w:id="1079059066">
      <w:bodyDiv w:val="1"/>
      <w:marLeft w:val="0"/>
      <w:marRight w:val="0"/>
      <w:marTop w:val="0"/>
      <w:marBottom w:val="0"/>
      <w:divBdr>
        <w:top w:val="none" w:sz="0" w:space="0" w:color="auto"/>
        <w:left w:val="none" w:sz="0" w:space="0" w:color="auto"/>
        <w:bottom w:val="none" w:sz="0" w:space="0" w:color="auto"/>
        <w:right w:val="none" w:sz="0" w:space="0" w:color="auto"/>
      </w:divBdr>
    </w:div>
    <w:div w:id="1080102036">
      <w:bodyDiv w:val="1"/>
      <w:marLeft w:val="0"/>
      <w:marRight w:val="0"/>
      <w:marTop w:val="0"/>
      <w:marBottom w:val="0"/>
      <w:divBdr>
        <w:top w:val="none" w:sz="0" w:space="0" w:color="auto"/>
        <w:left w:val="none" w:sz="0" w:space="0" w:color="auto"/>
        <w:bottom w:val="none" w:sz="0" w:space="0" w:color="auto"/>
        <w:right w:val="none" w:sz="0" w:space="0" w:color="auto"/>
      </w:divBdr>
    </w:div>
    <w:div w:id="1080102591">
      <w:bodyDiv w:val="1"/>
      <w:marLeft w:val="0"/>
      <w:marRight w:val="0"/>
      <w:marTop w:val="0"/>
      <w:marBottom w:val="0"/>
      <w:divBdr>
        <w:top w:val="none" w:sz="0" w:space="0" w:color="auto"/>
        <w:left w:val="none" w:sz="0" w:space="0" w:color="auto"/>
        <w:bottom w:val="none" w:sz="0" w:space="0" w:color="auto"/>
        <w:right w:val="none" w:sz="0" w:space="0" w:color="auto"/>
      </w:divBdr>
    </w:div>
    <w:div w:id="1080635222">
      <w:bodyDiv w:val="1"/>
      <w:marLeft w:val="0"/>
      <w:marRight w:val="0"/>
      <w:marTop w:val="0"/>
      <w:marBottom w:val="0"/>
      <w:divBdr>
        <w:top w:val="none" w:sz="0" w:space="0" w:color="auto"/>
        <w:left w:val="none" w:sz="0" w:space="0" w:color="auto"/>
        <w:bottom w:val="none" w:sz="0" w:space="0" w:color="auto"/>
        <w:right w:val="none" w:sz="0" w:space="0" w:color="auto"/>
      </w:divBdr>
    </w:div>
    <w:div w:id="1080834654">
      <w:bodyDiv w:val="1"/>
      <w:marLeft w:val="0"/>
      <w:marRight w:val="0"/>
      <w:marTop w:val="0"/>
      <w:marBottom w:val="0"/>
      <w:divBdr>
        <w:top w:val="none" w:sz="0" w:space="0" w:color="auto"/>
        <w:left w:val="none" w:sz="0" w:space="0" w:color="auto"/>
        <w:bottom w:val="none" w:sz="0" w:space="0" w:color="auto"/>
        <w:right w:val="none" w:sz="0" w:space="0" w:color="auto"/>
      </w:divBdr>
    </w:div>
    <w:div w:id="1081020786">
      <w:bodyDiv w:val="1"/>
      <w:marLeft w:val="0"/>
      <w:marRight w:val="0"/>
      <w:marTop w:val="0"/>
      <w:marBottom w:val="0"/>
      <w:divBdr>
        <w:top w:val="none" w:sz="0" w:space="0" w:color="auto"/>
        <w:left w:val="none" w:sz="0" w:space="0" w:color="auto"/>
        <w:bottom w:val="none" w:sz="0" w:space="0" w:color="auto"/>
        <w:right w:val="none" w:sz="0" w:space="0" w:color="auto"/>
      </w:divBdr>
    </w:div>
    <w:div w:id="1081102977">
      <w:bodyDiv w:val="1"/>
      <w:marLeft w:val="0"/>
      <w:marRight w:val="0"/>
      <w:marTop w:val="0"/>
      <w:marBottom w:val="0"/>
      <w:divBdr>
        <w:top w:val="none" w:sz="0" w:space="0" w:color="auto"/>
        <w:left w:val="none" w:sz="0" w:space="0" w:color="auto"/>
        <w:bottom w:val="none" w:sz="0" w:space="0" w:color="auto"/>
        <w:right w:val="none" w:sz="0" w:space="0" w:color="auto"/>
      </w:divBdr>
    </w:div>
    <w:div w:id="1081871211">
      <w:bodyDiv w:val="1"/>
      <w:marLeft w:val="0"/>
      <w:marRight w:val="0"/>
      <w:marTop w:val="0"/>
      <w:marBottom w:val="0"/>
      <w:divBdr>
        <w:top w:val="none" w:sz="0" w:space="0" w:color="auto"/>
        <w:left w:val="none" w:sz="0" w:space="0" w:color="auto"/>
        <w:bottom w:val="none" w:sz="0" w:space="0" w:color="auto"/>
        <w:right w:val="none" w:sz="0" w:space="0" w:color="auto"/>
      </w:divBdr>
    </w:div>
    <w:div w:id="1081874872">
      <w:bodyDiv w:val="1"/>
      <w:marLeft w:val="0"/>
      <w:marRight w:val="0"/>
      <w:marTop w:val="0"/>
      <w:marBottom w:val="0"/>
      <w:divBdr>
        <w:top w:val="none" w:sz="0" w:space="0" w:color="auto"/>
        <w:left w:val="none" w:sz="0" w:space="0" w:color="auto"/>
        <w:bottom w:val="none" w:sz="0" w:space="0" w:color="auto"/>
        <w:right w:val="none" w:sz="0" w:space="0" w:color="auto"/>
      </w:divBdr>
    </w:div>
    <w:div w:id="1081945595">
      <w:bodyDiv w:val="1"/>
      <w:marLeft w:val="0"/>
      <w:marRight w:val="0"/>
      <w:marTop w:val="0"/>
      <w:marBottom w:val="0"/>
      <w:divBdr>
        <w:top w:val="none" w:sz="0" w:space="0" w:color="auto"/>
        <w:left w:val="none" w:sz="0" w:space="0" w:color="auto"/>
        <w:bottom w:val="none" w:sz="0" w:space="0" w:color="auto"/>
        <w:right w:val="none" w:sz="0" w:space="0" w:color="auto"/>
      </w:divBdr>
    </w:div>
    <w:div w:id="1082021976">
      <w:bodyDiv w:val="1"/>
      <w:marLeft w:val="0"/>
      <w:marRight w:val="0"/>
      <w:marTop w:val="0"/>
      <w:marBottom w:val="0"/>
      <w:divBdr>
        <w:top w:val="none" w:sz="0" w:space="0" w:color="auto"/>
        <w:left w:val="none" w:sz="0" w:space="0" w:color="auto"/>
        <w:bottom w:val="none" w:sz="0" w:space="0" w:color="auto"/>
        <w:right w:val="none" w:sz="0" w:space="0" w:color="auto"/>
      </w:divBdr>
    </w:div>
    <w:div w:id="1082066509">
      <w:bodyDiv w:val="1"/>
      <w:marLeft w:val="0"/>
      <w:marRight w:val="0"/>
      <w:marTop w:val="0"/>
      <w:marBottom w:val="0"/>
      <w:divBdr>
        <w:top w:val="none" w:sz="0" w:space="0" w:color="auto"/>
        <w:left w:val="none" w:sz="0" w:space="0" w:color="auto"/>
        <w:bottom w:val="none" w:sz="0" w:space="0" w:color="auto"/>
        <w:right w:val="none" w:sz="0" w:space="0" w:color="auto"/>
      </w:divBdr>
    </w:div>
    <w:div w:id="1082488459">
      <w:bodyDiv w:val="1"/>
      <w:marLeft w:val="0"/>
      <w:marRight w:val="0"/>
      <w:marTop w:val="0"/>
      <w:marBottom w:val="0"/>
      <w:divBdr>
        <w:top w:val="none" w:sz="0" w:space="0" w:color="auto"/>
        <w:left w:val="none" w:sz="0" w:space="0" w:color="auto"/>
        <w:bottom w:val="none" w:sz="0" w:space="0" w:color="auto"/>
        <w:right w:val="none" w:sz="0" w:space="0" w:color="auto"/>
      </w:divBdr>
    </w:div>
    <w:div w:id="1083380171">
      <w:bodyDiv w:val="1"/>
      <w:marLeft w:val="0"/>
      <w:marRight w:val="0"/>
      <w:marTop w:val="0"/>
      <w:marBottom w:val="0"/>
      <w:divBdr>
        <w:top w:val="none" w:sz="0" w:space="0" w:color="auto"/>
        <w:left w:val="none" w:sz="0" w:space="0" w:color="auto"/>
        <w:bottom w:val="none" w:sz="0" w:space="0" w:color="auto"/>
        <w:right w:val="none" w:sz="0" w:space="0" w:color="auto"/>
      </w:divBdr>
    </w:div>
    <w:div w:id="1084230162">
      <w:bodyDiv w:val="1"/>
      <w:marLeft w:val="0"/>
      <w:marRight w:val="0"/>
      <w:marTop w:val="0"/>
      <w:marBottom w:val="0"/>
      <w:divBdr>
        <w:top w:val="none" w:sz="0" w:space="0" w:color="auto"/>
        <w:left w:val="none" w:sz="0" w:space="0" w:color="auto"/>
        <w:bottom w:val="none" w:sz="0" w:space="0" w:color="auto"/>
        <w:right w:val="none" w:sz="0" w:space="0" w:color="auto"/>
      </w:divBdr>
    </w:div>
    <w:div w:id="1085150581">
      <w:bodyDiv w:val="1"/>
      <w:marLeft w:val="0"/>
      <w:marRight w:val="0"/>
      <w:marTop w:val="0"/>
      <w:marBottom w:val="0"/>
      <w:divBdr>
        <w:top w:val="none" w:sz="0" w:space="0" w:color="auto"/>
        <w:left w:val="none" w:sz="0" w:space="0" w:color="auto"/>
        <w:bottom w:val="none" w:sz="0" w:space="0" w:color="auto"/>
        <w:right w:val="none" w:sz="0" w:space="0" w:color="auto"/>
      </w:divBdr>
    </w:div>
    <w:div w:id="1085566335">
      <w:bodyDiv w:val="1"/>
      <w:marLeft w:val="0"/>
      <w:marRight w:val="0"/>
      <w:marTop w:val="0"/>
      <w:marBottom w:val="0"/>
      <w:divBdr>
        <w:top w:val="none" w:sz="0" w:space="0" w:color="auto"/>
        <w:left w:val="none" w:sz="0" w:space="0" w:color="auto"/>
        <w:bottom w:val="none" w:sz="0" w:space="0" w:color="auto"/>
        <w:right w:val="none" w:sz="0" w:space="0" w:color="auto"/>
      </w:divBdr>
    </w:div>
    <w:div w:id="1085764254">
      <w:bodyDiv w:val="1"/>
      <w:marLeft w:val="0"/>
      <w:marRight w:val="0"/>
      <w:marTop w:val="0"/>
      <w:marBottom w:val="0"/>
      <w:divBdr>
        <w:top w:val="none" w:sz="0" w:space="0" w:color="auto"/>
        <w:left w:val="none" w:sz="0" w:space="0" w:color="auto"/>
        <w:bottom w:val="none" w:sz="0" w:space="0" w:color="auto"/>
        <w:right w:val="none" w:sz="0" w:space="0" w:color="auto"/>
      </w:divBdr>
    </w:div>
    <w:div w:id="1086003117">
      <w:bodyDiv w:val="1"/>
      <w:marLeft w:val="0"/>
      <w:marRight w:val="0"/>
      <w:marTop w:val="0"/>
      <w:marBottom w:val="0"/>
      <w:divBdr>
        <w:top w:val="none" w:sz="0" w:space="0" w:color="auto"/>
        <w:left w:val="none" w:sz="0" w:space="0" w:color="auto"/>
        <w:bottom w:val="none" w:sz="0" w:space="0" w:color="auto"/>
        <w:right w:val="none" w:sz="0" w:space="0" w:color="auto"/>
      </w:divBdr>
    </w:div>
    <w:div w:id="1087582481">
      <w:bodyDiv w:val="1"/>
      <w:marLeft w:val="0"/>
      <w:marRight w:val="0"/>
      <w:marTop w:val="0"/>
      <w:marBottom w:val="0"/>
      <w:divBdr>
        <w:top w:val="none" w:sz="0" w:space="0" w:color="auto"/>
        <w:left w:val="none" w:sz="0" w:space="0" w:color="auto"/>
        <w:bottom w:val="none" w:sz="0" w:space="0" w:color="auto"/>
        <w:right w:val="none" w:sz="0" w:space="0" w:color="auto"/>
      </w:divBdr>
    </w:div>
    <w:div w:id="1087652878">
      <w:bodyDiv w:val="1"/>
      <w:marLeft w:val="0"/>
      <w:marRight w:val="0"/>
      <w:marTop w:val="0"/>
      <w:marBottom w:val="0"/>
      <w:divBdr>
        <w:top w:val="none" w:sz="0" w:space="0" w:color="auto"/>
        <w:left w:val="none" w:sz="0" w:space="0" w:color="auto"/>
        <w:bottom w:val="none" w:sz="0" w:space="0" w:color="auto"/>
        <w:right w:val="none" w:sz="0" w:space="0" w:color="auto"/>
      </w:divBdr>
    </w:div>
    <w:div w:id="1087728607">
      <w:bodyDiv w:val="1"/>
      <w:marLeft w:val="0"/>
      <w:marRight w:val="0"/>
      <w:marTop w:val="0"/>
      <w:marBottom w:val="0"/>
      <w:divBdr>
        <w:top w:val="none" w:sz="0" w:space="0" w:color="auto"/>
        <w:left w:val="none" w:sz="0" w:space="0" w:color="auto"/>
        <w:bottom w:val="none" w:sz="0" w:space="0" w:color="auto"/>
        <w:right w:val="none" w:sz="0" w:space="0" w:color="auto"/>
      </w:divBdr>
    </w:div>
    <w:div w:id="1088035435">
      <w:bodyDiv w:val="1"/>
      <w:marLeft w:val="0"/>
      <w:marRight w:val="0"/>
      <w:marTop w:val="0"/>
      <w:marBottom w:val="0"/>
      <w:divBdr>
        <w:top w:val="none" w:sz="0" w:space="0" w:color="auto"/>
        <w:left w:val="none" w:sz="0" w:space="0" w:color="auto"/>
        <w:bottom w:val="none" w:sz="0" w:space="0" w:color="auto"/>
        <w:right w:val="none" w:sz="0" w:space="0" w:color="auto"/>
      </w:divBdr>
    </w:div>
    <w:div w:id="1088380193">
      <w:bodyDiv w:val="1"/>
      <w:marLeft w:val="0"/>
      <w:marRight w:val="0"/>
      <w:marTop w:val="0"/>
      <w:marBottom w:val="0"/>
      <w:divBdr>
        <w:top w:val="none" w:sz="0" w:space="0" w:color="auto"/>
        <w:left w:val="none" w:sz="0" w:space="0" w:color="auto"/>
        <w:bottom w:val="none" w:sz="0" w:space="0" w:color="auto"/>
        <w:right w:val="none" w:sz="0" w:space="0" w:color="auto"/>
      </w:divBdr>
    </w:div>
    <w:div w:id="1089082249">
      <w:bodyDiv w:val="1"/>
      <w:marLeft w:val="0"/>
      <w:marRight w:val="0"/>
      <w:marTop w:val="0"/>
      <w:marBottom w:val="0"/>
      <w:divBdr>
        <w:top w:val="none" w:sz="0" w:space="0" w:color="auto"/>
        <w:left w:val="none" w:sz="0" w:space="0" w:color="auto"/>
        <w:bottom w:val="none" w:sz="0" w:space="0" w:color="auto"/>
        <w:right w:val="none" w:sz="0" w:space="0" w:color="auto"/>
      </w:divBdr>
    </w:div>
    <w:div w:id="1089885254">
      <w:bodyDiv w:val="1"/>
      <w:marLeft w:val="0"/>
      <w:marRight w:val="0"/>
      <w:marTop w:val="0"/>
      <w:marBottom w:val="0"/>
      <w:divBdr>
        <w:top w:val="none" w:sz="0" w:space="0" w:color="auto"/>
        <w:left w:val="none" w:sz="0" w:space="0" w:color="auto"/>
        <w:bottom w:val="none" w:sz="0" w:space="0" w:color="auto"/>
        <w:right w:val="none" w:sz="0" w:space="0" w:color="auto"/>
      </w:divBdr>
    </w:div>
    <w:div w:id="1089888333">
      <w:bodyDiv w:val="1"/>
      <w:marLeft w:val="0"/>
      <w:marRight w:val="0"/>
      <w:marTop w:val="0"/>
      <w:marBottom w:val="0"/>
      <w:divBdr>
        <w:top w:val="none" w:sz="0" w:space="0" w:color="auto"/>
        <w:left w:val="none" w:sz="0" w:space="0" w:color="auto"/>
        <w:bottom w:val="none" w:sz="0" w:space="0" w:color="auto"/>
        <w:right w:val="none" w:sz="0" w:space="0" w:color="auto"/>
      </w:divBdr>
    </w:div>
    <w:div w:id="1090083644">
      <w:bodyDiv w:val="1"/>
      <w:marLeft w:val="0"/>
      <w:marRight w:val="0"/>
      <w:marTop w:val="0"/>
      <w:marBottom w:val="0"/>
      <w:divBdr>
        <w:top w:val="none" w:sz="0" w:space="0" w:color="auto"/>
        <w:left w:val="none" w:sz="0" w:space="0" w:color="auto"/>
        <w:bottom w:val="none" w:sz="0" w:space="0" w:color="auto"/>
        <w:right w:val="none" w:sz="0" w:space="0" w:color="auto"/>
      </w:divBdr>
    </w:div>
    <w:div w:id="1090085069">
      <w:bodyDiv w:val="1"/>
      <w:marLeft w:val="0"/>
      <w:marRight w:val="0"/>
      <w:marTop w:val="0"/>
      <w:marBottom w:val="0"/>
      <w:divBdr>
        <w:top w:val="none" w:sz="0" w:space="0" w:color="auto"/>
        <w:left w:val="none" w:sz="0" w:space="0" w:color="auto"/>
        <w:bottom w:val="none" w:sz="0" w:space="0" w:color="auto"/>
        <w:right w:val="none" w:sz="0" w:space="0" w:color="auto"/>
      </w:divBdr>
    </w:div>
    <w:div w:id="1090270163">
      <w:bodyDiv w:val="1"/>
      <w:marLeft w:val="0"/>
      <w:marRight w:val="0"/>
      <w:marTop w:val="0"/>
      <w:marBottom w:val="0"/>
      <w:divBdr>
        <w:top w:val="none" w:sz="0" w:space="0" w:color="auto"/>
        <w:left w:val="none" w:sz="0" w:space="0" w:color="auto"/>
        <w:bottom w:val="none" w:sz="0" w:space="0" w:color="auto"/>
        <w:right w:val="none" w:sz="0" w:space="0" w:color="auto"/>
      </w:divBdr>
    </w:div>
    <w:div w:id="1091468472">
      <w:bodyDiv w:val="1"/>
      <w:marLeft w:val="0"/>
      <w:marRight w:val="0"/>
      <w:marTop w:val="0"/>
      <w:marBottom w:val="0"/>
      <w:divBdr>
        <w:top w:val="none" w:sz="0" w:space="0" w:color="auto"/>
        <w:left w:val="none" w:sz="0" w:space="0" w:color="auto"/>
        <w:bottom w:val="none" w:sz="0" w:space="0" w:color="auto"/>
        <w:right w:val="none" w:sz="0" w:space="0" w:color="auto"/>
      </w:divBdr>
    </w:div>
    <w:div w:id="1091855067">
      <w:bodyDiv w:val="1"/>
      <w:marLeft w:val="0"/>
      <w:marRight w:val="0"/>
      <w:marTop w:val="0"/>
      <w:marBottom w:val="0"/>
      <w:divBdr>
        <w:top w:val="none" w:sz="0" w:space="0" w:color="auto"/>
        <w:left w:val="none" w:sz="0" w:space="0" w:color="auto"/>
        <w:bottom w:val="none" w:sz="0" w:space="0" w:color="auto"/>
        <w:right w:val="none" w:sz="0" w:space="0" w:color="auto"/>
      </w:divBdr>
    </w:div>
    <w:div w:id="1093084528">
      <w:bodyDiv w:val="1"/>
      <w:marLeft w:val="0"/>
      <w:marRight w:val="0"/>
      <w:marTop w:val="0"/>
      <w:marBottom w:val="0"/>
      <w:divBdr>
        <w:top w:val="none" w:sz="0" w:space="0" w:color="auto"/>
        <w:left w:val="none" w:sz="0" w:space="0" w:color="auto"/>
        <w:bottom w:val="none" w:sz="0" w:space="0" w:color="auto"/>
        <w:right w:val="none" w:sz="0" w:space="0" w:color="auto"/>
      </w:divBdr>
    </w:div>
    <w:div w:id="10934325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3893505">
      <w:bodyDiv w:val="1"/>
      <w:marLeft w:val="0"/>
      <w:marRight w:val="0"/>
      <w:marTop w:val="0"/>
      <w:marBottom w:val="0"/>
      <w:divBdr>
        <w:top w:val="none" w:sz="0" w:space="0" w:color="auto"/>
        <w:left w:val="none" w:sz="0" w:space="0" w:color="auto"/>
        <w:bottom w:val="none" w:sz="0" w:space="0" w:color="auto"/>
        <w:right w:val="none" w:sz="0" w:space="0" w:color="auto"/>
      </w:divBdr>
    </w:div>
    <w:div w:id="1094009776">
      <w:bodyDiv w:val="1"/>
      <w:marLeft w:val="0"/>
      <w:marRight w:val="0"/>
      <w:marTop w:val="0"/>
      <w:marBottom w:val="0"/>
      <w:divBdr>
        <w:top w:val="none" w:sz="0" w:space="0" w:color="auto"/>
        <w:left w:val="none" w:sz="0" w:space="0" w:color="auto"/>
        <w:bottom w:val="none" w:sz="0" w:space="0" w:color="auto"/>
        <w:right w:val="none" w:sz="0" w:space="0" w:color="auto"/>
      </w:divBdr>
    </w:div>
    <w:div w:id="1094011844">
      <w:bodyDiv w:val="1"/>
      <w:marLeft w:val="0"/>
      <w:marRight w:val="0"/>
      <w:marTop w:val="0"/>
      <w:marBottom w:val="0"/>
      <w:divBdr>
        <w:top w:val="none" w:sz="0" w:space="0" w:color="auto"/>
        <w:left w:val="none" w:sz="0" w:space="0" w:color="auto"/>
        <w:bottom w:val="none" w:sz="0" w:space="0" w:color="auto"/>
        <w:right w:val="none" w:sz="0" w:space="0" w:color="auto"/>
      </w:divBdr>
    </w:div>
    <w:div w:id="1094130052">
      <w:bodyDiv w:val="1"/>
      <w:marLeft w:val="0"/>
      <w:marRight w:val="0"/>
      <w:marTop w:val="0"/>
      <w:marBottom w:val="0"/>
      <w:divBdr>
        <w:top w:val="none" w:sz="0" w:space="0" w:color="auto"/>
        <w:left w:val="none" w:sz="0" w:space="0" w:color="auto"/>
        <w:bottom w:val="none" w:sz="0" w:space="0" w:color="auto"/>
        <w:right w:val="none" w:sz="0" w:space="0" w:color="auto"/>
      </w:divBdr>
    </w:div>
    <w:div w:id="1094209065">
      <w:bodyDiv w:val="1"/>
      <w:marLeft w:val="0"/>
      <w:marRight w:val="0"/>
      <w:marTop w:val="0"/>
      <w:marBottom w:val="0"/>
      <w:divBdr>
        <w:top w:val="none" w:sz="0" w:space="0" w:color="auto"/>
        <w:left w:val="none" w:sz="0" w:space="0" w:color="auto"/>
        <w:bottom w:val="none" w:sz="0" w:space="0" w:color="auto"/>
        <w:right w:val="none" w:sz="0" w:space="0" w:color="auto"/>
      </w:divBdr>
    </w:div>
    <w:div w:id="1094398117">
      <w:bodyDiv w:val="1"/>
      <w:marLeft w:val="0"/>
      <w:marRight w:val="0"/>
      <w:marTop w:val="0"/>
      <w:marBottom w:val="0"/>
      <w:divBdr>
        <w:top w:val="none" w:sz="0" w:space="0" w:color="auto"/>
        <w:left w:val="none" w:sz="0" w:space="0" w:color="auto"/>
        <w:bottom w:val="none" w:sz="0" w:space="0" w:color="auto"/>
        <w:right w:val="none" w:sz="0" w:space="0" w:color="auto"/>
      </w:divBdr>
    </w:div>
    <w:div w:id="1094938088">
      <w:bodyDiv w:val="1"/>
      <w:marLeft w:val="0"/>
      <w:marRight w:val="0"/>
      <w:marTop w:val="0"/>
      <w:marBottom w:val="0"/>
      <w:divBdr>
        <w:top w:val="none" w:sz="0" w:space="0" w:color="auto"/>
        <w:left w:val="none" w:sz="0" w:space="0" w:color="auto"/>
        <w:bottom w:val="none" w:sz="0" w:space="0" w:color="auto"/>
        <w:right w:val="none" w:sz="0" w:space="0" w:color="auto"/>
      </w:divBdr>
    </w:div>
    <w:div w:id="1094938390">
      <w:bodyDiv w:val="1"/>
      <w:marLeft w:val="0"/>
      <w:marRight w:val="0"/>
      <w:marTop w:val="0"/>
      <w:marBottom w:val="0"/>
      <w:divBdr>
        <w:top w:val="none" w:sz="0" w:space="0" w:color="auto"/>
        <w:left w:val="none" w:sz="0" w:space="0" w:color="auto"/>
        <w:bottom w:val="none" w:sz="0" w:space="0" w:color="auto"/>
        <w:right w:val="none" w:sz="0" w:space="0" w:color="auto"/>
      </w:divBdr>
    </w:div>
    <w:div w:id="1095176603">
      <w:bodyDiv w:val="1"/>
      <w:marLeft w:val="0"/>
      <w:marRight w:val="0"/>
      <w:marTop w:val="0"/>
      <w:marBottom w:val="0"/>
      <w:divBdr>
        <w:top w:val="none" w:sz="0" w:space="0" w:color="auto"/>
        <w:left w:val="none" w:sz="0" w:space="0" w:color="auto"/>
        <w:bottom w:val="none" w:sz="0" w:space="0" w:color="auto"/>
        <w:right w:val="none" w:sz="0" w:space="0" w:color="auto"/>
      </w:divBdr>
    </w:div>
    <w:div w:id="1096173332">
      <w:bodyDiv w:val="1"/>
      <w:marLeft w:val="0"/>
      <w:marRight w:val="0"/>
      <w:marTop w:val="0"/>
      <w:marBottom w:val="0"/>
      <w:divBdr>
        <w:top w:val="none" w:sz="0" w:space="0" w:color="auto"/>
        <w:left w:val="none" w:sz="0" w:space="0" w:color="auto"/>
        <w:bottom w:val="none" w:sz="0" w:space="0" w:color="auto"/>
        <w:right w:val="none" w:sz="0" w:space="0" w:color="auto"/>
      </w:divBdr>
    </w:div>
    <w:div w:id="1096706838">
      <w:bodyDiv w:val="1"/>
      <w:marLeft w:val="0"/>
      <w:marRight w:val="0"/>
      <w:marTop w:val="0"/>
      <w:marBottom w:val="0"/>
      <w:divBdr>
        <w:top w:val="none" w:sz="0" w:space="0" w:color="auto"/>
        <w:left w:val="none" w:sz="0" w:space="0" w:color="auto"/>
        <w:bottom w:val="none" w:sz="0" w:space="0" w:color="auto"/>
        <w:right w:val="none" w:sz="0" w:space="0" w:color="auto"/>
      </w:divBdr>
    </w:div>
    <w:div w:id="1096750778">
      <w:bodyDiv w:val="1"/>
      <w:marLeft w:val="0"/>
      <w:marRight w:val="0"/>
      <w:marTop w:val="0"/>
      <w:marBottom w:val="0"/>
      <w:divBdr>
        <w:top w:val="none" w:sz="0" w:space="0" w:color="auto"/>
        <w:left w:val="none" w:sz="0" w:space="0" w:color="auto"/>
        <w:bottom w:val="none" w:sz="0" w:space="0" w:color="auto"/>
        <w:right w:val="none" w:sz="0" w:space="0" w:color="auto"/>
      </w:divBdr>
    </w:div>
    <w:div w:id="1096900774">
      <w:bodyDiv w:val="1"/>
      <w:marLeft w:val="0"/>
      <w:marRight w:val="0"/>
      <w:marTop w:val="0"/>
      <w:marBottom w:val="0"/>
      <w:divBdr>
        <w:top w:val="none" w:sz="0" w:space="0" w:color="auto"/>
        <w:left w:val="none" w:sz="0" w:space="0" w:color="auto"/>
        <w:bottom w:val="none" w:sz="0" w:space="0" w:color="auto"/>
        <w:right w:val="none" w:sz="0" w:space="0" w:color="auto"/>
      </w:divBdr>
    </w:div>
    <w:div w:id="1097872091">
      <w:bodyDiv w:val="1"/>
      <w:marLeft w:val="0"/>
      <w:marRight w:val="0"/>
      <w:marTop w:val="0"/>
      <w:marBottom w:val="0"/>
      <w:divBdr>
        <w:top w:val="none" w:sz="0" w:space="0" w:color="auto"/>
        <w:left w:val="none" w:sz="0" w:space="0" w:color="auto"/>
        <w:bottom w:val="none" w:sz="0" w:space="0" w:color="auto"/>
        <w:right w:val="none" w:sz="0" w:space="0" w:color="auto"/>
      </w:divBdr>
    </w:div>
    <w:div w:id="1098252845">
      <w:bodyDiv w:val="1"/>
      <w:marLeft w:val="0"/>
      <w:marRight w:val="0"/>
      <w:marTop w:val="0"/>
      <w:marBottom w:val="0"/>
      <w:divBdr>
        <w:top w:val="none" w:sz="0" w:space="0" w:color="auto"/>
        <w:left w:val="none" w:sz="0" w:space="0" w:color="auto"/>
        <w:bottom w:val="none" w:sz="0" w:space="0" w:color="auto"/>
        <w:right w:val="none" w:sz="0" w:space="0" w:color="auto"/>
      </w:divBdr>
    </w:div>
    <w:div w:id="1098595654">
      <w:bodyDiv w:val="1"/>
      <w:marLeft w:val="0"/>
      <w:marRight w:val="0"/>
      <w:marTop w:val="0"/>
      <w:marBottom w:val="0"/>
      <w:divBdr>
        <w:top w:val="none" w:sz="0" w:space="0" w:color="auto"/>
        <w:left w:val="none" w:sz="0" w:space="0" w:color="auto"/>
        <w:bottom w:val="none" w:sz="0" w:space="0" w:color="auto"/>
        <w:right w:val="none" w:sz="0" w:space="0" w:color="auto"/>
      </w:divBdr>
    </w:div>
    <w:div w:id="1098712949">
      <w:bodyDiv w:val="1"/>
      <w:marLeft w:val="0"/>
      <w:marRight w:val="0"/>
      <w:marTop w:val="0"/>
      <w:marBottom w:val="0"/>
      <w:divBdr>
        <w:top w:val="none" w:sz="0" w:space="0" w:color="auto"/>
        <w:left w:val="none" w:sz="0" w:space="0" w:color="auto"/>
        <w:bottom w:val="none" w:sz="0" w:space="0" w:color="auto"/>
        <w:right w:val="none" w:sz="0" w:space="0" w:color="auto"/>
      </w:divBdr>
    </w:div>
    <w:div w:id="1098910296">
      <w:bodyDiv w:val="1"/>
      <w:marLeft w:val="0"/>
      <w:marRight w:val="0"/>
      <w:marTop w:val="0"/>
      <w:marBottom w:val="0"/>
      <w:divBdr>
        <w:top w:val="none" w:sz="0" w:space="0" w:color="auto"/>
        <w:left w:val="none" w:sz="0" w:space="0" w:color="auto"/>
        <w:bottom w:val="none" w:sz="0" w:space="0" w:color="auto"/>
        <w:right w:val="none" w:sz="0" w:space="0" w:color="auto"/>
      </w:divBdr>
    </w:div>
    <w:div w:id="1099369183">
      <w:bodyDiv w:val="1"/>
      <w:marLeft w:val="0"/>
      <w:marRight w:val="0"/>
      <w:marTop w:val="0"/>
      <w:marBottom w:val="0"/>
      <w:divBdr>
        <w:top w:val="none" w:sz="0" w:space="0" w:color="auto"/>
        <w:left w:val="none" w:sz="0" w:space="0" w:color="auto"/>
        <w:bottom w:val="none" w:sz="0" w:space="0" w:color="auto"/>
        <w:right w:val="none" w:sz="0" w:space="0" w:color="auto"/>
      </w:divBdr>
    </w:div>
    <w:div w:id="1100179359">
      <w:bodyDiv w:val="1"/>
      <w:marLeft w:val="0"/>
      <w:marRight w:val="0"/>
      <w:marTop w:val="0"/>
      <w:marBottom w:val="0"/>
      <w:divBdr>
        <w:top w:val="none" w:sz="0" w:space="0" w:color="auto"/>
        <w:left w:val="none" w:sz="0" w:space="0" w:color="auto"/>
        <w:bottom w:val="none" w:sz="0" w:space="0" w:color="auto"/>
        <w:right w:val="none" w:sz="0" w:space="0" w:color="auto"/>
      </w:divBdr>
    </w:div>
    <w:div w:id="1100182561">
      <w:bodyDiv w:val="1"/>
      <w:marLeft w:val="0"/>
      <w:marRight w:val="0"/>
      <w:marTop w:val="0"/>
      <w:marBottom w:val="0"/>
      <w:divBdr>
        <w:top w:val="none" w:sz="0" w:space="0" w:color="auto"/>
        <w:left w:val="none" w:sz="0" w:space="0" w:color="auto"/>
        <w:bottom w:val="none" w:sz="0" w:space="0" w:color="auto"/>
        <w:right w:val="none" w:sz="0" w:space="0" w:color="auto"/>
      </w:divBdr>
    </w:div>
    <w:div w:id="1100491937">
      <w:bodyDiv w:val="1"/>
      <w:marLeft w:val="0"/>
      <w:marRight w:val="0"/>
      <w:marTop w:val="0"/>
      <w:marBottom w:val="0"/>
      <w:divBdr>
        <w:top w:val="none" w:sz="0" w:space="0" w:color="auto"/>
        <w:left w:val="none" w:sz="0" w:space="0" w:color="auto"/>
        <w:bottom w:val="none" w:sz="0" w:space="0" w:color="auto"/>
        <w:right w:val="none" w:sz="0" w:space="0" w:color="auto"/>
      </w:divBdr>
    </w:div>
    <w:div w:id="1100680333">
      <w:bodyDiv w:val="1"/>
      <w:marLeft w:val="0"/>
      <w:marRight w:val="0"/>
      <w:marTop w:val="0"/>
      <w:marBottom w:val="0"/>
      <w:divBdr>
        <w:top w:val="none" w:sz="0" w:space="0" w:color="auto"/>
        <w:left w:val="none" w:sz="0" w:space="0" w:color="auto"/>
        <w:bottom w:val="none" w:sz="0" w:space="0" w:color="auto"/>
        <w:right w:val="none" w:sz="0" w:space="0" w:color="auto"/>
      </w:divBdr>
    </w:div>
    <w:div w:id="1100684762">
      <w:bodyDiv w:val="1"/>
      <w:marLeft w:val="0"/>
      <w:marRight w:val="0"/>
      <w:marTop w:val="0"/>
      <w:marBottom w:val="0"/>
      <w:divBdr>
        <w:top w:val="none" w:sz="0" w:space="0" w:color="auto"/>
        <w:left w:val="none" w:sz="0" w:space="0" w:color="auto"/>
        <w:bottom w:val="none" w:sz="0" w:space="0" w:color="auto"/>
        <w:right w:val="none" w:sz="0" w:space="0" w:color="auto"/>
      </w:divBdr>
    </w:div>
    <w:div w:id="1101416525">
      <w:bodyDiv w:val="1"/>
      <w:marLeft w:val="0"/>
      <w:marRight w:val="0"/>
      <w:marTop w:val="0"/>
      <w:marBottom w:val="0"/>
      <w:divBdr>
        <w:top w:val="none" w:sz="0" w:space="0" w:color="auto"/>
        <w:left w:val="none" w:sz="0" w:space="0" w:color="auto"/>
        <w:bottom w:val="none" w:sz="0" w:space="0" w:color="auto"/>
        <w:right w:val="none" w:sz="0" w:space="0" w:color="auto"/>
      </w:divBdr>
    </w:div>
    <w:div w:id="1101954261">
      <w:bodyDiv w:val="1"/>
      <w:marLeft w:val="0"/>
      <w:marRight w:val="0"/>
      <w:marTop w:val="0"/>
      <w:marBottom w:val="0"/>
      <w:divBdr>
        <w:top w:val="none" w:sz="0" w:space="0" w:color="auto"/>
        <w:left w:val="none" w:sz="0" w:space="0" w:color="auto"/>
        <w:bottom w:val="none" w:sz="0" w:space="0" w:color="auto"/>
        <w:right w:val="none" w:sz="0" w:space="0" w:color="auto"/>
      </w:divBdr>
    </w:div>
    <w:div w:id="1102342481">
      <w:bodyDiv w:val="1"/>
      <w:marLeft w:val="0"/>
      <w:marRight w:val="0"/>
      <w:marTop w:val="0"/>
      <w:marBottom w:val="0"/>
      <w:divBdr>
        <w:top w:val="none" w:sz="0" w:space="0" w:color="auto"/>
        <w:left w:val="none" w:sz="0" w:space="0" w:color="auto"/>
        <w:bottom w:val="none" w:sz="0" w:space="0" w:color="auto"/>
        <w:right w:val="none" w:sz="0" w:space="0" w:color="auto"/>
      </w:divBdr>
    </w:div>
    <w:div w:id="1102382341">
      <w:bodyDiv w:val="1"/>
      <w:marLeft w:val="0"/>
      <w:marRight w:val="0"/>
      <w:marTop w:val="0"/>
      <w:marBottom w:val="0"/>
      <w:divBdr>
        <w:top w:val="none" w:sz="0" w:space="0" w:color="auto"/>
        <w:left w:val="none" w:sz="0" w:space="0" w:color="auto"/>
        <w:bottom w:val="none" w:sz="0" w:space="0" w:color="auto"/>
        <w:right w:val="none" w:sz="0" w:space="0" w:color="auto"/>
      </w:divBdr>
    </w:div>
    <w:div w:id="1102992585">
      <w:bodyDiv w:val="1"/>
      <w:marLeft w:val="0"/>
      <w:marRight w:val="0"/>
      <w:marTop w:val="0"/>
      <w:marBottom w:val="0"/>
      <w:divBdr>
        <w:top w:val="none" w:sz="0" w:space="0" w:color="auto"/>
        <w:left w:val="none" w:sz="0" w:space="0" w:color="auto"/>
        <w:bottom w:val="none" w:sz="0" w:space="0" w:color="auto"/>
        <w:right w:val="none" w:sz="0" w:space="0" w:color="auto"/>
      </w:divBdr>
    </w:div>
    <w:div w:id="1103257810">
      <w:bodyDiv w:val="1"/>
      <w:marLeft w:val="0"/>
      <w:marRight w:val="0"/>
      <w:marTop w:val="0"/>
      <w:marBottom w:val="0"/>
      <w:divBdr>
        <w:top w:val="none" w:sz="0" w:space="0" w:color="auto"/>
        <w:left w:val="none" w:sz="0" w:space="0" w:color="auto"/>
        <w:bottom w:val="none" w:sz="0" w:space="0" w:color="auto"/>
        <w:right w:val="none" w:sz="0" w:space="0" w:color="auto"/>
      </w:divBdr>
    </w:div>
    <w:div w:id="1104113472">
      <w:bodyDiv w:val="1"/>
      <w:marLeft w:val="0"/>
      <w:marRight w:val="0"/>
      <w:marTop w:val="0"/>
      <w:marBottom w:val="0"/>
      <w:divBdr>
        <w:top w:val="none" w:sz="0" w:space="0" w:color="auto"/>
        <w:left w:val="none" w:sz="0" w:space="0" w:color="auto"/>
        <w:bottom w:val="none" w:sz="0" w:space="0" w:color="auto"/>
        <w:right w:val="none" w:sz="0" w:space="0" w:color="auto"/>
      </w:divBdr>
    </w:div>
    <w:div w:id="1104571672">
      <w:bodyDiv w:val="1"/>
      <w:marLeft w:val="0"/>
      <w:marRight w:val="0"/>
      <w:marTop w:val="0"/>
      <w:marBottom w:val="0"/>
      <w:divBdr>
        <w:top w:val="none" w:sz="0" w:space="0" w:color="auto"/>
        <w:left w:val="none" w:sz="0" w:space="0" w:color="auto"/>
        <w:bottom w:val="none" w:sz="0" w:space="0" w:color="auto"/>
        <w:right w:val="none" w:sz="0" w:space="0" w:color="auto"/>
      </w:divBdr>
    </w:div>
    <w:div w:id="1104879033">
      <w:bodyDiv w:val="1"/>
      <w:marLeft w:val="0"/>
      <w:marRight w:val="0"/>
      <w:marTop w:val="0"/>
      <w:marBottom w:val="0"/>
      <w:divBdr>
        <w:top w:val="none" w:sz="0" w:space="0" w:color="auto"/>
        <w:left w:val="none" w:sz="0" w:space="0" w:color="auto"/>
        <w:bottom w:val="none" w:sz="0" w:space="0" w:color="auto"/>
        <w:right w:val="none" w:sz="0" w:space="0" w:color="auto"/>
      </w:divBdr>
    </w:div>
    <w:div w:id="1105348233">
      <w:bodyDiv w:val="1"/>
      <w:marLeft w:val="0"/>
      <w:marRight w:val="0"/>
      <w:marTop w:val="0"/>
      <w:marBottom w:val="0"/>
      <w:divBdr>
        <w:top w:val="none" w:sz="0" w:space="0" w:color="auto"/>
        <w:left w:val="none" w:sz="0" w:space="0" w:color="auto"/>
        <w:bottom w:val="none" w:sz="0" w:space="0" w:color="auto"/>
        <w:right w:val="none" w:sz="0" w:space="0" w:color="auto"/>
      </w:divBdr>
    </w:div>
    <w:div w:id="1106733617">
      <w:bodyDiv w:val="1"/>
      <w:marLeft w:val="0"/>
      <w:marRight w:val="0"/>
      <w:marTop w:val="0"/>
      <w:marBottom w:val="0"/>
      <w:divBdr>
        <w:top w:val="none" w:sz="0" w:space="0" w:color="auto"/>
        <w:left w:val="none" w:sz="0" w:space="0" w:color="auto"/>
        <w:bottom w:val="none" w:sz="0" w:space="0" w:color="auto"/>
        <w:right w:val="none" w:sz="0" w:space="0" w:color="auto"/>
      </w:divBdr>
    </w:div>
    <w:div w:id="1106777582">
      <w:bodyDiv w:val="1"/>
      <w:marLeft w:val="0"/>
      <w:marRight w:val="0"/>
      <w:marTop w:val="0"/>
      <w:marBottom w:val="0"/>
      <w:divBdr>
        <w:top w:val="none" w:sz="0" w:space="0" w:color="auto"/>
        <w:left w:val="none" w:sz="0" w:space="0" w:color="auto"/>
        <w:bottom w:val="none" w:sz="0" w:space="0" w:color="auto"/>
        <w:right w:val="none" w:sz="0" w:space="0" w:color="auto"/>
      </w:divBdr>
    </w:div>
    <w:div w:id="1106929513">
      <w:bodyDiv w:val="1"/>
      <w:marLeft w:val="0"/>
      <w:marRight w:val="0"/>
      <w:marTop w:val="0"/>
      <w:marBottom w:val="0"/>
      <w:divBdr>
        <w:top w:val="none" w:sz="0" w:space="0" w:color="auto"/>
        <w:left w:val="none" w:sz="0" w:space="0" w:color="auto"/>
        <w:bottom w:val="none" w:sz="0" w:space="0" w:color="auto"/>
        <w:right w:val="none" w:sz="0" w:space="0" w:color="auto"/>
      </w:divBdr>
    </w:div>
    <w:div w:id="1107123197">
      <w:bodyDiv w:val="1"/>
      <w:marLeft w:val="0"/>
      <w:marRight w:val="0"/>
      <w:marTop w:val="0"/>
      <w:marBottom w:val="0"/>
      <w:divBdr>
        <w:top w:val="none" w:sz="0" w:space="0" w:color="auto"/>
        <w:left w:val="none" w:sz="0" w:space="0" w:color="auto"/>
        <w:bottom w:val="none" w:sz="0" w:space="0" w:color="auto"/>
        <w:right w:val="none" w:sz="0" w:space="0" w:color="auto"/>
      </w:divBdr>
    </w:div>
    <w:div w:id="1107232189">
      <w:bodyDiv w:val="1"/>
      <w:marLeft w:val="0"/>
      <w:marRight w:val="0"/>
      <w:marTop w:val="0"/>
      <w:marBottom w:val="0"/>
      <w:divBdr>
        <w:top w:val="none" w:sz="0" w:space="0" w:color="auto"/>
        <w:left w:val="none" w:sz="0" w:space="0" w:color="auto"/>
        <w:bottom w:val="none" w:sz="0" w:space="0" w:color="auto"/>
        <w:right w:val="none" w:sz="0" w:space="0" w:color="auto"/>
      </w:divBdr>
    </w:div>
    <w:div w:id="1107240510">
      <w:bodyDiv w:val="1"/>
      <w:marLeft w:val="0"/>
      <w:marRight w:val="0"/>
      <w:marTop w:val="0"/>
      <w:marBottom w:val="0"/>
      <w:divBdr>
        <w:top w:val="none" w:sz="0" w:space="0" w:color="auto"/>
        <w:left w:val="none" w:sz="0" w:space="0" w:color="auto"/>
        <w:bottom w:val="none" w:sz="0" w:space="0" w:color="auto"/>
        <w:right w:val="none" w:sz="0" w:space="0" w:color="auto"/>
      </w:divBdr>
    </w:div>
    <w:div w:id="1107651523">
      <w:bodyDiv w:val="1"/>
      <w:marLeft w:val="0"/>
      <w:marRight w:val="0"/>
      <w:marTop w:val="0"/>
      <w:marBottom w:val="0"/>
      <w:divBdr>
        <w:top w:val="none" w:sz="0" w:space="0" w:color="auto"/>
        <w:left w:val="none" w:sz="0" w:space="0" w:color="auto"/>
        <w:bottom w:val="none" w:sz="0" w:space="0" w:color="auto"/>
        <w:right w:val="none" w:sz="0" w:space="0" w:color="auto"/>
      </w:divBdr>
    </w:div>
    <w:div w:id="1107844581">
      <w:bodyDiv w:val="1"/>
      <w:marLeft w:val="0"/>
      <w:marRight w:val="0"/>
      <w:marTop w:val="0"/>
      <w:marBottom w:val="0"/>
      <w:divBdr>
        <w:top w:val="none" w:sz="0" w:space="0" w:color="auto"/>
        <w:left w:val="none" w:sz="0" w:space="0" w:color="auto"/>
        <w:bottom w:val="none" w:sz="0" w:space="0" w:color="auto"/>
        <w:right w:val="none" w:sz="0" w:space="0" w:color="auto"/>
      </w:divBdr>
    </w:div>
    <w:div w:id="1108164378">
      <w:bodyDiv w:val="1"/>
      <w:marLeft w:val="0"/>
      <w:marRight w:val="0"/>
      <w:marTop w:val="0"/>
      <w:marBottom w:val="0"/>
      <w:divBdr>
        <w:top w:val="none" w:sz="0" w:space="0" w:color="auto"/>
        <w:left w:val="none" w:sz="0" w:space="0" w:color="auto"/>
        <w:bottom w:val="none" w:sz="0" w:space="0" w:color="auto"/>
        <w:right w:val="none" w:sz="0" w:space="0" w:color="auto"/>
      </w:divBdr>
    </w:div>
    <w:div w:id="1108279413">
      <w:bodyDiv w:val="1"/>
      <w:marLeft w:val="0"/>
      <w:marRight w:val="0"/>
      <w:marTop w:val="0"/>
      <w:marBottom w:val="0"/>
      <w:divBdr>
        <w:top w:val="none" w:sz="0" w:space="0" w:color="auto"/>
        <w:left w:val="none" w:sz="0" w:space="0" w:color="auto"/>
        <w:bottom w:val="none" w:sz="0" w:space="0" w:color="auto"/>
        <w:right w:val="none" w:sz="0" w:space="0" w:color="auto"/>
      </w:divBdr>
    </w:div>
    <w:div w:id="1108350325">
      <w:bodyDiv w:val="1"/>
      <w:marLeft w:val="0"/>
      <w:marRight w:val="0"/>
      <w:marTop w:val="0"/>
      <w:marBottom w:val="0"/>
      <w:divBdr>
        <w:top w:val="none" w:sz="0" w:space="0" w:color="auto"/>
        <w:left w:val="none" w:sz="0" w:space="0" w:color="auto"/>
        <w:bottom w:val="none" w:sz="0" w:space="0" w:color="auto"/>
        <w:right w:val="none" w:sz="0" w:space="0" w:color="auto"/>
      </w:divBdr>
    </w:div>
    <w:div w:id="1108351259">
      <w:bodyDiv w:val="1"/>
      <w:marLeft w:val="0"/>
      <w:marRight w:val="0"/>
      <w:marTop w:val="0"/>
      <w:marBottom w:val="0"/>
      <w:divBdr>
        <w:top w:val="none" w:sz="0" w:space="0" w:color="auto"/>
        <w:left w:val="none" w:sz="0" w:space="0" w:color="auto"/>
        <w:bottom w:val="none" w:sz="0" w:space="0" w:color="auto"/>
        <w:right w:val="none" w:sz="0" w:space="0" w:color="auto"/>
      </w:divBdr>
    </w:div>
    <w:div w:id="1108548732">
      <w:bodyDiv w:val="1"/>
      <w:marLeft w:val="0"/>
      <w:marRight w:val="0"/>
      <w:marTop w:val="0"/>
      <w:marBottom w:val="0"/>
      <w:divBdr>
        <w:top w:val="none" w:sz="0" w:space="0" w:color="auto"/>
        <w:left w:val="none" w:sz="0" w:space="0" w:color="auto"/>
        <w:bottom w:val="none" w:sz="0" w:space="0" w:color="auto"/>
        <w:right w:val="none" w:sz="0" w:space="0" w:color="auto"/>
      </w:divBdr>
    </w:div>
    <w:div w:id="1110012342">
      <w:bodyDiv w:val="1"/>
      <w:marLeft w:val="0"/>
      <w:marRight w:val="0"/>
      <w:marTop w:val="0"/>
      <w:marBottom w:val="0"/>
      <w:divBdr>
        <w:top w:val="none" w:sz="0" w:space="0" w:color="auto"/>
        <w:left w:val="none" w:sz="0" w:space="0" w:color="auto"/>
        <w:bottom w:val="none" w:sz="0" w:space="0" w:color="auto"/>
        <w:right w:val="none" w:sz="0" w:space="0" w:color="auto"/>
      </w:divBdr>
    </w:div>
    <w:div w:id="1111432551">
      <w:bodyDiv w:val="1"/>
      <w:marLeft w:val="0"/>
      <w:marRight w:val="0"/>
      <w:marTop w:val="0"/>
      <w:marBottom w:val="0"/>
      <w:divBdr>
        <w:top w:val="none" w:sz="0" w:space="0" w:color="auto"/>
        <w:left w:val="none" w:sz="0" w:space="0" w:color="auto"/>
        <w:bottom w:val="none" w:sz="0" w:space="0" w:color="auto"/>
        <w:right w:val="none" w:sz="0" w:space="0" w:color="auto"/>
      </w:divBdr>
    </w:div>
    <w:div w:id="1111633159">
      <w:bodyDiv w:val="1"/>
      <w:marLeft w:val="0"/>
      <w:marRight w:val="0"/>
      <w:marTop w:val="0"/>
      <w:marBottom w:val="0"/>
      <w:divBdr>
        <w:top w:val="none" w:sz="0" w:space="0" w:color="auto"/>
        <w:left w:val="none" w:sz="0" w:space="0" w:color="auto"/>
        <w:bottom w:val="none" w:sz="0" w:space="0" w:color="auto"/>
        <w:right w:val="none" w:sz="0" w:space="0" w:color="auto"/>
      </w:divBdr>
    </w:div>
    <w:div w:id="1112019254">
      <w:bodyDiv w:val="1"/>
      <w:marLeft w:val="0"/>
      <w:marRight w:val="0"/>
      <w:marTop w:val="0"/>
      <w:marBottom w:val="0"/>
      <w:divBdr>
        <w:top w:val="none" w:sz="0" w:space="0" w:color="auto"/>
        <w:left w:val="none" w:sz="0" w:space="0" w:color="auto"/>
        <w:bottom w:val="none" w:sz="0" w:space="0" w:color="auto"/>
        <w:right w:val="none" w:sz="0" w:space="0" w:color="auto"/>
      </w:divBdr>
    </w:div>
    <w:div w:id="1113325821">
      <w:bodyDiv w:val="1"/>
      <w:marLeft w:val="0"/>
      <w:marRight w:val="0"/>
      <w:marTop w:val="0"/>
      <w:marBottom w:val="0"/>
      <w:divBdr>
        <w:top w:val="none" w:sz="0" w:space="0" w:color="auto"/>
        <w:left w:val="none" w:sz="0" w:space="0" w:color="auto"/>
        <w:bottom w:val="none" w:sz="0" w:space="0" w:color="auto"/>
        <w:right w:val="none" w:sz="0" w:space="0" w:color="auto"/>
      </w:divBdr>
    </w:div>
    <w:div w:id="1113478255">
      <w:bodyDiv w:val="1"/>
      <w:marLeft w:val="0"/>
      <w:marRight w:val="0"/>
      <w:marTop w:val="0"/>
      <w:marBottom w:val="0"/>
      <w:divBdr>
        <w:top w:val="none" w:sz="0" w:space="0" w:color="auto"/>
        <w:left w:val="none" w:sz="0" w:space="0" w:color="auto"/>
        <w:bottom w:val="none" w:sz="0" w:space="0" w:color="auto"/>
        <w:right w:val="none" w:sz="0" w:space="0" w:color="auto"/>
      </w:divBdr>
    </w:div>
    <w:div w:id="1113481056">
      <w:bodyDiv w:val="1"/>
      <w:marLeft w:val="0"/>
      <w:marRight w:val="0"/>
      <w:marTop w:val="0"/>
      <w:marBottom w:val="0"/>
      <w:divBdr>
        <w:top w:val="none" w:sz="0" w:space="0" w:color="auto"/>
        <w:left w:val="none" w:sz="0" w:space="0" w:color="auto"/>
        <w:bottom w:val="none" w:sz="0" w:space="0" w:color="auto"/>
        <w:right w:val="none" w:sz="0" w:space="0" w:color="auto"/>
      </w:divBdr>
    </w:div>
    <w:div w:id="1113868069">
      <w:bodyDiv w:val="1"/>
      <w:marLeft w:val="0"/>
      <w:marRight w:val="0"/>
      <w:marTop w:val="0"/>
      <w:marBottom w:val="0"/>
      <w:divBdr>
        <w:top w:val="none" w:sz="0" w:space="0" w:color="auto"/>
        <w:left w:val="none" w:sz="0" w:space="0" w:color="auto"/>
        <w:bottom w:val="none" w:sz="0" w:space="0" w:color="auto"/>
        <w:right w:val="none" w:sz="0" w:space="0" w:color="auto"/>
      </w:divBdr>
    </w:div>
    <w:div w:id="1114638815">
      <w:bodyDiv w:val="1"/>
      <w:marLeft w:val="0"/>
      <w:marRight w:val="0"/>
      <w:marTop w:val="0"/>
      <w:marBottom w:val="0"/>
      <w:divBdr>
        <w:top w:val="none" w:sz="0" w:space="0" w:color="auto"/>
        <w:left w:val="none" w:sz="0" w:space="0" w:color="auto"/>
        <w:bottom w:val="none" w:sz="0" w:space="0" w:color="auto"/>
        <w:right w:val="none" w:sz="0" w:space="0" w:color="auto"/>
      </w:divBdr>
    </w:div>
    <w:div w:id="1114783924">
      <w:bodyDiv w:val="1"/>
      <w:marLeft w:val="0"/>
      <w:marRight w:val="0"/>
      <w:marTop w:val="0"/>
      <w:marBottom w:val="0"/>
      <w:divBdr>
        <w:top w:val="none" w:sz="0" w:space="0" w:color="auto"/>
        <w:left w:val="none" w:sz="0" w:space="0" w:color="auto"/>
        <w:bottom w:val="none" w:sz="0" w:space="0" w:color="auto"/>
        <w:right w:val="none" w:sz="0" w:space="0" w:color="auto"/>
      </w:divBdr>
    </w:div>
    <w:div w:id="1115566221">
      <w:bodyDiv w:val="1"/>
      <w:marLeft w:val="0"/>
      <w:marRight w:val="0"/>
      <w:marTop w:val="0"/>
      <w:marBottom w:val="0"/>
      <w:divBdr>
        <w:top w:val="none" w:sz="0" w:space="0" w:color="auto"/>
        <w:left w:val="none" w:sz="0" w:space="0" w:color="auto"/>
        <w:bottom w:val="none" w:sz="0" w:space="0" w:color="auto"/>
        <w:right w:val="none" w:sz="0" w:space="0" w:color="auto"/>
      </w:divBdr>
    </w:div>
    <w:div w:id="1115947622">
      <w:bodyDiv w:val="1"/>
      <w:marLeft w:val="0"/>
      <w:marRight w:val="0"/>
      <w:marTop w:val="0"/>
      <w:marBottom w:val="0"/>
      <w:divBdr>
        <w:top w:val="none" w:sz="0" w:space="0" w:color="auto"/>
        <w:left w:val="none" w:sz="0" w:space="0" w:color="auto"/>
        <w:bottom w:val="none" w:sz="0" w:space="0" w:color="auto"/>
        <w:right w:val="none" w:sz="0" w:space="0" w:color="auto"/>
      </w:divBdr>
    </w:div>
    <w:div w:id="1116145781">
      <w:bodyDiv w:val="1"/>
      <w:marLeft w:val="0"/>
      <w:marRight w:val="0"/>
      <w:marTop w:val="0"/>
      <w:marBottom w:val="0"/>
      <w:divBdr>
        <w:top w:val="none" w:sz="0" w:space="0" w:color="auto"/>
        <w:left w:val="none" w:sz="0" w:space="0" w:color="auto"/>
        <w:bottom w:val="none" w:sz="0" w:space="0" w:color="auto"/>
        <w:right w:val="none" w:sz="0" w:space="0" w:color="auto"/>
      </w:divBdr>
    </w:div>
    <w:div w:id="1116678259">
      <w:bodyDiv w:val="1"/>
      <w:marLeft w:val="0"/>
      <w:marRight w:val="0"/>
      <w:marTop w:val="0"/>
      <w:marBottom w:val="0"/>
      <w:divBdr>
        <w:top w:val="none" w:sz="0" w:space="0" w:color="auto"/>
        <w:left w:val="none" w:sz="0" w:space="0" w:color="auto"/>
        <w:bottom w:val="none" w:sz="0" w:space="0" w:color="auto"/>
        <w:right w:val="none" w:sz="0" w:space="0" w:color="auto"/>
      </w:divBdr>
    </w:div>
    <w:div w:id="1116873129">
      <w:bodyDiv w:val="1"/>
      <w:marLeft w:val="0"/>
      <w:marRight w:val="0"/>
      <w:marTop w:val="0"/>
      <w:marBottom w:val="0"/>
      <w:divBdr>
        <w:top w:val="none" w:sz="0" w:space="0" w:color="auto"/>
        <w:left w:val="none" w:sz="0" w:space="0" w:color="auto"/>
        <w:bottom w:val="none" w:sz="0" w:space="0" w:color="auto"/>
        <w:right w:val="none" w:sz="0" w:space="0" w:color="auto"/>
      </w:divBdr>
    </w:div>
    <w:div w:id="1117605142">
      <w:bodyDiv w:val="1"/>
      <w:marLeft w:val="0"/>
      <w:marRight w:val="0"/>
      <w:marTop w:val="0"/>
      <w:marBottom w:val="0"/>
      <w:divBdr>
        <w:top w:val="none" w:sz="0" w:space="0" w:color="auto"/>
        <w:left w:val="none" w:sz="0" w:space="0" w:color="auto"/>
        <w:bottom w:val="none" w:sz="0" w:space="0" w:color="auto"/>
        <w:right w:val="none" w:sz="0" w:space="0" w:color="auto"/>
      </w:divBdr>
    </w:div>
    <w:div w:id="1118066531">
      <w:bodyDiv w:val="1"/>
      <w:marLeft w:val="0"/>
      <w:marRight w:val="0"/>
      <w:marTop w:val="0"/>
      <w:marBottom w:val="0"/>
      <w:divBdr>
        <w:top w:val="none" w:sz="0" w:space="0" w:color="auto"/>
        <w:left w:val="none" w:sz="0" w:space="0" w:color="auto"/>
        <w:bottom w:val="none" w:sz="0" w:space="0" w:color="auto"/>
        <w:right w:val="none" w:sz="0" w:space="0" w:color="auto"/>
      </w:divBdr>
    </w:div>
    <w:div w:id="1118646530">
      <w:bodyDiv w:val="1"/>
      <w:marLeft w:val="0"/>
      <w:marRight w:val="0"/>
      <w:marTop w:val="0"/>
      <w:marBottom w:val="0"/>
      <w:divBdr>
        <w:top w:val="none" w:sz="0" w:space="0" w:color="auto"/>
        <w:left w:val="none" w:sz="0" w:space="0" w:color="auto"/>
        <w:bottom w:val="none" w:sz="0" w:space="0" w:color="auto"/>
        <w:right w:val="none" w:sz="0" w:space="0" w:color="auto"/>
      </w:divBdr>
    </w:div>
    <w:div w:id="1118842452">
      <w:bodyDiv w:val="1"/>
      <w:marLeft w:val="0"/>
      <w:marRight w:val="0"/>
      <w:marTop w:val="0"/>
      <w:marBottom w:val="0"/>
      <w:divBdr>
        <w:top w:val="none" w:sz="0" w:space="0" w:color="auto"/>
        <w:left w:val="none" w:sz="0" w:space="0" w:color="auto"/>
        <w:bottom w:val="none" w:sz="0" w:space="0" w:color="auto"/>
        <w:right w:val="none" w:sz="0" w:space="0" w:color="auto"/>
      </w:divBdr>
    </w:div>
    <w:div w:id="1120369699">
      <w:bodyDiv w:val="1"/>
      <w:marLeft w:val="0"/>
      <w:marRight w:val="0"/>
      <w:marTop w:val="0"/>
      <w:marBottom w:val="0"/>
      <w:divBdr>
        <w:top w:val="none" w:sz="0" w:space="0" w:color="auto"/>
        <w:left w:val="none" w:sz="0" w:space="0" w:color="auto"/>
        <w:bottom w:val="none" w:sz="0" w:space="0" w:color="auto"/>
        <w:right w:val="none" w:sz="0" w:space="0" w:color="auto"/>
      </w:divBdr>
    </w:div>
    <w:div w:id="1120538226">
      <w:bodyDiv w:val="1"/>
      <w:marLeft w:val="0"/>
      <w:marRight w:val="0"/>
      <w:marTop w:val="0"/>
      <w:marBottom w:val="0"/>
      <w:divBdr>
        <w:top w:val="none" w:sz="0" w:space="0" w:color="auto"/>
        <w:left w:val="none" w:sz="0" w:space="0" w:color="auto"/>
        <w:bottom w:val="none" w:sz="0" w:space="0" w:color="auto"/>
        <w:right w:val="none" w:sz="0" w:space="0" w:color="auto"/>
      </w:divBdr>
    </w:div>
    <w:div w:id="1120879462">
      <w:bodyDiv w:val="1"/>
      <w:marLeft w:val="0"/>
      <w:marRight w:val="0"/>
      <w:marTop w:val="0"/>
      <w:marBottom w:val="0"/>
      <w:divBdr>
        <w:top w:val="none" w:sz="0" w:space="0" w:color="auto"/>
        <w:left w:val="none" w:sz="0" w:space="0" w:color="auto"/>
        <w:bottom w:val="none" w:sz="0" w:space="0" w:color="auto"/>
        <w:right w:val="none" w:sz="0" w:space="0" w:color="auto"/>
      </w:divBdr>
    </w:div>
    <w:div w:id="1120957763">
      <w:bodyDiv w:val="1"/>
      <w:marLeft w:val="0"/>
      <w:marRight w:val="0"/>
      <w:marTop w:val="0"/>
      <w:marBottom w:val="0"/>
      <w:divBdr>
        <w:top w:val="none" w:sz="0" w:space="0" w:color="auto"/>
        <w:left w:val="none" w:sz="0" w:space="0" w:color="auto"/>
        <w:bottom w:val="none" w:sz="0" w:space="0" w:color="auto"/>
        <w:right w:val="none" w:sz="0" w:space="0" w:color="auto"/>
      </w:divBdr>
    </w:div>
    <w:div w:id="1120998283">
      <w:bodyDiv w:val="1"/>
      <w:marLeft w:val="0"/>
      <w:marRight w:val="0"/>
      <w:marTop w:val="0"/>
      <w:marBottom w:val="0"/>
      <w:divBdr>
        <w:top w:val="none" w:sz="0" w:space="0" w:color="auto"/>
        <w:left w:val="none" w:sz="0" w:space="0" w:color="auto"/>
        <w:bottom w:val="none" w:sz="0" w:space="0" w:color="auto"/>
        <w:right w:val="none" w:sz="0" w:space="0" w:color="auto"/>
      </w:divBdr>
    </w:div>
    <w:div w:id="1121920092">
      <w:bodyDiv w:val="1"/>
      <w:marLeft w:val="0"/>
      <w:marRight w:val="0"/>
      <w:marTop w:val="0"/>
      <w:marBottom w:val="0"/>
      <w:divBdr>
        <w:top w:val="none" w:sz="0" w:space="0" w:color="auto"/>
        <w:left w:val="none" w:sz="0" w:space="0" w:color="auto"/>
        <w:bottom w:val="none" w:sz="0" w:space="0" w:color="auto"/>
        <w:right w:val="none" w:sz="0" w:space="0" w:color="auto"/>
      </w:divBdr>
    </w:div>
    <w:div w:id="1122261431">
      <w:bodyDiv w:val="1"/>
      <w:marLeft w:val="0"/>
      <w:marRight w:val="0"/>
      <w:marTop w:val="0"/>
      <w:marBottom w:val="0"/>
      <w:divBdr>
        <w:top w:val="none" w:sz="0" w:space="0" w:color="auto"/>
        <w:left w:val="none" w:sz="0" w:space="0" w:color="auto"/>
        <w:bottom w:val="none" w:sz="0" w:space="0" w:color="auto"/>
        <w:right w:val="none" w:sz="0" w:space="0" w:color="auto"/>
      </w:divBdr>
    </w:div>
    <w:div w:id="1124301179">
      <w:bodyDiv w:val="1"/>
      <w:marLeft w:val="0"/>
      <w:marRight w:val="0"/>
      <w:marTop w:val="0"/>
      <w:marBottom w:val="0"/>
      <w:divBdr>
        <w:top w:val="none" w:sz="0" w:space="0" w:color="auto"/>
        <w:left w:val="none" w:sz="0" w:space="0" w:color="auto"/>
        <w:bottom w:val="none" w:sz="0" w:space="0" w:color="auto"/>
        <w:right w:val="none" w:sz="0" w:space="0" w:color="auto"/>
      </w:divBdr>
    </w:div>
    <w:div w:id="1124930891">
      <w:bodyDiv w:val="1"/>
      <w:marLeft w:val="0"/>
      <w:marRight w:val="0"/>
      <w:marTop w:val="0"/>
      <w:marBottom w:val="0"/>
      <w:divBdr>
        <w:top w:val="none" w:sz="0" w:space="0" w:color="auto"/>
        <w:left w:val="none" w:sz="0" w:space="0" w:color="auto"/>
        <w:bottom w:val="none" w:sz="0" w:space="0" w:color="auto"/>
        <w:right w:val="none" w:sz="0" w:space="0" w:color="auto"/>
      </w:divBdr>
    </w:div>
    <w:div w:id="1125387117">
      <w:bodyDiv w:val="1"/>
      <w:marLeft w:val="0"/>
      <w:marRight w:val="0"/>
      <w:marTop w:val="0"/>
      <w:marBottom w:val="0"/>
      <w:divBdr>
        <w:top w:val="none" w:sz="0" w:space="0" w:color="auto"/>
        <w:left w:val="none" w:sz="0" w:space="0" w:color="auto"/>
        <w:bottom w:val="none" w:sz="0" w:space="0" w:color="auto"/>
        <w:right w:val="none" w:sz="0" w:space="0" w:color="auto"/>
      </w:divBdr>
    </w:div>
    <w:div w:id="1125736199">
      <w:bodyDiv w:val="1"/>
      <w:marLeft w:val="0"/>
      <w:marRight w:val="0"/>
      <w:marTop w:val="0"/>
      <w:marBottom w:val="0"/>
      <w:divBdr>
        <w:top w:val="none" w:sz="0" w:space="0" w:color="auto"/>
        <w:left w:val="none" w:sz="0" w:space="0" w:color="auto"/>
        <w:bottom w:val="none" w:sz="0" w:space="0" w:color="auto"/>
        <w:right w:val="none" w:sz="0" w:space="0" w:color="auto"/>
      </w:divBdr>
    </w:div>
    <w:div w:id="1126194370">
      <w:bodyDiv w:val="1"/>
      <w:marLeft w:val="0"/>
      <w:marRight w:val="0"/>
      <w:marTop w:val="0"/>
      <w:marBottom w:val="0"/>
      <w:divBdr>
        <w:top w:val="none" w:sz="0" w:space="0" w:color="auto"/>
        <w:left w:val="none" w:sz="0" w:space="0" w:color="auto"/>
        <w:bottom w:val="none" w:sz="0" w:space="0" w:color="auto"/>
        <w:right w:val="none" w:sz="0" w:space="0" w:color="auto"/>
      </w:divBdr>
    </w:div>
    <w:div w:id="1126966613">
      <w:bodyDiv w:val="1"/>
      <w:marLeft w:val="0"/>
      <w:marRight w:val="0"/>
      <w:marTop w:val="0"/>
      <w:marBottom w:val="0"/>
      <w:divBdr>
        <w:top w:val="none" w:sz="0" w:space="0" w:color="auto"/>
        <w:left w:val="none" w:sz="0" w:space="0" w:color="auto"/>
        <w:bottom w:val="none" w:sz="0" w:space="0" w:color="auto"/>
        <w:right w:val="none" w:sz="0" w:space="0" w:color="auto"/>
      </w:divBdr>
    </w:div>
    <w:div w:id="1127044119">
      <w:bodyDiv w:val="1"/>
      <w:marLeft w:val="0"/>
      <w:marRight w:val="0"/>
      <w:marTop w:val="0"/>
      <w:marBottom w:val="0"/>
      <w:divBdr>
        <w:top w:val="none" w:sz="0" w:space="0" w:color="auto"/>
        <w:left w:val="none" w:sz="0" w:space="0" w:color="auto"/>
        <w:bottom w:val="none" w:sz="0" w:space="0" w:color="auto"/>
        <w:right w:val="none" w:sz="0" w:space="0" w:color="auto"/>
      </w:divBdr>
    </w:div>
    <w:div w:id="1127551022">
      <w:bodyDiv w:val="1"/>
      <w:marLeft w:val="0"/>
      <w:marRight w:val="0"/>
      <w:marTop w:val="0"/>
      <w:marBottom w:val="0"/>
      <w:divBdr>
        <w:top w:val="none" w:sz="0" w:space="0" w:color="auto"/>
        <w:left w:val="none" w:sz="0" w:space="0" w:color="auto"/>
        <w:bottom w:val="none" w:sz="0" w:space="0" w:color="auto"/>
        <w:right w:val="none" w:sz="0" w:space="0" w:color="auto"/>
      </w:divBdr>
    </w:div>
    <w:div w:id="1127772775">
      <w:bodyDiv w:val="1"/>
      <w:marLeft w:val="0"/>
      <w:marRight w:val="0"/>
      <w:marTop w:val="0"/>
      <w:marBottom w:val="0"/>
      <w:divBdr>
        <w:top w:val="none" w:sz="0" w:space="0" w:color="auto"/>
        <w:left w:val="none" w:sz="0" w:space="0" w:color="auto"/>
        <w:bottom w:val="none" w:sz="0" w:space="0" w:color="auto"/>
        <w:right w:val="none" w:sz="0" w:space="0" w:color="auto"/>
      </w:divBdr>
    </w:div>
    <w:div w:id="1128740497">
      <w:bodyDiv w:val="1"/>
      <w:marLeft w:val="0"/>
      <w:marRight w:val="0"/>
      <w:marTop w:val="0"/>
      <w:marBottom w:val="0"/>
      <w:divBdr>
        <w:top w:val="none" w:sz="0" w:space="0" w:color="auto"/>
        <w:left w:val="none" w:sz="0" w:space="0" w:color="auto"/>
        <w:bottom w:val="none" w:sz="0" w:space="0" w:color="auto"/>
        <w:right w:val="none" w:sz="0" w:space="0" w:color="auto"/>
      </w:divBdr>
    </w:div>
    <w:div w:id="1129199737">
      <w:bodyDiv w:val="1"/>
      <w:marLeft w:val="0"/>
      <w:marRight w:val="0"/>
      <w:marTop w:val="0"/>
      <w:marBottom w:val="0"/>
      <w:divBdr>
        <w:top w:val="none" w:sz="0" w:space="0" w:color="auto"/>
        <w:left w:val="none" w:sz="0" w:space="0" w:color="auto"/>
        <w:bottom w:val="none" w:sz="0" w:space="0" w:color="auto"/>
        <w:right w:val="none" w:sz="0" w:space="0" w:color="auto"/>
      </w:divBdr>
    </w:div>
    <w:div w:id="1129589814">
      <w:bodyDiv w:val="1"/>
      <w:marLeft w:val="0"/>
      <w:marRight w:val="0"/>
      <w:marTop w:val="0"/>
      <w:marBottom w:val="0"/>
      <w:divBdr>
        <w:top w:val="none" w:sz="0" w:space="0" w:color="auto"/>
        <w:left w:val="none" w:sz="0" w:space="0" w:color="auto"/>
        <w:bottom w:val="none" w:sz="0" w:space="0" w:color="auto"/>
        <w:right w:val="none" w:sz="0" w:space="0" w:color="auto"/>
      </w:divBdr>
    </w:div>
    <w:div w:id="1130441236">
      <w:bodyDiv w:val="1"/>
      <w:marLeft w:val="0"/>
      <w:marRight w:val="0"/>
      <w:marTop w:val="0"/>
      <w:marBottom w:val="0"/>
      <w:divBdr>
        <w:top w:val="none" w:sz="0" w:space="0" w:color="auto"/>
        <w:left w:val="none" w:sz="0" w:space="0" w:color="auto"/>
        <w:bottom w:val="none" w:sz="0" w:space="0" w:color="auto"/>
        <w:right w:val="none" w:sz="0" w:space="0" w:color="auto"/>
      </w:divBdr>
    </w:div>
    <w:div w:id="1130710433">
      <w:bodyDiv w:val="1"/>
      <w:marLeft w:val="0"/>
      <w:marRight w:val="0"/>
      <w:marTop w:val="0"/>
      <w:marBottom w:val="0"/>
      <w:divBdr>
        <w:top w:val="none" w:sz="0" w:space="0" w:color="auto"/>
        <w:left w:val="none" w:sz="0" w:space="0" w:color="auto"/>
        <w:bottom w:val="none" w:sz="0" w:space="0" w:color="auto"/>
        <w:right w:val="none" w:sz="0" w:space="0" w:color="auto"/>
      </w:divBdr>
    </w:div>
    <w:div w:id="1130778589">
      <w:bodyDiv w:val="1"/>
      <w:marLeft w:val="0"/>
      <w:marRight w:val="0"/>
      <w:marTop w:val="0"/>
      <w:marBottom w:val="0"/>
      <w:divBdr>
        <w:top w:val="none" w:sz="0" w:space="0" w:color="auto"/>
        <w:left w:val="none" w:sz="0" w:space="0" w:color="auto"/>
        <w:bottom w:val="none" w:sz="0" w:space="0" w:color="auto"/>
        <w:right w:val="none" w:sz="0" w:space="0" w:color="auto"/>
      </w:divBdr>
    </w:div>
    <w:div w:id="1130974507">
      <w:bodyDiv w:val="1"/>
      <w:marLeft w:val="0"/>
      <w:marRight w:val="0"/>
      <w:marTop w:val="0"/>
      <w:marBottom w:val="0"/>
      <w:divBdr>
        <w:top w:val="none" w:sz="0" w:space="0" w:color="auto"/>
        <w:left w:val="none" w:sz="0" w:space="0" w:color="auto"/>
        <w:bottom w:val="none" w:sz="0" w:space="0" w:color="auto"/>
        <w:right w:val="none" w:sz="0" w:space="0" w:color="auto"/>
      </w:divBdr>
    </w:div>
    <w:div w:id="1131359228">
      <w:bodyDiv w:val="1"/>
      <w:marLeft w:val="0"/>
      <w:marRight w:val="0"/>
      <w:marTop w:val="0"/>
      <w:marBottom w:val="0"/>
      <w:divBdr>
        <w:top w:val="none" w:sz="0" w:space="0" w:color="auto"/>
        <w:left w:val="none" w:sz="0" w:space="0" w:color="auto"/>
        <w:bottom w:val="none" w:sz="0" w:space="0" w:color="auto"/>
        <w:right w:val="none" w:sz="0" w:space="0" w:color="auto"/>
      </w:divBdr>
    </w:div>
    <w:div w:id="1131360047">
      <w:bodyDiv w:val="1"/>
      <w:marLeft w:val="0"/>
      <w:marRight w:val="0"/>
      <w:marTop w:val="0"/>
      <w:marBottom w:val="0"/>
      <w:divBdr>
        <w:top w:val="none" w:sz="0" w:space="0" w:color="auto"/>
        <w:left w:val="none" w:sz="0" w:space="0" w:color="auto"/>
        <w:bottom w:val="none" w:sz="0" w:space="0" w:color="auto"/>
        <w:right w:val="none" w:sz="0" w:space="0" w:color="auto"/>
      </w:divBdr>
    </w:div>
    <w:div w:id="1131437296">
      <w:bodyDiv w:val="1"/>
      <w:marLeft w:val="0"/>
      <w:marRight w:val="0"/>
      <w:marTop w:val="0"/>
      <w:marBottom w:val="0"/>
      <w:divBdr>
        <w:top w:val="none" w:sz="0" w:space="0" w:color="auto"/>
        <w:left w:val="none" w:sz="0" w:space="0" w:color="auto"/>
        <w:bottom w:val="none" w:sz="0" w:space="0" w:color="auto"/>
        <w:right w:val="none" w:sz="0" w:space="0" w:color="auto"/>
      </w:divBdr>
    </w:div>
    <w:div w:id="1132402855">
      <w:bodyDiv w:val="1"/>
      <w:marLeft w:val="0"/>
      <w:marRight w:val="0"/>
      <w:marTop w:val="0"/>
      <w:marBottom w:val="0"/>
      <w:divBdr>
        <w:top w:val="none" w:sz="0" w:space="0" w:color="auto"/>
        <w:left w:val="none" w:sz="0" w:space="0" w:color="auto"/>
        <w:bottom w:val="none" w:sz="0" w:space="0" w:color="auto"/>
        <w:right w:val="none" w:sz="0" w:space="0" w:color="auto"/>
      </w:divBdr>
    </w:div>
    <w:div w:id="1132796380">
      <w:bodyDiv w:val="1"/>
      <w:marLeft w:val="0"/>
      <w:marRight w:val="0"/>
      <w:marTop w:val="0"/>
      <w:marBottom w:val="0"/>
      <w:divBdr>
        <w:top w:val="none" w:sz="0" w:space="0" w:color="auto"/>
        <w:left w:val="none" w:sz="0" w:space="0" w:color="auto"/>
        <w:bottom w:val="none" w:sz="0" w:space="0" w:color="auto"/>
        <w:right w:val="none" w:sz="0" w:space="0" w:color="auto"/>
      </w:divBdr>
    </w:div>
    <w:div w:id="1133522551">
      <w:bodyDiv w:val="1"/>
      <w:marLeft w:val="0"/>
      <w:marRight w:val="0"/>
      <w:marTop w:val="0"/>
      <w:marBottom w:val="0"/>
      <w:divBdr>
        <w:top w:val="none" w:sz="0" w:space="0" w:color="auto"/>
        <w:left w:val="none" w:sz="0" w:space="0" w:color="auto"/>
        <w:bottom w:val="none" w:sz="0" w:space="0" w:color="auto"/>
        <w:right w:val="none" w:sz="0" w:space="0" w:color="auto"/>
      </w:divBdr>
    </w:div>
    <w:div w:id="1134369934">
      <w:bodyDiv w:val="1"/>
      <w:marLeft w:val="0"/>
      <w:marRight w:val="0"/>
      <w:marTop w:val="0"/>
      <w:marBottom w:val="0"/>
      <w:divBdr>
        <w:top w:val="none" w:sz="0" w:space="0" w:color="auto"/>
        <w:left w:val="none" w:sz="0" w:space="0" w:color="auto"/>
        <w:bottom w:val="none" w:sz="0" w:space="0" w:color="auto"/>
        <w:right w:val="none" w:sz="0" w:space="0" w:color="auto"/>
      </w:divBdr>
    </w:div>
    <w:div w:id="1135103014">
      <w:bodyDiv w:val="1"/>
      <w:marLeft w:val="0"/>
      <w:marRight w:val="0"/>
      <w:marTop w:val="0"/>
      <w:marBottom w:val="0"/>
      <w:divBdr>
        <w:top w:val="none" w:sz="0" w:space="0" w:color="auto"/>
        <w:left w:val="none" w:sz="0" w:space="0" w:color="auto"/>
        <w:bottom w:val="none" w:sz="0" w:space="0" w:color="auto"/>
        <w:right w:val="none" w:sz="0" w:space="0" w:color="auto"/>
      </w:divBdr>
    </w:div>
    <w:div w:id="1135216829">
      <w:bodyDiv w:val="1"/>
      <w:marLeft w:val="0"/>
      <w:marRight w:val="0"/>
      <w:marTop w:val="0"/>
      <w:marBottom w:val="0"/>
      <w:divBdr>
        <w:top w:val="none" w:sz="0" w:space="0" w:color="auto"/>
        <w:left w:val="none" w:sz="0" w:space="0" w:color="auto"/>
        <w:bottom w:val="none" w:sz="0" w:space="0" w:color="auto"/>
        <w:right w:val="none" w:sz="0" w:space="0" w:color="auto"/>
      </w:divBdr>
    </w:div>
    <w:div w:id="1135560214">
      <w:bodyDiv w:val="1"/>
      <w:marLeft w:val="0"/>
      <w:marRight w:val="0"/>
      <w:marTop w:val="0"/>
      <w:marBottom w:val="0"/>
      <w:divBdr>
        <w:top w:val="none" w:sz="0" w:space="0" w:color="auto"/>
        <w:left w:val="none" w:sz="0" w:space="0" w:color="auto"/>
        <w:bottom w:val="none" w:sz="0" w:space="0" w:color="auto"/>
        <w:right w:val="none" w:sz="0" w:space="0" w:color="auto"/>
      </w:divBdr>
    </w:div>
    <w:div w:id="1135753695">
      <w:bodyDiv w:val="1"/>
      <w:marLeft w:val="0"/>
      <w:marRight w:val="0"/>
      <w:marTop w:val="0"/>
      <w:marBottom w:val="0"/>
      <w:divBdr>
        <w:top w:val="none" w:sz="0" w:space="0" w:color="auto"/>
        <w:left w:val="none" w:sz="0" w:space="0" w:color="auto"/>
        <w:bottom w:val="none" w:sz="0" w:space="0" w:color="auto"/>
        <w:right w:val="none" w:sz="0" w:space="0" w:color="auto"/>
      </w:divBdr>
    </w:div>
    <w:div w:id="1136409703">
      <w:bodyDiv w:val="1"/>
      <w:marLeft w:val="0"/>
      <w:marRight w:val="0"/>
      <w:marTop w:val="0"/>
      <w:marBottom w:val="0"/>
      <w:divBdr>
        <w:top w:val="none" w:sz="0" w:space="0" w:color="auto"/>
        <w:left w:val="none" w:sz="0" w:space="0" w:color="auto"/>
        <w:bottom w:val="none" w:sz="0" w:space="0" w:color="auto"/>
        <w:right w:val="none" w:sz="0" w:space="0" w:color="auto"/>
      </w:divBdr>
    </w:div>
    <w:div w:id="1136949342">
      <w:bodyDiv w:val="1"/>
      <w:marLeft w:val="0"/>
      <w:marRight w:val="0"/>
      <w:marTop w:val="0"/>
      <w:marBottom w:val="0"/>
      <w:divBdr>
        <w:top w:val="none" w:sz="0" w:space="0" w:color="auto"/>
        <w:left w:val="none" w:sz="0" w:space="0" w:color="auto"/>
        <w:bottom w:val="none" w:sz="0" w:space="0" w:color="auto"/>
        <w:right w:val="none" w:sz="0" w:space="0" w:color="auto"/>
      </w:divBdr>
    </w:div>
    <w:div w:id="1137840023">
      <w:bodyDiv w:val="1"/>
      <w:marLeft w:val="0"/>
      <w:marRight w:val="0"/>
      <w:marTop w:val="0"/>
      <w:marBottom w:val="0"/>
      <w:divBdr>
        <w:top w:val="none" w:sz="0" w:space="0" w:color="auto"/>
        <w:left w:val="none" w:sz="0" w:space="0" w:color="auto"/>
        <w:bottom w:val="none" w:sz="0" w:space="0" w:color="auto"/>
        <w:right w:val="none" w:sz="0" w:space="0" w:color="auto"/>
      </w:divBdr>
    </w:div>
    <w:div w:id="1138188022">
      <w:bodyDiv w:val="1"/>
      <w:marLeft w:val="0"/>
      <w:marRight w:val="0"/>
      <w:marTop w:val="0"/>
      <w:marBottom w:val="0"/>
      <w:divBdr>
        <w:top w:val="none" w:sz="0" w:space="0" w:color="auto"/>
        <w:left w:val="none" w:sz="0" w:space="0" w:color="auto"/>
        <w:bottom w:val="none" w:sz="0" w:space="0" w:color="auto"/>
        <w:right w:val="none" w:sz="0" w:space="0" w:color="auto"/>
      </w:divBdr>
    </w:div>
    <w:div w:id="1138260753">
      <w:bodyDiv w:val="1"/>
      <w:marLeft w:val="0"/>
      <w:marRight w:val="0"/>
      <w:marTop w:val="0"/>
      <w:marBottom w:val="0"/>
      <w:divBdr>
        <w:top w:val="none" w:sz="0" w:space="0" w:color="auto"/>
        <w:left w:val="none" w:sz="0" w:space="0" w:color="auto"/>
        <w:bottom w:val="none" w:sz="0" w:space="0" w:color="auto"/>
        <w:right w:val="none" w:sz="0" w:space="0" w:color="auto"/>
      </w:divBdr>
    </w:div>
    <w:div w:id="1138307364">
      <w:bodyDiv w:val="1"/>
      <w:marLeft w:val="0"/>
      <w:marRight w:val="0"/>
      <w:marTop w:val="0"/>
      <w:marBottom w:val="0"/>
      <w:divBdr>
        <w:top w:val="none" w:sz="0" w:space="0" w:color="auto"/>
        <w:left w:val="none" w:sz="0" w:space="0" w:color="auto"/>
        <w:bottom w:val="none" w:sz="0" w:space="0" w:color="auto"/>
        <w:right w:val="none" w:sz="0" w:space="0" w:color="auto"/>
      </w:divBdr>
    </w:div>
    <w:div w:id="1138719506">
      <w:bodyDiv w:val="1"/>
      <w:marLeft w:val="0"/>
      <w:marRight w:val="0"/>
      <w:marTop w:val="0"/>
      <w:marBottom w:val="0"/>
      <w:divBdr>
        <w:top w:val="none" w:sz="0" w:space="0" w:color="auto"/>
        <w:left w:val="none" w:sz="0" w:space="0" w:color="auto"/>
        <w:bottom w:val="none" w:sz="0" w:space="0" w:color="auto"/>
        <w:right w:val="none" w:sz="0" w:space="0" w:color="auto"/>
      </w:divBdr>
    </w:div>
    <w:div w:id="1138843463">
      <w:bodyDiv w:val="1"/>
      <w:marLeft w:val="0"/>
      <w:marRight w:val="0"/>
      <w:marTop w:val="0"/>
      <w:marBottom w:val="0"/>
      <w:divBdr>
        <w:top w:val="none" w:sz="0" w:space="0" w:color="auto"/>
        <w:left w:val="none" w:sz="0" w:space="0" w:color="auto"/>
        <w:bottom w:val="none" w:sz="0" w:space="0" w:color="auto"/>
        <w:right w:val="none" w:sz="0" w:space="0" w:color="auto"/>
      </w:divBdr>
    </w:div>
    <w:div w:id="1139228947">
      <w:bodyDiv w:val="1"/>
      <w:marLeft w:val="0"/>
      <w:marRight w:val="0"/>
      <w:marTop w:val="0"/>
      <w:marBottom w:val="0"/>
      <w:divBdr>
        <w:top w:val="none" w:sz="0" w:space="0" w:color="auto"/>
        <w:left w:val="none" w:sz="0" w:space="0" w:color="auto"/>
        <w:bottom w:val="none" w:sz="0" w:space="0" w:color="auto"/>
        <w:right w:val="none" w:sz="0" w:space="0" w:color="auto"/>
      </w:divBdr>
    </w:div>
    <w:div w:id="1139343630">
      <w:bodyDiv w:val="1"/>
      <w:marLeft w:val="0"/>
      <w:marRight w:val="0"/>
      <w:marTop w:val="0"/>
      <w:marBottom w:val="0"/>
      <w:divBdr>
        <w:top w:val="none" w:sz="0" w:space="0" w:color="auto"/>
        <w:left w:val="none" w:sz="0" w:space="0" w:color="auto"/>
        <w:bottom w:val="none" w:sz="0" w:space="0" w:color="auto"/>
        <w:right w:val="none" w:sz="0" w:space="0" w:color="auto"/>
      </w:divBdr>
    </w:div>
    <w:div w:id="1139346440">
      <w:bodyDiv w:val="1"/>
      <w:marLeft w:val="0"/>
      <w:marRight w:val="0"/>
      <w:marTop w:val="0"/>
      <w:marBottom w:val="0"/>
      <w:divBdr>
        <w:top w:val="none" w:sz="0" w:space="0" w:color="auto"/>
        <w:left w:val="none" w:sz="0" w:space="0" w:color="auto"/>
        <w:bottom w:val="none" w:sz="0" w:space="0" w:color="auto"/>
        <w:right w:val="none" w:sz="0" w:space="0" w:color="auto"/>
      </w:divBdr>
    </w:div>
    <w:div w:id="1139762098">
      <w:bodyDiv w:val="1"/>
      <w:marLeft w:val="0"/>
      <w:marRight w:val="0"/>
      <w:marTop w:val="0"/>
      <w:marBottom w:val="0"/>
      <w:divBdr>
        <w:top w:val="none" w:sz="0" w:space="0" w:color="auto"/>
        <w:left w:val="none" w:sz="0" w:space="0" w:color="auto"/>
        <w:bottom w:val="none" w:sz="0" w:space="0" w:color="auto"/>
        <w:right w:val="none" w:sz="0" w:space="0" w:color="auto"/>
      </w:divBdr>
    </w:div>
    <w:div w:id="1139957994">
      <w:bodyDiv w:val="1"/>
      <w:marLeft w:val="0"/>
      <w:marRight w:val="0"/>
      <w:marTop w:val="0"/>
      <w:marBottom w:val="0"/>
      <w:divBdr>
        <w:top w:val="none" w:sz="0" w:space="0" w:color="auto"/>
        <w:left w:val="none" w:sz="0" w:space="0" w:color="auto"/>
        <w:bottom w:val="none" w:sz="0" w:space="0" w:color="auto"/>
        <w:right w:val="none" w:sz="0" w:space="0" w:color="auto"/>
      </w:divBdr>
    </w:div>
    <w:div w:id="1140197142">
      <w:bodyDiv w:val="1"/>
      <w:marLeft w:val="0"/>
      <w:marRight w:val="0"/>
      <w:marTop w:val="0"/>
      <w:marBottom w:val="0"/>
      <w:divBdr>
        <w:top w:val="none" w:sz="0" w:space="0" w:color="auto"/>
        <w:left w:val="none" w:sz="0" w:space="0" w:color="auto"/>
        <w:bottom w:val="none" w:sz="0" w:space="0" w:color="auto"/>
        <w:right w:val="none" w:sz="0" w:space="0" w:color="auto"/>
      </w:divBdr>
    </w:div>
    <w:div w:id="1140420782">
      <w:bodyDiv w:val="1"/>
      <w:marLeft w:val="0"/>
      <w:marRight w:val="0"/>
      <w:marTop w:val="0"/>
      <w:marBottom w:val="0"/>
      <w:divBdr>
        <w:top w:val="none" w:sz="0" w:space="0" w:color="auto"/>
        <w:left w:val="none" w:sz="0" w:space="0" w:color="auto"/>
        <w:bottom w:val="none" w:sz="0" w:space="0" w:color="auto"/>
        <w:right w:val="none" w:sz="0" w:space="0" w:color="auto"/>
      </w:divBdr>
    </w:div>
    <w:div w:id="1140457755">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1074282">
      <w:bodyDiv w:val="1"/>
      <w:marLeft w:val="0"/>
      <w:marRight w:val="0"/>
      <w:marTop w:val="0"/>
      <w:marBottom w:val="0"/>
      <w:divBdr>
        <w:top w:val="none" w:sz="0" w:space="0" w:color="auto"/>
        <w:left w:val="none" w:sz="0" w:space="0" w:color="auto"/>
        <w:bottom w:val="none" w:sz="0" w:space="0" w:color="auto"/>
        <w:right w:val="none" w:sz="0" w:space="0" w:color="auto"/>
      </w:divBdr>
    </w:div>
    <w:div w:id="1141842997">
      <w:bodyDiv w:val="1"/>
      <w:marLeft w:val="0"/>
      <w:marRight w:val="0"/>
      <w:marTop w:val="0"/>
      <w:marBottom w:val="0"/>
      <w:divBdr>
        <w:top w:val="none" w:sz="0" w:space="0" w:color="auto"/>
        <w:left w:val="none" w:sz="0" w:space="0" w:color="auto"/>
        <w:bottom w:val="none" w:sz="0" w:space="0" w:color="auto"/>
        <w:right w:val="none" w:sz="0" w:space="0" w:color="auto"/>
      </w:divBdr>
    </w:div>
    <w:div w:id="1143159709">
      <w:bodyDiv w:val="1"/>
      <w:marLeft w:val="0"/>
      <w:marRight w:val="0"/>
      <w:marTop w:val="0"/>
      <w:marBottom w:val="0"/>
      <w:divBdr>
        <w:top w:val="none" w:sz="0" w:space="0" w:color="auto"/>
        <w:left w:val="none" w:sz="0" w:space="0" w:color="auto"/>
        <w:bottom w:val="none" w:sz="0" w:space="0" w:color="auto"/>
        <w:right w:val="none" w:sz="0" w:space="0" w:color="auto"/>
      </w:divBdr>
    </w:div>
    <w:div w:id="1143352567">
      <w:bodyDiv w:val="1"/>
      <w:marLeft w:val="0"/>
      <w:marRight w:val="0"/>
      <w:marTop w:val="0"/>
      <w:marBottom w:val="0"/>
      <w:divBdr>
        <w:top w:val="none" w:sz="0" w:space="0" w:color="auto"/>
        <w:left w:val="none" w:sz="0" w:space="0" w:color="auto"/>
        <w:bottom w:val="none" w:sz="0" w:space="0" w:color="auto"/>
        <w:right w:val="none" w:sz="0" w:space="0" w:color="auto"/>
      </w:divBdr>
    </w:div>
    <w:div w:id="1143354786">
      <w:bodyDiv w:val="1"/>
      <w:marLeft w:val="0"/>
      <w:marRight w:val="0"/>
      <w:marTop w:val="0"/>
      <w:marBottom w:val="0"/>
      <w:divBdr>
        <w:top w:val="none" w:sz="0" w:space="0" w:color="auto"/>
        <w:left w:val="none" w:sz="0" w:space="0" w:color="auto"/>
        <w:bottom w:val="none" w:sz="0" w:space="0" w:color="auto"/>
        <w:right w:val="none" w:sz="0" w:space="0" w:color="auto"/>
      </w:divBdr>
    </w:div>
    <w:div w:id="1143815099">
      <w:bodyDiv w:val="1"/>
      <w:marLeft w:val="0"/>
      <w:marRight w:val="0"/>
      <w:marTop w:val="0"/>
      <w:marBottom w:val="0"/>
      <w:divBdr>
        <w:top w:val="none" w:sz="0" w:space="0" w:color="auto"/>
        <w:left w:val="none" w:sz="0" w:space="0" w:color="auto"/>
        <w:bottom w:val="none" w:sz="0" w:space="0" w:color="auto"/>
        <w:right w:val="none" w:sz="0" w:space="0" w:color="auto"/>
      </w:divBdr>
    </w:div>
    <w:div w:id="1144005751">
      <w:bodyDiv w:val="1"/>
      <w:marLeft w:val="0"/>
      <w:marRight w:val="0"/>
      <w:marTop w:val="0"/>
      <w:marBottom w:val="0"/>
      <w:divBdr>
        <w:top w:val="none" w:sz="0" w:space="0" w:color="auto"/>
        <w:left w:val="none" w:sz="0" w:space="0" w:color="auto"/>
        <w:bottom w:val="none" w:sz="0" w:space="0" w:color="auto"/>
        <w:right w:val="none" w:sz="0" w:space="0" w:color="auto"/>
      </w:divBdr>
    </w:div>
    <w:div w:id="1145972236">
      <w:bodyDiv w:val="1"/>
      <w:marLeft w:val="0"/>
      <w:marRight w:val="0"/>
      <w:marTop w:val="0"/>
      <w:marBottom w:val="0"/>
      <w:divBdr>
        <w:top w:val="none" w:sz="0" w:space="0" w:color="auto"/>
        <w:left w:val="none" w:sz="0" w:space="0" w:color="auto"/>
        <w:bottom w:val="none" w:sz="0" w:space="0" w:color="auto"/>
        <w:right w:val="none" w:sz="0" w:space="0" w:color="auto"/>
      </w:divBdr>
    </w:div>
    <w:div w:id="1146749277">
      <w:bodyDiv w:val="1"/>
      <w:marLeft w:val="0"/>
      <w:marRight w:val="0"/>
      <w:marTop w:val="0"/>
      <w:marBottom w:val="0"/>
      <w:divBdr>
        <w:top w:val="none" w:sz="0" w:space="0" w:color="auto"/>
        <w:left w:val="none" w:sz="0" w:space="0" w:color="auto"/>
        <w:bottom w:val="none" w:sz="0" w:space="0" w:color="auto"/>
        <w:right w:val="none" w:sz="0" w:space="0" w:color="auto"/>
      </w:divBdr>
    </w:div>
    <w:div w:id="1146820693">
      <w:bodyDiv w:val="1"/>
      <w:marLeft w:val="0"/>
      <w:marRight w:val="0"/>
      <w:marTop w:val="0"/>
      <w:marBottom w:val="0"/>
      <w:divBdr>
        <w:top w:val="none" w:sz="0" w:space="0" w:color="auto"/>
        <w:left w:val="none" w:sz="0" w:space="0" w:color="auto"/>
        <w:bottom w:val="none" w:sz="0" w:space="0" w:color="auto"/>
        <w:right w:val="none" w:sz="0" w:space="0" w:color="auto"/>
      </w:divBdr>
    </w:div>
    <w:div w:id="1146825513">
      <w:bodyDiv w:val="1"/>
      <w:marLeft w:val="0"/>
      <w:marRight w:val="0"/>
      <w:marTop w:val="0"/>
      <w:marBottom w:val="0"/>
      <w:divBdr>
        <w:top w:val="none" w:sz="0" w:space="0" w:color="auto"/>
        <w:left w:val="none" w:sz="0" w:space="0" w:color="auto"/>
        <w:bottom w:val="none" w:sz="0" w:space="0" w:color="auto"/>
        <w:right w:val="none" w:sz="0" w:space="0" w:color="auto"/>
      </w:divBdr>
    </w:div>
    <w:div w:id="1147085843">
      <w:bodyDiv w:val="1"/>
      <w:marLeft w:val="0"/>
      <w:marRight w:val="0"/>
      <w:marTop w:val="0"/>
      <w:marBottom w:val="0"/>
      <w:divBdr>
        <w:top w:val="none" w:sz="0" w:space="0" w:color="auto"/>
        <w:left w:val="none" w:sz="0" w:space="0" w:color="auto"/>
        <w:bottom w:val="none" w:sz="0" w:space="0" w:color="auto"/>
        <w:right w:val="none" w:sz="0" w:space="0" w:color="auto"/>
      </w:divBdr>
    </w:div>
    <w:div w:id="1147816280">
      <w:bodyDiv w:val="1"/>
      <w:marLeft w:val="0"/>
      <w:marRight w:val="0"/>
      <w:marTop w:val="0"/>
      <w:marBottom w:val="0"/>
      <w:divBdr>
        <w:top w:val="none" w:sz="0" w:space="0" w:color="auto"/>
        <w:left w:val="none" w:sz="0" w:space="0" w:color="auto"/>
        <w:bottom w:val="none" w:sz="0" w:space="0" w:color="auto"/>
        <w:right w:val="none" w:sz="0" w:space="0" w:color="auto"/>
      </w:divBdr>
    </w:div>
    <w:div w:id="1148281050">
      <w:bodyDiv w:val="1"/>
      <w:marLeft w:val="0"/>
      <w:marRight w:val="0"/>
      <w:marTop w:val="0"/>
      <w:marBottom w:val="0"/>
      <w:divBdr>
        <w:top w:val="none" w:sz="0" w:space="0" w:color="auto"/>
        <w:left w:val="none" w:sz="0" w:space="0" w:color="auto"/>
        <w:bottom w:val="none" w:sz="0" w:space="0" w:color="auto"/>
        <w:right w:val="none" w:sz="0" w:space="0" w:color="auto"/>
      </w:divBdr>
    </w:div>
    <w:div w:id="1148788550">
      <w:bodyDiv w:val="1"/>
      <w:marLeft w:val="0"/>
      <w:marRight w:val="0"/>
      <w:marTop w:val="0"/>
      <w:marBottom w:val="0"/>
      <w:divBdr>
        <w:top w:val="none" w:sz="0" w:space="0" w:color="auto"/>
        <w:left w:val="none" w:sz="0" w:space="0" w:color="auto"/>
        <w:bottom w:val="none" w:sz="0" w:space="0" w:color="auto"/>
        <w:right w:val="none" w:sz="0" w:space="0" w:color="auto"/>
      </w:divBdr>
    </w:div>
    <w:div w:id="1148859578">
      <w:bodyDiv w:val="1"/>
      <w:marLeft w:val="0"/>
      <w:marRight w:val="0"/>
      <w:marTop w:val="0"/>
      <w:marBottom w:val="0"/>
      <w:divBdr>
        <w:top w:val="none" w:sz="0" w:space="0" w:color="auto"/>
        <w:left w:val="none" w:sz="0" w:space="0" w:color="auto"/>
        <w:bottom w:val="none" w:sz="0" w:space="0" w:color="auto"/>
        <w:right w:val="none" w:sz="0" w:space="0" w:color="auto"/>
      </w:divBdr>
    </w:div>
    <w:div w:id="1148939767">
      <w:bodyDiv w:val="1"/>
      <w:marLeft w:val="0"/>
      <w:marRight w:val="0"/>
      <w:marTop w:val="0"/>
      <w:marBottom w:val="0"/>
      <w:divBdr>
        <w:top w:val="none" w:sz="0" w:space="0" w:color="auto"/>
        <w:left w:val="none" w:sz="0" w:space="0" w:color="auto"/>
        <w:bottom w:val="none" w:sz="0" w:space="0" w:color="auto"/>
        <w:right w:val="none" w:sz="0" w:space="0" w:color="auto"/>
      </w:divBdr>
    </w:div>
    <w:div w:id="1148984014">
      <w:bodyDiv w:val="1"/>
      <w:marLeft w:val="0"/>
      <w:marRight w:val="0"/>
      <w:marTop w:val="0"/>
      <w:marBottom w:val="0"/>
      <w:divBdr>
        <w:top w:val="none" w:sz="0" w:space="0" w:color="auto"/>
        <w:left w:val="none" w:sz="0" w:space="0" w:color="auto"/>
        <w:bottom w:val="none" w:sz="0" w:space="0" w:color="auto"/>
        <w:right w:val="none" w:sz="0" w:space="0" w:color="auto"/>
      </w:divBdr>
    </w:div>
    <w:div w:id="1150101017">
      <w:bodyDiv w:val="1"/>
      <w:marLeft w:val="0"/>
      <w:marRight w:val="0"/>
      <w:marTop w:val="0"/>
      <w:marBottom w:val="0"/>
      <w:divBdr>
        <w:top w:val="none" w:sz="0" w:space="0" w:color="auto"/>
        <w:left w:val="none" w:sz="0" w:space="0" w:color="auto"/>
        <w:bottom w:val="none" w:sz="0" w:space="0" w:color="auto"/>
        <w:right w:val="none" w:sz="0" w:space="0" w:color="auto"/>
      </w:divBdr>
    </w:div>
    <w:div w:id="1150171082">
      <w:bodyDiv w:val="1"/>
      <w:marLeft w:val="0"/>
      <w:marRight w:val="0"/>
      <w:marTop w:val="0"/>
      <w:marBottom w:val="0"/>
      <w:divBdr>
        <w:top w:val="none" w:sz="0" w:space="0" w:color="auto"/>
        <w:left w:val="none" w:sz="0" w:space="0" w:color="auto"/>
        <w:bottom w:val="none" w:sz="0" w:space="0" w:color="auto"/>
        <w:right w:val="none" w:sz="0" w:space="0" w:color="auto"/>
      </w:divBdr>
    </w:div>
    <w:div w:id="1150366352">
      <w:bodyDiv w:val="1"/>
      <w:marLeft w:val="0"/>
      <w:marRight w:val="0"/>
      <w:marTop w:val="0"/>
      <w:marBottom w:val="0"/>
      <w:divBdr>
        <w:top w:val="none" w:sz="0" w:space="0" w:color="auto"/>
        <w:left w:val="none" w:sz="0" w:space="0" w:color="auto"/>
        <w:bottom w:val="none" w:sz="0" w:space="0" w:color="auto"/>
        <w:right w:val="none" w:sz="0" w:space="0" w:color="auto"/>
      </w:divBdr>
    </w:div>
    <w:div w:id="1150630821">
      <w:bodyDiv w:val="1"/>
      <w:marLeft w:val="0"/>
      <w:marRight w:val="0"/>
      <w:marTop w:val="0"/>
      <w:marBottom w:val="0"/>
      <w:divBdr>
        <w:top w:val="none" w:sz="0" w:space="0" w:color="auto"/>
        <w:left w:val="none" w:sz="0" w:space="0" w:color="auto"/>
        <w:bottom w:val="none" w:sz="0" w:space="0" w:color="auto"/>
        <w:right w:val="none" w:sz="0" w:space="0" w:color="auto"/>
      </w:divBdr>
    </w:div>
    <w:div w:id="1151337226">
      <w:bodyDiv w:val="1"/>
      <w:marLeft w:val="0"/>
      <w:marRight w:val="0"/>
      <w:marTop w:val="0"/>
      <w:marBottom w:val="0"/>
      <w:divBdr>
        <w:top w:val="none" w:sz="0" w:space="0" w:color="auto"/>
        <w:left w:val="none" w:sz="0" w:space="0" w:color="auto"/>
        <w:bottom w:val="none" w:sz="0" w:space="0" w:color="auto"/>
        <w:right w:val="none" w:sz="0" w:space="0" w:color="auto"/>
      </w:divBdr>
    </w:div>
    <w:div w:id="1151797845">
      <w:bodyDiv w:val="1"/>
      <w:marLeft w:val="0"/>
      <w:marRight w:val="0"/>
      <w:marTop w:val="0"/>
      <w:marBottom w:val="0"/>
      <w:divBdr>
        <w:top w:val="none" w:sz="0" w:space="0" w:color="auto"/>
        <w:left w:val="none" w:sz="0" w:space="0" w:color="auto"/>
        <w:bottom w:val="none" w:sz="0" w:space="0" w:color="auto"/>
        <w:right w:val="none" w:sz="0" w:space="0" w:color="auto"/>
      </w:divBdr>
    </w:div>
    <w:div w:id="1152332716">
      <w:bodyDiv w:val="1"/>
      <w:marLeft w:val="0"/>
      <w:marRight w:val="0"/>
      <w:marTop w:val="0"/>
      <w:marBottom w:val="0"/>
      <w:divBdr>
        <w:top w:val="none" w:sz="0" w:space="0" w:color="auto"/>
        <w:left w:val="none" w:sz="0" w:space="0" w:color="auto"/>
        <w:bottom w:val="none" w:sz="0" w:space="0" w:color="auto"/>
        <w:right w:val="none" w:sz="0" w:space="0" w:color="auto"/>
      </w:divBdr>
    </w:div>
    <w:div w:id="1152678478">
      <w:bodyDiv w:val="1"/>
      <w:marLeft w:val="0"/>
      <w:marRight w:val="0"/>
      <w:marTop w:val="0"/>
      <w:marBottom w:val="0"/>
      <w:divBdr>
        <w:top w:val="none" w:sz="0" w:space="0" w:color="auto"/>
        <w:left w:val="none" w:sz="0" w:space="0" w:color="auto"/>
        <w:bottom w:val="none" w:sz="0" w:space="0" w:color="auto"/>
        <w:right w:val="none" w:sz="0" w:space="0" w:color="auto"/>
      </w:divBdr>
    </w:div>
    <w:div w:id="1152983805">
      <w:bodyDiv w:val="1"/>
      <w:marLeft w:val="0"/>
      <w:marRight w:val="0"/>
      <w:marTop w:val="0"/>
      <w:marBottom w:val="0"/>
      <w:divBdr>
        <w:top w:val="none" w:sz="0" w:space="0" w:color="auto"/>
        <w:left w:val="none" w:sz="0" w:space="0" w:color="auto"/>
        <w:bottom w:val="none" w:sz="0" w:space="0" w:color="auto"/>
        <w:right w:val="none" w:sz="0" w:space="0" w:color="auto"/>
      </w:divBdr>
    </w:div>
    <w:div w:id="1153256046">
      <w:bodyDiv w:val="1"/>
      <w:marLeft w:val="0"/>
      <w:marRight w:val="0"/>
      <w:marTop w:val="0"/>
      <w:marBottom w:val="0"/>
      <w:divBdr>
        <w:top w:val="none" w:sz="0" w:space="0" w:color="auto"/>
        <w:left w:val="none" w:sz="0" w:space="0" w:color="auto"/>
        <w:bottom w:val="none" w:sz="0" w:space="0" w:color="auto"/>
        <w:right w:val="none" w:sz="0" w:space="0" w:color="auto"/>
      </w:divBdr>
    </w:div>
    <w:div w:id="1153451247">
      <w:bodyDiv w:val="1"/>
      <w:marLeft w:val="0"/>
      <w:marRight w:val="0"/>
      <w:marTop w:val="0"/>
      <w:marBottom w:val="0"/>
      <w:divBdr>
        <w:top w:val="none" w:sz="0" w:space="0" w:color="auto"/>
        <w:left w:val="none" w:sz="0" w:space="0" w:color="auto"/>
        <w:bottom w:val="none" w:sz="0" w:space="0" w:color="auto"/>
        <w:right w:val="none" w:sz="0" w:space="0" w:color="auto"/>
      </w:divBdr>
    </w:div>
    <w:div w:id="1154493957">
      <w:bodyDiv w:val="1"/>
      <w:marLeft w:val="0"/>
      <w:marRight w:val="0"/>
      <w:marTop w:val="0"/>
      <w:marBottom w:val="0"/>
      <w:divBdr>
        <w:top w:val="none" w:sz="0" w:space="0" w:color="auto"/>
        <w:left w:val="none" w:sz="0" w:space="0" w:color="auto"/>
        <w:bottom w:val="none" w:sz="0" w:space="0" w:color="auto"/>
        <w:right w:val="none" w:sz="0" w:space="0" w:color="auto"/>
      </w:divBdr>
    </w:div>
    <w:div w:id="1154683906">
      <w:bodyDiv w:val="1"/>
      <w:marLeft w:val="0"/>
      <w:marRight w:val="0"/>
      <w:marTop w:val="0"/>
      <w:marBottom w:val="0"/>
      <w:divBdr>
        <w:top w:val="none" w:sz="0" w:space="0" w:color="auto"/>
        <w:left w:val="none" w:sz="0" w:space="0" w:color="auto"/>
        <w:bottom w:val="none" w:sz="0" w:space="0" w:color="auto"/>
        <w:right w:val="none" w:sz="0" w:space="0" w:color="auto"/>
      </w:divBdr>
    </w:div>
    <w:div w:id="1154764160">
      <w:bodyDiv w:val="1"/>
      <w:marLeft w:val="0"/>
      <w:marRight w:val="0"/>
      <w:marTop w:val="0"/>
      <w:marBottom w:val="0"/>
      <w:divBdr>
        <w:top w:val="none" w:sz="0" w:space="0" w:color="auto"/>
        <w:left w:val="none" w:sz="0" w:space="0" w:color="auto"/>
        <w:bottom w:val="none" w:sz="0" w:space="0" w:color="auto"/>
        <w:right w:val="none" w:sz="0" w:space="0" w:color="auto"/>
      </w:divBdr>
    </w:div>
    <w:div w:id="1155336699">
      <w:bodyDiv w:val="1"/>
      <w:marLeft w:val="0"/>
      <w:marRight w:val="0"/>
      <w:marTop w:val="0"/>
      <w:marBottom w:val="0"/>
      <w:divBdr>
        <w:top w:val="none" w:sz="0" w:space="0" w:color="auto"/>
        <w:left w:val="none" w:sz="0" w:space="0" w:color="auto"/>
        <w:bottom w:val="none" w:sz="0" w:space="0" w:color="auto"/>
        <w:right w:val="none" w:sz="0" w:space="0" w:color="auto"/>
      </w:divBdr>
    </w:div>
    <w:div w:id="1155415850">
      <w:bodyDiv w:val="1"/>
      <w:marLeft w:val="0"/>
      <w:marRight w:val="0"/>
      <w:marTop w:val="0"/>
      <w:marBottom w:val="0"/>
      <w:divBdr>
        <w:top w:val="none" w:sz="0" w:space="0" w:color="auto"/>
        <w:left w:val="none" w:sz="0" w:space="0" w:color="auto"/>
        <w:bottom w:val="none" w:sz="0" w:space="0" w:color="auto"/>
        <w:right w:val="none" w:sz="0" w:space="0" w:color="auto"/>
      </w:divBdr>
    </w:div>
    <w:div w:id="1155561010">
      <w:bodyDiv w:val="1"/>
      <w:marLeft w:val="0"/>
      <w:marRight w:val="0"/>
      <w:marTop w:val="0"/>
      <w:marBottom w:val="0"/>
      <w:divBdr>
        <w:top w:val="none" w:sz="0" w:space="0" w:color="auto"/>
        <w:left w:val="none" w:sz="0" w:space="0" w:color="auto"/>
        <w:bottom w:val="none" w:sz="0" w:space="0" w:color="auto"/>
        <w:right w:val="none" w:sz="0" w:space="0" w:color="auto"/>
      </w:divBdr>
    </w:div>
    <w:div w:id="1156065871">
      <w:bodyDiv w:val="1"/>
      <w:marLeft w:val="0"/>
      <w:marRight w:val="0"/>
      <w:marTop w:val="0"/>
      <w:marBottom w:val="0"/>
      <w:divBdr>
        <w:top w:val="none" w:sz="0" w:space="0" w:color="auto"/>
        <w:left w:val="none" w:sz="0" w:space="0" w:color="auto"/>
        <w:bottom w:val="none" w:sz="0" w:space="0" w:color="auto"/>
        <w:right w:val="none" w:sz="0" w:space="0" w:color="auto"/>
      </w:divBdr>
    </w:div>
    <w:div w:id="1156144637">
      <w:bodyDiv w:val="1"/>
      <w:marLeft w:val="0"/>
      <w:marRight w:val="0"/>
      <w:marTop w:val="0"/>
      <w:marBottom w:val="0"/>
      <w:divBdr>
        <w:top w:val="none" w:sz="0" w:space="0" w:color="auto"/>
        <w:left w:val="none" w:sz="0" w:space="0" w:color="auto"/>
        <w:bottom w:val="none" w:sz="0" w:space="0" w:color="auto"/>
        <w:right w:val="none" w:sz="0" w:space="0" w:color="auto"/>
      </w:divBdr>
    </w:div>
    <w:div w:id="1156258619">
      <w:bodyDiv w:val="1"/>
      <w:marLeft w:val="0"/>
      <w:marRight w:val="0"/>
      <w:marTop w:val="0"/>
      <w:marBottom w:val="0"/>
      <w:divBdr>
        <w:top w:val="none" w:sz="0" w:space="0" w:color="auto"/>
        <w:left w:val="none" w:sz="0" w:space="0" w:color="auto"/>
        <w:bottom w:val="none" w:sz="0" w:space="0" w:color="auto"/>
        <w:right w:val="none" w:sz="0" w:space="0" w:color="auto"/>
      </w:divBdr>
    </w:div>
    <w:div w:id="1156608917">
      <w:bodyDiv w:val="1"/>
      <w:marLeft w:val="0"/>
      <w:marRight w:val="0"/>
      <w:marTop w:val="0"/>
      <w:marBottom w:val="0"/>
      <w:divBdr>
        <w:top w:val="none" w:sz="0" w:space="0" w:color="auto"/>
        <w:left w:val="none" w:sz="0" w:space="0" w:color="auto"/>
        <w:bottom w:val="none" w:sz="0" w:space="0" w:color="auto"/>
        <w:right w:val="none" w:sz="0" w:space="0" w:color="auto"/>
      </w:divBdr>
    </w:div>
    <w:div w:id="1156989364">
      <w:bodyDiv w:val="1"/>
      <w:marLeft w:val="0"/>
      <w:marRight w:val="0"/>
      <w:marTop w:val="0"/>
      <w:marBottom w:val="0"/>
      <w:divBdr>
        <w:top w:val="none" w:sz="0" w:space="0" w:color="auto"/>
        <w:left w:val="none" w:sz="0" w:space="0" w:color="auto"/>
        <w:bottom w:val="none" w:sz="0" w:space="0" w:color="auto"/>
        <w:right w:val="none" w:sz="0" w:space="0" w:color="auto"/>
      </w:divBdr>
    </w:div>
    <w:div w:id="1157069746">
      <w:bodyDiv w:val="1"/>
      <w:marLeft w:val="0"/>
      <w:marRight w:val="0"/>
      <w:marTop w:val="0"/>
      <w:marBottom w:val="0"/>
      <w:divBdr>
        <w:top w:val="none" w:sz="0" w:space="0" w:color="auto"/>
        <w:left w:val="none" w:sz="0" w:space="0" w:color="auto"/>
        <w:bottom w:val="none" w:sz="0" w:space="0" w:color="auto"/>
        <w:right w:val="none" w:sz="0" w:space="0" w:color="auto"/>
      </w:divBdr>
    </w:div>
    <w:div w:id="1157578266">
      <w:bodyDiv w:val="1"/>
      <w:marLeft w:val="0"/>
      <w:marRight w:val="0"/>
      <w:marTop w:val="0"/>
      <w:marBottom w:val="0"/>
      <w:divBdr>
        <w:top w:val="none" w:sz="0" w:space="0" w:color="auto"/>
        <w:left w:val="none" w:sz="0" w:space="0" w:color="auto"/>
        <w:bottom w:val="none" w:sz="0" w:space="0" w:color="auto"/>
        <w:right w:val="none" w:sz="0" w:space="0" w:color="auto"/>
      </w:divBdr>
    </w:div>
    <w:div w:id="1157646858">
      <w:bodyDiv w:val="1"/>
      <w:marLeft w:val="0"/>
      <w:marRight w:val="0"/>
      <w:marTop w:val="0"/>
      <w:marBottom w:val="0"/>
      <w:divBdr>
        <w:top w:val="none" w:sz="0" w:space="0" w:color="auto"/>
        <w:left w:val="none" w:sz="0" w:space="0" w:color="auto"/>
        <w:bottom w:val="none" w:sz="0" w:space="0" w:color="auto"/>
        <w:right w:val="none" w:sz="0" w:space="0" w:color="auto"/>
      </w:divBdr>
    </w:div>
    <w:div w:id="1157959748">
      <w:bodyDiv w:val="1"/>
      <w:marLeft w:val="0"/>
      <w:marRight w:val="0"/>
      <w:marTop w:val="0"/>
      <w:marBottom w:val="0"/>
      <w:divBdr>
        <w:top w:val="none" w:sz="0" w:space="0" w:color="auto"/>
        <w:left w:val="none" w:sz="0" w:space="0" w:color="auto"/>
        <w:bottom w:val="none" w:sz="0" w:space="0" w:color="auto"/>
        <w:right w:val="none" w:sz="0" w:space="0" w:color="auto"/>
      </w:divBdr>
    </w:div>
    <w:div w:id="1158107310">
      <w:bodyDiv w:val="1"/>
      <w:marLeft w:val="0"/>
      <w:marRight w:val="0"/>
      <w:marTop w:val="0"/>
      <w:marBottom w:val="0"/>
      <w:divBdr>
        <w:top w:val="none" w:sz="0" w:space="0" w:color="auto"/>
        <w:left w:val="none" w:sz="0" w:space="0" w:color="auto"/>
        <w:bottom w:val="none" w:sz="0" w:space="0" w:color="auto"/>
        <w:right w:val="none" w:sz="0" w:space="0" w:color="auto"/>
      </w:divBdr>
    </w:div>
    <w:div w:id="1158423962">
      <w:bodyDiv w:val="1"/>
      <w:marLeft w:val="0"/>
      <w:marRight w:val="0"/>
      <w:marTop w:val="0"/>
      <w:marBottom w:val="0"/>
      <w:divBdr>
        <w:top w:val="none" w:sz="0" w:space="0" w:color="auto"/>
        <w:left w:val="none" w:sz="0" w:space="0" w:color="auto"/>
        <w:bottom w:val="none" w:sz="0" w:space="0" w:color="auto"/>
        <w:right w:val="none" w:sz="0" w:space="0" w:color="auto"/>
      </w:divBdr>
    </w:div>
    <w:div w:id="1158501714">
      <w:bodyDiv w:val="1"/>
      <w:marLeft w:val="0"/>
      <w:marRight w:val="0"/>
      <w:marTop w:val="0"/>
      <w:marBottom w:val="0"/>
      <w:divBdr>
        <w:top w:val="none" w:sz="0" w:space="0" w:color="auto"/>
        <w:left w:val="none" w:sz="0" w:space="0" w:color="auto"/>
        <w:bottom w:val="none" w:sz="0" w:space="0" w:color="auto"/>
        <w:right w:val="none" w:sz="0" w:space="0" w:color="auto"/>
      </w:divBdr>
    </w:div>
    <w:div w:id="1158961023">
      <w:bodyDiv w:val="1"/>
      <w:marLeft w:val="0"/>
      <w:marRight w:val="0"/>
      <w:marTop w:val="0"/>
      <w:marBottom w:val="0"/>
      <w:divBdr>
        <w:top w:val="none" w:sz="0" w:space="0" w:color="auto"/>
        <w:left w:val="none" w:sz="0" w:space="0" w:color="auto"/>
        <w:bottom w:val="none" w:sz="0" w:space="0" w:color="auto"/>
        <w:right w:val="none" w:sz="0" w:space="0" w:color="auto"/>
      </w:divBdr>
    </w:div>
    <w:div w:id="1159076110">
      <w:bodyDiv w:val="1"/>
      <w:marLeft w:val="0"/>
      <w:marRight w:val="0"/>
      <w:marTop w:val="0"/>
      <w:marBottom w:val="0"/>
      <w:divBdr>
        <w:top w:val="none" w:sz="0" w:space="0" w:color="auto"/>
        <w:left w:val="none" w:sz="0" w:space="0" w:color="auto"/>
        <w:bottom w:val="none" w:sz="0" w:space="0" w:color="auto"/>
        <w:right w:val="none" w:sz="0" w:space="0" w:color="auto"/>
      </w:divBdr>
    </w:div>
    <w:div w:id="1159342225">
      <w:bodyDiv w:val="1"/>
      <w:marLeft w:val="0"/>
      <w:marRight w:val="0"/>
      <w:marTop w:val="0"/>
      <w:marBottom w:val="0"/>
      <w:divBdr>
        <w:top w:val="none" w:sz="0" w:space="0" w:color="auto"/>
        <w:left w:val="none" w:sz="0" w:space="0" w:color="auto"/>
        <w:bottom w:val="none" w:sz="0" w:space="0" w:color="auto"/>
        <w:right w:val="none" w:sz="0" w:space="0" w:color="auto"/>
      </w:divBdr>
    </w:div>
    <w:div w:id="1159810840">
      <w:bodyDiv w:val="1"/>
      <w:marLeft w:val="0"/>
      <w:marRight w:val="0"/>
      <w:marTop w:val="0"/>
      <w:marBottom w:val="0"/>
      <w:divBdr>
        <w:top w:val="none" w:sz="0" w:space="0" w:color="auto"/>
        <w:left w:val="none" w:sz="0" w:space="0" w:color="auto"/>
        <w:bottom w:val="none" w:sz="0" w:space="0" w:color="auto"/>
        <w:right w:val="none" w:sz="0" w:space="0" w:color="auto"/>
      </w:divBdr>
    </w:div>
    <w:div w:id="1159884504">
      <w:bodyDiv w:val="1"/>
      <w:marLeft w:val="0"/>
      <w:marRight w:val="0"/>
      <w:marTop w:val="0"/>
      <w:marBottom w:val="0"/>
      <w:divBdr>
        <w:top w:val="none" w:sz="0" w:space="0" w:color="auto"/>
        <w:left w:val="none" w:sz="0" w:space="0" w:color="auto"/>
        <w:bottom w:val="none" w:sz="0" w:space="0" w:color="auto"/>
        <w:right w:val="none" w:sz="0" w:space="0" w:color="auto"/>
      </w:divBdr>
    </w:div>
    <w:div w:id="1160729863">
      <w:bodyDiv w:val="1"/>
      <w:marLeft w:val="0"/>
      <w:marRight w:val="0"/>
      <w:marTop w:val="0"/>
      <w:marBottom w:val="0"/>
      <w:divBdr>
        <w:top w:val="none" w:sz="0" w:space="0" w:color="auto"/>
        <w:left w:val="none" w:sz="0" w:space="0" w:color="auto"/>
        <w:bottom w:val="none" w:sz="0" w:space="0" w:color="auto"/>
        <w:right w:val="none" w:sz="0" w:space="0" w:color="auto"/>
      </w:divBdr>
    </w:div>
    <w:div w:id="1161196924">
      <w:bodyDiv w:val="1"/>
      <w:marLeft w:val="0"/>
      <w:marRight w:val="0"/>
      <w:marTop w:val="0"/>
      <w:marBottom w:val="0"/>
      <w:divBdr>
        <w:top w:val="none" w:sz="0" w:space="0" w:color="auto"/>
        <w:left w:val="none" w:sz="0" w:space="0" w:color="auto"/>
        <w:bottom w:val="none" w:sz="0" w:space="0" w:color="auto"/>
        <w:right w:val="none" w:sz="0" w:space="0" w:color="auto"/>
      </w:divBdr>
    </w:div>
    <w:div w:id="1161239733">
      <w:bodyDiv w:val="1"/>
      <w:marLeft w:val="0"/>
      <w:marRight w:val="0"/>
      <w:marTop w:val="0"/>
      <w:marBottom w:val="0"/>
      <w:divBdr>
        <w:top w:val="none" w:sz="0" w:space="0" w:color="auto"/>
        <w:left w:val="none" w:sz="0" w:space="0" w:color="auto"/>
        <w:bottom w:val="none" w:sz="0" w:space="0" w:color="auto"/>
        <w:right w:val="none" w:sz="0" w:space="0" w:color="auto"/>
      </w:divBdr>
    </w:div>
    <w:div w:id="1161239747">
      <w:bodyDiv w:val="1"/>
      <w:marLeft w:val="0"/>
      <w:marRight w:val="0"/>
      <w:marTop w:val="0"/>
      <w:marBottom w:val="0"/>
      <w:divBdr>
        <w:top w:val="none" w:sz="0" w:space="0" w:color="auto"/>
        <w:left w:val="none" w:sz="0" w:space="0" w:color="auto"/>
        <w:bottom w:val="none" w:sz="0" w:space="0" w:color="auto"/>
        <w:right w:val="none" w:sz="0" w:space="0" w:color="auto"/>
      </w:divBdr>
    </w:div>
    <w:div w:id="1161264898">
      <w:bodyDiv w:val="1"/>
      <w:marLeft w:val="0"/>
      <w:marRight w:val="0"/>
      <w:marTop w:val="0"/>
      <w:marBottom w:val="0"/>
      <w:divBdr>
        <w:top w:val="none" w:sz="0" w:space="0" w:color="auto"/>
        <w:left w:val="none" w:sz="0" w:space="0" w:color="auto"/>
        <w:bottom w:val="none" w:sz="0" w:space="0" w:color="auto"/>
        <w:right w:val="none" w:sz="0" w:space="0" w:color="auto"/>
      </w:divBdr>
    </w:div>
    <w:div w:id="1161850159">
      <w:bodyDiv w:val="1"/>
      <w:marLeft w:val="0"/>
      <w:marRight w:val="0"/>
      <w:marTop w:val="0"/>
      <w:marBottom w:val="0"/>
      <w:divBdr>
        <w:top w:val="none" w:sz="0" w:space="0" w:color="auto"/>
        <w:left w:val="none" w:sz="0" w:space="0" w:color="auto"/>
        <w:bottom w:val="none" w:sz="0" w:space="0" w:color="auto"/>
        <w:right w:val="none" w:sz="0" w:space="0" w:color="auto"/>
      </w:divBdr>
    </w:div>
    <w:div w:id="1163277008">
      <w:bodyDiv w:val="1"/>
      <w:marLeft w:val="0"/>
      <w:marRight w:val="0"/>
      <w:marTop w:val="0"/>
      <w:marBottom w:val="0"/>
      <w:divBdr>
        <w:top w:val="none" w:sz="0" w:space="0" w:color="auto"/>
        <w:left w:val="none" w:sz="0" w:space="0" w:color="auto"/>
        <w:bottom w:val="none" w:sz="0" w:space="0" w:color="auto"/>
        <w:right w:val="none" w:sz="0" w:space="0" w:color="auto"/>
      </w:divBdr>
    </w:div>
    <w:div w:id="1163424513">
      <w:bodyDiv w:val="1"/>
      <w:marLeft w:val="0"/>
      <w:marRight w:val="0"/>
      <w:marTop w:val="0"/>
      <w:marBottom w:val="0"/>
      <w:divBdr>
        <w:top w:val="none" w:sz="0" w:space="0" w:color="auto"/>
        <w:left w:val="none" w:sz="0" w:space="0" w:color="auto"/>
        <w:bottom w:val="none" w:sz="0" w:space="0" w:color="auto"/>
        <w:right w:val="none" w:sz="0" w:space="0" w:color="auto"/>
      </w:divBdr>
    </w:div>
    <w:div w:id="1163593211">
      <w:bodyDiv w:val="1"/>
      <w:marLeft w:val="0"/>
      <w:marRight w:val="0"/>
      <w:marTop w:val="0"/>
      <w:marBottom w:val="0"/>
      <w:divBdr>
        <w:top w:val="none" w:sz="0" w:space="0" w:color="auto"/>
        <w:left w:val="none" w:sz="0" w:space="0" w:color="auto"/>
        <w:bottom w:val="none" w:sz="0" w:space="0" w:color="auto"/>
        <w:right w:val="none" w:sz="0" w:space="0" w:color="auto"/>
      </w:divBdr>
    </w:div>
    <w:div w:id="1164665523">
      <w:bodyDiv w:val="1"/>
      <w:marLeft w:val="0"/>
      <w:marRight w:val="0"/>
      <w:marTop w:val="0"/>
      <w:marBottom w:val="0"/>
      <w:divBdr>
        <w:top w:val="none" w:sz="0" w:space="0" w:color="auto"/>
        <w:left w:val="none" w:sz="0" w:space="0" w:color="auto"/>
        <w:bottom w:val="none" w:sz="0" w:space="0" w:color="auto"/>
        <w:right w:val="none" w:sz="0" w:space="0" w:color="auto"/>
      </w:divBdr>
    </w:div>
    <w:div w:id="1164665912">
      <w:bodyDiv w:val="1"/>
      <w:marLeft w:val="0"/>
      <w:marRight w:val="0"/>
      <w:marTop w:val="0"/>
      <w:marBottom w:val="0"/>
      <w:divBdr>
        <w:top w:val="none" w:sz="0" w:space="0" w:color="auto"/>
        <w:left w:val="none" w:sz="0" w:space="0" w:color="auto"/>
        <w:bottom w:val="none" w:sz="0" w:space="0" w:color="auto"/>
        <w:right w:val="none" w:sz="0" w:space="0" w:color="auto"/>
      </w:divBdr>
    </w:div>
    <w:div w:id="1164777628">
      <w:bodyDiv w:val="1"/>
      <w:marLeft w:val="0"/>
      <w:marRight w:val="0"/>
      <w:marTop w:val="0"/>
      <w:marBottom w:val="0"/>
      <w:divBdr>
        <w:top w:val="none" w:sz="0" w:space="0" w:color="auto"/>
        <w:left w:val="none" w:sz="0" w:space="0" w:color="auto"/>
        <w:bottom w:val="none" w:sz="0" w:space="0" w:color="auto"/>
        <w:right w:val="none" w:sz="0" w:space="0" w:color="auto"/>
      </w:divBdr>
    </w:div>
    <w:div w:id="1164858886">
      <w:bodyDiv w:val="1"/>
      <w:marLeft w:val="0"/>
      <w:marRight w:val="0"/>
      <w:marTop w:val="0"/>
      <w:marBottom w:val="0"/>
      <w:divBdr>
        <w:top w:val="none" w:sz="0" w:space="0" w:color="auto"/>
        <w:left w:val="none" w:sz="0" w:space="0" w:color="auto"/>
        <w:bottom w:val="none" w:sz="0" w:space="0" w:color="auto"/>
        <w:right w:val="none" w:sz="0" w:space="0" w:color="auto"/>
      </w:divBdr>
    </w:div>
    <w:div w:id="1165977928">
      <w:bodyDiv w:val="1"/>
      <w:marLeft w:val="0"/>
      <w:marRight w:val="0"/>
      <w:marTop w:val="0"/>
      <w:marBottom w:val="0"/>
      <w:divBdr>
        <w:top w:val="none" w:sz="0" w:space="0" w:color="auto"/>
        <w:left w:val="none" w:sz="0" w:space="0" w:color="auto"/>
        <w:bottom w:val="none" w:sz="0" w:space="0" w:color="auto"/>
        <w:right w:val="none" w:sz="0" w:space="0" w:color="auto"/>
      </w:divBdr>
    </w:div>
    <w:div w:id="1166094016">
      <w:bodyDiv w:val="1"/>
      <w:marLeft w:val="0"/>
      <w:marRight w:val="0"/>
      <w:marTop w:val="0"/>
      <w:marBottom w:val="0"/>
      <w:divBdr>
        <w:top w:val="none" w:sz="0" w:space="0" w:color="auto"/>
        <w:left w:val="none" w:sz="0" w:space="0" w:color="auto"/>
        <w:bottom w:val="none" w:sz="0" w:space="0" w:color="auto"/>
        <w:right w:val="none" w:sz="0" w:space="0" w:color="auto"/>
      </w:divBdr>
    </w:div>
    <w:div w:id="1166288581">
      <w:bodyDiv w:val="1"/>
      <w:marLeft w:val="0"/>
      <w:marRight w:val="0"/>
      <w:marTop w:val="0"/>
      <w:marBottom w:val="0"/>
      <w:divBdr>
        <w:top w:val="none" w:sz="0" w:space="0" w:color="auto"/>
        <w:left w:val="none" w:sz="0" w:space="0" w:color="auto"/>
        <w:bottom w:val="none" w:sz="0" w:space="0" w:color="auto"/>
        <w:right w:val="none" w:sz="0" w:space="0" w:color="auto"/>
      </w:divBdr>
    </w:div>
    <w:div w:id="1166360427">
      <w:bodyDiv w:val="1"/>
      <w:marLeft w:val="0"/>
      <w:marRight w:val="0"/>
      <w:marTop w:val="0"/>
      <w:marBottom w:val="0"/>
      <w:divBdr>
        <w:top w:val="none" w:sz="0" w:space="0" w:color="auto"/>
        <w:left w:val="none" w:sz="0" w:space="0" w:color="auto"/>
        <w:bottom w:val="none" w:sz="0" w:space="0" w:color="auto"/>
        <w:right w:val="none" w:sz="0" w:space="0" w:color="auto"/>
      </w:divBdr>
    </w:div>
    <w:div w:id="1166361646">
      <w:bodyDiv w:val="1"/>
      <w:marLeft w:val="0"/>
      <w:marRight w:val="0"/>
      <w:marTop w:val="0"/>
      <w:marBottom w:val="0"/>
      <w:divBdr>
        <w:top w:val="none" w:sz="0" w:space="0" w:color="auto"/>
        <w:left w:val="none" w:sz="0" w:space="0" w:color="auto"/>
        <w:bottom w:val="none" w:sz="0" w:space="0" w:color="auto"/>
        <w:right w:val="none" w:sz="0" w:space="0" w:color="auto"/>
      </w:divBdr>
    </w:div>
    <w:div w:id="1166551781">
      <w:bodyDiv w:val="1"/>
      <w:marLeft w:val="0"/>
      <w:marRight w:val="0"/>
      <w:marTop w:val="0"/>
      <w:marBottom w:val="0"/>
      <w:divBdr>
        <w:top w:val="none" w:sz="0" w:space="0" w:color="auto"/>
        <w:left w:val="none" w:sz="0" w:space="0" w:color="auto"/>
        <w:bottom w:val="none" w:sz="0" w:space="0" w:color="auto"/>
        <w:right w:val="none" w:sz="0" w:space="0" w:color="auto"/>
      </w:divBdr>
    </w:div>
    <w:div w:id="1166897996">
      <w:bodyDiv w:val="1"/>
      <w:marLeft w:val="0"/>
      <w:marRight w:val="0"/>
      <w:marTop w:val="0"/>
      <w:marBottom w:val="0"/>
      <w:divBdr>
        <w:top w:val="none" w:sz="0" w:space="0" w:color="auto"/>
        <w:left w:val="none" w:sz="0" w:space="0" w:color="auto"/>
        <w:bottom w:val="none" w:sz="0" w:space="0" w:color="auto"/>
        <w:right w:val="none" w:sz="0" w:space="0" w:color="auto"/>
      </w:divBdr>
    </w:div>
    <w:div w:id="1167554646">
      <w:bodyDiv w:val="1"/>
      <w:marLeft w:val="0"/>
      <w:marRight w:val="0"/>
      <w:marTop w:val="0"/>
      <w:marBottom w:val="0"/>
      <w:divBdr>
        <w:top w:val="none" w:sz="0" w:space="0" w:color="auto"/>
        <w:left w:val="none" w:sz="0" w:space="0" w:color="auto"/>
        <w:bottom w:val="none" w:sz="0" w:space="0" w:color="auto"/>
        <w:right w:val="none" w:sz="0" w:space="0" w:color="auto"/>
      </w:divBdr>
    </w:div>
    <w:div w:id="1167676472">
      <w:bodyDiv w:val="1"/>
      <w:marLeft w:val="0"/>
      <w:marRight w:val="0"/>
      <w:marTop w:val="0"/>
      <w:marBottom w:val="0"/>
      <w:divBdr>
        <w:top w:val="none" w:sz="0" w:space="0" w:color="auto"/>
        <w:left w:val="none" w:sz="0" w:space="0" w:color="auto"/>
        <w:bottom w:val="none" w:sz="0" w:space="0" w:color="auto"/>
        <w:right w:val="none" w:sz="0" w:space="0" w:color="auto"/>
      </w:divBdr>
    </w:div>
    <w:div w:id="1167987346">
      <w:bodyDiv w:val="1"/>
      <w:marLeft w:val="0"/>
      <w:marRight w:val="0"/>
      <w:marTop w:val="0"/>
      <w:marBottom w:val="0"/>
      <w:divBdr>
        <w:top w:val="none" w:sz="0" w:space="0" w:color="auto"/>
        <w:left w:val="none" w:sz="0" w:space="0" w:color="auto"/>
        <w:bottom w:val="none" w:sz="0" w:space="0" w:color="auto"/>
        <w:right w:val="none" w:sz="0" w:space="0" w:color="auto"/>
      </w:divBdr>
    </w:div>
    <w:div w:id="1168861682">
      <w:bodyDiv w:val="1"/>
      <w:marLeft w:val="0"/>
      <w:marRight w:val="0"/>
      <w:marTop w:val="0"/>
      <w:marBottom w:val="0"/>
      <w:divBdr>
        <w:top w:val="none" w:sz="0" w:space="0" w:color="auto"/>
        <w:left w:val="none" w:sz="0" w:space="0" w:color="auto"/>
        <w:bottom w:val="none" w:sz="0" w:space="0" w:color="auto"/>
        <w:right w:val="none" w:sz="0" w:space="0" w:color="auto"/>
      </w:divBdr>
    </w:div>
    <w:div w:id="1168904424">
      <w:bodyDiv w:val="1"/>
      <w:marLeft w:val="0"/>
      <w:marRight w:val="0"/>
      <w:marTop w:val="0"/>
      <w:marBottom w:val="0"/>
      <w:divBdr>
        <w:top w:val="none" w:sz="0" w:space="0" w:color="auto"/>
        <w:left w:val="none" w:sz="0" w:space="0" w:color="auto"/>
        <w:bottom w:val="none" w:sz="0" w:space="0" w:color="auto"/>
        <w:right w:val="none" w:sz="0" w:space="0" w:color="auto"/>
      </w:divBdr>
    </w:div>
    <w:div w:id="1168907598">
      <w:bodyDiv w:val="1"/>
      <w:marLeft w:val="0"/>
      <w:marRight w:val="0"/>
      <w:marTop w:val="0"/>
      <w:marBottom w:val="0"/>
      <w:divBdr>
        <w:top w:val="none" w:sz="0" w:space="0" w:color="auto"/>
        <w:left w:val="none" w:sz="0" w:space="0" w:color="auto"/>
        <w:bottom w:val="none" w:sz="0" w:space="0" w:color="auto"/>
        <w:right w:val="none" w:sz="0" w:space="0" w:color="auto"/>
      </w:divBdr>
    </w:div>
    <w:div w:id="1169909552">
      <w:bodyDiv w:val="1"/>
      <w:marLeft w:val="0"/>
      <w:marRight w:val="0"/>
      <w:marTop w:val="0"/>
      <w:marBottom w:val="0"/>
      <w:divBdr>
        <w:top w:val="none" w:sz="0" w:space="0" w:color="auto"/>
        <w:left w:val="none" w:sz="0" w:space="0" w:color="auto"/>
        <w:bottom w:val="none" w:sz="0" w:space="0" w:color="auto"/>
        <w:right w:val="none" w:sz="0" w:space="0" w:color="auto"/>
      </w:divBdr>
    </w:div>
    <w:div w:id="1170100262">
      <w:bodyDiv w:val="1"/>
      <w:marLeft w:val="0"/>
      <w:marRight w:val="0"/>
      <w:marTop w:val="0"/>
      <w:marBottom w:val="0"/>
      <w:divBdr>
        <w:top w:val="none" w:sz="0" w:space="0" w:color="auto"/>
        <w:left w:val="none" w:sz="0" w:space="0" w:color="auto"/>
        <w:bottom w:val="none" w:sz="0" w:space="0" w:color="auto"/>
        <w:right w:val="none" w:sz="0" w:space="0" w:color="auto"/>
      </w:divBdr>
    </w:div>
    <w:div w:id="1170755313">
      <w:bodyDiv w:val="1"/>
      <w:marLeft w:val="0"/>
      <w:marRight w:val="0"/>
      <w:marTop w:val="0"/>
      <w:marBottom w:val="0"/>
      <w:divBdr>
        <w:top w:val="none" w:sz="0" w:space="0" w:color="auto"/>
        <w:left w:val="none" w:sz="0" w:space="0" w:color="auto"/>
        <w:bottom w:val="none" w:sz="0" w:space="0" w:color="auto"/>
        <w:right w:val="none" w:sz="0" w:space="0" w:color="auto"/>
      </w:divBdr>
    </w:div>
    <w:div w:id="1170828089">
      <w:bodyDiv w:val="1"/>
      <w:marLeft w:val="0"/>
      <w:marRight w:val="0"/>
      <w:marTop w:val="0"/>
      <w:marBottom w:val="0"/>
      <w:divBdr>
        <w:top w:val="none" w:sz="0" w:space="0" w:color="auto"/>
        <w:left w:val="none" w:sz="0" w:space="0" w:color="auto"/>
        <w:bottom w:val="none" w:sz="0" w:space="0" w:color="auto"/>
        <w:right w:val="none" w:sz="0" w:space="0" w:color="auto"/>
      </w:divBdr>
    </w:div>
    <w:div w:id="1171793579">
      <w:bodyDiv w:val="1"/>
      <w:marLeft w:val="0"/>
      <w:marRight w:val="0"/>
      <w:marTop w:val="0"/>
      <w:marBottom w:val="0"/>
      <w:divBdr>
        <w:top w:val="none" w:sz="0" w:space="0" w:color="auto"/>
        <w:left w:val="none" w:sz="0" w:space="0" w:color="auto"/>
        <w:bottom w:val="none" w:sz="0" w:space="0" w:color="auto"/>
        <w:right w:val="none" w:sz="0" w:space="0" w:color="auto"/>
      </w:divBdr>
    </w:div>
    <w:div w:id="1171945527">
      <w:bodyDiv w:val="1"/>
      <w:marLeft w:val="0"/>
      <w:marRight w:val="0"/>
      <w:marTop w:val="0"/>
      <w:marBottom w:val="0"/>
      <w:divBdr>
        <w:top w:val="none" w:sz="0" w:space="0" w:color="auto"/>
        <w:left w:val="none" w:sz="0" w:space="0" w:color="auto"/>
        <w:bottom w:val="none" w:sz="0" w:space="0" w:color="auto"/>
        <w:right w:val="none" w:sz="0" w:space="0" w:color="auto"/>
      </w:divBdr>
    </w:div>
    <w:div w:id="1172255396">
      <w:bodyDiv w:val="1"/>
      <w:marLeft w:val="0"/>
      <w:marRight w:val="0"/>
      <w:marTop w:val="0"/>
      <w:marBottom w:val="0"/>
      <w:divBdr>
        <w:top w:val="none" w:sz="0" w:space="0" w:color="auto"/>
        <w:left w:val="none" w:sz="0" w:space="0" w:color="auto"/>
        <w:bottom w:val="none" w:sz="0" w:space="0" w:color="auto"/>
        <w:right w:val="none" w:sz="0" w:space="0" w:color="auto"/>
      </w:divBdr>
    </w:div>
    <w:div w:id="1172330634">
      <w:bodyDiv w:val="1"/>
      <w:marLeft w:val="0"/>
      <w:marRight w:val="0"/>
      <w:marTop w:val="0"/>
      <w:marBottom w:val="0"/>
      <w:divBdr>
        <w:top w:val="none" w:sz="0" w:space="0" w:color="auto"/>
        <w:left w:val="none" w:sz="0" w:space="0" w:color="auto"/>
        <w:bottom w:val="none" w:sz="0" w:space="0" w:color="auto"/>
        <w:right w:val="none" w:sz="0" w:space="0" w:color="auto"/>
      </w:divBdr>
    </w:div>
    <w:div w:id="1172453219">
      <w:bodyDiv w:val="1"/>
      <w:marLeft w:val="0"/>
      <w:marRight w:val="0"/>
      <w:marTop w:val="0"/>
      <w:marBottom w:val="0"/>
      <w:divBdr>
        <w:top w:val="none" w:sz="0" w:space="0" w:color="auto"/>
        <w:left w:val="none" w:sz="0" w:space="0" w:color="auto"/>
        <w:bottom w:val="none" w:sz="0" w:space="0" w:color="auto"/>
        <w:right w:val="none" w:sz="0" w:space="0" w:color="auto"/>
      </w:divBdr>
    </w:div>
    <w:div w:id="1172454544">
      <w:bodyDiv w:val="1"/>
      <w:marLeft w:val="0"/>
      <w:marRight w:val="0"/>
      <w:marTop w:val="0"/>
      <w:marBottom w:val="0"/>
      <w:divBdr>
        <w:top w:val="none" w:sz="0" w:space="0" w:color="auto"/>
        <w:left w:val="none" w:sz="0" w:space="0" w:color="auto"/>
        <w:bottom w:val="none" w:sz="0" w:space="0" w:color="auto"/>
        <w:right w:val="none" w:sz="0" w:space="0" w:color="auto"/>
      </w:divBdr>
    </w:div>
    <w:div w:id="1172645962">
      <w:bodyDiv w:val="1"/>
      <w:marLeft w:val="0"/>
      <w:marRight w:val="0"/>
      <w:marTop w:val="0"/>
      <w:marBottom w:val="0"/>
      <w:divBdr>
        <w:top w:val="none" w:sz="0" w:space="0" w:color="auto"/>
        <w:left w:val="none" w:sz="0" w:space="0" w:color="auto"/>
        <w:bottom w:val="none" w:sz="0" w:space="0" w:color="auto"/>
        <w:right w:val="none" w:sz="0" w:space="0" w:color="auto"/>
      </w:divBdr>
    </w:div>
    <w:div w:id="1172795603">
      <w:bodyDiv w:val="1"/>
      <w:marLeft w:val="0"/>
      <w:marRight w:val="0"/>
      <w:marTop w:val="0"/>
      <w:marBottom w:val="0"/>
      <w:divBdr>
        <w:top w:val="none" w:sz="0" w:space="0" w:color="auto"/>
        <w:left w:val="none" w:sz="0" w:space="0" w:color="auto"/>
        <w:bottom w:val="none" w:sz="0" w:space="0" w:color="auto"/>
        <w:right w:val="none" w:sz="0" w:space="0" w:color="auto"/>
      </w:divBdr>
    </w:div>
    <w:div w:id="1172799209">
      <w:bodyDiv w:val="1"/>
      <w:marLeft w:val="0"/>
      <w:marRight w:val="0"/>
      <w:marTop w:val="0"/>
      <w:marBottom w:val="0"/>
      <w:divBdr>
        <w:top w:val="none" w:sz="0" w:space="0" w:color="auto"/>
        <w:left w:val="none" w:sz="0" w:space="0" w:color="auto"/>
        <w:bottom w:val="none" w:sz="0" w:space="0" w:color="auto"/>
        <w:right w:val="none" w:sz="0" w:space="0" w:color="auto"/>
      </w:divBdr>
    </w:div>
    <w:div w:id="1173111855">
      <w:bodyDiv w:val="1"/>
      <w:marLeft w:val="0"/>
      <w:marRight w:val="0"/>
      <w:marTop w:val="0"/>
      <w:marBottom w:val="0"/>
      <w:divBdr>
        <w:top w:val="none" w:sz="0" w:space="0" w:color="auto"/>
        <w:left w:val="none" w:sz="0" w:space="0" w:color="auto"/>
        <w:bottom w:val="none" w:sz="0" w:space="0" w:color="auto"/>
        <w:right w:val="none" w:sz="0" w:space="0" w:color="auto"/>
      </w:divBdr>
    </w:div>
    <w:div w:id="1173299771">
      <w:bodyDiv w:val="1"/>
      <w:marLeft w:val="0"/>
      <w:marRight w:val="0"/>
      <w:marTop w:val="0"/>
      <w:marBottom w:val="0"/>
      <w:divBdr>
        <w:top w:val="none" w:sz="0" w:space="0" w:color="auto"/>
        <w:left w:val="none" w:sz="0" w:space="0" w:color="auto"/>
        <w:bottom w:val="none" w:sz="0" w:space="0" w:color="auto"/>
        <w:right w:val="none" w:sz="0" w:space="0" w:color="auto"/>
      </w:divBdr>
    </w:div>
    <w:div w:id="1173302669">
      <w:bodyDiv w:val="1"/>
      <w:marLeft w:val="0"/>
      <w:marRight w:val="0"/>
      <w:marTop w:val="0"/>
      <w:marBottom w:val="0"/>
      <w:divBdr>
        <w:top w:val="none" w:sz="0" w:space="0" w:color="auto"/>
        <w:left w:val="none" w:sz="0" w:space="0" w:color="auto"/>
        <w:bottom w:val="none" w:sz="0" w:space="0" w:color="auto"/>
        <w:right w:val="none" w:sz="0" w:space="0" w:color="auto"/>
      </w:divBdr>
    </w:div>
    <w:div w:id="1173567297">
      <w:bodyDiv w:val="1"/>
      <w:marLeft w:val="0"/>
      <w:marRight w:val="0"/>
      <w:marTop w:val="0"/>
      <w:marBottom w:val="0"/>
      <w:divBdr>
        <w:top w:val="none" w:sz="0" w:space="0" w:color="auto"/>
        <w:left w:val="none" w:sz="0" w:space="0" w:color="auto"/>
        <w:bottom w:val="none" w:sz="0" w:space="0" w:color="auto"/>
        <w:right w:val="none" w:sz="0" w:space="0" w:color="auto"/>
      </w:divBdr>
    </w:div>
    <w:div w:id="1174228526">
      <w:bodyDiv w:val="1"/>
      <w:marLeft w:val="0"/>
      <w:marRight w:val="0"/>
      <w:marTop w:val="0"/>
      <w:marBottom w:val="0"/>
      <w:divBdr>
        <w:top w:val="none" w:sz="0" w:space="0" w:color="auto"/>
        <w:left w:val="none" w:sz="0" w:space="0" w:color="auto"/>
        <w:bottom w:val="none" w:sz="0" w:space="0" w:color="auto"/>
        <w:right w:val="none" w:sz="0" w:space="0" w:color="auto"/>
      </w:divBdr>
    </w:div>
    <w:div w:id="1174302662">
      <w:bodyDiv w:val="1"/>
      <w:marLeft w:val="0"/>
      <w:marRight w:val="0"/>
      <w:marTop w:val="0"/>
      <w:marBottom w:val="0"/>
      <w:divBdr>
        <w:top w:val="none" w:sz="0" w:space="0" w:color="auto"/>
        <w:left w:val="none" w:sz="0" w:space="0" w:color="auto"/>
        <w:bottom w:val="none" w:sz="0" w:space="0" w:color="auto"/>
        <w:right w:val="none" w:sz="0" w:space="0" w:color="auto"/>
      </w:divBdr>
    </w:div>
    <w:div w:id="1174608598">
      <w:bodyDiv w:val="1"/>
      <w:marLeft w:val="0"/>
      <w:marRight w:val="0"/>
      <w:marTop w:val="0"/>
      <w:marBottom w:val="0"/>
      <w:divBdr>
        <w:top w:val="none" w:sz="0" w:space="0" w:color="auto"/>
        <w:left w:val="none" w:sz="0" w:space="0" w:color="auto"/>
        <w:bottom w:val="none" w:sz="0" w:space="0" w:color="auto"/>
        <w:right w:val="none" w:sz="0" w:space="0" w:color="auto"/>
      </w:divBdr>
    </w:div>
    <w:div w:id="1174611410">
      <w:bodyDiv w:val="1"/>
      <w:marLeft w:val="0"/>
      <w:marRight w:val="0"/>
      <w:marTop w:val="0"/>
      <w:marBottom w:val="0"/>
      <w:divBdr>
        <w:top w:val="none" w:sz="0" w:space="0" w:color="auto"/>
        <w:left w:val="none" w:sz="0" w:space="0" w:color="auto"/>
        <w:bottom w:val="none" w:sz="0" w:space="0" w:color="auto"/>
        <w:right w:val="none" w:sz="0" w:space="0" w:color="auto"/>
      </w:divBdr>
    </w:div>
    <w:div w:id="1174686066">
      <w:bodyDiv w:val="1"/>
      <w:marLeft w:val="0"/>
      <w:marRight w:val="0"/>
      <w:marTop w:val="0"/>
      <w:marBottom w:val="0"/>
      <w:divBdr>
        <w:top w:val="none" w:sz="0" w:space="0" w:color="auto"/>
        <w:left w:val="none" w:sz="0" w:space="0" w:color="auto"/>
        <w:bottom w:val="none" w:sz="0" w:space="0" w:color="auto"/>
        <w:right w:val="none" w:sz="0" w:space="0" w:color="auto"/>
      </w:divBdr>
    </w:div>
    <w:div w:id="1174759204">
      <w:bodyDiv w:val="1"/>
      <w:marLeft w:val="0"/>
      <w:marRight w:val="0"/>
      <w:marTop w:val="0"/>
      <w:marBottom w:val="0"/>
      <w:divBdr>
        <w:top w:val="none" w:sz="0" w:space="0" w:color="auto"/>
        <w:left w:val="none" w:sz="0" w:space="0" w:color="auto"/>
        <w:bottom w:val="none" w:sz="0" w:space="0" w:color="auto"/>
        <w:right w:val="none" w:sz="0" w:space="0" w:color="auto"/>
      </w:divBdr>
    </w:div>
    <w:div w:id="1175341735">
      <w:bodyDiv w:val="1"/>
      <w:marLeft w:val="0"/>
      <w:marRight w:val="0"/>
      <w:marTop w:val="0"/>
      <w:marBottom w:val="0"/>
      <w:divBdr>
        <w:top w:val="none" w:sz="0" w:space="0" w:color="auto"/>
        <w:left w:val="none" w:sz="0" w:space="0" w:color="auto"/>
        <w:bottom w:val="none" w:sz="0" w:space="0" w:color="auto"/>
        <w:right w:val="none" w:sz="0" w:space="0" w:color="auto"/>
      </w:divBdr>
    </w:div>
    <w:div w:id="1175454749">
      <w:bodyDiv w:val="1"/>
      <w:marLeft w:val="0"/>
      <w:marRight w:val="0"/>
      <w:marTop w:val="0"/>
      <w:marBottom w:val="0"/>
      <w:divBdr>
        <w:top w:val="none" w:sz="0" w:space="0" w:color="auto"/>
        <w:left w:val="none" w:sz="0" w:space="0" w:color="auto"/>
        <w:bottom w:val="none" w:sz="0" w:space="0" w:color="auto"/>
        <w:right w:val="none" w:sz="0" w:space="0" w:color="auto"/>
      </w:divBdr>
    </w:div>
    <w:div w:id="1175533370">
      <w:bodyDiv w:val="1"/>
      <w:marLeft w:val="0"/>
      <w:marRight w:val="0"/>
      <w:marTop w:val="0"/>
      <w:marBottom w:val="0"/>
      <w:divBdr>
        <w:top w:val="none" w:sz="0" w:space="0" w:color="auto"/>
        <w:left w:val="none" w:sz="0" w:space="0" w:color="auto"/>
        <w:bottom w:val="none" w:sz="0" w:space="0" w:color="auto"/>
        <w:right w:val="none" w:sz="0" w:space="0" w:color="auto"/>
      </w:divBdr>
    </w:div>
    <w:div w:id="1175723967">
      <w:bodyDiv w:val="1"/>
      <w:marLeft w:val="0"/>
      <w:marRight w:val="0"/>
      <w:marTop w:val="0"/>
      <w:marBottom w:val="0"/>
      <w:divBdr>
        <w:top w:val="none" w:sz="0" w:space="0" w:color="auto"/>
        <w:left w:val="none" w:sz="0" w:space="0" w:color="auto"/>
        <w:bottom w:val="none" w:sz="0" w:space="0" w:color="auto"/>
        <w:right w:val="none" w:sz="0" w:space="0" w:color="auto"/>
      </w:divBdr>
    </w:div>
    <w:div w:id="1175998972">
      <w:bodyDiv w:val="1"/>
      <w:marLeft w:val="0"/>
      <w:marRight w:val="0"/>
      <w:marTop w:val="0"/>
      <w:marBottom w:val="0"/>
      <w:divBdr>
        <w:top w:val="none" w:sz="0" w:space="0" w:color="auto"/>
        <w:left w:val="none" w:sz="0" w:space="0" w:color="auto"/>
        <w:bottom w:val="none" w:sz="0" w:space="0" w:color="auto"/>
        <w:right w:val="none" w:sz="0" w:space="0" w:color="auto"/>
      </w:divBdr>
    </w:div>
    <w:div w:id="1176723077">
      <w:bodyDiv w:val="1"/>
      <w:marLeft w:val="0"/>
      <w:marRight w:val="0"/>
      <w:marTop w:val="0"/>
      <w:marBottom w:val="0"/>
      <w:divBdr>
        <w:top w:val="none" w:sz="0" w:space="0" w:color="auto"/>
        <w:left w:val="none" w:sz="0" w:space="0" w:color="auto"/>
        <w:bottom w:val="none" w:sz="0" w:space="0" w:color="auto"/>
        <w:right w:val="none" w:sz="0" w:space="0" w:color="auto"/>
      </w:divBdr>
    </w:div>
    <w:div w:id="1176725040">
      <w:bodyDiv w:val="1"/>
      <w:marLeft w:val="0"/>
      <w:marRight w:val="0"/>
      <w:marTop w:val="0"/>
      <w:marBottom w:val="0"/>
      <w:divBdr>
        <w:top w:val="none" w:sz="0" w:space="0" w:color="auto"/>
        <w:left w:val="none" w:sz="0" w:space="0" w:color="auto"/>
        <w:bottom w:val="none" w:sz="0" w:space="0" w:color="auto"/>
        <w:right w:val="none" w:sz="0" w:space="0" w:color="auto"/>
      </w:divBdr>
    </w:div>
    <w:div w:id="1176766858">
      <w:bodyDiv w:val="1"/>
      <w:marLeft w:val="0"/>
      <w:marRight w:val="0"/>
      <w:marTop w:val="0"/>
      <w:marBottom w:val="0"/>
      <w:divBdr>
        <w:top w:val="none" w:sz="0" w:space="0" w:color="auto"/>
        <w:left w:val="none" w:sz="0" w:space="0" w:color="auto"/>
        <w:bottom w:val="none" w:sz="0" w:space="0" w:color="auto"/>
        <w:right w:val="none" w:sz="0" w:space="0" w:color="auto"/>
      </w:divBdr>
    </w:div>
    <w:div w:id="1176964896">
      <w:bodyDiv w:val="1"/>
      <w:marLeft w:val="0"/>
      <w:marRight w:val="0"/>
      <w:marTop w:val="0"/>
      <w:marBottom w:val="0"/>
      <w:divBdr>
        <w:top w:val="none" w:sz="0" w:space="0" w:color="auto"/>
        <w:left w:val="none" w:sz="0" w:space="0" w:color="auto"/>
        <w:bottom w:val="none" w:sz="0" w:space="0" w:color="auto"/>
        <w:right w:val="none" w:sz="0" w:space="0" w:color="auto"/>
      </w:divBdr>
    </w:div>
    <w:div w:id="1177575330">
      <w:bodyDiv w:val="1"/>
      <w:marLeft w:val="0"/>
      <w:marRight w:val="0"/>
      <w:marTop w:val="0"/>
      <w:marBottom w:val="0"/>
      <w:divBdr>
        <w:top w:val="none" w:sz="0" w:space="0" w:color="auto"/>
        <w:left w:val="none" w:sz="0" w:space="0" w:color="auto"/>
        <w:bottom w:val="none" w:sz="0" w:space="0" w:color="auto"/>
        <w:right w:val="none" w:sz="0" w:space="0" w:color="auto"/>
      </w:divBdr>
    </w:div>
    <w:div w:id="1178230644">
      <w:bodyDiv w:val="1"/>
      <w:marLeft w:val="0"/>
      <w:marRight w:val="0"/>
      <w:marTop w:val="0"/>
      <w:marBottom w:val="0"/>
      <w:divBdr>
        <w:top w:val="none" w:sz="0" w:space="0" w:color="auto"/>
        <w:left w:val="none" w:sz="0" w:space="0" w:color="auto"/>
        <w:bottom w:val="none" w:sz="0" w:space="0" w:color="auto"/>
        <w:right w:val="none" w:sz="0" w:space="0" w:color="auto"/>
      </w:divBdr>
    </w:div>
    <w:div w:id="1178889164">
      <w:bodyDiv w:val="1"/>
      <w:marLeft w:val="0"/>
      <w:marRight w:val="0"/>
      <w:marTop w:val="0"/>
      <w:marBottom w:val="0"/>
      <w:divBdr>
        <w:top w:val="none" w:sz="0" w:space="0" w:color="auto"/>
        <w:left w:val="none" w:sz="0" w:space="0" w:color="auto"/>
        <w:bottom w:val="none" w:sz="0" w:space="0" w:color="auto"/>
        <w:right w:val="none" w:sz="0" w:space="0" w:color="auto"/>
      </w:divBdr>
    </w:div>
    <w:div w:id="1179545416">
      <w:bodyDiv w:val="1"/>
      <w:marLeft w:val="0"/>
      <w:marRight w:val="0"/>
      <w:marTop w:val="0"/>
      <w:marBottom w:val="0"/>
      <w:divBdr>
        <w:top w:val="none" w:sz="0" w:space="0" w:color="auto"/>
        <w:left w:val="none" w:sz="0" w:space="0" w:color="auto"/>
        <w:bottom w:val="none" w:sz="0" w:space="0" w:color="auto"/>
        <w:right w:val="none" w:sz="0" w:space="0" w:color="auto"/>
      </w:divBdr>
    </w:div>
    <w:div w:id="1179807827">
      <w:bodyDiv w:val="1"/>
      <w:marLeft w:val="0"/>
      <w:marRight w:val="0"/>
      <w:marTop w:val="0"/>
      <w:marBottom w:val="0"/>
      <w:divBdr>
        <w:top w:val="none" w:sz="0" w:space="0" w:color="auto"/>
        <w:left w:val="none" w:sz="0" w:space="0" w:color="auto"/>
        <w:bottom w:val="none" w:sz="0" w:space="0" w:color="auto"/>
        <w:right w:val="none" w:sz="0" w:space="0" w:color="auto"/>
      </w:divBdr>
    </w:div>
    <w:div w:id="1179851472">
      <w:bodyDiv w:val="1"/>
      <w:marLeft w:val="0"/>
      <w:marRight w:val="0"/>
      <w:marTop w:val="0"/>
      <w:marBottom w:val="0"/>
      <w:divBdr>
        <w:top w:val="none" w:sz="0" w:space="0" w:color="auto"/>
        <w:left w:val="none" w:sz="0" w:space="0" w:color="auto"/>
        <w:bottom w:val="none" w:sz="0" w:space="0" w:color="auto"/>
        <w:right w:val="none" w:sz="0" w:space="0" w:color="auto"/>
      </w:divBdr>
    </w:div>
    <w:div w:id="1180967341">
      <w:bodyDiv w:val="1"/>
      <w:marLeft w:val="0"/>
      <w:marRight w:val="0"/>
      <w:marTop w:val="0"/>
      <w:marBottom w:val="0"/>
      <w:divBdr>
        <w:top w:val="none" w:sz="0" w:space="0" w:color="auto"/>
        <w:left w:val="none" w:sz="0" w:space="0" w:color="auto"/>
        <w:bottom w:val="none" w:sz="0" w:space="0" w:color="auto"/>
        <w:right w:val="none" w:sz="0" w:space="0" w:color="auto"/>
      </w:divBdr>
    </w:div>
    <w:div w:id="1181506266">
      <w:bodyDiv w:val="1"/>
      <w:marLeft w:val="0"/>
      <w:marRight w:val="0"/>
      <w:marTop w:val="0"/>
      <w:marBottom w:val="0"/>
      <w:divBdr>
        <w:top w:val="none" w:sz="0" w:space="0" w:color="auto"/>
        <w:left w:val="none" w:sz="0" w:space="0" w:color="auto"/>
        <w:bottom w:val="none" w:sz="0" w:space="0" w:color="auto"/>
        <w:right w:val="none" w:sz="0" w:space="0" w:color="auto"/>
      </w:divBdr>
    </w:div>
    <w:div w:id="1182549341">
      <w:bodyDiv w:val="1"/>
      <w:marLeft w:val="0"/>
      <w:marRight w:val="0"/>
      <w:marTop w:val="0"/>
      <w:marBottom w:val="0"/>
      <w:divBdr>
        <w:top w:val="none" w:sz="0" w:space="0" w:color="auto"/>
        <w:left w:val="none" w:sz="0" w:space="0" w:color="auto"/>
        <w:bottom w:val="none" w:sz="0" w:space="0" w:color="auto"/>
        <w:right w:val="none" w:sz="0" w:space="0" w:color="auto"/>
      </w:divBdr>
    </w:div>
    <w:div w:id="1182621031">
      <w:bodyDiv w:val="1"/>
      <w:marLeft w:val="0"/>
      <w:marRight w:val="0"/>
      <w:marTop w:val="0"/>
      <w:marBottom w:val="0"/>
      <w:divBdr>
        <w:top w:val="none" w:sz="0" w:space="0" w:color="auto"/>
        <w:left w:val="none" w:sz="0" w:space="0" w:color="auto"/>
        <w:bottom w:val="none" w:sz="0" w:space="0" w:color="auto"/>
        <w:right w:val="none" w:sz="0" w:space="0" w:color="auto"/>
      </w:divBdr>
    </w:div>
    <w:div w:id="1182664453">
      <w:bodyDiv w:val="1"/>
      <w:marLeft w:val="0"/>
      <w:marRight w:val="0"/>
      <w:marTop w:val="0"/>
      <w:marBottom w:val="0"/>
      <w:divBdr>
        <w:top w:val="none" w:sz="0" w:space="0" w:color="auto"/>
        <w:left w:val="none" w:sz="0" w:space="0" w:color="auto"/>
        <w:bottom w:val="none" w:sz="0" w:space="0" w:color="auto"/>
        <w:right w:val="none" w:sz="0" w:space="0" w:color="auto"/>
      </w:divBdr>
    </w:div>
    <w:div w:id="1183056427">
      <w:bodyDiv w:val="1"/>
      <w:marLeft w:val="0"/>
      <w:marRight w:val="0"/>
      <w:marTop w:val="0"/>
      <w:marBottom w:val="0"/>
      <w:divBdr>
        <w:top w:val="none" w:sz="0" w:space="0" w:color="auto"/>
        <w:left w:val="none" w:sz="0" w:space="0" w:color="auto"/>
        <w:bottom w:val="none" w:sz="0" w:space="0" w:color="auto"/>
        <w:right w:val="none" w:sz="0" w:space="0" w:color="auto"/>
      </w:divBdr>
    </w:div>
    <w:div w:id="1183520158">
      <w:bodyDiv w:val="1"/>
      <w:marLeft w:val="0"/>
      <w:marRight w:val="0"/>
      <w:marTop w:val="0"/>
      <w:marBottom w:val="0"/>
      <w:divBdr>
        <w:top w:val="none" w:sz="0" w:space="0" w:color="auto"/>
        <w:left w:val="none" w:sz="0" w:space="0" w:color="auto"/>
        <w:bottom w:val="none" w:sz="0" w:space="0" w:color="auto"/>
        <w:right w:val="none" w:sz="0" w:space="0" w:color="auto"/>
      </w:divBdr>
    </w:div>
    <w:div w:id="1184704173">
      <w:bodyDiv w:val="1"/>
      <w:marLeft w:val="0"/>
      <w:marRight w:val="0"/>
      <w:marTop w:val="0"/>
      <w:marBottom w:val="0"/>
      <w:divBdr>
        <w:top w:val="none" w:sz="0" w:space="0" w:color="auto"/>
        <w:left w:val="none" w:sz="0" w:space="0" w:color="auto"/>
        <w:bottom w:val="none" w:sz="0" w:space="0" w:color="auto"/>
        <w:right w:val="none" w:sz="0" w:space="0" w:color="auto"/>
      </w:divBdr>
    </w:div>
    <w:div w:id="1184780725">
      <w:bodyDiv w:val="1"/>
      <w:marLeft w:val="0"/>
      <w:marRight w:val="0"/>
      <w:marTop w:val="0"/>
      <w:marBottom w:val="0"/>
      <w:divBdr>
        <w:top w:val="none" w:sz="0" w:space="0" w:color="auto"/>
        <w:left w:val="none" w:sz="0" w:space="0" w:color="auto"/>
        <w:bottom w:val="none" w:sz="0" w:space="0" w:color="auto"/>
        <w:right w:val="none" w:sz="0" w:space="0" w:color="auto"/>
      </w:divBdr>
    </w:div>
    <w:div w:id="1185048312">
      <w:bodyDiv w:val="1"/>
      <w:marLeft w:val="0"/>
      <w:marRight w:val="0"/>
      <w:marTop w:val="0"/>
      <w:marBottom w:val="0"/>
      <w:divBdr>
        <w:top w:val="none" w:sz="0" w:space="0" w:color="auto"/>
        <w:left w:val="none" w:sz="0" w:space="0" w:color="auto"/>
        <w:bottom w:val="none" w:sz="0" w:space="0" w:color="auto"/>
        <w:right w:val="none" w:sz="0" w:space="0" w:color="auto"/>
      </w:divBdr>
    </w:div>
    <w:div w:id="1185053354">
      <w:bodyDiv w:val="1"/>
      <w:marLeft w:val="0"/>
      <w:marRight w:val="0"/>
      <w:marTop w:val="0"/>
      <w:marBottom w:val="0"/>
      <w:divBdr>
        <w:top w:val="none" w:sz="0" w:space="0" w:color="auto"/>
        <w:left w:val="none" w:sz="0" w:space="0" w:color="auto"/>
        <w:bottom w:val="none" w:sz="0" w:space="0" w:color="auto"/>
        <w:right w:val="none" w:sz="0" w:space="0" w:color="auto"/>
      </w:divBdr>
    </w:div>
    <w:div w:id="1185242786">
      <w:bodyDiv w:val="1"/>
      <w:marLeft w:val="0"/>
      <w:marRight w:val="0"/>
      <w:marTop w:val="0"/>
      <w:marBottom w:val="0"/>
      <w:divBdr>
        <w:top w:val="none" w:sz="0" w:space="0" w:color="auto"/>
        <w:left w:val="none" w:sz="0" w:space="0" w:color="auto"/>
        <w:bottom w:val="none" w:sz="0" w:space="0" w:color="auto"/>
        <w:right w:val="none" w:sz="0" w:space="0" w:color="auto"/>
      </w:divBdr>
    </w:div>
    <w:div w:id="1185284859">
      <w:bodyDiv w:val="1"/>
      <w:marLeft w:val="0"/>
      <w:marRight w:val="0"/>
      <w:marTop w:val="0"/>
      <w:marBottom w:val="0"/>
      <w:divBdr>
        <w:top w:val="none" w:sz="0" w:space="0" w:color="auto"/>
        <w:left w:val="none" w:sz="0" w:space="0" w:color="auto"/>
        <w:bottom w:val="none" w:sz="0" w:space="0" w:color="auto"/>
        <w:right w:val="none" w:sz="0" w:space="0" w:color="auto"/>
      </w:divBdr>
    </w:div>
    <w:div w:id="1185482379">
      <w:bodyDiv w:val="1"/>
      <w:marLeft w:val="0"/>
      <w:marRight w:val="0"/>
      <w:marTop w:val="0"/>
      <w:marBottom w:val="0"/>
      <w:divBdr>
        <w:top w:val="none" w:sz="0" w:space="0" w:color="auto"/>
        <w:left w:val="none" w:sz="0" w:space="0" w:color="auto"/>
        <w:bottom w:val="none" w:sz="0" w:space="0" w:color="auto"/>
        <w:right w:val="none" w:sz="0" w:space="0" w:color="auto"/>
      </w:divBdr>
    </w:div>
    <w:div w:id="1185707860">
      <w:bodyDiv w:val="1"/>
      <w:marLeft w:val="0"/>
      <w:marRight w:val="0"/>
      <w:marTop w:val="0"/>
      <w:marBottom w:val="0"/>
      <w:divBdr>
        <w:top w:val="none" w:sz="0" w:space="0" w:color="auto"/>
        <w:left w:val="none" w:sz="0" w:space="0" w:color="auto"/>
        <w:bottom w:val="none" w:sz="0" w:space="0" w:color="auto"/>
        <w:right w:val="none" w:sz="0" w:space="0" w:color="auto"/>
      </w:divBdr>
    </w:div>
    <w:div w:id="1185827525">
      <w:bodyDiv w:val="1"/>
      <w:marLeft w:val="0"/>
      <w:marRight w:val="0"/>
      <w:marTop w:val="0"/>
      <w:marBottom w:val="0"/>
      <w:divBdr>
        <w:top w:val="none" w:sz="0" w:space="0" w:color="auto"/>
        <w:left w:val="none" w:sz="0" w:space="0" w:color="auto"/>
        <w:bottom w:val="none" w:sz="0" w:space="0" w:color="auto"/>
        <w:right w:val="none" w:sz="0" w:space="0" w:color="auto"/>
      </w:divBdr>
    </w:div>
    <w:div w:id="1186291570">
      <w:bodyDiv w:val="1"/>
      <w:marLeft w:val="0"/>
      <w:marRight w:val="0"/>
      <w:marTop w:val="0"/>
      <w:marBottom w:val="0"/>
      <w:divBdr>
        <w:top w:val="none" w:sz="0" w:space="0" w:color="auto"/>
        <w:left w:val="none" w:sz="0" w:space="0" w:color="auto"/>
        <w:bottom w:val="none" w:sz="0" w:space="0" w:color="auto"/>
        <w:right w:val="none" w:sz="0" w:space="0" w:color="auto"/>
      </w:divBdr>
    </w:div>
    <w:div w:id="1186482227">
      <w:bodyDiv w:val="1"/>
      <w:marLeft w:val="0"/>
      <w:marRight w:val="0"/>
      <w:marTop w:val="0"/>
      <w:marBottom w:val="0"/>
      <w:divBdr>
        <w:top w:val="none" w:sz="0" w:space="0" w:color="auto"/>
        <w:left w:val="none" w:sz="0" w:space="0" w:color="auto"/>
        <w:bottom w:val="none" w:sz="0" w:space="0" w:color="auto"/>
        <w:right w:val="none" w:sz="0" w:space="0" w:color="auto"/>
      </w:divBdr>
    </w:div>
    <w:div w:id="1186823176">
      <w:bodyDiv w:val="1"/>
      <w:marLeft w:val="0"/>
      <w:marRight w:val="0"/>
      <w:marTop w:val="0"/>
      <w:marBottom w:val="0"/>
      <w:divBdr>
        <w:top w:val="none" w:sz="0" w:space="0" w:color="auto"/>
        <w:left w:val="none" w:sz="0" w:space="0" w:color="auto"/>
        <w:bottom w:val="none" w:sz="0" w:space="0" w:color="auto"/>
        <w:right w:val="none" w:sz="0" w:space="0" w:color="auto"/>
      </w:divBdr>
    </w:div>
    <w:div w:id="1187138905">
      <w:bodyDiv w:val="1"/>
      <w:marLeft w:val="0"/>
      <w:marRight w:val="0"/>
      <w:marTop w:val="0"/>
      <w:marBottom w:val="0"/>
      <w:divBdr>
        <w:top w:val="none" w:sz="0" w:space="0" w:color="auto"/>
        <w:left w:val="none" w:sz="0" w:space="0" w:color="auto"/>
        <w:bottom w:val="none" w:sz="0" w:space="0" w:color="auto"/>
        <w:right w:val="none" w:sz="0" w:space="0" w:color="auto"/>
      </w:divBdr>
    </w:div>
    <w:div w:id="1187282512">
      <w:bodyDiv w:val="1"/>
      <w:marLeft w:val="0"/>
      <w:marRight w:val="0"/>
      <w:marTop w:val="0"/>
      <w:marBottom w:val="0"/>
      <w:divBdr>
        <w:top w:val="none" w:sz="0" w:space="0" w:color="auto"/>
        <w:left w:val="none" w:sz="0" w:space="0" w:color="auto"/>
        <w:bottom w:val="none" w:sz="0" w:space="0" w:color="auto"/>
        <w:right w:val="none" w:sz="0" w:space="0" w:color="auto"/>
      </w:divBdr>
    </w:div>
    <w:div w:id="1187475641">
      <w:bodyDiv w:val="1"/>
      <w:marLeft w:val="0"/>
      <w:marRight w:val="0"/>
      <w:marTop w:val="0"/>
      <w:marBottom w:val="0"/>
      <w:divBdr>
        <w:top w:val="none" w:sz="0" w:space="0" w:color="auto"/>
        <w:left w:val="none" w:sz="0" w:space="0" w:color="auto"/>
        <w:bottom w:val="none" w:sz="0" w:space="0" w:color="auto"/>
        <w:right w:val="none" w:sz="0" w:space="0" w:color="auto"/>
      </w:divBdr>
    </w:div>
    <w:div w:id="1187599797">
      <w:bodyDiv w:val="1"/>
      <w:marLeft w:val="0"/>
      <w:marRight w:val="0"/>
      <w:marTop w:val="0"/>
      <w:marBottom w:val="0"/>
      <w:divBdr>
        <w:top w:val="none" w:sz="0" w:space="0" w:color="auto"/>
        <w:left w:val="none" w:sz="0" w:space="0" w:color="auto"/>
        <w:bottom w:val="none" w:sz="0" w:space="0" w:color="auto"/>
        <w:right w:val="none" w:sz="0" w:space="0" w:color="auto"/>
      </w:divBdr>
    </w:div>
    <w:div w:id="1188640194">
      <w:bodyDiv w:val="1"/>
      <w:marLeft w:val="0"/>
      <w:marRight w:val="0"/>
      <w:marTop w:val="0"/>
      <w:marBottom w:val="0"/>
      <w:divBdr>
        <w:top w:val="none" w:sz="0" w:space="0" w:color="auto"/>
        <w:left w:val="none" w:sz="0" w:space="0" w:color="auto"/>
        <w:bottom w:val="none" w:sz="0" w:space="0" w:color="auto"/>
        <w:right w:val="none" w:sz="0" w:space="0" w:color="auto"/>
      </w:divBdr>
    </w:div>
    <w:div w:id="1188906122">
      <w:bodyDiv w:val="1"/>
      <w:marLeft w:val="0"/>
      <w:marRight w:val="0"/>
      <w:marTop w:val="0"/>
      <w:marBottom w:val="0"/>
      <w:divBdr>
        <w:top w:val="none" w:sz="0" w:space="0" w:color="auto"/>
        <w:left w:val="none" w:sz="0" w:space="0" w:color="auto"/>
        <w:bottom w:val="none" w:sz="0" w:space="0" w:color="auto"/>
        <w:right w:val="none" w:sz="0" w:space="0" w:color="auto"/>
      </w:divBdr>
    </w:div>
    <w:div w:id="1189023533">
      <w:bodyDiv w:val="1"/>
      <w:marLeft w:val="0"/>
      <w:marRight w:val="0"/>
      <w:marTop w:val="0"/>
      <w:marBottom w:val="0"/>
      <w:divBdr>
        <w:top w:val="none" w:sz="0" w:space="0" w:color="auto"/>
        <w:left w:val="none" w:sz="0" w:space="0" w:color="auto"/>
        <w:bottom w:val="none" w:sz="0" w:space="0" w:color="auto"/>
        <w:right w:val="none" w:sz="0" w:space="0" w:color="auto"/>
      </w:divBdr>
    </w:div>
    <w:div w:id="1190099384">
      <w:bodyDiv w:val="1"/>
      <w:marLeft w:val="0"/>
      <w:marRight w:val="0"/>
      <w:marTop w:val="0"/>
      <w:marBottom w:val="0"/>
      <w:divBdr>
        <w:top w:val="none" w:sz="0" w:space="0" w:color="auto"/>
        <w:left w:val="none" w:sz="0" w:space="0" w:color="auto"/>
        <w:bottom w:val="none" w:sz="0" w:space="0" w:color="auto"/>
        <w:right w:val="none" w:sz="0" w:space="0" w:color="auto"/>
      </w:divBdr>
    </w:div>
    <w:div w:id="1190290145">
      <w:bodyDiv w:val="1"/>
      <w:marLeft w:val="0"/>
      <w:marRight w:val="0"/>
      <w:marTop w:val="0"/>
      <w:marBottom w:val="0"/>
      <w:divBdr>
        <w:top w:val="none" w:sz="0" w:space="0" w:color="auto"/>
        <w:left w:val="none" w:sz="0" w:space="0" w:color="auto"/>
        <w:bottom w:val="none" w:sz="0" w:space="0" w:color="auto"/>
        <w:right w:val="none" w:sz="0" w:space="0" w:color="auto"/>
      </w:divBdr>
    </w:div>
    <w:div w:id="1190485288">
      <w:bodyDiv w:val="1"/>
      <w:marLeft w:val="0"/>
      <w:marRight w:val="0"/>
      <w:marTop w:val="0"/>
      <w:marBottom w:val="0"/>
      <w:divBdr>
        <w:top w:val="none" w:sz="0" w:space="0" w:color="auto"/>
        <w:left w:val="none" w:sz="0" w:space="0" w:color="auto"/>
        <w:bottom w:val="none" w:sz="0" w:space="0" w:color="auto"/>
        <w:right w:val="none" w:sz="0" w:space="0" w:color="auto"/>
      </w:divBdr>
    </w:div>
    <w:div w:id="1190990618">
      <w:bodyDiv w:val="1"/>
      <w:marLeft w:val="0"/>
      <w:marRight w:val="0"/>
      <w:marTop w:val="0"/>
      <w:marBottom w:val="0"/>
      <w:divBdr>
        <w:top w:val="none" w:sz="0" w:space="0" w:color="auto"/>
        <w:left w:val="none" w:sz="0" w:space="0" w:color="auto"/>
        <w:bottom w:val="none" w:sz="0" w:space="0" w:color="auto"/>
        <w:right w:val="none" w:sz="0" w:space="0" w:color="auto"/>
      </w:divBdr>
    </w:div>
    <w:div w:id="1191183526">
      <w:bodyDiv w:val="1"/>
      <w:marLeft w:val="0"/>
      <w:marRight w:val="0"/>
      <w:marTop w:val="0"/>
      <w:marBottom w:val="0"/>
      <w:divBdr>
        <w:top w:val="none" w:sz="0" w:space="0" w:color="auto"/>
        <w:left w:val="none" w:sz="0" w:space="0" w:color="auto"/>
        <w:bottom w:val="none" w:sz="0" w:space="0" w:color="auto"/>
        <w:right w:val="none" w:sz="0" w:space="0" w:color="auto"/>
      </w:divBdr>
    </w:div>
    <w:div w:id="1192182188">
      <w:bodyDiv w:val="1"/>
      <w:marLeft w:val="0"/>
      <w:marRight w:val="0"/>
      <w:marTop w:val="0"/>
      <w:marBottom w:val="0"/>
      <w:divBdr>
        <w:top w:val="none" w:sz="0" w:space="0" w:color="auto"/>
        <w:left w:val="none" w:sz="0" w:space="0" w:color="auto"/>
        <w:bottom w:val="none" w:sz="0" w:space="0" w:color="auto"/>
        <w:right w:val="none" w:sz="0" w:space="0" w:color="auto"/>
      </w:divBdr>
    </w:div>
    <w:div w:id="1192458812">
      <w:bodyDiv w:val="1"/>
      <w:marLeft w:val="0"/>
      <w:marRight w:val="0"/>
      <w:marTop w:val="0"/>
      <w:marBottom w:val="0"/>
      <w:divBdr>
        <w:top w:val="none" w:sz="0" w:space="0" w:color="auto"/>
        <w:left w:val="none" w:sz="0" w:space="0" w:color="auto"/>
        <w:bottom w:val="none" w:sz="0" w:space="0" w:color="auto"/>
        <w:right w:val="none" w:sz="0" w:space="0" w:color="auto"/>
      </w:divBdr>
    </w:div>
    <w:div w:id="1192838709">
      <w:bodyDiv w:val="1"/>
      <w:marLeft w:val="0"/>
      <w:marRight w:val="0"/>
      <w:marTop w:val="0"/>
      <w:marBottom w:val="0"/>
      <w:divBdr>
        <w:top w:val="none" w:sz="0" w:space="0" w:color="auto"/>
        <w:left w:val="none" w:sz="0" w:space="0" w:color="auto"/>
        <w:bottom w:val="none" w:sz="0" w:space="0" w:color="auto"/>
        <w:right w:val="none" w:sz="0" w:space="0" w:color="auto"/>
      </w:divBdr>
    </w:div>
    <w:div w:id="1193105706">
      <w:bodyDiv w:val="1"/>
      <w:marLeft w:val="0"/>
      <w:marRight w:val="0"/>
      <w:marTop w:val="0"/>
      <w:marBottom w:val="0"/>
      <w:divBdr>
        <w:top w:val="none" w:sz="0" w:space="0" w:color="auto"/>
        <w:left w:val="none" w:sz="0" w:space="0" w:color="auto"/>
        <w:bottom w:val="none" w:sz="0" w:space="0" w:color="auto"/>
        <w:right w:val="none" w:sz="0" w:space="0" w:color="auto"/>
      </w:divBdr>
    </w:div>
    <w:div w:id="1193687641">
      <w:bodyDiv w:val="1"/>
      <w:marLeft w:val="0"/>
      <w:marRight w:val="0"/>
      <w:marTop w:val="0"/>
      <w:marBottom w:val="0"/>
      <w:divBdr>
        <w:top w:val="none" w:sz="0" w:space="0" w:color="auto"/>
        <w:left w:val="none" w:sz="0" w:space="0" w:color="auto"/>
        <w:bottom w:val="none" w:sz="0" w:space="0" w:color="auto"/>
        <w:right w:val="none" w:sz="0" w:space="0" w:color="auto"/>
      </w:divBdr>
    </w:div>
    <w:div w:id="1193691046">
      <w:bodyDiv w:val="1"/>
      <w:marLeft w:val="0"/>
      <w:marRight w:val="0"/>
      <w:marTop w:val="0"/>
      <w:marBottom w:val="0"/>
      <w:divBdr>
        <w:top w:val="none" w:sz="0" w:space="0" w:color="auto"/>
        <w:left w:val="none" w:sz="0" w:space="0" w:color="auto"/>
        <w:bottom w:val="none" w:sz="0" w:space="0" w:color="auto"/>
        <w:right w:val="none" w:sz="0" w:space="0" w:color="auto"/>
      </w:divBdr>
    </w:div>
    <w:div w:id="1193811569">
      <w:bodyDiv w:val="1"/>
      <w:marLeft w:val="0"/>
      <w:marRight w:val="0"/>
      <w:marTop w:val="0"/>
      <w:marBottom w:val="0"/>
      <w:divBdr>
        <w:top w:val="none" w:sz="0" w:space="0" w:color="auto"/>
        <w:left w:val="none" w:sz="0" w:space="0" w:color="auto"/>
        <w:bottom w:val="none" w:sz="0" w:space="0" w:color="auto"/>
        <w:right w:val="none" w:sz="0" w:space="0" w:color="auto"/>
      </w:divBdr>
    </w:div>
    <w:div w:id="1194075521">
      <w:bodyDiv w:val="1"/>
      <w:marLeft w:val="0"/>
      <w:marRight w:val="0"/>
      <w:marTop w:val="0"/>
      <w:marBottom w:val="0"/>
      <w:divBdr>
        <w:top w:val="none" w:sz="0" w:space="0" w:color="auto"/>
        <w:left w:val="none" w:sz="0" w:space="0" w:color="auto"/>
        <w:bottom w:val="none" w:sz="0" w:space="0" w:color="auto"/>
        <w:right w:val="none" w:sz="0" w:space="0" w:color="auto"/>
      </w:divBdr>
    </w:div>
    <w:div w:id="1194147853">
      <w:bodyDiv w:val="1"/>
      <w:marLeft w:val="0"/>
      <w:marRight w:val="0"/>
      <w:marTop w:val="0"/>
      <w:marBottom w:val="0"/>
      <w:divBdr>
        <w:top w:val="none" w:sz="0" w:space="0" w:color="auto"/>
        <w:left w:val="none" w:sz="0" w:space="0" w:color="auto"/>
        <w:bottom w:val="none" w:sz="0" w:space="0" w:color="auto"/>
        <w:right w:val="none" w:sz="0" w:space="0" w:color="auto"/>
      </w:divBdr>
    </w:div>
    <w:div w:id="1194347352">
      <w:bodyDiv w:val="1"/>
      <w:marLeft w:val="0"/>
      <w:marRight w:val="0"/>
      <w:marTop w:val="0"/>
      <w:marBottom w:val="0"/>
      <w:divBdr>
        <w:top w:val="none" w:sz="0" w:space="0" w:color="auto"/>
        <w:left w:val="none" w:sz="0" w:space="0" w:color="auto"/>
        <w:bottom w:val="none" w:sz="0" w:space="0" w:color="auto"/>
        <w:right w:val="none" w:sz="0" w:space="0" w:color="auto"/>
      </w:divBdr>
    </w:div>
    <w:div w:id="1194465114">
      <w:bodyDiv w:val="1"/>
      <w:marLeft w:val="0"/>
      <w:marRight w:val="0"/>
      <w:marTop w:val="0"/>
      <w:marBottom w:val="0"/>
      <w:divBdr>
        <w:top w:val="none" w:sz="0" w:space="0" w:color="auto"/>
        <w:left w:val="none" w:sz="0" w:space="0" w:color="auto"/>
        <w:bottom w:val="none" w:sz="0" w:space="0" w:color="auto"/>
        <w:right w:val="none" w:sz="0" w:space="0" w:color="auto"/>
      </w:divBdr>
    </w:div>
    <w:div w:id="1194804019">
      <w:bodyDiv w:val="1"/>
      <w:marLeft w:val="0"/>
      <w:marRight w:val="0"/>
      <w:marTop w:val="0"/>
      <w:marBottom w:val="0"/>
      <w:divBdr>
        <w:top w:val="none" w:sz="0" w:space="0" w:color="auto"/>
        <w:left w:val="none" w:sz="0" w:space="0" w:color="auto"/>
        <w:bottom w:val="none" w:sz="0" w:space="0" w:color="auto"/>
        <w:right w:val="none" w:sz="0" w:space="0" w:color="auto"/>
      </w:divBdr>
    </w:div>
    <w:div w:id="1195071104">
      <w:bodyDiv w:val="1"/>
      <w:marLeft w:val="0"/>
      <w:marRight w:val="0"/>
      <w:marTop w:val="0"/>
      <w:marBottom w:val="0"/>
      <w:divBdr>
        <w:top w:val="none" w:sz="0" w:space="0" w:color="auto"/>
        <w:left w:val="none" w:sz="0" w:space="0" w:color="auto"/>
        <w:bottom w:val="none" w:sz="0" w:space="0" w:color="auto"/>
        <w:right w:val="none" w:sz="0" w:space="0" w:color="auto"/>
      </w:divBdr>
    </w:div>
    <w:div w:id="1195456915">
      <w:bodyDiv w:val="1"/>
      <w:marLeft w:val="0"/>
      <w:marRight w:val="0"/>
      <w:marTop w:val="0"/>
      <w:marBottom w:val="0"/>
      <w:divBdr>
        <w:top w:val="none" w:sz="0" w:space="0" w:color="auto"/>
        <w:left w:val="none" w:sz="0" w:space="0" w:color="auto"/>
        <w:bottom w:val="none" w:sz="0" w:space="0" w:color="auto"/>
        <w:right w:val="none" w:sz="0" w:space="0" w:color="auto"/>
      </w:divBdr>
    </w:div>
    <w:div w:id="1196499413">
      <w:bodyDiv w:val="1"/>
      <w:marLeft w:val="0"/>
      <w:marRight w:val="0"/>
      <w:marTop w:val="0"/>
      <w:marBottom w:val="0"/>
      <w:divBdr>
        <w:top w:val="none" w:sz="0" w:space="0" w:color="auto"/>
        <w:left w:val="none" w:sz="0" w:space="0" w:color="auto"/>
        <w:bottom w:val="none" w:sz="0" w:space="0" w:color="auto"/>
        <w:right w:val="none" w:sz="0" w:space="0" w:color="auto"/>
      </w:divBdr>
    </w:div>
    <w:div w:id="1196577210">
      <w:bodyDiv w:val="1"/>
      <w:marLeft w:val="0"/>
      <w:marRight w:val="0"/>
      <w:marTop w:val="0"/>
      <w:marBottom w:val="0"/>
      <w:divBdr>
        <w:top w:val="none" w:sz="0" w:space="0" w:color="auto"/>
        <w:left w:val="none" w:sz="0" w:space="0" w:color="auto"/>
        <w:bottom w:val="none" w:sz="0" w:space="0" w:color="auto"/>
        <w:right w:val="none" w:sz="0" w:space="0" w:color="auto"/>
      </w:divBdr>
    </w:div>
    <w:div w:id="1197354112">
      <w:bodyDiv w:val="1"/>
      <w:marLeft w:val="0"/>
      <w:marRight w:val="0"/>
      <w:marTop w:val="0"/>
      <w:marBottom w:val="0"/>
      <w:divBdr>
        <w:top w:val="none" w:sz="0" w:space="0" w:color="auto"/>
        <w:left w:val="none" w:sz="0" w:space="0" w:color="auto"/>
        <w:bottom w:val="none" w:sz="0" w:space="0" w:color="auto"/>
        <w:right w:val="none" w:sz="0" w:space="0" w:color="auto"/>
      </w:divBdr>
    </w:div>
    <w:div w:id="1197423699">
      <w:bodyDiv w:val="1"/>
      <w:marLeft w:val="0"/>
      <w:marRight w:val="0"/>
      <w:marTop w:val="0"/>
      <w:marBottom w:val="0"/>
      <w:divBdr>
        <w:top w:val="none" w:sz="0" w:space="0" w:color="auto"/>
        <w:left w:val="none" w:sz="0" w:space="0" w:color="auto"/>
        <w:bottom w:val="none" w:sz="0" w:space="0" w:color="auto"/>
        <w:right w:val="none" w:sz="0" w:space="0" w:color="auto"/>
      </w:divBdr>
    </w:div>
    <w:div w:id="1197546413">
      <w:bodyDiv w:val="1"/>
      <w:marLeft w:val="0"/>
      <w:marRight w:val="0"/>
      <w:marTop w:val="0"/>
      <w:marBottom w:val="0"/>
      <w:divBdr>
        <w:top w:val="none" w:sz="0" w:space="0" w:color="auto"/>
        <w:left w:val="none" w:sz="0" w:space="0" w:color="auto"/>
        <w:bottom w:val="none" w:sz="0" w:space="0" w:color="auto"/>
        <w:right w:val="none" w:sz="0" w:space="0" w:color="auto"/>
      </w:divBdr>
    </w:div>
    <w:div w:id="1198005190">
      <w:bodyDiv w:val="1"/>
      <w:marLeft w:val="0"/>
      <w:marRight w:val="0"/>
      <w:marTop w:val="0"/>
      <w:marBottom w:val="0"/>
      <w:divBdr>
        <w:top w:val="none" w:sz="0" w:space="0" w:color="auto"/>
        <w:left w:val="none" w:sz="0" w:space="0" w:color="auto"/>
        <w:bottom w:val="none" w:sz="0" w:space="0" w:color="auto"/>
        <w:right w:val="none" w:sz="0" w:space="0" w:color="auto"/>
      </w:divBdr>
    </w:div>
    <w:div w:id="1198086663">
      <w:bodyDiv w:val="1"/>
      <w:marLeft w:val="0"/>
      <w:marRight w:val="0"/>
      <w:marTop w:val="0"/>
      <w:marBottom w:val="0"/>
      <w:divBdr>
        <w:top w:val="none" w:sz="0" w:space="0" w:color="auto"/>
        <w:left w:val="none" w:sz="0" w:space="0" w:color="auto"/>
        <w:bottom w:val="none" w:sz="0" w:space="0" w:color="auto"/>
        <w:right w:val="none" w:sz="0" w:space="0" w:color="auto"/>
      </w:divBdr>
    </w:div>
    <w:div w:id="1198934727">
      <w:bodyDiv w:val="1"/>
      <w:marLeft w:val="0"/>
      <w:marRight w:val="0"/>
      <w:marTop w:val="0"/>
      <w:marBottom w:val="0"/>
      <w:divBdr>
        <w:top w:val="none" w:sz="0" w:space="0" w:color="auto"/>
        <w:left w:val="none" w:sz="0" w:space="0" w:color="auto"/>
        <w:bottom w:val="none" w:sz="0" w:space="0" w:color="auto"/>
        <w:right w:val="none" w:sz="0" w:space="0" w:color="auto"/>
      </w:divBdr>
    </w:div>
    <w:div w:id="1200898086">
      <w:bodyDiv w:val="1"/>
      <w:marLeft w:val="0"/>
      <w:marRight w:val="0"/>
      <w:marTop w:val="0"/>
      <w:marBottom w:val="0"/>
      <w:divBdr>
        <w:top w:val="none" w:sz="0" w:space="0" w:color="auto"/>
        <w:left w:val="none" w:sz="0" w:space="0" w:color="auto"/>
        <w:bottom w:val="none" w:sz="0" w:space="0" w:color="auto"/>
        <w:right w:val="none" w:sz="0" w:space="0" w:color="auto"/>
      </w:divBdr>
    </w:div>
    <w:div w:id="1201019966">
      <w:bodyDiv w:val="1"/>
      <w:marLeft w:val="0"/>
      <w:marRight w:val="0"/>
      <w:marTop w:val="0"/>
      <w:marBottom w:val="0"/>
      <w:divBdr>
        <w:top w:val="none" w:sz="0" w:space="0" w:color="auto"/>
        <w:left w:val="none" w:sz="0" w:space="0" w:color="auto"/>
        <w:bottom w:val="none" w:sz="0" w:space="0" w:color="auto"/>
        <w:right w:val="none" w:sz="0" w:space="0" w:color="auto"/>
      </w:divBdr>
    </w:div>
    <w:div w:id="1201044586">
      <w:bodyDiv w:val="1"/>
      <w:marLeft w:val="0"/>
      <w:marRight w:val="0"/>
      <w:marTop w:val="0"/>
      <w:marBottom w:val="0"/>
      <w:divBdr>
        <w:top w:val="none" w:sz="0" w:space="0" w:color="auto"/>
        <w:left w:val="none" w:sz="0" w:space="0" w:color="auto"/>
        <w:bottom w:val="none" w:sz="0" w:space="0" w:color="auto"/>
        <w:right w:val="none" w:sz="0" w:space="0" w:color="auto"/>
      </w:divBdr>
    </w:div>
    <w:div w:id="1201816753">
      <w:bodyDiv w:val="1"/>
      <w:marLeft w:val="0"/>
      <w:marRight w:val="0"/>
      <w:marTop w:val="0"/>
      <w:marBottom w:val="0"/>
      <w:divBdr>
        <w:top w:val="none" w:sz="0" w:space="0" w:color="auto"/>
        <w:left w:val="none" w:sz="0" w:space="0" w:color="auto"/>
        <w:bottom w:val="none" w:sz="0" w:space="0" w:color="auto"/>
        <w:right w:val="none" w:sz="0" w:space="0" w:color="auto"/>
      </w:divBdr>
    </w:div>
    <w:div w:id="1201820517">
      <w:bodyDiv w:val="1"/>
      <w:marLeft w:val="0"/>
      <w:marRight w:val="0"/>
      <w:marTop w:val="0"/>
      <w:marBottom w:val="0"/>
      <w:divBdr>
        <w:top w:val="none" w:sz="0" w:space="0" w:color="auto"/>
        <w:left w:val="none" w:sz="0" w:space="0" w:color="auto"/>
        <w:bottom w:val="none" w:sz="0" w:space="0" w:color="auto"/>
        <w:right w:val="none" w:sz="0" w:space="0" w:color="auto"/>
      </w:divBdr>
    </w:div>
    <w:div w:id="1201936125">
      <w:bodyDiv w:val="1"/>
      <w:marLeft w:val="0"/>
      <w:marRight w:val="0"/>
      <w:marTop w:val="0"/>
      <w:marBottom w:val="0"/>
      <w:divBdr>
        <w:top w:val="none" w:sz="0" w:space="0" w:color="auto"/>
        <w:left w:val="none" w:sz="0" w:space="0" w:color="auto"/>
        <w:bottom w:val="none" w:sz="0" w:space="0" w:color="auto"/>
        <w:right w:val="none" w:sz="0" w:space="0" w:color="auto"/>
      </w:divBdr>
    </w:div>
    <w:div w:id="1202859927">
      <w:bodyDiv w:val="1"/>
      <w:marLeft w:val="0"/>
      <w:marRight w:val="0"/>
      <w:marTop w:val="0"/>
      <w:marBottom w:val="0"/>
      <w:divBdr>
        <w:top w:val="none" w:sz="0" w:space="0" w:color="auto"/>
        <w:left w:val="none" w:sz="0" w:space="0" w:color="auto"/>
        <w:bottom w:val="none" w:sz="0" w:space="0" w:color="auto"/>
        <w:right w:val="none" w:sz="0" w:space="0" w:color="auto"/>
      </w:divBdr>
    </w:div>
    <w:div w:id="1202940502">
      <w:bodyDiv w:val="1"/>
      <w:marLeft w:val="0"/>
      <w:marRight w:val="0"/>
      <w:marTop w:val="0"/>
      <w:marBottom w:val="0"/>
      <w:divBdr>
        <w:top w:val="none" w:sz="0" w:space="0" w:color="auto"/>
        <w:left w:val="none" w:sz="0" w:space="0" w:color="auto"/>
        <w:bottom w:val="none" w:sz="0" w:space="0" w:color="auto"/>
        <w:right w:val="none" w:sz="0" w:space="0" w:color="auto"/>
      </w:divBdr>
    </w:div>
    <w:div w:id="1203590120">
      <w:bodyDiv w:val="1"/>
      <w:marLeft w:val="0"/>
      <w:marRight w:val="0"/>
      <w:marTop w:val="0"/>
      <w:marBottom w:val="0"/>
      <w:divBdr>
        <w:top w:val="none" w:sz="0" w:space="0" w:color="auto"/>
        <w:left w:val="none" w:sz="0" w:space="0" w:color="auto"/>
        <w:bottom w:val="none" w:sz="0" w:space="0" w:color="auto"/>
        <w:right w:val="none" w:sz="0" w:space="0" w:color="auto"/>
      </w:divBdr>
    </w:div>
    <w:div w:id="1203593788">
      <w:bodyDiv w:val="1"/>
      <w:marLeft w:val="0"/>
      <w:marRight w:val="0"/>
      <w:marTop w:val="0"/>
      <w:marBottom w:val="0"/>
      <w:divBdr>
        <w:top w:val="none" w:sz="0" w:space="0" w:color="auto"/>
        <w:left w:val="none" w:sz="0" w:space="0" w:color="auto"/>
        <w:bottom w:val="none" w:sz="0" w:space="0" w:color="auto"/>
        <w:right w:val="none" w:sz="0" w:space="0" w:color="auto"/>
      </w:divBdr>
    </w:div>
    <w:div w:id="1203789731">
      <w:bodyDiv w:val="1"/>
      <w:marLeft w:val="0"/>
      <w:marRight w:val="0"/>
      <w:marTop w:val="0"/>
      <w:marBottom w:val="0"/>
      <w:divBdr>
        <w:top w:val="none" w:sz="0" w:space="0" w:color="auto"/>
        <w:left w:val="none" w:sz="0" w:space="0" w:color="auto"/>
        <w:bottom w:val="none" w:sz="0" w:space="0" w:color="auto"/>
        <w:right w:val="none" w:sz="0" w:space="0" w:color="auto"/>
      </w:divBdr>
    </w:div>
    <w:div w:id="1203902948">
      <w:bodyDiv w:val="1"/>
      <w:marLeft w:val="0"/>
      <w:marRight w:val="0"/>
      <w:marTop w:val="0"/>
      <w:marBottom w:val="0"/>
      <w:divBdr>
        <w:top w:val="none" w:sz="0" w:space="0" w:color="auto"/>
        <w:left w:val="none" w:sz="0" w:space="0" w:color="auto"/>
        <w:bottom w:val="none" w:sz="0" w:space="0" w:color="auto"/>
        <w:right w:val="none" w:sz="0" w:space="0" w:color="auto"/>
      </w:divBdr>
    </w:div>
    <w:div w:id="1203908408">
      <w:bodyDiv w:val="1"/>
      <w:marLeft w:val="0"/>
      <w:marRight w:val="0"/>
      <w:marTop w:val="0"/>
      <w:marBottom w:val="0"/>
      <w:divBdr>
        <w:top w:val="none" w:sz="0" w:space="0" w:color="auto"/>
        <w:left w:val="none" w:sz="0" w:space="0" w:color="auto"/>
        <w:bottom w:val="none" w:sz="0" w:space="0" w:color="auto"/>
        <w:right w:val="none" w:sz="0" w:space="0" w:color="auto"/>
      </w:divBdr>
    </w:div>
    <w:div w:id="1204631550">
      <w:bodyDiv w:val="1"/>
      <w:marLeft w:val="0"/>
      <w:marRight w:val="0"/>
      <w:marTop w:val="0"/>
      <w:marBottom w:val="0"/>
      <w:divBdr>
        <w:top w:val="none" w:sz="0" w:space="0" w:color="auto"/>
        <w:left w:val="none" w:sz="0" w:space="0" w:color="auto"/>
        <w:bottom w:val="none" w:sz="0" w:space="0" w:color="auto"/>
        <w:right w:val="none" w:sz="0" w:space="0" w:color="auto"/>
      </w:divBdr>
    </w:div>
    <w:div w:id="1204754597">
      <w:bodyDiv w:val="1"/>
      <w:marLeft w:val="0"/>
      <w:marRight w:val="0"/>
      <w:marTop w:val="0"/>
      <w:marBottom w:val="0"/>
      <w:divBdr>
        <w:top w:val="none" w:sz="0" w:space="0" w:color="auto"/>
        <w:left w:val="none" w:sz="0" w:space="0" w:color="auto"/>
        <w:bottom w:val="none" w:sz="0" w:space="0" w:color="auto"/>
        <w:right w:val="none" w:sz="0" w:space="0" w:color="auto"/>
      </w:divBdr>
    </w:div>
    <w:div w:id="1206023981">
      <w:bodyDiv w:val="1"/>
      <w:marLeft w:val="0"/>
      <w:marRight w:val="0"/>
      <w:marTop w:val="0"/>
      <w:marBottom w:val="0"/>
      <w:divBdr>
        <w:top w:val="none" w:sz="0" w:space="0" w:color="auto"/>
        <w:left w:val="none" w:sz="0" w:space="0" w:color="auto"/>
        <w:bottom w:val="none" w:sz="0" w:space="0" w:color="auto"/>
        <w:right w:val="none" w:sz="0" w:space="0" w:color="auto"/>
      </w:divBdr>
    </w:div>
    <w:div w:id="1206329254">
      <w:bodyDiv w:val="1"/>
      <w:marLeft w:val="0"/>
      <w:marRight w:val="0"/>
      <w:marTop w:val="0"/>
      <w:marBottom w:val="0"/>
      <w:divBdr>
        <w:top w:val="none" w:sz="0" w:space="0" w:color="auto"/>
        <w:left w:val="none" w:sz="0" w:space="0" w:color="auto"/>
        <w:bottom w:val="none" w:sz="0" w:space="0" w:color="auto"/>
        <w:right w:val="none" w:sz="0" w:space="0" w:color="auto"/>
      </w:divBdr>
    </w:div>
    <w:div w:id="1206604787">
      <w:bodyDiv w:val="1"/>
      <w:marLeft w:val="0"/>
      <w:marRight w:val="0"/>
      <w:marTop w:val="0"/>
      <w:marBottom w:val="0"/>
      <w:divBdr>
        <w:top w:val="none" w:sz="0" w:space="0" w:color="auto"/>
        <w:left w:val="none" w:sz="0" w:space="0" w:color="auto"/>
        <w:bottom w:val="none" w:sz="0" w:space="0" w:color="auto"/>
        <w:right w:val="none" w:sz="0" w:space="0" w:color="auto"/>
      </w:divBdr>
    </w:div>
    <w:div w:id="1206794201">
      <w:bodyDiv w:val="1"/>
      <w:marLeft w:val="0"/>
      <w:marRight w:val="0"/>
      <w:marTop w:val="0"/>
      <w:marBottom w:val="0"/>
      <w:divBdr>
        <w:top w:val="none" w:sz="0" w:space="0" w:color="auto"/>
        <w:left w:val="none" w:sz="0" w:space="0" w:color="auto"/>
        <w:bottom w:val="none" w:sz="0" w:space="0" w:color="auto"/>
        <w:right w:val="none" w:sz="0" w:space="0" w:color="auto"/>
      </w:divBdr>
    </w:div>
    <w:div w:id="1207525839">
      <w:bodyDiv w:val="1"/>
      <w:marLeft w:val="0"/>
      <w:marRight w:val="0"/>
      <w:marTop w:val="0"/>
      <w:marBottom w:val="0"/>
      <w:divBdr>
        <w:top w:val="none" w:sz="0" w:space="0" w:color="auto"/>
        <w:left w:val="none" w:sz="0" w:space="0" w:color="auto"/>
        <w:bottom w:val="none" w:sz="0" w:space="0" w:color="auto"/>
        <w:right w:val="none" w:sz="0" w:space="0" w:color="auto"/>
      </w:divBdr>
    </w:div>
    <w:div w:id="1207908923">
      <w:bodyDiv w:val="1"/>
      <w:marLeft w:val="0"/>
      <w:marRight w:val="0"/>
      <w:marTop w:val="0"/>
      <w:marBottom w:val="0"/>
      <w:divBdr>
        <w:top w:val="none" w:sz="0" w:space="0" w:color="auto"/>
        <w:left w:val="none" w:sz="0" w:space="0" w:color="auto"/>
        <w:bottom w:val="none" w:sz="0" w:space="0" w:color="auto"/>
        <w:right w:val="none" w:sz="0" w:space="0" w:color="auto"/>
      </w:divBdr>
    </w:div>
    <w:div w:id="1208906656">
      <w:bodyDiv w:val="1"/>
      <w:marLeft w:val="0"/>
      <w:marRight w:val="0"/>
      <w:marTop w:val="0"/>
      <w:marBottom w:val="0"/>
      <w:divBdr>
        <w:top w:val="none" w:sz="0" w:space="0" w:color="auto"/>
        <w:left w:val="none" w:sz="0" w:space="0" w:color="auto"/>
        <w:bottom w:val="none" w:sz="0" w:space="0" w:color="auto"/>
        <w:right w:val="none" w:sz="0" w:space="0" w:color="auto"/>
      </w:divBdr>
    </w:div>
    <w:div w:id="1209075313">
      <w:bodyDiv w:val="1"/>
      <w:marLeft w:val="0"/>
      <w:marRight w:val="0"/>
      <w:marTop w:val="0"/>
      <w:marBottom w:val="0"/>
      <w:divBdr>
        <w:top w:val="none" w:sz="0" w:space="0" w:color="auto"/>
        <w:left w:val="none" w:sz="0" w:space="0" w:color="auto"/>
        <w:bottom w:val="none" w:sz="0" w:space="0" w:color="auto"/>
        <w:right w:val="none" w:sz="0" w:space="0" w:color="auto"/>
      </w:divBdr>
    </w:div>
    <w:div w:id="1209729649">
      <w:bodyDiv w:val="1"/>
      <w:marLeft w:val="0"/>
      <w:marRight w:val="0"/>
      <w:marTop w:val="0"/>
      <w:marBottom w:val="0"/>
      <w:divBdr>
        <w:top w:val="none" w:sz="0" w:space="0" w:color="auto"/>
        <w:left w:val="none" w:sz="0" w:space="0" w:color="auto"/>
        <w:bottom w:val="none" w:sz="0" w:space="0" w:color="auto"/>
        <w:right w:val="none" w:sz="0" w:space="0" w:color="auto"/>
      </w:divBdr>
    </w:div>
    <w:div w:id="1210148709">
      <w:bodyDiv w:val="1"/>
      <w:marLeft w:val="0"/>
      <w:marRight w:val="0"/>
      <w:marTop w:val="0"/>
      <w:marBottom w:val="0"/>
      <w:divBdr>
        <w:top w:val="none" w:sz="0" w:space="0" w:color="auto"/>
        <w:left w:val="none" w:sz="0" w:space="0" w:color="auto"/>
        <w:bottom w:val="none" w:sz="0" w:space="0" w:color="auto"/>
        <w:right w:val="none" w:sz="0" w:space="0" w:color="auto"/>
      </w:divBdr>
    </w:div>
    <w:div w:id="1210265503">
      <w:bodyDiv w:val="1"/>
      <w:marLeft w:val="0"/>
      <w:marRight w:val="0"/>
      <w:marTop w:val="0"/>
      <w:marBottom w:val="0"/>
      <w:divBdr>
        <w:top w:val="none" w:sz="0" w:space="0" w:color="auto"/>
        <w:left w:val="none" w:sz="0" w:space="0" w:color="auto"/>
        <w:bottom w:val="none" w:sz="0" w:space="0" w:color="auto"/>
        <w:right w:val="none" w:sz="0" w:space="0" w:color="auto"/>
      </w:divBdr>
    </w:div>
    <w:div w:id="1210722216">
      <w:bodyDiv w:val="1"/>
      <w:marLeft w:val="0"/>
      <w:marRight w:val="0"/>
      <w:marTop w:val="0"/>
      <w:marBottom w:val="0"/>
      <w:divBdr>
        <w:top w:val="none" w:sz="0" w:space="0" w:color="auto"/>
        <w:left w:val="none" w:sz="0" w:space="0" w:color="auto"/>
        <w:bottom w:val="none" w:sz="0" w:space="0" w:color="auto"/>
        <w:right w:val="none" w:sz="0" w:space="0" w:color="auto"/>
      </w:divBdr>
    </w:div>
    <w:div w:id="1211191099">
      <w:bodyDiv w:val="1"/>
      <w:marLeft w:val="0"/>
      <w:marRight w:val="0"/>
      <w:marTop w:val="0"/>
      <w:marBottom w:val="0"/>
      <w:divBdr>
        <w:top w:val="none" w:sz="0" w:space="0" w:color="auto"/>
        <w:left w:val="none" w:sz="0" w:space="0" w:color="auto"/>
        <w:bottom w:val="none" w:sz="0" w:space="0" w:color="auto"/>
        <w:right w:val="none" w:sz="0" w:space="0" w:color="auto"/>
      </w:divBdr>
    </w:div>
    <w:div w:id="1211916110">
      <w:bodyDiv w:val="1"/>
      <w:marLeft w:val="0"/>
      <w:marRight w:val="0"/>
      <w:marTop w:val="0"/>
      <w:marBottom w:val="0"/>
      <w:divBdr>
        <w:top w:val="none" w:sz="0" w:space="0" w:color="auto"/>
        <w:left w:val="none" w:sz="0" w:space="0" w:color="auto"/>
        <w:bottom w:val="none" w:sz="0" w:space="0" w:color="auto"/>
        <w:right w:val="none" w:sz="0" w:space="0" w:color="auto"/>
      </w:divBdr>
    </w:div>
    <w:div w:id="1212885679">
      <w:bodyDiv w:val="1"/>
      <w:marLeft w:val="0"/>
      <w:marRight w:val="0"/>
      <w:marTop w:val="0"/>
      <w:marBottom w:val="0"/>
      <w:divBdr>
        <w:top w:val="none" w:sz="0" w:space="0" w:color="auto"/>
        <w:left w:val="none" w:sz="0" w:space="0" w:color="auto"/>
        <w:bottom w:val="none" w:sz="0" w:space="0" w:color="auto"/>
        <w:right w:val="none" w:sz="0" w:space="0" w:color="auto"/>
      </w:divBdr>
    </w:div>
    <w:div w:id="1213150873">
      <w:bodyDiv w:val="1"/>
      <w:marLeft w:val="0"/>
      <w:marRight w:val="0"/>
      <w:marTop w:val="0"/>
      <w:marBottom w:val="0"/>
      <w:divBdr>
        <w:top w:val="none" w:sz="0" w:space="0" w:color="auto"/>
        <w:left w:val="none" w:sz="0" w:space="0" w:color="auto"/>
        <w:bottom w:val="none" w:sz="0" w:space="0" w:color="auto"/>
        <w:right w:val="none" w:sz="0" w:space="0" w:color="auto"/>
      </w:divBdr>
    </w:div>
    <w:div w:id="1213611499">
      <w:bodyDiv w:val="1"/>
      <w:marLeft w:val="0"/>
      <w:marRight w:val="0"/>
      <w:marTop w:val="0"/>
      <w:marBottom w:val="0"/>
      <w:divBdr>
        <w:top w:val="none" w:sz="0" w:space="0" w:color="auto"/>
        <w:left w:val="none" w:sz="0" w:space="0" w:color="auto"/>
        <w:bottom w:val="none" w:sz="0" w:space="0" w:color="auto"/>
        <w:right w:val="none" w:sz="0" w:space="0" w:color="auto"/>
      </w:divBdr>
    </w:div>
    <w:div w:id="1213925260">
      <w:bodyDiv w:val="1"/>
      <w:marLeft w:val="0"/>
      <w:marRight w:val="0"/>
      <w:marTop w:val="0"/>
      <w:marBottom w:val="0"/>
      <w:divBdr>
        <w:top w:val="none" w:sz="0" w:space="0" w:color="auto"/>
        <w:left w:val="none" w:sz="0" w:space="0" w:color="auto"/>
        <w:bottom w:val="none" w:sz="0" w:space="0" w:color="auto"/>
        <w:right w:val="none" w:sz="0" w:space="0" w:color="auto"/>
      </w:divBdr>
    </w:div>
    <w:div w:id="1214851133">
      <w:bodyDiv w:val="1"/>
      <w:marLeft w:val="0"/>
      <w:marRight w:val="0"/>
      <w:marTop w:val="0"/>
      <w:marBottom w:val="0"/>
      <w:divBdr>
        <w:top w:val="none" w:sz="0" w:space="0" w:color="auto"/>
        <w:left w:val="none" w:sz="0" w:space="0" w:color="auto"/>
        <w:bottom w:val="none" w:sz="0" w:space="0" w:color="auto"/>
        <w:right w:val="none" w:sz="0" w:space="0" w:color="auto"/>
      </w:divBdr>
    </w:div>
    <w:div w:id="1215041422">
      <w:bodyDiv w:val="1"/>
      <w:marLeft w:val="0"/>
      <w:marRight w:val="0"/>
      <w:marTop w:val="0"/>
      <w:marBottom w:val="0"/>
      <w:divBdr>
        <w:top w:val="none" w:sz="0" w:space="0" w:color="auto"/>
        <w:left w:val="none" w:sz="0" w:space="0" w:color="auto"/>
        <w:bottom w:val="none" w:sz="0" w:space="0" w:color="auto"/>
        <w:right w:val="none" w:sz="0" w:space="0" w:color="auto"/>
      </w:divBdr>
    </w:div>
    <w:div w:id="1215431774">
      <w:bodyDiv w:val="1"/>
      <w:marLeft w:val="0"/>
      <w:marRight w:val="0"/>
      <w:marTop w:val="0"/>
      <w:marBottom w:val="0"/>
      <w:divBdr>
        <w:top w:val="none" w:sz="0" w:space="0" w:color="auto"/>
        <w:left w:val="none" w:sz="0" w:space="0" w:color="auto"/>
        <w:bottom w:val="none" w:sz="0" w:space="0" w:color="auto"/>
        <w:right w:val="none" w:sz="0" w:space="0" w:color="auto"/>
      </w:divBdr>
    </w:div>
    <w:div w:id="1215585310">
      <w:bodyDiv w:val="1"/>
      <w:marLeft w:val="0"/>
      <w:marRight w:val="0"/>
      <w:marTop w:val="0"/>
      <w:marBottom w:val="0"/>
      <w:divBdr>
        <w:top w:val="none" w:sz="0" w:space="0" w:color="auto"/>
        <w:left w:val="none" w:sz="0" w:space="0" w:color="auto"/>
        <w:bottom w:val="none" w:sz="0" w:space="0" w:color="auto"/>
        <w:right w:val="none" w:sz="0" w:space="0" w:color="auto"/>
      </w:divBdr>
    </w:div>
    <w:div w:id="1216356540">
      <w:bodyDiv w:val="1"/>
      <w:marLeft w:val="0"/>
      <w:marRight w:val="0"/>
      <w:marTop w:val="0"/>
      <w:marBottom w:val="0"/>
      <w:divBdr>
        <w:top w:val="none" w:sz="0" w:space="0" w:color="auto"/>
        <w:left w:val="none" w:sz="0" w:space="0" w:color="auto"/>
        <w:bottom w:val="none" w:sz="0" w:space="0" w:color="auto"/>
        <w:right w:val="none" w:sz="0" w:space="0" w:color="auto"/>
      </w:divBdr>
    </w:div>
    <w:div w:id="1216817684">
      <w:bodyDiv w:val="1"/>
      <w:marLeft w:val="0"/>
      <w:marRight w:val="0"/>
      <w:marTop w:val="0"/>
      <w:marBottom w:val="0"/>
      <w:divBdr>
        <w:top w:val="none" w:sz="0" w:space="0" w:color="auto"/>
        <w:left w:val="none" w:sz="0" w:space="0" w:color="auto"/>
        <w:bottom w:val="none" w:sz="0" w:space="0" w:color="auto"/>
        <w:right w:val="none" w:sz="0" w:space="0" w:color="auto"/>
      </w:divBdr>
    </w:div>
    <w:div w:id="1217200825">
      <w:bodyDiv w:val="1"/>
      <w:marLeft w:val="0"/>
      <w:marRight w:val="0"/>
      <w:marTop w:val="0"/>
      <w:marBottom w:val="0"/>
      <w:divBdr>
        <w:top w:val="none" w:sz="0" w:space="0" w:color="auto"/>
        <w:left w:val="none" w:sz="0" w:space="0" w:color="auto"/>
        <w:bottom w:val="none" w:sz="0" w:space="0" w:color="auto"/>
        <w:right w:val="none" w:sz="0" w:space="0" w:color="auto"/>
      </w:divBdr>
    </w:div>
    <w:div w:id="1218006082">
      <w:bodyDiv w:val="1"/>
      <w:marLeft w:val="0"/>
      <w:marRight w:val="0"/>
      <w:marTop w:val="0"/>
      <w:marBottom w:val="0"/>
      <w:divBdr>
        <w:top w:val="none" w:sz="0" w:space="0" w:color="auto"/>
        <w:left w:val="none" w:sz="0" w:space="0" w:color="auto"/>
        <w:bottom w:val="none" w:sz="0" w:space="0" w:color="auto"/>
        <w:right w:val="none" w:sz="0" w:space="0" w:color="auto"/>
      </w:divBdr>
    </w:div>
    <w:div w:id="1218084197">
      <w:bodyDiv w:val="1"/>
      <w:marLeft w:val="0"/>
      <w:marRight w:val="0"/>
      <w:marTop w:val="0"/>
      <w:marBottom w:val="0"/>
      <w:divBdr>
        <w:top w:val="none" w:sz="0" w:space="0" w:color="auto"/>
        <w:left w:val="none" w:sz="0" w:space="0" w:color="auto"/>
        <w:bottom w:val="none" w:sz="0" w:space="0" w:color="auto"/>
        <w:right w:val="none" w:sz="0" w:space="0" w:color="auto"/>
      </w:divBdr>
    </w:div>
    <w:div w:id="1218665295">
      <w:bodyDiv w:val="1"/>
      <w:marLeft w:val="0"/>
      <w:marRight w:val="0"/>
      <w:marTop w:val="0"/>
      <w:marBottom w:val="0"/>
      <w:divBdr>
        <w:top w:val="none" w:sz="0" w:space="0" w:color="auto"/>
        <w:left w:val="none" w:sz="0" w:space="0" w:color="auto"/>
        <w:bottom w:val="none" w:sz="0" w:space="0" w:color="auto"/>
        <w:right w:val="none" w:sz="0" w:space="0" w:color="auto"/>
      </w:divBdr>
    </w:div>
    <w:div w:id="1218859052">
      <w:bodyDiv w:val="1"/>
      <w:marLeft w:val="0"/>
      <w:marRight w:val="0"/>
      <w:marTop w:val="0"/>
      <w:marBottom w:val="0"/>
      <w:divBdr>
        <w:top w:val="none" w:sz="0" w:space="0" w:color="auto"/>
        <w:left w:val="none" w:sz="0" w:space="0" w:color="auto"/>
        <w:bottom w:val="none" w:sz="0" w:space="0" w:color="auto"/>
        <w:right w:val="none" w:sz="0" w:space="0" w:color="auto"/>
      </w:divBdr>
    </w:div>
    <w:div w:id="1219167401">
      <w:bodyDiv w:val="1"/>
      <w:marLeft w:val="0"/>
      <w:marRight w:val="0"/>
      <w:marTop w:val="0"/>
      <w:marBottom w:val="0"/>
      <w:divBdr>
        <w:top w:val="none" w:sz="0" w:space="0" w:color="auto"/>
        <w:left w:val="none" w:sz="0" w:space="0" w:color="auto"/>
        <w:bottom w:val="none" w:sz="0" w:space="0" w:color="auto"/>
        <w:right w:val="none" w:sz="0" w:space="0" w:color="auto"/>
      </w:divBdr>
    </w:div>
    <w:div w:id="1219627690">
      <w:bodyDiv w:val="1"/>
      <w:marLeft w:val="0"/>
      <w:marRight w:val="0"/>
      <w:marTop w:val="0"/>
      <w:marBottom w:val="0"/>
      <w:divBdr>
        <w:top w:val="none" w:sz="0" w:space="0" w:color="auto"/>
        <w:left w:val="none" w:sz="0" w:space="0" w:color="auto"/>
        <w:bottom w:val="none" w:sz="0" w:space="0" w:color="auto"/>
        <w:right w:val="none" w:sz="0" w:space="0" w:color="auto"/>
      </w:divBdr>
    </w:div>
    <w:div w:id="1219708585">
      <w:bodyDiv w:val="1"/>
      <w:marLeft w:val="0"/>
      <w:marRight w:val="0"/>
      <w:marTop w:val="0"/>
      <w:marBottom w:val="0"/>
      <w:divBdr>
        <w:top w:val="none" w:sz="0" w:space="0" w:color="auto"/>
        <w:left w:val="none" w:sz="0" w:space="0" w:color="auto"/>
        <w:bottom w:val="none" w:sz="0" w:space="0" w:color="auto"/>
        <w:right w:val="none" w:sz="0" w:space="0" w:color="auto"/>
      </w:divBdr>
    </w:div>
    <w:div w:id="1220870617">
      <w:bodyDiv w:val="1"/>
      <w:marLeft w:val="0"/>
      <w:marRight w:val="0"/>
      <w:marTop w:val="0"/>
      <w:marBottom w:val="0"/>
      <w:divBdr>
        <w:top w:val="none" w:sz="0" w:space="0" w:color="auto"/>
        <w:left w:val="none" w:sz="0" w:space="0" w:color="auto"/>
        <w:bottom w:val="none" w:sz="0" w:space="0" w:color="auto"/>
        <w:right w:val="none" w:sz="0" w:space="0" w:color="auto"/>
      </w:divBdr>
    </w:div>
    <w:div w:id="1221017888">
      <w:bodyDiv w:val="1"/>
      <w:marLeft w:val="0"/>
      <w:marRight w:val="0"/>
      <w:marTop w:val="0"/>
      <w:marBottom w:val="0"/>
      <w:divBdr>
        <w:top w:val="none" w:sz="0" w:space="0" w:color="auto"/>
        <w:left w:val="none" w:sz="0" w:space="0" w:color="auto"/>
        <w:bottom w:val="none" w:sz="0" w:space="0" w:color="auto"/>
        <w:right w:val="none" w:sz="0" w:space="0" w:color="auto"/>
      </w:divBdr>
    </w:div>
    <w:div w:id="122109613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249417">
      <w:bodyDiv w:val="1"/>
      <w:marLeft w:val="0"/>
      <w:marRight w:val="0"/>
      <w:marTop w:val="0"/>
      <w:marBottom w:val="0"/>
      <w:divBdr>
        <w:top w:val="none" w:sz="0" w:space="0" w:color="auto"/>
        <w:left w:val="none" w:sz="0" w:space="0" w:color="auto"/>
        <w:bottom w:val="none" w:sz="0" w:space="0" w:color="auto"/>
        <w:right w:val="none" w:sz="0" w:space="0" w:color="auto"/>
      </w:divBdr>
    </w:div>
    <w:div w:id="1222256424">
      <w:bodyDiv w:val="1"/>
      <w:marLeft w:val="0"/>
      <w:marRight w:val="0"/>
      <w:marTop w:val="0"/>
      <w:marBottom w:val="0"/>
      <w:divBdr>
        <w:top w:val="none" w:sz="0" w:space="0" w:color="auto"/>
        <w:left w:val="none" w:sz="0" w:space="0" w:color="auto"/>
        <w:bottom w:val="none" w:sz="0" w:space="0" w:color="auto"/>
        <w:right w:val="none" w:sz="0" w:space="0" w:color="auto"/>
      </w:divBdr>
    </w:div>
    <w:div w:id="1222330131">
      <w:bodyDiv w:val="1"/>
      <w:marLeft w:val="0"/>
      <w:marRight w:val="0"/>
      <w:marTop w:val="0"/>
      <w:marBottom w:val="0"/>
      <w:divBdr>
        <w:top w:val="none" w:sz="0" w:space="0" w:color="auto"/>
        <w:left w:val="none" w:sz="0" w:space="0" w:color="auto"/>
        <w:bottom w:val="none" w:sz="0" w:space="0" w:color="auto"/>
        <w:right w:val="none" w:sz="0" w:space="0" w:color="auto"/>
      </w:divBdr>
    </w:div>
    <w:div w:id="1222403889">
      <w:bodyDiv w:val="1"/>
      <w:marLeft w:val="0"/>
      <w:marRight w:val="0"/>
      <w:marTop w:val="0"/>
      <w:marBottom w:val="0"/>
      <w:divBdr>
        <w:top w:val="none" w:sz="0" w:space="0" w:color="auto"/>
        <w:left w:val="none" w:sz="0" w:space="0" w:color="auto"/>
        <w:bottom w:val="none" w:sz="0" w:space="0" w:color="auto"/>
        <w:right w:val="none" w:sz="0" w:space="0" w:color="auto"/>
      </w:divBdr>
    </w:div>
    <w:div w:id="1222672293">
      <w:bodyDiv w:val="1"/>
      <w:marLeft w:val="0"/>
      <w:marRight w:val="0"/>
      <w:marTop w:val="0"/>
      <w:marBottom w:val="0"/>
      <w:divBdr>
        <w:top w:val="none" w:sz="0" w:space="0" w:color="auto"/>
        <w:left w:val="none" w:sz="0" w:space="0" w:color="auto"/>
        <w:bottom w:val="none" w:sz="0" w:space="0" w:color="auto"/>
        <w:right w:val="none" w:sz="0" w:space="0" w:color="auto"/>
      </w:divBdr>
    </w:div>
    <w:div w:id="1222904339">
      <w:bodyDiv w:val="1"/>
      <w:marLeft w:val="0"/>
      <w:marRight w:val="0"/>
      <w:marTop w:val="0"/>
      <w:marBottom w:val="0"/>
      <w:divBdr>
        <w:top w:val="none" w:sz="0" w:space="0" w:color="auto"/>
        <w:left w:val="none" w:sz="0" w:space="0" w:color="auto"/>
        <w:bottom w:val="none" w:sz="0" w:space="0" w:color="auto"/>
        <w:right w:val="none" w:sz="0" w:space="0" w:color="auto"/>
      </w:divBdr>
    </w:div>
    <w:div w:id="1223297359">
      <w:bodyDiv w:val="1"/>
      <w:marLeft w:val="0"/>
      <w:marRight w:val="0"/>
      <w:marTop w:val="0"/>
      <w:marBottom w:val="0"/>
      <w:divBdr>
        <w:top w:val="none" w:sz="0" w:space="0" w:color="auto"/>
        <w:left w:val="none" w:sz="0" w:space="0" w:color="auto"/>
        <w:bottom w:val="none" w:sz="0" w:space="0" w:color="auto"/>
        <w:right w:val="none" w:sz="0" w:space="0" w:color="auto"/>
      </w:divBdr>
    </w:div>
    <w:div w:id="1223364815">
      <w:bodyDiv w:val="1"/>
      <w:marLeft w:val="0"/>
      <w:marRight w:val="0"/>
      <w:marTop w:val="0"/>
      <w:marBottom w:val="0"/>
      <w:divBdr>
        <w:top w:val="none" w:sz="0" w:space="0" w:color="auto"/>
        <w:left w:val="none" w:sz="0" w:space="0" w:color="auto"/>
        <w:bottom w:val="none" w:sz="0" w:space="0" w:color="auto"/>
        <w:right w:val="none" w:sz="0" w:space="0" w:color="auto"/>
      </w:divBdr>
    </w:div>
    <w:div w:id="1223833547">
      <w:bodyDiv w:val="1"/>
      <w:marLeft w:val="0"/>
      <w:marRight w:val="0"/>
      <w:marTop w:val="0"/>
      <w:marBottom w:val="0"/>
      <w:divBdr>
        <w:top w:val="none" w:sz="0" w:space="0" w:color="auto"/>
        <w:left w:val="none" w:sz="0" w:space="0" w:color="auto"/>
        <w:bottom w:val="none" w:sz="0" w:space="0" w:color="auto"/>
        <w:right w:val="none" w:sz="0" w:space="0" w:color="auto"/>
      </w:divBdr>
    </w:div>
    <w:div w:id="1223978640">
      <w:bodyDiv w:val="1"/>
      <w:marLeft w:val="0"/>
      <w:marRight w:val="0"/>
      <w:marTop w:val="0"/>
      <w:marBottom w:val="0"/>
      <w:divBdr>
        <w:top w:val="none" w:sz="0" w:space="0" w:color="auto"/>
        <w:left w:val="none" w:sz="0" w:space="0" w:color="auto"/>
        <w:bottom w:val="none" w:sz="0" w:space="0" w:color="auto"/>
        <w:right w:val="none" w:sz="0" w:space="0" w:color="auto"/>
      </w:divBdr>
    </w:div>
    <w:div w:id="1224365985">
      <w:bodyDiv w:val="1"/>
      <w:marLeft w:val="0"/>
      <w:marRight w:val="0"/>
      <w:marTop w:val="0"/>
      <w:marBottom w:val="0"/>
      <w:divBdr>
        <w:top w:val="none" w:sz="0" w:space="0" w:color="auto"/>
        <w:left w:val="none" w:sz="0" w:space="0" w:color="auto"/>
        <w:bottom w:val="none" w:sz="0" w:space="0" w:color="auto"/>
        <w:right w:val="none" w:sz="0" w:space="0" w:color="auto"/>
      </w:divBdr>
    </w:div>
    <w:div w:id="1224412064">
      <w:bodyDiv w:val="1"/>
      <w:marLeft w:val="0"/>
      <w:marRight w:val="0"/>
      <w:marTop w:val="0"/>
      <w:marBottom w:val="0"/>
      <w:divBdr>
        <w:top w:val="none" w:sz="0" w:space="0" w:color="auto"/>
        <w:left w:val="none" w:sz="0" w:space="0" w:color="auto"/>
        <w:bottom w:val="none" w:sz="0" w:space="0" w:color="auto"/>
        <w:right w:val="none" w:sz="0" w:space="0" w:color="auto"/>
      </w:divBdr>
    </w:div>
    <w:div w:id="1224757524">
      <w:bodyDiv w:val="1"/>
      <w:marLeft w:val="0"/>
      <w:marRight w:val="0"/>
      <w:marTop w:val="0"/>
      <w:marBottom w:val="0"/>
      <w:divBdr>
        <w:top w:val="none" w:sz="0" w:space="0" w:color="auto"/>
        <w:left w:val="none" w:sz="0" w:space="0" w:color="auto"/>
        <w:bottom w:val="none" w:sz="0" w:space="0" w:color="auto"/>
        <w:right w:val="none" w:sz="0" w:space="0" w:color="auto"/>
      </w:divBdr>
    </w:div>
    <w:div w:id="1224949718">
      <w:bodyDiv w:val="1"/>
      <w:marLeft w:val="0"/>
      <w:marRight w:val="0"/>
      <w:marTop w:val="0"/>
      <w:marBottom w:val="0"/>
      <w:divBdr>
        <w:top w:val="none" w:sz="0" w:space="0" w:color="auto"/>
        <w:left w:val="none" w:sz="0" w:space="0" w:color="auto"/>
        <w:bottom w:val="none" w:sz="0" w:space="0" w:color="auto"/>
        <w:right w:val="none" w:sz="0" w:space="0" w:color="auto"/>
      </w:divBdr>
    </w:div>
    <w:div w:id="1225095704">
      <w:bodyDiv w:val="1"/>
      <w:marLeft w:val="0"/>
      <w:marRight w:val="0"/>
      <w:marTop w:val="0"/>
      <w:marBottom w:val="0"/>
      <w:divBdr>
        <w:top w:val="none" w:sz="0" w:space="0" w:color="auto"/>
        <w:left w:val="none" w:sz="0" w:space="0" w:color="auto"/>
        <w:bottom w:val="none" w:sz="0" w:space="0" w:color="auto"/>
        <w:right w:val="none" w:sz="0" w:space="0" w:color="auto"/>
      </w:divBdr>
    </w:div>
    <w:div w:id="1225140589">
      <w:bodyDiv w:val="1"/>
      <w:marLeft w:val="0"/>
      <w:marRight w:val="0"/>
      <w:marTop w:val="0"/>
      <w:marBottom w:val="0"/>
      <w:divBdr>
        <w:top w:val="none" w:sz="0" w:space="0" w:color="auto"/>
        <w:left w:val="none" w:sz="0" w:space="0" w:color="auto"/>
        <w:bottom w:val="none" w:sz="0" w:space="0" w:color="auto"/>
        <w:right w:val="none" w:sz="0" w:space="0" w:color="auto"/>
      </w:divBdr>
    </w:div>
    <w:div w:id="1225288810">
      <w:bodyDiv w:val="1"/>
      <w:marLeft w:val="0"/>
      <w:marRight w:val="0"/>
      <w:marTop w:val="0"/>
      <w:marBottom w:val="0"/>
      <w:divBdr>
        <w:top w:val="none" w:sz="0" w:space="0" w:color="auto"/>
        <w:left w:val="none" w:sz="0" w:space="0" w:color="auto"/>
        <w:bottom w:val="none" w:sz="0" w:space="0" w:color="auto"/>
        <w:right w:val="none" w:sz="0" w:space="0" w:color="auto"/>
      </w:divBdr>
    </w:div>
    <w:div w:id="1225799504">
      <w:bodyDiv w:val="1"/>
      <w:marLeft w:val="0"/>
      <w:marRight w:val="0"/>
      <w:marTop w:val="0"/>
      <w:marBottom w:val="0"/>
      <w:divBdr>
        <w:top w:val="none" w:sz="0" w:space="0" w:color="auto"/>
        <w:left w:val="none" w:sz="0" w:space="0" w:color="auto"/>
        <w:bottom w:val="none" w:sz="0" w:space="0" w:color="auto"/>
        <w:right w:val="none" w:sz="0" w:space="0" w:color="auto"/>
      </w:divBdr>
    </w:div>
    <w:div w:id="1226067148">
      <w:bodyDiv w:val="1"/>
      <w:marLeft w:val="0"/>
      <w:marRight w:val="0"/>
      <w:marTop w:val="0"/>
      <w:marBottom w:val="0"/>
      <w:divBdr>
        <w:top w:val="none" w:sz="0" w:space="0" w:color="auto"/>
        <w:left w:val="none" w:sz="0" w:space="0" w:color="auto"/>
        <w:bottom w:val="none" w:sz="0" w:space="0" w:color="auto"/>
        <w:right w:val="none" w:sz="0" w:space="0" w:color="auto"/>
      </w:divBdr>
    </w:div>
    <w:div w:id="1226332545">
      <w:bodyDiv w:val="1"/>
      <w:marLeft w:val="0"/>
      <w:marRight w:val="0"/>
      <w:marTop w:val="0"/>
      <w:marBottom w:val="0"/>
      <w:divBdr>
        <w:top w:val="none" w:sz="0" w:space="0" w:color="auto"/>
        <w:left w:val="none" w:sz="0" w:space="0" w:color="auto"/>
        <w:bottom w:val="none" w:sz="0" w:space="0" w:color="auto"/>
        <w:right w:val="none" w:sz="0" w:space="0" w:color="auto"/>
      </w:divBdr>
    </w:div>
    <w:div w:id="1226381321">
      <w:bodyDiv w:val="1"/>
      <w:marLeft w:val="0"/>
      <w:marRight w:val="0"/>
      <w:marTop w:val="0"/>
      <w:marBottom w:val="0"/>
      <w:divBdr>
        <w:top w:val="none" w:sz="0" w:space="0" w:color="auto"/>
        <w:left w:val="none" w:sz="0" w:space="0" w:color="auto"/>
        <w:bottom w:val="none" w:sz="0" w:space="0" w:color="auto"/>
        <w:right w:val="none" w:sz="0" w:space="0" w:color="auto"/>
      </w:divBdr>
    </w:div>
    <w:div w:id="1226527724">
      <w:bodyDiv w:val="1"/>
      <w:marLeft w:val="0"/>
      <w:marRight w:val="0"/>
      <w:marTop w:val="0"/>
      <w:marBottom w:val="0"/>
      <w:divBdr>
        <w:top w:val="none" w:sz="0" w:space="0" w:color="auto"/>
        <w:left w:val="none" w:sz="0" w:space="0" w:color="auto"/>
        <w:bottom w:val="none" w:sz="0" w:space="0" w:color="auto"/>
        <w:right w:val="none" w:sz="0" w:space="0" w:color="auto"/>
      </w:divBdr>
    </w:div>
    <w:div w:id="1226571984">
      <w:bodyDiv w:val="1"/>
      <w:marLeft w:val="0"/>
      <w:marRight w:val="0"/>
      <w:marTop w:val="0"/>
      <w:marBottom w:val="0"/>
      <w:divBdr>
        <w:top w:val="none" w:sz="0" w:space="0" w:color="auto"/>
        <w:left w:val="none" w:sz="0" w:space="0" w:color="auto"/>
        <w:bottom w:val="none" w:sz="0" w:space="0" w:color="auto"/>
        <w:right w:val="none" w:sz="0" w:space="0" w:color="auto"/>
      </w:divBdr>
    </w:div>
    <w:div w:id="1226600697">
      <w:bodyDiv w:val="1"/>
      <w:marLeft w:val="0"/>
      <w:marRight w:val="0"/>
      <w:marTop w:val="0"/>
      <w:marBottom w:val="0"/>
      <w:divBdr>
        <w:top w:val="none" w:sz="0" w:space="0" w:color="auto"/>
        <w:left w:val="none" w:sz="0" w:space="0" w:color="auto"/>
        <w:bottom w:val="none" w:sz="0" w:space="0" w:color="auto"/>
        <w:right w:val="none" w:sz="0" w:space="0" w:color="auto"/>
      </w:divBdr>
    </w:div>
    <w:div w:id="1227108362">
      <w:bodyDiv w:val="1"/>
      <w:marLeft w:val="0"/>
      <w:marRight w:val="0"/>
      <w:marTop w:val="0"/>
      <w:marBottom w:val="0"/>
      <w:divBdr>
        <w:top w:val="none" w:sz="0" w:space="0" w:color="auto"/>
        <w:left w:val="none" w:sz="0" w:space="0" w:color="auto"/>
        <w:bottom w:val="none" w:sz="0" w:space="0" w:color="auto"/>
        <w:right w:val="none" w:sz="0" w:space="0" w:color="auto"/>
      </w:divBdr>
    </w:div>
    <w:div w:id="1227380869">
      <w:bodyDiv w:val="1"/>
      <w:marLeft w:val="0"/>
      <w:marRight w:val="0"/>
      <w:marTop w:val="0"/>
      <w:marBottom w:val="0"/>
      <w:divBdr>
        <w:top w:val="none" w:sz="0" w:space="0" w:color="auto"/>
        <w:left w:val="none" w:sz="0" w:space="0" w:color="auto"/>
        <w:bottom w:val="none" w:sz="0" w:space="0" w:color="auto"/>
        <w:right w:val="none" w:sz="0" w:space="0" w:color="auto"/>
      </w:divBdr>
    </w:div>
    <w:div w:id="1227497783">
      <w:bodyDiv w:val="1"/>
      <w:marLeft w:val="0"/>
      <w:marRight w:val="0"/>
      <w:marTop w:val="0"/>
      <w:marBottom w:val="0"/>
      <w:divBdr>
        <w:top w:val="none" w:sz="0" w:space="0" w:color="auto"/>
        <w:left w:val="none" w:sz="0" w:space="0" w:color="auto"/>
        <w:bottom w:val="none" w:sz="0" w:space="0" w:color="auto"/>
        <w:right w:val="none" w:sz="0" w:space="0" w:color="auto"/>
      </w:divBdr>
    </w:div>
    <w:div w:id="1227568796">
      <w:bodyDiv w:val="1"/>
      <w:marLeft w:val="0"/>
      <w:marRight w:val="0"/>
      <w:marTop w:val="0"/>
      <w:marBottom w:val="0"/>
      <w:divBdr>
        <w:top w:val="none" w:sz="0" w:space="0" w:color="auto"/>
        <w:left w:val="none" w:sz="0" w:space="0" w:color="auto"/>
        <w:bottom w:val="none" w:sz="0" w:space="0" w:color="auto"/>
        <w:right w:val="none" w:sz="0" w:space="0" w:color="auto"/>
      </w:divBdr>
    </w:div>
    <w:div w:id="1228152411">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28373176">
      <w:bodyDiv w:val="1"/>
      <w:marLeft w:val="0"/>
      <w:marRight w:val="0"/>
      <w:marTop w:val="0"/>
      <w:marBottom w:val="0"/>
      <w:divBdr>
        <w:top w:val="none" w:sz="0" w:space="0" w:color="auto"/>
        <w:left w:val="none" w:sz="0" w:space="0" w:color="auto"/>
        <w:bottom w:val="none" w:sz="0" w:space="0" w:color="auto"/>
        <w:right w:val="none" w:sz="0" w:space="0" w:color="auto"/>
      </w:divBdr>
    </w:div>
    <w:div w:id="1228415649">
      <w:bodyDiv w:val="1"/>
      <w:marLeft w:val="0"/>
      <w:marRight w:val="0"/>
      <w:marTop w:val="0"/>
      <w:marBottom w:val="0"/>
      <w:divBdr>
        <w:top w:val="none" w:sz="0" w:space="0" w:color="auto"/>
        <w:left w:val="none" w:sz="0" w:space="0" w:color="auto"/>
        <w:bottom w:val="none" w:sz="0" w:space="0" w:color="auto"/>
        <w:right w:val="none" w:sz="0" w:space="0" w:color="auto"/>
      </w:divBdr>
    </w:div>
    <w:div w:id="1229000873">
      <w:bodyDiv w:val="1"/>
      <w:marLeft w:val="0"/>
      <w:marRight w:val="0"/>
      <w:marTop w:val="0"/>
      <w:marBottom w:val="0"/>
      <w:divBdr>
        <w:top w:val="none" w:sz="0" w:space="0" w:color="auto"/>
        <w:left w:val="none" w:sz="0" w:space="0" w:color="auto"/>
        <w:bottom w:val="none" w:sz="0" w:space="0" w:color="auto"/>
        <w:right w:val="none" w:sz="0" w:space="0" w:color="auto"/>
      </w:divBdr>
    </w:div>
    <w:div w:id="1229069610">
      <w:bodyDiv w:val="1"/>
      <w:marLeft w:val="0"/>
      <w:marRight w:val="0"/>
      <w:marTop w:val="0"/>
      <w:marBottom w:val="0"/>
      <w:divBdr>
        <w:top w:val="none" w:sz="0" w:space="0" w:color="auto"/>
        <w:left w:val="none" w:sz="0" w:space="0" w:color="auto"/>
        <w:bottom w:val="none" w:sz="0" w:space="0" w:color="auto"/>
        <w:right w:val="none" w:sz="0" w:space="0" w:color="auto"/>
      </w:divBdr>
    </w:div>
    <w:div w:id="1229413100">
      <w:bodyDiv w:val="1"/>
      <w:marLeft w:val="0"/>
      <w:marRight w:val="0"/>
      <w:marTop w:val="0"/>
      <w:marBottom w:val="0"/>
      <w:divBdr>
        <w:top w:val="none" w:sz="0" w:space="0" w:color="auto"/>
        <w:left w:val="none" w:sz="0" w:space="0" w:color="auto"/>
        <w:bottom w:val="none" w:sz="0" w:space="0" w:color="auto"/>
        <w:right w:val="none" w:sz="0" w:space="0" w:color="auto"/>
      </w:divBdr>
    </w:div>
    <w:div w:id="1229731315">
      <w:bodyDiv w:val="1"/>
      <w:marLeft w:val="0"/>
      <w:marRight w:val="0"/>
      <w:marTop w:val="0"/>
      <w:marBottom w:val="0"/>
      <w:divBdr>
        <w:top w:val="none" w:sz="0" w:space="0" w:color="auto"/>
        <w:left w:val="none" w:sz="0" w:space="0" w:color="auto"/>
        <w:bottom w:val="none" w:sz="0" w:space="0" w:color="auto"/>
        <w:right w:val="none" w:sz="0" w:space="0" w:color="auto"/>
      </w:divBdr>
    </w:div>
    <w:div w:id="1230992037">
      <w:bodyDiv w:val="1"/>
      <w:marLeft w:val="0"/>
      <w:marRight w:val="0"/>
      <w:marTop w:val="0"/>
      <w:marBottom w:val="0"/>
      <w:divBdr>
        <w:top w:val="none" w:sz="0" w:space="0" w:color="auto"/>
        <w:left w:val="none" w:sz="0" w:space="0" w:color="auto"/>
        <w:bottom w:val="none" w:sz="0" w:space="0" w:color="auto"/>
        <w:right w:val="none" w:sz="0" w:space="0" w:color="auto"/>
      </w:divBdr>
    </w:div>
    <w:div w:id="1231036294">
      <w:bodyDiv w:val="1"/>
      <w:marLeft w:val="0"/>
      <w:marRight w:val="0"/>
      <w:marTop w:val="0"/>
      <w:marBottom w:val="0"/>
      <w:divBdr>
        <w:top w:val="none" w:sz="0" w:space="0" w:color="auto"/>
        <w:left w:val="none" w:sz="0" w:space="0" w:color="auto"/>
        <w:bottom w:val="none" w:sz="0" w:space="0" w:color="auto"/>
        <w:right w:val="none" w:sz="0" w:space="0" w:color="auto"/>
      </w:divBdr>
    </w:div>
    <w:div w:id="1231112611">
      <w:bodyDiv w:val="1"/>
      <w:marLeft w:val="0"/>
      <w:marRight w:val="0"/>
      <w:marTop w:val="0"/>
      <w:marBottom w:val="0"/>
      <w:divBdr>
        <w:top w:val="none" w:sz="0" w:space="0" w:color="auto"/>
        <w:left w:val="none" w:sz="0" w:space="0" w:color="auto"/>
        <w:bottom w:val="none" w:sz="0" w:space="0" w:color="auto"/>
        <w:right w:val="none" w:sz="0" w:space="0" w:color="auto"/>
      </w:divBdr>
    </w:div>
    <w:div w:id="1231575611">
      <w:bodyDiv w:val="1"/>
      <w:marLeft w:val="0"/>
      <w:marRight w:val="0"/>
      <w:marTop w:val="0"/>
      <w:marBottom w:val="0"/>
      <w:divBdr>
        <w:top w:val="none" w:sz="0" w:space="0" w:color="auto"/>
        <w:left w:val="none" w:sz="0" w:space="0" w:color="auto"/>
        <w:bottom w:val="none" w:sz="0" w:space="0" w:color="auto"/>
        <w:right w:val="none" w:sz="0" w:space="0" w:color="auto"/>
      </w:divBdr>
    </w:div>
    <w:div w:id="1232422414">
      <w:bodyDiv w:val="1"/>
      <w:marLeft w:val="0"/>
      <w:marRight w:val="0"/>
      <w:marTop w:val="0"/>
      <w:marBottom w:val="0"/>
      <w:divBdr>
        <w:top w:val="none" w:sz="0" w:space="0" w:color="auto"/>
        <w:left w:val="none" w:sz="0" w:space="0" w:color="auto"/>
        <w:bottom w:val="none" w:sz="0" w:space="0" w:color="auto"/>
        <w:right w:val="none" w:sz="0" w:space="0" w:color="auto"/>
      </w:divBdr>
    </w:div>
    <w:div w:id="1232545085">
      <w:bodyDiv w:val="1"/>
      <w:marLeft w:val="0"/>
      <w:marRight w:val="0"/>
      <w:marTop w:val="0"/>
      <w:marBottom w:val="0"/>
      <w:divBdr>
        <w:top w:val="none" w:sz="0" w:space="0" w:color="auto"/>
        <w:left w:val="none" w:sz="0" w:space="0" w:color="auto"/>
        <w:bottom w:val="none" w:sz="0" w:space="0" w:color="auto"/>
        <w:right w:val="none" w:sz="0" w:space="0" w:color="auto"/>
      </w:divBdr>
    </w:div>
    <w:div w:id="1232890462">
      <w:bodyDiv w:val="1"/>
      <w:marLeft w:val="0"/>
      <w:marRight w:val="0"/>
      <w:marTop w:val="0"/>
      <w:marBottom w:val="0"/>
      <w:divBdr>
        <w:top w:val="none" w:sz="0" w:space="0" w:color="auto"/>
        <w:left w:val="none" w:sz="0" w:space="0" w:color="auto"/>
        <w:bottom w:val="none" w:sz="0" w:space="0" w:color="auto"/>
        <w:right w:val="none" w:sz="0" w:space="0" w:color="auto"/>
      </w:divBdr>
    </w:div>
    <w:div w:id="1232930606">
      <w:bodyDiv w:val="1"/>
      <w:marLeft w:val="0"/>
      <w:marRight w:val="0"/>
      <w:marTop w:val="0"/>
      <w:marBottom w:val="0"/>
      <w:divBdr>
        <w:top w:val="none" w:sz="0" w:space="0" w:color="auto"/>
        <w:left w:val="none" w:sz="0" w:space="0" w:color="auto"/>
        <w:bottom w:val="none" w:sz="0" w:space="0" w:color="auto"/>
        <w:right w:val="none" w:sz="0" w:space="0" w:color="auto"/>
      </w:divBdr>
    </w:div>
    <w:div w:id="1233153101">
      <w:bodyDiv w:val="1"/>
      <w:marLeft w:val="0"/>
      <w:marRight w:val="0"/>
      <w:marTop w:val="0"/>
      <w:marBottom w:val="0"/>
      <w:divBdr>
        <w:top w:val="none" w:sz="0" w:space="0" w:color="auto"/>
        <w:left w:val="none" w:sz="0" w:space="0" w:color="auto"/>
        <w:bottom w:val="none" w:sz="0" w:space="0" w:color="auto"/>
        <w:right w:val="none" w:sz="0" w:space="0" w:color="auto"/>
      </w:divBdr>
    </w:div>
    <w:div w:id="1233352381">
      <w:bodyDiv w:val="1"/>
      <w:marLeft w:val="0"/>
      <w:marRight w:val="0"/>
      <w:marTop w:val="0"/>
      <w:marBottom w:val="0"/>
      <w:divBdr>
        <w:top w:val="none" w:sz="0" w:space="0" w:color="auto"/>
        <w:left w:val="none" w:sz="0" w:space="0" w:color="auto"/>
        <w:bottom w:val="none" w:sz="0" w:space="0" w:color="auto"/>
        <w:right w:val="none" w:sz="0" w:space="0" w:color="auto"/>
      </w:divBdr>
    </w:div>
    <w:div w:id="1233392304">
      <w:bodyDiv w:val="1"/>
      <w:marLeft w:val="0"/>
      <w:marRight w:val="0"/>
      <w:marTop w:val="0"/>
      <w:marBottom w:val="0"/>
      <w:divBdr>
        <w:top w:val="none" w:sz="0" w:space="0" w:color="auto"/>
        <w:left w:val="none" w:sz="0" w:space="0" w:color="auto"/>
        <w:bottom w:val="none" w:sz="0" w:space="0" w:color="auto"/>
        <w:right w:val="none" w:sz="0" w:space="0" w:color="auto"/>
      </w:divBdr>
    </w:div>
    <w:div w:id="1233540636">
      <w:bodyDiv w:val="1"/>
      <w:marLeft w:val="0"/>
      <w:marRight w:val="0"/>
      <w:marTop w:val="0"/>
      <w:marBottom w:val="0"/>
      <w:divBdr>
        <w:top w:val="none" w:sz="0" w:space="0" w:color="auto"/>
        <w:left w:val="none" w:sz="0" w:space="0" w:color="auto"/>
        <w:bottom w:val="none" w:sz="0" w:space="0" w:color="auto"/>
        <w:right w:val="none" w:sz="0" w:space="0" w:color="auto"/>
      </w:divBdr>
    </w:div>
    <w:div w:id="1233655967">
      <w:bodyDiv w:val="1"/>
      <w:marLeft w:val="0"/>
      <w:marRight w:val="0"/>
      <w:marTop w:val="0"/>
      <w:marBottom w:val="0"/>
      <w:divBdr>
        <w:top w:val="none" w:sz="0" w:space="0" w:color="auto"/>
        <w:left w:val="none" w:sz="0" w:space="0" w:color="auto"/>
        <w:bottom w:val="none" w:sz="0" w:space="0" w:color="auto"/>
        <w:right w:val="none" w:sz="0" w:space="0" w:color="auto"/>
      </w:divBdr>
    </w:div>
    <w:div w:id="1233658529">
      <w:bodyDiv w:val="1"/>
      <w:marLeft w:val="0"/>
      <w:marRight w:val="0"/>
      <w:marTop w:val="0"/>
      <w:marBottom w:val="0"/>
      <w:divBdr>
        <w:top w:val="none" w:sz="0" w:space="0" w:color="auto"/>
        <w:left w:val="none" w:sz="0" w:space="0" w:color="auto"/>
        <w:bottom w:val="none" w:sz="0" w:space="0" w:color="auto"/>
        <w:right w:val="none" w:sz="0" w:space="0" w:color="auto"/>
      </w:divBdr>
    </w:div>
    <w:div w:id="1233660284">
      <w:bodyDiv w:val="1"/>
      <w:marLeft w:val="0"/>
      <w:marRight w:val="0"/>
      <w:marTop w:val="0"/>
      <w:marBottom w:val="0"/>
      <w:divBdr>
        <w:top w:val="none" w:sz="0" w:space="0" w:color="auto"/>
        <w:left w:val="none" w:sz="0" w:space="0" w:color="auto"/>
        <w:bottom w:val="none" w:sz="0" w:space="0" w:color="auto"/>
        <w:right w:val="none" w:sz="0" w:space="0" w:color="auto"/>
      </w:divBdr>
    </w:div>
    <w:div w:id="1233926167">
      <w:bodyDiv w:val="1"/>
      <w:marLeft w:val="0"/>
      <w:marRight w:val="0"/>
      <w:marTop w:val="0"/>
      <w:marBottom w:val="0"/>
      <w:divBdr>
        <w:top w:val="none" w:sz="0" w:space="0" w:color="auto"/>
        <w:left w:val="none" w:sz="0" w:space="0" w:color="auto"/>
        <w:bottom w:val="none" w:sz="0" w:space="0" w:color="auto"/>
        <w:right w:val="none" w:sz="0" w:space="0" w:color="auto"/>
      </w:divBdr>
    </w:div>
    <w:div w:id="1234200452">
      <w:bodyDiv w:val="1"/>
      <w:marLeft w:val="0"/>
      <w:marRight w:val="0"/>
      <w:marTop w:val="0"/>
      <w:marBottom w:val="0"/>
      <w:divBdr>
        <w:top w:val="none" w:sz="0" w:space="0" w:color="auto"/>
        <w:left w:val="none" w:sz="0" w:space="0" w:color="auto"/>
        <w:bottom w:val="none" w:sz="0" w:space="0" w:color="auto"/>
        <w:right w:val="none" w:sz="0" w:space="0" w:color="auto"/>
      </w:divBdr>
    </w:div>
    <w:div w:id="1234703704">
      <w:bodyDiv w:val="1"/>
      <w:marLeft w:val="0"/>
      <w:marRight w:val="0"/>
      <w:marTop w:val="0"/>
      <w:marBottom w:val="0"/>
      <w:divBdr>
        <w:top w:val="none" w:sz="0" w:space="0" w:color="auto"/>
        <w:left w:val="none" w:sz="0" w:space="0" w:color="auto"/>
        <w:bottom w:val="none" w:sz="0" w:space="0" w:color="auto"/>
        <w:right w:val="none" w:sz="0" w:space="0" w:color="auto"/>
      </w:divBdr>
    </w:div>
    <w:div w:id="1234856111">
      <w:bodyDiv w:val="1"/>
      <w:marLeft w:val="0"/>
      <w:marRight w:val="0"/>
      <w:marTop w:val="0"/>
      <w:marBottom w:val="0"/>
      <w:divBdr>
        <w:top w:val="none" w:sz="0" w:space="0" w:color="auto"/>
        <w:left w:val="none" w:sz="0" w:space="0" w:color="auto"/>
        <w:bottom w:val="none" w:sz="0" w:space="0" w:color="auto"/>
        <w:right w:val="none" w:sz="0" w:space="0" w:color="auto"/>
      </w:divBdr>
    </w:div>
    <w:div w:id="1235314476">
      <w:bodyDiv w:val="1"/>
      <w:marLeft w:val="0"/>
      <w:marRight w:val="0"/>
      <w:marTop w:val="0"/>
      <w:marBottom w:val="0"/>
      <w:divBdr>
        <w:top w:val="none" w:sz="0" w:space="0" w:color="auto"/>
        <w:left w:val="none" w:sz="0" w:space="0" w:color="auto"/>
        <w:bottom w:val="none" w:sz="0" w:space="0" w:color="auto"/>
        <w:right w:val="none" w:sz="0" w:space="0" w:color="auto"/>
      </w:divBdr>
    </w:div>
    <w:div w:id="1235778709">
      <w:bodyDiv w:val="1"/>
      <w:marLeft w:val="0"/>
      <w:marRight w:val="0"/>
      <w:marTop w:val="0"/>
      <w:marBottom w:val="0"/>
      <w:divBdr>
        <w:top w:val="none" w:sz="0" w:space="0" w:color="auto"/>
        <w:left w:val="none" w:sz="0" w:space="0" w:color="auto"/>
        <w:bottom w:val="none" w:sz="0" w:space="0" w:color="auto"/>
        <w:right w:val="none" w:sz="0" w:space="0" w:color="auto"/>
      </w:divBdr>
    </w:div>
    <w:div w:id="1236209686">
      <w:bodyDiv w:val="1"/>
      <w:marLeft w:val="0"/>
      <w:marRight w:val="0"/>
      <w:marTop w:val="0"/>
      <w:marBottom w:val="0"/>
      <w:divBdr>
        <w:top w:val="none" w:sz="0" w:space="0" w:color="auto"/>
        <w:left w:val="none" w:sz="0" w:space="0" w:color="auto"/>
        <w:bottom w:val="none" w:sz="0" w:space="0" w:color="auto"/>
        <w:right w:val="none" w:sz="0" w:space="0" w:color="auto"/>
      </w:divBdr>
    </w:div>
    <w:div w:id="1236236472">
      <w:bodyDiv w:val="1"/>
      <w:marLeft w:val="0"/>
      <w:marRight w:val="0"/>
      <w:marTop w:val="0"/>
      <w:marBottom w:val="0"/>
      <w:divBdr>
        <w:top w:val="none" w:sz="0" w:space="0" w:color="auto"/>
        <w:left w:val="none" w:sz="0" w:space="0" w:color="auto"/>
        <w:bottom w:val="none" w:sz="0" w:space="0" w:color="auto"/>
        <w:right w:val="none" w:sz="0" w:space="0" w:color="auto"/>
      </w:divBdr>
    </w:div>
    <w:div w:id="1236621685">
      <w:bodyDiv w:val="1"/>
      <w:marLeft w:val="0"/>
      <w:marRight w:val="0"/>
      <w:marTop w:val="0"/>
      <w:marBottom w:val="0"/>
      <w:divBdr>
        <w:top w:val="none" w:sz="0" w:space="0" w:color="auto"/>
        <w:left w:val="none" w:sz="0" w:space="0" w:color="auto"/>
        <w:bottom w:val="none" w:sz="0" w:space="0" w:color="auto"/>
        <w:right w:val="none" w:sz="0" w:space="0" w:color="auto"/>
      </w:divBdr>
    </w:div>
    <w:div w:id="1236747262">
      <w:bodyDiv w:val="1"/>
      <w:marLeft w:val="0"/>
      <w:marRight w:val="0"/>
      <w:marTop w:val="0"/>
      <w:marBottom w:val="0"/>
      <w:divBdr>
        <w:top w:val="none" w:sz="0" w:space="0" w:color="auto"/>
        <w:left w:val="none" w:sz="0" w:space="0" w:color="auto"/>
        <w:bottom w:val="none" w:sz="0" w:space="0" w:color="auto"/>
        <w:right w:val="none" w:sz="0" w:space="0" w:color="auto"/>
      </w:divBdr>
    </w:div>
    <w:div w:id="1237011929">
      <w:bodyDiv w:val="1"/>
      <w:marLeft w:val="0"/>
      <w:marRight w:val="0"/>
      <w:marTop w:val="0"/>
      <w:marBottom w:val="0"/>
      <w:divBdr>
        <w:top w:val="none" w:sz="0" w:space="0" w:color="auto"/>
        <w:left w:val="none" w:sz="0" w:space="0" w:color="auto"/>
        <w:bottom w:val="none" w:sz="0" w:space="0" w:color="auto"/>
        <w:right w:val="none" w:sz="0" w:space="0" w:color="auto"/>
      </w:divBdr>
    </w:div>
    <w:div w:id="1237086856">
      <w:bodyDiv w:val="1"/>
      <w:marLeft w:val="0"/>
      <w:marRight w:val="0"/>
      <w:marTop w:val="0"/>
      <w:marBottom w:val="0"/>
      <w:divBdr>
        <w:top w:val="none" w:sz="0" w:space="0" w:color="auto"/>
        <w:left w:val="none" w:sz="0" w:space="0" w:color="auto"/>
        <w:bottom w:val="none" w:sz="0" w:space="0" w:color="auto"/>
        <w:right w:val="none" w:sz="0" w:space="0" w:color="auto"/>
      </w:divBdr>
    </w:div>
    <w:div w:id="1237933516">
      <w:bodyDiv w:val="1"/>
      <w:marLeft w:val="0"/>
      <w:marRight w:val="0"/>
      <w:marTop w:val="0"/>
      <w:marBottom w:val="0"/>
      <w:divBdr>
        <w:top w:val="none" w:sz="0" w:space="0" w:color="auto"/>
        <w:left w:val="none" w:sz="0" w:space="0" w:color="auto"/>
        <w:bottom w:val="none" w:sz="0" w:space="0" w:color="auto"/>
        <w:right w:val="none" w:sz="0" w:space="0" w:color="auto"/>
      </w:divBdr>
    </w:div>
    <w:div w:id="1237940557">
      <w:bodyDiv w:val="1"/>
      <w:marLeft w:val="0"/>
      <w:marRight w:val="0"/>
      <w:marTop w:val="0"/>
      <w:marBottom w:val="0"/>
      <w:divBdr>
        <w:top w:val="none" w:sz="0" w:space="0" w:color="auto"/>
        <w:left w:val="none" w:sz="0" w:space="0" w:color="auto"/>
        <w:bottom w:val="none" w:sz="0" w:space="0" w:color="auto"/>
        <w:right w:val="none" w:sz="0" w:space="0" w:color="auto"/>
      </w:divBdr>
    </w:div>
    <w:div w:id="1238051562">
      <w:bodyDiv w:val="1"/>
      <w:marLeft w:val="0"/>
      <w:marRight w:val="0"/>
      <w:marTop w:val="0"/>
      <w:marBottom w:val="0"/>
      <w:divBdr>
        <w:top w:val="none" w:sz="0" w:space="0" w:color="auto"/>
        <w:left w:val="none" w:sz="0" w:space="0" w:color="auto"/>
        <w:bottom w:val="none" w:sz="0" w:space="0" w:color="auto"/>
        <w:right w:val="none" w:sz="0" w:space="0" w:color="auto"/>
      </w:divBdr>
    </w:div>
    <w:div w:id="1238975219">
      <w:bodyDiv w:val="1"/>
      <w:marLeft w:val="0"/>
      <w:marRight w:val="0"/>
      <w:marTop w:val="0"/>
      <w:marBottom w:val="0"/>
      <w:divBdr>
        <w:top w:val="none" w:sz="0" w:space="0" w:color="auto"/>
        <w:left w:val="none" w:sz="0" w:space="0" w:color="auto"/>
        <w:bottom w:val="none" w:sz="0" w:space="0" w:color="auto"/>
        <w:right w:val="none" w:sz="0" w:space="0" w:color="auto"/>
      </w:divBdr>
    </w:div>
    <w:div w:id="1239055588">
      <w:bodyDiv w:val="1"/>
      <w:marLeft w:val="0"/>
      <w:marRight w:val="0"/>
      <w:marTop w:val="0"/>
      <w:marBottom w:val="0"/>
      <w:divBdr>
        <w:top w:val="none" w:sz="0" w:space="0" w:color="auto"/>
        <w:left w:val="none" w:sz="0" w:space="0" w:color="auto"/>
        <w:bottom w:val="none" w:sz="0" w:space="0" w:color="auto"/>
        <w:right w:val="none" w:sz="0" w:space="0" w:color="auto"/>
      </w:divBdr>
    </w:div>
    <w:div w:id="1239630994">
      <w:bodyDiv w:val="1"/>
      <w:marLeft w:val="0"/>
      <w:marRight w:val="0"/>
      <w:marTop w:val="0"/>
      <w:marBottom w:val="0"/>
      <w:divBdr>
        <w:top w:val="none" w:sz="0" w:space="0" w:color="auto"/>
        <w:left w:val="none" w:sz="0" w:space="0" w:color="auto"/>
        <w:bottom w:val="none" w:sz="0" w:space="0" w:color="auto"/>
        <w:right w:val="none" w:sz="0" w:space="0" w:color="auto"/>
      </w:divBdr>
    </w:div>
    <w:div w:id="1239633622">
      <w:bodyDiv w:val="1"/>
      <w:marLeft w:val="0"/>
      <w:marRight w:val="0"/>
      <w:marTop w:val="0"/>
      <w:marBottom w:val="0"/>
      <w:divBdr>
        <w:top w:val="none" w:sz="0" w:space="0" w:color="auto"/>
        <w:left w:val="none" w:sz="0" w:space="0" w:color="auto"/>
        <w:bottom w:val="none" w:sz="0" w:space="0" w:color="auto"/>
        <w:right w:val="none" w:sz="0" w:space="0" w:color="auto"/>
      </w:divBdr>
    </w:div>
    <w:div w:id="1239823246">
      <w:bodyDiv w:val="1"/>
      <w:marLeft w:val="0"/>
      <w:marRight w:val="0"/>
      <w:marTop w:val="0"/>
      <w:marBottom w:val="0"/>
      <w:divBdr>
        <w:top w:val="none" w:sz="0" w:space="0" w:color="auto"/>
        <w:left w:val="none" w:sz="0" w:space="0" w:color="auto"/>
        <w:bottom w:val="none" w:sz="0" w:space="0" w:color="auto"/>
        <w:right w:val="none" w:sz="0" w:space="0" w:color="auto"/>
      </w:divBdr>
    </w:div>
    <w:div w:id="1240749517">
      <w:bodyDiv w:val="1"/>
      <w:marLeft w:val="0"/>
      <w:marRight w:val="0"/>
      <w:marTop w:val="0"/>
      <w:marBottom w:val="0"/>
      <w:divBdr>
        <w:top w:val="none" w:sz="0" w:space="0" w:color="auto"/>
        <w:left w:val="none" w:sz="0" w:space="0" w:color="auto"/>
        <w:bottom w:val="none" w:sz="0" w:space="0" w:color="auto"/>
        <w:right w:val="none" w:sz="0" w:space="0" w:color="auto"/>
      </w:divBdr>
    </w:div>
    <w:div w:id="1240948263">
      <w:bodyDiv w:val="1"/>
      <w:marLeft w:val="0"/>
      <w:marRight w:val="0"/>
      <w:marTop w:val="0"/>
      <w:marBottom w:val="0"/>
      <w:divBdr>
        <w:top w:val="none" w:sz="0" w:space="0" w:color="auto"/>
        <w:left w:val="none" w:sz="0" w:space="0" w:color="auto"/>
        <w:bottom w:val="none" w:sz="0" w:space="0" w:color="auto"/>
        <w:right w:val="none" w:sz="0" w:space="0" w:color="auto"/>
      </w:divBdr>
    </w:div>
    <w:div w:id="1241713251">
      <w:bodyDiv w:val="1"/>
      <w:marLeft w:val="0"/>
      <w:marRight w:val="0"/>
      <w:marTop w:val="0"/>
      <w:marBottom w:val="0"/>
      <w:divBdr>
        <w:top w:val="none" w:sz="0" w:space="0" w:color="auto"/>
        <w:left w:val="none" w:sz="0" w:space="0" w:color="auto"/>
        <w:bottom w:val="none" w:sz="0" w:space="0" w:color="auto"/>
        <w:right w:val="none" w:sz="0" w:space="0" w:color="auto"/>
      </w:divBdr>
    </w:div>
    <w:div w:id="1242175592">
      <w:bodyDiv w:val="1"/>
      <w:marLeft w:val="0"/>
      <w:marRight w:val="0"/>
      <w:marTop w:val="0"/>
      <w:marBottom w:val="0"/>
      <w:divBdr>
        <w:top w:val="none" w:sz="0" w:space="0" w:color="auto"/>
        <w:left w:val="none" w:sz="0" w:space="0" w:color="auto"/>
        <w:bottom w:val="none" w:sz="0" w:space="0" w:color="auto"/>
        <w:right w:val="none" w:sz="0" w:space="0" w:color="auto"/>
      </w:divBdr>
    </w:div>
    <w:div w:id="1242566592">
      <w:bodyDiv w:val="1"/>
      <w:marLeft w:val="0"/>
      <w:marRight w:val="0"/>
      <w:marTop w:val="0"/>
      <w:marBottom w:val="0"/>
      <w:divBdr>
        <w:top w:val="none" w:sz="0" w:space="0" w:color="auto"/>
        <w:left w:val="none" w:sz="0" w:space="0" w:color="auto"/>
        <w:bottom w:val="none" w:sz="0" w:space="0" w:color="auto"/>
        <w:right w:val="none" w:sz="0" w:space="0" w:color="auto"/>
      </w:divBdr>
    </w:div>
    <w:div w:id="1243219692">
      <w:bodyDiv w:val="1"/>
      <w:marLeft w:val="0"/>
      <w:marRight w:val="0"/>
      <w:marTop w:val="0"/>
      <w:marBottom w:val="0"/>
      <w:divBdr>
        <w:top w:val="none" w:sz="0" w:space="0" w:color="auto"/>
        <w:left w:val="none" w:sz="0" w:space="0" w:color="auto"/>
        <w:bottom w:val="none" w:sz="0" w:space="0" w:color="auto"/>
        <w:right w:val="none" w:sz="0" w:space="0" w:color="auto"/>
      </w:divBdr>
    </w:div>
    <w:div w:id="1243299336">
      <w:bodyDiv w:val="1"/>
      <w:marLeft w:val="0"/>
      <w:marRight w:val="0"/>
      <w:marTop w:val="0"/>
      <w:marBottom w:val="0"/>
      <w:divBdr>
        <w:top w:val="none" w:sz="0" w:space="0" w:color="auto"/>
        <w:left w:val="none" w:sz="0" w:space="0" w:color="auto"/>
        <w:bottom w:val="none" w:sz="0" w:space="0" w:color="auto"/>
        <w:right w:val="none" w:sz="0" w:space="0" w:color="auto"/>
      </w:divBdr>
    </w:div>
    <w:div w:id="1243683921">
      <w:bodyDiv w:val="1"/>
      <w:marLeft w:val="0"/>
      <w:marRight w:val="0"/>
      <w:marTop w:val="0"/>
      <w:marBottom w:val="0"/>
      <w:divBdr>
        <w:top w:val="none" w:sz="0" w:space="0" w:color="auto"/>
        <w:left w:val="none" w:sz="0" w:space="0" w:color="auto"/>
        <w:bottom w:val="none" w:sz="0" w:space="0" w:color="auto"/>
        <w:right w:val="none" w:sz="0" w:space="0" w:color="auto"/>
      </w:divBdr>
    </w:div>
    <w:div w:id="1243756030">
      <w:bodyDiv w:val="1"/>
      <w:marLeft w:val="0"/>
      <w:marRight w:val="0"/>
      <w:marTop w:val="0"/>
      <w:marBottom w:val="0"/>
      <w:divBdr>
        <w:top w:val="none" w:sz="0" w:space="0" w:color="auto"/>
        <w:left w:val="none" w:sz="0" w:space="0" w:color="auto"/>
        <w:bottom w:val="none" w:sz="0" w:space="0" w:color="auto"/>
        <w:right w:val="none" w:sz="0" w:space="0" w:color="auto"/>
      </w:divBdr>
    </w:div>
    <w:div w:id="1243829492">
      <w:bodyDiv w:val="1"/>
      <w:marLeft w:val="0"/>
      <w:marRight w:val="0"/>
      <w:marTop w:val="0"/>
      <w:marBottom w:val="0"/>
      <w:divBdr>
        <w:top w:val="none" w:sz="0" w:space="0" w:color="auto"/>
        <w:left w:val="none" w:sz="0" w:space="0" w:color="auto"/>
        <w:bottom w:val="none" w:sz="0" w:space="0" w:color="auto"/>
        <w:right w:val="none" w:sz="0" w:space="0" w:color="auto"/>
      </w:divBdr>
    </w:div>
    <w:div w:id="1244754097">
      <w:bodyDiv w:val="1"/>
      <w:marLeft w:val="0"/>
      <w:marRight w:val="0"/>
      <w:marTop w:val="0"/>
      <w:marBottom w:val="0"/>
      <w:divBdr>
        <w:top w:val="none" w:sz="0" w:space="0" w:color="auto"/>
        <w:left w:val="none" w:sz="0" w:space="0" w:color="auto"/>
        <w:bottom w:val="none" w:sz="0" w:space="0" w:color="auto"/>
        <w:right w:val="none" w:sz="0" w:space="0" w:color="auto"/>
      </w:divBdr>
    </w:div>
    <w:div w:id="1244993602">
      <w:bodyDiv w:val="1"/>
      <w:marLeft w:val="0"/>
      <w:marRight w:val="0"/>
      <w:marTop w:val="0"/>
      <w:marBottom w:val="0"/>
      <w:divBdr>
        <w:top w:val="none" w:sz="0" w:space="0" w:color="auto"/>
        <w:left w:val="none" w:sz="0" w:space="0" w:color="auto"/>
        <w:bottom w:val="none" w:sz="0" w:space="0" w:color="auto"/>
        <w:right w:val="none" w:sz="0" w:space="0" w:color="auto"/>
      </w:divBdr>
    </w:div>
    <w:div w:id="1244995979">
      <w:bodyDiv w:val="1"/>
      <w:marLeft w:val="0"/>
      <w:marRight w:val="0"/>
      <w:marTop w:val="0"/>
      <w:marBottom w:val="0"/>
      <w:divBdr>
        <w:top w:val="none" w:sz="0" w:space="0" w:color="auto"/>
        <w:left w:val="none" w:sz="0" w:space="0" w:color="auto"/>
        <w:bottom w:val="none" w:sz="0" w:space="0" w:color="auto"/>
        <w:right w:val="none" w:sz="0" w:space="0" w:color="auto"/>
      </w:divBdr>
    </w:div>
    <w:div w:id="1246304856">
      <w:bodyDiv w:val="1"/>
      <w:marLeft w:val="0"/>
      <w:marRight w:val="0"/>
      <w:marTop w:val="0"/>
      <w:marBottom w:val="0"/>
      <w:divBdr>
        <w:top w:val="none" w:sz="0" w:space="0" w:color="auto"/>
        <w:left w:val="none" w:sz="0" w:space="0" w:color="auto"/>
        <w:bottom w:val="none" w:sz="0" w:space="0" w:color="auto"/>
        <w:right w:val="none" w:sz="0" w:space="0" w:color="auto"/>
      </w:divBdr>
    </w:div>
    <w:div w:id="1246963917">
      <w:bodyDiv w:val="1"/>
      <w:marLeft w:val="0"/>
      <w:marRight w:val="0"/>
      <w:marTop w:val="0"/>
      <w:marBottom w:val="0"/>
      <w:divBdr>
        <w:top w:val="none" w:sz="0" w:space="0" w:color="auto"/>
        <w:left w:val="none" w:sz="0" w:space="0" w:color="auto"/>
        <w:bottom w:val="none" w:sz="0" w:space="0" w:color="auto"/>
        <w:right w:val="none" w:sz="0" w:space="0" w:color="auto"/>
      </w:divBdr>
    </w:div>
    <w:div w:id="1247573474">
      <w:bodyDiv w:val="1"/>
      <w:marLeft w:val="0"/>
      <w:marRight w:val="0"/>
      <w:marTop w:val="0"/>
      <w:marBottom w:val="0"/>
      <w:divBdr>
        <w:top w:val="none" w:sz="0" w:space="0" w:color="auto"/>
        <w:left w:val="none" w:sz="0" w:space="0" w:color="auto"/>
        <w:bottom w:val="none" w:sz="0" w:space="0" w:color="auto"/>
        <w:right w:val="none" w:sz="0" w:space="0" w:color="auto"/>
      </w:divBdr>
    </w:div>
    <w:div w:id="1247688148">
      <w:bodyDiv w:val="1"/>
      <w:marLeft w:val="0"/>
      <w:marRight w:val="0"/>
      <w:marTop w:val="0"/>
      <w:marBottom w:val="0"/>
      <w:divBdr>
        <w:top w:val="none" w:sz="0" w:space="0" w:color="auto"/>
        <w:left w:val="none" w:sz="0" w:space="0" w:color="auto"/>
        <w:bottom w:val="none" w:sz="0" w:space="0" w:color="auto"/>
        <w:right w:val="none" w:sz="0" w:space="0" w:color="auto"/>
      </w:divBdr>
    </w:div>
    <w:div w:id="1248340329">
      <w:bodyDiv w:val="1"/>
      <w:marLeft w:val="0"/>
      <w:marRight w:val="0"/>
      <w:marTop w:val="0"/>
      <w:marBottom w:val="0"/>
      <w:divBdr>
        <w:top w:val="none" w:sz="0" w:space="0" w:color="auto"/>
        <w:left w:val="none" w:sz="0" w:space="0" w:color="auto"/>
        <w:bottom w:val="none" w:sz="0" w:space="0" w:color="auto"/>
        <w:right w:val="none" w:sz="0" w:space="0" w:color="auto"/>
      </w:divBdr>
    </w:div>
    <w:div w:id="1248465409">
      <w:bodyDiv w:val="1"/>
      <w:marLeft w:val="0"/>
      <w:marRight w:val="0"/>
      <w:marTop w:val="0"/>
      <w:marBottom w:val="0"/>
      <w:divBdr>
        <w:top w:val="none" w:sz="0" w:space="0" w:color="auto"/>
        <w:left w:val="none" w:sz="0" w:space="0" w:color="auto"/>
        <w:bottom w:val="none" w:sz="0" w:space="0" w:color="auto"/>
        <w:right w:val="none" w:sz="0" w:space="0" w:color="auto"/>
      </w:divBdr>
    </w:div>
    <w:div w:id="1248809829">
      <w:bodyDiv w:val="1"/>
      <w:marLeft w:val="0"/>
      <w:marRight w:val="0"/>
      <w:marTop w:val="0"/>
      <w:marBottom w:val="0"/>
      <w:divBdr>
        <w:top w:val="none" w:sz="0" w:space="0" w:color="auto"/>
        <w:left w:val="none" w:sz="0" w:space="0" w:color="auto"/>
        <w:bottom w:val="none" w:sz="0" w:space="0" w:color="auto"/>
        <w:right w:val="none" w:sz="0" w:space="0" w:color="auto"/>
      </w:divBdr>
    </w:div>
    <w:div w:id="1249461879">
      <w:bodyDiv w:val="1"/>
      <w:marLeft w:val="0"/>
      <w:marRight w:val="0"/>
      <w:marTop w:val="0"/>
      <w:marBottom w:val="0"/>
      <w:divBdr>
        <w:top w:val="none" w:sz="0" w:space="0" w:color="auto"/>
        <w:left w:val="none" w:sz="0" w:space="0" w:color="auto"/>
        <w:bottom w:val="none" w:sz="0" w:space="0" w:color="auto"/>
        <w:right w:val="none" w:sz="0" w:space="0" w:color="auto"/>
      </w:divBdr>
    </w:div>
    <w:div w:id="1249584558">
      <w:bodyDiv w:val="1"/>
      <w:marLeft w:val="0"/>
      <w:marRight w:val="0"/>
      <w:marTop w:val="0"/>
      <w:marBottom w:val="0"/>
      <w:divBdr>
        <w:top w:val="none" w:sz="0" w:space="0" w:color="auto"/>
        <w:left w:val="none" w:sz="0" w:space="0" w:color="auto"/>
        <w:bottom w:val="none" w:sz="0" w:space="0" w:color="auto"/>
        <w:right w:val="none" w:sz="0" w:space="0" w:color="auto"/>
      </w:divBdr>
    </w:div>
    <w:div w:id="1250195607">
      <w:bodyDiv w:val="1"/>
      <w:marLeft w:val="0"/>
      <w:marRight w:val="0"/>
      <w:marTop w:val="0"/>
      <w:marBottom w:val="0"/>
      <w:divBdr>
        <w:top w:val="none" w:sz="0" w:space="0" w:color="auto"/>
        <w:left w:val="none" w:sz="0" w:space="0" w:color="auto"/>
        <w:bottom w:val="none" w:sz="0" w:space="0" w:color="auto"/>
        <w:right w:val="none" w:sz="0" w:space="0" w:color="auto"/>
      </w:divBdr>
    </w:div>
    <w:div w:id="1250310378">
      <w:bodyDiv w:val="1"/>
      <w:marLeft w:val="0"/>
      <w:marRight w:val="0"/>
      <w:marTop w:val="0"/>
      <w:marBottom w:val="0"/>
      <w:divBdr>
        <w:top w:val="none" w:sz="0" w:space="0" w:color="auto"/>
        <w:left w:val="none" w:sz="0" w:space="0" w:color="auto"/>
        <w:bottom w:val="none" w:sz="0" w:space="0" w:color="auto"/>
        <w:right w:val="none" w:sz="0" w:space="0" w:color="auto"/>
      </w:divBdr>
    </w:div>
    <w:div w:id="1250501259">
      <w:bodyDiv w:val="1"/>
      <w:marLeft w:val="0"/>
      <w:marRight w:val="0"/>
      <w:marTop w:val="0"/>
      <w:marBottom w:val="0"/>
      <w:divBdr>
        <w:top w:val="none" w:sz="0" w:space="0" w:color="auto"/>
        <w:left w:val="none" w:sz="0" w:space="0" w:color="auto"/>
        <w:bottom w:val="none" w:sz="0" w:space="0" w:color="auto"/>
        <w:right w:val="none" w:sz="0" w:space="0" w:color="auto"/>
      </w:divBdr>
    </w:div>
    <w:div w:id="1250654468">
      <w:bodyDiv w:val="1"/>
      <w:marLeft w:val="0"/>
      <w:marRight w:val="0"/>
      <w:marTop w:val="0"/>
      <w:marBottom w:val="0"/>
      <w:divBdr>
        <w:top w:val="none" w:sz="0" w:space="0" w:color="auto"/>
        <w:left w:val="none" w:sz="0" w:space="0" w:color="auto"/>
        <w:bottom w:val="none" w:sz="0" w:space="0" w:color="auto"/>
        <w:right w:val="none" w:sz="0" w:space="0" w:color="auto"/>
      </w:divBdr>
    </w:div>
    <w:div w:id="1250890406">
      <w:bodyDiv w:val="1"/>
      <w:marLeft w:val="0"/>
      <w:marRight w:val="0"/>
      <w:marTop w:val="0"/>
      <w:marBottom w:val="0"/>
      <w:divBdr>
        <w:top w:val="none" w:sz="0" w:space="0" w:color="auto"/>
        <w:left w:val="none" w:sz="0" w:space="0" w:color="auto"/>
        <w:bottom w:val="none" w:sz="0" w:space="0" w:color="auto"/>
        <w:right w:val="none" w:sz="0" w:space="0" w:color="auto"/>
      </w:divBdr>
    </w:div>
    <w:div w:id="1251038898">
      <w:bodyDiv w:val="1"/>
      <w:marLeft w:val="0"/>
      <w:marRight w:val="0"/>
      <w:marTop w:val="0"/>
      <w:marBottom w:val="0"/>
      <w:divBdr>
        <w:top w:val="none" w:sz="0" w:space="0" w:color="auto"/>
        <w:left w:val="none" w:sz="0" w:space="0" w:color="auto"/>
        <w:bottom w:val="none" w:sz="0" w:space="0" w:color="auto"/>
        <w:right w:val="none" w:sz="0" w:space="0" w:color="auto"/>
      </w:divBdr>
    </w:div>
    <w:div w:id="1251086807">
      <w:bodyDiv w:val="1"/>
      <w:marLeft w:val="0"/>
      <w:marRight w:val="0"/>
      <w:marTop w:val="0"/>
      <w:marBottom w:val="0"/>
      <w:divBdr>
        <w:top w:val="none" w:sz="0" w:space="0" w:color="auto"/>
        <w:left w:val="none" w:sz="0" w:space="0" w:color="auto"/>
        <w:bottom w:val="none" w:sz="0" w:space="0" w:color="auto"/>
        <w:right w:val="none" w:sz="0" w:space="0" w:color="auto"/>
      </w:divBdr>
    </w:div>
    <w:div w:id="1251937461">
      <w:bodyDiv w:val="1"/>
      <w:marLeft w:val="0"/>
      <w:marRight w:val="0"/>
      <w:marTop w:val="0"/>
      <w:marBottom w:val="0"/>
      <w:divBdr>
        <w:top w:val="none" w:sz="0" w:space="0" w:color="auto"/>
        <w:left w:val="none" w:sz="0" w:space="0" w:color="auto"/>
        <w:bottom w:val="none" w:sz="0" w:space="0" w:color="auto"/>
        <w:right w:val="none" w:sz="0" w:space="0" w:color="auto"/>
      </w:divBdr>
    </w:div>
    <w:div w:id="1252810925">
      <w:bodyDiv w:val="1"/>
      <w:marLeft w:val="0"/>
      <w:marRight w:val="0"/>
      <w:marTop w:val="0"/>
      <w:marBottom w:val="0"/>
      <w:divBdr>
        <w:top w:val="none" w:sz="0" w:space="0" w:color="auto"/>
        <w:left w:val="none" w:sz="0" w:space="0" w:color="auto"/>
        <w:bottom w:val="none" w:sz="0" w:space="0" w:color="auto"/>
        <w:right w:val="none" w:sz="0" w:space="0" w:color="auto"/>
      </w:divBdr>
    </w:div>
    <w:div w:id="1252860887">
      <w:bodyDiv w:val="1"/>
      <w:marLeft w:val="0"/>
      <w:marRight w:val="0"/>
      <w:marTop w:val="0"/>
      <w:marBottom w:val="0"/>
      <w:divBdr>
        <w:top w:val="none" w:sz="0" w:space="0" w:color="auto"/>
        <w:left w:val="none" w:sz="0" w:space="0" w:color="auto"/>
        <w:bottom w:val="none" w:sz="0" w:space="0" w:color="auto"/>
        <w:right w:val="none" w:sz="0" w:space="0" w:color="auto"/>
      </w:divBdr>
    </w:div>
    <w:div w:id="1253970522">
      <w:bodyDiv w:val="1"/>
      <w:marLeft w:val="0"/>
      <w:marRight w:val="0"/>
      <w:marTop w:val="0"/>
      <w:marBottom w:val="0"/>
      <w:divBdr>
        <w:top w:val="none" w:sz="0" w:space="0" w:color="auto"/>
        <w:left w:val="none" w:sz="0" w:space="0" w:color="auto"/>
        <w:bottom w:val="none" w:sz="0" w:space="0" w:color="auto"/>
        <w:right w:val="none" w:sz="0" w:space="0" w:color="auto"/>
      </w:divBdr>
    </w:div>
    <w:div w:id="1254047211">
      <w:bodyDiv w:val="1"/>
      <w:marLeft w:val="0"/>
      <w:marRight w:val="0"/>
      <w:marTop w:val="0"/>
      <w:marBottom w:val="0"/>
      <w:divBdr>
        <w:top w:val="none" w:sz="0" w:space="0" w:color="auto"/>
        <w:left w:val="none" w:sz="0" w:space="0" w:color="auto"/>
        <w:bottom w:val="none" w:sz="0" w:space="0" w:color="auto"/>
        <w:right w:val="none" w:sz="0" w:space="0" w:color="auto"/>
      </w:divBdr>
    </w:div>
    <w:div w:id="1254050017">
      <w:bodyDiv w:val="1"/>
      <w:marLeft w:val="0"/>
      <w:marRight w:val="0"/>
      <w:marTop w:val="0"/>
      <w:marBottom w:val="0"/>
      <w:divBdr>
        <w:top w:val="none" w:sz="0" w:space="0" w:color="auto"/>
        <w:left w:val="none" w:sz="0" w:space="0" w:color="auto"/>
        <w:bottom w:val="none" w:sz="0" w:space="0" w:color="auto"/>
        <w:right w:val="none" w:sz="0" w:space="0" w:color="auto"/>
      </w:divBdr>
    </w:div>
    <w:div w:id="1254322213">
      <w:bodyDiv w:val="1"/>
      <w:marLeft w:val="0"/>
      <w:marRight w:val="0"/>
      <w:marTop w:val="0"/>
      <w:marBottom w:val="0"/>
      <w:divBdr>
        <w:top w:val="none" w:sz="0" w:space="0" w:color="auto"/>
        <w:left w:val="none" w:sz="0" w:space="0" w:color="auto"/>
        <w:bottom w:val="none" w:sz="0" w:space="0" w:color="auto"/>
        <w:right w:val="none" w:sz="0" w:space="0" w:color="auto"/>
      </w:divBdr>
    </w:div>
    <w:div w:id="1255240457">
      <w:bodyDiv w:val="1"/>
      <w:marLeft w:val="0"/>
      <w:marRight w:val="0"/>
      <w:marTop w:val="0"/>
      <w:marBottom w:val="0"/>
      <w:divBdr>
        <w:top w:val="none" w:sz="0" w:space="0" w:color="auto"/>
        <w:left w:val="none" w:sz="0" w:space="0" w:color="auto"/>
        <w:bottom w:val="none" w:sz="0" w:space="0" w:color="auto"/>
        <w:right w:val="none" w:sz="0" w:space="0" w:color="auto"/>
      </w:divBdr>
    </w:div>
    <w:div w:id="1255286062">
      <w:bodyDiv w:val="1"/>
      <w:marLeft w:val="0"/>
      <w:marRight w:val="0"/>
      <w:marTop w:val="0"/>
      <w:marBottom w:val="0"/>
      <w:divBdr>
        <w:top w:val="none" w:sz="0" w:space="0" w:color="auto"/>
        <w:left w:val="none" w:sz="0" w:space="0" w:color="auto"/>
        <w:bottom w:val="none" w:sz="0" w:space="0" w:color="auto"/>
        <w:right w:val="none" w:sz="0" w:space="0" w:color="auto"/>
      </w:divBdr>
    </w:div>
    <w:div w:id="1255624768">
      <w:bodyDiv w:val="1"/>
      <w:marLeft w:val="0"/>
      <w:marRight w:val="0"/>
      <w:marTop w:val="0"/>
      <w:marBottom w:val="0"/>
      <w:divBdr>
        <w:top w:val="none" w:sz="0" w:space="0" w:color="auto"/>
        <w:left w:val="none" w:sz="0" w:space="0" w:color="auto"/>
        <w:bottom w:val="none" w:sz="0" w:space="0" w:color="auto"/>
        <w:right w:val="none" w:sz="0" w:space="0" w:color="auto"/>
      </w:divBdr>
    </w:div>
    <w:div w:id="1255818956">
      <w:bodyDiv w:val="1"/>
      <w:marLeft w:val="0"/>
      <w:marRight w:val="0"/>
      <w:marTop w:val="0"/>
      <w:marBottom w:val="0"/>
      <w:divBdr>
        <w:top w:val="none" w:sz="0" w:space="0" w:color="auto"/>
        <w:left w:val="none" w:sz="0" w:space="0" w:color="auto"/>
        <w:bottom w:val="none" w:sz="0" w:space="0" w:color="auto"/>
        <w:right w:val="none" w:sz="0" w:space="0" w:color="auto"/>
      </w:divBdr>
    </w:div>
    <w:div w:id="1256014617">
      <w:bodyDiv w:val="1"/>
      <w:marLeft w:val="0"/>
      <w:marRight w:val="0"/>
      <w:marTop w:val="0"/>
      <w:marBottom w:val="0"/>
      <w:divBdr>
        <w:top w:val="none" w:sz="0" w:space="0" w:color="auto"/>
        <w:left w:val="none" w:sz="0" w:space="0" w:color="auto"/>
        <w:bottom w:val="none" w:sz="0" w:space="0" w:color="auto"/>
        <w:right w:val="none" w:sz="0" w:space="0" w:color="auto"/>
      </w:divBdr>
    </w:div>
    <w:div w:id="1257061623">
      <w:bodyDiv w:val="1"/>
      <w:marLeft w:val="0"/>
      <w:marRight w:val="0"/>
      <w:marTop w:val="0"/>
      <w:marBottom w:val="0"/>
      <w:divBdr>
        <w:top w:val="none" w:sz="0" w:space="0" w:color="auto"/>
        <w:left w:val="none" w:sz="0" w:space="0" w:color="auto"/>
        <w:bottom w:val="none" w:sz="0" w:space="0" w:color="auto"/>
        <w:right w:val="none" w:sz="0" w:space="0" w:color="auto"/>
      </w:divBdr>
    </w:div>
    <w:div w:id="1257982355">
      <w:bodyDiv w:val="1"/>
      <w:marLeft w:val="0"/>
      <w:marRight w:val="0"/>
      <w:marTop w:val="0"/>
      <w:marBottom w:val="0"/>
      <w:divBdr>
        <w:top w:val="none" w:sz="0" w:space="0" w:color="auto"/>
        <w:left w:val="none" w:sz="0" w:space="0" w:color="auto"/>
        <w:bottom w:val="none" w:sz="0" w:space="0" w:color="auto"/>
        <w:right w:val="none" w:sz="0" w:space="0" w:color="auto"/>
      </w:divBdr>
    </w:div>
    <w:div w:id="1258254369">
      <w:bodyDiv w:val="1"/>
      <w:marLeft w:val="0"/>
      <w:marRight w:val="0"/>
      <w:marTop w:val="0"/>
      <w:marBottom w:val="0"/>
      <w:divBdr>
        <w:top w:val="none" w:sz="0" w:space="0" w:color="auto"/>
        <w:left w:val="none" w:sz="0" w:space="0" w:color="auto"/>
        <w:bottom w:val="none" w:sz="0" w:space="0" w:color="auto"/>
        <w:right w:val="none" w:sz="0" w:space="0" w:color="auto"/>
      </w:divBdr>
    </w:div>
    <w:div w:id="1258323006">
      <w:bodyDiv w:val="1"/>
      <w:marLeft w:val="0"/>
      <w:marRight w:val="0"/>
      <w:marTop w:val="0"/>
      <w:marBottom w:val="0"/>
      <w:divBdr>
        <w:top w:val="none" w:sz="0" w:space="0" w:color="auto"/>
        <w:left w:val="none" w:sz="0" w:space="0" w:color="auto"/>
        <w:bottom w:val="none" w:sz="0" w:space="0" w:color="auto"/>
        <w:right w:val="none" w:sz="0" w:space="0" w:color="auto"/>
      </w:divBdr>
    </w:div>
    <w:div w:id="1258756949">
      <w:bodyDiv w:val="1"/>
      <w:marLeft w:val="0"/>
      <w:marRight w:val="0"/>
      <w:marTop w:val="0"/>
      <w:marBottom w:val="0"/>
      <w:divBdr>
        <w:top w:val="none" w:sz="0" w:space="0" w:color="auto"/>
        <w:left w:val="none" w:sz="0" w:space="0" w:color="auto"/>
        <w:bottom w:val="none" w:sz="0" w:space="0" w:color="auto"/>
        <w:right w:val="none" w:sz="0" w:space="0" w:color="auto"/>
      </w:divBdr>
    </w:div>
    <w:div w:id="1259295499">
      <w:bodyDiv w:val="1"/>
      <w:marLeft w:val="0"/>
      <w:marRight w:val="0"/>
      <w:marTop w:val="0"/>
      <w:marBottom w:val="0"/>
      <w:divBdr>
        <w:top w:val="none" w:sz="0" w:space="0" w:color="auto"/>
        <w:left w:val="none" w:sz="0" w:space="0" w:color="auto"/>
        <w:bottom w:val="none" w:sz="0" w:space="0" w:color="auto"/>
        <w:right w:val="none" w:sz="0" w:space="0" w:color="auto"/>
      </w:divBdr>
    </w:div>
    <w:div w:id="1260067255">
      <w:bodyDiv w:val="1"/>
      <w:marLeft w:val="0"/>
      <w:marRight w:val="0"/>
      <w:marTop w:val="0"/>
      <w:marBottom w:val="0"/>
      <w:divBdr>
        <w:top w:val="none" w:sz="0" w:space="0" w:color="auto"/>
        <w:left w:val="none" w:sz="0" w:space="0" w:color="auto"/>
        <w:bottom w:val="none" w:sz="0" w:space="0" w:color="auto"/>
        <w:right w:val="none" w:sz="0" w:space="0" w:color="auto"/>
      </w:divBdr>
    </w:div>
    <w:div w:id="1260068597">
      <w:bodyDiv w:val="1"/>
      <w:marLeft w:val="0"/>
      <w:marRight w:val="0"/>
      <w:marTop w:val="0"/>
      <w:marBottom w:val="0"/>
      <w:divBdr>
        <w:top w:val="none" w:sz="0" w:space="0" w:color="auto"/>
        <w:left w:val="none" w:sz="0" w:space="0" w:color="auto"/>
        <w:bottom w:val="none" w:sz="0" w:space="0" w:color="auto"/>
        <w:right w:val="none" w:sz="0" w:space="0" w:color="auto"/>
      </w:divBdr>
    </w:div>
    <w:div w:id="1260454561">
      <w:bodyDiv w:val="1"/>
      <w:marLeft w:val="0"/>
      <w:marRight w:val="0"/>
      <w:marTop w:val="0"/>
      <w:marBottom w:val="0"/>
      <w:divBdr>
        <w:top w:val="none" w:sz="0" w:space="0" w:color="auto"/>
        <w:left w:val="none" w:sz="0" w:space="0" w:color="auto"/>
        <w:bottom w:val="none" w:sz="0" w:space="0" w:color="auto"/>
        <w:right w:val="none" w:sz="0" w:space="0" w:color="auto"/>
      </w:divBdr>
    </w:div>
    <w:div w:id="1260870599">
      <w:bodyDiv w:val="1"/>
      <w:marLeft w:val="0"/>
      <w:marRight w:val="0"/>
      <w:marTop w:val="0"/>
      <w:marBottom w:val="0"/>
      <w:divBdr>
        <w:top w:val="none" w:sz="0" w:space="0" w:color="auto"/>
        <w:left w:val="none" w:sz="0" w:space="0" w:color="auto"/>
        <w:bottom w:val="none" w:sz="0" w:space="0" w:color="auto"/>
        <w:right w:val="none" w:sz="0" w:space="0" w:color="auto"/>
      </w:divBdr>
    </w:div>
    <w:div w:id="1261450605">
      <w:bodyDiv w:val="1"/>
      <w:marLeft w:val="0"/>
      <w:marRight w:val="0"/>
      <w:marTop w:val="0"/>
      <w:marBottom w:val="0"/>
      <w:divBdr>
        <w:top w:val="none" w:sz="0" w:space="0" w:color="auto"/>
        <w:left w:val="none" w:sz="0" w:space="0" w:color="auto"/>
        <w:bottom w:val="none" w:sz="0" w:space="0" w:color="auto"/>
        <w:right w:val="none" w:sz="0" w:space="0" w:color="auto"/>
      </w:divBdr>
    </w:div>
    <w:div w:id="1261988821">
      <w:bodyDiv w:val="1"/>
      <w:marLeft w:val="0"/>
      <w:marRight w:val="0"/>
      <w:marTop w:val="0"/>
      <w:marBottom w:val="0"/>
      <w:divBdr>
        <w:top w:val="none" w:sz="0" w:space="0" w:color="auto"/>
        <w:left w:val="none" w:sz="0" w:space="0" w:color="auto"/>
        <w:bottom w:val="none" w:sz="0" w:space="0" w:color="auto"/>
        <w:right w:val="none" w:sz="0" w:space="0" w:color="auto"/>
      </w:divBdr>
    </w:div>
    <w:div w:id="1262371066">
      <w:bodyDiv w:val="1"/>
      <w:marLeft w:val="0"/>
      <w:marRight w:val="0"/>
      <w:marTop w:val="0"/>
      <w:marBottom w:val="0"/>
      <w:divBdr>
        <w:top w:val="none" w:sz="0" w:space="0" w:color="auto"/>
        <w:left w:val="none" w:sz="0" w:space="0" w:color="auto"/>
        <w:bottom w:val="none" w:sz="0" w:space="0" w:color="auto"/>
        <w:right w:val="none" w:sz="0" w:space="0" w:color="auto"/>
      </w:divBdr>
    </w:div>
    <w:div w:id="1263105685">
      <w:bodyDiv w:val="1"/>
      <w:marLeft w:val="0"/>
      <w:marRight w:val="0"/>
      <w:marTop w:val="0"/>
      <w:marBottom w:val="0"/>
      <w:divBdr>
        <w:top w:val="none" w:sz="0" w:space="0" w:color="auto"/>
        <w:left w:val="none" w:sz="0" w:space="0" w:color="auto"/>
        <w:bottom w:val="none" w:sz="0" w:space="0" w:color="auto"/>
        <w:right w:val="none" w:sz="0" w:space="0" w:color="auto"/>
      </w:divBdr>
    </w:div>
    <w:div w:id="1263107933">
      <w:bodyDiv w:val="1"/>
      <w:marLeft w:val="0"/>
      <w:marRight w:val="0"/>
      <w:marTop w:val="0"/>
      <w:marBottom w:val="0"/>
      <w:divBdr>
        <w:top w:val="none" w:sz="0" w:space="0" w:color="auto"/>
        <w:left w:val="none" w:sz="0" w:space="0" w:color="auto"/>
        <w:bottom w:val="none" w:sz="0" w:space="0" w:color="auto"/>
        <w:right w:val="none" w:sz="0" w:space="0" w:color="auto"/>
      </w:divBdr>
    </w:div>
    <w:div w:id="1263299585">
      <w:bodyDiv w:val="1"/>
      <w:marLeft w:val="0"/>
      <w:marRight w:val="0"/>
      <w:marTop w:val="0"/>
      <w:marBottom w:val="0"/>
      <w:divBdr>
        <w:top w:val="none" w:sz="0" w:space="0" w:color="auto"/>
        <w:left w:val="none" w:sz="0" w:space="0" w:color="auto"/>
        <w:bottom w:val="none" w:sz="0" w:space="0" w:color="auto"/>
        <w:right w:val="none" w:sz="0" w:space="0" w:color="auto"/>
      </w:divBdr>
    </w:div>
    <w:div w:id="1263369115">
      <w:bodyDiv w:val="1"/>
      <w:marLeft w:val="0"/>
      <w:marRight w:val="0"/>
      <w:marTop w:val="0"/>
      <w:marBottom w:val="0"/>
      <w:divBdr>
        <w:top w:val="none" w:sz="0" w:space="0" w:color="auto"/>
        <w:left w:val="none" w:sz="0" w:space="0" w:color="auto"/>
        <w:bottom w:val="none" w:sz="0" w:space="0" w:color="auto"/>
        <w:right w:val="none" w:sz="0" w:space="0" w:color="auto"/>
      </w:divBdr>
    </w:div>
    <w:div w:id="1263731733">
      <w:bodyDiv w:val="1"/>
      <w:marLeft w:val="0"/>
      <w:marRight w:val="0"/>
      <w:marTop w:val="0"/>
      <w:marBottom w:val="0"/>
      <w:divBdr>
        <w:top w:val="none" w:sz="0" w:space="0" w:color="auto"/>
        <w:left w:val="none" w:sz="0" w:space="0" w:color="auto"/>
        <w:bottom w:val="none" w:sz="0" w:space="0" w:color="auto"/>
        <w:right w:val="none" w:sz="0" w:space="0" w:color="auto"/>
      </w:divBdr>
    </w:div>
    <w:div w:id="1264725234">
      <w:bodyDiv w:val="1"/>
      <w:marLeft w:val="0"/>
      <w:marRight w:val="0"/>
      <w:marTop w:val="0"/>
      <w:marBottom w:val="0"/>
      <w:divBdr>
        <w:top w:val="none" w:sz="0" w:space="0" w:color="auto"/>
        <w:left w:val="none" w:sz="0" w:space="0" w:color="auto"/>
        <w:bottom w:val="none" w:sz="0" w:space="0" w:color="auto"/>
        <w:right w:val="none" w:sz="0" w:space="0" w:color="auto"/>
      </w:divBdr>
    </w:div>
    <w:div w:id="1264729442">
      <w:bodyDiv w:val="1"/>
      <w:marLeft w:val="0"/>
      <w:marRight w:val="0"/>
      <w:marTop w:val="0"/>
      <w:marBottom w:val="0"/>
      <w:divBdr>
        <w:top w:val="none" w:sz="0" w:space="0" w:color="auto"/>
        <w:left w:val="none" w:sz="0" w:space="0" w:color="auto"/>
        <w:bottom w:val="none" w:sz="0" w:space="0" w:color="auto"/>
        <w:right w:val="none" w:sz="0" w:space="0" w:color="auto"/>
      </w:divBdr>
    </w:div>
    <w:div w:id="1265115592">
      <w:bodyDiv w:val="1"/>
      <w:marLeft w:val="0"/>
      <w:marRight w:val="0"/>
      <w:marTop w:val="0"/>
      <w:marBottom w:val="0"/>
      <w:divBdr>
        <w:top w:val="none" w:sz="0" w:space="0" w:color="auto"/>
        <w:left w:val="none" w:sz="0" w:space="0" w:color="auto"/>
        <w:bottom w:val="none" w:sz="0" w:space="0" w:color="auto"/>
        <w:right w:val="none" w:sz="0" w:space="0" w:color="auto"/>
      </w:divBdr>
    </w:div>
    <w:div w:id="1265383745">
      <w:bodyDiv w:val="1"/>
      <w:marLeft w:val="0"/>
      <w:marRight w:val="0"/>
      <w:marTop w:val="0"/>
      <w:marBottom w:val="0"/>
      <w:divBdr>
        <w:top w:val="none" w:sz="0" w:space="0" w:color="auto"/>
        <w:left w:val="none" w:sz="0" w:space="0" w:color="auto"/>
        <w:bottom w:val="none" w:sz="0" w:space="0" w:color="auto"/>
        <w:right w:val="none" w:sz="0" w:space="0" w:color="auto"/>
      </w:divBdr>
    </w:div>
    <w:div w:id="1265579271">
      <w:bodyDiv w:val="1"/>
      <w:marLeft w:val="0"/>
      <w:marRight w:val="0"/>
      <w:marTop w:val="0"/>
      <w:marBottom w:val="0"/>
      <w:divBdr>
        <w:top w:val="none" w:sz="0" w:space="0" w:color="auto"/>
        <w:left w:val="none" w:sz="0" w:space="0" w:color="auto"/>
        <w:bottom w:val="none" w:sz="0" w:space="0" w:color="auto"/>
        <w:right w:val="none" w:sz="0" w:space="0" w:color="auto"/>
      </w:divBdr>
    </w:div>
    <w:div w:id="1266376753">
      <w:bodyDiv w:val="1"/>
      <w:marLeft w:val="0"/>
      <w:marRight w:val="0"/>
      <w:marTop w:val="0"/>
      <w:marBottom w:val="0"/>
      <w:divBdr>
        <w:top w:val="none" w:sz="0" w:space="0" w:color="auto"/>
        <w:left w:val="none" w:sz="0" w:space="0" w:color="auto"/>
        <w:bottom w:val="none" w:sz="0" w:space="0" w:color="auto"/>
        <w:right w:val="none" w:sz="0" w:space="0" w:color="auto"/>
      </w:divBdr>
    </w:div>
    <w:div w:id="1266767945">
      <w:bodyDiv w:val="1"/>
      <w:marLeft w:val="0"/>
      <w:marRight w:val="0"/>
      <w:marTop w:val="0"/>
      <w:marBottom w:val="0"/>
      <w:divBdr>
        <w:top w:val="none" w:sz="0" w:space="0" w:color="auto"/>
        <w:left w:val="none" w:sz="0" w:space="0" w:color="auto"/>
        <w:bottom w:val="none" w:sz="0" w:space="0" w:color="auto"/>
        <w:right w:val="none" w:sz="0" w:space="0" w:color="auto"/>
      </w:divBdr>
    </w:div>
    <w:div w:id="1266841117">
      <w:bodyDiv w:val="1"/>
      <w:marLeft w:val="0"/>
      <w:marRight w:val="0"/>
      <w:marTop w:val="0"/>
      <w:marBottom w:val="0"/>
      <w:divBdr>
        <w:top w:val="none" w:sz="0" w:space="0" w:color="auto"/>
        <w:left w:val="none" w:sz="0" w:space="0" w:color="auto"/>
        <w:bottom w:val="none" w:sz="0" w:space="0" w:color="auto"/>
        <w:right w:val="none" w:sz="0" w:space="0" w:color="auto"/>
      </w:divBdr>
    </w:div>
    <w:div w:id="1267689660">
      <w:bodyDiv w:val="1"/>
      <w:marLeft w:val="0"/>
      <w:marRight w:val="0"/>
      <w:marTop w:val="0"/>
      <w:marBottom w:val="0"/>
      <w:divBdr>
        <w:top w:val="none" w:sz="0" w:space="0" w:color="auto"/>
        <w:left w:val="none" w:sz="0" w:space="0" w:color="auto"/>
        <w:bottom w:val="none" w:sz="0" w:space="0" w:color="auto"/>
        <w:right w:val="none" w:sz="0" w:space="0" w:color="auto"/>
      </w:divBdr>
    </w:div>
    <w:div w:id="1267811863">
      <w:bodyDiv w:val="1"/>
      <w:marLeft w:val="0"/>
      <w:marRight w:val="0"/>
      <w:marTop w:val="0"/>
      <w:marBottom w:val="0"/>
      <w:divBdr>
        <w:top w:val="none" w:sz="0" w:space="0" w:color="auto"/>
        <w:left w:val="none" w:sz="0" w:space="0" w:color="auto"/>
        <w:bottom w:val="none" w:sz="0" w:space="0" w:color="auto"/>
        <w:right w:val="none" w:sz="0" w:space="0" w:color="auto"/>
      </w:divBdr>
    </w:div>
    <w:div w:id="1269194100">
      <w:bodyDiv w:val="1"/>
      <w:marLeft w:val="0"/>
      <w:marRight w:val="0"/>
      <w:marTop w:val="0"/>
      <w:marBottom w:val="0"/>
      <w:divBdr>
        <w:top w:val="none" w:sz="0" w:space="0" w:color="auto"/>
        <w:left w:val="none" w:sz="0" w:space="0" w:color="auto"/>
        <w:bottom w:val="none" w:sz="0" w:space="0" w:color="auto"/>
        <w:right w:val="none" w:sz="0" w:space="0" w:color="auto"/>
      </w:divBdr>
    </w:div>
    <w:div w:id="1269921827">
      <w:bodyDiv w:val="1"/>
      <w:marLeft w:val="0"/>
      <w:marRight w:val="0"/>
      <w:marTop w:val="0"/>
      <w:marBottom w:val="0"/>
      <w:divBdr>
        <w:top w:val="none" w:sz="0" w:space="0" w:color="auto"/>
        <w:left w:val="none" w:sz="0" w:space="0" w:color="auto"/>
        <w:bottom w:val="none" w:sz="0" w:space="0" w:color="auto"/>
        <w:right w:val="none" w:sz="0" w:space="0" w:color="auto"/>
      </w:divBdr>
    </w:div>
    <w:div w:id="1270089285">
      <w:bodyDiv w:val="1"/>
      <w:marLeft w:val="0"/>
      <w:marRight w:val="0"/>
      <w:marTop w:val="0"/>
      <w:marBottom w:val="0"/>
      <w:divBdr>
        <w:top w:val="none" w:sz="0" w:space="0" w:color="auto"/>
        <w:left w:val="none" w:sz="0" w:space="0" w:color="auto"/>
        <w:bottom w:val="none" w:sz="0" w:space="0" w:color="auto"/>
        <w:right w:val="none" w:sz="0" w:space="0" w:color="auto"/>
      </w:divBdr>
    </w:div>
    <w:div w:id="1270314204">
      <w:bodyDiv w:val="1"/>
      <w:marLeft w:val="0"/>
      <w:marRight w:val="0"/>
      <w:marTop w:val="0"/>
      <w:marBottom w:val="0"/>
      <w:divBdr>
        <w:top w:val="none" w:sz="0" w:space="0" w:color="auto"/>
        <w:left w:val="none" w:sz="0" w:space="0" w:color="auto"/>
        <w:bottom w:val="none" w:sz="0" w:space="0" w:color="auto"/>
        <w:right w:val="none" w:sz="0" w:space="0" w:color="auto"/>
      </w:divBdr>
    </w:div>
    <w:div w:id="1270627637">
      <w:bodyDiv w:val="1"/>
      <w:marLeft w:val="0"/>
      <w:marRight w:val="0"/>
      <w:marTop w:val="0"/>
      <w:marBottom w:val="0"/>
      <w:divBdr>
        <w:top w:val="none" w:sz="0" w:space="0" w:color="auto"/>
        <w:left w:val="none" w:sz="0" w:space="0" w:color="auto"/>
        <w:bottom w:val="none" w:sz="0" w:space="0" w:color="auto"/>
        <w:right w:val="none" w:sz="0" w:space="0" w:color="auto"/>
      </w:divBdr>
    </w:div>
    <w:div w:id="1270968128">
      <w:bodyDiv w:val="1"/>
      <w:marLeft w:val="0"/>
      <w:marRight w:val="0"/>
      <w:marTop w:val="0"/>
      <w:marBottom w:val="0"/>
      <w:divBdr>
        <w:top w:val="none" w:sz="0" w:space="0" w:color="auto"/>
        <w:left w:val="none" w:sz="0" w:space="0" w:color="auto"/>
        <w:bottom w:val="none" w:sz="0" w:space="0" w:color="auto"/>
        <w:right w:val="none" w:sz="0" w:space="0" w:color="auto"/>
      </w:divBdr>
    </w:div>
    <w:div w:id="1270971897">
      <w:bodyDiv w:val="1"/>
      <w:marLeft w:val="0"/>
      <w:marRight w:val="0"/>
      <w:marTop w:val="0"/>
      <w:marBottom w:val="0"/>
      <w:divBdr>
        <w:top w:val="none" w:sz="0" w:space="0" w:color="auto"/>
        <w:left w:val="none" w:sz="0" w:space="0" w:color="auto"/>
        <w:bottom w:val="none" w:sz="0" w:space="0" w:color="auto"/>
        <w:right w:val="none" w:sz="0" w:space="0" w:color="auto"/>
      </w:divBdr>
    </w:div>
    <w:div w:id="1271012481">
      <w:bodyDiv w:val="1"/>
      <w:marLeft w:val="0"/>
      <w:marRight w:val="0"/>
      <w:marTop w:val="0"/>
      <w:marBottom w:val="0"/>
      <w:divBdr>
        <w:top w:val="none" w:sz="0" w:space="0" w:color="auto"/>
        <w:left w:val="none" w:sz="0" w:space="0" w:color="auto"/>
        <w:bottom w:val="none" w:sz="0" w:space="0" w:color="auto"/>
        <w:right w:val="none" w:sz="0" w:space="0" w:color="auto"/>
      </w:divBdr>
    </w:div>
    <w:div w:id="1271083995">
      <w:bodyDiv w:val="1"/>
      <w:marLeft w:val="0"/>
      <w:marRight w:val="0"/>
      <w:marTop w:val="0"/>
      <w:marBottom w:val="0"/>
      <w:divBdr>
        <w:top w:val="none" w:sz="0" w:space="0" w:color="auto"/>
        <w:left w:val="none" w:sz="0" w:space="0" w:color="auto"/>
        <w:bottom w:val="none" w:sz="0" w:space="0" w:color="auto"/>
        <w:right w:val="none" w:sz="0" w:space="0" w:color="auto"/>
      </w:divBdr>
    </w:div>
    <w:div w:id="1271205754">
      <w:bodyDiv w:val="1"/>
      <w:marLeft w:val="0"/>
      <w:marRight w:val="0"/>
      <w:marTop w:val="0"/>
      <w:marBottom w:val="0"/>
      <w:divBdr>
        <w:top w:val="none" w:sz="0" w:space="0" w:color="auto"/>
        <w:left w:val="none" w:sz="0" w:space="0" w:color="auto"/>
        <w:bottom w:val="none" w:sz="0" w:space="0" w:color="auto"/>
        <w:right w:val="none" w:sz="0" w:space="0" w:color="auto"/>
      </w:divBdr>
    </w:div>
    <w:div w:id="1271401694">
      <w:bodyDiv w:val="1"/>
      <w:marLeft w:val="0"/>
      <w:marRight w:val="0"/>
      <w:marTop w:val="0"/>
      <w:marBottom w:val="0"/>
      <w:divBdr>
        <w:top w:val="none" w:sz="0" w:space="0" w:color="auto"/>
        <w:left w:val="none" w:sz="0" w:space="0" w:color="auto"/>
        <w:bottom w:val="none" w:sz="0" w:space="0" w:color="auto"/>
        <w:right w:val="none" w:sz="0" w:space="0" w:color="auto"/>
      </w:divBdr>
    </w:div>
    <w:div w:id="1272205515">
      <w:bodyDiv w:val="1"/>
      <w:marLeft w:val="0"/>
      <w:marRight w:val="0"/>
      <w:marTop w:val="0"/>
      <w:marBottom w:val="0"/>
      <w:divBdr>
        <w:top w:val="none" w:sz="0" w:space="0" w:color="auto"/>
        <w:left w:val="none" w:sz="0" w:space="0" w:color="auto"/>
        <w:bottom w:val="none" w:sz="0" w:space="0" w:color="auto"/>
        <w:right w:val="none" w:sz="0" w:space="0" w:color="auto"/>
      </w:divBdr>
    </w:div>
    <w:div w:id="1272514597">
      <w:bodyDiv w:val="1"/>
      <w:marLeft w:val="0"/>
      <w:marRight w:val="0"/>
      <w:marTop w:val="0"/>
      <w:marBottom w:val="0"/>
      <w:divBdr>
        <w:top w:val="none" w:sz="0" w:space="0" w:color="auto"/>
        <w:left w:val="none" w:sz="0" w:space="0" w:color="auto"/>
        <w:bottom w:val="none" w:sz="0" w:space="0" w:color="auto"/>
        <w:right w:val="none" w:sz="0" w:space="0" w:color="auto"/>
      </w:divBdr>
    </w:div>
    <w:div w:id="1272860438">
      <w:bodyDiv w:val="1"/>
      <w:marLeft w:val="0"/>
      <w:marRight w:val="0"/>
      <w:marTop w:val="0"/>
      <w:marBottom w:val="0"/>
      <w:divBdr>
        <w:top w:val="none" w:sz="0" w:space="0" w:color="auto"/>
        <w:left w:val="none" w:sz="0" w:space="0" w:color="auto"/>
        <w:bottom w:val="none" w:sz="0" w:space="0" w:color="auto"/>
        <w:right w:val="none" w:sz="0" w:space="0" w:color="auto"/>
      </w:divBdr>
    </w:div>
    <w:div w:id="1273587129">
      <w:bodyDiv w:val="1"/>
      <w:marLeft w:val="0"/>
      <w:marRight w:val="0"/>
      <w:marTop w:val="0"/>
      <w:marBottom w:val="0"/>
      <w:divBdr>
        <w:top w:val="none" w:sz="0" w:space="0" w:color="auto"/>
        <w:left w:val="none" w:sz="0" w:space="0" w:color="auto"/>
        <w:bottom w:val="none" w:sz="0" w:space="0" w:color="auto"/>
        <w:right w:val="none" w:sz="0" w:space="0" w:color="auto"/>
      </w:divBdr>
    </w:div>
    <w:div w:id="1273707743">
      <w:bodyDiv w:val="1"/>
      <w:marLeft w:val="0"/>
      <w:marRight w:val="0"/>
      <w:marTop w:val="0"/>
      <w:marBottom w:val="0"/>
      <w:divBdr>
        <w:top w:val="none" w:sz="0" w:space="0" w:color="auto"/>
        <w:left w:val="none" w:sz="0" w:space="0" w:color="auto"/>
        <w:bottom w:val="none" w:sz="0" w:space="0" w:color="auto"/>
        <w:right w:val="none" w:sz="0" w:space="0" w:color="auto"/>
      </w:divBdr>
    </w:div>
    <w:div w:id="1273823679">
      <w:bodyDiv w:val="1"/>
      <w:marLeft w:val="0"/>
      <w:marRight w:val="0"/>
      <w:marTop w:val="0"/>
      <w:marBottom w:val="0"/>
      <w:divBdr>
        <w:top w:val="none" w:sz="0" w:space="0" w:color="auto"/>
        <w:left w:val="none" w:sz="0" w:space="0" w:color="auto"/>
        <w:bottom w:val="none" w:sz="0" w:space="0" w:color="auto"/>
        <w:right w:val="none" w:sz="0" w:space="0" w:color="auto"/>
      </w:divBdr>
    </w:div>
    <w:div w:id="1273898551">
      <w:bodyDiv w:val="1"/>
      <w:marLeft w:val="0"/>
      <w:marRight w:val="0"/>
      <w:marTop w:val="0"/>
      <w:marBottom w:val="0"/>
      <w:divBdr>
        <w:top w:val="none" w:sz="0" w:space="0" w:color="auto"/>
        <w:left w:val="none" w:sz="0" w:space="0" w:color="auto"/>
        <w:bottom w:val="none" w:sz="0" w:space="0" w:color="auto"/>
        <w:right w:val="none" w:sz="0" w:space="0" w:color="auto"/>
      </w:divBdr>
    </w:div>
    <w:div w:id="1274090782">
      <w:bodyDiv w:val="1"/>
      <w:marLeft w:val="0"/>
      <w:marRight w:val="0"/>
      <w:marTop w:val="0"/>
      <w:marBottom w:val="0"/>
      <w:divBdr>
        <w:top w:val="none" w:sz="0" w:space="0" w:color="auto"/>
        <w:left w:val="none" w:sz="0" w:space="0" w:color="auto"/>
        <w:bottom w:val="none" w:sz="0" w:space="0" w:color="auto"/>
        <w:right w:val="none" w:sz="0" w:space="0" w:color="auto"/>
      </w:divBdr>
    </w:div>
    <w:div w:id="1274098077">
      <w:bodyDiv w:val="1"/>
      <w:marLeft w:val="0"/>
      <w:marRight w:val="0"/>
      <w:marTop w:val="0"/>
      <w:marBottom w:val="0"/>
      <w:divBdr>
        <w:top w:val="none" w:sz="0" w:space="0" w:color="auto"/>
        <w:left w:val="none" w:sz="0" w:space="0" w:color="auto"/>
        <w:bottom w:val="none" w:sz="0" w:space="0" w:color="auto"/>
        <w:right w:val="none" w:sz="0" w:space="0" w:color="auto"/>
      </w:divBdr>
    </w:div>
    <w:div w:id="1274481153">
      <w:bodyDiv w:val="1"/>
      <w:marLeft w:val="0"/>
      <w:marRight w:val="0"/>
      <w:marTop w:val="0"/>
      <w:marBottom w:val="0"/>
      <w:divBdr>
        <w:top w:val="none" w:sz="0" w:space="0" w:color="auto"/>
        <w:left w:val="none" w:sz="0" w:space="0" w:color="auto"/>
        <w:bottom w:val="none" w:sz="0" w:space="0" w:color="auto"/>
        <w:right w:val="none" w:sz="0" w:space="0" w:color="auto"/>
      </w:divBdr>
    </w:div>
    <w:div w:id="1274899330">
      <w:bodyDiv w:val="1"/>
      <w:marLeft w:val="0"/>
      <w:marRight w:val="0"/>
      <w:marTop w:val="0"/>
      <w:marBottom w:val="0"/>
      <w:divBdr>
        <w:top w:val="none" w:sz="0" w:space="0" w:color="auto"/>
        <w:left w:val="none" w:sz="0" w:space="0" w:color="auto"/>
        <w:bottom w:val="none" w:sz="0" w:space="0" w:color="auto"/>
        <w:right w:val="none" w:sz="0" w:space="0" w:color="auto"/>
      </w:divBdr>
    </w:div>
    <w:div w:id="1274903616">
      <w:bodyDiv w:val="1"/>
      <w:marLeft w:val="0"/>
      <w:marRight w:val="0"/>
      <w:marTop w:val="0"/>
      <w:marBottom w:val="0"/>
      <w:divBdr>
        <w:top w:val="none" w:sz="0" w:space="0" w:color="auto"/>
        <w:left w:val="none" w:sz="0" w:space="0" w:color="auto"/>
        <w:bottom w:val="none" w:sz="0" w:space="0" w:color="auto"/>
        <w:right w:val="none" w:sz="0" w:space="0" w:color="auto"/>
      </w:divBdr>
    </w:div>
    <w:div w:id="1275135607">
      <w:bodyDiv w:val="1"/>
      <w:marLeft w:val="0"/>
      <w:marRight w:val="0"/>
      <w:marTop w:val="0"/>
      <w:marBottom w:val="0"/>
      <w:divBdr>
        <w:top w:val="none" w:sz="0" w:space="0" w:color="auto"/>
        <w:left w:val="none" w:sz="0" w:space="0" w:color="auto"/>
        <w:bottom w:val="none" w:sz="0" w:space="0" w:color="auto"/>
        <w:right w:val="none" w:sz="0" w:space="0" w:color="auto"/>
      </w:divBdr>
    </w:div>
    <w:div w:id="1275140651">
      <w:bodyDiv w:val="1"/>
      <w:marLeft w:val="0"/>
      <w:marRight w:val="0"/>
      <w:marTop w:val="0"/>
      <w:marBottom w:val="0"/>
      <w:divBdr>
        <w:top w:val="none" w:sz="0" w:space="0" w:color="auto"/>
        <w:left w:val="none" w:sz="0" w:space="0" w:color="auto"/>
        <w:bottom w:val="none" w:sz="0" w:space="0" w:color="auto"/>
        <w:right w:val="none" w:sz="0" w:space="0" w:color="auto"/>
      </w:divBdr>
    </w:div>
    <w:div w:id="1275363069">
      <w:bodyDiv w:val="1"/>
      <w:marLeft w:val="0"/>
      <w:marRight w:val="0"/>
      <w:marTop w:val="0"/>
      <w:marBottom w:val="0"/>
      <w:divBdr>
        <w:top w:val="none" w:sz="0" w:space="0" w:color="auto"/>
        <w:left w:val="none" w:sz="0" w:space="0" w:color="auto"/>
        <w:bottom w:val="none" w:sz="0" w:space="0" w:color="auto"/>
        <w:right w:val="none" w:sz="0" w:space="0" w:color="auto"/>
      </w:divBdr>
    </w:div>
    <w:div w:id="1275477557">
      <w:bodyDiv w:val="1"/>
      <w:marLeft w:val="0"/>
      <w:marRight w:val="0"/>
      <w:marTop w:val="0"/>
      <w:marBottom w:val="0"/>
      <w:divBdr>
        <w:top w:val="none" w:sz="0" w:space="0" w:color="auto"/>
        <w:left w:val="none" w:sz="0" w:space="0" w:color="auto"/>
        <w:bottom w:val="none" w:sz="0" w:space="0" w:color="auto"/>
        <w:right w:val="none" w:sz="0" w:space="0" w:color="auto"/>
      </w:divBdr>
    </w:div>
    <w:div w:id="1275599784">
      <w:bodyDiv w:val="1"/>
      <w:marLeft w:val="0"/>
      <w:marRight w:val="0"/>
      <w:marTop w:val="0"/>
      <w:marBottom w:val="0"/>
      <w:divBdr>
        <w:top w:val="none" w:sz="0" w:space="0" w:color="auto"/>
        <w:left w:val="none" w:sz="0" w:space="0" w:color="auto"/>
        <w:bottom w:val="none" w:sz="0" w:space="0" w:color="auto"/>
        <w:right w:val="none" w:sz="0" w:space="0" w:color="auto"/>
      </w:divBdr>
    </w:div>
    <w:div w:id="1276862685">
      <w:bodyDiv w:val="1"/>
      <w:marLeft w:val="0"/>
      <w:marRight w:val="0"/>
      <w:marTop w:val="0"/>
      <w:marBottom w:val="0"/>
      <w:divBdr>
        <w:top w:val="none" w:sz="0" w:space="0" w:color="auto"/>
        <w:left w:val="none" w:sz="0" w:space="0" w:color="auto"/>
        <w:bottom w:val="none" w:sz="0" w:space="0" w:color="auto"/>
        <w:right w:val="none" w:sz="0" w:space="0" w:color="auto"/>
      </w:divBdr>
    </w:div>
    <w:div w:id="1276868600">
      <w:bodyDiv w:val="1"/>
      <w:marLeft w:val="0"/>
      <w:marRight w:val="0"/>
      <w:marTop w:val="0"/>
      <w:marBottom w:val="0"/>
      <w:divBdr>
        <w:top w:val="none" w:sz="0" w:space="0" w:color="auto"/>
        <w:left w:val="none" w:sz="0" w:space="0" w:color="auto"/>
        <w:bottom w:val="none" w:sz="0" w:space="0" w:color="auto"/>
        <w:right w:val="none" w:sz="0" w:space="0" w:color="auto"/>
      </w:divBdr>
    </w:div>
    <w:div w:id="1277324203">
      <w:bodyDiv w:val="1"/>
      <w:marLeft w:val="0"/>
      <w:marRight w:val="0"/>
      <w:marTop w:val="0"/>
      <w:marBottom w:val="0"/>
      <w:divBdr>
        <w:top w:val="none" w:sz="0" w:space="0" w:color="auto"/>
        <w:left w:val="none" w:sz="0" w:space="0" w:color="auto"/>
        <w:bottom w:val="none" w:sz="0" w:space="0" w:color="auto"/>
        <w:right w:val="none" w:sz="0" w:space="0" w:color="auto"/>
      </w:divBdr>
    </w:div>
    <w:div w:id="1277641879">
      <w:bodyDiv w:val="1"/>
      <w:marLeft w:val="0"/>
      <w:marRight w:val="0"/>
      <w:marTop w:val="0"/>
      <w:marBottom w:val="0"/>
      <w:divBdr>
        <w:top w:val="none" w:sz="0" w:space="0" w:color="auto"/>
        <w:left w:val="none" w:sz="0" w:space="0" w:color="auto"/>
        <w:bottom w:val="none" w:sz="0" w:space="0" w:color="auto"/>
        <w:right w:val="none" w:sz="0" w:space="0" w:color="auto"/>
      </w:divBdr>
    </w:div>
    <w:div w:id="1277759982">
      <w:bodyDiv w:val="1"/>
      <w:marLeft w:val="0"/>
      <w:marRight w:val="0"/>
      <w:marTop w:val="0"/>
      <w:marBottom w:val="0"/>
      <w:divBdr>
        <w:top w:val="none" w:sz="0" w:space="0" w:color="auto"/>
        <w:left w:val="none" w:sz="0" w:space="0" w:color="auto"/>
        <w:bottom w:val="none" w:sz="0" w:space="0" w:color="auto"/>
        <w:right w:val="none" w:sz="0" w:space="0" w:color="auto"/>
      </w:divBdr>
    </w:div>
    <w:div w:id="1277827815">
      <w:bodyDiv w:val="1"/>
      <w:marLeft w:val="0"/>
      <w:marRight w:val="0"/>
      <w:marTop w:val="0"/>
      <w:marBottom w:val="0"/>
      <w:divBdr>
        <w:top w:val="none" w:sz="0" w:space="0" w:color="auto"/>
        <w:left w:val="none" w:sz="0" w:space="0" w:color="auto"/>
        <w:bottom w:val="none" w:sz="0" w:space="0" w:color="auto"/>
        <w:right w:val="none" w:sz="0" w:space="0" w:color="auto"/>
      </w:divBdr>
    </w:div>
    <w:div w:id="1277907241">
      <w:bodyDiv w:val="1"/>
      <w:marLeft w:val="0"/>
      <w:marRight w:val="0"/>
      <w:marTop w:val="0"/>
      <w:marBottom w:val="0"/>
      <w:divBdr>
        <w:top w:val="none" w:sz="0" w:space="0" w:color="auto"/>
        <w:left w:val="none" w:sz="0" w:space="0" w:color="auto"/>
        <w:bottom w:val="none" w:sz="0" w:space="0" w:color="auto"/>
        <w:right w:val="none" w:sz="0" w:space="0" w:color="auto"/>
      </w:divBdr>
    </w:div>
    <w:div w:id="1278028171">
      <w:bodyDiv w:val="1"/>
      <w:marLeft w:val="0"/>
      <w:marRight w:val="0"/>
      <w:marTop w:val="0"/>
      <w:marBottom w:val="0"/>
      <w:divBdr>
        <w:top w:val="none" w:sz="0" w:space="0" w:color="auto"/>
        <w:left w:val="none" w:sz="0" w:space="0" w:color="auto"/>
        <w:bottom w:val="none" w:sz="0" w:space="0" w:color="auto"/>
        <w:right w:val="none" w:sz="0" w:space="0" w:color="auto"/>
      </w:divBdr>
    </w:div>
    <w:div w:id="1278097876">
      <w:bodyDiv w:val="1"/>
      <w:marLeft w:val="0"/>
      <w:marRight w:val="0"/>
      <w:marTop w:val="0"/>
      <w:marBottom w:val="0"/>
      <w:divBdr>
        <w:top w:val="none" w:sz="0" w:space="0" w:color="auto"/>
        <w:left w:val="none" w:sz="0" w:space="0" w:color="auto"/>
        <w:bottom w:val="none" w:sz="0" w:space="0" w:color="auto"/>
        <w:right w:val="none" w:sz="0" w:space="0" w:color="auto"/>
      </w:divBdr>
    </w:div>
    <w:div w:id="1278878553">
      <w:bodyDiv w:val="1"/>
      <w:marLeft w:val="0"/>
      <w:marRight w:val="0"/>
      <w:marTop w:val="0"/>
      <w:marBottom w:val="0"/>
      <w:divBdr>
        <w:top w:val="none" w:sz="0" w:space="0" w:color="auto"/>
        <w:left w:val="none" w:sz="0" w:space="0" w:color="auto"/>
        <w:bottom w:val="none" w:sz="0" w:space="0" w:color="auto"/>
        <w:right w:val="none" w:sz="0" w:space="0" w:color="auto"/>
      </w:divBdr>
    </w:div>
    <w:div w:id="1279339448">
      <w:bodyDiv w:val="1"/>
      <w:marLeft w:val="0"/>
      <w:marRight w:val="0"/>
      <w:marTop w:val="0"/>
      <w:marBottom w:val="0"/>
      <w:divBdr>
        <w:top w:val="none" w:sz="0" w:space="0" w:color="auto"/>
        <w:left w:val="none" w:sz="0" w:space="0" w:color="auto"/>
        <w:bottom w:val="none" w:sz="0" w:space="0" w:color="auto"/>
        <w:right w:val="none" w:sz="0" w:space="0" w:color="auto"/>
      </w:divBdr>
    </w:div>
    <w:div w:id="1279408420">
      <w:bodyDiv w:val="1"/>
      <w:marLeft w:val="0"/>
      <w:marRight w:val="0"/>
      <w:marTop w:val="0"/>
      <w:marBottom w:val="0"/>
      <w:divBdr>
        <w:top w:val="none" w:sz="0" w:space="0" w:color="auto"/>
        <w:left w:val="none" w:sz="0" w:space="0" w:color="auto"/>
        <w:bottom w:val="none" w:sz="0" w:space="0" w:color="auto"/>
        <w:right w:val="none" w:sz="0" w:space="0" w:color="auto"/>
      </w:divBdr>
    </w:div>
    <w:div w:id="1279919178">
      <w:bodyDiv w:val="1"/>
      <w:marLeft w:val="0"/>
      <w:marRight w:val="0"/>
      <w:marTop w:val="0"/>
      <w:marBottom w:val="0"/>
      <w:divBdr>
        <w:top w:val="none" w:sz="0" w:space="0" w:color="auto"/>
        <w:left w:val="none" w:sz="0" w:space="0" w:color="auto"/>
        <w:bottom w:val="none" w:sz="0" w:space="0" w:color="auto"/>
        <w:right w:val="none" w:sz="0" w:space="0" w:color="auto"/>
      </w:divBdr>
    </w:div>
    <w:div w:id="1280600923">
      <w:bodyDiv w:val="1"/>
      <w:marLeft w:val="0"/>
      <w:marRight w:val="0"/>
      <w:marTop w:val="0"/>
      <w:marBottom w:val="0"/>
      <w:divBdr>
        <w:top w:val="none" w:sz="0" w:space="0" w:color="auto"/>
        <w:left w:val="none" w:sz="0" w:space="0" w:color="auto"/>
        <w:bottom w:val="none" w:sz="0" w:space="0" w:color="auto"/>
        <w:right w:val="none" w:sz="0" w:space="0" w:color="auto"/>
      </w:divBdr>
    </w:div>
    <w:div w:id="1280722502">
      <w:bodyDiv w:val="1"/>
      <w:marLeft w:val="0"/>
      <w:marRight w:val="0"/>
      <w:marTop w:val="0"/>
      <w:marBottom w:val="0"/>
      <w:divBdr>
        <w:top w:val="none" w:sz="0" w:space="0" w:color="auto"/>
        <w:left w:val="none" w:sz="0" w:space="0" w:color="auto"/>
        <w:bottom w:val="none" w:sz="0" w:space="0" w:color="auto"/>
        <w:right w:val="none" w:sz="0" w:space="0" w:color="auto"/>
      </w:divBdr>
    </w:div>
    <w:div w:id="1281490971">
      <w:bodyDiv w:val="1"/>
      <w:marLeft w:val="0"/>
      <w:marRight w:val="0"/>
      <w:marTop w:val="0"/>
      <w:marBottom w:val="0"/>
      <w:divBdr>
        <w:top w:val="none" w:sz="0" w:space="0" w:color="auto"/>
        <w:left w:val="none" w:sz="0" w:space="0" w:color="auto"/>
        <w:bottom w:val="none" w:sz="0" w:space="0" w:color="auto"/>
        <w:right w:val="none" w:sz="0" w:space="0" w:color="auto"/>
      </w:divBdr>
    </w:div>
    <w:div w:id="1281648159">
      <w:bodyDiv w:val="1"/>
      <w:marLeft w:val="0"/>
      <w:marRight w:val="0"/>
      <w:marTop w:val="0"/>
      <w:marBottom w:val="0"/>
      <w:divBdr>
        <w:top w:val="none" w:sz="0" w:space="0" w:color="auto"/>
        <w:left w:val="none" w:sz="0" w:space="0" w:color="auto"/>
        <w:bottom w:val="none" w:sz="0" w:space="0" w:color="auto"/>
        <w:right w:val="none" w:sz="0" w:space="0" w:color="auto"/>
      </w:divBdr>
    </w:div>
    <w:div w:id="1281717276">
      <w:bodyDiv w:val="1"/>
      <w:marLeft w:val="0"/>
      <w:marRight w:val="0"/>
      <w:marTop w:val="0"/>
      <w:marBottom w:val="0"/>
      <w:divBdr>
        <w:top w:val="none" w:sz="0" w:space="0" w:color="auto"/>
        <w:left w:val="none" w:sz="0" w:space="0" w:color="auto"/>
        <w:bottom w:val="none" w:sz="0" w:space="0" w:color="auto"/>
        <w:right w:val="none" w:sz="0" w:space="0" w:color="auto"/>
      </w:divBdr>
    </w:div>
    <w:div w:id="1281760983">
      <w:bodyDiv w:val="1"/>
      <w:marLeft w:val="0"/>
      <w:marRight w:val="0"/>
      <w:marTop w:val="0"/>
      <w:marBottom w:val="0"/>
      <w:divBdr>
        <w:top w:val="none" w:sz="0" w:space="0" w:color="auto"/>
        <w:left w:val="none" w:sz="0" w:space="0" w:color="auto"/>
        <w:bottom w:val="none" w:sz="0" w:space="0" w:color="auto"/>
        <w:right w:val="none" w:sz="0" w:space="0" w:color="auto"/>
      </w:divBdr>
    </w:div>
    <w:div w:id="1281836897">
      <w:bodyDiv w:val="1"/>
      <w:marLeft w:val="0"/>
      <w:marRight w:val="0"/>
      <w:marTop w:val="0"/>
      <w:marBottom w:val="0"/>
      <w:divBdr>
        <w:top w:val="none" w:sz="0" w:space="0" w:color="auto"/>
        <w:left w:val="none" w:sz="0" w:space="0" w:color="auto"/>
        <w:bottom w:val="none" w:sz="0" w:space="0" w:color="auto"/>
        <w:right w:val="none" w:sz="0" w:space="0" w:color="auto"/>
      </w:divBdr>
    </w:div>
    <w:div w:id="1282803983">
      <w:bodyDiv w:val="1"/>
      <w:marLeft w:val="0"/>
      <w:marRight w:val="0"/>
      <w:marTop w:val="0"/>
      <w:marBottom w:val="0"/>
      <w:divBdr>
        <w:top w:val="none" w:sz="0" w:space="0" w:color="auto"/>
        <w:left w:val="none" w:sz="0" w:space="0" w:color="auto"/>
        <w:bottom w:val="none" w:sz="0" w:space="0" w:color="auto"/>
        <w:right w:val="none" w:sz="0" w:space="0" w:color="auto"/>
      </w:divBdr>
    </w:div>
    <w:div w:id="1282998479">
      <w:bodyDiv w:val="1"/>
      <w:marLeft w:val="0"/>
      <w:marRight w:val="0"/>
      <w:marTop w:val="0"/>
      <w:marBottom w:val="0"/>
      <w:divBdr>
        <w:top w:val="none" w:sz="0" w:space="0" w:color="auto"/>
        <w:left w:val="none" w:sz="0" w:space="0" w:color="auto"/>
        <w:bottom w:val="none" w:sz="0" w:space="0" w:color="auto"/>
        <w:right w:val="none" w:sz="0" w:space="0" w:color="auto"/>
      </w:divBdr>
    </w:div>
    <w:div w:id="1283221534">
      <w:bodyDiv w:val="1"/>
      <w:marLeft w:val="0"/>
      <w:marRight w:val="0"/>
      <w:marTop w:val="0"/>
      <w:marBottom w:val="0"/>
      <w:divBdr>
        <w:top w:val="none" w:sz="0" w:space="0" w:color="auto"/>
        <w:left w:val="none" w:sz="0" w:space="0" w:color="auto"/>
        <w:bottom w:val="none" w:sz="0" w:space="0" w:color="auto"/>
        <w:right w:val="none" w:sz="0" w:space="0" w:color="auto"/>
      </w:divBdr>
    </w:div>
    <w:div w:id="1283882797">
      <w:bodyDiv w:val="1"/>
      <w:marLeft w:val="0"/>
      <w:marRight w:val="0"/>
      <w:marTop w:val="0"/>
      <w:marBottom w:val="0"/>
      <w:divBdr>
        <w:top w:val="none" w:sz="0" w:space="0" w:color="auto"/>
        <w:left w:val="none" w:sz="0" w:space="0" w:color="auto"/>
        <w:bottom w:val="none" w:sz="0" w:space="0" w:color="auto"/>
        <w:right w:val="none" w:sz="0" w:space="0" w:color="auto"/>
      </w:divBdr>
    </w:div>
    <w:div w:id="1284189825">
      <w:bodyDiv w:val="1"/>
      <w:marLeft w:val="0"/>
      <w:marRight w:val="0"/>
      <w:marTop w:val="0"/>
      <w:marBottom w:val="0"/>
      <w:divBdr>
        <w:top w:val="none" w:sz="0" w:space="0" w:color="auto"/>
        <w:left w:val="none" w:sz="0" w:space="0" w:color="auto"/>
        <w:bottom w:val="none" w:sz="0" w:space="0" w:color="auto"/>
        <w:right w:val="none" w:sz="0" w:space="0" w:color="auto"/>
      </w:divBdr>
    </w:div>
    <w:div w:id="1284532502">
      <w:bodyDiv w:val="1"/>
      <w:marLeft w:val="0"/>
      <w:marRight w:val="0"/>
      <w:marTop w:val="0"/>
      <w:marBottom w:val="0"/>
      <w:divBdr>
        <w:top w:val="none" w:sz="0" w:space="0" w:color="auto"/>
        <w:left w:val="none" w:sz="0" w:space="0" w:color="auto"/>
        <w:bottom w:val="none" w:sz="0" w:space="0" w:color="auto"/>
        <w:right w:val="none" w:sz="0" w:space="0" w:color="auto"/>
      </w:divBdr>
    </w:div>
    <w:div w:id="1284582875">
      <w:bodyDiv w:val="1"/>
      <w:marLeft w:val="0"/>
      <w:marRight w:val="0"/>
      <w:marTop w:val="0"/>
      <w:marBottom w:val="0"/>
      <w:divBdr>
        <w:top w:val="none" w:sz="0" w:space="0" w:color="auto"/>
        <w:left w:val="none" w:sz="0" w:space="0" w:color="auto"/>
        <w:bottom w:val="none" w:sz="0" w:space="0" w:color="auto"/>
        <w:right w:val="none" w:sz="0" w:space="0" w:color="auto"/>
      </w:divBdr>
    </w:div>
    <w:div w:id="1284848152">
      <w:bodyDiv w:val="1"/>
      <w:marLeft w:val="0"/>
      <w:marRight w:val="0"/>
      <w:marTop w:val="0"/>
      <w:marBottom w:val="0"/>
      <w:divBdr>
        <w:top w:val="none" w:sz="0" w:space="0" w:color="auto"/>
        <w:left w:val="none" w:sz="0" w:space="0" w:color="auto"/>
        <w:bottom w:val="none" w:sz="0" w:space="0" w:color="auto"/>
        <w:right w:val="none" w:sz="0" w:space="0" w:color="auto"/>
      </w:divBdr>
    </w:div>
    <w:div w:id="1285190287">
      <w:bodyDiv w:val="1"/>
      <w:marLeft w:val="0"/>
      <w:marRight w:val="0"/>
      <w:marTop w:val="0"/>
      <w:marBottom w:val="0"/>
      <w:divBdr>
        <w:top w:val="none" w:sz="0" w:space="0" w:color="auto"/>
        <w:left w:val="none" w:sz="0" w:space="0" w:color="auto"/>
        <w:bottom w:val="none" w:sz="0" w:space="0" w:color="auto"/>
        <w:right w:val="none" w:sz="0" w:space="0" w:color="auto"/>
      </w:divBdr>
    </w:div>
    <w:div w:id="1285430317">
      <w:bodyDiv w:val="1"/>
      <w:marLeft w:val="0"/>
      <w:marRight w:val="0"/>
      <w:marTop w:val="0"/>
      <w:marBottom w:val="0"/>
      <w:divBdr>
        <w:top w:val="none" w:sz="0" w:space="0" w:color="auto"/>
        <w:left w:val="none" w:sz="0" w:space="0" w:color="auto"/>
        <w:bottom w:val="none" w:sz="0" w:space="0" w:color="auto"/>
        <w:right w:val="none" w:sz="0" w:space="0" w:color="auto"/>
      </w:divBdr>
    </w:div>
    <w:div w:id="1286161592">
      <w:bodyDiv w:val="1"/>
      <w:marLeft w:val="0"/>
      <w:marRight w:val="0"/>
      <w:marTop w:val="0"/>
      <w:marBottom w:val="0"/>
      <w:divBdr>
        <w:top w:val="none" w:sz="0" w:space="0" w:color="auto"/>
        <w:left w:val="none" w:sz="0" w:space="0" w:color="auto"/>
        <w:bottom w:val="none" w:sz="0" w:space="0" w:color="auto"/>
        <w:right w:val="none" w:sz="0" w:space="0" w:color="auto"/>
      </w:divBdr>
    </w:div>
    <w:div w:id="1286278316">
      <w:bodyDiv w:val="1"/>
      <w:marLeft w:val="0"/>
      <w:marRight w:val="0"/>
      <w:marTop w:val="0"/>
      <w:marBottom w:val="0"/>
      <w:divBdr>
        <w:top w:val="none" w:sz="0" w:space="0" w:color="auto"/>
        <w:left w:val="none" w:sz="0" w:space="0" w:color="auto"/>
        <w:bottom w:val="none" w:sz="0" w:space="0" w:color="auto"/>
        <w:right w:val="none" w:sz="0" w:space="0" w:color="auto"/>
      </w:divBdr>
    </w:div>
    <w:div w:id="1286425878">
      <w:bodyDiv w:val="1"/>
      <w:marLeft w:val="0"/>
      <w:marRight w:val="0"/>
      <w:marTop w:val="0"/>
      <w:marBottom w:val="0"/>
      <w:divBdr>
        <w:top w:val="none" w:sz="0" w:space="0" w:color="auto"/>
        <w:left w:val="none" w:sz="0" w:space="0" w:color="auto"/>
        <w:bottom w:val="none" w:sz="0" w:space="0" w:color="auto"/>
        <w:right w:val="none" w:sz="0" w:space="0" w:color="auto"/>
      </w:divBdr>
    </w:div>
    <w:div w:id="1286813760">
      <w:bodyDiv w:val="1"/>
      <w:marLeft w:val="0"/>
      <w:marRight w:val="0"/>
      <w:marTop w:val="0"/>
      <w:marBottom w:val="0"/>
      <w:divBdr>
        <w:top w:val="none" w:sz="0" w:space="0" w:color="auto"/>
        <w:left w:val="none" w:sz="0" w:space="0" w:color="auto"/>
        <w:bottom w:val="none" w:sz="0" w:space="0" w:color="auto"/>
        <w:right w:val="none" w:sz="0" w:space="0" w:color="auto"/>
      </w:divBdr>
    </w:div>
    <w:div w:id="1287195147">
      <w:bodyDiv w:val="1"/>
      <w:marLeft w:val="0"/>
      <w:marRight w:val="0"/>
      <w:marTop w:val="0"/>
      <w:marBottom w:val="0"/>
      <w:divBdr>
        <w:top w:val="none" w:sz="0" w:space="0" w:color="auto"/>
        <w:left w:val="none" w:sz="0" w:space="0" w:color="auto"/>
        <w:bottom w:val="none" w:sz="0" w:space="0" w:color="auto"/>
        <w:right w:val="none" w:sz="0" w:space="0" w:color="auto"/>
      </w:divBdr>
    </w:div>
    <w:div w:id="1287421234">
      <w:bodyDiv w:val="1"/>
      <w:marLeft w:val="0"/>
      <w:marRight w:val="0"/>
      <w:marTop w:val="0"/>
      <w:marBottom w:val="0"/>
      <w:divBdr>
        <w:top w:val="none" w:sz="0" w:space="0" w:color="auto"/>
        <w:left w:val="none" w:sz="0" w:space="0" w:color="auto"/>
        <w:bottom w:val="none" w:sz="0" w:space="0" w:color="auto"/>
        <w:right w:val="none" w:sz="0" w:space="0" w:color="auto"/>
      </w:divBdr>
    </w:div>
    <w:div w:id="1287858544">
      <w:bodyDiv w:val="1"/>
      <w:marLeft w:val="0"/>
      <w:marRight w:val="0"/>
      <w:marTop w:val="0"/>
      <w:marBottom w:val="0"/>
      <w:divBdr>
        <w:top w:val="none" w:sz="0" w:space="0" w:color="auto"/>
        <w:left w:val="none" w:sz="0" w:space="0" w:color="auto"/>
        <w:bottom w:val="none" w:sz="0" w:space="0" w:color="auto"/>
        <w:right w:val="none" w:sz="0" w:space="0" w:color="auto"/>
      </w:divBdr>
    </w:div>
    <w:div w:id="1288120286">
      <w:bodyDiv w:val="1"/>
      <w:marLeft w:val="0"/>
      <w:marRight w:val="0"/>
      <w:marTop w:val="0"/>
      <w:marBottom w:val="0"/>
      <w:divBdr>
        <w:top w:val="none" w:sz="0" w:space="0" w:color="auto"/>
        <w:left w:val="none" w:sz="0" w:space="0" w:color="auto"/>
        <w:bottom w:val="none" w:sz="0" w:space="0" w:color="auto"/>
        <w:right w:val="none" w:sz="0" w:space="0" w:color="auto"/>
      </w:divBdr>
    </w:div>
    <w:div w:id="1288510799">
      <w:bodyDiv w:val="1"/>
      <w:marLeft w:val="0"/>
      <w:marRight w:val="0"/>
      <w:marTop w:val="0"/>
      <w:marBottom w:val="0"/>
      <w:divBdr>
        <w:top w:val="none" w:sz="0" w:space="0" w:color="auto"/>
        <w:left w:val="none" w:sz="0" w:space="0" w:color="auto"/>
        <w:bottom w:val="none" w:sz="0" w:space="0" w:color="auto"/>
        <w:right w:val="none" w:sz="0" w:space="0" w:color="auto"/>
      </w:divBdr>
    </w:div>
    <w:div w:id="1288658073">
      <w:bodyDiv w:val="1"/>
      <w:marLeft w:val="0"/>
      <w:marRight w:val="0"/>
      <w:marTop w:val="0"/>
      <w:marBottom w:val="0"/>
      <w:divBdr>
        <w:top w:val="none" w:sz="0" w:space="0" w:color="auto"/>
        <w:left w:val="none" w:sz="0" w:space="0" w:color="auto"/>
        <w:bottom w:val="none" w:sz="0" w:space="0" w:color="auto"/>
        <w:right w:val="none" w:sz="0" w:space="0" w:color="auto"/>
      </w:divBdr>
    </w:div>
    <w:div w:id="1288927987">
      <w:bodyDiv w:val="1"/>
      <w:marLeft w:val="0"/>
      <w:marRight w:val="0"/>
      <w:marTop w:val="0"/>
      <w:marBottom w:val="0"/>
      <w:divBdr>
        <w:top w:val="none" w:sz="0" w:space="0" w:color="auto"/>
        <w:left w:val="none" w:sz="0" w:space="0" w:color="auto"/>
        <w:bottom w:val="none" w:sz="0" w:space="0" w:color="auto"/>
        <w:right w:val="none" w:sz="0" w:space="0" w:color="auto"/>
      </w:divBdr>
    </w:div>
    <w:div w:id="1289163371">
      <w:bodyDiv w:val="1"/>
      <w:marLeft w:val="0"/>
      <w:marRight w:val="0"/>
      <w:marTop w:val="0"/>
      <w:marBottom w:val="0"/>
      <w:divBdr>
        <w:top w:val="none" w:sz="0" w:space="0" w:color="auto"/>
        <w:left w:val="none" w:sz="0" w:space="0" w:color="auto"/>
        <w:bottom w:val="none" w:sz="0" w:space="0" w:color="auto"/>
        <w:right w:val="none" w:sz="0" w:space="0" w:color="auto"/>
      </w:divBdr>
    </w:div>
    <w:div w:id="1289313357">
      <w:bodyDiv w:val="1"/>
      <w:marLeft w:val="0"/>
      <w:marRight w:val="0"/>
      <w:marTop w:val="0"/>
      <w:marBottom w:val="0"/>
      <w:divBdr>
        <w:top w:val="none" w:sz="0" w:space="0" w:color="auto"/>
        <w:left w:val="none" w:sz="0" w:space="0" w:color="auto"/>
        <w:bottom w:val="none" w:sz="0" w:space="0" w:color="auto"/>
        <w:right w:val="none" w:sz="0" w:space="0" w:color="auto"/>
      </w:divBdr>
    </w:div>
    <w:div w:id="1289583162">
      <w:bodyDiv w:val="1"/>
      <w:marLeft w:val="0"/>
      <w:marRight w:val="0"/>
      <w:marTop w:val="0"/>
      <w:marBottom w:val="0"/>
      <w:divBdr>
        <w:top w:val="none" w:sz="0" w:space="0" w:color="auto"/>
        <w:left w:val="none" w:sz="0" w:space="0" w:color="auto"/>
        <w:bottom w:val="none" w:sz="0" w:space="0" w:color="auto"/>
        <w:right w:val="none" w:sz="0" w:space="0" w:color="auto"/>
      </w:divBdr>
    </w:div>
    <w:div w:id="1289584248">
      <w:bodyDiv w:val="1"/>
      <w:marLeft w:val="0"/>
      <w:marRight w:val="0"/>
      <w:marTop w:val="0"/>
      <w:marBottom w:val="0"/>
      <w:divBdr>
        <w:top w:val="none" w:sz="0" w:space="0" w:color="auto"/>
        <w:left w:val="none" w:sz="0" w:space="0" w:color="auto"/>
        <w:bottom w:val="none" w:sz="0" w:space="0" w:color="auto"/>
        <w:right w:val="none" w:sz="0" w:space="0" w:color="auto"/>
      </w:divBdr>
    </w:div>
    <w:div w:id="1289699171">
      <w:bodyDiv w:val="1"/>
      <w:marLeft w:val="0"/>
      <w:marRight w:val="0"/>
      <w:marTop w:val="0"/>
      <w:marBottom w:val="0"/>
      <w:divBdr>
        <w:top w:val="none" w:sz="0" w:space="0" w:color="auto"/>
        <w:left w:val="none" w:sz="0" w:space="0" w:color="auto"/>
        <w:bottom w:val="none" w:sz="0" w:space="0" w:color="auto"/>
        <w:right w:val="none" w:sz="0" w:space="0" w:color="auto"/>
      </w:divBdr>
    </w:div>
    <w:div w:id="1290239006">
      <w:bodyDiv w:val="1"/>
      <w:marLeft w:val="0"/>
      <w:marRight w:val="0"/>
      <w:marTop w:val="0"/>
      <w:marBottom w:val="0"/>
      <w:divBdr>
        <w:top w:val="none" w:sz="0" w:space="0" w:color="auto"/>
        <w:left w:val="none" w:sz="0" w:space="0" w:color="auto"/>
        <w:bottom w:val="none" w:sz="0" w:space="0" w:color="auto"/>
        <w:right w:val="none" w:sz="0" w:space="0" w:color="auto"/>
      </w:divBdr>
    </w:div>
    <w:div w:id="1290555078">
      <w:bodyDiv w:val="1"/>
      <w:marLeft w:val="0"/>
      <w:marRight w:val="0"/>
      <w:marTop w:val="0"/>
      <w:marBottom w:val="0"/>
      <w:divBdr>
        <w:top w:val="none" w:sz="0" w:space="0" w:color="auto"/>
        <w:left w:val="none" w:sz="0" w:space="0" w:color="auto"/>
        <w:bottom w:val="none" w:sz="0" w:space="0" w:color="auto"/>
        <w:right w:val="none" w:sz="0" w:space="0" w:color="auto"/>
      </w:divBdr>
    </w:div>
    <w:div w:id="1290697447">
      <w:bodyDiv w:val="1"/>
      <w:marLeft w:val="0"/>
      <w:marRight w:val="0"/>
      <w:marTop w:val="0"/>
      <w:marBottom w:val="0"/>
      <w:divBdr>
        <w:top w:val="none" w:sz="0" w:space="0" w:color="auto"/>
        <w:left w:val="none" w:sz="0" w:space="0" w:color="auto"/>
        <w:bottom w:val="none" w:sz="0" w:space="0" w:color="auto"/>
        <w:right w:val="none" w:sz="0" w:space="0" w:color="auto"/>
      </w:divBdr>
    </w:div>
    <w:div w:id="1292131226">
      <w:bodyDiv w:val="1"/>
      <w:marLeft w:val="0"/>
      <w:marRight w:val="0"/>
      <w:marTop w:val="0"/>
      <w:marBottom w:val="0"/>
      <w:divBdr>
        <w:top w:val="none" w:sz="0" w:space="0" w:color="auto"/>
        <w:left w:val="none" w:sz="0" w:space="0" w:color="auto"/>
        <w:bottom w:val="none" w:sz="0" w:space="0" w:color="auto"/>
        <w:right w:val="none" w:sz="0" w:space="0" w:color="auto"/>
      </w:divBdr>
    </w:div>
    <w:div w:id="1292399307">
      <w:bodyDiv w:val="1"/>
      <w:marLeft w:val="0"/>
      <w:marRight w:val="0"/>
      <w:marTop w:val="0"/>
      <w:marBottom w:val="0"/>
      <w:divBdr>
        <w:top w:val="none" w:sz="0" w:space="0" w:color="auto"/>
        <w:left w:val="none" w:sz="0" w:space="0" w:color="auto"/>
        <w:bottom w:val="none" w:sz="0" w:space="0" w:color="auto"/>
        <w:right w:val="none" w:sz="0" w:space="0" w:color="auto"/>
      </w:divBdr>
    </w:div>
    <w:div w:id="1292633558">
      <w:bodyDiv w:val="1"/>
      <w:marLeft w:val="0"/>
      <w:marRight w:val="0"/>
      <w:marTop w:val="0"/>
      <w:marBottom w:val="0"/>
      <w:divBdr>
        <w:top w:val="none" w:sz="0" w:space="0" w:color="auto"/>
        <w:left w:val="none" w:sz="0" w:space="0" w:color="auto"/>
        <w:bottom w:val="none" w:sz="0" w:space="0" w:color="auto"/>
        <w:right w:val="none" w:sz="0" w:space="0" w:color="auto"/>
      </w:divBdr>
    </w:div>
    <w:div w:id="1292788308">
      <w:bodyDiv w:val="1"/>
      <w:marLeft w:val="0"/>
      <w:marRight w:val="0"/>
      <w:marTop w:val="0"/>
      <w:marBottom w:val="0"/>
      <w:divBdr>
        <w:top w:val="none" w:sz="0" w:space="0" w:color="auto"/>
        <w:left w:val="none" w:sz="0" w:space="0" w:color="auto"/>
        <w:bottom w:val="none" w:sz="0" w:space="0" w:color="auto"/>
        <w:right w:val="none" w:sz="0" w:space="0" w:color="auto"/>
      </w:divBdr>
    </w:div>
    <w:div w:id="1293092633">
      <w:bodyDiv w:val="1"/>
      <w:marLeft w:val="0"/>
      <w:marRight w:val="0"/>
      <w:marTop w:val="0"/>
      <w:marBottom w:val="0"/>
      <w:divBdr>
        <w:top w:val="none" w:sz="0" w:space="0" w:color="auto"/>
        <w:left w:val="none" w:sz="0" w:space="0" w:color="auto"/>
        <w:bottom w:val="none" w:sz="0" w:space="0" w:color="auto"/>
        <w:right w:val="none" w:sz="0" w:space="0" w:color="auto"/>
      </w:divBdr>
    </w:div>
    <w:div w:id="1293756536">
      <w:bodyDiv w:val="1"/>
      <w:marLeft w:val="0"/>
      <w:marRight w:val="0"/>
      <w:marTop w:val="0"/>
      <w:marBottom w:val="0"/>
      <w:divBdr>
        <w:top w:val="none" w:sz="0" w:space="0" w:color="auto"/>
        <w:left w:val="none" w:sz="0" w:space="0" w:color="auto"/>
        <w:bottom w:val="none" w:sz="0" w:space="0" w:color="auto"/>
        <w:right w:val="none" w:sz="0" w:space="0" w:color="auto"/>
      </w:divBdr>
    </w:div>
    <w:div w:id="1294293368">
      <w:bodyDiv w:val="1"/>
      <w:marLeft w:val="0"/>
      <w:marRight w:val="0"/>
      <w:marTop w:val="0"/>
      <w:marBottom w:val="0"/>
      <w:divBdr>
        <w:top w:val="none" w:sz="0" w:space="0" w:color="auto"/>
        <w:left w:val="none" w:sz="0" w:space="0" w:color="auto"/>
        <w:bottom w:val="none" w:sz="0" w:space="0" w:color="auto"/>
        <w:right w:val="none" w:sz="0" w:space="0" w:color="auto"/>
      </w:divBdr>
    </w:div>
    <w:div w:id="1294477821">
      <w:bodyDiv w:val="1"/>
      <w:marLeft w:val="0"/>
      <w:marRight w:val="0"/>
      <w:marTop w:val="0"/>
      <w:marBottom w:val="0"/>
      <w:divBdr>
        <w:top w:val="none" w:sz="0" w:space="0" w:color="auto"/>
        <w:left w:val="none" w:sz="0" w:space="0" w:color="auto"/>
        <w:bottom w:val="none" w:sz="0" w:space="0" w:color="auto"/>
        <w:right w:val="none" w:sz="0" w:space="0" w:color="auto"/>
      </w:divBdr>
    </w:div>
    <w:div w:id="1294798031">
      <w:bodyDiv w:val="1"/>
      <w:marLeft w:val="0"/>
      <w:marRight w:val="0"/>
      <w:marTop w:val="0"/>
      <w:marBottom w:val="0"/>
      <w:divBdr>
        <w:top w:val="none" w:sz="0" w:space="0" w:color="auto"/>
        <w:left w:val="none" w:sz="0" w:space="0" w:color="auto"/>
        <w:bottom w:val="none" w:sz="0" w:space="0" w:color="auto"/>
        <w:right w:val="none" w:sz="0" w:space="0" w:color="auto"/>
      </w:divBdr>
    </w:div>
    <w:div w:id="1295022826">
      <w:bodyDiv w:val="1"/>
      <w:marLeft w:val="0"/>
      <w:marRight w:val="0"/>
      <w:marTop w:val="0"/>
      <w:marBottom w:val="0"/>
      <w:divBdr>
        <w:top w:val="none" w:sz="0" w:space="0" w:color="auto"/>
        <w:left w:val="none" w:sz="0" w:space="0" w:color="auto"/>
        <w:bottom w:val="none" w:sz="0" w:space="0" w:color="auto"/>
        <w:right w:val="none" w:sz="0" w:space="0" w:color="auto"/>
      </w:divBdr>
    </w:div>
    <w:div w:id="1295136403">
      <w:bodyDiv w:val="1"/>
      <w:marLeft w:val="0"/>
      <w:marRight w:val="0"/>
      <w:marTop w:val="0"/>
      <w:marBottom w:val="0"/>
      <w:divBdr>
        <w:top w:val="none" w:sz="0" w:space="0" w:color="auto"/>
        <w:left w:val="none" w:sz="0" w:space="0" w:color="auto"/>
        <w:bottom w:val="none" w:sz="0" w:space="0" w:color="auto"/>
        <w:right w:val="none" w:sz="0" w:space="0" w:color="auto"/>
      </w:divBdr>
    </w:div>
    <w:div w:id="1295211645">
      <w:bodyDiv w:val="1"/>
      <w:marLeft w:val="0"/>
      <w:marRight w:val="0"/>
      <w:marTop w:val="0"/>
      <w:marBottom w:val="0"/>
      <w:divBdr>
        <w:top w:val="none" w:sz="0" w:space="0" w:color="auto"/>
        <w:left w:val="none" w:sz="0" w:space="0" w:color="auto"/>
        <w:bottom w:val="none" w:sz="0" w:space="0" w:color="auto"/>
        <w:right w:val="none" w:sz="0" w:space="0" w:color="auto"/>
      </w:divBdr>
    </w:div>
    <w:div w:id="1296254195">
      <w:bodyDiv w:val="1"/>
      <w:marLeft w:val="0"/>
      <w:marRight w:val="0"/>
      <w:marTop w:val="0"/>
      <w:marBottom w:val="0"/>
      <w:divBdr>
        <w:top w:val="none" w:sz="0" w:space="0" w:color="auto"/>
        <w:left w:val="none" w:sz="0" w:space="0" w:color="auto"/>
        <w:bottom w:val="none" w:sz="0" w:space="0" w:color="auto"/>
        <w:right w:val="none" w:sz="0" w:space="0" w:color="auto"/>
      </w:divBdr>
    </w:div>
    <w:div w:id="1296640236">
      <w:bodyDiv w:val="1"/>
      <w:marLeft w:val="0"/>
      <w:marRight w:val="0"/>
      <w:marTop w:val="0"/>
      <w:marBottom w:val="0"/>
      <w:divBdr>
        <w:top w:val="none" w:sz="0" w:space="0" w:color="auto"/>
        <w:left w:val="none" w:sz="0" w:space="0" w:color="auto"/>
        <w:bottom w:val="none" w:sz="0" w:space="0" w:color="auto"/>
        <w:right w:val="none" w:sz="0" w:space="0" w:color="auto"/>
      </w:divBdr>
    </w:div>
    <w:div w:id="1297949456">
      <w:bodyDiv w:val="1"/>
      <w:marLeft w:val="0"/>
      <w:marRight w:val="0"/>
      <w:marTop w:val="0"/>
      <w:marBottom w:val="0"/>
      <w:divBdr>
        <w:top w:val="none" w:sz="0" w:space="0" w:color="auto"/>
        <w:left w:val="none" w:sz="0" w:space="0" w:color="auto"/>
        <w:bottom w:val="none" w:sz="0" w:space="0" w:color="auto"/>
        <w:right w:val="none" w:sz="0" w:space="0" w:color="auto"/>
      </w:divBdr>
    </w:div>
    <w:div w:id="1298414734">
      <w:bodyDiv w:val="1"/>
      <w:marLeft w:val="0"/>
      <w:marRight w:val="0"/>
      <w:marTop w:val="0"/>
      <w:marBottom w:val="0"/>
      <w:divBdr>
        <w:top w:val="none" w:sz="0" w:space="0" w:color="auto"/>
        <w:left w:val="none" w:sz="0" w:space="0" w:color="auto"/>
        <w:bottom w:val="none" w:sz="0" w:space="0" w:color="auto"/>
        <w:right w:val="none" w:sz="0" w:space="0" w:color="auto"/>
      </w:divBdr>
    </w:div>
    <w:div w:id="1298756986">
      <w:bodyDiv w:val="1"/>
      <w:marLeft w:val="0"/>
      <w:marRight w:val="0"/>
      <w:marTop w:val="0"/>
      <w:marBottom w:val="0"/>
      <w:divBdr>
        <w:top w:val="none" w:sz="0" w:space="0" w:color="auto"/>
        <w:left w:val="none" w:sz="0" w:space="0" w:color="auto"/>
        <w:bottom w:val="none" w:sz="0" w:space="0" w:color="auto"/>
        <w:right w:val="none" w:sz="0" w:space="0" w:color="auto"/>
      </w:divBdr>
    </w:div>
    <w:div w:id="1298955845">
      <w:bodyDiv w:val="1"/>
      <w:marLeft w:val="0"/>
      <w:marRight w:val="0"/>
      <w:marTop w:val="0"/>
      <w:marBottom w:val="0"/>
      <w:divBdr>
        <w:top w:val="none" w:sz="0" w:space="0" w:color="auto"/>
        <w:left w:val="none" w:sz="0" w:space="0" w:color="auto"/>
        <w:bottom w:val="none" w:sz="0" w:space="0" w:color="auto"/>
        <w:right w:val="none" w:sz="0" w:space="0" w:color="auto"/>
      </w:divBdr>
    </w:div>
    <w:div w:id="1299215521">
      <w:bodyDiv w:val="1"/>
      <w:marLeft w:val="0"/>
      <w:marRight w:val="0"/>
      <w:marTop w:val="0"/>
      <w:marBottom w:val="0"/>
      <w:divBdr>
        <w:top w:val="none" w:sz="0" w:space="0" w:color="auto"/>
        <w:left w:val="none" w:sz="0" w:space="0" w:color="auto"/>
        <w:bottom w:val="none" w:sz="0" w:space="0" w:color="auto"/>
        <w:right w:val="none" w:sz="0" w:space="0" w:color="auto"/>
      </w:divBdr>
    </w:div>
    <w:div w:id="1299414872">
      <w:bodyDiv w:val="1"/>
      <w:marLeft w:val="0"/>
      <w:marRight w:val="0"/>
      <w:marTop w:val="0"/>
      <w:marBottom w:val="0"/>
      <w:divBdr>
        <w:top w:val="none" w:sz="0" w:space="0" w:color="auto"/>
        <w:left w:val="none" w:sz="0" w:space="0" w:color="auto"/>
        <w:bottom w:val="none" w:sz="0" w:space="0" w:color="auto"/>
        <w:right w:val="none" w:sz="0" w:space="0" w:color="auto"/>
      </w:divBdr>
    </w:div>
    <w:div w:id="1299650012">
      <w:bodyDiv w:val="1"/>
      <w:marLeft w:val="0"/>
      <w:marRight w:val="0"/>
      <w:marTop w:val="0"/>
      <w:marBottom w:val="0"/>
      <w:divBdr>
        <w:top w:val="none" w:sz="0" w:space="0" w:color="auto"/>
        <w:left w:val="none" w:sz="0" w:space="0" w:color="auto"/>
        <w:bottom w:val="none" w:sz="0" w:space="0" w:color="auto"/>
        <w:right w:val="none" w:sz="0" w:space="0" w:color="auto"/>
      </w:divBdr>
    </w:div>
    <w:div w:id="1299723419">
      <w:bodyDiv w:val="1"/>
      <w:marLeft w:val="0"/>
      <w:marRight w:val="0"/>
      <w:marTop w:val="0"/>
      <w:marBottom w:val="0"/>
      <w:divBdr>
        <w:top w:val="none" w:sz="0" w:space="0" w:color="auto"/>
        <w:left w:val="none" w:sz="0" w:space="0" w:color="auto"/>
        <w:bottom w:val="none" w:sz="0" w:space="0" w:color="auto"/>
        <w:right w:val="none" w:sz="0" w:space="0" w:color="auto"/>
      </w:divBdr>
    </w:div>
    <w:div w:id="1300572766">
      <w:bodyDiv w:val="1"/>
      <w:marLeft w:val="0"/>
      <w:marRight w:val="0"/>
      <w:marTop w:val="0"/>
      <w:marBottom w:val="0"/>
      <w:divBdr>
        <w:top w:val="none" w:sz="0" w:space="0" w:color="auto"/>
        <w:left w:val="none" w:sz="0" w:space="0" w:color="auto"/>
        <w:bottom w:val="none" w:sz="0" w:space="0" w:color="auto"/>
        <w:right w:val="none" w:sz="0" w:space="0" w:color="auto"/>
      </w:divBdr>
    </w:div>
    <w:div w:id="1301230679">
      <w:bodyDiv w:val="1"/>
      <w:marLeft w:val="0"/>
      <w:marRight w:val="0"/>
      <w:marTop w:val="0"/>
      <w:marBottom w:val="0"/>
      <w:divBdr>
        <w:top w:val="none" w:sz="0" w:space="0" w:color="auto"/>
        <w:left w:val="none" w:sz="0" w:space="0" w:color="auto"/>
        <w:bottom w:val="none" w:sz="0" w:space="0" w:color="auto"/>
        <w:right w:val="none" w:sz="0" w:space="0" w:color="auto"/>
      </w:divBdr>
    </w:div>
    <w:div w:id="1301299474">
      <w:bodyDiv w:val="1"/>
      <w:marLeft w:val="0"/>
      <w:marRight w:val="0"/>
      <w:marTop w:val="0"/>
      <w:marBottom w:val="0"/>
      <w:divBdr>
        <w:top w:val="none" w:sz="0" w:space="0" w:color="auto"/>
        <w:left w:val="none" w:sz="0" w:space="0" w:color="auto"/>
        <w:bottom w:val="none" w:sz="0" w:space="0" w:color="auto"/>
        <w:right w:val="none" w:sz="0" w:space="0" w:color="auto"/>
      </w:divBdr>
    </w:div>
    <w:div w:id="1301570876">
      <w:bodyDiv w:val="1"/>
      <w:marLeft w:val="0"/>
      <w:marRight w:val="0"/>
      <w:marTop w:val="0"/>
      <w:marBottom w:val="0"/>
      <w:divBdr>
        <w:top w:val="none" w:sz="0" w:space="0" w:color="auto"/>
        <w:left w:val="none" w:sz="0" w:space="0" w:color="auto"/>
        <w:bottom w:val="none" w:sz="0" w:space="0" w:color="auto"/>
        <w:right w:val="none" w:sz="0" w:space="0" w:color="auto"/>
      </w:divBdr>
    </w:div>
    <w:div w:id="1301574992">
      <w:bodyDiv w:val="1"/>
      <w:marLeft w:val="0"/>
      <w:marRight w:val="0"/>
      <w:marTop w:val="0"/>
      <w:marBottom w:val="0"/>
      <w:divBdr>
        <w:top w:val="none" w:sz="0" w:space="0" w:color="auto"/>
        <w:left w:val="none" w:sz="0" w:space="0" w:color="auto"/>
        <w:bottom w:val="none" w:sz="0" w:space="0" w:color="auto"/>
        <w:right w:val="none" w:sz="0" w:space="0" w:color="auto"/>
      </w:divBdr>
    </w:div>
    <w:div w:id="1301956977">
      <w:bodyDiv w:val="1"/>
      <w:marLeft w:val="0"/>
      <w:marRight w:val="0"/>
      <w:marTop w:val="0"/>
      <w:marBottom w:val="0"/>
      <w:divBdr>
        <w:top w:val="none" w:sz="0" w:space="0" w:color="auto"/>
        <w:left w:val="none" w:sz="0" w:space="0" w:color="auto"/>
        <w:bottom w:val="none" w:sz="0" w:space="0" w:color="auto"/>
        <w:right w:val="none" w:sz="0" w:space="0" w:color="auto"/>
      </w:divBdr>
    </w:div>
    <w:div w:id="1302034889">
      <w:bodyDiv w:val="1"/>
      <w:marLeft w:val="0"/>
      <w:marRight w:val="0"/>
      <w:marTop w:val="0"/>
      <w:marBottom w:val="0"/>
      <w:divBdr>
        <w:top w:val="none" w:sz="0" w:space="0" w:color="auto"/>
        <w:left w:val="none" w:sz="0" w:space="0" w:color="auto"/>
        <w:bottom w:val="none" w:sz="0" w:space="0" w:color="auto"/>
        <w:right w:val="none" w:sz="0" w:space="0" w:color="auto"/>
      </w:divBdr>
    </w:div>
    <w:div w:id="1302347033">
      <w:bodyDiv w:val="1"/>
      <w:marLeft w:val="0"/>
      <w:marRight w:val="0"/>
      <w:marTop w:val="0"/>
      <w:marBottom w:val="0"/>
      <w:divBdr>
        <w:top w:val="none" w:sz="0" w:space="0" w:color="auto"/>
        <w:left w:val="none" w:sz="0" w:space="0" w:color="auto"/>
        <w:bottom w:val="none" w:sz="0" w:space="0" w:color="auto"/>
        <w:right w:val="none" w:sz="0" w:space="0" w:color="auto"/>
      </w:divBdr>
    </w:div>
    <w:div w:id="1302350514">
      <w:bodyDiv w:val="1"/>
      <w:marLeft w:val="0"/>
      <w:marRight w:val="0"/>
      <w:marTop w:val="0"/>
      <w:marBottom w:val="0"/>
      <w:divBdr>
        <w:top w:val="none" w:sz="0" w:space="0" w:color="auto"/>
        <w:left w:val="none" w:sz="0" w:space="0" w:color="auto"/>
        <w:bottom w:val="none" w:sz="0" w:space="0" w:color="auto"/>
        <w:right w:val="none" w:sz="0" w:space="0" w:color="auto"/>
      </w:divBdr>
    </w:div>
    <w:div w:id="1302419609">
      <w:bodyDiv w:val="1"/>
      <w:marLeft w:val="0"/>
      <w:marRight w:val="0"/>
      <w:marTop w:val="0"/>
      <w:marBottom w:val="0"/>
      <w:divBdr>
        <w:top w:val="none" w:sz="0" w:space="0" w:color="auto"/>
        <w:left w:val="none" w:sz="0" w:space="0" w:color="auto"/>
        <w:bottom w:val="none" w:sz="0" w:space="0" w:color="auto"/>
        <w:right w:val="none" w:sz="0" w:space="0" w:color="auto"/>
      </w:divBdr>
    </w:div>
    <w:div w:id="1303121458">
      <w:bodyDiv w:val="1"/>
      <w:marLeft w:val="0"/>
      <w:marRight w:val="0"/>
      <w:marTop w:val="0"/>
      <w:marBottom w:val="0"/>
      <w:divBdr>
        <w:top w:val="none" w:sz="0" w:space="0" w:color="auto"/>
        <w:left w:val="none" w:sz="0" w:space="0" w:color="auto"/>
        <w:bottom w:val="none" w:sz="0" w:space="0" w:color="auto"/>
        <w:right w:val="none" w:sz="0" w:space="0" w:color="auto"/>
      </w:divBdr>
    </w:div>
    <w:div w:id="1303462797">
      <w:bodyDiv w:val="1"/>
      <w:marLeft w:val="0"/>
      <w:marRight w:val="0"/>
      <w:marTop w:val="0"/>
      <w:marBottom w:val="0"/>
      <w:divBdr>
        <w:top w:val="none" w:sz="0" w:space="0" w:color="auto"/>
        <w:left w:val="none" w:sz="0" w:space="0" w:color="auto"/>
        <w:bottom w:val="none" w:sz="0" w:space="0" w:color="auto"/>
        <w:right w:val="none" w:sz="0" w:space="0" w:color="auto"/>
      </w:divBdr>
    </w:div>
    <w:div w:id="1304192673">
      <w:bodyDiv w:val="1"/>
      <w:marLeft w:val="0"/>
      <w:marRight w:val="0"/>
      <w:marTop w:val="0"/>
      <w:marBottom w:val="0"/>
      <w:divBdr>
        <w:top w:val="none" w:sz="0" w:space="0" w:color="auto"/>
        <w:left w:val="none" w:sz="0" w:space="0" w:color="auto"/>
        <w:bottom w:val="none" w:sz="0" w:space="0" w:color="auto"/>
        <w:right w:val="none" w:sz="0" w:space="0" w:color="auto"/>
      </w:divBdr>
    </w:div>
    <w:div w:id="1304383074">
      <w:bodyDiv w:val="1"/>
      <w:marLeft w:val="0"/>
      <w:marRight w:val="0"/>
      <w:marTop w:val="0"/>
      <w:marBottom w:val="0"/>
      <w:divBdr>
        <w:top w:val="none" w:sz="0" w:space="0" w:color="auto"/>
        <w:left w:val="none" w:sz="0" w:space="0" w:color="auto"/>
        <w:bottom w:val="none" w:sz="0" w:space="0" w:color="auto"/>
        <w:right w:val="none" w:sz="0" w:space="0" w:color="auto"/>
      </w:divBdr>
    </w:div>
    <w:div w:id="1304773781">
      <w:bodyDiv w:val="1"/>
      <w:marLeft w:val="0"/>
      <w:marRight w:val="0"/>
      <w:marTop w:val="0"/>
      <w:marBottom w:val="0"/>
      <w:divBdr>
        <w:top w:val="none" w:sz="0" w:space="0" w:color="auto"/>
        <w:left w:val="none" w:sz="0" w:space="0" w:color="auto"/>
        <w:bottom w:val="none" w:sz="0" w:space="0" w:color="auto"/>
        <w:right w:val="none" w:sz="0" w:space="0" w:color="auto"/>
      </w:divBdr>
    </w:div>
    <w:div w:id="1304919789">
      <w:bodyDiv w:val="1"/>
      <w:marLeft w:val="0"/>
      <w:marRight w:val="0"/>
      <w:marTop w:val="0"/>
      <w:marBottom w:val="0"/>
      <w:divBdr>
        <w:top w:val="none" w:sz="0" w:space="0" w:color="auto"/>
        <w:left w:val="none" w:sz="0" w:space="0" w:color="auto"/>
        <w:bottom w:val="none" w:sz="0" w:space="0" w:color="auto"/>
        <w:right w:val="none" w:sz="0" w:space="0" w:color="auto"/>
      </w:divBdr>
    </w:div>
    <w:div w:id="1305429488">
      <w:bodyDiv w:val="1"/>
      <w:marLeft w:val="0"/>
      <w:marRight w:val="0"/>
      <w:marTop w:val="0"/>
      <w:marBottom w:val="0"/>
      <w:divBdr>
        <w:top w:val="none" w:sz="0" w:space="0" w:color="auto"/>
        <w:left w:val="none" w:sz="0" w:space="0" w:color="auto"/>
        <w:bottom w:val="none" w:sz="0" w:space="0" w:color="auto"/>
        <w:right w:val="none" w:sz="0" w:space="0" w:color="auto"/>
      </w:divBdr>
    </w:div>
    <w:div w:id="1306011647">
      <w:bodyDiv w:val="1"/>
      <w:marLeft w:val="0"/>
      <w:marRight w:val="0"/>
      <w:marTop w:val="0"/>
      <w:marBottom w:val="0"/>
      <w:divBdr>
        <w:top w:val="none" w:sz="0" w:space="0" w:color="auto"/>
        <w:left w:val="none" w:sz="0" w:space="0" w:color="auto"/>
        <w:bottom w:val="none" w:sz="0" w:space="0" w:color="auto"/>
        <w:right w:val="none" w:sz="0" w:space="0" w:color="auto"/>
      </w:divBdr>
    </w:div>
    <w:div w:id="1306203656">
      <w:bodyDiv w:val="1"/>
      <w:marLeft w:val="0"/>
      <w:marRight w:val="0"/>
      <w:marTop w:val="0"/>
      <w:marBottom w:val="0"/>
      <w:divBdr>
        <w:top w:val="none" w:sz="0" w:space="0" w:color="auto"/>
        <w:left w:val="none" w:sz="0" w:space="0" w:color="auto"/>
        <w:bottom w:val="none" w:sz="0" w:space="0" w:color="auto"/>
        <w:right w:val="none" w:sz="0" w:space="0" w:color="auto"/>
      </w:divBdr>
    </w:div>
    <w:div w:id="1306274478">
      <w:bodyDiv w:val="1"/>
      <w:marLeft w:val="0"/>
      <w:marRight w:val="0"/>
      <w:marTop w:val="0"/>
      <w:marBottom w:val="0"/>
      <w:divBdr>
        <w:top w:val="none" w:sz="0" w:space="0" w:color="auto"/>
        <w:left w:val="none" w:sz="0" w:space="0" w:color="auto"/>
        <w:bottom w:val="none" w:sz="0" w:space="0" w:color="auto"/>
        <w:right w:val="none" w:sz="0" w:space="0" w:color="auto"/>
      </w:divBdr>
    </w:div>
    <w:div w:id="1307584608">
      <w:bodyDiv w:val="1"/>
      <w:marLeft w:val="0"/>
      <w:marRight w:val="0"/>
      <w:marTop w:val="0"/>
      <w:marBottom w:val="0"/>
      <w:divBdr>
        <w:top w:val="none" w:sz="0" w:space="0" w:color="auto"/>
        <w:left w:val="none" w:sz="0" w:space="0" w:color="auto"/>
        <w:bottom w:val="none" w:sz="0" w:space="0" w:color="auto"/>
        <w:right w:val="none" w:sz="0" w:space="0" w:color="auto"/>
      </w:divBdr>
    </w:div>
    <w:div w:id="1308630347">
      <w:bodyDiv w:val="1"/>
      <w:marLeft w:val="0"/>
      <w:marRight w:val="0"/>
      <w:marTop w:val="0"/>
      <w:marBottom w:val="0"/>
      <w:divBdr>
        <w:top w:val="none" w:sz="0" w:space="0" w:color="auto"/>
        <w:left w:val="none" w:sz="0" w:space="0" w:color="auto"/>
        <w:bottom w:val="none" w:sz="0" w:space="0" w:color="auto"/>
        <w:right w:val="none" w:sz="0" w:space="0" w:color="auto"/>
      </w:divBdr>
    </w:div>
    <w:div w:id="1309822759">
      <w:bodyDiv w:val="1"/>
      <w:marLeft w:val="0"/>
      <w:marRight w:val="0"/>
      <w:marTop w:val="0"/>
      <w:marBottom w:val="0"/>
      <w:divBdr>
        <w:top w:val="none" w:sz="0" w:space="0" w:color="auto"/>
        <w:left w:val="none" w:sz="0" w:space="0" w:color="auto"/>
        <w:bottom w:val="none" w:sz="0" w:space="0" w:color="auto"/>
        <w:right w:val="none" w:sz="0" w:space="0" w:color="auto"/>
      </w:divBdr>
    </w:div>
    <w:div w:id="1309824148">
      <w:bodyDiv w:val="1"/>
      <w:marLeft w:val="0"/>
      <w:marRight w:val="0"/>
      <w:marTop w:val="0"/>
      <w:marBottom w:val="0"/>
      <w:divBdr>
        <w:top w:val="none" w:sz="0" w:space="0" w:color="auto"/>
        <w:left w:val="none" w:sz="0" w:space="0" w:color="auto"/>
        <w:bottom w:val="none" w:sz="0" w:space="0" w:color="auto"/>
        <w:right w:val="none" w:sz="0" w:space="0" w:color="auto"/>
      </w:divBdr>
    </w:div>
    <w:div w:id="1311058399">
      <w:bodyDiv w:val="1"/>
      <w:marLeft w:val="0"/>
      <w:marRight w:val="0"/>
      <w:marTop w:val="0"/>
      <w:marBottom w:val="0"/>
      <w:divBdr>
        <w:top w:val="none" w:sz="0" w:space="0" w:color="auto"/>
        <w:left w:val="none" w:sz="0" w:space="0" w:color="auto"/>
        <w:bottom w:val="none" w:sz="0" w:space="0" w:color="auto"/>
        <w:right w:val="none" w:sz="0" w:space="0" w:color="auto"/>
      </w:divBdr>
    </w:div>
    <w:div w:id="1311523475">
      <w:bodyDiv w:val="1"/>
      <w:marLeft w:val="0"/>
      <w:marRight w:val="0"/>
      <w:marTop w:val="0"/>
      <w:marBottom w:val="0"/>
      <w:divBdr>
        <w:top w:val="none" w:sz="0" w:space="0" w:color="auto"/>
        <w:left w:val="none" w:sz="0" w:space="0" w:color="auto"/>
        <w:bottom w:val="none" w:sz="0" w:space="0" w:color="auto"/>
        <w:right w:val="none" w:sz="0" w:space="0" w:color="auto"/>
      </w:divBdr>
    </w:div>
    <w:div w:id="1311667749">
      <w:bodyDiv w:val="1"/>
      <w:marLeft w:val="0"/>
      <w:marRight w:val="0"/>
      <w:marTop w:val="0"/>
      <w:marBottom w:val="0"/>
      <w:divBdr>
        <w:top w:val="none" w:sz="0" w:space="0" w:color="auto"/>
        <w:left w:val="none" w:sz="0" w:space="0" w:color="auto"/>
        <w:bottom w:val="none" w:sz="0" w:space="0" w:color="auto"/>
        <w:right w:val="none" w:sz="0" w:space="0" w:color="auto"/>
      </w:divBdr>
    </w:div>
    <w:div w:id="1312519753">
      <w:bodyDiv w:val="1"/>
      <w:marLeft w:val="0"/>
      <w:marRight w:val="0"/>
      <w:marTop w:val="0"/>
      <w:marBottom w:val="0"/>
      <w:divBdr>
        <w:top w:val="none" w:sz="0" w:space="0" w:color="auto"/>
        <w:left w:val="none" w:sz="0" w:space="0" w:color="auto"/>
        <w:bottom w:val="none" w:sz="0" w:space="0" w:color="auto"/>
        <w:right w:val="none" w:sz="0" w:space="0" w:color="auto"/>
      </w:divBdr>
    </w:div>
    <w:div w:id="1312560580">
      <w:bodyDiv w:val="1"/>
      <w:marLeft w:val="0"/>
      <w:marRight w:val="0"/>
      <w:marTop w:val="0"/>
      <w:marBottom w:val="0"/>
      <w:divBdr>
        <w:top w:val="none" w:sz="0" w:space="0" w:color="auto"/>
        <w:left w:val="none" w:sz="0" w:space="0" w:color="auto"/>
        <w:bottom w:val="none" w:sz="0" w:space="0" w:color="auto"/>
        <w:right w:val="none" w:sz="0" w:space="0" w:color="auto"/>
      </w:divBdr>
    </w:div>
    <w:div w:id="1312641713">
      <w:bodyDiv w:val="1"/>
      <w:marLeft w:val="0"/>
      <w:marRight w:val="0"/>
      <w:marTop w:val="0"/>
      <w:marBottom w:val="0"/>
      <w:divBdr>
        <w:top w:val="none" w:sz="0" w:space="0" w:color="auto"/>
        <w:left w:val="none" w:sz="0" w:space="0" w:color="auto"/>
        <w:bottom w:val="none" w:sz="0" w:space="0" w:color="auto"/>
        <w:right w:val="none" w:sz="0" w:space="0" w:color="auto"/>
      </w:divBdr>
    </w:div>
    <w:div w:id="1313215476">
      <w:bodyDiv w:val="1"/>
      <w:marLeft w:val="0"/>
      <w:marRight w:val="0"/>
      <w:marTop w:val="0"/>
      <w:marBottom w:val="0"/>
      <w:divBdr>
        <w:top w:val="none" w:sz="0" w:space="0" w:color="auto"/>
        <w:left w:val="none" w:sz="0" w:space="0" w:color="auto"/>
        <w:bottom w:val="none" w:sz="0" w:space="0" w:color="auto"/>
        <w:right w:val="none" w:sz="0" w:space="0" w:color="auto"/>
      </w:divBdr>
    </w:div>
    <w:div w:id="1313677196">
      <w:bodyDiv w:val="1"/>
      <w:marLeft w:val="0"/>
      <w:marRight w:val="0"/>
      <w:marTop w:val="0"/>
      <w:marBottom w:val="0"/>
      <w:divBdr>
        <w:top w:val="none" w:sz="0" w:space="0" w:color="auto"/>
        <w:left w:val="none" w:sz="0" w:space="0" w:color="auto"/>
        <w:bottom w:val="none" w:sz="0" w:space="0" w:color="auto"/>
        <w:right w:val="none" w:sz="0" w:space="0" w:color="auto"/>
      </w:divBdr>
    </w:div>
    <w:div w:id="1314487159">
      <w:bodyDiv w:val="1"/>
      <w:marLeft w:val="0"/>
      <w:marRight w:val="0"/>
      <w:marTop w:val="0"/>
      <w:marBottom w:val="0"/>
      <w:divBdr>
        <w:top w:val="none" w:sz="0" w:space="0" w:color="auto"/>
        <w:left w:val="none" w:sz="0" w:space="0" w:color="auto"/>
        <w:bottom w:val="none" w:sz="0" w:space="0" w:color="auto"/>
        <w:right w:val="none" w:sz="0" w:space="0" w:color="auto"/>
      </w:divBdr>
    </w:div>
    <w:div w:id="1314607125">
      <w:bodyDiv w:val="1"/>
      <w:marLeft w:val="0"/>
      <w:marRight w:val="0"/>
      <w:marTop w:val="0"/>
      <w:marBottom w:val="0"/>
      <w:divBdr>
        <w:top w:val="none" w:sz="0" w:space="0" w:color="auto"/>
        <w:left w:val="none" w:sz="0" w:space="0" w:color="auto"/>
        <w:bottom w:val="none" w:sz="0" w:space="0" w:color="auto"/>
        <w:right w:val="none" w:sz="0" w:space="0" w:color="auto"/>
      </w:divBdr>
    </w:div>
    <w:div w:id="1314682557">
      <w:bodyDiv w:val="1"/>
      <w:marLeft w:val="0"/>
      <w:marRight w:val="0"/>
      <w:marTop w:val="0"/>
      <w:marBottom w:val="0"/>
      <w:divBdr>
        <w:top w:val="none" w:sz="0" w:space="0" w:color="auto"/>
        <w:left w:val="none" w:sz="0" w:space="0" w:color="auto"/>
        <w:bottom w:val="none" w:sz="0" w:space="0" w:color="auto"/>
        <w:right w:val="none" w:sz="0" w:space="0" w:color="auto"/>
      </w:divBdr>
    </w:div>
    <w:div w:id="1315179926">
      <w:bodyDiv w:val="1"/>
      <w:marLeft w:val="0"/>
      <w:marRight w:val="0"/>
      <w:marTop w:val="0"/>
      <w:marBottom w:val="0"/>
      <w:divBdr>
        <w:top w:val="none" w:sz="0" w:space="0" w:color="auto"/>
        <w:left w:val="none" w:sz="0" w:space="0" w:color="auto"/>
        <w:bottom w:val="none" w:sz="0" w:space="0" w:color="auto"/>
        <w:right w:val="none" w:sz="0" w:space="0" w:color="auto"/>
      </w:divBdr>
    </w:div>
    <w:div w:id="1315379117">
      <w:bodyDiv w:val="1"/>
      <w:marLeft w:val="0"/>
      <w:marRight w:val="0"/>
      <w:marTop w:val="0"/>
      <w:marBottom w:val="0"/>
      <w:divBdr>
        <w:top w:val="none" w:sz="0" w:space="0" w:color="auto"/>
        <w:left w:val="none" w:sz="0" w:space="0" w:color="auto"/>
        <w:bottom w:val="none" w:sz="0" w:space="0" w:color="auto"/>
        <w:right w:val="none" w:sz="0" w:space="0" w:color="auto"/>
      </w:divBdr>
    </w:div>
    <w:div w:id="1316641743">
      <w:bodyDiv w:val="1"/>
      <w:marLeft w:val="0"/>
      <w:marRight w:val="0"/>
      <w:marTop w:val="0"/>
      <w:marBottom w:val="0"/>
      <w:divBdr>
        <w:top w:val="none" w:sz="0" w:space="0" w:color="auto"/>
        <w:left w:val="none" w:sz="0" w:space="0" w:color="auto"/>
        <w:bottom w:val="none" w:sz="0" w:space="0" w:color="auto"/>
        <w:right w:val="none" w:sz="0" w:space="0" w:color="auto"/>
      </w:divBdr>
    </w:div>
    <w:div w:id="1316648748">
      <w:bodyDiv w:val="1"/>
      <w:marLeft w:val="0"/>
      <w:marRight w:val="0"/>
      <w:marTop w:val="0"/>
      <w:marBottom w:val="0"/>
      <w:divBdr>
        <w:top w:val="none" w:sz="0" w:space="0" w:color="auto"/>
        <w:left w:val="none" w:sz="0" w:space="0" w:color="auto"/>
        <w:bottom w:val="none" w:sz="0" w:space="0" w:color="auto"/>
        <w:right w:val="none" w:sz="0" w:space="0" w:color="auto"/>
      </w:divBdr>
    </w:div>
    <w:div w:id="1316683926">
      <w:bodyDiv w:val="1"/>
      <w:marLeft w:val="0"/>
      <w:marRight w:val="0"/>
      <w:marTop w:val="0"/>
      <w:marBottom w:val="0"/>
      <w:divBdr>
        <w:top w:val="none" w:sz="0" w:space="0" w:color="auto"/>
        <w:left w:val="none" w:sz="0" w:space="0" w:color="auto"/>
        <w:bottom w:val="none" w:sz="0" w:space="0" w:color="auto"/>
        <w:right w:val="none" w:sz="0" w:space="0" w:color="auto"/>
      </w:divBdr>
    </w:div>
    <w:div w:id="1316838705">
      <w:bodyDiv w:val="1"/>
      <w:marLeft w:val="0"/>
      <w:marRight w:val="0"/>
      <w:marTop w:val="0"/>
      <w:marBottom w:val="0"/>
      <w:divBdr>
        <w:top w:val="none" w:sz="0" w:space="0" w:color="auto"/>
        <w:left w:val="none" w:sz="0" w:space="0" w:color="auto"/>
        <w:bottom w:val="none" w:sz="0" w:space="0" w:color="auto"/>
        <w:right w:val="none" w:sz="0" w:space="0" w:color="auto"/>
      </w:divBdr>
    </w:div>
    <w:div w:id="1316882702">
      <w:bodyDiv w:val="1"/>
      <w:marLeft w:val="0"/>
      <w:marRight w:val="0"/>
      <w:marTop w:val="0"/>
      <w:marBottom w:val="0"/>
      <w:divBdr>
        <w:top w:val="none" w:sz="0" w:space="0" w:color="auto"/>
        <w:left w:val="none" w:sz="0" w:space="0" w:color="auto"/>
        <w:bottom w:val="none" w:sz="0" w:space="0" w:color="auto"/>
        <w:right w:val="none" w:sz="0" w:space="0" w:color="auto"/>
      </w:divBdr>
    </w:div>
    <w:div w:id="1317417715">
      <w:bodyDiv w:val="1"/>
      <w:marLeft w:val="0"/>
      <w:marRight w:val="0"/>
      <w:marTop w:val="0"/>
      <w:marBottom w:val="0"/>
      <w:divBdr>
        <w:top w:val="none" w:sz="0" w:space="0" w:color="auto"/>
        <w:left w:val="none" w:sz="0" w:space="0" w:color="auto"/>
        <w:bottom w:val="none" w:sz="0" w:space="0" w:color="auto"/>
        <w:right w:val="none" w:sz="0" w:space="0" w:color="auto"/>
      </w:divBdr>
    </w:div>
    <w:div w:id="1318148897">
      <w:bodyDiv w:val="1"/>
      <w:marLeft w:val="0"/>
      <w:marRight w:val="0"/>
      <w:marTop w:val="0"/>
      <w:marBottom w:val="0"/>
      <w:divBdr>
        <w:top w:val="none" w:sz="0" w:space="0" w:color="auto"/>
        <w:left w:val="none" w:sz="0" w:space="0" w:color="auto"/>
        <w:bottom w:val="none" w:sz="0" w:space="0" w:color="auto"/>
        <w:right w:val="none" w:sz="0" w:space="0" w:color="auto"/>
      </w:divBdr>
    </w:div>
    <w:div w:id="1319192547">
      <w:bodyDiv w:val="1"/>
      <w:marLeft w:val="0"/>
      <w:marRight w:val="0"/>
      <w:marTop w:val="0"/>
      <w:marBottom w:val="0"/>
      <w:divBdr>
        <w:top w:val="none" w:sz="0" w:space="0" w:color="auto"/>
        <w:left w:val="none" w:sz="0" w:space="0" w:color="auto"/>
        <w:bottom w:val="none" w:sz="0" w:space="0" w:color="auto"/>
        <w:right w:val="none" w:sz="0" w:space="0" w:color="auto"/>
      </w:divBdr>
    </w:div>
    <w:div w:id="1319306198">
      <w:bodyDiv w:val="1"/>
      <w:marLeft w:val="0"/>
      <w:marRight w:val="0"/>
      <w:marTop w:val="0"/>
      <w:marBottom w:val="0"/>
      <w:divBdr>
        <w:top w:val="none" w:sz="0" w:space="0" w:color="auto"/>
        <w:left w:val="none" w:sz="0" w:space="0" w:color="auto"/>
        <w:bottom w:val="none" w:sz="0" w:space="0" w:color="auto"/>
        <w:right w:val="none" w:sz="0" w:space="0" w:color="auto"/>
      </w:divBdr>
    </w:div>
    <w:div w:id="1319456215">
      <w:bodyDiv w:val="1"/>
      <w:marLeft w:val="0"/>
      <w:marRight w:val="0"/>
      <w:marTop w:val="0"/>
      <w:marBottom w:val="0"/>
      <w:divBdr>
        <w:top w:val="none" w:sz="0" w:space="0" w:color="auto"/>
        <w:left w:val="none" w:sz="0" w:space="0" w:color="auto"/>
        <w:bottom w:val="none" w:sz="0" w:space="0" w:color="auto"/>
        <w:right w:val="none" w:sz="0" w:space="0" w:color="auto"/>
      </w:divBdr>
    </w:div>
    <w:div w:id="1319724837">
      <w:bodyDiv w:val="1"/>
      <w:marLeft w:val="0"/>
      <w:marRight w:val="0"/>
      <w:marTop w:val="0"/>
      <w:marBottom w:val="0"/>
      <w:divBdr>
        <w:top w:val="none" w:sz="0" w:space="0" w:color="auto"/>
        <w:left w:val="none" w:sz="0" w:space="0" w:color="auto"/>
        <w:bottom w:val="none" w:sz="0" w:space="0" w:color="auto"/>
        <w:right w:val="none" w:sz="0" w:space="0" w:color="auto"/>
      </w:divBdr>
    </w:div>
    <w:div w:id="1320689024">
      <w:bodyDiv w:val="1"/>
      <w:marLeft w:val="0"/>
      <w:marRight w:val="0"/>
      <w:marTop w:val="0"/>
      <w:marBottom w:val="0"/>
      <w:divBdr>
        <w:top w:val="none" w:sz="0" w:space="0" w:color="auto"/>
        <w:left w:val="none" w:sz="0" w:space="0" w:color="auto"/>
        <w:bottom w:val="none" w:sz="0" w:space="0" w:color="auto"/>
        <w:right w:val="none" w:sz="0" w:space="0" w:color="auto"/>
      </w:divBdr>
    </w:div>
    <w:div w:id="1320767384">
      <w:bodyDiv w:val="1"/>
      <w:marLeft w:val="0"/>
      <w:marRight w:val="0"/>
      <w:marTop w:val="0"/>
      <w:marBottom w:val="0"/>
      <w:divBdr>
        <w:top w:val="none" w:sz="0" w:space="0" w:color="auto"/>
        <w:left w:val="none" w:sz="0" w:space="0" w:color="auto"/>
        <w:bottom w:val="none" w:sz="0" w:space="0" w:color="auto"/>
        <w:right w:val="none" w:sz="0" w:space="0" w:color="auto"/>
      </w:divBdr>
    </w:div>
    <w:div w:id="1320839973">
      <w:bodyDiv w:val="1"/>
      <w:marLeft w:val="0"/>
      <w:marRight w:val="0"/>
      <w:marTop w:val="0"/>
      <w:marBottom w:val="0"/>
      <w:divBdr>
        <w:top w:val="none" w:sz="0" w:space="0" w:color="auto"/>
        <w:left w:val="none" w:sz="0" w:space="0" w:color="auto"/>
        <w:bottom w:val="none" w:sz="0" w:space="0" w:color="auto"/>
        <w:right w:val="none" w:sz="0" w:space="0" w:color="auto"/>
      </w:divBdr>
    </w:div>
    <w:div w:id="1320889371">
      <w:bodyDiv w:val="1"/>
      <w:marLeft w:val="0"/>
      <w:marRight w:val="0"/>
      <w:marTop w:val="0"/>
      <w:marBottom w:val="0"/>
      <w:divBdr>
        <w:top w:val="none" w:sz="0" w:space="0" w:color="auto"/>
        <w:left w:val="none" w:sz="0" w:space="0" w:color="auto"/>
        <w:bottom w:val="none" w:sz="0" w:space="0" w:color="auto"/>
        <w:right w:val="none" w:sz="0" w:space="0" w:color="auto"/>
      </w:divBdr>
    </w:div>
    <w:div w:id="1321546495">
      <w:bodyDiv w:val="1"/>
      <w:marLeft w:val="0"/>
      <w:marRight w:val="0"/>
      <w:marTop w:val="0"/>
      <w:marBottom w:val="0"/>
      <w:divBdr>
        <w:top w:val="none" w:sz="0" w:space="0" w:color="auto"/>
        <w:left w:val="none" w:sz="0" w:space="0" w:color="auto"/>
        <w:bottom w:val="none" w:sz="0" w:space="0" w:color="auto"/>
        <w:right w:val="none" w:sz="0" w:space="0" w:color="auto"/>
      </w:divBdr>
    </w:div>
    <w:div w:id="1322004360">
      <w:bodyDiv w:val="1"/>
      <w:marLeft w:val="0"/>
      <w:marRight w:val="0"/>
      <w:marTop w:val="0"/>
      <w:marBottom w:val="0"/>
      <w:divBdr>
        <w:top w:val="none" w:sz="0" w:space="0" w:color="auto"/>
        <w:left w:val="none" w:sz="0" w:space="0" w:color="auto"/>
        <w:bottom w:val="none" w:sz="0" w:space="0" w:color="auto"/>
        <w:right w:val="none" w:sz="0" w:space="0" w:color="auto"/>
      </w:divBdr>
    </w:div>
    <w:div w:id="1322196376">
      <w:bodyDiv w:val="1"/>
      <w:marLeft w:val="0"/>
      <w:marRight w:val="0"/>
      <w:marTop w:val="0"/>
      <w:marBottom w:val="0"/>
      <w:divBdr>
        <w:top w:val="none" w:sz="0" w:space="0" w:color="auto"/>
        <w:left w:val="none" w:sz="0" w:space="0" w:color="auto"/>
        <w:bottom w:val="none" w:sz="0" w:space="0" w:color="auto"/>
        <w:right w:val="none" w:sz="0" w:space="0" w:color="auto"/>
      </w:divBdr>
    </w:div>
    <w:div w:id="1322269358">
      <w:bodyDiv w:val="1"/>
      <w:marLeft w:val="0"/>
      <w:marRight w:val="0"/>
      <w:marTop w:val="0"/>
      <w:marBottom w:val="0"/>
      <w:divBdr>
        <w:top w:val="none" w:sz="0" w:space="0" w:color="auto"/>
        <w:left w:val="none" w:sz="0" w:space="0" w:color="auto"/>
        <w:bottom w:val="none" w:sz="0" w:space="0" w:color="auto"/>
        <w:right w:val="none" w:sz="0" w:space="0" w:color="auto"/>
      </w:divBdr>
    </w:div>
    <w:div w:id="1322350643">
      <w:bodyDiv w:val="1"/>
      <w:marLeft w:val="0"/>
      <w:marRight w:val="0"/>
      <w:marTop w:val="0"/>
      <w:marBottom w:val="0"/>
      <w:divBdr>
        <w:top w:val="none" w:sz="0" w:space="0" w:color="auto"/>
        <w:left w:val="none" w:sz="0" w:space="0" w:color="auto"/>
        <w:bottom w:val="none" w:sz="0" w:space="0" w:color="auto"/>
        <w:right w:val="none" w:sz="0" w:space="0" w:color="auto"/>
      </w:divBdr>
    </w:div>
    <w:div w:id="1322386120">
      <w:bodyDiv w:val="1"/>
      <w:marLeft w:val="0"/>
      <w:marRight w:val="0"/>
      <w:marTop w:val="0"/>
      <w:marBottom w:val="0"/>
      <w:divBdr>
        <w:top w:val="none" w:sz="0" w:space="0" w:color="auto"/>
        <w:left w:val="none" w:sz="0" w:space="0" w:color="auto"/>
        <w:bottom w:val="none" w:sz="0" w:space="0" w:color="auto"/>
        <w:right w:val="none" w:sz="0" w:space="0" w:color="auto"/>
      </w:divBdr>
    </w:div>
    <w:div w:id="1322583467">
      <w:bodyDiv w:val="1"/>
      <w:marLeft w:val="0"/>
      <w:marRight w:val="0"/>
      <w:marTop w:val="0"/>
      <w:marBottom w:val="0"/>
      <w:divBdr>
        <w:top w:val="none" w:sz="0" w:space="0" w:color="auto"/>
        <w:left w:val="none" w:sz="0" w:space="0" w:color="auto"/>
        <w:bottom w:val="none" w:sz="0" w:space="0" w:color="auto"/>
        <w:right w:val="none" w:sz="0" w:space="0" w:color="auto"/>
      </w:divBdr>
    </w:div>
    <w:div w:id="1323388964">
      <w:bodyDiv w:val="1"/>
      <w:marLeft w:val="0"/>
      <w:marRight w:val="0"/>
      <w:marTop w:val="0"/>
      <w:marBottom w:val="0"/>
      <w:divBdr>
        <w:top w:val="none" w:sz="0" w:space="0" w:color="auto"/>
        <w:left w:val="none" w:sz="0" w:space="0" w:color="auto"/>
        <w:bottom w:val="none" w:sz="0" w:space="0" w:color="auto"/>
        <w:right w:val="none" w:sz="0" w:space="0" w:color="auto"/>
      </w:divBdr>
    </w:div>
    <w:div w:id="1323462548">
      <w:bodyDiv w:val="1"/>
      <w:marLeft w:val="0"/>
      <w:marRight w:val="0"/>
      <w:marTop w:val="0"/>
      <w:marBottom w:val="0"/>
      <w:divBdr>
        <w:top w:val="none" w:sz="0" w:space="0" w:color="auto"/>
        <w:left w:val="none" w:sz="0" w:space="0" w:color="auto"/>
        <w:bottom w:val="none" w:sz="0" w:space="0" w:color="auto"/>
        <w:right w:val="none" w:sz="0" w:space="0" w:color="auto"/>
      </w:divBdr>
    </w:div>
    <w:div w:id="1324047223">
      <w:bodyDiv w:val="1"/>
      <w:marLeft w:val="0"/>
      <w:marRight w:val="0"/>
      <w:marTop w:val="0"/>
      <w:marBottom w:val="0"/>
      <w:divBdr>
        <w:top w:val="none" w:sz="0" w:space="0" w:color="auto"/>
        <w:left w:val="none" w:sz="0" w:space="0" w:color="auto"/>
        <w:bottom w:val="none" w:sz="0" w:space="0" w:color="auto"/>
        <w:right w:val="none" w:sz="0" w:space="0" w:color="auto"/>
      </w:divBdr>
    </w:div>
    <w:div w:id="1326274788">
      <w:bodyDiv w:val="1"/>
      <w:marLeft w:val="0"/>
      <w:marRight w:val="0"/>
      <w:marTop w:val="0"/>
      <w:marBottom w:val="0"/>
      <w:divBdr>
        <w:top w:val="none" w:sz="0" w:space="0" w:color="auto"/>
        <w:left w:val="none" w:sz="0" w:space="0" w:color="auto"/>
        <w:bottom w:val="none" w:sz="0" w:space="0" w:color="auto"/>
        <w:right w:val="none" w:sz="0" w:space="0" w:color="auto"/>
      </w:divBdr>
    </w:div>
    <w:div w:id="1326780476">
      <w:bodyDiv w:val="1"/>
      <w:marLeft w:val="0"/>
      <w:marRight w:val="0"/>
      <w:marTop w:val="0"/>
      <w:marBottom w:val="0"/>
      <w:divBdr>
        <w:top w:val="none" w:sz="0" w:space="0" w:color="auto"/>
        <w:left w:val="none" w:sz="0" w:space="0" w:color="auto"/>
        <w:bottom w:val="none" w:sz="0" w:space="0" w:color="auto"/>
        <w:right w:val="none" w:sz="0" w:space="0" w:color="auto"/>
      </w:divBdr>
    </w:div>
    <w:div w:id="1326973951">
      <w:bodyDiv w:val="1"/>
      <w:marLeft w:val="0"/>
      <w:marRight w:val="0"/>
      <w:marTop w:val="0"/>
      <w:marBottom w:val="0"/>
      <w:divBdr>
        <w:top w:val="none" w:sz="0" w:space="0" w:color="auto"/>
        <w:left w:val="none" w:sz="0" w:space="0" w:color="auto"/>
        <w:bottom w:val="none" w:sz="0" w:space="0" w:color="auto"/>
        <w:right w:val="none" w:sz="0" w:space="0" w:color="auto"/>
      </w:divBdr>
    </w:div>
    <w:div w:id="1327660838">
      <w:bodyDiv w:val="1"/>
      <w:marLeft w:val="0"/>
      <w:marRight w:val="0"/>
      <w:marTop w:val="0"/>
      <w:marBottom w:val="0"/>
      <w:divBdr>
        <w:top w:val="none" w:sz="0" w:space="0" w:color="auto"/>
        <w:left w:val="none" w:sz="0" w:space="0" w:color="auto"/>
        <w:bottom w:val="none" w:sz="0" w:space="0" w:color="auto"/>
        <w:right w:val="none" w:sz="0" w:space="0" w:color="auto"/>
      </w:divBdr>
    </w:div>
    <w:div w:id="1328244885">
      <w:bodyDiv w:val="1"/>
      <w:marLeft w:val="0"/>
      <w:marRight w:val="0"/>
      <w:marTop w:val="0"/>
      <w:marBottom w:val="0"/>
      <w:divBdr>
        <w:top w:val="none" w:sz="0" w:space="0" w:color="auto"/>
        <w:left w:val="none" w:sz="0" w:space="0" w:color="auto"/>
        <w:bottom w:val="none" w:sz="0" w:space="0" w:color="auto"/>
        <w:right w:val="none" w:sz="0" w:space="0" w:color="auto"/>
      </w:divBdr>
    </w:div>
    <w:div w:id="1328512852">
      <w:bodyDiv w:val="1"/>
      <w:marLeft w:val="0"/>
      <w:marRight w:val="0"/>
      <w:marTop w:val="0"/>
      <w:marBottom w:val="0"/>
      <w:divBdr>
        <w:top w:val="none" w:sz="0" w:space="0" w:color="auto"/>
        <w:left w:val="none" w:sz="0" w:space="0" w:color="auto"/>
        <w:bottom w:val="none" w:sz="0" w:space="0" w:color="auto"/>
        <w:right w:val="none" w:sz="0" w:space="0" w:color="auto"/>
      </w:divBdr>
    </w:div>
    <w:div w:id="1329333524">
      <w:bodyDiv w:val="1"/>
      <w:marLeft w:val="0"/>
      <w:marRight w:val="0"/>
      <w:marTop w:val="0"/>
      <w:marBottom w:val="0"/>
      <w:divBdr>
        <w:top w:val="none" w:sz="0" w:space="0" w:color="auto"/>
        <w:left w:val="none" w:sz="0" w:space="0" w:color="auto"/>
        <w:bottom w:val="none" w:sz="0" w:space="0" w:color="auto"/>
        <w:right w:val="none" w:sz="0" w:space="0" w:color="auto"/>
      </w:divBdr>
    </w:div>
    <w:div w:id="1329749167">
      <w:bodyDiv w:val="1"/>
      <w:marLeft w:val="0"/>
      <w:marRight w:val="0"/>
      <w:marTop w:val="0"/>
      <w:marBottom w:val="0"/>
      <w:divBdr>
        <w:top w:val="none" w:sz="0" w:space="0" w:color="auto"/>
        <w:left w:val="none" w:sz="0" w:space="0" w:color="auto"/>
        <w:bottom w:val="none" w:sz="0" w:space="0" w:color="auto"/>
        <w:right w:val="none" w:sz="0" w:space="0" w:color="auto"/>
      </w:divBdr>
    </w:div>
    <w:div w:id="1330793443">
      <w:bodyDiv w:val="1"/>
      <w:marLeft w:val="0"/>
      <w:marRight w:val="0"/>
      <w:marTop w:val="0"/>
      <w:marBottom w:val="0"/>
      <w:divBdr>
        <w:top w:val="none" w:sz="0" w:space="0" w:color="auto"/>
        <w:left w:val="none" w:sz="0" w:space="0" w:color="auto"/>
        <w:bottom w:val="none" w:sz="0" w:space="0" w:color="auto"/>
        <w:right w:val="none" w:sz="0" w:space="0" w:color="auto"/>
      </w:divBdr>
    </w:div>
    <w:div w:id="1330907431">
      <w:bodyDiv w:val="1"/>
      <w:marLeft w:val="0"/>
      <w:marRight w:val="0"/>
      <w:marTop w:val="0"/>
      <w:marBottom w:val="0"/>
      <w:divBdr>
        <w:top w:val="none" w:sz="0" w:space="0" w:color="auto"/>
        <w:left w:val="none" w:sz="0" w:space="0" w:color="auto"/>
        <w:bottom w:val="none" w:sz="0" w:space="0" w:color="auto"/>
        <w:right w:val="none" w:sz="0" w:space="0" w:color="auto"/>
      </w:divBdr>
    </w:div>
    <w:div w:id="1330980266">
      <w:bodyDiv w:val="1"/>
      <w:marLeft w:val="0"/>
      <w:marRight w:val="0"/>
      <w:marTop w:val="0"/>
      <w:marBottom w:val="0"/>
      <w:divBdr>
        <w:top w:val="none" w:sz="0" w:space="0" w:color="auto"/>
        <w:left w:val="none" w:sz="0" w:space="0" w:color="auto"/>
        <w:bottom w:val="none" w:sz="0" w:space="0" w:color="auto"/>
        <w:right w:val="none" w:sz="0" w:space="0" w:color="auto"/>
      </w:divBdr>
    </w:div>
    <w:div w:id="1331181057">
      <w:bodyDiv w:val="1"/>
      <w:marLeft w:val="0"/>
      <w:marRight w:val="0"/>
      <w:marTop w:val="0"/>
      <w:marBottom w:val="0"/>
      <w:divBdr>
        <w:top w:val="none" w:sz="0" w:space="0" w:color="auto"/>
        <w:left w:val="none" w:sz="0" w:space="0" w:color="auto"/>
        <w:bottom w:val="none" w:sz="0" w:space="0" w:color="auto"/>
        <w:right w:val="none" w:sz="0" w:space="0" w:color="auto"/>
      </w:divBdr>
    </w:div>
    <w:div w:id="1331561017">
      <w:bodyDiv w:val="1"/>
      <w:marLeft w:val="0"/>
      <w:marRight w:val="0"/>
      <w:marTop w:val="0"/>
      <w:marBottom w:val="0"/>
      <w:divBdr>
        <w:top w:val="none" w:sz="0" w:space="0" w:color="auto"/>
        <w:left w:val="none" w:sz="0" w:space="0" w:color="auto"/>
        <w:bottom w:val="none" w:sz="0" w:space="0" w:color="auto"/>
        <w:right w:val="none" w:sz="0" w:space="0" w:color="auto"/>
      </w:divBdr>
    </w:div>
    <w:div w:id="1332293531">
      <w:bodyDiv w:val="1"/>
      <w:marLeft w:val="0"/>
      <w:marRight w:val="0"/>
      <w:marTop w:val="0"/>
      <w:marBottom w:val="0"/>
      <w:divBdr>
        <w:top w:val="none" w:sz="0" w:space="0" w:color="auto"/>
        <w:left w:val="none" w:sz="0" w:space="0" w:color="auto"/>
        <w:bottom w:val="none" w:sz="0" w:space="0" w:color="auto"/>
        <w:right w:val="none" w:sz="0" w:space="0" w:color="auto"/>
      </w:divBdr>
    </w:div>
    <w:div w:id="1333030129">
      <w:bodyDiv w:val="1"/>
      <w:marLeft w:val="0"/>
      <w:marRight w:val="0"/>
      <w:marTop w:val="0"/>
      <w:marBottom w:val="0"/>
      <w:divBdr>
        <w:top w:val="none" w:sz="0" w:space="0" w:color="auto"/>
        <w:left w:val="none" w:sz="0" w:space="0" w:color="auto"/>
        <w:bottom w:val="none" w:sz="0" w:space="0" w:color="auto"/>
        <w:right w:val="none" w:sz="0" w:space="0" w:color="auto"/>
      </w:divBdr>
    </w:div>
    <w:div w:id="1333141228">
      <w:bodyDiv w:val="1"/>
      <w:marLeft w:val="0"/>
      <w:marRight w:val="0"/>
      <w:marTop w:val="0"/>
      <w:marBottom w:val="0"/>
      <w:divBdr>
        <w:top w:val="none" w:sz="0" w:space="0" w:color="auto"/>
        <w:left w:val="none" w:sz="0" w:space="0" w:color="auto"/>
        <w:bottom w:val="none" w:sz="0" w:space="0" w:color="auto"/>
        <w:right w:val="none" w:sz="0" w:space="0" w:color="auto"/>
      </w:divBdr>
    </w:div>
    <w:div w:id="1333680181">
      <w:bodyDiv w:val="1"/>
      <w:marLeft w:val="0"/>
      <w:marRight w:val="0"/>
      <w:marTop w:val="0"/>
      <w:marBottom w:val="0"/>
      <w:divBdr>
        <w:top w:val="none" w:sz="0" w:space="0" w:color="auto"/>
        <w:left w:val="none" w:sz="0" w:space="0" w:color="auto"/>
        <w:bottom w:val="none" w:sz="0" w:space="0" w:color="auto"/>
        <w:right w:val="none" w:sz="0" w:space="0" w:color="auto"/>
      </w:divBdr>
    </w:div>
    <w:div w:id="1333680306">
      <w:bodyDiv w:val="1"/>
      <w:marLeft w:val="0"/>
      <w:marRight w:val="0"/>
      <w:marTop w:val="0"/>
      <w:marBottom w:val="0"/>
      <w:divBdr>
        <w:top w:val="none" w:sz="0" w:space="0" w:color="auto"/>
        <w:left w:val="none" w:sz="0" w:space="0" w:color="auto"/>
        <w:bottom w:val="none" w:sz="0" w:space="0" w:color="auto"/>
        <w:right w:val="none" w:sz="0" w:space="0" w:color="auto"/>
      </w:divBdr>
    </w:div>
    <w:div w:id="1335953324">
      <w:bodyDiv w:val="1"/>
      <w:marLeft w:val="0"/>
      <w:marRight w:val="0"/>
      <w:marTop w:val="0"/>
      <w:marBottom w:val="0"/>
      <w:divBdr>
        <w:top w:val="none" w:sz="0" w:space="0" w:color="auto"/>
        <w:left w:val="none" w:sz="0" w:space="0" w:color="auto"/>
        <w:bottom w:val="none" w:sz="0" w:space="0" w:color="auto"/>
        <w:right w:val="none" w:sz="0" w:space="0" w:color="auto"/>
      </w:divBdr>
    </w:div>
    <w:div w:id="1336617368">
      <w:bodyDiv w:val="1"/>
      <w:marLeft w:val="0"/>
      <w:marRight w:val="0"/>
      <w:marTop w:val="0"/>
      <w:marBottom w:val="0"/>
      <w:divBdr>
        <w:top w:val="none" w:sz="0" w:space="0" w:color="auto"/>
        <w:left w:val="none" w:sz="0" w:space="0" w:color="auto"/>
        <w:bottom w:val="none" w:sz="0" w:space="0" w:color="auto"/>
        <w:right w:val="none" w:sz="0" w:space="0" w:color="auto"/>
      </w:divBdr>
    </w:div>
    <w:div w:id="1336880609">
      <w:bodyDiv w:val="1"/>
      <w:marLeft w:val="0"/>
      <w:marRight w:val="0"/>
      <w:marTop w:val="0"/>
      <w:marBottom w:val="0"/>
      <w:divBdr>
        <w:top w:val="none" w:sz="0" w:space="0" w:color="auto"/>
        <w:left w:val="none" w:sz="0" w:space="0" w:color="auto"/>
        <w:bottom w:val="none" w:sz="0" w:space="0" w:color="auto"/>
        <w:right w:val="none" w:sz="0" w:space="0" w:color="auto"/>
      </w:divBdr>
    </w:div>
    <w:div w:id="1336883069">
      <w:bodyDiv w:val="1"/>
      <w:marLeft w:val="0"/>
      <w:marRight w:val="0"/>
      <w:marTop w:val="0"/>
      <w:marBottom w:val="0"/>
      <w:divBdr>
        <w:top w:val="none" w:sz="0" w:space="0" w:color="auto"/>
        <w:left w:val="none" w:sz="0" w:space="0" w:color="auto"/>
        <w:bottom w:val="none" w:sz="0" w:space="0" w:color="auto"/>
        <w:right w:val="none" w:sz="0" w:space="0" w:color="auto"/>
      </w:divBdr>
    </w:div>
    <w:div w:id="1337227069">
      <w:bodyDiv w:val="1"/>
      <w:marLeft w:val="0"/>
      <w:marRight w:val="0"/>
      <w:marTop w:val="0"/>
      <w:marBottom w:val="0"/>
      <w:divBdr>
        <w:top w:val="none" w:sz="0" w:space="0" w:color="auto"/>
        <w:left w:val="none" w:sz="0" w:space="0" w:color="auto"/>
        <w:bottom w:val="none" w:sz="0" w:space="0" w:color="auto"/>
        <w:right w:val="none" w:sz="0" w:space="0" w:color="auto"/>
      </w:divBdr>
    </w:div>
    <w:div w:id="1338338941">
      <w:bodyDiv w:val="1"/>
      <w:marLeft w:val="0"/>
      <w:marRight w:val="0"/>
      <w:marTop w:val="0"/>
      <w:marBottom w:val="0"/>
      <w:divBdr>
        <w:top w:val="none" w:sz="0" w:space="0" w:color="auto"/>
        <w:left w:val="none" w:sz="0" w:space="0" w:color="auto"/>
        <w:bottom w:val="none" w:sz="0" w:space="0" w:color="auto"/>
        <w:right w:val="none" w:sz="0" w:space="0" w:color="auto"/>
      </w:divBdr>
    </w:div>
    <w:div w:id="1338459681">
      <w:bodyDiv w:val="1"/>
      <w:marLeft w:val="0"/>
      <w:marRight w:val="0"/>
      <w:marTop w:val="0"/>
      <w:marBottom w:val="0"/>
      <w:divBdr>
        <w:top w:val="none" w:sz="0" w:space="0" w:color="auto"/>
        <w:left w:val="none" w:sz="0" w:space="0" w:color="auto"/>
        <w:bottom w:val="none" w:sz="0" w:space="0" w:color="auto"/>
        <w:right w:val="none" w:sz="0" w:space="0" w:color="auto"/>
      </w:divBdr>
    </w:div>
    <w:div w:id="1338583204">
      <w:bodyDiv w:val="1"/>
      <w:marLeft w:val="0"/>
      <w:marRight w:val="0"/>
      <w:marTop w:val="0"/>
      <w:marBottom w:val="0"/>
      <w:divBdr>
        <w:top w:val="none" w:sz="0" w:space="0" w:color="auto"/>
        <w:left w:val="none" w:sz="0" w:space="0" w:color="auto"/>
        <w:bottom w:val="none" w:sz="0" w:space="0" w:color="auto"/>
        <w:right w:val="none" w:sz="0" w:space="0" w:color="auto"/>
      </w:divBdr>
    </w:div>
    <w:div w:id="1338733590">
      <w:bodyDiv w:val="1"/>
      <w:marLeft w:val="0"/>
      <w:marRight w:val="0"/>
      <w:marTop w:val="0"/>
      <w:marBottom w:val="0"/>
      <w:divBdr>
        <w:top w:val="none" w:sz="0" w:space="0" w:color="auto"/>
        <w:left w:val="none" w:sz="0" w:space="0" w:color="auto"/>
        <w:bottom w:val="none" w:sz="0" w:space="0" w:color="auto"/>
        <w:right w:val="none" w:sz="0" w:space="0" w:color="auto"/>
      </w:divBdr>
    </w:div>
    <w:div w:id="1339505400">
      <w:bodyDiv w:val="1"/>
      <w:marLeft w:val="0"/>
      <w:marRight w:val="0"/>
      <w:marTop w:val="0"/>
      <w:marBottom w:val="0"/>
      <w:divBdr>
        <w:top w:val="none" w:sz="0" w:space="0" w:color="auto"/>
        <w:left w:val="none" w:sz="0" w:space="0" w:color="auto"/>
        <w:bottom w:val="none" w:sz="0" w:space="0" w:color="auto"/>
        <w:right w:val="none" w:sz="0" w:space="0" w:color="auto"/>
      </w:divBdr>
    </w:div>
    <w:div w:id="1339649330">
      <w:bodyDiv w:val="1"/>
      <w:marLeft w:val="0"/>
      <w:marRight w:val="0"/>
      <w:marTop w:val="0"/>
      <w:marBottom w:val="0"/>
      <w:divBdr>
        <w:top w:val="none" w:sz="0" w:space="0" w:color="auto"/>
        <w:left w:val="none" w:sz="0" w:space="0" w:color="auto"/>
        <w:bottom w:val="none" w:sz="0" w:space="0" w:color="auto"/>
        <w:right w:val="none" w:sz="0" w:space="0" w:color="auto"/>
      </w:divBdr>
    </w:div>
    <w:div w:id="1339700395">
      <w:bodyDiv w:val="1"/>
      <w:marLeft w:val="0"/>
      <w:marRight w:val="0"/>
      <w:marTop w:val="0"/>
      <w:marBottom w:val="0"/>
      <w:divBdr>
        <w:top w:val="none" w:sz="0" w:space="0" w:color="auto"/>
        <w:left w:val="none" w:sz="0" w:space="0" w:color="auto"/>
        <w:bottom w:val="none" w:sz="0" w:space="0" w:color="auto"/>
        <w:right w:val="none" w:sz="0" w:space="0" w:color="auto"/>
      </w:divBdr>
    </w:div>
    <w:div w:id="1340693440">
      <w:bodyDiv w:val="1"/>
      <w:marLeft w:val="0"/>
      <w:marRight w:val="0"/>
      <w:marTop w:val="0"/>
      <w:marBottom w:val="0"/>
      <w:divBdr>
        <w:top w:val="none" w:sz="0" w:space="0" w:color="auto"/>
        <w:left w:val="none" w:sz="0" w:space="0" w:color="auto"/>
        <w:bottom w:val="none" w:sz="0" w:space="0" w:color="auto"/>
        <w:right w:val="none" w:sz="0" w:space="0" w:color="auto"/>
      </w:divBdr>
    </w:div>
    <w:div w:id="1341009292">
      <w:bodyDiv w:val="1"/>
      <w:marLeft w:val="0"/>
      <w:marRight w:val="0"/>
      <w:marTop w:val="0"/>
      <w:marBottom w:val="0"/>
      <w:divBdr>
        <w:top w:val="none" w:sz="0" w:space="0" w:color="auto"/>
        <w:left w:val="none" w:sz="0" w:space="0" w:color="auto"/>
        <w:bottom w:val="none" w:sz="0" w:space="0" w:color="auto"/>
        <w:right w:val="none" w:sz="0" w:space="0" w:color="auto"/>
      </w:divBdr>
    </w:div>
    <w:div w:id="1341852001">
      <w:bodyDiv w:val="1"/>
      <w:marLeft w:val="0"/>
      <w:marRight w:val="0"/>
      <w:marTop w:val="0"/>
      <w:marBottom w:val="0"/>
      <w:divBdr>
        <w:top w:val="none" w:sz="0" w:space="0" w:color="auto"/>
        <w:left w:val="none" w:sz="0" w:space="0" w:color="auto"/>
        <w:bottom w:val="none" w:sz="0" w:space="0" w:color="auto"/>
        <w:right w:val="none" w:sz="0" w:space="0" w:color="auto"/>
      </w:divBdr>
    </w:div>
    <w:div w:id="1342510109">
      <w:bodyDiv w:val="1"/>
      <w:marLeft w:val="0"/>
      <w:marRight w:val="0"/>
      <w:marTop w:val="0"/>
      <w:marBottom w:val="0"/>
      <w:divBdr>
        <w:top w:val="none" w:sz="0" w:space="0" w:color="auto"/>
        <w:left w:val="none" w:sz="0" w:space="0" w:color="auto"/>
        <w:bottom w:val="none" w:sz="0" w:space="0" w:color="auto"/>
        <w:right w:val="none" w:sz="0" w:space="0" w:color="auto"/>
      </w:divBdr>
    </w:div>
    <w:div w:id="1342581437">
      <w:bodyDiv w:val="1"/>
      <w:marLeft w:val="0"/>
      <w:marRight w:val="0"/>
      <w:marTop w:val="0"/>
      <w:marBottom w:val="0"/>
      <w:divBdr>
        <w:top w:val="none" w:sz="0" w:space="0" w:color="auto"/>
        <w:left w:val="none" w:sz="0" w:space="0" w:color="auto"/>
        <w:bottom w:val="none" w:sz="0" w:space="0" w:color="auto"/>
        <w:right w:val="none" w:sz="0" w:space="0" w:color="auto"/>
      </w:divBdr>
    </w:div>
    <w:div w:id="1342851966">
      <w:bodyDiv w:val="1"/>
      <w:marLeft w:val="0"/>
      <w:marRight w:val="0"/>
      <w:marTop w:val="0"/>
      <w:marBottom w:val="0"/>
      <w:divBdr>
        <w:top w:val="none" w:sz="0" w:space="0" w:color="auto"/>
        <w:left w:val="none" w:sz="0" w:space="0" w:color="auto"/>
        <w:bottom w:val="none" w:sz="0" w:space="0" w:color="auto"/>
        <w:right w:val="none" w:sz="0" w:space="0" w:color="auto"/>
      </w:divBdr>
    </w:div>
    <w:div w:id="1342977213">
      <w:bodyDiv w:val="1"/>
      <w:marLeft w:val="0"/>
      <w:marRight w:val="0"/>
      <w:marTop w:val="0"/>
      <w:marBottom w:val="0"/>
      <w:divBdr>
        <w:top w:val="none" w:sz="0" w:space="0" w:color="auto"/>
        <w:left w:val="none" w:sz="0" w:space="0" w:color="auto"/>
        <w:bottom w:val="none" w:sz="0" w:space="0" w:color="auto"/>
        <w:right w:val="none" w:sz="0" w:space="0" w:color="auto"/>
      </w:divBdr>
    </w:div>
    <w:div w:id="1343780871">
      <w:bodyDiv w:val="1"/>
      <w:marLeft w:val="0"/>
      <w:marRight w:val="0"/>
      <w:marTop w:val="0"/>
      <w:marBottom w:val="0"/>
      <w:divBdr>
        <w:top w:val="none" w:sz="0" w:space="0" w:color="auto"/>
        <w:left w:val="none" w:sz="0" w:space="0" w:color="auto"/>
        <w:bottom w:val="none" w:sz="0" w:space="0" w:color="auto"/>
        <w:right w:val="none" w:sz="0" w:space="0" w:color="auto"/>
      </w:divBdr>
    </w:div>
    <w:div w:id="1344362127">
      <w:bodyDiv w:val="1"/>
      <w:marLeft w:val="0"/>
      <w:marRight w:val="0"/>
      <w:marTop w:val="0"/>
      <w:marBottom w:val="0"/>
      <w:divBdr>
        <w:top w:val="none" w:sz="0" w:space="0" w:color="auto"/>
        <w:left w:val="none" w:sz="0" w:space="0" w:color="auto"/>
        <w:bottom w:val="none" w:sz="0" w:space="0" w:color="auto"/>
        <w:right w:val="none" w:sz="0" w:space="0" w:color="auto"/>
      </w:divBdr>
    </w:div>
    <w:div w:id="1344551161">
      <w:bodyDiv w:val="1"/>
      <w:marLeft w:val="0"/>
      <w:marRight w:val="0"/>
      <w:marTop w:val="0"/>
      <w:marBottom w:val="0"/>
      <w:divBdr>
        <w:top w:val="none" w:sz="0" w:space="0" w:color="auto"/>
        <w:left w:val="none" w:sz="0" w:space="0" w:color="auto"/>
        <w:bottom w:val="none" w:sz="0" w:space="0" w:color="auto"/>
        <w:right w:val="none" w:sz="0" w:space="0" w:color="auto"/>
      </w:divBdr>
    </w:div>
    <w:div w:id="1344891889">
      <w:bodyDiv w:val="1"/>
      <w:marLeft w:val="0"/>
      <w:marRight w:val="0"/>
      <w:marTop w:val="0"/>
      <w:marBottom w:val="0"/>
      <w:divBdr>
        <w:top w:val="none" w:sz="0" w:space="0" w:color="auto"/>
        <w:left w:val="none" w:sz="0" w:space="0" w:color="auto"/>
        <w:bottom w:val="none" w:sz="0" w:space="0" w:color="auto"/>
        <w:right w:val="none" w:sz="0" w:space="0" w:color="auto"/>
      </w:divBdr>
    </w:div>
    <w:div w:id="1344943088">
      <w:bodyDiv w:val="1"/>
      <w:marLeft w:val="0"/>
      <w:marRight w:val="0"/>
      <w:marTop w:val="0"/>
      <w:marBottom w:val="0"/>
      <w:divBdr>
        <w:top w:val="none" w:sz="0" w:space="0" w:color="auto"/>
        <w:left w:val="none" w:sz="0" w:space="0" w:color="auto"/>
        <w:bottom w:val="none" w:sz="0" w:space="0" w:color="auto"/>
        <w:right w:val="none" w:sz="0" w:space="0" w:color="auto"/>
      </w:divBdr>
    </w:div>
    <w:div w:id="1345084893">
      <w:bodyDiv w:val="1"/>
      <w:marLeft w:val="0"/>
      <w:marRight w:val="0"/>
      <w:marTop w:val="0"/>
      <w:marBottom w:val="0"/>
      <w:divBdr>
        <w:top w:val="none" w:sz="0" w:space="0" w:color="auto"/>
        <w:left w:val="none" w:sz="0" w:space="0" w:color="auto"/>
        <w:bottom w:val="none" w:sz="0" w:space="0" w:color="auto"/>
        <w:right w:val="none" w:sz="0" w:space="0" w:color="auto"/>
      </w:divBdr>
    </w:div>
    <w:div w:id="1345666429">
      <w:bodyDiv w:val="1"/>
      <w:marLeft w:val="0"/>
      <w:marRight w:val="0"/>
      <w:marTop w:val="0"/>
      <w:marBottom w:val="0"/>
      <w:divBdr>
        <w:top w:val="none" w:sz="0" w:space="0" w:color="auto"/>
        <w:left w:val="none" w:sz="0" w:space="0" w:color="auto"/>
        <w:bottom w:val="none" w:sz="0" w:space="0" w:color="auto"/>
        <w:right w:val="none" w:sz="0" w:space="0" w:color="auto"/>
      </w:divBdr>
    </w:div>
    <w:div w:id="1345978940">
      <w:bodyDiv w:val="1"/>
      <w:marLeft w:val="0"/>
      <w:marRight w:val="0"/>
      <w:marTop w:val="0"/>
      <w:marBottom w:val="0"/>
      <w:divBdr>
        <w:top w:val="none" w:sz="0" w:space="0" w:color="auto"/>
        <w:left w:val="none" w:sz="0" w:space="0" w:color="auto"/>
        <w:bottom w:val="none" w:sz="0" w:space="0" w:color="auto"/>
        <w:right w:val="none" w:sz="0" w:space="0" w:color="auto"/>
      </w:divBdr>
    </w:div>
    <w:div w:id="1346206012">
      <w:bodyDiv w:val="1"/>
      <w:marLeft w:val="0"/>
      <w:marRight w:val="0"/>
      <w:marTop w:val="0"/>
      <w:marBottom w:val="0"/>
      <w:divBdr>
        <w:top w:val="none" w:sz="0" w:space="0" w:color="auto"/>
        <w:left w:val="none" w:sz="0" w:space="0" w:color="auto"/>
        <w:bottom w:val="none" w:sz="0" w:space="0" w:color="auto"/>
        <w:right w:val="none" w:sz="0" w:space="0" w:color="auto"/>
      </w:divBdr>
    </w:div>
    <w:div w:id="1346592506">
      <w:bodyDiv w:val="1"/>
      <w:marLeft w:val="0"/>
      <w:marRight w:val="0"/>
      <w:marTop w:val="0"/>
      <w:marBottom w:val="0"/>
      <w:divBdr>
        <w:top w:val="none" w:sz="0" w:space="0" w:color="auto"/>
        <w:left w:val="none" w:sz="0" w:space="0" w:color="auto"/>
        <w:bottom w:val="none" w:sz="0" w:space="0" w:color="auto"/>
        <w:right w:val="none" w:sz="0" w:space="0" w:color="auto"/>
      </w:divBdr>
    </w:div>
    <w:div w:id="1347748264">
      <w:bodyDiv w:val="1"/>
      <w:marLeft w:val="0"/>
      <w:marRight w:val="0"/>
      <w:marTop w:val="0"/>
      <w:marBottom w:val="0"/>
      <w:divBdr>
        <w:top w:val="none" w:sz="0" w:space="0" w:color="auto"/>
        <w:left w:val="none" w:sz="0" w:space="0" w:color="auto"/>
        <w:bottom w:val="none" w:sz="0" w:space="0" w:color="auto"/>
        <w:right w:val="none" w:sz="0" w:space="0" w:color="auto"/>
      </w:divBdr>
    </w:div>
    <w:div w:id="1347829357">
      <w:bodyDiv w:val="1"/>
      <w:marLeft w:val="0"/>
      <w:marRight w:val="0"/>
      <w:marTop w:val="0"/>
      <w:marBottom w:val="0"/>
      <w:divBdr>
        <w:top w:val="none" w:sz="0" w:space="0" w:color="auto"/>
        <w:left w:val="none" w:sz="0" w:space="0" w:color="auto"/>
        <w:bottom w:val="none" w:sz="0" w:space="0" w:color="auto"/>
        <w:right w:val="none" w:sz="0" w:space="0" w:color="auto"/>
      </w:divBdr>
    </w:div>
    <w:div w:id="1348024687">
      <w:bodyDiv w:val="1"/>
      <w:marLeft w:val="0"/>
      <w:marRight w:val="0"/>
      <w:marTop w:val="0"/>
      <w:marBottom w:val="0"/>
      <w:divBdr>
        <w:top w:val="none" w:sz="0" w:space="0" w:color="auto"/>
        <w:left w:val="none" w:sz="0" w:space="0" w:color="auto"/>
        <w:bottom w:val="none" w:sz="0" w:space="0" w:color="auto"/>
        <w:right w:val="none" w:sz="0" w:space="0" w:color="auto"/>
      </w:divBdr>
    </w:div>
    <w:div w:id="1348941543">
      <w:bodyDiv w:val="1"/>
      <w:marLeft w:val="0"/>
      <w:marRight w:val="0"/>
      <w:marTop w:val="0"/>
      <w:marBottom w:val="0"/>
      <w:divBdr>
        <w:top w:val="none" w:sz="0" w:space="0" w:color="auto"/>
        <w:left w:val="none" w:sz="0" w:space="0" w:color="auto"/>
        <w:bottom w:val="none" w:sz="0" w:space="0" w:color="auto"/>
        <w:right w:val="none" w:sz="0" w:space="0" w:color="auto"/>
      </w:divBdr>
    </w:div>
    <w:div w:id="1349024542">
      <w:bodyDiv w:val="1"/>
      <w:marLeft w:val="0"/>
      <w:marRight w:val="0"/>
      <w:marTop w:val="0"/>
      <w:marBottom w:val="0"/>
      <w:divBdr>
        <w:top w:val="none" w:sz="0" w:space="0" w:color="auto"/>
        <w:left w:val="none" w:sz="0" w:space="0" w:color="auto"/>
        <w:bottom w:val="none" w:sz="0" w:space="0" w:color="auto"/>
        <w:right w:val="none" w:sz="0" w:space="0" w:color="auto"/>
      </w:divBdr>
    </w:div>
    <w:div w:id="1349332929">
      <w:bodyDiv w:val="1"/>
      <w:marLeft w:val="0"/>
      <w:marRight w:val="0"/>
      <w:marTop w:val="0"/>
      <w:marBottom w:val="0"/>
      <w:divBdr>
        <w:top w:val="none" w:sz="0" w:space="0" w:color="auto"/>
        <w:left w:val="none" w:sz="0" w:space="0" w:color="auto"/>
        <w:bottom w:val="none" w:sz="0" w:space="0" w:color="auto"/>
        <w:right w:val="none" w:sz="0" w:space="0" w:color="auto"/>
      </w:divBdr>
    </w:div>
    <w:div w:id="1349478974">
      <w:bodyDiv w:val="1"/>
      <w:marLeft w:val="0"/>
      <w:marRight w:val="0"/>
      <w:marTop w:val="0"/>
      <w:marBottom w:val="0"/>
      <w:divBdr>
        <w:top w:val="none" w:sz="0" w:space="0" w:color="auto"/>
        <w:left w:val="none" w:sz="0" w:space="0" w:color="auto"/>
        <w:bottom w:val="none" w:sz="0" w:space="0" w:color="auto"/>
        <w:right w:val="none" w:sz="0" w:space="0" w:color="auto"/>
      </w:divBdr>
    </w:div>
    <w:div w:id="1349869911">
      <w:bodyDiv w:val="1"/>
      <w:marLeft w:val="0"/>
      <w:marRight w:val="0"/>
      <w:marTop w:val="0"/>
      <w:marBottom w:val="0"/>
      <w:divBdr>
        <w:top w:val="none" w:sz="0" w:space="0" w:color="auto"/>
        <w:left w:val="none" w:sz="0" w:space="0" w:color="auto"/>
        <w:bottom w:val="none" w:sz="0" w:space="0" w:color="auto"/>
        <w:right w:val="none" w:sz="0" w:space="0" w:color="auto"/>
      </w:divBdr>
    </w:div>
    <w:div w:id="1349984906">
      <w:bodyDiv w:val="1"/>
      <w:marLeft w:val="0"/>
      <w:marRight w:val="0"/>
      <w:marTop w:val="0"/>
      <w:marBottom w:val="0"/>
      <w:divBdr>
        <w:top w:val="none" w:sz="0" w:space="0" w:color="auto"/>
        <w:left w:val="none" w:sz="0" w:space="0" w:color="auto"/>
        <w:bottom w:val="none" w:sz="0" w:space="0" w:color="auto"/>
        <w:right w:val="none" w:sz="0" w:space="0" w:color="auto"/>
      </w:divBdr>
    </w:div>
    <w:div w:id="1351028144">
      <w:bodyDiv w:val="1"/>
      <w:marLeft w:val="0"/>
      <w:marRight w:val="0"/>
      <w:marTop w:val="0"/>
      <w:marBottom w:val="0"/>
      <w:divBdr>
        <w:top w:val="none" w:sz="0" w:space="0" w:color="auto"/>
        <w:left w:val="none" w:sz="0" w:space="0" w:color="auto"/>
        <w:bottom w:val="none" w:sz="0" w:space="0" w:color="auto"/>
        <w:right w:val="none" w:sz="0" w:space="0" w:color="auto"/>
      </w:divBdr>
    </w:div>
    <w:div w:id="1352225975">
      <w:bodyDiv w:val="1"/>
      <w:marLeft w:val="0"/>
      <w:marRight w:val="0"/>
      <w:marTop w:val="0"/>
      <w:marBottom w:val="0"/>
      <w:divBdr>
        <w:top w:val="none" w:sz="0" w:space="0" w:color="auto"/>
        <w:left w:val="none" w:sz="0" w:space="0" w:color="auto"/>
        <w:bottom w:val="none" w:sz="0" w:space="0" w:color="auto"/>
        <w:right w:val="none" w:sz="0" w:space="0" w:color="auto"/>
      </w:divBdr>
    </w:div>
    <w:div w:id="1352536245">
      <w:bodyDiv w:val="1"/>
      <w:marLeft w:val="0"/>
      <w:marRight w:val="0"/>
      <w:marTop w:val="0"/>
      <w:marBottom w:val="0"/>
      <w:divBdr>
        <w:top w:val="none" w:sz="0" w:space="0" w:color="auto"/>
        <w:left w:val="none" w:sz="0" w:space="0" w:color="auto"/>
        <w:bottom w:val="none" w:sz="0" w:space="0" w:color="auto"/>
        <w:right w:val="none" w:sz="0" w:space="0" w:color="auto"/>
      </w:divBdr>
    </w:div>
    <w:div w:id="1352754872">
      <w:bodyDiv w:val="1"/>
      <w:marLeft w:val="0"/>
      <w:marRight w:val="0"/>
      <w:marTop w:val="0"/>
      <w:marBottom w:val="0"/>
      <w:divBdr>
        <w:top w:val="none" w:sz="0" w:space="0" w:color="auto"/>
        <w:left w:val="none" w:sz="0" w:space="0" w:color="auto"/>
        <w:bottom w:val="none" w:sz="0" w:space="0" w:color="auto"/>
        <w:right w:val="none" w:sz="0" w:space="0" w:color="auto"/>
      </w:divBdr>
    </w:div>
    <w:div w:id="1352997140">
      <w:bodyDiv w:val="1"/>
      <w:marLeft w:val="0"/>
      <w:marRight w:val="0"/>
      <w:marTop w:val="0"/>
      <w:marBottom w:val="0"/>
      <w:divBdr>
        <w:top w:val="none" w:sz="0" w:space="0" w:color="auto"/>
        <w:left w:val="none" w:sz="0" w:space="0" w:color="auto"/>
        <w:bottom w:val="none" w:sz="0" w:space="0" w:color="auto"/>
        <w:right w:val="none" w:sz="0" w:space="0" w:color="auto"/>
      </w:divBdr>
    </w:div>
    <w:div w:id="1354527476">
      <w:bodyDiv w:val="1"/>
      <w:marLeft w:val="0"/>
      <w:marRight w:val="0"/>
      <w:marTop w:val="0"/>
      <w:marBottom w:val="0"/>
      <w:divBdr>
        <w:top w:val="none" w:sz="0" w:space="0" w:color="auto"/>
        <w:left w:val="none" w:sz="0" w:space="0" w:color="auto"/>
        <w:bottom w:val="none" w:sz="0" w:space="0" w:color="auto"/>
        <w:right w:val="none" w:sz="0" w:space="0" w:color="auto"/>
      </w:divBdr>
    </w:div>
    <w:div w:id="1354770244">
      <w:bodyDiv w:val="1"/>
      <w:marLeft w:val="0"/>
      <w:marRight w:val="0"/>
      <w:marTop w:val="0"/>
      <w:marBottom w:val="0"/>
      <w:divBdr>
        <w:top w:val="none" w:sz="0" w:space="0" w:color="auto"/>
        <w:left w:val="none" w:sz="0" w:space="0" w:color="auto"/>
        <w:bottom w:val="none" w:sz="0" w:space="0" w:color="auto"/>
        <w:right w:val="none" w:sz="0" w:space="0" w:color="auto"/>
      </w:divBdr>
    </w:div>
    <w:div w:id="1354842738">
      <w:bodyDiv w:val="1"/>
      <w:marLeft w:val="0"/>
      <w:marRight w:val="0"/>
      <w:marTop w:val="0"/>
      <w:marBottom w:val="0"/>
      <w:divBdr>
        <w:top w:val="none" w:sz="0" w:space="0" w:color="auto"/>
        <w:left w:val="none" w:sz="0" w:space="0" w:color="auto"/>
        <w:bottom w:val="none" w:sz="0" w:space="0" w:color="auto"/>
        <w:right w:val="none" w:sz="0" w:space="0" w:color="auto"/>
      </w:divBdr>
    </w:div>
    <w:div w:id="1355229527">
      <w:bodyDiv w:val="1"/>
      <w:marLeft w:val="0"/>
      <w:marRight w:val="0"/>
      <w:marTop w:val="0"/>
      <w:marBottom w:val="0"/>
      <w:divBdr>
        <w:top w:val="none" w:sz="0" w:space="0" w:color="auto"/>
        <w:left w:val="none" w:sz="0" w:space="0" w:color="auto"/>
        <w:bottom w:val="none" w:sz="0" w:space="0" w:color="auto"/>
        <w:right w:val="none" w:sz="0" w:space="0" w:color="auto"/>
      </w:divBdr>
    </w:div>
    <w:div w:id="1355300028">
      <w:bodyDiv w:val="1"/>
      <w:marLeft w:val="0"/>
      <w:marRight w:val="0"/>
      <w:marTop w:val="0"/>
      <w:marBottom w:val="0"/>
      <w:divBdr>
        <w:top w:val="none" w:sz="0" w:space="0" w:color="auto"/>
        <w:left w:val="none" w:sz="0" w:space="0" w:color="auto"/>
        <w:bottom w:val="none" w:sz="0" w:space="0" w:color="auto"/>
        <w:right w:val="none" w:sz="0" w:space="0" w:color="auto"/>
      </w:divBdr>
    </w:div>
    <w:div w:id="1355423817">
      <w:bodyDiv w:val="1"/>
      <w:marLeft w:val="0"/>
      <w:marRight w:val="0"/>
      <w:marTop w:val="0"/>
      <w:marBottom w:val="0"/>
      <w:divBdr>
        <w:top w:val="none" w:sz="0" w:space="0" w:color="auto"/>
        <w:left w:val="none" w:sz="0" w:space="0" w:color="auto"/>
        <w:bottom w:val="none" w:sz="0" w:space="0" w:color="auto"/>
        <w:right w:val="none" w:sz="0" w:space="0" w:color="auto"/>
      </w:divBdr>
    </w:div>
    <w:div w:id="1355883397">
      <w:bodyDiv w:val="1"/>
      <w:marLeft w:val="0"/>
      <w:marRight w:val="0"/>
      <w:marTop w:val="0"/>
      <w:marBottom w:val="0"/>
      <w:divBdr>
        <w:top w:val="none" w:sz="0" w:space="0" w:color="auto"/>
        <w:left w:val="none" w:sz="0" w:space="0" w:color="auto"/>
        <w:bottom w:val="none" w:sz="0" w:space="0" w:color="auto"/>
        <w:right w:val="none" w:sz="0" w:space="0" w:color="auto"/>
      </w:divBdr>
    </w:div>
    <w:div w:id="1356079354">
      <w:bodyDiv w:val="1"/>
      <w:marLeft w:val="0"/>
      <w:marRight w:val="0"/>
      <w:marTop w:val="0"/>
      <w:marBottom w:val="0"/>
      <w:divBdr>
        <w:top w:val="none" w:sz="0" w:space="0" w:color="auto"/>
        <w:left w:val="none" w:sz="0" w:space="0" w:color="auto"/>
        <w:bottom w:val="none" w:sz="0" w:space="0" w:color="auto"/>
        <w:right w:val="none" w:sz="0" w:space="0" w:color="auto"/>
      </w:divBdr>
    </w:div>
    <w:div w:id="1356275691">
      <w:bodyDiv w:val="1"/>
      <w:marLeft w:val="0"/>
      <w:marRight w:val="0"/>
      <w:marTop w:val="0"/>
      <w:marBottom w:val="0"/>
      <w:divBdr>
        <w:top w:val="none" w:sz="0" w:space="0" w:color="auto"/>
        <w:left w:val="none" w:sz="0" w:space="0" w:color="auto"/>
        <w:bottom w:val="none" w:sz="0" w:space="0" w:color="auto"/>
        <w:right w:val="none" w:sz="0" w:space="0" w:color="auto"/>
      </w:divBdr>
    </w:div>
    <w:div w:id="1356299431">
      <w:bodyDiv w:val="1"/>
      <w:marLeft w:val="0"/>
      <w:marRight w:val="0"/>
      <w:marTop w:val="0"/>
      <w:marBottom w:val="0"/>
      <w:divBdr>
        <w:top w:val="none" w:sz="0" w:space="0" w:color="auto"/>
        <w:left w:val="none" w:sz="0" w:space="0" w:color="auto"/>
        <w:bottom w:val="none" w:sz="0" w:space="0" w:color="auto"/>
        <w:right w:val="none" w:sz="0" w:space="0" w:color="auto"/>
      </w:divBdr>
    </w:div>
    <w:div w:id="1356886846">
      <w:bodyDiv w:val="1"/>
      <w:marLeft w:val="0"/>
      <w:marRight w:val="0"/>
      <w:marTop w:val="0"/>
      <w:marBottom w:val="0"/>
      <w:divBdr>
        <w:top w:val="none" w:sz="0" w:space="0" w:color="auto"/>
        <w:left w:val="none" w:sz="0" w:space="0" w:color="auto"/>
        <w:bottom w:val="none" w:sz="0" w:space="0" w:color="auto"/>
        <w:right w:val="none" w:sz="0" w:space="0" w:color="auto"/>
      </w:divBdr>
    </w:div>
    <w:div w:id="1357317249">
      <w:bodyDiv w:val="1"/>
      <w:marLeft w:val="0"/>
      <w:marRight w:val="0"/>
      <w:marTop w:val="0"/>
      <w:marBottom w:val="0"/>
      <w:divBdr>
        <w:top w:val="none" w:sz="0" w:space="0" w:color="auto"/>
        <w:left w:val="none" w:sz="0" w:space="0" w:color="auto"/>
        <w:bottom w:val="none" w:sz="0" w:space="0" w:color="auto"/>
        <w:right w:val="none" w:sz="0" w:space="0" w:color="auto"/>
      </w:divBdr>
    </w:div>
    <w:div w:id="1358191980">
      <w:bodyDiv w:val="1"/>
      <w:marLeft w:val="0"/>
      <w:marRight w:val="0"/>
      <w:marTop w:val="0"/>
      <w:marBottom w:val="0"/>
      <w:divBdr>
        <w:top w:val="none" w:sz="0" w:space="0" w:color="auto"/>
        <w:left w:val="none" w:sz="0" w:space="0" w:color="auto"/>
        <w:bottom w:val="none" w:sz="0" w:space="0" w:color="auto"/>
        <w:right w:val="none" w:sz="0" w:space="0" w:color="auto"/>
      </w:divBdr>
    </w:div>
    <w:div w:id="1358385370">
      <w:bodyDiv w:val="1"/>
      <w:marLeft w:val="0"/>
      <w:marRight w:val="0"/>
      <w:marTop w:val="0"/>
      <w:marBottom w:val="0"/>
      <w:divBdr>
        <w:top w:val="none" w:sz="0" w:space="0" w:color="auto"/>
        <w:left w:val="none" w:sz="0" w:space="0" w:color="auto"/>
        <w:bottom w:val="none" w:sz="0" w:space="0" w:color="auto"/>
        <w:right w:val="none" w:sz="0" w:space="0" w:color="auto"/>
      </w:divBdr>
    </w:div>
    <w:div w:id="1358389135">
      <w:bodyDiv w:val="1"/>
      <w:marLeft w:val="0"/>
      <w:marRight w:val="0"/>
      <w:marTop w:val="0"/>
      <w:marBottom w:val="0"/>
      <w:divBdr>
        <w:top w:val="none" w:sz="0" w:space="0" w:color="auto"/>
        <w:left w:val="none" w:sz="0" w:space="0" w:color="auto"/>
        <w:bottom w:val="none" w:sz="0" w:space="0" w:color="auto"/>
        <w:right w:val="none" w:sz="0" w:space="0" w:color="auto"/>
      </w:divBdr>
    </w:div>
    <w:div w:id="1358627571">
      <w:bodyDiv w:val="1"/>
      <w:marLeft w:val="0"/>
      <w:marRight w:val="0"/>
      <w:marTop w:val="0"/>
      <w:marBottom w:val="0"/>
      <w:divBdr>
        <w:top w:val="none" w:sz="0" w:space="0" w:color="auto"/>
        <w:left w:val="none" w:sz="0" w:space="0" w:color="auto"/>
        <w:bottom w:val="none" w:sz="0" w:space="0" w:color="auto"/>
        <w:right w:val="none" w:sz="0" w:space="0" w:color="auto"/>
      </w:divBdr>
    </w:div>
    <w:div w:id="1359042056">
      <w:bodyDiv w:val="1"/>
      <w:marLeft w:val="0"/>
      <w:marRight w:val="0"/>
      <w:marTop w:val="0"/>
      <w:marBottom w:val="0"/>
      <w:divBdr>
        <w:top w:val="none" w:sz="0" w:space="0" w:color="auto"/>
        <w:left w:val="none" w:sz="0" w:space="0" w:color="auto"/>
        <w:bottom w:val="none" w:sz="0" w:space="0" w:color="auto"/>
        <w:right w:val="none" w:sz="0" w:space="0" w:color="auto"/>
      </w:divBdr>
    </w:div>
    <w:div w:id="1359116951">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59505492">
      <w:bodyDiv w:val="1"/>
      <w:marLeft w:val="0"/>
      <w:marRight w:val="0"/>
      <w:marTop w:val="0"/>
      <w:marBottom w:val="0"/>
      <w:divBdr>
        <w:top w:val="none" w:sz="0" w:space="0" w:color="auto"/>
        <w:left w:val="none" w:sz="0" w:space="0" w:color="auto"/>
        <w:bottom w:val="none" w:sz="0" w:space="0" w:color="auto"/>
        <w:right w:val="none" w:sz="0" w:space="0" w:color="auto"/>
      </w:divBdr>
    </w:div>
    <w:div w:id="1361206960">
      <w:bodyDiv w:val="1"/>
      <w:marLeft w:val="0"/>
      <w:marRight w:val="0"/>
      <w:marTop w:val="0"/>
      <w:marBottom w:val="0"/>
      <w:divBdr>
        <w:top w:val="none" w:sz="0" w:space="0" w:color="auto"/>
        <w:left w:val="none" w:sz="0" w:space="0" w:color="auto"/>
        <w:bottom w:val="none" w:sz="0" w:space="0" w:color="auto"/>
        <w:right w:val="none" w:sz="0" w:space="0" w:color="auto"/>
      </w:divBdr>
    </w:div>
    <w:div w:id="1361778736">
      <w:bodyDiv w:val="1"/>
      <w:marLeft w:val="0"/>
      <w:marRight w:val="0"/>
      <w:marTop w:val="0"/>
      <w:marBottom w:val="0"/>
      <w:divBdr>
        <w:top w:val="none" w:sz="0" w:space="0" w:color="auto"/>
        <w:left w:val="none" w:sz="0" w:space="0" w:color="auto"/>
        <w:bottom w:val="none" w:sz="0" w:space="0" w:color="auto"/>
        <w:right w:val="none" w:sz="0" w:space="0" w:color="auto"/>
      </w:divBdr>
    </w:div>
    <w:div w:id="1362245360">
      <w:bodyDiv w:val="1"/>
      <w:marLeft w:val="0"/>
      <w:marRight w:val="0"/>
      <w:marTop w:val="0"/>
      <w:marBottom w:val="0"/>
      <w:divBdr>
        <w:top w:val="none" w:sz="0" w:space="0" w:color="auto"/>
        <w:left w:val="none" w:sz="0" w:space="0" w:color="auto"/>
        <w:bottom w:val="none" w:sz="0" w:space="0" w:color="auto"/>
        <w:right w:val="none" w:sz="0" w:space="0" w:color="auto"/>
      </w:divBdr>
    </w:div>
    <w:div w:id="1362513042">
      <w:bodyDiv w:val="1"/>
      <w:marLeft w:val="0"/>
      <w:marRight w:val="0"/>
      <w:marTop w:val="0"/>
      <w:marBottom w:val="0"/>
      <w:divBdr>
        <w:top w:val="none" w:sz="0" w:space="0" w:color="auto"/>
        <w:left w:val="none" w:sz="0" w:space="0" w:color="auto"/>
        <w:bottom w:val="none" w:sz="0" w:space="0" w:color="auto"/>
        <w:right w:val="none" w:sz="0" w:space="0" w:color="auto"/>
      </w:divBdr>
    </w:div>
    <w:div w:id="1362589772">
      <w:bodyDiv w:val="1"/>
      <w:marLeft w:val="0"/>
      <w:marRight w:val="0"/>
      <w:marTop w:val="0"/>
      <w:marBottom w:val="0"/>
      <w:divBdr>
        <w:top w:val="none" w:sz="0" w:space="0" w:color="auto"/>
        <w:left w:val="none" w:sz="0" w:space="0" w:color="auto"/>
        <w:bottom w:val="none" w:sz="0" w:space="0" w:color="auto"/>
        <w:right w:val="none" w:sz="0" w:space="0" w:color="auto"/>
      </w:divBdr>
    </w:div>
    <w:div w:id="1362630325">
      <w:bodyDiv w:val="1"/>
      <w:marLeft w:val="0"/>
      <w:marRight w:val="0"/>
      <w:marTop w:val="0"/>
      <w:marBottom w:val="0"/>
      <w:divBdr>
        <w:top w:val="none" w:sz="0" w:space="0" w:color="auto"/>
        <w:left w:val="none" w:sz="0" w:space="0" w:color="auto"/>
        <w:bottom w:val="none" w:sz="0" w:space="0" w:color="auto"/>
        <w:right w:val="none" w:sz="0" w:space="0" w:color="auto"/>
      </w:divBdr>
    </w:div>
    <w:div w:id="1362709134">
      <w:bodyDiv w:val="1"/>
      <w:marLeft w:val="0"/>
      <w:marRight w:val="0"/>
      <w:marTop w:val="0"/>
      <w:marBottom w:val="0"/>
      <w:divBdr>
        <w:top w:val="none" w:sz="0" w:space="0" w:color="auto"/>
        <w:left w:val="none" w:sz="0" w:space="0" w:color="auto"/>
        <w:bottom w:val="none" w:sz="0" w:space="0" w:color="auto"/>
        <w:right w:val="none" w:sz="0" w:space="0" w:color="auto"/>
      </w:divBdr>
    </w:div>
    <w:div w:id="1362853443">
      <w:bodyDiv w:val="1"/>
      <w:marLeft w:val="0"/>
      <w:marRight w:val="0"/>
      <w:marTop w:val="0"/>
      <w:marBottom w:val="0"/>
      <w:divBdr>
        <w:top w:val="none" w:sz="0" w:space="0" w:color="auto"/>
        <w:left w:val="none" w:sz="0" w:space="0" w:color="auto"/>
        <w:bottom w:val="none" w:sz="0" w:space="0" w:color="auto"/>
        <w:right w:val="none" w:sz="0" w:space="0" w:color="auto"/>
      </w:divBdr>
    </w:div>
    <w:div w:id="1363674040">
      <w:bodyDiv w:val="1"/>
      <w:marLeft w:val="0"/>
      <w:marRight w:val="0"/>
      <w:marTop w:val="0"/>
      <w:marBottom w:val="0"/>
      <w:divBdr>
        <w:top w:val="none" w:sz="0" w:space="0" w:color="auto"/>
        <w:left w:val="none" w:sz="0" w:space="0" w:color="auto"/>
        <w:bottom w:val="none" w:sz="0" w:space="0" w:color="auto"/>
        <w:right w:val="none" w:sz="0" w:space="0" w:color="auto"/>
      </w:divBdr>
    </w:div>
    <w:div w:id="1365138163">
      <w:bodyDiv w:val="1"/>
      <w:marLeft w:val="0"/>
      <w:marRight w:val="0"/>
      <w:marTop w:val="0"/>
      <w:marBottom w:val="0"/>
      <w:divBdr>
        <w:top w:val="none" w:sz="0" w:space="0" w:color="auto"/>
        <w:left w:val="none" w:sz="0" w:space="0" w:color="auto"/>
        <w:bottom w:val="none" w:sz="0" w:space="0" w:color="auto"/>
        <w:right w:val="none" w:sz="0" w:space="0" w:color="auto"/>
      </w:divBdr>
    </w:div>
    <w:div w:id="1365449806">
      <w:bodyDiv w:val="1"/>
      <w:marLeft w:val="0"/>
      <w:marRight w:val="0"/>
      <w:marTop w:val="0"/>
      <w:marBottom w:val="0"/>
      <w:divBdr>
        <w:top w:val="none" w:sz="0" w:space="0" w:color="auto"/>
        <w:left w:val="none" w:sz="0" w:space="0" w:color="auto"/>
        <w:bottom w:val="none" w:sz="0" w:space="0" w:color="auto"/>
        <w:right w:val="none" w:sz="0" w:space="0" w:color="auto"/>
      </w:divBdr>
    </w:div>
    <w:div w:id="1366365904">
      <w:bodyDiv w:val="1"/>
      <w:marLeft w:val="0"/>
      <w:marRight w:val="0"/>
      <w:marTop w:val="0"/>
      <w:marBottom w:val="0"/>
      <w:divBdr>
        <w:top w:val="none" w:sz="0" w:space="0" w:color="auto"/>
        <w:left w:val="none" w:sz="0" w:space="0" w:color="auto"/>
        <w:bottom w:val="none" w:sz="0" w:space="0" w:color="auto"/>
        <w:right w:val="none" w:sz="0" w:space="0" w:color="auto"/>
      </w:divBdr>
    </w:div>
    <w:div w:id="1366558392">
      <w:bodyDiv w:val="1"/>
      <w:marLeft w:val="0"/>
      <w:marRight w:val="0"/>
      <w:marTop w:val="0"/>
      <w:marBottom w:val="0"/>
      <w:divBdr>
        <w:top w:val="none" w:sz="0" w:space="0" w:color="auto"/>
        <w:left w:val="none" w:sz="0" w:space="0" w:color="auto"/>
        <w:bottom w:val="none" w:sz="0" w:space="0" w:color="auto"/>
        <w:right w:val="none" w:sz="0" w:space="0" w:color="auto"/>
      </w:divBdr>
    </w:div>
    <w:div w:id="1366565934">
      <w:bodyDiv w:val="1"/>
      <w:marLeft w:val="0"/>
      <w:marRight w:val="0"/>
      <w:marTop w:val="0"/>
      <w:marBottom w:val="0"/>
      <w:divBdr>
        <w:top w:val="none" w:sz="0" w:space="0" w:color="auto"/>
        <w:left w:val="none" w:sz="0" w:space="0" w:color="auto"/>
        <w:bottom w:val="none" w:sz="0" w:space="0" w:color="auto"/>
        <w:right w:val="none" w:sz="0" w:space="0" w:color="auto"/>
      </w:divBdr>
    </w:div>
    <w:div w:id="1367217160">
      <w:bodyDiv w:val="1"/>
      <w:marLeft w:val="0"/>
      <w:marRight w:val="0"/>
      <w:marTop w:val="0"/>
      <w:marBottom w:val="0"/>
      <w:divBdr>
        <w:top w:val="none" w:sz="0" w:space="0" w:color="auto"/>
        <w:left w:val="none" w:sz="0" w:space="0" w:color="auto"/>
        <w:bottom w:val="none" w:sz="0" w:space="0" w:color="auto"/>
        <w:right w:val="none" w:sz="0" w:space="0" w:color="auto"/>
      </w:divBdr>
    </w:div>
    <w:div w:id="1367562178">
      <w:bodyDiv w:val="1"/>
      <w:marLeft w:val="0"/>
      <w:marRight w:val="0"/>
      <w:marTop w:val="0"/>
      <w:marBottom w:val="0"/>
      <w:divBdr>
        <w:top w:val="none" w:sz="0" w:space="0" w:color="auto"/>
        <w:left w:val="none" w:sz="0" w:space="0" w:color="auto"/>
        <w:bottom w:val="none" w:sz="0" w:space="0" w:color="auto"/>
        <w:right w:val="none" w:sz="0" w:space="0" w:color="auto"/>
      </w:divBdr>
    </w:div>
    <w:div w:id="1367876529">
      <w:bodyDiv w:val="1"/>
      <w:marLeft w:val="0"/>
      <w:marRight w:val="0"/>
      <w:marTop w:val="0"/>
      <w:marBottom w:val="0"/>
      <w:divBdr>
        <w:top w:val="none" w:sz="0" w:space="0" w:color="auto"/>
        <w:left w:val="none" w:sz="0" w:space="0" w:color="auto"/>
        <w:bottom w:val="none" w:sz="0" w:space="0" w:color="auto"/>
        <w:right w:val="none" w:sz="0" w:space="0" w:color="auto"/>
      </w:divBdr>
    </w:div>
    <w:div w:id="1368096173">
      <w:bodyDiv w:val="1"/>
      <w:marLeft w:val="0"/>
      <w:marRight w:val="0"/>
      <w:marTop w:val="0"/>
      <w:marBottom w:val="0"/>
      <w:divBdr>
        <w:top w:val="none" w:sz="0" w:space="0" w:color="auto"/>
        <w:left w:val="none" w:sz="0" w:space="0" w:color="auto"/>
        <w:bottom w:val="none" w:sz="0" w:space="0" w:color="auto"/>
        <w:right w:val="none" w:sz="0" w:space="0" w:color="auto"/>
      </w:divBdr>
    </w:div>
    <w:div w:id="1368139780">
      <w:bodyDiv w:val="1"/>
      <w:marLeft w:val="0"/>
      <w:marRight w:val="0"/>
      <w:marTop w:val="0"/>
      <w:marBottom w:val="0"/>
      <w:divBdr>
        <w:top w:val="none" w:sz="0" w:space="0" w:color="auto"/>
        <w:left w:val="none" w:sz="0" w:space="0" w:color="auto"/>
        <w:bottom w:val="none" w:sz="0" w:space="0" w:color="auto"/>
        <w:right w:val="none" w:sz="0" w:space="0" w:color="auto"/>
      </w:divBdr>
    </w:div>
    <w:div w:id="1368531456">
      <w:bodyDiv w:val="1"/>
      <w:marLeft w:val="0"/>
      <w:marRight w:val="0"/>
      <w:marTop w:val="0"/>
      <w:marBottom w:val="0"/>
      <w:divBdr>
        <w:top w:val="none" w:sz="0" w:space="0" w:color="auto"/>
        <w:left w:val="none" w:sz="0" w:space="0" w:color="auto"/>
        <w:bottom w:val="none" w:sz="0" w:space="0" w:color="auto"/>
        <w:right w:val="none" w:sz="0" w:space="0" w:color="auto"/>
      </w:divBdr>
    </w:div>
    <w:div w:id="1369259802">
      <w:bodyDiv w:val="1"/>
      <w:marLeft w:val="0"/>
      <w:marRight w:val="0"/>
      <w:marTop w:val="0"/>
      <w:marBottom w:val="0"/>
      <w:divBdr>
        <w:top w:val="none" w:sz="0" w:space="0" w:color="auto"/>
        <w:left w:val="none" w:sz="0" w:space="0" w:color="auto"/>
        <w:bottom w:val="none" w:sz="0" w:space="0" w:color="auto"/>
        <w:right w:val="none" w:sz="0" w:space="0" w:color="auto"/>
      </w:divBdr>
    </w:div>
    <w:div w:id="1369572055">
      <w:bodyDiv w:val="1"/>
      <w:marLeft w:val="0"/>
      <w:marRight w:val="0"/>
      <w:marTop w:val="0"/>
      <w:marBottom w:val="0"/>
      <w:divBdr>
        <w:top w:val="none" w:sz="0" w:space="0" w:color="auto"/>
        <w:left w:val="none" w:sz="0" w:space="0" w:color="auto"/>
        <w:bottom w:val="none" w:sz="0" w:space="0" w:color="auto"/>
        <w:right w:val="none" w:sz="0" w:space="0" w:color="auto"/>
      </w:divBdr>
    </w:div>
    <w:div w:id="1369836026">
      <w:bodyDiv w:val="1"/>
      <w:marLeft w:val="0"/>
      <w:marRight w:val="0"/>
      <w:marTop w:val="0"/>
      <w:marBottom w:val="0"/>
      <w:divBdr>
        <w:top w:val="none" w:sz="0" w:space="0" w:color="auto"/>
        <w:left w:val="none" w:sz="0" w:space="0" w:color="auto"/>
        <w:bottom w:val="none" w:sz="0" w:space="0" w:color="auto"/>
        <w:right w:val="none" w:sz="0" w:space="0" w:color="auto"/>
      </w:divBdr>
    </w:div>
    <w:div w:id="1369836732">
      <w:bodyDiv w:val="1"/>
      <w:marLeft w:val="0"/>
      <w:marRight w:val="0"/>
      <w:marTop w:val="0"/>
      <w:marBottom w:val="0"/>
      <w:divBdr>
        <w:top w:val="none" w:sz="0" w:space="0" w:color="auto"/>
        <w:left w:val="none" w:sz="0" w:space="0" w:color="auto"/>
        <w:bottom w:val="none" w:sz="0" w:space="0" w:color="auto"/>
        <w:right w:val="none" w:sz="0" w:space="0" w:color="auto"/>
      </w:divBdr>
    </w:div>
    <w:div w:id="1369910619">
      <w:bodyDiv w:val="1"/>
      <w:marLeft w:val="0"/>
      <w:marRight w:val="0"/>
      <w:marTop w:val="0"/>
      <w:marBottom w:val="0"/>
      <w:divBdr>
        <w:top w:val="none" w:sz="0" w:space="0" w:color="auto"/>
        <w:left w:val="none" w:sz="0" w:space="0" w:color="auto"/>
        <w:bottom w:val="none" w:sz="0" w:space="0" w:color="auto"/>
        <w:right w:val="none" w:sz="0" w:space="0" w:color="auto"/>
      </w:divBdr>
    </w:div>
    <w:div w:id="1370034434">
      <w:bodyDiv w:val="1"/>
      <w:marLeft w:val="0"/>
      <w:marRight w:val="0"/>
      <w:marTop w:val="0"/>
      <w:marBottom w:val="0"/>
      <w:divBdr>
        <w:top w:val="none" w:sz="0" w:space="0" w:color="auto"/>
        <w:left w:val="none" w:sz="0" w:space="0" w:color="auto"/>
        <w:bottom w:val="none" w:sz="0" w:space="0" w:color="auto"/>
        <w:right w:val="none" w:sz="0" w:space="0" w:color="auto"/>
      </w:divBdr>
    </w:div>
    <w:div w:id="1370297251">
      <w:bodyDiv w:val="1"/>
      <w:marLeft w:val="0"/>
      <w:marRight w:val="0"/>
      <w:marTop w:val="0"/>
      <w:marBottom w:val="0"/>
      <w:divBdr>
        <w:top w:val="none" w:sz="0" w:space="0" w:color="auto"/>
        <w:left w:val="none" w:sz="0" w:space="0" w:color="auto"/>
        <w:bottom w:val="none" w:sz="0" w:space="0" w:color="auto"/>
        <w:right w:val="none" w:sz="0" w:space="0" w:color="auto"/>
      </w:divBdr>
    </w:div>
    <w:div w:id="1370455641">
      <w:bodyDiv w:val="1"/>
      <w:marLeft w:val="0"/>
      <w:marRight w:val="0"/>
      <w:marTop w:val="0"/>
      <w:marBottom w:val="0"/>
      <w:divBdr>
        <w:top w:val="none" w:sz="0" w:space="0" w:color="auto"/>
        <w:left w:val="none" w:sz="0" w:space="0" w:color="auto"/>
        <w:bottom w:val="none" w:sz="0" w:space="0" w:color="auto"/>
        <w:right w:val="none" w:sz="0" w:space="0" w:color="auto"/>
      </w:divBdr>
    </w:div>
    <w:div w:id="1370641649">
      <w:bodyDiv w:val="1"/>
      <w:marLeft w:val="0"/>
      <w:marRight w:val="0"/>
      <w:marTop w:val="0"/>
      <w:marBottom w:val="0"/>
      <w:divBdr>
        <w:top w:val="none" w:sz="0" w:space="0" w:color="auto"/>
        <w:left w:val="none" w:sz="0" w:space="0" w:color="auto"/>
        <w:bottom w:val="none" w:sz="0" w:space="0" w:color="auto"/>
        <w:right w:val="none" w:sz="0" w:space="0" w:color="auto"/>
      </w:divBdr>
    </w:div>
    <w:div w:id="1370644372">
      <w:bodyDiv w:val="1"/>
      <w:marLeft w:val="0"/>
      <w:marRight w:val="0"/>
      <w:marTop w:val="0"/>
      <w:marBottom w:val="0"/>
      <w:divBdr>
        <w:top w:val="none" w:sz="0" w:space="0" w:color="auto"/>
        <w:left w:val="none" w:sz="0" w:space="0" w:color="auto"/>
        <w:bottom w:val="none" w:sz="0" w:space="0" w:color="auto"/>
        <w:right w:val="none" w:sz="0" w:space="0" w:color="auto"/>
      </w:divBdr>
    </w:div>
    <w:div w:id="1370766774">
      <w:bodyDiv w:val="1"/>
      <w:marLeft w:val="0"/>
      <w:marRight w:val="0"/>
      <w:marTop w:val="0"/>
      <w:marBottom w:val="0"/>
      <w:divBdr>
        <w:top w:val="none" w:sz="0" w:space="0" w:color="auto"/>
        <w:left w:val="none" w:sz="0" w:space="0" w:color="auto"/>
        <w:bottom w:val="none" w:sz="0" w:space="0" w:color="auto"/>
        <w:right w:val="none" w:sz="0" w:space="0" w:color="auto"/>
      </w:divBdr>
    </w:div>
    <w:div w:id="1371570130">
      <w:bodyDiv w:val="1"/>
      <w:marLeft w:val="0"/>
      <w:marRight w:val="0"/>
      <w:marTop w:val="0"/>
      <w:marBottom w:val="0"/>
      <w:divBdr>
        <w:top w:val="none" w:sz="0" w:space="0" w:color="auto"/>
        <w:left w:val="none" w:sz="0" w:space="0" w:color="auto"/>
        <w:bottom w:val="none" w:sz="0" w:space="0" w:color="auto"/>
        <w:right w:val="none" w:sz="0" w:space="0" w:color="auto"/>
      </w:divBdr>
    </w:div>
    <w:div w:id="1372458489">
      <w:bodyDiv w:val="1"/>
      <w:marLeft w:val="0"/>
      <w:marRight w:val="0"/>
      <w:marTop w:val="0"/>
      <w:marBottom w:val="0"/>
      <w:divBdr>
        <w:top w:val="none" w:sz="0" w:space="0" w:color="auto"/>
        <w:left w:val="none" w:sz="0" w:space="0" w:color="auto"/>
        <w:bottom w:val="none" w:sz="0" w:space="0" w:color="auto"/>
        <w:right w:val="none" w:sz="0" w:space="0" w:color="auto"/>
      </w:divBdr>
    </w:div>
    <w:div w:id="1373185625">
      <w:bodyDiv w:val="1"/>
      <w:marLeft w:val="0"/>
      <w:marRight w:val="0"/>
      <w:marTop w:val="0"/>
      <w:marBottom w:val="0"/>
      <w:divBdr>
        <w:top w:val="none" w:sz="0" w:space="0" w:color="auto"/>
        <w:left w:val="none" w:sz="0" w:space="0" w:color="auto"/>
        <w:bottom w:val="none" w:sz="0" w:space="0" w:color="auto"/>
        <w:right w:val="none" w:sz="0" w:space="0" w:color="auto"/>
      </w:divBdr>
    </w:div>
    <w:div w:id="1373266048">
      <w:bodyDiv w:val="1"/>
      <w:marLeft w:val="0"/>
      <w:marRight w:val="0"/>
      <w:marTop w:val="0"/>
      <w:marBottom w:val="0"/>
      <w:divBdr>
        <w:top w:val="none" w:sz="0" w:space="0" w:color="auto"/>
        <w:left w:val="none" w:sz="0" w:space="0" w:color="auto"/>
        <w:bottom w:val="none" w:sz="0" w:space="0" w:color="auto"/>
        <w:right w:val="none" w:sz="0" w:space="0" w:color="auto"/>
      </w:divBdr>
    </w:div>
    <w:div w:id="1373310864">
      <w:bodyDiv w:val="1"/>
      <w:marLeft w:val="0"/>
      <w:marRight w:val="0"/>
      <w:marTop w:val="0"/>
      <w:marBottom w:val="0"/>
      <w:divBdr>
        <w:top w:val="none" w:sz="0" w:space="0" w:color="auto"/>
        <w:left w:val="none" w:sz="0" w:space="0" w:color="auto"/>
        <w:bottom w:val="none" w:sz="0" w:space="0" w:color="auto"/>
        <w:right w:val="none" w:sz="0" w:space="0" w:color="auto"/>
      </w:divBdr>
    </w:div>
    <w:div w:id="1373771839">
      <w:bodyDiv w:val="1"/>
      <w:marLeft w:val="0"/>
      <w:marRight w:val="0"/>
      <w:marTop w:val="0"/>
      <w:marBottom w:val="0"/>
      <w:divBdr>
        <w:top w:val="none" w:sz="0" w:space="0" w:color="auto"/>
        <w:left w:val="none" w:sz="0" w:space="0" w:color="auto"/>
        <w:bottom w:val="none" w:sz="0" w:space="0" w:color="auto"/>
        <w:right w:val="none" w:sz="0" w:space="0" w:color="auto"/>
      </w:divBdr>
    </w:div>
    <w:div w:id="1373921134">
      <w:bodyDiv w:val="1"/>
      <w:marLeft w:val="0"/>
      <w:marRight w:val="0"/>
      <w:marTop w:val="0"/>
      <w:marBottom w:val="0"/>
      <w:divBdr>
        <w:top w:val="none" w:sz="0" w:space="0" w:color="auto"/>
        <w:left w:val="none" w:sz="0" w:space="0" w:color="auto"/>
        <w:bottom w:val="none" w:sz="0" w:space="0" w:color="auto"/>
        <w:right w:val="none" w:sz="0" w:space="0" w:color="auto"/>
      </w:divBdr>
    </w:div>
    <w:div w:id="1374618220">
      <w:bodyDiv w:val="1"/>
      <w:marLeft w:val="0"/>
      <w:marRight w:val="0"/>
      <w:marTop w:val="0"/>
      <w:marBottom w:val="0"/>
      <w:divBdr>
        <w:top w:val="none" w:sz="0" w:space="0" w:color="auto"/>
        <w:left w:val="none" w:sz="0" w:space="0" w:color="auto"/>
        <w:bottom w:val="none" w:sz="0" w:space="0" w:color="auto"/>
        <w:right w:val="none" w:sz="0" w:space="0" w:color="auto"/>
      </w:divBdr>
    </w:div>
    <w:div w:id="1374846484">
      <w:bodyDiv w:val="1"/>
      <w:marLeft w:val="0"/>
      <w:marRight w:val="0"/>
      <w:marTop w:val="0"/>
      <w:marBottom w:val="0"/>
      <w:divBdr>
        <w:top w:val="none" w:sz="0" w:space="0" w:color="auto"/>
        <w:left w:val="none" w:sz="0" w:space="0" w:color="auto"/>
        <w:bottom w:val="none" w:sz="0" w:space="0" w:color="auto"/>
        <w:right w:val="none" w:sz="0" w:space="0" w:color="auto"/>
      </w:divBdr>
    </w:div>
    <w:div w:id="1375034429">
      <w:bodyDiv w:val="1"/>
      <w:marLeft w:val="0"/>
      <w:marRight w:val="0"/>
      <w:marTop w:val="0"/>
      <w:marBottom w:val="0"/>
      <w:divBdr>
        <w:top w:val="none" w:sz="0" w:space="0" w:color="auto"/>
        <w:left w:val="none" w:sz="0" w:space="0" w:color="auto"/>
        <w:bottom w:val="none" w:sz="0" w:space="0" w:color="auto"/>
        <w:right w:val="none" w:sz="0" w:space="0" w:color="auto"/>
      </w:divBdr>
    </w:div>
    <w:div w:id="1375080064">
      <w:bodyDiv w:val="1"/>
      <w:marLeft w:val="0"/>
      <w:marRight w:val="0"/>
      <w:marTop w:val="0"/>
      <w:marBottom w:val="0"/>
      <w:divBdr>
        <w:top w:val="none" w:sz="0" w:space="0" w:color="auto"/>
        <w:left w:val="none" w:sz="0" w:space="0" w:color="auto"/>
        <w:bottom w:val="none" w:sz="0" w:space="0" w:color="auto"/>
        <w:right w:val="none" w:sz="0" w:space="0" w:color="auto"/>
      </w:divBdr>
    </w:div>
    <w:div w:id="1375081155">
      <w:bodyDiv w:val="1"/>
      <w:marLeft w:val="0"/>
      <w:marRight w:val="0"/>
      <w:marTop w:val="0"/>
      <w:marBottom w:val="0"/>
      <w:divBdr>
        <w:top w:val="none" w:sz="0" w:space="0" w:color="auto"/>
        <w:left w:val="none" w:sz="0" w:space="0" w:color="auto"/>
        <w:bottom w:val="none" w:sz="0" w:space="0" w:color="auto"/>
        <w:right w:val="none" w:sz="0" w:space="0" w:color="auto"/>
      </w:divBdr>
    </w:div>
    <w:div w:id="1375156368">
      <w:bodyDiv w:val="1"/>
      <w:marLeft w:val="0"/>
      <w:marRight w:val="0"/>
      <w:marTop w:val="0"/>
      <w:marBottom w:val="0"/>
      <w:divBdr>
        <w:top w:val="none" w:sz="0" w:space="0" w:color="auto"/>
        <w:left w:val="none" w:sz="0" w:space="0" w:color="auto"/>
        <w:bottom w:val="none" w:sz="0" w:space="0" w:color="auto"/>
        <w:right w:val="none" w:sz="0" w:space="0" w:color="auto"/>
      </w:divBdr>
    </w:div>
    <w:div w:id="1375736818">
      <w:bodyDiv w:val="1"/>
      <w:marLeft w:val="0"/>
      <w:marRight w:val="0"/>
      <w:marTop w:val="0"/>
      <w:marBottom w:val="0"/>
      <w:divBdr>
        <w:top w:val="none" w:sz="0" w:space="0" w:color="auto"/>
        <w:left w:val="none" w:sz="0" w:space="0" w:color="auto"/>
        <w:bottom w:val="none" w:sz="0" w:space="0" w:color="auto"/>
        <w:right w:val="none" w:sz="0" w:space="0" w:color="auto"/>
      </w:divBdr>
    </w:div>
    <w:div w:id="1376586095">
      <w:bodyDiv w:val="1"/>
      <w:marLeft w:val="0"/>
      <w:marRight w:val="0"/>
      <w:marTop w:val="0"/>
      <w:marBottom w:val="0"/>
      <w:divBdr>
        <w:top w:val="none" w:sz="0" w:space="0" w:color="auto"/>
        <w:left w:val="none" w:sz="0" w:space="0" w:color="auto"/>
        <w:bottom w:val="none" w:sz="0" w:space="0" w:color="auto"/>
        <w:right w:val="none" w:sz="0" w:space="0" w:color="auto"/>
      </w:divBdr>
    </w:div>
    <w:div w:id="1376655499">
      <w:bodyDiv w:val="1"/>
      <w:marLeft w:val="0"/>
      <w:marRight w:val="0"/>
      <w:marTop w:val="0"/>
      <w:marBottom w:val="0"/>
      <w:divBdr>
        <w:top w:val="none" w:sz="0" w:space="0" w:color="auto"/>
        <w:left w:val="none" w:sz="0" w:space="0" w:color="auto"/>
        <w:bottom w:val="none" w:sz="0" w:space="0" w:color="auto"/>
        <w:right w:val="none" w:sz="0" w:space="0" w:color="auto"/>
      </w:divBdr>
    </w:div>
    <w:div w:id="1376664786">
      <w:bodyDiv w:val="1"/>
      <w:marLeft w:val="0"/>
      <w:marRight w:val="0"/>
      <w:marTop w:val="0"/>
      <w:marBottom w:val="0"/>
      <w:divBdr>
        <w:top w:val="none" w:sz="0" w:space="0" w:color="auto"/>
        <w:left w:val="none" w:sz="0" w:space="0" w:color="auto"/>
        <w:bottom w:val="none" w:sz="0" w:space="0" w:color="auto"/>
        <w:right w:val="none" w:sz="0" w:space="0" w:color="auto"/>
      </w:divBdr>
    </w:div>
    <w:div w:id="1376855323">
      <w:bodyDiv w:val="1"/>
      <w:marLeft w:val="0"/>
      <w:marRight w:val="0"/>
      <w:marTop w:val="0"/>
      <w:marBottom w:val="0"/>
      <w:divBdr>
        <w:top w:val="none" w:sz="0" w:space="0" w:color="auto"/>
        <w:left w:val="none" w:sz="0" w:space="0" w:color="auto"/>
        <w:bottom w:val="none" w:sz="0" w:space="0" w:color="auto"/>
        <w:right w:val="none" w:sz="0" w:space="0" w:color="auto"/>
      </w:divBdr>
    </w:div>
    <w:div w:id="1376927935">
      <w:bodyDiv w:val="1"/>
      <w:marLeft w:val="0"/>
      <w:marRight w:val="0"/>
      <w:marTop w:val="0"/>
      <w:marBottom w:val="0"/>
      <w:divBdr>
        <w:top w:val="none" w:sz="0" w:space="0" w:color="auto"/>
        <w:left w:val="none" w:sz="0" w:space="0" w:color="auto"/>
        <w:bottom w:val="none" w:sz="0" w:space="0" w:color="auto"/>
        <w:right w:val="none" w:sz="0" w:space="0" w:color="auto"/>
      </w:divBdr>
    </w:div>
    <w:div w:id="1377311246">
      <w:bodyDiv w:val="1"/>
      <w:marLeft w:val="0"/>
      <w:marRight w:val="0"/>
      <w:marTop w:val="0"/>
      <w:marBottom w:val="0"/>
      <w:divBdr>
        <w:top w:val="none" w:sz="0" w:space="0" w:color="auto"/>
        <w:left w:val="none" w:sz="0" w:space="0" w:color="auto"/>
        <w:bottom w:val="none" w:sz="0" w:space="0" w:color="auto"/>
        <w:right w:val="none" w:sz="0" w:space="0" w:color="auto"/>
      </w:divBdr>
    </w:div>
    <w:div w:id="1377393561">
      <w:bodyDiv w:val="1"/>
      <w:marLeft w:val="0"/>
      <w:marRight w:val="0"/>
      <w:marTop w:val="0"/>
      <w:marBottom w:val="0"/>
      <w:divBdr>
        <w:top w:val="none" w:sz="0" w:space="0" w:color="auto"/>
        <w:left w:val="none" w:sz="0" w:space="0" w:color="auto"/>
        <w:bottom w:val="none" w:sz="0" w:space="0" w:color="auto"/>
        <w:right w:val="none" w:sz="0" w:space="0" w:color="auto"/>
      </w:divBdr>
    </w:div>
    <w:div w:id="1378504942">
      <w:bodyDiv w:val="1"/>
      <w:marLeft w:val="0"/>
      <w:marRight w:val="0"/>
      <w:marTop w:val="0"/>
      <w:marBottom w:val="0"/>
      <w:divBdr>
        <w:top w:val="none" w:sz="0" w:space="0" w:color="auto"/>
        <w:left w:val="none" w:sz="0" w:space="0" w:color="auto"/>
        <w:bottom w:val="none" w:sz="0" w:space="0" w:color="auto"/>
        <w:right w:val="none" w:sz="0" w:space="0" w:color="auto"/>
      </w:divBdr>
    </w:div>
    <w:div w:id="1378897267">
      <w:bodyDiv w:val="1"/>
      <w:marLeft w:val="0"/>
      <w:marRight w:val="0"/>
      <w:marTop w:val="0"/>
      <w:marBottom w:val="0"/>
      <w:divBdr>
        <w:top w:val="none" w:sz="0" w:space="0" w:color="auto"/>
        <w:left w:val="none" w:sz="0" w:space="0" w:color="auto"/>
        <w:bottom w:val="none" w:sz="0" w:space="0" w:color="auto"/>
        <w:right w:val="none" w:sz="0" w:space="0" w:color="auto"/>
      </w:divBdr>
    </w:div>
    <w:div w:id="1379012679">
      <w:bodyDiv w:val="1"/>
      <w:marLeft w:val="0"/>
      <w:marRight w:val="0"/>
      <w:marTop w:val="0"/>
      <w:marBottom w:val="0"/>
      <w:divBdr>
        <w:top w:val="none" w:sz="0" w:space="0" w:color="auto"/>
        <w:left w:val="none" w:sz="0" w:space="0" w:color="auto"/>
        <w:bottom w:val="none" w:sz="0" w:space="0" w:color="auto"/>
        <w:right w:val="none" w:sz="0" w:space="0" w:color="auto"/>
      </w:divBdr>
    </w:div>
    <w:div w:id="1379167058">
      <w:bodyDiv w:val="1"/>
      <w:marLeft w:val="0"/>
      <w:marRight w:val="0"/>
      <w:marTop w:val="0"/>
      <w:marBottom w:val="0"/>
      <w:divBdr>
        <w:top w:val="none" w:sz="0" w:space="0" w:color="auto"/>
        <w:left w:val="none" w:sz="0" w:space="0" w:color="auto"/>
        <w:bottom w:val="none" w:sz="0" w:space="0" w:color="auto"/>
        <w:right w:val="none" w:sz="0" w:space="0" w:color="auto"/>
      </w:divBdr>
    </w:div>
    <w:div w:id="1379427446">
      <w:bodyDiv w:val="1"/>
      <w:marLeft w:val="0"/>
      <w:marRight w:val="0"/>
      <w:marTop w:val="0"/>
      <w:marBottom w:val="0"/>
      <w:divBdr>
        <w:top w:val="none" w:sz="0" w:space="0" w:color="auto"/>
        <w:left w:val="none" w:sz="0" w:space="0" w:color="auto"/>
        <w:bottom w:val="none" w:sz="0" w:space="0" w:color="auto"/>
        <w:right w:val="none" w:sz="0" w:space="0" w:color="auto"/>
      </w:divBdr>
    </w:div>
    <w:div w:id="1379621075">
      <w:bodyDiv w:val="1"/>
      <w:marLeft w:val="0"/>
      <w:marRight w:val="0"/>
      <w:marTop w:val="0"/>
      <w:marBottom w:val="0"/>
      <w:divBdr>
        <w:top w:val="none" w:sz="0" w:space="0" w:color="auto"/>
        <w:left w:val="none" w:sz="0" w:space="0" w:color="auto"/>
        <w:bottom w:val="none" w:sz="0" w:space="0" w:color="auto"/>
        <w:right w:val="none" w:sz="0" w:space="0" w:color="auto"/>
      </w:divBdr>
    </w:div>
    <w:div w:id="1380007580">
      <w:bodyDiv w:val="1"/>
      <w:marLeft w:val="0"/>
      <w:marRight w:val="0"/>
      <w:marTop w:val="0"/>
      <w:marBottom w:val="0"/>
      <w:divBdr>
        <w:top w:val="none" w:sz="0" w:space="0" w:color="auto"/>
        <w:left w:val="none" w:sz="0" w:space="0" w:color="auto"/>
        <w:bottom w:val="none" w:sz="0" w:space="0" w:color="auto"/>
        <w:right w:val="none" w:sz="0" w:space="0" w:color="auto"/>
      </w:divBdr>
    </w:div>
    <w:div w:id="1380127618">
      <w:bodyDiv w:val="1"/>
      <w:marLeft w:val="0"/>
      <w:marRight w:val="0"/>
      <w:marTop w:val="0"/>
      <w:marBottom w:val="0"/>
      <w:divBdr>
        <w:top w:val="none" w:sz="0" w:space="0" w:color="auto"/>
        <w:left w:val="none" w:sz="0" w:space="0" w:color="auto"/>
        <w:bottom w:val="none" w:sz="0" w:space="0" w:color="auto"/>
        <w:right w:val="none" w:sz="0" w:space="0" w:color="auto"/>
      </w:divBdr>
    </w:div>
    <w:div w:id="1380788217">
      <w:bodyDiv w:val="1"/>
      <w:marLeft w:val="0"/>
      <w:marRight w:val="0"/>
      <w:marTop w:val="0"/>
      <w:marBottom w:val="0"/>
      <w:divBdr>
        <w:top w:val="none" w:sz="0" w:space="0" w:color="auto"/>
        <w:left w:val="none" w:sz="0" w:space="0" w:color="auto"/>
        <w:bottom w:val="none" w:sz="0" w:space="0" w:color="auto"/>
        <w:right w:val="none" w:sz="0" w:space="0" w:color="auto"/>
      </w:divBdr>
    </w:div>
    <w:div w:id="1381051716">
      <w:bodyDiv w:val="1"/>
      <w:marLeft w:val="0"/>
      <w:marRight w:val="0"/>
      <w:marTop w:val="0"/>
      <w:marBottom w:val="0"/>
      <w:divBdr>
        <w:top w:val="none" w:sz="0" w:space="0" w:color="auto"/>
        <w:left w:val="none" w:sz="0" w:space="0" w:color="auto"/>
        <w:bottom w:val="none" w:sz="0" w:space="0" w:color="auto"/>
        <w:right w:val="none" w:sz="0" w:space="0" w:color="auto"/>
      </w:divBdr>
    </w:div>
    <w:div w:id="1381396625">
      <w:bodyDiv w:val="1"/>
      <w:marLeft w:val="0"/>
      <w:marRight w:val="0"/>
      <w:marTop w:val="0"/>
      <w:marBottom w:val="0"/>
      <w:divBdr>
        <w:top w:val="none" w:sz="0" w:space="0" w:color="auto"/>
        <w:left w:val="none" w:sz="0" w:space="0" w:color="auto"/>
        <w:bottom w:val="none" w:sz="0" w:space="0" w:color="auto"/>
        <w:right w:val="none" w:sz="0" w:space="0" w:color="auto"/>
      </w:divBdr>
    </w:div>
    <w:div w:id="1381518009">
      <w:bodyDiv w:val="1"/>
      <w:marLeft w:val="0"/>
      <w:marRight w:val="0"/>
      <w:marTop w:val="0"/>
      <w:marBottom w:val="0"/>
      <w:divBdr>
        <w:top w:val="none" w:sz="0" w:space="0" w:color="auto"/>
        <w:left w:val="none" w:sz="0" w:space="0" w:color="auto"/>
        <w:bottom w:val="none" w:sz="0" w:space="0" w:color="auto"/>
        <w:right w:val="none" w:sz="0" w:space="0" w:color="auto"/>
      </w:divBdr>
    </w:div>
    <w:div w:id="1381976317">
      <w:bodyDiv w:val="1"/>
      <w:marLeft w:val="0"/>
      <w:marRight w:val="0"/>
      <w:marTop w:val="0"/>
      <w:marBottom w:val="0"/>
      <w:divBdr>
        <w:top w:val="none" w:sz="0" w:space="0" w:color="auto"/>
        <w:left w:val="none" w:sz="0" w:space="0" w:color="auto"/>
        <w:bottom w:val="none" w:sz="0" w:space="0" w:color="auto"/>
        <w:right w:val="none" w:sz="0" w:space="0" w:color="auto"/>
      </w:divBdr>
    </w:div>
    <w:div w:id="1382437850">
      <w:bodyDiv w:val="1"/>
      <w:marLeft w:val="0"/>
      <w:marRight w:val="0"/>
      <w:marTop w:val="0"/>
      <w:marBottom w:val="0"/>
      <w:divBdr>
        <w:top w:val="none" w:sz="0" w:space="0" w:color="auto"/>
        <w:left w:val="none" w:sz="0" w:space="0" w:color="auto"/>
        <w:bottom w:val="none" w:sz="0" w:space="0" w:color="auto"/>
        <w:right w:val="none" w:sz="0" w:space="0" w:color="auto"/>
      </w:divBdr>
    </w:div>
    <w:div w:id="1382554622">
      <w:bodyDiv w:val="1"/>
      <w:marLeft w:val="0"/>
      <w:marRight w:val="0"/>
      <w:marTop w:val="0"/>
      <w:marBottom w:val="0"/>
      <w:divBdr>
        <w:top w:val="none" w:sz="0" w:space="0" w:color="auto"/>
        <w:left w:val="none" w:sz="0" w:space="0" w:color="auto"/>
        <w:bottom w:val="none" w:sz="0" w:space="0" w:color="auto"/>
        <w:right w:val="none" w:sz="0" w:space="0" w:color="auto"/>
      </w:divBdr>
    </w:div>
    <w:div w:id="1382946769">
      <w:bodyDiv w:val="1"/>
      <w:marLeft w:val="0"/>
      <w:marRight w:val="0"/>
      <w:marTop w:val="0"/>
      <w:marBottom w:val="0"/>
      <w:divBdr>
        <w:top w:val="none" w:sz="0" w:space="0" w:color="auto"/>
        <w:left w:val="none" w:sz="0" w:space="0" w:color="auto"/>
        <w:bottom w:val="none" w:sz="0" w:space="0" w:color="auto"/>
        <w:right w:val="none" w:sz="0" w:space="0" w:color="auto"/>
      </w:divBdr>
    </w:div>
    <w:div w:id="1383096616">
      <w:bodyDiv w:val="1"/>
      <w:marLeft w:val="0"/>
      <w:marRight w:val="0"/>
      <w:marTop w:val="0"/>
      <w:marBottom w:val="0"/>
      <w:divBdr>
        <w:top w:val="none" w:sz="0" w:space="0" w:color="auto"/>
        <w:left w:val="none" w:sz="0" w:space="0" w:color="auto"/>
        <w:bottom w:val="none" w:sz="0" w:space="0" w:color="auto"/>
        <w:right w:val="none" w:sz="0" w:space="0" w:color="auto"/>
      </w:divBdr>
    </w:div>
    <w:div w:id="1383139508">
      <w:bodyDiv w:val="1"/>
      <w:marLeft w:val="0"/>
      <w:marRight w:val="0"/>
      <w:marTop w:val="0"/>
      <w:marBottom w:val="0"/>
      <w:divBdr>
        <w:top w:val="none" w:sz="0" w:space="0" w:color="auto"/>
        <w:left w:val="none" w:sz="0" w:space="0" w:color="auto"/>
        <w:bottom w:val="none" w:sz="0" w:space="0" w:color="auto"/>
        <w:right w:val="none" w:sz="0" w:space="0" w:color="auto"/>
      </w:divBdr>
    </w:div>
    <w:div w:id="1383141600">
      <w:bodyDiv w:val="1"/>
      <w:marLeft w:val="0"/>
      <w:marRight w:val="0"/>
      <w:marTop w:val="0"/>
      <w:marBottom w:val="0"/>
      <w:divBdr>
        <w:top w:val="none" w:sz="0" w:space="0" w:color="auto"/>
        <w:left w:val="none" w:sz="0" w:space="0" w:color="auto"/>
        <w:bottom w:val="none" w:sz="0" w:space="0" w:color="auto"/>
        <w:right w:val="none" w:sz="0" w:space="0" w:color="auto"/>
      </w:divBdr>
    </w:div>
    <w:div w:id="1383287949">
      <w:bodyDiv w:val="1"/>
      <w:marLeft w:val="0"/>
      <w:marRight w:val="0"/>
      <w:marTop w:val="0"/>
      <w:marBottom w:val="0"/>
      <w:divBdr>
        <w:top w:val="none" w:sz="0" w:space="0" w:color="auto"/>
        <w:left w:val="none" w:sz="0" w:space="0" w:color="auto"/>
        <w:bottom w:val="none" w:sz="0" w:space="0" w:color="auto"/>
        <w:right w:val="none" w:sz="0" w:space="0" w:color="auto"/>
      </w:divBdr>
    </w:div>
    <w:div w:id="1383675002">
      <w:bodyDiv w:val="1"/>
      <w:marLeft w:val="0"/>
      <w:marRight w:val="0"/>
      <w:marTop w:val="0"/>
      <w:marBottom w:val="0"/>
      <w:divBdr>
        <w:top w:val="none" w:sz="0" w:space="0" w:color="auto"/>
        <w:left w:val="none" w:sz="0" w:space="0" w:color="auto"/>
        <w:bottom w:val="none" w:sz="0" w:space="0" w:color="auto"/>
        <w:right w:val="none" w:sz="0" w:space="0" w:color="auto"/>
      </w:divBdr>
    </w:div>
    <w:div w:id="1384015337">
      <w:bodyDiv w:val="1"/>
      <w:marLeft w:val="0"/>
      <w:marRight w:val="0"/>
      <w:marTop w:val="0"/>
      <w:marBottom w:val="0"/>
      <w:divBdr>
        <w:top w:val="none" w:sz="0" w:space="0" w:color="auto"/>
        <w:left w:val="none" w:sz="0" w:space="0" w:color="auto"/>
        <w:bottom w:val="none" w:sz="0" w:space="0" w:color="auto"/>
        <w:right w:val="none" w:sz="0" w:space="0" w:color="auto"/>
      </w:divBdr>
    </w:div>
    <w:div w:id="1384210655">
      <w:bodyDiv w:val="1"/>
      <w:marLeft w:val="0"/>
      <w:marRight w:val="0"/>
      <w:marTop w:val="0"/>
      <w:marBottom w:val="0"/>
      <w:divBdr>
        <w:top w:val="none" w:sz="0" w:space="0" w:color="auto"/>
        <w:left w:val="none" w:sz="0" w:space="0" w:color="auto"/>
        <w:bottom w:val="none" w:sz="0" w:space="0" w:color="auto"/>
        <w:right w:val="none" w:sz="0" w:space="0" w:color="auto"/>
      </w:divBdr>
    </w:div>
    <w:div w:id="1384718208">
      <w:bodyDiv w:val="1"/>
      <w:marLeft w:val="0"/>
      <w:marRight w:val="0"/>
      <w:marTop w:val="0"/>
      <w:marBottom w:val="0"/>
      <w:divBdr>
        <w:top w:val="none" w:sz="0" w:space="0" w:color="auto"/>
        <w:left w:val="none" w:sz="0" w:space="0" w:color="auto"/>
        <w:bottom w:val="none" w:sz="0" w:space="0" w:color="auto"/>
        <w:right w:val="none" w:sz="0" w:space="0" w:color="auto"/>
      </w:divBdr>
    </w:div>
    <w:div w:id="1384910673">
      <w:bodyDiv w:val="1"/>
      <w:marLeft w:val="0"/>
      <w:marRight w:val="0"/>
      <w:marTop w:val="0"/>
      <w:marBottom w:val="0"/>
      <w:divBdr>
        <w:top w:val="none" w:sz="0" w:space="0" w:color="auto"/>
        <w:left w:val="none" w:sz="0" w:space="0" w:color="auto"/>
        <w:bottom w:val="none" w:sz="0" w:space="0" w:color="auto"/>
        <w:right w:val="none" w:sz="0" w:space="0" w:color="auto"/>
      </w:divBdr>
    </w:div>
    <w:div w:id="1385909465">
      <w:bodyDiv w:val="1"/>
      <w:marLeft w:val="0"/>
      <w:marRight w:val="0"/>
      <w:marTop w:val="0"/>
      <w:marBottom w:val="0"/>
      <w:divBdr>
        <w:top w:val="none" w:sz="0" w:space="0" w:color="auto"/>
        <w:left w:val="none" w:sz="0" w:space="0" w:color="auto"/>
        <w:bottom w:val="none" w:sz="0" w:space="0" w:color="auto"/>
        <w:right w:val="none" w:sz="0" w:space="0" w:color="auto"/>
      </w:divBdr>
    </w:div>
    <w:div w:id="1386484219">
      <w:bodyDiv w:val="1"/>
      <w:marLeft w:val="0"/>
      <w:marRight w:val="0"/>
      <w:marTop w:val="0"/>
      <w:marBottom w:val="0"/>
      <w:divBdr>
        <w:top w:val="none" w:sz="0" w:space="0" w:color="auto"/>
        <w:left w:val="none" w:sz="0" w:space="0" w:color="auto"/>
        <w:bottom w:val="none" w:sz="0" w:space="0" w:color="auto"/>
        <w:right w:val="none" w:sz="0" w:space="0" w:color="auto"/>
      </w:divBdr>
    </w:div>
    <w:div w:id="1387214716">
      <w:bodyDiv w:val="1"/>
      <w:marLeft w:val="0"/>
      <w:marRight w:val="0"/>
      <w:marTop w:val="0"/>
      <w:marBottom w:val="0"/>
      <w:divBdr>
        <w:top w:val="none" w:sz="0" w:space="0" w:color="auto"/>
        <w:left w:val="none" w:sz="0" w:space="0" w:color="auto"/>
        <w:bottom w:val="none" w:sz="0" w:space="0" w:color="auto"/>
        <w:right w:val="none" w:sz="0" w:space="0" w:color="auto"/>
      </w:divBdr>
    </w:div>
    <w:div w:id="1387796598">
      <w:bodyDiv w:val="1"/>
      <w:marLeft w:val="0"/>
      <w:marRight w:val="0"/>
      <w:marTop w:val="0"/>
      <w:marBottom w:val="0"/>
      <w:divBdr>
        <w:top w:val="none" w:sz="0" w:space="0" w:color="auto"/>
        <w:left w:val="none" w:sz="0" w:space="0" w:color="auto"/>
        <w:bottom w:val="none" w:sz="0" w:space="0" w:color="auto"/>
        <w:right w:val="none" w:sz="0" w:space="0" w:color="auto"/>
      </w:divBdr>
    </w:div>
    <w:div w:id="1388261248">
      <w:bodyDiv w:val="1"/>
      <w:marLeft w:val="0"/>
      <w:marRight w:val="0"/>
      <w:marTop w:val="0"/>
      <w:marBottom w:val="0"/>
      <w:divBdr>
        <w:top w:val="none" w:sz="0" w:space="0" w:color="auto"/>
        <w:left w:val="none" w:sz="0" w:space="0" w:color="auto"/>
        <w:bottom w:val="none" w:sz="0" w:space="0" w:color="auto"/>
        <w:right w:val="none" w:sz="0" w:space="0" w:color="auto"/>
      </w:divBdr>
    </w:div>
    <w:div w:id="1388455662">
      <w:bodyDiv w:val="1"/>
      <w:marLeft w:val="0"/>
      <w:marRight w:val="0"/>
      <w:marTop w:val="0"/>
      <w:marBottom w:val="0"/>
      <w:divBdr>
        <w:top w:val="none" w:sz="0" w:space="0" w:color="auto"/>
        <w:left w:val="none" w:sz="0" w:space="0" w:color="auto"/>
        <w:bottom w:val="none" w:sz="0" w:space="0" w:color="auto"/>
        <w:right w:val="none" w:sz="0" w:space="0" w:color="auto"/>
      </w:divBdr>
    </w:div>
    <w:div w:id="1388724255">
      <w:bodyDiv w:val="1"/>
      <w:marLeft w:val="0"/>
      <w:marRight w:val="0"/>
      <w:marTop w:val="0"/>
      <w:marBottom w:val="0"/>
      <w:divBdr>
        <w:top w:val="none" w:sz="0" w:space="0" w:color="auto"/>
        <w:left w:val="none" w:sz="0" w:space="0" w:color="auto"/>
        <w:bottom w:val="none" w:sz="0" w:space="0" w:color="auto"/>
        <w:right w:val="none" w:sz="0" w:space="0" w:color="auto"/>
      </w:divBdr>
    </w:div>
    <w:div w:id="1388987741">
      <w:bodyDiv w:val="1"/>
      <w:marLeft w:val="0"/>
      <w:marRight w:val="0"/>
      <w:marTop w:val="0"/>
      <w:marBottom w:val="0"/>
      <w:divBdr>
        <w:top w:val="none" w:sz="0" w:space="0" w:color="auto"/>
        <w:left w:val="none" w:sz="0" w:space="0" w:color="auto"/>
        <w:bottom w:val="none" w:sz="0" w:space="0" w:color="auto"/>
        <w:right w:val="none" w:sz="0" w:space="0" w:color="auto"/>
      </w:divBdr>
    </w:div>
    <w:div w:id="1389063161">
      <w:bodyDiv w:val="1"/>
      <w:marLeft w:val="0"/>
      <w:marRight w:val="0"/>
      <w:marTop w:val="0"/>
      <w:marBottom w:val="0"/>
      <w:divBdr>
        <w:top w:val="none" w:sz="0" w:space="0" w:color="auto"/>
        <w:left w:val="none" w:sz="0" w:space="0" w:color="auto"/>
        <w:bottom w:val="none" w:sz="0" w:space="0" w:color="auto"/>
        <w:right w:val="none" w:sz="0" w:space="0" w:color="auto"/>
      </w:divBdr>
    </w:div>
    <w:div w:id="1389067179">
      <w:bodyDiv w:val="1"/>
      <w:marLeft w:val="0"/>
      <w:marRight w:val="0"/>
      <w:marTop w:val="0"/>
      <w:marBottom w:val="0"/>
      <w:divBdr>
        <w:top w:val="none" w:sz="0" w:space="0" w:color="auto"/>
        <w:left w:val="none" w:sz="0" w:space="0" w:color="auto"/>
        <w:bottom w:val="none" w:sz="0" w:space="0" w:color="auto"/>
        <w:right w:val="none" w:sz="0" w:space="0" w:color="auto"/>
      </w:divBdr>
    </w:div>
    <w:div w:id="1389067485">
      <w:bodyDiv w:val="1"/>
      <w:marLeft w:val="0"/>
      <w:marRight w:val="0"/>
      <w:marTop w:val="0"/>
      <w:marBottom w:val="0"/>
      <w:divBdr>
        <w:top w:val="none" w:sz="0" w:space="0" w:color="auto"/>
        <w:left w:val="none" w:sz="0" w:space="0" w:color="auto"/>
        <w:bottom w:val="none" w:sz="0" w:space="0" w:color="auto"/>
        <w:right w:val="none" w:sz="0" w:space="0" w:color="auto"/>
      </w:divBdr>
    </w:div>
    <w:div w:id="1389303286">
      <w:bodyDiv w:val="1"/>
      <w:marLeft w:val="0"/>
      <w:marRight w:val="0"/>
      <w:marTop w:val="0"/>
      <w:marBottom w:val="0"/>
      <w:divBdr>
        <w:top w:val="none" w:sz="0" w:space="0" w:color="auto"/>
        <w:left w:val="none" w:sz="0" w:space="0" w:color="auto"/>
        <w:bottom w:val="none" w:sz="0" w:space="0" w:color="auto"/>
        <w:right w:val="none" w:sz="0" w:space="0" w:color="auto"/>
      </w:divBdr>
    </w:div>
    <w:div w:id="1389691928">
      <w:bodyDiv w:val="1"/>
      <w:marLeft w:val="0"/>
      <w:marRight w:val="0"/>
      <w:marTop w:val="0"/>
      <w:marBottom w:val="0"/>
      <w:divBdr>
        <w:top w:val="none" w:sz="0" w:space="0" w:color="auto"/>
        <w:left w:val="none" w:sz="0" w:space="0" w:color="auto"/>
        <w:bottom w:val="none" w:sz="0" w:space="0" w:color="auto"/>
        <w:right w:val="none" w:sz="0" w:space="0" w:color="auto"/>
      </w:divBdr>
    </w:div>
    <w:div w:id="1389919782">
      <w:bodyDiv w:val="1"/>
      <w:marLeft w:val="0"/>
      <w:marRight w:val="0"/>
      <w:marTop w:val="0"/>
      <w:marBottom w:val="0"/>
      <w:divBdr>
        <w:top w:val="none" w:sz="0" w:space="0" w:color="auto"/>
        <w:left w:val="none" w:sz="0" w:space="0" w:color="auto"/>
        <w:bottom w:val="none" w:sz="0" w:space="0" w:color="auto"/>
        <w:right w:val="none" w:sz="0" w:space="0" w:color="auto"/>
      </w:divBdr>
    </w:div>
    <w:div w:id="1390882178">
      <w:bodyDiv w:val="1"/>
      <w:marLeft w:val="0"/>
      <w:marRight w:val="0"/>
      <w:marTop w:val="0"/>
      <w:marBottom w:val="0"/>
      <w:divBdr>
        <w:top w:val="none" w:sz="0" w:space="0" w:color="auto"/>
        <w:left w:val="none" w:sz="0" w:space="0" w:color="auto"/>
        <w:bottom w:val="none" w:sz="0" w:space="0" w:color="auto"/>
        <w:right w:val="none" w:sz="0" w:space="0" w:color="auto"/>
      </w:divBdr>
    </w:div>
    <w:div w:id="1391537487">
      <w:bodyDiv w:val="1"/>
      <w:marLeft w:val="0"/>
      <w:marRight w:val="0"/>
      <w:marTop w:val="0"/>
      <w:marBottom w:val="0"/>
      <w:divBdr>
        <w:top w:val="none" w:sz="0" w:space="0" w:color="auto"/>
        <w:left w:val="none" w:sz="0" w:space="0" w:color="auto"/>
        <w:bottom w:val="none" w:sz="0" w:space="0" w:color="auto"/>
        <w:right w:val="none" w:sz="0" w:space="0" w:color="auto"/>
      </w:divBdr>
    </w:div>
    <w:div w:id="1391540716">
      <w:bodyDiv w:val="1"/>
      <w:marLeft w:val="0"/>
      <w:marRight w:val="0"/>
      <w:marTop w:val="0"/>
      <w:marBottom w:val="0"/>
      <w:divBdr>
        <w:top w:val="none" w:sz="0" w:space="0" w:color="auto"/>
        <w:left w:val="none" w:sz="0" w:space="0" w:color="auto"/>
        <w:bottom w:val="none" w:sz="0" w:space="0" w:color="auto"/>
        <w:right w:val="none" w:sz="0" w:space="0" w:color="auto"/>
      </w:divBdr>
    </w:div>
    <w:div w:id="1392381860">
      <w:bodyDiv w:val="1"/>
      <w:marLeft w:val="0"/>
      <w:marRight w:val="0"/>
      <w:marTop w:val="0"/>
      <w:marBottom w:val="0"/>
      <w:divBdr>
        <w:top w:val="none" w:sz="0" w:space="0" w:color="auto"/>
        <w:left w:val="none" w:sz="0" w:space="0" w:color="auto"/>
        <w:bottom w:val="none" w:sz="0" w:space="0" w:color="auto"/>
        <w:right w:val="none" w:sz="0" w:space="0" w:color="auto"/>
      </w:divBdr>
    </w:div>
    <w:div w:id="1392459270">
      <w:bodyDiv w:val="1"/>
      <w:marLeft w:val="0"/>
      <w:marRight w:val="0"/>
      <w:marTop w:val="0"/>
      <w:marBottom w:val="0"/>
      <w:divBdr>
        <w:top w:val="none" w:sz="0" w:space="0" w:color="auto"/>
        <w:left w:val="none" w:sz="0" w:space="0" w:color="auto"/>
        <w:bottom w:val="none" w:sz="0" w:space="0" w:color="auto"/>
        <w:right w:val="none" w:sz="0" w:space="0" w:color="auto"/>
      </w:divBdr>
    </w:div>
    <w:div w:id="1392730297">
      <w:bodyDiv w:val="1"/>
      <w:marLeft w:val="0"/>
      <w:marRight w:val="0"/>
      <w:marTop w:val="0"/>
      <w:marBottom w:val="0"/>
      <w:divBdr>
        <w:top w:val="none" w:sz="0" w:space="0" w:color="auto"/>
        <w:left w:val="none" w:sz="0" w:space="0" w:color="auto"/>
        <w:bottom w:val="none" w:sz="0" w:space="0" w:color="auto"/>
        <w:right w:val="none" w:sz="0" w:space="0" w:color="auto"/>
      </w:divBdr>
    </w:div>
    <w:div w:id="1393426699">
      <w:bodyDiv w:val="1"/>
      <w:marLeft w:val="0"/>
      <w:marRight w:val="0"/>
      <w:marTop w:val="0"/>
      <w:marBottom w:val="0"/>
      <w:divBdr>
        <w:top w:val="none" w:sz="0" w:space="0" w:color="auto"/>
        <w:left w:val="none" w:sz="0" w:space="0" w:color="auto"/>
        <w:bottom w:val="none" w:sz="0" w:space="0" w:color="auto"/>
        <w:right w:val="none" w:sz="0" w:space="0" w:color="auto"/>
      </w:divBdr>
    </w:div>
    <w:div w:id="1393457821">
      <w:bodyDiv w:val="1"/>
      <w:marLeft w:val="0"/>
      <w:marRight w:val="0"/>
      <w:marTop w:val="0"/>
      <w:marBottom w:val="0"/>
      <w:divBdr>
        <w:top w:val="none" w:sz="0" w:space="0" w:color="auto"/>
        <w:left w:val="none" w:sz="0" w:space="0" w:color="auto"/>
        <w:bottom w:val="none" w:sz="0" w:space="0" w:color="auto"/>
        <w:right w:val="none" w:sz="0" w:space="0" w:color="auto"/>
      </w:divBdr>
    </w:div>
    <w:div w:id="1393894208">
      <w:bodyDiv w:val="1"/>
      <w:marLeft w:val="0"/>
      <w:marRight w:val="0"/>
      <w:marTop w:val="0"/>
      <w:marBottom w:val="0"/>
      <w:divBdr>
        <w:top w:val="none" w:sz="0" w:space="0" w:color="auto"/>
        <w:left w:val="none" w:sz="0" w:space="0" w:color="auto"/>
        <w:bottom w:val="none" w:sz="0" w:space="0" w:color="auto"/>
        <w:right w:val="none" w:sz="0" w:space="0" w:color="auto"/>
      </w:divBdr>
    </w:div>
    <w:div w:id="1394505416">
      <w:bodyDiv w:val="1"/>
      <w:marLeft w:val="0"/>
      <w:marRight w:val="0"/>
      <w:marTop w:val="0"/>
      <w:marBottom w:val="0"/>
      <w:divBdr>
        <w:top w:val="none" w:sz="0" w:space="0" w:color="auto"/>
        <w:left w:val="none" w:sz="0" w:space="0" w:color="auto"/>
        <w:bottom w:val="none" w:sz="0" w:space="0" w:color="auto"/>
        <w:right w:val="none" w:sz="0" w:space="0" w:color="auto"/>
      </w:divBdr>
    </w:div>
    <w:div w:id="1395471261">
      <w:bodyDiv w:val="1"/>
      <w:marLeft w:val="0"/>
      <w:marRight w:val="0"/>
      <w:marTop w:val="0"/>
      <w:marBottom w:val="0"/>
      <w:divBdr>
        <w:top w:val="none" w:sz="0" w:space="0" w:color="auto"/>
        <w:left w:val="none" w:sz="0" w:space="0" w:color="auto"/>
        <w:bottom w:val="none" w:sz="0" w:space="0" w:color="auto"/>
        <w:right w:val="none" w:sz="0" w:space="0" w:color="auto"/>
      </w:divBdr>
    </w:div>
    <w:div w:id="1396666753">
      <w:bodyDiv w:val="1"/>
      <w:marLeft w:val="0"/>
      <w:marRight w:val="0"/>
      <w:marTop w:val="0"/>
      <w:marBottom w:val="0"/>
      <w:divBdr>
        <w:top w:val="none" w:sz="0" w:space="0" w:color="auto"/>
        <w:left w:val="none" w:sz="0" w:space="0" w:color="auto"/>
        <w:bottom w:val="none" w:sz="0" w:space="0" w:color="auto"/>
        <w:right w:val="none" w:sz="0" w:space="0" w:color="auto"/>
      </w:divBdr>
    </w:div>
    <w:div w:id="1396708463">
      <w:bodyDiv w:val="1"/>
      <w:marLeft w:val="0"/>
      <w:marRight w:val="0"/>
      <w:marTop w:val="0"/>
      <w:marBottom w:val="0"/>
      <w:divBdr>
        <w:top w:val="none" w:sz="0" w:space="0" w:color="auto"/>
        <w:left w:val="none" w:sz="0" w:space="0" w:color="auto"/>
        <w:bottom w:val="none" w:sz="0" w:space="0" w:color="auto"/>
        <w:right w:val="none" w:sz="0" w:space="0" w:color="auto"/>
      </w:divBdr>
    </w:div>
    <w:div w:id="1396976694">
      <w:bodyDiv w:val="1"/>
      <w:marLeft w:val="0"/>
      <w:marRight w:val="0"/>
      <w:marTop w:val="0"/>
      <w:marBottom w:val="0"/>
      <w:divBdr>
        <w:top w:val="none" w:sz="0" w:space="0" w:color="auto"/>
        <w:left w:val="none" w:sz="0" w:space="0" w:color="auto"/>
        <w:bottom w:val="none" w:sz="0" w:space="0" w:color="auto"/>
        <w:right w:val="none" w:sz="0" w:space="0" w:color="auto"/>
      </w:divBdr>
    </w:div>
    <w:div w:id="1397969064">
      <w:bodyDiv w:val="1"/>
      <w:marLeft w:val="0"/>
      <w:marRight w:val="0"/>
      <w:marTop w:val="0"/>
      <w:marBottom w:val="0"/>
      <w:divBdr>
        <w:top w:val="none" w:sz="0" w:space="0" w:color="auto"/>
        <w:left w:val="none" w:sz="0" w:space="0" w:color="auto"/>
        <w:bottom w:val="none" w:sz="0" w:space="0" w:color="auto"/>
        <w:right w:val="none" w:sz="0" w:space="0" w:color="auto"/>
      </w:divBdr>
    </w:div>
    <w:div w:id="1398823480">
      <w:bodyDiv w:val="1"/>
      <w:marLeft w:val="0"/>
      <w:marRight w:val="0"/>
      <w:marTop w:val="0"/>
      <w:marBottom w:val="0"/>
      <w:divBdr>
        <w:top w:val="none" w:sz="0" w:space="0" w:color="auto"/>
        <w:left w:val="none" w:sz="0" w:space="0" w:color="auto"/>
        <w:bottom w:val="none" w:sz="0" w:space="0" w:color="auto"/>
        <w:right w:val="none" w:sz="0" w:space="0" w:color="auto"/>
      </w:divBdr>
    </w:div>
    <w:div w:id="1398897244">
      <w:bodyDiv w:val="1"/>
      <w:marLeft w:val="0"/>
      <w:marRight w:val="0"/>
      <w:marTop w:val="0"/>
      <w:marBottom w:val="0"/>
      <w:divBdr>
        <w:top w:val="none" w:sz="0" w:space="0" w:color="auto"/>
        <w:left w:val="none" w:sz="0" w:space="0" w:color="auto"/>
        <w:bottom w:val="none" w:sz="0" w:space="0" w:color="auto"/>
        <w:right w:val="none" w:sz="0" w:space="0" w:color="auto"/>
      </w:divBdr>
    </w:div>
    <w:div w:id="1398937970">
      <w:bodyDiv w:val="1"/>
      <w:marLeft w:val="0"/>
      <w:marRight w:val="0"/>
      <w:marTop w:val="0"/>
      <w:marBottom w:val="0"/>
      <w:divBdr>
        <w:top w:val="none" w:sz="0" w:space="0" w:color="auto"/>
        <w:left w:val="none" w:sz="0" w:space="0" w:color="auto"/>
        <w:bottom w:val="none" w:sz="0" w:space="0" w:color="auto"/>
        <w:right w:val="none" w:sz="0" w:space="0" w:color="auto"/>
      </w:divBdr>
    </w:div>
    <w:div w:id="1399088280">
      <w:bodyDiv w:val="1"/>
      <w:marLeft w:val="0"/>
      <w:marRight w:val="0"/>
      <w:marTop w:val="0"/>
      <w:marBottom w:val="0"/>
      <w:divBdr>
        <w:top w:val="none" w:sz="0" w:space="0" w:color="auto"/>
        <w:left w:val="none" w:sz="0" w:space="0" w:color="auto"/>
        <w:bottom w:val="none" w:sz="0" w:space="0" w:color="auto"/>
        <w:right w:val="none" w:sz="0" w:space="0" w:color="auto"/>
      </w:divBdr>
    </w:div>
    <w:div w:id="1399354036">
      <w:bodyDiv w:val="1"/>
      <w:marLeft w:val="0"/>
      <w:marRight w:val="0"/>
      <w:marTop w:val="0"/>
      <w:marBottom w:val="0"/>
      <w:divBdr>
        <w:top w:val="none" w:sz="0" w:space="0" w:color="auto"/>
        <w:left w:val="none" w:sz="0" w:space="0" w:color="auto"/>
        <w:bottom w:val="none" w:sz="0" w:space="0" w:color="auto"/>
        <w:right w:val="none" w:sz="0" w:space="0" w:color="auto"/>
      </w:divBdr>
    </w:div>
    <w:div w:id="1399787367">
      <w:bodyDiv w:val="1"/>
      <w:marLeft w:val="0"/>
      <w:marRight w:val="0"/>
      <w:marTop w:val="0"/>
      <w:marBottom w:val="0"/>
      <w:divBdr>
        <w:top w:val="none" w:sz="0" w:space="0" w:color="auto"/>
        <w:left w:val="none" w:sz="0" w:space="0" w:color="auto"/>
        <w:bottom w:val="none" w:sz="0" w:space="0" w:color="auto"/>
        <w:right w:val="none" w:sz="0" w:space="0" w:color="auto"/>
      </w:divBdr>
    </w:div>
    <w:div w:id="1401171767">
      <w:bodyDiv w:val="1"/>
      <w:marLeft w:val="0"/>
      <w:marRight w:val="0"/>
      <w:marTop w:val="0"/>
      <w:marBottom w:val="0"/>
      <w:divBdr>
        <w:top w:val="none" w:sz="0" w:space="0" w:color="auto"/>
        <w:left w:val="none" w:sz="0" w:space="0" w:color="auto"/>
        <w:bottom w:val="none" w:sz="0" w:space="0" w:color="auto"/>
        <w:right w:val="none" w:sz="0" w:space="0" w:color="auto"/>
      </w:divBdr>
    </w:div>
    <w:div w:id="1401173653">
      <w:bodyDiv w:val="1"/>
      <w:marLeft w:val="0"/>
      <w:marRight w:val="0"/>
      <w:marTop w:val="0"/>
      <w:marBottom w:val="0"/>
      <w:divBdr>
        <w:top w:val="none" w:sz="0" w:space="0" w:color="auto"/>
        <w:left w:val="none" w:sz="0" w:space="0" w:color="auto"/>
        <w:bottom w:val="none" w:sz="0" w:space="0" w:color="auto"/>
        <w:right w:val="none" w:sz="0" w:space="0" w:color="auto"/>
      </w:divBdr>
    </w:div>
    <w:div w:id="1401248305">
      <w:bodyDiv w:val="1"/>
      <w:marLeft w:val="0"/>
      <w:marRight w:val="0"/>
      <w:marTop w:val="0"/>
      <w:marBottom w:val="0"/>
      <w:divBdr>
        <w:top w:val="none" w:sz="0" w:space="0" w:color="auto"/>
        <w:left w:val="none" w:sz="0" w:space="0" w:color="auto"/>
        <w:bottom w:val="none" w:sz="0" w:space="0" w:color="auto"/>
        <w:right w:val="none" w:sz="0" w:space="0" w:color="auto"/>
      </w:divBdr>
    </w:div>
    <w:div w:id="1401369739">
      <w:bodyDiv w:val="1"/>
      <w:marLeft w:val="0"/>
      <w:marRight w:val="0"/>
      <w:marTop w:val="0"/>
      <w:marBottom w:val="0"/>
      <w:divBdr>
        <w:top w:val="none" w:sz="0" w:space="0" w:color="auto"/>
        <w:left w:val="none" w:sz="0" w:space="0" w:color="auto"/>
        <w:bottom w:val="none" w:sz="0" w:space="0" w:color="auto"/>
        <w:right w:val="none" w:sz="0" w:space="0" w:color="auto"/>
      </w:divBdr>
    </w:div>
    <w:div w:id="1401634989">
      <w:bodyDiv w:val="1"/>
      <w:marLeft w:val="0"/>
      <w:marRight w:val="0"/>
      <w:marTop w:val="0"/>
      <w:marBottom w:val="0"/>
      <w:divBdr>
        <w:top w:val="none" w:sz="0" w:space="0" w:color="auto"/>
        <w:left w:val="none" w:sz="0" w:space="0" w:color="auto"/>
        <w:bottom w:val="none" w:sz="0" w:space="0" w:color="auto"/>
        <w:right w:val="none" w:sz="0" w:space="0" w:color="auto"/>
      </w:divBdr>
    </w:div>
    <w:div w:id="1401639386">
      <w:bodyDiv w:val="1"/>
      <w:marLeft w:val="0"/>
      <w:marRight w:val="0"/>
      <w:marTop w:val="0"/>
      <w:marBottom w:val="0"/>
      <w:divBdr>
        <w:top w:val="none" w:sz="0" w:space="0" w:color="auto"/>
        <w:left w:val="none" w:sz="0" w:space="0" w:color="auto"/>
        <w:bottom w:val="none" w:sz="0" w:space="0" w:color="auto"/>
        <w:right w:val="none" w:sz="0" w:space="0" w:color="auto"/>
      </w:divBdr>
    </w:div>
    <w:div w:id="1402288214">
      <w:bodyDiv w:val="1"/>
      <w:marLeft w:val="0"/>
      <w:marRight w:val="0"/>
      <w:marTop w:val="0"/>
      <w:marBottom w:val="0"/>
      <w:divBdr>
        <w:top w:val="none" w:sz="0" w:space="0" w:color="auto"/>
        <w:left w:val="none" w:sz="0" w:space="0" w:color="auto"/>
        <w:bottom w:val="none" w:sz="0" w:space="0" w:color="auto"/>
        <w:right w:val="none" w:sz="0" w:space="0" w:color="auto"/>
      </w:divBdr>
    </w:div>
    <w:div w:id="1402676769">
      <w:bodyDiv w:val="1"/>
      <w:marLeft w:val="0"/>
      <w:marRight w:val="0"/>
      <w:marTop w:val="0"/>
      <w:marBottom w:val="0"/>
      <w:divBdr>
        <w:top w:val="none" w:sz="0" w:space="0" w:color="auto"/>
        <w:left w:val="none" w:sz="0" w:space="0" w:color="auto"/>
        <w:bottom w:val="none" w:sz="0" w:space="0" w:color="auto"/>
        <w:right w:val="none" w:sz="0" w:space="0" w:color="auto"/>
      </w:divBdr>
    </w:div>
    <w:div w:id="1402682217">
      <w:bodyDiv w:val="1"/>
      <w:marLeft w:val="0"/>
      <w:marRight w:val="0"/>
      <w:marTop w:val="0"/>
      <w:marBottom w:val="0"/>
      <w:divBdr>
        <w:top w:val="none" w:sz="0" w:space="0" w:color="auto"/>
        <w:left w:val="none" w:sz="0" w:space="0" w:color="auto"/>
        <w:bottom w:val="none" w:sz="0" w:space="0" w:color="auto"/>
        <w:right w:val="none" w:sz="0" w:space="0" w:color="auto"/>
      </w:divBdr>
    </w:div>
    <w:div w:id="1402755490">
      <w:bodyDiv w:val="1"/>
      <w:marLeft w:val="0"/>
      <w:marRight w:val="0"/>
      <w:marTop w:val="0"/>
      <w:marBottom w:val="0"/>
      <w:divBdr>
        <w:top w:val="none" w:sz="0" w:space="0" w:color="auto"/>
        <w:left w:val="none" w:sz="0" w:space="0" w:color="auto"/>
        <w:bottom w:val="none" w:sz="0" w:space="0" w:color="auto"/>
        <w:right w:val="none" w:sz="0" w:space="0" w:color="auto"/>
      </w:divBdr>
    </w:div>
    <w:div w:id="1403256933">
      <w:bodyDiv w:val="1"/>
      <w:marLeft w:val="0"/>
      <w:marRight w:val="0"/>
      <w:marTop w:val="0"/>
      <w:marBottom w:val="0"/>
      <w:divBdr>
        <w:top w:val="none" w:sz="0" w:space="0" w:color="auto"/>
        <w:left w:val="none" w:sz="0" w:space="0" w:color="auto"/>
        <w:bottom w:val="none" w:sz="0" w:space="0" w:color="auto"/>
        <w:right w:val="none" w:sz="0" w:space="0" w:color="auto"/>
      </w:divBdr>
    </w:div>
    <w:div w:id="1403942997">
      <w:bodyDiv w:val="1"/>
      <w:marLeft w:val="0"/>
      <w:marRight w:val="0"/>
      <w:marTop w:val="0"/>
      <w:marBottom w:val="0"/>
      <w:divBdr>
        <w:top w:val="none" w:sz="0" w:space="0" w:color="auto"/>
        <w:left w:val="none" w:sz="0" w:space="0" w:color="auto"/>
        <w:bottom w:val="none" w:sz="0" w:space="0" w:color="auto"/>
        <w:right w:val="none" w:sz="0" w:space="0" w:color="auto"/>
      </w:divBdr>
    </w:div>
    <w:div w:id="1404063023">
      <w:bodyDiv w:val="1"/>
      <w:marLeft w:val="0"/>
      <w:marRight w:val="0"/>
      <w:marTop w:val="0"/>
      <w:marBottom w:val="0"/>
      <w:divBdr>
        <w:top w:val="none" w:sz="0" w:space="0" w:color="auto"/>
        <w:left w:val="none" w:sz="0" w:space="0" w:color="auto"/>
        <w:bottom w:val="none" w:sz="0" w:space="0" w:color="auto"/>
        <w:right w:val="none" w:sz="0" w:space="0" w:color="auto"/>
      </w:divBdr>
    </w:div>
    <w:div w:id="1404068049">
      <w:bodyDiv w:val="1"/>
      <w:marLeft w:val="0"/>
      <w:marRight w:val="0"/>
      <w:marTop w:val="0"/>
      <w:marBottom w:val="0"/>
      <w:divBdr>
        <w:top w:val="none" w:sz="0" w:space="0" w:color="auto"/>
        <w:left w:val="none" w:sz="0" w:space="0" w:color="auto"/>
        <w:bottom w:val="none" w:sz="0" w:space="0" w:color="auto"/>
        <w:right w:val="none" w:sz="0" w:space="0" w:color="auto"/>
      </w:divBdr>
    </w:div>
    <w:div w:id="1404140598">
      <w:bodyDiv w:val="1"/>
      <w:marLeft w:val="0"/>
      <w:marRight w:val="0"/>
      <w:marTop w:val="0"/>
      <w:marBottom w:val="0"/>
      <w:divBdr>
        <w:top w:val="none" w:sz="0" w:space="0" w:color="auto"/>
        <w:left w:val="none" w:sz="0" w:space="0" w:color="auto"/>
        <w:bottom w:val="none" w:sz="0" w:space="0" w:color="auto"/>
        <w:right w:val="none" w:sz="0" w:space="0" w:color="auto"/>
      </w:divBdr>
    </w:div>
    <w:div w:id="1404795242">
      <w:bodyDiv w:val="1"/>
      <w:marLeft w:val="0"/>
      <w:marRight w:val="0"/>
      <w:marTop w:val="0"/>
      <w:marBottom w:val="0"/>
      <w:divBdr>
        <w:top w:val="none" w:sz="0" w:space="0" w:color="auto"/>
        <w:left w:val="none" w:sz="0" w:space="0" w:color="auto"/>
        <w:bottom w:val="none" w:sz="0" w:space="0" w:color="auto"/>
        <w:right w:val="none" w:sz="0" w:space="0" w:color="auto"/>
      </w:divBdr>
    </w:div>
    <w:div w:id="1404916531">
      <w:bodyDiv w:val="1"/>
      <w:marLeft w:val="0"/>
      <w:marRight w:val="0"/>
      <w:marTop w:val="0"/>
      <w:marBottom w:val="0"/>
      <w:divBdr>
        <w:top w:val="none" w:sz="0" w:space="0" w:color="auto"/>
        <w:left w:val="none" w:sz="0" w:space="0" w:color="auto"/>
        <w:bottom w:val="none" w:sz="0" w:space="0" w:color="auto"/>
        <w:right w:val="none" w:sz="0" w:space="0" w:color="auto"/>
      </w:divBdr>
    </w:div>
    <w:div w:id="1405954213">
      <w:bodyDiv w:val="1"/>
      <w:marLeft w:val="0"/>
      <w:marRight w:val="0"/>
      <w:marTop w:val="0"/>
      <w:marBottom w:val="0"/>
      <w:divBdr>
        <w:top w:val="none" w:sz="0" w:space="0" w:color="auto"/>
        <w:left w:val="none" w:sz="0" w:space="0" w:color="auto"/>
        <w:bottom w:val="none" w:sz="0" w:space="0" w:color="auto"/>
        <w:right w:val="none" w:sz="0" w:space="0" w:color="auto"/>
      </w:divBdr>
    </w:div>
    <w:div w:id="1406146919">
      <w:bodyDiv w:val="1"/>
      <w:marLeft w:val="0"/>
      <w:marRight w:val="0"/>
      <w:marTop w:val="0"/>
      <w:marBottom w:val="0"/>
      <w:divBdr>
        <w:top w:val="none" w:sz="0" w:space="0" w:color="auto"/>
        <w:left w:val="none" w:sz="0" w:space="0" w:color="auto"/>
        <w:bottom w:val="none" w:sz="0" w:space="0" w:color="auto"/>
        <w:right w:val="none" w:sz="0" w:space="0" w:color="auto"/>
      </w:divBdr>
    </w:div>
    <w:div w:id="1406952944">
      <w:bodyDiv w:val="1"/>
      <w:marLeft w:val="0"/>
      <w:marRight w:val="0"/>
      <w:marTop w:val="0"/>
      <w:marBottom w:val="0"/>
      <w:divBdr>
        <w:top w:val="none" w:sz="0" w:space="0" w:color="auto"/>
        <w:left w:val="none" w:sz="0" w:space="0" w:color="auto"/>
        <w:bottom w:val="none" w:sz="0" w:space="0" w:color="auto"/>
        <w:right w:val="none" w:sz="0" w:space="0" w:color="auto"/>
      </w:divBdr>
    </w:div>
    <w:div w:id="1407067079">
      <w:bodyDiv w:val="1"/>
      <w:marLeft w:val="0"/>
      <w:marRight w:val="0"/>
      <w:marTop w:val="0"/>
      <w:marBottom w:val="0"/>
      <w:divBdr>
        <w:top w:val="none" w:sz="0" w:space="0" w:color="auto"/>
        <w:left w:val="none" w:sz="0" w:space="0" w:color="auto"/>
        <w:bottom w:val="none" w:sz="0" w:space="0" w:color="auto"/>
        <w:right w:val="none" w:sz="0" w:space="0" w:color="auto"/>
      </w:divBdr>
    </w:div>
    <w:div w:id="1407068790">
      <w:bodyDiv w:val="1"/>
      <w:marLeft w:val="0"/>
      <w:marRight w:val="0"/>
      <w:marTop w:val="0"/>
      <w:marBottom w:val="0"/>
      <w:divBdr>
        <w:top w:val="none" w:sz="0" w:space="0" w:color="auto"/>
        <w:left w:val="none" w:sz="0" w:space="0" w:color="auto"/>
        <w:bottom w:val="none" w:sz="0" w:space="0" w:color="auto"/>
        <w:right w:val="none" w:sz="0" w:space="0" w:color="auto"/>
      </w:divBdr>
    </w:div>
    <w:div w:id="1407144066">
      <w:bodyDiv w:val="1"/>
      <w:marLeft w:val="0"/>
      <w:marRight w:val="0"/>
      <w:marTop w:val="0"/>
      <w:marBottom w:val="0"/>
      <w:divBdr>
        <w:top w:val="none" w:sz="0" w:space="0" w:color="auto"/>
        <w:left w:val="none" w:sz="0" w:space="0" w:color="auto"/>
        <w:bottom w:val="none" w:sz="0" w:space="0" w:color="auto"/>
        <w:right w:val="none" w:sz="0" w:space="0" w:color="auto"/>
      </w:divBdr>
    </w:div>
    <w:div w:id="1407264341">
      <w:bodyDiv w:val="1"/>
      <w:marLeft w:val="0"/>
      <w:marRight w:val="0"/>
      <w:marTop w:val="0"/>
      <w:marBottom w:val="0"/>
      <w:divBdr>
        <w:top w:val="none" w:sz="0" w:space="0" w:color="auto"/>
        <w:left w:val="none" w:sz="0" w:space="0" w:color="auto"/>
        <w:bottom w:val="none" w:sz="0" w:space="0" w:color="auto"/>
        <w:right w:val="none" w:sz="0" w:space="0" w:color="auto"/>
      </w:divBdr>
    </w:div>
    <w:div w:id="1408720813">
      <w:bodyDiv w:val="1"/>
      <w:marLeft w:val="0"/>
      <w:marRight w:val="0"/>
      <w:marTop w:val="0"/>
      <w:marBottom w:val="0"/>
      <w:divBdr>
        <w:top w:val="none" w:sz="0" w:space="0" w:color="auto"/>
        <w:left w:val="none" w:sz="0" w:space="0" w:color="auto"/>
        <w:bottom w:val="none" w:sz="0" w:space="0" w:color="auto"/>
        <w:right w:val="none" w:sz="0" w:space="0" w:color="auto"/>
      </w:divBdr>
    </w:div>
    <w:div w:id="1409185074">
      <w:bodyDiv w:val="1"/>
      <w:marLeft w:val="0"/>
      <w:marRight w:val="0"/>
      <w:marTop w:val="0"/>
      <w:marBottom w:val="0"/>
      <w:divBdr>
        <w:top w:val="none" w:sz="0" w:space="0" w:color="auto"/>
        <w:left w:val="none" w:sz="0" w:space="0" w:color="auto"/>
        <w:bottom w:val="none" w:sz="0" w:space="0" w:color="auto"/>
        <w:right w:val="none" w:sz="0" w:space="0" w:color="auto"/>
      </w:divBdr>
    </w:div>
    <w:div w:id="1409812520">
      <w:bodyDiv w:val="1"/>
      <w:marLeft w:val="0"/>
      <w:marRight w:val="0"/>
      <w:marTop w:val="0"/>
      <w:marBottom w:val="0"/>
      <w:divBdr>
        <w:top w:val="none" w:sz="0" w:space="0" w:color="auto"/>
        <w:left w:val="none" w:sz="0" w:space="0" w:color="auto"/>
        <w:bottom w:val="none" w:sz="0" w:space="0" w:color="auto"/>
        <w:right w:val="none" w:sz="0" w:space="0" w:color="auto"/>
      </w:divBdr>
    </w:div>
    <w:div w:id="1410735172">
      <w:bodyDiv w:val="1"/>
      <w:marLeft w:val="0"/>
      <w:marRight w:val="0"/>
      <w:marTop w:val="0"/>
      <w:marBottom w:val="0"/>
      <w:divBdr>
        <w:top w:val="none" w:sz="0" w:space="0" w:color="auto"/>
        <w:left w:val="none" w:sz="0" w:space="0" w:color="auto"/>
        <w:bottom w:val="none" w:sz="0" w:space="0" w:color="auto"/>
        <w:right w:val="none" w:sz="0" w:space="0" w:color="auto"/>
      </w:divBdr>
    </w:div>
    <w:div w:id="1411150300">
      <w:bodyDiv w:val="1"/>
      <w:marLeft w:val="0"/>
      <w:marRight w:val="0"/>
      <w:marTop w:val="0"/>
      <w:marBottom w:val="0"/>
      <w:divBdr>
        <w:top w:val="none" w:sz="0" w:space="0" w:color="auto"/>
        <w:left w:val="none" w:sz="0" w:space="0" w:color="auto"/>
        <w:bottom w:val="none" w:sz="0" w:space="0" w:color="auto"/>
        <w:right w:val="none" w:sz="0" w:space="0" w:color="auto"/>
      </w:divBdr>
    </w:div>
    <w:div w:id="1411151055">
      <w:bodyDiv w:val="1"/>
      <w:marLeft w:val="0"/>
      <w:marRight w:val="0"/>
      <w:marTop w:val="0"/>
      <w:marBottom w:val="0"/>
      <w:divBdr>
        <w:top w:val="none" w:sz="0" w:space="0" w:color="auto"/>
        <w:left w:val="none" w:sz="0" w:space="0" w:color="auto"/>
        <w:bottom w:val="none" w:sz="0" w:space="0" w:color="auto"/>
        <w:right w:val="none" w:sz="0" w:space="0" w:color="auto"/>
      </w:divBdr>
    </w:div>
    <w:div w:id="1411535365">
      <w:bodyDiv w:val="1"/>
      <w:marLeft w:val="0"/>
      <w:marRight w:val="0"/>
      <w:marTop w:val="0"/>
      <w:marBottom w:val="0"/>
      <w:divBdr>
        <w:top w:val="none" w:sz="0" w:space="0" w:color="auto"/>
        <w:left w:val="none" w:sz="0" w:space="0" w:color="auto"/>
        <w:bottom w:val="none" w:sz="0" w:space="0" w:color="auto"/>
        <w:right w:val="none" w:sz="0" w:space="0" w:color="auto"/>
      </w:divBdr>
    </w:div>
    <w:div w:id="1412968341">
      <w:bodyDiv w:val="1"/>
      <w:marLeft w:val="0"/>
      <w:marRight w:val="0"/>
      <w:marTop w:val="0"/>
      <w:marBottom w:val="0"/>
      <w:divBdr>
        <w:top w:val="none" w:sz="0" w:space="0" w:color="auto"/>
        <w:left w:val="none" w:sz="0" w:space="0" w:color="auto"/>
        <w:bottom w:val="none" w:sz="0" w:space="0" w:color="auto"/>
        <w:right w:val="none" w:sz="0" w:space="0" w:color="auto"/>
      </w:divBdr>
    </w:div>
    <w:div w:id="1413116201">
      <w:bodyDiv w:val="1"/>
      <w:marLeft w:val="0"/>
      <w:marRight w:val="0"/>
      <w:marTop w:val="0"/>
      <w:marBottom w:val="0"/>
      <w:divBdr>
        <w:top w:val="none" w:sz="0" w:space="0" w:color="auto"/>
        <w:left w:val="none" w:sz="0" w:space="0" w:color="auto"/>
        <w:bottom w:val="none" w:sz="0" w:space="0" w:color="auto"/>
        <w:right w:val="none" w:sz="0" w:space="0" w:color="auto"/>
      </w:divBdr>
    </w:div>
    <w:div w:id="1413313224">
      <w:bodyDiv w:val="1"/>
      <w:marLeft w:val="0"/>
      <w:marRight w:val="0"/>
      <w:marTop w:val="0"/>
      <w:marBottom w:val="0"/>
      <w:divBdr>
        <w:top w:val="none" w:sz="0" w:space="0" w:color="auto"/>
        <w:left w:val="none" w:sz="0" w:space="0" w:color="auto"/>
        <w:bottom w:val="none" w:sz="0" w:space="0" w:color="auto"/>
        <w:right w:val="none" w:sz="0" w:space="0" w:color="auto"/>
      </w:divBdr>
    </w:div>
    <w:div w:id="1413357332">
      <w:bodyDiv w:val="1"/>
      <w:marLeft w:val="0"/>
      <w:marRight w:val="0"/>
      <w:marTop w:val="0"/>
      <w:marBottom w:val="0"/>
      <w:divBdr>
        <w:top w:val="none" w:sz="0" w:space="0" w:color="auto"/>
        <w:left w:val="none" w:sz="0" w:space="0" w:color="auto"/>
        <w:bottom w:val="none" w:sz="0" w:space="0" w:color="auto"/>
        <w:right w:val="none" w:sz="0" w:space="0" w:color="auto"/>
      </w:divBdr>
    </w:div>
    <w:div w:id="1413359013">
      <w:bodyDiv w:val="1"/>
      <w:marLeft w:val="0"/>
      <w:marRight w:val="0"/>
      <w:marTop w:val="0"/>
      <w:marBottom w:val="0"/>
      <w:divBdr>
        <w:top w:val="none" w:sz="0" w:space="0" w:color="auto"/>
        <w:left w:val="none" w:sz="0" w:space="0" w:color="auto"/>
        <w:bottom w:val="none" w:sz="0" w:space="0" w:color="auto"/>
        <w:right w:val="none" w:sz="0" w:space="0" w:color="auto"/>
      </w:divBdr>
    </w:div>
    <w:div w:id="1413812345">
      <w:bodyDiv w:val="1"/>
      <w:marLeft w:val="0"/>
      <w:marRight w:val="0"/>
      <w:marTop w:val="0"/>
      <w:marBottom w:val="0"/>
      <w:divBdr>
        <w:top w:val="none" w:sz="0" w:space="0" w:color="auto"/>
        <w:left w:val="none" w:sz="0" w:space="0" w:color="auto"/>
        <w:bottom w:val="none" w:sz="0" w:space="0" w:color="auto"/>
        <w:right w:val="none" w:sz="0" w:space="0" w:color="auto"/>
      </w:divBdr>
    </w:div>
    <w:div w:id="1414351477">
      <w:bodyDiv w:val="1"/>
      <w:marLeft w:val="0"/>
      <w:marRight w:val="0"/>
      <w:marTop w:val="0"/>
      <w:marBottom w:val="0"/>
      <w:divBdr>
        <w:top w:val="none" w:sz="0" w:space="0" w:color="auto"/>
        <w:left w:val="none" w:sz="0" w:space="0" w:color="auto"/>
        <w:bottom w:val="none" w:sz="0" w:space="0" w:color="auto"/>
        <w:right w:val="none" w:sz="0" w:space="0" w:color="auto"/>
      </w:divBdr>
    </w:div>
    <w:div w:id="1414860267">
      <w:bodyDiv w:val="1"/>
      <w:marLeft w:val="0"/>
      <w:marRight w:val="0"/>
      <w:marTop w:val="0"/>
      <w:marBottom w:val="0"/>
      <w:divBdr>
        <w:top w:val="none" w:sz="0" w:space="0" w:color="auto"/>
        <w:left w:val="none" w:sz="0" w:space="0" w:color="auto"/>
        <w:bottom w:val="none" w:sz="0" w:space="0" w:color="auto"/>
        <w:right w:val="none" w:sz="0" w:space="0" w:color="auto"/>
      </w:divBdr>
    </w:div>
    <w:div w:id="1414932882">
      <w:bodyDiv w:val="1"/>
      <w:marLeft w:val="0"/>
      <w:marRight w:val="0"/>
      <w:marTop w:val="0"/>
      <w:marBottom w:val="0"/>
      <w:divBdr>
        <w:top w:val="none" w:sz="0" w:space="0" w:color="auto"/>
        <w:left w:val="none" w:sz="0" w:space="0" w:color="auto"/>
        <w:bottom w:val="none" w:sz="0" w:space="0" w:color="auto"/>
        <w:right w:val="none" w:sz="0" w:space="0" w:color="auto"/>
      </w:divBdr>
    </w:div>
    <w:div w:id="1414934705">
      <w:bodyDiv w:val="1"/>
      <w:marLeft w:val="0"/>
      <w:marRight w:val="0"/>
      <w:marTop w:val="0"/>
      <w:marBottom w:val="0"/>
      <w:divBdr>
        <w:top w:val="none" w:sz="0" w:space="0" w:color="auto"/>
        <w:left w:val="none" w:sz="0" w:space="0" w:color="auto"/>
        <w:bottom w:val="none" w:sz="0" w:space="0" w:color="auto"/>
        <w:right w:val="none" w:sz="0" w:space="0" w:color="auto"/>
      </w:divBdr>
    </w:div>
    <w:div w:id="1415711734">
      <w:bodyDiv w:val="1"/>
      <w:marLeft w:val="0"/>
      <w:marRight w:val="0"/>
      <w:marTop w:val="0"/>
      <w:marBottom w:val="0"/>
      <w:divBdr>
        <w:top w:val="none" w:sz="0" w:space="0" w:color="auto"/>
        <w:left w:val="none" w:sz="0" w:space="0" w:color="auto"/>
        <w:bottom w:val="none" w:sz="0" w:space="0" w:color="auto"/>
        <w:right w:val="none" w:sz="0" w:space="0" w:color="auto"/>
      </w:divBdr>
    </w:div>
    <w:div w:id="1416199281">
      <w:bodyDiv w:val="1"/>
      <w:marLeft w:val="0"/>
      <w:marRight w:val="0"/>
      <w:marTop w:val="0"/>
      <w:marBottom w:val="0"/>
      <w:divBdr>
        <w:top w:val="none" w:sz="0" w:space="0" w:color="auto"/>
        <w:left w:val="none" w:sz="0" w:space="0" w:color="auto"/>
        <w:bottom w:val="none" w:sz="0" w:space="0" w:color="auto"/>
        <w:right w:val="none" w:sz="0" w:space="0" w:color="auto"/>
      </w:divBdr>
    </w:div>
    <w:div w:id="1416584562">
      <w:bodyDiv w:val="1"/>
      <w:marLeft w:val="0"/>
      <w:marRight w:val="0"/>
      <w:marTop w:val="0"/>
      <w:marBottom w:val="0"/>
      <w:divBdr>
        <w:top w:val="none" w:sz="0" w:space="0" w:color="auto"/>
        <w:left w:val="none" w:sz="0" w:space="0" w:color="auto"/>
        <w:bottom w:val="none" w:sz="0" w:space="0" w:color="auto"/>
        <w:right w:val="none" w:sz="0" w:space="0" w:color="auto"/>
      </w:divBdr>
    </w:div>
    <w:div w:id="1416904012">
      <w:bodyDiv w:val="1"/>
      <w:marLeft w:val="0"/>
      <w:marRight w:val="0"/>
      <w:marTop w:val="0"/>
      <w:marBottom w:val="0"/>
      <w:divBdr>
        <w:top w:val="none" w:sz="0" w:space="0" w:color="auto"/>
        <w:left w:val="none" w:sz="0" w:space="0" w:color="auto"/>
        <w:bottom w:val="none" w:sz="0" w:space="0" w:color="auto"/>
        <w:right w:val="none" w:sz="0" w:space="0" w:color="auto"/>
      </w:divBdr>
    </w:div>
    <w:div w:id="1417088426">
      <w:bodyDiv w:val="1"/>
      <w:marLeft w:val="0"/>
      <w:marRight w:val="0"/>
      <w:marTop w:val="0"/>
      <w:marBottom w:val="0"/>
      <w:divBdr>
        <w:top w:val="none" w:sz="0" w:space="0" w:color="auto"/>
        <w:left w:val="none" w:sz="0" w:space="0" w:color="auto"/>
        <w:bottom w:val="none" w:sz="0" w:space="0" w:color="auto"/>
        <w:right w:val="none" w:sz="0" w:space="0" w:color="auto"/>
      </w:divBdr>
    </w:div>
    <w:div w:id="1417241320">
      <w:bodyDiv w:val="1"/>
      <w:marLeft w:val="0"/>
      <w:marRight w:val="0"/>
      <w:marTop w:val="0"/>
      <w:marBottom w:val="0"/>
      <w:divBdr>
        <w:top w:val="none" w:sz="0" w:space="0" w:color="auto"/>
        <w:left w:val="none" w:sz="0" w:space="0" w:color="auto"/>
        <w:bottom w:val="none" w:sz="0" w:space="0" w:color="auto"/>
        <w:right w:val="none" w:sz="0" w:space="0" w:color="auto"/>
      </w:divBdr>
    </w:div>
    <w:div w:id="1417554233">
      <w:bodyDiv w:val="1"/>
      <w:marLeft w:val="0"/>
      <w:marRight w:val="0"/>
      <w:marTop w:val="0"/>
      <w:marBottom w:val="0"/>
      <w:divBdr>
        <w:top w:val="none" w:sz="0" w:space="0" w:color="auto"/>
        <w:left w:val="none" w:sz="0" w:space="0" w:color="auto"/>
        <w:bottom w:val="none" w:sz="0" w:space="0" w:color="auto"/>
        <w:right w:val="none" w:sz="0" w:space="0" w:color="auto"/>
      </w:divBdr>
    </w:div>
    <w:div w:id="1417943064">
      <w:bodyDiv w:val="1"/>
      <w:marLeft w:val="0"/>
      <w:marRight w:val="0"/>
      <w:marTop w:val="0"/>
      <w:marBottom w:val="0"/>
      <w:divBdr>
        <w:top w:val="none" w:sz="0" w:space="0" w:color="auto"/>
        <w:left w:val="none" w:sz="0" w:space="0" w:color="auto"/>
        <w:bottom w:val="none" w:sz="0" w:space="0" w:color="auto"/>
        <w:right w:val="none" w:sz="0" w:space="0" w:color="auto"/>
      </w:divBdr>
    </w:div>
    <w:div w:id="1418869339">
      <w:bodyDiv w:val="1"/>
      <w:marLeft w:val="0"/>
      <w:marRight w:val="0"/>
      <w:marTop w:val="0"/>
      <w:marBottom w:val="0"/>
      <w:divBdr>
        <w:top w:val="none" w:sz="0" w:space="0" w:color="auto"/>
        <w:left w:val="none" w:sz="0" w:space="0" w:color="auto"/>
        <w:bottom w:val="none" w:sz="0" w:space="0" w:color="auto"/>
        <w:right w:val="none" w:sz="0" w:space="0" w:color="auto"/>
      </w:divBdr>
    </w:div>
    <w:div w:id="1419058089">
      <w:bodyDiv w:val="1"/>
      <w:marLeft w:val="0"/>
      <w:marRight w:val="0"/>
      <w:marTop w:val="0"/>
      <w:marBottom w:val="0"/>
      <w:divBdr>
        <w:top w:val="none" w:sz="0" w:space="0" w:color="auto"/>
        <w:left w:val="none" w:sz="0" w:space="0" w:color="auto"/>
        <w:bottom w:val="none" w:sz="0" w:space="0" w:color="auto"/>
        <w:right w:val="none" w:sz="0" w:space="0" w:color="auto"/>
      </w:divBdr>
    </w:div>
    <w:div w:id="1420255317">
      <w:bodyDiv w:val="1"/>
      <w:marLeft w:val="0"/>
      <w:marRight w:val="0"/>
      <w:marTop w:val="0"/>
      <w:marBottom w:val="0"/>
      <w:divBdr>
        <w:top w:val="none" w:sz="0" w:space="0" w:color="auto"/>
        <w:left w:val="none" w:sz="0" w:space="0" w:color="auto"/>
        <w:bottom w:val="none" w:sz="0" w:space="0" w:color="auto"/>
        <w:right w:val="none" w:sz="0" w:space="0" w:color="auto"/>
      </w:divBdr>
    </w:div>
    <w:div w:id="1420524453">
      <w:bodyDiv w:val="1"/>
      <w:marLeft w:val="0"/>
      <w:marRight w:val="0"/>
      <w:marTop w:val="0"/>
      <w:marBottom w:val="0"/>
      <w:divBdr>
        <w:top w:val="none" w:sz="0" w:space="0" w:color="auto"/>
        <w:left w:val="none" w:sz="0" w:space="0" w:color="auto"/>
        <w:bottom w:val="none" w:sz="0" w:space="0" w:color="auto"/>
        <w:right w:val="none" w:sz="0" w:space="0" w:color="auto"/>
      </w:divBdr>
    </w:div>
    <w:div w:id="1421680685">
      <w:bodyDiv w:val="1"/>
      <w:marLeft w:val="0"/>
      <w:marRight w:val="0"/>
      <w:marTop w:val="0"/>
      <w:marBottom w:val="0"/>
      <w:divBdr>
        <w:top w:val="none" w:sz="0" w:space="0" w:color="auto"/>
        <w:left w:val="none" w:sz="0" w:space="0" w:color="auto"/>
        <w:bottom w:val="none" w:sz="0" w:space="0" w:color="auto"/>
        <w:right w:val="none" w:sz="0" w:space="0" w:color="auto"/>
      </w:divBdr>
    </w:div>
    <w:div w:id="1421873586">
      <w:bodyDiv w:val="1"/>
      <w:marLeft w:val="0"/>
      <w:marRight w:val="0"/>
      <w:marTop w:val="0"/>
      <w:marBottom w:val="0"/>
      <w:divBdr>
        <w:top w:val="none" w:sz="0" w:space="0" w:color="auto"/>
        <w:left w:val="none" w:sz="0" w:space="0" w:color="auto"/>
        <w:bottom w:val="none" w:sz="0" w:space="0" w:color="auto"/>
        <w:right w:val="none" w:sz="0" w:space="0" w:color="auto"/>
      </w:divBdr>
    </w:div>
    <w:div w:id="1422410577">
      <w:bodyDiv w:val="1"/>
      <w:marLeft w:val="0"/>
      <w:marRight w:val="0"/>
      <w:marTop w:val="0"/>
      <w:marBottom w:val="0"/>
      <w:divBdr>
        <w:top w:val="none" w:sz="0" w:space="0" w:color="auto"/>
        <w:left w:val="none" w:sz="0" w:space="0" w:color="auto"/>
        <w:bottom w:val="none" w:sz="0" w:space="0" w:color="auto"/>
        <w:right w:val="none" w:sz="0" w:space="0" w:color="auto"/>
      </w:divBdr>
    </w:div>
    <w:div w:id="1422868438">
      <w:bodyDiv w:val="1"/>
      <w:marLeft w:val="0"/>
      <w:marRight w:val="0"/>
      <w:marTop w:val="0"/>
      <w:marBottom w:val="0"/>
      <w:divBdr>
        <w:top w:val="none" w:sz="0" w:space="0" w:color="auto"/>
        <w:left w:val="none" w:sz="0" w:space="0" w:color="auto"/>
        <w:bottom w:val="none" w:sz="0" w:space="0" w:color="auto"/>
        <w:right w:val="none" w:sz="0" w:space="0" w:color="auto"/>
      </w:divBdr>
    </w:div>
    <w:div w:id="1423066996">
      <w:bodyDiv w:val="1"/>
      <w:marLeft w:val="0"/>
      <w:marRight w:val="0"/>
      <w:marTop w:val="0"/>
      <w:marBottom w:val="0"/>
      <w:divBdr>
        <w:top w:val="none" w:sz="0" w:space="0" w:color="auto"/>
        <w:left w:val="none" w:sz="0" w:space="0" w:color="auto"/>
        <w:bottom w:val="none" w:sz="0" w:space="0" w:color="auto"/>
        <w:right w:val="none" w:sz="0" w:space="0" w:color="auto"/>
      </w:divBdr>
    </w:div>
    <w:div w:id="1423141003">
      <w:bodyDiv w:val="1"/>
      <w:marLeft w:val="0"/>
      <w:marRight w:val="0"/>
      <w:marTop w:val="0"/>
      <w:marBottom w:val="0"/>
      <w:divBdr>
        <w:top w:val="none" w:sz="0" w:space="0" w:color="auto"/>
        <w:left w:val="none" w:sz="0" w:space="0" w:color="auto"/>
        <w:bottom w:val="none" w:sz="0" w:space="0" w:color="auto"/>
        <w:right w:val="none" w:sz="0" w:space="0" w:color="auto"/>
      </w:divBdr>
    </w:div>
    <w:div w:id="1423185966">
      <w:bodyDiv w:val="1"/>
      <w:marLeft w:val="0"/>
      <w:marRight w:val="0"/>
      <w:marTop w:val="0"/>
      <w:marBottom w:val="0"/>
      <w:divBdr>
        <w:top w:val="none" w:sz="0" w:space="0" w:color="auto"/>
        <w:left w:val="none" w:sz="0" w:space="0" w:color="auto"/>
        <w:bottom w:val="none" w:sz="0" w:space="0" w:color="auto"/>
        <w:right w:val="none" w:sz="0" w:space="0" w:color="auto"/>
      </w:divBdr>
    </w:div>
    <w:div w:id="1423796784">
      <w:bodyDiv w:val="1"/>
      <w:marLeft w:val="0"/>
      <w:marRight w:val="0"/>
      <w:marTop w:val="0"/>
      <w:marBottom w:val="0"/>
      <w:divBdr>
        <w:top w:val="none" w:sz="0" w:space="0" w:color="auto"/>
        <w:left w:val="none" w:sz="0" w:space="0" w:color="auto"/>
        <w:bottom w:val="none" w:sz="0" w:space="0" w:color="auto"/>
        <w:right w:val="none" w:sz="0" w:space="0" w:color="auto"/>
      </w:divBdr>
    </w:div>
    <w:div w:id="1424228906">
      <w:bodyDiv w:val="1"/>
      <w:marLeft w:val="0"/>
      <w:marRight w:val="0"/>
      <w:marTop w:val="0"/>
      <w:marBottom w:val="0"/>
      <w:divBdr>
        <w:top w:val="none" w:sz="0" w:space="0" w:color="auto"/>
        <w:left w:val="none" w:sz="0" w:space="0" w:color="auto"/>
        <w:bottom w:val="none" w:sz="0" w:space="0" w:color="auto"/>
        <w:right w:val="none" w:sz="0" w:space="0" w:color="auto"/>
      </w:divBdr>
    </w:div>
    <w:div w:id="1424260588">
      <w:bodyDiv w:val="1"/>
      <w:marLeft w:val="0"/>
      <w:marRight w:val="0"/>
      <w:marTop w:val="0"/>
      <w:marBottom w:val="0"/>
      <w:divBdr>
        <w:top w:val="none" w:sz="0" w:space="0" w:color="auto"/>
        <w:left w:val="none" w:sz="0" w:space="0" w:color="auto"/>
        <w:bottom w:val="none" w:sz="0" w:space="0" w:color="auto"/>
        <w:right w:val="none" w:sz="0" w:space="0" w:color="auto"/>
      </w:divBdr>
    </w:div>
    <w:div w:id="1424644418">
      <w:bodyDiv w:val="1"/>
      <w:marLeft w:val="0"/>
      <w:marRight w:val="0"/>
      <w:marTop w:val="0"/>
      <w:marBottom w:val="0"/>
      <w:divBdr>
        <w:top w:val="none" w:sz="0" w:space="0" w:color="auto"/>
        <w:left w:val="none" w:sz="0" w:space="0" w:color="auto"/>
        <w:bottom w:val="none" w:sz="0" w:space="0" w:color="auto"/>
        <w:right w:val="none" w:sz="0" w:space="0" w:color="auto"/>
      </w:divBdr>
    </w:div>
    <w:div w:id="1424760190">
      <w:bodyDiv w:val="1"/>
      <w:marLeft w:val="0"/>
      <w:marRight w:val="0"/>
      <w:marTop w:val="0"/>
      <w:marBottom w:val="0"/>
      <w:divBdr>
        <w:top w:val="none" w:sz="0" w:space="0" w:color="auto"/>
        <w:left w:val="none" w:sz="0" w:space="0" w:color="auto"/>
        <w:bottom w:val="none" w:sz="0" w:space="0" w:color="auto"/>
        <w:right w:val="none" w:sz="0" w:space="0" w:color="auto"/>
      </w:divBdr>
    </w:div>
    <w:div w:id="1424841254">
      <w:bodyDiv w:val="1"/>
      <w:marLeft w:val="0"/>
      <w:marRight w:val="0"/>
      <w:marTop w:val="0"/>
      <w:marBottom w:val="0"/>
      <w:divBdr>
        <w:top w:val="none" w:sz="0" w:space="0" w:color="auto"/>
        <w:left w:val="none" w:sz="0" w:space="0" w:color="auto"/>
        <w:bottom w:val="none" w:sz="0" w:space="0" w:color="auto"/>
        <w:right w:val="none" w:sz="0" w:space="0" w:color="auto"/>
      </w:divBdr>
    </w:div>
    <w:div w:id="1425151292">
      <w:bodyDiv w:val="1"/>
      <w:marLeft w:val="0"/>
      <w:marRight w:val="0"/>
      <w:marTop w:val="0"/>
      <w:marBottom w:val="0"/>
      <w:divBdr>
        <w:top w:val="none" w:sz="0" w:space="0" w:color="auto"/>
        <w:left w:val="none" w:sz="0" w:space="0" w:color="auto"/>
        <w:bottom w:val="none" w:sz="0" w:space="0" w:color="auto"/>
        <w:right w:val="none" w:sz="0" w:space="0" w:color="auto"/>
      </w:divBdr>
    </w:div>
    <w:div w:id="1425226079">
      <w:bodyDiv w:val="1"/>
      <w:marLeft w:val="0"/>
      <w:marRight w:val="0"/>
      <w:marTop w:val="0"/>
      <w:marBottom w:val="0"/>
      <w:divBdr>
        <w:top w:val="none" w:sz="0" w:space="0" w:color="auto"/>
        <w:left w:val="none" w:sz="0" w:space="0" w:color="auto"/>
        <w:bottom w:val="none" w:sz="0" w:space="0" w:color="auto"/>
        <w:right w:val="none" w:sz="0" w:space="0" w:color="auto"/>
      </w:divBdr>
    </w:div>
    <w:div w:id="1426875836">
      <w:bodyDiv w:val="1"/>
      <w:marLeft w:val="0"/>
      <w:marRight w:val="0"/>
      <w:marTop w:val="0"/>
      <w:marBottom w:val="0"/>
      <w:divBdr>
        <w:top w:val="none" w:sz="0" w:space="0" w:color="auto"/>
        <w:left w:val="none" w:sz="0" w:space="0" w:color="auto"/>
        <w:bottom w:val="none" w:sz="0" w:space="0" w:color="auto"/>
        <w:right w:val="none" w:sz="0" w:space="0" w:color="auto"/>
      </w:divBdr>
    </w:div>
    <w:div w:id="1427263892">
      <w:bodyDiv w:val="1"/>
      <w:marLeft w:val="0"/>
      <w:marRight w:val="0"/>
      <w:marTop w:val="0"/>
      <w:marBottom w:val="0"/>
      <w:divBdr>
        <w:top w:val="none" w:sz="0" w:space="0" w:color="auto"/>
        <w:left w:val="none" w:sz="0" w:space="0" w:color="auto"/>
        <w:bottom w:val="none" w:sz="0" w:space="0" w:color="auto"/>
        <w:right w:val="none" w:sz="0" w:space="0" w:color="auto"/>
      </w:divBdr>
    </w:div>
    <w:div w:id="1428116510">
      <w:bodyDiv w:val="1"/>
      <w:marLeft w:val="0"/>
      <w:marRight w:val="0"/>
      <w:marTop w:val="0"/>
      <w:marBottom w:val="0"/>
      <w:divBdr>
        <w:top w:val="none" w:sz="0" w:space="0" w:color="auto"/>
        <w:left w:val="none" w:sz="0" w:space="0" w:color="auto"/>
        <w:bottom w:val="none" w:sz="0" w:space="0" w:color="auto"/>
        <w:right w:val="none" w:sz="0" w:space="0" w:color="auto"/>
      </w:divBdr>
    </w:div>
    <w:div w:id="1428697155">
      <w:bodyDiv w:val="1"/>
      <w:marLeft w:val="0"/>
      <w:marRight w:val="0"/>
      <w:marTop w:val="0"/>
      <w:marBottom w:val="0"/>
      <w:divBdr>
        <w:top w:val="none" w:sz="0" w:space="0" w:color="auto"/>
        <w:left w:val="none" w:sz="0" w:space="0" w:color="auto"/>
        <w:bottom w:val="none" w:sz="0" w:space="0" w:color="auto"/>
        <w:right w:val="none" w:sz="0" w:space="0" w:color="auto"/>
      </w:divBdr>
    </w:div>
    <w:div w:id="1428884832">
      <w:bodyDiv w:val="1"/>
      <w:marLeft w:val="0"/>
      <w:marRight w:val="0"/>
      <w:marTop w:val="0"/>
      <w:marBottom w:val="0"/>
      <w:divBdr>
        <w:top w:val="none" w:sz="0" w:space="0" w:color="auto"/>
        <w:left w:val="none" w:sz="0" w:space="0" w:color="auto"/>
        <w:bottom w:val="none" w:sz="0" w:space="0" w:color="auto"/>
        <w:right w:val="none" w:sz="0" w:space="0" w:color="auto"/>
      </w:divBdr>
    </w:div>
    <w:div w:id="1429279239">
      <w:bodyDiv w:val="1"/>
      <w:marLeft w:val="0"/>
      <w:marRight w:val="0"/>
      <w:marTop w:val="0"/>
      <w:marBottom w:val="0"/>
      <w:divBdr>
        <w:top w:val="none" w:sz="0" w:space="0" w:color="auto"/>
        <w:left w:val="none" w:sz="0" w:space="0" w:color="auto"/>
        <w:bottom w:val="none" w:sz="0" w:space="0" w:color="auto"/>
        <w:right w:val="none" w:sz="0" w:space="0" w:color="auto"/>
      </w:divBdr>
    </w:div>
    <w:div w:id="1429934763">
      <w:bodyDiv w:val="1"/>
      <w:marLeft w:val="0"/>
      <w:marRight w:val="0"/>
      <w:marTop w:val="0"/>
      <w:marBottom w:val="0"/>
      <w:divBdr>
        <w:top w:val="none" w:sz="0" w:space="0" w:color="auto"/>
        <w:left w:val="none" w:sz="0" w:space="0" w:color="auto"/>
        <w:bottom w:val="none" w:sz="0" w:space="0" w:color="auto"/>
        <w:right w:val="none" w:sz="0" w:space="0" w:color="auto"/>
      </w:divBdr>
    </w:div>
    <w:div w:id="1430004664">
      <w:bodyDiv w:val="1"/>
      <w:marLeft w:val="0"/>
      <w:marRight w:val="0"/>
      <w:marTop w:val="0"/>
      <w:marBottom w:val="0"/>
      <w:divBdr>
        <w:top w:val="none" w:sz="0" w:space="0" w:color="auto"/>
        <w:left w:val="none" w:sz="0" w:space="0" w:color="auto"/>
        <w:bottom w:val="none" w:sz="0" w:space="0" w:color="auto"/>
        <w:right w:val="none" w:sz="0" w:space="0" w:color="auto"/>
      </w:divBdr>
    </w:div>
    <w:div w:id="1430154509">
      <w:bodyDiv w:val="1"/>
      <w:marLeft w:val="0"/>
      <w:marRight w:val="0"/>
      <w:marTop w:val="0"/>
      <w:marBottom w:val="0"/>
      <w:divBdr>
        <w:top w:val="none" w:sz="0" w:space="0" w:color="auto"/>
        <w:left w:val="none" w:sz="0" w:space="0" w:color="auto"/>
        <w:bottom w:val="none" w:sz="0" w:space="0" w:color="auto"/>
        <w:right w:val="none" w:sz="0" w:space="0" w:color="auto"/>
      </w:divBdr>
    </w:div>
    <w:div w:id="1430538418">
      <w:bodyDiv w:val="1"/>
      <w:marLeft w:val="0"/>
      <w:marRight w:val="0"/>
      <w:marTop w:val="0"/>
      <w:marBottom w:val="0"/>
      <w:divBdr>
        <w:top w:val="none" w:sz="0" w:space="0" w:color="auto"/>
        <w:left w:val="none" w:sz="0" w:space="0" w:color="auto"/>
        <w:bottom w:val="none" w:sz="0" w:space="0" w:color="auto"/>
        <w:right w:val="none" w:sz="0" w:space="0" w:color="auto"/>
      </w:divBdr>
    </w:div>
    <w:div w:id="1430546730">
      <w:bodyDiv w:val="1"/>
      <w:marLeft w:val="0"/>
      <w:marRight w:val="0"/>
      <w:marTop w:val="0"/>
      <w:marBottom w:val="0"/>
      <w:divBdr>
        <w:top w:val="none" w:sz="0" w:space="0" w:color="auto"/>
        <w:left w:val="none" w:sz="0" w:space="0" w:color="auto"/>
        <w:bottom w:val="none" w:sz="0" w:space="0" w:color="auto"/>
        <w:right w:val="none" w:sz="0" w:space="0" w:color="auto"/>
      </w:divBdr>
    </w:div>
    <w:div w:id="1430613175">
      <w:bodyDiv w:val="1"/>
      <w:marLeft w:val="0"/>
      <w:marRight w:val="0"/>
      <w:marTop w:val="0"/>
      <w:marBottom w:val="0"/>
      <w:divBdr>
        <w:top w:val="none" w:sz="0" w:space="0" w:color="auto"/>
        <w:left w:val="none" w:sz="0" w:space="0" w:color="auto"/>
        <w:bottom w:val="none" w:sz="0" w:space="0" w:color="auto"/>
        <w:right w:val="none" w:sz="0" w:space="0" w:color="auto"/>
      </w:divBdr>
    </w:div>
    <w:div w:id="1431195547">
      <w:bodyDiv w:val="1"/>
      <w:marLeft w:val="0"/>
      <w:marRight w:val="0"/>
      <w:marTop w:val="0"/>
      <w:marBottom w:val="0"/>
      <w:divBdr>
        <w:top w:val="none" w:sz="0" w:space="0" w:color="auto"/>
        <w:left w:val="none" w:sz="0" w:space="0" w:color="auto"/>
        <w:bottom w:val="none" w:sz="0" w:space="0" w:color="auto"/>
        <w:right w:val="none" w:sz="0" w:space="0" w:color="auto"/>
      </w:divBdr>
    </w:div>
    <w:div w:id="1431199024">
      <w:bodyDiv w:val="1"/>
      <w:marLeft w:val="0"/>
      <w:marRight w:val="0"/>
      <w:marTop w:val="0"/>
      <w:marBottom w:val="0"/>
      <w:divBdr>
        <w:top w:val="none" w:sz="0" w:space="0" w:color="auto"/>
        <w:left w:val="none" w:sz="0" w:space="0" w:color="auto"/>
        <w:bottom w:val="none" w:sz="0" w:space="0" w:color="auto"/>
        <w:right w:val="none" w:sz="0" w:space="0" w:color="auto"/>
      </w:divBdr>
    </w:div>
    <w:div w:id="1432045799">
      <w:bodyDiv w:val="1"/>
      <w:marLeft w:val="0"/>
      <w:marRight w:val="0"/>
      <w:marTop w:val="0"/>
      <w:marBottom w:val="0"/>
      <w:divBdr>
        <w:top w:val="none" w:sz="0" w:space="0" w:color="auto"/>
        <w:left w:val="none" w:sz="0" w:space="0" w:color="auto"/>
        <w:bottom w:val="none" w:sz="0" w:space="0" w:color="auto"/>
        <w:right w:val="none" w:sz="0" w:space="0" w:color="auto"/>
      </w:divBdr>
    </w:div>
    <w:div w:id="1432318876">
      <w:bodyDiv w:val="1"/>
      <w:marLeft w:val="0"/>
      <w:marRight w:val="0"/>
      <w:marTop w:val="0"/>
      <w:marBottom w:val="0"/>
      <w:divBdr>
        <w:top w:val="none" w:sz="0" w:space="0" w:color="auto"/>
        <w:left w:val="none" w:sz="0" w:space="0" w:color="auto"/>
        <w:bottom w:val="none" w:sz="0" w:space="0" w:color="auto"/>
        <w:right w:val="none" w:sz="0" w:space="0" w:color="auto"/>
      </w:divBdr>
    </w:div>
    <w:div w:id="1433162494">
      <w:bodyDiv w:val="1"/>
      <w:marLeft w:val="0"/>
      <w:marRight w:val="0"/>
      <w:marTop w:val="0"/>
      <w:marBottom w:val="0"/>
      <w:divBdr>
        <w:top w:val="none" w:sz="0" w:space="0" w:color="auto"/>
        <w:left w:val="none" w:sz="0" w:space="0" w:color="auto"/>
        <w:bottom w:val="none" w:sz="0" w:space="0" w:color="auto"/>
        <w:right w:val="none" w:sz="0" w:space="0" w:color="auto"/>
      </w:divBdr>
    </w:div>
    <w:div w:id="1433546611">
      <w:bodyDiv w:val="1"/>
      <w:marLeft w:val="0"/>
      <w:marRight w:val="0"/>
      <w:marTop w:val="0"/>
      <w:marBottom w:val="0"/>
      <w:divBdr>
        <w:top w:val="none" w:sz="0" w:space="0" w:color="auto"/>
        <w:left w:val="none" w:sz="0" w:space="0" w:color="auto"/>
        <w:bottom w:val="none" w:sz="0" w:space="0" w:color="auto"/>
        <w:right w:val="none" w:sz="0" w:space="0" w:color="auto"/>
      </w:divBdr>
    </w:div>
    <w:div w:id="1433623077">
      <w:bodyDiv w:val="1"/>
      <w:marLeft w:val="0"/>
      <w:marRight w:val="0"/>
      <w:marTop w:val="0"/>
      <w:marBottom w:val="0"/>
      <w:divBdr>
        <w:top w:val="none" w:sz="0" w:space="0" w:color="auto"/>
        <w:left w:val="none" w:sz="0" w:space="0" w:color="auto"/>
        <w:bottom w:val="none" w:sz="0" w:space="0" w:color="auto"/>
        <w:right w:val="none" w:sz="0" w:space="0" w:color="auto"/>
      </w:divBdr>
    </w:div>
    <w:div w:id="1434129875">
      <w:bodyDiv w:val="1"/>
      <w:marLeft w:val="0"/>
      <w:marRight w:val="0"/>
      <w:marTop w:val="0"/>
      <w:marBottom w:val="0"/>
      <w:divBdr>
        <w:top w:val="none" w:sz="0" w:space="0" w:color="auto"/>
        <w:left w:val="none" w:sz="0" w:space="0" w:color="auto"/>
        <w:bottom w:val="none" w:sz="0" w:space="0" w:color="auto"/>
        <w:right w:val="none" w:sz="0" w:space="0" w:color="auto"/>
      </w:divBdr>
    </w:div>
    <w:div w:id="1434546854">
      <w:bodyDiv w:val="1"/>
      <w:marLeft w:val="0"/>
      <w:marRight w:val="0"/>
      <w:marTop w:val="0"/>
      <w:marBottom w:val="0"/>
      <w:divBdr>
        <w:top w:val="none" w:sz="0" w:space="0" w:color="auto"/>
        <w:left w:val="none" w:sz="0" w:space="0" w:color="auto"/>
        <w:bottom w:val="none" w:sz="0" w:space="0" w:color="auto"/>
        <w:right w:val="none" w:sz="0" w:space="0" w:color="auto"/>
      </w:divBdr>
    </w:div>
    <w:div w:id="1434548837">
      <w:bodyDiv w:val="1"/>
      <w:marLeft w:val="0"/>
      <w:marRight w:val="0"/>
      <w:marTop w:val="0"/>
      <w:marBottom w:val="0"/>
      <w:divBdr>
        <w:top w:val="none" w:sz="0" w:space="0" w:color="auto"/>
        <w:left w:val="none" w:sz="0" w:space="0" w:color="auto"/>
        <w:bottom w:val="none" w:sz="0" w:space="0" w:color="auto"/>
        <w:right w:val="none" w:sz="0" w:space="0" w:color="auto"/>
      </w:divBdr>
    </w:div>
    <w:div w:id="1435587222">
      <w:bodyDiv w:val="1"/>
      <w:marLeft w:val="0"/>
      <w:marRight w:val="0"/>
      <w:marTop w:val="0"/>
      <w:marBottom w:val="0"/>
      <w:divBdr>
        <w:top w:val="none" w:sz="0" w:space="0" w:color="auto"/>
        <w:left w:val="none" w:sz="0" w:space="0" w:color="auto"/>
        <w:bottom w:val="none" w:sz="0" w:space="0" w:color="auto"/>
        <w:right w:val="none" w:sz="0" w:space="0" w:color="auto"/>
      </w:divBdr>
    </w:div>
    <w:div w:id="1436099458">
      <w:bodyDiv w:val="1"/>
      <w:marLeft w:val="0"/>
      <w:marRight w:val="0"/>
      <w:marTop w:val="0"/>
      <w:marBottom w:val="0"/>
      <w:divBdr>
        <w:top w:val="none" w:sz="0" w:space="0" w:color="auto"/>
        <w:left w:val="none" w:sz="0" w:space="0" w:color="auto"/>
        <w:bottom w:val="none" w:sz="0" w:space="0" w:color="auto"/>
        <w:right w:val="none" w:sz="0" w:space="0" w:color="auto"/>
      </w:divBdr>
    </w:div>
    <w:div w:id="1436250604">
      <w:bodyDiv w:val="1"/>
      <w:marLeft w:val="0"/>
      <w:marRight w:val="0"/>
      <w:marTop w:val="0"/>
      <w:marBottom w:val="0"/>
      <w:divBdr>
        <w:top w:val="none" w:sz="0" w:space="0" w:color="auto"/>
        <w:left w:val="none" w:sz="0" w:space="0" w:color="auto"/>
        <w:bottom w:val="none" w:sz="0" w:space="0" w:color="auto"/>
        <w:right w:val="none" w:sz="0" w:space="0" w:color="auto"/>
      </w:divBdr>
    </w:div>
    <w:div w:id="1436289949">
      <w:bodyDiv w:val="1"/>
      <w:marLeft w:val="0"/>
      <w:marRight w:val="0"/>
      <w:marTop w:val="0"/>
      <w:marBottom w:val="0"/>
      <w:divBdr>
        <w:top w:val="none" w:sz="0" w:space="0" w:color="auto"/>
        <w:left w:val="none" w:sz="0" w:space="0" w:color="auto"/>
        <w:bottom w:val="none" w:sz="0" w:space="0" w:color="auto"/>
        <w:right w:val="none" w:sz="0" w:space="0" w:color="auto"/>
      </w:divBdr>
    </w:div>
    <w:div w:id="1436486701">
      <w:bodyDiv w:val="1"/>
      <w:marLeft w:val="0"/>
      <w:marRight w:val="0"/>
      <w:marTop w:val="0"/>
      <w:marBottom w:val="0"/>
      <w:divBdr>
        <w:top w:val="none" w:sz="0" w:space="0" w:color="auto"/>
        <w:left w:val="none" w:sz="0" w:space="0" w:color="auto"/>
        <w:bottom w:val="none" w:sz="0" w:space="0" w:color="auto"/>
        <w:right w:val="none" w:sz="0" w:space="0" w:color="auto"/>
      </w:divBdr>
    </w:div>
    <w:div w:id="1436754910">
      <w:bodyDiv w:val="1"/>
      <w:marLeft w:val="0"/>
      <w:marRight w:val="0"/>
      <w:marTop w:val="0"/>
      <w:marBottom w:val="0"/>
      <w:divBdr>
        <w:top w:val="none" w:sz="0" w:space="0" w:color="auto"/>
        <w:left w:val="none" w:sz="0" w:space="0" w:color="auto"/>
        <w:bottom w:val="none" w:sz="0" w:space="0" w:color="auto"/>
        <w:right w:val="none" w:sz="0" w:space="0" w:color="auto"/>
      </w:divBdr>
    </w:div>
    <w:div w:id="1436825489">
      <w:bodyDiv w:val="1"/>
      <w:marLeft w:val="0"/>
      <w:marRight w:val="0"/>
      <w:marTop w:val="0"/>
      <w:marBottom w:val="0"/>
      <w:divBdr>
        <w:top w:val="none" w:sz="0" w:space="0" w:color="auto"/>
        <w:left w:val="none" w:sz="0" w:space="0" w:color="auto"/>
        <w:bottom w:val="none" w:sz="0" w:space="0" w:color="auto"/>
        <w:right w:val="none" w:sz="0" w:space="0" w:color="auto"/>
      </w:divBdr>
    </w:div>
    <w:div w:id="1437016971">
      <w:bodyDiv w:val="1"/>
      <w:marLeft w:val="0"/>
      <w:marRight w:val="0"/>
      <w:marTop w:val="0"/>
      <w:marBottom w:val="0"/>
      <w:divBdr>
        <w:top w:val="none" w:sz="0" w:space="0" w:color="auto"/>
        <w:left w:val="none" w:sz="0" w:space="0" w:color="auto"/>
        <w:bottom w:val="none" w:sz="0" w:space="0" w:color="auto"/>
        <w:right w:val="none" w:sz="0" w:space="0" w:color="auto"/>
      </w:divBdr>
    </w:div>
    <w:div w:id="1437286262">
      <w:bodyDiv w:val="1"/>
      <w:marLeft w:val="0"/>
      <w:marRight w:val="0"/>
      <w:marTop w:val="0"/>
      <w:marBottom w:val="0"/>
      <w:divBdr>
        <w:top w:val="none" w:sz="0" w:space="0" w:color="auto"/>
        <w:left w:val="none" w:sz="0" w:space="0" w:color="auto"/>
        <w:bottom w:val="none" w:sz="0" w:space="0" w:color="auto"/>
        <w:right w:val="none" w:sz="0" w:space="0" w:color="auto"/>
      </w:divBdr>
    </w:div>
    <w:div w:id="1437408685">
      <w:bodyDiv w:val="1"/>
      <w:marLeft w:val="0"/>
      <w:marRight w:val="0"/>
      <w:marTop w:val="0"/>
      <w:marBottom w:val="0"/>
      <w:divBdr>
        <w:top w:val="none" w:sz="0" w:space="0" w:color="auto"/>
        <w:left w:val="none" w:sz="0" w:space="0" w:color="auto"/>
        <w:bottom w:val="none" w:sz="0" w:space="0" w:color="auto"/>
        <w:right w:val="none" w:sz="0" w:space="0" w:color="auto"/>
      </w:divBdr>
    </w:div>
    <w:div w:id="1437824328">
      <w:bodyDiv w:val="1"/>
      <w:marLeft w:val="0"/>
      <w:marRight w:val="0"/>
      <w:marTop w:val="0"/>
      <w:marBottom w:val="0"/>
      <w:divBdr>
        <w:top w:val="none" w:sz="0" w:space="0" w:color="auto"/>
        <w:left w:val="none" w:sz="0" w:space="0" w:color="auto"/>
        <w:bottom w:val="none" w:sz="0" w:space="0" w:color="auto"/>
        <w:right w:val="none" w:sz="0" w:space="0" w:color="auto"/>
      </w:divBdr>
    </w:div>
    <w:div w:id="1438405157">
      <w:bodyDiv w:val="1"/>
      <w:marLeft w:val="0"/>
      <w:marRight w:val="0"/>
      <w:marTop w:val="0"/>
      <w:marBottom w:val="0"/>
      <w:divBdr>
        <w:top w:val="none" w:sz="0" w:space="0" w:color="auto"/>
        <w:left w:val="none" w:sz="0" w:space="0" w:color="auto"/>
        <w:bottom w:val="none" w:sz="0" w:space="0" w:color="auto"/>
        <w:right w:val="none" w:sz="0" w:space="0" w:color="auto"/>
      </w:divBdr>
    </w:div>
    <w:div w:id="1439106448">
      <w:bodyDiv w:val="1"/>
      <w:marLeft w:val="0"/>
      <w:marRight w:val="0"/>
      <w:marTop w:val="0"/>
      <w:marBottom w:val="0"/>
      <w:divBdr>
        <w:top w:val="none" w:sz="0" w:space="0" w:color="auto"/>
        <w:left w:val="none" w:sz="0" w:space="0" w:color="auto"/>
        <w:bottom w:val="none" w:sz="0" w:space="0" w:color="auto"/>
        <w:right w:val="none" w:sz="0" w:space="0" w:color="auto"/>
      </w:divBdr>
    </w:div>
    <w:div w:id="1439637533">
      <w:bodyDiv w:val="1"/>
      <w:marLeft w:val="0"/>
      <w:marRight w:val="0"/>
      <w:marTop w:val="0"/>
      <w:marBottom w:val="0"/>
      <w:divBdr>
        <w:top w:val="none" w:sz="0" w:space="0" w:color="auto"/>
        <w:left w:val="none" w:sz="0" w:space="0" w:color="auto"/>
        <w:bottom w:val="none" w:sz="0" w:space="0" w:color="auto"/>
        <w:right w:val="none" w:sz="0" w:space="0" w:color="auto"/>
      </w:divBdr>
    </w:div>
    <w:div w:id="1440685184">
      <w:bodyDiv w:val="1"/>
      <w:marLeft w:val="0"/>
      <w:marRight w:val="0"/>
      <w:marTop w:val="0"/>
      <w:marBottom w:val="0"/>
      <w:divBdr>
        <w:top w:val="none" w:sz="0" w:space="0" w:color="auto"/>
        <w:left w:val="none" w:sz="0" w:space="0" w:color="auto"/>
        <w:bottom w:val="none" w:sz="0" w:space="0" w:color="auto"/>
        <w:right w:val="none" w:sz="0" w:space="0" w:color="auto"/>
      </w:divBdr>
    </w:div>
    <w:div w:id="1440877943">
      <w:bodyDiv w:val="1"/>
      <w:marLeft w:val="0"/>
      <w:marRight w:val="0"/>
      <w:marTop w:val="0"/>
      <w:marBottom w:val="0"/>
      <w:divBdr>
        <w:top w:val="none" w:sz="0" w:space="0" w:color="auto"/>
        <w:left w:val="none" w:sz="0" w:space="0" w:color="auto"/>
        <w:bottom w:val="none" w:sz="0" w:space="0" w:color="auto"/>
        <w:right w:val="none" w:sz="0" w:space="0" w:color="auto"/>
      </w:divBdr>
    </w:div>
    <w:div w:id="1441142091">
      <w:bodyDiv w:val="1"/>
      <w:marLeft w:val="0"/>
      <w:marRight w:val="0"/>
      <w:marTop w:val="0"/>
      <w:marBottom w:val="0"/>
      <w:divBdr>
        <w:top w:val="none" w:sz="0" w:space="0" w:color="auto"/>
        <w:left w:val="none" w:sz="0" w:space="0" w:color="auto"/>
        <w:bottom w:val="none" w:sz="0" w:space="0" w:color="auto"/>
        <w:right w:val="none" w:sz="0" w:space="0" w:color="auto"/>
      </w:divBdr>
    </w:div>
    <w:div w:id="1441560160">
      <w:bodyDiv w:val="1"/>
      <w:marLeft w:val="0"/>
      <w:marRight w:val="0"/>
      <w:marTop w:val="0"/>
      <w:marBottom w:val="0"/>
      <w:divBdr>
        <w:top w:val="none" w:sz="0" w:space="0" w:color="auto"/>
        <w:left w:val="none" w:sz="0" w:space="0" w:color="auto"/>
        <w:bottom w:val="none" w:sz="0" w:space="0" w:color="auto"/>
        <w:right w:val="none" w:sz="0" w:space="0" w:color="auto"/>
      </w:divBdr>
    </w:div>
    <w:div w:id="1442070639">
      <w:bodyDiv w:val="1"/>
      <w:marLeft w:val="0"/>
      <w:marRight w:val="0"/>
      <w:marTop w:val="0"/>
      <w:marBottom w:val="0"/>
      <w:divBdr>
        <w:top w:val="none" w:sz="0" w:space="0" w:color="auto"/>
        <w:left w:val="none" w:sz="0" w:space="0" w:color="auto"/>
        <w:bottom w:val="none" w:sz="0" w:space="0" w:color="auto"/>
        <w:right w:val="none" w:sz="0" w:space="0" w:color="auto"/>
      </w:divBdr>
    </w:div>
    <w:div w:id="1442723234">
      <w:bodyDiv w:val="1"/>
      <w:marLeft w:val="0"/>
      <w:marRight w:val="0"/>
      <w:marTop w:val="0"/>
      <w:marBottom w:val="0"/>
      <w:divBdr>
        <w:top w:val="none" w:sz="0" w:space="0" w:color="auto"/>
        <w:left w:val="none" w:sz="0" w:space="0" w:color="auto"/>
        <w:bottom w:val="none" w:sz="0" w:space="0" w:color="auto"/>
        <w:right w:val="none" w:sz="0" w:space="0" w:color="auto"/>
      </w:divBdr>
    </w:div>
    <w:div w:id="1443452633">
      <w:bodyDiv w:val="1"/>
      <w:marLeft w:val="0"/>
      <w:marRight w:val="0"/>
      <w:marTop w:val="0"/>
      <w:marBottom w:val="0"/>
      <w:divBdr>
        <w:top w:val="none" w:sz="0" w:space="0" w:color="auto"/>
        <w:left w:val="none" w:sz="0" w:space="0" w:color="auto"/>
        <w:bottom w:val="none" w:sz="0" w:space="0" w:color="auto"/>
        <w:right w:val="none" w:sz="0" w:space="0" w:color="auto"/>
      </w:divBdr>
    </w:div>
    <w:div w:id="1443694639">
      <w:bodyDiv w:val="1"/>
      <w:marLeft w:val="0"/>
      <w:marRight w:val="0"/>
      <w:marTop w:val="0"/>
      <w:marBottom w:val="0"/>
      <w:divBdr>
        <w:top w:val="none" w:sz="0" w:space="0" w:color="auto"/>
        <w:left w:val="none" w:sz="0" w:space="0" w:color="auto"/>
        <w:bottom w:val="none" w:sz="0" w:space="0" w:color="auto"/>
        <w:right w:val="none" w:sz="0" w:space="0" w:color="auto"/>
      </w:divBdr>
    </w:div>
    <w:div w:id="1443956600">
      <w:bodyDiv w:val="1"/>
      <w:marLeft w:val="0"/>
      <w:marRight w:val="0"/>
      <w:marTop w:val="0"/>
      <w:marBottom w:val="0"/>
      <w:divBdr>
        <w:top w:val="none" w:sz="0" w:space="0" w:color="auto"/>
        <w:left w:val="none" w:sz="0" w:space="0" w:color="auto"/>
        <w:bottom w:val="none" w:sz="0" w:space="0" w:color="auto"/>
        <w:right w:val="none" w:sz="0" w:space="0" w:color="auto"/>
      </w:divBdr>
    </w:div>
    <w:div w:id="1444300057">
      <w:bodyDiv w:val="1"/>
      <w:marLeft w:val="0"/>
      <w:marRight w:val="0"/>
      <w:marTop w:val="0"/>
      <w:marBottom w:val="0"/>
      <w:divBdr>
        <w:top w:val="none" w:sz="0" w:space="0" w:color="auto"/>
        <w:left w:val="none" w:sz="0" w:space="0" w:color="auto"/>
        <w:bottom w:val="none" w:sz="0" w:space="0" w:color="auto"/>
        <w:right w:val="none" w:sz="0" w:space="0" w:color="auto"/>
      </w:divBdr>
    </w:div>
    <w:div w:id="1444492118">
      <w:bodyDiv w:val="1"/>
      <w:marLeft w:val="0"/>
      <w:marRight w:val="0"/>
      <w:marTop w:val="0"/>
      <w:marBottom w:val="0"/>
      <w:divBdr>
        <w:top w:val="none" w:sz="0" w:space="0" w:color="auto"/>
        <w:left w:val="none" w:sz="0" w:space="0" w:color="auto"/>
        <w:bottom w:val="none" w:sz="0" w:space="0" w:color="auto"/>
        <w:right w:val="none" w:sz="0" w:space="0" w:color="auto"/>
      </w:divBdr>
    </w:div>
    <w:div w:id="1444811177">
      <w:bodyDiv w:val="1"/>
      <w:marLeft w:val="0"/>
      <w:marRight w:val="0"/>
      <w:marTop w:val="0"/>
      <w:marBottom w:val="0"/>
      <w:divBdr>
        <w:top w:val="none" w:sz="0" w:space="0" w:color="auto"/>
        <w:left w:val="none" w:sz="0" w:space="0" w:color="auto"/>
        <w:bottom w:val="none" w:sz="0" w:space="0" w:color="auto"/>
        <w:right w:val="none" w:sz="0" w:space="0" w:color="auto"/>
      </w:divBdr>
    </w:div>
    <w:div w:id="1444962988">
      <w:bodyDiv w:val="1"/>
      <w:marLeft w:val="0"/>
      <w:marRight w:val="0"/>
      <w:marTop w:val="0"/>
      <w:marBottom w:val="0"/>
      <w:divBdr>
        <w:top w:val="none" w:sz="0" w:space="0" w:color="auto"/>
        <w:left w:val="none" w:sz="0" w:space="0" w:color="auto"/>
        <w:bottom w:val="none" w:sz="0" w:space="0" w:color="auto"/>
        <w:right w:val="none" w:sz="0" w:space="0" w:color="auto"/>
      </w:divBdr>
    </w:div>
    <w:div w:id="1445075748">
      <w:bodyDiv w:val="1"/>
      <w:marLeft w:val="0"/>
      <w:marRight w:val="0"/>
      <w:marTop w:val="0"/>
      <w:marBottom w:val="0"/>
      <w:divBdr>
        <w:top w:val="none" w:sz="0" w:space="0" w:color="auto"/>
        <w:left w:val="none" w:sz="0" w:space="0" w:color="auto"/>
        <w:bottom w:val="none" w:sz="0" w:space="0" w:color="auto"/>
        <w:right w:val="none" w:sz="0" w:space="0" w:color="auto"/>
      </w:divBdr>
    </w:div>
    <w:div w:id="1445224336">
      <w:bodyDiv w:val="1"/>
      <w:marLeft w:val="0"/>
      <w:marRight w:val="0"/>
      <w:marTop w:val="0"/>
      <w:marBottom w:val="0"/>
      <w:divBdr>
        <w:top w:val="none" w:sz="0" w:space="0" w:color="auto"/>
        <w:left w:val="none" w:sz="0" w:space="0" w:color="auto"/>
        <w:bottom w:val="none" w:sz="0" w:space="0" w:color="auto"/>
        <w:right w:val="none" w:sz="0" w:space="0" w:color="auto"/>
      </w:divBdr>
    </w:div>
    <w:div w:id="1445494308">
      <w:bodyDiv w:val="1"/>
      <w:marLeft w:val="0"/>
      <w:marRight w:val="0"/>
      <w:marTop w:val="0"/>
      <w:marBottom w:val="0"/>
      <w:divBdr>
        <w:top w:val="none" w:sz="0" w:space="0" w:color="auto"/>
        <w:left w:val="none" w:sz="0" w:space="0" w:color="auto"/>
        <w:bottom w:val="none" w:sz="0" w:space="0" w:color="auto"/>
        <w:right w:val="none" w:sz="0" w:space="0" w:color="auto"/>
      </w:divBdr>
    </w:div>
    <w:div w:id="1445736428">
      <w:bodyDiv w:val="1"/>
      <w:marLeft w:val="0"/>
      <w:marRight w:val="0"/>
      <w:marTop w:val="0"/>
      <w:marBottom w:val="0"/>
      <w:divBdr>
        <w:top w:val="none" w:sz="0" w:space="0" w:color="auto"/>
        <w:left w:val="none" w:sz="0" w:space="0" w:color="auto"/>
        <w:bottom w:val="none" w:sz="0" w:space="0" w:color="auto"/>
        <w:right w:val="none" w:sz="0" w:space="0" w:color="auto"/>
      </w:divBdr>
    </w:div>
    <w:div w:id="1446270274">
      <w:bodyDiv w:val="1"/>
      <w:marLeft w:val="0"/>
      <w:marRight w:val="0"/>
      <w:marTop w:val="0"/>
      <w:marBottom w:val="0"/>
      <w:divBdr>
        <w:top w:val="none" w:sz="0" w:space="0" w:color="auto"/>
        <w:left w:val="none" w:sz="0" w:space="0" w:color="auto"/>
        <w:bottom w:val="none" w:sz="0" w:space="0" w:color="auto"/>
        <w:right w:val="none" w:sz="0" w:space="0" w:color="auto"/>
      </w:divBdr>
    </w:div>
    <w:div w:id="1447431872">
      <w:bodyDiv w:val="1"/>
      <w:marLeft w:val="0"/>
      <w:marRight w:val="0"/>
      <w:marTop w:val="0"/>
      <w:marBottom w:val="0"/>
      <w:divBdr>
        <w:top w:val="none" w:sz="0" w:space="0" w:color="auto"/>
        <w:left w:val="none" w:sz="0" w:space="0" w:color="auto"/>
        <w:bottom w:val="none" w:sz="0" w:space="0" w:color="auto"/>
        <w:right w:val="none" w:sz="0" w:space="0" w:color="auto"/>
      </w:divBdr>
    </w:div>
    <w:div w:id="1447653756">
      <w:bodyDiv w:val="1"/>
      <w:marLeft w:val="0"/>
      <w:marRight w:val="0"/>
      <w:marTop w:val="0"/>
      <w:marBottom w:val="0"/>
      <w:divBdr>
        <w:top w:val="none" w:sz="0" w:space="0" w:color="auto"/>
        <w:left w:val="none" w:sz="0" w:space="0" w:color="auto"/>
        <w:bottom w:val="none" w:sz="0" w:space="0" w:color="auto"/>
        <w:right w:val="none" w:sz="0" w:space="0" w:color="auto"/>
      </w:divBdr>
    </w:div>
    <w:div w:id="1447701987">
      <w:bodyDiv w:val="1"/>
      <w:marLeft w:val="0"/>
      <w:marRight w:val="0"/>
      <w:marTop w:val="0"/>
      <w:marBottom w:val="0"/>
      <w:divBdr>
        <w:top w:val="none" w:sz="0" w:space="0" w:color="auto"/>
        <w:left w:val="none" w:sz="0" w:space="0" w:color="auto"/>
        <w:bottom w:val="none" w:sz="0" w:space="0" w:color="auto"/>
        <w:right w:val="none" w:sz="0" w:space="0" w:color="auto"/>
      </w:divBdr>
    </w:div>
    <w:div w:id="1447849880">
      <w:bodyDiv w:val="1"/>
      <w:marLeft w:val="0"/>
      <w:marRight w:val="0"/>
      <w:marTop w:val="0"/>
      <w:marBottom w:val="0"/>
      <w:divBdr>
        <w:top w:val="none" w:sz="0" w:space="0" w:color="auto"/>
        <w:left w:val="none" w:sz="0" w:space="0" w:color="auto"/>
        <w:bottom w:val="none" w:sz="0" w:space="0" w:color="auto"/>
        <w:right w:val="none" w:sz="0" w:space="0" w:color="auto"/>
      </w:divBdr>
    </w:div>
    <w:div w:id="1448545111">
      <w:bodyDiv w:val="1"/>
      <w:marLeft w:val="0"/>
      <w:marRight w:val="0"/>
      <w:marTop w:val="0"/>
      <w:marBottom w:val="0"/>
      <w:divBdr>
        <w:top w:val="none" w:sz="0" w:space="0" w:color="auto"/>
        <w:left w:val="none" w:sz="0" w:space="0" w:color="auto"/>
        <w:bottom w:val="none" w:sz="0" w:space="0" w:color="auto"/>
        <w:right w:val="none" w:sz="0" w:space="0" w:color="auto"/>
      </w:divBdr>
    </w:div>
    <w:div w:id="1448769857">
      <w:bodyDiv w:val="1"/>
      <w:marLeft w:val="0"/>
      <w:marRight w:val="0"/>
      <w:marTop w:val="0"/>
      <w:marBottom w:val="0"/>
      <w:divBdr>
        <w:top w:val="none" w:sz="0" w:space="0" w:color="auto"/>
        <w:left w:val="none" w:sz="0" w:space="0" w:color="auto"/>
        <w:bottom w:val="none" w:sz="0" w:space="0" w:color="auto"/>
        <w:right w:val="none" w:sz="0" w:space="0" w:color="auto"/>
      </w:divBdr>
    </w:div>
    <w:div w:id="1449354642">
      <w:bodyDiv w:val="1"/>
      <w:marLeft w:val="0"/>
      <w:marRight w:val="0"/>
      <w:marTop w:val="0"/>
      <w:marBottom w:val="0"/>
      <w:divBdr>
        <w:top w:val="none" w:sz="0" w:space="0" w:color="auto"/>
        <w:left w:val="none" w:sz="0" w:space="0" w:color="auto"/>
        <w:bottom w:val="none" w:sz="0" w:space="0" w:color="auto"/>
        <w:right w:val="none" w:sz="0" w:space="0" w:color="auto"/>
      </w:divBdr>
    </w:div>
    <w:div w:id="1449549515">
      <w:bodyDiv w:val="1"/>
      <w:marLeft w:val="0"/>
      <w:marRight w:val="0"/>
      <w:marTop w:val="0"/>
      <w:marBottom w:val="0"/>
      <w:divBdr>
        <w:top w:val="none" w:sz="0" w:space="0" w:color="auto"/>
        <w:left w:val="none" w:sz="0" w:space="0" w:color="auto"/>
        <w:bottom w:val="none" w:sz="0" w:space="0" w:color="auto"/>
        <w:right w:val="none" w:sz="0" w:space="0" w:color="auto"/>
      </w:divBdr>
    </w:div>
    <w:div w:id="1450709022">
      <w:bodyDiv w:val="1"/>
      <w:marLeft w:val="0"/>
      <w:marRight w:val="0"/>
      <w:marTop w:val="0"/>
      <w:marBottom w:val="0"/>
      <w:divBdr>
        <w:top w:val="none" w:sz="0" w:space="0" w:color="auto"/>
        <w:left w:val="none" w:sz="0" w:space="0" w:color="auto"/>
        <w:bottom w:val="none" w:sz="0" w:space="0" w:color="auto"/>
        <w:right w:val="none" w:sz="0" w:space="0" w:color="auto"/>
      </w:divBdr>
    </w:div>
    <w:div w:id="1451167260">
      <w:bodyDiv w:val="1"/>
      <w:marLeft w:val="0"/>
      <w:marRight w:val="0"/>
      <w:marTop w:val="0"/>
      <w:marBottom w:val="0"/>
      <w:divBdr>
        <w:top w:val="none" w:sz="0" w:space="0" w:color="auto"/>
        <w:left w:val="none" w:sz="0" w:space="0" w:color="auto"/>
        <w:bottom w:val="none" w:sz="0" w:space="0" w:color="auto"/>
        <w:right w:val="none" w:sz="0" w:space="0" w:color="auto"/>
      </w:divBdr>
    </w:div>
    <w:div w:id="1451360864">
      <w:bodyDiv w:val="1"/>
      <w:marLeft w:val="0"/>
      <w:marRight w:val="0"/>
      <w:marTop w:val="0"/>
      <w:marBottom w:val="0"/>
      <w:divBdr>
        <w:top w:val="none" w:sz="0" w:space="0" w:color="auto"/>
        <w:left w:val="none" w:sz="0" w:space="0" w:color="auto"/>
        <w:bottom w:val="none" w:sz="0" w:space="0" w:color="auto"/>
        <w:right w:val="none" w:sz="0" w:space="0" w:color="auto"/>
      </w:divBdr>
    </w:div>
    <w:div w:id="1451775191">
      <w:bodyDiv w:val="1"/>
      <w:marLeft w:val="0"/>
      <w:marRight w:val="0"/>
      <w:marTop w:val="0"/>
      <w:marBottom w:val="0"/>
      <w:divBdr>
        <w:top w:val="none" w:sz="0" w:space="0" w:color="auto"/>
        <w:left w:val="none" w:sz="0" w:space="0" w:color="auto"/>
        <w:bottom w:val="none" w:sz="0" w:space="0" w:color="auto"/>
        <w:right w:val="none" w:sz="0" w:space="0" w:color="auto"/>
      </w:divBdr>
    </w:div>
    <w:div w:id="1452625876">
      <w:bodyDiv w:val="1"/>
      <w:marLeft w:val="0"/>
      <w:marRight w:val="0"/>
      <w:marTop w:val="0"/>
      <w:marBottom w:val="0"/>
      <w:divBdr>
        <w:top w:val="none" w:sz="0" w:space="0" w:color="auto"/>
        <w:left w:val="none" w:sz="0" w:space="0" w:color="auto"/>
        <w:bottom w:val="none" w:sz="0" w:space="0" w:color="auto"/>
        <w:right w:val="none" w:sz="0" w:space="0" w:color="auto"/>
      </w:divBdr>
    </w:div>
    <w:div w:id="1452823478">
      <w:bodyDiv w:val="1"/>
      <w:marLeft w:val="0"/>
      <w:marRight w:val="0"/>
      <w:marTop w:val="0"/>
      <w:marBottom w:val="0"/>
      <w:divBdr>
        <w:top w:val="none" w:sz="0" w:space="0" w:color="auto"/>
        <w:left w:val="none" w:sz="0" w:space="0" w:color="auto"/>
        <w:bottom w:val="none" w:sz="0" w:space="0" w:color="auto"/>
        <w:right w:val="none" w:sz="0" w:space="0" w:color="auto"/>
      </w:divBdr>
    </w:div>
    <w:div w:id="1452895942">
      <w:bodyDiv w:val="1"/>
      <w:marLeft w:val="0"/>
      <w:marRight w:val="0"/>
      <w:marTop w:val="0"/>
      <w:marBottom w:val="0"/>
      <w:divBdr>
        <w:top w:val="none" w:sz="0" w:space="0" w:color="auto"/>
        <w:left w:val="none" w:sz="0" w:space="0" w:color="auto"/>
        <w:bottom w:val="none" w:sz="0" w:space="0" w:color="auto"/>
        <w:right w:val="none" w:sz="0" w:space="0" w:color="auto"/>
      </w:divBdr>
    </w:div>
    <w:div w:id="1453747180">
      <w:bodyDiv w:val="1"/>
      <w:marLeft w:val="0"/>
      <w:marRight w:val="0"/>
      <w:marTop w:val="0"/>
      <w:marBottom w:val="0"/>
      <w:divBdr>
        <w:top w:val="none" w:sz="0" w:space="0" w:color="auto"/>
        <w:left w:val="none" w:sz="0" w:space="0" w:color="auto"/>
        <w:bottom w:val="none" w:sz="0" w:space="0" w:color="auto"/>
        <w:right w:val="none" w:sz="0" w:space="0" w:color="auto"/>
      </w:divBdr>
    </w:div>
    <w:div w:id="1454009867">
      <w:bodyDiv w:val="1"/>
      <w:marLeft w:val="0"/>
      <w:marRight w:val="0"/>
      <w:marTop w:val="0"/>
      <w:marBottom w:val="0"/>
      <w:divBdr>
        <w:top w:val="none" w:sz="0" w:space="0" w:color="auto"/>
        <w:left w:val="none" w:sz="0" w:space="0" w:color="auto"/>
        <w:bottom w:val="none" w:sz="0" w:space="0" w:color="auto"/>
        <w:right w:val="none" w:sz="0" w:space="0" w:color="auto"/>
      </w:divBdr>
    </w:div>
    <w:div w:id="1454136407">
      <w:bodyDiv w:val="1"/>
      <w:marLeft w:val="0"/>
      <w:marRight w:val="0"/>
      <w:marTop w:val="0"/>
      <w:marBottom w:val="0"/>
      <w:divBdr>
        <w:top w:val="none" w:sz="0" w:space="0" w:color="auto"/>
        <w:left w:val="none" w:sz="0" w:space="0" w:color="auto"/>
        <w:bottom w:val="none" w:sz="0" w:space="0" w:color="auto"/>
        <w:right w:val="none" w:sz="0" w:space="0" w:color="auto"/>
      </w:divBdr>
    </w:div>
    <w:div w:id="1454668812">
      <w:bodyDiv w:val="1"/>
      <w:marLeft w:val="0"/>
      <w:marRight w:val="0"/>
      <w:marTop w:val="0"/>
      <w:marBottom w:val="0"/>
      <w:divBdr>
        <w:top w:val="none" w:sz="0" w:space="0" w:color="auto"/>
        <w:left w:val="none" w:sz="0" w:space="0" w:color="auto"/>
        <w:bottom w:val="none" w:sz="0" w:space="0" w:color="auto"/>
        <w:right w:val="none" w:sz="0" w:space="0" w:color="auto"/>
      </w:divBdr>
    </w:div>
    <w:div w:id="1454707926">
      <w:bodyDiv w:val="1"/>
      <w:marLeft w:val="0"/>
      <w:marRight w:val="0"/>
      <w:marTop w:val="0"/>
      <w:marBottom w:val="0"/>
      <w:divBdr>
        <w:top w:val="none" w:sz="0" w:space="0" w:color="auto"/>
        <w:left w:val="none" w:sz="0" w:space="0" w:color="auto"/>
        <w:bottom w:val="none" w:sz="0" w:space="0" w:color="auto"/>
        <w:right w:val="none" w:sz="0" w:space="0" w:color="auto"/>
      </w:divBdr>
    </w:div>
    <w:div w:id="1455174359">
      <w:bodyDiv w:val="1"/>
      <w:marLeft w:val="0"/>
      <w:marRight w:val="0"/>
      <w:marTop w:val="0"/>
      <w:marBottom w:val="0"/>
      <w:divBdr>
        <w:top w:val="none" w:sz="0" w:space="0" w:color="auto"/>
        <w:left w:val="none" w:sz="0" w:space="0" w:color="auto"/>
        <w:bottom w:val="none" w:sz="0" w:space="0" w:color="auto"/>
        <w:right w:val="none" w:sz="0" w:space="0" w:color="auto"/>
      </w:divBdr>
    </w:div>
    <w:div w:id="1455517562">
      <w:bodyDiv w:val="1"/>
      <w:marLeft w:val="0"/>
      <w:marRight w:val="0"/>
      <w:marTop w:val="0"/>
      <w:marBottom w:val="0"/>
      <w:divBdr>
        <w:top w:val="none" w:sz="0" w:space="0" w:color="auto"/>
        <w:left w:val="none" w:sz="0" w:space="0" w:color="auto"/>
        <w:bottom w:val="none" w:sz="0" w:space="0" w:color="auto"/>
        <w:right w:val="none" w:sz="0" w:space="0" w:color="auto"/>
      </w:divBdr>
    </w:div>
    <w:div w:id="1456093977">
      <w:bodyDiv w:val="1"/>
      <w:marLeft w:val="0"/>
      <w:marRight w:val="0"/>
      <w:marTop w:val="0"/>
      <w:marBottom w:val="0"/>
      <w:divBdr>
        <w:top w:val="none" w:sz="0" w:space="0" w:color="auto"/>
        <w:left w:val="none" w:sz="0" w:space="0" w:color="auto"/>
        <w:bottom w:val="none" w:sz="0" w:space="0" w:color="auto"/>
        <w:right w:val="none" w:sz="0" w:space="0" w:color="auto"/>
      </w:divBdr>
    </w:div>
    <w:div w:id="1456218755">
      <w:bodyDiv w:val="1"/>
      <w:marLeft w:val="0"/>
      <w:marRight w:val="0"/>
      <w:marTop w:val="0"/>
      <w:marBottom w:val="0"/>
      <w:divBdr>
        <w:top w:val="none" w:sz="0" w:space="0" w:color="auto"/>
        <w:left w:val="none" w:sz="0" w:space="0" w:color="auto"/>
        <w:bottom w:val="none" w:sz="0" w:space="0" w:color="auto"/>
        <w:right w:val="none" w:sz="0" w:space="0" w:color="auto"/>
      </w:divBdr>
    </w:div>
    <w:div w:id="1457022419">
      <w:bodyDiv w:val="1"/>
      <w:marLeft w:val="0"/>
      <w:marRight w:val="0"/>
      <w:marTop w:val="0"/>
      <w:marBottom w:val="0"/>
      <w:divBdr>
        <w:top w:val="none" w:sz="0" w:space="0" w:color="auto"/>
        <w:left w:val="none" w:sz="0" w:space="0" w:color="auto"/>
        <w:bottom w:val="none" w:sz="0" w:space="0" w:color="auto"/>
        <w:right w:val="none" w:sz="0" w:space="0" w:color="auto"/>
      </w:divBdr>
    </w:div>
    <w:div w:id="1457335756">
      <w:bodyDiv w:val="1"/>
      <w:marLeft w:val="0"/>
      <w:marRight w:val="0"/>
      <w:marTop w:val="0"/>
      <w:marBottom w:val="0"/>
      <w:divBdr>
        <w:top w:val="none" w:sz="0" w:space="0" w:color="auto"/>
        <w:left w:val="none" w:sz="0" w:space="0" w:color="auto"/>
        <w:bottom w:val="none" w:sz="0" w:space="0" w:color="auto"/>
        <w:right w:val="none" w:sz="0" w:space="0" w:color="auto"/>
      </w:divBdr>
    </w:div>
    <w:div w:id="1457527197">
      <w:bodyDiv w:val="1"/>
      <w:marLeft w:val="0"/>
      <w:marRight w:val="0"/>
      <w:marTop w:val="0"/>
      <w:marBottom w:val="0"/>
      <w:divBdr>
        <w:top w:val="none" w:sz="0" w:space="0" w:color="auto"/>
        <w:left w:val="none" w:sz="0" w:space="0" w:color="auto"/>
        <w:bottom w:val="none" w:sz="0" w:space="0" w:color="auto"/>
        <w:right w:val="none" w:sz="0" w:space="0" w:color="auto"/>
      </w:divBdr>
    </w:div>
    <w:div w:id="1458642976">
      <w:bodyDiv w:val="1"/>
      <w:marLeft w:val="0"/>
      <w:marRight w:val="0"/>
      <w:marTop w:val="0"/>
      <w:marBottom w:val="0"/>
      <w:divBdr>
        <w:top w:val="none" w:sz="0" w:space="0" w:color="auto"/>
        <w:left w:val="none" w:sz="0" w:space="0" w:color="auto"/>
        <w:bottom w:val="none" w:sz="0" w:space="0" w:color="auto"/>
        <w:right w:val="none" w:sz="0" w:space="0" w:color="auto"/>
      </w:divBdr>
    </w:div>
    <w:div w:id="1458792122">
      <w:bodyDiv w:val="1"/>
      <w:marLeft w:val="0"/>
      <w:marRight w:val="0"/>
      <w:marTop w:val="0"/>
      <w:marBottom w:val="0"/>
      <w:divBdr>
        <w:top w:val="none" w:sz="0" w:space="0" w:color="auto"/>
        <w:left w:val="none" w:sz="0" w:space="0" w:color="auto"/>
        <w:bottom w:val="none" w:sz="0" w:space="0" w:color="auto"/>
        <w:right w:val="none" w:sz="0" w:space="0" w:color="auto"/>
      </w:divBdr>
    </w:div>
    <w:div w:id="1459176882">
      <w:bodyDiv w:val="1"/>
      <w:marLeft w:val="0"/>
      <w:marRight w:val="0"/>
      <w:marTop w:val="0"/>
      <w:marBottom w:val="0"/>
      <w:divBdr>
        <w:top w:val="none" w:sz="0" w:space="0" w:color="auto"/>
        <w:left w:val="none" w:sz="0" w:space="0" w:color="auto"/>
        <w:bottom w:val="none" w:sz="0" w:space="0" w:color="auto"/>
        <w:right w:val="none" w:sz="0" w:space="0" w:color="auto"/>
      </w:divBdr>
    </w:div>
    <w:div w:id="1459379150">
      <w:bodyDiv w:val="1"/>
      <w:marLeft w:val="0"/>
      <w:marRight w:val="0"/>
      <w:marTop w:val="0"/>
      <w:marBottom w:val="0"/>
      <w:divBdr>
        <w:top w:val="none" w:sz="0" w:space="0" w:color="auto"/>
        <w:left w:val="none" w:sz="0" w:space="0" w:color="auto"/>
        <w:bottom w:val="none" w:sz="0" w:space="0" w:color="auto"/>
        <w:right w:val="none" w:sz="0" w:space="0" w:color="auto"/>
      </w:divBdr>
    </w:div>
    <w:div w:id="1459840144">
      <w:bodyDiv w:val="1"/>
      <w:marLeft w:val="0"/>
      <w:marRight w:val="0"/>
      <w:marTop w:val="0"/>
      <w:marBottom w:val="0"/>
      <w:divBdr>
        <w:top w:val="none" w:sz="0" w:space="0" w:color="auto"/>
        <w:left w:val="none" w:sz="0" w:space="0" w:color="auto"/>
        <w:bottom w:val="none" w:sz="0" w:space="0" w:color="auto"/>
        <w:right w:val="none" w:sz="0" w:space="0" w:color="auto"/>
      </w:divBdr>
    </w:div>
    <w:div w:id="1460487677">
      <w:bodyDiv w:val="1"/>
      <w:marLeft w:val="0"/>
      <w:marRight w:val="0"/>
      <w:marTop w:val="0"/>
      <w:marBottom w:val="0"/>
      <w:divBdr>
        <w:top w:val="none" w:sz="0" w:space="0" w:color="auto"/>
        <w:left w:val="none" w:sz="0" w:space="0" w:color="auto"/>
        <w:bottom w:val="none" w:sz="0" w:space="0" w:color="auto"/>
        <w:right w:val="none" w:sz="0" w:space="0" w:color="auto"/>
      </w:divBdr>
    </w:div>
    <w:div w:id="1460756880">
      <w:bodyDiv w:val="1"/>
      <w:marLeft w:val="0"/>
      <w:marRight w:val="0"/>
      <w:marTop w:val="0"/>
      <w:marBottom w:val="0"/>
      <w:divBdr>
        <w:top w:val="none" w:sz="0" w:space="0" w:color="auto"/>
        <w:left w:val="none" w:sz="0" w:space="0" w:color="auto"/>
        <w:bottom w:val="none" w:sz="0" w:space="0" w:color="auto"/>
        <w:right w:val="none" w:sz="0" w:space="0" w:color="auto"/>
      </w:divBdr>
    </w:div>
    <w:div w:id="1460880785">
      <w:bodyDiv w:val="1"/>
      <w:marLeft w:val="0"/>
      <w:marRight w:val="0"/>
      <w:marTop w:val="0"/>
      <w:marBottom w:val="0"/>
      <w:divBdr>
        <w:top w:val="none" w:sz="0" w:space="0" w:color="auto"/>
        <w:left w:val="none" w:sz="0" w:space="0" w:color="auto"/>
        <w:bottom w:val="none" w:sz="0" w:space="0" w:color="auto"/>
        <w:right w:val="none" w:sz="0" w:space="0" w:color="auto"/>
      </w:divBdr>
    </w:div>
    <w:div w:id="1461142549">
      <w:bodyDiv w:val="1"/>
      <w:marLeft w:val="0"/>
      <w:marRight w:val="0"/>
      <w:marTop w:val="0"/>
      <w:marBottom w:val="0"/>
      <w:divBdr>
        <w:top w:val="none" w:sz="0" w:space="0" w:color="auto"/>
        <w:left w:val="none" w:sz="0" w:space="0" w:color="auto"/>
        <w:bottom w:val="none" w:sz="0" w:space="0" w:color="auto"/>
        <w:right w:val="none" w:sz="0" w:space="0" w:color="auto"/>
      </w:divBdr>
    </w:div>
    <w:div w:id="1461417169">
      <w:bodyDiv w:val="1"/>
      <w:marLeft w:val="0"/>
      <w:marRight w:val="0"/>
      <w:marTop w:val="0"/>
      <w:marBottom w:val="0"/>
      <w:divBdr>
        <w:top w:val="none" w:sz="0" w:space="0" w:color="auto"/>
        <w:left w:val="none" w:sz="0" w:space="0" w:color="auto"/>
        <w:bottom w:val="none" w:sz="0" w:space="0" w:color="auto"/>
        <w:right w:val="none" w:sz="0" w:space="0" w:color="auto"/>
      </w:divBdr>
    </w:div>
    <w:div w:id="1461651550">
      <w:bodyDiv w:val="1"/>
      <w:marLeft w:val="0"/>
      <w:marRight w:val="0"/>
      <w:marTop w:val="0"/>
      <w:marBottom w:val="0"/>
      <w:divBdr>
        <w:top w:val="none" w:sz="0" w:space="0" w:color="auto"/>
        <w:left w:val="none" w:sz="0" w:space="0" w:color="auto"/>
        <w:bottom w:val="none" w:sz="0" w:space="0" w:color="auto"/>
        <w:right w:val="none" w:sz="0" w:space="0" w:color="auto"/>
      </w:divBdr>
    </w:div>
    <w:div w:id="1461993587">
      <w:bodyDiv w:val="1"/>
      <w:marLeft w:val="0"/>
      <w:marRight w:val="0"/>
      <w:marTop w:val="0"/>
      <w:marBottom w:val="0"/>
      <w:divBdr>
        <w:top w:val="none" w:sz="0" w:space="0" w:color="auto"/>
        <w:left w:val="none" w:sz="0" w:space="0" w:color="auto"/>
        <w:bottom w:val="none" w:sz="0" w:space="0" w:color="auto"/>
        <w:right w:val="none" w:sz="0" w:space="0" w:color="auto"/>
      </w:divBdr>
    </w:div>
    <w:div w:id="1462309164">
      <w:bodyDiv w:val="1"/>
      <w:marLeft w:val="0"/>
      <w:marRight w:val="0"/>
      <w:marTop w:val="0"/>
      <w:marBottom w:val="0"/>
      <w:divBdr>
        <w:top w:val="none" w:sz="0" w:space="0" w:color="auto"/>
        <w:left w:val="none" w:sz="0" w:space="0" w:color="auto"/>
        <w:bottom w:val="none" w:sz="0" w:space="0" w:color="auto"/>
        <w:right w:val="none" w:sz="0" w:space="0" w:color="auto"/>
      </w:divBdr>
    </w:div>
    <w:div w:id="1463496666">
      <w:bodyDiv w:val="1"/>
      <w:marLeft w:val="0"/>
      <w:marRight w:val="0"/>
      <w:marTop w:val="0"/>
      <w:marBottom w:val="0"/>
      <w:divBdr>
        <w:top w:val="none" w:sz="0" w:space="0" w:color="auto"/>
        <w:left w:val="none" w:sz="0" w:space="0" w:color="auto"/>
        <w:bottom w:val="none" w:sz="0" w:space="0" w:color="auto"/>
        <w:right w:val="none" w:sz="0" w:space="0" w:color="auto"/>
      </w:divBdr>
    </w:div>
    <w:div w:id="1464082639">
      <w:bodyDiv w:val="1"/>
      <w:marLeft w:val="0"/>
      <w:marRight w:val="0"/>
      <w:marTop w:val="0"/>
      <w:marBottom w:val="0"/>
      <w:divBdr>
        <w:top w:val="none" w:sz="0" w:space="0" w:color="auto"/>
        <w:left w:val="none" w:sz="0" w:space="0" w:color="auto"/>
        <w:bottom w:val="none" w:sz="0" w:space="0" w:color="auto"/>
        <w:right w:val="none" w:sz="0" w:space="0" w:color="auto"/>
      </w:divBdr>
    </w:div>
    <w:div w:id="1464545818">
      <w:bodyDiv w:val="1"/>
      <w:marLeft w:val="0"/>
      <w:marRight w:val="0"/>
      <w:marTop w:val="0"/>
      <w:marBottom w:val="0"/>
      <w:divBdr>
        <w:top w:val="none" w:sz="0" w:space="0" w:color="auto"/>
        <w:left w:val="none" w:sz="0" w:space="0" w:color="auto"/>
        <w:bottom w:val="none" w:sz="0" w:space="0" w:color="auto"/>
        <w:right w:val="none" w:sz="0" w:space="0" w:color="auto"/>
      </w:divBdr>
    </w:div>
    <w:div w:id="1464618884">
      <w:bodyDiv w:val="1"/>
      <w:marLeft w:val="0"/>
      <w:marRight w:val="0"/>
      <w:marTop w:val="0"/>
      <w:marBottom w:val="0"/>
      <w:divBdr>
        <w:top w:val="none" w:sz="0" w:space="0" w:color="auto"/>
        <w:left w:val="none" w:sz="0" w:space="0" w:color="auto"/>
        <w:bottom w:val="none" w:sz="0" w:space="0" w:color="auto"/>
        <w:right w:val="none" w:sz="0" w:space="0" w:color="auto"/>
      </w:divBdr>
    </w:div>
    <w:div w:id="1465194855">
      <w:bodyDiv w:val="1"/>
      <w:marLeft w:val="0"/>
      <w:marRight w:val="0"/>
      <w:marTop w:val="0"/>
      <w:marBottom w:val="0"/>
      <w:divBdr>
        <w:top w:val="none" w:sz="0" w:space="0" w:color="auto"/>
        <w:left w:val="none" w:sz="0" w:space="0" w:color="auto"/>
        <w:bottom w:val="none" w:sz="0" w:space="0" w:color="auto"/>
        <w:right w:val="none" w:sz="0" w:space="0" w:color="auto"/>
      </w:divBdr>
    </w:div>
    <w:div w:id="1465268191">
      <w:bodyDiv w:val="1"/>
      <w:marLeft w:val="0"/>
      <w:marRight w:val="0"/>
      <w:marTop w:val="0"/>
      <w:marBottom w:val="0"/>
      <w:divBdr>
        <w:top w:val="none" w:sz="0" w:space="0" w:color="auto"/>
        <w:left w:val="none" w:sz="0" w:space="0" w:color="auto"/>
        <w:bottom w:val="none" w:sz="0" w:space="0" w:color="auto"/>
        <w:right w:val="none" w:sz="0" w:space="0" w:color="auto"/>
      </w:divBdr>
    </w:div>
    <w:div w:id="1465344215">
      <w:bodyDiv w:val="1"/>
      <w:marLeft w:val="0"/>
      <w:marRight w:val="0"/>
      <w:marTop w:val="0"/>
      <w:marBottom w:val="0"/>
      <w:divBdr>
        <w:top w:val="none" w:sz="0" w:space="0" w:color="auto"/>
        <w:left w:val="none" w:sz="0" w:space="0" w:color="auto"/>
        <w:bottom w:val="none" w:sz="0" w:space="0" w:color="auto"/>
        <w:right w:val="none" w:sz="0" w:space="0" w:color="auto"/>
      </w:divBdr>
    </w:div>
    <w:div w:id="1465388316">
      <w:bodyDiv w:val="1"/>
      <w:marLeft w:val="0"/>
      <w:marRight w:val="0"/>
      <w:marTop w:val="0"/>
      <w:marBottom w:val="0"/>
      <w:divBdr>
        <w:top w:val="none" w:sz="0" w:space="0" w:color="auto"/>
        <w:left w:val="none" w:sz="0" w:space="0" w:color="auto"/>
        <w:bottom w:val="none" w:sz="0" w:space="0" w:color="auto"/>
        <w:right w:val="none" w:sz="0" w:space="0" w:color="auto"/>
      </w:divBdr>
    </w:div>
    <w:div w:id="1465922710">
      <w:bodyDiv w:val="1"/>
      <w:marLeft w:val="0"/>
      <w:marRight w:val="0"/>
      <w:marTop w:val="0"/>
      <w:marBottom w:val="0"/>
      <w:divBdr>
        <w:top w:val="none" w:sz="0" w:space="0" w:color="auto"/>
        <w:left w:val="none" w:sz="0" w:space="0" w:color="auto"/>
        <w:bottom w:val="none" w:sz="0" w:space="0" w:color="auto"/>
        <w:right w:val="none" w:sz="0" w:space="0" w:color="auto"/>
      </w:divBdr>
    </w:div>
    <w:div w:id="1466699965">
      <w:bodyDiv w:val="1"/>
      <w:marLeft w:val="0"/>
      <w:marRight w:val="0"/>
      <w:marTop w:val="0"/>
      <w:marBottom w:val="0"/>
      <w:divBdr>
        <w:top w:val="none" w:sz="0" w:space="0" w:color="auto"/>
        <w:left w:val="none" w:sz="0" w:space="0" w:color="auto"/>
        <w:bottom w:val="none" w:sz="0" w:space="0" w:color="auto"/>
        <w:right w:val="none" w:sz="0" w:space="0" w:color="auto"/>
      </w:divBdr>
    </w:div>
    <w:div w:id="1466849057">
      <w:bodyDiv w:val="1"/>
      <w:marLeft w:val="0"/>
      <w:marRight w:val="0"/>
      <w:marTop w:val="0"/>
      <w:marBottom w:val="0"/>
      <w:divBdr>
        <w:top w:val="none" w:sz="0" w:space="0" w:color="auto"/>
        <w:left w:val="none" w:sz="0" w:space="0" w:color="auto"/>
        <w:bottom w:val="none" w:sz="0" w:space="0" w:color="auto"/>
        <w:right w:val="none" w:sz="0" w:space="0" w:color="auto"/>
      </w:divBdr>
    </w:div>
    <w:div w:id="1467040930">
      <w:bodyDiv w:val="1"/>
      <w:marLeft w:val="0"/>
      <w:marRight w:val="0"/>
      <w:marTop w:val="0"/>
      <w:marBottom w:val="0"/>
      <w:divBdr>
        <w:top w:val="none" w:sz="0" w:space="0" w:color="auto"/>
        <w:left w:val="none" w:sz="0" w:space="0" w:color="auto"/>
        <w:bottom w:val="none" w:sz="0" w:space="0" w:color="auto"/>
        <w:right w:val="none" w:sz="0" w:space="0" w:color="auto"/>
      </w:divBdr>
    </w:div>
    <w:div w:id="1467234344">
      <w:bodyDiv w:val="1"/>
      <w:marLeft w:val="0"/>
      <w:marRight w:val="0"/>
      <w:marTop w:val="0"/>
      <w:marBottom w:val="0"/>
      <w:divBdr>
        <w:top w:val="none" w:sz="0" w:space="0" w:color="auto"/>
        <w:left w:val="none" w:sz="0" w:space="0" w:color="auto"/>
        <w:bottom w:val="none" w:sz="0" w:space="0" w:color="auto"/>
        <w:right w:val="none" w:sz="0" w:space="0" w:color="auto"/>
      </w:divBdr>
    </w:div>
    <w:div w:id="1467237342">
      <w:bodyDiv w:val="1"/>
      <w:marLeft w:val="0"/>
      <w:marRight w:val="0"/>
      <w:marTop w:val="0"/>
      <w:marBottom w:val="0"/>
      <w:divBdr>
        <w:top w:val="none" w:sz="0" w:space="0" w:color="auto"/>
        <w:left w:val="none" w:sz="0" w:space="0" w:color="auto"/>
        <w:bottom w:val="none" w:sz="0" w:space="0" w:color="auto"/>
        <w:right w:val="none" w:sz="0" w:space="0" w:color="auto"/>
      </w:divBdr>
    </w:div>
    <w:div w:id="1467971414">
      <w:bodyDiv w:val="1"/>
      <w:marLeft w:val="0"/>
      <w:marRight w:val="0"/>
      <w:marTop w:val="0"/>
      <w:marBottom w:val="0"/>
      <w:divBdr>
        <w:top w:val="none" w:sz="0" w:space="0" w:color="auto"/>
        <w:left w:val="none" w:sz="0" w:space="0" w:color="auto"/>
        <w:bottom w:val="none" w:sz="0" w:space="0" w:color="auto"/>
        <w:right w:val="none" w:sz="0" w:space="0" w:color="auto"/>
      </w:divBdr>
    </w:div>
    <w:div w:id="1468010710">
      <w:bodyDiv w:val="1"/>
      <w:marLeft w:val="0"/>
      <w:marRight w:val="0"/>
      <w:marTop w:val="0"/>
      <w:marBottom w:val="0"/>
      <w:divBdr>
        <w:top w:val="none" w:sz="0" w:space="0" w:color="auto"/>
        <w:left w:val="none" w:sz="0" w:space="0" w:color="auto"/>
        <w:bottom w:val="none" w:sz="0" w:space="0" w:color="auto"/>
        <w:right w:val="none" w:sz="0" w:space="0" w:color="auto"/>
      </w:divBdr>
    </w:div>
    <w:div w:id="1468350805">
      <w:bodyDiv w:val="1"/>
      <w:marLeft w:val="0"/>
      <w:marRight w:val="0"/>
      <w:marTop w:val="0"/>
      <w:marBottom w:val="0"/>
      <w:divBdr>
        <w:top w:val="none" w:sz="0" w:space="0" w:color="auto"/>
        <w:left w:val="none" w:sz="0" w:space="0" w:color="auto"/>
        <w:bottom w:val="none" w:sz="0" w:space="0" w:color="auto"/>
        <w:right w:val="none" w:sz="0" w:space="0" w:color="auto"/>
      </w:divBdr>
    </w:div>
    <w:div w:id="1468738376">
      <w:bodyDiv w:val="1"/>
      <w:marLeft w:val="0"/>
      <w:marRight w:val="0"/>
      <w:marTop w:val="0"/>
      <w:marBottom w:val="0"/>
      <w:divBdr>
        <w:top w:val="none" w:sz="0" w:space="0" w:color="auto"/>
        <w:left w:val="none" w:sz="0" w:space="0" w:color="auto"/>
        <w:bottom w:val="none" w:sz="0" w:space="0" w:color="auto"/>
        <w:right w:val="none" w:sz="0" w:space="0" w:color="auto"/>
      </w:divBdr>
    </w:div>
    <w:div w:id="1469057498">
      <w:bodyDiv w:val="1"/>
      <w:marLeft w:val="0"/>
      <w:marRight w:val="0"/>
      <w:marTop w:val="0"/>
      <w:marBottom w:val="0"/>
      <w:divBdr>
        <w:top w:val="none" w:sz="0" w:space="0" w:color="auto"/>
        <w:left w:val="none" w:sz="0" w:space="0" w:color="auto"/>
        <w:bottom w:val="none" w:sz="0" w:space="0" w:color="auto"/>
        <w:right w:val="none" w:sz="0" w:space="0" w:color="auto"/>
      </w:divBdr>
    </w:div>
    <w:div w:id="1469207219">
      <w:bodyDiv w:val="1"/>
      <w:marLeft w:val="0"/>
      <w:marRight w:val="0"/>
      <w:marTop w:val="0"/>
      <w:marBottom w:val="0"/>
      <w:divBdr>
        <w:top w:val="none" w:sz="0" w:space="0" w:color="auto"/>
        <w:left w:val="none" w:sz="0" w:space="0" w:color="auto"/>
        <w:bottom w:val="none" w:sz="0" w:space="0" w:color="auto"/>
        <w:right w:val="none" w:sz="0" w:space="0" w:color="auto"/>
      </w:divBdr>
    </w:div>
    <w:div w:id="1469399991">
      <w:bodyDiv w:val="1"/>
      <w:marLeft w:val="0"/>
      <w:marRight w:val="0"/>
      <w:marTop w:val="0"/>
      <w:marBottom w:val="0"/>
      <w:divBdr>
        <w:top w:val="none" w:sz="0" w:space="0" w:color="auto"/>
        <w:left w:val="none" w:sz="0" w:space="0" w:color="auto"/>
        <w:bottom w:val="none" w:sz="0" w:space="0" w:color="auto"/>
        <w:right w:val="none" w:sz="0" w:space="0" w:color="auto"/>
      </w:divBdr>
    </w:div>
    <w:div w:id="1470242502">
      <w:bodyDiv w:val="1"/>
      <w:marLeft w:val="0"/>
      <w:marRight w:val="0"/>
      <w:marTop w:val="0"/>
      <w:marBottom w:val="0"/>
      <w:divBdr>
        <w:top w:val="none" w:sz="0" w:space="0" w:color="auto"/>
        <w:left w:val="none" w:sz="0" w:space="0" w:color="auto"/>
        <w:bottom w:val="none" w:sz="0" w:space="0" w:color="auto"/>
        <w:right w:val="none" w:sz="0" w:space="0" w:color="auto"/>
      </w:divBdr>
    </w:div>
    <w:div w:id="1470320656">
      <w:bodyDiv w:val="1"/>
      <w:marLeft w:val="0"/>
      <w:marRight w:val="0"/>
      <w:marTop w:val="0"/>
      <w:marBottom w:val="0"/>
      <w:divBdr>
        <w:top w:val="none" w:sz="0" w:space="0" w:color="auto"/>
        <w:left w:val="none" w:sz="0" w:space="0" w:color="auto"/>
        <w:bottom w:val="none" w:sz="0" w:space="0" w:color="auto"/>
        <w:right w:val="none" w:sz="0" w:space="0" w:color="auto"/>
      </w:divBdr>
    </w:div>
    <w:div w:id="1470707449">
      <w:bodyDiv w:val="1"/>
      <w:marLeft w:val="0"/>
      <w:marRight w:val="0"/>
      <w:marTop w:val="0"/>
      <w:marBottom w:val="0"/>
      <w:divBdr>
        <w:top w:val="none" w:sz="0" w:space="0" w:color="auto"/>
        <w:left w:val="none" w:sz="0" w:space="0" w:color="auto"/>
        <w:bottom w:val="none" w:sz="0" w:space="0" w:color="auto"/>
        <w:right w:val="none" w:sz="0" w:space="0" w:color="auto"/>
      </w:divBdr>
    </w:div>
    <w:div w:id="1470856027">
      <w:bodyDiv w:val="1"/>
      <w:marLeft w:val="0"/>
      <w:marRight w:val="0"/>
      <w:marTop w:val="0"/>
      <w:marBottom w:val="0"/>
      <w:divBdr>
        <w:top w:val="none" w:sz="0" w:space="0" w:color="auto"/>
        <w:left w:val="none" w:sz="0" w:space="0" w:color="auto"/>
        <w:bottom w:val="none" w:sz="0" w:space="0" w:color="auto"/>
        <w:right w:val="none" w:sz="0" w:space="0" w:color="auto"/>
      </w:divBdr>
    </w:div>
    <w:div w:id="1472332631">
      <w:bodyDiv w:val="1"/>
      <w:marLeft w:val="0"/>
      <w:marRight w:val="0"/>
      <w:marTop w:val="0"/>
      <w:marBottom w:val="0"/>
      <w:divBdr>
        <w:top w:val="none" w:sz="0" w:space="0" w:color="auto"/>
        <w:left w:val="none" w:sz="0" w:space="0" w:color="auto"/>
        <w:bottom w:val="none" w:sz="0" w:space="0" w:color="auto"/>
        <w:right w:val="none" w:sz="0" w:space="0" w:color="auto"/>
      </w:divBdr>
    </w:div>
    <w:div w:id="1472402602">
      <w:bodyDiv w:val="1"/>
      <w:marLeft w:val="0"/>
      <w:marRight w:val="0"/>
      <w:marTop w:val="0"/>
      <w:marBottom w:val="0"/>
      <w:divBdr>
        <w:top w:val="none" w:sz="0" w:space="0" w:color="auto"/>
        <w:left w:val="none" w:sz="0" w:space="0" w:color="auto"/>
        <w:bottom w:val="none" w:sz="0" w:space="0" w:color="auto"/>
        <w:right w:val="none" w:sz="0" w:space="0" w:color="auto"/>
      </w:divBdr>
    </w:div>
    <w:div w:id="1472480082">
      <w:bodyDiv w:val="1"/>
      <w:marLeft w:val="0"/>
      <w:marRight w:val="0"/>
      <w:marTop w:val="0"/>
      <w:marBottom w:val="0"/>
      <w:divBdr>
        <w:top w:val="none" w:sz="0" w:space="0" w:color="auto"/>
        <w:left w:val="none" w:sz="0" w:space="0" w:color="auto"/>
        <w:bottom w:val="none" w:sz="0" w:space="0" w:color="auto"/>
        <w:right w:val="none" w:sz="0" w:space="0" w:color="auto"/>
      </w:divBdr>
    </w:div>
    <w:div w:id="1472744621">
      <w:bodyDiv w:val="1"/>
      <w:marLeft w:val="0"/>
      <w:marRight w:val="0"/>
      <w:marTop w:val="0"/>
      <w:marBottom w:val="0"/>
      <w:divBdr>
        <w:top w:val="none" w:sz="0" w:space="0" w:color="auto"/>
        <w:left w:val="none" w:sz="0" w:space="0" w:color="auto"/>
        <w:bottom w:val="none" w:sz="0" w:space="0" w:color="auto"/>
        <w:right w:val="none" w:sz="0" w:space="0" w:color="auto"/>
      </w:divBdr>
    </w:div>
    <w:div w:id="1474634655">
      <w:bodyDiv w:val="1"/>
      <w:marLeft w:val="0"/>
      <w:marRight w:val="0"/>
      <w:marTop w:val="0"/>
      <w:marBottom w:val="0"/>
      <w:divBdr>
        <w:top w:val="none" w:sz="0" w:space="0" w:color="auto"/>
        <w:left w:val="none" w:sz="0" w:space="0" w:color="auto"/>
        <w:bottom w:val="none" w:sz="0" w:space="0" w:color="auto"/>
        <w:right w:val="none" w:sz="0" w:space="0" w:color="auto"/>
      </w:divBdr>
    </w:div>
    <w:div w:id="1475247524">
      <w:bodyDiv w:val="1"/>
      <w:marLeft w:val="0"/>
      <w:marRight w:val="0"/>
      <w:marTop w:val="0"/>
      <w:marBottom w:val="0"/>
      <w:divBdr>
        <w:top w:val="none" w:sz="0" w:space="0" w:color="auto"/>
        <w:left w:val="none" w:sz="0" w:space="0" w:color="auto"/>
        <w:bottom w:val="none" w:sz="0" w:space="0" w:color="auto"/>
        <w:right w:val="none" w:sz="0" w:space="0" w:color="auto"/>
      </w:divBdr>
    </w:div>
    <w:div w:id="1475414407">
      <w:bodyDiv w:val="1"/>
      <w:marLeft w:val="0"/>
      <w:marRight w:val="0"/>
      <w:marTop w:val="0"/>
      <w:marBottom w:val="0"/>
      <w:divBdr>
        <w:top w:val="none" w:sz="0" w:space="0" w:color="auto"/>
        <w:left w:val="none" w:sz="0" w:space="0" w:color="auto"/>
        <w:bottom w:val="none" w:sz="0" w:space="0" w:color="auto"/>
        <w:right w:val="none" w:sz="0" w:space="0" w:color="auto"/>
      </w:divBdr>
    </w:div>
    <w:div w:id="1475756502">
      <w:bodyDiv w:val="1"/>
      <w:marLeft w:val="0"/>
      <w:marRight w:val="0"/>
      <w:marTop w:val="0"/>
      <w:marBottom w:val="0"/>
      <w:divBdr>
        <w:top w:val="none" w:sz="0" w:space="0" w:color="auto"/>
        <w:left w:val="none" w:sz="0" w:space="0" w:color="auto"/>
        <w:bottom w:val="none" w:sz="0" w:space="0" w:color="auto"/>
        <w:right w:val="none" w:sz="0" w:space="0" w:color="auto"/>
      </w:divBdr>
    </w:div>
    <w:div w:id="1475947379">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78645880">
      <w:bodyDiv w:val="1"/>
      <w:marLeft w:val="0"/>
      <w:marRight w:val="0"/>
      <w:marTop w:val="0"/>
      <w:marBottom w:val="0"/>
      <w:divBdr>
        <w:top w:val="none" w:sz="0" w:space="0" w:color="auto"/>
        <w:left w:val="none" w:sz="0" w:space="0" w:color="auto"/>
        <w:bottom w:val="none" w:sz="0" w:space="0" w:color="auto"/>
        <w:right w:val="none" w:sz="0" w:space="0" w:color="auto"/>
      </w:divBdr>
    </w:div>
    <w:div w:id="1478840126">
      <w:bodyDiv w:val="1"/>
      <w:marLeft w:val="0"/>
      <w:marRight w:val="0"/>
      <w:marTop w:val="0"/>
      <w:marBottom w:val="0"/>
      <w:divBdr>
        <w:top w:val="none" w:sz="0" w:space="0" w:color="auto"/>
        <w:left w:val="none" w:sz="0" w:space="0" w:color="auto"/>
        <w:bottom w:val="none" w:sz="0" w:space="0" w:color="auto"/>
        <w:right w:val="none" w:sz="0" w:space="0" w:color="auto"/>
      </w:divBdr>
    </w:div>
    <w:div w:id="1478843965">
      <w:bodyDiv w:val="1"/>
      <w:marLeft w:val="0"/>
      <w:marRight w:val="0"/>
      <w:marTop w:val="0"/>
      <w:marBottom w:val="0"/>
      <w:divBdr>
        <w:top w:val="none" w:sz="0" w:space="0" w:color="auto"/>
        <w:left w:val="none" w:sz="0" w:space="0" w:color="auto"/>
        <w:bottom w:val="none" w:sz="0" w:space="0" w:color="auto"/>
        <w:right w:val="none" w:sz="0" w:space="0" w:color="auto"/>
      </w:divBdr>
    </w:div>
    <w:div w:id="1479688110">
      <w:bodyDiv w:val="1"/>
      <w:marLeft w:val="0"/>
      <w:marRight w:val="0"/>
      <w:marTop w:val="0"/>
      <w:marBottom w:val="0"/>
      <w:divBdr>
        <w:top w:val="none" w:sz="0" w:space="0" w:color="auto"/>
        <w:left w:val="none" w:sz="0" w:space="0" w:color="auto"/>
        <w:bottom w:val="none" w:sz="0" w:space="0" w:color="auto"/>
        <w:right w:val="none" w:sz="0" w:space="0" w:color="auto"/>
      </w:divBdr>
    </w:div>
    <w:div w:id="1479807072">
      <w:bodyDiv w:val="1"/>
      <w:marLeft w:val="0"/>
      <w:marRight w:val="0"/>
      <w:marTop w:val="0"/>
      <w:marBottom w:val="0"/>
      <w:divBdr>
        <w:top w:val="none" w:sz="0" w:space="0" w:color="auto"/>
        <w:left w:val="none" w:sz="0" w:space="0" w:color="auto"/>
        <w:bottom w:val="none" w:sz="0" w:space="0" w:color="auto"/>
        <w:right w:val="none" w:sz="0" w:space="0" w:color="auto"/>
      </w:divBdr>
    </w:div>
    <w:div w:id="1479953765">
      <w:bodyDiv w:val="1"/>
      <w:marLeft w:val="0"/>
      <w:marRight w:val="0"/>
      <w:marTop w:val="0"/>
      <w:marBottom w:val="0"/>
      <w:divBdr>
        <w:top w:val="none" w:sz="0" w:space="0" w:color="auto"/>
        <w:left w:val="none" w:sz="0" w:space="0" w:color="auto"/>
        <w:bottom w:val="none" w:sz="0" w:space="0" w:color="auto"/>
        <w:right w:val="none" w:sz="0" w:space="0" w:color="auto"/>
      </w:divBdr>
    </w:div>
    <w:div w:id="1480345754">
      <w:bodyDiv w:val="1"/>
      <w:marLeft w:val="0"/>
      <w:marRight w:val="0"/>
      <w:marTop w:val="0"/>
      <w:marBottom w:val="0"/>
      <w:divBdr>
        <w:top w:val="none" w:sz="0" w:space="0" w:color="auto"/>
        <w:left w:val="none" w:sz="0" w:space="0" w:color="auto"/>
        <w:bottom w:val="none" w:sz="0" w:space="0" w:color="auto"/>
        <w:right w:val="none" w:sz="0" w:space="0" w:color="auto"/>
      </w:divBdr>
    </w:div>
    <w:div w:id="1480535611">
      <w:bodyDiv w:val="1"/>
      <w:marLeft w:val="0"/>
      <w:marRight w:val="0"/>
      <w:marTop w:val="0"/>
      <w:marBottom w:val="0"/>
      <w:divBdr>
        <w:top w:val="none" w:sz="0" w:space="0" w:color="auto"/>
        <w:left w:val="none" w:sz="0" w:space="0" w:color="auto"/>
        <w:bottom w:val="none" w:sz="0" w:space="0" w:color="auto"/>
        <w:right w:val="none" w:sz="0" w:space="0" w:color="auto"/>
      </w:divBdr>
    </w:div>
    <w:div w:id="1480802212">
      <w:bodyDiv w:val="1"/>
      <w:marLeft w:val="0"/>
      <w:marRight w:val="0"/>
      <w:marTop w:val="0"/>
      <w:marBottom w:val="0"/>
      <w:divBdr>
        <w:top w:val="none" w:sz="0" w:space="0" w:color="auto"/>
        <w:left w:val="none" w:sz="0" w:space="0" w:color="auto"/>
        <w:bottom w:val="none" w:sz="0" w:space="0" w:color="auto"/>
        <w:right w:val="none" w:sz="0" w:space="0" w:color="auto"/>
      </w:divBdr>
    </w:div>
    <w:div w:id="1481000462">
      <w:bodyDiv w:val="1"/>
      <w:marLeft w:val="0"/>
      <w:marRight w:val="0"/>
      <w:marTop w:val="0"/>
      <w:marBottom w:val="0"/>
      <w:divBdr>
        <w:top w:val="none" w:sz="0" w:space="0" w:color="auto"/>
        <w:left w:val="none" w:sz="0" w:space="0" w:color="auto"/>
        <w:bottom w:val="none" w:sz="0" w:space="0" w:color="auto"/>
        <w:right w:val="none" w:sz="0" w:space="0" w:color="auto"/>
      </w:divBdr>
    </w:div>
    <w:div w:id="1481651695">
      <w:bodyDiv w:val="1"/>
      <w:marLeft w:val="0"/>
      <w:marRight w:val="0"/>
      <w:marTop w:val="0"/>
      <w:marBottom w:val="0"/>
      <w:divBdr>
        <w:top w:val="none" w:sz="0" w:space="0" w:color="auto"/>
        <w:left w:val="none" w:sz="0" w:space="0" w:color="auto"/>
        <w:bottom w:val="none" w:sz="0" w:space="0" w:color="auto"/>
        <w:right w:val="none" w:sz="0" w:space="0" w:color="auto"/>
      </w:divBdr>
    </w:div>
    <w:div w:id="1481845125">
      <w:bodyDiv w:val="1"/>
      <w:marLeft w:val="0"/>
      <w:marRight w:val="0"/>
      <w:marTop w:val="0"/>
      <w:marBottom w:val="0"/>
      <w:divBdr>
        <w:top w:val="none" w:sz="0" w:space="0" w:color="auto"/>
        <w:left w:val="none" w:sz="0" w:space="0" w:color="auto"/>
        <w:bottom w:val="none" w:sz="0" w:space="0" w:color="auto"/>
        <w:right w:val="none" w:sz="0" w:space="0" w:color="auto"/>
      </w:divBdr>
    </w:div>
    <w:div w:id="1481847040">
      <w:bodyDiv w:val="1"/>
      <w:marLeft w:val="0"/>
      <w:marRight w:val="0"/>
      <w:marTop w:val="0"/>
      <w:marBottom w:val="0"/>
      <w:divBdr>
        <w:top w:val="none" w:sz="0" w:space="0" w:color="auto"/>
        <w:left w:val="none" w:sz="0" w:space="0" w:color="auto"/>
        <w:bottom w:val="none" w:sz="0" w:space="0" w:color="auto"/>
        <w:right w:val="none" w:sz="0" w:space="0" w:color="auto"/>
      </w:divBdr>
    </w:div>
    <w:div w:id="1482582391">
      <w:bodyDiv w:val="1"/>
      <w:marLeft w:val="0"/>
      <w:marRight w:val="0"/>
      <w:marTop w:val="0"/>
      <w:marBottom w:val="0"/>
      <w:divBdr>
        <w:top w:val="none" w:sz="0" w:space="0" w:color="auto"/>
        <w:left w:val="none" w:sz="0" w:space="0" w:color="auto"/>
        <w:bottom w:val="none" w:sz="0" w:space="0" w:color="auto"/>
        <w:right w:val="none" w:sz="0" w:space="0" w:color="auto"/>
      </w:divBdr>
    </w:div>
    <w:div w:id="1482817717">
      <w:bodyDiv w:val="1"/>
      <w:marLeft w:val="0"/>
      <w:marRight w:val="0"/>
      <w:marTop w:val="0"/>
      <w:marBottom w:val="0"/>
      <w:divBdr>
        <w:top w:val="none" w:sz="0" w:space="0" w:color="auto"/>
        <w:left w:val="none" w:sz="0" w:space="0" w:color="auto"/>
        <w:bottom w:val="none" w:sz="0" w:space="0" w:color="auto"/>
        <w:right w:val="none" w:sz="0" w:space="0" w:color="auto"/>
      </w:divBdr>
    </w:div>
    <w:div w:id="1483083924">
      <w:bodyDiv w:val="1"/>
      <w:marLeft w:val="0"/>
      <w:marRight w:val="0"/>
      <w:marTop w:val="0"/>
      <w:marBottom w:val="0"/>
      <w:divBdr>
        <w:top w:val="none" w:sz="0" w:space="0" w:color="auto"/>
        <w:left w:val="none" w:sz="0" w:space="0" w:color="auto"/>
        <w:bottom w:val="none" w:sz="0" w:space="0" w:color="auto"/>
        <w:right w:val="none" w:sz="0" w:space="0" w:color="auto"/>
      </w:divBdr>
    </w:div>
    <w:div w:id="1483229652">
      <w:bodyDiv w:val="1"/>
      <w:marLeft w:val="0"/>
      <w:marRight w:val="0"/>
      <w:marTop w:val="0"/>
      <w:marBottom w:val="0"/>
      <w:divBdr>
        <w:top w:val="none" w:sz="0" w:space="0" w:color="auto"/>
        <w:left w:val="none" w:sz="0" w:space="0" w:color="auto"/>
        <w:bottom w:val="none" w:sz="0" w:space="0" w:color="auto"/>
        <w:right w:val="none" w:sz="0" w:space="0" w:color="auto"/>
      </w:divBdr>
    </w:div>
    <w:div w:id="1483348961">
      <w:bodyDiv w:val="1"/>
      <w:marLeft w:val="0"/>
      <w:marRight w:val="0"/>
      <w:marTop w:val="0"/>
      <w:marBottom w:val="0"/>
      <w:divBdr>
        <w:top w:val="none" w:sz="0" w:space="0" w:color="auto"/>
        <w:left w:val="none" w:sz="0" w:space="0" w:color="auto"/>
        <w:bottom w:val="none" w:sz="0" w:space="0" w:color="auto"/>
        <w:right w:val="none" w:sz="0" w:space="0" w:color="auto"/>
      </w:divBdr>
    </w:div>
    <w:div w:id="1483738407">
      <w:bodyDiv w:val="1"/>
      <w:marLeft w:val="0"/>
      <w:marRight w:val="0"/>
      <w:marTop w:val="0"/>
      <w:marBottom w:val="0"/>
      <w:divBdr>
        <w:top w:val="none" w:sz="0" w:space="0" w:color="auto"/>
        <w:left w:val="none" w:sz="0" w:space="0" w:color="auto"/>
        <w:bottom w:val="none" w:sz="0" w:space="0" w:color="auto"/>
        <w:right w:val="none" w:sz="0" w:space="0" w:color="auto"/>
      </w:divBdr>
    </w:div>
    <w:div w:id="1483766812">
      <w:bodyDiv w:val="1"/>
      <w:marLeft w:val="0"/>
      <w:marRight w:val="0"/>
      <w:marTop w:val="0"/>
      <w:marBottom w:val="0"/>
      <w:divBdr>
        <w:top w:val="none" w:sz="0" w:space="0" w:color="auto"/>
        <w:left w:val="none" w:sz="0" w:space="0" w:color="auto"/>
        <w:bottom w:val="none" w:sz="0" w:space="0" w:color="auto"/>
        <w:right w:val="none" w:sz="0" w:space="0" w:color="auto"/>
      </w:divBdr>
    </w:div>
    <w:div w:id="1484733604">
      <w:bodyDiv w:val="1"/>
      <w:marLeft w:val="0"/>
      <w:marRight w:val="0"/>
      <w:marTop w:val="0"/>
      <w:marBottom w:val="0"/>
      <w:divBdr>
        <w:top w:val="none" w:sz="0" w:space="0" w:color="auto"/>
        <w:left w:val="none" w:sz="0" w:space="0" w:color="auto"/>
        <w:bottom w:val="none" w:sz="0" w:space="0" w:color="auto"/>
        <w:right w:val="none" w:sz="0" w:space="0" w:color="auto"/>
      </w:divBdr>
    </w:div>
    <w:div w:id="1484737650">
      <w:bodyDiv w:val="1"/>
      <w:marLeft w:val="0"/>
      <w:marRight w:val="0"/>
      <w:marTop w:val="0"/>
      <w:marBottom w:val="0"/>
      <w:divBdr>
        <w:top w:val="none" w:sz="0" w:space="0" w:color="auto"/>
        <w:left w:val="none" w:sz="0" w:space="0" w:color="auto"/>
        <w:bottom w:val="none" w:sz="0" w:space="0" w:color="auto"/>
        <w:right w:val="none" w:sz="0" w:space="0" w:color="auto"/>
      </w:divBdr>
    </w:div>
    <w:div w:id="1485315145">
      <w:bodyDiv w:val="1"/>
      <w:marLeft w:val="0"/>
      <w:marRight w:val="0"/>
      <w:marTop w:val="0"/>
      <w:marBottom w:val="0"/>
      <w:divBdr>
        <w:top w:val="none" w:sz="0" w:space="0" w:color="auto"/>
        <w:left w:val="none" w:sz="0" w:space="0" w:color="auto"/>
        <w:bottom w:val="none" w:sz="0" w:space="0" w:color="auto"/>
        <w:right w:val="none" w:sz="0" w:space="0" w:color="auto"/>
      </w:divBdr>
    </w:div>
    <w:div w:id="1485316758">
      <w:bodyDiv w:val="1"/>
      <w:marLeft w:val="0"/>
      <w:marRight w:val="0"/>
      <w:marTop w:val="0"/>
      <w:marBottom w:val="0"/>
      <w:divBdr>
        <w:top w:val="none" w:sz="0" w:space="0" w:color="auto"/>
        <w:left w:val="none" w:sz="0" w:space="0" w:color="auto"/>
        <w:bottom w:val="none" w:sz="0" w:space="0" w:color="auto"/>
        <w:right w:val="none" w:sz="0" w:space="0" w:color="auto"/>
      </w:divBdr>
    </w:div>
    <w:div w:id="1485854339">
      <w:bodyDiv w:val="1"/>
      <w:marLeft w:val="0"/>
      <w:marRight w:val="0"/>
      <w:marTop w:val="0"/>
      <w:marBottom w:val="0"/>
      <w:divBdr>
        <w:top w:val="none" w:sz="0" w:space="0" w:color="auto"/>
        <w:left w:val="none" w:sz="0" w:space="0" w:color="auto"/>
        <w:bottom w:val="none" w:sz="0" w:space="0" w:color="auto"/>
        <w:right w:val="none" w:sz="0" w:space="0" w:color="auto"/>
      </w:divBdr>
    </w:div>
    <w:div w:id="1486125637">
      <w:bodyDiv w:val="1"/>
      <w:marLeft w:val="0"/>
      <w:marRight w:val="0"/>
      <w:marTop w:val="0"/>
      <w:marBottom w:val="0"/>
      <w:divBdr>
        <w:top w:val="none" w:sz="0" w:space="0" w:color="auto"/>
        <w:left w:val="none" w:sz="0" w:space="0" w:color="auto"/>
        <w:bottom w:val="none" w:sz="0" w:space="0" w:color="auto"/>
        <w:right w:val="none" w:sz="0" w:space="0" w:color="auto"/>
      </w:divBdr>
    </w:div>
    <w:div w:id="1486781171">
      <w:bodyDiv w:val="1"/>
      <w:marLeft w:val="0"/>
      <w:marRight w:val="0"/>
      <w:marTop w:val="0"/>
      <w:marBottom w:val="0"/>
      <w:divBdr>
        <w:top w:val="none" w:sz="0" w:space="0" w:color="auto"/>
        <w:left w:val="none" w:sz="0" w:space="0" w:color="auto"/>
        <w:bottom w:val="none" w:sz="0" w:space="0" w:color="auto"/>
        <w:right w:val="none" w:sz="0" w:space="0" w:color="auto"/>
      </w:divBdr>
    </w:div>
    <w:div w:id="1486968853">
      <w:bodyDiv w:val="1"/>
      <w:marLeft w:val="0"/>
      <w:marRight w:val="0"/>
      <w:marTop w:val="0"/>
      <w:marBottom w:val="0"/>
      <w:divBdr>
        <w:top w:val="none" w:sz="0" w:space="0" w:color="auto"/>
        <w:left w:val="none" w:sz="0" w:space="0" w:color="auto"/>
        <w:bottom w:val="none" w:sz="0" w:space="0" w:color="auto"/>
        <w:right w:val="none" w:sz="0" w:space="0" w:color="auto"/>
      </w:divBdr>
    </w:div>
    <w:div w:id="1487671014">
      <w:bodyDiv w:val="1"/>
      <w:marLeft w:val="0"/>
      <w:marRight w:val="0"/>
      <w:marTop w:val="0"/>
      <w:marBottom w:val="0"/>
      <w:divBdr>
        <w:top w:val="none" w:sz="0" w:space="0" w:color="auto"/>
        <w:left w:val="none" w:sz="0" w:space="0" w:color="auto"/>
        <w:bottom w:val="none" w:sz="0" w:space="0" w:color="auto"/>
        <w:right w:val="none" w:sz="0" w:space="0" w:color="auto"/>
      </w:divBdr>
    </w:div>
    <w:div w:id="1488401053">
      <w:bodyDiv w:val="1"/>
      <w:marLeft w:val="0"/>
      <w:marRight w:val="0"/>
      <w:marTop w:val="0"/>
      <w:marBottom w:val="0"/>
      <w:divBdr>
        <w:top w:val="none" w:sz="0" w:space="0" w:color="auto"/>
        <w:left w:val="none" w:sz="0" w:space="0" w:color="auto"/>
        <w:bottom w:val="none" w:sz="0" w:space="0" w:color="auto"/>
        <w:right w:val="none" w:sz="0" w:space="0" w:color="auto"/>
      </w:divBdr>
    </w:div>
    <w:div w:id="1490245287">
      <w:bodyDiv w:val="1"/>
      <w:marLeft w:val="0"/>
      <w:marRight w:val="0"/>
      <w:marTop w:val="0"/>
      <w:marBottom w:val="0"/>
      <w:divBdr>
        <w:top w:val="none" w:sz="0" w:space="0" w:color="auto"/>
        <w:left w:val="none" w:sz="0" w:space="0" w:color="auto"/>
        <w:bottom w:val="none" w:sz="0" w:space="0" w:color="auto"/>
        <w:right w:val="none" w:sz="0" w:space="0" w:color="auto"/>
      </w:divBdr>
    </w:div>
    <w:div w:id="1491673850">
      <w:bodyDiv w:val="1"/>
      <w:marLeft w:val="0"/>
      <w:marRight w:val="0"/>
      <w:marTop w:val="0"/>
      <w:marBottom w:val="0"/>
      <w:divBdr>
        <w:top w:val="none" w:sz="0" w:space="0" w:color="auto"/>
        <w:left w:val="none" w:sz="0" w:space="0" w:color="auto"/>
        <w:bottom w:val="none" w:sz="0" w:space="0" w:color="auto"/>
        <w:right w:val="none" w:sz="0" w:space="0" w:color="auto"/>
      </w:divBdr>
    </w:div>
    <w:div w:id="1492915865">
      <w:bodyDiv w:val="1"/>
      <w:marLeft w:val="0"/>
      <w:marRight w:val="0"/>
      <w:marTop w:val="0"/>
      <w:marBottom w:val="0"/>
      <w:divBdr>
        <w:top w:val="none" w:sz="0" w:space="0" w:color="auto"/>
        <w:left w:val="none" w:sz="0" w:space="0" w:color="auto"/>
        <w:bottom w:val="none" w:sz="0" w:space="0" w:color="auto"/>
        <w:right w:val="none" w:sz="0" w:space="0" w:color="auto"/>
      </w:divBdr>
    </w:div>
    <w:div w:id="1492986680">
      <w:bodyDiv w:val="1"/>
      <w:marLeft w:val="0"/>
      <w:marRight w:val="0"/>
      <w:marTop w:val="0"/>
      <w:marBottom w:val="0"/>
      <w:divBdr>
        <w:top w:val="none" w:sz="0" w:space="0" w:color="auto"/>
        <w:left w:val="none" w:sz="0" w:space="0" w:color="auto"/>
        <w:bottom w:val="none" w:sz="0" w:space="0" w:color="auto"/>
        <w:right w:val="none" w:sz="0" w:space="0" w:color="auto"/>
      </w:divBdr>
    </w:div>
    <w:div w:id="1492988674">
      <w:bodyDiv w:val="1"/>
      <w:marLeft w:val="0"/>
      <w:marRight w:val="0"/>
      <w:marTop w:val="0"/>
      <w:marBottom w:val="0"/>
      <w:divBdr>
        <w:top w:val="none" w:sz="0" w:space="0" w:color="auto"/>
        <w:left w:val="none" w:sz="0" w:space="0" w:color="auto"/>
        <w:bottom w:val="none" w:sz="0" w:space="0" w:color="auto"/>
        <w:right w:val="none" w:sz="0" w:space="0" w:color="auto"/>
      </w:divBdr>
    </w:div>
    <w:div w:id="1492989817">
      <w:bodyDiv w:val="1"/>
      <w:marLeft w:val="0"/>
      <w:marRight w:val="0"/>
      <w:marTop w:val="0"/>
      <w:marBottom w:val="0"/>
      <w:divBdr>
        <w:top w:val="none" w:sz="0" w:space="0" w:color="auto"/>
        <w:left w:val="none" w:sz="0" w:space="0" w:color="auto"/>
        <w:bottom w:val="none" w:sz="0" w:space="0" w:color="auto"/>
        <w:right w:val="none" w:sz="0" w:space="0" w:color="auto"/>
      </w:divBdr>
    </w:div>
    <w:div w:id="1493374608">
      <w:bodyDiv w:val="1"/>
      <w:marLeft w:val="0"/>
      <w:marRight w:val="0"/>
      <w:marTop w:val="0"/>
      <w:marBottom w:val="0"/>
      <w:divBdr>
        <w:top w:val="none" w:sz="0" w:space="0" w:color="auto"/>
        <w:left w:val="none" w:sz="0" w:space="0" w:color="auto"/>
        <w:bottom w:val="none" w:sz="0" w:space="0" w:color="auto"/>
        <w:right w:val="none" w:sz="0" w:space="0" w:color="auto"/>
      </w:divBdr>
    </w:div>
    <w:div w:id="1493443656">
      <w:bodyDiv w:val="1"/>
      <w:marLeft w:val="0"/>
      <w:marRight w:val="0"/>
      <w:marTop w:val="0"/>
      <w:marBottom w:val="0"/>
      <w:divBdr>
        <w:top w:val="none" w:sz="0" w:space="0" w:color="auto"/>
        <w:left w:val="none" w:sz="0" w:space="0" w:color="auto"/>
        <w:bottom w:val="none" w:sz="0" w:space="0" w:color="auto"/>
        <w:right w:val="none" w:sz="0" w:space="0" w:color="auto"/>
      </w:divBdr>
    </w:div>
    <w:div w:id="1493643467">
      <w:bodyDiv w:val="1"/>
      <w:marLeft w:val="0"/>
      <w:marRight w:val="0"/>
      <w:marTop w:val="0"/>
      <w:marBottom w:val="0"/>
      <w:divBdr>
        <w:top w:val="none" w:sz="0" w:space="0" w:color="auto"/>
        <w:left w:val="none" w:sz="0" w:space="0" w:color="auto"/>
        <w:bottom w:val="none" w:sz="0" w:space="0" w:color="auto"/>
        <w:right w:val="none" w:sz="0" w:space="0" w:color="auto"/>
      </w:divBdr>
    </w:div>
    <w:div w:id="1494876400">
      <w:bodyDiv w:val="1"/>
      <w:marLeft w:val="0"/>
      <w:marRight w:val="0"/>
      <w:marTop w:val="0"/>
      <w:marBottom w:val="0"/>
      <w:divBdr>
        <w:top w:val="none" w:sz="0" w:space="0" w:color="auto"/>
        <w:left w:val="none" w:sz="0" w:space="0" w:color="auto"/>
        <w:bottom w:val="none" w:sz="0" w:space="0" w:color="auto"/>
        <w:right w:val="none" w:sz="0" w:space="0" w:color="auto"/>
      </w:divBdr>
    </w:div>
    <w:div w:id="1495030429">
      <w:bodyDiv w:val="1"/>
      <w:marLeft w:val="0"/>
      <w:marRight w:val="0"/>
      <w:marTop w:val="0"/>
      <w:marBottom w:val="0"/>
      <w:divBdr>
        <w:top w:val="none" w:sz="0" w:space="0" w:color="auto"/>
        <w:left w:val="none" w:sz="0" w:space="0" w:color="auto"/>
        <w:bottom w:val="none" w:sz="0" w:space="0" w:color="auto"/>
        <w:right w:val="none" w:sz="0" w:space="0" w:color="auto"/>
      </w:divBdr>
    </w:div>
    <w:div w:id="1495032016">
      <w:bodyDiv w:val="1"/>
      <w:marLeft w:val="0"/>
      <w:marRight w:val="0"/>
      <w:marTop w:val="0"/>
      <w:marBottom w:val="0"/>
      <w:divBdr>
        <w:top w:val="none" w:sz="0" w:space="0" w:color="auto"/>
        <w:left w:val="none" w:sz="0" w:space="0" w:color="auto"/>
        <w:bottom w:val="none" w:sz="0" w:space="0" w:color="auto"/>
        <w:right w:val="none" w:sz="0" w:space="0" w:color="auto"/>
      </w:divBdr>
    </w:div>
    <w:div w:id="1495411261">
      <w:bodyDiv w:val="1"/>
      <w:marLeft w:val="0"/>
      <w:marRight w:val="0"/>
      <w:marTop w:val="0"/>
      <w:marBottom w:val="0"/>
      <w:divBdr>
        <w:top w:val="none" w:sz="0" w:space="0" w:color="auto"/>
        <w:left w:val="none" w:sz="0" w:space="0" w:color="auto"/>
        <w:bottom w:val="none" w:sz="0" w:space="0" w:color="auto"/>
        <w:right w:val="none" w:sz="0" w:space="0" w:color="auto"/>
      </w:divBdr>
    </w:div>
    <w:div w:id="1496335050">
      <w:bodyDiv w:val="1"/>
      <w:marLeft w:val="0"/>
      <w:marRight w:val="0"/>
      <w:marTop w:val="0"/>
      <w:marBottom w:val="0"/>
      <w:divBdr>
        <w:top w:val="none" w:sz="0" w:space="0" w:color="auto"/>
        <w:left w:val="none" w:sz="0" w:space="0" w:color="auto"/>
        <w:bottom w:val="none" w:sz="0" w:space="0" w:color="auto"/>
        <w:right w:val="none" w:sz="0" w:space="0" w:color="auto"/>
      </w:divBdr>
    </w:div>
    <w:div w:id="1496337137">
      <w:bodyDiv w:val="1"/>
      <w:marLeft w:val="0"/>
      <w:marRight w:val="0"/>
      <w:marTop w:val="0"/>
      <w:marBottom w:val="0"/>
      <w:divBdr>
        <w:top w:val="none" w:sz="0" w:space="0" w:color="auto"/>
        <w:left w:val="none" w:sz="0" w:space="0" w:color="auto"/>
        <w:bottom w:val="none" w:sz="0" w:space="0" w:color="auto"/>
        <w:right w:val="none" w:sz="0" w:space="0" w:color="auto"/>
      </w:divBdr>
    </w:div>
    <w:div w:id="1496384099">
      <w:bodyDiv w:val="1"/>
      <w:marLeft w:val="0"/>
      <w:marRight w:val="0"/>
      <w:marTop w:val="0"/>
      <w:marBottom w:val="0"/>
      <w:divBdr>
        <w:top w:val="none" w:sz="0" w:space="0" w:color="auto"/>
        <w:left w:val="none" w:sz="0" w:space="0" w:color="auto"/>
        <w:bottom w:val="none" w:sz="0" w:space="0" w:color="auto"/>
        <w:right w:val="none" w:sz="0" w:space="0" w:color="auto"/>
      </w:divBdr>
    </w:div>
    <w:div w:id="1496722529">
      <w:bodyDiv w:val="1"/>
      <w:marLeft w:val="0"/>
      <w:marRight w:val="0"/>
      <w:marTop w:val="0"/>
      <w:marBottom w:val="0"/>
      <w:divBdr>
        <w:top w:val="none" w:sz="0" w:space="0" w:color="auto"/>
        <w:left w:val="none" w:sz="0" w:space="0" w:color="auto"/>
        <w:bottom w:val="none" w:sz="0" w:space="0" w:color="auto"/>
        <w:right w:val="none" w:sz="0" w:space="0" w:color="auto"/>
      </w:divBdr>
    </w:div>
    <w:div w:id="1496917742">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12155">
      <w:bodyDiv w:val="1"/>
      <w:marLeft w:val="0"/>
      <w:marRight w:val="0"/>
      <w:marTop w:val="0"/>
      <w:marBottom w:val="0"/>
      <w:divBdr>
        <w:top w:val="none" w:sz="0" w:space="0" w:color="auto"/>
        <w:left w:val="none" w:sz="0" w:space="0" w:color="auto"/>
        <w:bottom w:val="none" w:sz="0" w:space="0" w:color="auto"/>
        <w:right w:val="none" w:sz="0" w:space="0" w:color="auto"/>
      </w:divBdr>
    </w:div>
    <w:div w:id="1497116221">
      <w:bodyDiv w:val="1"/>
      <w:marLeft w:val="0"/>
      <w:marRight w:val="0"/>
      <w:marTop w:val="0"/>
      <w:marBottom w:val="0"/>
      <w:divBdr>
        <w:top w:val="none" w:sz="0" w:space="0" w:color="auto"/>
        <w:left w:val="none" w:sz="0" w:space="0" w:color="auto"/>
        <w:bottom w:val="none" w:sz="0" w:space="0" w:color="auto"/>
        <w:right w:val="none" w:sz="0" w:space="0" w:color="auto"/>
      </w:divBdr>
    </w:div>
    <w:div w:id="1497190650">
      <w:bodyDiv w:val="1"/>
      <w:marLeft w:val="0"/>
      <w:marRight w:val="0"/>
      <w:marTop w:val="0"/>
      <w:marBottom w:val="0"/>
      <w:divBdr>
        <w:top w:val="none" w:sz="0" w:space="0" w:color="auto"/>
        <w:left w:val="none" w:sz="0" w:space="0" w:color="auto"/>
        <w:bottom w:val="none" w:sz="0" w:space="0" w:color="auto"/>
        <w:right w:val="none" w:sz="0" w:space="0" w:color="auto"/>
      </w:divBdr>
    </w:div>
    <w:div w:id="1498693373">
      <w:bodyDiv w:val="1"/>
      <w:marLeft w:val="0"/>
      <w:marRight w:val="0"/>
      <w:marTop w:val="0"/>
      <w:marBottom w:val="0"/>
      <w:divBdr>
        <w:top w:val="none" w:sz="0" w:space="0" w:color="auto"/>
        <w:left w:val="none" w:sz="0" w:space="0" w:color="auto"/>
        <w:bottom w:val="none" w:sz="0" w:space="0" w:color="auto"/>
        <w:right w:val="none" w:sz="0" w:space="0" w:color="auto"/>
      </w:divBdr>
    </w:div>
    <w:div w:id="1499465200">
      <w:bodyDiv w:val="1"/>
      <w:marLeft w:val="0"/>
      <w:marRight w:val="0"/>
      <w:marTop w:val="0"/>
      <w:marBottom w:val="0"/>
      <w:divBdr>
        <w:top w:val="none" w:sz="0" w:space="0" w:color="auto"/>
        <w:left w:val="none" w:sz="0" w:space="0" w:color="auto"/>
        <w:bottom w:val="none" w:sz="0" w:space="0" w:color="auto"/>
        <w:right w:val="none" w:sz="0" w:space="0" w:color="auto"/>
      </w:divBdr>
    </w:div>
    <w:div w:id="1499613093">
      <w:bodyDiv w:val="1"/>
      <w:marLeft w:val="0"/>
      <w:marRight w:val="0"/>
      <w:marTop w:val="0"/>
      <w:marBottom w:val="0"/>
      <w:divBdr>
        <w:top w:val="none" w:sz="0" w:space="0" w:color="auto"/>
        <w:left w:val="none" w:sz="0" w:space="0" w:color="auto"/>
        <w:bottom w:val="none" w:sz="0" w:space="0" w:color="auto"/>
        <w:right w:val="none" w:sz="0" w:space="0" w:color="auto"/>
      </w:divBdr>
    </w:div>
    <w:div w:id="1500004958">
      <w:bodyDiv w:val="1"/>
      <w:marLeft w:val="0"/>
      <w:marRight w:val="0"/>
      <w:marTop w:val="0"/>
      <w:marBottom w:val="0"/>
      <w:divBdr>
        <w:top w:val="none" w:sz="0" w:space="0" w:color="auto"/>
        <w:left w:val="none" w:sz="0" w:space="0" w:color="auto"/>
        <w:bottom w:val="none" w:sz="0" w:space="0" w:color="auto"/>
        <w:right w:val="none" w:sz="0" w:space="0" w:color="auto"/>
      </w:divBdr>
    </w:div>
    <w:div w:id="1500122159">
      <w:bodyDiv w:val="1"/>
      <w:marLeft w:val="0"/>
      <w:marRight w:val="0"/>
      <w:marTop w:val="0"/>
      <w:marBottom w:val="0"/>
      <w:divBdr>
        <w:top w:val="none" w:sz="0" w:space="0" w:color="auto"/>
        <w:left w:val="none" w:sz="0" w:space="0" w:color="auto"/>
        <w:bottom w:val="none" w:sz="0" w:space="0" w:color="auto"/>
        <w:right w:val="none" w:sz="0" w:space="0" w:color="auto"/>
      </w:divBdr>
    </w:div>
    <w:div w:id="1500583507">
      <w:bodyDiv w:val="1"/>
      <w:marLeft w:val="0"/>
      <w:marRight w:val="0"/>
      <w:marTop w:val="0"/>
      <w:marBottom w:val="0"/>
      <w:divBdr>
        <w:top w:val="none" w:sz="0" w:space="0" w:color="auto"/>
        <w:left w:val="none" w:sz="0" w:space="0" w:color="auto"/>
        <w:bottom w:val="none" w:sz="0" w:space="0" w:color="auto"/>
        <w:right w:val="none" w:sz="0" w:space="0" w:color="auto"/>
      </w:divBdr>
    </w:div>
    <w:div w:id="1501233969">
      <w:bodyDiv w:val="1"/>
      <w:marLeft w:val="0"/>
      <w:marRight w:val="0"/>
      <w:marTop w:val="0"/>
      <w:marBottom w:val="0"/>
      <w:divBdr>
        <w:top w:val="none" w:sz="0" w:space="0" w:color="auto"/>
        <w:left w:val="none" w:sz="0" w:space="0" w:color="auto"/>
        <w:bottom w:val="none" w:sz="0" w:space="0" w:color="auto"/>
        <w:right w:val="none" w:sz="0" w:space="0" w:color="auto"/>
      </w:divBdr>
    </w:div>
    <w:div w:id="1501501791">
      <w:bodyDiv w:val="1"/>
      <w:marLeft w:val="0"/>
      <w:marRight w:val="0"/>
      <w:marTop w:val="0"/>
      <w:marBottom w:val="0"/>
      <w:divBdr>
        <w:top w:val="none" w:sz="0" w:space="0" w:color="auto"/>
        <w:left w:val="none" w:sz="0" w:space="0" w:color="auto"/>
        <w:bottom w:val="none" w:sz="0" w:space="0" w:color="auto"/>
        <w:right w:val="none" w:sz="0" w:space="0" w:color="auto"/>
      </w:divBdr>
    </w:div>
    <w:div w:id="1501772553">
      <w:bodyDiv w:val="1"/>
      <w:marLeft w:val="0"/>
      <w:marRight w:val="0"/>
      <w:marTop w:val="0"/>
      <w:marBottom w:val="0"/>
      <w:divBdr>
        <w:top w:val="none" w:sz="0" w:space="0" w:color="auto"/>
        <w:left w:val="none" w:sz="0" w:space="0" w:color="auto"/>
        <w:bottom w:val="none" w:sz="0" w:space="0" w:color="auto"/>
        <w:right w:val="none" w:sz="0" w:space="0" w:color="auto"/>
      </w:divBdr>
    </w:div>
    <w:div w:id="1501846369">
      <w:bodyDiv w:val="1"/>
      <w:marLeft w:val="0"/>
      <w:marRight w:val="0"/>
      <w:marTop w:val="0"/>
      <w:marBottom w:val="0"/>
      <w:divBdr>
        <w:top w:val="none" w:sz="0" w:space="0" w:color="auto"/>
        <w:left w:val="none" w:sz="0" w:space="0" w:color="auto"/>
        <w:bottom w:val="none" w:sz="0" w:space="0" w:color="auto"/>
        <w:right w:val="none" w:sz="0" w:space="0" w:color="auto"/>
      </w:divBdr>
    </w:div>
    <w:div w:id="1501965917">
      <w:bodyDiv w:val="1"/>
      <w:marLeft w:val="0"/>
      <w:marRight w:val="0"/>
      <w:marTop w:val="0"/>
      <w:marBottom w:val="0"/>
      <w:divBdr>
        <w:top w:val="none" w:sz="0" w:space="0" w:color="auto"/>
        <w:left w:val="none" w:sz="0" w:space="0" w:color="auto"/>
        <w:bottom w:val="none" w:sz="0" w:space="0" w:color="auto"/>
        <w:right w:val="none" w:sz="0" w:space="0" w:color="auto"/>
      </w:divBdr>
    </w:div>
    <w:div w:id="1502114683">
      <w:bodyDiv w:val="1"/>
      <w:marLeft w:val="0"/>
      <w:marRight w:val="0"/>
      <w:marTop w:val="0"/>
      <w:marBottom w:val="0"/>
      <w:divBdr>
        <w:top w:val="none" w:sz="0" w:space="0" w:color="auto"/>
        <w:left w:val="none" w:sz="0" w:space="0" w:color="auto"/>
        <w:bottom w:val="none" w:sz="0" w:space="0" w:color="auto"/>
        <w:right w:val="none" w:sz="0" w:space="0" w:color="auto"/>
      </w:divBdr>
    </w:div>
    <w:div w:id="1502621102">
      <w:bodyDiv w:val="1"/>
      <w:marLeft w:val="0"/>
      <w:marRight w:val="0"/>
      <w:marTop w:val="0"/>
      <w:marBottom w:val="0"/>
      <w:divBdr>
        <w:top w:val="none" w:sz="0" w:space="0" w:color="auto"/>
        <w:left w:val="none" w:sz="0" w:space="0" w:color="auto"/>
        <w:bottom w:val="none" w:sz="0" w:space="0" w:color="auto"/>
        <w:right w:val="none" w:sz="0" w:space="0" w:color="auto"/>
      </w:divBdr>
    </w:div>
    <w:div w:id="1502894084">
      <w:bodyDiv w:val="1"/>
      <w:marLeft w:val="0"/>
      <w:marRight w:val="0"/>
      <w:marTop w:val="0"/>
      <w:marBottom w:val="0"/>
      <w:divBdr>
        <w:top w:val="none" w:sz="0" w:space="0" w:color="auto"/>
        <w:left w:val="none" w:sz="0" w:space="0" w:color="auto"/>
        <w:bottom w:val="none" w:sz="0" w:space="0" w:color="auto"/>
        <w:right w:val="none" w:sz="0" w:space="0" w:color="auto"/>
      </w:divBdr>
    </w:div>
    <w:div w:id="1502968452">
      <w:bodyDiv w:val="1"/>
      <w:marLeft w:val="0"/>
      <w:marRight w:val="0"/>
      <w:marTop w:val="0"/>
      <w:marBottom w:val="0"/>
      <w:divBdr>
        <w:top w:val="none" w:sz="0" w:space="0" w:color="auto"/>
        <w:left w:val="none" w:sz="0" w:space="0" w:color="auto"/>
        <w:bottom w:val="none" w:sz="0" w:space="0" w:color="auto"/>
        <w:right w:val="none" w:sz="0" w:space="0" w:color="auto"/>
      </w:divBdr>
    </w:div>
    <w:div w:id="1503013073">
      <w:bodyDiv w:val="1"/>
      <w:marLeft w:val="0"/>
      <w:marRight w:val="0"/>
      <w:marTop w:val="0"/>
      <w:marBottom w:val="0"/>
      <w:divBdr>
        <w:top w:val="none" w:sz="0" w:space="0" w:color="auto"/>
        <w:left w:val="none" w:sz="0" w:space="0" w:color="auto"/>
        <w:bottom w:val="none" w:sz="0" w:space="0" w:color="auto"/>
        <w:right w:val="none" w:sz="0" w:space="0" w:color="auto"/>
      </w:divBdr>
    </w:div>
    <w:div w:id="1503548751">
      <w:bodyDiv w:val="1"/>
      <w:marLeft w:val="0"/>
      <w:marRight w:val="0"/>
      <w:marTop w:val="0"/>
      <w:marBottom w:val="0"/>
      <w:divBdr>
        <w:top w:val="none" w:sz="0" w:space="0" w:color="auto"/>
        <w:left w:val="none" w:sz="0" w:space="0" w:color="auto"/>
        <w:bottom w:val="none" w:sz="0" w:space="0" w:color="auto"/>
        <w:right w:val="none" w:sz="0" w:space="0" w:color="auto"/>
      </w:divBdr>
    </w:div>
    <w:div w:id="1504710652">
      <w:bodyDiv w:val="1"/>
      <w:marLeft w:val="0"/>
      <w:marRight w:val="0"/>
      <w:marTop w:val="0"/>
      <w:marBottom w:val="0"/>
      <w:divBdr>
        <w:top w:val="none" w:sz="0" w:space="0" w:color="auto"/>
        <w:left w:val="none" w:sz="0" w:space="0" w:color="auto"/>
        <w:bottom w:val="none" w:sz="0" w:space="0" w:color="auto"/>
        <w:right w:val="none" w:sz="0" w:space="0" w:color="auto"/>
      </w:divBdr>
    </w:div>
    <w:div w:id="1504785460">
      <w:bodyDiv w:val="1"/>
      <w:marLeft w:val="0"/>
      <w:marRight w:val="0"/>
      <w:marTop w:val="0"/>
      <w:marBottom w:val="0"/>
      <w:divBdr>
        <w:top w:val="none" w:sz="0" w:space="0" w:color="auto"/>
        <w:left w:val="none" w:sz="0" w:space="0" w:color="auto"/>
        <w:bottom w:val="none" w:sz="0" w:space="0" w:color="auto"/>
        <w:right w:val="none" w:sz="0" w:space="0" w:color="auto"/>
      </w:divBdr>
    </w:div>
    <w:div w:id="1505362595">
      <w:bodyDiv w:val="1"/>
      <w:marLeft w:val="0"/>
      <w:marRight w:val="0"/>
      <w:marTop w:val="0"/>
      <w:marBottom w:val="0"/>
      <w:divBdr>
        <w:top w:val="none" w:sz="0" w:space="0" w:color="auto"/>
        <w:left w:val="none" w:sz="0" w:space="0" w:color="auto"/>
        <w:bottom w:val="none" w:sz="0" w:space="0" w:color="auto"/>
        <w:right w:val="none" w:sz="0" w:space="0" w:color="auto"/>
      </w:divBdr>
    </w:div>
    <w:div w:id="1506093189">
      <w:bodyDiv w:val="1"/>
      <w:marLeft w:val="0"/>
      <w:marRight w:val="0"/>
      <w:marTop w:val="0"/>
      <w:marBottom w:val="0"/>
      <w:divBdr>
        <w:top w:val="none" w:sz="0" w:space="0" w:color="auto"/>
        <w:left w:val="none" w:sz="0" w:space="0" w:color="auto"/>
        <w:bottom w:val="none" w:sz="0" w:space="0" w:color="auto"/>
        <w:right w:val="none" w:sz="0" w:space="0" w:color="auto"/>
      </w:divBdr>
    </w:div>
    <w:div w:id="1506751965">
      <w:bodyDiv w:val="1"/>
      <w:marLeft w:val="0"/>
      <w:marRight w:val="0"/>
      <w:marTop w:val="0"/>
      <w:marBottom w:val="0"/>
      <w:divBdr>
        <w:top w:val="none" w:sz="0" w:space="0" w:color="auto"/>
        <w:left w:val="none" w:sz="0" w:space="0" w:color="auto"/>
        <w:bottom w:val="none" w:sz="0" w:space="0" w:color="auto"/>
        <w:right w:val="none" w:sz="0" w:space="0" w:color="auto"/>
      </w:divBdr>
    </w:div>
    <w:div w:id="1507209000">
      <w:bodyDiv w:val="1"/>
      <w:marLeft w:val="0"/>
      <w:marRight w:val="0"/>
      <w:marTop w:val="0"/>
      <w:marBottom w:val="0"/>
      <w:divBdr>
        <w:top w:val="none" w:sz="0" w:space="0" w:color="auto"/>
        <w:left w:val="none" w:sz="0" w:space="0" w:color="auto"/>
        <w:bottom w:val="none" w:sz="0" w:space="0" w:color="auto"/>
        <w:right w:val="none" w:sz="0" w:space="0" w:color="auto"/>
      </w:divBdr>
    </w:div>
    <w:div w:id="1508128857">
      <w:bodyDiv w:val="1"/>
      <w:marLeft w:val="0"/>
      <w:marRight w:val="0"/>
      <w:marTop w:val="0"/>
      <w:marBottom w:val="0"/>
      <w:divBdr>
        <w:top w:val="none" w:sz="0" w:space="0" w:color="auto"/>
        <w:left w:val="none" w:sz="0" w:space="0" w:color="auto"/>
        <w:bottom w:val="none" w:sz="0" w:space="0" w:color="auto"/>
        <w:right w:val="none" w:sz="0" w:space="0" w:color="auto"/>
      </w:divBdr>
    </w:div>
    <w:div w:id="1508131999">
      <w:bodyDiv w:val="1"/>
      <w:marLeft w:val="0"/>
      <w:marRight w:val="0"/>
      <w:marTop w:val="0"/>
      <w:marBottom w:val="0"/>
      <w:divBdr>
        <w:top w:val="none" w:sz="0" w:space="0" w:color="auto"/>
        <w:left w:val="none" w:sz="0" w:space="0" w:color="auto"/>
        <w:bottom w:val="none" w:sz="0" w:space="0" w:color="auto"/>
        <w:right w:val="none" w:sz="0" w:space="0" w:color="auto"/>
      </w:divBdr>
    </w:div>
    <w:div w:id="1508203712">
      <w:bodyDiv w:val="1"/>
      <w:marLeft w:val="0"/>
      <w:marRight w:val="0"/>
      <w:marTop w:val="0"/>
      <w:marBottom w:val="0"/>
      <w:divBdr>
        <w:top w:val="none" w:sz="0" w:space="0" w:color="auto"/>
        <w:left w:val="none" w:sz="0" w:space="0" w:color="auto"/>
        <w:bottom w:val="none" w:sz="0" w:space="0" w:color="auto"/>
        <w:right w:val="none" w:sz="0" w:space="0" w:color="auto"/>
      </w:divBdr>
    </w:div>
    <w:div w:id="1508327171">
      <w:bodyDiv w:val="1"/>
      <w:marLeft w:val="0"/>
      <w:marRight w:val="0"/>
      <w:marTop w:val="0"/>
      <w:marBottom w:val="0"/>
      <w:divBdr>
        <w:top w:val="none" w:sz="0" w:space="0" w:color="auto"/>
        <w:left w:val="none" w:sz="0" w:space="0" w:color="auto"/>
        <w:bottom w:val="none" w:sz="0" w:space="0" w:color="auto"/>
        <w:right w:val="none" w:sz="0" w:space="0" w:color="auto"/>
      </w:divBdr>
    </w:div>
    <w:div w:id="1509099254">
      <w:bodyDiv w:val="1"/>
      <w:marLeft w:val="0"/>
      <w:marRight w:val="0"/>
      <w:marTop w:val="0"/>
      <w:marBottom w:val="0"/>
      <w:divBdr>
        <w:top w:val="none" w:sz="0" w:space="0" w:color="auto"/>
        <w:left w:val="none" w:sz="0" w:space="0" w:color="auto"/>
        <w:bottom w:val="none" w:sz="0" w:space="0" w:color="auto"/>
        <w:right w:val="none" w:sz="0" w:space="0" w:color="auto"/>
      </w:divBdr>
    </w:div>
    <w:div w:id="1509101162">
      <w:bodyDiv w:val="1"/>
      <w:marLeft w:val="0"/>
      <w:marRight w:val="0"/>
      <w:marTop w:val="0"/>
      <w:marBottom w:val="0"/>
      <w:divBdr>
        <w:top w:val="none" w:sz="0" w:space="0" w:color="auto"/>
        <w:left w:val="none" w:sz="0" w:space="0" w:color="auto"/>
        <w:bottom w:val="none" w:sz="0" w:space="0" w:color="auto"/>
        <w:right w:val="none" w:sz="0" w:space="0" w:color="auto"/>
      </w:divBdr>
    </w:div>
    <w:div w:id="1510022682">
      <w:bodyDiv w:val="1"/>
      <w:marLeft w:val="0"/>
      <w:marRight w:val="0"/>
      <w:marTop w:val="0"/>
      <w:marBottom w:val="0"/>
      <w:divBdr>
        <w:top w:val="none" w:sz="0" w:space="0" w:color="auto"/>
        <w:left w:val="none" w:sz="0" w:space="0" w:color="auto"/>
        <w:bottom w:val="none" w:sz="0" w:space="0" w:color="auto"/>
        <w:right w:val="none" w:sz="0" w:space="0" w:color="auto"/>
      </w:divBdr>
    </w:div>
    <w:div w:id="1510173542">
      <w:bodyDiv w:val="1"/>
      <w:marLeft w:val="0"/>
      <w:marRight w:val="0"/>
      <w:marTop w:val="0"/>
      <w:marBottom w:val="0"/>
      <w:divBdr>
        <w:top w:val="none" w:sz="0" w:space="0" w:color="auto"/>
        <w:left w:val="none" w:sz="0" w:space="0" w:color="auto"/>
        <w:bottom w:val="none" w:sz="0" w:space="0" w:color="auto"/>
        <w:right w:val="none" w:sz="0" w:space="0" w:color="auto"/>
      </w:divBdr>
    </w:div>
    <w:div w:id="1511218365">
      <w:bodyDiv w:val="1"/>
      <w:marLeft w:val="0"/>
      <w:marRight w:val="0"/>
      <w:marTop w:val="0"/>
      <w:marBottom w:val="0"/>
      <w:divBdr>
        <w:top w:val="none" w:sz="0" w:space="0" w:color="auto"/>
        <w:left w:val="none" w:sz="0" w:space="0" w:color="auto"/>
        <w:bottom w:val="none" w:sz="0" w:space="0" w:color="auto"/>
        <w:right w:val="none" w:sz="0" w:space="0" w:color="auto"/>
      </w:divBdr>
    </w:div>
    <w:div w:id="1511679295">
      <w:bodyDiv w:val="1"/>
      <w:marLeft w:val="0"/>
      <w:marRight w:val="0"/>
      <w:marTop w:val="0"/>
      <w:marBottom w:val="0"/>
      <w:divBdr>
        <w:top w:val="none" w:sz="0" w:space="0" w:color="auto"/>
        <w:left w:val="none" w:sz="0" w:space="0" w:color="auto"/>
        <w:bottom w:val="none" w:sz="0" w:space="0" w:color="auto"/>
        <w:right w:val="none" w:sz="0" w:space="0" w:color="auto"/>
      </w:divBdr>
    </w:div>
    <w:div w:id="1511916565">
      <w:bodyDiv w:val="1"/>
      <w:marLeft w:val="0"/>
      <w:marRight w:val="0"/>
      <w:marTop w:val="0"/>
      <w:marBottom w:val="0"/>
      <w:divBdr>
        <w:top w:val="none" w:sz="0" w:space="0" w:color="auto"/>
        <w:left w:val="none" w:sz="0" w:space="0" w:color="auto"/>
        <w:bottom w:val="none" w:sz="0" w:space="0" w:color="auto"/>
        <w:right w:val="none" w:sz="0" w:space="0" w:color="auto"/>
      </w:divBdr>
    </w:div>
    <w:div w:id="1511990634">
      <w:bodyDiv w:val="1"/>
      <w:marLeft w:val="0"/>
      <w:marRight w:val="0"/>
      <w:marTop w:val="0"/>
      <w:marBottom w:val="0"/>
      <w:divBdr>
        <w:top w:val="none" w:sz="0" w:space="0" w:color="auto"/>
        <w:left w:val="none" w:sz="0" w:space="0" w:color="auto"/>
        <w:bottom w:val="none" w:sz="0" w:space="0" w:color="auto"/>
        <w:right w:val="none" w:sz="0" w:space="0" w:color="auto"/>
      </w:divBdr>
    </w:div>
    <w:div w:id="1512059985">
      <w:bodyDiv w:val="1"/>
      <w:marLeft w:val="0"/>
      <w:marRight w:val="0"/>
      <w:marTop w:val="0"/>
      <w:marBottom w:val="0"/>
      <w:divBdr>
        <w:top w:val="none" w:sz="0" w:space="0" w:color="auto"/>
        <w:left w:val="none" w:sz="0" w:space="0" w:color="auto"/>
        <w:bottom w:val="none" w:sz="0" w:space="0" w:color="auto"/>
        <w:right w:val="none" w:sz="0" w:space="0" w:color="auto"/>
      </w:divBdr>
    </w:div>
    <w:div w:id="1512142544">
      <w:bodyDiv w:val="1"/>
      <w:marLeft w:val="0"/>
      <w:marRight w:val="0"/>
      <w:marTop w:val="0"/>
      <w:marBottom w:val="0"/>
      <w:divBdr>
        <w:top w:val="none" w:sz="0" w:space="0" w:color="auto"/>
        <w:left w:val="none" w:sz="0" w:space="0" w:color="auto"/>
        <w:bottom w:val="none" w:sz="0" w:space="0" w:color="auto"/>
        <w:right w:val="none" w:sz="0" w:space="0" w:color="auto"/>
      </w:divBdr>
    </w:div>
    <w:div w:id="1512523929">
      <w:bodyDiv w:val="1"/>
      <w:marLeft w:val="0"/>
      <w:marRight w:val="0"/>
      <w:marTop w:val="0"/>
      <w:marBottom w:val="0"/>
      <w:divBdr>
        <w:top w:val="none" w:sz="0" w:space="0" w:color="auto"/>
        <w:left w:val="none" w:sz="0" w:space="0" w:color="auto"/>
        <w:bottom w:val="none" w:sz="0" w:space="0" w:color="auto"/>
        <w:right w:val="none" w:sz="0" w:space="0" w:color="auto"/>
      </w:divBdr>
    </w:div>
    <w:div w:id="1512792363">
      <w:bodyDiv w:val="1"/>
      <w:marLeft w:val="0"/>
      <w:marRight w:val="0"/>
      <w:marTop w:val="0"/>
      <w:marBottom w:val="0"/>
      <w:divBdr>
        <w:top w:val="none" w:sz="0" w:space="0" w:color="auto"/>
        <w:left w:val="none" w:sz="0" w:space="0" w:color="auto"/>
        <w:bottom w:val="none" w:sz="0" w:space="0" w:color="auto"/>
        <w:right w:val="none" w:sz="0" w:space="0" w:color="auto"/>
      </w:divBdr>
    </w:div>
    <w:div w:id="1513033609">
      <w:bodyDiv w:val="1"/>
      <w:marLeft w:val="0"/>
      <w:marRight w:val="0"/>
      <w:marTop w:val="0"/>
      <w:marBottom w:val="0"/>
      <w:divBdr>
        <w:top w:val="none" w:sz="0" w:space="0" w:color="auto"/>
        <w:left w:val="none" w:sz="0" w:space="0" w:color="auto"/>
        <w:bottom w:val="none" w:sz="0" w:space="0" w:color="auto"/>
        <w:right w:val="none" w:sz="0" w:space="0" w:color="auto"/>
      </w:divBdr>
    </w:div>
    <w:div w:id="1513304360">
      <w:bodyDiv w:val="1"/>
      <w:marLeft w:val="0"/>
      <w:marRight w:val="0"/>
      <w:marTop w:val="0"/>
      <w:marBottom w:val="0"/>
      <w:divBdr>
        <w:top w:val="none" w:sz="0" w:space="0" w:color="auto"/>
        <w:left w:val="none" w:sz="0" w:space="0" w:color="auto"/>
        <w:bottom w:val="none" w:sz="0" w:space="0" w:color="auto"/>
        <w:right w:val="none" w:sz="0" w:space="0" w:color="auto"/>
      </w:divBdr>
    </w:div>
    <w:div w:id="1513495284">
      <w:bodyDiv w:val="1"/>
      <w:marLeft w:val="0"/>
      <w:marRight w:val="0"/>
      <w:marTop w:val="0"/>
      <w:marBottom w:val="0"/>
      <w:divBdr>
        <w:top w:val="none" w:sz="0" w:space="0" w:color="auto"/>
        <w:left w:val="none" w:sz="0" w:space="0" w:color="auto"/>
        <w:bottom w:val="none" w:sz="0" w:space="0" w:color="auto"/>
        <w:right w:val="none" w:sz="0" w:space="0" w:color="auto"/>
      </w:divBdr>
    </w:div>
    <w:div w:id="1514880327">
      <w:bodyDiv w:val="1"/>
      <w:marLeft w:val="0"/>
      <w:marRight w:val="0"/>
      <w:marTop w:val="0"/>
      <w:marBottom w:val="0"/>
      <w:divBdr>
        <w:top w:val="none" w:sz="0" w:space="0" w:color="auto"/>
        <w:left w:val="none" w:sz="0" w:space="0" w:color="auto"/>
        <w:bottom w:val="none" w:sz="0" w:space="0" w:color="auto"/>
        <w:right w:val="none" w:sz="0" w:space="0" w:color="auto"/>
      </w:divBdr>
    </w:div>
    <w:div w:id="1515193558">
      <w:bodyDiv w:val="1"/>
      <w:marLeft w:val="0"/>
      <w:marRight w:val="0"/>
      <w:marTop w:val="0"/>
      <w:marBottom w:val="0"/>
      <w:divBdr>
        <w:top w:val="none" w:sz="0" w:space="0" w:color="auto"/>
        <w:left w:val="none" w:sz="0" w:space="0" w:color="auto"/>
        <w:bottom w:val="none" w:sz="0" w:space="0" w:color="auto"/>
        <w:right w:val="none" w:sz="0" w:space="0" w:color="auto"/>
      </w:divBdr>
    </w:div>
    <w:div w:id="1515614167">
      <w:bodyDiv w:val="1"/>
      <w:marLeft w:val="0"/>
      <w:marRight w:val="0"/>
      <w:marTop w:val="0"/>
      <w:marBottom w:val="0"/>
      <w:divBdr>
        <w:top w:val="none" w:sz="0" w:space="0" w:color="auto"/>
        <w:left w:val="none" w:sz="0" w:space="0" w:color="auto"/>
        <w:bottom w:val="none" w:sz="0" w:space="0" w:color="auto"/>
        <w:right w:val="none" w:sz="0" w:space="0" w:color="auto"/>
      </w:divBdr>
    </w:div>
    <w:div w:id="1516656182">
      <w:bodyDiv w:val="1"/>
      <w:marLeft w:val="0"/>
      <w:marRight w:val="0"/>
      <w:marTop w:val="0"/>
      <w:marBottom w:val="0"/>
      <w:divBdr>
        <w:top w:val="none" w:sz="0" w:space="0" w:color="auto"/>
        <w:left w:val="none" w:sz="0" w:space="0" w:color="auto"/>
        <w:bottom w:val="none" w:sz="0" w:space="0" w:color="auto"/>
        <w:right w:val="none" w:sz="0" w:space="0" w:color="auto"/>
      </w:divBdr>
    </w:div>
    <w:div w:id="1517114194">
      <w:bodyDiv w:val="1"/>
      <w:marLeft w:val="0"/>
      <w:marRight w:val="0"/>
      <w:marTop w:val="0"/>
      <w:marBottom w:val="0"/>
      <w:divBdr>
        <w:top w:val="none" w:sz="0" w:space="0" w:color="auto"/>
        <w:left w:val="none" w:sz="0" w:space="0" w:color="auto"/>
        <w:bottom w:val="none" w:sz="0" w:space="0" w:color="auto"/>
        <w:right w:val="none" w:sz="0" w:space="0" w:color="auto"/>
      </w:divBdr>
    </w:div>
    <w:div w:id="1517962340">
      <w:bodyDiv w:val="1"/>
      <w:marLeft w:val="0"/>
      <w:marRight w:val="0"/>
      <w:marTop w:val="0"/>
      <w:marBottom w:val="0"/>
      <w:divBdr>
        <w:top w:val="none" w:sz="0" w:space="0" w:color="auto"/>
        <w:left w:val="none" w:sz="0" w:space="0" w:color="auto"/>
        <w:bottom w:val="none" w:sz="0" w:space="0" w:color="auto"/>
        <w:right w:val="none" w:sz="0" w:space="0" w:color="auto"/>
      </w:divBdr>
    </w:div>
    <w:div w:id="1518617315">
      <w:bodyDiv w:val="1"/>
      <w:marLeft w:val="0"/>
      <w:marRight w:val="0"/>
      <w:marTop w:val="0"/>
      <w:marBottom w:val="0"/>
      <w:divBdr>
        <w:top w:val="none" w:sz="0" w:space="0" w:color="auto"/>
        <w:left w:val="none" w:sz="0" w:space="0" w:color="auto"/>
        <w:bottom w:val="none" w:sz="0" w:space="0" w:color="auto"/>
        <w:right w:val="none" w:sz="0" w:space="0" w:color="auto"/>
      </w:divBdr>
    </w:div>
    <w:div w:id="1518619205">
      <w:bodyDiv w:val="1"/>
      <w:marLeft w:val="0"/>
      <w:marRight w:val="0"/>
      <w:marTop w:val="0"/>
      <w:marBottom w:val="0"/>
      <w:divBdr>
        <w:top w:val="none" w:sz="0" w:space="0" w:color="auto"/>
        <w:left w:val="none" w:sz="0" w:space="0" w:color="auto"/>
        <w:bottom w:val="none" w:sz="0" w:space="0" w:color="auto"/>
        <w:right w:val="none" w:sz="0" w:space="0" w:color="auto"/>
      </w:divBdr>
    </w:div>
    <w:div w:id="1519153883">
      <w:bodyDiv w:val="1"/>
      <w:marLeft w:val="0"/>
      <w:marRight w:val="0"/>
      <w:marTop w:val="0"/>
      <w:marBottom w:val="0"/>
      <w:divBdr>
        <w:top w:val="none" w:sz="0" w:space="0" w:color="auto"/>
        <w:left w:val="none" w:sz="0" w:space="0" w:color="auto"/>
        <w:bottom w:val="none" w:sz="0" w:space="0" w:color="auto"/>
        <w:right w:val="none" w:sz="0" w:space="0" w:color="auto"/>
      </w:divBdr>
    </w:div>
    <w:div w:id="1519461852">
      <w:bodyDiv w:val="1"/>
      <w:marLeft w:val="0"/>
      <w:marRight w:val="0"/>
      <w:marTop w:val="0"/>
      <w:marBottom w:val="0"/>
      <w:divBdr>
        <w:top w:val="none" w:sz="0" w:space="0" w:color="auto"/>
        <w:left w:val="none" w:sz="0" w:space="0" w:color="auto"/>
        <w:bottom w:val="none" w:sz="0" w:space="0" w:color="auto"/>
        <w:right w:val="none" w:sz="0" w:space="0" w:color="auto"/>
      </w:divBdr>
    </w:div>
    <w:div w:id="1520047795">
      <w:bodyDiv w:val="1"/>
      <w:marLeft w:val="0"/>
      <w:marRight w:val="0"/>
      <w:marTop w:val="0"/>
      <w:marBottom w:val="0"/>
      <w:divBdr>
        <w:top w:val="none" w:sz="0" w:space="0" w:color="auto"/>
        <w:left w:val="none" w:sz="0" w:space="0" w:color="auto"/>
        <w:bottom w:val="none" w:sz="0" w:space="0" w:color="auto"/>
        <w:right w:val="none" w:sz="0" w:space="0" w:color="auto"/>
      </w:divBdr>
    </w:div>
    <w:div w:id="1520240804">
      <w:bodyDiv w:val="1"/>
      <w:marLeft w:val="0"/>
      <w:marRight w:val="0"/>
      <w:marTop w:val="0"/>
      <w:marBottom w:val="0"/>
      <w:divBdr>
        <w:top w:val="none" w:sz="0" w:space="0" w:color="auto"/>
        <w:left w:val="none" w:sz="0" w:space="0" w:color="auto"/>
        <w:bottom w:val="none" w:sz="0" w:space="0" w:color="auto"/>
        <w:right w:val="none" w:sz="0" w:space="0" w:color="auto"/>
      </w:divBdr>
    </w:div>
    <w:div w:id="1520268549">
      <w:bodyDiv w:val="1"/>
      <w:marLeft w:val="0"/>
      <w:marRight w:val="0"/>
      <w:marTop w:val="0"/>
      <w:marBottom w:val="0"/>
      <w:divBdr>
        <w:top w:val="none" w:sz="0" w:space="0" w:color="auto"/>
        <w:left w:val="none" w:sz="0" w:space="0" w:color="auto"/>
        <w:bottom w:val="none" w:sz="0" w:space="0" w:color="auto"/>
        <w:right w:val="none" w:sz="0" w:space="0" w:color="auto"/>
      </w:divBdr>
    </w:div>
    <w:div w:id="1520314176">
      <w:bodyDiv w:val="1"/>
      <w:marLeft w:val="0"/>
      <w:marRight w:val="0"/>
      <w:marTop w:val="0"/>
      <w:marBottom w:val="0"/>
      <w:divBdr>
        <w:top w:val="none" w:sz="0" w:space="0" w:color="auto"/>
        <w:left w:val="none" w:sz="0" w:space="0" w:color="auto"/>
        <w:bottom w:val="none" w:sz="0" w:space="0" w:color="auto"/>
        <w:right w:val="none" w:sz="0" w:space="0" w:color="auto"/>
      </w:divBdr>
    </w:div>
    <w:div w:id="1520392541">
      <w:bodyDiv w:val="1"/>
      <w:marLeft w:val="0"/>
      <w:marRight w:val="0"/>
      <w:marTop w:val="0"/>
      <w:marBottom w:val="0"/>
      <w:divBdr>
        <w:top w:val="none" w:sz="0" w:space="0" w:color="auto"/>
        <w:left w:val="none" w:sz="0" w:space="0" w:color="auto"/>
        <w:bottom w:val="none" w:sz="0" w:space="0" w:color="auto"/>
        <w:right w:val="none" w:sz="0" w:space="0" w:color="auto"/>
      </w:divBdr>
    </w:div>
    <w:div w:id="1521092337">
      <w:bodyDiv w:val="1"/>
      <w:marLeft w:val="0"/>
      <w:marRight w:val="0"/>
      <w:marTop w:val="0"/>
      <w:marBottom w:val="0"/>
      <w:divBdr>
        <w:top w:val="none" w:sz="0" w:space="0" w:color="auto"/>
        <w:left w:val="none" w:sz="0" w:space="0" w:color="auto"/>
        <w:bottom w:val="none" w:sz="0" w:space="0" w:color="auto"/>
        <w:right w:val="none" w:sz="0" w:space="0" w:color="auto"/>
      </w:divBdr>
    </w:div>
    <w:div w:id="1521968083">
      <w:bodyDiv w:val="1"/>
      <w:marLeft w:val="0"/>
      <w:marRight w:val="0"/>
      <w:marTop w:val="0"/>
      <w:marBottom w:val="0"/>
      <w:divBdr>
        <w:top w:val="none" w:sz="0" w:space="0" w:color="auto"/>
        <w:left w:val="none" w:sz="0" w:space="0" w:color="auto"/>
        <w:bottom w:val="none" w:sz="0" w:space="0" w:color="auto"/>
        <w:right w:val="none" w:sz="0" w:space="0" w:color="auto"/>
      </w:divBdr>
    </w:div>
    <w:div w:id="1521969244">
      <w:bodyDiv w:val="1"/>
      <w:marLeft w:val="0"/>
      <w:marRight w:val="0"/>
      <w:marTop w:val="0"/>
      <w:marBottom w:val="0"/>
      <w:divBdr>
        <w:top w:val="none" w:sz="0" w:space="0" w:color="auto"/>
        <w:left w:val="none" w:sz="0" w:space="0" w:color="auto"/>
        <w:bottom w:val="none" w:sz="0" w:space="0" w:color="auto"/>
        <w:right w:val="none" w:sz="0" w:space="0" w:color="auto"/>
      </w:divBdr>
    </w:div>
    <w:div w:id="1522627103">
      <w:bodyDiv w:val="1"/>
      <w:marLeft w:val="0"/>
      <w:marRight w:val="0"/>
      <w:marTop w:val="0"/>
      <w:marBottom w:val="0"/>
      <w:divBdr>
        <w:top w:val="none" w:sz="0" w:space="0" w:color="auto"/>
        <w:left w:val="none" w:sz="0" w:space="0" w:color="auto"/>
        <w:bottom w:val="none" w:sz="0" w:space="0" w:color="auto"/>
        <w:right w:val="none" w:sz="0" w:space="0" w:color="auto"/>
      </w:divBdr>
    </w:div>
    <w:div w:id="1523323321">
      <w:bodyDiv w:val="1"/>
      <w:marLeft w:val="0"/>
      <w:marRight w:val="0"/>
      <w:marTop w:val="0"/>
      <w:marBottom w:val="0"/>
      <w:divBdr>
        <w:top w:val="none" w:sz="0" w:space="0" w:color="auto"/>
        <w:left w:val="none" w:sz="0" w:space="0" w:color="auto"/>
        <w:bottom w:val="none" w:sz="0" w:space="0" w:color="auto"/>
        <w:right w:val="none" w:sz="0" w:space="0" w:color="auto"/>
      </w:divBdr>
    </w:div>
    <w:div w:id="1523543823">
      <w:bodyDiv w:val="1"/>
      <w:marLeft w:val="0"/>
      <w:marRight w:val="0"/>
      <w:marTop w:val="0"/>
      <w:marBottom w:val="0"/>
      <w:divBdr>
        <w:top w:val="none" w:sz="0" w:space="0" w:color="auto"/>
        <w:left w:val="none" w:sz="0" w:space="0" w:color="auto"/>
        <w:bottom w:val="none" w:sz="0" w:space="0" w:color="auto"/>
        <w:right w:val="none" w:sz="0" w:space="0" w:color="auto"/>
      </w:divBdr>
    </w:div>
    <w:div w:id="1523591608">
      <w:bodyDiv w:val="1"/>
      <w:marLeft w:val="0"/>
      <w:marRight w:val="0"/>
      <w:marTop w:val="0"/>
      <w:marBottom w:val="0"/>
      <w:divBdr>
        <w:top w:val="none" w:sz="0" w:space="0" w:color="auto"/>
        <w:left w:val="none" w:sz="0" w:space="0" w:color="auto"/>
        <w:bottom w:val="none" w:sz="0" w:space="0" w:color="auto"/>
        <w:right w:val="none" w:sz="0" w:space="0" w:color="auto"/>
      </w:divBdr>
    </w:div>
    <w:div w:id="1523780416">
      <w:bodyDiv w:val="1"/>
      <w:marLeft w:val="0"/>
      <w:marRight w:val="0"/>
      <w:marTop w:val="0"/>
      <w:marBottom w:val="0"/>
      <w:divBdr>
        <w:top w:val="none" w:sz="0" w:space="0" w:color="auto"/>
        <w:left w:val="none" w:sz="0" w:space="0" w:color="auto"/>
        <w:bottom w:val="none" w:sz="0" w:space="0" w:color="auto"/>
        <w:right w:val="none" w:sz="0" w:space="0" w:color="auto"/>
      </w:divBdr>
    </w:div>
    <w:div w:id="1523860824">
      <w:bodyDiv w:val="1"/>
      <w:marLeft w:val="0"/>
      <w:marRight w:val="0"/>
      <w:marTop w:val="0"/>
      <w:marBottom w:val="0"/>
      <w:divBdr>
        <w:top w:val="none" w:sz="0" w:space="0" w:color="auto"/>
        <w:left w:val="none" w:sz="0" w:space="0" w:color="auto"/>
        <w:bottom w:val="none" w:sz="0" w:space="0" w:color="auto"/>
        <w:right w:val="none" w:sz="0" w:space="0" w:color="auto"/>
      </w:divBdr>
    </w:div>
    <w:div w:id="1524779017">
      <w:bodyDiv w:val="1"/>
      <w:marLeft w:val="0"/>
      <w:marRight w:val="0"/>
      <w:marTop w:val="0"/>
      <w:marBottom w:val="0"/>
      <w:divBdr>
        <w:top w:val="none" w:sz="0" w:space="0" w:color="auto"/>
        <w:left w:val="none" w:sz="0" w:space="0" w:color="auto"/>
        <w:bottom w:val="none" w:sz="0" w:space="0" w:color="auto"/>
        <w:right w:val="none" w:sz="0" w:space="0" w:color="auto"/>
      </w:divBdr>
    </w:div>
    <w:div w:id="1525091250">
      <w:bodyDiv w:val="1"/>
      <w:marLeft w:val="0"/>
      <w:marRight w:val="0"/>
      <w:marTop w:val="0"/>
      <w:marBottom w:val="0"/>
      <w:divBdr>
        <w:top w:val="none" w:sz="0" w:space="0" w:color="auto"/>
        <w:left w:val="none" w:sz="0" w:space="0" w:color="auto"/>
        <w:bottom w:val="none" w:sz="0" w:space="0" w:color="auto"/>
        <w:right w:val="none" w:sz="0" w:space="0" w:color="auto"/>
      </w:divBdr>
    </w:div>
    <w:div w:id="1525289259">
      <w:bodyDiv w:val="1"/>
      <w:marLeft w:val="0"/>
      <w:marRight w:val="0"/>
      <w:marTop w:val="0"/>
      <w:marBottom w:val="0"/>
      <w:divBdr>
        <w:top w:val="none" w:sz="0" w:space="0" w:color="auto"/>
        <w:left w:val="none" w:sz="0" w:space="0" w:color="auto"/>
        <w:bottom w:val="none" w:sz="0" w:space="0" w:color="auto"/>
        <w:right w:val="none" w:sz="0" w:space="0" w:color="auto"/>
      </w:divBdr>
    </w:div>
    <w:div w:id="1525827602">
      <w:bodyDiv w:val="1"/>
      <w:marLeft w:val="0"/>
      <w:marRight w:val="0"/>
      <w:marTop w:val="0"/>
      <w:marBottom w:val="0"/>
      <w:divBdr>
        <w:top w:val="none" w:sz="0" w:space="0" w:color="auto"/>
        <w:left w:val="none" w:sz="0" w:space="0" w:color="auto"/>
        <w:bottom w:val="none" w:sz="0" w:space="0" w:color="auto"/>
        <w:right w:val="none" w:sz="0" w:space="0" w:color="auto"/>
      </w:divBdr>
    </w:div>
    <w:div w:id="1526091481">
      <w:bodyDiv w:val="1"/>
      <w:marLeft w:val="0"/>
      <w:marRight w:val="0"/>
      <w:marTop w:val="0"/>
      <w:marBottom w:val="0"/>
      <w:divBdr>
        <w:top w:val="none" w:sz="0" w:space="0" w:color="auto"/>
        <w:left w:val="none" w:sz="0" w:space="0" w:color="auto"/>
        <w:bottom w:val="none" w:sz="0" w:space="0" w:color="auto"/>
        <w:right w:val="none" w:sz="0" w:space="0" w:color="auto"/>
      </w:divBdr>
    </w:div>
    <w:div w:id="1526402640">
      <w:bodyDiv w:val="1"/>
      <w:marLeft w:val="0"/>
      <w:marRight w:val="0"/>
      <w:marTop w:val="0"/>
      <w:marBottom w:val="0"/>
      <w:divBdr>
        <w:top w:val="none" w:sz="0" w:space="0" w:color="auto"/>
        <w:left w:val="none" w:sz="0" w:space="0" w:color="auto"/>
        <w:bottom w:val="none" w:sz="0" w:space="0" w:color="auto"/>
        <w:right w:val="none" w:sz="0" w:space="0" w:color="auto"/>
      </w:divBdr>
    </w:div>
    <w:div w:id="1526596770">
      <w:bodyDiv w:val="1"/>
      <w:marLeft w:val="0"/>
      <w:marRight w:val="0"/>
      <w:marTop w:val="0"/>
      <w:marBottom w:val="0"/>
      <w:divBdr>
        <w:top w:val="none" w:sz="0" w:space="0" w:color="auto"/>
        <w:left w:val="none" w:sz="0" w:space="0" w:color="auto"/>
        <w:bottom w:val="none" w:sz="0" w:space="0" w:color="auto"/>
        <w:right w:val="none" w:sz="0" w:space="0" w:color="auto"/>
      </w:divBdr>
    </w:div>
    <w:div w:id="1527326959">
      <w:bodyDiv w:val="1"/>
      <w:marLeft w:val="0"/>
      <w:marRight w:val="0"/>
      <w:marTop w:val="0"/>
      <w:marBottom w:val="0"/>
      <w:divBdr>
        <w:top w:val="none" w:sz="0" w:space="0" w:color="auto"/>
        <w:left w:val="none" w:sz="0" w:space="0" w:color="auto"/>
        <w:bottom w:val="none" w:sz="0" w:space="0" w:color="auto"/>
        <w:right w:val="none" w:sz="0" w:space="0" w:color="auto"/>
      </w:divBdr>
    </w:div>
    <w:div w:id="1527791468">
      <w:bodyDiv w:val="1"/>
      <w:marLeft w:val="0"/>
      <w:marRight w:val="0"/>
      <w:marTop w:val="0"/>
      <w:marBottom w:val="0"/>
      <w:divBdr>
        <w:top w:val="none" w:sz="0" w:space="0" w:color="auto"/>
        <w:left w:val="none" w:sz="0" w:space="0" w:color="auto"/>
        <w:bottom w:val="none" w:sz="0" w:space="0" w:color="auto"/>
        <w:right w:val="none" w:sz="0" w:space="0" w:color="auto"/>
      </w:divBdr>
    </w:div>
    <w:div w:id="1528523002">
      <w:bodyDiv w:val="1"/>
      <w:marLeft w:val="0"/>
      <w:marRight w:val="0"/>
      <w:marTop w:val="0"/>
      <w:marBottom w:val="0"/>
      <w:divBdr>
        <w:top w:val="none" w:sz="0" w:space="0" w:color="auto"/>
        <w:left w:val="none" w:sz="0" w:space="0" w:color="auto"/>
        <w:bottom w:val="none" w:sz="0" w:space="0" w:color="auto"/>
        <w:right w:val="none" w:sz="0" w:space="0" w:color="auto"/>
      </w:divBdr>
    </w:div>
    <w:div w:id="1529948188">
      <w:bodyDiv w:val="1"/>
      <w:marLeft w:val="0"/>
      <w:marRight w:val="0"/>
      <w:marTop w:val="0"/>
      <w:marBottom w:val="0"/>
      <w:divBdr>
        <w:top w:val="none" w:sz="0" w:space="0" w:color="auto"/>
        <w:left w:val="none" w:sz="0" w:space="0" w:color="auto"/>
        <w:bottom w:val="none" w:sz="0" w:space="0" w:color="auto"/>
        <w:right w:val="none" w:sz="0" w:space="0" w:color="auto"/>
      </w:divBdr>
    </w:div>
    <w:div w:id="1530021227">
      <w:bodyDiv w:val="1"/>
      <w:marLeft w:val="0"/>
      <w:marRight w:val="0"/>
      <w:marTop w:val="0"/>
      <w:marBottom w:val="0"/>
      <w:divBdr>
        <w:top w:val="none" w:sz="0" w:space="0" w:color="auto"/>
        <w:left w:val="none" w:sz="0" w:space="0" w:color="auto"/>
        <w:bottom w:val="none" w:sz="0" w:space="0" w:color="auto"/>
        <w:right w:val="none" w:sz="0" w:space="0" w:color="auto"/>
      </w:divBdr>
    </w:div>
    <w:div w:id="1530950172">
      <w:bodyDiv w:val="1"/>
      <w:marLeft w:val="0"/>
      <w:marRight w:val="0"/>
      <w:marTop w:val="0"/>
      <w:marBottom w:val="0"/>
      <w:divBdr>
        <w:top w:val="none" w:sz="0" w:space="0" w:color="auto"/>
        <w:left w:val="none" w:sz="0" w:space="0" w:color="auto"/>
        <w:bottom w:val="none" w:sz="0" w:space="0" w:color="auto"/>
        <w:right w:val="none" w:sz="0" w:space="0" w:color="auto"/>
      </w:divBdr>
    </w:div>
    <w:div w:id="1531450853">
      <w:bodyDiv w:val="1"/>
      <w:marLeft w:val="0"/>
      <w:marRight w:val="0"/>
      <w:marTop w:val="0"/>
      <w:marBottom w:val="0"/>
      <w:divBdr>
        <w:top w:val="none" w:sz="0" w:space="0" w:color="auto"/>
        <w:left w:val="none" w:sz="0" w:space="0" w:color="auto"/>
        <w:bottom w:val="none" w:sz="0" w:space="0" w:color="auto"/>
        <w:right w:val="none" w:sz="0" w:space="0" w:color="auto"/>
      </w:divBdr>
    </w:div>
    <w:div w:id="1531525186">
      <w:bodyDiv w:val="1"/>
      <w:marLeft w:val="0"/>
      <w:marRight w:val="0"/>
      <w:marTop w:val="0"/>
      <w:marBottom w:val="0"/>
      <w:divBdr>
        <w:top w:val="none" w:sz="0" w:space="0" w:color="auto"/>
        <w:left w:val="none" w:sz="0" w:space="0" w:color="auto"/>
        <w:bottom w:val="none" w:sz="0" w:space="0" w:color="auto"/>
        <w:right w:val="none" w:sz="0" w:space="0" w:color="auto"/>
      </w:divBdr>
    </w:div>
    <w:div w:id="1531992482">
      <w:bodyDiv w:val="1"/>
      <w:marLeft w:val="0"/>
      <w:marRight w:val="0"/>
      <w:marTop w:val="0"/>
      <w:marBottom w:val="0"/>
      <w:divBdr>
        <w:top w:val="none" w:sz="0" w:space="0" w:color="auto"/>
        <w:left w:val="none" w:sz="0" w:space="0" w:color="auto"/>
        <w:bottom w:val="none" w:sz="0" w:space="0" w:color="auto"/>
        <w:right w:val="none" w:sz="0" w:space="0" w:color="auto"/>
      </w:divBdr>
    </w:div>
    <w:div w:id="1532037189">
      <w:bodyDiv w:val="1"/>
      <w:marLeft w:val="0"/>
      <w:marRight w:val="0"/>
      <w:marTop w:val="0"/>
      <w:marBottom w:val="0"/>
      <w:divBdr>
        <w:top w:val="none" w:sz="0" w:space="0" w:color="auto"/>
        <w:left w:val="none" w:sz="0" w:space="0" w:color="auto"/>
        <w:bottom w:val="none" w:sz="0" w:space="0" w:color="auto"/>
        <w:right w:val="none" w:sz="0" w:space="0" w:color="auto"/>
      </w:divBdr>
    </w:div>
    <w:div w:id="1532455418">
      <w:bodyDiv w:val="1"/>
      <w:marLeft w:val="0"/>
      <w:marRight w:val="0"/>
      <w:marTop w:val="0"/>
      <w:marBottom w:val="0"/>
      <w:divBdr>
        <w:top w:val="none" w:sz="0" w:space="0" w:color="auto"/>
        <w:left w:val="none" w:sz="0" w:space="0" w:color="auto"/>
        <w:bottom w:val="none" w:sz="0" w:space="0" w:color="auto"/>
        <w:right w:val="none" w:sz="0" w:space="0" w:color="auto"/>
      </w:divBdr>
    </w:div>
    <w:div w:id="1532912991">
      <w:bodyDiv w:val="1"/>
      <w:marLeft w:val="0"/>
      <w:marRight w:val="0"/>
      <w:marTop w:val="0"/>
      <w:marBottom w:val="0"/>
      <w:divBdr>
        <w:top w:val="none" w:sz="0" w:space="0" w:color="auto"/>
        <w:left w:val="none" w:sz="0" w:space="0" w:color="auto"/>
        <w:bottom w:val="none" w:sz="0" w:space="0" w:color="auto"/>
        <w:right w:val="none" w:sz="0" w:space="0" w:color="auto"/>
      </w:divBdr>
    </w:div>
    <w:div w:id="1533424437">
      <w:bodyDiv w:val="1"/>
      <w:marLeft w:val="0"/>
      <w:marRight w:val="0"/>
      <w:marTop w:val="0"/>
      <w:marBottom w:val="0"/>
      <w:divBdr>
        <w:top w:val="none" w:sz="0" w:space="0" w:color="auto"/>
        <w:left w:val="none" w:sz="0" w:space="0" w:color="auto"/>
        <w:bottom w:val="none" w:sz="0" w:space="0" w:color="auto"/>
        <w:right w:val="none" w:sz="0" w:space="0" w:color="auto"/>
      </w:divBdr>
    </w:div>
    <w:div w:id="1534726308">
      <w:bodyDiv w:val="1"/>
      <w:marLeft w:val="0"/>
      <w:marRight w:val="0"/>
      <w:marTop w:val="0"/>
      <w:marBottom w:val="0"/>
      <w:divBdr>
        <w:top w:val="none" w:sz="0" w:space="0" w:color="auto"/>
        <w:left w:val="none" w:sz="0" w:space="0" w:color="auto"/>
        <w:bottom w:val="none" w:sz="0" w:space="0" w:color="auto"/>
        <w:right w:val="none" w:sz="0" w:space="0" w:color="auto"/>
      </w:divBdr>
    </w:div>
    <w:div w:id="1534998288">
      <w:bodyDiv w:val="1"/>
      <w:marLeft w:val="0"/>
      <w:marRight w:val="0"/>
      <w:marTop w:val="0"/>
      <w:marBottom w:val="0"/>
      <w:divBdr>
        <w:top w:val="none" w:sz="0" w:space="0" w:color="auto"/>
        <w:left w:val="none" w:sz="0" w:space="0" w:color="auto"/>
        <w:bottom w:val="none" w:sz="0" w:space="0" w:color="auto"/>
        <w:right w:val="none" w:sz="0" w:space="0" w:color="auto"/>
      </w:divBdr>
    </w:div>
    <w:div w:id="1535267750">
      <w:bodyDiv w:val="1"/>
      <w:marLeft w:val="0"/>
      <w:marRight w:val="0"/>
      <w:marTop w:val="0"/>
      <w:marBottom w:val="0"/>
      <w:divBdr>
        <w:top w:val="none" w:sz="0" w:space="0" w:color="auto"/>
        <w:left w:val="none" w:sz="0" w:space="0" w:color="auto"/>
        <w:bottom w:val="none" w:sz="0" w:space="0" w:color="auto"/>
        <w:right w:val="none" w:sz="0" w:space="0" w:color="auto"/>
      </w:divBdr>
    </w:div>
    <w:div w:id="1536038398">
      <w:bodyDiv w:val="1"/>
      <w:marLeft w:val="0"/>
      <w:marRight w:val="0"/>
      <w:marTop w:val="0"/>
      <w:marBottom w:val="0"/>
      <w:divBdr>
        <w:top w:val="none" w:sz="0" w:space="0" w:color="auto"/>
        <w:left w:val="none" w:sz="0" w:space="0" w:color="auto"/>
        <w:bottom w:val="none" w:sz="0" w:space="0" w:color="auto"/>
        <w:right w:val="none" w:sz="0" w:space="0" w:color="auto"/>
      </w:divBdr>
    </w:div>
    <w:div w:id="1536118429">
      <w:bodyDiv w:val="1"/>
      <w:marLeft w:val="0"/>
      <w:marRight w:val="0"/>
      <w:marTop w:val="0"/>
      <w:marBottom w:val="0"/>
      <w:divBdr>
        <w:top w:val="none" w:sz="0" w:space="0" w:color="auto"/>
        <w:left w:val="none" w:sz="0" w:space="0" w:color="auto"/>
        <w:bottom w:val="none" w:sz="0" w:space="0" w:color="auto"/>
        <w:right w:val="none" w:sz="0" w:space="0" w:color="auto"/>
      </w:divBdr>
    </w:div>
    <w:div w:id="1536189933">
      <w:bodyDiv w:val="1"/>
      <w:marLeft w:val="0"/>
      <w:marRight w:val="0"/>
      <w:marTop w:val="0"/>
      <w:marBottom w:val="0"/>
      <w:divBdr>
        <w:top w:val="none" w:sz="0" w:space="0" w:color="auto"/>
        <w:left w:val="none" w:sz="0" w:space="0" w:color="auto"/>
        <w:bottom w:val="none" w:sz="0" w:space="0" w:color="auto"/>
        <w:right w:val="none" w:sz="0" w:space="0" w:color="auto"/>
      </w:divBdr>
    </w:div>
    <w:div w:id="1536232162">
      <w:bodyDiv w:val="1"/>
      <w:marLeft w:val="0"/>
      <w:marRight w:val="0"/>
      <w:marTop w:val="0"/>
      <w:marBottom w:val="0"/>
      <w:divBdr>
        <w:top w:val="none" w:sz="0" w:space="0" w:color="auto"/>
        <w:left w:val="none" w:sz="0" w:space="0" w:color="auto"/>
        <w:bottom w:val="none" w:sz="0" w:space="0" w:color="auto"/>
        <w:right w:val="none" w:sz="0" w:space="0" w:color="auto"/>
      </w:divBdr>
    </w:div>
    <w:div w:id="1536692222">
      <w:bodyDiv w:val="1"/>
      <w:marLeft w:val="0"/>
      <w:marRight w:val="0"/>
      <w:marTop w:val="0"/>
      <w:marBottom w:val="0"/>
      <w:divBdr>
        <w:top w:val="none" w:sz="0" w:space="0" w:color="auto"/>
        <w:left w:val="none" w:sz="0" w:space="0" w:color="auto"/>
        <w:bottom w:val="none" w:sz="0" w:space="0" w:color="auto"/>
        <w:right w:val="none" w:sz="0" w:space="0" w:color="auto"/>
      </w:divBdr>
    </w:div>
    <w:div w:id="1537161401">
      <w:bodyDiv w:val="1"/>
      <w:marLeft w:val="0"/>
      <w:marRight w:val="0"/>
      <w:marTop w:val="0"/>
      <w:marBottom w:val="0"/>
      <w:divBdr>
        <w:top w:val="none" w:sz="0" w:space="0" w:color="auto"/>
        <w:left w:val="none" w:sz="0" w:space="0" w:color="auto"/>
        <w:bottom w:val="none" w:sz="0" w:space="0" w:color="auto"/>
        <w:right w:val="none" w:sz="0" w:space="0" w:color="auto"/>
      </w:divBdr>
    </w:div>
    <w:div w:id="1537507134">
      <w:bodyDiv w:val="1"/>
      <w:marLeft w:val="0"/>
      <w:marRight w:val="0"/>
      <w:marTop w:val="0"/>
      <w:marBottom w:val="0"/>
      <w:divBdr>
        <w:top w:val="none" w:sz="0" w:space="0" w:color="auto"/>
        <w:left w:val="none" w:sz="0" w:space="0" w:color="auto"/>
        <w:bottom w:val="none" w:sz="0" w:space="0" w:color="auto"/>
        <w:right w:val="none" w:sz="0" w:space="0" w:color="auto"/>
      </w:divBdr>
    </w:div>
    <w:div w:id="1537540273">
      <w:bodyDiv w:val="1"/>
      <w:marLeft w:val="0"/>
      <w:marRight w:val="0"/>
      <w:marTop w:val="0"/>
      <w:marBottom w:val="0"/>
      <w:divBdr>
        <w:top w:val="none" w:sz="0" w:space="0" w:color="auto"/>
        <w:left w:val="none" w:sz="0" w:space="0" w:color="auto"/>
        <w:bottom w:val="none" w:sz="0" w:space="0" w:color="auto"/>
        <w:right w:val="none" w:sz="0" w:space="0" w:color="auto"/>
      </w:divBdr>
    </w:div>
    <w:div w:id="1537766316">
      <w:bodyDiv w:val="1"/>
      <w:marLeft w:val="0"/>
      <w:marRight w:val="0"/>
      <w:marTop w:val="0"/>
      <w:marBottom w:val="0"/>
      <w:divBdr>
        <w:top w:val="none" w:sz="0" w:space="0" w:color="auto"/>
        <w:left w:val="none" w:sz="0" w:space="0" w:color="auto"/>
        <w:bottom w:val="none" w:sz="0" w:space="0" w:color="auto"/>
        <w:right w:val="none" w:sz="0" w:space="0" w:color="auto"/>
      </w:divBdr>
    </w:div>
    <w:div w:id="1538396155">
      <w:bodyDiv w:val="1"/>
      <w:marLeft w:val="0"/>
      <w:marRight w:val="0"/>
      <w:marTop w:val="0"/>
      <w:marBottom w:val="0"/>
      <w:divBdr>
        <w:top w:val="none" w:sz="0" w:space="0" w:color="auto"/>
        <w:left w:val="none" w:sz="0" w:space="0" w:color="auto"/>
        <w:bottom w:val="none" w:sz="0" w:space="0" w:color="auto"/>
        <w:right w:val="none" w:sz="0" w:space="0" w:color="auto"/>
      </w:divBdr>
    </w:div>
    <w:div w:id="1539053179">
      <w:bodyDiv w:val="1"/>
      <w:marLeft w:val="0"/>
      <w:marRight w:val="0"/>
      <w:marTop w:val="0"/>
      <w:marBottom w:val="0"/>
      <w:divBdr>
        <w:top w:val="none" w:sz="0" w:space="0" w:color="auto"/>
        <w:left w:val="none" w:sz="0" w:space="0" w:color="auto"/>
        <w:bottom w:val="none" w:sz="0" w:space="0" w:color="auto"/>
        <w:right w:val="none" w:sz="0" w:space="0" w:color="auto"/>
      </w:divBdr>
    </w:div>
    <w:div w:id="1539969372">
      <w:bodyDiv w:val="1"/>
      <w:marLeft w:val="0"/>
      <w:marRight w:val="0"/>
      <w:marTop w:val="0"/>
      <w:marBottom w:val="0"/>
      <w:divBdr>
        <w:top w:val="none" w:sz="0" w:space="0" w:color="auto"/>
        <w:left w:val="none" w:sz="0" w:space="0" w:color="auto"/>
        <w:bottom w:val="none" w:sz="0" w:space="0" w:color="auto"/>
        <w:right w:val="none" w:sz="0" w:space="0" w:color="auto"/>
      </w:divBdr>
    </w:div>
    <w:div w:id="1540047445">
      <w:bodyDiv w:val="1"/>
      <w:marLeft w:val="0"/>
      <w:marRight w:val="0"/>
      <w:marTop w:val="0"/>
      <w:marBottom w:val="0"/>
      <w:divBdr>
        <w:top w:val="none" w:sz="0" w:space="0" w:color="auto"/>
        <w:left w:val="none" w:sz="0" w:space="0" w:color="auto"/>
        <w:bottom w:val="none" w:sz="0" w:space="0" w:color="auto"/>
        <w:right w:val="none" w:sz="0" w:space="0" w:color="auto"/>
      </w:divBdr>
    </w:div>
    <w:div w:id="1540432210">
      <w:bodyDiv w:val="1"/>
      <w:marLeft w:val="0"/>
      <w:marRight w:val="0"/>
      <w:marTop w:val="0"/>
      <w:marBottom w:val="0"/>
      <w:divBdr>
        <w:top w:val="none" w:sz="0" w:space="0" w:color="auto"/>
        <w:left w:val="none" w:sz="0" w:space="0" w:color="auto"/>
        <w:bottom w:val="none" w:sz="0" w:space="0" w:color="auto"/>
        <w:right w:val="none" w:sz="0" w:space="0" w:color="auto"/>
      </w:divBdr>
    </w:div>
    <w:div w:id="1540774695">
      <w:bodyDiv w:val="1"/>
      <w:marLeft w:val="0"/>
      <w:marRight w:val="0"/>
      <w:marTop w:val="0"/>
      <w:marBottom w:val="0"/>
      <w:divBdr>
        <w:top w:val="none" w:sz="0" w:space="0" w:color="auto"/>
        <w:left w:val="none" w:sz="0" w:space="0" w:color="auto"/>
        <w:bottom w:val="none" w:sz="0" w:space="0" w:color="auto"/>
        <w:right w:val="none" w:sz="0" w:space="0" w:color="auto"/>
      </w:divBdr>
    </w:div>
    <w:div w:id="1540897463">
      <w:bodyDiv w:val="1"/>
      <w:marLeft w:val="0"/>
      <w:marRight w:val="0"/>
      <w:marTop w:val="0"/>
      <w:marBottom w:val="0"/>
      <w:divBdr>
        <w:top w:val="none" w:sz="0" w:space="0" w:color="auto"/>
        <w:left w:val="none" w:sz="0" w:space="0" w:color="auto"/>
        <w:bottom w:val="none" w:sz="0" w:space="0" w:color="auto"/>
        <w:right w:val="none" w:sz="0" w:space="0" w:color="auto"/>
      </w:divBdr>
    </w:div>
    <w:div w:id="1542203459">
      <w:bodyDiv w:val="1"/>
      <w:marLeft w:val="0"/>
      <w:marRight w:val="0"/>
      <w:marTop w:val="0"/>
      <w:marBottom w:val="0"/>
      <w:divBdr>
        <w:top w:val="none" w:sz="0" w:space="0" w:color="auto"/>
        <w:left w:val="none" w:sz="0" w:space="0" w:color="auto"/>
        <w:bottom w:val="none" w:sz="0" w:space="0" w:color="auto"/>
        <w:right w:val="none" w:sz="0" w:space="0" w:color="auto"/>
      </w:divBdr>
    </w:div>
    <w:div w:id="1542208591">
      <w:bodyDiv w:val="1"/>
      <w:marLeft w:val="0"/>
      <w:marRight w:val="0"/>
      <w:marTop w:val="0"/>
      <w:marBottom w:val="0"/>
      <w:divBdr>
        <w:top w:val="none" w:sz="0" w:space="0" w:color="auto"/>
        <w:left w:val="none" w:sz="0" w:space="0" w:color="auto"/>
        <w:bottom w:val="none" w:sz="0" w:space="0" w:color="auto"/>
        <w:right w:val="none" w:sz="0" w:space="0" w:color="auto"/>
      </w:divBdr>
    </w:div>
    <w:div w:id="1542471512">
      <w:bodyDiv w:val="1"/>
      <w:marLeft w:val="0"/>
      <w:marRight w:val="0"/>
      <w:marTop w:val="0"/>
      <w:marBottom w:val="0"/>
      <w:divBdr>
        <w:top w:val="none" w:sz="0" w:space="0" w:color="auto"/>
        <w:left w:val="none" w:sz="0" w:space="0" w:color="auto"/>
        <w:bottom w:val="none" w:sz="0" w:space="0" w:color="auto"/>
        <w:right w:val="none" w:sz="0" w:space="0" w:color="auto"/>
      </w:divBdr>
    </w:div>
    <w:div w:id="1543398388">
      <w:bodyDiv w:val="1"/>
      <w:marLeft w:val="0"/>
      <w:marRight w:val="0"/>
      <w:marTop w:val="0"/>
      <w:marBottom w:val="0"/>
      <w:divBdr>
        <w:top w:val="none" w:sz="0" w:space="0" w:color="auto"/>
        <w:left w:val="none" w:sz="0" w:space="0" w:color="auto"/>
        <w:bottom w:val="none" w:sz="0" w:space="0" w:color="auto"/>
        <w:right w:val="none" w:sz="0" w:space="0" w:color="auto"/>
      </w:divBdr>
    </w:div>
    <w:div w:id="1543861009">
      <w:bodyDiv w:val="1"/>
      <w:marLeft w:val="0"/>
      <w:marRight w:val="0"/>
      <w:marTop w:val="0"/>
      <w:marBottom w:val="0"/>
      <w:divBdr>
        <w:top w:val="none" w:sz="0" w:space="0" w:color="auto"/>
        <w:left w:val="none" w:sz="0" w:space="0" w:color="auto"/>
        <w:bottom w:val="none" w:sz="0" w:space="0" w:color="auto"/>
        <w:right w:val="none" w:sz="0" w:space="0" w:color="auto"/>
      </w:divBdr>
    </w:div>
    <w:div w:id="1544052028">
      <w:bodyDiv w:val="1"/>
      <w:marLeft w:val="0"/>
      <w:marRight w:val="0"/>
      <w:marTop w:val="0"/>
      <w:marBottom w:val="0"/>
      <w:divBdr>
        <w:top w:val="none" w:sz="0" w:space="0" w:color="auto"/>
        <w:left w:val="none" w:sz="0" w:space="0" w:color="auto"/>
        <w:bottom w:val="none" w:sz="0" w:space="0" w:color="auto"/>
        <w:right w:val="none" w:sz="0" w:space="0" w:color="auto"/>
      </w:divBdr>
    </w:div>
    <w:div w:id="1544322016">
      <w:bodyDiv w:val="1"/>
      <w:marLeft w:val="0"/>
      <w:marRight w:val="0"/>
      <w:marTop w:val="0"/>
      <w:marBottom w:val="0"/>
      <w:divBdr>
        <w:top w:val="none" w:sz="0" w:space="0" w:color="auto"/>
        <w:left w:val="none" w:sz="0" w:space="0" w:color="auto"/>
        <w:bottom w:val="none" w:sz="0" w:space="0" w:color="auto"/>
        <w:right w:val="none" w:sz="0" w:space="0" w:color="auto"/>
      </w:divBdr>
    </w:div>
    <w:div w:id="1544370320">
      <w:bodyDiv w:val="1"/>
      <w:marLeft w:val="0"/>
      <w:marRight w:val="0"/>
      <w:marTop w:val="0"/>
      <w:marBottom w:val="0"/>
      <w:divBdr>
        <w:top w:val="none" w:sz="0" w:space="0" w:color="auto"/>
        <w:left w:val="none" w:sz="0" w:space="0" w:color="auto"/>
        <w:bottom w:val="none" w:sz="0" w:space="0" w:color="auto"/>
        <w:right w:val="none" w:sz="0" w:space="0" w:color="auto"/>
      </w:divBdr>
    </w:div>
    <w:div w:id="1544631048">
      <w:bodyDiv w:val="1"/>
      <w:marLeft w:val="0"/>
      <w:marRight w:val="0"/>
      <w:marTop w:val="0"/>
      <w:marBottom w:val="0"/>
      <w:divBdr>
        <w:top w:val="none" w:sz="0" w:space="0" w:color="auto"/>
        <w:left w:val="none" w:sz="0" w:space="0" w:color="auto"/>
        <w:bottom w:val="none" w:sz="0" w:space="0" w:color="auto"/>
        <w:right w:val="none" w:sz="0" w:space="0" w:color="auto"/>
      </w:divBdr>
    </w:div>
    <w:div w:id="1544707375">
      <w:bodyDiv w:val="1"/>
      <w:marLeft w:val="0"/>
      <w:marRight w:val="0"/>
      <w:marTop w:val="0"/>
      <w:marBottom w:val="0"/>
      <w:divBdr>
        <w:top w:val="none" w:sz="0" w:space="0" w:color="auto"/>
        <w:left w:val="none" w:sz="0" w:space="0" w:color="auto"/>
        <w:bottom w:val="none" w:sz="0" w:space="0" w:color="auto"/>
        <w:right w:val="none" w:sz="0" w:space="0" w:color="auto"/>
      </w:divBdr>
    </w:div>
    <w:div w:id="1544950783">
      <w:bodyDiv w:val="1"/>
      <w:marLeft w:val="0"/>
      <w:marRight w:val="0"/>
      <w:marTop w:val="0"/>
      <w:marBottom w:val="0"/>
      <w:divBdr>
        <w:top w:val="none" w:sz="0" w:space="0" w:color="auto"/>
        <w:left w:val="none" w:sz="0" w:space="0" w:color="auto"/>
        <w:bottom w:val="none" w:sz="0" w:space="0" w:color="auto"/>
        <w:right w:val="none" w:sz="0" w:space="0" w:color="auto"/>
      </w:divBdr>
    </w:div>
    <w:div w:id="1545946738">
      <w:bodyDiv w:val="1"/>
      <w:marLeft w:val="0"/>
      <w:marRight w:val="0"/>
      <w:marTop w:val="0"/>
      <w:marBottom w:val="0"/>
      <w:divBdr>
        <w:top w:val="none" w:sz="0" w:space="0" w:color="auto"/>
        <w:left w:val="none" w:sz="0" w:space="0" w:color="auto"/>
        <w:bottom w:val="none" w:sz="0" w:space="0" w:color="auto"/>
        <w:right w:val="none" w:sz="0" w:space="0" w:color="auto"/>
      </w:divBdr>
    </w:div>
    <w:div w:id="1546217025">
      <w:bodyDiv w:val="1"/>
      <w:marLeft w:val="0"/>
      <w:marRight w:val="0"/>
      <w:marTop w:val="0"/>
      <w:marBottom w:val="0"/>
      <w:divBdr>
        <w:top w:val="none" w:sz="0" w:space="0" w:color="auto"/>
        <w:left w:val="none" w:sz="0" w:space="0" w:color="auto"/>
        <w:bottom w:val="none" w:sz="0" w:space="0" w:color="auto"/>
        <w:right w:val="none" w:sz="0" w:space="0" w:color="auto"/>
      </w:divBdr>
    </w:div>
    <w:div w:id="1547176605">
      <w:bodyDiv w:val="1"/>
      <w:marLeft w:val="0"/>
      <w:marRight w:val="0"/>
      <w:marTop w:val="0"/>
      <w:marBottom w:val="0"/>
      <w:divBdr>
        <w:top w:val="none" w:sz="0" w:space="0" w:color="auto"/>
        <w:left w:val="none" w:sz="0" w:space="0" w:color="auto"/>
        <w:bottom w:val="none" w:sz="0" w:space="0" w:color="auto"/>
        <w:right w:val="none" w:sz="0" w:space="0" w:color="auto"/>
      </w:divBdr>
    </w:div>
    <w:div w:id="1547446663">
      <w:bodyDiv w:val="1"/>
      <w:marLeft w:val="0"/>
      <w:marRight w:val="0"/>
      <w:marTop w:val="0"/>
      <w:marBottom w:val="0"/>
      <w:divBdr>
        <w:top w:val="none" w:sz="0" w:space="0" w:color="auto"/>
        <w:left w:val="none" w:sz="0" w:space="0" w:color="auto"/>
        <w:bottom w:val="none" w:sz="0" w:space="0" w:color="auto"/>
        <w:right w:val="none" w:sz="0" w:space="0" w:color="auto"/>
      </w:divBdr>
    </w:div>
    <w:div w:id="1548487979">
      <w:bodyDiv w:val="1"/>
      <w:marLeft w:val="0"/>
      <w:marRight w:val="0"/>
      <w:marTop w:val="0"/>
      <w:marBottom w:val="0"/>
      <w:divBdr>
        <w:top w:val="none" w:sz="0" w:space="0" w:color="auto"/>
        <w:left w:val="none" w:sz="0" w:space="0" w:color="auto"/>
        <w:bottom w:val="none" w:sz="0" w:space="0" w:color="auto"/>
        <w:right w:val="none" w:sz="0" w:space="0" w:color="auto"/>
      </w:divBdr>
    </w:div>
    <w:div w:id="1548950616">
      <w:bodyDiv w:val="1"/>
      <w:marLeft w:val="0"/>
      <w:marRight w:val="0"/>
      <w:marTop w:val="0"/>
      <w:marBottom w:val="0"/>
      <w:divBdr>
        <w:top w:val="none" w:sz="0" w:space="0" w:color="auto"/>
        <w:left w:val="none" w:sz="0" w:space="0" w:color="auto"/>
        <w:bottom w:val="none" w:sz="0" w:space="0" w:color="auto"/>
        <w:right w:val="none" w:sz="0" w:space="0" w:color="auto"/>
      </w:divBdr>
    </w:div>
    <w:div w:id="1549607544">
      <w:bodyDiv w:val="1"/>
      <w:marLeft w:val="0"/>
      <w:marRight w:val="0"/>
      <w:marTop w:val="0"/>
      <w:marBottom w:val="0"/>
      <w:divBdr>
        <w:top w:val="none" w:sz="0" w:space="0" w:color="auto"/>
        <w:left w:val="none" w:sz="0" w:space="0" w:color="auto"/>
        <w:bottom w:val="none" w:sz="0" w:space="0" w:color="auto"/>
        <w:right w:val="none" w:sz="0" w:space="0" w:color="auto"/>
      </w:divBdr>
    </w:div>
    <w:div w:id="1550261920">
      <w:bodyDiv w:val="1"/>
      <w:marLeft w:val="0"/>
      <w:marRight w:val="0"/>
      <w:marTop w:val="0"/>
      <w:marBottom w:val="0"/>
      <w:divBdr>
        <w:top w:val="none" w:sz="0" w:space="0" w:color="auto"/>
        <w:left w:val="none" w:sz="0" w:space="0" w:color="auto"/>
        <w:bottom w:val="none" w:sz="0" w:space="0" w:color="auto"/>
        <w:right w:val="none" w:sz="0" w:space="0" w:color="auto"/>
      </w:divBdr>
    </w:div>
    <w:div w:id="1550647827">
      <w:bodyDiv w:val="1"/>
      <w:marLeft w:val="0"/>
      <w:marRight w:val="0"/>
      <w:marTop w:val="0"/>
      <w:marBottom w:val="0"/>
      <w:divBdr>
        <w:top w:val="none" w:sz="0" w:space="0" w:color="auto"/>
        <w:left w:val="none" w:sz="0" w:space="0" w:color="auto"/>
        <w:bottom w:val="none" w:sz="0" w:space="0" w:color="auto"/>
        <w:right w:val="none" w:sz="0" w:space="0" w:color="auto"/>
      </w:divBdr>
    </w:div>
    <w:div w:id="1550801621">
      <w:bodyDiv w:val="1"/>
      <w:marLeft w:val="0"/>
      <w:marRight w:val="0"/>
      <w:marTop w:val="0"/>
      <w:marBottom w:val="0"/>
      <w:divBdr>
        <w:top w:val="none" w:sz="0" w:space="0" w:color="auto"/>
        <w:left w:val="none" w:sz="0" w:space="0" w:color="auto"/>
        <w:bottom w:val="none" w:sz="0" w:space="0" w:color="auto"/>
        <w:right w:val="none" w:sz="0" w:space="0" w:color="auto"/>
      </w:divBdr>
    </w:div>
    <w:div w:id="1551068491">
      <w:bodyDiv w:val="1"/>
      <w:marLeft w:val="0"/>
      <w:marRight w:val="0"/>
      <w:marTop w:val="0"/>
      <w:marBottom w:val="0"/>
      <w:divBdr>
        <w:top w:val="none" w:sz="0" w:space="0" w:color="auto"/>
        <w:left w:val="none" w:sz="0" w:space="0" w:color="auto"/>
        <w:bottom w:val="none" w:sz="0" w:space="0" w:color="auto"/>
        <w:right w:val="none" w:sz="0" w:space="0" w:color="auto"/>
      </w:divBdr>
    </w:div>
    <w:div w:id="1551116380">
      <w:bodyDiv w:val="1"/>
      <w:marLeft w:val="0"/>
      <w:marRight w:val="0"/>
      <w:marTop w:val="0"/>
      <w:marBottom w:val="0"/>
      <w:divBdr>
        <w:top w:val="none" w:sz="0" w:space="0" w:color="auto"/>
        <w:left w:val="none" w:sz="0" w:space="0" w:color="auto"/>
        <w:bottom w:val="none" w:sz="0" w:space="0" w:color="auto"/>
        <w:right w:val="none" w:sz="0" w:space="0" w:color="auto"/>
      </w:divBdr>
    </w:div>
    <w:div w:id="1551187900">
      <w:bodyDiv w:val="1"/>
      <w:marLeft w:val="0"/>
      <w:marRight w:val="0"/>
      <w:marTop w:val="0"/>
      <w:marBottom w:val="0"/>
      <w:divBdr>
        <w:top w:val="none" w:sz="0" w:space="0" w:color="auto"/>
        <w:left w:val="none" w:sz="0" w:space="0" w:color="auto"/>
        <w:bottom w:val="none" w:sz="0" w:space="0" w:color="auto"/>
        <w:right w:val="none" w:sz="0" w:space="0" w:color="auto"/>
      </w:divBdr>
    </w:div>
    <w:div w:id="1551263953">
      <w:bodyDiv w:val="1"/>
      <w:marLeft w:val="0"/>
      <w:marRight w:val="0"/>
      <w:marTop w:val="0"/>
      <w:marBottom w:val="0"/>
      <w:divBdr>
        <w:top w:val="none" w:sz="0" w:space="0" w:color="auto"/>
        <w:left w:val="none" w:sz="0" w:space="0" w:color="auto"/>
        <w:bottom w:val="none" w:sz="0" w:space="0" w:color="auto"/>
        <w:right w:val="none" w:sz="0" w:space="0" w:color="auto"/>
      </w:divBdr>
    </w:div>
    <w:div w:id="1552226922">
      <w:bodyDiv w:val="1"/>
      <w:marLeft w:val="0"/>
      <w:marRight w:val="0"/>
      <w:marTop w:val="0"/>
      <w:marBottom w:val="0"/>
      <w:divBdr>
        <w:top w:val="none" w:sz="0" w:space="0" w:color="auto"/>
        <w:left w:val="none" w:sz="0" w:space="0" w:color="auto"/>
        <w:bottom w:val="none" w:sz="0" w:space="0" w:color="auto"/>
        <w:right w:val="none" w:sz="0" w:space="0" w:color="auto"/>
      </w:divBdr>
    </w:div>
    <w:div w:id="1552233564">
      <w:bodyDiv w:val="1"/>
      <w:marLeft w:val="0"/>
      <w:marRight w:val="0"/>
      <w:marTop w:val="0"/>
      <w:marBottom w:val="0"/>
      <w:divBdr>
        <w:top w:val="none" w:sz="0" w:space="0" w:color="auto"/>
        <w:left w:val="none" w:sz="0" w:space="0" w:color="auto"/>
        <w:bottom w:val="none" w:sz="0" w:space="0" w:color="auto"/>
        <w:right w:val="none" w:sz="0" w:space="0" w:color="auto"/>
      </w:divBdr>
    </w:div>
    <w:div w:id="1552502858">
      <w:bodyDiv w:val="1"/>
      <w:marLeft w:val="0"/>
      <w:marRight w:val="0"/>
      <w:marTop w:val="0"/>
      <w:marBottom w:val="0"/>
      <w:divBdr>
        <w:top w:val="none" w:sz="0" w:space="0" w:color="auto"/>
        <w:left w:val="none" w:sz="0" w:space="0" w:color="auto"/>
        <w:bottom w:val="none" w:sz="0" w:space="0" w:color="auto"/>
        <w:right w:val="none" w:sz="0" w:space="0" w:color="auto"/>
      </w:divBdr>
    </w:div>
    <w:div w:id="1552837980">
      <w:bodyDiv w:val="1"/>
      <w:marLeft w:val="0"/>
      <w:marRight w:val="0"/>
      <w:marTop w:val="0"/>
      <w:marBottom w:val="0"/>
      <w:divBdr>
        <w:top w:val="none" w:sz="0" w:space="0" w:color="auto"/>
        <w:left w:val="none" w:sz="0" w:space="0" w:color="auto"/>
        <w:bottom w:val="none" w:sz="0" w:space="0" w:color="auto"/>
        <w:right w:val="none" w:sz="0" w:space="0" w:color="auto"/>
      </w:divBdr>
    </w:div>
    <w:div w:id="1553031597">
      <w:bodyDiv w:val="1"/>
      <w:marLeft w:val="0"/>
      <w:marRight w:val="0"/>
      <w:marTop w:val="0"/>
      <w:marBottom w:val="0"/>
      <w:divBdr>
        <w:top w:val="none" w:sz="0" w:space="0" w:color="auto"/>
        <w:left w:val="none" w:sz="0" w:space="0" w:color="auto"/>
        <w:bottom w:val="none" w:sz="0" w:space="0" w:color="auto"/>
        <w:right w:val="none" w:sz="0" w:space="0" w:color="auto"/>
      </w:divBdr>
    </w:div>
    <w:div w:id="1553079945">
      <w:bodyDiv w:val="1"/>
      <w:marLeft w:val="0"/>
      <w:marRight w:val="0"/>
      <w:marTop w:val="0"/>
      <w:marBottom w:val="0"/>
      <w:divBdr>
        <w:top w:val="none" w:sz="0" w:space="0" w:color="auto"/>
        <w:left w:val="none" w:sz="0" w:space="0" w:color="auto"/>
        <w:bottom w:val="none" w:sz="0" w:space="0" w:color="auto"/>
        <w:right w:val="none" w:sz="0" w:space="0" w:color="auto"/>
      </w:divBdr>
    </w:div>
    <w:div w:id="1553344380">
      <w:bodyDiv w:val="1"/>
      <w:marLeft w:val="0"/>
      <w:marRight w:val="0"/>
      <w:marTop w:val="0"/>
      <w:marBottom w:val="0"/>
      <w:divBdr>
        <w:top w:val="none" w:sz="0" w:space="0" w:color="auto"/>
        <w:left w:val="none" w:sz="0" w:space="0" w:color="auto"/>
        <w:bottom w:val="none" w:sz="0" w:space="0" w:color="auto"/>
        <w:right w:val="none" w:sz="0" w:space="0" w:color="auto"/>
      </w:divBdr>
    </w:div>
    <w:div w:id="1553351299">
      <w:bodyDiv w:val="1"/>
      <w:marLeft w:val="0"/>
      <w:marRight w:val="0"/>
      <w:marTop w:val="0"/>
      <w:marBottom w:val="0"/>
      <w:divBdr>
        <w:top w:val="none" w:sz="0" w:space="0" w:color="auto"/>
        <w:left w:val="none" w:sz="0" w:space="0" w:color="auto"/>
        <w:bottom w:val="none" w:sz="0" w:space="0" w:color="auto"/>
        <w:right w:val="none" w:sz="0" w:space="0" w:color="auto"/>
      </w:divBdr>
    </w:div>
    <w:div w:id="1554073910">
      <w:bodyDiv w:val="1"/>
      <w:marLeft w:val="0"/>
      <w:marRight w:val="0"/>
      <w:marTop w:val="0"/>
      <w:marBottom w:val="0"/>
      <w:divBdr>
        <w:top w:val="none" w:sz="0" w:space="0" w:color="auto"/>
        <w:left w:val="none" w:sz="0" w:space="0" w:color="auto"/>
        <w:bottom w:val="none" w:sz="0" w:space="0" w:color="auto"/>
        <w:right w:val="none" w:sz="0" w:space="0" w:color="auto"/>
      </w:divBdr>
    </w:div>
    <w:div w:id="1554341733">
      <w:bodyDiv w:val="1"/>
      <w:marLeft w:val="0"/>
      <w:marRight w:val="0"/>
      <w:marTop w:val="0"/>
      <w:marBottom w:val="0"/>
      <w:divBdr>
        <w:top w:val="none" w:sz="0" w:space="0" w:color="auto"/>
        <w:left w:val="none" w:sz="0" w:space="0" w:color="auto"/>
        <w:bottom w:val="none" w:sz="0" w:space="0" w:color="auto"/>
        <w:right w:val="none" w:sz="0" w:space="0" w:color="auto"/>
      </w:divBdr>
    </w:div>
    <w:div w:id="1554460598">
      <w:bodyDiv w:val="1"/>
      <w:marLeft w:val="0"/>
      <w:marRight w:val="0"/>
      <w:marTop w:val="0"/>
      <w:marBottom w:val="0"/>
      <w:divBdr>
        <w:top w:val="none" w:sz="0" w:space="0" w:color="auto"/>
        <w:left w:val="none" w:sz="0" w:space="0" w:color="auto"/>
        <w:bottom w:val="none" w:sz="0" w:space="0" w:color="auto"/>
        <w:right w:val="none" w:sz="0" w:space="0" w:color="auto"/>
      </w:divBdr>
    </w:div>
    <w:div w:id="1554462614">
      <w:bodyDiv w:val="1"/>
      <w:marLeft w:val="0"/>
      <w:marRight w:val="0"/>
      <w:marTop w:val="0"/>
      <w:marBottom w:val="0"/>
      <w:divBdr>
        <w:top w:val="none" w:sz="0" w:space="0" w:color="auto"/>
        <w:left w:val="none" w:sz="0" w:space="0" w:color="auto"/>
        <w:bottom w:val="none" w:sz="0" w:space="0" w:color="auto"/>
        <w:right w:val="none" w:sz="0" w:space="0" w:color="auto"/>
      </w:divBdr>
    </w:div>
    <w:div w:id="1554609996">
      <w:bodyDiv w:val="1"/>
      <w:marLeft w:val="0"/>
      <w:marRight w:val="0"/>
      <w:marTop w:val="0"/>
      <w:marBottom w:val="0"/>
      <w:divBdr>
        <w:top w:val="none" w:sz="0" w:space="0" w:color="auto"/>
        <w:left w:val="none" w:sz="0" w:space="0" w:color="auto"/>
        <w:bottom w:val="none" w:sz="0" w:space="0" w:color="auto"/>
        <w:right w:val="none" w:sz="0" w:space="0" w:color="auto"/>
      </w:divBdr>
    </w:div>
    <w:div w:id="1555116798">
      <w:bodyDiv w:val="1"/>
      <w:marLeft w:val="0"/>
      <w:marRight w:val="0"/>
      <w:marTop w:val="0"/>
      <w:marBottom w:val="0"/>
      <w:divBdr>
        <w:top w:val="none" w:sz="0" w:space="0" w:color="auto"/>
        <w:left w:val="none" w:sz="0" w:space="0" w:color="auto"/>
        <w:bottom w:val="none" w:sz="0" w:space="0" w:color="auto"/>
        <w:right w:val="none" w:sz="0" w:space="0" w:color="auto"/>
      </w:divBdr>
    </w:div>
    <w:div w:id="1556157983">
      <w:bodyDiv w:val="1"/>
      <w:marLeft w:val="0"/>
      <w:marRight w:val="0"/>
      <w:marTop w:val="0"/>
      <w:marBottom w:val="0"/>
      <w:divBdr>
        <w:top w:val="none" w:sz="0" w:space="0" w:color="auto"/>
        <w:left w:val="none" w:sz="0" w:space="0" w:color="auto"/>
        <w:bottom w:val="none" w:sz="0" w:space="0" w:color="auto"/>
        <w:right w:val="none" w:sz="0" w:space="0" w:color="auto"/>
      </w:divBdr>
    </w:div>
    <w:div w:id="1556158118">
      <w:bodyDiv w:val="1"/>
      <w:marLeft w:val="0"/>
      <w:marRight w:val="0"/>
      <w:marTop w:val="0"/>
      <w:marBottom w:val="0"/>
      <w:divBdr>
        <w:top w:val="none" w:sz="0" w:space="0" w:color="auto"/>
        <w:left w:val="none" w:sz="0" w:space="0" w:color="auto"/>
        <w:bottom w:val="none" w:sz="0" w:space="0" w:color="auto"/>
        <w:right w:val="none" w:sz="0" w:space="0" w:color="auto"/>
      </w:divBdr>
    </w:div>
    <w:div w:id="1556241181">
      <w:bodyDiv w:val="1"/>
      <w:marLeft w:val="0"/>
      <w:marRight w:val="0"/>
      <w:marTop w:val="0"/>
      <w:marBottom w:val="0"/>
      <w:divBdr>
        <w:top w:val="none" w:sz="0" w:space="0" w:color="auto"/>
        <w:left w:val="none" w:sz="0" w:space="0" w:color="auto"/>
        <w:bottom w:val="none" w:sz="0" w:space="0" w:color="auto"/>
        <w:right w:val="none" w:sz="0" w:space="0" w:color="auto"/>
      </w:divBdr>
    </w:div>
    <w:div w:id="1557008859">
      <w:bodyDiv w:val="1"/>
      <w:marLeft w:val="0"/>
      <w:marRight w:val="0"/>
      <w:marTop w:val="0"/>
      <w:marBottom w:val="0"/>
      <w:divBdr>
        <w:top w:val="none" w:sz="0" w:space="0" w:color="auto"/>
        <w:left w:val="none" w:sz="0" w:space="0" w:color="auto"/>
        <w:bottom w:val="none" w:sz="0" w:space="0" w:color="auto"/>
        <w:right w:val="none" w:sz="0" w:space="0" w:color="auto"/>
      </w:divBdr>
    </w:div>
    <w:div w:id="1557355317">
      <w:bodyDiv w:val="1"/>
      <w:marLeft w:val="0"/>
      <w:marRight w:val="0"/>
      <w:marTop w:val="0"/>
      <w:marBottom w:val="0"/>
      <w:divBdr>
        <w:top w:val="none" w:sz="0" w:space="0" w:color="auto"/>
        <w:left w:val="none" w:sz="0" w:space="0" w:color="auto"/>
        <w:bottom w:val="none" w:sz="0" w:space="0" w:color="auto"/>
        <w:right w:val="none" w:sz="0" w:space="0" w:color="auto"/>
      </w:divBdr>
    </w:div>
    <w:div w:id="1557740387">
      <w:bodyDiv w:val="1"/>
      <w:marLeft w:val="0"/>
      <w:marRight w:val="0"/>
      <w:marTop w:val="0"/>
      <w:marBottom w:val="0"/>
      <w:divBdr>
        <w:top w:val="none" w:sz="0" w:space="0" w:color="auto"/>
        <w:left w:val="none" w:sz="0" w:space="0" w:color="auto"/>
        <w:bottom w:val="none" w:sz="0" w:space="0" w:color="auto"/>
        <w:right w:val="none" w:sz="0" w:space="0" w:color="auto"/>
      </w:divBdr>
    </w:div>
    <w:div w:id="1557817075">
      <w:bodyDiv w:val="1"/>
      <w:marLeft w:val="0"/>
      <w:marRight w:val="0"/>
      <w:marTop w:val="0"/>
      <w:marBottom w:val="0"/>
      <w:divBdr>
        <w:top w:val="none" w:sz="0" w:space="0" w:color="auto"/>
        <w:left w:val="none" w:sz="0" w:space="0" w:color="auto"/>
        <w:bottom w:val="none" w:sz="0" w:space="0" w:color="auto"/>
        <w:right w:val="none" w:sz="0" w:space="0" w:color="auto"/>
      </w:divBdr>
    </w:div>
    <w:div w:id="1557928835">
      <w:bodyDiv w:val="1"/>
      <w:marLeft w:val="0"/>
      <w:marRight w:val="0"/>
      <w:marTop w:val="0"/>
      <w:marBottom w:val="0"/>
      <w:divBdr>
        <w:top w:val="none" w:sz="0" w:space="0" w:color="auto"/>
        <w:left w:val="none" w:sz="0" w:space="0" w:color="auto"/>
        <w:bottom w:val="none" w:sz="0" w:space="0" w:color="auto"/>
        <w:right w:val="none" w:sz="0" w:space="0" w:color="auto"/>
      </w:divBdr>
    </w:div>
    <w:div w:id="1558126385">
      <w:bodyDiv w:val="1"/>
      <w:marLeft w:val="0"/>
      <w:marRight w:val="0"/>
      <w:marTop w:val="0"/>
      <w:marBottom w:val="0"/>
      <w:divBdr>
        <w:top w:val="none" w:sz="0" w:space="0" w:color="auto"/>
        <w:left w:val="none" w:sz="0" w:space="0" w:color="auto"/>
        <w:bottom w:val="none" w:sz="0" w:space="0" w:color="auto"/>
        <w:right w:val="none" w:sz="0" w:space="0" w:color="auto"/>
      </w:divBdr>
    </w:div>
    <w:div w:id="1559239597">
      <w:bodyDiv w:val="1"/>
      <w:marLeft w:val="0"/>
      <w:marRight w:val="0"/>
      <w:marTop w:val="0"/>
      <w:marBottom w:val="0"/>
      <w:divBdr>
        <w:top w:val="none" w:sz="0" w:space="0" w:color="auto"/>
        <w:left w:val="none" w:sz="0" w:space="0" w:color="auto"/>
        <w:bottom w:val="none" w:sz="0" w:space="0" w:color="auto"/>
        <w:right w:val="none" w:sz="0" w:space="0" w:color="auto"/>
      </w:divBdr>
    </w:div>
    <w:div w:id="1559822895">
      <w:bodyDiv w:val="1"/>
      <w:marLeft w:val="0"/>
      <w:marRight w:val="0"/>
      <w:marTop w:val="0"/>
      <w:marBottom w:val="0"/>
      <w:divBdr>
        <w:top w:val="none" w:sz="0" w:space="0" w:color="auto"/>
        <w:left w:val="none" w:sz="0" w:space="0" w:color="auto"/>
        <w:bottom w:val="none" w:sz="0" w:space="0" w:color="auto"/>
        <w:right w:val="none" w:sz="0" w:space="0" w:color="auto"/>
      </w:divBdr>
    </w:div>
    <w:div w:id="1559853128">
      <w:bodyDiv w:val="1"/>
      <w:marLeft w:val="0"/>
      <w:marRight w:val="0"/>
      <w:marTop w:val="0"/>
      <w:marBottom w:val="0"/>
      <w:divBdr>
        <w:top w:val="none" w:sz="0" w:space="0" w:color="auto"/>
        <w:left w:val="none" w:sz="0" w:space="0" w:color="auto"/>
        <w:bottom w:val="none" w:sz="0" w:space="0" w:color="auto"/>
        <w:right w:val="none" w:sz="0" w:space="0" w:color="auto"/>
      </w:divBdr>
    </w:div>
    <w:div w:id="1559901665">
      <w:bodyDiv w:val="1"/>
      <w:marLeft w:val="0"/>
      <w:marRight w:val="0"/>
      <w:marTop w:val="0"/>
      <w:marBottom w:val="0"/>
      <w:divBdr>
        <w:top w:val="none" w:sz="0" w:space="0" w:color="auto"/>
        <w:left w:val="none" w:sz="0" w:space="0" w:color="auto"/>
        <w:bottom w:val="none" w:sz="0" w:space="0" w:color="auto"/>
        <w:right w:val="none" w:sz="0" w:space="0" w:color="auto"/>
      </w:divBdr>
    </w:div>
    <w:div w:id="1560896367">
      <w:bodyDiv w:val="1"/>
      <w:marLeft w:val="0"/>
      <w:marRight w:val="0"/>
      <w:marTop w:val="0"/>
      <w:marBottom w:val="0"/>
      <w:divBdr>
        <w:top w:val="none" w:sz="0" w:space="0" w:color="auto"/>
        <w:left w:val="none" w:sz="0" w:space="0" w:color="auto"/>
        <w:bottom w:val="none" w:sz="0" w:space="0" w:color="auto"/>
        <w:right w:val="none" w:sz="0" w:space="0" w:color="auto"/>
      </w:divBdr>
    </w:div>
    <w:div w:id="1561021048">
      <w:bodyDiv w:val="1"/>
      <w:marLeft w:val="0"/>
      <w:marRight w:val="0"/>
      <w:marTop w:val="0"/>
      <w:marBottom w:val="0"/>
      <w:divBdr>
        <w:top w:val="none" w:sz="0" w:space="0" w:color="auto"/>
        <w:left w:val="none" w:sz="0" w:space="0" w:color="auto"/>
        <w:bottom w:val="none" w:sz="0" w:space="0" w:color="auto"/>
        <w:right w:val="none" w:sz="0" w:space="0" w:color="auto"/>
      </w:divBdr>
    </w:div>
    <w:div w:id="1562013401">
      <w:bodyDiv w:val="1"/>
      <w:marLeft w:val="0"/>
      <w:marRight w:val="0"/>
      <w:marTop w:val="0"/>
      <w:marBottom w:val="0"/>
      <w:divBdr>
        <w:top w:val="none" w:sz="0" w:space="0" w:color="auto"/>
        <w:left w:val="none" w:sz="0" w:space="0" w:color="auto"/>
        <w:bottom w:val="none" w:sz="0" w:space="0" w:color="auto"/>
        <w:right w:val="none" w:sz="0" w:space="0" w:color="auto"/>
      </w:divBdr>
    </w:div>
    <w:div w:id="1562210281">
      <w:bodyDiv w:val="1"/>
      <w:marLeft w:val="0"/>
      <w:marRight w:val="0"/>
      <w:marTop w:val="0"/>
      <w:marBottom w:val="0"/>
      <w:divBdr>
        <w:top w:val="none" w:sz="0" w:space="0" w:color="auto"/>
        <w:left w:val="none" w:sz="0" w:space="0" w:color="auto"/>
        <w:bottom w:val="none" w:sz="0" w:space="0" w:color="auto"/>
        <w:right w:val="none" w:sz="0" w:space="0" w:color="auto"/>
      </w:divBdr>
    </w:div>
    <w:div w:id="1562256377">
      <w:bodyDiv w:val="1"/>
      <w:marLeft w:val="0"/>
      <w:marRight w:val="0"/>
      <w:marTop w:val="0"/>
      <w:marBottom w:val="0"/>
      <w:divBdr>
        <w:top w:val="none" w:sz="0" w:space="0" w:color="auto"/>
        <w:left w:val="none" w:sz="0" w:space="0" w:color="auto"/>
        <w:bottom w:val="none" w:sz="0" w:space="0" w:color="auto"/>
        <w:right w:val="none" w:sz="0" w:space="0" w:color="auto"/>
      </w:divBdr>
    </w:div>
    <w:div w:id="1563448452">
      <w:bodyDiv w:val="1"/>
      <w:marLeft w:val="0"/>
      <w:marRight w:val="0"/>
      <w:marTop w:val="0"/>
      <w:marBottom w:val="0"/>
      <w:divBdr>
        <w:top w:val="none" w:sz="0" w:space="0" w:color="auto"/>
        <w:left w:val="none" w:sz="0" w:space="0" w:color="auto"/>
        <w:bottom w:val="none" w:sz="0" w:space="0" w:color="auto"/>
        <w:right w:val="none" w:sz="0" w:space="0" w:color="auto"/>
      </w:divBdr>
    </w:div>
    <w:div w:id="1563564046">
      <w:bodyDiv w:val="1"/>
      <w:marLeft w:val="0"/>
      <w:marRight w:val="0"/>
      <w:marTop w:val="0"/>
      <w:marBottom w:val="0"/>
      <w:divBdr>
        <w:top w:val="none" w:sz="0" w:space="0" w:color="auto"/>
        <w:left w:val="none" w:sz="0" w:space="0" w:color="auto"/>
        <w:bottom w:val="none" w:sz="0" w:space="0" w:color="auto"/>
        <w:right w:val="none" w:sz="0" w:space="0" w:color="auto"/>
      </w:divBdr>
    </w:div>
    <w:div w:id="1563786514">
      <w:bodyDiv w:val="1"/>
      <w:marLeft w:val="0"/>
      <w:marRight w:val="0"/>
      <w:marTop w:val="0"/>
      <w:marBottom w:val="0"/>
      <w:divBdr>
        <w:top w:val="none" w:sz="0" w:space="0" w:color="auto"/>
        <w:left w:val="none" w:sz="0" w:space="0" w:color="auto"/>
        <w:bottom w:val="none" w:sz="0" w:space="0" w:color="auto"/>
        <w:right w:val="none" w:sz="0" w:space="0" w:color="auto"/>
      </w:divBdr>
    </w:div>
    <w:div w:id="1564371219">
      <w:bodyDiv w:val="1"/>
      <w:marLeft w:val="0"/>
      <w:marRight w:val="0"/>
      <w:marTop w:val="0"/>
      <w:marBottom w:val="0"/>
      <w:divBdr>
        <w:top w:val="none" w:sz="0" w:space="0" w:color="auto"/>
        <w:left w:val="none" w:sz="0" w:space="0" w:color="auto"/>
        <w:bottom w:val="none" w:sz="0" w:space="0" w:color="auto"/>
        <w:right w:val="none" w:sz="0" w:space="0" w:color="auto"/>
      </w:divBdr>
    </w:div>
    <w:div w:id="1564560039">
      <w:bodyDiv w:val="1"/>
      <w:marLeft w:val="0"/>
      <w:marRight w:val="0"/>
      <w:marTop w:val="0"/>
      <w:marBottom w:val="0"/>
      <w:divBdr>
        <w:top w:val="none" w:sz="0" w:space="0" w:color="auto"/>
        <w:left w:val="none" w:sz="0" w:space="0" w:color="auto"/>
        <w:bottom w:val="none" w:sz="0" w:space="0" w:color="auto"/>
        <w:right w:val="none" w:sz="0" w:space="0" w:color="auto"/>
      </w:divBdr>
    </w:div>
    <w:div w:id="1564825776">
      <w:bodyDiv w:val="1"/>
      <w:marLeft w:val="0"/>
      <w:marRight w:val="0"/>
      <w:marTop w:val="0"/>
      <w:marBottom w:val="0"/>
      <w:divBdr>
        <w:top w:val="none" w:sz="0" w:space="0" w:color="auto"/>
        <w:left w:val="none" w:sz="0" w:space="0" w:color="auto"/>
        <w:bottom w:val="none" w:sz="0" w:space="0" w:color="auto"/>
        <w:right w:val="none" w:sz="0" w:space="0" w:color="auto"/>
      </w:divBdr>
    </w:div>
    <w:div w:id="1565219696">
      <w:bodyDiv w:val="1"/>
      <w:marLeft w:val="0"/>
      <w:marRight w:val="0"/>
      <w:marTop w:val="0"/>
      <w:marBottom w:val="0"/>
      <w:divBdr>
        <w:top w:val="none" w:sz="0" w:space="0" w:color="auto"/>
        <w:left w:val="none" w:sz="0" w:space="0" w:color="auto"/>
        <w:bottom w:val="none" w:sz="0" w:space="0" w:color="auto"/>
        <w:right w:val="none" w:sz="0" w:space="0" w:color="auto"/>
      </w:divBdr>
    </w:div>
    <w:div w:id="1565604945">
      <w:bodyDiv w:val="1"/>
      <w:marLeft w:val="0"/>
      <w:marRight w:val="0"/>
      <w:marTop w:val="0"/>
      <w:marBottom w:val="0"/>
      <w:divBdr>
        <w:top w:val="none" w:sz="0" w:space="0" w:color="auto"/>
        <w:left w:val="none" w:sz="0" w:space="0" w:color="auto"/>
        <w:bottom w:val="none" w:sz="0" w:space="0" w:color="auto"/>
        <w:right w:val="none" w:sz="0" w:space="0" w:color="auto"/>
      </w:divBdr>
    </w:div>
    <w:div w:id="1565676841">
      <w:bodyDiv w:val="1"/>
      <w:marLeft w:val="0"/>
      <w:marRight w:val="0"/>
      <w:marTop w:val="0"/>
      <w:marBottom w:val="0"/>
      <w:divBdr>
        <w:top w:val="none" w:sz="0" w:space="0" w:color="auto"/>
        <w:left w:val="none" w:sz="0" w:space="0" w:color="auto"/>
        <w:bottom w:val="none" w:sz="0" w:space="0" w:color="auto"/>
        <w:right w:val="none" w:sz="0" w:space="0" w:color="auto"/>
      </w:divBdr>
    </w:div>
    <w:div w:id="1565792373">
      <w:bodyDiv w:val="1"/>
      <w:marLeft w:val="0"/>
      <w:marRight w:val="0"/>
      <w:marTop w:val="0"/>
      <w:marBottom w:val="0"/>
      <w:divBdr>
        <w:top w:val="none" w:sz="0" w:space="0" w:color="auto"/>
        <w:left w:val="none" w:sz="0" w:space="0" w:color="auto"/>
        <w:bottom w:val="none" w:sz="0" w:space="0" w:color="auto"/>
        <w:right w:val="none" w:sz="0" w:space="0" w:color="auto"/>
      </w:divBdr>
    </w:div>
    <w:div w:id="1565991393">
      <w:bodyDiv w:val="1"/>
      <w:marLeft w:val="0"/>
      <w:marRight w:val="0"/>
      <w:marTop w:val="0"/>
      <w:marBottom w:val="0"/>
      <w:divBdr>
        <w:top w:val="none" w:sz="0" w:space="0" w:color="auto"/>
        <w:left w:val="none" w:sz="0" w:space="0" w:color="auto"/>
        <w:bottom w:val="none" w:sz="0" w:space="0" w:color="auto"/>
        <w:right w:val="none" w:sz="0" w:space="0" w:color="auto"/>
      </w:divBdr>
    </w:div>
    <w:div w:id="1566447854">
      <w:bodyDiv w:val="1"/>
      <w:marLeft w:val="0"/>
      <w:marRight w:val="0"/>
      <w:marTop w:val="0"/>
      <w:marBottom w:val="0"/>
      <w:divBdr>
        <w:top w:val="none" w:sz="0" w:space="0" w:color="auto"/>
        <w:left w:val="none" w:sz="0" w:space="0" w:color="auto"/>
        <w:bottom w:val="none" w:sz="0" w:space="0" w:color="auto"/>
        <w:right w:val="none" w:sz="0" w:space="0" w:color="auto"/>
      </w:divBdr>
    </w:div>
    <w:div w:id="1566603375">
      <w:bodyDiv w:val="1"/>
      <w:marLeft w:val="0"/>
      <w:marRight w:val="0"/>
      <w:marTop w:val="0"/>
      <w:marBottom w:val="0"/>
      <w:divBdr>
        <w:top w:val="none" w:sz="0" w:space="0" w:color="auto"/>
        <w:left w:val="none" w:sz="0" w:space="0" w:color="auto"/>
        <w:bottom w:val="none" w:sz="0" w:space="0" w:color="auto"/>
        <w:right w:val="none" w:sz="0" w:space="0" w:color="auto"/>
      </w:divBdr>
    </w:div>
    <w:div w:id="1567105762">
      <w:bodyDiv w:val="1"/>
      <w:marLeft w:val="0"/>
      <w:marRight w:val="0"/>
      <w:marTop w:val="0"/>
      <w:marBottom w:val="0"/>
      <w:divBdr>
        <w:top w:val="none" w:sz="0" w:space="0" w:color="auto"/>
        <w:left w:val="none" w:sz="0" w:space="0" w:color="auto"/>
        <w:bottom w:val="none" w:sz="0" w:space="0" w:color="auto"/>
        <w:right w:val="none" w:sz="0" w:space="0" w:color="auto"/>
      </w:divBdr>
    </w:div>
    <w:div w:id="1567647400">
      <w:bodyDiv w:val="1"/>
      <w:marLeft w:val="0"/>
      <w:marRight w:val="0"/>
      <w:marTop w:val="0"/>
      <w:marBottom w:val="0"/>
      <w:divBdr>
        <w:top w:val="none" w:sz="0" w:space="0" w:color="auto"/>
        <w:left w:val="none" w:sz="0" w:space="0" w:color="auto"/>
        <w:bottom w:val="none" w:sz="0" w:space="0" w:color="auto"/>
        <w:right w:val="none" w:sz="0" w:space="0" w:color="auto"/>
      </w:divBdr>
    </w:div>
    <w:div w:id="1567910058">
      <w:bodyDiv w:val="1"/>
      <w:marLeft w:val="0"/>
      <w:marRight w:val="0"/>
      <w:marTop w:val="0"/>
      <w:marBottom w:val="0"/>
      <w:divBdr>
        <w:top w:val="none" w:sz="0" w:space="0" w:color="auto"/>
        <w:left w:val="none" w:sz="0" w:space="0" w:color="auto"/>
        <w:bottom w:val="none" w:sz="0" w:space="0" w:color="auto"/>
        <w:right w:val="none" w:sz="0" w:space="0" w:color="auto"/>
      </w:divBdr>
    </w:div>
    <w:div w:id="1568422612">
      <w:bodyDiv w:val="1"/>
      <w:marLeft w:val="0"/>
      <w:marRight w:val="0"/>
      <w:marTop w:val="0"/>
      <w:marBottom w:val="0"/>
      <w:divBdr>
        <w:top w:val="none" w:sz="0" w:space="0" w:color="auto"/>
        <w:left w:val="none" w:sz="0" w:space="0" w:color="auto"/>
        <w:bottom w:val="none" w:sz="0" w:space="0" w:color="auto"/>
        <w:right w:val="none" w:sz="0" w:space="0" w:color="auto"/>
      </w:divBdr>
    </w:div>
    <w:div w:id="1568683399">
      <w:bodyDiv w:val="1"/>
      <w:marLeft w:val="0"/>
      <w:marRight w:val="0"/>
      <w:marTop w:val="0"/>
      <w:marBottom w:val="0"/>
      <w:divBdr>
        <w:top w:val="none" w:sz="0" w:space="0" w:color="auto"/>
        <w:left w:val="none" w:sz="0" w:space="0" w:color="auto"/>
        <w:bottom w:val="none" w:sz="0" w:space="0" w:color="auto"/>
        <w:right w:val="none" w:sz="0" w:space="0" w:color="auto"/>
      </w:divBdr>
    </w:div>
    <w:div w:id="1569075932">
      <w:bodyDiv w:val="1"/>
      <w:marLeft w:val="0"/>
      <w:marRight w:val="0"/>
      <w:marTop w:val="0"/>
      <w:marBottom w:val="0"/>
      <w:divBdr>
        <w:top w:val="none" w:sz="0" w:space="0" w:color="auto"/>
        <w:left w:val="none" w:sz="0" w:space="0" w:color="auto"/>
        <w:bottom w:val="none" w:sz="0" w:space="0" w:color="auto"/>
        <w:right w:val="none" w:sz="0" w:space="0" w:color="auto"/>
      </w:divBdr>
    </w:div>
    <w:div w:id="1569266366">
      <w:bodyDiv w:val="1"/>
      <w:marLeft w:val="0"/>
      <w:marRight w:val="0"/>
      <w:marTop w:val="0"/>
      <w:marBottom w:val="0"/>
      <w:divBdr>
        <w:top w:val="none" w:sz="0" w:space="0" w:color="auto"/>
        <w:left w:val="none" w:sz="0" w:space="0" w:color="auto"/>
        <w:bottom w:val="none" w:sz="0" w:space="0" w:color="auto"/>
        <w:right w:val="none" w:sz="0" w:space="0" w:color="auto"/>
      </w:divBdr>
    </w:div>
    <w:div w:id="1569458973">
      <w:bodyDiv w:val="1"/>
      <w:marLeft w:val="0"/>
      <w:marRight w:val="0"/>
      <w:marTop w:val="0"/>
      <w:marBottom w:val="0"/>
      <w:divBdr>
        <w:top w:val="none" w:sz="0" w:space="0" w:color="auto"/>
        <w:left w:val="none" w:sz="0" w:space="0" w:color="auto"/>
        <w:bottom w:val="none" w:sz="0" w:space="0" w:color="auto"/>
        <w:right w:val="none" w:sz="0" w:space="0" w:color="auto"/>
      </w:divBdr>
    </w:div>
    <w:div w:id="1569610211">
      <w:bodyDiv w:val="1"/>
      <w:marLeft w:val="0"/>
      <w:marRight w:val="0"/>
      <w:marTop w:val="0"/>
      <w:marBottom w:val="0"/>
      <w:divBdr>
        <w:top w:val="none" w:sz="0" w:space="0" w:color="auto"/>
        <w:left w:val="none" w:sz="0" w:space="0" w:color="auto"/>
        <w:bottom w:val="none" w:sz="0" w:space="0" w:color="auto"/>
        <w:right w:val="none" w:sz="0" w:space="0" w:color="auto"/>
      </w:divBdr>
    </w:div>
    <w:div w:id="1570070669">
      <w:bodyDiv w:val="1"/>
      <w:marLeft w:val="0"/>
      <w:marRight w:val="0"/>
      <w:marTop w:val="0"/>
      <w:marBottom w:val="0"/>
      <w:divBdr>
        <w:top w:val="none" w:sz="0" w:space="0" w:color="auto"/>
        <w:left w:val="none" w:sz="0" w:space="0" w:color="auto"/>
        <w:bottom w:val="none" w:sz="0" w:space="0" w:color="auto"/>
        <w:right w:val="none" w:sz="0" w:space="0" w:color="auto"/>
      </w:divBdr>
    </w:div>
    <w:div w:id="1570454290">
      <w:bodyDiv w:val="1"/>
      <w:marLeft w:val="0"/>
      <w:marRight w:val="0"/>
      <w:marTop w:val="0"/>
      <w:marBottom w:val="0"/>
      <w:divBdr>
        <w:top w:val="none" w:sz="0" w:space="0" w:color="auto"/>
        <w:left w:val="none" w:sz="0" w:space="0" w:color="auto"/>
        <w:bottom w:val="none" w:sz="0" w:space="0" w:color="auto"/>
        <w:right w:val="none" w:sz="0" w:space="0" w:color="auto"/>
      </w:divBdr>
    </w:div>
    <w:div w:id="1571118970">
      <w:bodyDiv w:val="1"/>
      <w:marLeft w:val="0"/>
      <w:marRight w:val="0"/>
      <w:marTop w:val="0"/>
      <w:marBottom w:val="0"/>
      <w:divBdr>
        <w:top w:val="none" w:sz="0" w:space="0" w:color="auto"/>
        <w:left w:val="none" w:sz="0" w:space="0" w:color="auto"/>
        <w:bottom w:val="none" w:sz="0" w:space="0" w:color="auto"/>
        <w:right w:val="none" w:sz="0" w:space="0" w:color="auto"/>
      </w:divBdr>
    </w:div>
    <w:div w:id="1571429232">
      <w:bodyDiv w:val="1"/>
      <w:marLeft w:val="0"/>
      <w:marRight w:val="0"/>
      <w:marTop w:val="0"/>
      <w:marBottom w:val="0"/>
      <w:divBdr>
        <w:top w:val="none" w:sz="0" w:space="0" w:color="auto"/>
        <w:left w:val="none" w:sz="0" w:space="0" w:color="auto"/>
        <w:bottom w:val="none" w:sz="0" w:space="0" w:color="auto"/>
        <w:right w:val="none" w:sz="0" w:space="0" w:color="auto"/>
      </w:divBdr>
    </w:div>
    <w:div w:id="1571498435">
      <w:bodyDiv w:val="1"/>
      <w:marLeft w:val="0"/>
      <w:marRight w:val="0"/>
      <w:marTop w:val="0"/>
      <w:marBottom w:val="0"/>
      <w:divBdr>
        <w:top w:val="none" w:sz="0" w:space="0" w:color="auto"/>
        <w:left w:val="none" w:sz="0" w:space="0" w:color="auto"/>
        <w:bottom w:val="none" w:sz="0" w:space="0" w:color="auto"/>
        <w:right w:val="none" w:sz="0" w:space="0" w:color="auto"/>
      </w:divBdr>
    </w:div>
    <w:div w:id="1571844945">
      <w:bodyDiv w:val="1"/>
      <w:marLeft w:val="0"/>
      <w:marRight w:val="0"/>
      <w:marTop w:val="0"/>
      <w:marBottom w:val="0"/>
      <w:divBdr>
        <w:top w:val="none" w:sz="0" w:space="0" w:color="auto"/>
        <w:left w:val="none" w:sz="0" w:space="0" w:color="auto"/>
        <w:bottom w:val="none" w:sz="0" w:space="0" w:color="auto"/>
        <w:right w:val="none" w:sz="0" w:space="0" w:color="auto"/>
      </w:divBdr>
    </w:div>
    <w:div w:id="1571888981">
      <w:bodyDiv w:val="1"/>
      <w:marLeft w:val="0"/>
      <w:marRight w:val="0"/>
      <w:marTop w:val="0"/>
      <w:marBottom w:val="0"/>
      <w:divBdr>
        <w:top w:val="none" w:sz="0" w:space="0" w:color="auto"/>
        <w:left w:val="none" w:sz="0" w:space="0" w:color="auto"/>
        <w:bottom w:val="none" w:sz="0" w:space="0" w:color="auto"/>
        <w:right w:val="none" w:sz="0" w:space="0" w:color="auto"/>
      </w:divBdr>
    </w:div>
    <w:div w:id="1572694196">
      <w:bodyDiv w:val="1"/>
      <w:marLeft w:val="0"/>
      <w:marRight w:val="0"/>
      <w:marTop w:val="0"/>
      <w:marBottom w:val="0"/>
      <w:divBdr>
        <w:top w:val="none" w:sz="0" w:space="0" w:color="auto"/>
        <w:left w:val="none" w:sz="0" w:space="0" w:color="auto"/>
        <w:bottom w:val="none" w:sz="0" w:space="0" w:color="auto"/>
        <w:right w:val="none" w:sz="0" w:space="0" w:color="auto"/>
      </w:divBdr>
    </w:div>
    <w:div w:id="1573084308">
      <w:bodyDiv w:val="1"/>
      <w:marLeft w:val="0"/>
      <w:marRight w:val="0"/>
      <w:marTop w:val="0"/>
      <w:marBottom w:val="0"/>
      <w:divBdr>
        <w:top w:val="none" w:sz="0" w:space="0" w:color="auto"/>
        <w:left w:val="none" w:sz="0" w:space="0" w:color="auto"/>
        <w:bottom w:val="none" w:sz="0" w:space="0" w:color="auto"/>
        <w:right w:val="none" w:sz="0" w:space="0" w:color="auto"/>
      </w:divBdr>
    </w:div>
    <w:div w:id="1573393885">
      <w:bodyDiv w:val="1"/>
      <w:marLeft w:val="0"/>
      <w:marRight w:val="0"/>
      <w:marTop w:val="0"/>
      <w:marBottom w:val="0"/>
      <w:divBdr>
        <w:top w:val="none" w:sz="0" w:space="0" w:color="auto"/>
        <w:left w:val="none" w:sz="0" w:space="0" w:color="auto"/>
        <w:bottom w:val="none" w:sz="0" w:space="0" w:color="auto"/>
        <w:right w:val="none" w:sz="0" w:space="0" w:color="auto"/>
      </w:divBdr>
    </w:div>
    <w:div w:id="1573587189">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119044">
      <w:bodyDiv w:val="1"/>
      <w:marLeft w:val="0"/>
      <w:marRight w:val="0"/>
      <w:marTop w:val="0"/>
      <w:marBottom w:val="0"/>
      <w:divBdr>
        <w:top w:val="none" w:sz="0" w:space="0" w:color="auto"/>
        <w:left w:val="none" w:sz="0" w:space="0" w:color="auto"/>
        <w:bottom w:val="none" w:sz="0" w:space="0" w:color="auto"/>
        <w:right w:val="none" w:sz="0" w:space="0" w:color="auto"/>
      </w:divBdr>
    </w:div>
    <w:div w:id="1574731699">
      <w:bodyDiv w:val="1"/>
      <w:marLeft w:val="0"/>
      <w:marRight w:val="0"/>
      <w:marTop w:val="0"/>
      <w:marBottom w:val="0"/>
      <w:divBdr>
        <w:top w:val="none" w:sz="0" w:space="0" w:color="auto"/>
        <w:left w:val="none" w:sz="0" w:space="0" w:color="auto"/>
        <w:bottom w:val="none" w:sz="0" w:space="0" w:color="auto"/>
        <w:right w:val="none" w:sz="0" w:space="0" w:color="auto"/>
      </w:divBdr>
    </w:div>
    <w:div w:id="1574853776">
      <w:bodyDiv w:val="1"/>
      <w:marLeft w:val="0"/>
      <w:marRight w:val="0"/>
      <w:marTop w:val="0"/>
      <w:marBottom w:val="0"/>
      <w:divBdr>
        <w:top w:val="none" w:sz="0" w:space="0" w:color="auto"/>
        <w:left w:val="none" w:sz="0" w:space="0" w:color="auto"/>
        <w:bottom w:val="none" w:sz="0" w:space="0" w:color="auto"/>
        <w:right w:val="none" w:sz="0" w:space="0" w:color="auto"/>
      </w:divBdr>
    </w:div>
    <w:div w:id="1575043321">
      <w:bodyDiv w:val="1"/>
      <w:marLeft w:val="0"/>
      <w:marRight w:val="0"/>
      <w:marTop w:val="0"/>
      <w:marBottom w:val="0"/>
      <w:divBdr>
        <w:top w:val="none" w:sz="0" w:space="0" w:color="auto"/>
        <w:left w:val="none" w:sz="0" w:space="0" w:color="auto"/>
        <w:bottom w:val="none" w:sz="0" w:space="0" w:color="auto"/>
        <w:right w:val="none" w:sz="0" w:space="0" w:color="auto"/>
      </w:divBdr>
    </w:div>
    <w:div w:id="1576234576">
      <w:bodyDiv w:val="1"/>
      <w:marLeft w:val="0"/>
      <w:marRight w:val="0"/>
      <w:marTop w:val="0"/>
      <w:marBottom w:val="0"/>
      <w:divBdr>
        <w:top w:val="none" w:sz="0" w:space="0" w:color="auto"/>
        <w:left w:val="none" w:sz="0" w:space="0" w:color="auto"/>
        <w:bottom w:val="none" w:sz="0" w:space="0" w:color="auto"/>
        <w:right w:val="none" w:sz="0" w:space="0" w:color="auto"/>
      </w:divBdr>
    </w:div>
    <w:div w:id="1576236953">
      <w:bodyDiv w:val="1"/>
      <w:marLeft w:val="0"/>
      <w:marRight w:val="0"/>
      <w:marTop w:val="0"/>
      <w:marBottom w:val="0"/>
      <w:divBdr>
        <w:top w:val="none" w:sz="0" w:space="0" w:color="auto"/>
        <w:left w:val="none" w:sz="0" w:space="0" w:color="auto"/>
        <w:bottom w:val="none" w:sz="0" w:space="0" w:color="auto"/>
        <w:right w:val="none" w:sz="0" w:space="0" w:color="auto"/>
      </w:divBdr>
    </w:div>
    <w:div w:id="1577016261">
      <w:bodyDiv w:val="1"/>
      <w:marLeft w:val="0"/>
      <w:marRight w:val="0"/>
      <w:marTop w:val="0"/>
      <w:marBottom w:val="0"/>
      <w:divBdr>
        <w:top w:val="none" w:sz="0" w:space="0" w:color="auto"/>
        <w:left w:val="none" w:sz="0" w:space="0" w:color="auto"/>
        <w:bottom w:val="none" w:sz="0" w:space="0" w:color="auto"/>
        <w:right w:val="none" w:sz="0" w:space="0" w:color="auto"/>
      </w:divBdr>
    </w:div>
    <w:div w:id="1577281068">
      <w:bodyDiv w:val="1"/>
      <w:marLeft w:val="0"/>
      <w:marRight w:val="0"/>
      <w:marTop w:val="0"/>
      <w:marBottom w:val="0"/>
      <w:divBdr>
        <w:top w:val="none" w:sz="0" w:space="0" w:color="auto"/>
        <w:left w:val="none" w:sz="0" w:space="0" w:color="auto"/>
        <w:bottom w:val="none" w:sz="0" w:space="0" w:color="auto"/>
        <w:right w:val="none" w:sz="0" w:space="0" w:color="auto"/>
      </w:divBdr>
    </w:div>
    <w:div w:id="1577283466">
      <w:bodyDiv w:val="1"/>
      <w:marLeft w:val="0"/>
      <w:marRight w:val="0"/>
      <w:marTop w:val="0"/>
      <w:marBottom w:val="0"/>
      <w:divBdr>
        <w:top w:val="none" w:sz="0" w:space="0" w:color="auto"/>
        <w:left w:val="none" w:sz="0" w:space="0" w:color="auto"/>
        <w:bottom w:val="none" w:sz="0" w:space="0" w:color="auto"/>
        <w:right w:val="none" w:sz="0" w:space="0" w:color="auto"/>
      </w:divBdr>
    </w:div>
    <w:div w:id="1578174323">
      <w:bodyDiv w:val="1"/>
      <w:marLeft w:val="0"/>
      <w:marRight w:val="0"/>
      <w:marTop w:val="0"/>
      <w:marBottom w:val="0"/>
      <w:divBdr>
        <w:top w:val="none" w:sz="0" w:space="0" w:color="auto"/>
        <w:left w:val="none" w:sz="0" w:space="0" w:color="auto"/>
        <w:bottom w:val="none" w:sz="0" w:space="0" w:color="auto"/>
        <w:right w:val="none" w:sz="0" w:space="0" w:color="auto"/>
      </w:divBdr>
    </w:div>
    <w:div w:id="1578398412">
      <w:bodyDiv w:val="1"/>
      <w:marLeft w:val="0"/>
      <w:marRight w:val="0"/>
      <w:marTop w:val="0"/>
      <w:marBottom w:val="0"/>
      <w:divBdr>
        <w:top w:val="none" w:sz="0" w:space="0" w:color="auto"/>
        <w:left w:val="none" w:sz="0" w:space="0" w:color="auto"/>
        <w:bottom w:val="none" w:sz="0" w:space="0" w:color="auto"/>
        <w:right w:val="none" w:sz="0" w:space="0" w:color="auto"/>
      </w:divBdr>
    </w:div>
    <w:div w:id="1578780464">
      <w:bodyDiv w:val="1"/>
      <w:marLeft w:val="0"/>
      <w:marRight w:val="0"/>
      <w:marTop w:val="0"/>
      <w:marBottom w:val="0"/>
      <w:divBdr>
        <w:top w:val="none" w:sz="0" w:space="0" w:color="auto"/>
        <w:left w:val="none" w:sz="0" w:space="0" w:color="auto"/>
        <w:bottom w:val="none" w:sz="0" w:space="0" w:color="auto"/>
        <w:right w:val="none" w:sz="0" w:space="0" w:color="auto"/>
      </w:divBdr>
    </w:div>
    <w:div w:id="1578830704">
      <w:bodyDiv w:val="1"/>
      <w:marLeft w:val="0"/>
      <w:marRight w:val="0"/>
      <w:marTop w:val="0"/>
      <w:marBottom w:val="0"/>
      <w:divBdr>
        <w:top w:val="none" w:sz="0" w:space="0" w:color="auto"/>
        <w:left w:val="none" w:sz="0" w:space="0" w:color="auto"/>
        <w:bottom w:val="none" w:sz="0" w:space="0" w:color="auto"/>
        <w:right w:val="none" w:sz="0" w:space="0" w:color="auto"/>
      </w:divBdr>
    </w:div>
    <w:div w:id="1579754162">
      <w:bodyDiv w:val="1"/>
      <w:marLeft w:val="0"/>
      <w:marRight w:val="0"/>
      <w:marTop w:val="0"/>
      <w:marBottom w:val="0"/>
      <w:divBdr>
        <w:top w:val="none" w:sz="0" w:space="0" w:color="auto"/>
        <w:left w:val="none" w:sz="0" w:space="0" w:color="auto"/>
        <w:bottom w:val="none" w:sz="0" w:space="0" w:color="auto"/>
        <w:right w:val="none" w:sz="0" w:space="0" w:color="auto"/>
      </w:divBdr>
    </w:div>
    <w:div w:id="1580097475">
      <w:bodyDiv w:val="1"/>
      <w:marLeft w:val="0"/>
      <w:marRight w:val="0"/>
      <w:marTop w:val="0"/>
      <w:marBottom w:val="0"/>
      <w:divBdr>
        <w:top w:val="none" w:sz="0" w:space="0" w:color="auto"/>
        <w:left w:val="none" w:sz="0" w:space="0" w:color="auto"/>
        <w:bottom w:val="none" w:sz="0" w:space="0" w:color="auto"/>
        <w:right w:val="none" w:sz="0" w:space="0" w:color="auto"/>
      </w:divBdr>
    </w:div>
    <w:div w:id="1580822449">
      <w:bodyDiv w:val="1"/>
      <w:marLeft w:val="0"/>
      <w:marRight w:val="0"/>
      <w:marTop w:val="0"/>
      <w:marBottom w:val="0"/>
      <w:divBdr>
        <w:top w:val="none" w:sz="0" w:space="0" w:color="auto"/>
        <w:left w:val="none" w:sz="0" w:space="0" w:color="auto"/>
        <w:bottom w:val="none" w:sz="0" w:space="0" w:color="auto"/>
        <w:right w:val="none" w:sz="0" w:space="0" w:color="auto"/>
      </w:divBdr>
    </w:div>
    <w:div w:id="1581450574">
      <w:bodyDiv w:val="1"/>
      <w:marLeft w:val="0"/>
      <w:marRight w:val="0"/>
      <w:marTop w:val="0"/>
      <w:marBottom w:val="0"/>
      <w:divBdr>
        <w:top w:val="none" w:sz="0" w:space="0" w:color="auto"/>
        <w:left w:val="none" w:sz="0" w:space="0" w:color="auto"/>
        <w:bottom w:val="none" w:sz="0" w:space="0" w:color="auto"/>
        <w:right w:val="none" w:sz="0" w:space="0" w:color="auto"/>
      </w:divBdr>
    </w:div>
    <w:div w:id="1581594137">
      <w:bodyDiv w:val="1"/>
      <w:marLeft w:val="0"/>
      <w:marRight w:val="0"/>
      <w:marTop w:val="0"/>
      <w:marBottom w:val="0"/>
      <w:divBdr>
        <w:top w:val="none" w:sz="0" w:space="0" w:color="auto"/>
        <w:left w:val="none" w:sz="0" w:space="0" w:color="auto"/>
        <w:bottom w:val="none" w:sz="0" w:space="0" w:color="auto"/>
        <w:right w:val="none" w:sz="0" w:space="0" w:color="auto"/>
      </w:divBdr>
    </w:div>
    <w:div w:id="1581981890">
      <w:bodyDiv w:val="1"/>
      <w:marLeft w:val="0"/>
      <w:marRight w:val="0"/>
      <w:marTop w:val="0"/>
      <w:marBottom w:val="0"/>
      <w:divBdr>
        <w:top w:val="none" w:sz="0" w:space="0" w:color="auto"/>
        <w:left w:val="none" w:sz="0" w:space="0" w:color="auto"/>
        <w:bottom w:val="none" w:sz="0" w:space="0" w:color="auto"/>
        <w:right w:val="none" w:sz="0" w:space="0" w:color="auto"/>
      </w:divBdr>
    </w:div>
    <w:div w:id="1582519139">
      <w:bodyDiv w:val="1"/>
      <w:marLeft w:val="0"/>
      <w:marRight w:val="0"/>
      <w:marTop w:val="0"/>
      <w:marBottom w:val="0"/>
      <w:divBdr>
        <w:top w:val="none" w:sz="0" w:space="0" w:color="auto"/>
        <w:left w:val="none" w:sz="0" w:space="0" w:color="auto"/>
        <w:bottom w:val="none" w:sz="0" w:space="0" w:color="auto"/>
        <w:right w:val="none" w:sz="0" w:space="0" w:color="auto"/>
      </w:divBdr>
    </w:div>
    <w:div w:id="1583026195">
      <w:bodyDiv w:val="1"/>
      <w:marLeft w:val="0"/>
      <w:marRight w:val="0"/>
      <w:marTop w:val="0"/>
      <w:marBottom w:val="0"/>
      <w:divBdr>
        <w:top w:val="none" w:sz="0" w:space="0" w:color="auto"/>
        <w:left w:val="none" w:sz="0" w:space="0" w:color="auto"/>
        <w:bottom w:val="none" w:sz="0" w:space="0" w:color="auto"/>
        <w:right w:val="none" w:sz="0" w:space="0" w:color="auto"/>
      </w:divBdr>
    </w:div>
    <w:div w:id="1583296926">
      <w:bodyDiv w:val="1"/>
      <w:marLeft w:val="0"/>
      <w:marRight w:val="0"/>
      <w:marTop w:val="0"/>
      <w:marBottom w:val="0"/>
      <w:divBdr>
        <w:top w:val="none" w:sz="0" w:space="0" w:color="auto"/>
        <w:left w:val="none" w:sz="0" w:space="0" w:color="auto"/>
        <w:bottom w:val="none" w:sz="0" w:space="0" w:color="auto"/>
        <w:right w:val="none" w:sz="0" w:space="0" w:color="auto"/>
      </w:divBdr>
    </w:div>
    <w:div w:id="1583299718">
      <w:bodyDiv w:val="1"/>
      <w:marLeft w:val="0"/>
      <w:marRight w:val="0"/>
      <w:marTop w:val="0"/>
      <w:marBottom w:val="0"/>
      <w:divBdr>
        <w:top w:val="none" w:sz="0" w:space="0" w:color="auto"/>
        <w:left w:val="none" w:sz="0" w:space="0" w:color="auto"/>
        <w:bottom w:val="none" w:sz="0" w:space="0" w:color="auto"/>
        <w:right w:val="none" w:sz="0" w:space="0" w:color="auto"/>
      </w:divBdr>
    </w:div>
    <w:div w:id="1583368957">
      <w:bodyDiv w:val="1"/>
      <w:marLeft w:val="0"/>
      <w:marRight w:val="0"/>
      <w:marTop w:val="0"/>
      <w:marBottom w:val="0"/>
      <w:divBdr>
        <w:top w:val="none" w:sz="0" w:space="0" w:color="auto"/>
        <w:left w:val="none" w:sz="0" w:space="0" w:color="auto"/>
        <w:bottom w:val="none" w:sz="0" w:space="0" w:color="auto"/>
        <w:right w:val="none" w:sz="0" w:space="0" w:color="auto"/>
      </w:divBdr>
    </w:div>
    <w:div w:id="1584223735">
      <w:bodyDiv w:val="1"/>
      <w:marLeft w:val="0"/>
      <w:marRight w:val="0"/>
      <w:marTop w:val="0"/>
      <w:marBottom w:val="0"/>
      <w:divBdr>
        <w:top w:val="none" w:sz="0" w:space="0" w:color="auto"/>
        <w:left w:val="none" w:sz="0" w:space="0" w:color="auto"/>
        <w:bottom w:val="none" w:sz="0" w:space="0" w:color="auto"/>
        <w:right w:val="none" w:sz="0" w:space="0" w:color="auto"/>
      </w:divBdr>
    </w:div>
    <w:div w:id="1584293849">
      <w:bodyDiv w:val="1"/>
      <w:marLeft w:val="0"/>
      <w:marRight w:val="0"/>
      <w:marTop w:val="0"/>
      <w:marBottom w:val="0"/>
      <w:divBdr>
        <w:top w:val="none" w:sz="0" w:space="0" w:color="auto"/>
        <w:left w:val="none" w:sz="0" w:space="0" w:color="auto"/>
        <w:bottom w:val="none" w:sz="0" w:space="0" w:color="auto"/>
        <w:right w:val="none" w:sz="0" w:space="0" w:color="auto"/>
      </w:divBdr>
    </w:div>
    <w:div w:id="1585214818">
      <w:bodyDiv w:val="1"/>
      <w:marLeft w:val="0"/>
      <w:marRight w:val="0"/>
      <w:marTop w:val="0"/>
      <w:marBottom w:val="0"/>
      <w:divBdr>
        <w:top w:val="none" w:sz="0" w:space="0" w:color="auto"/>
        <w:left w:val="none" w:sz="0" w:space="0" w:color="auto"/>
        <w:bottom w:val="none" w:sz="0" w:space="0" w:color="auto"/>
        <w:right w:val="none" w:sz="0" w:space="0" w:color="auto"/>
      </w:divBdr>
    </w:div>
    <w:div w:id="1585643751">
      <w:bodyDiv w:val="1"/>
      <w:marLeft w:val="0"/>
      <w:marRight w:val="0"/>
      <w:marTop w:val="0"/>
      <w:marBottom w:val="0"/>
      <w:divBdr>
        <w:top w:val="none" w:sz="0" w:space="0" w:color="auto"/>
        <w:left w:val="none" w:sz="0" w:space="0" w:color="auto"/>
        <w:bottom w:val="none" w:sz="0" w:space="0" w:color="auto"/>
        <w:right w:val="none" w:sz="0" w:space="0" w:color="auto"/>
      </w:divBdr>
    </w:div>
    <w:div w:id="1585724222">
      <w:bodyDiv w:val="1"/>
      <w:marLeft w:val="0"/>
      <w:marRight w:val="0"/>
      <w:marTop w:val="0"/>
      <w:marBottom w:val="0"/>
      <w:divBdr>
        <w:top w:val="none" w:sz="0" w:space="0" w:color="auto"/>
        <w:left w:val="none" w:sz="0" w:space="0" w:color="auto"/>
        <w:bottom w:val="none" w:sz="0" w:space="0" w:color="auto"/>
        <w:right w:val="none" w:sz="0" w:space="0" w:color="auto"/>
      </w:divBdr>
    </w:div>
    <w:div w:id="1586722719">
      <w:bodyDiv w:val="1"/>
      <w:marLeft w:val="0"/>
      <w:marRight w:val="0"/>
      <w:marTop w:val="0"/>
      <w:marBottom w:val="0"/>
      <w:divBdr>
        <w:top w:val="none" w:sz="0" w:space="0" w:color="auto"/>
        <w:left w:val="none" w:sz="0" w:space="0" w:color="auto"/>
        <w:bottom w:val="none" w:sz="0" w:space="0" w:color="auto"/>
        <w:right w:val="none" w:sz="0" w:space="0" w:color="auto"/>
      </w:divBdr>
    </w:div>
    <w:div w:id="1586918038">
      <w:bodyDiv w:val="1"/>
      <w:marLeft w:val="0"/>
      <w:marRight w:val="0"/>
      <w:marTop w:val="0"/>
      <w:marBottom w:val="0"/>
      <w:divBdr>
        <w:top w:val="none" w:sz="0" w:space="0" w:color="auto"/>
        <w:left w:val="none" w:sz="0" w:space="0" w:color="auto"/>
        <w:bottom w:val="none" w:sz="0" w:space="0" w:color="auto"/>
        <w:right w:val="none" w:sz="0" w:space="0" w:color="auto"/>
      </w:divBdr>
    </w:div>
    <w:div w:id="1587228996">
      <w:bodyDiv w:val="1"/>
      <w:marLeft w:val="0"/>
      <w:marRight w:val="0"/>
      <w:marTop w:val="0"/>
      <w:marBottom w:val="0"/>
      <w:divBdr>
        <w:top w:val="none" w:sz="0" w:space="0" w:color="auto"/>
        <w:left w:val="none" w:sz="0" w:space="0" w:color="auto"/>
        <w:bottom w:val="none" w:sz="0" w:space="0" w:color="auto"/>
        <w:right w:val="none" w:sz="0" w:space="0" w:color="auto"/>
      </w:divBdr>
    </w:div>
    <w:div w:id="1587302612">
      <w:bodyDiv w:val="1"/>
      <w:marLeft w:val="0"/>
      <w:marRight w:val="0"/>
      <w:marTop w:val="0"/>
      <w:marBottom w:val="0"/>
      <w:divBdr>
        <w:top w:val="none" w:sz="0" w:space="0" w:color="auto"/>
        <w:left w:val="none" w:sz="0" w:space="0" w:color="auto"/>
        <w:bottom w:val="none" w:sz="0" w:space="0" w:color="auto"/>
        <w:right w:val="none" w:sz="0" w:space="0" w:color="auto"/>
      </w:divBdr>
    </w:div>
    <w:div w:id="1587572754">
      <w:bodyDiv w:val="1"/>
      <w:marLeft w:val="0"/>
      <w:marRight w:val="0"/>
      <w:marTop w:val="0"/>
      <w:marBottom w:val="0"/>
      <w:divBdr>
        <w:top w:val="none" w:sz="0" w:space="0" w:color="auto"/>
        <w:left w:val="none" w:sz="0" w:space="0" w:color="auto"/>
        <w:bottom w:val="none" w:sz="0" w:space="0" w:color="auto"/>
        <w:right w:val="none" w:sz="0" w:space="0" w:color="auto"/>
      </w:divBdr>
    </w:div>
    <w:div w:id="1589583112">
      <w:bodyDiv w:val="1"/>
      <w:marLeft w:val="0"/>
      <w:marRight w:val="0"/>
      <w:marTop w:val="0"/>
      <w:marBottom w:val="0"/>
      <w:divBdr>
        <w:top w:val="none" w:sz="0" w:space="0" w:color="auto"/>
        <w:left w:val="none" w:sz="0" w:space="0" w:color="auto"/>
        <w:bottom w:val="none" w:sz="0" w:space="0" w:color="auto"/>
        <w:right w:val="none" w:sz="0" w:space="0" w:color="auto"/>
      </w:divBdr>
    </w:div>
    <w:div w:id="1589801856">
      <w:bodyDiv w:val="1"/>
      <w:marLeft w:val="0"/>
      <w:marRight w:val="0"/>
      <w:marTop w:val="0"/>
      <w:marBottom w:val="0"/>
      <w:divBdr>
        <w:top w:val="none" w:sz="0" w:space="0" w:color="auto"/>
        <w:left w:val="none" w:sz="0" w:space="0" w:color="auto"/>
        <w:bottom w:val="none" w:sz="0" w:space="0" w:color="auto"/>
        <w:right w:val="none" w:sz="0" w:space="0" w:color="auto"/>
      </w:divBdr>
    </w:div>
    <w:div w:id="1590306489">
      <w:bodyDiv w:val="1"/>
      <w:marLeft w:val="0"/>
      <w:marRight w:val="0"/>
      <w:marTop w:val="0"/>
      <w:marBottom w:val="0"/>
      <w:divBdr>
        <w:top w:val="none" w:sz="0" w:space="0" w:color="auto"/>
        <w:left w:val="none" w:sz="0" w:space="0" w:color="auto"/>
        <w:bottom w:val="none" w:sz="0" w:space="0" w:color="auto"/>
        <w:right w:val="none" w:sz="0" w:space="0" w:color="auto"/>
      </w:divBdr>
    </w:div>
    <w:div w:id="1590308089">
      <w:bodyDiv w:val="1"/>
      <w:marLeft w:val="0"/>
      <w:marRight w:val="0"/>
      <w:marTop w:val="0"/>
      <w:marBottom w:val="0"/>
      <w:divBdr>
        <w:top w:val="none" w:sz="0" w:space="0" w:color="auto"/>
        <w:left w:val="none" w:sz="0" w:space="0" w:color="auto"/>
        <w:bottom w:val="none" w:sz="0" w:space="0" w:color="auto"/>
        <w:right w:val="none" w:sz="0" w:space="0" w:color="auto"/>
      </w:divBdr>
    </w:div>
    <w:div w:id="1590310216">
      <w:bodyDiv w:val="1"/>
      <w:marLeft w:val="0"/>
      <w:marRight w:val="0"/>
      <w:marTop w:val="0"/>
      <w:marBottom w:val="0"/>
      <w:divBdr>
        <w:top w:val="none" w:sz="0" w:space="0" w:color="auto"/>
        <w:left w:val="none" w:sz="0" w:space="0" w:color="auto"/>
        <w:bottom w:val="none" w:sz="0" w:space="0" w:color="auto"/>
        <w:right w:val="none" w:sz="0" w:space="0" w:color="auto"/>
      </w:divBdr>
    </w:div>
    <w:div w:id="1590650673">
      <w:bodyDiv w:val="1"/>
      <w:marLeft w:val="0"/>
      <w:marRight w:val="0"/>
      <w:marTop w:val="0"/>
      <w:marBottom w:val="0"/>
      <w:divBdr>
        <w:top w:val="none" w:sz="0" w:space="0" w:color="auto"/>
        <w:left w:val="none" w:sz="0" w:space="0" w:color="auto"/>
        <w:bottom w:val="none" w:sz="0" w:space="0" w:color="auto"/>
        <w:right w:val="none" w:sz="0" w:space="0" w:color="auto"/>
      </w:divBdr>
    </w:div>
    <w:div w:id="1590851714">
      <w:bodyDiv w:val="1"/>
      <w:marLeft w:val="0"/>
      <w:marRight w:val="0"/>
      <w:marTop w:val="0"/>
      <w:marBottom w:val="0"/>
      <w:divBdr>
        <w:top w:val="none" w:sz="0" w:space="0" w:color="auto"/>
        <w:left w:val="none" w:sz="0" w:space="0" w:color="auto"/>
        <w:bottom w:val="none" w:sz="0" w:space="0" w:color="auto"/>
        <w:right w:val="none" w:sz="0" w:space="0" w:color="auto"/>
      </w:divBdr>
    </w:div>
    <w:div w:id="1591231360">
      <w:bodyDiv w:val="1"/>
      <w:marLeft w:val="0"/>
      <w:marRight w:val="0"/>
      <w:marTop w:val="0"/>
      <w:marBottom w:val="0"/>
      <w:divBdr>
        <w:top w:val="none" w:sz="0" w:space="0" w:color="auto"/>
        <w:left w:val="none" w:sz="0" w:space="0" w:color="auto"/>
        <w:bottom w:val="none" w:sz="0" w:space="0" w:color="auto"/>
        <w:right w:val="none" w:sz="0" w:space="0" w:color="auto"/>
      </w:divBdr>
    </w:div>
    <w:div w:id="1591812422">
      <w:bodyDiv w:val="1"/>
      <w:marLeft w:val="0"/>
      <w:marRight w:val="0"/>
      <w:marTop w:val="0"/>
      <w:marBottom w:val="0"/>
      <w:divBdr>
        <w:top w:val="none" w:sz="0" w:space="0" w:color="auto"/>
        <w:left w:val="none" w:sz="0" w:space="0" w:color="auto"/>
        <w:bottom w:val="none" w:sz="0" w:space="0" w:color="auto"/>
        <w:right w:val="none" w:sz="0" w:space="0" w:color="auto"/>
      </w:divBdr>
    </w:div>
    <w:div w:id="1592007822">
      <w:bodyDiv w:val="1"/>
      <w:marLeft w:val="0"/>
      <w:marRight w:val="0"/>
      <w:marTop w:val="0"/>
      <w:marBottom w:val="0"/>
      <w:divBdr>
        <w:top w:val="none" w:sz="0" w:space="0" w:color="auto"/>
        <w:left w:val="none" w:sz="0" w:space="0" w:color="auto"/>
        <w:bottom w:val="none" w:sz="0" w:space="0" w:color="auto"/>
        <w:right w:val="none" w:sz="0" w:space="0" w:color="auto"/>
      </w:divBdr>
    </w:div>
    <w:div w:id="1592734592">
      <w:bodyDiv w:val="1"/>
      <w:marLeft w:val="0"/>
      <w:marRight w:val="0"/>
      <w:marTop w:val="0"/>
      <w:marBottom w:val="0"/>
      <w:divBdr>
        <w:top w:val="none" w:sz="0" w:space="0" w:color="auto"/>
        <w:left w:val="none" w:sz="0" w:space="0" w:color="auto"/>
        <w:bottom w:val="none" w:sz="0" w:space="0" w:color="auto"/>
        <w:right w:val="none" w:sz="0" w:space="0" w:color="auto"/>
      </w:divBdr>
    </w:div>
    <w:div w:id="1594850975">
      <w:bodyDiv w:val="1"/>
      <w:marLeft w:val="0"/>
      <w:marRight w:val="0"/>
      <w:marTop w:val="0"/>
      <w:marBottom w:val="0"/>
      <w:divBdr>
        <w:top w:val="none" w:sz="0" w:space="0" w:color="auto"/>
        <w:left w:val="none" w:sz="0" w:space="0" w:color="auto"/>
        <w:bottom w:val="none" w:sz="0" w:space="0" w:color="auto"/>
        <w:right w:val="none" w:sz="0" w:space="0" w:color="auto"/>
      </w:divBdr>
    </w:div>
    <w:div w:id="1595163083">
      <w:bodyDiv w:val="1"/>
      <w:marLeft w:val="0"/>
      <w:marRight w:val="0"/>
      <w:marTop w:val="0"/>
      <w:marBottom w:val="0"/>
      <w:divBdr>
        <w:top w:val="none" w:sz="0" w:space="0" w:color="auto"/>
        <w:left w:val="none" w:sz="0" w:space="0" w:color="auto"/>
        <w:bottom w:val="none" w:sz="0" w:space="0" w:color="auto"/>
        <w:right w:val="none" w:sz="0" w:space="0" w:color="auto"/>
      </w:divBdr>
    </w:div>
    <w:div w:id="1595475511">
      <w:bodyDiv w:val="1"/>
      <w:marLeft w:val="0"/>
      <w:marRight w:val="0"/>
      <w:marTop w:val="0"/>
      <w:marBottom w:val="0"/>
      <w:divBdr>
        <w:top w:val="none" w:sz="0" w:space="0" w:color="auto"/>
        <w:left w:val="none" w:sz="0" w:space="0" w:color="auto"/>
        <w:bottom w:val="none" w:sz="0" w:space="0" w:color="auto"/>
        <w:right w:val="none" w:sz="0" w:space="0" w:color="auto"/>
      </w:divBdr>
    </w:div>
    <w:div w:id="1595630491">
      <w:bodyDiv w:val="1"/>
      <w:marLeft w:val="0"/>
      <w:marRight w:val="0"/>
      <w:marTop w:val="0"/>
      <w:marBottom w:val="0"/>
      <w:divBdr>
        <w:top w:val="none" w:sz="0" w:space="0" w:color="auto"/>
        <w:left w:val="none" w:sz="0" w:space="0" w:color="auto"/>
        <w:bottom w:val="none" w:sz="0" w:space="0" w:color="auto"/>
        <w:right w:val="none" w:sz="0" w:space="0" w:color="auto"/>
      </w:divBdr>
    </w:div>
    <w:div w:id="1596326667">
      <w:bodyDiv w:val="1"/>
      <w:marLeft w:val="0"/>
      <w:marRight w:val="0"/>
      <w:marTop w:val="0"/>
      <w:marBottom w:val="0"/>
      <w:divBdr>
        <w:top w:val="none" w:sz="0" w:space="0" w:color="auto"/>
        <w:left w:val="none" w:sz="0" w:space="0" w:color="auto"/>
        <w:bottom w:val="none" w:sz="0" w:space="0" w:color="auto"/>
        <w:right w:val="none" w:sz="0" w:space="0" w:color="auto"/>
      </w:divBdr>
    </w:div>
    <w:div w:id="1596354273">
      <w:bodyDiv w:val="1"/>
      <w:marLeft w:val="0"/>
      <w:marRight w:val="0"/>
      <w:marTop w:val="0"/>
      <w:marBottom w:val="0"/>
      <w:divBdr>
        <w:top w:val="none" w:sz="0" w:space="0" w:color="auto"/>
        <w:left w:val="none" w:sz="0" w:space="0" w:color="auto"/>
        <w:bottom w:val="none" w:sz="0" w:space="0" w:color="auto"/>
        <w:right w:val="none" w:sz="0" w:space="0" w:color="auto"/>
      </w:divBdr>
    </w:div>
    <w:div w:id="1596401625">
      <w:bodyDiv w:val="1"/>
      <w:marLeft w:val="0"/>
      <w:marRight w:val="0"/>
      <w:marTop w:val="0"/>
      <w:marBottom w:val="0"/>
      <w:divBdr>
        <w:top w:val="none" w:sz="0" w:space="0" w:color="auto"/>
        <w:left w:val="none" w:sz="0" w:space="0" w:color="auto"/>
        <w:bottom w:val="none" w:sz="0" w:space="0" w:color="auto"/>
        <w:right w:val="none" w:sz="0" w:space="0" w:color="auto"/>
      </w:divBdr>
    </w:div>
    <w:div w:id="1596477070">
      <w:bodyDiv w:val="1"/>
      <w:marLeft w:val="0"/>
      <w:marRight w:val="0"/>
      <w:marTop w:val="0"/>
      <w:marBottom w:val="0"/>
      <w:divBdr>
        <w:top w:val="none" w:sz="0" w:space="0" w:color="auto"/>
        <w:left w:val="none" w:sz="0" w:space="0" w:color="auto"/>
        <w:bottom w:val="none" w:sz="0" w:space="0" w:color="auto"/>
        <w:right w:val="none" w:sz="0" w:space="0" w:color="auto"/>
      </w:divBdr>
    </w:div>
    <w:div w:id="1596554835">
      <w:bodyDiv w:val="1"/>
      <w:marLeft w:val="0"/>
      <w:marRight w:val="0"/>
      <w:marTop w:val="0"/>
      <w:marBottom w:val="0"/>
      <w:divBdr>
        <w:top w:val="none" w:sz="0" w:space="0" w:color="auto"/>
        <w:left w:val="none" w:sz="0" w:space="0" w:color="auto"/>
        <w:bottom w:val="none" w:sz="0" w:space="0" w:color="auto"/>
        <w:right w:val="none" w:sz="0" w:space="0" w:color="auto"/>
      </w:divBdr>
    </w:div>
    <w:div w:id="1596593994">
      <w:bodyDiv w:val="1"/>
      <w:marLeft w:val="0"/>
      <w:marRight w:val="0"/>
      <w:marTop w:val="0"/>
      <w:marBottom w:val="0"/>
      <w:divBdr>
        <w:top w:val="none" w:sz="0" w:space="0" w:color="auto"/>
        <w:left w:val="none" w:sz="0" w:space="0" w:color="auto"/>
        <w:bottom w:val="none" w:sz="0" w:space="0" w:color="auto"/>
        <w:right w:val="none" w:sz="0" w:space="0" w:color="auto"/>
      </w:divBdr>
    </w:div>
    <w:div w:id="1597061245">
      <w:bodyDiv w:val="1"/>
      <w:marLeft w:val="0"/>
      <w:marRight w:val="0"/>
      <w:marTop w:val="0"/>
      <w:marBottom w:val="0"/>
      <w:divBdr>
        <w:top w:val="none" w:sz="0" w:space="0" w:color="auto"/>
        <w:left w:val="none" w:sz="0" w:space="0" w:color="auto"/>
        <w:bottom w:val="none" w:sz="0" w:space="0" w:color="auto"/>
        <w:right w:val="none" w:sz="0" w:space="0" w:color="auto"/>
      </w:divBdr>
    </w:div>
    <w:div w:id="1597395529">
      <w:bodyDiv w:val="1"/>
      <w:marLeft w:val="0"/>
      <w:marRight w:val="0"/>
      <w:marTop w:val="0"/>
      <w:marBottom w:val="0"/>
      <w:divBdr>
        <w:top w:val="none" w:sz="0" w:space="0" w:color="auto"/>
        <w:left w:val="none" w:sz="0" w:space="0" w:color="auto"/>
        <w:bottom w:val="none" w:sz="0" w:space="0" w:color="auto"/>
        <w:right w:val="none" w:sz="0" w:space="0" w:color="auto"/>
      </w:divBdr>
    </w:div>
    <w:div w:id="1597514971">
      <w:bodyDiv w:val="1"/>
      <w:marLeft w:val="0"/>
      <w:marRight w:val="0"/>
      <w:marTop w:val="0"/>
      <w:marBottom w:val="0"/>
      <w:divBdr>
        <w:top w:val="none" w:sz="0" w:space="0" w:color="auto"/>
        <w:left w:val="none" w:sz="0" w:space="0" w:color="auto"/>
        <w:bottom w:val="none" w:sz="0" w:space="0" w:color="auto"/>
        <w:right w:val="none" w:sz="0" w:space="0" w:color="auto"/>
      </w:divBdr>
    </w:div>
    <w:div w:id="1597904027">
      <w:bodyDiv w:val="1"/>
      <w:marLeft w:val="0"/>
      <w:marRight w:val="0"/>
      <w:marTop w:val="0"/>
      <w:marBottom w:val="0"/>
      <w:divBdr>
        <w:top w:val="none" w:sz="0" w:space="0" w:color="auto"/>
        <w:left w:val="none" w:sz="0" w:space="0" w:color="auto"/>
        <w:bottom w:val="none" w:sz="0" w:space="0" w:color="auto"/>
        <w:right w:val="none" w:sz="0" w:space="0" w:color="auto"/>
      </w:divBdr>
    </w:div>
    <w:div w:id="1598444481">
      <w:bodyDiv w:val="1"/>
      <w:marLeft w:val="0"/>
      <w:marRight w:val="0"/>
      <w:marTop w:val="0"/>
      <w:marBottom w:val="0"/>
      <w:divBdr>
        <w:top w:val="none" w:sz="0" w:space="0" w:color="auto"/>
        <w:left w:val="none" w:sz="0" w:space="0" w:color="auto"/>
        <w:bottom w:val="none" w:sz="0" w:space="0" w:color="auto"/>
        <w:right w:val="none" w:sz="0" w:space="0" w:color="auto"/>
      </w:divBdr>
    </w:div>
    <w:div w:id="1598445624">
      <w:bodyDiv w:val="1"/>
      <w:marLeft w:val="0"/>
      <w:marRight w:val="0"/>
      <w:marTop w:val="0"/>
      <w:marBottom w:val="0"/>
      <w:divBdr>
        <w:top w:val="none" w:sz="0" w:space="0" w:color="auto"/>
        <w:left w:val="none" w:sz="0" w:space="0" w:color="auto"/>
        <w:bottom w:val="none" w:sz="0" w:space="0" w:color="auto"/>
        <w:right w:val="none" w:sz="0" w:space="0" w:color="auto"/>
      </w:divBdr>
    </w:div>
    <w:div w:id="1598900028">
      <w:bodyDiv w:val="1"/>
      <w:marLeft w:val="0"/>
      <w:marRight w:val="0"/>
      <w:marTop w:val="0"/>
      <w:marBottom w:val="0"/>
      <w:divBdr>
        <w:top w:val="none" w:sz="0" w:space="0" w:color="auto"/>
        <w:left w:val="none" w:sz="0" w:space="0" w:color="auto"/>
        <w:bottom w:val="none" w:sz="0" w:space="0" w:color="auto"/>
        <w:right w:val="none" w:sz="0" w:space="0" w:color="auto"/>
      </w:divBdr>
    </w:div>
    <w:div w:id="1598974814">
      <w:bodyDiv w:val="1"/>
      <w:marLeft w:val="0"/>
      <w:marRight w:val="0"/>
      <w:marTop w:val="0"/>
      <w:marBottom w:val="0"/>
      <w:divBdr>
        <w:top w:val="none" w:sz="0" w:space="0" w:color="auto"/>
        <w:left w:val="none" w:sz="0" w:space="0" w:color="auto"/>
        <w:bottom w:val="none" w:sz="0" w:space="0" w:color="auto"/>
        <w:right w:val="none" w:sz="0" w:space="0" w:color="auto"/>
      </w:divBdr>
    </w:div>
    <w:div w:id="1599168675">
      <w:bodyDiv w:val="1"/>
      <w:marLeft w:val="0"/>
      <w:marRight w:val="0"/>
      <w:marTop w:val="0"/>
      <w:marBottom w:val="0"/>
      <w:divBdr>
        <w:top w:val="none" w:sz="0" w:space="0" w:color="auto"/>
        <w:left w:val="none" w:sz="0" w:space="0" w:color="auto"/>
        <w:bottom w:val="none" w:sz="0" w:space="0" w:color="auto"/>
        <w:right w:val="none" w:sz="0" w:space="0" w:color="auto"/>
      </w:divBdr>
    </w:div>
    <w:div w:id="1599170359">
      <w:bodyDiv w:val="1"/>
      <w:marLeft w:val="0"/>
      <w:marRight w:val="0"/>
      <w:marTop w:val="0"/>
      <w:marBottom w:val="0"/>
      <w:divBdr>
        <w:top w:val="none" w:sz="0" w:space="0" w:color="auto"/>
        <w:left w:val="none" w:sz="0" w:space="0" w:color="auto"/>
        <w:bottom w:val="none" w:sz="0" w:space="0" w:color="auto"/>
        <w:right w:val="none" w:sz="0" w:space="0" w:color="auto"/>
      </w:divBdr>
    </w:div>
    <w:div w:id="1599217909">
      <w:bodyDiv w:val="1"/>
      <w:marLeft w:val="0"/>
      <w:marRight w:val="0"/>
      <w:marTop w:val="0"/>
      <w:marBottom w:val="0"/>
      <w:divBdr>
        <w:top w:val="none" w:sz="0" w:space="0" w:color="auto"/>
        <w:left w:val="none" w:sz="0" w:space="0" w:color="auto"/>
        <w:bottom w:val="none" w:sz="0" w:space="0" w:color="auto"/>
        <w:right w:val="none" w:sz="0" w:space="0" w:color="auto"/>
      </w:divBdr>
    </w:div>
    <w:div w:id="1599826752">
      <w:bodyDiv w:val="1"/>
      <w:marLeft w:val="0"/>
      <w:marRight w:val="0"/>
      <w:marTop w:val="0"/>
      <w:marBottom w:val="0"/>
      <w:divBdr>
        <w:top w:val="none" w:sz="0" w:space="0" w:color="auto"/>
        <w:left w:val="none" w:sz="0" w:space="0" w:color="auto"/>
        <w:bottom w:val="none" w:sz="0" w:space="0" w:color="auto"/>
        <w:right w:val="none" w:sz="0" w:space="0" w:color="auto"/>
      </w:divBdr>
    </w:div>
    <w:div w:id="1599871710">
      <w:bodyDiv w:val="1"/>
      <w:marLeft w:val="0"/>
      <w:marRight w:val="0"/>
      <w:marTop w:val="0"/>
      <w:marBottom w:val="0"/>
      <w:divBdr>
        <w:top w:val="none" w:sz="0" w:space="0" w:color="auto"/>
        <w:left w:val="none" w:sz="0" w:space="0" w:color="auto"/>
        <w:bottom w:val="none" w:sz="0" w:space="0" w:color="auto"/>
        <w:right w:val="none" w:sz="0" w:space="0" w:color="auto"/>
      </w:divBdr>
    </w:div>
    <w:div w:id="1599874880">
      <w:bodyDiv w:val="1"/>
      <w:marLeft w:val="0"/>
      <w:marRight w:val="0"/>
      <w:marTop w:val="0"/>
      <w:marBottom w:val="0"/>
      <w:divBdr>
        <w:top w:val="none" w:sz="0" w:space="0" w:color="auto"/>
        <w:left w:val="none" w:sz="0" w:space="0" w:color="auto"/>
        <w:bottom w:val="none" w:sz="0" w:space="0" w:color="auto"/>
        <w:right w:val="none" w:sz="0" w:space="0" w:color="auto"/>
      </w:divBdr>
    </w:div>
    <w:div w:id="1600068852">
      <w:bodyDiv w:val="1"/>
      <w:marLeft w:val="0"/>
      <w:marRight w:val="0"/>
      <w:marTop w:val="0"/>
      <w:marBottom w:val="0"/>
      <w:divBdr>
        <w:top w:val="none" w:sz="0" w:space="0" w:color="auto"/>
        <w:left w:val="none" w:sz="0" w:space="0" w:color="auto"/>
        <w:bottom w:val="none" w:sz="0" w:space="0" w:color="auto"/>
        <w:right w:val="none" w:sz="0" w:space="0" w:color="auto"/>
      </w:divBdr>
    </w:div>
    <w:div w:id="1601178736">
      <w:bodyDiv w:val="1"/>
      <w:marLeft w:val="0"/>
      <w:marRight w:val="0"/>
      <w:marTop w:val="0"/>
      <w:marBottom w:val="0"/>
      <w:divBdr>
        <w:top w:val="none" w:sz="0" w:space="0" w:color="auto"/>
        <w:left w:val="none" w:sz="0" w:space="0" w:color="auto"/>
        <w:bottom w:val="none" w:sz="0" w:space="0" w:color="auto"/>
        <w:right w:val="none" w:sz="0" w:space="0" w:color="auto"/>
      </w:divBdr>
    </w:div>
    <w:div w:id="1601375471">
      <w:bodyDiv w:val="1"/>
      <w:marLeft w:val="0"/>
      <w:marRight w:val="0"/>
      <w:marTop w:val="0"/>
      <w:marBottom w:val="0"/>
      <w:divBdr>
        <w:top w:val="none" w:sz="0" w:space="0" w:color="auto"/>
        <w:left w:val="none" w:sz="0" w:space="0" w:color="auto"/>
        <w:bottom w:val="none" w:sz="0" w:space="0" w:color="auto"/>
        <w:right w:val="none" w:sz="0" w:space="0" w:color="auto"/>
      </w:divBdr>
    </w:div>
    <w:div w:id="1601837377">
      <w:bodyDiv w:val="1"/>
      <w:marLeft w:val="0"/>
      <w:marRight w:val="0"/>
      <w:marTop w:val="0"/>
      <w:marBottom w:val="0"/>
      <w:divBdr>
        <w:top w:val="none" w:sz="0" w:space="0" w:color="auto"/>
        <w:left w:val="none" w:sz="0" w:space="0" w:color="auto"/>
        <w:bottom w:val="none" w:sz="0" w:space="0" w:color="auto"/>
        <w:right w:val="none" w:sz="0" w:space="0" w:color="auto"/>
      </w:divBdr>
    </w:div>
    <w:div w:id="1601990018">
      <w:bodyDiv w:val="1"/>
      <w:marLeft w:val="0"/>
      <w:marRight w:val="0"/>
      <w:marTop w:val="0"/>
      <w:marBottom w:val="0"/>
      <w:divBdr>
        <w:top w:val="none" w:sz="0" w:space="0" w:color="auto"/>
        <w:left w:val="none" w:sz="0" w:space="0" w:color="auto"/>
        <w:bottom w:val="none" w:sz="0" w:space="0" w:color="auto"/>
        <w:right w:val="none" w:sz="0" w:space="0" w:color="auto"/>
      </w:divBdr>
    </w:div>
    <w:div w:id="1602951209">
      <w:bodyDiv w:val="1"/>
      <w:marLeft w:val="0"/>
      <w:marRight w:val="0"/>
      <w:marTop w:val="0"/>
      <w:marBottom w:val="0"/>
      <w:divBdr>
        <w:top w:val="none" w:sz="0" w:space="0" w:color="auto"/>
        <w:left w:val="none" w:sz="0" w:space="0" w:color="auto"/>
        <w:bottom w:val="none" w:sz="0" w:space="0" w:color="auto"/>
        <w:right w:val="none" w:sz="0" w:space="0" w:color="auto"/>
      </w:divBdr>
    </w:div>
    <w:div w:id="1604259609">
      <w:bodyDiv w:val="1"/>
      <w:marLeft w:val="0"/>
      <w:marRight w:val="0"/>
      <w:marTop w:val="0"/>
      <w:marBottom w:val="0"/>
      <w:divBdr>
        <w:top w:val="none" w:sz="0" w:space="0" w:color="auto"/>
        <w:left w:val="none" w:sz="0" w:space="0" w:color="auto"/>
        <w:bottom w:val="none" w:sz="0" w:space="0" w:color="auto"/>
        <w:right w:val="none" w:sz="0" w:space="0" w:color="auto"/>
      </w:divBdr>
    </w:div>
    <w:div w:id="1604264510">
      <w:bodyDiv w:val="1"/>
      <w:marLeft w:val="0"/>
      <w:marRight w:val="0"/>
      <w:marTop w:val="0"/>
      <w:marBottom w:val="0"/>
      <w:divBdr>
        <w:top w:val="none" w:sz="0" w:space="0" w:color="auto"/>
        <w:left w:val="none" w:sz="0" w:space="0" w:color="auto"/>
        <w:bottom w:val="none" w:sz="0" w:space="0" w:color="auto"/>
        <w:right w:val="none" w:sz="0" w:space="0" w:color="auto"/>
      </w:divBdr>
    </w:div>
    <w:div w:id="1604266453">
      <w:bodyDiv w:val="1"/>
      <w:marLeft w:val="0"/>
      <w:marRight w:val="0"/>
      <w:marTop w:val="0"/>
      <w:marBottom w:val="0"/>
      <w:divBdr>
        <w:top w:val="none" w:sz="0" w:space="0" w:color="auto"/>
        <w:left w:val="none" w:sz="0" w:space="0" w:color="auto"/>
        <w:bottom w:val="none" w:sz="0" w:space="0" w:color="auto"/>
        <w:right w:val="none" w:sz="0" w:space="0" w:color="auto"/>
      </w:divBdr>
    </w:div>
    <w:div w:id="1604604504">
      <w:bodyDiv w:val="1"/>
      <w:marLeft w:val="0"/>
      <w:marRight w:val="0"/>
      <w:marTop w:val="0"/>
      <w:marBottom w:val="0"/>
      <w:divBdr>
        <w:top w:val="none" w:sz="0" w:space="0" w:color="auto"/>
        <w:left w:val="none" w:sz="0" w:space="0" w:color="auto"/>
        <w:bottom w:val="none" w:sz="0" w:space="0" w:color="auto"/>
        <w:right w:val="none" w:sz="0" w:space="0" w:color="auto"/>
      </w:divBdr>
    </w:div>
    <w:div w:id="1604652640">
      <w:bodyDiv w:val="1"/>
      <w:marLeft w:val="0"/>
      <w:marRight w:val="0"/>
      <w:marTop w:val="0"/>
      <w:marBottom w:val="0"/>
      <w:divBdr>
        <w:top w:val="none" w:sz="0" w:space="0" w:color="auto"/>
        <w:left w:val="none" w:sz="0" w:space="0" w:color="auto"/>
        <w:bottom w:val="none" w:sz="0" w:space="0" w:color="auto"/>
        <w:right w:val="none" w:sz="0" w:space="0" w:color="auto"/>
      </w:divBdr>
    </w:div>
    <w:div w:id="1604846696">
      <w:bodyDiv w:val="1"/>
      <w:marLeft w:val="0"/>
      <w:marRight w:val="0"/>
      <w:marTop w:val="0"/>
      <w:marBottom w:val="0"/>
      <w:divBdr>
        <w:top w:val="none" w:sz="0" w:space="0" w:color="auto"/>
        <w:left w:val="none" w:sz="0" w:space="0" w:color="auto"/>
        <w:bottom w:val="none" w:sz="0" w:space="0" w:color="auto"/>
        <w:right w:val="none" w:sz="0" w:space="0" w:color="auto"/>
      </w:divBdr>
    </w:div>
    <w:div w:id="1606185296">
      <w:bodyDiv w:val="1"/>
      <w:marLeft w:val="0"/>
      <w:marRight w:val="0"/>
      <w:marTop w:val="0"/>
      <w:marBottom w:val="0"/>
      <w:divBdr>
        <w:top w:val="none" w:sz="0" w:space="0" w:color="auto"/>
        <w:left w:val="none" w:sz="0" w:space="0" w:color="auto"/>
        <w:bottom w:val="none" w:sz="0" w:space="0" w:color="auto"/>
        <w:right w:val="none" w:sz="0" w:space="0" w:color="auto"/>
      </w:divBdr>
    </w:div>
    <w:div w:id="1606385033">
      <w:bodyDiv w:val="1"/>
      <w:marLeft w:val="0"/>
      <w:marRight w:val="0"/>
      <w:marTop w:val="0"/>
      <w:marBottom w:val="0"/>
      <w:divBdr>
        <w:top w:val="none" w:sz="0" w:space="0" w:color="auto"/>
        <w:left w:val="none" w:sz="0" w:space="0" w:color="auto"/>
        <w:bottom w:val="none" w:sz="0" w:space="0" w:color="auto"/>
        <w:right w:val="none" w:sz="0" w:space="0" w:color="auto"/>
      </w:divBdr>
    </w:div>
    <w:div w:id="1607495507">
      <w:bodyDiv w:val="1"/>
      <w:marLeft w:val="0"/>
      <w:marRight w:val="0"/>
      <w:marTop w:val="0"/>
      <w:marBottom w:val="0"/>
      <w:divBdr>
        <w:top w:val="none" w:sz="0" w:space="0" w:color="auto"/>
        <w:left w:val="none" w:sz="0" w:space="0" w:color="auto"/>
        <w:bottom w:val="none" w:sz="0" w:space="0" w:color="auto"/>
        <w:right w:val="none" w:sz="0" w:space="0" w:color="auto"/>
      </w:divBdr>
    </w:div>
    <w:div w:id="1607497288">
      <w:bodyDiv w:val="1"/>
      <w:marLeft w:val="0"/>
      <w:marRight w:val="0"/>
      <w:marTop w:val="0"/>
      <w:marBottom w:val="0"/>
      <w:divBdr>
        <w:top w:val="none" w:sz="0" w:space="0" w:color="auto"/>
        <w:left w:val="none" w:sz="0" w:space="0" w:color="auto"/>
        <w:bottom w:val="none" w:sz="0" w:space="0" w:color="auto"/>
        <w:right w:val="none" w:sz="0" w:space="0" w:color="auto"/>
      </w:divBdr>
    </w:div>
    <w:div w:id="1607734459">
      <w:bodyDiv w:val="1"/>
      <w:marLeft w:val="0"/>
      <w:marRight w:val="0"/>
      <w:marTop w:val="0"/>
      <w:marBottom w:val="0"/>
      <w:divBdr>
        <w:top w:val="none" w:sz="0" w:space="0" w:color="auto"/>
        <w:left w:val="none" w:sz="0" w:space="0" w:color="auto"/>
        <w:bottom w:val="none" w:sz="0" w:space="0" w:color="auto"/>
        <w:right w:val="none" w:sz="0" w:space="0" w:color="auto"/>
      </w:divBdr>
    </w:div>
    <w:div w:id="1607808939">
      <w:bodyDiv w:val="1"/>
      <w:marLeft w:val="0"/>
      <w:marRight w:val="0"/>
      <w:marTop w:val="0"/>
      <w:marBottom w:val="0"/>
      <w:divBdr>
        <w:top w:val="none" w:sz="0" w:space="0" w:color="auto"/>
        <w:left w:val="none" w:sz="0" w:space="0" w:color="auto"/>
        <w:bottom w:val="none" w:sz="0" w:space="0" w:color="auto"/>
        <w:right w:val="none" w:sz="0" w:space="0" w:color="auto"/>
      </w:divBdr>
    </w:div>
    <w:div w:id="1607889167">
      <w:bodyDiv w:val="1"/>
      <w:marLeft w:val="0"/>
      <w:marRight w:val="0"/>
      <w:marTop w:val="0"/>
      <w:marBottom w:val="0"/>
      <w:divBdr>
        <w:top w:val="none" w:sz="0" w:space="0" w:color="auto"/>
        <w:left w:val="none" w:sz="0" w:space="0" w:color="auto"/>
        <w:bottom w:val="none" w:sz="0" w:space="0" w:color="auto"/>
        <w:right w:val="none" w:sz="0" w:space="0" w:color="auto"/>
      </w:divBdr>
    </w:div>
    <w:div w:id="1607889233">
      <w:bodyDiv w:val="1"/>
      <w:marLeft w:val="0"/>
      <w:marRight w:val="0"/>
      <w:marTop w:val="0"/>
      <w:marBottom w:val="0"/>
      <w:divBdr>
        <w:top w:val="none" w:sz="0" w:space="0" w:color="auto"/>
        <w:left w:val="none" w:sz="0" w:space="0" w:color="auto"/>
        <w:bottom w:val="none" w:sz="0" w:space="0" w:color="auto"/>
        <w:right w:val="none" w:sz="0" w:space="0" w:color="auto"/>
      </w:divBdr>
    </w:div>
    <w:div w:id="1608148959">
      <w:bodyDiv w:val="1"/>
      <w:marLeft w:val="0"/>
      <w:marRight w:val="0"/>
      <w:marTop w:val="0"/>
      <w:marBottom w:val="0"/>
      <w:divBdr>
        <w:top w:val="none" w:sz="0" w:space="0" w:color="auto"/>
        <w:left w:val="none" w:sz="0" w:space="0" w:color="auto"/>
        <w:bottom w:val="none" w:sz="0" w:space="0" w:color="auto"/>
        <w:right w:val="none" w:sz="0" w:space="0" w:color="auto"/>
      </w:divBdr>
    </w:div>
    <w:div w:id="1608809284">
      <w:bodyDiv w:val="1"/>
      <w:marLeft w:val="0"/>
      <w:marRight w:val="0"/>
      <w:marTop w:val="0"/>
      <w:marBottom w:val="0"/>
      <w:divBdr>
        <w:top w:val="none" w:sz="0" w:space="0" w:color="auto"/>
        <w:left w:val="none" w:sz="0" w:space="0" w:color="auto"/>
        <w:bottom w:val="none" w:sz="0" w:space="0" w:color="auto"/>
        <w:right w:val="none" w:sz="0" w:space="0" w:color="auto"/>
      </w:divBdr>
    </w:div>
    <w:div w:id="1608851215">
      <w:bodyDiv w:val="1"/>
      <w:marLeft w:val="0"/>
      <w:marRight w:val="0"/>
      <w:marTop w:val="0"/>
      <w:marBottom w:val="0"/>
      <w:divBdr>
        <w:top w:val="none" w:sz="0" w:space="0" w:color="auto"/>
        <w:left w:val="none" w:sz="0" w:space="0" w:color="auto"/>
        <w:bottom w:val="none" w:sz="0" w:space="0" w:color="auto"/>
        <w:right w:val="none" w:sz="0" w:space="0" w:color="auto"/>
      </w:divBdr>
    </w:div>
    <w:div w:id="1608855061">
      <w:bodyDiv w:val="1"/>
      <w:marLeft w:val="0"/>
      <w:marRight w:val="0"/>
      <w:marTop w:val="0"/>
      <w:marBottom w:val="0"/>
      <w:divBdr>
        <w:top w:val="none" w:sz="0" w:space="0" w:color="auto"/>
        <w:left w:val="none" w:sz="0" w:space="0" w:color="auto"/>
        <w:bottom w:val="none" w:sz="0" w:space="0" w:color="auto"/>
        <w:right w:val="none" w:sz="0" w:space="0" w:color="auto"/>
      </w:divBdr>
    </w:div>
    <w:div w:id="1609115541">
      <w:bodyDiv w:val="1"/>
      <w:marLeft w:val="0"/>
      <w:marRight w:val="0"/>
      <w:marTop w:val="0"/>
      <w:marBottom w:val="0"/>
      <w:divBdr>
        <w:top w:val="none" w:sz="0" w:space="0" w:color="auto"/>
        <w:left w:val="none" w:sz="0" w:space="0" w:color="auto"/>
        <w:bottom w:val="none" w:sz="0" w:space="0" w:color="auto"/>
        <w:right w:val="none" w:sz="0" w:space="0" w:color="auto"/>
      </w:divBdr>
    </w:div>
    <w:div w:id="1609268906">
      <w:bodyDiv w:val="1"/>
      <w:marLeft w:val="0"/>
      <w:marRight w:val="0"/>
      <w:marTop w:val="0"/>
      <w:marBottom w:val="0"/>
      <w:divBdr>
        <w:top w:val="none" w:sz="0" w:space="0" w:color="auto"/>
        <w:left w:val="none" w:sz="0" w:space="0" w:color="auto"/>
        <w:bottom w:val="none" w:sz="0" w:space="0" w:color="auto"/>
        <w:right w:val="none" w:sz="0" w:space="0" w:color="auto"/>
      </w:divBdr>
    </w:div>
    <w:div w:id="1609584694">
      <w:bodyDiv w:val="1"/>
      <w:marLeft w:val="0"/>
      <w:marRight w:val="0"/>
      <w:marTop w:val="0"/>
      <w:marBottom w:val="0"/>
      <w:divBdr>
        <w:top w:val="none" w:sz="0" w:space="0" w:color="auto"/>
        <w:left w:val="none" w:sz="0" w:space="0" w:color="auto"/>
        <w:bottom w:val="none" w:sz="0" w:space="0" w:color="auto"/>
        <w:right w:val="none" w:sz="0" w:space="0" w:color="auto"/>
      </w:divBdr>
    </w:div>
    <w:div w:id="1609924360">
      <w:bodyDiv w:val="1"/>
      <w:marLeft w:val="0"/>
      <w:marRight w:val="0"/>
      <w:marTop w:val="0"/>
      <w:marBottom w:val="0"/>
      <w:divBdr>
        <w:top w:val="none" w:sz="0" w:space="0" w:color="auto"/>
        <w:left w:val="none" w:sz="0" w:space="0" w:color="auto"/>
        <w:bottom w:val="none" w:sz="0" w:space="0" w:color="auto"/>
        <w:right w:val="none" w:sz="0" w:space="0" w:color="auto"/>
      </w:divBdr>
    </w:div>
    <w:div w:id="1610120568">
      <w:bodyDiv w:val="1"/>
      <w:marLeft w:val="0"/>
      <w:marRight w:val="0"/>
      <w:marTop w:val="0"/>
      <w:marBottom w:val="0"/>
      <w:divBdr>
        <w:top w:val="none" w:sz="0" w:space="0" w:color="auto"/>
        <w:left w:val="none" w:sz="0" w:space="0" w:color="auto"/>
        <w:bottom w:val="none" w:sz="0" w:space="0" w:color="auto"/>
        <w:right w:val="none" w:sz="0" w:space="0" w:color="auto"/>
      </w:divBdr>
    </w:div>
    <w:div w:id="1610359906">
      <w:bodyDiv w:val="1"/>
      <w:marLeft w:val="0"/>
      <w:marRight w:val="0"/>
      <w:marTop w:val="0"/>
      <w:marBottom w:val="0"/>
      <w:divBdr>
        <w:top w:val="none" w:sz="0" w:space="0" w:color="auto"/>
        <w:left w:val="none" w:sz="0" w:space="0" w:color="auto"/>
        <w:bottom w:val="none" w:sz="0" w:space="0" w:color="auto"/>
        <w:right w:val="none" w:sz="0" w:space="0" w:color="auto"/>
      </w:divBdr>
    </w:div>
    <w:div w:id="1610628440">
      <w:bodyDiv w:val="1"/>
      <w:marLeft w:val="0"/>
      <w:marRight w:val="0"/>
      <w:marTop w:val="0"/>
      <w:marBottom w:val="0"/>
      <w:divBdr>
        <w:top w:val="none" w:sz="0" w:space="0" w:color="auto"/>
        <w:left w:val="none" w:sz="0" w:space="0" w:color="auto"/>
        <w:bottom w:val="none" w:sz="0" w:space="0" w:color="auto"/>
        <w:right w:val="none" w:sz="0" w:space="0" w:color="auto"/>
      </w:divBdr>
    </w:div>
    <w:div w:id="1610965845">
      <w:bodyDiv w:val="1"/>
      <w:marLeft w:val="0"/>
      <w:marRight w:val="0"/>
      <w:marTop w:val="0"/>
      <w:marBottom w:val="0"/>
      <w:divBdr>
        <w:top w:val="none" w:sz="0" w:space="0" w:color="auto"/>
        <w:left w:val="none" w:sz="0" w:space="0" w:color="auto"/>
        <w:bottom w:val="none" w:sz="0" w:space="0" w:color="auto"/>
        <w:right w:val="none" w:sz="0" w:space="0" w:color="auto"/>
      </w:divBdr>
    </w:div>
    <w:div w:id="1611203158">
      <w:bodyDiv w:val="1"/>
      <w:marLeft w:val="0"/>
      <w:marRight w:val="0"/>
      <w:marTop w:val="0"/>
      <w:marBottom w:val="0"/>
      <w:divBdr>
        <w:top w:val="none" w:sz="0" w:space="0" w:color="auto"/>
        <w:left w:val="none" w:sz="0" w:space="0" w:color="auto"/>
        <w:bottom w:val="none" w:sz="0" w:space="0" w:color="auto"/>
        <w:right w:val="none" w:sz="0" w:space="0" w:color="auto"/>
      </w:divBdr>
    </w:div>
    <w:div w:id="1611282501">
      <w:bodyDiv w:val="1"/>
      <w:marLeft w:val="0"/>
      <w:marRight w:val="0"/>
      <w:marTop w:val="0"/>
      <w:marBottom w:val="0"/>
      <w:divBdr>
        <w:top w:val="none" w:sz="0" w:space="0" w:color="auto"/>
        <w:left w:val="none" w:sz="0" w:space="0" w:color="auto"/>
        <w:bottom w:val="none" w:sz="0" w:space="0" w:color="auto"/>
        <w:right w:val="none" w:sz="0" w:space="0" w:color="auto"/>
      </w:divBdr>
    </w:div>
    <w:div w:id="1611739266">
      <w:bodyDiv w:val="1"/>
      <w:marLeft w:val="0"/>
      <w:marRight w:val="0"/>
      <w:marTop w:val="0"/>
      <w:marBottom w:val="0"/>
      <w:divBdr>
        <w:top w:val="none" w:sz="0" w:space="0" w:color="auto"/>
        <w:left w:val="none" w:sz="0" w:space="0" w:color="auto"/>
        <w:bottom w:val="none" w:sz="0" w:space="0" w:color="auto"/>
        <w:right w:val="none" w:sz="0" w:space="0" w:color="auto"/>
      </w:divBdr>
    </w:div>
    <w:div w:id="1611886874">
      <w:bodyDiv w:val="1"/>
      <w:marLeft w:val="0"/>
      <w:marRight w:val="0"/>
      <w:marTop w:val="0"/>
      <w:marBottom w:val="0"/>
      <w:divBdr>
        <w:top w:val="none" w:sz="0" w:space="0" w:color="auto"/>
        <w:left w:val="none" w:sz="0" w:space="0" w:color="auto"/>
        <w:bottom w:val="none" w:sz="0" w:space="0" w:color="auto"/>
        <w:right w:val="none" w:sz="0" w:space="0" w:color="auto"/>
      </w:divBdr>
    </w:div>
    <w:div w:id="1612710216">
      <w:bodyDiv w:val="1"/>
      <w:marLeft w:val="0"/>
      <w:marRight w:val="0"/>
      <w:marTop w:val="0"/>
      <w:marBottom w:val="0"/>
      <w:divBdr>
        <w:top w:val="none" w:sz="0" w:space="0" w:color="auto"/>
        <w:left w:val="none" w:sz="0" w:space="0" w:color="auto"/>
        <w:bottom w:val="none" w:sz="0" w:space="0" w:color="auto"/>
        <w:right w:val="none" w:sz="0" w:space="0" w:color="auto"/>
      </w:divBdr>
    </w:div>
    <w:div w:id="1613391950">
      <w:bodyDiv w:val="1"/>
      <w:marLeft w:val="0"/>
      <w:marRight w:val="0"/>
      <w:marTop w:val="0"/>
      <w:marBottom w:val="0"/>
      <w:divBdr>
        <w:top w:val="none" w:sz="0" w:space="0" w:color="auto"/>
        <w:left w:val="none" w:sz="0" w:space="0" w:color="auto"/>
        <w:bottom w:val="none" w:sz="0" w:space="0" w:color="auto"/>
        <w:right w:val="none" w:sz="0" w:space="0" w:color="auto"/>
      </w:divBdr>
    </w:div>
    <w:div w:id="1613435866">
      <w:bodyDiv w:val="1"/>
      <w:marLeft w:val="0"/>
      <w:marRight w:val="0"/>
      <w:marTop w:val="0"/>
      <w:marBottom w:val="0"/>
      <w:divBdr>
        <w:top w:val="none" w:sz="0" w:space="0" w:color="auto"/>
        <w:left w:val="none" w:sz="0" w:space="0" w:color="auto"/>
        <w:bottom w:val="none" w:sz="0" w:space="0" w:color="auto"/>
        <w:right w:val="none" w:sz="0" w:space="0" w:color="auto"/>
      </w:divBdr>
    </w:div>
    <w:div w:id="1613586226">
      <w:bodyDiv w:val="1"/>
      <w:marLeft w:val="0"/>
      <w:marRight w:val="0"/>
      <w:marTop w:val="0"/>
      <w:marBottom w:val="0"/>
      <w:divBdr>
        <w:top w:val="none" w:sz="0" w:space="0" w:color="auto"/>
        <w:left w:val="none" w:sz="0" w:space="0" w:color="auto"/>
        <w:bottom w:val="none" w:sz="0" w:space="0" w:color="auto"/>
        <w:right w:val="none" w:sz="0" w:space="0" w:color="auto"/>
      </w:divBdr>
    </w:div>
    <w:div w:id="1613587032">
      <w:bodyDiv w:val="1"/>
      <w:marLeft w:val="0"/>
      <w:marRight w:val="0"/>
      <w:marTop w:val="0"/>
      <w:marBottom w:val="0"/>
      <w:divBdr>
        <w:top w:val="none" w:sz="0" w:space="0" w:color="auto"/>
        <w:left w:val="none" w:sz="0" w:space="0" w:color="auto"/>
        <w:bottom w:val="none" w:sz="0" w:space="0" w:color="auto"/>
        <w:right w:val="none" w:sz="0" w:space="0" w:color="auto"/>
      </w:divBdr>
    </w:div>
    <w:div w:id="1613589535">
      <w:bodyDiv w:val="1"/>
      <w:marLeft w:val="0"/>
      <w:marRight w:val="0"/>
      <w:marTop w:val="0"/>
      <w:marBottom w:val="0"/>
      <w:divBdr>
        <w:top w:val="none" w:sz="0" w:space="0" w:color="auto"/>
        <w:left w:val="none" w:sz="0" w:space="0" w:color="auto"/>
        <w:bottom w:val="none" w:sz="0" w:space="0" w:color="auto"/>
        <w:right w:val="none" w:sz="0" w:space="0" w:color="auto"/>
      </w:divBdr>
    </w:div>
    <w:div w:id="1614285253">
      <w:bodyDiv w:val="1"/>
      <w:marLeft w:val="0"/>
      <w:marRight w:val="0"/>
      <w:marTop w:val="0"/>
      <w:marBottom w:val="0"/>
      <w:divBdr>
        <w:top w:val="none" w:sz="0" w:space="0" w:color="auto"/>
        <w:left w:val="none" w:sz="0" w:space="0" w:color="auto"/>
        <w:bottom w:val="none" w:sz="0" w:space="0" w:color="auto"/>
        <w:right w:val="none" w:sz="0" w:space="0" w:color="auto"/>
      </w:divBdr>
    </w:div>
    <w:div w:id="1614748715">
      <w:bodyDiv w:val="1"/>
      <w:marLeft w:val="0"/>
      <w:marRight w:val="0"/>
      <w:marTop w:val="0"/>
      <w:marBottom w:val="0"/>
      <w:divBdr>
        <w:top w:val="none" w:sz="0" w:space="0" w:color="auto"/>
        <w:left w:val="none" w:sz="0" w:space="0" w:color="auto"/>
        <w:bottom w:val="none" w:sz="0" w:space="0" w:color="auto"/>
        <w:right w:val="none" w:sz="0" w:space="0" w:color="auto"/>
      </w:divBdr>
    </w:div>
    <w:div w:id="1615139764">
      <w:bodyDiv w:val="1"/>
      <w:marLeft w:val="0"/>
      <w:marRight w:val="0"/>
      <w:marTop w:val="0"/>
      <w:marBottom w:val="0"/>
      <w:divBdr>
        <w:top w:val="none" w:sz="0" w:space="0" w:color="auto"/>
        <w:left w:val="none" w:sz="0" w:space="0" w:color="auto"/>
        <w:bottom w:val="none" w:sz="0" w:space="0" w:color="auto"/>
        <w:right w:val="none" w:sz="0" w:space="0" w:color="auto"/>
      </w:divBdr>
    </w:div>
    <w:div w:id="1615400398">
      <w:bodyDiv w:val="1"/>
      <w:marLeft w:val="0"/>
      <w:marRight w:val="0"/>
      <w:marTop w:val="0"/>
      <w:marBottom w:val="0"/>
      <w:divBdr>
        <w:top w:val="none" w:sz="0" w:space="0" w:color="auto"/>
        <w:left w:val="none" w:sz="0" w:space="0" w:color="auto"/>
        <w:bottom w:val="none" w:sz="0" w:space="0" w:color="auto"/>
        <w:right w:val="none" w:sz="0" w:space="0" w:color="auto"/>
      </w:divBdr>
    </w:div>
    <w:div w:id="1615403917">
      <w:bodyDiv w:val="1"/>
      <w:marLeft w:val="0"/>
      <w:marRight w:val="0"/>
      <w:marTop w:val="0"/>
      <w:marBottom w:val="0"/>
      <w:divBdr>
        <w:top w:val="none" w:sz="0" w:space="0" w:color="auto"/>
        <w:left w:val="none" w:sz="0" w:space="0" w:color="auto"/>
        <w:bottom w:val="none" w:sz="0" w:space="0" w:color="auto"/>
        <w:right w:val="none" w:sz="0" w:space="0" w:color="auto"/>
      </w:divBdr>
    </w:div>
    <w:div w:id="1615818461">
      <w:bodyDiv w:val="1"/>
      <w:marLeft w:val="0"/>
      <w:marRight w:val="0"/>
      <w:marTop w:val="0"/>
      <w:marBottom w:val="0"/>
      <w:divBdr>
        <w:top w:val="none" w:sz="0" w:space="0" w:color="auto"/>
        <w:left w:val="none" w:sz="0" w:space="0" w:color="auto"/>
        <w:bottom w:val="none" w:sz="0" w:space="0" w:color="auto"/>
        <w:right w:val="none" w:sz="0" w:space="0" w:color="auto"/>
      </w:divBdr>
    </w:div>
    <w:div w:id="1616061736">
      <w:bodyDiv w:val="1"/>
      <w:marLeft w:val="0"/>
      <w:marRight w:val="0"/>
      <w:marTop w:val="0"/>
      <w:marBottom w:val="0"/>
      <w:divBdr>
        <w:top w:val="none" w:sz="0" w:space="0" w:color="auto"/>
        <w:left w:val="none" w:sz="0" w:space="0" w:color="auto"/>
        <w:bottom w:val="none" w:sz="0" w:space="0" w:color="auto"/>
        <w:right w:val="none" w:sz="0" w:space="0" w:color="auto"/>
      </w:divBdr>
    </w:div>
    <w:div w:id="1616062237">
      <w:bodyDiv w:val="1"/>
      <w:marLeft w:val="0"/>
      <w:marRight w:val="0"/>
      <w:marTop w:val="0"/>
      <w:marBottom w:val="0"/>
      <w:divBdr>
        <w:top w:val="none" w:sz="0" w:space="0" w:color="auto"/>
        <w:left w:val="none" w:sz="0" w:space="0" w:color="auto"/>
        <w:bottom w:val="none" w:sz="0" w:space="0" w:color="auto"/>
        <w:right w:val="none" w:sz="0" w:space="0" w:color="auto"/>
      </w:divBdr>
    </w:div>
    <w:div w:id="1616324062">
      <w:bodyDiv w:val="1"/>
      <w:marLeft w:val="0"/>
      <w:marRight w:val="0"/>
      <w:marTop w:val="0"/>
      <w:marBottom w:val="0"/>
      <w:divBdr>
        <w:top w:val="none" w:sz="0" w:space="0" w:color="auto"/>
        <w:left w:val="none" w:sz="0" w:space="0" w:color="auto"/>
        <w:bottom w:val="none" w:sz="0" w:space="0" w:color="auto"/>
        <w:right w:val="none" w:sz="0" w:space="0" w:color="auto"/>
      </w:divBdr>
    </w:div>
    <w:div w:id="1616324093">
      <w:bodyDiv w:val="1"/>
      <w:marLeft w:val="0"/>
      <w:marRight w:val="0"/>
      <w:marTop w:val="0"/>
      <w:marBottom w:val="0"/>
      <w:divBdr>
        <w:top w:val="none" w:sz="0" w:space="0" w:color="auto"/>
        <w:left w:val="none" w:sz="0" w:space="0" w:color="auto"/>
        <w:bottom w:val="none" w:sz="0" w:space="0" w:color="auto"/>
        <w:right w:val="none" w:sz="0" w:space="0" w:color="auto"/>
      </w:divBdr>
    </w:div>
    <w:div w:id="1616591728">
      <w:bodyDiv w:val="1"/>
      <w:marLeft w:val="0"/>
      <w:marRight w:val="0"/>
      <w:marTop w:val="0"/>
      <w:marBottom w:val="0"/>
      <w:divBdr>
        <w:top w:val="none" w:sz="0" w:space="0" w:color="auto"/>
        <w:left w:val="none" w:sz="0" w:space="0" w:color="auto"/>
        <w:bottom w:val="none" w:sz="0" w:space="0" w:color="auto"/>
        <w:right w:val="none" w:sz="0" w:space="0" w:color="auto"/>
      </w:divBdr>
    </w:div>
    <w:div w:id="1617058659">
      <w:bodyDiv w:val="1"/>
      <w:marLeft w:val="0"/>
      <w:marRight w:val="0"/>
      <w:marTop w:val="0"/>
      <w:marBottom w:val="0"/>
      <w:divBdr>
        <w:top w:val="none" w:sz="0" w:space="0" w:color="auto"/>
        <w:left w:val="none" w:sz="0" w:space="0" w:color="auto"/>
        <w:bottom w:val="none" w:sz="0" w:space="0" w:color="auto"/>
        <w:right w:val="none" w:sz="0" w:space="0" w:color="auto"/>
      </w:divBdr>
    </w:div>
    <w:div w:id="1617130141">
      <w:bodyDiv w:val="1"/>
      <w:marLeft w:val="0"/>
      <w:marRight w:val="0"/>
      <w:marTop w:val="0"/>
      <w:marBottom w:val="0"/>
      <w:divBdr>
        <w:top w:val="none" w:sz="0" w:space="0" w:color="auto"/>
        <w:left w:val="none" w:sz="0" w:space="0" w:color="auto"/>
        <w:bottom w:val="none" w:sz="0" w:space="0" w:color="auto"/>
        <w:right w:val="none" w:sz="0" w:space="0" w:color="auto"/>
      </w:divBdr>
    </w:div>
    <w:div w:id="1617365513">
      <w:bodyDiv w:val="1"/>
      <w:marLeft w:val="0"/>
      <w:marRight w:val="0"/>
      <w:marTop w:val="0"/>
      <w:marBottom w:val="0"/>
      <w:divBdr>
        <w:top w:val="none" w:sz="0" w:space="0" w:color="auto"/>
        <w:left w:val="none" w:sz="0" w:space="0" w:color="auto"/>
        <w:bottom w:val="none" w:sz="0" w:space="0" w:color="auto"/>
        <w:right w:val="none" w:sz="0" w:space="0" w:color="auto"/>
      </w:divBdr>
    </w:div>
    <w:div w:id="1618099499">
      <w:bodyDiv w:val="1"/>
      <w:marLeft w:val="0"/>
      <w:marRight w:val="0"/>
      <w:marTop w:val="0"/>
      <w:marBottom w:val="0"/>
      <w:divBdr>
        <w:top w:val="none" w:sz="0" w:space="0" w:color="auto"/>
        <w:left w:val="none" w:sz="0" w:space="0" w:color="auto"/>
        <w:bottom w:val="none" w:sz="0" w:space="0" w:color="auto"/>
        <w:right w:val="none" w:sz="0" w:space="0" w:color="auto"/>
      </w:divBdr>
    </w:div>
    <w:div w:id="1618442275">
      <w:bodyDiv w:val="1"/>
      <w:marLeft w:val="0"/>
      <w:marRight w:val="0"/>
      <w:marTop w:val="0"/>
      <w:marBottom w:val="0"/>
      <w:divBdr>
        <w:top w:val="none" w:sz="0" w:space="0" w:color="auto"/>
        <w:left w:val="none" w:sz="0" w:space="0" w:color="auto"/>
        <w:bottom w:val="none" w:sz="0" w:space="0" w:color="auto"/>
        <w:right w:val="none" w:sz="0" w:space="0" w:color="auto"/>
      </w:divBdr>
    </w:div>
    <w:div w:id="1618640464">
      <w:bodyDiv w:val="1"/>
      <w:marLeft w:val="0"/>
      <w:marRight w:val="0"/>
      <w:marTop w:val="0"/>
      <w:marBottom w:val="0"/>
      <w:divBdr>
        <w:top w:val="none" w:sz="0" w:space="0" w:color="auto"/>
        <w:left w:val="none" w:sz="0" w:space="0" w:color="auto"/>
        <w:bottom w:val="none" w:sz="0" w:space="0" w:color="auto"/>
        <w:right w:val="none" w:sz="0" w:space="0" w:color="auto"/>
      </w:divBdr>
    </w:div>
    <w:div w:id="1619725147">
      <w:bodyDiv w:val="1"/>
      <w:marLeft w:val="0"/>
      <w:marRight w:val="0"/>
      <w:marTop w:val="0"/>
      <w:marBottom w:val="0"/>
      <w:divBdr>
        <w:top w:val="none" w:sz="0" w:space="0" w:color="auto"/>
        <w:left w:val="none" w:sz="0" w:space="0" w:color="auto"/>
        <w:bottom w:val="none" w:sz="0" w:space="0" w:color="auto"/>
        <w:right w:val="none" w:sz="0" w:space="0" w:color="auto"/>
      </w:divBdr>
    </w:div>
    <w:div w:id="1619754597">
      <w:bodyDiv w:val="1"/>
      <w:marLeft w:val="0"/>
      <w:marRight w:val="0"/>
      <w:marTop w:val="0"/>
      <w:marBottom w:val="0"/>
      <w:divBdr>
        <w:top w:val="none" w:sz="0" w:space="0" w:color="auto"/>
        <w:left w:val="none" w:sz="0" w:space="0" w:color="auto"/>
        <w:bottom w:val="none" w:sz="0" w:space="0" w:color="auto"/>
        <w:right w:val="none" w:sz="0" w:space="0" w:color="auto"/>
      </w:divBdr>
    </w:div>
    <w:div w:id="1619988078">
      <w:bodyDiv w:val="1"/>
      <w:marLeft w:val="0"/>
      <w:marRight w:val="0"/>
      <w:marTop w:val="0"/>
      <w:marBottom w:val="0"/>
      <w:divBdr>
        <w:top w:val="none" w:sz="0" w:space="0" w:color="auto"/>
        <w:left w:val="none" w:sz="0" w:space="0" w:color="auto"/>
        <w:bottom w:val="none" w:sz="0" w:space="0" w:color="auto"/>
        <w:right w:val="none" w:sz="0" w:space="0" w:color="auto"/>
      </w:divBdr>
    </w:div>
    <w:div w:id="1620381407">
      <w:bodyDiv w:val="1"/>
      <w:marLeft w:val="0"/>
      <w:marRight w:val="0"/>
      <w:marTop w:val="0"/>
      <w:marBottom w:val="0"/>
      <w:divBdr>
        <w:top w:val="none" w:sz="0" w:space="0" w:color="auto"/>
        <w:left w:val="none" w:sz="0" w:space="0" w:color="auto"/>
        <w:bottom w:val="none" w:sz="0" w:space="0" w:color="auto"/>
        <w:right w:val="none" w:sz="0" w:space="0" w:color="auto"/>
      </w:divBdr>
    </w:div>
    <w:div w:id="1620407782">
      <w:bodyDiv w:val="1"/>
      <w:marLeft w:val="0"/>
      <w:marRight w:val="0"/>
      <w:marTop w:val="0"/>
      <w:marBottom w:val="0"/>
      <w:divBdr>
        <w:top w:val="none" w:sz="0" w:space="0" w:color="auto"/>
        <w:left w:val="none" w:sz="0" w:space="0" w:color="auto"/>
        <w:bottom w:val="none" w:sz="0" w:space="0" w:color="auto"/>
        <w:right w:val="none" w:sz="0" w:space="0" w:color="auto"/>
      </w:divBdr>
    </w:div>
    <w:div w:id="1621103150">
      <w:bodyDiv w:val="1"/>
      <w:marLeft w:val="0"/>
      <w:marRight w:val="0"/>
      <w:marTop w:val="0"/>
      <w:marBottom w:val="0"/>
      <w:divBdr>
        <w:top w:val="none" w:sz="0" w:space="0" w:color="auto"/>
        <w:left w:val="none" w:sz="0" w:space="0" w:color="auto"/>
        <w:bottom w:val="none" w:sz="0" w:space="0" w:color="auto"/>
        <w:right w:val="none" w:sz="0" w:space="0" w:color="auto"/>
      </w:divBdr>
    </w:div>
    <w:div w:id="1621299096">
      <w:bodyDiv w:val="1"/>
      <w:marLeft w:val="0"/>
      <w:marRight w:val="0"/>
      <w:marTop w:val="0"/>
      <w:marBottom w:val="0"/>
      <w:divBdr>
        <w:top w:val="none" w:sz="0" w:space="0" w:color="auto"/>
        <w:left w:val="none" w:sz="0" w:space="0" w:color="auto"/>
        <w:bottom w:val="none" w:sz="0" w:space="0" w:color="auto"/>
        <w:right w:val="none" w:sz="0" w:space="0" w:color="auto"/>
      </w:divBdr>
    </w:div>
    <w:div w:id="1621572561">
      <w:bodyDiv w:val="1"/>
      <w:marLeft w:val="0"/>
      <w:marRight w:val="0"/>
      <w:marTop w:val="0"/>
      <w:marBottom w:val="0"/>
      <w:divBdr>
        <w:top w:val="none" w:sz="0" w:space="0" w:color="auto"/>
        <w:left w:val="none" w:sz="0" w:space="0" w:color="auto"/>
        <w:bottom w:val="none" w:sz="0" w:space="0" w:color="auto"/>
        <w:right w:val="none" w:sz="0" w:space="0" w:color="auto"/>
      </w:divBdr>
    </w:div>
    <w:div w:id="1622229651">
      <w:bodyDiv w:val="1"/>
      <w:marLeft w:val="0"/>
      <w:marRight w:val="0"/>
      <w:marTop w:val="0"/>
      <w:marBottom w:val="0"/>
      <w:divBdr>
        <w:top w:val="none" w:sz="0" w:space="0" w:color="auto"/>
        <w:left w:val="none" w:sz="0" w:space="0" w:color="auto"/>
        <w:bottom w:val="none" w:sz="0" w:space="0" w:color="auto"/>
        <w:right w:val="none" w:sz="0" w:space="0" w:color="auto"/>
      </w:divBdr>
    </w:div>
    <w:div w:id="1622758024">
      <w:bodyDiv w:val="1"/>
      <w:marLeft w:val="0"/>
      <w:marRight w:val="0"/>
      <w:marTop w:val="0"/>
      <w:marBottom w:val="0"/>
      <w:divBdr>
        <w:top w:val="none" w:sz="0" w:space="0" w:color="auto"/>
        <w:left w:val="none" w:sz="0" w:space="0" w:color="auto"/>
        <w:bottom w:val="none" w:sz="0" w:space="0" w:color="auto"/>
        <w:right w:val="none" w:sz="0" w:space="0" w:color="auto"/>
      </w:divBdr>
    </w:div>
    <w:div w:id="1622803171">
      <w:bodyDiv w:val="1"/>
      <w:marLeft w:val="0"/>
      <w:marRight w:val="0"/>
      <w:marTop w:val="0"/>
      <w:marBottom w:val="0"/>
      <w:divBdr>
        <w:top w:val="none" w:sz="0" w:space="0" w:color="auto"/>
        <w:left w:val="none" w:sz="0" w:space="0" w:color="auto"/>
        <w:bottom w:val="none" w:sz="0" w:space="0" w:color="auto"/>
        <w:right w:val="none" w:sz="0" w:space="0" w:color="auto"/>
      </w:divBdr>
    </w:div>
    <w:div w:id="1623072400">
      <w:bodyDiv w:val="1"/>
      <w:marLeft w:val="0"/>
      <w:marRight w:val="0"/>
      <w:marTop w:val="0"/>
      <w:marBottom w:val="0"/>
      <w:divBdr>
        <w:top w:val="none" w:sz="0" w:space="0" w:color="auto"/>
        <w:left w:val="none" w:sz="0" w:space="0" w:color="auto"/>
        <w:bottom w:val="none" w:sz="0" w:space="0" w:color="auto"/>
        <w:right w:val="none" w:sz="0" w:space="0" w:color="auto"/>
      </w:divBdr>
    </w:div>
    <w:div w:id="1623072459">
      <w:bodyDiv w:val="1"/>
      <w:marLeft w:val="0"/>
      <w:marRight w:val="0"/>
      <w:marTop w:val="0"/>
      <w:marBottom w:val="0"/>
      <w:divBdr>
        <w:top w:val="none" w:sz="0" w:space="0" w:color="auto"/>
        <w:left w:val="none" w:sz="0" w:space="0" w:color="auto"/>
        <w:bottom w:val="none" w:sz="0" w:space="0" w:color="auto"/>
        <w:right w:val="none" w:sz="0" w:space="0" w:color="auto"/>
      </w:divBdr>
    </w:div>
    <w:div w:id="1623685777">
      <w:bodyDiv w:val="1"/>
      <w:marLeft w:val="0"/>
      <w:marRight w:val="0"/>
      <w:marTop w:val="0"/>
      <w:marBottom w:val="0"/>
      <w:divBdr>
        <w:top w:val="none" w:sz="0" w:space="0" w:color="auto"/>
        <w:left w:val="none" w:sz="0" w:space="0" w:color="auto"/>
        <w:bottom w:val="none" w:sz="0" w:space="0" w:color="auto"/>
        <w:right w:val="none" w:sz="0" w:space="0" w:color="auto"/>
      </w:divBdr>
    </w:div>
    <w:div w:id="1624002476">
      <w:bodyDiv w:val="1"/>
      <w:marLeft w:val="0"/>
      <w:marRight w:val="0"/>
      <w:marTop w:val="0"/>
      <w:marBottom w:val="0"/>
      <w:divBdr>
        <w:top w:val="none" w:sz="0" w:space="0" w:color="auto"/>
        <w:left w:val="none" w:sz="0" w:space="0" w:color="auto"/>
        <w:bottom w:val="none" w:sz="0" w:space="0" w:color="auto"/>
        <w:right w:val="none" w:sz="0" w:space="0" w:color="auto"/>
      </w:divBdr>
    </w:div>
    <w:div w:id="1624312724">
      <w:bodyDiv w:val="1"/>
      <w:marLeft w:val="0"/>
      <w:marRight w:val="0"/>
      <w:marTop w:val="0"/>
      <w:marBottom w:val="0"/>
      <w:divBdr>
        <w:top w:val="none" w:sz="0" w:space="0" w:color="auto"/>
        <w:left w:val="none" w:sz="0" w:space="0" w:color="auto"/>
        <w:bottom w:val="none" w:sz="0" w:space="0" w:color="auto"/>
        <w:right w:val="none" w:sz="0" w:space="0" w:color="auto"/>
      </w:divBdr>
    </w:div>
    <w:div w:id="1624727933">
      <w:bodyDiv w:val="1"/>
      <w:marLeft w:val="0"/>
      <w:marRight w:val="0"/>
      <w:marTop w:val="0"/>
      <w:marBottom w:val="0"/>
      <w:divBdr>
        <w:top w:val="none" w:sz="0" w:space="0" w:color="auto"/>
        <w:left w:val="none" w:sz="0" w:space="0" w:color="auto"/>
        <w:bottom w:val="none" w:sz="0" w:space="0" w:color="auto"/>
        <w:right w:val="none" w:sz="0" w:space="0" w:color="auto"/>
      </w:divBdr>
    </w:div>
    <w:div w:id="1625379554">
      <w:bodyDiv w:val="1"/>
      <w:marLeft w:val="0"/>
      <w:marRight w:val="0"/>
      <w:marTop w:val="0"/>
      <w:marBottom w:val="0"/>
      <w:divBdr>
        <w:top w:val="none" w:sz="0" w:space="0" w:color="auto"/>
        <w:left w:val="none" w:sz="0" w:space="0" w:color="auto"/>
        <w:bottom w:val="none" w:sz="0" w:space="0" w:color="auto"/>
        <w:right w:val="none" w:sz="0" w:space="0" w:color="auto"/>
      </w:divBdr>
    </w:div>
    <w:div w:id="1625504808">
      <w:bodyDiv w:val="1"/>
      <w:marLeft w:val="0"/>
      <w:marRight w:val="0"/>
      <w:marTop w:val="0"/>
      <w:marBottom w:val="0"/>
      <w:divBdr>
        <w:top w:val="none" w:sz="0" w:space="0" w:color="auto"/>
        <w:left w:val="none" w:sz="0" w:space="0" w:color="auto"/>
        <w:bottom w:val="none" w:sz="0" w:space="0" w:color="auto"/>
        <w:right w:val="none" w:sz="0" w:space="0" w:color="auto"/>
      </w:divBdr>
    </w:div>
    <w:div w:id="1626038781">
      <w:bodyDiv w:val="1"/>
      <w:marLeft w:val="0"/>
      <w:marRight w:val="0"/>
      <w:marTop w:val="0"/>
      <w:marBottom w:val="0"/>
      <w:divBdr>
        <w:top w:val="none" w:sz="0" w:space="0" w:color="auto"/>
        <w:left w:val="none" w:sz="0" w:space="0" w:color="auto"/>
        <w:bottom w:val="none" w:sz="0" w:space="0" w:color="auto"/>
        <w:right w:val="none" w:sz="0" w:space="0" w:color="auto"/>
      </w:divBdr>
    </w:div>
    <w:div w:id="1626421257">
      <w:bodyDiv w:val="1"/>
      <w:marLeft w:val="0"/>
      <w:marRight w:val="0"/>
      <w:marTop w:val="0"/>
      <w:marBottom w:val="0"/>
      <w:divBdr>
        <w:top w:val="none" w:sz="0" w:space="0" w:color="auto"/>
        <w:left w:val="none" w:sz="0" w:space="0" w:color="auto"/>
        <w:bottom w:val="none" w:sz="0" w:space="0" w:color="auto"/>
        <w:right w:val="none" w:sz="0" w:space="0" w:color="auto"/>
      </w:divBdr>
    </w:div>
    <w:div w:id="1626963669">
      <w:bodyDiv w:val="1"/>
      <w:marLeft w:val="0"/>
      <w:marRight w:val="0"/>
      <w:marTop w:val="0"/>
      <w:marBottom w:val="0"/>
      <w:divBdr>
        <w:top w:val="none" w:sz="0" w:space="0" w:color="auto"/>
        <w:left w:val="none" w:sz="0" w:space="0" w:color="auto"/>
        <w:bottom w:val="none" w:sz="0" w:space="0" w:color="auto"/>
        <w:right w:val="none" w:sz="0" w:space="0" w:color="auto"/>
      </w:divBdr>
    </w:div>
    <w:div w:id="1627272825">
      <w:bodyDiv w:val="1"/>
      <w:marLeft w:val="0"/>
      <w:marRight w:val="0"/>
      <w:marTop w:val="0"/>
      <w:marBottom w:val="0"/>
      <w:divBdr>
        <w:top w:val="none" w:sz="0" w:space="0" w:color="auto"/>
        <w:left w:val="none" w:sz="0" w:space="0" w:color="auto"/>
        <w:bottom w:val="none" w:sz="0" w:space="0" w:color="auto"/>
        <w:right w:val="none" w:sz="0" w:space="0" w:color="auto"/>
      </w:divBdr>
    </w:div>
    <w:div w:id="1627659717">
      <w:bodyDiv w:val="1"/>
      <w:marLeft w:val="0"/>
      <w:marRight w:val="0"/>
      <w:marTop w:val="0"/>
      <w:marBottom w:val="0"/>
      <w:divBdr>
        <w:top w:val="none" w:sz="0" w:space="0" w:color="auto"/>
        <w:left w:val="none" w:sz="0" w:space="0" w:color="auto"/>
        <w:bottom w:val="none" w:sz="0" w:space="0" w:color="auto"/>
        <w:right w:val="none" w:sz="0" w:space="0" w:color="auto"/>
      </w:divBdr>
    </w:div>
    <w:div w:id="1628318738">
      <w:bodyDiv w:val="1"/>
      <w:marLeft w:val="0"/>
      <w:marRight w:val="0"/>
      <w:marTop w:val="0"/>
      <w:marBottom w:val="0"/>
      <w:divBdr>
        <w:top w:val="none" w:sz="0" w:space="0" w:color="auto"/>
        <w:left w:val="none" w:sz="0" w:space="0" w:color="auto"/>
        <w:bottom w:val="none" w:sz="0" w:space="0" w:color="auto"/>
        <w:right w:val="none" w:sz="0" w:space="0" w:color="auto"/>
      </w:divBdr>
    </w:div>
    <w:div w:id="1628660237">
      <w:bodyDiv w:val="1"/>
      <w:marLeft w:val="0"/>
      <w:marRight w:val="0"/>
      <w:marTop w:val="0"/>
      <w:marBottom w:val="0"/>
      <w:divBdr>
        <w:top w:val="none" w:sz="0" w:space="0" w:color="auto"/>
        <w:left w:val="none" w:sz="0" w:space="0" w:color="auto"/>
        <w:bottom w:val="none" w:sz="0" w:space="0" w:color="auto"/>
        <w:right w:val="none" w:sz="0" w:space="0" w:color="auto"/>
      </w:divBdr>
    </w:div>
    <w:div w:id="1628705588">
      <w:bodyDiv w:val="1"/>
      <w:marLeft w:val="0"/>
      <w:marRight w:val="0"/>
      <w:marTop w:val="0"/>
      <w:marBottom w:val="0"/>
      <w:divBdr>
        <w:top w:val="none" w:sz="0" w:space="0" w:color="auto"/>
        <w:left w:val="none" w:sz="0" w:space="0" w:color="auto"/>
        <w:bottom w:val="none" w:sz="0" w:space="0" w:color="auto"/>
        <w:right w:val="none" w:sz="0" w:space="0" w:color="auto"/>
      </w:divBdr>
    </w:div>
    <w:div w:id="1629121568">
      <w:bodyDiv w:val="1"/>
      <w:marLeft w:val="0"/>
      <w:marRight w:val="0"/>
      <w:marTop w:val="0"/>
      <w:marBottom w:val="0"/>
      <w:divBdr>
        <w:top w:val="none" w:sz="0" w:space="0" w:color="auto"/>
        <w:left w:val="none" w:sz="0" w:space="0" w:color="auto"/>
        <w:bottom w:val="none" w:sz="0" w:space="0" w:color="auto"/>
        <w:right w:val="none" w:sz="0" w:space="0" w:color="auto"/>
      </w:divBdr>
    </w:div>
    <w:div w:id="1629314373">
      <w:bodyDiv w:val="1"/>
      <w:marLeft w:val="0"/>
      <w:marRight w:val="0"/>
      <w:marTop w:val="0"/>
      <w:marBottom w:val="0"/>
      <w:divBdr>
        <w:top w:val="none" w:sz="0" w:space="0" w:color="auto"/>
        <w:left w:val="none" w:sz="0" w:space="0" w:color="auto"/>
        <w:bottom w:val="none" w:sz="0" w:space="0" w:color="auto"/>
        <w:right w:val="none" w:sz="0" w:space="0" w:color="auto"/>
      </w:divBdr>
    </w:div>
    <w:div w:id="1630621112">
      <w:bodyDiv w:val="1"/>
      <w:marLeft w:val="0"/>
      <w:marRight w:val="0"/>
      <w:marTop w:val="0"/>
      <w:marBottom w:val="0"/>
      <w:divBdr>
        <w:top w:val="none" w:sz="0" w:space="0" w:color="auto"/>
        <w:left w:val="none" w:sz="0" w:space="0" w:color="auto"/>
        <w:bottom w:val="none" w:sz="0" w:space="0" w:color="auto"/>
        <w:right w:val="none" w:sz="0" w:space="0" w:color="auto"/>
      </w:divBdr>
    </w:div>
    <w:div w:id="1630672627">
      <w:bodyDiv w:val="1"/>
      <w:marLeft w:val="0"/>
      <w:marRight w:val="0"/>
      <w:marTop w:val="0"/>
      <w:marBottom w:val="0"/>
      <w:divBdr>
        <w:top w:val="none" w:sz="0" w:space="0" w:color="auto"/>
        <w:left w:val="none" w:sz="0" w:space="0" w:color="auto"/>
        <w:bottom w:val="none" w:sz="0" w:space="0" w:color="auto"/>
        <w:right w:val="none" w:sz="0" w:space="0" w:color="auto"/>
      </w:divBdr>
    </w:div>
    <w:div w:id="1631399546">
      <w:bodyDiv w:val="1"/>
      <w:marLeft w:val="0"/>
      <w:marRight w:val="0"/>
      <w:marTop w:val="0"/>
      <w:marBottom w:val="0"/>
      <w:divBdr>
        <w:top w:val="none" w:sz="0" w:space="0" w:color="auto"/>
        <w:left w:val="none" w:sz="0" w:space="0" w:color="auto"/>
        <w:bottom w:val="none" w:sz="0" w:space="0" w:color="auto"/>
        <w:right w:val="none" w:sz="0" w:space="0" w:color="auto"/>
      </w:divBdr>
    </w:div>
    <w:div w:id="1631549479">
      <w:bodyDiv w:val="1"/>
      <w:marLeft w:val="0"/>
      <w:marRight w:val="0"/>
      <w:marTop w:val="0"/>
      <w:marBottom w:val="0"/>
      <w:divBdr>
        <w:top w:val="none" w:sz="0" w:space="0" w:color="auto"/>
        <w:left w:val="none" w:sz="0" w:space="0" w:color="auto"/>
        <w:bottom w:val="none" w:sz="0" w:space="0" w:color="auto"/>
        <w:right w:val="none" w:sz="0" w:space="0" w:color="auto"/>
      </w:divBdr>
    </w:div>
    <w:div w:id="1631933681">
      <w:bodyDiv w:val="1"/>
      <w:marLeft w:val="0"/>
      <w:marRight w:val="0"/>
      <w:marTop w:val="0"/>
      <w:marBottom w:val="0"/>
      <w:divBdr>
        <w:top w:val="none" w:sz="0" w:space="0" w:color="auto"/>
        <w:left w:val="none" w:sz="0" w:space="0" w:color="auto"/>
        <w:bottom w:val="none" w:sz="0" w:space="0" w:color="auto"/>
        <w:right w:val="none" w:sz="0" w:space="0" w:color="auto"/>
      </w:divBdr>
    </w:div>
    <w:div w:id="1631938328">
      <w:bodyDiv w:val="1"/>
      <w:marLeft w:val="0"/>
      <w:marRight w:val="0"/>
      <w:marTop w:val="0"/>
      <w:marBottom w:val="0"/>
      <w:divBdr>
        <w:top w:val="none" w:sz="0" w:space="0" w:color="auto"/>
        <w:left w:val="none" w:sz="0" w:space="0" w:color="auto"/>
        <w:bottom w:val="none" w:sz="0" w:space="0" w:color="auto"/>
        <w:right w:val="none" w:sz="0" w:space="0" w:color="auto"/>
      </w:divBdr>
    </w:div>
    <w:div w:id="1632053066">
      <w:bodyDiv w:val="1"/>
      <w:marLeft w:val="0"/>
      <w:marRight w:val="0"/>
      <w:marTop w:val="0"/>
      <w:marBottom w:val="0"/>
      <w:divBdr>
        <w:top w:val="none" w:sz="0" w:space="0" w:color="auto"/>
        <w:left w:val="none" w:sz="0" w:space="0" w:color="auto"/>
        <w:bottom w:val="none" w:sz="0" w:space="0" w:color="auto"/>
        <w:right w:val="none" w:sz="0" w:space="0" w:color="auto"/>
      </w:divBdr>
    </w:div>
    <w:div w:id="1632053370">
      <w:bodyDiv w:val="1"/>
      <w:marLeft w:val="0"/>
      <w:marRight w:val="0"/>
      <w:marTop w:val="0"/>
      <w:marBottom w:val="0"/>
      <w:divBdr>
        <w:top w:val="none" w:sz="0" w:space="0" w:color="auto"/>
        <w:left w:val="none" w:sz="0" w:space="0" w:color="auto"/>
        <w:bottom w:val="none" w:sz="0" w:space="0" w:color="auto"/>
        <w:right w:val="none" w:sz="0" w:space="0" w:color="auto"/>
      </w:divBdr>
    </w:div>
    <w:div w:id="1632055552">
      <w:bodyDiv w:val="1"/>
      <w:marLeft w:val="0"/>
      <w:marRight w:val="0"/>
      <w:marTop w:val="0"/>
      <w:marBottom w:val="0"/>
      <w:divBdr>
        <w:top w:val="none" w:sz="0" w:space="0" w:color="auto"/>
        <w:left w:val="none" w:sz="0" w:space="0" w:color="auto"/>
        <w:bottom w:val="none" w:sz="0" w:space="0" w:color="auto"/>
        <w:right w:val="none" w:sz="0" w:space="0" w:color="auto"/>
      </w:divBdr>
    </w:div>
    <w:div w:id="1632441576">
      <w:bodyDiv w:val="1"/>
      <w:marLeft w:val="0"/>
      <w:marRight w:val="0"/>
      <w:marTop w:val="0"/>
      <w:marBottom w:val="0"/>
      <w:divBdr>
        <w:top w:val="none" w:sz="0" w:space="0" w:color="auto"/>
        <w:left w:val="none" w:sz="0" w:space="0" w:color="auto"/>
        <w:bottom w:val="none" w:sz="0" w:space="0" w:color="auto"/>
        <w:right w:val="none" w:sz="0" w:space="0" w:color="auto"/>
      </w:divBdr>
    </w:div>
    <w:div w:id="1632588318">
      <w:bodyDiv w:val="1"/>
      <w:marLeft w:val="0"/>
      <w:marRight w:val="0"/>
      <w:marTop w:val="0"/>
      <w:marBottom w:val="0"/>
      <w:divBdr>
        <w:top w:val="none" w:sz="0" w:space="0" w:color="auto"/>
        <w:left w:val="none" w:sz="0" w:space="0" w:color="auto"/>
        <w:bottom w:val="none" w:sz="0" w:space="0" w:color="auto"/>
        <w:right w:val="none" w:sz="0" w:space="0" w:color="auto"/>
      </w:divBdr>
    </w:div>
    <w:div w:id="1632592181">
      <w:bodyDiv w:val="1"/>
      <w:marLeft w:val="0"/>
      <w:marRight w:val="0"/>
      <w:marTop w:val="0"/>
      <w:marBottom w:val="0"/>
      <w:divBdr>
        <w:top w:val="none" w:sz="0" w:space="0" w:color="auto"/>
        <w:left w:val="none" w:sz="0" w:space="0" w:color="auto"/>
        <w:bottom w:val="none" w:sz="0" w:space="0" w:color="auto"/>
        <w:right w:val="none" w:sz="0" w:space="0" w:color="auto"/>
      </w:divBdr>
    </w:div>
    <w:div w:id="1632786385">
      <w:bodyDiv w:val="1"/>
      <w:marLeft w:val="0"/>
      <w:marRight w:val="0"/>
      <w:marTop w:val="0"/>
      <w:marBottom w:val="0"/>
      <w:divBdr>
        <w:top w:val="none" w:sz="0" w:space="0" w:color="auto"/>
        <w:left w:val="none" w:sz="0" w:space="0" w:color="auto"/>
        <w:bottom w:val="none" w:sz="0" w:space="0" w:color="auto"/>
        <w:right w:val="none" w:sz="0" w:space="0" w:color="auto"/>
      </w:divBdr>
    </w:div>
    <w:div w:id="1632899629">
      <w:bodyDiv w:val="1"/>
      <w:marLeft w:val="0"/>
      <w:marRight w:val="0"/>
      <w:marTop w:val="0"/>
      <w:marBottom w:val="0"/>
      <w:divBdr>
        <w:top w:val="none" w:sz="0" w:space="0" w:color="auto"/>
        <w:left w:val="none" w:sz="0" w:space="0" w:color="auto"/>
        <w:bottom w:val="none" w:sz="0" w:space="0" w:color="auto"/>
        <w:right w:val="none" w:sz="0" w:space="0" w:color="auto"/>
      </w:divBdr>
    </w:div>
    <w:div w:id="1632905568">
      <w:bodyDiv w:val="1"/>
      <w:marLeft w:val="0"/>
      <w:marRight w:val="0"/>
      <w:marTop w:val="0"/>
      <w:marBottom w:val="0"/>
      <w:divBdr>
        <w:top w:val="none" w:sz="0" w:space="0" w:color="auto"/>
        <w:left w:val="none" w:sz="0" w:space="0" w:color="auto"/>
        <w:bottom w:val="none" w:sz="0" w:space="0" w:color="auto"/>
        <w:right w:val="none" w:sz="0" w:space="0" w:color="auto"/>
      </w:divBdr>
    </w:div>
    <w:div w:id="1632981522">
      <w:bodyDiv w:val="1"/>
      <w:marLeft w:val="0"/>
      <w:marRight w:val="0"/>
      <w:marTop w:val="0"/>
      <w:marBottom w:val="0"/>
      <w:divBdr>
        <w:top w:val="none" w:sz="0" w:space="0" w:color="auto"/>
        <w:left w:val="none" w:sz="0" w:space="0" w:color="auto"/>
        <w:bottom w:val="none" w:sz="0" w:space="0" w:color="auto"/>
        <w:right w:val="none" w:sz="0" w:space="0" w:color="auto"/>
      </w:divBdr>
    </w:div>
    <w:div w:id="1633094734">
      <w:bodyDiv w:val="1"/>
      <w:marLeft w:val="0"/>
      <w:marRight w:val="0"/>
      <w:marTop w:val="0"/>
      <w:marBottom w:val="0"/>
      <w:divBdr>
        <w:top w:val="none" w:sz="0" w:space="0" w:color="auto"/>
        <w:left w:val="none" w:sz="0" w:space="0" w:color="auto"/>
        <w:bottom w:val="none" w:sz="0" w:space="0" w:color="auto"/>
        <w:right w:val="none" w:sz="0" w:space="0" w:color="auto"/>
      </w:divBdr>
    </w:div>
    <w:div w:id="1634166830">
      <w:bodyDiv w:val="1"/>
      <w:marLeft w:val="0"/>
      <w:marRight w:val="0"/>
      <w:marTop w:val="0"/>
      <w:marBottom w:val="0"/>
      <w:divBdr>
        <w:top w:val="none" w:sz="0" w:space="0" w:color="auto"/>
        <w:left w:val="none" w:sz="0" w:space="0" w:color="auto"/>
        <w:bottom w:val="none" w:sz="0" w:space="0" w:color="auto"/>
        <w:right w:val="none" w:sz="0" w:space="0" w:color="auto"/>
      </w:divBdr>
    </w:div>
    <w:div w:id="1634674969">
      <w:bodyDiv w:val="1"/>
      <w:marLeft w:val="0"/>
      <w:marRight w:val="0"/>
      <w:marTop w:val="0"/>
      <w:marBottom w:val="0"/>
      <w:divBdr>
        <w:top w:val="none" w:sz="0" w:space="0" w:color="auto"/>
        <w:left w:val="none" w:sz="0" w:space="0" w:color="auto"/>
        <w:bottom w:val="none" w:sz="0" w:space="0" w:color="auto"/>
        <w:right w:val="none" w:sz="0" w:space="0" w:color="auto"/>
      </w:divBdr>
    </w:div>
    <w:div w:id="1636831881">
      <w:bodyDiv w:val="1"/>
      <w:marLeft w:val="0"/>
      <w:marRight w:val="0"/>
      <w:marTop w:val="0"/>
      <w:marBottom w:val="0"/>
      <w:divBdr>
        <w:top w:val="none" w:sz="0" w:space="0" w:color="auto"/>
        <w:left w:val="none" w:sz="0" w:space="0" w:color="auto"/>
        <w:bottom w:val="none" w:sz="0" w:space="0" w:color="auto"/>
        <w:right w:val="none" w:sz="0" w:space="0" w:color="auto"/>
      </w:divBdr>
    </w:div>
    <w:div w:id="1637368568">
      <w:bodyDiv w:val="1"/>
      <w:marLeft w:val="0"/>
      <w:marRight w:val="0"/>
      <w:marTop w:val="0"/>
      <w:marBottom w:val="0"/>
      <w:divBdr>
        <w:top w:val="none" w:sz="0" w:space="0" w:color="auto"/>
        <w:left w:val="none" w:sz="0" w:space="0" w:color="auto"/>
        <w:bottom w:val="none" w:sz="0" w:space="0" w:color="auto"/>
        <w:right w:val="none" w:sz="0" w:space="0" w:color="auto"/>
      </w:divBdr>
    </w:div>
    <w:div w:id="1637445143">
      <w:bodyDiv w:val="1"/>
      <w:marLeft w:val="0"/>
      <w:marRight w:val="0"/>
      <w:marTop w:val="0"/>
      <w:marBottom w:val="0"/>
      <w:divBdr>
        <w:top w:val="none" w:sz="0" w:space="0" w:color="auto"/>
        <w:left w:val="none" w:sz="0" w:space="0" w:color="auto"/>
        <w:bottom w:val="none" w:sz="0" w:space="0" w:color="auto"/>
        <w:right w:val="none" w:sz="0" w:space="0" w:color="auto"/>
      </w:divBdr>
    </w:div>
    <w:div w:id="1638224433">
      <w:bodyDiv w:val="1"/>
      <w:marLeft w:val="0"/>
      <w:marRight w:val="0"/>
      <w:marTop w:val="0"/>
      <w:marBottom w:val="0"/>
      <w:divBdr>
        <w:top w:val="none" w:sz="0" w:space="0" w:color="auto"/>
        <w:left w:val="none" w:sz="0" w:space="0" w:color="auto"/>
        <w:bottom w:val="none" w:sz="0" w:space="0" w:color="auto"/>
        <w:right w:val="none" w:sz="0" w:space="0" w:color="auto"/>
      </w:divBdr>
    </w:div>
    <w:div w:id="1638335213">
      <w:bodyDiv w:val="1"/>
      <w:marLeft w:val="0"/>
      <w:marRight w:val="0"/>
      <w:marTop w:val="0"/>
      <w:marBottom w:val="0"/>
      <w:divBdr>
        <w:top w:val="none" w:sz="0" w:space="0" w:color="auto"/>
        <w:left w:val="none" w:sz="0" w:space="0" w:color="auto"/>
        <w:bottom w:val="none" w:sz="0" w:space="0" w:color="auto"/>
        <w:right w:val="none" w:sz="0" w:space="0" w:color="auto"/>
      </w:divBdr>
    </w:div>
    <w:div w:id="1638410195">
      <w:bodyDiv w:val="1"/>
      <w:marLeft w:val="0"/>
      <w:marRight w:val="0"/>
      <w:marTop w:val="0"/>
      <w:marBottom w:val="0"/>
      <w:divBdr>
        <w:top w:val="none" w:sz="0" w:space="0" w:color="auto"/>
        <w:left w:val="none" w:sz="0" w:space="0" w:color="auto"/>
        <w:bottom w:val="none" w:sz="0" w:space="0" w:color="auto"/>
        <w:right w:val="none" w:sz="0" w:space="0" w:color="auto"/>
      </w:divBdr>
    </w:div>
    <w:div w:id="1638680537">
      <w:bodyDiv w:val="1"/>
      <w:marLeft w:val="0"/>
      <w:marRight w:val="0"/>
      <w:marTop w:val="0"/>
      <w:marBottom w:val="0"/>
      <w:divBdr>
        <w:top w:val="none" w:sz="0" w:space="0" w:color="auto"/>
        <w:left w:val="none" w:sz="0" w:space="0" w:color="auto"/>
        <w:bottom w:val="none" w:sz="0" w:space="0" w:color="auto"/>
        <w:right w:val="none" w:sz="0" w:space="0" w:color="auto"/>
      </w:divBdr>
    </w:div>
    <w:div w:id="1639218589">
      <w:bodyDiv w:val="1"/>
      <w:marLeft w:val="0"/>
      <w:marRight w:val="0"/>
      <w:marTop w:val="0"/>
      <w:marBottom w:val="0"/>
      <w:divBdr>
        <w:top w:val="none" w:sz="0" w:space="0" w:color="auto"/>
        <w:left w:val="none" w:sz="0" w:space="0" w:color="auto"/>
        <w:bottom w:val="none" w:sz="0" w:space="0" w:color="auto"/>
        <w:right w:val="none" w:sz="0" w:space="0" w:color="auto"/>
      </w:divBdr>
    </w:div>
    <w:div w:id="1639610500">
      <w:bodyDiv w:val="1"/>
      <w:marLeft w:val="0"/>
      <w:marRight w:val="0"/>
      <w:marTop w:val="0"/>
      <w:marBottom w:val="0"/>
      <w:divBdr>
        <w:top w:val="none" w:sz="0" w:space="0" w:color="auto"/>
        <w:left w:val="none" w:sz="0" w:space="0" w:color="auto"/>
        <w:bottom w:val="none" w:sz="0" w:space="0" w:color="auto"/>
        <w:right w:val="none" w:sz="0" w:space="0" w:color="auto"/>
      </w:divBdr>
    </w:div>
    <w:div w:id="1639992074">
      <w:bodyDiv w:val="1"/>
      <w:marLeft w:val="0"/>
      <w:marRight w:val="0"/>
      <w:marTop w:val="0"/>
      <w:marBottom w:val="0"/>
      <w:divBdr>
        <w:top w:val="none" w:sz="0" w:space="0" w:color="auto"/>
        <w:left w:val="none" w:sz="0" w:space="0" w:color="auto"/>
        <w:bottom w:val="none" w:sz="0" w:space="0" w:color="auto"/>
        <w:right w:val="none" w:sz="0" w:space="0" w:color="auto"/>
      </w:divBdr>
    </w:div>
    <w:div w:id="1640115364">
      <w:bodyDiv w:val="1"/>
      <w:marLeft w:val="0"/>
      <w:marRight w:val="0"/>
      <w:marTop w:val="0"/>
      <w:marBottom w:val="0"/>
      <w:divBdr>
        <w:top w:val="none" w:sz="0" w:space="0" w:color="auto"/>
        <w:left w:val="none" w:sz="0" w:space="0" w:color="auto"/>
        <w:bottom w:val="none" w:sz="0" w:space="0" w:color="auto"/>
        <w:right w:val="none" w:sz="0" w:space="0" w:color="auto"/>
      </w:divBdr>
    </w:div>
    <w:div w:id="1640502140">
      <w:bodyDiv w:val="1"/>
      <w:marLeft w:val="0"/>
      <w:marRight w:val="0"/>
      <w:marTop w:val="0"/>
      <w:marBottom w:val="0"/>
      <w:divBdr>
        <w:top w:val="none" w:sz="0" w:space="0" w:color="auto"/>
        <w:left w:val="none" w:sz="0" w:space="0" w:color="auto"/>
        <w:bottom w:val="none" w:sz="0" w:space="0" w:color="auto"/>
        <w:right w:val="none" w:sz="0" w:space="0" w:color="auto"/>
      </w:divBdr>
    </w:div>
    <w:div w:id="1640573154">
      <w:bodyDiv w:val="1"/>
      <w:marLeft w:val="0"/>
      <w:marRight w:val="0"/>
      <w:marTop w:val="0"/>
      <w:marBottom w:val="0"/>
      <w:divBdr>
        <w:top w:val="none" w:sz="0" w:space="0" w:color="auto"/>
        <w:left w:val="none" w:sz="0" w:space="0" w:color="auto"/>
        <w:bottom w:val="none" w:sz="0" w:space="0" w:color="auto"/>
        <w:right w:val="none" w:sz="0" w:space="0" w:color="auto"/>
      </w:divBdr>
    </w:div>
    <w:div w:id="1641839352">
      <w:bodyDiv w:val="1"/>
      <w:marLeft w:val="0"/>
      <w:marRight w:val="0"/>
      <w:marTop w:val="0"/>
      <w:marBottom w:val="0"/>
      <w:divBdr>
        <w:top w:val="none" w:sz="0" w:space="0" w:color="auto"/>
        <w:left w:val="none" w:sz="0" w:space="0" w:color="auto"/>
        <w:bottom w:val="none" w:sz="0" w:space="0" w:color="auto"/>
        <w:right w:val="none" w:sz="0" w:space="0" w:color="auto"/>
      </w:divBdr>
    </w:div>
    <w:div w:id="1642079942">
      <w:bodyDiv w:val="1"/>
      <w:marLeft w:val="0"/>
      <w:marRight w:val="0"/>
      <w:marTop w:val="0"/>
      <w:marBottom w:val="0"/>
      <w:divBdr>
        <w:top w:val="none" w:sz="0" w:space="0" w:color="auto"/>
        <w:left w:val="none" w:sz="0" w:space="0" w:color="auto"/>
        <w:bottom w:val="none" w:sz="0" w:space="0" w:color="auto"/>
        <w:right w:val="none" w:sz="0" w:space="0" w:color="auto"/>
      </w:divBdr>
    </w:div>
    <w:div w:id="1642611935">
      <w:bodyDiv w:val="1"/>
      <w:marLeft w:val="0"/>
      <w:marRight w:val="0"/>
      <w:marTop w:val="0"/>
      <w:marBottom w:val="0"/>
      <w:divBdr>
        <w:top w:val="none" w:sz="0" w:space="0" w:color="auto"/>
        <w:left w:val="none" w:sz="0" w:space="0" w:color="auto"/>
        <w:bottom w:val="none" w:sz="0" w:space="0" w:color="auto"/>
        <w:right w:val="none" w:sz="0" w:space="0" w:color="auto"/>
      </w:divBdr>
    </w:div>
    <w:div w:id="1642885236">
      <w:bodyDiv w:val="1"/>
      <w:marLeft w:val="0"/>
      <w:marRight w:val="0"/>
      <w:marTop w:val="0"/>
      <w:marBottom w:val="0"/>
      <w:divBdr>
        <w:top w:val="none" w:sz="0" w:space="0" w:color="auto"/>
        <w:left w:val="none" w:sz="0" w:space="0" w:color="auto"/>
        <w:bottom w:val="none" w:sz="0" w:space="0" w:color="auto"/>
        <w:right w:val="none" w:sz="0" w:space="0" w:color="auto"/>
      </w:divBdr>
    </w:div>
    <w:div w:id="1643192457">
      <w:bodyDiv w:val="1"/>
      <w:marLeft w:val="0"/>
      <w:marRight w:val="0"/>
      <w:marTop w:val="0"/>
      <w:marBottom w:val="0"/>
      <w:divBdr>
        <w:top w:val="none" w:sz="0" w:space="0" w:color="auto"/>
        <w:left w:val="none" w:sz="0" w:space="0" w:color="auto"/>
        <w:bottom w:val="none" w:sz="0" w:space="0" w:color="auto"/>
        <w:right w:val="none" w:sz="0" w:space="0" w:color="auto"/>
      </w:divBdr>
    </w:div>
    <w:div w:id="1643341780">
      <w:bodyDiv w:val="1"/>
      <w:marLeft w:val="0"/>
      <w:marRight w:val="0"/>
      <w:marTop w:val="0"/>
      <w:marBottom w:val="0"/>
      <w:divBdr>
        <w:top w:val="none" w:sz="0" w:space="0" w:color="auto"/>
        <w:left w:val="none" w:sz="0" w:space="0" w:color="auto"/>
        <w:bottom w:val="none" w:sz="0" w:space="0" w:color="auto"/>
        <w:right w:val="none" w:sz="0" w:space="0" w:color="auto"/>
      </w:divBdr>
    </w:div>
    <w:div w:id="1643385658">
      <w:bodyDiv w:val="1"/>
      <w:marLeft w:val="0"/>
      <w:marRight w:val="0"/>
      <w:marTop w:val="0"/>
      <w:marBottom w:val="0"/>
      <w:divBdr>
        <w:top w:val="none" w:sz="0" w:space="0" w:color="auto"/>
        <w:left w:val="none" w:sz="0" w:space="0" w:color="auto"/>
        <w:bottom w:val="none" w:sz="0" w:space="0" w:color="auto"/>
        <w:right w:val="none" w:sz="0" w:space="0" w:color="auto"/>
      </w:divBdr>
    </w:div>
    <w:div w:id="1644044700">
      <w:bodyDiv w:val="1"/>
      <w:marLeft w:val="0"/>
      <w:marRight w:val="0"/>
      <w:marTop w:val="0"/>
      <w:marBottom w:val="0"/>
      <w:divBdr>
        <w:top w:val="none" w:sz="0" w:space="0" w:color="auto"/>
        <w:left w:val="none" w:sz="0" w:space="0" w:color="auto"/>
        <w:bottom w:val="none" w:sz="0" w:space="0" w:color="auto"/>
        <w:right w:val="none" w:sz="0" w:space="0" w:color="auto"/>
      </w:divBdr>
    </w:div>
    <w:div w:id="1645501165">
      <w:bodyDiv w:val="1"/>
      <w:marLeft w:val="0"/>
      <w:marRight w:val="0"/>
      <w:marTop w:val="0"/>
      <w:marBottom w:val="0"/>
      <w:divBdr>
        <w:top w:val="none" w:sz="0" w:space="0" w:color="auto"/>
        <w:left w:val="none" w:sz="0" w:space="0" w:color="auto"/>
        <w:bottom w:val="none" w:sz="0" w:space="0" w:color="auto"/>
        <w:right w:val="none" w:sz="0" w:space="0" w:color="auto"/>
      </w:divBdr>
    </w:div>
    <w:div w:id="1645966760">
      <w:bodyDiv w:val="1"/>
      <w:marLeft w:val="0"/>
      <w:marRight w:val="0"/>
      <w:marTop w:val="0"/>
      <w:marBottom w:val="0"/>
      <w:divBdr>
        <w:top w:val="none" w:sz="0" w:space="0" w:color="auto"/>
        <w:left w:val="none" w:sz="0" w:space="0" w:color="auto"/>
        <w:bottom w:val="none" w:sz="0" w:space="0" w:color="auto"/>
        <w:right w:val="none" w:sz="0" w:space="0" w:color="auto"/>
      </w:divBdr>
    </w:div>
    <w:div w:id="1646425136">
      <w:bodyDiv w:val="1"/>
      <w:marLeft w:val="0"/>
      <w:marRight w:val="0"/>
      <w:marTop w:val="0"/>
      <w:marBottom w:val="0"/>
      <w:divBdr>
        <w:top w:val="none" w:sz="0" w:space="0" w:color="auto"/>
        <w:left w:val="none" w:sz="0" w:space="0" w:color="auto"/>
        <w:bottom w:val="none" w:sz="0" w:space="0" w:color="auto"/>
        <w:right w:val="none" w:sz="0" w:space="0" w:color="auto"/>
      </w:divBdr>
    </w:div>
    <w:div w:id="1646470422">
      <w:bodyDiv w:val="1"/>
      <w:marLeft w:val="0"/>
      <w:marRight w:val="0"/>
      <w:marTop w:val="0"/>
      <w:marBottom w:val="0"/>
      <w:divBdr>
        <w:top w:val="none" w:sz="0" w:space="0" w:color="auto"/>
        <w:left w:val="none" w:sz="0" w:space="0" w:color="auto"/>
        <w:bottom w:val="none" w:sz="0" w:space="0" w:color="auto"/>
        <w:right w:val="none" w:sz="0" w:space="0" w:color="auto"/>
      </w:divBdr>
    </w:div>
    <w:div w:id="1646861640">
      <w:bodyDiv w:val="1"/>
      <w:marLeft w:val="0"/>
      <w:marRight w:val="0"/>
      <w:marTop w:val="0"/>
      <w:marBottom w:val="0"/>
      <w:divBdr>
        <w:top w:val="none" w:sz="0" w:space="0" w:color="auto"/>
        <w:left w:val="none" w:sz="0" w:space="0" w:color="auto"/>
        <w:bottom w:val="none" w:sz="0" w:space="0" w:color="auto"/>
        <w:right w:val="none" w:sz="0" w:space="0" w:color="auto"/>
      </w:divBdr>
    </w:div>
    <w:div w:id="1646933436">
      <w:bodyDiv w:val="1"/>
      <w:marLeft w:val="0"/>
      <w:marRight w:val="0"/>
      <w:marTop w:val="0"/>
      <w:marBottom w:val="0"/>
      <w:divBdr>
        <w:top w:val="none" w:sz="0" w:space="0" w:color="auto"/>
        <w:left w:val="none" w:sz="0" w:space="0" w:color="auto"/>
        <w:bottom w:val="none" w:sz="0" w:space="0" w:color="auto"/>
        <w:right w:val="none" w:sz="0" w:space="0" w:color="auto"/>
      </w:divBdr>
    </w:div>
    <w:div w:id="1647121286">
      <w:bodyDiv w:val="1"/>
      <w:marLeft w:val="0"/>
      <w:marRight w:val="0"/>
      <w:marTop w:val="0"/>
      <w:marBottom w:val="0"/>
      <w:divBdr>
        <w:top w:val="none" w:sz="0" w:space="0" w:color="auto"/>
        <w:left w:val="none" w:sz="0" w:space="0" w:color="auto"/>
        <w:bottom w:val="none" w:sz="0" w:space="0" w:color="auto"/>
        <w:right w:val="none" w:sz="0" w:space="0" w:color="auto"/>
      </w:divBdr>
    </w:div>
    <w:div w:id="1647126588">
      <w:bodyDiv w:val="1"/>
      <w:marLeft w:val="0"/>
      <w:marRight w:val="0"/>
      <w:marTop w:val="0"/>
      <w:marBottom w:val="0"/>
      <w:divBdr>
        <w:top w:val="none" w:sz="0" w:space="0" w:color="auto"/>
        <w:left w:val="none" w:sz="0" w:space="0" w:color="auto"/>
        <w:bottom w:val="none" w:sz="0" w:space="0" w:color="auto"/>
        <w:right w:val="none" w:sz="0" w:space="0" w:color="auto"/>
      </w:divBdr>
    </w:div>
    <w:div w:id="1647128630">
      <w:bodyDiv w:val="1"/>
      <w:marLeft w:val="0"/>
      <w:marRight w:val="0"/>
      <w:marTop w:val="0"/>
      <w:marBottom w:val="0"/>
      <w:divBdr>
        <w:top w:val="none" w:sz="0" w:space="0" w:color="auto"/>
        <w:left w:val="none" w:sz="0" w:space="0" w:color="auto"/>
        <w:bottom w:val="none" w:sz="0" w:space="0" w:color="auto"/>
        <w:right w:val="none" w:sz="0" w:space="0" w:color="auto"/>
      </w:divBdr>
    </w:div>
    <w:div w:id="1647664565">
      <w:bodyDiv w:val="1"/>
      <w:marLeft w:val="0"/>
      <w:marRight w:val="0"/>
      <w:marTop w:val="0"/>
      <w:marBottom w:val="0"/>
      <w:divBdr>
        <w:top w:val="none" w:sz="0" w:space="0" w:color="auto"/>
        <w:left w:val="none" w:sz="0" w:space="0" w:color="auto"/>
        <w:bottom w:val="none" w:sz="0" w:space="0" w:color="auto"/>
        <w:right w:val="none" w:sz="0" w:space="0" w:color="auto"/>
      </w:divBdr>
    </w:div>
    <w:div w:id="1647781916">
      <w:bodyDiv w:val="1"/>
      <w:marLeft w:val="0"/>
      <w:marRight w:val="0"/>
      <w:marTop w:val="0"/>
      <w:marBottom w:val="0"/>
      <w:divBdr>
        <w:top w:val="none" w:sz="0" w:space="0" w:color="auto"/>
        <w:left w:val="none" w:sz="0" w:space="0" w:color="auto"/>
        <w:bottom w:val="none" w:sz="0" w:space="0" w:color="auto"/>
        <w:right w:val="none" w:sz="0" w:space="0" w:color="auto"/>
      </w:divBdr>
    </w:div>
    <w:div w:id="1647852890">
      <w:bodyDiv w:val="1"/>
      <w:marLeft w:val="0"/>
      <w:marRight w:val="0"/>
      <w:marTop w:val="0"/>
      <w:marBottom w:val="0"/>
      <w:divBdr>
        <w:top w:val="none" w:sz="0" w:space="0" w:color="auto"/>
        <w:left w:val="none" w:sz="0" w:space="0" w:color="auto"/>
        <w:bottom w:val="none" w:sz="0" w:space="0" w:color="auto"/>
        <w:right w:val="none" w:sz="0" w:space="0" w:color="auto"/>
      </w:divBdr>
    </w:div>
    <w:div w:id="1649287102">
      <w:bodyDiv w:val="1"/>
      <w:marLeft w:val="0"/>
      <w:marRight w:val="0"/>
      <w:marTop w:val="0"/>
      <w:marBottom w:val="0"/>
      <w:divBdr>
        <w:top w:val="none" w:sz="0" w:space="0" w:color="auto"/>
        <w:left w:val="none" w:sz="0" w:space="0" w:color="auto"/>
        <w:bottom w:val="none" w:sz="0" w:space="0" w:color="auto"/>
        <w:right w:val="none" w:sz="0" w:space="0" w:color="auto"/>
      </w:divBdr>
    </w:div>
    <w:div w:id="1650552901">
      <w:bodyDiv w:val="1"/>
      <w:marLeft w:val="0"/>
      <w:marRight w:val="0"/>
      <w:marTop w:val="0"/>
      <w:marBottom w:val="0"/>
      <w:divBdr>
        <w:top w:val="none" w:sz="0" w:space="0" w:color="auto"/>
        <w:left w:val="none" w:sz="0" w:space="0" w:color="auto"/>
        <w:bottom w:val="none" w:sz="0" w:space="0" w:color="auto"/>
        <w:right w:val="none" w:sz="0" w:space="0" w:color="auto"/>
      </w:divBdr>
    </w:div>
    <w:div w:id="1650555470">
      <w:bodyDiv w:val="1"/>
      <w:marLeft w:val="0"/>
      <w:marRight w:val="0"/>
      <w:marTop w:val="0"/>
      <w:marBottom w:val="0"/>
      <w:divBdr>
        <w:top w:val="none" w:sz="0" w:space="0" w:color="auto"/>
        <w:left w:val="none" w:sz="0" w:space="0" w:color="auto"/>
        <w:bottom w:val="none" w:sz="0" w:space="0" w:color="auto"/>
        <w:right w:val="none" w:sz="0" w:space="0" w:color="auto"/>
      </w:divBdr>
    </w:div>
    <w:div w:id="1650984014">
      <w:bodyDiv w:val="1"/>
      <w:marLeft w:val="0"/>
      <w:marRight w:val="0"/>
      <w:marTop w:val="0"/>
      <w:marBottom w:val="0"/>
      <w:divBdr>
        <w:top w:val="none" w:sz="0" w:space="0" w:color="auto"/>
        <w:left w:val="none" w:sz="0" w:space="0" w:color="auto"/>
        <w:bottom w:val="none" w:sz="0" w:space="0" w:color="auto"/>
        <w:right w:val="none" w:sz="0" w:space="0" w:color="auto"/>
      </w:divBdr>
    </w:div>
    <w:div w:id="1651130385">
      <w:bodyDiv w:val="1"/>
      <w:marLeft w:val="0"/>
      <w:marRight w:val="0"/>
      <w:marTop w:val="0"/>
      <w:marBottom w:val="0"/>
      <w:divBdr>
        <w:top w:val="none" w:sz="0" w:space="0" w:color="auto"/>
        <w:left w:val="none" w:sz="0" w:space="0" w:color="auto"/>
        <w:bottom w:val="none" w:sz="0" w:space="0" w:color="auto"/>
        <w:right w:val="none" w:sz="0" w:space="0" w:color="auto"/>
      </w:divBdr>
    </w:div>
    <w:div w:id="1652516304">
      <w:bodyDiv w:val="1"/>
      <w:marLeft w:val="0"/>
      <w:marRight w:val="0"/>
      <w:marTop w:val="0"/>
      <w:marBottom w:val="0"/>
      <w:divBdr>
        <w:top w:val="none" w:sz="0" w:space="0" w:color="auto"/>
        <w:left w:val="none" w:sz="0" w:space="0" w:color="auto"/>
        <w:bottom w:val="none" w:sz="0" w:space="0" w:color="auto"/>
        <w:right w:val="none" w:sz="0" w:space="0" w:color="auto"/>
      </w:divBdr>
    </w:div>
    <w:div w:id="1652976061">
      <w:bodyDiv w:val="1"/>
      <w:marLeft w:val="0"/>
      <w:marRight w:val="0"/>
      <w:marTop w:val="0"/>
      <w:marBottom w:val="0"/>
      <w:divBdr>
        <w:top w:val="none" w:sz="0" w:space="0" w:color="auto"/>
        <w:left w:val="none" w:sz="0" w:space="0" w:color="auto"/>
        <w:bottom w:val="none" w:sz="0" w:space="0" w:color="auto"/>
        <w:right w:val="none" w:sz="0" w:space="0" w:color="auto"/>
      </w:divBdr>
    </w:div>
    <w:div w:id="1653367683">
      <w:bodyDiv w:val="1"/>
      <w:marLeft w:val="0"/>
      <w:marRight w:val="0"/>
      <w:marTop w:val="0"/>
      <w:marBottom w:val="0"/>
      <w:divBdr>
        <w:top w:val="none" w:sz="0" w:space="0" w:color="auto"/>
        <w:left w:val="none" w:sz="0" w:space="0" w:color="auto"/>
        <w:bottom w:val="none" w:sz="0" w:space="0" w:color="auto"/>
        <w:right w:val="none" w:sz="0" w:space="0" w:color="auto"/>
      </w:divBdr>
    </w:div>
    <w:div w:id="1653556043">
      <w:bodyDiv w:val="1"/>
      <w:marLeft w:val="0"/>
      <w:marRight w:val="0"/>
      <w:marTop w:val="0"/>
      <w:marBottom w:val="0"/>
      <w:divBdr>
        <w:top w:val="none" w:sz="0" w:space="0" w:color="auto"/>
        <w:left w:val="none" w:sz="0" w:space="0" w:color="auto"/>
        <w:bottom w:val="none" w:sz="0" w:space="0" w:color="auto"/>
        <w:right w:val="none" w:sz="0" w:space="0" w:color="auto"/>
      </w:divBdr>
    </w:div>
    <w:div w:id="1653825266">
      <w:bodyDiv w:val="1"/>
      <w:marLeft w:val="0"/>
      <w:marRight w:val="0"/>
      <w:marTop w:val="0"/>
      <w:marBottom w:val="0"/>
      <w:divBdr>
        <w:top w:val="none" w:sz="0" w:space="0" w:color="auto"/>
        <w:left w:val="none" w:sz="0" w:space="0" w:color="auto"/>
        <w:bottom w:val="none" w:sz="0" w:space="0" w:color="auto"/>
        <w:right w:val="none" w:sz="0" w:space="0" w:color="auto"/>
      </w:divBdr>
    </w:div>
    <w:div w:id="1653946132">
      <w:bodyDiv w:val="1"/>
      <w:marLeft w:val="0"/>
      <w:marRight w:val="0"/>
      <w:marTop w:val="0"/>
      <w:marBottom w:val="0"/>
      <w:divBdr>
        <w:top w:val="none" w:sz="0" w:space="0" w:color="auto"/>
        <w:left w:val="none" w:sz="0" w:space="0" w:color="auto"/>
        <w:bottom w:val="none" w:sz="0" w:space="0" w:color="auto"/>
        <w:right w:val="none" w:sz="0" w:space="0" w:color="auto"/>
      </w:divBdr>
    </w:div>
    <w:div w:id="1653949632">
      <w:bodyDiv w:val="1"/>
      <w:marLeft w:val="0"/>
      <w:marRight w:val="0"/>
      <w:marTop w:val="0"/>
      <w:marBottom w:val="0"/>
      <w:divBdr>
        <w:top w:val="none" w:sz="0" w:space="0" w:color="auto"/>
        <w:left w:val="none" w:sz="0" w:space="0" w:color="auto"/>
        <w:bottom w:val="none" w:sz="0" w:space="0" w:color="auto"/>
        <w:right w:val="none" w:sz="0" w:space="0" w:color="auto"/>
      </w:divBdr>
    </w:div>
    <w:div w:id="1654531337">
      <w:bodyDiv w:val="1"/>
      <w:marLeft w:val="0"/>
      <w:marRight w:val="0"/>
      <w:marTop w:val="0"/>
      <w:marBottom w:val="0"/>
      <w:divBdr>
        <w:top w:val="none" w:sz="0" w:space="0" w:color="auto"/>
        <w:left w:val="none" w:sz="0" w:space="0" w:color="auto"/>
        <w:bottom w:val="none" w:sz="0" w:space="0" w:color="auto"/>
        <w:right w:val="none" w:sz="0" w:space="0" w:color="auto"/>
      </w:divBdr>
    </w:div>
    <w:div w:id="1654794003">
      <w:bodyDiv w:val="1"/>
      <w:marLeft w:val="0"/>
      <w:marRight w:val="0"/>
      <w:marTop w:val="0"/>
      <w:marBottom w:val="0"/>
      <w:divBdr>
        <w:top w:val="none" w:sz="0" w:space="0" w:color="auto"/>
        <w:left w:val="none" w:sz="0" w:space="0" w:color="auto"/>
        <w:bottom w:val="none" w:sz="0" w:space="0" w:color="auto"/>
        <w:right w:val="none" w:sz="0" w:space="0" w:color="auto"/>
      </w:divBdr>
    </w:div>
    <w:div w:id="1655841781">
      <w:bodyDiv w:val="1"/>
      <w:marLeft w:val="0"/>
      <w:marRight w:val="0"/>
      <w:marTop w:val="0"/>
      <w:marBottom w:val="0"/>
      <w:divBdr>
        <w:top w:val="none" w:sz="0" w:space="0" w:color="auto"/>
        <w:left w:val="none" w:sz="0" w:space="0" w:color="auto"/>
        <w:bottom w:val="none" w:sz="0" w:space="0" w:color="auto"/>
        <w:right w:val="none" w:sz="0" w:space="0" w:color="auto"/>
      </w:divBdr>
    </w:div>
    <w:div w:id="1656520507">
      <w:bodyDiv w:val="1"/>
      <w:marLeft w:val="0"/>
      <w:marRight w:val="0"/>
      <w:marTop w:val="0"/>
      <w:marBottom w:val="0"/>
      <w:divBdr>
        <w:top w:val="none" w:sz="0" w:space="0" w:color="auto"/>
        <w:left w:val="none" w:sz="0" w:space="0" w:color="auto"/>
        <w:bottom w:val="none" w:sz="0" w:space="0" w:color="auto"/>
        <w:right w:val="none" w:sz="0" w:space="0" w:color="auto"/>
      </w:divBdr>
    </w:div>
    <w:div w:id="1657031220">
      <w:bodyDiv w:val="1"/>
      <w:marLeft w:val="0"/>
      <w:marRight w:val="0"/>
      <w:marTop w:val="0"/>
      <w:marBottom w:val="0"/>
      <w:divBdr>
        <w:top w:val="none" w:sz="0" w:space="0" w:color="auto"/>
        <w:left w:val="none" w:sz="0" w:space="0" w:color="auto"/>
        <w:bottom w:val="none" w:sz="0" w:space="0" w:color="auto"/>
        <w:right w:val="none" w:sz="0" w:space="0" w:color="auto"/>
      </w:divBdr>
    </w:div>
    <w:div w:id="1657226238">
      <w:bodyDiv w:val="1"/>
      <w:marLeft w:val="0"/>
      <w:marRight w:val="0"/>
      <w:marTop w:val="0"/>
      <w:marBottom w:val="0"/>
      <w:divBdr>
        <w:top w:val="none" w:sz="0" w:space="0" w:color="auto"/>
        <w:left w:val="none" w:sz="0" w:space="0" w:color="auto"/>
        <w:bottom w:val="none" w:sz="0" w:space="0" w:color="auto"/>
        <w:right w:val="none" w:sz="0" w:space="0" w:color="auto"/>
      </w:divBdr>
    </w:div>
    <w:div w:id="1657420159">
      <w:bodyDiv w:val="1"/>
      <w:marLeft w:val="0"/>
      <w:marRight w:val="0"/>
      <w:marTop w:val="0"/>
      <w:marBottom w:val="0"/>
      <w:divBdr>
        <w:top w:val="none" w:sz="0" w:space="0" w:color="auto"/>
        <w:left w:val="none" w:sz="0" w:space="0" w:color="auto"/>
        <w:bottom w:val="none" w:sz="0" w:space="0" w:color="auto"/>
        <w:right w:val="none" w:sz="0" w:space="0" w:color="auto"/>
      </w:divBdr>
    </w:div>
    <w:div w:id="1658416283">
      <w:bodyDiv w:val="1"/>
      <w:marLeft w:val="0"/>
      <w:marRight w:val="0"/>
      <w:marTop w:val="0"/>
      <w:marBottom w:val="0"/>
      <w:divBdr>
        <w:top w:val="none" w:sz="0" w:space="0" w:color="auto"/>
        <w:left w:val="none" w:sz="0" w:space="0" w:color="auto"/>
        <w:bottom w:val="none" w:sz="0" w:space="0" w:color="auto"/>
        <w:right w:val="none" w:sz="0" w:space="0" w:color="auto"/>
      </w:divBdr>
    </w:div>
    <w:div w:id="1658916872">
      <w:bodyDiv w:val="1"/>
      <w:marLeft w:val="0"/>
      <w:marRight w:val="0"/>
      <w:marTop w:val="0"/>
      <w:marBottom w:val="0"/>
      <w:divBdr>
        <w:top w:val="none" w:sz="0" w:space="0" w:color="auto"/>
        <w:left w:val="none" w:sz="0" w:space="0" w:color="auto"/>
        <w:bottom w:val="none" w:sz="0" w:space="0" w:color="auto"/>
        <w:right w:val="none" w:sz="0" w:space="0" w:color="auto"/>
      </w:divBdr>
    </w:div>
    <w:div w:id="1659111118">
      <w:bodyDiv w:val="1"/>
      <w:marLeft w:val="0"/>
      <w:marRight w:val="0"/>
      <w:marTop w:val="0"/>
      <w:marBottom w:val="0"/>
      <w:divBdr>
        <w:top w:val="none" w:sz="0" w:space="0" w:color="auto"/>
        <w:left w:val="none" w:sz="0" w:space="0" w:color="auto"/>
        <w:bottom w:val="none" w:sz="0" w:space="0" w:color="auto"/>
        <w:right w:val="none" w:sz="0" w:space="0" w:color="auto"/>
      </w:divBdr>
    </w:div>
    <w:div w:id="1659112763">
      <w:bodyDiv w:val="1"/>
      <w:marLeft w:val="0"/>
      <w:marRight w:val="0"/>
      <w:marTop w:val="0"/>
      <w:marBottom w:val="0"/>
      <w:divBdr>
        <w:top w:val="none" w:sz="0" w:space="0" w:color="auto"/>
        <w:left w:val="none" w:sz="0" w:space="0" w:color="auto"/>
        <w:bottom w:val="none" w:sz="0" w:space="0" w:color="auto"/>
        <w:right w:val="none" w:sz="0" w:space="0" w:color="auto"/>
      </w:divBdr>
    </w:div>
    <w:div w:id="1659191000">
      <w:bodyDiv w:val="1"/>
      <w:marLeft w:val="0"/>
      <w:marRight w:val="0"/>
      <w:marTop w:val="0"/>
      <w:marBottom w:val="0"/>
      <w:divBdr>
        <w:top w:val="none" w:sz="0" w:space="0" w:color="auto"/>
        <w:left w:val="none" w:sz="0" w:space="0" w:color="auto"/>
        <w:bottom w:val="none" w:sz="0" w:space="0" w:color="auto"/>
        <w:right w:val="none" w:sz="0" w:space="0" w:color="auto"/>
      </w:divBdr>
    </w:div>
    <w:div w:id="1659573893">
      <w:bodyDiv w:val="1"/>
      <w:marLeft w:val="0"/>
      <w:marRight w:val="0"/>
      <w:marTop w:val="0"/>
      <w:marBottom w:val="0"/>
      <w:divBdr>
        <w:top w:val="none" w:sz="0" w:space="0" w:color="auto"/>
        <w:left w:val="none" w:sz="0" w:space="0" w:color="auto"/>
        <w:bottom w:val="none" w:sz="0" w:space="0" w:color="auto"/>
        <w:right w:val="none" w:sz="0" w:space="0" w:color="auto"/>
      </w:divBdr>
    </w:div>
    <w:div w:id="1659576588">
      <w:bodyDiv w:val="1"/>
      <w:marLeft w:val="0"/>
      <w:marRight w:val="0"/>
      <w:marTop w:val="0"/>
      <w:marBottom w:val="0"/>
      <w:divBdr>
        <w:top w:val="none" w:sz="0" w:space="0" w:color="auto"/>
        <w:left w:val="none" w:sz="0" w:space="0" w:color="auto"/>
        <w:bottom w:val="none" w:sz="0" w:space="0" w:color="auto"/>
        <w:right w:val="none" w:sz="0" w:space="0" w:color="auto"/>
      </w:divBdr>
    </w:div>
    <w:div w:id="1660961405">
      <w:bodyDiv w:val="1"/>
      <w:marLeft w:val="0"/>
      <w:marRight w:val="0"/>
      <w:marTop w:val="0"/>
      <w:marBottom w:val="0"/>
      <w:divBdr>
        <w:top w:val="none" w:sz="0" w:space="0" w:color="auto"/>
        <w:left w:val="none" w:sz="0" w:space="0" w:color="auto"/>
        <w:bottom w:val="none" w:sz="0" w:space="0" w:color="auto"/>
        <w:right w:val="none" w:sz="0" w:space="0" w:color="auto"/>
      </w:divBdr>
    </w:div>
    <w:div w:id="1661344362">
      <w:bodyDiv w:val="1"/>
      <w:marLeft w:val="0"/>
      <w:marRight w:val="0"/>
      <w:marTop w:val="0"/>
      <w:marBottom w:val="0"/>
      <w:divBdr>
        <w:top w:val="none" w:sz="0" w:space="0" w:color="auto"/>
        <w:left w:val="none" w:sz="0" w:space="0" w:color="auto"/>
        <w:bottom w:val="none" w:sz="0" w:space="0" w:color="auto"/>
        <w:right w:val="none" w:sz="0" w:space="0" w:color="auto"/>
      </w:divBdr>
    </w:div>
    <w:div w:id="1661496130">
      <w:bodyDiv w:val="1"/>
      <w:marLeft w:val="0"/>
      <w:marRight w:val="0"/>
      <w:marTop w:val="0"/>
      <w:marBottom w:val="0"/>
      <w:divBdr>
        <w:top w:val="none" w:sz="0" w:space="0" w:color="auto"/>
        <w:left w:val="none" w:sz="0" w:space="0" w:color="auto"/>
        <w:bottom w:val="none" w:sz="0" w:space="0" w:color="auto"/>
        <w:right w:val="none" w:sz="0" w:space="0" w:color="auto"/>
      </w:divBdr>
    </w:div>
    <w:div w:id="1661501088">
      <w:bodyDiv w:val="1"/>
      <w:marLeft w:val="0"/>
      <w:marRight w:val="0"/>
      <w:marTop w:val="0"/>
      <w:marBottom w:val="0"/>
      <w:divBdr>
        <w:top w:val="none" w:sz="0" w:space="0" w:color="auto"/>
        <w:left w:val="none" w:sz="0" w:space="0" w:color="auto"/>
        <w:bottom w:val="none" w:sz="0" w:space="0" w:color="auto"/>
        <w:right w:val="none" w:sz="0" w:space="0" w:color="auto"/>
      </w:divBdr>
    </w:div>
    <w:div w:id="1661930383">
      <w:bodyDiv w:val="1"/>
      <w:marLeft w:val="0"/>
      <w:marRight w:val="0"/>
      <w:marTop w:val="0"/>
      <w:marBottom w:val="0"/>
      <w:divBdr>
        <w:top w:val="none" w:sz="0" w:space="0" w:color="auto"/>
        <w:left w:val="none" w:sz="0" w:space="0" w:color="auto"/>
        <w:bottom w:val="none" w:sz="0" w:space="0" w:color="auto"/>
        <w:right w:val="none" w:sz="0" w:space="0" w:color="auto"/>
      </w:divBdr>
    </w:div>
    <w:div w:id="1662083336">
      <w:bodyDiv w:val="1"/>
      <w:marLeft w:val="0"/>
      <w:marRight w:val="0"/>
      <w:marTop w:val="0"/>
      <w:marBottom w:val="0"/>
      <w:divBdr>
        <w:top w:val="none" w:sz="0" w:space="0" w:color="auto"/>
        <w:left w:val="none" w:sz="0" w:space="0" w:color="auto"/>
        <w:bottom w:val="none" w:sz="0" w:space="0" w:color="auto"/>
        <w:right w:val="none" w:sz="0" w:space="0" w:color="auto"/>
      </w:divBdr>
    </w:div>
    <w:div w:id="1662468666">
      <w:bodyDiv w:val="1"/>
      <w:marLeft w:val="0"/>
      <w:marRight w:val="0"/>
      <w:marTop w:val="0"/>
      <w:marBottom w:val="0"/>
      <w:divBdr>
        <w:top w:val="none" w:sz="0" w:space="0" w:color="auto"/>
        <w:left w:val="none" w:sz="0" w:space="0" w:color="auto"/>
        <w:bottom w:val="none" w:sz="0" w:space="0" w:color="auto"/>
        <w:right w:val="none" w:sz="0" w:space="0" w:color="auto"/>
      </w:divBdr>
    </w:div>
    <w:div w:id="1662611171">
      <w:bodyDiv w:val="1"/>
      <w:marLeft w:val="0"/>
      <w:marRight w:val="0"/>
      <w:marTop w:val="0"/>
      <w:marBottom w:val="0"/>
      <w:divBdr>
        <w:top w:val="none" w:sz="0" w:space="0" w:color="auto"/>
        <w:left w:val="none" w:sz="0" w:space="0" w:color="auto"/>
        <w:bottom w:val="none" w:sz="0" w:space="0" w:color="auto"/>
        <w:right w:val="none" w:sz="0" w:space="0" w:color="auto"/>
      </w:divBdr>
    </w:div>
    <w:div w:id="1662810193">
      <w:bodyDiv w:val="1"/>
      <w:marLeft w:val="0"/>
      <w:marRight w:val="0"/>
      <w:marTop w:val="0"/>
      <w:marBottom w:val="0"/>
      <w:divBdr>
        <w:top w:val="none" w:sz="0" w:space="0" w:color="auto"/>
        <w:left w:val="none" w:sz="0" w:space="0" w:color="auto"/>
        <w:bottom w:val="none" w:sz="0" w:space="0" w:color="auto"/>
        <w:right w:val="none" w:sz="0" w:space="0" w:color="auto"/>
      </w:divBdr>
    </w:div>
    <w:div w:id="1662924780">
      <w:bodyDiv w:val="1"/>
      <w:marLeft w:val="0"/>
      <w:marRight w:val="0"/>
      <w:marTop w:val="0"/>
      <w:marBottom w:val="0"/>
      <w:divBdr>
        <w:top w:val="none" w:sz="0" w:space="0" w:color="auto"/>
        <w:left w:val="none" w:sz="0" w:space="0" w:color="auto"/>
        <w:bottom w:val="none" w:sz="0" w:space="0" w:color="auto"/>
        <w:right w:val="none" w:sz="0" w:space="0" w:color="auto"/>
      </w:divBdr>
    </w:div>
    <w:div w:id="1663044777">
      <w:bodyDiv w:val="1"/>
      <w:marLeft w:val="0"/>
      <w:marRight w:val="0"/>
      <w:marTop w:val="0"/>
      <w:marBottom w:val="0"/>
      <w:divBdr>
        <w:top w:val="none" w:sz="0" w:space="0" w:color="auto"/>
        <w:left w:val="none" w:sz="0" w:space="0" w:color="auto"/>
        <w:bottom w:val="none" w:sz="0" w:space="0" w:color="auto"/>
        <w:right w:val="none" w:sz="0" w:space="0" w:color="auto"/>
      </w:divBdr>
    </w:div>
    <w:div w:id="1663193997">
      <w:bodyDiv w:val="1"/>
      <w:marLeft w:val="0"/>
      <w:marRight w:val="0"/>
      <w:marTop w:val="0"/>
      <w:marBottom w:val="0"/>
      <w:divBdr>
        <w:top w:val="none" w:sz="0" w:space="0" w:color="auto"/>
        <w:left w:val="none" w:sz="0" w:space="0" w:color="auto"/>
        <w:bottom w:val="none" w:sz="0" w:space="0" w:color="auto"/>
        <w:right w:val="none" w:sz="0" w:space="0" w:color="auto"/>
      </w:divBdr>
    </w:div>
    <w:div w:id="1663197895">
      <w:bodyDiv w:val="1"/>
      <w:marLeft w:val="0"/>
      <w:marRight w:val="0"/>
      <w:marTop w:val="0"/>
      <w:marBottom w:val="0"/>
      <w:divBdr>
        <w:top w:val="none" w:sz="0" w:space="0" w:color="auto"/>
        <w:left w:val="none" w:sz="0" w:space="0" w:color="auto"/>
        <w:bottom w:val="none" w:sz="0" w:space="0" w:color="auto"/>
        <w:right w:val="none" w:sz="0" w:space="0" w:color="auto"/>
      </w:divBdr>
    </w:div>
    <w:div w:id="1663242146">
      <w:bodyDiv w:val="1"/>
      <w:marLeft w:val="0"/>
      <w:marRight w:val="0"/>
      <w:marTop w:val="0"/>
      <w:marBottom w:val="0"/>
      <w:divBdr>
        <w:top w:val="none" w:sz="0" w:space="0" w:color="auto"/>
        <w:left w:val="none" w:sz="0" w:space="0" w:color="auto"/>
        <w:bottom w:val="none" w:sz="0" w:space="0" w:color="auto"/>
        <w:right w:val="none" w:sz="0" w:space="0" w:color="auto"/>
      </w:divBdr>
    </w:div>
    <w:div w:id="1663697675">
      <w:bodyDiv w:val="1"/>
      <w:marLeft w:val="0"/>
      <w:marRight w:val="0"/>
      <w:marTop w:val="0"/>
      <w:marBottom w:val="0"/>
      <w:divBdr>
        <w:top w:val="none" w:sz="0" w:space="0" w:color="auto"/>
        <w:left w:val="none" w:sz="0" w:space="0" w:color="auto"/>
        <w:bottom w:val="none" w:sz="0" w:space="0" w:color="auto"/>
        <w:right w:val="none" w:sz="0" w:space="0" w:color="auto"/>
      </w:divBdr>
    </w:div>
    <w:div w:id="1664696003">
      <w:bodyDiv w:val="1"/>
      <w:marLeft w:val="0"/>
      <w:marRight w:val="0"/>
      <w:marTop w:val="0"/>
      <w:marBottom w:val="0"/>
      <w:divBdr>
        <w:top w:val="none" w:sz="0" w:space="0" w:color="auto"/>
        <w:left w:val="none" w:sz="0" w:space="0" w:color="auto"/>
        <w:bottom w:val="none" w:sz="0" w:space="0" w:color="auto"/>
        <w:right w:val="none" w:sz="0" w:space="0" w:color="auto"/>
      </w:divBdr>
    </w:div>
    <w:div w:id="1665284336">
      <w:bodyDiv w:val="1"/>
      <w:marLeft w:val="0"/>
      <w:marRight w:val="0"/>
      <w:marTop w:val="0"/>
      <w:marBottom w:val="0"/>
      <w:divBdr>
        <w:top w:val="none" w:sz="0" w:space="0" w:color="auto"/>
        <w:left w:val="none" w:sz="0" w:space="0" w:color="auto"/>
        <w:bottom w:val="none" w:sz="0" w:space="0" w:color="auto"/>
        <w:right w:val="none" w:sz="0" w:space="0" w:color="auto"/>
      </w:divBdr>
    </w:div>
    <w:div w:id="1665668073">
      <w:bodyDiv w:val="1"/>
      <w:marLeft w:val="0"/>
      <w:marRight w:val="0"/>
      <w:marTop w:val="0"/>
      <w:marBottom w:val="0"/>
      <w:divBdr>
        <w:top w:val="none" w:sz="0" w:space="0" w:color="auto"/>
        <w:left w:val="none" w:sz="0" w:space="0" w:color="auto"/>
        <w:bottom w:val="none" w:sz="0" w:space="0" w:color="auto"/>
        <w:right w:val="none" w:sz="0" w:space="0" w:color="auto"/>
      </w:divBdr>
    </w:div>
    <w:div w:id="1666208108">
      <w:bodyDiv w:val="1"/>
      <w:marLeft w:val="0"/>
      <w:marRight w:val="0"/>
      <w:marTop w:val="0"/>
      <w:marBottom w:val="0"/>
      <w:divBdr>
        <w:top w:val="none" w:sz="0" w:space="0" w:color="auto"/>
        <w:left w:val="none" w:sz="0" w:space="0" w:color="auto"/>
        <w:bottom w:val="none" w:sz="0" w:space="0" w:color="auto"/>
        <w:right w:val="none" w:sz="0" w:space="0" w:color="auto"/>
      </w:divBdr>
    </w:div>
    <w:div w:id="1666321023">
      <w:bodyDiv w:val="1"/>
      <w:marLeft w:val="0"/>
      <w:marRight w:val="0"/>
      <w:marTop w:val="0"/>
      <w:marBottom w:val="0"/>
      <w:divBdr>
        <w:top w:val="none" w:sz="0" w:space="0" w:color="auto"/>
        <w:left w:val="none" w:sz="0" w:space="0" w:color="auto"/>
        <w:bottom w:val="none" w:sz="0" w:space="0" w:color="auto"/>
        <w:right w:val="none" w:sz="0" w:space="0" w:color="auto"/>
      </w:divBdr>
    </w:div>
    <w:div w:id="1666547086">
      <w:bodyDiv w:val="1"/>
      <w:marLeft w:val="0"/>
      <w:marRight w:val="0"/>
      <w:marTop w:val="0"/>
      <w:marBottom w:val="0"/>
      <w:divBdr>
        <w:top w:val="none" w:sz="0" w:space="0" w:color="auto"/>
        <w:left w:val="none" w:sz="0" w:space="0" w:color="auto"/>
        <w:bottom w:val="none" w:sz="0" w:space="0" w:color="auto"/>
        <w:right w:val="none" w:sz="0" w:space="0" w:color="auto"/>
      </w:divBdr>
    </w:div>
    <w:div w:id="1666737015">
      <w:bodyDiv w:val="1"/>
      <w:marLeft w:val="0"/>
      <w:marRight w:val="0"/>
      <w:marTop w:val="0"/>
      <w:marBottom w:val="0"/>
      <w:divBdr>
        <w:top w:val="none" w:sz="0" w:space="0" w:color="auto"/>
        <w:left w:val="none" w:sz="0" w:space="0" w:color="auto"/>
        <w:bottom w:val="none" w:sz="0" w:space="0" w:color="auto"/>
        <w:right w:val="none" w:sz="0" w:space="0" w:color="auto"/>
      </w:divBdr>
    </w:div>
    <w:div w:id="1666785331">
      <w:bodyDiv w:val="1"/>
      <w:marLeft w:val="0"/>
      <w:marRight w:val="0"/>
      <w:marTop w:val="0"/>
      <w:marBottom w:val="0"/>
      <w:divBdr>
        <w:top w:val="none" w:sz="0" w:space="0" w:color="auto"/>
        <w:left w:val="none" w:sz="0" w:space="0" w:color="auto"/>
        <w:bottom w:val="none" w:sz="0" w:space="0" w:color="auto"/>
        <w:right w:val="none" w:sz="0" w:space="0" w:color="auto"/>
      </w:divBdr>
    </w:div>
    <w:div w:id="1666930527">
      <w:bodyDiv w:val="1"/>
      <w:marLeft w:val="0"/>
      <w:marRight w:val="0"/>
      <w:marTop w:val="0"/>
      <w:marBottom w:val="0"/>
      <w:divBdr>
        <w:top w:val="none" w:sz="0" w:space="0" w:color="auto"/>
        <w:left w:val="none" w:sz="0" w:space="0" w:color="auto"/>
        <w:bottom w:val="none" w:sz="0" w:space="0" w:color="auto"/>
        <w:right w:val="none" w:sz="0" w:space="0" w:color="auto"/>
      </w:divBdr>
    </w:div>
    <w:div w:id="1666977265">
      <w:bodyDiv w:val="1"/>
      <w:marLeft w:val="0"/>
      <w:marRight w:val="0"/>
      <w:marTop w:val="0"/>
      <w:marBottom w:val="0"/>
      <w:divBdr>
        <w:top w:val="none" w:sz="0" w:space="0" w:color="auto"/>
        <w:left w:val="none" w:sz="0" w:space="0" w:color="auto"/>
        <w:bottom w:val="none" w:sz="0" w:space="0" w:color="auto"/>
        <w:right w:val="none" w:sz="0" w:space="0" w:color="auto"/>
      </w:divBdr>
    </w:div>
    <w:div w:id="1666979365">
      <w:bodyDiv w:val="1"/>
      <w:marLeft w:val="0"/>
      <w:marRight w:val="0"/>
      <w:marTop w:val="0"/>
      <w:marBottom w:val="0"/>
      <w:divBdr>
        <w:top w:val="none" w:sz="0" w:space="0" w:color="auto"/>
        <w:left w:val="none" w:sz="0" w:space="0" w:color="auto"/>
        <w:bottom w:val="none" w:sz="0" w:space="0" w:color="auto"/>
        <w:right w:val="none" w:sz="0" w:space="0" w:color="auto"/>
      </w:divBdr>
    </w:div>
    <w:div w:id="1667005800">
      <w:bodyDiv w:val="1"/>
      <w:marLeft w:val="0"/>
      <w:marRight w:val="0"/>
      <w:marTop w:val="0"/>
      <w:marBottom w:val="0"/>
      <w:divBdr>
        <w:top w:val="none" w:sz="0" w:space="0" w:color="auto"/>
        <w:left w:val="none" w:sz="0" w:space="0" w:color="auto"/>
        <w:bottom w:val="none" w:sz="0" w:space="0" w:color="auto"/>
        <w:right w:val="none" w:sz="0" w:space="0" w:color="auto"/>
      </w:divBdr>
    </w:div>
    <w:div w:id="1667856230">
      <w:bodyDiv w:val="1"/>
      <w:marLeft w:val="0"/>
      <w:marRight w:val="0"/>
      <w:marTop w:val="0"/>
      <w:marBottom w:val="0"/>
      <w:divBdr>
        <w:top w:val="none" w:sz="0" w:space="0" w:color="auto"/>
        <w:left w:val="none" w:sz="0" w:space="0" w:color="auto"/>
        <w:bottom w:val="none" w:sz="0" w:space="0" w:color="auto"/>
        <w:right w:val="none" w:sz="0" w:space="0" w:color="auto"/>
      </w:divBdr>
    </w:div>
    <w:div w:id="1668628602">
      <w:bodyDiv w:val="1"/>
      <w:marLeft w:val="0"/>
      <w:marRight w:val="0"/>
      <w:marTop w:val="0"/>
      <w:marBottom w:val="0"/>
      <w:divBdr>
        <w:top w:val="none" w:sz="0" w:space="0" w:color="auto"/>
        <w:left w:val="none" w:sz="0" w:space="0" w:color="auto"/>
        <w:bottom w:val="none" w:sz="0" w:space="0" w:color="auto"/>
        <w:right w:val="none" w:sz="0" w:space="0" w:color="auto"/>
      </w:divBdr>
    </w:div>
    <w:div w:id="1669747370">
      <w:bodyDiv w:val="1"/>
      <w:marLeft w:val="0"/>
      <w:marRight w:val="0"/>
      <w:marTop w:val="0"/>
      <w:marBottom w:val="0"/>
      <w:divBdr>
        <w:top w:val="none" w:sz="0" w:space="0" w:color="auto"/>
        <w:left w:val="none" w:sz="0" w:space="0" w:color="auto"/>
        <w:bottom w:val="none" w:sz="0" w:space="0" w:color="auto"/>
        <w:right w:val="none" w:sz="0" w:space="0" w:color="auto"/>
      </w:divBdr>
    </w:div>
    <w:div w:id="1669869485">
      <w:bodyDiv w:val="1"/>
      <w:marLeft w:val="0"/>
      <w:marRight w:val="0"/>
      <w:marTop w:val="0"/>
      <w:marBottom w:val="0"/>
      <w:divBdr>
        <w:top w:val="none" w:sz="0" w:space="0" w:color="auto"/>
        <w:left w:val="none" w:sz="0" w:space="0" w:color="auto"/>
        <w:bottom w:val="none" w:sz="0" w:space="0" w:color="auto"/>
        <w:right w:val="none" w:sz="0" w:space="0" w:color="auto"/>
      </w:divBdr>
    </w:div>
    <w:div w:id="1670206601">
      <w:bodyDiv w:val="1"/>
      <w:marLeft w:val="0"/>
      <w:marRight w:val="0"/>
      <w:marTop w:val="0"/>
      <w:marBottom w:val="0"/>
      <w:divBdr>
        <w:top w:val="none" w:sz="0" w:space="0" w:color="auto"/>
        <w:left w:val="none" w:sz="0" w:space="0" w:color="auto"/>
        <w:bottom w:val="none" w:sz="0" w:space="0" w:color="auto"/>
        <w:right w:val="none" w:sz="0" w:space="0" w:color="auto"/>
      </w:divBdr>
    </w:div>
    <w:div w:id="1672222809">
      <w:bodyDiv w:val="1"/>
      <w:marLeft w:val="0"/>
      <w:marRight w:val="0"/>
      <w:marTop w:val="0"/>
      <w:marBottom w:val="0"/>
      <w:divBdr>
        <w:top w:val="none" w:sz="0" w:space="0" w:color="auto"/>
        <w:left w:val="none" w:sz="0" w:space="0" w:color="auto"/>
        <w:bottom w:val="none" w:sz="0" w:space="0" w:color="auto"/>
        <w:right w:val="none" w:sz="0" w:space="0" w:color="auto"/>
      </w:divBdr>
    </w:div>
    <w:div w:id="1672485477">
      <w:bodyDiv w:val="1"/>
      <w:marLeft w:val="0"/>
      <w:marRight w:val="0"/>
      <w:marTop w:val="0"/>
      <w:marBottom w:val="0"/>
      <w:divBdr>
        <w:top w:val="none" w:sz="0" w:space="0" w:color="auto"/>
        <w:left w:val="none" w:sz="0" w:space="0" w:color="auto"/>
        <w:bottom w:val="none" w:sz="0" w:space="0" w:color="auto"/>
        <w:right w:val="none" w:sz="0" w:space="0" w:color="auto"/>
      </w:divBdr>
    </w:div>
    <w:div w:id="1672634711">
      <w:bodyDiv w:val="1"/>
      <w:marLeft w:val="0"/>
      <w:marRight w:val="0"/>
      <w:marTop w:val="0"/>
      <w:marBottom w:val="0"/>
      <w:divBdr>
        <w:top w:val="none" w:sz="0" w:space="0" w:color="auto"/>
        <w:left w:val="none" w:sz="0" w:space="0" w:color="auto"/>
        <w:bottom w:val="none" w:sz="0" w:space="0" w:color="auto"/>
        <w:right w:val="none" w:sz="0" w:space="0" w:color="auto"/>
      </w:divBdr>
    </w:div>
    <w:div w:id="1672754704">
      <w:bodyDiv w:val="1"/>
      <w:marLeft w:val="0"/>
      <w:marRight w:val="0"/>
      <w:marTop w:val="0"/>
      <w:marBottom w:val="0"/>
      <w:divBdr>
        <w:top w:val="none" w:sz="0" w:space="0" w:color="auto"/>
        <w:left w:val="none" w:sz="0" w:space="0" w:color="auto"/>
        <w:bottom w:val="none" w:sz="0" w:space="0" w:color="auto"/>
        <w:right w:val="none" w:sz="0" w:space="0" w:color="auto"/>
      </w:divBdr>
    </w:div>
    <w:div w:id="1672879012">
      <w:bodyDiv w:val="1"/>
      <w:marLeft w:val="0"/>
      <w:marRight w:val="0"/>
      <w:marTop w:val="0"/>
      <w:marBottom w:val="0"/>
      <w:divBdr>
        <w:top w:val="none" w:sz="0" w:space="0" w:color="auto"/>
        <w:left w:val="none" w:sz="0" w:space="0" w:color="auto"/>
        <w:bottom w:val="none" w:sz="0" w:space="0" w:color="auto"/>
        <w:right w:val="none" w:sz="0" w:space="0" w:color="auto"/>
      </w:divBdr>
    </w:div>
    <w:div w:id="1672947980">
      <w:bodyDiv w:val="1"/>
      <w:marLeft w:val="0"/>
      <w:marRight w:val="0"/>
      <w:marTop w:val="0"/>
      <w:marBottom w:val="0"/>
      <w:divBdr>
        <w:top w:val="none" w:sz="0" w:space="0" w:color="auto"/>
        <w:left w:val="none" w:sz="0" w:space="0" w:color="auto"/>
        <w:bottom w:val="none" w:sz="0" w:space="0" w:color="auto"/>
        <w:right w:val="none" w:sz="0" w:space="0" w:color="auto"/>
      </w:divBdr>
    </w:div>
    <w:div w:id="1673484598">
      <w:bodyDiv w:val="1"/>
      <w:marLeft w:val="0"/>
      <w:marRight w:val="0"/>
      <w:marTop w:val="0"/>
      <w:marBottom w:val="0"/>
      <w:divBdr>
        <w:top w:val="none" w:sz="0" w:space="0" w:color="auto"/>
        <w:left w:val="none" w:sz="0" w:space="0" w:color="auto"/>
        <w:bottom w:val="none" w:sz="0" w:space="0" w:color="auto"/>
        <w:right w:val="none" w:sz="0" w:space="0" w:color="auto"/>
      </w:divBdr>
    </w:div>
    <w:div w:id="1673996353">
      <w:bodyDiv w:val="1"/>
      <w:marLeft w:val="0"/>
      <w:marRight w:val="0"/>
      <w:marTop w:val="0"/>
      <w:marBottom w:val="0"/>
      <w:divBdr>
        <w:top w:val="none" w:sz="0" w:space="0" w:color="auto"/>
        <w:left w:val="none" w:sz="0" w:space="0" w:color="auto"/>
        <w:bottom w:val="none" w:sz="0" w:space="0" w:color="auto"/>
        <w:right w:val="none" w:sz="0" w:space="0" w:color="auto"/>
      </w:divBdr>
    </w:div>
    <w:div w:id="1675065200">
      <w:bodyDiv w:val="1"/>
      <w:marLeft w:val="0"/>
      <w:marRight w:val="0"/>
      <w:marTop w:val="0"/>
      <w:marBottom w:val="0"/>
      <w:divBdr>
        <w:top w:val="none" w:sz="0" w:space="0" w:color="auto"/>
        <w:left w:val="none" w:sz="0" w:space="0" w:color="auto"/>
        <w:bottom w:val="none" w:sz="0" w:space="0" w:color="auto"/>
        <w:right w:val="none" w:sz="0" w:space="0" w:color="auto"/>
      </w:divBdr>
    </w:div>
    <w:div w:id="1675183152">
      <w:bodyDiv w:val="1"/>
      <w:marLeft w:val="0"/>
      <w:marRight w:val="0"/>
      <w:marTop w:val="0"/>
      <w:marBottom w:val="0"/>
      <w:divBdr>
        <w:top w:val="none" w:sz="0" w:space="0" w:color="auto"/>
        <w:left w:val="none" w:sz="0" w:space="0" w:color="auto"/>
        <w:bottom w:val="none" w:sz="0" w:space="0" w:color="auto"/>
        <w:right w:val="none" w:sz="0" w:space="0" w:color="auto"/>
      </w:divBdr>
    </w:div>
    <w:div w:id="1675374941">
      <w:bodyDiv w:val="1"/>
      <w:marLeft w:val="0"/>
      <w:marRight w:val="0"/>
      <w:marTop w:val="0"/>
      <w:marBottom w:val="0"/>
      <w:divBdr>
        <w:top w:val="none" w:sz="0" w:space="0" w:color="auto"/>
        <w:left w:val="none" w:sz="0" w:space="0" w:color="auto"/>
        <w:bottom w:val="none" w:sz="0" w:space="0" w:color="auto"/>
        <w:right w:val="none" w:sz="0" w:space="0" w:color="auto"/>
      </w:divBdr>
    </w:div>
    <w:div w:id="1675524802">
      <w:bodyDiv w:val="1"/>
      <w:marLeft w:val="0"/>
      <w:marRight w:val="0"/>
      <w:marTop w:val="0"/>
      <w:marBottom w:val="0"/>
      <w:divBdr>
        <w:top w:val="none" w:sz="0" w:space="0" w:color="auto"/>
        <w:left w:val="none" w:sz="0" w:space="0" w:color="auto"/>
        <w:bottom w:val="none" w:sz="0" w:space="0" w:color="auto"/>
        <w:right w:val="none" w:sz="0" w:space="0" w:color="auto"/>
      </w:divBdr>
    </w:div>
    <w:div w:id="1676106050">
      <w:bodyDiv w:val="1"/>
      <w:marLeft w:val="0"/>
      <w:marRight w:val="0"/>
      <w:marTop w:val="0"/>
      <w:marBottom w:val="0"/>
      <w:divBdr>
        <w:top w:val="none" w:sz="0" w:space="0" w:color="auto"/>
        <w:left w:val="none" w:sz="0" w:space="0" w:color="auto"/>
        <w:bottom w:val="none" w:sz="0" w:space="0" w:color="auto"/>
        <w:right w:val="none" w:sz="0" w:space="0" w:color="auto"/>
      </w:divBdr>
    </w:div>
    <w:div w:id="1676692105">
      <w:bodyDiv w:val="1"/>
      <w:marLeft w:val="0"/>
      <w:marRight w:val="0"/>
      <w:marTop w:val="0"/>
      <w:marBottom w:val="0"/>
      <w:divBdr>
        <w:top w:val="none" w:sz="0" w:space="0" w:color="auto"/>
        <w:left w:val="none" w:sz="0" w:space="0" w:color="auto"/>
        <w:bottom w:val="none" w:sz="0" w:space="0" w:color="auto"/>
        <w:right w:val="none" w:sz="0" w:space="0" w:color="auto"/>
      </w:divBdr>
    </w:div>
    <w:div w:id="1676835207">
      <w:bodyDiv w:val="1"/>
      <w:marLeft w:val="0"/>
      <w:marRight w:val="0"/>
      <w:marTop w:val="0"/>
      <w:marBottom w:val="0"/>
      <w:divBdr>
        <w:top w:val="none" w:sz="0" w:space="0" w:color="auto"/>
        <w:left w:val="none" w:sz="0" w:space="0" w:color="auto"/>
        <w:bottom w:val="none" w:sz="0" w:space="0" w:color="auto"/>
        <w:right w:val="none" w:sz="0" w:space="0" w:color="auto"/>
      </w:divBdr>
    </w:div>
    <w:div w:id="1677683030">
      <w:bodyDiv w:val="1"/>
      <w:marLeft w:val="0"/>
      <w:marRight w:val="0"/>
      <w:marTop w:val="0"/>
      <w:marBottom w:val="0"/>
      <w:divBdr>
        <w:top w:val="none" w:sz="0" w:space="0" w:color="auto"/>
        <w:left w:val="none" w:sz="0" w:space="0" w:color="auto"/>
        <w:bottom w:val="none" w:sz="0" w:space="0" w:color="auto"/>
        <w:right w:val="none" w:sz="0" w:space="0" w:color="auto"/>
      </w:divBdr>
    </w:div>
    <w:div w:id="1677995576">
      <w:bodyDiv w:val="1"/>
      <w:marLeft w:val="0"/>
      <w:marRight w:val="0"/>
      <w:marTop w:val="0"/>
      <w:marBottom w:val="0"/>
      <w:divBdr>
        <w:top w:val="none" w:sz="0" w:space="0" w:color="auto"/>
        <w:left w:val="none" w:sz="0" w:space="0" w:color="auto"/>
        <w:bottom w:val="none" w:sz="0" w:space="0" w:color="auto"/>
        <w:right w:val="none" w:sz="0" w:space="0" w:color="auto"/>
      </w:divBdr>
    </w:div>
    <w:div w:id="1678387117">
      <w:bodyDiv w:val="1"/>
      <w:marLeft w:val="0"/>
      <w:marRight w:val="0"/>
      <w:marTop w:val="0"/>
      <w:marBottom w:val="0"/>
      <w:divBdr>
        <w:top w:val="none" w:sz="0" w:space="0" w:color="auto"/>
        <w:left w:val="none" w:sz="0" w:space="0" w:color="auto"/>
        <w:bottom w:val="none" w:sz="0" w:space="0" w:color="auto"/>
        <w:right w:val="none" w:sz="0" w:space="0" w:color="auto"/>
      </w:divBdr>
    </w:div>
    <w:div w:id="1679309927">
      <w:bodyDiv w:val="1"/>
      <w:marLeft w:val="0"/>
      <w:marRight w:val="0"/>
      <w:marTop w:val="0"/>
      <w:marBottom w:val="0"/>
      <w:divBdr>
        <w:top w:val="none" w:sz="0" w:space="0" w:color="auto"/>
        <w:left w:val="none" w:sz="0" w:space="0" w:color="auto"/>
        <w:bottom w:val="none" w:sz="0" w:space="0" w:color="auto"/>
        <w:right w:val="none" w:sz="0" w:space="0" w:color="auto"/>
      </w:divBdr>
    </w:div>
    <w:div w:id="1680279149">
      <w:bodyDiv w:val="1"/>
      <w:marLeft w:val="0"/>
      <w:marRight w:val="0"/>
      <w:marTop w:val="0"/>
      <w:marBottom w:val="0"/>
      <w:divBdr>
        <w:top w:val="none" w:sz="0" w:space="0" w:color="auto"/>
        <w:left w:val="none" w:sz="0" w:space="0" w:color="auto"/>
        <w:bottom w:val="none" w:sz="0" w:space="0" w:color="auto"/>
        <w:right w:val="none" w:sz="0" w:space="0" w:color="auto"/>
      </w:divBdr>
    </w:div>
    <w:div w:id="1680546556">
      <w:bodyDiv w:val="1"/>
      <w:marLeft w:val="0"/>
      <w:marRight w:val="0"/>
      <w:marTop w:val="0"/>
      <w:marBottom w:val="0"/>
      <w:divBdr>
        <w:top w:val="none" w:sz="0" w:space="0" w:color="auto"/>
        <w:left w:val="none" w:sz="0" w:space="0" w:color="auto"/>
        <w:bottom w:val="none" w:sz="0" w:space="0" w:color="auto"/>
        <w:right w:val="none" w:sz="0" w:space="0" w:color="auto"/>
      </w:divBdr>
    </w:div>
    <w:div w:id="1680691758">
      <w:bodyDiv w:val="1"/>
      <w:marLeft w:val="0"/>
      <w:marRight w:val="0"/>
      <w:marTop w:val="0"/>
      <w:marBottom w:val="0"/>
      <w:divBdr>
        <w:top w:val="none" w:sz="0" w:space="0" w:color="auto"/>
        <w:left w:val="none" w:sz="0" w:space="0" w:color="auto"/>
        <w:bottom w:val="none" w:sz="0" w:space="0" w:color="auto"/>
        <w:right w:val="none" w:sz="0" w:space="0" w:color="auto"/>
      </w:divBdr>
    </w:div>
    <w:div w:id="1680813476">
      <w:bodyDiv w:val="1"/>
      <w:marLeft w:val="0"/>
      <w:marRight w:val="0"/>
      <w:marTop w:val="0"/>
      <w:marBottom w:val="0"/>
      <w:divBdr>
        <w:top w:val="none" w:sz="0" w:space="0" w:color="auto"/>
        <w:left w:val="none" w:sz="0" w:space="0" w:color="auto"/>
        <w:bottom w:val="none" w:sz="0" w:space="0" w:color="auto"/>
        <w:right w:val="none" w:sz="0" w:space="0" w:color="auto"/>
      </w:divBdr>
    </w:div>
    <w:div w:id="1682245240">
      <w:bodyDiv w:val="1"/>
      <w:marLeft w:val="0"/>
      <w:marRight w:val="0"/>
      <w:marTop w:val="0"/>
      <w:marBottom w:val="0"/>
      <w:divBdr>
        <w:top w:val="none" w:sz="0" w:space="0" w:color="auto"/>
        <w:left w:val="none" w:sz="0" w:space="0" w:color="auto"/>
        <w:bottom w:val="none" w:sz="0" w:space="0" w:color="auto"/>
        <w:right w:val="none" w:sz="0" w:space="0" w:color="auto"/>
      </w:divBdr>
    </w:div>
    <w:div w:id="1682272228">
      <w:bodyDiv w:val="1"/>
      <w:marLeft w:val="0"/>
      <w:marRight w:val="0"/>
      <w:marTop w:val="0"/>
      <w:marBottom w:val="0"/>
      <w:divBdr>
        <w:top w:val="none" w:sz="0" w:space="0" w:color="auto"/>
        <w:left w:val="none" w:sz="0" w:space="0" w:color="auto"/>
        <w:bottom w:val="none" w:sz="0" w:space="0" w:color="auto"/>
        <w:right w:val="none" w:sz="0" w:space="0" w:color="auto"/>
      </w:divBdr>
    </w:div>
    <w:div w:id="1682387419">
      <w:bodyDiv w:val="1"/>
      <w:marLeft w:val="0"/>
      <w:marRight w:val="0"/>
      <w:marTop w:val="0"/>
      <w:marBottom w:val="0"/>
      <w:divBdr>
        <w:top w:val="none" w:sz="0" w:space="0" w:color="auto"/>
        <w:left w:val="none" w:sz="0" w:space="0" w:color="auto"/>
        <w:bottom w:val="none" w:sz="0" w:space="0" w:color="auto"/>
        <w:right w:val="none" w:sz="0" w:space="0" w:color="auto"/>
      </w:divBdr>
    </w:div>
    <w:div w:id="1682387775">
      <w:bodyDiv w:val="1"/>
      <w:marLeft w:val="0"/>
      <w:marRight w:val="0"/>
      <w:marTop w:val="0"/>
      <w:marBottom w:val="0"/>
      <w:divBdr>
        <w:top w:val="none" w:sz="0" w:space="0" w:color="auto"/>
        <w:left w:val="none" w:sz="0" w:space="0" w:color="auto"/>
        <w:bottom w:val="none" w:sz="0" w:space="0" w:color="auto"/>
        <w:right w:val="none" w:sz="0" w:space="0" w:color="auto"/>
      </w:divBdr>
    </w:div>
    <w:div w:id="1682469141">
      <w:bodyDiv w:val="1"/>
      <w:marLeft w:val="0"/>
      <w:marRight w:val="0"/>
      <w:marTop w:val="0"/>
      <w:marBottom w:val="0"/>
      <w:divBdr>
        <w:top w:val="none" w:sz="0" w:space="0" w:color="auto"/>
        <w:left w:val="none" w:sz="0" w:space="0" w:color="auto"/>
        <w:bottom w:val="none" w:sz="0" w:space="0" w:color="auto"/>
        <w:right w:val="none" w:sz="0" w:space="0" w:color="auto"/>
      </w:divBdr>
    </w:div>
    <w:div w:id="1682506388">
      <w:bodyDiv w:val="1"/>
      <w:marLeft w:val="0"/>
      <w:marRight w:val="0"/>
      <w:marTop w:val="0"/>
      <w:marBottom w:val="0"/>
      <w:divBdr>
        <w:top w:val="none" w:sz="0" w:space="0" w:color="auto"/>
        <w:left w:val="none" w:sz="0" w:space="0" w:color="auto"/>
        <w:bottom w:val="none" w:sz="0" w:space="0" w:color="auto"/>
        <w:right w:val="none" w:sz="0" w:space="0" w:color="auto"/>
      </w:divBdr>
    </w:div>
    <w:div w:id="1682928184">
      <w:bodyDiv w:val="1"/>
      <w:marLeft w:val="0"/>
      <w:marRight w:val="0"/>
      <w:marTop w:val="0"/>
      <w:marBottom w:val="0"/>
      <w:divBdr>
        <w:top w:val="none" w:sz="0" w:space="0" w:color="auto"/>
        <w:left w:val="none" w:sz="0" w:space="0" w:color="auto"/>
        <w:bottom w:val="none" w:sz="0" w:space="0" w:color="auto"/>
        <w:right w:val="none" w:sz="0" w:space="0" w:color="auto"/>
      </w:divBdr>
    </w:div>
    <w:div w:id="1683511148">
      <w:bodyDiv w:val="1"/>
      <w:marLeft w:val="0"/>
      <w:marRight w:val="0"/>
      <w:marTop w:val="0"/>
      <w:marBottom w:val="0"/>
      <w:divBdr>
        <w:top w:val="none" w:sz="0" w:space="0" w:color="auto"/>
        <w:left w:val="none" w:sz="0" w:space="0" w:color="auto"/>
        <w:bottom w:val="none" w:sz="0" w:space="0" w:color="auto"/>
        <w:right w:val="none" w:sz="0" w:space="0" w:color="auto"/>
      </w:divBdr>
    </w:div>
    <w:div w:id="1685088834">
      <w:bodyDiv w:val="1"/>
      <w:marLeft w:val="0"/>
      <w:marRight w:val="0"/>
      <w:marTop w:val="0"/>
      <w:marBottom w:val="0"/>
      <w:divBdr>
        <w:top w:val="none" w:sz="0" w:space="0" w:color="auto"/>
        <w:left w:val="none" w:sz="0" w:space="0" w:color="auto"/>
        <w:bottom w:val="none" w:sz="0" w:space="0" w:color="auto"/>
        <w:right w:val="none" w:sz="0" w:space="0" w:color="auto"/>
      </w:divBdr>
    </w:div>
    <w:div w:id="1685356477">
      <w:bodyDiv w:val="1"/>
      <w:marLeft w:val="0"/>
      <w:marRight w:val="0"/>
      <w:marTop w:val="0"/>
      <w:marBottom w:val="0"/>
      <w:divBdr>
        <w:top w:val="none" w:sz="0" w:space="0" w:color="auto"/>
        <w:left w:val="none" w:sz="0" w:space="0" w:color="auto"/>
        <w:bottom w:val="none" w:sz="0" w:space="0" w:color="auto"/>
        <w:right w:val="none" w:sz="0" w:space="0" w:color="auto"/>
      </w:divBdr>
    </w:div>
    <w:div w:id="1685400531">
      <w:bodyDiv w:val="1"/>
      <w:marLeft w:val="0"/>
      <w:marRight w:val="0"/>
      <w:marTop w:val="0"/>
      <w:marBottom w:val="0"/>
      <w:divBdr>
        <w:top w:val="none" w:sz="0" w:space="0" w:color="auto"/>
        <w:left w:val="none" w:sz="0" w:space="0" w:color="auto"/>
        <w:bottom w:val="none" w:sz="0" w:space="0" w:color="auto"/>
        <w:right w:val="none" w:sz="0" w:space="0" w:color="auto"/>
      </w:divBdr>
    </w:div>
    <w:div w:id="1685477690">
      <w:bodyDiv w:val="1"/>
      <w:marLeft w:val="0"/>
      <w:marRight w:val="0"/>
      <w:marTop w:val="0"/>
      <w:marBottom w:val="0"/>
      <w:divBdr>
        <w:top w:val="none" w:sz="0" w:space="0" w:color="auto"/>
        <w:left w:val="none" w:sz="0" w:space="0" w:color="auto"/>
        <w:bottom w:val="none" w:sz="0" w:space="0" w:color="auto"/>
        <w:right w:val="none" w:sz="0" w:space="0" w:color="auto"/>
      </w:divBdr>
    </w:div>
    <w:div w:id="1685932508">
      <w:bodyDiv w:val="1"/>
      <w:marLeft w:val="0"/>
      <w:marRight w:val="0"/>
      <w:marTop w:val="0"/>
      <w:marBottom w:val="0"/>
      <w:divBdr>
        <w:top w:val="none" w:sz="0" w:space="0" w:color="auto"/>
        <w:left w:val="none" w:sz="0" w:space="0" w:color="auto"/>
        <w:bottom w:val="none" w:sz="0" w:space="0" w:color="auto"/>
        <w:right w:val="none" w:sz="0" w:space="0" w:color="auto"/>
      </w:divBdr>
    </w:div>
    <w:div w:id="1686857942">
      <w:bodyDiv w:val="1"/>
      <w:marLeft w:val="0"/>
      <w:marRight w:val="0"/>
      <w:marTop w:val="0"/>
      <w:marBottom w:val="0"/>
      <w:divBdr>
        <w:top w:val="none" w:sz="0" w:space="0" w:color="auto"/>
        <w:left w:val="none" w:sz="0" w:space="0" w:color="auto"/>
        <w:bottom w:val="none" w:sz="0" w:space="0" w:color="auto"/>
        <w:right w:val="none" w:sz="0" w:space="0" w:color="auto"/>
      </w:divBdr>
    </w:div>
    <w:div w:id="1686858548">
      <w:bodyDiv w:val="1"/>
      <w:marLeft w:val="0"/>
      <w:marRight w:val="0"/>
      <w:marTop w:val="0"/>
      <w:marBottom w:val="0"/>
      <w:divBdr>
        <w:top w:val="none" w:sz="0" w:space="0" w:color="auto"/>
        <w:left w:val="none" w:sz="0" w:space="0" w:color="auto"/>
        <w:bottom w:val="none" w:sz="0" w:space="0" w:color="auto"/>
        <w:right w:val="none" w:sz="0" w:space="0" w:color="auto"/>
      </w:divBdr>
    </w:div>
    <w:div w:id="1687904776">
      <w:bodyDiv w:val="1"/>
      <w:marLeft w:val="0"/>
      <w:marRight w:val="0"/>
      <w:marTop w:val="0"/>
      <w:marBottom w:val="0"/>
      <w:divBdr>
        <w:top w:val="none" w:sz="0" w:space="0" w:color="auto"/>
        <w:left w:val="none" w:sz="0" w:space="0" w:color="auto"/>
        <w:bottom w:val="none" w:sz="0" w:space="0" w:color="auto"/>
        <w:right w:val="none" w:sz="0" w:space="0" w:color="auto"/>
      </w:divBdr>
    </w:div>
    <w:div w:id="1689483706">
      <w:bodyDiv w:val="1"/>
      <w:marLeft w:val="0"/>
      <w:marRight w:val="0"/>
      <w:marTop w:val="0"/>
      <w:marBottom w:val="0"/>
      <w:divBdr>
        <w:top w:val="none" w:sz="0" w:space="0" w:color="auto"/>
        <w:left w:val="none" w:sz="0" w:space="0" w:color="auto"/>
        <w:bottom w:val="none" w:sz="0" w:space="0" w:color="auto"/>
        <w:right w:val="none" w:sz="0" w:space="0" w:color="auto"/>
      </w:divBdr>
    </w:div>
    <w:div w:id="1689602310">
      <w:bodyDiv w:val="1"/>
      <w:marLeft w:val="0"/>
      <w:marRight w:val="0"/>
      <w:marTop w:val="0"/>
      <w:marBottom w:val="0"/>
      <w:divBdr>
        <w:top w:val="none" w:sz="0" w:space="0" w:color="auto"/>
        <w:left w:val="none" w:sz="0" w:space="0" w:color="auto"/>
        <w:bottom w:val="none" w:sz="0" w:space="0" w:color="auto"/>
        <w:right w:val="none" w:sz="0" w:space="0" w:color="auto"/>
      </w:divBdr>
    </w:div>
    <w:div w:id="1690910408">
      <w:bodyDiv w:val="1"/>
      <w:marLeft w:val="0"/>
      <w:marRight w:val="0"/>
      <w:marTop w:val="0"/>
      <w:marBottom w:val="0"/>
      <w:divBdr>
        <w:top w:val="none" w:sz="0" w:space="0" w:color="auto"/>
        <w:left w:val="none" w:sz="0" w:space="0" w:color="auto"/>
        <w:bottom w:val="none" w:sz="0" w:space="0" w:color="auto"/>
        <w:right w:val="none" w:sz="0" w:space="0" w:color="auto"/>
      </w:divBdr>
    </w:div>
    <w:div w:id="1691641715">
      <w:bodyDiv w:val="1"/>
      <w:marLeft w:val="0"/>
      <w:marRight w:val="0"/>
      <w:marTop w:val="0"/>
      <w:marBottom w:val="0"/>
      <w:divBdr>
        <w:top w:val="none" w:sz="0" w:space="0" w:color="auto"/>
        <w:left w:val="none" w:sz="0" w:space="0" w:color="auto"/>
        <w:bottom w:val="none" w:sz="0" w:space="0" w:color="auto"/>
        <w:right w:val="none" w:sz="0" w:space="0" w:color="auto"/>
      </w:divBdr>
    </w:div>
    <w:div w:id="1692686445">
      <w:bodyDiv w:val="1"/>
      <w:marLeft w:val="0"/>
      <w:marRight w:val="0"/>
      <w:marTop w:val="0"/>
      <w:marBottom w:val="0"/>
      <w:divBdr>
        <w:top w:val="none" w:sz="0" w:space="0" w:color="auto"/>
        <w:left w:val="none" w:sz="0" w:space="0" w:color="auto"/>
        <w:bottom w:val="none" w:sz="0" w:space="0" w:color="auto"/>
        <w:right w:val="none" w:sz="0" w:space="0" w:color="auto"/>
      </w:divBdr>
    </w:div>
    <w:div w:id="1692757466">
      <w:bodyDiv w:val="1"/>
      <w:marLeft w:val="0"/>
      <w:marRight w:val="0"/>
      <w:marTop w:val="0"/>
      <w:marBottom w:val="0"/>
      <w:divBdr>
        <w:top w:val="none" w:sz="0" w:space="0" w:color="auto"/>
        <w:left w:val="none" w:sz="0" w:space="0" w:color="auto"/>
        <w:bottom w:val="none" w:sz="0" w:space="0" w:color="auto"/>
        <w:right w:val="none" w:sz="0" w:space="0" w:color="auto"/>
      </w:divBdr>
    </w:div>
    <w:div w:id="1693072455">
      <w:bodyDiv w:val="1"/>
      <w:marLeft w:val="0"/>
      <w:marRight w:val="0"/>
      <w:marTop w:val="0"/>
      <w:marBottom w:val="0"/>
      <w:divBdr>
        <w:top w:val="none" w:sz="0" w:space="0" w:color="auto"/>
        <w:left w:val="none" w:sz="0" w:space="0" w:color="auto"/>
        <w:bottom w:val="none" w:sz="0" w:space="0" w:color="auto"/>
        <w:right w:val="none" w:sz="0" w:space="0" w:color="auto"/>
      </w:divBdr>
    </w:div>
    <w:div w:id="1693265237">
      <w:bodyDiv w:val="1"/>
      <w:marLeft w:val="0"/>
      <w:marRight w:val="0"/>
      <w:marTop w:val="0"/>
      <w:marBottom w:val="0"/>
      <w:divBdr>
        <w:top w:val="none" w:sz="0" w:space="0" w:color="auto"/>
        <w:left w:val="none" w:sz="0" w:space="0" w:color="auto"/>
        <w:bottom w:val="none" w:sz="0" w:space="0" w:color="auto"/>
        <w:right w:val="none" w:sz="0" w:space="0" w:color="auto"/>
      </w:divBdr>
    </w:div>
    <w:div w:id="1693460718">
      <w:bodyDiv w:val="1"/>
      <w:marLeft w:val="0"/>
      <w:marRight w:val="0"/>
      <w:marTop w:val="0"/>
      <w:marBottom w:val="0"/>
      <w:divBdr>
        <w:top w:val="none" w:sz="0" w:space="0" w:color="auto"/>
        <w:left w:val="none" w:sz="0" w:space="0" w:color="auto"/>
        <w:bottom w:val="none" w:sz="0" w:space="0" w:color="auto"/>
        <w:right w:val="none" w:sz="0" w:space="0" w:color="auto"/>
      </w:divBdr>
    </w:div>
    <w:div w:id="1693726111">
      <w:bodyDiv w:val="1"/>
      <w:marLeft w:val="0"/>
      <w:marRight w:val="0"/>
      <w:marTop w:val="0"/>
      <w:marBottom w:val="0"/>
      <w:divBdr>
        <w:top w:val="none" w:sz="0" w:space="0" w:color="auto"/>
        <w:left w:val="none" w:sz="0" w:space="0" w:color="auto"/>
        <w:bottom w:val="none" w:sz="0" w:space="0" w:color="auto"/>
        <w:right w:val="none" w:sz="0" w:space="0" w:color="auto"/>
      </w:divBdr>
    </w:div>
    <w:div w:id="1693727324">
      <w:bodyDiv w:val="1"/>
      <w:marLeft w:val="0"/>
      <w:marRight w:val="0"/>
      <w:marTop w:val="0"/>
      <w:marBottom w:val="0"/>
      <w:divBdr>
        <w:top w:val="none" w:sz="0" w:space="0" w:color="auto"/>
        <w:left w:val="none" w:sz="0" w:space="0" w:color="auto"/>
        <w:bottom w:val="none" w:sz="0" w:space="0" w:color="auto"/>
        <w:right w:val="none" w:sz="0" w:space="0" w:color="auto"/>
      </w:divBdr>
    </w:div>
    <w:div w:id="1694040267">
      <w:bodyDiv w:val="1"/>
      <w:marLeft w:val="0"/>
      <w:marRight w:val="0"/>
      <w:marTop w:val="0"/>
      <w:marBottom w:val="0"/>
      <w:divBdr>
        <w:top w:val="none" w:sz="0" w:space="0" w:color="auto"/>
        <w:left w:val="none" w:sz="0" w:space="0" w:color="auto"/>
        <w:bottom w:val="none" w:sz="0" w:space="0" w:color="auto"/>
        <w:right w:val="none" w:sz="0" w:space="0" w:color="auto"/>
      </w:divBdr>
    </w:div>
    <w:div w:id="1694376762">
      <w:bodyDiv w:val="1"/>
      <w:marLeft w:val="0"/>
      <w:marRight w:val="0"/>
      <w:marTop w:val="0"/>
      <w:marBottom w:val="0"/>
      <w:divBdr>
        <w:top w:val="none" w:sz="0" w:space="0" w:color="auto"/>
        <w:left w:val="none" w:sz="0" w:space="0" w:color="auto"/>
        <w:bottom w:val="none" w:sz="0" w:space="0" w:color="auto"/>
        <w:right w:val="none" w:sz="0" w:space="0" w:color="auto"/>
      </w:divBdr>
    </w:div>
    <w:div w:id="1694917886">
      <w:bodyDiv w:val="1"/>
      <w:marLeft w:val="0"/>
      <w:marRight w:val="0"/>
      <w:marTop w:val="0"/>
      <w:marBottom w:val="0"/>
      <w:divBdr>
        <w:top w:val="none" w:sz="0" w:space="0" w:color="auto"/>
        <w:left w:val="none" w:sz="0" w:space="0" w:color="auto"/>
        <w:bottom w:val="none" w:sz="0" w:space="0" w:color="auto"/>
        <w:right w:val="none" w:sz="0" w:space="0" w:color="auto"/>
      </w:divBdr>
    </w:div>
    <w:div w:id="1694988534">
      <w:bodyDiv w:val="1"/>
      <w:marLeft w:val="0"/>
      <w:marRight w:val="0"/>
      <w:marTop w:val="0"/>
      <w:marBottom w:val="0"/>
      <w:divBdr>
        <w:top w:val="none" w:sz="0" w:space="0" w:color="auto"/>
        <w:left w:val="none" w:sz="0" w:space="0" w:color="auto"/>
        <w:bottom w:val="none" w:sz="0" w:space="0" w:color="auto"/>
        <w:right w:val="none" w:sz="0" w:space="0" w:color="auto"/>
      </w:divBdr>
    </w:div>
    <w:div w:id="1695039748">
      <w:bodyDiv w:val="1"/>
      <w:marLeft w:val="0"/>
      <w:marRight w:val="0"/>
      <w:marTop w:val="0"/>
      <w:marBottom w:val="0"/>
      <w:divBdr>
        <w:top w:val="none" w:sz="0" w:space="0" w:color="auto"/>
        <w:left w:val="none" w:sz="0" w:space="0" w:color="auto"/>
        <w:bottom w:val="none" w:sz="0" w:space="0" w:color="auto"/>
        <w:right w:val="none" w:sz="0" w:space="0" w:color="auto"/>
      </w:divBdr>
    </w:div>
    <w:div w:id="1696612338">
      <w:bodyDiv w:val="1"/>
      <w:marLeft w:val="0"/>
      <w:marRight w:val="0"/>
      <w:marTop w:val="0"/>
      <w:marBottom w:val="0"/>
      <w:divBdr>
        <w:top w:val="none" w:sz="0" w:space="0" w:color="auto"/>
        <w:left w:val="none" w:sz="0" w:space="0" w:color="auto"/>
        <w:bottom w:val="none" w:sz="0" w:space="0" w:color="auto"/>
        <w:right w:val="none" w:sz="0" w:space="0" w:color="auto"/>
      </w:divBdr>
    </w:div>
    <w:div w:id="1696693874">
      <w:bodyDiv w:val="1"/>
      <w:marLeft w:val="0"/>
      <w:marRight w:val="0"/>
      <w:marTop w:val="0"/>
      <w:marBottom w:val="0"/>
      <w:divBdr>
        <w:top w:val="none" w:sz="0" w:space="0" w:color="auto"/>
        <w:left w:val="none" w:sz="0" w:space="0" w:color="auto"/>
        <w:bottom w:val="none" w:sz="0" w:space="0" w:color="auto"/>
        <w:right w:val="none" w:sz="0" w:space="0" w:color="auto"/>
      </w:divBdr>
    </w:div>
    <w:div w:id="1696729103">
      <w:bodyDiv w:val="1"/>
      <w:marLeft w:val="0"/>
      <w:marRight w:val="0"/>
      <w:marTop w:val="0"/>
      <w:marBottom w:val="0"/>
      <w:divBdr>
        <w:top w:val="none" w:sz="0" w:space="0" w:color="auto"/>
        <w:left w:val="none" w:sz="0" w:space="0" w:color="auto"/>
        <w:bottom w:val="none" w:sz="0" w:space="0" w:color="auto"/>
        <w:right w:val="none" w:sz="0" w:space="0" w:color="auto"/>
      </w:divBdr>
    </w:div>
    <w:div w:id="1697733539">
      <w:bodyDiv w:val="1"/>
      <w:marLeft w:val="0"/>
      <w:marRight w:val="0"/>
      <w:marTop w:val="0"/>
      <w:marBottom w:val="0"/>
      <w:divBdr>
        <w:top w:val="none" w:sz="0" w:space="0" w:color="auto"/>
        <w:left w:val="none" w:sz="0" w:space="0" w:color="auto"/>
        <w:bottom w:val="none" w:sz="0" w:space="0" w:color="auto"/>
        <w:right w:val="none" w:sz="0" w:space="0" w:color="auto"/>
      </w:divBdr>
    </w:div>
    <w:div w:id="1697996717">
      <w:bodyDiv w:val="1"/>
      <w:marLeft w:val="0"/>
      <w:marRight w:val="0"/>
      <w:marTop w:val="0"/>
      <w:marBottom w:val="0"/>
      <w:divBdr>
        <w:top w:val="none" w:sz="0" w:space="0" w:color="auto"/>
        <w:left w:val="none" w:sz="0" w:space="0" w:color="auto"/>
        <w:bottom w:val="none" w:sz="0" w:space="0" w:color="auto"/>
        <w:right w:val="none" w:sz="0" w:space="0" w:color="auto"/>
      </w:divBdr>
    </w:div>
    <w:div w:id="1699425113">
      <w:bodyDiv w:val="1"/>
      <w:marLeft w:val="0"/>
      <w:marRight w:val="0"/>
      <w:marTop w:val="0"/>
      <w:marBottom w:val="0"/>
      <w:divBdr>
        <w:top w:val="none" w:sz="0" w:space="0" w:color="auto"/>
        <w:left w:val="none" w:sz="0" w:space="0" w:color="auto"/>
        <w:bottom w:val="none" w:sz="0" w:space="0" w:color="auto"/>
        <w:right w:val="none" w:sz="0" w:space="0" w:color="auto"/>
      </w:divBdr>
    </w:div>
    <w:div w:id="1700547149">
      <w:bodyDiv w:val="1"/>
      <w:marLeft w:val="0"/>
      <w:marRight w:val="0"/>
      <w:marTop w:val="0"/>
      <w:marBottom w:val="0"/>
      <w:divBdr>
        <w:top w:val="none" w:sz="0" w:space="0" w:color="auto"/>
        <w:left w:val="none" w:sz="0" w:space="0" w:color="auto"/>
        <w:bottom w:val="none" w:sz="0" w:space="0" w:color="auto"/>
        <w:right w:val="none" w:sz="0" w:space="0" w:color="auto"/>
      </w:divBdr>
    </w:div>
    <w:div w:id="1700738278">
      <w:bodyDiv w:val="1"/>
      <w:marLeft w:val="0"/>
      <w:marRight w:val="0"/>
      <w:marTop w:val="0"/>
      <w:marBottom w:val="0"/>
      <w:divBdr>
        <w:top w:val="none" w:sz="0" w:space="0" w:color="auto"/>
        <w:left w:val="none" w:sz="0" w:space="0" w:color="auto"/>
        <w:bottom w:val="none" w:sz="0" w:space="0" w:color="auto"/>
        <w:right w:val="none" w:sz="0" w:space="0" w:color="auto"/>
      </w:divBdr>
    </w:div>
    <w:div w:id="1701005513">
      <w:bodyDiv w:val="1"/>
      <w:marLeft w:val="0"/>
      <w:marRight w:val="0"/>
      <w:marTop w:val="0"/>
      <w:marBottom w:val="0"/>
      <w:divBdr>
        <w:top w:val="none" w:sz="0" w:space="0" w:color="auto"/>
        <w:left w:val="none" w:sz="0" w:space="0" w:color="auto"/>
        <w:bottom w:val="none" w:sz="0" w:space="0" w:color="auto"/>
        <w:right w:val="none" w:sz="0" w:space="0" w:color="auto"/>
      </w:divBdr>
    </w:div>
    <w:div w:id="1701126349">
      <w:bodyDiv w:val="1"/>
      <w:marLeft w:val="0"/>
      <w:marRight w:val="0"/>
      <w:marTop w:val="0"/>
      <w:marBottom w:val="0"/>
      <w:divBdr>
        <w:top w:val="none" w:sz="0" w:space="0" w:color="auto"/>
        <w:left w:val="none" w:sz="0" w:space="0" w:color="auto"/>
        <w:bottom w:val="none" w:sz="0" w:space="0" w:color="auto"/>
        <w:right w:val="none" w:sz="0" w:space="0" w:color="auto"/>
      </w:divBdr>
    </w:div>
    <w:div w:id="1701202748">
      <w:bodyDiv w:val="1"/>
      <w:marLeft w:val="0"/>
      <w:marRight w:val="0"/>
      <w:marTop w:val="0"/>
      <w:marBottom w:val="0"/>
      <w:divBdr>
        <w:top w:val="none" w:sz="0" w:space="0" w:color="auto"/>
        <w:left w:val="none" w:sz="0" w:space="0" w:color="auto"/>
        <w:bottom w:val="none" w:sz="0" w:space="0" w:color="auto"/>
        <w:right w:val="none" w:sz="0" w:space="0" w:color="auto"/>
      </w:divBdr>
    </w:div>
    <w:div w:id="1701391927">
      <w:bodyDiv w:val="1"/>
      <w:marLeft w:val="0"/>
      <w:marRight w:val="0"/>
      <w:marTop w:val="0"/>
      <w:marBottom w:val="0"/>
      <w:divBdr>
        <w:top w:val="none" w:sz="0" w:space="0" w:color="auto"/>
        <w:left w:val="none" w:sz="0" w:space="0" w:color="auto"/>
        <w:bottom w:val="none" w:sz="0" w:space="0" w:color="auto"/>
        <w:right w:val="none" w:sz="0" w:space="0" w:color="auto"/>
      </w:divBdr>
    </w:div>
    <w:div w:id="1702784767">
      <w:bodyDiv w:val="1"/>
      <w:marLeft w:val="0"/>
      <w:marRight w:val="0"/>
      <w:marTop w:val="0"/>
      <w:marBottom w:val="0"/>
      <w:divBdr>
        <w:top w:val="none" w:sz="0" w:space="0" w:color="auto"/>
        <w:left w:val="none" w:sz="0" w:space="0" w:color="auto"/>
        <w:bottom w:val="none" w:sz="0" w:space="0" w:color="auto"/>
        <w:right w:val="none" w:sz="0" w:space="0" w:color="auto"/>
      </w:divBdr>
    </w:div>
    <w:div w:id="1702899030">
      <w:bodyDiv w:val="1"/>
      <w:marLeft w:val="0"/>
      <w:marRight w:val="0"/>
      <w:marTop w:val="0"/>
      <w:marBottom w:val="0"/>
      <w:divBdr>
        <w:top w:val="none" w:sz="0" w:space="0" w:color="auto"/>
        <w:left w:val="none" w:sz="0" w:space="0" w:color="auto"/>
        <w:bottom w:val="none" w:sz="0" w:space="0" w:color="auto"/>
        <w:right w:val="none" w:sz="0" w:space="0" w:color="auto"/>
      </w:divBdr>
    </w:div>
    <w:div w:id="1702972558">
      <w:bodyDiv w:val="1"/>
      <w:marLeft w:val="0"/>
      <w:marRight w:val="0"/>
      <w:marTop w:val="0"/>
      <w:marBottom w:val="0"/>
      <w:divBdr>
        <w:top w:val="none" w:sz="0" w:space="0" w:color="auto"/>
        <w:left w:val="none" w:sz="0" w:space="0" w:color="auto"/>
        <w:bottom w:val="none" w:sz="0" w:space="0" w:color="auto"/>
        <w:right w:val="none" w:sz="0" w:space="0" w:color="auto"/>
      </w:divBdr>
    </w:div>
    <w:div w:id="1703287437">
      <w:bodyDiv w:val="1"/>
      <w:marLeft w:val="0"/>
      <w:marRight w:val="0"/>
      <w:marTop w:val="0"/>
      <w:marBottom w:val="0"/>
      <w:divBdr>
        <w:top w:val="none" w:sz="0" w:space="0" w:color="auto"/>
        <w:left w:val="none" w:sz="0" w:space="0" w:color="auto"/>
        <w:bottom w:val="none" w:sz="0" w:space="0" w:color="auto"/>
        <w:right w:val="none" w:sz="0" w:space="0" w:color="auto"/>
      </w:divBdr>
    </w:div>
    <w:div w:id="1704751141">
      <w:bodyDiv w:val="1"/>
      <w:marLeft w:val="0"/>
      <w:marRight w:val="0"/>
      <w:marTop w:val="0"/>
      <w:marBottom w:val="0"/>
      <w:divBdr>
        <w:top w:val="none" w:sz="0" w:space="0" w:color="auto"/>
        <w:left w:val="none" w:sz="0" w:space="0" w:color="auto"/>
        <w:bottom w:val="none" w:sz="0" w:space="0" w:color="auto"/>
        <w:right w:val="none" w:sz="0" w:space="0" w:color="auto"/>
      </w:divBdr>
    </w:div>
    <w:div w:id="1704943775">
      <w:bodyDiv w:val="1"/>
      <w:marLeft w:val="0"/>
      <w:marRight w:val="0"/>
      <w:marTop w:val="0"/>
      <w:marBottom w:val="0"/>
      <w:divBdr>
        <w:top w:val="none" w:sz="0" w:space="0" w:color="auto"/>
        <w:left w:val="none" w:sz="0" w:space="0" w:color="auto"/>
        <w:bottom w:val="none" w:sz="0" w:space="0" w:color="auto"/>
        <w:right w:val="none" w:sz="0" w:space="0" w:color="auto"/>
      </w:divBdr>
    </w:div>
    <w:div w:id="1705208944">
      <w:bodyDiv w:val="1"/>
      <w:marLeft w:val="0"/>
      <w:marRight w:val="0"/>
      <w:marTop w:val="0"/>
      <w:marBottom w:val="0"/>
      <w:divBdr>
        <w:top w:val="none" w:sz="0" w:space="0" w:color="auto"/>
        <w:left w:val="none" w:sz="0" w:space="0" w:color="auto"/>
        <w:bottom w:val="none" w:sz="0" w:space="0" w:color="auto"/>
        <w:right w:val="none" w:sz="0" w:space="0" w:color="auto"/>
      </w:divBdr>
    </w:div>
    <w:div w:id="1705331171">
      <w:bodyDiv w:val="1"/>
      <w:marLeft w:val="0"/>
      <w:marRight w:val="0"/>
      <w:marTop w:val="0"/>
      <w:marBottom w:val="0"/>
      <w:divBdr>
        <w:top w:val="none" w:sz="0" w:space="0" w:color="auto"/>
        <w:left w:val="none" w:sz="0" w:space="0" w:color="auto"/>
        <w:bottom w:val="none" w:sz="0" w:space="0" w:color="auto"/>
        <w:right w:val="none" w:sz="0" w:space="0" w:color="auto"/>
      </w:divBdr>
    </w:div>
    <w:div w:id="1705445763">
      <w:bodyDiv w:val="1"/>
      <w:marLeft w:val="0"/>
      <w:marRight w:val="0"/>
      <w:marTop w:val="0"/>
      <w:marBottom w:val="0"/>
      <w:divBdr>
        <w:top w:val="none" w:sz="0" w:space="0" w:color="auto"/>
        <w:left w:val="none" w:sz="0" w:space="0" w:color="auto"/>
        <w:bottom w:val="none" w:sz="0" w:space="0" w:color="auto"/>
        <w:right w:val="none" w:sz="0" w:space="0" w:color="auto"/>
      </w:divBdr>
    </w:div>
    <w:div w:id="1705448189">
      <w:bodyDiv w:val="1"/>
      <w:marLeft w:val="0"/>
      <w:marRight w:val="0"/>
      <w:marTop w:val="0"/>
      <w:marBottom w:val="0"/>
      <w:divBdr>
        <w:top w:val="none" w:sz="0" w:space="0" w:color="auto"/>
        <w:left w:val="none" w:sz="0" w:space="0" w:color="auto"/>
        <w:bottom w:val="none" w:sz="0" w:space="0" w:color="auto"/>
        <w:right w:val="none" w:sz="0" w:space="0" w:color="auto"/>
      </w:divBdr>
    </w:div>
    <w:div w:id="1705592138">
      <w:bodyDiv w:val="1"/>
      <w:marLeft w:val="0"/>
      <w:marRight w:val="0"/>
      <w:marTop w:val="0"/>
      <w:marBottom w:val="0"/>
      <w:divBdr>
        <w:top w:val="none" w:sz="0" w:space="0" w:color="auto"/>
        <w:left w:val="none" w:sz="0" w:space="0" w:color="auto"/>
        <w:bottom w:val="none" w:sz="0" w:space="0" w:color="auto"/>
        <w:right w:val="none" w:sz="0" w:space="0" w:color="auto"/>
      </w:divBdr>
    </w:div>
    <w:div w:id="1706246734">
      <w:bodyDiv w:val="1"/>
      <w:marLeft w:val="0"/>
      <w:marRight w:val="0"/>
      <w:marTop w:val="0"/>
      <w:marBottom w:val="0"/>
      <w:divBdr>
        <w:top w:val="none" w:sz="0" w:space="0" w:color="auto"/>
        <w:left w:val="none" w:sz="0" w:space="0" w:color="auto"/>
        <w:bottom w:val="none" w:sz="0" w:space="0" w:color="auto"/>
        <w:right w:val="none" w:sz="0" w:space="0" w:color="auto"/>
      </w:divBdr>
    </w:div>
    <w:div w:id="1707754693">
      <w:bodyDiv w:val="1"/>
      <w:marLeft w:val="0"/>
      <w:marRight w:val="0"/>
      <w:marTop w:val="0"/>
      <w:marBottom w:val="0"/>
      <w:divBdr>
        <w:top w:val="none" w:sz="0" w:space="0" w:color="auto"/>
        <w:left w:val="none" w:sz="0" w:space="0" w:color="auto"/>
        <w:bottom w:val="none" w:sz="0" w:space="0" w:color="auto"/>
        <w:right w:val="none" w:sz="0" w:space="0" w:color="auto"/>
      </w:divBdr>
    </w:div>
    <w:div w:id="1708027322">
      <w:bodyDiv w:val="1"/>
      <w:marLeft w:val="0"/>
      <w:marRight w:val="0"/>
      <w:marTop w:val="0"/>
      <w:marBottom w:val="0"/>
      <w:divBdr>
        <w:top w:val="none" w:sz="0" w:space="0" w:color="auto"/>
        <w:left w:val="none" w:sz="0" w:space="0" w:color="auto"/>
        <w:bottom w:val="none" w:sz="0" w:space="0" w:color="auto"/>
        <w:right w:val="none" w:sz="0" w:space="0" w:color="auto"/>
      </w:divBdr>
    </w:div>
    <w:div w:id="1708947963">
      <w:bodyDiv w:val="1"/>
      <w:marLeft w:val="0"/>
      <w:marRight w:val="0"/>
      <w:marTop w:val="0"/>
      <w:marBottom w:val="0"/>
      <w:divBdr>
        <w:top w:val="none" w:sz="0" w:space="0" w:color="auto"/>
        <w:left w:val="none" w:sz="0" w:space="0" w:color="auto"/>
        <w:bottom w:val="none" w:sz="0" w:space="0" w:color="auto"/>
        <w:right w:val="none" w:sz="0" w:space="0" w:color="auto"/>
      </w:divBdr>
    </w:div>
    <w:div w:id="1709257654">
      <w:bodyDiv w:val="1"/>
      <w:marLeft w:val="0"/>
      <w:marRight w:val="0"/>
      <w:marTop w:val="0"/>
      <w:marBottom w:val="0"/>
      <w:divBdr>
        <w:top w:val="none" w:sz="0" w:space="0" w:color="auto"/>
        <w:left w:val="none" w:sz="0" w:space="0" w:color="auto"/>
        <w:bottom w:val="none" w:sz="0" w:space="0" w:color="auto"/>
        <w:right w:val="none" w:sz="0" w:space="0" w:color="auto"/>
      </w:divBdr>
    </w:div>
    <w:div w:id="1711420544">
      <w:bodyDiv w:val="1"/>
      <w:marLeft w:val="0"/>
      <w:marRight w:val="0"/>
      <w:marTop w:val="0"/>
      <w:marBottom w:val="0"/>
      <w:divBdr>
        <w:top w:val="none" w:sz="0" w:space="0" w:color="auto"/>
        <w:left w:val="none" w:sz="0" w:space="0" w:color="auto"/>
        <w:bottom w:val="none" w:sz="0" w:space="0" w:color="auto"/>
        <w:right w:val="none" w:sz="0" w:space="0" w:color="auto"/>
      </w:divBdr>
    </w:div>
    <w:div w:id="1711564074">
      <w:bodyDiv w:val="1"/>
      <w:marLeft w:val="0"/>
      <w:marRight w:val="0"/>
      <w:marTop w:val="0"/>
      <w:marBottom w:val="0"/>
      <w:divBdr>
        <w:top w:val="none" w:sz="0" w:space="0" w:color="auto"/>
        <w:left w:val="none" w:sz="0" w:space="0" w:color="auto"/>
        <w:bottom w:val="none" w:sz="0" w:space="0" w:color="auto"/>
        <w:right w:val="none" w:sz="0" w:space="0" w:color="auto"/>
      </w:divBdr>
    </w:div>
    <w:div w:id="1711761181">
      <w:bodyDiv w:val="1"/>
      <w:marLeft w:val="0"/>
      <w:marRight w:val="0"/>
      <w:marTop w:val="0"/>
      <w:marBottom w:val="0"/>
      <w:divBdr>
        <w:top w:val="none" w:sz="0" w:space="0" w:color="auto"/>
        <w:left w:val="none" w:sz="0" w:space="0" w:color="auto"/>
        <w:bottom w:val="none" w:sz="0" w:space="0" w:color="auto"/>
        <w:right w:val="none" w:sz="0" w:space="0" w:color="auto"/>
      </w:divBdr>
    </w:div>
    <w:div w:id="1712730965">
      <w:bodyDiv w:val="1"/>
      <w:marLeft w:val="0"/>
      <w:marRight w:val="0"/>
      <w:marTop w:val="0"/>
      <w:marBottom w:val="0"/>
      <w:divBdr>
        <w:top w:val="none" w:sz="0" w:space="0" w:color="auto"/>
        <w:left w:val="none" w:sz="0" w:space="0" w:color="auto"/>
        <w:bottom w:val="none" w:sz="0" w:space="0" w:color="auto"/>
        <w:right w:val="none" w:sz="0" w:space="0" w:color="auto"/>
      </w:divBdr>
    </w:div>
    <w:div w:id="1712877836">
      <w:bodyDiv w:val="1"/>
      <w:marLeft w:val="0"/>
      <w:marRight w:val="0"/>
      <w:marTop w:val="0"/>
      <w:marBottom w:val="0"/>
      <w:divBdr>
        <w:top w:val="none" w:sz="0" w:space="0" w:color="auto"/>
        <w:left w:val="none" w:sz="0" w:space="0" w:color="auto"/>
        <w:bottom w:val="none" w:sz="0" w:space="0" w:color="auto"/>
        <w:right w:val="none" w:sz="0" w:space="0" w:color="auto"/>
      </w:divBdr>
    </w:div>
    <w:div w:id="1713260579">
      <w:bodyDiv w:val="1"/>
      <w:marLeft w:val="0"/>
      <w:marRight w:val="0"/>
      <w:marTop w:val="0"/>
      <w:marBottom w:val="0"/>
      <w:divBdr>
        <w:top w:val="none" w:sz="0" w:space="0" w:color="auto"/>
        <w:left w:val="none" w:sz="0" w:space="0" w:color="auto"/>
        <w:bottom w:val="none" w:sz="0" w:space="0" w:color="auto"/>
        <w:right w:val="none" w:sz="0" w:space="0" w:color="auto"/>
      </w:divBdr>
    </w:div>
    <w:div w:id="1713458205">
      <w:bodyDiv w:val="1"/>
      <w:marLeft w:val="0"/>
      <w:marRight w:val="0"/>
      <w:marTop w:val="0"/>
      <w:marBottom w:val="0"/>
      <w:divBdr>
        <w:top w:val="none" w:sz="0" w:space="0" w:color="auto"/>
        <w:left w:val="none" w:sz="0" w:space="0" w:color="auto"/>
        <w:bottom w:val="none" w:sz="0" w:space="0" w:color="auto"/>
        <w:right w:val="none" w:sz="0" w:space="0" w:color="auto"/>
      </w:divBdr>
    </w:div>
    <w:div w:id="1713728260">
      <w:bodyDiv w:val="1"/>
      <w:marLeft w:val="0"/>
      <w:marRight w:val="0"/>
      <w:marTop w:val="0"/>
      <w:marBottom w:val="0"/>
      <w:divBdr>
        <w:top w:val="none" w:sz="0" w:space="0" w:color="auto"/>
        <w:left w:val="none" w:sz="0" w:space="0" w:color="auto"/>
        <w:bottom w:val="none" w:sz="0" w:space="0" w:color="auto"/>
        <w:right w:val="none" w:sz="0" w:space="0" w:color="auto"/>
      </w:divBdr>
    </w:div>
    <w:div w:id="1713991595">
      <w:bodyDiv w:val="1"/>
      <w:marLeft w:val="0"/>
      <w:marRight w:val="0"/>
      <w:marTop w:val="0"/>
      <w:marBottom w:val="0"/>
      <w:divBdr>
        <w:top w:val="none" w:sz="0" w:space="0" w:color="auto"/>
        <w:left w:val="none" w:sz="0" w:space="0" w:color="auto"/>
        <w:bottom w:val="none" w:sz="0" w:space="0" w:color="auto"/>
        <w:right w:val="none" w:sz="0" w:space="0" w:color="auto"/>
      </w:divBdr>
    </w:div>
    <w:div w:id="1714110629">
      <w:bodyDiv w:val="1"/>
      <w:marLeft w:val="0"/>
      <w:marRight w:val="0"/>
      <w:marTop w:val="0"/>
      <w:marBottom w:val="0"/>
      <w:divBdr>
        <w:top w:val="none" w:sz="0" w:space="0" w:color="auto"/>
        <w:left w:val="none" w:sz="0" w:space="0" w:color="auto"/>
        <w:bottom w:val="none" w:sz="0" w:space="0" w:color="auto"/>
        <w:right w:val="none" w:sz="0" w:space="0" w:color="auto"/>
      </w:divBdr>
    </w:div>
    <w:div w:id="1715155544">
      <w:bodyDiv w:val="1"/>
      <w:marLeft w:val="0"/>
      <w:marRight w:val="0"/>
      <w:marTop w:val="0"/>
      <w:marBottom w:val="0"/>
      <w:divBdr>
        <w:top w:val="none" w:sz="0" w:space="0" w:color="auto"/>
        <w:left w:val="none" w:sz="0" w:space="0" w:color="auto"/>
        <w:bottom w:val="none" w:sz="0" w:space="0" w:color="auto"/>
        <w:right w:val="none" w:sz="0" w:space="0" w:color="auto"/>
      </w:divBdr>
    </w:div>
    <w:div w:id="1715735570">
      <w:bodyDiv w:val="1"/>
      <w:marLeft w:val="0"/>
      <w:marRight w:val="0"/>
      <w:marTop w:val="0"/>
      <w:marBottom w:val="0"/>
      <w:divBdr>
        <w:top w:val="none" w:sz="0" w:space="0" w:color="auto"/>
        <w:left w:val="none" w:sz="0" w:space="0" w:color="auto"/>
        <w:bottom w:val="none" w:sz="0" w:space="0" w:color="auto"/>
        <w:right w:val="none" w:sz="0" w:space="0" w:color="auto"/>
      </w:divBdr>
    </w:div>
    <w:div w:id="171581288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005322">
      <w:bodyDiv w:val="1"/>
      <w:marLeft w:val="0"/>
      <w:marRight w:val="0"/>
      <w:marTop w:val="0"/>
      <w:marBottom w:val="0"/>
      <w:divBdr>
        <w:top w:val="none" w:sz="0" w:space="0" w:color="auto"/>
        <w:left w:val="none" w:sz="0" w:space="0" w:color="auto"/>
        <w:bottom w:val="none" w:sz="0" w:space="0" w:color="auto"/>
        <w:right w:val="none" w:sz="0" w:space="0" w:color="auto"/>
      </w:divBdr>
    </w:div>
    <w:div w:id="1716739247">
      <w:bodyDiv w:val="1"/>
      <w:marLeft w:val="0"/>
      <w:marRight w:val="0"/>
      <w:marTop w:val="0"/>
      <w:marBottom w:val="0"/>
      <w:divBdr>
        <w:top w:val="none" w:sz="0" w:space="0" w:color="auto"/>
        <w:left w:val="none" w:sz="0" w:space="0" w:color="auto"/>
        <w:bottom w:val="none" w:sz="0" w:space="0" w:color="auto"/>
        <w:right w:val="none" w:sz="0" w:space="0" w:color="auto"/>
      </w:divBdr>
    </w:div>
    <w:div w:id="1717312480">
      <w:bodyDiv w:val="1"/>
      <w:marLeft w:val="0"/>
      <w:marRight w:val="0"/>
      <w:marTop w:val="0"/>
      <w:marBottom w:val="0"/>
      <w:divBdr>
        <w:top w:val="none" w:sz="0" w:space="0" w:color="auto"/>
        <w:left w:val="none" w:sz="0" w:space="0" w:color="auto"/>
        <w:bottom w:val="none" w:sz="0" w:space="0" w:color="auto"/>
        <w:right w:val="none" w:sz="0" w:space="0" w:color="auto"/>
      </w:divBdr>
    </w:div>
    <w:div w:id="1717504451">
      <w:bodyDiv w:val="1"/>
      <w:marLeft w:val="0"/>
      <w:marRight w:val="0"/>
      <w:marTop w:val="0"/>
      <w:marBottom w:val="0"/>
      <w:divBdr>
        <w:top w:val="none" w:sz="0" w:space="0" w:color="auto"/>
        <w:left w:val="none" w:sz="0" w:space="0" w:color="auto"/>
        <w:bottom w:val="none" w:sz="0" w:space="0" w:color="auto"/>
        <w:right w:val="none" w:sz="0" w:space="0" w:color="auto"/>
      </w:divBdr>
    </w:div>
    <w:div w:id="1717586175">
      <w:bodyDiv w:val="1"/>
      <w:marLeft w:val="0"/>
      <w:marRight w:val="0"/>
      <w:marTop w:val="0"/>
      <w:marBottom w:val="0"/>
      <w:divBdr>
        <w:top w:val="none" w:sz="0" w:space="0" w:color="auto"/>
        <w:left w:val="none" w:sz="0" w:space="0" w:color="auto"/>
        <w:bottom w:val="none" w:sz="0" w:space="0" w:color="auto"/>
        <w:right w:val="none" w:sz="0" w:space="0" w:color="auto"/>
      </w:divBdr>
    </w:div>
    <w:div w:id="1718158551">
      <w:bodyDiv w:val="1"/>
      <w:marLeft w:val="0"/>
      <w:marRight w:val="0"/>
      <w:marTop w:val="0"/>
      <w:marBottom w:val="0"/>
      <w:divBdr>
        <w:top w:val="none" w:sz="0" w:space="0" w:color="auto"/>
        <w:left w:val="none" w:sz="0" w:space="0" w:color="auto"/>
        <w:bottom w:val="none" w:sz="0" w:space="0" w:color="auto"/>
        <w:right w:val="none" w:sz="0" w:space="0" w:color="auto"/>
      </w:divBdr>
    </w:div>
    <w:div w:id="1718163115">
      <w:bodyDiv w:val="1"/>
      <w:marLeft w:val="0"/>
      <w:marRight w:val="0"/>
      <w:marTop w:val="0"/>
      <w:marBottom w:val="0"/>
      <w:divBdr>
        <w:top w:val="none" w:sz="0" w:space="0" w:color="auto"/>
        <w:left w:val="none" w:sz="0" w:space="0" w:color="auto"/>
        <w:bottom w:val="none" w:sz="0" w:space="0" w:color="auto"/>
        <w:right w:val="none" w:sz="0" w:space="0" w:color="auto"/>
      </w:divBdr>
    </w:div>
    <w:div w:id="1718434090">
      <w:bodyDiv w:val="1"/>
      <w:marLeft w:val="0"/>
      <w:marRight w:val="0"/>
      <w:marTop w:val="0"/>
      <w:marBottom w:val="0"/>
      <w:divBdr>
        <w:top w:val="none" w:sz="0" w:space="0" w:color="auto"/>
        <w:left w:val="none" w:sz="0" w:space="0" w:color="auto"/>
        <w:bottom w:val="none" w:sz="0" w:space="0" w:color="auto"/>
        <w:right w:val="none" w:sz="0" w:space="0" w:color="auto"/>
      </w:divBdr>
    </w:div>
    <w:div w:id="1718553105">
      <w:bodyDiv w:val="1"/>
      <w:marLeft w:val="0"/>
      <w:marRight w:val="0"/>
      <w:marTop w:val="0"/>
      <w:marBottom w:val="0"/>
      <w:divBdr>
        <w:top w:val="none" w:sz="0" w:space="0" w:color="auto"/>
        <w:left w:val="none" w:sz="0" w:space="0" w:color="auto"/>
        <w:bottom w:val="none" w:sz="0" w:space="0" w:color="auto"/>
        <w:right w:val="none" w:sz="0" w:space="0" w:color="auto"/>
      </w:divBdr>
    </w:div>
    <w:div w:id="1718897729">
      <w:bodyDiv w:val="1"/>
      <w:marLeft w:val="0"/>
      <w:marRight w:val="0"/>
      <w:marTop w:val="0"/>
      <w:marBottom w:val="0"/>
      <w:divBdr>
        <w:top w:val="none" w:sz="0" w:space="0" w:color="auto"/>
        <w:left w:val="none" w:sz="0" w:space="0" w:color="auto"/>
        <w:bottom w:val="none" w:sz="0" w:space="0" w:color="auto"/>
        <w:right w:val="none" w:sz="0" w:space="0" w:color="auto"/>
      </w:divBdr>
    </w:div>
    <w:div w:id="1719931253">
      <w:bodyDiv w:val="1"/>
      <w:marLeft w:val="0"/>
      <w:marRight w:val="0"/>
      <w:marTop w:val="0"/>
      <w:marBottom w:val="0"/>
      <w:divBdr>
        <w:top w:val="none" w:sz="0" w:space="0" w:color="auto"/>
        <w:left w:val="none" w:sz="0" w:space="0" w:color="auto"/>
        <w:bottom w:val="none" w:sz="0" w:space="0" w:color="auto"/>
        <w:right w:val="none" w:sz="0" w:space="0" w:color="auto"/>
      </w:divBdr>
    </w:div>
    <w:div w:id="1719940240">
      <w:bodyDiv w:val="1"/>
      <w:marLeft w:val="0"/>
      <w:marRight w:val="0"/>
      <w:marTop w:val="0"/>
      <w:marBottom w:val="0"/>
      <w:divBdr>
        <w:top w:val="none" w:sz="0" w:space="0" w:color="auto"/>
        <w:left w:val="none" w:sz="0" w:space="0" w:color="auto"/>
        <w:bottom w:val="none" w:sz="0" w:space="0" w:color="auto"/>
        <w:right w:val="none" w:sz="0" w:space="0" w:color="auto"/>
      </w:divBdr>
    </w:div>
    <w:div w:id="1720131948">
      <w:bodyDiv w:val="1"/>
      <w:marLeft w:val="0"/>
      <w:marRight w:val="0"/>
      <w:marTop w:val="0"/>
      <w:marBottom w:val="0"/>
      <w:divBdr>
        <w:top w:val="none" w:sz="0" w:space="0" w:color="auto"/>
        <w:left w:val="none" w:sz="0" w:space="0" w:color="auto"/>
        <w:bottom w:val="none" w:sz="0" w:space="0" w:color="auto"/>
        <w:right w:val="none" w:sz="0" w:space="0" w:color="auto"/>
      </w:divBdr>
    </w:div>
    <w:div w:id="1720586684">
      <w:bodyDiv w:val="1"/>
      <w:marLeft w:val="0"/>
      <w:marRight w:val="0"/>
      <w:marTop w:val="0"/>
      <w:marBottom w:val="0"/>
      <w:divBdr>
        <w:top w:val="none" w:sz="0" w:space="0" w:color="auto"/>
        <w:left w:val="none" w:sz="0" w:space="0" w:color="auto"/>
        <w:bottom w:val="none" w:sz="0" w:space="0" w:color="auto"/>
        <w:right w:val="none" w:sz="0" w:space="0" w:color="auto"/>
      </w:divBdr>
    </w:div>
    <w:div w:id="1720587774">
      <w:bodyDiv w:val="1"/>
      <w:marLeft w:val="0"/>
      <w:marRight w:val="0"/>
      <w:marTop w:val="0"/>
      <w:marBottom w:val="0"/>
      <w:divBdr>
        <w:top w:val="none" w:sz="0" w:space="0" w:color="auto"/>
        <w:left w:val="none" w:sz="0" w:space="0" w:color="auto"/>
        <w:bottom w:val="none" w:sz="0" w:space="0" w:color="auto"/>
        <w:right w:val="none" w:sz="0" w:space="0" w:color="auto"/>
      </w:divBdr>
    </w:div>
    <w:div w:id="1721631871">
      <w:bodyDiv w:val="1"/>
      <w:marLeft w:val="0"/>
      <w:marRight w:val="0"/>
      <w:marTop w:val="0"/>
      <w:marBottom w:val="0"/>
      <w:divBdr>
        <w:top w:val="none" w:sz="0" w:space="0" w:color="auto"/>
        <w:left w:val="none" w:sz="0" w:space="0" w:color="auto"/>
        <w:bottom w:val="none" w:sz="0" w:space="0" w:color="auto"/>
        <w:right w:val="none" w:sz="0" w:space="0" w:color="auto"/>
      </w:divBdr>
    </w:div>
    <w:div w:id="1721897867">
      <w:bodyDiv w:val="1"/>
      <w:marLeft w:val="0"/>
      <w:marRight w:val="0"/>
      <w:marTop w:val="0"/>
      <w:marBottom w:val="0"/>
      <w:divBdr>
        <w:top w:val="none" w:sz="0" w:space="0" w:color="auto"/>
        <w:left w:val="none" w:sz="0" w:space="0" w:color="auto"/>
        <w:bottom w:val="none" w:sz="0" w:space="0" w:color="auto"/>
        <w:right w:val="none" w:sz="0" w:space="0" w:color="auto"/>
      </w:divBdr>
    </w:div>
    <w:div w:id="1722363159">
      <w:bodyDiv w:val="1"/>
      <w:marLeft w:val="0"/>
      <w:marRight w:val="0"/>
      <w:marTop w:val="0"/>
      <w:marBottom w:val="0"/>
      <w:divBdr>
        <w:top w:val="none" w:sz="0" w:space="0" w:color="auto"/>
        <w:left w:val="none" w:sz="0" w:space="0" w:color="auto"/>
        <w:bottom w:val="none" w:sz="0" w:space="0" w:color="auto"/>
        <w:right w:val="none" w:sz="0" w:space="0" w:color="auto"/>
      </w:divBdr>
    </w:div>
    <w:div w:id="1722708702">
      <w:bodyDiv w:val="1"/>
      <w:marLeft w:val="0"/>
      <w:marRight w:val="0"/>
      <w:marTop w:val="0"/>
      <w:marBottom w:val="0"/>
      <w:divBdr>
        <w:top w:val="none" w:sz="0" w:space="0" w:color="auto"/>
        <w:left w:val="none" w:sz="0" w:space="0" w:color="auto"/>
        <w:bottom w:val="none" w:sz="0" w:space="0" w:color="auto"/>
        <w:right w:val="none" w:sz="0" w:space="0" w:color="auto"/>
      </w:divBdr>
    </w:div>
    <w:div w:id="1723289081">
      <w:bodyDiv w:val="1"/>
      <w:marLeft w:val="0"/>
      <w:marRight w:val="0"/>
      <w:marTop w:val="0"/>
      <w:marBottom w:val="0"/>
      <w:divBdr>
        <w:top w:val="none" w:sz="0" w:space="0" w:color="auto"/>
        <w:left w:val="none" w:sz="0" w:space="0" w:color="auto"/>
        <w:bottom w:val="none" w:sz="0" w:space="0" w:color="auto"/>
        <w:right w:val="none" w:sz="0" w:space="0" w:color="auto"/>
      </w:divBdr>
    </w:div>
    <w:div w:id="1724796162">
      <w:bodyDiv w:val="1"/>
      <w:marLeft w:val="0"/>
      <w:marRight w:val="0"/>
      <w:marTop w:val="0"/>
      <w:marBottom w:val="0"/>
      <w:divBdr>
        <w:top w:val="none" w:sz="0" w:space="0" w:color="auto"/>
        <w:left w:val="none" w:sz="0" w:space="0" w:color="auto"/>
        <w:bottom w:val="none" w:sz="0" w:space="0" w:color="auto"/>
        <w:right w:val="none" w:sz="0" w:space="0" w:color="auto"/>
      </w:divBdr>
    </w:div>
    <w:div w:id="1724985785">
      <w:bodyDiv w:val="1"/>
      <w:marLeft w:val="0"/>
      <w:marRight w:val="0"/>
      <w:marTop w:val="0"/>
      <w:marBottom w:val="0"/>
      <w:divBdr>
        <w:top w:val="none" w:sz="0" w:space="0" w:color="auto"/>
        <w:left w:val="none" w:sz="0" w:space="0" w:color="auto"/>
        <w:bottom w:val="none" w:sz="0" w:space="0" w:color="auto"/>
        <w:right w:val="none" w:sz="0" w:space="0" w:color="auto"/>
      </w:divBdr>
    </w:div>
    <w:div w:id="1725253862">
      <w:bodyDiv w:val="1"/>
      <w:marLeft w:val="0"/>
      <w:marRight w:val="0"/>
      <w:marTop w:val="0"/>
      <w:marBottom w:val="0"/>
      <w:divBdr>
        <w:top w:val="none" w:sz="0" w:space="0" w:color="auto"/>
        <w:left w:val="none" w:sz="0" w:space="0" w:color="auto"/>
        <w:bottom w:val="none" w:sz="0" w:space="0" w:color="auto"/>
        <w:right w:val="none" w:sz="0" w:space="0" w:color="auto"/>
      </w:divBdr>
    </w:div>
    <w:div w:id="1725526096">
      <w:bodyDiv w:val="1"/>
      <w:marLeft w:val="0"/>
      <w:marRight w:val="0"/>
      <w:marTop w:val="0"/>
      <w:marBottom w:val="0"/>
      <w:divBdr>
        <w:top w:val="none" w:sz="0" w:space="0" w:color="auto"/>
        <w:left w:val="none" w:sz="0" w:space="0" w:color="auto"/>
        <w:bottom w:val="none" w:sz="0" w:space="0" w:color="auto"/>
        <w:right w:val="none" w:sz="0" w:space="0" w:color="auto"/>
      </w:divBdr>
    </w:div>
    <w:div w:id="1726488814">
      <w:bodyDiv w:val="1"/>
      <w:marLeft w:val="0"/>
      <w:marRight w:val="0"/>
      <w:marTop w:val="0"/>
      <w:marBottom w:val="0"/>
      <w:divBdr>
        <w:top w:val="none" w:sz="0" w:space="0" w:color="auto"/>
        <w:left w:val="none" w:sz="0" w:space="0" w:color="auto"/>
        <w:bottom w:val="none" w:sz="0" w:space="0" w:color="auto"/>
        <w:right w:val="none" w:sz="0" w:space="0" w:color="auto"/>
      </w:divBdr>
    </w:div>
    <w:div w:id="1728187862">
      <w:bodyDiv w:val="1"/>
      <w:marLeft w:val="0"/>
      <w:marRight w:val="0"/>
      <w:marTop w:val="0"/>
      <w:marBottom w:val="0"/>
      <w:divBdr>
        <w:top w:val="none" w:sz="0" w:space="0" w:color="auto"/>
        <w:left w:val="none" w:sz="0" w:space="0" w:color="auto"/>
        <w:bottom w:val="none" w:sz="0" w:space="0" w:color="auto"/>
        <w:right w:val="none" w:sz="0" w:space="0" w:color="auto"/>
      </w:divBdr>
    </w:div>
    <w:div w:id="1728458431">
      <w:bodyDiv w:val="1"/>
      <w:marLeft w:val="0"/>
      <w:marRight w:val="0"/>
      <w:marTop w:val="0"/>
      <w:marBottom w:val="0"/>
      <w:divBdr>
        <w:top w:val="none" w:sz="0" w:space="0" w:color="auto"/>
        <w:left w:val="none" w:sz="0" w:space="0" w:color="auto"/>
        <w:bottom w:val="none" w:sz="0" w:space="0" w:color="auto"/>
        <w:right w:val="none" w:sz="0" w:space="0" w:color="auto"/>
      </w:divBdr>
    </w:div>
    <w:div w:id="1728651139">
      <w:bodyDiv w:val="1"/>
      <w:marLeft w:val="0"/>
      <w:marRight w:val="0"/>
      <w:marTop w:val="0"/>
      <w:marBottom w:val="0"/>
      <w:divBdr>
        <w:top w:val="none" w:sz="0" w:space="0" w:color="auto"/>
        <w:left w:val="none" w:sz="0" w:space="0" w:color="auto"/>
        <w:bottom w:val="none" w:sz="0" w:space="0" w:color="auto"/>
        <w:right w:val="none" w:sz="0" w:space="0" w:color="auto"/>
      </w:divBdr>
    </w:div>
    <w:div w:id="1729260220">
      <w:bodyDiv w:val="1"/>
      <w:marLeft w:val="0"/>
      <w:marRight w:val="0"/>
      <w:marTop w:val="0"/>
      <w:marBottom w:val="0"/>
      <w:divBdr>
        <w:top w:val="none" w:sz="0" w:space="0" w:color="auto"/>
        <w:left w:val="none" w:sz="0" w:space="0" w:color="auto"/>
        <w:bottom w:val="none" w:sz="0" w:space="0" w:color="auto"/>
        <w:right w:val="none" w:sz="0" w:space="0" w:color="auto"/>
      </w:divBdr>
    </w:div>
    <w:div w:id="1729764077">
      <w:bodyDiv w:val="1"/>
      <w:marLeft w:val="0"/>
      <w:marRight w:val="0"/>
      <w:marTop w:val="0"/>
      <w:marBottom w:val="0"/>
      <w:divBdr>
        <w:top w:val="none" w:sz="0" w:space="0" w:color="auto"/>
        <w:left w:val="none" w:sz="0" w:space="0" w:color="auto"/>
        <w:bottom w:val="none" w:sz="0" w:space="0" w:color="auto"/>
        <w:right w:val="none" w:sz="0" w:space="0" w:color="auto"/>
      </w:divBdr>
    </w:div>
    <w:div w:id="1730030248">
      <w:bodyDiv w:val="1"/>
      <w:marLeft w:val="0"/>
      <w:marRight w:val="0"/>
      <w:marTop w:val="0"/>
      <w:marBottom w:val="0"/>
      <w:divBdr>
        <w:top w:val="none" w:sz="0" w:space="0" w:color="auto"/>
        <w:left w:val="none" w:sz="0" w:space="0" w:color="auto"/>
        <w:bottom w:val="none" w:sz="0" w:space="0" w:color="auto"/>
        <w:right w:val="none" w:sz="0" w:space="0" w:color="auto"/>
      </w:divBdr>
    </w:div>
    <w:div w:id="1730032647">
      <w:bodyDiv w:val="1"/>
      <w:marLeft w:val="0"/>
      <w:marRight w:val="0"/>
      <w:marTop w:val="0"/>
      <w:marBottom w:val="0"/>
      <w:divBdr>
        <w:top w:val="none" w:sz="0" w:space="0" w:color="auto"/>
        <w:left w:val="none" w:sz="0" w:space="0" w:color="auto"/>
        <w:bottom w:val="none" w:sz="0" w:space="0" w:color="auto"/>
        <w:right w:val="none" w:sz="0" w:space="0" w:color="auto"/>
      </w:divBdr>
    </w:div>
    <w:div w:id="1730691620">
      <w:bodyDiv w:val="1"/>
      <w:marLeft w:val="0"/>
      <w:marRight w:val="0"/>
      <w:marTop w:val="0"/>
      <w:marBottom w:val="0"/>
      <w:divBdr>
        <w:top w:val="none" w:sz="0" w:space="0" w:color="auto"/>
        <w:left w:val="none" w:sz="0" w:space="0" w:color="auto"/>
        <w:bottom w:val="none" w:sz="0" w:space="0" w:color="auto"/>
        <w:right w:val="none" w:sz="0" w:space="0" w:color="auto"/>
      </w:divBdr>
    </w:div>
    <w:div w:id="1730764880">
      <w:bodyDiv w:val="1"/>
      <w:marLeft w:val="0"/>
      <w:marRight w:val="0"/>
      <w:marTop w:val="0"/>
      <w:marBottom w:val="0"/>
      <w:divBdr>
        <w:top w:val="none" w:sz="0" w:space="0" w:color="auto"/>
        <w:left w:val="none" w:sz="0" w:space="0" w:color="auto"/>
        <w:bottom w:val="none" w:sz="0" w:space="0" w:color="auto"/>
        <w:right w:val="none" w:sz="0" w:space="0" w:color="auto"/>
      </w:divBdr>
    </w:div>
    <w:div w:id="1730882260">
      <w:bodyDiv w:val="1"/>
      <w:marLeft w:val="0"/>
      <w:marRight w:val="0"/>
      <w:marTop w:val="0"/>
      <w:marBottom w:val="0"/>
      <w:divBdr>
        <w:top w:val="none" w:sz="0" w:space="0" w:color="auto"/>
        <w:left w:val="none" w:sz="0" w:space="0" w:color="auto"/>
        <w:bottom w:val="none" w:sz="0" w:space="0" w:color="auto"/>
        <w:right w:val="none" w:sz="0" w:space="0" w:color="auto"/>
      </w:divBdr>
    </w:div>
    <w:div w:id="1731490000">
      <w:bodyDiv w:val="1"/>
      <w:marLeft w:val="0"/>
      <w:marRight w:val="0"/>
      <w:marTop w:val="0"/>
      <w:marBottom w:val="0"/>
      <w:divBdr>
        <w:top w:val="none" w:sz="0" w:space="0" w:color="auto"/>
        <w:left w:val="none" w:sz="0" w:space="0" w:color="auto"/>
        <w:bottom w:val="none" w:sz="0" w:space="0" w:color="auto"/>
        <w:right w:val="none" w:sz="0" w:space="0" w:color="auto"/>
      </w:divBdr>
    </w:div>
    <w:div w:id="1731688322">
      <w:bodyDiv w:val="1"/>
      <w:marLeft w:val="0"/>
      <w:marRight w:val="0"/>
      <w:marTop w:val="0"/>
      <w:marBottom w:val="0"/>
      <w:divBdr>
        <w:top w:val="none" w:sz="0" w:space="0" w:color="auto"/>
        <w:left w:val="none" w:sz="0" w:space="0" w:color="auto"/>
        <w:bottom w:val="none" w:sz="0" w:space="0" w:color="auto"/>
        <w:right w:val="none" w:sz="0" w:space="0" w:color="auto"/>
      </w:divBdr>
    </w:div>
    <w:div w:id="1731928364">
      <w:bodyDiv w:val="1"/>
      <w:marLeft w:val="0"/>
      <w:marRight w:val="0"/>
      <w:marTop w:val="0"/>
      <w:marBottom w:val="0"/>
      <w:divBdr>
        <w:top w:val="none" w:sz="0" w:space="0" w:color="auto"/>
        <w:left w:val="none" w:sz="0" w:space="0" w:color="auto"/>
        <w:bottom w:val="none" w:sz="0" w:space="0" w:color="auto"/>
        <w:right w:val="none" w:sz="0" w:space="0" w:color="auto"/>
      </w:divBdr>
    </w:div>
    <w:div w:id="1732381919">
      <w:bodyDiv w:val="1"/>
      <w:marLeft w:val="0"/>
      <w:marRight w:val="0"/>
      <w:marTop w:val="0"/>
      <w:marBottom w:val="0"/>
      <w:divBdr>
        <w:top w:val="none" w:sz="0" w:space="0" w:color="auto"/>
        <w:left w:val="none" w:sz="0" w:space="0" w:color="auto"/>
        <w:bottom w:val="none" w:sz="0" w:space="0" w:color="auto"/>
        <w:right w:val="none" w:sz="0" w:space="0" w:color="auto"/>
      </w:divBdr>
    </w:div>
    <w:div w:id="1732540032">
      <w:bodyDiv w:val="1"/>
      <w:marLeft w:val="0"/>
      <w:marRight w:val="0"/>
      <w:marTop w:val="0"/>
      <w:marBottom w:val="0"/>
      <w:divBdr>
        <w:top w:val="none" w:sz="0" w:space="0" w:color="auto"/>
        <w:left w:val="none" w:sz="0" w:space="0" w:color="auto"/>
        <w:bottom w:val="none" w:sz="0" w:space="0" w:color="auto"/>
        <w:right w:val="none" w:sz="0" w:space="0" w:color="auto"/>
      </w:divBdr>
    </w:div>
    <w:div w:id="1732607100">
      <w:bodyDiv w:val="1"/>
      <w:marLeft w:val="0"/>
      <w:marRight w:val="0"/>
      <w:marTop w:val="0"/>
      <w:marBottom w:val="0"/>
      <w:divBdr>
        <w:top w:val="none" w:sz="0" w:space="0" w:color="auto"/>
        <w:left w:val="none" w:sz="0" w:space="0" w:color="auto"/>
        <w:bottom w:val="none" w:sz="0" w:space="0" w:color="auto"/>
        <w:right w:val="none" w:sz="0" w:space="0" w:color="auto"/>
      </w:divBdr>
    </w:div>
    <w:div w:id="1732852436">
      <w:bodyDiv w:val="1"/>
      <w:marLeft w:val="0"/>
      <w:marRight w:val="0"/>
      <w:marTop w:val="0"/>
      <w:marBottom w:val="0"/>
      <w:divBdr>
        <w:top w:val="none" w:sz="0" w:space="0" w:color="auto"/>
        <w:left w:val="none" w:sz="0" w:space="0" w:color="auto"/>
        <w:bottom w:val="none" w:sz="0" w:space="0" w:color="auto"/>
        <w:right w:val="none" w:sz="0" w:space="0" w:color="auto"/>
      </w:divBdr>
    </w:div>
    <w:div w:id="1732925329">
      <w:bodyDiv w:val="1"/>
      <w:marLeft w:val="0"/>
      <w:marRight w:val="0"/>
      <w:marTop w:val="0"/>
      <w:marBottom w:val="0"/>
      <w:divBdr>
        <w:top w:val="none" w:sz="0" w:space="0" w:color="auto"/>
        <w:left w:val="none" w:sz="0" w:space="0" w:color="auto"/>
        <w:bottom w:val="none" w:sz="0" w:space="0" w:color="auto"/>
        <w:right w:val="none" w:sz="0" w:space="0" w:color="auto"/>
      </w:divBdr>
    </w:div>
    <w:div w:id="1734229871">
      <w:bodyDiv w:val="1"/>
      <w:marLeft w:val="0"/>
      <w:marRight w:val="0"/>
      <w:marTop w:val="0"/>
      <w:marBottom w:val="0"/>
      <w:divBdr>
        <w:top w:val="none" w:sz="0" w:space="0" w:color="auto"/>
        <w:left w:val="none" w:sz="0" w:space="0" w:color="auto"/>
        <w:bottom w:val="none" w:sz="0" w:space="0" w:color="auto"/>
        <w:right w:val="none" w:sz="0" w:space="0" w:color="auto"/>
      </w:divBdr>
    </w:div>
    <w:div w:id="1734623176">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346929">
      <w:bodyDiv w:val="1"/>
      <w:marLeft w:val="0"/>
      <w:marRight w:val="0"/>
      <w:marTop w:val="0"/>
      <w:marBottom w:val="0"/>
      <w:divBdr>
        <w:top w:val="none" w:sz="0" w:space="0" w:color="auto"/>
        <w:left w:val="none" w:sz="0" w:space="0" w:color="auto"/>
        <w:bottom w:val="none" w:sz="0" w:space="0" w:color="auto"/>
        <w:right w:val="none" w:sz="0" w:space="0" w:color="auto"/>
      </w:divBdr>
    </w:div>
    <w:div w:id="1735395288">
      <w:bodyDiv w:val="1"/>
      <w:marLeft w:val="0"/>
      <w:marRight w:val="0"/>
      <w:marTop w:val="0"/>
      <w:marBottom w:val="0"/>
      <w:divBdr>
        <w:top w:val="none" w:sz="0" w:space="0" w:color="auto"/>
        <w:left w:val="none" w:sz="0" w:space="0" w:color="auto"/>
        <w:bottom w:val="none" w:sz="0" w:space="0" w:color="auto"/>
        <w:right w:val="none" w:sz="0" w:space="0" w:color="auto"/>
      </w:divBdr>
    </w:div>
    <w:div w:id="1735622218">
      <w:bodyDiv w:val="1"/>
      <w:marLeft w:val="0"/>
      <w:marRight w:val="0"/>
      <w:marTop w:val="0"/>
      <w:marBottom w:val="0"/>
      <w:divBdr>
        <w:top w:val="none" w:sz="0" w:space="0" w:color="auto"/>
        <w:left w:val="none" w:sz="0" w:space="0" w:color="auto"/>
        <w:bottom w:val="none" w:sz="0" w:space="0" w:color="auto"/>
        <w:right w:val="none" w:sz="0" w:space="0" w:color="auto"/>
      </w:divBdr>
    </w:div>
    <w:div w:id="1735741718">
      <w:bodyDiv w:val="1"/>
      <w:marLeft w:val="0"/>
      <w:marRight w:val="0"/>
      <w:marTop w:val="0"/>
      <w:marBottom w:val="0"/>
      <w:divBdr>
        <w:top w:val="none" w:sz="0" w:space="0" w:color="auto"/>
        <w:left w:val="none" w:sz="0" w:space="0" w:color="auto"/>
        <w:bottom w:val="none" w:sz="0" w:space="0" w:color="auto"/>
        <w:right w:val="none" w:sz="0" w:space="0" w:color="auto"/>
      </w:divBdr>
    </w:div>
    <w:div w:id="1736128022">
      <w:bodyDiv w:val="1"/>
      <w:marLeft w:val="0"/>
      <w:marRight w:val="0"/>
      <w:marTop w:val="0"/>
      <w:marBottom w:val="0"/>
      <w:divBdr>
        <w:top w:val="none" w:sz="0" w:space="0" w:color="auto"/>
        <w:left w:val="none" w:sz="0" w:space="0" w:color="auto"/>
        <w:bottom w:val="none" w:sz="0" w:space="0" w:color="auto"/>
        <w:right w:val="none" w:sz="0" w:space="0" w:color="auto"/>
      </w:divBdr>
    </w:div>
    <w:div w:id="1736201631">
      <w:bodyDiv w:val="1"/>
      <w:marLeft w:val="0"/>
      <w:marRight w:val="0"/>
      <w:marTop w:val="0"/>
      <w:marBottom w:val="0"/>
      <w:divBdr>
        <w:top w:val="none" w:sz="0" w:space="0" w:color="auto"/>
        <w:left w:val="none" w:sz="0" w:space="0" w:color="auto"/>
        <w:bottom w:val="none" w:sz="0" w:space="0" w:color="auto"/>
        <w:right w:val="none" w:sz="0" w:space="0" w:color="auto"/>
      </w:divBdr>
    </w:div>
    <w:div w:id="1736665705">
      <w:bodyDiv w:val="1"/>
      <w:marLeft w:val="0"/>
      <w:marRight w:val="0"/>
      <w:marTop w:val="0"/>
      <w:marBottom w:val="0"/>
      <w:divBdr>
        <w:top w:val="none" w:sz="0" w:space="0" w:color="auto"/>
        <w:left w:val="none" w:sz="0" w:space="0" w:color="auto"/>
        <w:bottom w:val="none" w:sz="0" w:space="0" w:color="auto"/>
        <w:right w:val="none" w:sz="0" w:space="0" w:color="auto"/>
      </w:divBdr>
    </w:div>
    <w:div w:id="1736927021">
      <w:bodyDiv w:val="1"/>
      <w:marLeft w:val="0"/>
      <w:marRight w:val="0"/>
      <w:marTop w:val="0"/>
      <w:marBottom w:val="0"/>
      <w:divBdr>
        <w:top w:val="none" w:sz="0" w:space="0" w:color="auto"/>
        <w:left w:val="none" w:sz="0" w:space="0" w:color="auto"/>
        <w:bottom w:val="none" w:sz="0" w:space="0" w:color="auto"/>
        <w:right w:val="none" w:sz="0" w:space="0" w:color="auto"/>
      </w:divBdr>
    </w:div>
    <w:div w:id="1737436777">
      <w:bodyDiv w:val="1"/>
      <w:marLeft w:val="0"/>
      <w:marRight w:val="0"/>
      <w:marTop w:val="0"/>
      <w:marBottom w:val="0"/>
      <w:divBdr>
        <w:top w:val="none" w:sz="0" w:space="0" w:color="auto"/>
        <w:left w:val="none" w:sz="0" w:space="0" w:color="auto"/>
        <w:bottom w:val="none" w:sz="0" w:space="0" w:color="auto"/>
        <w:right w:val="none" w:sz="0" w:space="0" w:color="auto"/>
      </w:divBdr>
    </w:div>
    <w:div w:id="1737969752">
      <w:bodyDiv w:val="1"/>
      <w:marLeft w:val="0"/>
      <w:marRight w:val="0"/>
      <w:marTop w:val="0"/>
      <w:marBottom w:val="0"/>
      <w:divBdr>
        <w:top w:val="none" w:sz="0" w:space="0" w:color="auto"/>
        <w:left w:val="none" w:sz="0" w:space="0" w:color="auto"/>
        <w:bottom w:val="none" w:sz="0" w:space="0" w:color="auto"/>
        <w:right w:val="none" w:sz="0" w:space="0" w:color="auto"/>
      </w:divBdr>
    </w:div>
    <w:div w:id="1738043617">
      <w:bodyDiv w:val="1"/>
      <w:marLeft w:val="0"/>
      <w:marRight w:val="0"/>
      <w:marTop w:val="0"/>
      <w:marBottom w:val="0"/>
      <w:divBdr>
        <w:top w:val="none" w:sz="0" w:space="0" w:color="auto"/>
        <w:left w:val="none" w:sz="0" w:space="0" w:color="auto"/>
        <w:bottom w:val="none" w:sz="0" w:space="0" w:color="auto"/>
        <w:right w:val="none" w:sz="0" w:space="0" w:color="auto"/>
      </w:divBdr>
    </w:div>
    <w:div w:id="1738698736">
      <w:bodyDiv w:val="1"/>
      <w:marLeft w:val="0"/>
      <w:marRight w:val="0"/>
      <w:marTop w:val="0"/>
      <w:marBottom w:val="0"/>
      <w:divBdr>
        <w:top w:val="none" w:sz="0" w:space="0" w:color="auto"/>
        <w:left w:val="none" w:sz="0" w:space="0" w:color="auto"/>
        <w:bottom w:val="none" w:sz="0" w:space="0" w:color="auto"/>
        <w:right w:val="none" w:sz="0" w:space="0" w:color="auto"/>
      </w:divBdr>
    </w:div>
    <w:div w:id="1739354053">
      <w:bodyDiv w:val="1"/>
      <w:marLeft w:val="0"/>
      <w:marRight w:val="0"/>
      <w:marTop w:val="0"/>
      <w:marBottom w:val="0"/>
      <w:divBdr>
        <w:top w:val="none" w:sz="0" w:space="0" w:color="auto"/>
        <w:left w:val="none" w:sz="0" w:space="0" w:color="auto"/>
        <w:bottom w:val="none" w:sz="0" w:space="0" w:color="auto"/>
        <w:right w:val="none" w:sz="0" w:space="0" w:color="auto"/>
      </w:divBdr>
    </w:div>
    <w:div w:id="1739477736">
      <w:bodyDiv w:val="1"/>
      <w:marLeft w:val="0"/>
      <w:marRight w:val="0"/>
      <w:marTop w:val="0"/>
      <w:marBottom w:val="0"/>
      <w:divBdr>
        <w:top w:val="none" w:sz="0" w:space="0" w:color="auto"/>
        <w:left w:val="none" w:sz="0" w:space="0" w:color="auto"/>
        <w:bottom w:val="none" w:sz="0" w:space="0" w:color="auto"/>
        <w:right w:val="none" w:sz="0" w:space="0" w:color="auto"/>
      </w:divBdr>
    </w:div>
    <w:div w:id="1739665641">
      <w:bodyDiv w:val="1"/>
      <w:marLeft w:val="0"/>
      <w:marRight w:val="0"/>
      <w:marTop w:val="0"/>
      <w:marBottom w:val="0"/>
      <w:divBdr>
        <w:top w:val="none" w:sz="0" w:space="0" w:color="auto"/>
        <w:left w:val="none" w:sz="0" w:space="0" w:color="auto"/>
        <w:bottom w:val="none" w:sz="0" w:space="0" w:color="auto"/>
        <w:right w:val="none" w:sz="0" w:space="0" w:color="auto"/>
      </w:divBdr>
    </w:div>
    <w:div w:id="1739669788">
      <w:bodyDiv w:val="1"/>
      <w:marLeft w:val="0"/>
      <w:marRight w:val="0"/>
      <w:marTop w:val="0"/>
      <w:marBottom w:val="0"/>
      <w:divBdr>
        <w:top w:val="none" w:sz="0" w:space="0" w:color="auto"/>
        <w:left w:val="none" w:sz="0" w:space="0" w:color="auto"/>
        <w:bottom w:val="none" w:sz="0" w:space="0" w:color="auto"/>
        <w:right w:val="none" w:sz="0" w:space="0" w:color="auto"/>
      </w:divBdr>
    </w:div>
    <w:div w:id="1740595474">
      <w:bodyDiv w:val="1"/>
      <w:marLeft w:val="0"/>
      <w:marRight w:val="0"/>
      <w:marTop w:val="0"/>
      <w:marBottom w:val="0"/>
      <w:divBdr>
        <w:top w:val="none" w:sz="0" w:space="0" w:color="auto"/>
        <w:left w:val="none" w:sz="0" w:space="0" w:color="auto"/>
        <w:bottom w:val="none" w:sz="0" w:space="0" w:color="auto"/>
        <w:right w:val="none" w:sz="0" w:space="0" w:color="auto"/>
      </w:divBdr>
    </w:div>
    <w:div w:id="1740790856">
      <w:bodyDiv w:val="1"/>
      <w:marLeft w:val="0"/>
      <w:marRight w:val="0"/>
      <w:marTop w:val="0"/>
      <w:marBottom w:val="0"/>
      <w:divBdr>
        <w:top w:val="none" w:sz="0" w:space="0" w:color="auto"/>
        <w:left w:val="none" w:sz="0" w:space="0" w:color="auto"/>
        <w:bottom w:val="none" w:sz="0" w:space="0" w:color="auto"/>
        <w:right w:val="none" w:sz="0" w:space="0" w:color="auto"/>
      </w:divBdr>
    </w:div>
    <w:div w:id="1741906594">
      <w:bodyDiv w:val="1"/>
      <w:marLeft w:val="0"/>
      <w:marRight w:val="0"/>
      <w:marTop w:val="0"/>
      <w:marBottom w:val="0"/>
      <w:divBdr>
        <w:top w:val="none" w:sz="0" w:space="0" w:color="auto"/>
        <w:left w:val="none" w:sz="0" w:space="0" w:color="auto"/>
        <w:bottom w:val="none" w:sz="0" w:space="0" w:color="auto"/>
        <w:right w:val="none" w:sz="0" w:space="0" w:color="auto"/>
      </w:divBdr>
    </w:div>
    <w:div w:id="1742217689">
      <w:bodyDiv w:val="1"/>
      <w:marLeft w:val="0"/>
      <w:marRight w:val="0"/>
      <w:marTop w:val="0"/>
      <w:marBottom w:val="0"/>
      <w:divBdr>
        <w:top w:val="none" w:sz="0" w:space="0" w:color="auto"/>
        <w:left w:val="none" w:sz="0" w:space="0" w:color="auto"/>
        <w:bottom w:val="none" w:sz="0" w:space="0" w:color="auto"/>
        <w:right w:val="none" w:sz="0" w:space="0" w:color="auto"/>
      </w:divBdr>
    </w:div>
    <w:div w:id="1742363911">
      <w:bodyDiv w:val="1"/>
      <w:marLeft w:val="0"/>
      <w:marRight w:val="0"/>
      <w:marTop w:val="0"/>
      <w:marBottom w:val="0"/>
      <w:divBdr>
        <w:top w:val="none" w:sz="0" w:space="0" w:color="auto"/>
        <w:left w:val="none" w:sz="0" w:space="0" w:color="auto"/>
        <w:bottom w:val="none" w:sz="0" w:space="0" w:color="auto"/>
        <w:right w:val="none" w:sz="0" w:space="0" w:color="auto"/>
      </w:divBdr>
    </w:div>
    <w:div w:id="1742369999">
      <w:bodyDiv w:val="1"/>
      <w:marLeft w:val="0"/>
      <w:marRight w:val="0"/>
      <w:marTop w:val="0"/>
      <w:marBottom w:val="0"/>
      <w:divBdr>
        <w:top w:val="none" w:sz="0" w:space="0" w:color="auto"/>
        <w:left w:val="none" w:sz="0" w:space="0" w:color="auto"/>
        <w:bottom w:val="none" w:sz="0" w:space="0" w:color="auto"/>
        <w:right w:val="none" w:sz="0" w:space="0" w:color="auto"/>
      </w:divBdr>
    </w:div>
    <w:div w:id="1742406878">
      <w:bodyDiv w:val="1"/>
      <w:marLeft w:val="0"/>
      <w:marRight w:val="0"/>
      <w:marTop w:val="0"/>
      <w:marBottom w:val="0"/>
      <w:divBdr>
        <w:top w:val="none" w:sz="0" w:space="0" w:color="auto"/>
        <w:left w:val="none" w:sz="0" w:space="0" w:color="auto"/>
        <w:bottom w:val="none" w:sz="0" w:space="0" w:color="auto"/>
        <w:right w:val="none" w:sz="0" w:space="0" w:color="auto"/>
      </w:divBdr>
    </w:div>
    <w:div w:id="1742678831">
      <w:bodyDiv w:val="1"/>
      <w:marLeft w:val="0"/>
      <w:marRight w:val="0"/>
      <w:marTop w:val="0"/>
      <w:marBottom w:val="0"/>
      <w:divBdr>
        <w:top w:val="none" w:sz="0" w:space="0" w:color="auto"/>
        <w:left w:val="none" w:sz="0" w:space="0" w:color="auto"/>
        <w:bottom w:val="none" w:sz="0" w:space="0" w:color="auto"/>
        <w:right w:val="none" w:sz="0" w:space="0" w:color="auto"/>
      </w:divBdr>
    </w:div>
    <w:div w:id="1742749568">
      <w:bodyDiv w:val="1"/>
      <w:marLeft w:val="0"/>
      <w:marRight w:val="0"/>
      <w:marTop w:val="0"/>
      <w:marBottom w:val="0"/>
      <w:divBdr>
        <w:top w:val="none" w:sz="0" w:space="0" w:color="auto"/>
        <w:left w:val="none" w:sz="0" w:space="0" w:color="auto"/>
        <w:bottom w:val="none" w:sz="0" w:space="0" w:color="auto"/>
        <w:right w:val="none" w:sz="0" w:space="0" w:color="auto"/>
      </w:divBdr>
    </w:div>
    <w:div w:id="1742752602">
      <w:bodyDiv w:val="1"/>
      <w:marLeft w:val="0"/>
      <w:marRight w:val="0"/>
      <w:marTop w:val="0"/>
      <w:marBottom w:val="0"/>
      <w:divBdr>
        <w:top w:val="none" w:sz="0" w:space="0" w:color="auto"/>
        <w:left w:val="none" w:sz="0" w:space="0" w:color="auto"/>
        <w:bottom w:val="none" w:sz="0" w:space="0" w:color="auto"/>
        <w:right w:val="none" w:sz="0" w:space="0" w:color="auto"/>
      </w:divBdr>
    </w:div>
    <w:div w:id="1742825457">
      <w:bodyDiv w:val="1"/>
      <w:marLeft w:val="0"/>
      <w:marRight w:val="0"/>
      <w:marTop w:val="0"/>
      <w:marBottom w:val="0"/>
      <w:divBdr>
        <w:top w:val="none" w:sz="0" w:space="0" w:color="auto"/>
        <w:left w:val="none" w:sz="0" w:space="0" w:color="auto"/>
        <w:bottom w:val="none" w:sz="0" w:space="0" w:color="auto"/>
        <w:right w:val="none" w:sz="0" w:space="0" w:color="auto"/>
      </w:divBdr>
    </w:div>
    <w:div w:id="1744184625">
      <w:bodyDiv w:val="1"/>
      <w:marLeft w:val="0"/>
      <w:marRight w:val="0"/>
      <w:marTop w:val="0"/>
      <w:marBottom w:val="0"/>
      <w:divBdr>
        <w:top w:val="none" w:sz="0" w:space="0" w:color="auto"/>
        <w:left w:val="none" w:sz="0" w:space="0" w:color="auto"/>
        <w:bottom w:val="none" w:sz="0" w:space="0" w:color="auto"/>
        <w:right w:val="none" w:sz="0" w:space="0" w:color="auto"/>
      </w:divBdr>
    </w:div>
    <w:div w:id="1744185427">
      <w:bodyDiv w:val="1"/>
      <w:marLeft w:val="0"/>
      <w:marRight w:val="0"/>
      <w:marTop w:val="0"/>
      <w:marBottom w:val="0"/>
      <w:divBdr>
        <w:top w:val="none" w:sz="0" w:space="0" w:color="auto"/>
        <w:left w:val="none" w:sz="0" w:space="0" w:color="auto"/>
        <w:bottom w:val="none" w:sz="0" w:space="0" w:color="auto"/>
        <w:right w:val="none" w:sz="0" w:space="0" w:color="auto"/>
      </w:divBdr>
    </w:div>
    <w:div w:id="1744257579">
      <w:bodyDiv w:val="1"/>
      <w:marLeft w:val="0"/>
      <w:marRight w:val="0"/>
      <w:marTop w:val="0"/>
      <w:marBottom w:val="0"/>
      <w:divBdr>
        <w:top w:val="none" w:sz="0" w:space="0" w:color="auto"/>
        <w:left w:val="none" w:sz="0" w:space="0" w:color="auto"/>
        <w:bottom w:val="none" w:sz="0" w:space="0" w:color="auto"/>
        <w:right w:val="none" w:sz="0" w:space="0" w:color="auto"/>
      </w:divBdr>
    </w:div>
    <w:div w:id="1744260561">
      <w:bodyDiv w:val="1"/>
      <w:marLeft w:val="0"/>
      <w:marRight w:val="0"/>
      <w:marTop w:val="0"/>
      <w:marBottom w:val="0"/>
      <w:divBdr>
        <w:top w:val="none" w:sz="0" w:space="0" w:color="auto"/>
        <w:left w:val="none" w:sz="0" w:space="0" w:color="auto"/>
        <w:bottom w:val="none" w:sz="0" w:space="0" w:color="auto"/>
        <w:right w:val="none" w:sz="0" w:space="0" w:color="auto"/>
      </w:divBdr>
    </w:div>
    <w:div w:id="1744333188">
      <w:bodyDiv w:val="1"/>
      <w:marLeft w:val="0"/>
      <w:marRight w:val="0"/>
      <w:marTop w:val="0"/>
      <w:marBottom w:val="0"/>
      <w:divBdr>
        <w:top w:val="none" w:sz="0" w:space="0" w:color="auto"/>
        <w:left w:val="none" w:sz="0" w:space="0" w:color="auto"/>
        <w:bottom w:val="none" w:sz="0" w:space="0" w:color="auto"/>
        <w:right w:val="none" w:sz="0" w:space="0" w:color="auto"/>
      </w:divBdr>
    </w:div>
    <w:div w:id="1744788925">
      <w:bodyDiv w:val="1"/>
      <w:marLeft w:val="0"/>
      <w:marRight w:val="0"/>
      <w:marTop w:val="0"/>
      <w:marBottom w:val="0"/>
      <w:divBdr>
        <w:top w:val="none" w:sz="0" w:space="0" w:color="auto"/>
        <w:left w:val="none" w:sz="0" w:space="0" w:color="auto"/>
        <w:bottom w:val="none" w:sz="0" w:space="0" w:color="auto"/>
        <w:right w:val="none" w:sz="0" w:space="0" w:color="auto"/>
      </w:divBdr>
    </w:div>
    <w:div w:id="1744840742">
      <w:bodyDiv w:val="1"/>
      <w:marLeft w:val="0"/>
      <w:marRight w:val="0"/>
      <w:marTop w:val="0"/>
      <w:marBottom w:val="0"/>
      <w:divBdr>
        <w:top w:val="none" w:sz="0" w:space="0" w:color="auto"/>
        <w:left w:val="none" w:sz="0" w:space="0" w:color="auto"/>
        <w:bottom w:val="none" w:sz="0" w:space="0" w:color="auto"/>
        <w:right w:val="none" w:sz="0" w:space="0" w:color="auto"/>
      </w:divBdr>
    </w:div>
    <w:div w:id="1744911019">
      <w:bodyDiv w:val="1"/>
      <w:marLeft w:val="0"/>
      <w:marRight w:val="0"/>
      <w:marTop w:val="0"/>
      <w:marBottom w:val="0"/>
      <w:divBdr>
        <w:top w:val="none" w:sz="0" w:space="0" w:color="auto"/>
        <w:left w:val="none" w:sz="0" w:space="0" w:color="auto"/>
        <w:bottom w:val="none" w:sz="0" w:space="0" w:color="auto"/>
        <w:right w:val="none" w:sz="0" w:space="0" w:color="auto"/>
      </w:divBdr>
    </w:div>
    <w:div w:id="1745254221">
      <w:bodyDiv w:val="1"/>
      <w:marLeft w:val="0"/>
      <w:marRight w:val="0"/>
      <w:marTop w:val="0"/>
      <w:marBottom w:val="0"/>
      <w:divBdr>
        <w:top w:val="none" w:sz="0" w:space="0" w:color="auto"/>
        <w:left w:val="none" w:sz="0" w:space="0" w:color="auto"/>
        <w:bottom w:val="none" w:sz="0" w:space="0" w:color="auto"/>
        <w:right w:val="none" w:sz="0" w:space="0" w:color="auto"/>
      </w:divBdr>
    </w:div>
    <w:div w:id="1745488290">
      <w:bodyDiv w:val="1"/>
      <w:marLeft w:val="0"/>
      <w:marRight w:val="0"/>
      <w:marTop w:val="0"/>
      <w:marBottom w:val="0"/>
      <w:divBdr>
        <w:top w:val="none" w:sz="0" w:space="0" w:color="auto"/>
        <w:left w:val="none" w:sz="0" w:space="0" w:color="auto"/>
        <w:bottom w:val="none" w:sz="0" w:space="0" w:color="auto"/>
        <w:right w:val="none" w:sz="0" w:space="0" w:color="auto"/>
      </w:divBdr>
    </w:div>
    <w:div w:id="1745566595">
      <w:bodyDiv w:val="1"/>
      <w:marLeft w:val="0"/>
      <w:marRight w:val="0"/>
      <w:marTop w:val="0"/>
      <w:marBottom w:val="0"/>
      <w:divBdr>
        <w:top w:val="none" w:sz="0" w:space="0" w:color="auto"/>
        <w:left w:val="none" w:sz="0" w:space="0" w:color="auto"/>
        <w:bottom w:val="none" w:sz="0" w:space="0" w:color="auto"/>
        <w:right w:val="none" w:sz="0" w:space="0" w:color="auto"/>
      </w:divBdr>
    </w:div>
    <w:div w:id="1746221408">
      <w:bodyDiv w:val="1"/>
      <w:marLeft w:val="0"/>
      <w:marRight w:val="0"/>
      <w:marTop w:val="0"/>
      <w:marBottom w:val="0"/>
      <w:divBdr>
        <w:top w:val="none" w:sz="0" w:space="0" w:color="auto"/>
        <w:left w:val="none" w:sz="0" w:space="0" w:color="auto"/>
        <w:bottom w:val="none" w:sz="0" w:space="0" w:color="auto"/>
        <w:right w:val="none" w:sz="0" w:space="0" w:color="auto"/>
      </w:divBdr>
    </w:div>
    <w:div w:id="1746341223">
      <w:bodyDiv w:val="1"/>
      <w:marLeft w:val="0"/>
      <w:marRight w:val="0"/>
      <w:marTop w:val="0"/>
      <w:marBottom w:val="0"/>
      <w:divBdr>
        <w:top w:val="none" w:sz="0" w:space="0" w:color="auto"/>
        <w:left w:val="none" w:sz="0" w:space="0" w:color="auto"/>
        <w:bottom w:val="none" w:sz="0" w:space="0" w:color="auto"/>
        <w:right w:val="none" w:sz="0" w:space="0" w:color="auto"/>
      </w:divBdr>
    </w:div>
    <w:div w:id="1746418575">
      <w:bodyDiv w:val="1"/>
      <w:marLeft w:val="0"/>
      <w:marRight w:val="0"/>
      <w:marTop w:val="0"/>
      <w:marBottom w:val="0"/>
      <w:divBdr>
        <w:top w:val="none" w:sz="0" w:space="0" w:color="auto"/>
        <w:left w:val="none" w:sz="0" w:space="0" w:color="auto"/>
        <w:bottom w:val="none" w:sz="0" w:space="0" w:color="auto"/>
        <w:right w:val="none" w:sz="0" w:space="0" w:color="auto"/>
      </w:divBdr>
    </w:div>
    <w:div w:id="1746801764">
      <w:bodyDiv w:val="1"/>
      <w:marLeft w:val="0"/>
      <w:marRight w:val="0"/>
      <w:marTop w:val="0"/>
      <w:marBottom w:val="0"/>
      <w:divBdr>
        <w:top w:val="none" w:sz="0" w:space="0" w:color="auto"/>
        <w:left w:val="none" w:sz="0" w:space="0" w:color="auto"/>
        <w:bottom w:val="none" w:sz="0" w:space="0" w:color="auto"/>
        <w:right w:val="none" w:sz="0" w:space="0" w:color="auto"/>
      </w:divBdr>
    </w:div>
    <w:div w:id="1746875173">
      <w:bodyDiv w:val="1"/>
      <w:marLeft w:val="0"/>
      <w:marRight w:val="0"/>
      <w:marTop w:val="0"/>
      <w:marBottom w:val="0"/>
      <w:divBdr>
        <w:top w:val="none" w:sz="0" w:space="0" w:color="auto"/>
        <w:left w:val="none" w:sz="0" w:space="0" w:color="auto"/>
        <w:bottom w:val="none" w:sz="0" w:space="0" w:color="auto"/>
        <w:right w:val="none" w:sz="0" w:space="0" w:color="auto"/>
      </w:divBdr>
    </w:div>
    <w:div w:id="1747190263">
      <w:bodyDiv w:val="1"/>
      <w:marLeft w:val="0"/>
      <w:marRight w:val="0"/>
      <w:marTop w:val="0"/>
      <w:marBottom w:val="0"/>
      <w:divBdr>
        <w:top w:val="none" w:sz="0" w:space="0" w:color="auto"/>
        <w:left w:val="none" w:sz="0" w:space="0" w:color="auto"/>
        <w:bottom w:val="none" w:sz="0" w:space="0" w:color="auto"/>
        <w:right w:val="none" w:sz="0" w:space="0" w:color="auto"/>
      </w:divBdr>
    </w:div>
    <w:div w:id="1747607806">
      <w:bodyDiv w:val="1"/>
      <w:marLeft w:val="0"/>
      <w:marRight w:val="0"/>
      <w:marTop w:val="0"/>
      <w:marBottom w:val="0"/>
      <w:divBdr>
        <w:top w:val="none" w:sz="0" w:space="0" w:color="auto"/>
        <w:left w:val="none" w:sz="0" w:space="0" w:color="auto"/>
        <w:bottom w:val="none" w:sz="0" w:space="0" w:color="auto"/>
        <w:right w:val="none" w:sz="0" w:space="0" w:color="auto"/>
      </w:divBdr>
    </w:div>
    <w:div w:id="1748259495">
      <w:bodyDiv w:val="1"/>
      <w:marLeft w:val="0"/>
      <w:marRight w:val="0"/>
      <w:marTop w:val="0"/>
      <w:marBottom w:val="0"/>
      <w:divBdr>
        <w:top w:val="none" w:sz="0" w:space="0" w:color="auto"/>
        <w:left w:val="none" w:sz="0" w:space="0" w:color="auto"/>
        <w:bottom w:val="none" w:sz="0" w:space="0" w:color="auto"/>
        <w:right w:val="none" w:sz="0" w:space="0" w:color="auto"/>
      </w:divBdr>
    </w:div>
    <w:div w:id="1749379160">
      <w:bodyDiv w:val="1"/>
      <w:marLeft w:val="0"/>
      <w:marRight w:val="0"/>
      <w:marTop w:val="0"/>
      <w:marBottom w:val="0"/>
      <w:divBdr>
        <w:top w:val="none" w:sz="0" w:space="0" w:color="auto"/>
        <w:left w:val="none" w:sz="0" w:space="0" w:color="auto"/>
        <w:bottom w:val="none" w:sz="0" w:space="0" w:color="auto"/>
        <w:right w:val="none" w:sz="0" w:space="0" w:color="auto"/>
      </w:divBdr>
    </w:div>
    <w:div w:id="1749502530">
      <w:bodyDiv w:val="1"/>
      <w:marLeft w:val="0"/>
      <w:marRight w:val="0"/>
      <w:marTop w:val="0"/>
      <w:marBottom w:val="0"/>
      <w:divBdr>
        <w:top w:val="none" w:sz="0" w:space="0" w:color="auto"/>
        <w:left w:val="none" w:sz="0" w:space="0" w:color="auto"/>
        <w:bottom w:val="none" w:sz="0" w:space="0" w:color="auto"/>
        <w:right w:val="none" w:sz="0" w:space="0" w:color="auto"/>
      </w:divBdr>
    </w:div>
    <w:div w:id="1751655752">
      <w:bodyDiv w:val="1"/>
      <w:marLeft w:val="0"/>
      <w:marRight w:val="0"/>
      <w:marTop w:val="0"/>
      <w:marBottom w:val="0"/>
      <w:divBdr>
        <w:top w:val="none" w:sz="0" w:space="0" w:color="auto"/>
        <w:left w:val="none" w:sz="0" w:space="0" w:color="auto"/>
        <w:bottom w:val="none" w:sz="0" w:space="0" w:color="auto"/>
        <w:right w:val="none" w:sz="0" w:space="0" w:color="auto"/>
      </w:divBdr>
    </w:div>
    <w:div w:id="1752196942">
      <w:bodyDiv w:val="1"/>
      <w:marLeft w:val="0"/>
      <w:marRight w:val="0"/>
      <w:marTop w:val="0"/>
      <w:marBottom w:val="0"/>
      <w:divBdr>
        <w:top w:val="none" w:sz="0" w:space="0" w:color="auto"/>
        <w:left w:val="none" w:sz="0" w:space="0" w:color="auto"/>
        <w:bottom w:val="none" w:sz="0" w:space="0" w:color="auto"/>
        <w:right w:val="none" w:sz="0" w:space="0" w:color="auto"/>
      </w:divBdr>
    </w:div>
    <w:div w:id="1752236416">
      <w:bodyDiv w:val="1"/>
      <w:marLeft w:val="0"/>
      <w:marRight w:val="0"/>
      <w:marTop w:val="0"/>
      <w:marBottom w:val="0"/>
      <w:divBdr>
        <w:top w:val="none" w:sz="0" w:space="0" w:color="auto"/>
        <w:left w:val="none" w:sz="0" w:space="0" w:color="auto"/>
        <w:bottom w:val="none" w:sz="0" w:space="0" w:color="auto"/>
        <w:right w:val="none" w:sz="0" w:space="0" w:color="auto"/>
      </w:divBdr>
    </w:div>
    <w:div w:id="1752773237">
      <w:bodyDiv w:val="1"/>
      <w:marLeft w:val="0"/>
      <w:marRight w:val="0"/>
      <w:marTop w:val="0"/>
      <w:marBottom w:val="0"/>
      <w:divBdr>
        <w:top w:val="none" w:sz="0" w:space="0" w:color="auto"/>
        <w:left w:val="none" w:sz="0" w:space="0" w:color="auto"/>
        <w:bottom w:val="none" w:sz="0" w:space="0" w:color="auto"/>
        <w:right w:val="none" w:sz="0" w:space="0" w:color="auto"/>
      </w:divBdr>
    </w:div>
    <w:div w:id="1752922497">
      <w:bodyDiv w:val="1"/>
      <w:marLeft w:val="0"/>
      <w:marRight w:val="0"/>
      <w:marTop w:val="0"/>
      <w:marBottom w:val="0"/>
      <w:divBdr>
        <w:top w:val="none" w:sz="0" w:space="0" w:color="auto"/>
        <w:left w:val="none" w:sz="0" w:space="0" w:color="auto"/>
        <w:bottom w:val="none" w:sz="0" w:space="0" w:color="auto"/>
        <w:right w:val="none" w:sz="0" w:space="0" w:color="auto"/>
      </w:divBdr>
    </w:div>
    <w:div w:id="1753354869">
      <w:bodyDiv w:val="1"/>
      <w:marLeft w:val="0"/>
      <w:marRight w:val="0"/>
      <w:marTop w:val="0"/>
      <w:marBottom w:val="0"/>
      <w:divBdr>
        <w:top w:val="none" w:sz="0" w:space="0" w:color="auto"/>
        <w:left w:val="none" w:sz="0" w:space="0" w:color="auto"/>
        <w:bottom w:val="none" w:sz="0" w:space="0" w:color="auto"/>
        <w:right w:val="none" w:sz="0" w:space="0" w:color="auto"/>
      </w:divBdr>
    </w:div>
    <w:div w:id="1754083191">
      <w:bodyDiv w:val="1"/>
      <w:marLeft w:val="0"/>
      <w:marRight w:val="0"/>
      <w:marTop w:val="0"/>
      <w:marBottom w:val="0"/>
      <w:divBdr>
        <w:top w:val="none" w:sz="0" w:space="0" w:color="auto"/>
        <w:left w:val="none" w:sz="0" w:space="0" w:color="auto"/>
        <w:bottom w:val="none" w:sz="0" w:space="0" w:color="auto"/>
        <w:right w:val="none" w:sz="0" w:space="0" w:color="auto"/>
      </w:divBdr>
    </w:div>
    <w:div w:id="1754202219">
      <w:bodyDiv w:val="1"/>
      <w:marLeft w:val="0"/>
      <w:marRight w:val="0"/>
      <w:marTop w:val="0"/>
      <w:marBottom w:val="0"/>
      <w:divBdr>
        <w:top w:val="none" w:sz="0" w:space="0" w:color="auto"/>
        <w:left w:val="none" w:sz="0" w:space="0" w:color="auto"/>
        <w:bottom w:val="none" w:sz="0" w:space="0" w:color="auto"/>
        <w:right w:val="none" w:sz="0" w:space="0" w:color="auto"/>
      </w:divBdr>
    </w:div>
    <w:div w:id="1754231012">
      <w:bodyDiv w:val="1"/>
      <w:marLeft w:val="0"/>
      <w:marRight w:val="0"/>
      <w:marTop w:val="0"/>
      <w:marBottom w:val="0"/>
      <w:divBdr>
        <w:top w:val="none" w:sz="0" w:space="0" w:color="auto"/>
        <w:left w:val="none" w:sz="0" w:space="0" w:color="auto"/>
        <w:bottom w:val="none" w:sz="0" w:space="0" w:color="auto"/>
        <w:right w:val="none" w:sz="0" w:space="0" w:color="auto"/>
      </w:divBdr>
    </w:div>
    <w:div w:id="1754356712">
      <w:bodyDiv w:val="1"/>
      <w:marLeft w:val="0"/>
      <w:marRight w:val="0"/>
      <w:marTop w:val="0"/>
      <w:marBottom w:val="0"/>
      <w:divBdr>
        <w:top w:val="none" w:sz="0" w:space="0" w:color="auto"/>
        <w:left w:val="none" w:sz="0" w:space="0" w:color="auto"/>
        <w:bottom w:val="none" w:sz="0" w:space="0" w:color="auto"/>
        <w:right w:val="none" w:sz="0" w:space="0" w:color="auto"/>
      </w:divBdr>
    </w:div>
    <w:div w:id="1754426340">
      <w:bodyDiv w:val="1"/>
      <w:marLeft w:val="0"/>
      <w:marRight w:val="0"/>
      <w:marTop w:val="0"/>
      <w:marBottom w:val="0"/>
      <w:divBdr>
        <w:top w:val="none" w:sz="0" w:space="0" w:color="auto"/>
        <w:left w:val="none" w:sz="0" w:space="0" w:color="auto"/>
        <w:bottom w:val="none" w:sz="0" w:space="0" w:color="auto"/>
        <w:right w:val="none" w:sz="0" w:space="0" w:color="auto"/>
      </w:divBdr>
    </w:div>
    <w:div w:id="1754617857">
      <w:bodyDiv w:val="1"/>
      <w:marLeft w:val="0"/>
      <w:marRight w:val="0"/>
      <w:marTop w:val="0"/>
      <w:marBottom w:val="0"/>
      <w:divBdr>
        <w:top w:val="none" w:sz="0" w:space="0" w:color="auto"/>
        <w:left w:val="none" w:sz="0" w:space="0" w:color="auto"/>
        <w:bottom w:val="none" w:sz="0" w:space="0" w:color="auto"/>
        <w:right w:val="none" w:sz="0" w:space="0" w:color="auto"/>
      </w:divBdr>
    </w:div>
    <w:div w:id="1754662754">
      <w:bodyDiv w:val="1"/>
      <w:marLeft w:val="0"/>
      <w:marRight w:val="0"/>
      <w:marTop w:val="0"/>
      <w:marBottom w:val="0"/>
      <w:divBdr>
        <w:top w:val="none" w:sz="0" w:space="0" w:color="auto"/>
        <w:left w:val="none" w:sz="0" w:space="0" w:color="auto"/>
        <w:bottom w:val="none" w:sz="0" w:space="0" w:color="auto"/>
        <w:right w:val="none" w:sz="0" w:space="0" w:color="auto"/>
      </w:divBdr>
    </w:div>
    <w:div w:id="1755516587">
      <w:bodyDiv w:val="1"/>
      <w:marLeft w:val="0"/>
      <w:marRight w:val="0"/>
      <w:marTop w:val="0"/>
      <w:marBottom w:val="0"/>
      <w:divBdr>
        <w:top w:val="none" w:sz="0" w:space="0" w:color="auto"/>
        <w:left w:val="none" w:sz="0" w:space="0" w:color="auto"/>
        <w:bottom w:val="none" w:sz="0" w:space="0" w:color="auto"/>
        <w:right w:val="none" w:sz="0" w:space="0" w:color="auto"/>
      </w:divBdr>
    </w:div>
    <w:div w:id="1755589461">
      <w:bodyDiv w:val="1"/>
      <w:marLeft w:val="0"/>
      <w:marRight w:val="0"/>
      <w:marTop w:val="0"/>
      <w:marBottom w:val="0"/>
      <w:divBdr>
        <w:top w:val="none" w:sz="0" w:space="0" w:color="auto"/>
        <w:left w:val="none" w:sz="0" w:space="0" w:color="auto"/>
        <w:bottom w:val="none" w:sz="0" w:space="0" w:color="auto"/>
        <w:right w:val="none" w:sz="0" w:space="0" w:color="auto"/>
      </w:divBdr>
    </w:div>
    <w:div w:id="1755735207">
      <w:bodyDiv w:val="1"/>
      <w:marLeft w:val="0"/>
      <w:marRight w:val="0"/>
      <w:marTop w:val="0"/>
      <w:marBottom w:val="0"/>
      <w:divBdr>
        <w:top w:val="none" w:sz="0" w:space="0" w:color="auto"/>
        <w:left w:val="none" w:sz="0" w:space="0" w:color="auto"/>
        <w:bottom w:val="none" w:sz="0" w:space="0" w:color="auto"/>
        <w:right w:val="none" w:sz="0" w:space="0" w:color="auto"/>
      </w:divBdr>
    </w:div>
    <w:div w:id="1755935056">
      <w:bodyDiv w:val="1"/>
      <w:marLeft w:val="0"/>
      <w:marRight w:val="0"/>
      <w:marTop w:val="0"/>
      <w:marBottom w:val="0"/>
      <w:divBdr>
        <w:top w:val="none" w:sz="0" w:space="0" w:color="auto"/>
        <w:left w:val="none" w:sz="0" w:space="0" w:color="auto"/>
        <w:bottom w:val="none" w:sz="0" w:space="0" w:color="auto"/>
        <w:right w:val="none" w:sz="0" w:space="0" w:color="auto"/>
      </w:divBdr>
    </w:div>
    <w:div w:id="1756054649">
      <w:bodyDiv w:val="1"/>
      <w:marLeft w:val="0"/>
      <w:marRight w:val="0"/>
      <w:marTop w:val="0"/>
      <w:marBottom w:val="0"/>
      <w:divBdr>
        <w:top w:val="none" w:sz="0" w:space="0" w:color="auto"/>
        <w:left w:val="none" w:sz="0" w:space="0" w:color="auto"/>
        <w:bottom w:val="none" w:sz="0" w:space="0" w:color="auto"/>
        <w:right w:val="none" w:sz="0" w:space="0" w:color="auto"/>
      </w:divBdr>
    </w:div>
    <w:div w:id="1756366283">
      <w:bodyDiv w:val="1"/>
      <w:marLeft w:val="0"/>
      <w:marRight w:val="0"/>
      <w:marTop w:val="0"/>
      <w:marBottom w:val="0"/>
      <w:divBdr>
        <w:top w:val="none" w:sz="0" w:space="0" w:color="auto"/>
        <w:left w:val="none" w:sz="0" w:space="0" w:color="auto"/>
        <w:bottom w:val="none" w:sz="0" w:space="0" w:color="auto"/>
        <w:right w:val="none" w:sz="0" w:space="0" w:color="auto"/>
      </w:divBdr>
    </w:div>
    <w:div w:id="1756630772">
      <w:bodyDiv w:val="1"/>
      <w:marLeft w:val="0"/>
      <w:marRight w:val="0"/>
      <w:marTop w:val="0"/>
      <w:marBottom w:val="0"/>
      <w:divBdr>
        <w:top w:val="none" w:sz="0" w:space="0" w:color="auto"/>
        <w:left w:val="none" w:sz="0" w:space="0" w:color="auto"/>
        <w:bottom w:val="none" w:sz="0" w:space="0" w:color="auto"/>
        <w:right w:val="none" w:sz="0" w:space="0" w:color="auto"/>
      </w:divBdr>
    </w:div>
    <w:div w:id="1756853756">
      <w:bodyDiv w:val="1"/>
      <w:marLeft w:val="0"/>
      <w:marRight w:val="0"/>
      <w:marTop w:val="0"/>
      <w:marBottom w:val="0"/>
      <w:divBdr>
        <w:top w:val="none" w:sz="0" w:space="0" w:color="auto"/>
        <w:left w:val="none" w:sz="0" w:space="0" w:color="auto"/>
        <w:bottom w:val="none" w:sz="0" w:space="0" w:color="auto"/>
        <w:right w:val="none" w:sz="0" w:space="0" w:color="auto"/>
      </w:divBdr>
    </w:div>
    <w:div w:id="1757743741">
      <w:bodyDiv w:val="1"/>
      <w:marLeft w:val="0"/>
      <w:marRight w:val="0"/>
      <w:marTop w:val="0"/>
      <w:marBottom w:val="0"/>
      <w:divBdr>
        <w:top w:val="none" w:sz="0" w:space="0" w:color="auto"/>
        <w:left w:val="none" w:sz="0" w:space="0" w:color="auto"/>
        <w:bottom w:val="none" w:sz="0" w:space="0" w:color="auto"/>
        <w:right w:val="none" w:sz="0" w:space="0" w:color="auto"/>
      </w:divBdr>
    </w:div>
    <w:div w:id="1757818582">
      <w:bodyDiv w:val="1"/>
      <w:marLeft w:val="0"/>
      <w:marRight w:val="0"/>
      <w:marTop w:val="0"/>
      <w:marBottom w:val="0"/>
      <w:divBdr>
        <w:top w:val="none" w:sz="0" w:space="0" w:color="auto"/>
        <w:left w:val="none" w:sz="0" w:space="0" w:color="auto"/>
        <w:bottom w:val="none" w:sz="0" w:space="0" w:color="auto"/>
        <w:right w:val="none" w:sz="0" w:space="0" w:color="auto"/>
      </w:divBdr>
    </w:div>
    <w:div w:id="1757945503">
      <w:bodyDiv w:val="1"/>
      <w:marLeft w:val="0"/>
      <w:marRight w:val="0"/>
      <w:marTop w:val="0"/>
      <w:marBottom w:val="0"/>
      <w:divBdr>
        <w:top w:val="none" w:sz="0" w:space="0" w:color="auto"/>
        <w:left w:val="none" w:sz="0" w:space="0" w:color="auto"/>
        <w:bottom w:val="none" w:sz="0" w:space="0" w:color="auto"/>
        <w:right w:val="none" w:sz="0" w:space="0" w:color="auto"/>
      </w:divBdr>
    </w:div>
    <w:div w:id="1758021095">
      <w:bodyDiv w:val="1"/>
      <w:marLeft w:val="0"/>
      <w:marRight w:val="0"/>
      <w:marTop w:val="0"/>
      <w:marBottom w:val="0"/>
      <w:divBdr>
        <w:top w:val="none" w:sz="0" w:space="0" w:color="auto"/>
        <w:left w:val="none" w:sz="0" w:space="0" w:color="auto"/>
        <w:bottom w:val="none" w:sz="0" w:space="0" w:color="auto"/>
        <w:right w:val="none" w:sz="0" w:space="0" w:color="auto"/>
      </w:divBdr>
    </w:div>
    <w:div w:id="1759053765">
      <w:bodyDiv w:val="1"/>
      <w:marLeft w:val="0"/>
      <w:marRight w:val="0"/>
      <w:marTop w:val="0"/>
      <w:marBottom w:val="0"/>
      <w:divBdr>
        <w:top w:val="none" w:sz="0" w:space="0" w:color="auto"/>
        <w:left w:val="none" w:sz="0" w:space="0" w:color="auto"/>
        <w:bottom w:val="none" w:sz="0" w:space="0" w:color="auto"/>
        <w:right w:val="none" w:sz="0" w:space="0" w:color="auto"/>
      </w:divBdr>
    </w:div>
    <w:div w:id="1760788291">
      <w:bodyDiv w:val="1"/>
      <w:marLeft w:val="0"/>
      <w:marRight w:val="0"/>
      <w:marTop w:val="0"/>
      <w:marBottom w:val="0"/>
      <w:divBdr>
        <w:top w:val="none" w:sz="0" w:space="0" w:color="auto"/>
        <w:left w:val="none" w:sz="0" w:space="0" w:color="auto"/>
        <w:bottom w:val="none" w:sz="0" w:space="0" w:color="auto"/>
        <w:right w:val="none" w:sz="0" w:space="0" w:color="auto"/>
      </w:divBdr>
    </w:div>
    <w:div w:id="1761485738">
      <w:bodyDiv w:val="1"/>
      <w:marLeft w:val="0"/>
      <w:marRight w:val="0"/>
      <w:marTop w:val="0"/>
      <w:marBottom w:val="0"/>
      <w:divBdr>
        <w:top w:val="none" w:sz="0" w:space="0" w:color="auto"/>
        <w:left w:val="none" w:sz="0" w:space="0" w:color="auto"/>
        <w:bottom w:val="none" w:sz="0" w:space="0" w:color="auto"/>
        <w:right w:val="none" w:sz="0" w:space="0" w:color="auto"/>
      </w:divBdr>
    </w:div>
    <w:div w:id="1762481575">
      <w:bodyDiv w:val="1"/>
      <w:marLeft w:val="0"/>
      <w:marRight w:val="0"/>
      <w:marTop w:val="0"/>
      <w:marBottom w:val="0"/>
      <w:divBdr>
        <w:top w:val="none" w:sz="0" w:space="0" w:color="auto"/>
        <w:left w:val="none" w:sz="0" w:space="0" w:color="auto"/>
        <w:bottom w:val="none" w:sz="0" w:space="0" w:color="auto"/>
        <w:right w:val="none" w:sz="0" w:space="0" w:color="auto"/>
      </w:divBdr>
    </w:div>
    <w:div w:id="1762601386">
      <w:bodyDiv w:val="1"/>
      <w:marLeft w:val="0"/>
      <w:marRight w:val="0"/>
      <w:marTop w:val="0"/>
      <w:marBottom w:val="0"/>
      <w:divBdr>
        <w:top w:val="none" w:sz="0" w:space="0" w:color="auto"/>
        <w:left w:val="none" w:sz="0" w:space="0" w:color="auto"/>
        <w:bottom w:val="none" w:sz="0" w:space="0" w:color="auto"/>
        <w:right w:val="none" w:sz="0" w:space="0" w:color="auto"/>
      </w:divBdr>
    </w:div>
    <w:div w:id="1762987416">
      <w:bodyDiv w:val="1"/>
      <w:marLeft w:val="0"/>
      <w:marRight w:val="0"/>
      <w:marTop w:val="0"/>
      <w:marBottom w:val="0"/>
      <w:divBdr>
        <w:top w:val="none" w:sz="0" w:space="0" w:color="auto"/>
        <w:left w:val="none" w:sz="0" w:space="0" w:color="auto"/>
        <w:bottom w:val="none" w:sz="0" w:space="0" w:color="auto"/>
        <w:right w:val="none" w:sz="0" w:space="0" w:color="auto"/>
      </w:divBdr>
    </w:div>
    <w:div w:id="1763795426">
      <w:bodyDiv w:val="1"/>
      <w:marLeft w:val="0"/>
      <w:marRight w:val="0"/>
      <w:marTop w:val="0"/>
      <w:marBottom w:val="0"/>
      <w:divBdr>
        <w:top w:val="none" w:sz="0" w:space="0" w:color="auto"/>
        <w:left w:val="none" w:sz="0" w:space="0" w:color="auto"/>
        <w:bottom w:val="none" w:sz="0" w:space="0" w:color="auto"/>
        <w:right w:val="none" w:sz="0" w:space="0" w:color="auto"/>
      </w:divBdr>
    </w:div>
    <w:div w:id="1763841636">
      <w:bodyDiv w:val="1"/>
      <w:marLeft w:val="0"/>
      <w:marRight w:val="0"/>
      <w:marTop w:val="0"/>
      <w:marBottom w:val="0"/>
      <w:divBdr>
        <w:top w:val="none" w:sz="0" w:space="0" w:color="auto"/>
        <w:left w:val="none" w:sz="0" w:space="0" w:color="auto"/>
        <w:bottom w:val="none" w:sz="0" w:space="0" w:color="auto"/>
        <w:right w:val="none" w:sz="0" w:space="0" w:color="auto"/>
      </w:divBdr>
    </w:div>
    <w:div w:id="1764523066">
      <w:bodyDiv w:val="1"/>
      <w:marLeft w:val="0"/>
      <w:marRight w:val="0"/>
      <w:marTop w:val="0"/>
      <w:marBottom w:val="0"/>
      <w:divBdr>
        <w:top w:val="none" w:sz="0" w:space="0" w:color="auto"/>
        <w:left w:val="none" w:sz="0" w:space="0" w:color="auto"/>
        <w:bottom w:val="none" w:sz="0" w:space="0" w:color="auto"/>
        <w:right w:val="none" w:sz="0" w:space="0" w:color="auto"/>
      </w:divBdr>
    </w:div>
    <w:div w:id="1764956058">
      <w:bodyDiv w:val="1"/>
      <w:marLeft w:val="0"/>
      <w:marRight w:val="0"/>
      <w:marTop w:val="0"/>
      <w:marBottom w:val="0"/>
      <w:divBdr>
        <w:top w:val="none" w:sz="0" w:space="0" w:color="auto"/>
        <w:left w:val="none" w:sz="0" w:space="0" w:color="auto"/>
        <w:bottom w:val="none" w:sz="0" w:space="0" w:color="auto"/>
        <w:right w:val="none" w:sz="0" w:space="0" w:color="auto"/>
      </w:divBdr>
    </w:div>
    <w:div w:id="1765416522">
      <w:bodyDiv w:val="1"/>
      <w:marLeft w:val="0"/>
      <w:marRight w:val="0"/>
      <w:marTop w:val="0"/>
      <w:marBottom w:val="0"/>
      <w:divBdr>
        <w:top w:val="none" w:sz="0" w:space="0" w:color="auto"/>
        <w:left w:val="none" w:sz="0" w:space="0" w:color="auto"/>
        <w:bottom w:val="none" w:sz="0" w:space="0" w:color="auto"/>
        <w:right w:val="none" w:sz="0" w:space="0" w:color="auto"/>
      </w:divBdr>
    </w:div>
    <w:div w:id="1765682140">
      <w:bodyDiv w:val="1"/>
      <w:marLeft w:val="0"/>
      <w:marRight w:val="0"/>
      <w:marTop w:val="0"/>
      <w:marBottom w:val="0"/>
      <w:divBdr>
        <w:top w:val="none" w:sz="0" w:space="0" w:color="auto"/>
        <w:left w:val="none" w:sz="0" w:space="0" w:color="auto"/>
        <w:bottom w:val="none" w:sz="0" w:space="0" w:color="auto"/>
        <w:right w:val="none" w:sz="0" w:space="0" w:color="auto"/>
      </w:divBdr>
    </w:div>
    <w:div w:id="1765761296">
      <w:bodyDiv w:val="1"/>
      <w:marLeft w:val="0"/>
      <w:marRight w:val="0"/>
      <w:marTop w:val="0"/>
      <w:marBottom w:val="0"/>
      <w:divBdr>
        <w:top w:val="none" w:sz="0" w:space="0" w:color="auto"/>
        <w:left w:val="none" w:sz="0" w:space="0" w:color="auto"/>
        <w:bottom w:val="none" w:sz="0" w:space="0" w:color="auto"/>
        <w:right w:val="none" w:sz="0" w:space="0" w:color="auto"/>
      </w:divBdr>
    </w:div>
    <w:div w:id="1765956949">
      <w:bodyDiv w:val="1"/>
      <w:marLeft w:val="0"/>
      <w:marRight w:val="0"/>
      <w:marTop w:val="0"/>
      <w:marBottom w:val="0"/>
      <w:divBdr>
        <w:top w:val="none" w:sz="0" w:space="0" w:color="auto"/>
        <w:left w:val="none" w:sz="0" w:space="0" w:color="auto"/>
        <w:bottom w:val="none" w:sz="0" w:space="0" w:color="auto"/>
        <w:right w:val="none" w:sz="0" w:space="0" w:color="auto"/>
      </w:divBdr>
    </w:div>
    <w:div w:id="1766412547">
      <w:bodyDiv w:val="1"/>
      <w:marLeft w:val="0"/>
      <w:marRight w:val="0"/>
      <w:marTop w:val="0"/>
      <w:marBottom w:val="0"/>
      <w:divBdr>
        <w:top w:val="none" w:sz="0" w:space="0" w:color="auto"/>
        <w:left w:val="none" w:sz="0" w:space="0" w:color="auto"/>
        <w:bottom w:val="none" w:sz="0" w:space="0" w:color="auto"/>
        <w:right w:val="none" w:sz="0" w:space="0" w:color="auto"/>
      </w:divBdr>
    </w:div>
    <w:div w:id="1766461621">
      <w:bodyDiv w:val="1"/>
      <w:marLeft w:val="0"/>
      <w:marRight w:val="0"/>
      <w:marTop w:val="0"/>
      <w:marBottom w:val="0"/>
      <w:divBdr>
        <w:top w:val="none" w:sz="0" w:space="0" w:color="auto"/>
        <w:left w:val="none" w:sz="0" w:space="0" w:color="auto"/>
        <w:bottom w:val="none" w:sz="0" w:space="0" w:color="auto"/>
        <w:right w:val="none" w:sz="0" w:space="0" w:color="auto"/>
      </w:divBdr>
    </w:div>
    <w:div w:id="1766615188">
      <w:bodyDiv w:val="1"/>
      <w:marLeft w:val="0"/>
      <w:marRight w:val="0"/>
      <w:marTop w:val="0"/>
      <w:marBottom w:val="0"/>
      <w:divBdr>
        <w:top w:val="none" w:sz="0" w:space="0" w:color="auto"/>
        <w:left w:val="none" w:sz="0" w:space="0" w:color="auto"/>
        <w:bottom w:val="none" w:sz="0" w:space="0" w:color="auto"/>
        <w:right w:val="none" w:sz="0" w:space="0" w:color="auto"/>
      </w:divBdr>
    </w:div>
    <w:div w:id="1767118064">
      <w:bodyDiv w:val="1"/>
      <w:marLeft w:val="0"/>
      <w:marRight w:val="0"/>
      <w:marTop w:val="0"/>
      <w:marBottom w:val="0"/>
      <w:divBdr>
        <w:top w:val="none" w:sz="0" w:space="0" w:color="auto"/>
        <w:left w:val="none" w:sz="0" w:space="0" w:color="auto"/>
        <w:bottom w:val="none" w:sz="0" w:space="0" w:color="auto"/>
        <w:right w:val="none" w:sz="0" w:space="0" w:color="auto"/>
      </w:divBdr>
    </w:div>
    <w:div w:id="1767532906">
      <w:bodyDiv w:val="1"/>
      <w:marLeft w:val="0"/>
      <w:marRight w:val="0"/>
      <w:marTop w:val="0"/>
      <w:marBottom w:val="0"/>
      <w:divBdr>
        <w:top w:val="none" w:sz="0" w:space="0" w:color="auto"/>
        <w:left w:val="none" w:sz="0" w:space="0" w:color="auto"/>
        <w:bottom w:val="none" w:sz="0" w:space="0" w:color="auto"/>
        <w:right w:val="none" w:sz="0" w:space="0" w:color="auto"/>
      </w:divBdr>
    </w:div>
    <w:div w:id="1767730463">
      <w:bodyDiv w:val="1"/>
      <w:marLeft w:val="0"/>
      <w:marRight w:val="0"/>
      <w:marTop w:val="0"/>
      <w:marBottom w:val="0"/>
      <w:divBdr>
        <w:top w:val="none" w:sz="0" w:space="0" w:color="auto"/>
        <w:left w:val="none" w:sz="0" w:space="0" w:color="auto"/>
        <w:bottom w:val="none" w:sz="0" w:space="0" w:color="auto"/>
        <w:right w:val="none" w:sz="0" w:space="0" w:color="auto"/>
      </w:divBdr>
    </w:div>
    <w:div w:id="1768043459">
      <w:bodyDiv w:val="1"/>
      <w:marLeft w:val="0"/>
      <w:marRight w:val="0"/>
      <w:marTop w:val="0"/>
      <w:marBottom w:val="0"/>
      <w:divBdr>
        <w:top w:val="none" w:sz="0" w:space="0" w:color="auto"/>
        <w:left w:val="none" w:sz="0" w:space="0" w:color="auto"/>
        <w:bottom w:val="none" w:sz="0" w:space="0" w:color="auto"/>
        <w:right w:val="none" w:sz="0" w:space="0" w:color="auto"/>
      </w:divBdr>
    </w:div>
    <w:div w:id="1768386171">
      <w:bodyDiv w:val="1"/>
      <w:marLeft w:val="0"/>
      <w:marRight w:val="0"/>
      <w:marTop w:val="0"/>
      <w:marBottom w:val="0"/>
      <w:divBdr>
        <w:top w:val="none" w:sz="0" w:space="0" w:color="auto"/>
        <w:left w:val="none" w:sz="0" w:space="0" w:color="auto"/>
        <w:bottom w:val="none" w:sz="0" w:space="0" w:color="auto"/>
        <w:right w:val="none" w:sz="0" w:space="0" w:color="auto"/>
      </w:divBdr>
    </w:div>
    <w:div w:id="1769307145">
      <w:bodyDiv w:val="1"/>
      <w:marLeft w:val="0"/>
      <w:marRight w:val="0"/>
      <w:marTop w:val="0"/>
      <w:marBottom w:val="0"/>
      <w:divBdr>
        <w:top w:val="none" w:sz="0" w:space="0" w:color="auto"/>
        <w:left w:val="none" w:sz="0" w:space="0" w:color="auto"/>
        <w:bottom w:val="none" w:sz="0" w:space="0" w:color="auto"/>
        <w:right w:val="none" w:sz="0" w:space="0" w:color="auto"/>
      </w:divBdr>
    </w:div>
    <w:div w:id="1770466306">
      <w:bodyDiv w:val="1"/>
      <w:marLeft w:val="0"/>
      <w:marRight w:val="0"/>
      <w:marTop w:val="0"/>
      <w:marBottom w:val="0"/>
      <w:divBdr>
        <w:top w:val="none" w:sz="0" w:space="0" w:color="auto"/>
        <w:left w:val="none" w:sz="0" w:space="0" w:color="auto"/>
        <w:bottom w:val="none" w:sz="0" w:space="0" w:color="auto"/>
        <w:right w:val="none" w:sz="0" w:space="0" w:color="auto"/>
      </w:divBdr>
    </w:div>
    <w:div w:id="1770658381">
      <w:bodyDiv w:val="1"/>
      <w:marLeft w:val="0"/>
      <w:marRight w:val="0"/>
      <w:marTop w:val="0"/>
      <w:marBottom w:val="0"/>
      <w:divBdr>
        <w:top w:val="none" w:sz="0" w:space="0" w:color="auto"/>
        <w:left w:val="none" w:sz="0" w:space="0" w:color="auto"/>
        <w:bottom w:val="none" w:sz="0" w:space="0" w:color="auto"/>
        <w:right w:val="none" w:sz="0" w:space="0" w:color="auto"/>
      </w:divBdr>
    </w:div>
    <w:div w:id="1771774926">
      <w:bodyDiv w:val="1"/>
      <w:marLeft w:val="0"/>
      <w:marRight w:val="0"/>
      <w:marTop w:val="0"/>
      <w:marBottom w:val="0"/>
      <w:divBdr>
        <w:top w:val="none" w:sz="0" w:space="0" w:color="auto"/>
        <w:left w:val="none" w:sz="0" w:space="0" w:color="auto"/>
        <w:bottom w:val="none" w:sz="0" w:space="0" w:color="auto"/>
        <w:right w:val="none" w:sz="0" w:space="0" w:color="auto"/>
      </w:divBdr>
    </w:div>
    <w:div w:id="1772623819">
      <w:bodyDiv w:val="1"/>
      <w:marLeft w:val="0"/>
      <w:marRight w:val="0"/>
      <w:marTop w:val="0"/>
      <w:marBottom w:val="0"/>
      <w:divBdr>
        <w:top w:val="none" w:sz="0" w:space="0" w:color="auto"/>
        <w:left w:val="none" w:sz="0" w:space="0" w:color="auto"/>
        <w:bottom w:val="none" w:sz="0" w:space="0" w:color="auto"/>
        <w:right w:val="none" w:sz="0" w:space="0" w:color="auto"/>
      </w:divBdr>
    </w:div>
    <w:div w:id="1773167636">
      <w:bodyDiv w:val="1"/>
      <w:marLeft w:val="0"/>
      <w:marRight w:val="0"/>
      <w:marTop w:val="0"/>
      <w:marBottom w:val="0"/>
      <w:divBdr>
        <w:top w:val="none" w:sz="0" w:space="0" w:color="auto"/>
        <w:left w:val="none" w:sz="0" w:space="0" w:color="auto"/>
        <w:bottom w:val="none" w:sz="0" w:space="0" w:color="auto"/>
        <w:right w:val="none" w:sz="0" w:space="0" w:color="auto"/>
      </w:divBdr>
    </w:div>
    <w:div w:id="1773356442">
      <w:bodyDiv w:val="1"/>
      <w:marLeft w:val="0"/>
      <w:marRight w:val="0"/>
      <w:marTop w:val="0"/>
      <w:marBottom w:val="0"/>
      <w:divBdr>
        <w:top w:val="none" w:sz="0" w:space="0" w:color="auto"/>
        <w:left w:val="none" w:sz="0" w:space="0" w:color="auto"/>
        <w:bottom w:val="none" w:sz="0" w:space="0" w:color="auto"/>
        <w:right w:val="none" w:sz="0" w:space="0" w:color="auto"/>
      </w:divBdr>
    </w:div>
    <w:div w:id="1773431419">
      <w:bodyDiv w:val="1"/>
      <w:marLeft w:val="0"/>
      <w:marRight w:val="0"/>
      <w:marTop w:val="0"/>
      <w:marBottom w:val="0"/>
      <w:divBdr>
        <w:top w:val="none" w:sz="0" w:space="0" w:color="auto"/>
        <w:left w:val="none" w:sz="0" w:space="0" w:color="auto"/>
        <w:bottom w:val="none" w:sz="0" w:space="0" w:color="auto"/>
        <w:right w:val="none" w:sz="0" w:space="0" w:color="auto"/>
      </w:divBdr>
    </w:div>
    <w:div w:id="1773548141">
      <w:bodyDiv w:val="1"/>
      <w:marLeft w:val="0"/>
      <w:marRight w:val="0"/>
      <w:marTop w:val="0"/>
      <w:marBottom w:val="0"/>
      <w:divBdr>
        <w:top w:val="none" w:sz="0" w:space="0" w:color="auto"/>
        <w:left w:val="none" w:sz="0" w:space="0" w:color="auto"/>
        <w:bottom w:val="none" w:sz="0" w:space="0" w:color="auto"/>
        <w:right w:val="none" w:sz="0" w:space="0" w:color="auto"/>
      </w:divBdr>
    </w:div>
    <w:div w:id="1773670862">
      <w:bodyDiv w:val="1"/>
      <w:marLeft w:val="0"/>
      <w:marRight w:val="0"/>
      <w:marTop w:val="0"/>
      <w:marBottom w:val="0"/>
      <w:divBdr>
        <w:top w:val="none" w:sz="0" w:space="0" w:color="auto"/>
        <w:left w:val="none" w:sz="0" w:space="0" w:color="auto"/>
        <w:bottom w:val="none" w:sz="0" w:space="0" w:color="auto"/>
        <w:right w:val="none" w:sz="0" w:space="0" w:color="auto"/>
      </w:divBdr>
    </w:div>
    <w:div w:id="1773816143">
      <w:bodyDiv w:val="1"/>
      <w:marLeft w:val="0"/>
      <w:marRight w:val="0"/>
      <w:marTop w:val="0"/>
      <w:marBottom w:val="0"/>
      <w:divBdr>
        <w:top w:val="none" w:sz="0" w:space="0" w:color="auto"/>
        <w:left w:val="none" w:sz="0" w:space="0" w:color="auto"/>
        <w:bottom w:val="none" w:sz="0" w:space="0" w:color="auto"/>
        <w:right w:val="none" w:sz="0" w:space="0" w:color="auto"/>
      </w:divBdr>
    </w:div>
    <w:div w:id="1774932090">
      <w:bodyDiv w:val="1"/>
      <w:marLeft w:val="0"/>
      <w:marRight w:val="0"/>
      <w:marTop w:val="0"/>
      <w:marBottom w:val="0"/>
      <w:divBdr>
        <w:top w:val="none" w:sz="0" w:space="0" w:color="auto"/>
        <w:left w:val="none" w:sz="0" w:space="0" w:color="auto"/>
        <w:bottom w:val="none" w:sz="0" w:space="0" w:color="auto"/>
        <w:right w:val="none" w:sz="0" w:space="0" w:color="auto"/>
      </w:divBdr>
    </w:div>
    <w:div w:id="1775392970">
      <w:bodyDiv w:val="1"/>
      <w:marLeft w:val="0"/>
      <w:marRight w:val="0"/>
      <w:marTop w:val="0"/>
      <w:marBottom w:val="0"/>
      <w:divBdr>
        <w:top w:val="none" w:sz="0" w:space="0" w:color="auto"/>
        <w:left w:val="none" w:sz="0" w:space="0" w:color="auto"/>
        <w:bottom w:val="none" w:sz="0" w:space="0" w:color="auto"/>
        <w:right w:val="none" w:sz="0" w:space="0" w:color="auto"/>
      </w:divBdr>
    </w:div>
    <w:div w:id="1775783992">
      <w:bodyDiv w:val="1"/>
      <w:marLeft w:val="0"/>
      <w:marRight w:val="0"/>
      <w:marTop w:val="0"/>
      <w:marBottom w:val="0"/>
      <w:divBdr>
        <w:top w:val="none" w:sz="0" w:space="0" w:color="auto"/>
        <w:left w:val="none" w:sz="0" w:space="0" w:color="auto"/>
        <w:bottom w:val="none" w:sz="0" w:space="0" w:color="auto"/>
        <w:right w:val="none" w:sz="0" w:space="0" w:color="auto"/>
      </w:divBdr>
    </w:div>
    <w:div w:id="1775904077">
      <w:bodyDiv w:val="1"/>
      <w:marLeft w:val="0"/>
      <w:marRight w:val="0"/>
      <w:marTop w:val="0"/>
      <w:marBottom w:val="0"/>
      <w:divBdr>
        <w:top w:val="none" w:sz="0" w:space="0" w:color="auto"/>
        <w:left w:val="none" w:sz="0" w:space="0" w:color="auto"/>
        <w:bottom w:val="none" w:sz="0" w:space="0" w:color="auto"/>
        <w:right w:val="none" w:sz="0" w:space="0" w:color="auto"/>
      </w:divBdr>
    </w:div>
    <w:div w:id="1775976006">
      <w:bodyDiv w:val="1"/>
      <w:marLeft w:val="0"/>
      <w:marRight w:val="0"/>
      <w:marTop w:val="0"/>
      <w:marBottom w:val="0"/>
      <w:divBdr>
        <w:top w:val="none" w:sz="0" w:space="0" w:color="auto"/>
        <w:left w:val="none" w:sz="0" w:space="0" w:color="auto"/>
        <w:bottom w:val="none" w:sz="0" w:space="0" w:color="auto"/>
        <w:right w:val="none" w:sz="0" w:space="0" w:color="auto"/>
      </w:divBdr>
    </w:div>
    <w:div w:id="1776168152">
      <w:bodyDiv w:val="1"/>
      <w:marLeft w:val="0"/>
      <w:marRight w:val="0"/>
      <w:marTop w:val="0"/>
      <w:marBottom w:val="0"/>
      <w:divBdr>
        <w:top w:val="none" w:sz="0" w:space="0" w:color="auto"/>
        <w:left w:val="none" w:sz="0" w:space="0" w:color="auto"/>
        <w:bottom w:val="none" w:sz="0" w:space="0" w:color="auto"/>
        <w:right w:val="none" w:sz="0" w:space="0" w:color="auto"/>
      </w:divBdr>
    </w:div>
    <w:div w:id="1776557909">
      <w:bodyDiv w:val="1"/>
      <w:marLeft w:val="0"/>
      <w:marRight w:val="0"/>
      <w:marTop w:val="0"/>
      <w:marBottom w:val="0"/>
      <w:divBdr>
        <w:top w:val="none" w:sz="0" w:space="0" w:color="auto"/>
        <w:left w:val="none" w:sz="0" w:space="0" w:color="auto"/>
        <w:bottom w:val="none" w:sz="0" w:space="0" w:color="auto"/>
        <w:right w:val="none" w:sz="0" w:space="0" w:color="auto"/>
      </w:divBdr>
    </w:div>
    <w:div w:id="1777486134">
      <w:bodyDiv w:val="1"/>
      <w:marLeft w:val="0"/>
      <w:marRight w:val="0"/>
      <w:marTop w:val="0"/>
      <w:marBottom w:val="0"/>
      <w:divBdr>
        <w:top w:val="none" w:sz="0" w:space="0" w:color="auto"/>
        <w:left w:val="none" w:sz="0" w:space="0" w:color="auto"/>
        <w:bottom w:val="none" w:sz="0" w:space="0" w:color="auto"/>
        <w:right w:val="none" w:sz="0" w:space="0" w:color="auto"/>
      </w:divBdr>
    </w:div>
    <w:div w:id="1777820799">
      <w:bodyDiv w:val="1"/>
      <w:marLeft w:val="0"/>
      <w:marRight w:val="0"/>
      <w:marTop w:val="0"/>
      <w:marBottom w:val="0"/>
      <w:divBdr>
        <w:top w:val="none" w:sz="0" w:space="0" w:color="auto"/>
        <w:left w:val="none" w:sz="0" w:space="0" w:color="auto"/>
        <w:bottom w:val="none" w:sz="0" w:space="0" w:color="auto"/>
        <w:right w:val="none" w:sz="0" w:space="0" w:color="auto"/>
      </w:divBdr>
    </w:div>
    <w:div w:id="1777821880">
      <w:bodyDiv w:val="1"/>
      <w:marLeft w:val="0"/>
      <w:marRight w:val="0"/>
      <w:marTop w:val="0"/>
      <w:marBottom w:val="0"/>
      <w:divBdr>
        <w:top w:val="none" w:sz="0" w:space="0" w:color="auto"/>
        <w:left w:val="none" w:sz="0" w:space="0" w:color="auto"/>
        <w:bottom w:val="none" w:sz="0" w:space="0" w:color="auto"/>
        <w:right w:val="none" w:sz="0" w:space="0" w:color="auto"/>
      </w:divBdr>
    </w:div>
    <w:div w:id="1777865081">
      <w:bodyDiv w:val="1"/>
      <w:marLeft w:val="0"/>
      <w:marRight w:val="0"/>
      <w:marTop w:val="0"/>
      <w:marBottom w:val="0"/>
      <w:divBdr>
        <w:top w:val="none" w:sz="0" w:space="0" w:color="auto"/>
        <w:left w:val="none" w:sz="0" w:space="0" w:color="auto"/>
        <w:bottom w:val="none" w:sz="0" w:space="0" w:color="auto"/>
        <w:right w:val="none" w:sz="0" w:space="0" w:color="auto"/>
      </w:divBdr>
    </w:div>
    <w:div w:id="1777944896">
      <w:bodyDiv w:val="1"/>
      <w:marLeft w:val="0"/>
      <w:marRight w:val="0"/>
      <w:marTop w:val="0"/>
      <w:marBottom w:val="0"/>
      <w:divBdr>
        <w:top w:val="none" w:sz="0" w:space="0" w:color="auto"/>
        <w:left w:val="none" w:sz="0" w:space="0" w:color="auto"/>
        <w:bottom w:val="none" w:sz="0" w:space="0" w:color="auto"/>
        <w:right w:val="none" w:sz="0" w:space="0" w:color="auto"/>
      </w:divBdr>
    </w:div>
    <w:div w:id="1778016203">
      <w:bodyDiv w:val="1"/>
      <w:marLeft w:val="0"/>
      <w:marRight w:val="0"/>
      <w:marTop w:val="0"/>
      <w:marBottom w:val="0"/>
      <w:divBdr>
        <w:top w:val="none" w:sz="0" w:space="0" w:color="auto"/>
        <w:left w:val="none" w:sz="0" w:space="0" w:color="auto"/>
        <w:bottom w:val="none" w:sz="0" w:space="0" w:color="auto"/>
        <w:right w:val="none" w:sz="0" w:space="0" w:color="auto"/>
      </w:divBdr>
    </w:div>
    <w:div w:id="1778061837">
      <w:bodyDiv w:val="1"/>
      <w:marLeft w:val="0"/>
      <w:marRight w:val="0"/>
      <w:marTop w:val="0"/>
      <w:marBottom w:val="0"/>
      <w:divBdr>
        <w:top w:val="none" w:sz="0" w:space="0" w:color="auto"/>
        <w:left w:val="none" w:sz="0" w:space="0" w:color="auto"/>
        <w:bottom w:val="none" w:sz="0" w:space="0" w:color="auto"/>
        <w:right w:val="none" w:sz="0" w:space="0" w:color="auto"/>
      </w:divBdr>
    </w:div>
    <w:div w:id="1778523519">
      <w:bodyDiv w:val="1"/>
      <w:marLeft w:val="0"/>
      <w:marRight w:val="0"/>
      <w:marTop w:val="0"/>
      <w:marBottom w:val="0"/>
      <w:divBdr>
        <w:top w:val="none" w:sz="0" w:space="0" w:color="auto"/>
        <w:left w:val="none" w:sz="0" w:space="0" w:color="auto"/>
        <w:bottom w:val="none" w:sz="0" w:space="0" w:color="auto"/>
        <w:right w:val="none" w:sz="0" w:space="0" w:color="auto"/>
      </w:divBdr>
    </w:div>
    <w:div w:id="1778601624">
      <w:bodyDiv w:val="1"/>
      <w:marLeft w:val="0"/>
      <w:marRight w:val="0"/>
      <w:marTop w:val="0"/>
      <w:marBottom w:val="0"/>
      <w:divBdr>
        <w:top w:val="none" w:sz="0" w:space="0" w:color="auto"/>
        <w:left w:val="none" w:sz="0" w:space="0" w:color="auto"/>
        <w:bottom w:val="none" w:sz="0" w:space="0" w:color="auto"/>
        <w:right w:val="none" w:sz="0" w:space="0" w:color="auto"/>
      </w:divBdr>
    </w:div>
    <w:div w:id="1778871876">
      <w:bodyDiv w:val="1"/>
      <w:marLeft w:val="0"/>
      <w:marRight w:val="0"/>
      <w:marTop w:val="0"/>
      <w:marBottom w:val="0"/>
      <w:divBdr>
        <w:top w:val="none" w:sz="0" w:space="0" w:color="auto"/>
        <w:left w:val="none" w:sz="0" w:space="0" w:color="auto"/>
        <w:bottom w:val="none" w:sz="0" w:space="0" w:color="auto"/>
        <w:right w:val="none" w:sz="0" w:space="0" w:color="auto"/>
      </w:divBdr>
    </w:div>
    <w:div w:id="1779178637">
      <w:bodyDiv w:val="1"/>
      <w:marLeft w:val="0"/>
      <w:marRight w:val="0"/>
      <w:marTop w:val="0"/>
      <w:marBottom w:val="0"/>
      <w:divBdr>
        <w:top w:val="none" w:sz="0" w:space="0" w:color="auto"/>
        <w:left w:val="none" w:sz="0" w:space="0" w:color="auto"/>
        <w:bottom w:val="none" w:sz="0" w:space="0" w:color="auto"/>
        <w:right w:val="none" w:sz="0" w:space="0" w:color="auto"/>
      </w:divBdr>
    </w:div>
    <w:div w:id="1779450987">
      <w:bodyDiv w:val="1"/>
      <w:marLeft w:val="0"/>
      <w:marRight w:val="0"/>
      <w:marTop w:val="0"/>
      <w:marBottom w:val="0"/>
      <w:divBdr>
        <w:top w:val="none" w:sz="0" w:space="0" w:color="auto"/>
        <w:left w:val="none" w:sz="0" w:space="0" w:color="auto"/>
        <w:bottom w:val="none" w:sz="0" w:space="0" w:color="auto"/>
        <w:right w:val="none" w:sz="0" w:space="0" w:color="auto"/>
      </w:divBdr>
    </w:div>
    <w:div w:id="1779635833">
      <w:bodyDiv w:val="1"/>
      <w:marLeft w:val="0"/>
      <w:marRight w:val="0"/>
      <w:marTop w:val="0"/>
      <w:marBottom w:val="0"/>
      <w:divBdr>
        <w:top w:val="none" w:sz="0" w:space="0" w:color="auto"/>
        <w:left w:val="none" w:sz="0" w:space="0" w:color="auto"/>
        <w:bottom w:val="none" w:sz="0" w:space="0" w:color="auto"/>
        <w:right w:val="none" w:sz="0" w:space="0" w:color="auto"/>
      </w:divBdr>
    </w:div>
    <w:div w:id="1779983907">
      <w:bodyDiv w:val="1"/>
      <w:marLeft w:val="0"/>
      <w:marRight w:val="0"/>
      <w:marTop w:val="0"/>
      <w:marBottom w:val="0"/>
      <w:divBdr>
        <w:top w:val="none" w:sz="0" w:space="0" w:color="auto"/>
        <w:left w:val="none" w:sz="0" w:space="0" w:color="auto"/>
        <w:bottom w:val="none" w:sz="0" w:space="0" w:color="auto"/>
        <w:right w:val="none" w:sz="0" w:space="0" w:color="auto"/>
      </w:divBdr>
    </w:div>
    <w:div w:id="1780643177">
      <w:bodyDiv w:val="1"/>
      <w:marLeft w:val="0"/>
      <w:marRight w:val="0"/>
      <w:marTop w:val="0"/>
      <w:marBottom w:val="0"/>
      <w:divBdr>
        <w:top w:val="none" w:sz="0" w:space="0" w:color="auto"/>
        <w:left w:val="none" w:sz="0" w:space="0" w:color="auto"/>
        <w:bottom w:val="none" w:sz="0" w:space="0" w:color="auto"/>
        <w:right w:val="none" w:sz="0" w:space="0" w:color="auto"/>
      </w:divBdr>
    </w:div>
    <w:div w:id="1780948524">
      <w:bodyDiv w:val="1"/>
      <w:marLeft w:val="0"/>
      <w:marRight w:val="0"/>
      <w:marTop w:val="0"/>
      <w:marBottom w:val="0"/>
      <w:divBdr>
        <w:top w:val="none" w:sz="0" w:space="0" w:color="auto"/>
        <w:left w:val="none" w:sz="0" w:space="0" w:color="auto"/>
        <w:bottom w:val="none" w:sz="0" w:space="0" w:color="auto"/>
        <w:right w:val="none" w:sz="0" w:space="0" w:color="auto"/>
      </w:divBdr>
    </w:div>
    <w:div w:id="1781221357">
      <w:bodyDiv w:val="1"/>
      <w:marLeft w:val="0"/>
      <w:marRight w:val="0"/>
      <w:marTop w:val="0"/>
      <w:marBottom w:val="0"/>
      <w:divBdr>
        <w:top w:val="none" w:sz="0" w:space="0" w:color="auto"/>
        <w:left w:val="none" w:sz="0" w:space="0" w:color="auto"/>
        <w:bottom w:val="none" w:sz="0" w:space="0" w:color="auto"/>
        <w:right w:val="none" w:sz="0" w:space="0" w:color="auto"/>
      </w:divBdr>
    </w:div>
    <w:div w:id="1781410450">
      <w:bodyDiv w:val="1"/>
      <w:marLeft w:val="0"/>
      <w:marRight w:val="0"/>
      <w:marTop w:val="0"/>
      <w:marBottom w:val="0"/>
      <w:divBdr>
        <w:top w:val="none" w:sz="0" w:space="0" w:color="auto"/>
        <w:left w:val="none" w:sz="0" w:space="0" w:color="auto"/>
        <w:bottom w:val="none" w:sz="0" w:space="0" w:color="auto"/>
        <w:right w:val="none" w:sz="0" w:space="0" w:color="auto"/>
      </w:divBdr>
    </w:div>
    <w:div w:id="1781560099">
      <w:bodyDiv w:val="1"/>
      <w:marLeft w:val="0"/>
      <w:marRight w:val="0"/>
      <w:marTop w:val="0"/>
      <w:marBottom w:val="0"/>
      <w:divBdr>
        <w:top w:val="none" w:sz="0" w:space="0" w:color="auto"/>
        <w:left w:val="none" w:sz="0" w:space="0" w:color="auto"/>
        <w:bottom w:val="none" w:sz="0" w:space="0" w:color="auto"/>
        <w:right w:val="none" w:sz="0" w:space="0" w:color="auto"/>
      </w:divBdr>
    </w:div>
    <w:div w:id="1781727254">
      <w:bodyDiv w:val="1"/>
      <w:marLeft w:val="0"/>
      <w:marRight w:val="0"/>
      <w:marTop w:val="0"/>
      <w:marBottom w:val="0"/>
      <w:divBdr>
        <w:top w:val="none" w:sz="0" w:space="0" w:color="auto"/>
        <w:left w:val="none" w:sz="0" w:space="0" w:color="auto"/>
        <w:bottom w:val="none" w:sz="0" w:space="0" w:color="auto"/>
        <w:right w:val="none" w:sz="0" w:space="0" w:color="auto"/>
      </w:divBdr>
    </w:div>
    <w:div w:id="1781994356">
      <w:bodyDiv w:val="1"/>
      <w:marLeft w:val="0"/>
      <w:marRight w:val="0"/>
      <w:marTop w:val="0"/>
      <w:marBottom w:val="0"/>
      <w:divBdr>
        <w:top w:val="none" w:sz="0" w:space="0" w:color="auto"/>
        <w:left w:val="none" w:sz="0" w:space="0" w:color="auto"/>
        <w:bottom w:val="none" w:sz="0" w:space="0" w:color="auto"/>
        <w:right w:val="none" w:sz="0" w:space="0" w:color="auto"/>
      </w:divBdr>
    </w:div>
    <w:div w:id="1782995050">
      <w:bodyDiv w:val="1"/>
      <w:marLeft w:val="0"/>
      <w:marRight w:val="0"/>
      <w:marTop w:val="0"/>
      <w:marBottom w:val="0"/>
      <w:divBdr>
        <w:top w:val="none" w:sz="0" w:space="0" w:color="auto"/>
        <w:left w:val="none" w:sz="0" w:space="0" w:color="auto"/>
        <w:bottom w:val="none" w:sz="0" w:space="0" w:color="auto"/>
        <w:right w:val="none" w:sz="0" w:space="0" w:color="auto"/>
      </w:divBdr>
    </w:div>
    <w:div w:id="1783257594">
      <w:bodyDiv w:val="1"/>
      <w:marLeft w:val="0"/>
      <w:marRight w:val="0"/>
      <w:marTop w:val="0"/>
      <w:marBottom w:val="0"/>
      <w:divBdr>
        <w:top w:val="none" w:sz="0" w:space="0" w:color="auto"/>
        <w:left w:val="none" w:sz="0" w:space="0" w:color="auto"/>
        <w:bottom w:val="none" w:sz="0" w:space="0" w:color="auto"/>
        <w:right w:val="none" w:sz="0" w:space="0" w:color="auto"/>
      </w:divBdr>
    </w:div>
    <w:div w:id="1783377672">
      <w:bodyDiv w:val="1"/>
      <w:marLeft w:val="0"/>
      <w:marRight w:val="0"/>
      <w:marTop w:val="0"/>
      <w:marBottom w:val="0"/>
      <w:divBdr>
        <w:top w:val="none" w:sz="0" w:space="0" w:color="auto"/>
        <w:left w:val="none" w:sz="0" w:space="0" w:color="auto"/>
        <w:bottom w:val="none" w:sz="0" w:space="0" w:color="auto"/>
        <w:right w:val="none" w:sz="0" w:space="0" w:color="auto"/>
      </w:divBdr>
    </w:div>
    <w:div w:id="1783458292">
      <w:bodyDiv w:val="1"/>
      <w:marLeft w:val="0"/>
      <w:marRight w:val="0"/>
      <w:marTop w:val="0"/>
      <w:marBottom w:val="0"/>
      <w:divBdr>
        <w:top w:val="none" w:sz="0" w:space="0" w:color="auto"/>
        <w:left w:val="none" w:sz="0" w:space="0" w:color="auto"/>
        <w:bottom w:val="none" w:sz="0" w:space="0" w:color="auto"/>
        <w:right w:val="none" w:sz="0" w:space="0" w:color="auto"/>
      </w:divBdr>
    </w:div>
    <w:div w:id="1783769627">
      <w:bodyDiv w:val="1"/>
      <w:marLeft w:val="0"/>
      <w:marRight w:val="0"/>
      <w:marTop w:val="0"/>
      <w:marBottom w:val="0"/>
      <w:divBdr>
        <w:top w:val="none" w:sz="0" w:space="0" w:color="auto"/>
        <w:left w:val="none" w:sz="0" w:space="0" w:color="auto"/>
        <w:bottom w:val="none" w:sz="0" w:space="0" w:color="auto"/>
        <w:right w:val="none" w:sz="0" w:space="0" w:color="auto"/>
      </w:divBdr>
    </w:div>
    <w:div w:id="1784223383">
      <w:bodyDiv w:val="1"/>
      <w:marLeft w:val="0"/>
      <w:marRight w:val="0"/>
      <w:marTop w:val="0"/>
      <w:marBottom w:val="0"/>
      <w:divBdr>
        <w:top w:val="none" w:sz="0" w:space="0" w:color="auto"/>
        <w:left w:val="none" w:sz="0" w:space="0" w:color="auto"/>
        <w:bottom w:val="none" w:sz="0" w:space="0" w:color="auto"/>
        <w:right w:val="none" w:sz="0" w:space="0" w:color="auto"/>
      </w:divBdr>
    </w:div>
    <w:div w:id="1784229093">
      <w:bodyDiv w:val="1"/>
      <w:marLeft w:val="0"/>
      <w:marRight w:val="0"/>
      <w:marTop w:val="0"/>
      <w:marBottom w:val="0"/>
      <w:divBdr>
        <w:top w:val="none" w:sz="0" w:space="0" w:color="auto"/>
        <w:left w:val="none" w:sz="0" w:space="0" w:color="auto"/>
        <w:bottom w:val="none" w:sz="0" w:space="0" w:color="auto"/>
        <w:right w:val="none" w:sz="0" w:space="0" w:color="auto"/>
      </w:divBdr>
    </w:div>
    <w:div w:id="1784375586">
      <w:bodyDiv w:val="1"/>
      <w:marLeft w:val="0"/>
      <w:marRight w:val="0"/>
      <w:marTop w:val="0"/>
      <w:marBottom w:val="0"/>
      <w:divBdr>
        <w:top w:val="none" w:sz="0" w:space="0" w:color="auto"/>
        <w:left w:val="none" w:sz="0" w:space="0" w:color="auto"/>
        <w:bottom w:val="none" w:sz="0" w:space="0" w:color="auto"/>
        <w:right w:val="none" w:sz="0" w:space="0" w:color="auto"/>
      </w:divBdr>
    </w:div>
    <w:div w:id="1786072969">
      <w:bodyDiv w:val="1"/>
      <w:marLeft w:val="0"/>
      <w:marRight w:val="0"/>
      <w:marTop w:val="0"/>
      <w:marBottom w:val="0"/>
      <w:divBdr>
        <w:top w:val="none" w:sz="0" w:space="0" w:color="auto"/>
        <w:left w:val="none" w:sz="0" w:space="0" w:color="auto"/>
        <w:bottom w:val="none" w:sz="0" w:space="0" w:color="auto"/>
        <w:right w:val="none" w:sz="0" w:space="0" w:color="auto"/>
      </w:divBdr>
    </w:div>
    <w:div w:id="1786995701">
      <w:bodyDiv w:val="1"/>
      <w:marLeft w:val="0"/>
      <w:marRight w:val="0"/>
      <w:marTop w:val="0"/>
      <w:marBottom w:val="0"/>
      <w:divBdr>
        <w:top w:val="none" w:sz="0" w:space="0" w:color="auto"/>
        <w:left w:val="none" w:sz="0" w:space="0" w:color="auto"/>
        <w:bottom w:val="none" w:sz="0" w:space="0" w:color="auto"/>
        <w:right w:val="none" w:sz="0" w:space="0" w:color="auto"/>
      </w:divBdr>
    </w:div>
    <w:div w:id="1788427820">
      <w:bodyDiv w:val="1"/>
      <w:marLeft w:val="0"/>
      <w:marRight w:val="0"/>
      <w:marTop w:val="0"/>
      <w:marBottom w:val="0"/>
      <w:divBdr>
        <w:top w:val="none" w:sz="0" w:space="0" w:color="auto"/>
        <w:left w:val="none" w:sz="0" w:space="0" w:color="auto"/>
        <w:bottom w:val="none" w:sz="0" w:space="0" w:color="auto"/>
        <w:right w:val="none" w:sz="0" w:space="0" w:color="auto"/>
      </w:divBdr>
    </w:div>
    <w:div w:id="1789156031">
      <w:bodyDiv w:val="1"/>
      <w:marLeft w:val="0"/>
      <w:marRight w:val="0"/>
      <w:marTop w:val="0"/>
      <w:marBottom w:val="0"/>
      <w:divBdr>
        <w:top w:val="none" w:sz="0" w:space="0" w:color="auto"/>
        <w:left w:val="none" w:sz="0" w:space="0" w:color="auto"/>
        <w:bottom w:val="none" w:sz="0" w:space="0" w:color="auto"/>
        <w:right w:val="none" w:sz="0" w:space="0" w:color="auto"/>
      </w:divBdr>
    </w:div>
    <w:div w:id="1789277987">
      <w:bodyDiv w:val="1"/>
      <w:marLeft w:val="0"/>
      <w:marRight w:val="0"/>
      <w:marTop w:val="0"/>
      <w:marBottom w:val="0"/>
      <w:divBdr>
        <w:top w:val="none" w:sz="0" w:space="0" w:color="auto"/>
        <w:left w:val="none" w:sz="0" w:space="0" w:color="auto"/>
        <w:bottom w:val="none" w:sz="0" w:space="0" w:color="auto"/>
        <w:right w:val="none" w:sz="0" w:space="0" w:color="auto"/>
      </w:divBdr>
    </w:div>
    <w:div w:id="1789548835">
      <w:bodyDiv w:val="1"/>
      <w:marLeft w:val="0"/>
      <w:marRight w:val="0"/>
      <w:marTop w:val="0"/>
      <w:marBottom w:val="0"/>
      <w:divBdr>
        <w:top w:val="none" w:sz="0" w:space="0" w:color="auto"/>
        <w:left w:val="none" w:sz="0" w:space="0" w:color="auto"/>
        <w:bottom w:val="none" w:sz="0" w:space="0" w:color="auto"/>
        <w:right w:val="none" w:sz="0" w:space="0" w:color="auto"/>
      </w:divBdr>
    </w:div>
    <w:div w:id="1789658483">
      <w:bodyDiv w:val="1"/>
      <w:marLeft w:val="0"/>
      <w:marRight w:val="0"/>
      <w:marTop w:val="0"/>
      <w:marBottom w:val="0"/>
      <w:divBdr>
        <w:top w:val="none" w:sz="0" w:space="0" w:color="auto"/>
        <w:left w:val="none" w:sz="0" w:space="0" w:color="auto"/>
        <w:bottom w:val="none" w:sz="0" w:space="0" w:color="auto"/>
        <w:right w:val="none" w:sz="0" w:space="0" w:color="auto"/>
      </w:divBdr>
    </w:div>
    <w:div w:id="1790121139">
      <w:bodyDiv w:val="1"/>
      <w:marLeft w:val="0"/>
      <w:marRight w:val="0"/>
      <w:marTop w:val="0"/>
      <w:marBottom w:val="0"/>
      <w:divBdr>
        <w:top w:val="none" w:sz="0" w:space="0" w:color="auto"/>
        <w:left w:val="none" w:sz="0" w:space="0" w:color="auto"/>
        <w:bottom w:val="none" w:sz="0" w:space="0" w:color="auto"/>
        <w:right w:val="none" w:sz="0" w:space="0" w:color="auto"/>
      </w:divBdr>
    </w:div>
    <w:div w:id="1790389629">
      <w:bodyDiv w:val="1"/>
      <w:marLeft w:val="0"/>
      <w:marRight w:val="0"/>
      <w:marTop w:val="0"/>
      <w:marBottom w:val="0"/>
      <w:divBdr>
        <w:top w:val="none" w:sz="0" w:space="0" w:color="auto"/>
        <w:left w:val="none" w:sz="0" w:space="0" w:color="auto"/>
        <w:bottom w:val="none" w:sz="0" w:space="0" w:color="auto"/>
        <w:right w:val="none" w:sz="0" w:space="0" w:color="auto"/>
      </w:divBdr>
    </w:div>
    <w:div w:id="1790706483">
      <w:bodyDiv w:val="1"/>
      <w:marLeft w:val="0"/>
      <w:marRight w:val="0"/>
      <w:marTop w:val="0"/>
      <w:marBottom w:val="0"/>
      <w:divBdr>
        <w:top w:val="none" w:sz="0" w:space="0" w:color="auto"/>
        <w:left w:val="none" w:sz="0" w:space="0" w:color="auto"/>
        <w:bottom w:val="none" w:sz="0" w:space="0" w:color="auto"/>
        <w:right w:val="none" w:sz="0" w:space="0" w:color="auto"/>
      </w:divBdr>
    </w:div>
    <w:div w:id="1791048698">
      <w:bodyDiv w:val="1"/>
      <w:marLeft w:val="0"/>
      <w:marRight w:val="0"/>
      <w:marTop w:val="0"/>
      <w:marBottom w:val="0"/>
      <w:divBdr>
        <w:top w:val="none" w:sz="0" w:space="0" w:color="auto"/>
        <w:left w:val="none" w:sz="0" w:space="0" w:color="auto"/>
        <w:bottom w:val="none" w:sz="0" w:space="0" w:color="auto"/>
        <w:right w:val="none" w:sz="0" w:space="0" w:color="auto"/>
      </w:divBdr>
    </w:div>
    <w:div w:id="1791701362">
      <w:bodyDiv w:val="1"/>
      <w:marLeft w:val="0"/>
      <w:marRight w:val="0"/>
      <w:marTop w:val="0"/>
      <w:marBottom w:val="0"/>
      <w:divBdr>
        <w:top w:val="none" w:sz="0" w:space="0" w:color="auto"/>
        <w:left w:val="none" w:sz="0" w:space="0" w:color="auto"/>
        <w:bottom w:val="none" w:sz="0" w:space="0" w:color="auto"/>
        <w:right w:val="none" w:sz="0" w:space="0" w:color="auto"/>
      </w:divBdr>
    </w:div>
    <w:div w:id="1791896081">
      <w:bodyDiv w:val="1"/>
      <w:marLeft w:val="0"/>
      <w:marRight w:val="0"/>
      <w:marTop w:val="0"/>
      <w:marBottom w:val="0"/>
      <w:divBdr>
        <w:top w:val="none" w:sz="0" w:space="0" w:color="auto"/>
        <w:left w:val="none" w:sz="0" w:space="0" w:color="auto"/>
        <w:bottom w:val="none" w:sz="0" w:space="0" w:color="auto"/>
        <w:right w:val="none" w:sz="0" w:space="0" w:color="auto"/>
      </w:divBdr>
    </w:div>
    <w:div w:id="1792360176">
      <w:bodyDiv w:val="1"/>
      <w:marLeft w:val="0"/>
      <w:marRight w:val="0"/>
      <w:marTop w:val="0"/>
      <w:marBottom w:val="0"/>
      <w:divBdr>
        <w:top w:val="none" w:sz="0" w:space="0" w:color="auto"/>
        <w:left w:val="none" w:sz="0" w:space="0" w:color="auto"/>
        <w:bottom w:val="none" w:sz="0" w:space="0" w:color="auto"/>
        <w:right w:val="none" w:sz="0" w:space="0" w:color="auto"/>
      </w:divBdr>
    </w:div>
    <w:div w:id="1792552268">
      <w:bodyDiv w:val="1"/>
      <w:marLeft w:val="0"/>
      <w:marRight w:val="0"/>
      <w:marTop w:val="0"/>
      <w:marBottom w:val="0"/>
      <w:divBdr>
        <w:top w:val="none" w:sz="0" w:space="0" w:color="auto"/>
        <w:left w:val="none" w:sz="0" w:space="0" w:color="auto"/>
        <w:bottom w:val="none" w:sz="0" w:space="0" w:color="auto"/>
        <w:right w:val="none" w:sz="0" w:space="0" w:color="auto"/>
      </w:divBdr>
    </w:div>
    <w:div w:id="1792746301">
      <w:bodyDiv w:val="1"/>
      <w:marLeft w:val="0"/>
      <w:marRight w:val="0"/>
      <w:marTop w:val="0"/>
      <w:marBottom w:val="0"/>
      <w:divBdr>
        <w:top w:val="none" w:sz="0" w:space="0" w:color="auto"/>
        <w:left w:val="none" w:sz="0" w:space="0" w:color="auto"/>
        <w:bottom w:val="none" w:sz="0" w:space="0" w:color="auto"/>
        <w:right w:val="none" w:sz="0" w:space="0" w:color="auto"/>
      </w:divBdr>
    </w:div>
    <w:div w:id="1793479060">
      <w:bodyDiv w:val="1"/>
      <w:marLeft w:val="0"/>
      <w:marRight w:val="0"/>
      <w:marTop w:val="0"/>
      <w:marBottom w:val="0"/>
      <w:divBdr>
        <w:top w:val="none" w:sz="0" w:space="0" w:color="auto"/>
        <w:left w:val="none" w:sz="0" w:space="0" w:color="auto"/>
        <w:bottom w:val="none" w:sz="0" w:space="0" w:color="auto"/>
        <w:right w:val="none" w:sz="0" w:space="0" w:color="auto"/>
      </w:divBdr>
    </w:div>
    <w:div w:id="1793665818">
      <w:bodyDiv w:val="1"/>
      <w:marLeft w:val="0"/>
      <w:marRight w:val="0"/>
      <w:marTop w:val="0"/>
      <w:marBottom w:val="0"/>
      <w:divBdr>
        <w:top w:val="none" w:sz="0" w:space="0" w:color="auto"/>
        <w:left w:val="none" w:sz="0" w:space="0" w:color="auto"/>
        <w:bottom w:val="none" w:sz="0" w:space="0" w:color="auto"/>
        <w:right w:val="none" w:sz="0" w:space="0" w:color="auto"/>
      </w:divBdr>
    </w:div>
    <w:div w:id="1794901525">
      <w:bodyDiv w:val="1"/>
      <w:marLeft w:val="0"/>
      <w:marRight w:val="0"/>
      <w:marTop w:val="0"/>
      <w:marBottom w:val="0"/>
      <w:divBdr>
        <w:top w:val="none" w:sz="0" w:space="0" w:color="auto"/>
        <w:left w:val="none" w:sz="0" w:space="0" w:color="auto"/>
        <w:bottom w:val="none" w:sz="0" w:space="0" w:color="auto"/>
        <w:right w:val="none" w:sz="0" w:space="0" w:color="auto"/>
      </w:divBdr>
    </w:div>
    <w:div w:id="1796024449">
      <w:bodyDiv w:val="1"/>
      <w:marLeft w:val="0"/>
      <w:marRight w:val="0"/>
      <w:marTop w:val="0"/>
      <w:marBottom w:val="0"/>
      <w:divBdr>
        <w:top w:val="none" w:sz="0" w:space="0" w:color="auto"/>
        <w:left w:val="none" w:sz="0" w:space="0" w:color="auto"/>
        <w:bottom w:val="none" w:sz="0" w:space="0" w:color="auto"/>
        <w:right w:val="none" w:sz="0" w:space="0" w:color="auto"/>
      </w:divBdr>
    </w:div>
    <w:div w:id="1796291686">
      <w:bodyDiv w:val="1"/>
      <w:marLeft w:val="0"/>
      <w:marRight w:val="0"/>
      <w:marTop w:val="0"/>
      <w:marBottom w:val="0"/>
      <w:divBdr>
        <w:top w:val="none" w:sz="0" w:space="0" w:color="auto"/>
        <w:left w:val="none" w:sz="0" w:space="0" w:color="auto"/>
        <w:bottom w:val="none" w:sz="0" w:space="0" w:color="auto"/>
        <w:right w:val="none" w:sz="0" w:space="0" w:color="auto"/>
      </w:divBdr>
    </w:div>
    <w:div w:id="1797023245">
      <w:bodyDiv w:val="1"/>
      <w:marLeft w:val="0"/>
      <w:marRight w:val="0"/>
      <w:marTop w:val="0"/>
      <w:marBottom w:val="0"/>
      <w:divBdr>
        <w:top w:val="none" w:sz="0" w:space="0" w:color="auto"/>
        <w:left w:val="none" w:sz="0" w:space="0" w:color="auto"/>
        <w:bottom w:val="none" w:sz="0" w:space="0" w:color="auto"/>
        <w:right w:val="none" w:sz="0" w:space="0" w:color="auto"/>
      </w:divBdr>
    </w:div>
    <w:div w:id="1798067905">
      <w:bodyDiv w:val="1"/>
      <w:marLeft w:val="0"/>
      <w:marRight w:val="0"/>
      <w:marTop w:val="0"/>
      <w:marBottom w:val="0"/>
      <w:divBdr>
        <w:top w:val="none" w:sz="0" w:space="0" w:color="auto"/>
        <w:left w:val="none" w:sz="0" w:space="0" w:color="auto"/>
        <w:bottom w:val="none" w:sz="0" w:space="0" w:color="auto"/>
        <w:right w:val="none" w:sz="0" w:space="0" w:color="auto"/>
      </w:divBdr>
    </w:div>
    <w:div w:id="1798402942">
      <w:bodyDiv w:val="1"/>
      <w:marLeft w:val="0"/>
      <w:marRight w:val="0"/>
      <w:marTop w:val="0"/>
      <w:marBottom w:val="0"/>
      <w:divBdr>
        <w:top w:val="none" w:sz="0" w:space="0" w:color="auto"/>
        <w:left w:val="none" w:sz="0" w:space="0" w:color="auto"/>
        <w:bottom w:val="none" w:sz="0" w:space="0" w:color="auto"/>
        <w:right w:val="none" w:sz="0" w:space="0" w:color="auto"/>
      </w:divBdr>
    </w:div>
    <w:div w:id="1798454133">
      <w:bodyDiv w:val="1"/>
      <w:marLeft w:val="0"/>
      <w:marRight w:val="0"/>
      <w:marTop w:val="0"/>
      <w:marBottom w:val="0"/>
      <w:divBdr>
        <w:top w:val="none" w:sz="0" w:space="0" w:color="auto"/>
        <w:left w:val="none" w:sz="0" w:space="0" w:color="auto"/>
        <w:bottom w:val="none" w:sz="0" w:space="0" w:color="auto"/>
        <w:right w:val="none" w:sz="0" w:space="0" w:color="auto"/>
      </w:divBdr>
    </w:div>
    <w:div w:id="1798639102">
      <w:bodyDiv w:val="1"/>
      <w:marLeft w:val="0"/>
      <w:marRight w:val="0"/>
      <w:marTop w:val="0"/>
      <w:marBottom w:val="0"/>
      <w:divBdr>
        <w:top w:val="none" w:sz="0" w:space="0" w:color="auto"/>
        <w:left w:val="none" w:sz="0" w:space="0" w:color="auto"/>
        <w:bottom w:val="none" w:sz="0" w:space="0" w:color="auto"/>
        <w:right w:val="none" w:sz="0" w:space="0" w:color="auto"/>
      </w:divBdr>
    </w:div>
    <w:div w:id="1798837436">
      <w:bodyDiv w:val="1"/>
      <w:marLeft w:val="0"/>
      <w:marRight w:val="0"/>
      <w:marTop w:val="0"/>
      <w:marBottom w:val="0"/>
      <w:divBdr>
        <w:top w:val="none" w:sz="0" w:space="0" w:color="auto"/>
        <w:left w:val="none" w:sz="0" w:space="0" w:color="auto"/>
        <w:bottom w:val="none" w:sz="0" w:space="0" w:color="auto"/>
        <w:right w:val="none" w:sz="0" w:space="0" w:color="auto"/>
      </w:divBdr>
    </w:div>
    <w:div w:id="1798839407">
      <w:bodyDiv w:val="1"/>
      <w:marLeft w:val="0"/>
      <w:marRight w:val="0"/>
      <w:marTop w:val="0"/>
      <w:marBottom w:val="0"/>
      <w:divBdr>
        <w:top w:val="none" w:sz="0" w:space="0" w:color="auto"/>
        <w:left w:val="none" w:sz="0" w:space="0" w:color="auto"/>
        <w:bottom w:val="none" w:sz="0" w:space="0" w:color="auto"/>
        <w:right w:val="none" w:sz="0" w:space="0" w:color="auto"/>
      </w:divBdr>
    </w:div>
    <w:div w:id="1799109371">
      <w:bodyDiv w:val="1"/>
      <w:marLeft w:val="0"/>
      <w:marRight w:val="0"/>
      <w:marTop w:val="0"/>
      <w:marBottom w:val="0"/>
      <w:divBdr>
        <w:top w:val="none" w:sz="0" w:space="0" w:color="auto"/>
        <w:left w:val="none" w:sz="0" w:space="0" w:color="auto"/>
        <w:bottom w:val="none" w:sz="0" w:space="0" w:color="auto"/>
        <w:right w:val="none" w:sz="0" w:space="0" w:color="auto"/>
      </w:divBdr>
    </w:div>
    <w:div w:id="1799762790">
      <w:bodyDiv w:val="1"/>
      <w:marLeft w:val="0"/>
      <w:marRight w:val="0"/>
      <w:marTop w:val="0"/>
      <w:marBottom w:val="0"/>
      <w:divBdr>
        <w:top w:val="none" w:sz="0" w:space="0" w:color="auto"/>
        <w:left w:val="none" w:sz="0" w:space="0" w:color="auto"/>
        <w:bottom w:val="none" w:sz="0" w:space="0" w:color="auto"/>
        <w:right w:val="none" w:sz="0" w:space="0" w:color="auto"/>
      </w:divBdr>
    </w:div>
    <w:div w:id="1800688592">
      <w:bodyDiv w:val="1"/>
      <w:marLeft w:val="0"/>
      <w:marRight w:val="0"/>
      <w:marTop w:val="0"/>
      <w:marBottom w:val="0"/>
      <w:divBdr>
        <w:top w:val="none" w:sz="0" w:space="0" w:color="auto"/>
        <w:left w:val="none" w:sz="0" w:space="0" w:color="auto"/>
        <w:bottom w:val="none" w:sz="0" w:space="0" w:color="auto"/>
        <w:right w:val="none" w:sz="0" w:space="0" w:color="auto"/>
      </w:divBdr>
    </w:div>
    <w:div w:id="1800759171">
      <w:bodyDiv w:val="1"/>
      <w:marLeft w:val="0"/>
      <w:marRight w:val="0"/>
      <w:marTop w:val="0"/>
      <w:marBottom w:val="0"/>
      <w:divBdr>
        <w:top w:val="none" w:sz="0" w:space="0" w:color="auto"/>
        <w:left w:val="none" w:sz="0" w:space="0" w:color="auto"/>
        <w:bottom w:val="none" w:sz="0" w:space="0" w:color="auto"/>
        <w:right w:val="none" w:sz="0" w:space="0" w:color="auto"/>
      </w:divBdr>
    </w:div>
    <w:div w:id="1801067676">
      <w:bodyDiv w:val="1"/>
      <w:marLeft w:val="0"/>
      <w:marRight w:val="0"/>
      <w:marTop w:val="0"/>
      <w:marBottom w:val="0"/>
      <w:divBdr>
        <w:top w:val="none" w:sz="0" w:space="0" w:color="auto"/>
        <w:left w:val="none" w:sz="0" w:space="0" w:color="auto"/>
        <w:bottom w:val="none" w:sz="0" w:space="0" w:color="auto"/>
        <w:right w:val="none" w:sz="0" w:space="0" w:color="auto"/>
      </w:divBdr>
    </w:div>
    <w:div w:id="1801414718">
      <w:bodyDiv w:val="1"/>
      <w:marLeft w:val="0"/>
      <w:marRight w:val="0"/>
      <w:marTop w:val="0"/>
      <w:marBottom w:val="0"/>
      <w:divBdr>
        <w:top w:val="none" w:sz="0" w:space="0" w:color="auto"/>
        <w:left w:val="none" w:sz="0" w:space="0" w:color="auto"/>
        <w:bottom w:val="none" w:sz="0" w:space="0" w:color="auto"/>
        <w:right w:val="none" w:sz="0" w:space="0" w:color="auto"/>
      </w:divBdr>
    </w:div>
    <w:div w:id="1801419334">
      <w:bodyDiv w:val="1"/>
      <w:marLeft w:val="0"/>
      <w:marRight w:val="0"/>
      <w:marTop w:val="0"/>
      <w:marBottom w:val="0"/>
      <w:divBdr>
        <w:top w:val="none" w:sz="0" w:space="0" w:color="auto"/>
        <w:left w:val="none" w:sz="0" w:space="0" w:color="auto"/>
        <w:bottom w:val="none" w:sz="0" w:space="0" w:color="auto"/>
        <w:right w:val="none" w:sz="0" w:space="0" w:color="auto"/>
      </w:divBdr>
    </w:div>
    <w:div w:id="1801533912">
      <w:bodyDiv w:val="1"/>
      <w:marLeft w:val="0"/>
      <w:marRight w:val="0"/>
      <w:marTop w:val="0"/>
      <w:marBottom w:val="0"/>
      <w:divBdr>
        <w:top w:val="none" w:sz="0" w:space="0" w:color="auto"/>
        <w:left w:val="none" w:sz="0" w:space="0" w:color="auto"/>
        <w:bottom w:val="none" w:sz="0" w:space="0" w:color="auto"/>
        <w:right w:val="none" w:sz="0" w:space="0" w:color="auto"/>
      </w:divBdr>
    </w:div>
    <w:div w:id="1802071521">
      <w:bodyDiv w:val="1"/>
      <w:marLeft w:val="0"/>
      <w:marRight w:val="0"/>
      <w:marTop w:val="0"/>
      <w:marBottom w:val="0"/>
      <w:divBdr>
        <w:top w:val="none" w:sz="0" w:space="0" w:color="auto"/>
        <w:left w:val="none" w:sz="0" w:space="0" w:color="auto"/>
        <w:bottom w:val="none" w:sz="0" w:space="0" w:color="auto"/>
        <w:right w:val="none" w:sz="0" w:space="0" w:color="auto"/>
      </w:divBdr>
    </w:div>
    <w:div w:id="1803451844">
      <w:bodyDiv w:val="1"/>
      <w:marLeft w:val="0"/>
      <w:marRight w:val="0"/>
      <w:marTop w:val="0"/>
      <w:marBottom w:val="0"/>
      <w:divBdr>
        <w:top w:val="none" w:sz="0" w:space="0" w:color="auto"/>
        <w:left w:val="none" w:sz="0" w:space="0" w:color="auto"/>
        <w:bottom w:val="none" w:sz="0" w:space="0" w:color="auto"/>
        <w:right w:val="none" w:sz="0" w:space="0" w:color="auto"/>
      </w:divBdr>
    </w:div>
    <w:div w:id="1803572867">
      <w:bodyDiv w:val="1"/>
      <w:marLeft w:val="0"/>
      <w:marRight w:val="0"/>
      <w:marTop w:val="0"/>
      <w:marBottom w:val="0"/>
      <w:divBdr>
        <w:top w:val="none" w:sz="0" w:space="0" w:color="auto"/>
        <w:left w:val="none" w:sz="0" w:space="0" w:color="auto"/>
        <w:bottom w:val="none" w:sz="0" w:space="0" w:color="auto"/>
        <w:right w:val="none" w:sz="0" w:space="0" w:color="auto"/>
      </w:divBdr>
    </w:div>
    <w:div w:id="1803572972">
      <w:bodyDiv w:val="1"/>
      <w:marLeft w:val="0"/>
      <w:marRight w:val="0"/>
      <w:marTop w:val="0"/>
      <w:marBottom w:val="0"/>
      <w:divBdr>
        <w:top w:val="none" w:sz="0" w:space="0" w:color="auto"/>
        <w:left w:val="none" w:sz="0" w:space="0" w:color="auto"/>
        <w:bottom w:val="none" w:sz="0" w:space="0" w:color="auto"/>
        <w:right w:val="none" w:sz="0" w:space="0" w:color="auto"/>
      </w:divBdr>
    </w:div>
    <w:div w:id="1803620436">
      <w:bodyDiv w:val="1"/>
      <w:marLeft w:val="0"/>
      <w:marRight w:val="0"/>
      <w:marTop w:val="0"/>
      <w:marBottom w:val="0"/>
      <w:divBdr>
        <w:top w:val="none" w:sz="0" w:space="0" w:color="auto"/>
        <w:left w:val="none" w:sz="0" w:space="0" w:color="auto"/>
        <w:bottom w:val="none" w:sz="0" w:space="0" w:color="auto"/>
        <w:right w:val="none" w:sz="0" w:space="0" w:color="auto"/>
      </w:divBdr>
    </w:div>
    <w:div w:id="1804083618">
      <w:bodyDiv w:val="1"/>
      <w:marLeft w:val="0"/>
      <w:marRight w:val="0"/>
      <w:marTop w:val="0"/>
      <w:marBottom w:val="0"/>
      <w:divBdr>
        <w:top w:val="none" w:sz="0" w:space="0" w:color="auto"/>
        <w:left w:val="none" w:sz="0" w:space="0" w:color="auto"/>
        <w:bottom w:val="none" w:sz="0" w:space="0" w:color="auto"/>
        <w:right w:val="none" w:sz="0" w:space="0" w:color="auto"/>
      </w:divBdr>
    </w:div>
    <w:div w:id="1804272084">
      <w:bodyDiv w:val="1"/>
      <w:marLeft w:val="0"/>
      <w:marRight w:val="0"/>
      <w:marTop w:val="0"/>
      <w:marBottom w:val="0"/>
      <w:divBdr>
        <w:top w:val="none" w:sz="0" w:space="0" w:color="auto"/>
        <w:left w:val="none" w:sz="0" w:space="0" w:color="auto"/>
        <w:bottom w:val="none" w:sz="0" w:space="0" w:color="auto"/>
        <w:right w:val="none" w:sz="0" w:space="0" w:color="auto"/>
      </w:divBdr>
    </w:div>
    <w:div w:id="1804735556">
      <w:bodyDiv w:val="1"/>
      <w:marLeft w:val="0"/>
      <w:marRight w:val="0"/>
      <w:marTop w:val="0"/>
      <w:marBottom w:val="0"/>
      <w:divBdr>
        <w:top w:val="none" w:sz="0" w:space="0" w:color="auto"/>
        <w:left w:val="none" w:sz="0" w:space="0" w:color="auto"/>
        <w:bottom w:val="none" w:sz="0" w:space="0" w:color="auto"/>
        <w:right w:val="none" w:sz="0" w:space="0" w:color="auto"/>
      </w:divBdr>
    </w:div>
    <w:div w:id="1804736503">
      <w:bodyDiv w:val="1"/>
      <w:marLeft w:val="0"/>
      <w:marRight w:val="0"/>
      <w:marTop w:val="0"/>
      <w:marBottom w:val="0"/>
      <w:divBdr>
        <w:top w:val="none" w:sz="0" w:space="0" w:color="auto"/>
        <w:left w:val="none" w:sz="0" w:space="0" w:color="auto"/>
        <w:bottom w:val="none" w:sz="0" w:space="0" w:color="auto"/>
        <w:right w:val="none" w:sz="0" w:space="0" w:color="auto"/>
      </w:divBdr>
    </w:div>
    <w:div w:id="1804956965">
      <w:bodyDiv w:val="1"/>
      <w:marLeft w:val="0"/>
      <w:marRight w:val="0"/>
      <w:marTop w:val="0"/>
      <w:marBottom w:val="0"/>
      <w:divBdr>
        <w:top w:val="none" w:sz="0" w:space="0" w:color="auto"/>
        <w:left w:val="none" w:sz="0" w:space="0" w:color="auto"/>
        <w:bottom w:val="none" w:sz="0" w:space="0" w:color="auto"/>
        <w:right w:val="none" w:sz="0" w:space="0" w:color="auto"/>
      </w:divBdr>
    </w:div>
    <w:div w:id="1805082688">
      <w:bodyDiv w:val="1"/>
      <w:marLeft w:val="0"/>
      <w:marRight w:val="0"/>
      <w:marTop w:val="0"/>
      <w:marBottom w:val="0"/>
      <w:divBdr>
        <w:top w:val="none" w:sz="0" w:space="0" w:color="auto"/>
        <w:left w:val="none" w:sz="0" w:space="0" w:color="auto"/>
        <w:bottom w:val="none" w:sz="0" w:space="0" w:color="auto"/>
        <w:right w:val="none" w:sz="0" w:space="0" w:color="auto"/>
      </w:divBdr>
    </w:div>
    <w:div w:id="1805269412">
      <w:bodyDiv w:val="1"/>
      <w:marLeft w:val="0"/>
      <w:marRight w:val="0"/>
      <w:marTop w:val="0"/>
      <w:marBottom w:val="0"/>
      <w:divBdr>
        <w:top w:val="none" w:sz="0" w:space="0" w:color="auto"/>
        <w:left w:val="none" w:sz="0" w:space="0" w:color="auto"/>
        <w:bottom w:val="none" w:sz="0" w:space="0" w:color="auto"/>
        <w:right w:val="none" w:sz="0" w:space="0" w:color="auto"/>
      </w:divBdr>
    </w:div>
    <w:div w:id="1806459452">
      <w:bodyDiv w:val="1"/>
      <w:marLeft w:val="0"/>
      <w:marRight w:val="0"/>
      <w:marTop w:val="0"/>
      <w:marBottom w:val="0"/>
      <w:divBdr>
        <w:top w:val="none" w:sz="0" w:space="0" w:color="auto"/>
        <w:left w:val="none" w:sz="0" w:space="0" w:color="auto"/>
        <w:bottom w:val="none" w:sz="0" w:space="0" w:color="auto"/>
        <w:right w:val="none" w:sz="0" w:space="0" w:color="auto"/>
      </w:divBdr>
    </w:div>
    <w:div w:id="1807434710">
      <w:bodyDiv w:val="1"/>
      <w:marLeft w:val="0"/>
      <w:marRight w:val="0"/>
      <w:marTop w:val="0"/>
      <w:marBottom w:val="0"/>
      <w:divBdr>
        <w:top w:val="none" w:sz="0" w:space="0" w:color="auto"/>
        <w:left w:val="none" w:sz="0" w:space="0" w:color="auto"/>
        <w:bottom w:val="none" w:sz="0" w:space="0" w:color="auto"/>
        <w:right w:val="none" w:sz="0" w:space="0" w:color="auto"/>
      </w:divBdr>
    </w:div>
    <w:div w:id="1808204047">
      <w:bodyDiv w:val="1"/>
      <w:marLeft w:val="0"/>
      <w:marRight w:val="0"/>
      <w:marTop w:val="0"/>
      <w:marBottom w:val="0"/>
      <w:divBdr>
        <w:top w:val="none" w:sz="0" w:space="0" w:color="auto"/>
        <w:left w:val="none" w:sz="0" w:space="0" w:color="auto"/>
        <w:bottom w:val="none" w:sz="0" w:space="0" w:color="auto"/>
        <w:right w:val="none" w:sz="0" w:space="0" w:color="auto"/>
      </w:divBdr>
    </w:div>
    <w:div w:id="1808400456">
      <w:bodyDiv w:val="1"/>
      <w:marLeft w:val="0"/>
      <w:marRight w:val="0"/>
      <w:marTop w:val="0"/>
      <w:marBottom w:val="0"/>
      <w:divBdr>
        <w:top w:val="none" w:sz="0" w:space="0" w:color="auto"/>
        <w:left w:val="none" w:sz="0" w:space="0" w:color="auto"/>
        <w:bottom w:val="none" w:sz="0" w:space="0" w:color="auto"/>
        <w:right w:val="none" w:sz="0" w:space="0" w:color="auto"/>
      </w:divBdr>
    </w:div>
    <w:div w:id="1808548982">
      <w:bodyDiv w:val="1"/>
      <w:marLeft w:val="0"/>
      <w:marRight w:val="0"/>
      <w:marTop w:val="0"/>
      <w:marBottom w:val="0"/>
      <w:divBdr>
        <w:top w:val="none" w:sz="0" w:space="0" w:color="auto"/>
        <w:left w:val="none" w:sz="0" w:space="0" w:color="auto"/>
        <w:bottom w:val="none" w:sz="0" w:space="0" w:color="auto"/>
        <w:right w:val="none" w:sz="0" w:space="0" w:color="auto"/>
      </w:divBdr>
    </w:div>
    <w:div w:id="1808859725">
      <w:bodyDiv w:val="1"/>
      <w:marLeft w:val="0"/>
      <w:marRight w:val="0"/>
      <w:marTop w:val="0"/>
      <w:marBottom w:val="0"/>
      <w:divBdr>
        <w:top w:val="none" w:sz="0" w:space="0" w:color="auto"/>
        <w:left w:val="none" w:sz="0" w:space="0" w:color="auto"/>
        <w:bottom w:val="none" w:sz="0" w:space="0" w:color="auto"/>
        <w:right w:val="none" w:sz="0" w:space="0" w:color="auto"/>
      </w:divBdr>
    </w:div>
    <w:div w:id="1808888663">
      <w:bodyDiv w:val="1"/>
      <w:marLeft w:val="0"/>
      <w:marRight w:val="0"/>
      <w:marTop w:val="0"/>
      <w:marBottom w:val="0"/>
      <w:divBdr>
        <w:top w:val="none" w:sz="0" w:space="0" w:color="auto"/>
        <w:left w:val="none" w:sz="0" w:space="0" w:color="auto"/>
        <w:bottom w:val="none" w:sz="0" w:space="0" w:color="auto"/>
        <w:right w:val="none" w:sz="0" w:space="0" w:color="auto"/>
      </w:divBdr>
    </w:div>
    <w:div w:id="1809123835">
      <w:bodyDiv w:val="1"/>
      <w:marLeft w:val="0"/>
      <w:marRight w:val="0"/>
      <w:marTop w:val="0"/>
      <w:marBottom w:val="0"/>
      <w:divBdr>
        <w:top w:val="none" w:sz="0" w:space="0" w:color="auto"/>
        <w:left w:val="none" w:sz="0" w:space="0" w:color="auto"/>
        <w:bottom w:val="none" w:sz="0" w:space="0" w:color="auto"/>
        <w:right w:val="none" w:sz="0" w:space="0" w:color="auto"/>
      </w:divBdr>
    </w:div>
    <w:div w:id="1809124624">
      <w:bodyDiv w:val="1"/>
      <w:marLeft w:val="0"/>
      <w:marRight w:val="0"/>
      <w:marTop w:val="0"/>
      <w:marBottom w:val="0"/>
      <w:divBdr>
        <w:top w:val="none" w:sz="0" w:space="0" w:color="auto"/>
        <w:left w:val="none" w:sz="0" w:space="0" w:color="auto"/>
        <w:bottom w:val="none" w:sz="0" w:space="0" w:color="auto"/>
        <w:right w:val="none" w:sz="0" w:space="0" w:color="auto"/>
      </w:divBdr>
    </w:div>
    <w:div w:id="1809978601">
      <w:bodyDiv w:val="1"/>
      <w:marLeft w:val="0"/>
      <w:marRight w:val="0"/>
      <w:marTop w:val="0"/>
      <w:marBottom w:val="0"/>
      <w:divBdr>
        <w:top w:val="none" w:sz="0" w:space="0" w:color="auto"/>
        <w:left w:val="none" w:sz="0" w:space="0" w:color="auto"/>
        <w:bottom w:val="none" w:sz="0" w:space="0" w:color="auto"/>
        <w:right w:val="none" w:sz="0" w:space="0" w:color="auto"/>
      </w:divBdr>
    </w:div>
    <w:div w:id="1810240644">
      <w:bodyDiv w:val="1"/>
      <w:marLeft w:val="0"/>
      <w:marRight w:val="0"/>
      <w:marTop w:val="0"/>
      <w:marBottom w:val="0"/>
      <w:divBdr>
        <w:top w:val="none" w:sz="0" w:space="0" w:color="auto"/>
        <w:left w:val="none" w:sz="0" w:space="0" w:color="auto"/>
        <w:bottom w:val="none" w:sz="0" w:space="0" w:color="auto"/>
        <w:right w:val="none" w:sz="0" w:space="0" w:color="auto"/>
      </w:divBdr>
    </w:div>
    <w:div w:id="1810708666">
      <w:bodyDiv w:val="1"/>
      <w:marLeft w:val="0"/>
      <w:marRight w:val="0"/>
      <w:marTop w:val="0"/>
      <w:marBottom w:val="0"/>
      <w:divBdr>
        <w:top w:val="none" w:sz="0" w:space="0" w:color="auto"/>
        <w:left w:val="none" w:sz="0" w:space="0" w:color="auto"/>
        <w:bottom w:val="none" w:sz="0" w:space="0" w:color="auto"/>
        <w:right w:val="none" w:sz="0" w:space="0" w:color="auto"/>
      </w:divBdr>
    </w:div>
    <w:div w:id="1811484986">
      <w:bodyDiv w:val="1"/>
      <w:marLeft w:val="0"/>
      <w:marRight w:val="0"/>
      <w:marTop w:val="0"/>
      <w:marBottom w:val="0"/>
      <w:divBdr>
        <w:top w:val="none" w:sz="0" w:space="0" w:color="auto"/>
        <w:left w:val="none" w:sz="0" w:space="0" w:color="auto"/>
        <w:bottom w:val="none" w:sz="0" w:space="0" w:color="auto"/>
        <w:right w:val="none" w:sz="0" w:space="0" w:color="auto"/>
      </w:divBdr>
    </w:div>
    <w:div w:id="1811557762">
      <w:bodyDiv w:val="1"/>
      <w:marLeft w:val="0"/>
      <w:marRight w:val="0"/>
      <w:marTop w:val="0"/>
      <w:marBottom w:val="0"/>
      <w:divBdr>
        <w:top w:val="none" w:sz="0" w:space="0" w:color="auto"/>
        <w:left w:val="none" w:sz="0" w:space="0" w:color="auto"/>
        <w:bottom w:val="none" w:sz="0" w:space="0" w:color="auto"/>
        <w:right w:val="none" w:sz="0" w:space="0" w:color="auto"/>
      </w:divBdr>
    </w:div>
    <w:div w:id="1812284876">
      <w:bodyDiv w:val="1"/>
      <w:marLeft w:val="0"/>
      <w:marRight w:val="0"/>
      <w:marTop w:val="0"/>
      <w:marBottom w:val="0"/>
      <w:divBdr>
        <w:top w:val="none" w:sz="0" w:space="0" w:color="auto"/>
        <w:left w:val="none" w:sz="0" w:space="0" w:color="auto"/>
        <w:bottom w:val="none" w:sz="0" w:space="0" w:color="auto"/>
        <w:right w:val="none" w:sz="0" w:space="0" w:color="auto"/>
      </w:divBdr>
    </w:div>
    <w:div w:id="1812407083">
      <w:bodyDiv w:val="1"/>
      <w:marLeft w:val="0"/>
      <w:marRight w:val="0"/>
      <w:marTop w:val="0"/>
      <w:marBottom w:val="0"/>
      <w:divBdr>
        <w:top w:val="none" w:sz="0" w:space="0" w:color="auto"/>
        <w:left w:val="none" w:sz="0" w:space="0" w:color="auto"/>
        <w:bottom w:val="none" w:sz="0" w:space="0" w:color="auto"/>
        <w:right w:val="none" w:sz="0" w:space="0" w:color="auto"/>
      </w:divBdr>
    </w:div>
    <w:div w:id="1813324566">
      <w:bodyDiv w:val="1"/>
      <w:marLeft w:val="0"/>
      <w:marRight w:val="0"/>
      <w:marTop w:val="0"/>
      <w:marBottom w:val="0"/>
      <w:divBdr>
        <w:top w:val="none" w:sz="0" w:space="0" w:color="auto"/>
        <w:left w:val="none" w:sz="0" w:space="0" w:color="auto"/>
        <w:bottom w:val="none" w:sz="0" w:space="0" w:color="auto"/>
        <w:right w:val="none" w:sz="0" w:space="0" w:color="auto"/>
      </w:divBdr>
    </w:div>
    <w:div w:id="1813600294">
      <w:bodyDiv w:val="1"/>
      <w:marLeft w:val="0"/>
      <w:marRight w:val="0"/>
      <w:marTop w:val="0"/>
      <w:marBottom w:val="0"/>
      <w:divBdr>
        <w:top w:val="none" w:sz="0" w:space="0" w:color="auto"/>
        <w:left w:val="none" w:sz="0" w:space="0" w:color="auto"/>
        <w:bottom w:val="none" w:sz="0" w:space="0" w:color="auto"/>
        <w:right w:val="none" w:sz="0" w:space="0" w:color="auto"/>
      </w:divBdr>
    </w:div>
    <w:div w:id="1814716824">
      <w:bodyDiv w:val="1"/>
      <w:marLeft w:val="0"/>
      <w:marRight w:val="0"/>
      <w:marTop w:val="0"/>
      <w:marBottom w:val="0"/>
      <w:divBdr>
        <w:top w:val="none" w:sz="0" w:space="0" w:color="auto"/>
        <w:left w:val="none" w:sz="0" w:space="0" w:color="auto"/>
        <w:bottom w:val="none" w:sz="0" w:space="0" w:color="auto"/>
        <w:right w:val="none" w:sz="0" w:space="0" w:color="auto"/>
      </w:divBdr>
    </w:div>
    <w:div w:id="1815834728">
      <w:bodyDiv w:val="1"/>
      <w:marLeft w:val="0"/>
      <w:marRight w:val="0"/>
      <w:marTop w:val="0"/>
      <w:marBottom w:val="0"/>
      <w:divBdr>
        <w:top w:val="none" w:sz="0" w:space="0" w:color="auto"/>
        <w:left w:val="none" w:sz="0" w:space="0" w:color="auto"/>
        <w:bottom w:val="none" w:sz="0" w:space="0" w:color="auto"/>
        <w:right w:val="none" w:sz="0" w:space="0" w:color="auto"/>
      </w:divBdr>
    </w:div>
    <w:div w:id="1816214347">
      <w:bodyDiv w:val="1"/>
      <w:marLeft w:val="0"/>
      <w:marRight w:val="0"/>
      <w:marTop w:val="0"/>
      <w:marBottom w:val="0"/>
      <w:divBdr>
        <w:top w:val="none" w:sz="0" w:space="0" w:color="auto"/>
        <w:left w:val="none" w:sz="0" w:space="0" w:color="auto"/>
        <w:bottom w:val="none" w:sz="0" w:space="0" w:color="auto"/>
        <w:right w:val="none" w:sz="0" w:space="0" w:color="auto"/>
      </w:divBdr>
    </w:div>
    <w:div w:id="1816222095">
      <w:bodyDiv w:val="1"/>
      <w:marLeft w:val="0"/>
      <w:marRight w:val="0"/>
      <w:marTop w:val="0"/>
      <w:marBottom w:val="0"/>
      <w:divBdr>
        <w:top w:val="none" w:sz="0" w:space="0" w:color="auto"/>
        <w:left w:val="none" w:sz="0" w:space="0" w:color="auto"/>
        <w:bottom w:val="none" w:sz="0" w:space="0" w:color="auto"/>
        <w:right w:val="none" w:sz="0" w:space="0" w:color="auto"/>
      </w:divBdr>
    </w:div>
    <w:div w:id="1816951518">
      <w:bodyDiv w:val="1"/>
      <w:marLeft w:val="0"/>
      <w:marRight w:val="0"/>
      <w:marTop w:val="0"/>
      <w:marBottom w:val="0"/>
      <w:divBdr>
        <w:top w:val="none" w:sz="0" w:space="0" w:color="auto"/>
        <w:left w:val="none" w:sz="0" w:space="0" w:color="auto"/>
        <w:bottom w:val="none" w:sz="0" w:space="0" w:color="auto"/>
        <w:right w:val="none" w:sz="0" w:space="0" w:color="auto"/>
      </w:divBdr>
    </w:div>
    <w:div w:id="1817331965">
      <w:bodyDiv w:val="1"/>
      <w:marLeft w:val="0"/>
      <w:marRight w:val="0"/>
      <w:marTop w:val="0"/>
      <w:marBottom w:val="0"/>
      <w:divBdr>
        <w:top w:val="none" w:sz="0" w:space="0" w:color="auto"/>
        <w:left w:val="none" w:sz="0" w:space="0" w:color="auto"/>
        <w:bottom w:val="none" w:sz="0" w:space="0" w:color="auto"/>
        <w:right w:val="none" w:sz="0" w:space="0" w:color="auto"/>
      </w:divBdr>
    </w:div>
    <w:div w:id="1817523710">
      <w:bodyDiv w:val="1"/>
      <w:marLeft w:val="0"/>
      <w:marRight w:val="0"/>
      <w:marTop w:val="0"/>
      <w:marBottom w:val="0"/>
      <w:divBdr>
        <w:top w:val="none" w:sz="0" w:space="0" w:color="auto"/>
        <w:left w:val="none" w:sz="0" w:space="0" w:color="auto"/>
        <w:bottom w:val="none" w:sz="0" w:space="0" w:color="auto"/>
        <w:right w:val="none" w:sz="0" w:space="0" w:color="auto"/>
      </w:divBdr>
    </w:div>
    <w:div w:id="1817645479">
      <w:bodyDiv w:val="1"/>
      <w:marLeft w:val="0"/>
      <w:marRight w:val="0"/>
      <w:marTop w:val="0"/>
      <w:marBottom w:val="0"/>
      <w:divBdr>
        <w:top w:val="none" w:sz="0" w:space="0" w:color="auto"/>
        <w:left w:val="none" w:sz="0" w:space="0" w:color="auto"/>
        <w:bottom w:val="none" w:sz="0" w:space="0" w:color="auto"/>
        <w:right w:val="none" w:sz="0" w:space="0" w:color="auto"/>
      </w:divBdr>
    </w:div>
    <w:div w:id="1817717051">
      <w:bodyDiv w:val="1"/>
      <w:marLeft w:val="0"/>
      <w:marRight w:val="0"/>
      <w:marTop w:val="0"/>
      <w:marBottom w:val="0"/>
      <w:divBdr>
        <w:top w:val="none" w:sz="0" w:space="0" w:color="auto"/>
        <w:left w:val="none" w:sz="0" w:space="0" w:color="auto"/>
        <w:bottom w:val="none" w:sz="0" w:space="0" w:color="auto"/>
        <w:right w:val="none" w:sz="0" w:space="0" w:color="auto"/>
      </w:divBdr>
    </w:div>
    <w:div w:id="1817717344">
      <w:bodyDiv w:val="1"/>
      <w:marLeft w:val="0"/>
      <w:marRight w:val="0"/>
      <w:marTop w:val="0"/>
      <w:marBottom w:val="0"/>
      <w:divBdr>
        <w:top w:val="none" w:sz="0" w:space="0" w:color="auto"/>
        <w:left w:val="none" w:sz="0" w:space="0" w:color="auto"/>
        <w:bottom w:val="none" w:sz="0" w:space="0" w:color="auto"/>
        <w:right w:val="none" w:sz="0" w:space="0" w:color="auto"/>
      </w:divBdr>
    </w:div>
    <w:div w:id="1817724078">
      <w:bodyDiv w:val="1"/>
      <w:marLeft w:val="0"/>
      <w:marRight w:val="0"/>
      <w:marTop w:val="0"/>
      <w:marBottom w:val="0"/>
      <w:divBdr>
        <w:top w:val="none" w:sz="0" w:space="0" w:color="auto"/>
        <w:left w:val="none" w:sz="0" w:space="0" w:color="auto"/>
        <w:bottom w:val="none" w:sz="0" w:space="0" w:color="auto"/>
        <w:right w:val="none" w:sz="0" w:space="0" w:color="auto"/>
      </w:divBdr>
    </w:div>
    <w:div w:id="1818178971">
      <w:bodyDiv w:val="1"/>
      <w:marLeft w:val="0"/>
      <w:marRight w:val="0"/>
      <w:marTop w:val="0"/>
      <w:marBottom w:val="0"/>
      <w:divBdr>
        <w:top w:val="none" w:sz="0" w:space="0" w:color="auto"/>
        <w:left w:val="none" w:sz="0" w:space="0" w:color="auto"/>
        <w:bottom w:val="none" w:sz="0" w:space="0" w:color="auto"/>
        <w:right w:val="none" w:sz="0" w:space="0" w:color="auto"/>
      </w:divBdr>
    </w:div>
    <w:div w:id="1819149282">
      <w:bodyDiv w:val="1"/>
      <w:marLeft w:val="0"/>
      <w:marRight w:val="0"/>
      <w:marTop w:val="0"/>
      <w:marBottom w:val="0"/>
      <w:divBdr>
        <w:top w:val="none" w:sz="0" w:space="0" w:color="auto"/>
        <w:left w:val="none" w:sz="0" w:space="0" w:color="auto"/>
        <w:bottom w:val="none" w:sz="0" w:space="0" w:color="auto"/>
        <w:right w:val="none" w:sz="0" w:space="0" w:color="auto"/>
      </w:divBdr>
    </w:div>
    <w:div w:id="1819152563">
      <w:bodyDiv w:val="1"/>
      <w:marLeft w:val="0"/>
      <w:marRight w:val="0"/>
      <w:marTop w:val="0"/>
      <w:marBottom w:val="0"/>
      <w:divBdr>
        <w:top w:val="none" w:sz="0" w:space="0" w:color="auto"/>
        <w:left w:val="none" w:sz="0" w:space="0" w:color="auto"/>
        <w:bottom w:val="none" w:sz="0" w:space="0" w:color="auto"/>
        <w:right w:val="none" w:sz="0" w:space="0" w:color="auto"/>
      </w:divBdr>
    </w:div>
    <w:div w:id="1820611746">
      <w:bodyDiv w:val="1"/>
      <w:marLeft w:val="0"/>
      <w:marRight w:val="0"/>
      <w:marTop w:val="0"/>
      <w:marBottom w:val="0"/>
      <w:divBdr>
        <w:top w:val="none" w:sz="0" w:space="0" w:color="auto"/>
        <w:left w:val="none" w:sz="0" w:space="0" w:color="auto"/>
        <w:bottom w:val="none" w:sz="0" w:space="0" w:color="auto"/>
        <w:right w:val="none" w:sz="0" w:space="0" w:color="auto"/>
      </w:divBdr>
    </w:div>
    <w:div w:id="1820683318">
      <w:bodyDiv w:val="1"/>
      <w:marLeft w:val="0"/>
      <w:marRight w:val="0"/>
      <w:marTop w:val="0"/>
      <w:marBottom w:val="0"/>
      <w:divBdr>
        <w:top w:val="none" w:sz="0" w:space="0" w:color="auto"/>
        <w:left w:val="none" w:sz="0" w:space="0" w:color="auto"/>
        <w:bottom w:val="none" w:sz="0" w:space="0" w:color="auto"/>
        <w:right w:val="none" w:sz="0" w:space="0" w:color="auto"/>
      </w:divBdr>
    </w:div>
    <w:div w:id="1820687918">
      <w:bodyDiv w:val="1"/>
      <w:marLeft w:val="0"/>
      <w:marRight w:val="0"/>
      <w:marTop w:val="0"/>
      <w:marBottom w:val="0"/>
      <w:divBdr>
        <w:top w:val="none" w:sz="0" w:space="0" w:color="auto"/>
        <w:left w:val="none" w:sz="0" w:space="0" w:color="auto"/>
        <w:bottom w:val="none" w:sz="0" w:space="0" w:color="auto"/>
        <w:right w:val="none" w:sz="0" w:space="0" w:color="auto"/>
      </w:divBdr>
    </w:div>
    <w:div w:id="1820876992">
      <w:bodyDiv w:val="1"/>
      <w:marLeft w:val="0"/>
      <w:marRight w:val="0"/>
      <w:marTop w:val="0"/>
      <w:marBottom w:val="0"/>
      <w:divBdr>
        <w:top w:val="none" w:sz="0" w:space="0" w:color="auto"/>
        <w:left w:val="none" w:sz="0" w:space="0" w:color="auto"/>
        <w:bottom w:val="none" w:sz="0" w:space="0" w:color="auto"/>
        <w:right w:val="none" w:sz="0" w:space="0" w:color="auto"/>
      </w:divBdr>
    </w:div>
    <w:div w:id="1821114980">
      <w:bodyDiv w:val="1"/>
      <w:marLeft w:val="0"/>
      <w:marRight w:val="0"/>
      <w:marTop w:val="0"/>
      <w:marBottom w:val="0"/>
      <w:divBdr>
        <w:top w:val="none" w:sz="0" w:space="0" w:color="auto"/>
        <w:left w:val="none" w:sz="0" w:space="0" w:color="auto"/>
        <w:bottom w:val="none" w:sz="0" w:space="0" w:color="auto"/>
        <w:right w:val="none" w:sz="0" w:space="0" w:color="auto"/>
      </w:divBdr>
    </w:div>
    <w:div w:id="1821460931">
      <w:bodyDiv w:val="1"/>
      <w:marLeft w:val="0"/>
      <w:marRight w:val="0"/>
      <w:marTop w:val="0"/>
      <w:marBottom w:val="0"/>
      <w:divBdr>
        <w:top w:val="none" w:sz="0" w:space="0" w:color="auto"/>
        <w:left w:val="none" w:sz="0" w:space="0" w:color="auto"/>
        <w:bottom w:val="none" w:sz="0" w:space="0" w:color="auto"/>
        <w:right w:val="none" w:sz="0" w:space="0" w:color="auto"/>
      </w:divBdr>
    </w:div>
    <w:div w:id="1821573476">
      <w:bodyDiv w:val="1"/>
      <w:marLeft w:val="0"/>
      <w:marRight w:val="0"/>
      <w:marTop w:val="0"/>
      <w:marBottom w:val="0"/>
      <w:divBdr>
        <w:top w:val="none" w:sz="0" w:space="0" w:color="auto"/>
        <w:left w:val="none" w:sz="0" w:space="0" w:color="auto"/>
        <w:bottom w:val="none" w:sz="0" w:space="0" w:color="auto"/>
        <w:right w:val="none" w:sz="0" w:space="0" w:color="auto"/>
      </w:divBdr>
    </w:div>
    <w:div w:id="1821922933">
      <w:bodyDiv w:val="1"/>
      <w:marLeft w:val="0"/>
      <w:marRight w:val="0"/>
      <w:marTop w:val="0"/>
      <w:marBottom w:val="0"/>
      <w:divBdr>
        <w:top w:val="none" w:sz="0" w:space="0" w:color="auto"/>
        <w:left w:val="none" w:sz="0" w:space="0" w:color="auto"/>
        <w:bottom w:val="none" w:sz="0" w:space="0" w:color="auto"/>
        <w:right w:val="none" w:sz="0" w:space="0" w:color="auto"/>
      </w:divBdr>
    </w:div>
    <w:div w:id="1822307126">
      <w:bodyDiv w:val="1"/>
      <w:marLeft w:val="0"/>
      <w:marRight w:val="0"/>
      <w:marTop w:val="0"/>
      <w:marBottom w:val="0"/>
      <w:divBdr>
        <w:top w:val="none" w:sz="0" w:space="0" w:color="auto"/>
        <w:left w:val="none" w:sz="0" w:space="0" w:color="auto"/>
        <w:bottom w:val="none" w:sz="0" w:space="0" w:color="auto"/>
        <w:right w:val="none" w:sz="0" w:space="0" w:color="auto"/>
      </w:divBdr>
    </w:div>
    <w:div w:id="1822456051">
      <w:bodyDiv w:val="1"/>
      <w:marLeft w:val="0"/>
      <w:marRight w:val="0"/>
      <w:marTop w:val="0"/>
      <w:marBottom w:val="0"/>
      <w:divBdr>
        <w:top w:val="none" w:sz="0" w:space="0" w:color="auto"/>
        <w:left w:val="none" w:sz="0" w:space="0" w:color="auto"/>
        <w:bottom w:val="none" w:sz="0" w:space="0" w:color="auto"/>
        <w:right w:val="none" w:sz="0" w:space="0" w:color="auto"/>
      </w:divBdr>
    </w:div>
    <w:div w:id="1822887532">
      <w:bodyDiv w:val="1"/>
      <w:marLeft w:val="0"/>
      <w:marRight w:val="0"/>
      <w:marTop w:val="0"/>
      <w:marBottom w:val="0"/>
      <w:divBdr>
        <w:top w:val="none" w:sz="0" w:space="0" w:color="auto"/>
        <w:left w:val="none" w:sz="0" w:space="0" w:color="auto"/>
        <w:bottom w:val="none" w:sz="0" w:space="0" w:color="auto"/>
        <w:right w:val="none" w:sz="0" w:space="0" w:color="auto"/>
      </w:divBdr>
    </w:div>
    <w:div w:id="1823037618">
      <w:bodyDiv w:val="1"/>
      <w:marLeft w:val="0"/>
      <w:marRight w:val="0"/>
      <w:marTop w:val="0"/>
      <w:marBottom w:val="0"/>
      <w:divBdr>
        <w:top w:val="none" w:sz="0" w:space="0" w:color="auto"/>
        <w:left w:val="none" w:sz="0" w:space="0" w:color="auto"/>
        <w:bottom w:val="none" w:sz="0" w:space="0" w:color="auto"/>
        <w:right w:val="none" w:sz="0" w:space="0" w:color="auto"/>
      </w:divBdr>
    </w:div>
    <w:div w:id="1823354760">
      <w:bodyDiv w:val="1"/>
      <w:marLeft w:val="0"/>
      <w:marRight w:val="0"/>
      <w:marTop w:val="0"/>
      <w:marBottom w:val="0"/>
      <w:divBdr>
        <w:top w:val="none" w:sz="0" w:space="0" w:color="auto"/>
        <w:left w:val="none" w:sz="0" w:space="0" w:color="auto"/>
        <w:bottom w:val="none" w:sz="0" w:space="0" w:color="auto"/>
        <w:right w:val="none" w:sz="0" w:space="0" w:color="auto"/>
      </w:divBdr>
    </w:div>
    <w:div w:id="1823963931">
      <w:bodyDiv w:val="1"/>
      <w:marLeft w:val="0"/>
      <w:marRight w:val="0"/>
      <w:marTop w:val="0"/>
      <w:marBottom w:val="0"/>
      <w:divBdr>
        <w:top w:val="none" w:sz="0" w:space="0" w:color="auto"/>
        <w:left w:val="none" w:sz="0" w:space="0" w:color="auto"/>
        <w:bottom w:val="none" w:sz="0" w:space="0" w:color="auto"/>
        <w:right w:val="none" w:sz="0" w:space="0" w:color="auto"/>
      </w:divBdr>
    </w:div>
    <w:div w:id="1824540292">
      <w:bodyDiv w:val="1"/>
      <w:marLeft w:val="0"/>
      <w:marRight w:val="0"/>
      <w:marTop w:val="0"/>
      <w:marBottom w:val="0"/>
      <w:divBdr>
        <w:top w:val="none" w:sz="0" w:space="0" w:color="auto"/>
        <w:left w:val="none" w:sz="0" w:space="0" w:color="auto"/>
        <w:bottom w:val="none" w:sz="0" w:space="0" w:color="auto"/>
        <w:right w:val="none" w:sz="0" w:space="0" w:color="auto"/>
      </w:divBdr>
    </w:div>
    <w:div w:id="1824808449">
      <w:bodyDiv w:val="1"/>
      <w:marLeft w:val="0"/>
      <w:marRight w:val="0"/>
      <w:marTop w:val="0"/>
      <w:marBottom w:val="0"/>
      <w:divBdr>
        <w:top w:val="none" w:sz="0" w:space="0" w:color="auto"/>
        <w:left w:val="none" w:sz="0" w:space="0" w:color="auto"/>
        <w:bottom w:val="none" w:sz="0" w:space="0" w:color="auto"/>
        <w:right w:val="none" w:sz="0" w:space="0" w:color="auto"/>
      </w:divBdr>
    </w:div>
    <w:div w:id="1825314455">
      <w:bodyDiv w:val="1"/>
      <w:marLeft w:val="0"/>
      <w:marRight w:val="0"/>
      <w:marTop w:val="0"/>
      <w:marBottom w:val="0"/>
      <w:divBdr>
        <w:top w:val="none" w:sz="0" w:space="0" w:color="auto"/>
        <w:left w:val="none" w:sz="0" w:space="0" w:color="auto"/>
        <w:bottom w:val="none" w:sz="0" w:space="0" w:color="auto"/>
        <w:right w:val="none" w:sz="0" w:space="0" w:color="auto"/>
      </w:divBdr>
    </w:div>
    <w:div w:id="1825395962">
      <w:bodyDiv w:val="1"/>
      <w:marLeft w:val="0"/>
      <w:marRight w:val="0"/>
      <w:marTop w:val="0"/>
      <w:marBottom w:val="0"/>
      <w:divBdr>
        <w:top w:val="none" w:sz="0" w:space="0" w:color="auto"/>
        <w:left w:val="none" w:sz="0" w:space="0" w:color="auto"/>
        <w:bottom w:val="none" w:sz="0" w:space="0" w:color="auto"/>
        <w:right w:val="none" w:sz="0" w:space="0" w:color="auto"/>
      </w:divBdr>
    </w:div>
    <w:div w:id="1825774815">
      <w:bodyDiv w:val="1"/>
      <w:marLeft w:val="0"/>
      <w:marRight w:val="0"/>
      <w:marTop w:val="0"/>
      <w:marBottom w:val="0"/>
      <w:divBdr>
        <w:top w:val="none" w:sz="0" w:space="0" w:color="auto"/>
        <w:left w:val="none" w:sz="0" w:space="0" w:color="auto"/>
        <w:bottom w:val="none" w:sz="0" w:space="0" w:color="auto"/>
        <w:right w:val="none" w:sz="0" w:space="0" w:color="auto"/>
      </w:divBdr>
    </w:div>
    <w:div w:id="1825976246">
      <w:bodyDiv w:val="1"/>
      <w:marLeft w:val="0"/>
      <w:marRight w:val="0"/>
      <w:marTop w:val="0"/>
      <w:marBottom w:val="0"/>
      <w:divBdr>
        <w:top w:val="none" w:sz="0" w:space="0" w:color="auto"/>
        <w:left w:val="none" w:sz="0" w:space="0" w:color="auto"/>
        <w:bottom w:val="none" w:sz="0" w:space="0" w:color="auto"/>
        <w:right w:val="none" w:sz="0" w:space="0" w:color="auto"/>
      </w:divBdr>
    </w:div>
    <w:div w:id="1826123711">
      <w:bodyDiv w:val="1"/>
      <w:marLeft w:val="0"/>
      <w:marRight w:val="0"/>
      <w:marTop w:val="0"/>
      <w:marBottom w:val="0"/>
      <w:divBdr>
        <w:top w:val="none" w:sz="0" w:space="0" w:color="auto"/>
        <w:left w:val="none" w:sz="0" w:space="0" w:color="auto"/>
        <w:bottom w:val="none" w:sz="0" w:space="0" w:color="auto"/>
        <w:right w:val="none" w:sz="0" w:space="0" w:color="auto"/>
      </w:divBdr>
    </w:div>
    <w:div w:id="1826389373">
      <w:bodyDiv w:val="1"/>
      <w:marLeft w:val="0"/>
      <w:marRight w:val="0"/>
      <w:marTop w:val="0"/>
      <w:marBottom w:val="0"/>
      <w:divBdr>
        <w:top w:val="none" w:sz="0" w:space="0" w:color="auto"/>
        <w:left w:val="none" w:sz="0" w:space="0" w:color="auto"/>
        <w:bottom w:val="none" w:sz="0" w:space="0" w:color="auto"/>
        <w:right w:val="none" w:sz="0" w:space="0" w:color="auto"/>
      </w:divBdr>
    </w:div>
    <w:div w:id="1826436620">
      <w:bodyDiv w:val="1"/>
      <w:marLeft w:val="0"/>
      <w:marRight w:val="0"/>
      <w:marTop w:val="0"/>
      <w:marBottom w:val="0"/>
      <w:divBdr>
        <w:top w:val="none" w:sz="0" w:space="0" w:color="auto"/>
        <w:left w:val="none" w:sz="0" w:space="0" w:color="auto"/>
        <w:bottom w:val="none" w:sz="0" w:space="0" w:color="auto"/>
        <w:right w:val="none" w:sz="0" w:space="0" w:color="auto"/>
      </w:divBdr>
    </w:div>
    <w:div w:id="1826897405">
      <w:bodyDiv w:val="1"/>
      <w:marLeft w:val="0"/>
      <w:marRight w:val="0"/>
      <w:marTop w:val="0"/>
      <w:marBottom w:val="0"/>
      <w:divBdr>
        <w:top w:val="none" w:sz="0" w:space="0" w:color="auto"/>
        <w:left w:val="none" w:sz="0" w:space="0" w:color="auto"/>
        <w:bottom w:val="none" w:sz="0" w:space="0" w:color="auto"/>
        <w:right w:val="none" w:sz="0" w:space="0" w:color="auto"/>
      </w:divBdr>
    </w:div>
    <w:div w:id="1826968079">
      <w:bodyDiv w:val="1"/>
      <w:marLeft w:val="0"/>
      <w:marRight w:val="0"/>
      <w:marTop w:val="0"/>
      <w:marBottom w:val="0"/>
      <w:divBdr>
        <w:top w:val="none" w:sz="0" w:space="0" w:color="auto"/>
        <w:left w:val="none" w:sz="0" w:space="0" w:color="auto"/>
        <w:bottom w:val="none" w:sz="0" w:space="0" w:color="auto"/>
        <w:right w:val="none" w:sz="0" w:space="0" w:color="auto"/>
      </w:divBdr>
    </w:div>
    <w:div w:id="1827284659">
      <w:bodyDiv w:val="1"/>
      <w:marLeft w:val="0"/>
      <w:marRight w:val="0"/>
      <w:marTop w:val="0"/>
      <w:marBottom w:val="0"/>
      <w:divBdr>
        <w:top w:val="none" w:sz="0" w:space="0" w:color="auto"/>
        <w:left w:val="none" w:sz="0" w:space="0" w:color="auto"/>
        <w:bottom w:val="none" w:sz="0" w:space="0" w:color="auto"/>
        <w:right w:val="none" w:sz="0" w:space="0" w:color="auto"/>
      </w:divBdr>
    </w:div>
    <w:div w:id="1827742449">
      <w:bodyDiv w:val="1"/>
      <w:marLeft w:val="0"/>
      <w:marRight w:val="0"/>
      <w:marTop w:val="0"/>
      <w:marBottom w:val="0"/>
      <w:divBdr>
        <w:top w:val="none" w:sz="0" w:space="0" w:color="auto"/>
        <w:left w:val="none" w:sz="0" w:space="0" w:color="auto"/>
        <w:bottom w:val="none" w:sz="0" w:space="0" w:color="auto"/>
        <w:right w:val="none" w:sz="0" w:space="0" w:color="auto"/>
      </w:divBdr>
    </w:div>
    <w:div w:id="1828279815">
      <w:bodyDiv w:val="1"/>
      <w:marLeft w:val="0"/>
      <w:marRight w:val="0"/>
      <w:marTop w:val="0"/>
      <w:marBottom w:val="0"/>
      <w:divBdr>
        <w:top w:val="none" w:sz="0" w:space="0" w:color="auto"/>
        <w:left w:val="none" w:sz="0" w:space="0" w:color="auto"/>
        <w:bottom w:val="none" w:sz="0" w:space="0" w:color="auto"/>
        <w:right w:val="none" w:sz="0" w:space="0" w:color="auto"/>
      </w:divBdr>
    </w:div>
    <w:div w:id="1828938930">
      <w:bodyDiv w:val="1"/>
      <w:marLeft w:val="0"/>
      <w:marRight w:val="0"/>
      <w:marTop w:val="0"/>
      <w:marBottom w:val="0"/>
      <w:divBdr>
        <w:top w:val="none" w:sz="0" w:space="0" w:color="auto"/>
        <w:left w:val="none" w:sz="0" w:space="0" w:color="auto"/>
        <w:bottom w:val="none" w:sz="0" w:space="0" w:color="auto"/>
        <w:right w:val="none" w:sz="0" w:space="0" w:color="auto"/>
      </w:divBdr>
    </w:div>
    <w:div w:id="1828980406">
      <w:bodyDiv w:val="1"/>
      <w:marLeft w:val="0"/>
      <w:marRight w:val="0"/>
      <w:marTop w:val="0"/>
      <w:marBottom w:val="0"/>
      <w:divBdr>
        <w:top w:val="none" w:sz="0" w:space="0" w:color="auto"/>
        <w:left w:val="none" w:sz="0" w:space="0" w:color="auto"/>
        <w:bottom w:val="none" w:sz="0" w:space="0" w:color="auto"/>
        <w:right w:val="none" w:sz="0" w:space="0" w:color="auto"/>
      </w:divBdr>
    </w:div>
    <w:div w:id="1829206486">
      <w:bodyDiv w:val="1"/>
      <w:marLeft w:val="0"/>
      <w:marRight w:val="0"/>
      <w:marTop w:val="0"/>
      <w:marBottom w:val="0"/>
      <w:divBdr>
        <w:top w:val="none" w:sz="0" w:space="0" w:color="auto"/>
        <w:left w:val="none" w:sz="0" w:space="0" w:color="auto"/>
        <w:bottom w:val="none" w:sz="0" w:space="0" w:color="auto"/>
        <w:right w:val="none" w:sz="0" w:space="0" w:color="auto"/>
      </w:divBdr>
    </w:div>
    <w:div w:id="1829783856">
      <w:bodyDiv w:val="1"/>
      <w:marLeft w:val="0"/>
      <w:marRight w:val="0"/>
      <w:marTop w:val="0"/>
      <w:marBottom w:val="0"/>
      <w:divBdr>
        <w:top w:val="none" w:sz="0" w:space="0" w:color="auto"/>
        <w:left w:val="none" w:sz="0" w:space="0" w:color="auto"/>
        <w:bottom w:val="none" w:sz="0" w:space="0" w:color="auto"/>
        <w:right w:val="none" w:sz="0" w:space="0" w:color="auto"/>
      </w:divBdr>
    </w:div>
    <w:div w:id="1829901895">
      <w:bodyDiv w:val="1"/>
      <w:marLeft w:val="0"/>
      <w:marRight w:val="0"/>
      <w:marTop w:val="0"/>
      <w:marBottom w:val="0"/>
      <w:divBdr>
        <w:top w:val="none" w:sz="0" w:space="0" w:color="auto"/>
        <w:left w:val="none" w:sz="0" w:space="0" w:color="auto"/>
        <w:bottom w:val="none" w:sz="0" w:space="0" w:color="auto"/>
        <w:right w:val="none" w:sz="0" w:space="0" w:color="auto"/>
      </w:divBdr>
    </w:div>
    <w:div w:id="1829974940">
      <w:bodyDiv w:val="1"/>
      <w:marLeft w:val="0"/>
      <w:marRight w:val="0"/>
      <w:marTop w:val="0"/>
      <w:marBottom w:val="0"/>
      <w:divBdr>
        <w:top w:val="none" w:sz="0" w:space="0" w:color="auto"/>
        <w:left w:val="none" w:sz="0" w:space="0" w:color="auto"/>
        <w:bottom w:val="none" w:sz="0" w:space="0" w:color="auto"/>
        <w:right w:val="none" w:sz="0" w:space="0" w:color="auto"/>
      </w:divBdr>
    </w:div>
    <w:div w:id="1830706692">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8211">
      <w:bodyDiv w:val="1"/>
      <w:marLeft w:val="0"/>
      <w:marRight w:val="0"/>
      <w:marTop w:val="0"/>
      <w:marBottom w:val="0"/>
      <w:divBdr>
        <w:top w:val="none" w:sz="0" w:space="0" w:color="auto"/>
        <w:left w:val="none" w:sz="0" w:space="0" w:color="auto"/>
        <w:bottom w:val="none" w:sz="0" w:space="0" w:color="auto"/>
        <w:right w:val="none" w:sz="0" w:space="0" w:color="auto"/>
      </w:divBdr>
    </w:div>
    <w:div w:id="1831217486">
      <w:bodyDiv w:val="1"/>
      <w:marLeft w:val="0"/>
      <w:marRight w:val="0"/>
      <w:marTop w:val="0"/>
      <w:marBottom w:val="0"/>
      <w:divBdr>
        <w:top w:val="none" w:sz="0" w:space="0" w:color="auto"/>
        <w:left w:val="none" w:sz="0" w:space="0" w:color="auto"/>
        <w:bottom w:val="none" w:sz="0" w:space="0" w:color="auto"/>
        <w:right w:val="none" w:sz="0" w:space="0" w:color="auto"/>
      </w:divBdr>
    </w:div>
    <w:div w:id="1831289523">
      <w:bodyDiv w:val="1"/>
      <w:marLeft w:val="0"/>
      <w:marRight w:val="0"/>
      <w:marTop w:val="0"/>
      <w:marBottom w:val="0"/>
      <w:divBdr>
        <w:top w:val="none" w:sz="0" w:space="0" w:color="auto"/>
        <w:left w:val="none" w:sz="0" w:space="0" w:color="auto"/>
        <w:bottom w:val="none" w:sz="0" w:space="0" w:color="auto"/>
        <w:right w:val="none" w:sz="0" w:space="0" w:color="auto"/>
      </w:divBdr>
    </w:div>
    <w:div w:id="1831290199">
      <w:bodyDiv w:val="1"/>
      <w:marLeft w:val="0"/>
      <w:marRight w:val="0"/>
      <w:marTop w:val="0"/>
      <w:marBottom w:val="0"/>
      <w:divBdr>
        <w:top w:val="none" w:sz="0" w:space="0" w:color="auto"/>
        <w:left w:val="none" w:sz="0" w:space="0" w:color="auto"/>
        <w:bottom w:val="none" w:sz="0" w:space="0" w:color="auto"/>
        <w:right w:val="none" w:sz="0" w:space="0" w:color="auto"/>
      </w:divBdr>
    </w:div>
    <w:div w:id="1831360229">
      <w:bodyDiv w:val="1"/>
      <w:marLeft w:val="0"/>
      <w:marRight w:val="0"/>
      <w:marTop w:val="0"/>
      <w:marBottom w:val="0"/>
      <w:divBdr>
        <w:top w:val="none" w:sz="0" w:space="0" w:color="auto"/>
        <w:left w:val="none" w:sz="0" w:space="0" w:color="auto"/>
        <w:bottom w:val="none" w:sz="0" w:space="0" w:color="auto"/>
        <w:right w:val="none" w:sz="0" w:space="0" w:color="auto"/>
      </w:divBdr>
    </w:div>
    <w:div w:id="1831553351">
      <w:bodyDiv w:val="1"/>
      <w:marLeft w:val="0"/>
      <w:marRight w:val="0"/>
      <w:marTop w:val="0"/>
      <w:marBottom w:val="0"/>
      <w:divBdr>
        <w:top w:val="none" w:sz="0" w:space="0" w:color="auto"/>
        <w:left w:val="none" w:sz="0" w:space="0" w:color="auto"/>
        <w:bottom w:val="none" w:sz="0" w:space="0" w:color="auto"/>
        <w:right w:val="none" w:sz="0" w:space="0" w:color="auto"/>
      </w:divBdr>
    </w:div>
    <w:div w:id="1831560059">
      <w:bodyDiv w:val="1"/>
      <w:marLeft w:val="0"/>
      <w:marRight w:val="0"/>
      <w:marTop w:val="0"/>
      <w:marBottom w:val="0"/>
      <w:divBdr>
        <w:top w:val="none" w:sz="0" w:space="0" w:color="auto"/>
        <w:left w:val="none" w:sz="0" w:space="0" w:color="auto"/>
        <w:bottom w:val="none" w:sz="0" w:space="0" w:color="auto"/>
        <w:right w:val="none" w:sz="0" w:space="0" w:color="auto"/>
      </w:divBdr>
    </w:div>
    <w:div w:id="1831602835">
      <w:bodyDiv w:val="1"/>
      <w:marLeft w:val="0"/>
      <w:marRight w:val="0"/>
      <w:marTop w:val="0"/>
      <w:marBottom w:val="0"/>
      <w:divBdr>
        <w:top w:val="none" w:sz="0" w:space="0" w:color="auto"/>
        <w:left w:val="none" w:sz="0" w:space="0" w:color="auto"/>
        <w:bottom w:val="none" w:sz="0" w:space="0" w:color="auto"/>
        <w:right w:val="none" w:sz="0" w:space="0" w:color="auto"/>
      </w:divBdr>
    </w:div>
    <w:div w:id="1831677165">
      <w:bodyDiv w:val="1"/>
      <w:marLeft w:val="0"/>
      <w:marRight w:val="0"/>
      <w:marTop w:val="0"/>
      <w:marBottom w:val="0"/>
      <w:divBdr>
        <w:top w:val="none" w:sz="0" w:space="0" w:color="auto"/>
        <w:left w:val="none" w:sz="0" w:space="0" w:color="auto"/>
        <w:bottom w:val="none" w:sz="0" w:space="0" w:color="auto"/>
        <w:right w:val="none" w:sz="0" w:space="0" w:color="auto"/>
      </w:divBdr>
    </w:div>
    <w:div w:id="1831678233">
      <w:bodyDiv w:val="1"/>
      <w:marLeft w:val="0"/>
      <w:marRight w:val="0"/>
      <w:marTop w:val="0"/>
      <w:marBottom w:val="0"/>
      <w:divBdr>
        <w:top w:val="none" w:sz="0" w:space="0" w:color="auto"/>
        <w:left w:val="none" w:sz="0" w:space="0" w:color="auto"/>
        <w:bottom w:val="none" w:sz="0" w:space="0" w:color="auto"/>
        <w:right w:val="none" w:sz="0" w:space="0" w:color="auto"/>
      </w:divBdr>
    </w:div>
    <w:div w:id="1831870983">
      <w:bodyDiv w:val="1"/>
      <w:marLeft w:val="0"/>
      <w:marRight w:val="0"/>
      <w:marTop w:val="0"/>
      <w:marBottom w:val="0"/>
      <w:divBdr>
        <w:top w:val="none" w:sz="0" w:space="0" w:color="auto"/>
        <w:left w:val="none" w:sz="0" w:space="0" w:color="auto"/>
        <w:bottom w:val="none" w:sz="0" w:space="0" w:color="auto"/>
        <w:right w:val="none" w:sz="0" w:space="0" w:color="auto"/>
      </w:divBdr>
    </w:div>
    <w:div w:id="1831945484">
      <w:bodyDiv w:val="1"/>
      <w:marLeft w:val="0"/>
      <w:marRight w:val="0"/>
      <w:marTop w:val="0"/>
      <w:marBottom w:val="0"/>
      <w:divBdr>
        <w:top w:val="none" w:sz="0" w:space="0" w:color="auto"/>
        <w:left w:val="none" w:sz="0" w:space="0" w:color="auto"/>
        <w:bottom w:val="none" w:sz="0" w:space="0" w:color="auto"/>
        <w:right w:val="none" w:sz="0" w:space="0" w:color="auto"/>
      </w:divBdr>
    </w:div>
    <w:div w:id="1832063940">
      <w:bodyDiv w:val="1"/>
      <w:marLeft w:val="0"/>
      <w:marRight w:val="0"/>
      <w:marTop w:val="0"/>
      <w:marBottom w:val="0"/>
      <w:divBdr>
        <w:top w:val="none" w:sz="0" w:space="0" w:color="auto"/>
        <w:left w:val="none" w:sz="0" w:space="0" w:color="auto"/>
        <w:bottom w:val="none" w:sz="0" w:space="0" w:color="auto"/>
        <w:right w:val="none" w:sz="0" w:space="0" w:color="auto"/>
      </w:divBdr>
    </w:div>
    <w:div w:id="1832330882">
      <w:bodyDiv w:val="1"/>
      <w:marLeft w:val="0"/>
      <w:marRight w:val="0"/>
      <w:marTop w:val="0"/>
      <w:marBottom w:val="0"/>
      <w:divBdr>
        <w:top w:val="none" w:sz="0" w:space="0" w:color="auto"/>
        <w:left w:val="none" w:sz="0" w:space="0" w:color="auto"/>
        <w:bottom w:val="none" w:sz="0" w:space="0" w:color="auto"/>
        <w:right w:val="none" w:sz="0" w:space="0" w:color="auto"/>
      </w:divBdr>
    </w:div>
    <w:div w:id="1832673384">
      <w:bodyDiv w:val="1"/>
      <w:marLeft w:val="0"/>
      <w:marRight w:val="0"/>
      <w:marTop w:val="0"/>
      <w:marBottom w:val="0"/>
      <w:divBdr>
        <w:top w:val="none" w:sz="0" w:space="0" w:color="auto"/>
        <w:left w:val="none" w:sz="0" w:space="0" w:color="auto"/>
        <w:bottom w:val="none" w:sz="0" w:space="0" w:color="auto"/>
        <w:right w:val="none" w:sz="0" w:space="0" w:color="auto"/>
      </w:divBdr>
    </w:div>
    <w:div w:id="1832676310">
      <w:bodyDiv w:val="1"/>
      <w:marLeft w:val="0"/>
      <w:marRight w:val="0"/>
      <w:marTop w:val="0"/>
      <w:marBottom w:val="0"/>
      <w:divBdr>
        <w:top w:val="none" w:sz="0" w:space="0" w:color="auto"/>
        <w:left w:val="none" w:sz="0" w:space="0" w:color="auto"/>
        <w:bottom w:val="none" w:sz="0" w:space="0" w:color="auto"/>
        <w:right w:val="none" w:sz="0" w:space="0" w:color="auto"/>
      </w:divBdr>
    </w:div>
    <w:div w:id="1832863677">
      <w:bodyDiv w:val="1"/>
      <w:marLeft w:val="0"/>
      <w:marRight w:val="0"/>
      <w:marTop w:val="0"/>
      <w:marBottom w:val="0"/>
      <w:divBdr>
        <w:top w:val="none" w:sz="0" w:space="0" w:color="auto"/>
        <w:left w:val="none" w:sz="0" w:space="0" w:color="auto"/>
        <w:bottom w:val="none" w:sz="0" w:space="0" w:color="auto"/>
        <w:right w:val="none" w:sz="0" w:space="0" w:color="auto"/>
      </w:divBdr>
    </w:div>
    <w:div w:id="1833795407">
      <w:bodyDiv w:val="1"/>
      <w:marLeft w:val="0"/>
      <w:marRight w:val="0"/>
      <w:marTop w:val="0"/>
      <w:marBottom w:val="0"/>
      <w:divBdr>
        <w:top w:val="none" w:sz="0" w:space="0" w:color="auto"/>
        <w:left w:val="none" w:sz="0" w:space="0" w:color="auto"/>
        <w:bottom w:val="none" w:sz="0" w:space="0" w:color="auto"/>
        <w:right w:val="none" w:sz="0" w:space="0" w:color="auto"/>
      </w:divBdr>
    </w:div>
    <w:div w:id="1833908565">
      <w:bodyDiv w:val="1"/>
      <w:marLeft w:val="0"/>
      <w:marRight w:val="0"/>
      <w:marTop w:val="0"/>
      <w:marBottom w:val="0"/>
      <w:divBdr>
        <w:top w:val="none" w:sz="0" w:space="0" w:color="auto"/>
        <w:left w:val="none" w:sz="0" w:space="0" w:color="auto"/>
        <w:bottom w:val="none" w:sz="0" w:space="0" w:color="auto"/>
        <w:right w:val="none" w:sz="0" w:space="0" w:color="auto"/>
      </w:divBdr>
    </w:div>
    <w:div w:id="1834448273">
      <w:bodyDiv w:val="1"/>
      <w:marLeft w:val="0"/>
      <w:marRight w:val="0"/>
      <w:marTop w:val="0"/>
      <w:marBottom w:val="0"/>
      <w:divBdr>
        <w:top w:val="none" w:sz="0" w:space="0" w:color="auto"/>
        <w:left w:val="none" w:sz="0" w:space="0" w:color="auto"/>
        <w:bottom w:val="none" w:sz="0" w:space="0" w:color="auto"/>
        <w:right w:val="none" w:sz="0" w:space="0" w:color="auto"/>
      </w:divBdr>
    </w:div>
    <w:div w:id="1834494074">
      <w:bodyDiv w:val="1"/>
      <w:marLeft w:val="0"/>
      <w:marRight w:val="0"/>
      <w:marTop w:val="0"/>
      <w:marBottom w:val="0"/>
      <w:divBdr>
        <w:top w:val="none" w:sz="0" w:space="0" w:color="auto"/>
        <w:left w:val="none" w:sz="0" w:space="0" w:color="auto"/>
        <w:bottom w:val="none" w:sz="0" w:space="0" w:color="auto"/>
        <w:right w:val="none" w:sz="0" w:space="0" w:color="auto"/>
      </w:divBdr>
    </w:div>
    <w:div w:id="1834878687">
      <w:bodyDiv w:val="1"/>
      <w:marLeft w:val="0"/>
      <w:marRight w:val="0"/>
      <w:marTop w:val="0"/>
      <w:marBottom w:val="0"/>
      <w:divBdr>
        <w:top w:val="none" w:sz="0" w:space="0" w:color="auto"/>
        <w:left w:val="none" w:sz="0" w:space="0" w:color="auto"/>
        <w:bottom w:val="none" w:sz="0" w:space="0" w:color="auto"/>
        <w:right w:val="none" w:sz="0" w:space="0" w:color="auto"/>
      </w:divBdr>
    </w:div>
    <w:div w:id="1834904441">
      <w:bodyDiv w:val="1"/>
      <w:marLeft w:val="0"/>
      <w:marRight w:val="0"/>
      <w:marTop w:val="0"/>
      <w:marBottom w:val="0"/>
      <w:divBdr>
        <w:top w:val="none" w:sz="0" w:space="0" w:color="auto"/>
        <w:left w:val="none" w:sz="0" w:space="0" w:color="auto"/>
        <w:bottom w:val="none" w:sz="0" w:space="0" w:color="auto"/>
        <w:right w:val="none" w:sz="0" w:space="0" w:color="auto"/>
      </w:divBdr>
    </w:div>
    <w:div w:id="1835490510">
      <w:bodyDiv w:val="1"/>
      <w:marLeft w:val="0"/>
      <w:marRight w:val="0"/>
      <w:marTop w:val="0"/>
      <w:marBottom w:val="0"/>
      <w:divBdr>
        <w:top w:val="none" w:sz="0" w:space="0" w:color="auto"/>
        <w:left w:val="none" w:sz="0" w:space="0" w:color="auto"/>
        <w:bottom w:val="none" w:sz="0" w:space="0" w:color="auto"/>
        <w:right w:val="none" w:sz="0" w:space="0" w:color="auto"/>
      </w:divBdr>
    </w:div>
    <w:div w:id="1835603245">
      <w:bodyDiv w:val="1"/>
      <w:marLeft w:val="0"/>
      <w:marRight w:val="0"/>
      <w:marTop w:val="0"/>
      <w:marBottom w:val="0"/>
      <w:divBdr>
        <w:top w:val="none" w:sz="0" w:space="0" w:color="auto"/>
        <w:left w:val="none" w:sz="0" w:space="0" w:color="auto"/>
        <w:bottom w:val="none" w:sz="0" w:space="0" w:color="auto"/>
        <w:right w:val="none" w:sz="0" w:space="0" w:color="auto"/>
      </w:divBdr>
    </w:div>
    <w:div w:id="1835803268">
      <w:bodyDiv w:val="1"/>
      <w:marLeft w:val="0"/>
      <w:marRight w:val="0"/>
      <w:marTop w:val="0"/>
      <w:marBottom w:val="0"/>
      <w:divBdr>
        <w:top w:val="none" w:sz="0" w:space="0" w:color="auto"/>
        <w:left w:val="none" w:sz="0" w:space="0" w:color="auto"/>
        <w:bottom w:val="none" w:sz="0" w:space="0" w:color="auto"/>
        <w:right w:val="none" w:sz="0" w:space="0" w:color="auto"/>
      </w:divBdr>
    </w:div>
    <w:div w:id="1835804700">
      <w:bodyDiv w:val="1"/>
      <w:marLeft w:val="0"/>
      <w:marRight w:val="0"/>
      <w:marTop w:val="0"/>
      <w:marBottom w:val="0"/>
      <w:divBdr>
        <w:top w:val="none" w:sz="0" w:space="0" w:color="auto"/>
        <w:left w:val="none" w:sz="0" w:space="0" w:color="auto"/>
        <w:bottom w:val="none" w:sz="0" w:space="0" w:color="auto"/>
        <w:right w:val="none" w:sz="0" w:space="0" w:color="auto"/>
      </w:divBdr>
    </w:div>
    <w:div w:id="1837375949">
      <w:bodyDiv w:val="1"/>
      <w:marLeft w:val="0"/>
      <w:marRight w:val="0"/>
      <w:marTop w:val="0"/>
      <w:marBottom w:val="0"/>
      <w:divBdr>
        <w:top w:val="none" w:sz="0" w:space="0" w:color="auto"/>
        <w:left w:val="none" w:sz="0" w:space="0" w:color="auto"/>
        <w:bottom w:val="none" w:sz="0" w:space="0" w:color="auto"/>
        <w:right w:val="none" w:sz="0" w:space="0" w:color="auto"/>
      </w:divBdr>
    </w:div>
    <w:div w:id="1838568883">
      <w:bodyDiv w:val="1"/>
      <w:marLeft w:val="0"/>
      <w:marRight w:val="0"/>
      <w:marTop w:val="0"/>
      <w:marBottom w:val="0"/>
      <w:divBdr>
        <w:top w:val="none" w:sz="0" w:space="0" w:color="auto"/>
        <w:left w:val="none" w:sz="0" w:space="0" w:color="auto"/>
        <w:bottom w:val="none" w:sz="0" w:space="0" w:color="auto"/>
        <w:right w:val="none" w:sz="0" w:space="0" w:color="auto"/>
      </w:divBdr>
    </w:div>
    <w:div w:id="1838767598">
      <w:bodyDiv w:val="1"/>
      <w:marLeft w:val="0"/>
      <w:marRight w:val="0"/>
      <w:marTop w:val="0"/>
      <w:marBottom w:val="0"/>
      <w:divBdr>
        <w:top w:val="none" w:sz="0" w:space="0" w:color="auto"/>
        <w:left w:val="none" w:sz="0" w:space="0" w:color="auto"/>
        <w:bottom w:val="none" w:sz="0" w:space="0" w:color="auto"/>
        <w:right w:val="none" w:sz="0" w:space="0" w:color="auto"/>
      </w:divBdr>
    </w:div>
    <w:div w:id="1838958080">
      <w:bodyDiv w:val="1"/>
      <w:marLeft w:val="0"/>
      <w:marRight w:val="0"/>
      <w:marTop w:val="0"/>
      <w:marBottom w:val="0"/>
      <w:divBdr>
        <w:top w:val="none" w:sz="0" w:space="0" w:color="auto"/>
        <w:left w:val="none" w:sz="0" w:space="0" w:color="auto"/>
        <w:bottom w:val="none" w:sz="0" w:space="0" w:color="auto"/>
        <w:right w:val="none" w:sz="0" w:space="0" w:color="auto"/>
      </w:divBdr>
    </w:div>
    <w:div w:id="1840078692">
      <w:bodyDiv w:val="1"/>
      <w:marLeft w:val="0"/>
      <w:marRight w:val="0"/>
      <w:marTop w:val="0"/>
      <w:marBottom w:val="0"/>
      <w:divBdr>
        <w:top w:val="none" w:sz="0" w:space="0" w:color="auto"/>
        <w:left w:val="none" w:sz="0" w:space="0" w:color="auto"/>
        <w:bottom w:val="none" w:sz="0" w:space="0" w:color="auto"/>
        <w:right w:val="none" w:sz="0" w:space="0" w:color="auto"/>
      </w:divBdr>
    </w:div>
    <w:div w:id="1840457897">
      <w:bodyDiv w:val="1"/>
      <w:marLeft w:val="0"/>
      <w:marRight w:val="0"/>
      <w:marTop w:val="0"/>
      <w:marBottom w:val="0"/>
      <w:divBdr>
        <w:top w:val="none" w:sz="0" w:space="0" w:color="auto"/>
        <w:left w:val="none" w:sz="0" w:space="0" w:color="auto"/>
        <w:bottom w:val="none" w:sz="0" w:space="0" w:color="auto"/>
        <w:right w:val="none" w:sz="0" w:space="0" w:color="auto"/>
      </w:divBdr>
    </w:div>
    <w:div w:id="1841044068">
      <w:bodyDiv w:val="1"/>
      <w:marLeft w:val="0"/>
      <w:marRight w:val="0"/>
      <w:marTop w:val="0"/>
      <w:marBottom w:val="0"/>
      <w:divBdr>
        <w:top w:val="none" w:sz="0" w:space="0" w:color="auto"/>
        <w:left w:val="none" w:sz="0" w:space="0" w:color="auto"/>
        <w:bottom w:val="none" w:sz="0" w:space="0" w:color="auto"/>
        <w:right w:val="none" w:sz="0" w:space="0" w:color="auto"/>
      </w:divBdr>
    </w:div>
    <w:div w:id="1842741361">
      <w:bodyDiv w:val="1"/>
      <w:marLeft w:val="0"/>
      <w:marRight w:val="0"/>
      <w:marTop w:val="0"/>
      <w:marBottom w:val="0"/>
      <w:divBdr>
        <w:top w:val="none" w:sz="0" w:space="0" w:color="auto"/>
        <w:left w:val="none" w:sz="0" w:space="0" w:color="auto"/>
        <w:bottom w:val="none" w:sz="0" w:space="0" w:color="auto"/>
        <w:right w:val="none" w:sz="0" w:space="0" w:color="auto"/>
      </w:divBdr>
    </w:div>
    <w:div w:id="1843081926">
      <w:bodyDiv w:val="1"/>
      <w:marLeft w:val="0"/>
      <w:marRight w:val="0"/>
      <w:marTop w:val="0"/>
      <w:marBottom w:val="0"/>
      <w:divBdr>
        <w:top w:val="none" w:sz="0" w:space="0" w:color="auto"/>
        <w:left w:val="none" w:sz="0" w:space="0" w:color="auto"/>
        <w:bottom w:val="none" w:sz="0" w:space="0" w:color="auto"/>
        <w:right w:val="none" w:sz="0" w:space="0" w:color="auto"/>
      </w:divBdr>
    </w:div>
    <w:div w:id="1843086496">
      <w:bodyDiv w:val="1"/>
      <w:marLeft w:val="0"/>
      <w:marRight w:val="0"/>
      <w:marTop w:val="0"/>
      <w:marBottom w:val="0"/>
      <w:divBdr>
        <w:top w:val="none" w:sz="0" w:space="0" w:color="auto"/>
        <w:left w:val="none" w:sz="0" w:space="0" w:color="auto"/>
        <w:bottom w:val="none" w:sz="0" w:space="0" w:color="auto"/>
        <w:right w:val="none" w:sz="0" w:space="0" w:color="auto"/>
      </w:divBdr>
    </w:div>
    <w:div w:id="1843155894">
      <w:bodyDiv w:val="1"/>
      <w:marLeft w:val="0"/>
      <w:marRight w:val="0"/>
      <w:marTop w:val="0"/>
      <w:marBottom w:val="0"/>
      <w:divBdr>
        <w:top w:val="none" w:sz="0" w:space="0" w:color="auto"/>
        <w:left w:val="none" w:sz="0" w:space="0" w:color="auto"/>
        <w:bottom w:val="none" w:sz="0" w:space="0" w:color="auto"/>
        <w:right w:val="none" w:sz="0" w:space="0" w:color="auto"/>
      </w:divBdr>
    </w:div>
    <w:div w:id="1843663523">
      <w:bodyDiv w:val="1"/>
      <w:marLeft w:val="0"/>
      <w:marRight w:val="0"/>
      <w:marTop w:val="0"/>
      <w:marBottom w:val="0"/>
      <w:divBdr>
        <w:top w:val="none" w:sz="0" w:space="0" w:color="auto"/>
        <w:left w:val="none" w:sz="0" w:space="0" w:color="auto"/>
        <w:bottom w:val="none" w:sz="0" w:space="0" w:color="auto"/>
        <w:right w:val="none" w:sz="0" w:space="0" w:color="auto"/>
      </w:divBdr>
    </w:div>
    <w:div w:id="1843735719">
      <w:bodyDiv w:val="1"/>
      <w:marLeft w:val="0"/>
      <w:marRight w:val="0"/>
      <w:marTop w:val="0"/>
      <w:marBottom w:val="0"/>
      <w:divBdr>
        <w:top w:val="none" w:sz="0" w:space="0" w:color="auto"/>
        <w:left w:val="none" w:sz="0" w:space="0" w:color="auto"/>
        <w:bottom w:val="none" w:sz="0" w:space="0" w:color="auto"/>
        <w:right w:val="none" w:sz="0" w:space="0" w:color="auto"/>
      </w:divBdr>
    </w:div>
    <w:div w:id="1843860861">
      <w:bodyDiv w:val="1"/>
      <w:marLeft w:val="0"/>
      <w:marRight w:val="0"/>
      <w:marTop w:val="0"/>
      <w:marBottom w:val="0"/>
      <w:divBdr>
        <w:top w:val="none" w:sz="0" w:space="0" w:color="auto"/>
        <w:left w:val="none" w:sz="0" w:space="0" w:color="auto"/>
        <w:bottom w:val="none" w:sz="0" w:space="0" w:color="auto"/>
        <w:right w:val="none" w:sz="0" w:space="0" w:color="auto"/>
      </w:divBdr>
    </w:div>
    <w:div w:id="1844005314">
      <w:bodyDiv w:val="1"/>
      <w:marLeft w:val="0"/>
      <w:marRight w:val="0"/>
      <w:marTop w:val="0"/>
      <w:marBottom w:val="0"/>
      <w:divBdr>
        <w:top w:val="none" w:sz="0" w:space="0" w:color="auto"/>
        <w:left w:val="none" w:sz="0" w:space="0" w:color="auto"/>
        <w:bottom w:val="none" w:sz="0" w:space="0" w:color="auto"/>
        <w:right w:val="none" w:sz="0" w:space="0" w:color="auto"/>
      </w:divBdr>
    </w:div>
    <w:div w:id="1844319720">
      <w:bodyDiv w:val="1"/>
      <w:marLeft w:val="0"/>
      <w:marRight w:val="0"/>
      <w:marTop w:val="0"/>
      <w:marBottom w:val="0"/>
      <w:divBdr>
        <w:top w:val="none" w:sz="0" w:space="0" w:color="auto"/>
        <w:left w:val="none" w:sz="0" w:space="0" w:color="auto"/>
        <w:bottom w:val="none" w:sz="0" w:space="0" w:color="auto"/>
        <w:right w:val="none" w:sz="0" w:space="0" w:color="auto"/>
      </w:divBdr>
    </w:div>
    <w:div w:id="1845393640">
      <w:bodyDiv w:val="1"/>
      <w:marLeft w:val="0"/>
      <w:marRight w:val="0"/>
      <w:marTop w:val="0"/>
      <w:marBottom w:val="0"/>
      <w:divBdr>
        <w:top w:val="none" w:sz="0" w:space="0" w:color="auto"/>
        <w:left w:val="none" w:sz="0" w:space="0" w:color="auto"/>
        <w:bottom w:val="none" w:sz="0" w:space="0" w:color="auto"/>
        <w:right w:val="none" w:sz="0" w:space="0" w:color="auto"/>
      </w:divBdr>
    </w:div>
    <w:div w:id="1845709100">
      <w:bodyDiv w:val="1"/>
      <w:marLeft w:val="0"/>
      <w:marRight w:val="0"/>
      <w:marTop w:val="0"/>
      <w:marBottom w:val="0"/>
      <w:divBdr>
        <w:top w:val="none" w:sz="0" w:space="0" w:color="auto"/>
        <w:left w:val="none" w:sz="0" w:space="0" w:color="auto"/>
        <w:bottom w:val="none" w:sz="0" w:space="0" w:color="auto"/>
        <w:right w:val="none" w:sz="0" w:space="0" w:color="auto"/>
      </w:divBdr>
    </w:div>
    <w:div w:id="1845822428">
      <w:bodyDiv w:val="1"/>
      <w:marLeft w:val="0"/>
      <w:marRight w:val="0"/>
      <w:marTop w:val="0"/>
      <w:marBottom w:val="0"/>
      <w:divBdr>
        <w:top w:val="none" w:sz="0" w:space="0" w:color="auto"/>
        <w:left w:val="none" w:sz="0" w:space="0" w:color="auto"/>
        <w:bottom w:val="none" w:sz="0" w:space="0" w:color="auto"/>
        <w:right w:val="none" w:sz="0" w:space="0" w:color="auto"/>
      </w:divBdr>
    </w:div>
    <w:div w:id="1846047619">
      <w:bodyDiv w:val="1"/>
      <w:marLeft w:val="0"/>
      <w:marRight w:val="0"/>
      <w:marTop w:val="0"/>
      <w:marBottom w:val="0"/>
      <w:divBdr>
        <w:top w:val="none" w:sz="0" w:space="0" w:color="auto"/>
        <w:left w:val="none" w:sz="0" w:space="0" w:color="auto"/>
        <w:bottom w:val="none" w:sz="0" w:space="0" w:color="auto"/>
        <w:right w:val="none" w:sz="0" w:space="0" w:color="auto"/>
      </w:divBdr>
    </w:div>
    <w:div w:id="1847161843">
      <w:bodyDiv w:val="1"/>
      <w:marLeft w:val="0"/>
      <w:marRight w:val="0"/>
      <w:marTop w:val="0"/>
      <w:marBottom w:val="0"/>
      <w:divBdr>
        <w:top w:val="none" w:sz="0" w:space="0" w:color="auto"/>
        <w:left w:val="none" w:sz="0" w:space="0" w:color="auto"/>
        <w:bottom w:val="none" w:sz="0" w:space="0" w:color="auto"/>
        <w:right w:val="none" w:sz="0" w:space="0" w:color="auto"/>
      </w:divBdr>
    </w:div>
    <w:div w:id="1847359860">
      <w:bodyDiv w:val="1"/>
      <w:marLeft w:val="0"/>
      <w:marRight w:val="0"/>
      <w:marTop w:val="0"/>
      <w:marBottom w:val="0"/>
      <w:divBdr>
        <w:top w:val="none" w:sz="0" w:space="0" w:color="auto"/>
        <w:left w:val="none" w:sz="0" w:space="0" w:color="auto"/>
        <w:bottom w:val="none" w:sz="0" w:space="0" w:color="auto"/>
        <w:right w:val="none" w:sz="0" w:space="0" w:color="auto"/>
      </w:divBdr>
    </w:div>
    <w:div w:id="1847398333">
      <w:bodyDiv w:val="1"/>
      <w:marLeft w:val="0"/>
      <w:marRight w:val="0"/>
      <w:marTop w:val="0"/>
      <w:marBottom w:val="0"/>
      <w:divBdr>
        <w:top w:val="none" w:sz="0" w:space="0" w:color="auto"/>
        <w:left w:val="none" w:sz="0" w:space="0" w:color="auto"/>
        <w:bottom w:val="none" w:sz="0" w:space="0" w:color="auto"/>
        <w:right w:val="none" w:sz="0" w:space="0" w:color="auto"/>
      </w:divBdr>
    </w:div>
    <w:div w:id="1847868439">
      <w:bodyDiv w:val="1"/>
      <w:marLeft w:val="0"/>
      <w:marRight w:val="0"/>
      <w:marTop w:val="0"/>
      <w:marBottom w:val="0"/>
      <w:divBdr>
        <w:top w:val="none" w:sz="0" w:space="0" w:color="auto"/>
        <w:left w:val="none" w:sz="0" w:space="0" w:color="auto"/>
        <w:bottom w:val="none" w:sz="0" w:space="0" w:color="auto"/>
        <w:right w:val="none" w:sz="0" w:space="0" w:color="auto"/>
      </w:divBdr>
    </w:div>
    <w:div w:id="1848129444">
      <w:bodyDiv w:val="1"/>
      <w:marLeft w:val="0"/>
      <w:marRight w:val="0"/>
      <w:marTop w:val="0"/>
      <w:marBottom w:val="0"/>
      <w:divBdr>
        <w:top w:val="none" w:sz="0" w:space="0" w:color="auto"/>
        <w:left w:val="none" w:sz="0" w:space="0" w:color="auto"/>
        <w:bottom w:val="none" w:sz="0" w:space="0" w:color="auto"/>
        <w:right w:val="none" w:sz="0" w:space="0" w:color="auto"/>
      </w:divBdr>
    </w:div>
    <w:div w:id="1848135528">
      <w:bodyDiv w:val="1"/>
      <w:marLeft w:val="0"/>
      <w:marRight w:val="0"/>
      <w:marTop w:val="0"/>
      <w:marBottom w:val="0"/>
      <w:divBdr>
        <w:top w:val="none" w:sz="0" w:space="0" w:color="auto"/>
        <w:left w:val="none" w:sz="0" w:space="0" w:color="auto"/>
        <w:bottom w:val="none" w:sz="0" w:space="0" w:color="auto"/>
        <w:right w:val="none" w:sz="0" w:space="0" w:color="auto"/>
      </w:divBdr>
    </w:div>
    <w:div w:id="1848204592">
      <w:bodyDiv w:val="1"/>
      <w:marLeft w:val="0"/>
      <w:marRight w:val="0"/>
      <w:marTop w:val="0"/>
      <w:marBottom w:val="0"/>
      <w:divBdr>
        <w:top w:val="none" w:sz="0" w:space="0" w:color="auto"/>
        <w:left w:val="none" w:sz="0" w:space="0" w:color="auto"/>
        <w:bottom w:val="none" w:sz="0" w:space="0" w:color="auto"/>
        <w:right w:val="none" w:sz="0" w:space="0" w:color="auto"/>
      </w:divBdr>
    </w:div>
    <w:div w:id="1849325408">
      <w:bodyDiv w:val="1"/>
      <w:marLeft w:val="0"/>
      <w:marRight w:val="0"/>
      <w:marTop w:val="0"/>
      <w:marBottom w:val="0"/>
      <w:divBdr>
        <w:top w:val="none" w:sz="0" w:space="0" w:color="auto"/>
        <w:left w:val="none" w:sz="0" w:space="0" w:color="auto"/>
        <w:bottom w:val="none" w:sz="0" w:space="0" w:color="auto"/>
        <w:right w:val="none" w:sz="0" w:space="0" w:color="auto"/>
      </w:divBdr>
    </w:div>
    <w:div w:id="1849513912">
      <w:bodyDiv w:val="1"/>
      <w:marLeft w:val="0"/>
      <w:marRight w:val="0"/>
      <w:marTop w:val="0"/>
      <w:marBottom w:val="0"/>
      <w:divBdr>
        <w:top w:val="none" w:sz="0" w:space="0" w:color="auto"/>
        <w:left w:val="none" w:sz="0" w:space="0" w:color="auto"/>
        <w:bottom w:val="none" w:sz="0" w:space="0" w:color="auto"/>
        <w:right w:val="none" w:sz="0" w:space="0" w:color="auto"/>
      </w:divBdr>
    </w:div>
    <w:div w:id="1849641200">
      <w:bodyDiv w:val="1"/>
      <w:marLeft w:val="0"/>
      <w:marRight w:val="0"/>
      <w:marTop w:val="0"/>
      <w:marBottom w:val="0"/>
      <w:divBdr>
        <w:top w:val="none" w:sz="0" w:space="0" w:color="auto"/>
        <w:left w:val="none" w:sz="0" w:space="0" w:color="auto"/>
        <w:bottom w:val="none" w:sz="0" w:space="0" w:color="auto"/>
        <w:right w:val="none" w:sz="0" w:space="0" w:color="auto"/>
      </w:divBdr>
    </w:div>
    <w:div w:id="1850021789">
      <w:bodyDiv w:val="1"/>
      <w:marLeft w:val="0"/>
      <w:marRight w:val="0"/>
      <w:marTop w:val="0"/>
      <w:marBottom w:val="0"/>
      <w:divBdr>
        <w:top w:val="none" w:sz="0" w:space="0" w:color="auto"/>
        <w:left w:val="none" w:sz="0" w:space="0" w:color="auto"/>
        <w:bottom w:val="none" w:sz="0" w:space="0" w:color="auto"/>
        <w:right w:val="none" w:sz="0" w:space="0" w:color="auto"/>
      </w:divBdr>
    </w:div>
    <w:div w:id="1850292775">
      <w:bodyDiv w:val="1"/>
      <w:marLeft w:val="0"/>
      <w:marRight w:val="0"/>
      <w:marTop w:val="0"/>
      <w:marBottom w:val="0"/>
      <w:divBdr>
        <w:top w:val="none" w:sz="0" w:space="0" w:color="auto"/>
        <w:left w:val="none" w:sz="0" w:space="0" w:color="auto"/>
        <w:bottom w:val="none" w:sz="0" w:space="0" w:color="auto"/>
        <w:right w:val="none" w:sz="0" w:space="0" w:color="auto"/>
      </w:divBdr>
    </w:div>
    <w:div w:id="1850293384">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51064550">
      <w:bodyDiv w:val="1"/>
      <w:marLeft w:val="0"/>
      <w:marRight w:val="0"/>
      <w:marTop w:val="0"/>
      <w:marBottom w:val="0"/>
      <w:divBdr>
        <w:top w:val="none" w:sz="0" w:space="0" w:color="auto"/>
        <w:left w:val="none" w:sz="0" w:space="0" w:color="auto"/>
        <w:bottom w:val="none" w:sz="0" w:space="0" w:color="auto"/>
        <w:right w:val="none" w:sz="0" w:space="0" w:color="auto"/>
      </w:divBdr>
    </w:div>
    <w:div w:id="1851984000">
      <w:bodyDiv w:val="1"/>
      <w:marLeft w:val="0"/>
      <w:marRight w:val="0"/>
      <w:marTop w:val="0"/>
      <w:marBottom w:val="0"/>
      <w:divBdr>
        <w:top w:val="none" w:sz="0" w:space="0" w:color="auto"/>
        <w:left w:val="none" w:sz="0" w:space="0" w:color="auto"/>
        <w:bottom w:val="none" w:sz="0" w:space="0" w:color="auto"/>
        <w:right w:val="none" w:sz="0" w:space="0" w:color="auto"/>
      </w:divBdr>
    </w:div>
    <w:div w:id="1852142499">
      <w:bodyDiv w:val="1"/>
      <w:marLeft w:val="0"/>
      <w:marRight w:val="0"/>
      <w:marTop w:val="0"/>
      <w:marBottom w:val="0"/>
      <w:divBdr>
        <w:top w:val="none" w:sz="0" w:space="0" w:color="auto"/>
        <w:left w:val="none" w:sz="0" w:space="0" w:color="auto"/>
        <w:bottom w:val="none" w:sz="0" w:space="0" w:color="auto"/>
        <w:right w:val="none" w:sz="0" w:space="0" w:color="auto"/>
      </w:divBdr>
    </w:div>
    <w:div w:id="1852529072">
      <w:bodyDiv w:val="1"/>
      <w:marLeft w:val="0"/>
      <w:marRight w:val="0"/>
      <w:marTop w:val="0"/>
      <w:marBottom w:val="0"/>
      <w:divBdr>
        <w:top w:val="none" w:sz="0" w:space="0" w:color="auto"/>
        <w:left w:val="none" w:sz="0" w:space="0" w:color="auto"/>
        <w:bottom w:val="none" w:sz="0" w:space="0" w:color="auto"/>
        <w:right w:val="none" w:sz="0" w:space="0" w:color="auto"/>
      </w:divBdr>
    </w:div>
    <w:div w:id="1852530023">
      <w:bodyDiv w:val="1"/>
      <w:marLeft w:val="0"/>
      <w:marRight w:val="0"/>
      <w:marTop w:val="0"/>
      <w:marBottom w:val="0"/>
      <w:divBdr>
        <w:top w:val="none" w:sz="0" w:space="0" w:color="auto"/>
        <w:left w:val="none" w:sz="0" w:space="0" w:color="auto"/>
        <w:bottom w:val="none" w:sz="0" w:space="0" w:color="auto"/>
        <w:right w:val="none" w:sz="0" w:space="0" w:color="auto"/>
      </w:divBdr>
    </w:div>
    <w:div w:id="1852646423">
      <w:bodyDiv w:val="1"/>
      <w:marLeft w:val="0"/>
      <w:marRight w:val="0"/>
      <w:marTop w:val="0"/>
      <w:marBottom w:val="0"/>
      <w:divBdr>
        <w:top w:val="none" w:sz="0" w:space="0" w:color="auto"/>
        <w:left w:val="none" w:sz="0" w:space="0" w:color="auto"/>
        <w:bottom w:val="none" w:sz="0" w:space="0" w:color="auto"/>
        <w:right w:val="none" w:sz="0" w:space="0" w:color="auto"/>
      </w:divBdr>
    </w:div>
    <w:div w:id="1852908440">
      <w:bodyDiv w:val="1"/>
      <w:marLeft w:val="0"/>
      <w:marRight w:val="0"/>
      <w:marTop w:val="0"/>
      <w:marBottom w:val="0"/>
      <w:divBdr>
        <w:top w:val="none" w:sz="0" w:space="0" w:color="auto"/>
        <w:left w:val="none" w:sz="0" w:space="0" w:color="auto"/>
        <w:bottom w:val="none" w:sz="0" w:space="0" w:color="auto"/>
        <w:right w:val="none" w:sz="0" w:space="0" w:color="auto"/>
      </w:divBdr>
    </w:div>
    <w:div w:id="1853031898">
      <w:bodyDiv w:val="1"/>
      <w:marLeft w:val="0"/>
      <w:marRight w:val="0"/>
      <w:marTop w:val="0"/>
      <w:marBottom w:val="0"/>
      <w:divBdr>
        <w:top w:val="none" w:sz="0" w:space="0" w:color="auto"/>
        <w:left w:val="none" w:sz="0" w:space="0" w:color="auto"/>
        <w:bottom w:val="none" w:sz="0" w:space="0" w:color="auto"/>
        <w:right w:val="none" w:sz="0" w:space="0" w:color="auto"/>
      </w:divBdr>
    </w:div>
    <w:div w:id="1853647413">
      <w:bodyDiv w:val="1"/>
      <w:marLeft w:val="0"/>
      <w:marRight w:val="0"/>
      <w:marTop w:val="0"/>
      <w:marBottom w:val="0"/>
      <w:divBdr>
        <w:top w:val="none" w:sz="0" w:space="0" w:color="auto"/>
        <w:left w:val="none" w:sz="0" w:space="0" w:color="auto"/>
        <w:bottom w:val="none" w:sz="0" w:space="0" w:color="auto"/>
        <w:right w:val="none" w:sz="0" w:space="0" w:color="auto"/>
      </w:divBdr>
    </w:div>
    <w:div w:id="1853835083">
      <w:bodyDiv w:val="1"/>
      <w:marLeft w:val="0"/>
      <w:marRight w:val="0"/>
      <w:marTop w:val="0"/>
      <w:marBottom w:val="0"/>
      <w:divBdr>
        <w:top w:val="none" w:sz="0" w:space="0" w:color="auto"/>
        <w:left w:val="none" w:sz="0" w:space="0" w:color="auto"/>
        <w:bottom w:val="none" w:sz="0" w:space="0" w:color="auto"/>
        <w:right w:val="none" w:sz="0" w:space="0" w:color="auto"/>
      </w:divBdr>
    </w:div>
    <w:div w:id="1853838397">
      <w:bodyDiv w:val="1"/>
      <w:marLeft w:val="0"/>
      <w:marRight w:val="0"/>
      <w:marTop w:val="0"/>
      <w:marBottom w:val="0"/>
      <w:divBdr>
        <w:top w:val="none" w:sz="0" w:space="0" w:color="auto"/>
        <w:left w:val="none" w:sz="0" w:space="0" w:color="auto"/>
        <w:bottom w:val="none" w:sz="0" w:space="0" w:color="auto"/>
        <w:right w:val="none" w:sz="0" w:space="0" w:color="auto"/>
      </w:divBdr>
    </w:div>
    <w:div w:id="1854539252">
      <w:bodyDiv w:val="1"/>
      <w:marLeft w:val="0"/>
      <w:marRight w:val="0"/>
      <w:marTop w:val="0"/>
      <w:marBottom w:val="0"/>
      <w:divBdr>
        <w:top w:val="none" w:sz="0" w:space="0" w:color="auto"/>
        <w:left w:val="none" w:sz="0" w:space="0" w:color="auto"/>
        <w:bottom w:val="none" w:sz="0" w:space="0" w:color="auto"/>
        <w:right w:val="none" w:sz="0" w:space="0" w:color="auto"/>
      </w:divBdr>
    </w:div>
    <w:div w:id="1854953521">
      <w:bodyDiv w:val="1"/>
      <w:marLeft w:val="0"/>
      <w:marRight w:val="0"/>
      <w:marTop w:val="0"/>
      <w:marBottom w:val="0"/>
      <w:divBdr>
        <w:top w:val="none" w:sz="0" w:space="0" w:color="auto"/>
        <w:left w:val="none" w:sz="0" w:space="0" w:color="auto"/>
        <w:bottom w:val="none" w:sz="0" w:space="0" w:color="auto"/>
        <w:right w:val="none" w:sz="0" w:space="0" w:color="auto"/>
      </w:divBdr>
    </w:div>
    <w:div w:id="1855266923">
      <w:bodyDiv w:val="1"/>
      <w:marLeft w:val="0"/>
      <w:marRight w:val="0"/>
      <w:marTop w:val="0"/>
      <w:marBottom w:val="0"/>
      <w:divBdr>
        <w:top w:val="none" w:sz="0" w:space="0" w:color="auto"/>
        <w:left w:val="none" w:sz="0" w:space="0" w:color="auto"/>
        <w:bottom w:val="none" w:sz="0" w:space="0" w:color="auto"/>
        <w:right w:val="none" w:sz="0" w:space="0" w:color="auto"/>
      </w:divBdr>
    </w:div>
    <w:div w:id="1855998479">
      <w:bodyDiv w:val="1"/>
      <w:marLeft w:val="0"/>
      <w:marRight w:val="0"/>
      <w:marTop w:val="0"/>
      <w:marBottom w:val="0"/>
      <w:divBdr>
        <w:top w:val="none" w:sz="0" w:space="0" w:color="auto"/>
        <w:left w:val="none" w:sz="0" w:space="0" w:color="auto"/>
        <w:bottom w:val="none" w:sz="0" w:space="0" w:color="auto"/>
        <w:right w:val="none" w:sz="0" w:space="0" w:color="auto"/>
      </w:divBdr>
    </w:div>
    <w:div w:id="1856386630">
      <w:bodyDiv w:val="1"/>
      <w:marLeft w:val="0"/>
      <w:marRight w:val="0"/>
      <w:marTop w:val="0"/>
      <w:marBottom w:val="0"/>
      <w:divBdr>
        <w:top w:val="none" w:sz="0" w:space="0" w:color="auto"/>
        <w:left w:val="none" w:sz="0" w:space="0" w:color="auto"/>
        <w:bottom w:val="none" w:sz="0" w:space="0" w:color="auto"/>
        <w:right w:val="none" w:sz="0" w:space="0" w:color="auto"/>
      </w:divBdr>
    </w:div>
    <w:div w:id="1856648391">
      <w:bodyDiv w:val="1"/>
      <w:marLeft w:val="0"/>
      <w:marRight w:val="0"/>
      <w:marTop w:val="0"/>
      <w:marBottom w:val="0"/>
      <w:divBdr>
        <w:top w:val="none" w:sz="0" w:space="0" w:color="auto"/>
        <w:left w:val="none" w:sz="0" w:space="0" w:color="auto"/>
        <w:bottom w:val="none" w:sz="0" w:space="0" w:color="auto"/>
        <w:right w:val="none" w:sz="0" w:space="0" w:color="auto"/>
      </w:divBdr>
    </w:div>
    <w:div w:id="1857305663">
      <w:bodyDiv w:val="1"/>
      <w:marLeft w:val="0"/>
      <w:marRight w:val="0"/>
      <w:marTop w:val="0"/>
      <w:marBottom w:val="0"/>
      <w:divBdr>
        <w:top w:val="none" w:sz="0" w:space="0" w:color="auto"/>
        <w:left w:val="none" w:sz="0" w:space="0" w:color="auto"/>
        <w:bottom w:val="none" w:sz="0" w:space="0" w:color="auto"/>
        <w:right w:val="none" w:sz="0" w:space="0" w:color="auto"/>
      </w:divBdr>
    </w:div>
    <w:div w:id="1857380487">
      <w:bodyDiv w:val="1"/>
      <w:marLeft w:val="0"/>
      <w:marRight w:val="0"/>
      <w:marTop w:val="0"/>
      <w:marBottom w:val="0"/>
      <w:divBdr>
        <w:top w:val="none" w:sz="0" w:space="0" w:color="auto"/>
        <w:left w:val="none" w:sz="0" w:space="0" w:color="auto"/>
        <w:bottom w:val="none" w:sz="0" w:space="0" w:color="auto"/>
        <w:right w:val="none" w:sz="0" w:space="0" w:color="auto"/>
      </w:divBdr>
    </w:div>
    <w:div w:id="1858038656">
      <w:bodyDiv w:val="1"/>
      <w:marLeft w:val="0"/>
      <w:marRight w:val="0"/>
      <w:marTop w:val="0"/>
      <w:marBottom w:val="0"/>
      <w:divBdr>
        <w:top w:val="none" w:sz="0" w:space="0" w:color="auto"/>
        <w:left w:val="none" w:sz="0" w:space="0" w:color="auto"/>
        <w:bottom w:val="none" w:sz="0" w:space="0" w:color="auto"/>
        <w:right w:val="none" w:sz="0" w:space="0" w:color="auto"/>
      </w:divBdr>
    </w:div>
    <w:div w:id="1858960474">
      <w:bodyDiv w:val="1"/>
      <w:marLeft w:val="0"/>
      <w:marRight w:val="0"/>
      <w:marTop w:val="0"/>
      <w:marBottom w:val="0"/>
      <w:divBdr>
        <w:top w:val="none" w:sz="0" w:space="0" w:color="auto"/>
        <w:left w:val="none" w:sz="0" w:space="0" w:color="auto"/>
        <w:bottom w:val="none" w:sz="0" w:space="0" w:color="auto"/>
        <w:right w:val="none" w:sz="0" w:space="0" w:color="auto"/>
      </w:divBdr>
    </w:div>
    <w:div w:id="1858961053">
      <w:bodyDiv w:val="1"/>
      <w:marLeft w:val="0"/>
      <w:marRight w:val="0"/>
      <w:marTop w:val="0"/>
      <w:marBottom w:val="0"/>
      <w:divBdr>
        <w:top w:val="none" w:sz="0" w:space="0" w:color="auto"/>
        <w:left w:val="none" w:sz="0" w:space="0" w:color="auto"/>
        <w:bottom w:val="none" w:sz="0" w:space="0" w:color="auto"/>
        <w:right w:val="none" w:sz="0" w:space="0" w:color="auto"/>
      </w:divBdr>
    </w:div>
    <w:div w:id="1859197625">
      <w:bodyDiv w:val="1"/>
      <w:marLeft w:val="0"/>
      <w:marRight w:val="0"/>
      <w:marTop w:val="0"/>
      <w:marBottom w:val="0"/>
      <w:divBdr>
        <w:top w:val="none" w:sz="0" w:space="0" w:color="auto"/>
        <w:left w:val="none" w:sz="0" w:space="0" w:color="auto"/>
        <w:bottom w:val="none" w:sz="0" w:space="0" w:color="auto"/>
        <w:right w:val="none" w:sz="0" w:space="0" w:color="auto"/>
      </w:divBdr>
    </w:div>
    <w:div w:id="1859660118">
      <w:bodyDiv w:val="1"/>
      <w:marLeft w:val="0"/>
      <w:marRight w:val="0"/>
      <w:marTop w:val="0"/>
      <w:marBottom w:val="0"/>
      <w:divBdr>
        <w:top w:val="none" w:sz="0" w:space="0" w:color="auto"/>
        <w:left w:val="none" w:sz="0" w:space="0" w:color="auto"/>
        <w:bottom w:val="none" w:sz="0" w:space="0" w:color="auto"/>
        <w:right w:val="none" w:sz="0" w:space="0" w:color="auto"/>
      </w:divBdr>
    </w:div>
    <w:div w:id="1860704839">
      <w:bodyDiv w:val="1"/>
      <w:marLeft w:val="0"/>
      <w:marRight w:val="0"/>
      <w:marTop w:val="0"/>
      <w:marBottom w:val="0"/>
      <w:divBdr>
        <w:top w:val="none" w:sz="0" w:space="0" w:color="auto"/>
        <w:left w:val="none" w:sz="0" w:space="0" w:color="auto"/>
        <w:bottom w:val="none" w:sz="0" w:space="0" w:color="auto"/>
        <w:right w:val="none" w:sz="0" w:space="0" w:color="auto"/>
      </w:divBdr>
    </w:div>
    <w:div w:id="1860729243">
      <w:bodyDiv w:val="1"/>
      <w:marLeft w:val="0"/>
      <w:marRight w:val="0"/>
      <w:marTop w:val="0"/>
      <w:marBottom w:val="0"/>
      <w:divBdr>
        <w:top w:val="none" w:sz="0" w:space="0" w:color="auto"/>
        <w:left w:val="none" w:sz="0" w:space="0" w:color="auto"/>
        <w:bottom w:val="none" w:sz="0" w:space="0" w:color="auto"/>
        <w:right w:val="none" w:sz="0" w:space="0" w:color="auto"/>
      </w:divBdr>
    </w:div>
    <w:div w:id="1860846945">
      <w:bodyDiv w:val="1"/>
      <w:marLeft w:val="0"/>
      <w:marRight w:val="0"/>
      <w:marTop w:val="0"/>
      <w:marBottom w:val="0"/>
      <w:divBdr>
        <w:top w:val="none" w:sz="0" w:space="0" w:color="auto"/>
        <w:left w:val="none" w:sz="0" w:space="0" w:color="auto"/>
        <w:bottom w:val="none" w:sz="0" w:space="0" w:color="auto"/>
        <w:right w:val="none" w:sz="0" w:space="0" w:color="auto"/>
      </w:divBdr>
    </w:div>
    <w:div w:id="1860967539">
      <w:bodyDiv w:val="1"/>
      <w:marLeft w:val="0"/>
      <w:marRight w:val="0"/>
      <w:marTop w:val="0"/>
      <w:marBottom w:val="0"/>
      <w:divBdr>
        <w:top w:val="none" w:sz="0" w:space="0" w:color="auto"/>
        <w:left w:val="none" w:sz="0" w:space="0" w:color="auto"/>
        <w:bottom w:val="none" w:sz="0" w:space="0" w:color="auto"/>
        <w:right w:val="none" w:sz="0" w:space="0" w:color="auto"/>
      </w:divBdr>
    </w:div>
    <w:div w:id="1861354568">
      <w:bodyDiv w:val="1"/>
      <w:marLeft w:val="0"/>
      <w:marRight w:val="0"/>
      <w:marTop w:val="0"/>
      <w:marBottom w:val="0"/>
      <w:divBdr>
        <w:top w:val="none" w:sz="0" w:space="0" w:color="auto"/>
        <w:left w:val="none" w:sz="0" w:space="0" w:color="auto"/>
        <w:bottom w:val="none" w:sz="0" w:space="0" w:color="auto"/>
        <w:right w:val="none" w:sz="0" w:space="0" w:color="auto"/>
      </w:divBdr>
    </w:div>
    <w:div w:id="1861505406">
      <w:bodyDiv w:val="1"/>
      <w:marLeft w:val="0"/>
      <w:marRight w:val="0"/>
      <w:marTop w:val="0"/>
      <w:marBottom w:val="0"/>
      <w:divBdr>
        <w:top w:val="none" w:sz="0" w:space="0" w:color="auto"/>
        <w:left w:val="none" w:sz="0" w:space="0" w:color="auto"/>
        <w:bottom w:val="none" w:sz="0" w:space="0" w:color="auto"/>
        <w:right w:val="none" w:sz="0" w:space="0" w:color="auto"/>
      </w:divBdr>
    </w:div>
    <w:div w:id="1861895917">
      <w:bodyDiv w:val="1"/>
      <w:marLeft w:val="0"/>
      <w:marRight w:val="0"/>
      <w:marTop w:val="0"/>
      <w:marBottom w:val="0"/>
      <w:divBdr>
        <w:top w:val="none" w:sz="0" w:space="0" w:color="auto"/>
        <w:left w:val="none" w:sz="0" w:space="0" w:color="auto"/>
        <w:bottom w:val="none" w:sz="0" w:space="0" w:color="auto"/>
        <w:right w:val="none" w:sz="0" w:space="0" w:color="auto"/>
      </w:divBdr>
    </w:div>
    <w:div w:id="1862427917">
      <w:bodyDiv w:val="1"/>
      <w:marLeft w:val="0"/>
      <w:marRight w:val="0"/>
      <w:marTop w:val="0"/>
      <w:marBottom w:val="0"/>
      <w:divBdr>
        <w:top w:val="none" w:sz="0" w:space="0" w:color="auto"/>
        <w:left w:val="none" w:sz="0" w:space="0" w:color="auto"/>
        <w:bottom w:val="none" w:sz="0" w:space="0" w:color="auto"/>
        <w:right w:val="none" w:sz="0" w:space="0" w:color="auto"/>
      </w:divBdr>
    </w:div>
    <w:div w:id="1862428377">
      <w:bodyDiv w:val="1"/>
      <w:marLeft w:val="0"/>
      <w:marRight w:val="0"/>
      <w:marTop w:val="0"/>
      <w:marBottom w:val="0"/>
      <w:divBdr>
        <w:top w:val="none" w:sz="0" w:space="0" w:color="auto"/>
        <w:left w:val="none" w:sz="0" w:space="0" w:color="auto"/>
        <w:bottom w:val="none" w:sz="0" w:space="0" w:color="auto"/>
        <w:right w:val="none" w:sz="0" w:space="0" w:color="auto"/>
      </w:divBdr>
    </w:div>
    <w:div w:id="1862888504">
      <w:bodyDiv w:val="1"/>
      <w:marLeft w:val="0"/>
      <w:marRight w:val="0"/>
      <w:marTop w:val="0"/>
      <w:marBottom w:val="0"/>
      <w:divBdr>
        <w:top w:val="none" w:sz="0" w:space="0" w:color="auto"/>
        <w:left w:val="none" w:sz="0" w:space="0" w:color="auto"/>
        <w:bottom w:val="none" w:sz="0" w:space="0" w:color="auto"/>
        <w:right w:val="none" w:sz="0" w:space="0" w:color="auto"/>
      </w:divBdr>
    </w:div>
    <w:div w:id="1863015293">
      <w:bodyDiv w:val="1"/>
      <w:marLeft w:val="0"/>
      <w:marRight w:val="0"/>
      <w:marTop w:val="0"/>
      <w:marBottom w:val="0"/>
      <w:divBdr>
        <w:top w:val="none" w:sz="0" w:space="0" w:color="auto"/>
        <w:left w:val="none" w:sz="0" w:space="0" w:color="auto"/>
        <w:bottom w:val="none" w:sz="0" w:space="0" w:color="auto"/>
        <w:right w:val="none" w:sz="0" w:space="0" w:color="auto"/>
      </w:divBdr>
    </w:div>
    <w:div w:id="1863859547">
      <w:bodyDiv w:val="1"/>
      <w:marLeft w:val="0"/>
      <w:marRight w:val="0"/>
      <w:marTop w:val="0"/>
      <w:marBottom w:val="0"/>
      <w:divBdr>
        <w:top w:val="none" w:sz="0" w:space="0" w:color="auto"/>
        <w:left w:val="none" w:sz="0" w:space="0" w:color="auto"/>
        <w:bottom w:val="none" w:sz="0" w:space="0" w:color="auto"/>
        <w:right w:val="none" w:sz="0" w:space="0" w:color="auto"/>
      </w:divBdr>
    </w:div>
    <w:div w:id="1864318905">
      <w:bodyDiv w:val="1"/>
      <w:marLeft w:val="0"/>
      <w:marRight w:val="0"/>
      <w:marTop w:val="0"/>
      <w:marBottom w:val="0"/>
      <w:divBdr>
        <w:top w:val="none" w:sz="0" w:space="0" w:color="auto"/>
        <w:left w:val="none" w:sz="0" w:space="0" w:color="auto"/>
        <w:bottom w:val="none" w:sz="0" w:space="0" w:color="auto"/>
        <w:right w:val="none" w:sz="0" w:space="0" w:color="auto"/>
      </w:divBdr>
    </w:div>
    <w:div w:id="1864593605">
      <w:bodyDiv w:val="1"/>
      <w:marLeft w:val="0"/>
      <w:marRight w:val="0"/>
      <w:marTop w:val="0"/>
      <w:marBottom w:val="0"/>
      <w:divBdr>
        <w:top w:val="none" w:sz="0" w:space="0" w:color="auto"/>
        <w:left w:val="none" w:sz="0" w:space="0" w:color="auto"/>
        <w:bottom w:val="none" w:sz="0" w:space="0" w:color="auto"/>
        <w:right w:val="none" w:sz="0" w:space="0" w:color="auto"/>
      </w:divBdr>
    </w:div>
    <w:div w:id="1865823039">
      <w:bodyDiv w:val="1"/>
      <w:marLeft w:val="0"/>
      <w:marRight w:val="0"/>
      <w:marTop w:val="0"/>
      <w:marBottom w:val="0"/>
      <w:divBdr>
        <w:top w:val="none" w:sz="0" w:space="0" w:color="auto"/>
        <w:left w:val="none" w:sz="0" w:space="0" w:color="auto"/>
        <w:bottom w:val="none" w:sz="0" w:space="0" w:color="auto"/>
        <w:right w:val="none" w:sz="0" w:space="0" w:color="auto"/>
      </w:divBdr>
    </w:div>
    <w:div w:id="1866676915">
      <w:bodyDiv w:val="1"/>
      <w:marLeft w:val="0"/>
      <w:marRight w:val="0"/>
      <w:marTop w:val="0"/>
      <w:marBottom w:val="0"/>
      <w:divBdr>
        <w:top w:val="none" w:sz="0" w:space="0" w:color="auto"/>
        <w:left w:val="none" w:sz="0" w:space="0" w:color="auto"/>
        <w:bottom w:val="none" w:sz="0" w:space="0" w:color="auto"/>
        <w:right w:val="none" w:sz="0" w:space="0" w:color="auto"/>
      </w:divBdr>
    </w:div>
    <w:div w:id="1866866311">
      <w:bodyDiv w:val="1"/>
      <w:marLeft w:val="0"/>
      <w:marRight w:val="0"/>
      <w:marTop w:val="0"/>
      <w:marBottom w:val="0"/>
      <w:divBdr>
        <w:top w:val="none" w:sz="0" w:space="0" w:color="auto"/>
        <w:left w:val="none" w:sz="0" w:space="0" w:color="auto"/>
        <w:bottom w:val="none" w:sz="0" w:space="0" w:color="auto"/>
        <w:right w:val="none" w:sz="0" w:space="0" w:color="auto"/>
      </w:divBdr>
    </w:div>
    <w:div w:id="1867667956">
      <w:bodyDiv w:val="1"/>
      <w:marLeft w:val="0"/>
      <w:marRight w:val="0"/>
      <w:marTop w:val="0"/>
      <w:marBottom w:val="0"/>
      <w:divBdr>
        <w:top w:val="none" w:sz="0" w:space="0" w:color="auto"/>
        <w:left w:val="none" w:sz="0" w:space="0" w:color="auto"/>
        <w:bottom w:val="none" w:sz="0" w:space="0" w:color="auto"/>
        <w:right w:val="none" w:sz="0" w:space="0" w:color="auto"/>
      </w:divBdr>
    </w:div>
    <w:div w:id="1867907306">
      <w:bodyDiv w:val="1"/>
      <w:marLeft w:val="0"/>
      <w:marRight w:val="0"/>
      <w:marTop w:val="0"/>
      <w:marBottom w:val="0"/>
      <w:divBdr>
        <w:top w:val="none" w:sz="0" w:space="0" w:color="auto"/>
        <w:left w:val="none" w:sz="0" w:space="0" w:color="auto"/>
        <w:bottom w:val="none" w:sz="0" w:space="0" w:color="auto"/>
        <w:right w:val="none" w:sz="0" w:space="0" w:color="auto"/>
      </w:divBdr>
    </w:div>
    <w:div w:id="1868904715">
      <w:bodyDiv w:val="1"/>
      <w:marLeft w:val="0"/>
      <w:marRight w:val="0"/>
      <w:marTop w:val="0"/>
      <w:marBottom w:val="0"/>
      <w:divBdr>
        <w:top w:val="none" w:sz="0" w:space="0" w:color="auto"/>
        <w:left w:val="none" w:sz="0" w:space="0" w:color="auto"/>
        <w:bottom w:val="none" w:sz="0" w:space="0" w:color="auto"/>
        <w:right w:val="none" w:sz="0" w:space="0" w:color="auto"/>
      </w:divBdr>
    </w:div>
    <w:div w:id="1868912193">
      <w:bodyDiv w:val="1"/>
      <w:marLeft w:val="0"/>
      <w:marRight w:val="0"/>
      <w:marTop w:val="0"/>
      <w:marBottom w:val="0"/>
      <w:divBdr>
        <w:top w:val="none" w:sz="0" w:space="0" w:color="auto"/>
        <w:left w:val="none" w:sz="0" w:space="0" w:color="auto"/>
        <w:bottom w:val="none" w:sz="0" w:space="0" w:color="auto"/>
        <w:right w:val="none" w:sz="0" w:space="0" w:color="auto"/>
      </w:divBdr>
    </w:div>
    <w:div w:id="1869414930">
      <w:bodyDiv w:val="1"/>
      <w:marLeft w:val="0"/>
      <w:marRight w:val="0"/>
      <w:marTop w:val="0"/>
      <w:marBottom w:val="0"/>
      <w:divBdr>
        <w:top w:val="none" w:sz="0" w:space="0" w:color="auto"/>
        <w:left w:val="none" w:sz="0" w:space="0" w:color="auto"/>
        <w:bottom w:val="none" w:sz="0" w:space="0" w:color="auto"/>
        <w:right w:val="none" w:sz="0" w:space="0" w:color="auto"/>
      </w:divBdr>
    </w:div>
    <w:div w:id="1869490605">
      <w:bodyDiv w:val="1"/>
      <w:marLeft w:val="0"/>
      <w:marRight w:val="0"/>
      <w:marTop w:val="0"/>
      <w:marBottom w:val="0"/>
      <w:divBdr>
        <w:top w:val="none" w:sz="0" w:space="0" w:color="auto"/>
        <w:left w:val="none" w:sz="0" w:space="0" w:color="auto"/>
        <w:bottom w:val="none" w:sz="0" w:space="0" w:color="auto"/>
        <w:right w:val="none" w:sz="0" w:space="0" w:color="auto"/>
      </w:divBdr>
    </w:div>
    <w:div w:id="1869559566">
      <w:bodyDiv w:val="1"/>
      <w:marLeft w:val="0"/>
      <w:marRight w:val="0"/>
      <w:marTop w:val="0"/>
      <w:marBottom w:val="0"/>
      <w:divBdr>
        <w:top w:val="none" w:sz="0" w:space="0" w:color="auto"/>
        <w:left w:val="none" w:sz="0" w:space="0" w:color="auto"/>
        <w:bottom w:val="none" w:sz="0" w:space="0" w:color="auto"/>
        <w:right w:val="none" w:sz="0" w:space="0" w:color="auto"/>
      </w:divBdr>
    </w:div>
    <w:div w:id="1869756735">
      <w:bodyDiv w:val="1"/>
      <w:marLeft w:val="0"/>
      <w:marRight w:val="0"/>
      <w:marTop w:val="0"/>
      <w:marBottom w:val="0"/>
      <w:divBdr>
        <w:top w:val="none" w:sz="0" w:space="0" w:color="auto"/>
        <w:left w:val="none" w:sz="0" w:space="0" w:color="auto"/>
        <w:bottom w:val="none" w:sz="0" w:space="0" w:color="auto"/>
        <w:right w:val="none" w:sz="0" w:space="0" w:color="auto"/>
      </w:divBdr>
    </w:div>
    <w:div w:id="1869948574">
      <w:bodyDiv w:val="1"/>
      <w:marLeft w:val="0"/>
      <w:marRight w:val="0"/>
      <w:marTop w:val="0"/>
      <w:marBottom w:val="0"/>
      <w:divBdr>
        <w:top w:val="none" w:sz="0" w:space="0" w:color="auto"/>
        <w:left w:val="none" w:sz="0" w:space="0" w:color="auto"/>
        <w:bottom w:val="none" w:sz="0" w:space="0" w:color="auto"/>
        <w:right w:val="none" w:sz="0" w:space="0" w:color="auto"/>
      </w:divBdr>
    </w:div>
    <w:div w:id="1870409460">
      <w:bodyDiv w:val="1"/>
      <w:marLeft w:val="0"/>
      <w:marRight w:val="0"/>
      <w:marTop w:val="0"/>
      <w:marBottom w:val="0"/>
      <w:divBdr>
        <w:top w:val="none" w:sz="0" w:space="0" w:color="auto"/>
        <w:left w:val="none" w:sz="0" w:space="0" w:color="auto"/>
        <w:bottom w:val="none" w:sz="0" w:space="0" w:color="auto"/>
        <w:right w:val="none" w:sz="0" w:space="0" w:color="auto"/>
      </w:divBdr>
    </w:div>
    <w:div w:id="1870726160">
      <w:bodyDiv w:val="1"/>
      <w:marLeft w:val="0"/>
      <w:marRight w:val="0"/>
      <w:marTop w:val="0"/>
      <w:marBottom w:val="0"/>
      <w:divBdr>
        <w:top w:val="none" w:sz="0" w:space="0" w:color="auto"/>
        <w:left w:val="none" w:sz="0" w:space="0" w:color="auto"/>
        <w:bottom w:val="none" w:sz="0" w:space="0" w:color="auto"/>
        <w:right w:val="none" w:sz="0" w:space="0" w:color="auto"/>
      </w:divBdr>
    </w:div>
    <w:div w:id="1870871486">
      <w:bodyDiv w:val="1"/>
      <w:marLeft w:val="0"/>
      <w:marRight w:val="0"/>
      <w:marTop w:val="0"/>
      <w:marBottom w:val="0"/>
      <w:divBdr>
        <w:top w:val="none" w:sz="0" w:space="0" w:color="auto"/>
        <w:left w:val="none" w:sz="0" w:space="0" w:color="auto"/>
        <w:bottom w:val="none" w:sz="0" w:space="0" w:color="auto"/>
        <w:right w:val="none" w:sz="0" w:space="0" w:color="auto"/>
      </w:divBdr>
    </w:div>
    <w:div w:id="1871529264">
      <w:bodyDiv w:val="1"/>
      <w:marLeft w:val="0"/>
      <w:marRight w:val="0"/>
      <w:marTop w:val="0"/>
      <w:marBottom w:val="0"/>
      <w:divBdr>
        <w:top w:val="none" w:sz="0" w:space="0" w:color="auto"/>
        <w:left w:val="none" w:sz="0" w:space="0" w:color="auto"/>
        <w:bottom w:val="none" w:sz="0" w:space="0" w:color="auto"/>
        <w:right w:val="none" w:sz="0" w:space="0" w:color="auto"/>
      </w:divBdr>
    </w:div>
    <w:div w:id="1871917474">
      <w:bodyDiv w:val="1"/>
      <w:marLeft w:val="0"/>
      <w:marRight w:val="0"/>
      <w:marTop w:val="0"/>
      <w:marBottom w:val="0"/>
      <w:divBdr>
        <w:top w:val="none" w:sz="0" w:space="0" w:color="auto"/>
        <w:left w:val="none" w:sz="0" w:space="0" w:color="auto"/>
        <w:bottom w:val="none" w:sz="0" w:space="0" w:color="auto"/>
        <w:right w:val="none" w:sz="0" w:space="0" w:color="auto"/>
      </w:divBdr>
    </w:div>
    <w:div w:id="1871986152">
      <w:bodyDiv w:val="1"/>
      <w:marLeft w:val="0"/>
      <w:marRight w:val="0"/>
      <w:marTop w:val="0"/>
      <w:marBottom w:val="0"/>
      <w:divBdr>
        <w:top w:val="none" w:sz="0" w:space="0" w:color="auto"/>
        <w:left w:val="none" w:sz="0" w:space="0" w:color="auto"/>
        <w:bottom w:val="none" w:sz="0" w:space="0" w:color="auto"/>
        <w:right w:val="none" w:sz="0" w:space="0" w:color="auto"/>
      </w:divBdr>
    </w:div>
    <w:div w:id="1872181316">
      <w:bodyDiv w:val="1"/>
      <w:marLeft w:val="0"/>
      <w:marRight w:val="0"/>
      <w:marTop w:val="0"/>
      <w:marBottom w:val="0"/>
      <w:divBdr>
        <w:top w:val="none" w:sz="0" w:space="0" w:color="auto"/>
        <w:left w:val="none" w:sz="0" w:space="0" w:color="auto"/>
        <w:bottom w:val="none" w:sz="0" w:space="0" w:color="auto"/>
        <w:right w:val="none" w:sz="0" w:space="0" w:color="auto"/>
      </w:divBdr>
    </w:div>
    <w:div w:id="1872263527">
      <w:bodyDiv w:val="1"/>
      <w:marLeft w:val="0"/>
      <w:marRight w:val="0"/>
      <w:marTop w:val="0"/>
      <w:marBottom w:val="0"/>
      <w:divBdr>
        <w:top w:val="none" w:sz="0" w:space="0" w:color="auto"/>
        <w:left w:val="none" w:sz="0" w:space="0" w:color="auto"/>
        <w:bottom w:val="none" w:sz="0" w:space="0" w:color="auto"/>
        <w:right w:val="none" w:sz="0" w:space="0" w:color="auto"/>
      </w:divBdr>
    </w:div>
    <w:div w:id="1872719937">
      <w:bodyDiv w:val="1"/>
      <w:marLeft w:val="0"/>
      <w:marRight w:val="0"/>
      <w:marTop w:val="0"/>
      <w:marBottom w:val="0"/>
      <w:divBdr>
        <w:top w:val="none" w:sz="0" w:space="0" w:color="auto"/>
        <w:left w:val="none" w:sz="0" w:space="0" w:color="auto"/>
        <w:bottom w:val="none" w:sz="0" w:space="0" w:color="auto"/>
        <w:right w:val="none" w:sz="0" w:space="0" w:color="auto"/>
      </w:divBdr>
    </w:div>
    <w:div w:id="1874951721">
      <w:bodyDiv w:val="1"/>
      <w:marLeft w:val="0"/>
      <w:marRight w:val="0"/>
      <w:marTop w:val="0"/>
      <w:marBottom w:val="0"/>
      <w:divBdr>
        <w:top w:val="none" w:sz="0" w:space="0" w:color="auto"/>
        <w:left w:val="none" w:sz="0" w:space="0" w:color="auto"/>
        <w:bottom w:val="none" w:sz="0" w:space="0" w:color="auto"/>
        <w:right w:val="none" w:sz="0" w:space="0" w:color="auto"/>
      </w:divBdr>
    </w:div>
    <w:div w:id="1875076594">
      <w:bodyDiv w:val="1"/>
      <w:marLeft w:val="0"/>
      <w:marRight w:val="0"/>
      <w:marTop w:val="0"/>
      <w:marBottom w:val="0"/>
      <w:divBdr>
        <w:top w:val="none" w:sz="0" w:space="0" w:color="auto"/>
        <w:left w:val="none" w:sz="0" w:space="0" w:color="auto"/>
        <w:bottom w:val="none" w:sz="0" w:space="0" w:color="auto"/>
        <w:right w:val="none" w:sz="0" w:space="0" w:color="auto"/>
      </w:divBdr>
    </w:div>
    <w:div w:id="1875773917">
      <w:bodyDiv w:val="1"/>
      <w:marLeft w:val="0"/>
      <w:marRight w:val="0"/>
      <w:marTop w:val="0"/>
      <w:marBottom w:val="0"/>
      <w:divBdr>
        <w:top w:val="none" w:sz="0" w:space="0" w:color="auto"/>
        <w:left w:val="none" w:sz="0" w:space="0" w:color="auto"/>
        <w:bottom w:val="none" w:sz="0" w:space="0" w:color="auto"/>
        <w:right w:val="none" w:sz="0" w:space="0" w:color="auto"/>
      </w:divBdr>
    </w:div>
    <w:div w:id="1875803771">
      <w:bodyDiv w:val="1"/>
      <w:marLeft w:val="0"/>
      <w:marRight w:val="0"/>
      <w:marTop w:val="0"/>
      <w:marBottom w:val="0"/>
      <w:divBdr>
        <w:top w:val="none" w:sz="0" w:space="0" w:color="auto"/>
        <w:left w:val="none" w:sz="0" w:space="0" w:color="auto"/>
        <w:bottom w:val="none" w:sz="0" w:space="0" w:color="auto"/>
        <w:right w:val="none" w:sz="0" w:space="0" w:color="auto"/>
      </w:divBdr>
    </w:div>
    <w:div w:id="1875921959">
      <w:bodyDiv w:val="1"/>
      <w:marLeft w:val="0"/>
      <w:marRight w:val="0"/>
      <w:marTop w:val="0"/>
      <w:marBottom w:val="0"/>
      <w:divBdr>
        <w:top w:val="none" w:sz="0" w:space="0" w:color="auto"/>
        <w:left w:val="none" w:sz="0" w:space="0" w:color="auto"/>
        <w:bottom w:val="none" w:sz="0" w:space="0" w:color="auto"/>
        <w:right w:val="none" w:sz="0" w:space="0" w:color="auto"/>
      </w:divBdr>
    </w:div>
    <w:div w:id="1876576298">
      <w:bodyDiv w:val="1"/>
      <w:marLeft w:val="0"/>
      <w:marRight w:val="0"/>
      <w:marTop w:val="0"/>
      <w:marBottom w:val="0"/>
      <w:divBdr>
        <w:top w:val="none" w:sz="0" w:space="0" w:color="auto"/>
        <w:left w:val="none" w:sz="0" w:space="0" w:color="auto"/>
        <w:bottom w:val="none" w:sz="0" w:space="0" w:color="auto"/>
        <w:right w:val="none" w:sz="0" w:space="0" w:color="auto"/>
      </w:divBdr>
    </w:div>
    <w:div w:id="1877110489">
      <w:bodyDiv w:val="1"/>
      <w:marLeft w:val="0"/>
      <w:marRight w:val="0"/>
      <w:marTop w:val="0"/>
      <w:marBottom w:val="0"/>
      <w:divBdr>
        <w:top w:val="none" w:sz="0" w:space="0" w:color="auto"/>
        <w:left w:val="none" w:sz="0" w:space="0" w:color="auto"/>
        <w:bottom w:val="none" w:sz="0" w:space="0" w:color="auto"/>
        <w:right w:val="none" w:sz="0" w:space="0" w:color="auto"/>
      </w:divBdr>
    </w:div>
    <w:div w:id="1877155835">
      <w:bodyDiv w:val="1"/>
      <w:marLeft w:val="0"/>
      <w:marRight w:val="0"/>
      <w:marTop w:val="0"/>
      <w:marBottom w:val="0"/>
      <w:divBdr>
        <w:top w:val="none" w:sz="0" w:space="0" w:color="auto"/>
        <w:left w:val="none" w:sz="0" w:space="0" w:color="auto"/>
        <w:bottom w:val="none" w:sz="0" w:space="0" w:color="auto"/>
        <w:right w:val="none" w:sz="0" w:space="0" w:color="auto"/>
      </w:divBdr>
    </w:div>
    <w:div w:id="1877506222">
      <w:bodyDiv w:val="1"/>
      <w:marLeft w:val="0"/>
      <w:marRight w:val="0"/>
      <w:marTop w:val="0"/>
      <w:marBottom w:val="0"/>
      <w:divBdr>
        <w:top w:val="none" w:sz="0" w:space="0" w:color="auto"/>
        <w:left w:val="none" w:sz="0" w:space="0" w:color="auto"/>
        <w:bottom w:val="none" w:sz="0" w:space="0" w:color="auto"/>
        <w:right w:val="none" w:sz="0" w:space="0" w:color="auto"/>
      </w:divBdr>
    </w:div>
    <w:div w:id="1877884669">
      <w:bodyDiv w:val="1"/>
      <w:marLeft w:val="0"/>
      <w:marRight w:val="0"/>
      <w:marTop w:val="0"/>
      <w:marBottom w:val="0"/>
      <w:divBdr>
        <w:top w:val="none" w:sz="0" w:space="0" w:color="auto"/>
        <w:left w:val="none" w:sz="0" w:space="0" w:color="auto"/>
        <w:bottom w:val="none" w:sz="0" w:space="0" w:color="auto"/>
        <w:right w:val="none" w:sz="0" w:space="0" w:color="auto"/>
      </w:divBdr>
    </w:div>
    <w:div w:id="1878661294">
      <w:bodyDiv w:val="1"/>
      <w:marLeft w:val="0"/>
      <w:marRight w:val="0"/>
      <w:marTop w:val="0"/>
      <w:marBottom w:val="0"/>
      <w:divBdr>
        <w:top w:val="none" w:sz="0" w:space="0" w:color="auto"/>
        <w:left w:val="none" w:sz="0" w:space="0" w:color="auto"/>
        <w:bottom w:val="none" w:sz="0" w:space="0" w:color="auto"/>
        <w:right w:val="none" w:sz="0" w:space="0" w:color="auto"/>
      </w:divBdr>
    </w:div>
    <w:div w:id="1879003838">
      <w:bodyDiv w:val="1"/>
      <w:marLeft w:val="0"/>
      <w:marRight w:val="0"/>
      <w:marTop w:val="0"/>
      <w:marBottom w:val="0"/>
      <w:divBdr>
        <w:top w:val="none" w:sz="0" w:space="0" w:color="auto"/>
        <w:left w:val="none" w:sz="0" w:space="0" w:color="auto"/>
        <w:bottom w:val="none" w:sz="0" w:space="0" w:color="auto"/>
        <w:right w:val="none" w:sz="0" w:space="0" w:color="auto"/>
      </w:divBdr>
    </w:div>
    <w:div w:id="1879005296">
      <w:bodyDiv w:val="1"/>
      <w:marLeft w:val="0"/>
      <w:marRight w:val="0"/>
      <w:marTop w:val="0"/>
      <w:marBottom w:val="0"/>
      <w:divBdr>
        <w:top w:val="none" w:sz="0" w:space="0" w:color="auto"/>
        <w:left w:val="none" w:sz="0" w:space="0" w:color="auto"/>
        <w:bottom w:val="none" w:sz="0" w:space="0" w:color="auto"/>
        <w:right w:val="none" w:sz="0" w:space="0" w:color="auto"/>
      </w:divBdr>
    </w:div>
    <w:div w:id="1879588470">
      <w:bodyDiv w:val="1"/>
      <w:marLeft w:val="0"/>
      <w:marRight w:val="0"/>
      <w:marTop w:val="0"/>
      <w:marBottom w:val="0"/>
      <w:divBdr>
        <w:top w:val="none" w:sz="0" w:space="0" w:color="auto"/>
        <w:left w:val="none" w:sz="0" w:space="0" w:color="auto"/>
        <w:bottom w:val="none" w:sz="0" w:space="0" w:color="auto"/>
        <w:right w:val="none" w:sz="0" w:space="0" w:color="auto"/>
      </w:divBdr>
    </w:div>
    <w:div w:id="1879705234">
      <w:bodyDiv w:val="1"/>
      <w:marLeft w:val="0"/>
      <w:marRight w:val="0"/>
      <w:marTop w:val="0"/>
      <w:marBottom w:val="0"/>
      <w:divBdr>
        <w:top w:val="none" w:sz="0" w:space="0" w:color="auto"/>
        <w:left w:val="none" w:sz="0" w:space="0" w:color="auto"/>
        <w:bottom w:val="none" w:sz="0" w:space="0" w:color="auto"/>
        <w:right w:val="none" w:sz="0" w:space="0" w:color="auto"/>
      </w:divBdr>
    </w:div>
    <w:div w:id="1879776519">
      <w:bodyDiv w:val="1"/>
      <w:marLeft w:val="0"/>
      <w:marRight w:val="0"/>
      <w:marTop w:val="0"/>
      <w:marBottom w:val="0"/>
      <w:divBdr>
        <w:top w:val="none" w:sz="0" w:space="0" w:color="auto"/>
        <w:left w:val="none" w:sz="0" w:space="0" w:color="auto"/>
        <w:bottom w:val="none" w:sz="0" w:space="0" w:color="auto"/>
        <w:right w:val="none" w:sz="0" w:space="0" w:color="auto"/>
      </w:divBdr>
    </w:div>
    <w:div w:id="1880707026">
      <w:bodyDiv w:val="1"/>
      <w:marLeft w:val="0"/>
      <w:marRight w:val="0"/>
      <w:marTop w:val="0"/>
      <w:marBottom w:val="0"/>
      <w:divBdr>
        <w:top w:val="none" w:sz="0" w:space="0" w:color="auto"/>
        <w:left w:val="none" w:sz="0" w:space="0" w:color="auto"/>
        <w:bottom w:val="none" w:sz="0" w:space="0" w:color="auto"/>
        <w:right w:val="none" w:sz="0" w:space="0" w:color="auto"/>
      </w:divBdr>
    </w:div>
    <w:div w:id="1880778670">
      <w:bodyDiv w:val="1"/>
      <w:marLeft w:val="0"/>
      <w:marRight w:val="0"/>
      <w:marTop w:val="0"/>
      <w:marBottom w:val="0"/>
      <w:divBdr>
        <w:top w:val="none" w:sz="0" w:space="0" w:color="auto"/>
        <w:left w:val="none" w:sz="0" w:space="0" w:color="auto"/>
        <w:bottom w:val="none" w:sz="0" w:space="0" w:color="auto"/>
        <w:right w:val="none" w:sz="0" w:space="0" w:color="auto"/>
      </w:divBdr>
    </w:div>
    <w:div w:id="1881284690">
      <w:bodyDiv w:val="1"/>
      <w:marLeft w:val="0"/>
      <w:marRight w:val="0"/>
      <w:marTop w:val="0"/>
      <w:marBottom w:val="0"/>
      <w:divBdr>
        <w:top w:val="none" w:sz="0" w:space="0" w:color="auto"/>
        <w:left w:val="none" w:sz="0" w:space="0" w:color="auto"/>
        <w:bottom w:val="none" w:sz="0" w:space="0" w:color="auto"/>
        <w:right w:val="none" w:sz="0" w:space="0" w:color="auto"/>
      </w:divBdr>
    </w:div>
    <w:div w:id="1881436821">
      <w:bodyDiv w:val="1"/>
      <w:marLeft w:val="0"/>
      <w:marRight w:val="0"/>
      <w:marTop w:val="0"/>
      <w:marBottom w:val="0"/>
      <w:divBdr>
        <w:top w:val="none" w:sz="0" w:space="0" w:color="auto"/>
        <w:left w:val="none" w:sz="0" w:space="0" w:color="auto"/>
        <w:bottom w:val="none" w:sz="0" w:space="0" w:color="auto"/>
        <w:right w:val="none" w:sz="0" w:space="0" w:color="auto"/>
      </w:divBdr>
    </w:div>
    <w:div w:id="1881895306">
      <w:bodyDiv w:val="1"/>
      <w:marLeft w:val="0"/>
      <w:marRight w:val="0"/>
      <w:marTop w:val="0"/>
      <w:marBottom w:val="0"/>
      <w:divBdr>
        <w:top w:val="none" w:sz="0" w:space="0" w:color="auto"/>
        <w:left w:val="none" w:sz="0" w:space="0" w:color="auto"/>
        <w:bottom w:val="none" w:sz="0" w:space="0" w:color="auto"/>
        <w:right w:val="none" w:sz="0" w:space="0" w:color="auto"/>
      </w:divBdr>
    </w:div>
    <w:div w:id="1882205548">
      <w:bodyDiv w:val="1"/>
      <w:marLeft w:val="0"/>
      <w:marRight w:val="0"/>
      <w:marTop w:val="0"/>
      <w:marBottom w:val="0"/>
      <w:divBdr>
        <w:top w:val="none" w:sz="0" w:space="0" w:color="auto"/>
        <w:left w:val="none" w:sz="0" w:space="0" w:color="auto"/>
        <w:bottom w:val="none" w:sz="0" w:space="0" w:color="auto"/>
        <w:right w:val="none" w:sz="0" w:space="0" w:color="auto"/>
      </w:divBdr>
    </w:div>
    <w:div w:id="1882668303">
      <w:bodyDiv w:val="1"/>
      <w:marLeft w:val="0"/>
      <w:marRight w:val="0"/>
      <w:marTop w:val="0"/>
      <w:marBottom w:val="0"/>
      <w:divBdr>
        <w:top w:val="none" w:sz="0" w:space="0" w:color="auto"/>
        <w:left w:val="none" w:sz="0" w:space="0" w:color="auto"/>
        <w:bottom w:val="none" w:sz="0" w:space="0" w:color="auto"/>
        <w:right w:val="none" w:sz="0" w:space="0" w:color="auto"/>
      </w:divBdr>
    </w:div>
    <w:div w:id="1882860619">
      <w:bodyDiv w:val="1"/>
      <w:marLeft w:val="0"/>
      <w:marRight w:val="0"/>
      <w:marTop w:val="0"/>
      <w:marBottom w:val="0"/>
      <w:divBdr>
        <w:top w:val="none" w:sz="0" w:space="0" w:color="auto"/>
        <w:left w:val="none" w:sz="0" w:space="0" w:color="auto"/>
        <w:bottom w:val="none" w:sz="0" w:space="0" w:color="auto"/>
        <w:right w:val="none" w:sz="0" w:space="0" w:color="auto"/>
      </w:divBdr>
    </w:div>
    <w:div w:id="1883207953">
      <w:bodyDiv w:val="1"/>
      <w:marLeft w:val="0"/>
      <w:marRight w:val="0"/>
      <w:marTop w:val="0"/>
      <w:marBottom w:val="0"/>
      <w:divBdr>
        <w:top w:val="none" w:sz="0" w:space="0" w:color="auto"/>
        <w:left w:val="none" w:sz="0" w:space="0" w:color="auto"/>
        <w:bottom w:val="none" w:sz="0" w:space="0" w:color="auto"/>
        <w:right w:val="none" w:sz="0" w:space="0" w:color="auto"/>
      </w:divBdr>
    </w:div>
    <w:div w:id="1883975413">
      <w:bodyDiv w:val="1"/>
      <w:marLeft w:val="0"/>
      <w:marRight w:val="0"/>
      <w:marTop w:val="0"/>
      <w:marBottom w:val="0"/>
      <w:divBdr>
        <w:top w:val="none" w:sz="0" w:space="0" w:color="auto"/>
        <w:left w:val="none" w:sz="0" w:space="0" w:color="auto"/>
        <w:bottom w:val="none" w:sz="0" w:space="0" w:color="auto"/>
        <w:right w:val="none" w:sz="0" w:space="0" w:color="auto"/>
      </w:divBdr>
    </w:div>
    <w:div w:id="1883980391">
      <w:bodyDiv w:val="1"/>
      <w:marLeft w:val="0"/>
      <w:marRight w:val="0"/>
      <w:marTop w:val="0"/>
      <w:marBottom w:val="0"/>
      <w:divBdr>
        <w:top w:val="none" w:sz="0" w:space="0" w:color="auto"/>
        <w:left w:val="none" w:sz="0" w:space="0" w:color="auto"/>
        <w:bottom w:val="none" w:sz="0" w:space="0" w:color="auto"/>
        <w:right w:val="none" w:sz="0" w:space="0" w:color="auto"/>
      </w:divBdr>
    </w:div>
    <w:div w:id="1884054411">
      <w:bodyDiv w:val="1"/>
      <w:marLeft w:val="0"/>
      <w:marRight w:val="0"/>
      <w:marTop w:val="0"/>
      <w:marBottom w:val="0"/>
      <w:divBdr>
        <w:top w:val="none" w:sz="0" w:space="0" w:color="auto"/>
        <w:left w:val="none" w:sz="0" w:space="0" w:color="auto"/>
        <w:bottom w:val="none" w:sz="0" w:space="0" w:color="auto"/>
        <w:right w:val="none" w:sz="0" w:space="0" w:color="auto"/>
      </w:divBdr>
    </w:div>
    <w:div w:id="1885025495">
      <w:bodyDiv w:val="1"/>
      <w:marLeft w:val="0"/>
      <w:marRight w:val="0"/>
      <w:marTop w:val="0"/>
      <w:marBottom w:val="0"/>
      <w:divBdr>
        <w:top w:val="none" w:sz="0" w:space="0" w:color="auto"/>
        <w:left w:val="none" w:sz="0" w:space="0" w:color="auto"/>
        <w:bottom w:val="none" w:sz="0" w:space="0" w:color="auto"/>
        <w:right w:val="none" w:sz="0" w:space="0" w:color="auto"/>
      </w:divBdr>
    </w:div>
    <w:div w:id="1885558999">
      <w:bodyDiv w:val="1"/>
      <w:marLeft w:val="0"/>
      <w:marRight w:val="0"/>
      <w:marTop w:val="0"/>
      <w:marBottom w:val="0"/>
      <w:divBdr>
        <w:top w:val="none" w:sz="0" w:space="0" w:color="auto"/>
        <w:left w:val="none" w:sz="0" w:space="0" w:color="auto"/>
        <w:bottom w:val="none" w:sz="0" w:space="0" w:color="auto"/>
        <w:right w:val="none" w:sz="0" w:space="0" w:color="auto"/>
      </w:divBdr>
    </w:div>
    <w:div w:id="1886285224">
      <w:bodyDiv w:val="1"/>
      <w:marLeft w:val="0"/>
      <w:marRight w:val="0"/>
      <w:marTop w:val="0"/>
      <w:marBottom w:val="0"/>
      <w:divBdr>
        <w:top w:val="none" w:sz="0" w:space="0" w:color="auto"/>
        <w:left w:val="none" w:sz="0" w:space="0" w:color="auto"/>
        <w:bottom w:val="none" w:sz="0" w:space="0" w:color="auto"/>
        <w:right w:val="none" w:sz="0" w:space="0" w:color="auto"/>
      </w:divBdr>
    </w:div>
    <w:div w:id="1886596030">
      <w:bodyDiv w:val="1"/>
      <w:marLeft w:val="0"/>
      <w:marRight w:val="0"/>
      <w:marTop w:val="0"/>
      <w:marBottom w:val="0"/>
      <w:divBdr>
        <w:top w:val="none" w:sz="0" w:space="0" w:color="auto"/>
        <w:left w:val="none" w:sz="0" w:space="0" w:color="auto"/>
        <w:bottom w:val="none" w:sz="0" w:space="0" w:color="auto"/>
        <w:right w:val="none" w:sz="0" w:space="0" w:color="auto"/>
      </w:divBdr>
    </w:div>
    <w:div w:id="1887060629">
      <w:bodyDiv w:val="1"/>
      <w:marLeft w:val="0"/>
      <w:marRight w:val="0"/>
      <w:marTop w:val="0"/>
      <w:marBottom w:val="0"/>
      <w:divBdr>
        <w:top w:val="none" w:sz="0" w:space="0" w:color="auto"/>
        <w:left w:val="none" w:sz="0" w:space="0" w:color="auto"/>
        <w:bottom w:val="none" w:sz="0" w:space="0" w:color="auto"/>
        <w:right w:val="none" w:sz="0" w:space="0" w:color="auto"/>
      </w:divBdr>
    </w:div>
    <w:div w:id="1887135192">
      <w:bodyDiv w:val="1"/>
      <w:marLeft w:val="0"/>
      <w:marRight w:val="0"/>
      <w:marTop w:val="0"/>
      <w:marBottom w:val="0"/>
      <w:divBdr>
        <w:top w:val="none" w:sz="0" w:space="0" w:color="auto"/>
        <w:left w:val="none" w:sz="0" w:space="0" w:color="auto"/>
        <w:bottom w:val="none" w:sz="0" w:space="0" w:color="auto"/>
        <w:right w:val="none" w:sz="0" w:space="0" w:color="auto"/>
      </w:divBdr>
    </w:div>
    <w:div w:id="1887137172">
      <w:bodyDiv w:val="1"/>
      <w:marLeft w:val="0"/>
      <w:marRight w:val="0"/>
      <w:marTop w:val="0"/>
      <w:marBottom w:val="0"/>
      <w:divBdr>
        <w:top w:val="none" w:sz="0" w:space="0" w:color="auto"/>
        <w:left w:val="none" w:sz="0" w:space="0" w:color="auto"/>
        <w:bottom w:val="none" w:sz="0" w:space="0" w:color="auto"/>
        <w:right w:val="none" w:sz="0" w:space="0" w:color="auto"/>
      </w:divBdr>
    </w:div>
    <w:div w:id="1887527391">
      <w:bodyDiv w:val="1"/>
      <w:marLeft w:val="0"/>
      <w:marRight w:val="0"/>
      <w:marTop w:val="0"/>
      <w:marBottom w:val="0"/>
      <w:divBdr>
        <w:top w:val="none" w:sz="0" w:space="0" w:color="auto"/>
        <w:left w:val="none" w:sz="0" w:space="0" w:color="auto"/>
        <w:bottom w:val="none" w:sz="0" w:space="0" w:color="auto"/>
        <w:right w:val="none" w:sz="0" w:space="0" w:color="auto"/>
      </w:divBdr>
    </w:div>
    <w:div w:id="1887836121">
      <w:bodyDiv w:val="1"/>
      <w:marLeft w:val="0"/>
      <w:marRight w:val="0"/>
      <w:marTop w:val="0"/>
      <w:marBottom w:val="0"/>
      <w:divBdr>
        <w:top w:val="none" w:sz="0" w:space="0" w:color="auto"/>
        <w:left w:val="none" w:sz="0" w:space="0" w:color="auto"/>
        <w:bottom w:val="none" w:sz="0" w:space="0" w:color="auto"/>
        <w:right w:val="none" w:sz="0" w:space="0" w:color="auto"/>
      </w:divBdr>
    </w:div>
    <w:div w:id="1887913282">
      <w:bodyDiv w:val="1"/>
      <w:marLeft w:val="0"/>
      <w:marRight w:val="0"/>
      <w:marTop w:val="0"/>
      <w:marBottom w:val="0"/>
      <w:divBdr>
        <w:top w:val="none" w:sz="0" w:space="0" w:color="auto"/>
        <w:left w:val="none" w:sz="0" w:space="0" w:color="auto"/>
        <w:bottom w:val="none" w:sz="0" w:space="0" w:color="auto"/>
        <w:right w:val="none" w:sz="0" w:space="0" w:color="auto"/>
      </w:divBdr>
    </w:div>
    <w:div w:id="1888101209">
      <w:bodyDiv w:val="1"/>
      <w:marLeft w:val="0"/>
      <w:marRight w:val="0"/>
      <w:marTop w:val="0"/>
      <w:marBottom w:val="0"/>
      <w:divBdr>
        <w:top w:val="none" w:sz="0" w:space="0" w:color="auto"/>
        <w:left w:val="none" w:sz="0" w:space="0" w:color="auto"/>
        <w:bottom w:val="none" w:sz="0" w:space="0" w:color="auto"/>
        <w:right w:val="none" w:sz="0" w:space="0" w:color="auto"/>
      </w:divBdr>
    </w:div>
    <w:div w:id="1888565222">
      <w:bodyDiv w:val="1"/>
      <w:marLeft w:val="0"/>
      <w:marRight w:val="0"/>
      <w:marTop w:val="0"/>
      <w:marBottom w:val="0"/>
      <w:divBdr>
        <w:top w:val="none" w:sz="0" w:space="0" w:color="auto"/>
        <w:left w:val="none" w:sz="0" w:space="0" w:color="auto"/>
        <w:bottom w:val="none" w:sz="0" w:space="0" w:color="auto"/>
        <w:right w:val="none" w:sz="0" w:space="0" w:color="auto"/>
      </w:divBdr>
    </w:div>
    <w:div w:id="1889368437">
      <w:bodyDiv w:val="1"/>
      <w:marLeft w:val="0"/>
      <w:marRight w:val="0"/>
      <w:marTop w:val="0"/>
      <w:marBottom w:val="0"/>
      <w:divBdr>
        <w:top w:val="none" w:sz="0" w:space="0" w:color="auto"/>
        <w:left w:val="none" w:sz="0" w:space="0" w:color="auto"/>
        <w:bottom w:val="none" w:sz="0" w:space="0" w:color="auto"/>
        <w:right w:val="none" w:sz="0" w:space="0" w:color="auto"/>
      </w:divBdr>
    </w:div>
    <w:div w:id="1889486934">
      <w:bodyDiv w:val="1"/>
      <w:marLeft w:val="0"/>
      <w:marRight w:val="0"/>
      <w:marTop w:val="0"/>
      <w:marBottom w:val="0"/>
      <w:divBdr>
        <w:top w:val="none" w:sz="0" w:space="0" w:color="auto"/>
        <w:left w:val="none" w:sz="0" w:space="0" w:color="auto"/>
        <w:bottom w:val="none" w:sz="0" w:space="0" w:color="auto"/>
        <w:right w:val="none" w:sz="0" w:space="0" w:color="auto"/>
      </w:divBdr>
    </w:div>
    <w:div w:id="1890066254">
      <w:bodyDiv w:val="1"/>
      <w:marLeft w:val="0"/>
      <w:marRight w:val="0"/>
      <w:marTop w:val="0"/>
      <w:marBottom w:val="0"/>
      <w:divBdr>
        <w:top w:val="none" w:sz="0" w:space="0" w:color="auto"/>
        <w:left w:val="none" w:sz="0" w:space="0" w:color="auto"/>
        <w:bottom w:val="none" w:sz="0" w:space="0" w:color="auto"/>
        <w:right w:val="none" w:sz="0" w:space="0" w:color="auto"/>
      </w:divBdr>
    </w:div>
    <w:div w:id="1890070103">
      <w:bodyDiv w:val="1"/>
      <w:marLeft w:val="0"/>
      <w:marRight w:val="0"/>
      <w:marTop w:val="0"/>
      <w:marBottom w:val="0"/>
      <w:divBdr>
        <w:top w:val="none" w:sz="0" w:space="0" w:color="auto"/>
        <w:left w:val="none" w:sz="0" w:space="0" w:color="auto"/>
        <w:bottom w:val="none" w:sz="0" w:space="0" w:color="auto"/>
        <w:right w:val="none" w:sz="0" w:space="0" w:color="auto"/>
      </w:divBdr>
    </w:div>
    <w:div w:id="1890451691">
      <w:bodyDiv w:val="1"/>
      <w:marLeft w:val="0"/>
      <w:marRight w:val="0"/>
      <w:marTop w:val="0"/>
      <w:marBottom w:val="0"/>
      <w:divBdr>
        <w:top w:val="none" w:sz="0" w:space="0" w:color="auto"/>
        <w:left w:val="none" w:sz="0" w:space="0" w:color="auto"/>
        <w:bottom w:val="none" w:sz="0" w:space="0" w:color="auto"/>
        <w:right w:val="none" w:sz="0" w:space="0" w:color="auto"/>
      </w:divBdr>
    </w:div>
    <w:div w:id="1890875708">
      <w:bodyDiv w:val="1"/>
      <w:marLeft w:val="0"/>
      <w:marRight w:val="0"/>
      <w:marTop w:val="0"/>
      <w:marBottom w:val="0"/>
      <w:divBdr>
        <w:top w:val="none" w:sz="0" w:space="0" w:color="auto"/>
        <w:left w:val="none" w:sz="0" w:space="0" w:color="auto"/>
        <w:bottom w:val="none" w:sz="0" w:space="0" w:color="auto"/>
        <w:right w:val="none" w:sz="0" w:space="0" w:color="auto"/>
      </w:divBdr>
    </w:div>
    <w:div w:id="1890919588">
      <w:bodyDiv w:val="1"/>
      <w:marLeft w:val="0"/>
      <w:marRight w:val="0"/>
      <w:marTop w:val="0"/>
      <w:marBottom w:val="0"/>
      <w:divBdr>
        <w:top w:val="none" w:sz="0" w:space="0" w:color="auto"/>
        <w:left w:val="none" w:sz="0" w:space="0" w:color="auto"/>
        <w:bottom w:val="none" w:sz="0" w:space="0" w:color="auto"/>
        <w:right w:val="none" w:sz="0" w:space="0" w:color="auto"/>
      </w:divBdr>
    </w:div>
    <w:div w:id="1891376076">
      <w:bodyDiv w:val="1"/>
      <w:marLeft w:val="0"/>
      <w:marRight w:val="0"/>
      <w:marTop w:val="0"/>
      <w:marBottom w:val="0"/>
      <w:divBdr>
        <w:top w:val="none" w:sz="0" w:space="0" w:color="auto"/>
        <w:left w:val="none" w:sz="0" w:space="0" w:color="auto"/>
        <w:bottom w:val="none" w:sz="0" w:space="0" w:color="auto"/>
        <w:right w:val="none" w:sz="0" w:space="0" w:color="auto"/>
      </w:divBdr>
    </w:div>
    <w:div w:id="1892569427">
      <w:bodyDiv w:val="1"/>
      <w:marLeft w:val="0"/>
      <w:marRight w:val="0"/>
      <w:marTop w:val="0"/>
      <w:marBottom w:val="0"/>
      <w:divBdr>
        <w:top w:val="none" w:sz="0" w:space="0" w:color="auto"/>
        <w:left w:val="none" w:sz="0" w:space="0" w:color="auto"/>
        <w:bottom w:val="none" w:sz="0" w:space="0" w:color="auto"/>
        <w:right w:val="none" w:sz="0" w:space="0" w:color="auto"/>
      </w:divBdr>
    </w:div>
    <w:div w:id="1892879987">
      <w:bodyDiv w:val="1"/>
      <w:marLeft w:val="0"/>
      <w:marRight w:val="0"/>
      <w:marTop w:val="0"/>
      <w:marBottom w:val="0"/>
      <w:divBdr>
        <w:top w:val="none" w:sz="0" w:space="0" w:color="auto"/>
        <w:left w:val="none" w:sz="0" w:space="0" w:color="auto"/>
        <w:bottom w:val="none" w:sz="0" w:space="0" w:color="auto"/>
        <w:right w:val="none" w:sz="0" w:space="0" w:color="auto"/>
      </w:divBdr>
    </w:div>
    <w:div w:id="1893077928">
      <w:bodyDiv w:val="1"/>
      <w:marLeft w:val="0"/>
      <w:marRight w:val="0"/>
      <w:marTop w:val="0"/>
      <w:marBottom w:val="0"/>
      <w:divBdr>
        <w:top w:val="none" w:sz="0" w:space="0" w:color="auto"/>
        <w:left w:val="none" w:sz="0" w:space="0" w:color="auto"/>
        <w:bottom w:val="none" w:sz="0" w:space="0" w:color="auto"/>
        <w:right w:val="none" w:sz="0" w:space="0" w:color="auto"/>
      </w:divBdr>
    </w:div>
    <w:div w:id="1893230105">
      <w:bodyDiv w:val="1"/>
      <w:marLeft w:val="0"/>
      <w:marRight w:val="0"/>
      <w:marTop w:val="0"/>
      <w:marBottom w:val="0"/>
      <w:divBdr>
        <w:top w:val="none" w:sz="0" w:space="0" w:color="auto"/>
        <w:left w:val="none" w:sz="0" w:space="0" w:color="auto"/>
        <w:bottom w:val="none" w:sz="0" w:space="0" w:color="auto"/>
        <w:right w:val="none" w:sz="0" w:space="0" w:color="auto"/>
      </w:divBdr>
    </w:div>
    <w:div w:id="1893422761">
      <w:bodyDiv w:val="1"/>
      <w:marLeft w:val="0"/>
      <w:marRight w:val="0"/>
      <w:marTop w:val="0"/>
      <w:marBottom w:val="0"/>
      <w:divBdr>
        <w:top w:val="none" w:sz="0" w:space="0" w:color="auto"/>
        <w:left w:val="none" w:sz="0" w:space="0" w:color="auto"/>
        <w:bottom w:val="none" w:sz="0" w:space="0" w:color="auto"/>
        <w:right w:val="none" w:sz="0" w:space="0" w:color="auto"/>
      </w:divBdr>
    </w:div>
    <w:div w:id="1893495506">
      <w:bodyDiv w:val="1"/>
      <w:marLeft w:val="0"/>
      <w:marRight w:val="0"/>
      <w:marTop w:val="0"/>
      <w:marBottom w:val="0"/>
      <w:divBdr>
        <w:top w:val="none" w:sz="0" w:space="0" w:color="auto"/>
        <w:left w:val="none" w:sz="0" w:space="0" w:color="auto"/>
        <w:bottom w:val="none" w:sz="0" w:space="0" w:color="auto"/>
        <w:right w:val="none" w:sz="0" w:space="0" w:color="auto"/>
      </w:divBdr>
    </w:div>
    <w:div w:id="1893539790">
      <w:bodyDiv w:val="1"/>
      <w:marLeft w:val="0"/>
      <w:marRight w:val="0"/>
      <w:marTop w:val="0"/>
      <w:marBottom w:val="0"/>
      <w:divBdr>
        <w:top w:val="none" w:sz="0" w:space="0" w:color="auto"/>
        <w:left w:val="none" w:sz="0" w:space="0" w:color="auto"/>
        <w:bottom w:val="none" w:sz="0" w:space="0" w:color="auto"/>
        <w:right w:val="none" w:sz="0" w:space="0" w:color="auto"/>
      </w:divBdr>
    </w:div>
    <w:div w:id="1893732233">
      <w:bodyDiv w:val="1"/>
      <w:marLeft w:val="0"/>
      <w:marRight w:val="0"/>
      <w:marTop w:val="0"/>
      <w:marBottom w:val="0"/>
      <w:divBdr>
        <w:top w:val="none" w:sz="0" w:space="0" w:color="auto"/>
        <w:left w:val="none" w:sz="0" w:space="0" w:color="auto"/>
        <w:bottom w:val="none" w:sz="0" w:space="0" w:color="auto"/>
        <w:right w:val="none" w:sz="0" w:space="0" w:color="auto"/>
      </w:divBdr>
    </w:div>
    <w:div w:id="1894583671">
      <w:bodyDiv w:val="1"/>
      <w:marLeft w:val="0"/>
      <w:marRight w:val="0"/>
      <w:marTop w:val="0"/>
      <w:marBottom w:val="0"/>
      <w:divBdr>
        <w:top w:val="none" w:sz="0" w:space="0" w:color="auto"/>
        <w:left w:val="none" w:sz="0" w:space="0" w:color="auto"/>
        <w:bottom w:val="none" w:sz="0" w:space="0" w:color="auto"/>
        <w:right w:val="none" w:sz="0" w:space="0" w:color="auto"/>
      </w:divBdr>
    </w:div>
    <w:div w:id="1895002714">
      <w:bodyDiv w:val="1"/>
      <w:marLeft w:val="0"/>
      <w:marRight w:val="0"/>
      <w:marTop w:val="0"/>
      <w:marBottom w:val="0"/>
      <w:divBdr>
        <w:top w:val="none" w:sz="0" w:space="0" w:color="auto"/>
        <w:left w:val="none" w:sz="0" w:space="0" w:color="auto"/>
        <w:bottom w:val="none" w:sz="0" w:space="0" w:color="auto"/>
        <w:right w:val="none" w:sz="0" w:space="0" w:color="auto"/>
      </w:divBdr>
    </w:div>
    <w:div w:id="1896551517">
      <w:bodyDiv w:val="1"/>
      <w:marLeft w:val="0"/>
      <w:marRight w:val="0"/>
      <w:marTop w:val="0"/>
      <w:marBottom w:val="0"/>
      <w:divBdr>
        <w:top w:val="none" w:sz="0" w:space="0" w:color="auto"/>
        <w:left w:val="none" w:sz="0" w:space="0" w:color="auto"/>
        <w:bottom w:val="none" w:sz="0" w:space="0" w:color="auto"/>
        <w:right w:val="none" w:sz="0" w:space="0" w:color="auto"/>
      </w:divBdr>
    </w:div>
    <w:div w:id="1896816492">
      <w:bodyDiv w:val="1"/>
      <w:marLeft w:val="0"/>
      <w:marRight w:val="0"/>
      <w:marTop w:val="0"/>
      <w:marBottom w:val="0"/>
      <w:divBdr>
        <w:top w:val="none" w:sz="0" w:space="0" w:color="auto"/>
        <w:left w:val="none" w:sz="0" w:space="0" w:color="auto"/>
        <w:bottom w:val="none" w:sz="0" w:space="0" w:color="auto"/>
        <w:right w:val="none" w:sz="0" w:space="0" w:color="auto"/>
      </w:divBdr>
    </w:div>
    <w:div w:id="1896891303">
      <w:bodyDiv w:val="1"/>
      <w:marLeft w:val="0"/>
      <w:marRight w:val="0"/>
      <w:marTop w:val="0"/>
      <w:marBottom w:val="0"/>
      <w:divBdr>
        <w:top w:val="none" w:sz="0" w:space="0" w:color="auto"/>
        <w:left w:val="none" w:sz="0" w:space="0" w:color="auto"/>
        <w:bottom w:val="none" w:sz="0" w:space="0" w:color="auto"/>
        <w:right w:val="none" w:sz="0" w:space="0" w:color="auto"/>
      </w:divBdr>
    </w:div>
    <w:div w:id="1897162122">
      <w:bodyDiv w:val="1"/>
      <w:marLeft w:val="0"/>
      <w:marRight w:val="0"/>
      <w:marTop w:val="0"/>
      <w:marBottom w:val="0"/>
      <w:divBdr>
        <w:top w:val="none" w:sz="0" w:space="0" w:color="auto"/>
        <w:left w:val="none" w:sz="0" w:space="0" w:color="auto"/>
        <w:bottom w:val="none" w:sz="0" w:space="0" w:color="auto"/>
        <w:right w:val="none" w:sz="0" w:space="0" w:color="auto"/>
      </w:divBdr>
    </w:div>
    <w:div w:id="1897279096">
      <w:bodyDiv w:val="1"/>
      <w:marLeft w:val="0"/>
      <w:marRight w:val="0"/>
      <w:marTop w:val="0"/>
      <w:marBottom w:val="0"/>
      <w:divBdr>
        <w:top w:val="none" w:sz="0" w:space="0" w:color="auto"/>
        <w:left w:val="none" w:sz="0" w:space="0" w:color="auto"/>
        <w:bottom w:val="none" w:sz="0" w:space="0" w:color="auto"/>
        <w:right w:val="none" w:sz="0" w:space="0" w:color="auto"/>
      </w:divBdr>
    </w:div>
    <w:div w:id="1898080774">
      <w:bodyDiv w:val="1"/>
      <w:marLeft w:val="0"/>
      <w:marRight w:val="0"/>
      <w:marTop w:val="0"/>
      <w:marBottom w:val="0"/>
      <w:divBdr>
        <w:top w:val="none" w:sz="0" w:space="0" w:color="auto"/>
        <w:left w:val="none" w:sz="0" w:space="0" w:color="auto"/>
        <w:bottom w:val="none" w:sz="0" w:space="0" w:color="auto"/>
        <w:right w:val="none" w:sz="0" w:space="0" w:color="auto"/>
      </w:divBdr>
    </w:div>
    <w:div w:id="1898274562">
      <w:bodyDiv w:val="1"/>
      <w:marLeft w:val="0"/>
      <w:marRight w:val="0"/>
      <w:marTop w:val="0"/>
      <w:marBottom w:val="0"/>
      <w:divBdr>
        <w:top w:val="none" w:sz="0" w:space="0" w:color="auto"/>
        <w:left w:val="none" w:sz="0" w:space="0" w:color="auto"/>
        <w:bottom w:val="none" w:sz="0" w:space="0" w:color="auto"/>
        <w:right w:val="none" w:sz="0" w:space="0" w:color="auto"/>
      </w:divBdr>
    </w:div>
    <w:div w:id="1898659946">
      <w:bodyDiv w:val="1"/>
      <w:marLeft w:val="0"/>
      <w:marRight w:val="0"/>
      <w:marTop w:val="0"/>
      <w:marBottom w:val="0"/>
      <w:divBdr>
        <w:top w:val="none" w:sz="0" w:space="0" w:color="auto"/>
        <w:left w:val="none" w:sz="0" w:space="0" w:color="auto"/>
        <w:bottom w:val="none" w:sz="0" w:space="0" w:color="auto"/>
        <w:right w:val="none" w:sz="0" w:space="0" w:color="auto"/>
      </w:divBdr>
    </w:div>
    <w:div w:id="1898937026">
      <w:bodyDiv w:val="1"/>
      <w:marLeft w:val="0"/>
      <w:marRight w:val="0"/>
      <w:marTop w:val="0"/>
      <w:marBottom w:val="0"/>
      <w:divBdr>
        <w:top w:val="none" w:sz="0" w:space="0" w:color="auto"/>
        <w:left w:val="none" w:sz="0" w:space="0" w:color="auto"/>
        <w:bottom w:val="none" w:sz="0" w:space="0" w:color="auto"/>
        <w:right w:val="none" w:sz="0" w:space="0" w:color="auto"/>
      </w:divBdr>
    </w:div>
    <w:div w:id="1899247107">
      <w:bodyDiv w:val="1"/>
      <w:marLeft w:val="0"/>
      <w:marRight w:val="0"/>
      <w:marTop w:val="0"/>
      <w:marBottom w:val="0"/>
      <w:divBdr>
        <w:top w:val="none" w:sz="0" w:space="0" w:color="auto"/>
        <w:left w:val="none" w:sz="0" w:space="0" w:color="auto"/>
        <w:bottom w:val="none" w:sz="0" w:space="0" w:color="auto"/>
        <w:right w:val="none" w:sz="0" w:space="0" w:color="auto"/>
      </w:divBdr>
    </w:div>
    <w:div w:id="1899323495">
      <w:bodyDiv w:val="1"/>
      <w:marLeft w:val="0"/>
      <w:marRight w:val="0"/>
      <w:marTop w:val="0"/>
      <w:marBottom w:val="0"/>
      <w:divBdr>
        <w:top w:val="none" w:sz="0" w:space="0" w:color="auto"/>
        <w:left w:val="none" w:sz="0" w:space="0" w:color="auto"/>
        <w:bottom w:val="none" w:sz="0" w:space="0" w:color="auto"/>
        <w:right w:val="none" w:sz="0" w:space="0" w:color="auto"/>
      </w:divBdr>
    </w:div>
    <w:div w:id="1899971131">
      <w:bodyDiv w:val="1"/>
      <w:marLeft w:val="0"/>
      <w:marRight w:val="0"/>
      <w:marTop w:val="0"/>
      <w:marBottom w:val="0"/>
      <w:divBdr>
        <w:top w:val="none" w:sz="0" w:space="0" w:color="auto"/>
        <w:left w:val="none" w:sz="0" w:space="0" w:color="auto"/>
        <w:bottom w:val="none" w:sz="0" w:space="0" w:color="auto"/>
        <w:right w:val="none" w:sz="0" w:space="0" w:color="auto"/>
      </w:divBdr>
    </w:div>
    <w:div w:id="1900047221">
      <w:bodyDiv w:val="1"/>
      <w:marLeft w:val="0"/>
      <w:marRight w:val="0"/>
      <w:marTop w:val="0"/>
      <w:marBottom w:val="0"/>
      <w:divBdr>
        <w:top w:val="none" w:sz="0" w:space="0" w:color="auto"/>
        <w:left w:val="none" w:sz="0" w:space="0" w:color="auto"/>
        <w:bottom w:val="none" w:sz="0" w:space="0" w:color="auto"/>
        <w:right w:val="none" w:sz="0" w:space="0" w:color="auto"/>
      </w:divBdr>
    </w:div>
    <w:div w:id="1900365378">
      <w:bodyDiv w:val="1"/>
      <w:marLeft w:val="0"/>
      <w:marRight w:val="0"/>
      <w:marTop w:val="0"/>
      <w:marBottom w:val="0"/>
      <w:divBdr>
        <w:top w:val="none" w:sz="0" w:space="0" w:color="auto"/>
        <w:left w:val="none" w:sz="0" w:space="0" w:color="auto"/>
        <w:bottom w:val="none" w:sz="0" w:space="0" w:color="auto"/>
        <w:right w:val="none" w:sz="0" w:space="0" w:color="auto"/>
      </w:divBdr>
    </w:div>
    <w:div w:id="1900747540">
      <w:bodyDiv w:val="1"/>
      <w:marLeft w:val="0"/>
      <w:marRight w:val="0"/>
      <w:marTop w:val="0"/>
      <w:marBottom w:val="0"/>
      <w:divBdr>
        <w:top w:val="none" w:sz="0" w:space="0" w:color="auto"/>
        <w:left w:val="none" w:sz="0" w:space="0" w:color="auto"/>
        <w:bottom w:val="none" w:sz="0" w:space="0" w:color="auto"/>
        <w:right w:val="none" w:sz="0" w:space="0" w:color="auto"/>
      </w:divBdr>
    </w:div>
    <w:div w:id="1900899548">
      <w:bodyDiv w:val="1"/>
      <w:marLeft w:val="0"/>
      <w:marRight w:val="0"/>
      <w:marTop w:val="0"/>
      <w:marBottom w:val="0"/>
      <w:divBdr>
        <w:top w:val="none" w:sz="0" w:space="0" w:color="auto"/>
        <w:left w:val="none" w:sz="0" w:space="0" w:color="auto"/>
        <w:bottom w:val="none" w:sz="0" w:space="0" w:color="auto"/>
        <w:right w:val="none" w:sz="0" w:space="0" w:color="auto"/>
      </w:divBdr>
    </w:div>
    <w:div w:id="1901358083">
      <w:bodyDiv w:val="1"/>
      <w:marLeft w:val="0"/>
      <w:marRight w:val="0"/>
      <w:marTop w:val="0"/>
      <w:marBottom w:val="0"/>
      <w:divBdr>
        <w:top w:val="none" w:sz="0" w:space="0" w:color="auto"/>
        <w:left w:val="none" w:sz="0" w:space="0" w:color="auto"/>
        <w:bottom w:val="none" w:sz="0" w:space="0" w:color="auto"/>
        <w:right w:val="none" w:sz="0" w:space="0" w:color="auto"/>
      </w:divBdr>
    </w:div>
    <w:div w:id="1903250675">
      <w:bodyDiv w:val="1"/>
      <w:marLeft w:val="0"/>
      <w:marRight w:val="0"/>
      <w:marTop w:val="0"/>
      <w:marBottom w:val="0"/>
      <w:divBdr>
        <w:top w:val="none" w:sz="0" w:space="0" w:color="auto"/>
        <w:left w:val="none" w:sz="0" w:space="0" w:color="auto"/>
        <w:bottom w:val="none" w:sz="0" w:space="0" w:color="auto"/>
        <w:right w:val="none" w:sz="0" w:space="0" w:color="auto"/>
      </w:divBdr>
    </w:div>
    <w:div w:id="1904245653">
      <w:bodyDiv w:val="1"/>
      <w:marLeft w:val="0"/>
      <w:marRight w:val="0"/>
      <w:marTop w:val="0"/>
      <w:marBottom w:val="0"/>
      <w:divBdr>
        <w:top w:val="none" w:sz="0" w:space="0" w:color="auto"/>
        <w:left w:val="none" w:sz="0" w:space="0" w:color="auto"/>
        <w:bottom w:val="none" w:sz="0" w:space="0" w:color="auto"/>
        <w:right w:val="none" w:sz="0" w:space="0" w:color="auto"/>
      </w:divBdr>
    </w:div>
    <w:div w:id="1904943244">
      <w:bodyDiv w:val="1"/>
      <w:marLeft w:val="0"/>
      <w:marRight w:val="0"/>
      <w:marTop w:val="0"/>
      <w:marBottom w:val="0"/>
      <w:divBdr>
        <w:top w:val="none" w:sz="0" w:space="0" w:color="auto"/>
        <w:left w:val="none" w:sz="0" w:space="0" w:color="auto"/>
        <w:bottom w:val="none" w:sz="0" w:space="0" w:color="auto"/>
        <w:right w:val="none" w:sz="0" w:space="0" w:color="auto"/>
      </w:divBdr>
    </w:div>
    <w:div w:id="1904952035">
      <w:bodyDiv w:val="1"/>
      <w:marLeft w:val="0"/>
      <w:marRight w:val="0"/>
      <w:marTop w:val="0"/>
      <w:marBottom w:val="0"/>
      <w:divBdr>
        <w:top w:val="none" w:sz="0" w:space="0" w:color="auto"/>
        <w:left w:val="none" w:sz="0" w:space="0" w:color="auto"/>
        <w:bottom w:val="none" w:sz="0" w:space="0" w:color="auto"/>
        <w:right w:val="none" w:sz="0" w:space="0" w:color="auto"/>
      </w:divBdr>
    </w:div>
    <w:div w:id="1905335525">
      <w:bodyDiv w:val="1"/>
      <w:marLeft w:val="0"/>
      <w:marRight w:val="0"/>
      <w:marTop w:val="0"/>
      <w:marBottom w:val="0"/>
      <w:divBdr>
        <w:top w:val="none" w:sz="0" w:space="0" w:color="auto"/>
        <w:left w:val="none" w:sz="0" w:space="0" w:color="auto"/>
        <w:bottom w:val="none" w:sz="0" w:space="0" w:color="auto"/>
        <w:right w:val="none" w:sz="0" w:space="0" w:color="auto"/>
      </w:divBdr>
    </w:div>
    <w:div w:id="1906984021">
      <w:bodyDiv w:val="1"/>
      <w:marLeft w:val="0"/>
      <w:marRight w:val="0"/>
      <w:marTop w:val="0"/>
      <w:marBottom w:val="0"/>
      <w:divBdr>
        <w:top w:val="none" w:sz="0" w:space="0" w:color="auto"/>
        <w:left w:val="none" w:sz="0" w:space="0" w:color="auto"/>
        <w:bottom w:val="none" w:sz="0" w:space="0" w:color="auto"/>
        <w:right w:val="none" w:sz="0" w:space="0" w:color="auto"/>
      </w:divBdr>
    </w:div>
    <w:div w:id="1907299277">
      <w:bodyDiv w:val="1"/>
      <w:marLeft w:val="0"/>
      <w:marRight w:val="0"/>
      <w:marTop w:val="0"/>
      <w:marBottom w:val="0"/>
      <w:divBdr>
        <w:top w:val="none" w:sz="0" w:space="0" w:color="auto"/>
        <w:left w:val="none" w:sz="0" w:space="0" w:color="auto"/>
        <w:bottom w:val="none" w:sz="0" w:space="0" w:color="auto"/>
        <w:right w:val="none" w:sz="0" w:space="0" w:color="auto"/>
      </w:divBdr>
    </w:div>
    <w:div w:id="1907951644">
      <w:bodyDiv w:val="1"/>
      <w:marLeft w:val="0"/>
      <w:marRight w:val="0"/>
      <w:marTop w:val="0"/>
      <w:marBottom w:val="0"/>
      <w:divBdr>
        <w:top w:val="none" w:sz="0" w:space="0" w:color="auto"/>
        <w:left w:val="none" w:sz="0" w:space="0" w:color="auto"/>
        <w:bottom w:val="none" w:sz="0" w:space="0" w:color="auto"/>
        <w:right w:val="none" w:sz="0" w:space="0" w:color="auto"/>
      </w:divBdr>
    </w:div>
    <w:div w:id="1907955077">
      <w:bodyDiv w:val="1"/>
      <w:marLeft w:val="0"/>
      <w:marRight w:val="0"/>
      <w:marTop w:val="0"/>
      <w:marBottom w:val="0"/>
      <w:divBdr>
        <w:top w:val="none" w:sz="0" w:space="0" w:color="auto"/>
        <w:left w:val="none" w:sz="0" w:space="0" w:color="auto"/>
        <w:bottom w:val="none" w:sz="0" w:space="0" w:color="auto"/>
        <w:right w:val="none" w:sz="0" w:space="0" w:color="auto"/>
      </w:divBdr>
    </w:div>
    <w:div w:id="1908373204">
      <w:bodyDiv w:val="1"/>
      <w:marLeft w:val="0"/>
      <w:marRight w:val="0"/>
      <w:marTop w:val="0"/>
      <w:marBottom w:val="0"/>
      <w:divBdr>
        <w:top w:val="none" w:sz="0" w:space="0" w:color="auto"/>
        <w:left w:val="none" w:sz="0" w:space="0" w:color="auto"/>
        <w:bottom w:val="none" w:sz="0" w:space="0" w:color="auto"/>
        <w:right w:val="none" w:sz="0" w:space="0" w:color="auto"/>
      </w:divBdr>
    </w:div>
    <w:div w:id="1908564136">
      <w:bodyDiv w:val="1"/>
      <w:marLeft w:val="0"/>
      <w:marRight w:val="0"/>
      <w:marTop w:val="0"/>
      <w:marBottom w:val="0"/>
      <w:divBdr>
        <w:top w:val="none" w:sz="0" w:space="0" w:color="auto"/>
        <w:left w:val="none" w:sz="0" w:space="0" w:color="auto"/>
        <w:bottom w:val="none" w:sz="0" w:space="0" w:color="auto"/>
        <w:right w:val="none" w:sz="0" w:space="0" w:color="auto"/>
      </w:divBdr>
    </w:div>
    <w:div w:id="1908681234">
      <w:bodyDiv w:val="1"/>
      <w:marLeft w:val="0"/>
      <w:marRight w:val="0"/>
      <w:marTop w:val="0"/>
      <w:marBottom w:val="0"/>
      <w:divBdr>
        <w:top w:val="none" w:sz="0" w:space="0" w:color="auto"/>
        <w:left w:val="none" w:sz="0" w:space="0" w:color="auto"/>
        <w:bottom w:val="none" w:sz="0" w:space="0" w:color="auto"/>
        <w:right w:val="none" w:sz="0" w:space="0" w:color="auto"/>
      </w:divBdr>
    </w:div>
    <w:div w:id="1909261970">
      <w:bodyDiv w:val="1"/>
      <w:marLeft w:val="0"/>
      <w:marRight w:val="0"/>
      <w:marTop w:val="0"/>
      <w:marBottom w:val="0"/>
      <w:divBdr>
        <w:top w:val="none" w:sz="0" w:space="0" w:color="auto"/>
        <w:left w:val="none" w:sz="0" w:space="0" w:color="auto"/>
        <w:bottom w:val="none" w:sz="0" w:space="0" w:color="auto"/>
        <w:right w:val="none" w:sz="0" w:space="0" w:color="auto"/>
      </w:divBdr>
    </w:div>
    <w:div w:id="1909535354">
      <w:bodyDiv w:val="1"/>
      <w:marLeft w:val="0"/>
      <w:marRight w:val="0"/>
      <w:marTop w:val="0"/>
      <w:marBottom w:val="0"/>
      <w:divBdr>
        <w:top w:val="none" w:sz="0" w:space="0" w:color="auto"/>
        <w:left w:val="none" w:sz="0" w:space="0" w:color="auto"/>
        <w:bottom w:val="none" w:sz="0" w:space="0" w:color="auto"/>
        <w:right w:val="none" w:sz="0" w:space="0" w:color="auto"/>
      </w:divBdr>
    </w:div>
    <w:div w:id="1910267762">
      <w:bodyDiv w:val="1"/>
      <w:marLeft w:val="0"/>
      <w:marRight w:val="0"/>
      <w:marTop w:val="0"/>
      <w:marBottom w:val="0"/>
      <w:divBdr>
        <w:top w:val="none" w:sz="0" w:space="0" w:color="auto"/>
        <w:left w:val="none" w:sz="0" w:space="0" w:color="auto"/>
        <w:bottom w:val="none" w:sz="0" w:space="0" w:color="auto"/>
        <w:right w:val="none" w:sz="0" w:space="0" w:color="auto"/>
      </w:divBdr>
    </w:div>
    <w:div w:id="1910844147">
      <w:bodyDiv w:val="1"/>
      <w:marLeft w:val="0"/>
      <w:marRight w:val="0"/>
      <w:marTop w:val="0"/>
      <w:marBottom w:val="0"/>
      <w:divBdr>
        <w:top w:val="none" w:sz="0" w:space="0" w:color="auto"/>
        <w:left w:val="none" w:sz="0" w:space="0" w:color="auto"/>
        <w:bottom w:val="none" w:sz="0" w:space="0" w:color="auto"/>
        <w:right w:val="none" w:sz="0" w:space="0" w:color="auto"/>
      </w:divBdr>
    </w:div>
    <w:div w:id="1910848116">
      <w:bodyDiv w:val="1"/>
      <w:marLeft w:val="0"/>
      <w:marRight w:val="0"/>
      <w:marTop w:val="0"/>
      <w:marBottom w:val="0"/>
      <w:divBdr>
        <w:top w:val="none" w:sz="0" w:space="0" w:color="auto"/>
        <w:left w:val="none" w:sz="0" w:space="0" w:color="auto"/>
        <w:bottom w:val="none" w:sz="0" w:space="0" w:color="auto"/>
        <w:right w:val="none" w:sz="0" w:space="0" w:color="auto"/>
      </w:divBdr>
    </w:div>
    <w:div w:id="1910993103">
      <w:bodyDiv w:val="1"/>
      <w:marLeft w:val="0"/>
      <w:marRight w:val="0"/>
      <w:marTop w:val="0"/>
      <w:marBottom w:val="0"/>
      <w:divBdr>
        <w:top w:val="none" w:sz="0" w:space="0" w:color="auto"/>
        <w:left w:val="none" w:sz="0" w:space="0" w:color="auto"/>
        <w:bottom w:val="none" w:sz="0" w:space="0" w:color="auto"/>
        <w:right w:val="none" w:sz="0" w:space="0" w:color="auto"/>
      </w:divBdr>
    </w:div>
    <w:div w:id="1912040682">
      <w:bodyDiv w:val="1"/>
      <w:marLeft w:val="0"/>
      <w:marRight w:val="0"/>
      <w:marTop w:val="0"/>
      <w:marBottom w:val="0"/>
      <w:divBdr>
        <w:top w:val="none" w:sz="0" w:space="0" w:color="auto"/>
        <w:left w:val="none" w:sz="0" w:space="0" w:color="auto"/>
        <w:bottom w:val="none" w:sz="0" w:space="0" w:color="auto"/>
        <w:right w:val="none" w:sz="0" w:space="0" w:color="auto"/>
      </w:divBdr>
    </w:div>
    <w:div w:id="1912082328">
      <w:bodyDiv w:val="1"/>
      <w:marLeft w:val="0"/>
      <w:marRight w:val="0"/>
      <w:marTop w:val="0"/>
      <w:marBottom w:val="0"/>
      <w:divBdr>
        <w:top w:val="none" w:sz="0" w:space="0" w:color="auto"/>
        <w:left w:val="none" w:sz="0" w:space="0" w:color="auto"/>
        <w:bottom w:val="none" w:sz="0" w:space="0" w:color="auto"/>
        <w:right w:val="none" w:sz="0" w:space="0" w:color="auto"/>
      </w:divBdr>
    </w:div>
    <w:div w:id="1912693061">
      <w:bodyDiv w:val="1"/>
      <w:marLeft w:val="0"/>
      <w:marRight w:val="0"/>
      <w:marTop w:val="0"/>
      <w:marBottom w:val="0"/>
      <w:divBdr>
        <w:top w:val="none" w:sz="0" w:space="0" w:color="auto"/>
        <w:left w:val="none" w:sz="0" w:space="0" w:color="auto"/>
        <w:bottom w:val="none" w:sz="0" w:space="0" w:color="auto"/>
        <w:right w:val="none" w:sz="0" w:space="0" w:color="auto"/>
      </w:divBdr>
    </w:div>
    <w:div w:id="1913811777">
      <w:bodyDiv w:val="1"/>
      <w:marLeft w:val="0"/>
      <w:marRight w:val="0"/>
      <w:marTop w:val="0"/>
      <w:marBottom w:val="0"/>
      <w:divBdr>
        <w:top w:val="none" w:sz="0" w:space="0" w:color="auto"/>
        <w:left w:val="none" w:sz="0" w:space="0" w:color="auto"/>
        <w:bottom w:val="none" w:sz="0" w:space="0" w:color="auto"/>
        <w:right w:val="none" w:sz="0" w:space="0" w:color="auto"/>
      </w:divBdr>
    </w:div>
    <w:div w:id="1914124940">
      <w:bodyDiv w:val="1"/>
      <w:marLeft w:val="0"/>
      <w:marRight w:val="0"/>
      <w:marTop w:val="0"/>
      <w:marBottom w:val="0"/>
      <w:divBdr>
        <w:top w:val="none" w:sz="0" w:space="0" w:color="auto"/>
        <w:left w:val="none" w:sz="0" w:space="0" w:color="auto"/>
        <w:bottom w:val="none" w:sz="0" w:space="0" w:color="auto"/>
        <w:right w:val="none" w:sz="0" w:space="0" w:color="auto"/>
      </w:divBdr>
    </w:div>
    <w:div w:id="1914394588">
      <w:bodyDiv w:val="1"/>
      <w:marLeft w:val="0"/>
      <w:marRight w:val="0"/>
      <w:marTop w:val="0"/>
      <w:marBottom w:val="0"/>
      <w:divBdr>
        <w:top w:val="none" w:sz="0" w:space="0" w:color="auto"/>
        <w:left w:val="none" w:sz="0" w:space="0" w:color="auto"/>
        <w:bottom w:val="none" w:sz="0" w:space="0" w:color="auto"/>
        <w:right w:val="none" w:sz="0" w:space="0" w:color="auto"/>
      </w:divBdr>
    </w:div>
    <w:div w:id="1914706081">
      <w:bodyDiv w:val="1"/>
      <w:marLeft w:val="0"/>
      <w:marRight w:val="0"/>
      <w:marTop w:val="0"/>
      <w:marBottom w:val="0"/>
      <w:divBdr>
        <w:top w:val="none" w:sz="0" w:space="0" w:color="auto"/>
        <w:left w:val="none" w:sz="0" w:space="0" w:color="auto"/>
        <w:bottom w:val="none" w:sz="0" w:space="0" w:color="auto"/>
        <w:right w:val="none" w:sz="0" w:space="0" w:color="auto"/>
      </w:divBdr>
    </w:div>
    <w:div w:id="1914974064">
      <w:bodyDiv w:val="1"/>
      <w:marLeft w:val="0"/>
      <w:marRight w:val="0"/>
      <w:marTop w:val="0"/>
      <w:marBottom w:val="0"/>
      <w:divBdr>
        <w:top w:val="none" w:sz="0" w:space="0" w:color="auto"/>
        <w:left w:val="none" w:sz="0" w:space="0" w:color="auto"/>
        <w:bottom w:val="none" w:sz="0" w:space="0" w:color="auto"/>
        <w:right w:val="none" w:sz="0" w:space="0" w:color="auto"/>
      </w:divBdr>
    </w:div>
    <w:div w:id="1915624156">
      <w:bodyDiv w:val="1"/>
      <w:marLeft w:val="0"/>
      <w:marRight w:val="0"/>
      <w:marTop w:val="0"/>
      <w:marBottom w:val="0"/>
      <w:divBdr>
        <w:top w:val="none" w:sz="0" w:space="0" w:color="auto"/>
        <w:left w:val="none" w:sz="0" w:space="0" w:color="auto"/>
        <w:bottom w:val="none" w:sz="0" w:space="0" w:color="auto"/>
        <w:right w:val="none" w:sz="0" w:space="0" w:color="auto"/>
      </w:divBdr>
    </w:div>
    <w:div w:id="1915699738">
      <w:bodyDiv w:val="1"/>
      <w:marLeft w:val="0"/>
      <w:marRight w:val="0"/>
      <w:marTop w:val="0"/>
      <w:marBottom w:val="0"/>
      <w:divBdr>
        <w:top w:val="none" w:sz="0" w:space="0" w:color="auto"/>
        <w:left w:val="none" w:sz="0" w:space="0" w:color="auto"/>
        <w:bottom w:val="none" w:sz="0" w:space="0" w:color="auto"/>
        <w:right w:val="none" w:sz="0" w:space="0" w:color="auto"/>
      </w:divBdr>
    </w:div>
    <w:div w:id="1915815718">
      <w:bodyDiv w:val="1"/>
      <w:marLeft w:val="0"/>
      <w:marRight w:val="0"/>
      <w:marTop w:val="0"/>
      <w:marBottom w:val="0"/>
      <w:divBdr>
        <w:top w:val="none" w:sz="0" w:space="0" w:color="auto"/>
        <w:left w:val="none" w:sz="0" w:space="0" w:color="auto"/>
        <w:bottom w:val="none" w:sz="0" w:space="0" w:color="auto"/>
        <w:right w:val="none" w:sz="0" w:space="0" w:color="auto"/>
      </w:divBdr>
    </w:div>
    <w:div w:id="1916470673">
      <w:bodyDiv w:val="1"/>
      <w:marLeft w:val="0"/>
      <w:marRight w:val="0"/>
      <w:marTop w:val="0"/>
      <w:marBottom w:val="0"/>
      <w:divBdr>
        <w:top w:val="none" w:sz="0" w:space="0" w:color="auto"/>
        <w:left w:val="none" w:sz="0" w:space="0" w:color="auto"/>
        <w:bottom w:val="none" w:sz="0" w:space="0" w:color="auto"/>
        <w:right w:val="none" w:sz="0" w:space="0" w:color="auto"/>
      </w:divBdr>
    </w:div>
    <w:div w:id="1916476618">
      <w:bodyDiv w:val="1"/>
      <w:marLeft w:val="0"/>
      <w:marRight w:val="0"/>
      <w:marTop w:val="0"/>
      <w:marBottom w:val="0"/>
      <w:divBdr>
        <w:top w:val="none" w:sz="0" w:space="0" w:color="auto"/>
        <w:left w:val="none" w:sz="0" w:space="0" w:color="auto"/>
        <w:bottom w:val="none" w:sz="0" w:space="0" w:color="auto"/>
        <w:right w:val="none" w:sz="0" w:space="0" w:color="auto"/>
      </w:divBdr>
    </w:div>
    <w:div w:id="1917088182">
      <w:bodyDiv w:val="1"/>
      <w:marLeft w:val="0"/>
      <w:marRight w:val="0"/>
      <w:marTop w:val="0"/>
      <w:marBottom w:val="0"/>
      <w:divBdr>
        <w:top w:val="none" w:sz="0" w:space="0" w:color="auto"/>
        <w:left w:val="none" w:sz="0" w:space="0" w:color="auto"/>
        <w:bottom w:val="none" w:sz="0" w:space="0" w:color="auto"/>
        <w:right w:val="none" w:sz="0" w:space="0" w:color="auto"/>
      </w:divBdr>
    </w:div>
    <w:div w:id="1917209357">
      <w:bodyDiv w:val="1"/>
      <w:marLeft w:val="0"/>
      <w:marRight w:val="0"/>
      <w:marTop w:val="0"/>
      <w:marBottom w:val="0"/>
      <w:divBdr>
        <w:top w:val="none" w:sz="0" w:space="0" w:color="auto"/>
        <w:left w:val="none" w:sz="0" w:space="0" w:color="auto"/>
        <w:bottom w:val="none" w:sz="0" w:space="0" w:color="auto"/>
        <w:right w:val="none" w:sz="0" w:space="0" w:color="auto"/>
      </w:divBdr>
    </w:div>
    <w:div w:id="1917780466">
      <w:bodyDiv w:val="1"/>
      <w:marLeft w:val="0"/>
      <w:marRight w:val="0"/>
      <w:marTop w:val="0"/>
      <w:marBottom w:val="0"/>
      <w:divBdr>
        <w:top w:val="none" w:sz="0" w:space="0" w:color="auto"/>
        <w:left w:val="none" w:sz="0" w:space="0" w:color="auto"/>
        <w:bottom w:val="none" w:sz="0" w:space="0" w:color="auto"/>
        <w:right w:val="none" w:sz="0" w:space="0" w:color="auto"/>
      </w:divBdr>
    </w:div>
    <w:div w:id="1917812401">
      <w:bodyDiv w:val="1"/>
      <w:marLeft w:val="0"/>
      <w:marRight w:val="0"/>
      <w:marTop w:val="0"/>
      <w:marBottom w:val="0"/>
      <w:divBdr>
        <w:top w:val="none" w:sz="0" w:space="0" w:color="auto"/>
        <w:left w:val="none" w:sz="0" w:space="0" w:color="auto"/>
        <w:bottom w:val="none" w:sz="0" w:space="0" w:color="auto"/>
        <w:right w:val="none" w:sz="0" w:space="0" w:color="auto"/>
      </w:divBdr>
    </w:div>
    <w:div w:id="1919055328">
      <w:bodyDiv w:val="1"/>
      <w:marLeft w:val="0"/>
      <w:marRight w:val="0"/>
      <w:marTop w:val="0"/>
      <w:marBottom w:val="0"/>
      <w:divBdr>
        <w:top w:val="none" w:sz="0" w:space="0" w:color="auto"/>
        <w:left w:val="none" w:sz="0" w:space="0" w:color="auto"/>
        <w:bottom w:val="none" w:sz="0" w:space="0" w:color="auto"/>
        <w:right w:val="none" w:sz="0" w:space="0" w:color="auto"/>
      </w:divBdr>
    </w:div>
    <w:div w:id="1919245418">
      <w:bodyDiv w:val="1"/>
      <w:marLeft w:val="0"/>
      <w:marRight w:val="0"/>
      <w:marTop w:val="0"/>
      <w:marBottom w:val="0"/>
      <w:divBdr>
        <w:top w:val="none" w:sz="0" w:space="0" w:color="auto"/>
        <w:left w:val="none" w:sz="0" w:space="0" w:color="auto"/>
        <w:bottom w:val="none" w:sz="0" w:space="0" w:color="auto"/>
        <w:right w:val="none" w:sz="0" w:space="0" w:color="auto"/>
      </w:divBdr>
    </w:div>
    <w:div w:id="1920141435">
      <w:bodyDiv w:val="1"/>
      <w:marLeft w:val="0"/>
      <w:marRight w:val="0"/>
      <w:marTop w:val="0"/>
      <w:marBottom w:val="0"/>
      <w:divBdr>
        <w:top w:val="none" w:sz="0" w:space="0" w:color="auto"/>
        <w:left w:val="none" w:sz="0" w:space="0" w:color="auto"/>
        <w:bottom w:val="none" w:sz="0" w:space="0" w:color="auto"/>
        <w:right w:val="none" w:sz="0" w:space="0" w:color="auto"/>
      </w:divBdr>
    </w:div>
    <w:div w:id="1920671957">
      <w:bodyDiv w:val="1"/>
      <w:marLeft w:val="0"/>
      <w:marRight w:val="0"/>
      <w:marTop w:val="0"/>
      <w:marBottom w:val="0"/>
      <w:divBdr>
        <w:top w:val="none" w:sz="0" w:space="0" w:color="auto"/>
        <w:left w:val="none" w:sz="0" w:space="0" w:color="auto"/>
        <w:bottom w:val="none" w:sz="0" w:space="0" w:color="auto"/>
        <w:right w:val="none" w:sz="0" w:space="0" w:color="auto"/>
      </w:divBdr>
    </w:div>
    <w:div w:id="1920944211">
      <w:bodyDiv w:val="1"/>
      <w:marLeft w:val="0"/>
      <w:marRight w:val="0"/>
      <w:marTop w:val="0"/>
      <w:marBottom w:val="0"/>
      <w:divBdr>
        <w:top w:val="none" w:sz="0" w:space="0" w:color="auto"/>
        <w:left w:val="none" w:sz="0" w:space="0" w:color="auto"/>
        <w:bottom w:val="none" w:sz="0" w:space="0" w:color="auto"/>
        <w:right w:val="none" w:sz="0" w:space="0" w:color="auto"/>
      </w:divBdr>
    </w:div>
    <w:div w:id="1921791131">
      <w:bodyDiv w:val="1"/>
      <w:marLeft w:val="0"/>
      <w:marRight w:val="0"/>
      <w:marTop w:val="0"/>
      <w:marBottom w:val="0"/>
      <w:divBdr>
        <w:top w:val="none" w:sz="0" w:space="0" w:color="auto"/>
        <w:left w:val="none" w:sz="0" w:space="0" w:color="auto"/>
        <w:bottom w:val="none" w:sz="0" w:space="0" w:color="auto"/>
        <w:right w:val="none" w:sz="0" w:space="0" w:color="auto"/>
      </w:divBdr>
    </w:div>
    <w:div w:id="1921986190">
      <w:bodyDiv w:val="1"/>
      <w:marLeft w:val="0"/>
      <w:marRight w:val="0"/>
      <w:marTop w:val="0"/>
      <w:marBottom w:val="0"/>
      <w:divBdr>
        <w:top w:val="none" w:sz="0" w:space="0" w:color="auto"/>
        <w:left w:val="none" w:sz="0" w:space="0" w:color="auto"/>
        <w:bottom w:val="none" w:sz="0" w:space="0" w:color="auto"/>
        <w:right w:val="none" w:sz="0" w:space="0" w:color="auto"/>
      </w:divBdr>
    </w:div>
    <w:div w:id="1922520499">
      <w:bodyDiv w:val="1"/>
      <w:marLeft w:val="0"/>
      <w:marRight w:val="0"/>
      <w:marTop w:val="0"/>
      <w:marBottom w:val="0"/>
      <w:divBdr>
        <w:top w:val="none" w:sz="0" w:space="0" w:color="auto"/>
        <w:left w:val="none" w:sz="0" w:space="0" w:color="auto"/>
        <w:bottom w:val="none" w:sz="0" w:space="0" w:color="auto"/>
        <w:right w:val="none" w:sz="0" w:space="0" w:color="auto"/>
      </w:divBdr>
    </w:div>
    <w:div w:id="1922716647">
      <w:bodyDiv w:val="1"/>
      <w:marLeft w:val="0"/>
      <w:marRight w:val="0"/>
      <w:marTop w:val="0"/>
      <w:marBottom w:val="0"/>
      <w:divBdr>
        <w:top w:val="none" w:sz="0" w:space="0" w:color="auto"/>
        <w:left w:val="none" w:sz="0" w:space="0" w:color="auto"/>
        <w:bottom w:val="none" w:sz="0" w:space="0" w:color="auto"/>
        <w:right w:val="none" w:sz="0" w:space="0" w:color="auto"/>
      </w:divBdr>
    </w:div>
    <w:div w:id="1922983351">
      <w:bodyDiv w:val="1"/>
      <w:marLeft w:val="0"/>
      <w:marRight w:val="0"/>
      <w:marTop w:val="0"/>
      <w:marBottom w:val="0"/>
      <w:divBdr>
        <w:top w:val="none" w:sz="0" w:space="0" w:color="auto"/>
        <w:left w:val="none" w:sz="0" w:space="0" w:color="auto"/>
        <w:bottom w:val="none" w:sz="0" w:space="0" w:color="auto"/>
        <w:right w:val="none" w:sz="0" w:space="0" w:color="auto"/>
      </w:divBdr>
    </w:div>
    <w:div w:id="1923104731">
      <w:bodyDiv w:val="1"/>
      <w:marLeft w:val="0"/>
      <w:marRight w:val="0"/>
      <w:marTop w:val="0"/>
      <w:marBottom w:val="0"/>
      <w:divBdr>
        <w:top w:val="none" w:sz="0" w:space="0" w:color="auto"/>
        <w:left w:val="none" w:sz="0" w:space="0" w:color="auto"/>
        <w:bottom w:val="none" w:sz="0" w:space="0" w:color="auto"/>
        <w:right w:val="none" w:sz="0" w:space="0" w:color="auto"/>
      </w:divBdr>
    </w:div>
    <w:div w:id="1923366951">
      <w:bodyDiv w:val="1"/>
      <w:marLeft w:val="0"/>
      <w:marRight w:val="0"/>
      <w:marTop w:val="0"/>
      <w:marBottom w:val="0"/>
      <w:divBdr>
        <w:top w:val="none" w:sz="0" w:space="0" w:color="auto"/>
        <w:left w:val="none" w:sz="0" w:space="0" w:color="auto"/>
        <w:bottom w:val="none" w:sz="0" w:space="0" w:color="auto"/>
        <w:right w:val="none" w:sz="0" w:space="0" w:color="auto"/>
      </w:divBdr>
    </w:div>
    <w:div w:id="1923642243">
      <w:bodyDiv w:val="1"/>
      <w:marLeft w:val="0"/>
      <w:marRight w:val="0"/>
      <w:marTop w:val="0"/>
      <w:marBottom w:val="0"/>
      <w:divBdr>
        <w:top w:val="none" w:sz="0" w:space="0" w:color="auto"/>
        <w:left w:val="none" w:sz="0" w:space="0" w:color="auto"/>
        <w:bottom w:val="none" w:sz="0" w:space="0" w:color="auto"/>
        <w:right w:val="none" w:sz="0" w:space="0" w:color="auto"/>
      </w:divBdr>
    </w:div>
    <w:div w:id="1923876519">
      <w:bodyDiv w:val="1"/>
      <w:marLeft w:val="0"/>
      <w:marRight w:val="0"/>
      <w:marTop w:val="0"/>
      <w:marBottom w:val="0"/>
      <w:divBdr>
        <w:top w:val="none" w:sz="0" w:space="0" w:color="auto"/>
        <w:left w:val="none" w:sz="0" w:space="0" w:color="auto"/>
        <w:bottom w:val="none" w:sz="0" w:space="0" w:color="auto"/>
        <w:right w:val="none" w:sz="0" w:space="0" w:color="auto"/>
      </w:divBdr>
    </w:div>
    <w:div w:id="1924222847">
      <w:bodyDiv w:val="1"/>
      <w:marLeft w:val="0"/>
      <w:marRight w:val="0"/>
      <w:marTop w:val="0"/>
      <w:marBottom w:val="0"/>
      <w:divBdr>
        <w:top w:val="none" w:sz="0" w:space="0" w:color="auto"/>
        <w:left w:val="none" w:sz="0" w:space="0" w:color="auto"/>
        <w:bottom w:val="none" w:sz="0" w:space="0" w:color="auto"/>
        <w:right w:val="none" w:sz="0" w:space="0" w:color="auto"/>
      </w:divBdr>
    </w:div>
    <w:div w:id="1924490132">
      <w:bodyDiv w:val="1"/>
      <w:marLeft w:val="0"/>
      <w:marRight w:val="0"/>
      <w:marTop w:val="0"/>
      <w:marBottom w:val="0"/>
      <w:divBdr>
        <w:top w:val="none" w:sz="0" w:space="0" w:color="auto"/>
        <w:left w:val="none" w:sz="0" w:space="0" w:color="auto"/>
        <w:bottom w:val="none" w:sz="0" w:space="0" w:color="auto"/>
        <w:right w:val="none" w:sz="0" w:space="0" w:color="auto"/>
      </w:divBdr>
    </w:div>
    <w:div w:id="1924953485">
      <w:bodyDiv w:val="1"/>
      <w:marLeft w:val="0"/>
      <w:marRight w:val="0"/>
      <w:marTop w:val="0"/>
      <w:marBottom w:val="0"/>
      <w:divBdr>
        <w:top w:val="none" w:sz="0" w:space="0" w:color="auto"/>
        <w:left w:val="none" w:sz="0" w:space="0" w:color="auto"/>
        <w:bottom w:val="none" w:sz="0" w:space="0" w:color="auto"/>
        <w:right w:val="none" w:sz="0" w:space="0" w:color="auto"/>
      </w:divBdr>
    </w:div>
    <w:div w:id="1925525035">
      <w:bodyDiv w:val="1"/>
      <w:marLeft w:val="0"/>
      <w:marRight w:val="0"/>
      <w:marTop w:val="0"/>
      <w:marBottom w:val="0"/>
      <w:divBdr>
        <w:top w:val="none" w:sz="0" w:space="0" w:color="auto"/>
        <w:left w:val="none" w:sz="0" w:space="0" w:color="auto"/>
        <w:bottom w:val="none" w:sz="0" w:space="0" w:color="auto"/>
        <w:right w:val="none" w:sz="0" w:space="0" w:color="auto"/>
      </w:divBdr>
    </w:div>
    <w:div w:id="1925652310">
      <w:bodyDiv w:val="1"/>
      <w:marLeft w:val="0"/>
      <w:marRight w:val="0"/>
      <w:marTop w:val="0"/>
      <w:marBottom w:val="0"/>
      <w:divBdr>
        <w:top w:val="none" w:sz="0" w:space="0" w:color="auto"/>
        <w:left w:val="none" w:sz="0" w:space="0" w:color="auto"/>
        <w:bottom w:val="none" w:sz="0" w:space="0" w:color="auto"/>
        <w:right w:val="none" w:sz="0" w:space="0" w:color="auto"/>
      </w:divBdr>
    </w:div>
    <w:div w:id="1925800964">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
    <w:div w:id="1926305767">
      <w:bodyDiv w:val="1"/>
      <w:marLeft w:val="0"/>
      <w:marRight w:val="0"/>
      <w:marTop w:val="0"/>
      <w:marBottom w:val="0"/>
      <w:divBdr>
        <w:top w:val="none" w:sz="0" w:space="0" w:color="auto"/>
        <w:left w:val="none" w:sz="0" w:space="0" w:color="auto"/>
        <w:bottom w:val="none" w:sz="0" w:space="0" w:color="auto"/>
        <w:right w:val="none" w:sz="0" w:space="0" w:color="auto"/>
      </w:divBdr>
    </w:div>
    <w:div w:id="1926569388">
      <w:bodyDiv w:val="1"/>
      <w:marLeft w:val="0"/>
      <w:marRight w:val="0"/>
      <w:marTop w:val="0"/>
      <w:marBottom w:val="0"/>
      <w:divBdr>
        <w:top w:val="none" w:sz="0" w:space="0" w:color="auto"/>
        <w:left w:val="none" w:sz="0" w:space="0" w:color="auto"/>
        <w:bottom w:val="none" w:sz="0" w:space="0" w:color="auto"/>
        <w:right w:val="none" w:sz="0" w:space="0" w:color="auto"/>
      </w:divBdr>
    </w:div>
    <w:div w:id="1926649655">
      <w:bodyDiv w:val="1"/>
      <w:marLeft w:val="0"/>
      <w:marRight w:val="0"/>
      <w:marTop w:val="0"/>
      <w:marBottom w:val="0"/>
      <w:divBdr>
        <w:top w:val="none" w:sz="0" w:space="0" w:color="auto"/>
        <w:left w:val="none" w:sz="0" w:space="0" w:color="auto"/>
        <w:bottom w:val="none" w:sz="0" w:space="0" w:color="auto"/>
        <w:right w:val="none" w:sz="0" w:space="0" w:color="auto"/>
      </w:divBdr>
    </w:div>
    <w:div w:id="1927106908">
      <w:bodyDiv w:val="1"/>
      <w:marLeft w:val="0"/>
      <w:marRight w:val="0"/>
      <w:marTop w:val="0"/>
      <w:marBottom w:val="0"/>
      <w:divBdr>
        <w:top w:val="none" w:sz="0" w:space="0" w:color="auto"/>
        <w:left w:val="none" w:sz="0" w:space="0" w:color="auto"/>
        <w:bottom w:val="none" w:sz="0" w:space="0" w:color="auto"/>
        <w:right w:val="none" w:sz="0" w:space="0" w:color="auto"/>
      </w:divBdr>
    </w:div>
    <w:div w:id="1927641748">
      <w:bodyDiv w:val="1"/>
      <w:marLeft w:val="0"/>
      <w:marRight w:val="0"/>
      <w:marTop w:val="0"/>
      <w:marBottom w:val="0"/>
      <w:divBdr>
        <w:top w:val="none" w:sz="0" w:space="0" w:color="auto"/>
        <w:left w:val="none" w:sz="0" w:space="0" w:color="auto"/>
        <w:bottom w:val="none" w:sz="0" w:space="0" w:color="auto"/>
        <w:right w:val="none" w:sz="0" w:space="0" w:color="auto"/>
      </w:divBdr>
    </w:div>
    <w:div w:id="1928265786">
      <w:bodyDiv w:val="1"/>
      <w:marLeft w:val="0"/>
      <w:marRight w:val="0"/>
      <w:marTop w:val="0"/>
      <w:marBottom w:val="0"/>
      <w:divBdr>
        <w:top w:val="none" w:sz="0" w:space="0" w:color="auto"/>
        <w:left w:val="none" w:sz="0" w:space="0" w:color="auto"/>
        <w:bottom w:val="none" w:sz="0" w:space="0" w:color="auto"/>
        <w:right w:val="none" w:sz="0" w:space="0" w:color="auto"/>
      </w:divBdr>
    </w:div>
    <w:div w:id="1928999789">
      <w:bodyDiv w:val="1"/>
      <w:marLeft w:val="0"/>
      <w:marRight w:val="0"/>
      <w:marTop w:val="0"/>
      <w:marBottom w:val="0"/>
      <w:divBdr>
        <w:top w:val="none" w:sz="0" w:space="0" w:color="auto"/>
        <w:left w:val="none" w:sz="0" w:space="0" w:color="auto"/>
        <w:bottom w:val="none" w:sz="0" w:space="0" w:color="auto"/>
        <w:right w:val="none" w:sz="0" w:space="0" w:color="auto"/>
      </w:divBdr>
    </w:div>
    <w:div w:id="1929576509">
      <w:bodyDiv w:val="1"/>
      <w:marLeft w:val="0"/>
      <w:marRight w:val="0"/>
      <w:marTop w:val="0"/>
      <w:marBottom w:val="0"/>
      <w:divBdr>
        <w:top w:val="none" w:sz="0" w:space="0" w:color="auto"/>
        <w:left w:val="none" w:sz="0" w:space="0" w:color="auto"/>
        <w:bottom w:val="none" w:sz="0" w:space="0" w:color="auto"/>
        <w:right w:val="none" w:sz="0" w:space="0" w:color="auto"/>
      </w:divBdr>
    </w:div>
    <w:div w:id="1929726456">
      <w:bodyDiv w:val="1"/>
      <w:marLeft w:val="0"/>
      <w:marRight w:val="0"/>
      <w:marTop w:val="0"/>
      <w:marBottom w:val="0"/>
      <w:divBdr>
        <w:top w:val="none" w:sz="0" w:space="0" w:color="auto"/>
        <w:left w:val="none" w:sz="0" w:space="0" w:color="auto"/>
        <w:bottom w:val="none" w:sz="0" w:space="0" w:color="auto"/>
        <w:right w:val="none" w:sz="0" w:space="0" w:color="auto"/>
      </w:divBdr>
    </w:div>
    <w:div w:id="1930578377">
      <w:bodyDiv w:val="1"/>
      <w:marLeft w:val="0"/>
      <w:marRight w:val="0"/>
      <w:marTop w:val="0"/>
      <w:marBottom w:val="0"/>
      <w:divBdr>
        <w:top w:val="none" w:sz="0" w:space="0" w:color="auto"/>
        <w:left w:val="none" w:sz="0" w:space="0" w:color="auto"/>
        <w:bottom w:val="none" w:sz="0" w:space="0" w:color="auto"/>
        <w:right w:val="none" w:sz="0" w:space="0" w:color="auto"/>
      </w:divBdr>
    </w:div>
    <w:div w:id="1930968171">
      <w:bodyDiv w:val="1"/>
      <w:marLeft w:val="0"/>
      <w:marRight w:val="0"/>
      <w:marTop w:val="0"/>
      <w:marBottom w:val="0"/>
      <w:divBdr>
        <w:top w:val="none" w:sz="0" w:space="0" w:color="auto"/>
        <w:left w:val="none" w:sz="0" w:space="0" w:color="auto"/>
        <w:bottom w:val="none" w:sz="0" w:space="0" w:color="auto"/>
        <w:right w:val="none" w:sz="0" w:space="0" w:color="auto"/>
      </w:divBdr>
    </w:div>
    <w:div w:id="1931887998">
      <w:bodyDiv w:val="1"/>
      <w:marLeft w:val="0"/>
      <w:marRight w:val="0"/>
      <w:marTop w:val="0"/>
      <w:marBottom w:val="0"/>
      <w:divBdr>
        <w:top w:val="none" w:sz="0" w:space="0" w:color="auto"/>
        <w:left w:val="none" w:sz="0" w:space="0" w:color="auto"/>
        <w:bottom w:val="none" w:sz="0" w:space="0" w:color="auto"/>
        <w:right w:val="none" w:sz="0" w:space="0" w:color="auto"/>
      </w:divBdr>
    </w:div>
    <w:div w:id="1932397767">
      <w:bodyDiv w:val="1"/>
      <w:marLeft w:val="0"/>
      <w:marRight w:val="0"/>
      <w:marTop w:val="0"/>
      <w:marBottom w:val="0"/>
      <w:divBdr>
        <w:top w:val="none" w:sz="0" w:space="0" w:color="auto"/>
        <w:left w:val="none" w:sz="0" w:space="0" w:color="auto"/>
        <w:bottom w:val="none" w:sz="0" w:space="0" w:color="auto"/>
        <w:right w:val="none" w:sz="0" w:space="0" w:color="auto"/>
      </w:divBdr>
    </w:div>
    <w:div w:id="1932545255">
      <w:bodyDiv w:val="1"/>
      <w:marLeft w:val="0"/>
      <w:marRight w:val="0"/>
      <w:marTop w:val="0"/>
      <w:marBottom w:val="0"/>
      <w:divBdr>
        <w:top w:val="none" w:sz="0" w:space="0" w:color="auto"/>
        <w:left w:val="none" w:sz="0" w:space="0" w:color="auto"/>
        <w:bottom w:val="none" w:sz="0" w:space="0" w:color="auto"/>
        <w:right w:val="none" w:sz="0" w:space="0" w:color="auto"/>
      </w:divBdr>
    </w:div>
    <w:div w:id="1933272186">
      <w:bodyDiv w:val="1"/>
      <w:marLeft w:val="0"/>
      <w:marRight w:val="0"/>
      <w:marTop w:val="0"/>
      <w:marBottom w:val="0"/>
      <w:divBdr>
        <w:top w:val="none" w:sz="0" w:space="0" w:color="auto"/>
        <w:left w:val="none" w:sz="0" w:space="0" w:color="auto"/>
        <w:bottom w:val="none" w:sz="0" w:space="0" w:color="auto"/>
        <w:right w:val="none" w:sz="0" w:space="0" w:color="auto"/>
      </w:divBdr>
    </w:div>
    <w:div w:id="1933272847">
      <w:bodyDiv w:val="1"/>
      <w:marLeft w:val="0"/>
      <w:marRight w:val="0"/>
      <w:marTop w:val="0"/>
      <w:marBottom w:val="0"/>
      <w:divBdr>
        <w:top w:val="none" w:sz="0" w:space="0" w:color="auto"/>
        <w:left w:val="none" w:sz="0" w:space="0" w:color="auto"/>
        <w:bottom w:val="none" w:sz="0" w:space="0" w:color="auto"/>
        <w:right w:val="none" w:sz="0" w:space="0" w:color="auto"/>
      </w:divBdr>
    </w:div>
    <w:div w:id="1933396409">
      <w:bodyDiv w:val="1"/>
      <w:marLeft w:val="0"/>
      <w:marRight w:val="0"/>
      <w:marTop w:val="0"/>
      <w:marBottom w:val="0"/>
      <w:divBdr>
        <w:top w:val="none" w:sz="0" w:space="0" w:color="auto"/>
        <w:left w:val="none" w:sz="0" w:space="0" w:color="auto"/>
        <w:bottom w:val="none" w:sz="0" w:space="0" w:color="auto"/>
        <w:right w:val="none" w:sz="0" w:space="0" w:color="auto"/>
      </w:divBdr>
    </w:div>
    <w:div w:id="1933968761">
      <w:bodyDiv w:val="1"/>
      <w:marLeft w:val="0"/>
      <w:marRight w:val="0"/>
      <w:marTop w:val="0"/>
      <w:marBottom w:val="0"/>
      <w:divBdr>
        <w:top w:val="none" w:sz="0" w:space="0" w:color="auto"/>
        <w:left w:val="none" w:sz="0" w:space="0" w:color="auto"/>
        <w:bottom w:val="none" w:sz="0" w:space="0" w:color="auto"/>
        <w:right w:val="none" w:sz="0" w:space="0" w:color="auto"/>
      </w:divBdr>
    </w:div>
    <w:div w:id="1933976436">
      <w:bodyDiv w:val="1"/>
      <w:marLeft w:val="0"/>
      <w:marRight w:val="0"/>
      <w:marTop w:val="0"/>
      <w:marBottom w:val="0"/>
      <w:divBdr>
        <w:top w:val="none" w:sz="0" w:space="0" w:color="auto"/>
        <w:left w:val="none" w:sz="0" w:space="0" w:color="auto"/>
        <w:bottom w:val="none" w:sz="0" w:space="0" w:color="auto"/>
        <w:right w:val="none" w:sz="0" w:space="0" w:color="auto"/>
      </w:divBdr>
    </w:div>
    <w:div w:id="1934120673">
      <w:bodyDiv w:val="1"/>
      <w:marLeft w:val="0"/>
      <w:marRight w:val="0"/>
      <w:marTop w:val="0"/>
      <w:marBottom w:val="0"/>
      <w:divBdr>
        <w:top w:val="none" w:sz="0" w:space="0" w:color="auto"/>
        <w:left w:val="none" w:sz="0" w:space="0" w:color="auto"/>
        <w:bottom w:val="none" w:sz="0" w:space="0" w:color="auto"/>
        <w:right w:val="none" w:sz="0" w:space="0" w:color="auto"/>
      </w:divBdr>
    </w:div>
    <w:div w:id="1934166959">
      <w:bodyDiv w:val="1"/>
      <w:marLeft w:val="0"/>
      <w:marRight w:val="0"/>
      <w:marTop w:val="0"/>
      <w:marBottom w:val="0"/>
      <w:divBdr>
        <w:top w:val="none" w:sz="0" w:space="0" w:color="auto"/>
        <w:left w:val="none" w:sz="0" w:space="0" w:color="auto"/>
        <w:bottom w:val="none" w:sz="0" w:space="0" w:color="auto"/>
        <w:right w:val="none" w:sz="0" w:space="0" w:color="auto"/>
      </w:divBdr>
    </w:div>
    <w:div w:id="1934625407">
      <w:bodyDiv w:val="1"/>
      <w:marLeft w:val="0"/>
      <w:marRight w:val="0"/>
      <w:marTop w:val="0"/>
      <w:marBottom w:val="0"/>
      <w:divBdr>
        <w:top w:val="none" w:sz="0" w:space="0" w:color="auto"/>
        <w:left w:val="none" w:sz="0" w:space="0" w:color="auto"/>
        <w:bottom w:val="none" w:sz="0" w:space="0" w:color="auto"/>
        <w:right w:val="none" w:sz="0" w:space="0" w:color="auto"/>
      </w:divBdr>
    </w:div>
    <w:div w:id="1934707543">
      <w:bodyDiv w:val="1"/>
      <w:marLeft w:val="0"/>
      <w:marRight w:val="0"/>
      <w:marTop w:val="0"/>
      <w:marBottom w:val="0"/>
      <w:divBdr>
        <w:top w:val="none" w:sz="0" w:space="0" w:color="auto"/>
        <w:left w:val="none" w:sz="0" w:space="0" w:color="auto"/>
        <w:bottom w:val="none" w:sz="0" w:space="0" w:color="auto"/>
        <w:right w:val="none" w:sz="0" w:space="0" w:color="auto"/>
      </w:divBdr>
    </w:div>
    <w:div w:id="1934973082">
      <w:bodyDiv w:val="1"/>
      <w:marLeft w:val="0"/>
      <w:marRight w:val="0"/>
      <w:marTop w:val="0"/>
      <w:marBottom w:val="0"/>
      <w:divBdr>
        <w:top w:val="none" w:sz="0" w:space="0" w:color="auto"/>
        <w:left w:val="none" w:sz="0" w:space="0" w:color="auto"/>
        <w:bottom w:val="none" w:sz="0" w:space="0" w:color="auto"/>
        <w:right w:val="none" w:sz="0" w:space="0" w:color="auto"/>
      </w:divBdr>
    </w:div>
    <w:div w:id="1935433312">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35941176">
      <w:bodyDiv w:val="1"/>
      <w:marLeft w:val="0"/>
      <w:marRight w:val="0"/>
      <w:marTop w:val="0"/>
      <w:marBottom w:val="0"/>
      <w:divBdr>
        <w:top w:val="none" w:sz="0" w:space="0" w:color="auto"/>
        <w:left w:val="none" w:sz="0" w:space="0" w:color="auto"/>
        <w:bottom w:val="none" w:sz="0" w:space="0" w:color="auto"/>
        <w:right w:val="none" w:sz="0" w:space="0" w:color="auto"/>
      </w:divBdr>
    </w:div>
    <w:div w:id="1936084937">
      <w:bodyDiv w:val="1"/>
      <w:marLeft w:val="0"/>
      <w:marRight w:val="0"/>
      <w:marTop w:val="0"/>
      <w:marBottom w:val="0"/>
      <w:divBdr>
        <w:top w:val="none" w:sz="0" w:space="0" w:color="auto"/>
        <w:left w:val="none" w:sz="0" w:space="0" w:color="auto"/>
        <w:bottom w:val="none" w:sz="0" w:space="0" w:color="auto"/>
        <w:right w:val="none" w:sz="0" w:space="0" w:color="auto"/>
      </w:divBdr>
    </w:div>
    <w:div w:id="1936787739">
      <w:bodyDiv w:val="1"/>
      <w:marLeft w:val="0"/>
      <w:marRight w:val="0"/>
      <w:marTop w:val="0"/>
      <w:marBottom w:val="0"/>
      <w:divBdr>
        <w:top w:val="none" w:sz="0" w:space="0" w:color="auto"/>
        <w:left w:val="none" w:sz="0" w:space="0" w:color="auto"/>
        <w:bottom w:val="none" w:sz="0" w:space="0" w:color="auto"/>
        <w:right w:val="none" w:sz="0" w:space="0" w:color="auto"/>
      </w:divBdr>
    </w:div>
    <w:div w:id="1936818111">
      <w:bodyDiv w:val="1"/>
      <w:marLeft w:val="0"/>
      <w:marRight w:val="0"/>
      <w:marTop w:val="0"/>
      <w:marBottom w:val="0"/>
      <w:divBdr>
        <w:top w:val="none" w:sz="0" w:space="0" w:color="auto"/>
        <w:left w:val="none" w:sz="0" w:space="0" w:color="auto"/>
        <w:bottom w:val="none" w:sz="0" w:space="0" w:color="auto"/>
        <w:right w:val="none" w:sz="0" w:space="0" w:color="auto"/>
      </w:divBdr>
    </w:div>
    <w:div w:id="1937206408">
      <w:bodyDiv w:val="1"/>
      <w:marLeft w:val="0"/>
      <w:marRight w:val="0"/>
      <w:marTop w:val="0"/>
      <w:marBottom w:val="0"/>
      <w:divBdr>
        <w:top w:val="none" w:sz="0" w:space="0" w:color="auto"/>
        <w:left w:val="none" w:sz="0" w:space="0" w:color="auto"/>
        <w:bottom w:val="none" w:sz="0" w:space="0" w:color="auto"/>
        <w:right w:val="none" w:sz="0" w:space="0" w:color="auto"/>
      </w:divBdr>
    </w:div>
    <w:div w:id="1937666361">
      <w:bodyDiv w:val="1"/>
      <w:marLeft w:val="0"/>
      <w:marRight w:val="0"/>
      <w:marTop w:val="0"/>
      <w:marBottom w:val="0"/>
      <w:divBdr>
        <w:top w:val="none" w:sz="0" w:space="0" w:color="auto"/>
        <w:left w:val="none" w:sz="0" w:space="0" w:color="auto"/>
        <w:bottom w:val="none" w:sz="0" w:space="0" w:color="auto"/>
        <w:right w:val="none" w:sz="0" w:space="0" w:color="auto"/>
      </w:divBdr>
    </w:div>
    <w:div w:id="1937783075">
      <w:bodyDiv w:val="1"/>
      <w:marLeft w:val="0"/>
      <w:marRight w:val="0"/>
      <w:marTop w:val="0"/>
      <w:marBottom w:val="0"/>
      <w:divBdr>
        <w:top w:val="none" w:sz="0" w:space="0" w:color="auto"/>
        <w:left w:val="none" w:sz="0" w:space="0" w:color="auto"/>
        <w:bottom w:val="none" w:sz="0" w:space="0" w:color="auto"/>
        <w:right w:val="none" w:sz="0" w:space="0" w:color="auto"/>
      </w:divBdr>
    </w:div>
    <w:div w:id="1937900667">
      <w:bodyDiv w:val="1"/>
      <w:marLeft w:val="0"/>
      <w:marRight w:val="0"/>
      <w:marTop w:val="0"/>
      <w:marBottom w:val="0"/>
      <w:divBdr>
        <w:top w:val="none" w:sz="0" w:space="0" w:color="auto"/>
        <w:left w:val="none" w:sz="0" w:space="0" w:color="auto"/>
        <w:bottom w:val="none" w:sz="0" w:space="0" w:color="auto"/>
        <w:right w:val="none" w:sz="0" w:space="0" w:color="auto"/>
      </w:divBdr>
    </w:div>
    <w:div w:id="1938559849">
      <w:bodyDiv w:val="1"/>
      <w:marLeft w:val="0"/>
      <w:marRight w:val="0"/>
      <w:marTop w:val="0"/>
      <w:marBottom w:val="0"/>
      <w:divBdr>
        <w:top w:val="none" w:sz="0" w:space="0" w:color="auto"/>
        <w:left w:val="none" w:sz="0" w:space="0" w:color="auto"/>
        <w:bottom w:val="none" w:sz="0" w:space="0" w:color="auto"/>
        <w:right w:val="none" w:sz="0" w:space="0" w:color="auto"/>
      </w:divBdr>
    </w:div>
    <w:div w:id="1938949672">
      <w:bodyDiv w:val="1"/>
      <w:marLeft w:val="0"/>
      <w:marRight w:val="0"/>
      <w:marTop w:val="0"/>
      <w:marBottom w:val="0"/>
      <w:divBdr>
        <w:top w:val="none" w:sz="0" w:space="0" w:color="auto"/>
        <w:left w:val="none" w:sz="0" w:space="0" w:color="auto"/>
        <w:bottom w:val="none" w:sz="0" w:space="0" w:color="auto"/>
        <w:right w:val="none" w:sz="0" w:space="0" w:color="auto"/>
      </w:divBdr>
    </w:div>
    <w:div w:id="1939827677">
      <w:bodyDiv w:val="1"/>
      <w:marLeft w:val="0"/>
      <w:marRight w:val="0"/>
      <w:marTop w:val="0"/>
      <w:marBottom w:val="0"/>
      <w:divBdr>
        <w:top w:val="none" w:sz="0" w:space="0" w:color="auto"/>
        <w:left w:val="none" w:sz="0" w:space="0" w:color="auto"/>
        <w:bottom w:val="none" w:sz="0" w:space="0" w:color="auto"/>
        <w:right w:val="none" w:sz="0" w:space="0" w:color="auto"/>
      </w:divBdr>
    </w:div>
    <w:div w:id="1940486416">
      <w:bodyDiv w:val="1"/>
      <w:marLeft w:val="0"/>
      <w:marRight w:val="0"/>
      <w:marTop w:val="0"/>
      <w:marBottom w:val="0"/>
      <w:divBdr>
        <w:top w:val="none" w:sz="0" w:space="0" w:color="auto"/>
        <w:left w:val="none" w:sz="0" w:space="0" w:color="auto"/>
        <w:bottom w:val="none" w:sz="0" w:space="0" w:color="auto"/>
        <w:right w:val="none" w:sz="0" w:space="0" w:color="auto"/>
      </w:divBdr>
    </w:div>
    <w:div w:id="1940600740">
      <w:bodyDiv w:val="1"/>
      <w:marLeft w:val="0"/>
      <w:marRight w:val="0"/>
      <w:marTop w:val="0"/>
      <w:marBottom w:val="0"/>
      <w:divBdr>
        <w:top w:val="none" w:sz="0" w:space="0" w:color="auto"/>
        <w:left w:val="none" w:sz="0" w:space="0" w:color="auto"/>
        <w:bottom w:val="none" w:sz="0" w:space="0" w:color="auto"/>
        <w:right w:val="none" w:sz="0" w:space="0" w:color="auto"/>
      </w:divBdr>
    </w:div>
    <w:div w:id="1940720933">
      <w:bodyDiv w:val="1"/>
      <w:marLeft w:val="0"/>
      <w:marRight w:val="0"/>
      <w:marTop w:val="0"/>
      <w:marBottom w:val="0"/>
      <w:divBdr>
        <w:top w:val="none" w:sz="0" w:space="0" w:color="auto"/>
        <w:left w:val="none" w:sz="0" w:space="0" w:color="auto"/>
        <w:bottom w:val="none" w:sz="0" w:space="0" w:color="auto"/>
        <w:right w:val="none" w:sz="0" w:space="0" w:color="auto"/>
      </w:divBdr>
    </w:div>
    <w:div w:id="1941141533">
      <w:bodyDiv w:val="1"/>
      <w:marLeft w:val="0"/>
      <w:marRight w:val="0"/>
      <w:marTop w:val="0"/>
      <w:marBottom w:val="0"/>
      <w:divBdr>
        <w:top w:val="none" w:sz="0" w:space="0" w:color="auto"/>
        <w:left w:val="none" w:sz="0" w:space="0" w:color="auto"/>
        <w:bottom w:val="none" w:sz="0" w:space="0" w:color="auto"/>
        <w:right w:val="none" w:sz="0" w:space="0" w:color="auto"/>
      </w:divBdr>
    </w:div>
    <w:div w:id="1942686690">
      <w:bodyDiv w:val="1"/>
      <w:marLeft w:val="0"/>
      <w:marRight w:val="0"/>
      <w:marTop w:val="0"/>
      <w:marBottom w:val="0"/>
      <w:divBdr>
        <w:top w:val="none" w:sz="0" w:space="0" w:color="auto"/>
        <w:left w:val="none" w:sz="0" w:space="0" w:color="auto"/>
        <w:bottom w:val="none" w:sz="0" w:space="0" w:color="auto"/>
        <w:right w:val="none" w:sz="0" w:space="0" w:color="auto"/>
      </w:divBdr>
    </w:div>
    <w:div w:id="1942906108">
      <w:bodyDiv w:val="1"/>
      <w:marLeft w:val="0"/>
      <w:marRight w:val="0"/>
      <w:marTop w:val="0"/>
      <w:marBottom w:val="0"/>
      <w:divBdr>
        <w:top w:val="none" w:sz="0" w:space="0" w:color="auto"/>
        <w:left w:val="none" w:sz="0" w:space="0" w:color="auto"/>
        <w:bottom w:val="none" w:sz="0" w:space="0" w:color="auto"/>
        <w:right w:val="none" w:sz="0" w:space="0" w:color="auto"/>
      </w:divBdr>
    </w:div>
    <w:div w:id="1944069896">
      <w:bodyDiv w:val="1"/>
      <w:marLeft w:val="0"/>
      <w:marRight w:val="0"/>
      <w:marTop w:val="0"/>
      <w:marBottom w:val="0"/>
      <w:divBdr>
        <w:top w:val="none" w:sz="0" w:space="0" w:color="auto"/>
        <w:left w:val="none" w:sz="0" w:space="0" w:color="auto"/>
        <w:bottom w:val="none" w:sz="0" w:space="0" w:color="auto"/>
        <w:right w:val="none" w:sz="0" w:space="0" w:color="auto"/>
      </w:divBdr>
    </w:div>
    <w:div w:id="1944262502">
      <w:bodyDiv w:val="1"/>
      <w:marLeft w:val="0"/>
      <w:marRight w:val="0"/>
      <w:marTop w:val="0"/>
      <w:marBottom w:val="0"/>
      <w:divBdr>
        <w:top w:val="none" w:sz="0" w:space="0" w:color="auto"/>
        <w:left w:val="none" w:sz="0" w:space="0" w:color="auto"/>
        <w:bottom w:val="none" w:sz="0" w:space="0" w:color="auto"/>
        <w:right w:val="none" w:sz="0" w:space="0" w:color="auto"/>
      </w:divBdr>
    </w:div>
    <w:div w:id="1944413453">
      <w:bodyDiv w:val="1"/>
      <w:marLeft w:val="0"/>
      <w:marRight w:val="0"/>
      <w:marTop w:val="0"/>
      <w:marBottom w:val="0"/>
      <w:divBdr>
        <w:top w:val="none" w:sz="0" w:space="0" w:color="auto"/>
        <w:left w:val="none" w:sz="0" w:space="0" w:color="auto"/>
        <w:bottom w:val="none" w:sz="0" w:space="0" w:color="auto"/>
        <w:right w:val="none" w:sz="0" w:space="0" w:color="auto"/>
      </w:divBdr>
    </w:div>
    <w:div w:id="1945260055">
      <w:bodyDiv w:val="1"/>
      <w:marLeft w:val="0"/>
      <w:marRight w:val="0"/>
      <w:marTop w:val="0"/>
      <w:marBottom w:val="0"/>
      <w:divBdr>
        <w:top w:val="none" w:sz="0" w:space="0" w:color="auto"/>
        <w:left w:val="none" w:sz="0" w:space="0" w:color="auto"/>
        <w:bottom w:val="none" w:sz="0" w:space="0" w:color="auto"/>
        <w:right w:val="none" w:sz="0" w:space="0" w:color="auto"/>
      </w:divBdr>
    </w:div>
    <w:div w:id="1945990492">
      <w:bodyDiv w:val="1"/>
      <w:marLeft w:val="0"/>
      <w:marRight w:val="0"/>
      <w:marTop w:val="0"/>
      <w:marBottom w:val="0"/>
      <w:divBdr>
        <w:top w:val="none" w:sz="0" w:space="0" w:color="auto"/>
        <w:left w:val="none" w:sz="0" w:space="0" w:color="auto"/>
        <w:bottom w:val="none" w:sz="0" w:space="0" w:color="auto"/>
        <w:right w:val="none" w:sz="0" w:space="0" w:color="auto"/>
      </w:divBdr>
    </w:div>
    <w:div w:id="1946421421">
      <w:bodyDiv w:val="1"/>
      <w:marLeft w:val="0"/>
      <w:marRight w:val="0"/>
      <w:marTop w:val="0"/>
      <w:marBottom w:val="0"/>
      <w:divBdr>
        <w:top w:val="none" w:sz="0" w:space="0" w:color="auto"/>
        <w:left w:val="none" w:sz="0" w:space="0" w:color="auto"/>
        <w:bottom w:val="none" w:sz="0" w:space="0" w:color="auto"/>
        <w:right w:val="none" w:sz="0" w:space="0" w:color="auto"/>
      </w:divBdr>
    </w:div>
    <w:div w:id="1946569920">
      <w:bodyDiv w:val="1"/>
      <w:marLeft w:val="0"/>
      <w:marRight w:val="0"/>
      <w:marTop w:val="0"/>
      <w:marBottom w:val="0"/>
      <w:divBdr>
        <w:top w:val="none" w:sz="0" w:space="0" w:color="auto"/>
        <w:left w:val="none" w:sz="0" w:space="0" w:color="auto"/>
        <w:bottom w:val="none" w:sz="0" w:space="0" w:color="auto"/>
        <w:right w:val="none" w:sz="0" w:space="0" w:color="auto"/>
      </w:divBdr>
    </w:div>
    <w:div w:id="1946763612">
      <w:bodyDiv w:val="1"/>
      <w:marLeft w:val="0"/>
      <w:marRight w:val="0"/>
      <w:marTop w:val="0"/>
      <w:marBottom w:val="0"/>
      <w:divBdr>
        <w:top w:val="none" w:sz="0" w:space="0" w:color="auto"/>
        <w:left w:val="none" w:sz="0" w:space="0" w:color="auto"/>
        <w:bottom w:val="none" w:sz="0" w:space="0" w:color="auto"/>
        <w:right w:val="none" w:sz="0" w:space="0" w:color="auto"/>
      </w:divBdr>
    </w:div>
    <w:div w:id="1946768163">
      <w:bodyDiv w:val="1"/>
      <w:marLeft w:val="0"/>
      <w:marRight w:val="0"/>
      <w:marTop w:val="0"/>
      <w:marBottom w:val="0"/>
      <w:divBdr>
        <w:top w:val="none" w:sz="0" w:space="0" w:color="auto"/>
        <w:left w:val="none" w:sz="0" w:space="0" w:color="auto"/>
        <w:bottom w:val="none" w:sz="0" w:space="0" w:color="auto"/>
        <w:right w:val="none" w:sz="0" w:space="0" w:color="auto"/>
      </w:divBdr>
    </w:div>
    <w:div w:id="1947347565">
      <w:bodyDiv w:val="1"/>
      <w:marLeft w:val="0"/>
      <w:marRight w:val="0"/>
      <w:marTop w:val="0"/>
      <w:marBottom w:val="0"/>
      <w:divBdr>
        <w:top w:val="none" w:sz="0" w:space="0" w:color="auto"/>
        <w:left w:val="none" w:sz="0" w:space="0" w:color="auto"/>
        <w:bottom w:val="none" w:sz="0" w:space="0" w:color="auto"/>
        <w:right w:val="none" w:sz="0" w:space="0" w:color="auto"/>
      </w:divBdr>
    </w:div>
    <w:div w:id="1947730538">
      <w:bodyDiv w:val="1"/>
      <w:marLeft w:val="0"/>
      <w:marRight w:val="0"/>
      <w:marTop w:val="0"/>
      <w:marBottom w:val="0"/>
      <w:divBdr>
        <w:top w:val="none" w:sz="0" w:space="0" w:color="auto"/>
        <w:left w:val="none" w:sz="0" w:space="0" w:color="auto"/>
        <w:bottom w:val="none" w:sz="0" w:space="0" w:color="auto"/>
        <w:right w:val="none" w:sz="0" w:space="0" w:color="auto"/>
      </w:divBdr>
    </w:div>
    <w:div w:id="1948000885">
      <w:bodyDiv w:val="1"/>
      <w:marLeft w:val="0"/>
      <w:marRight w:val="0"/>
      <w:marTop w:val="0"/>
      <w:marBottom w:val="0"/>
      <w:divBdr>
        <w:top w:val="none" w:sz="0" w:space="0" w:color="auto"/>
        <w:left w:val="none" w:sz="0" w:space="0" w:color="auto"/>
        <w:bottom w:val="none" w:sz="0" w:space="0" w:color="auto"/>
        <w:right w:val="none" w:sz="0" w:space="0" w:color="auto"/>
      </w:divBdr>
    </w:div>
    <w:div w:id="1948273328">
      <w:bodyDiv w:val="1"/>
      <w:marLeft w:val="0"/>
      <w:marRight w:val="0"/>
      <w:marTop w:val="0"/>
      <w:marBottom w:val="0"/>
      <w:divBdr>
        <w:top w:val="none" w:sz="0" w:space="0" w:color="auto"/>
        <w:left w:val="none" w:sz="0" w:space="0" w:color="auto"/>
        <w:bottom w:val="none" w:sz="0" w:space="0" w:color="auto"/>
        <w:right w:val="none" w:sz="0" w:space="0" w:color="auto"/>
      </w:divBdr>
    </w:div>
    <w:div w:id="1948343698">
      <w:bodyDiv w:val="1"/>
      <w:marLeft w:val="0"/>
      <w:marRight w:val="0"/>
      <w:marTop w:val="0"/>
      <w:marBottom w:val="0"/>
      <w:divBdr>
        <w:top w:val="none" w:sz="0" w:space="0" w:color="auto"/>
        <w:left w:val="none" w:sz="0" w:space="0" w:color="auto"/>
        <w:bottom w:val="none" w:sz="0" w:space="0" w:color="auto"/>
        <w:right w:val="none" w:sz="0" w:space="0" w:color="auto"/>
      </w:divBdr>
    </w:div>
    <w:div w:id="1948657906">
      <w:bodyDiv w:val="1"/>
      <w:marLeft w:val="0"/>
      <w:marRight w:val="0"/>
      <w:marTop w:val="0"/>
      <w:marBottom w:val="0"/>
      <w:divBdr>
        <w:top w:val="none" w:sz="0" w:space="0" w:color="auto"/>
        <w:left w:val="none" w:sz="0" w:space="0" w:color="auto"/>
        <w:bottom w:val="none" w:sz="0" w:space="0" w:color="auto"/>
        <w:right w:val="none" w:sz="0" w:space="0" w:color="auto"/>
      </w:divBdr>
    </w:div>
    <w:div w:id="1949238033">
      <w:bodyDiv w:val="1"/>
      <w:marLeft w:val="0"/>
      <w:marRight w:val="0"/>
      <w:marTop w:val="0"/>
      <w:marBottom w:val="0"/>
      <w:divBdr>
        <w:top w:val="none" w:sz="0" w:space="0" w:color="auto"/>
        <w:left w:val="none" w:sz="0" w:space="0" w:color="auto"/>
        <w:bottom w:val="none" w:sz="0" w:space="0" w:color="auto"/>
        <w:right w:val="none" w:sz="0" w:space="0" w:color="auto"/>
      </w:divBdr>
    </w:div>
    <w:div w:id="1949310500">
      <w:bodyDiv w:val="1"/>
      <w:marLeft w:val="0"/>
      <w:marRight w:val="0"/>
      <w:marTop w:val="0"/>
      <w:marBottom w:val="0"/>
      <w:divBdr>
        <w:top w:val="none" w:sz="0" w:space="0" w:color="auto"/>
        <w:left w:val="none" w:sz="0" w:space="0" w:color="auto"/>
        <w:bottom w:val="none" w:sz="0" w:space="0" w:color="auto"/>
        <w:right w:val="none" w:sz="0" w:space="0" w:color="auto"/>
      </w:divBdr>
    </w:div>
    <w:div w:id="1949850934">
      <w:bodyDiv w:val="1"/>
      <w:marLeft w:val="0"/>
      <w:marRight w:val="0"/>
      <w:marTop w:val="0"/>
      <w:marBottom w:val="0"/>
      <w:divBdr>
        <w:top w:val="none" w:sz="0" w:space="0" w:color="auto"/>
        <w:left w:val="none" w:sz="0" w:space="0" w:color="auto"/>
        <w:bottom w:val="none" w:sz="0" w:space="0" w:color="auto"/>
        <w:right w:val="none" w:sz="0" w:space="0" w:color="auto"/>
      </w:divBdr>
    </w:div>
    <w:div w:id="1949967552">
      <w:bodyDiv w:val="1"/>
      <w:marLeft w:val="0"/>
      <w:marRight w:val="0"/>
      <w:marTop w:val="0"/>
      <w:marBottom w:val="0"/>
      <w:divBdr>
        <w:top w:val="none" w:sz="0" w:space="0" w:color="auto"/>
        <w:left w:val="none" w:sz="0" w:space="0" w:color="auto"/>
        <w:bottom w:val="none" w:sz="0" w:space="0" w:color="auto"/>
        <w:right w:val="none" w:sz="0" w:space="0" w:color="auto"/>
      </w:divBdr>
    </w:div>
    <w:div w:id="1951159026">
      <w:bodyDiv w:val="1"/>
      <w:marLeft w:val="0"/>
      <w:marRight w:val="0"/>
      <w:marTop w:val="0"/>
      <w:marBottom w:val="0"/>
      <w:divBdr>
        <w:top w:val="none" w:sz="0" w:space="0" w:color="auto"/>
        <w:left w:val="none" w:sz="0" w:space="0" w:color="auto"/>
        <w:bottom w:val="none" w:sz="0" w:space="0" w:color="auto"/>
        <w:right w:val="none" w:sz="0" w:space="0" w:color="auto"/>
      </w:divBdr>
    </w:div>
    <w:div w:id="1951357051">
      <w:bodyDiv w:val="1"/>
      <w:marLeft w:val="0"/>
      <w:marRight w:val="0"/>
      <w:marTop w:val="0"/>
      <w:marBottom w:val="0"/>
      <w:divBdr>
        <w:top w:val="none" w:sz="0" w:space="0" w:color="auto"/>
        <w:left w:val="none" w:sz="0" w:space="0" w:color="auto"/>
        <w:bottom w:val="none" w:sz="0" w:space="0" w:color="auto"/>
        <w:right w:val="none" w:sz="0" w:space="0" w:color="auto"/>
      </w:divBdr>
    </w:div>
    <w:div w:id="1951471173">
      <w:bodyDiv w:val="1"/>
      <w:marLeft w:val="0"/>
      <w:marRight w:val="0"/>
      <w:marTop w:val="0"/>
      <w:marBottom w:val="0"/>
      <w:divBdr>
        <w:top w:val="none" w:sz="0" w:space="0" w:color="auto"/>
        <w:left w:val="none" w:sz="0" w:space="0" w:color="auto"/>
        <w:bottom w:val="none" w:sz="0" w:space="0" w:color="auto"/>
        <w:right w:val="none" w:sz="0" w:space="0" w:color="auto"/>
      </w:divBdr>
    </w:div>
    <w:div w:id="1951887155">
      <w:bodyDiv w:val="1"/>
      <w:marLeft w:val="0"/>
      <w:marRight w:val="0"/>
      <w:marTop w:val="0"/>
      <w:marBottom w:val="0"/>
      <w:divBdr>
        <w:top w:val="none" w:sz="0" w:space="0" w:color="auto"/>
        <w:left w:val="none" w:sz="0" w:space="0" w:color="auto"/>
        <w:bottom w:val="none" w:sz="0" w:space="0" w:color="auto"/>
        <w:right w:val="none" w:sz="0" w:space="0" w:color="auto"/>
      </w:divBdr>
    </w:div>
    <w:div w:id="1952206556">
      <w:bodyDiv w:val="1"/>
      <w:marLeft w:val="0"/>
      <w:marRight w:val="0"/>
      <w:marTop w:val="0"/>
      <w:marBottom w:val="0"/>
      <w:divBdr>
        <w:top w:val="none" w:sz="0" w:space="0" w:color="auto"/>
        <w:left w:val="none" w:sz="0" w:space="0" w:color="auto"/>
        <w:bottom w:val="none" w:sz="0" w:space="0" w:color="auto"/>
        <w:right w:val="none" w:sz="0" w:space="0" w:color="auto"/>
      </w:divBdr>
    </w:div>
    <w:div w:id="1952277036">
      <w:bodyDiv w:val="1"/>
      <w:marLeft w:val="0"/>
      <w:marRight w:val="0"/>
      <w:marTop w:val="0"/>
      <w:marBottom w:val="0"/>
      <w:divBdr>
        <w:top w:val="none" w:sz="0" w:space="0" w:color="auto"/>
        <w:left w:val="none" w:sz="0" w:space="0" w:color="auto"/>
        <w:bottom w:val="none" w:sz="0" w:space="0" w:color="auto"/>
        <w:right w:val="none" w:sz="0" w:space="0" w:color="auto"/>
      </w:divBdr>
    </w:div>
    <w:div w:id="1952742446">
      <w:bodyDiv w:val="1"/>
      <w:marLeft w:val="0"/>
      <w:marRight w:val="0"/>
      <w:marTop w:val="0"/>
      <w:marBottom w:val="0"/>
      <w:divBdr>
        <w:top w:val="none" w:sz="0" w:space="0" w:color="auto"/>
        <w:left w:val="none" w:sz="0" w:space="0" w:color="auto"/>
        <w:bottom w:val="none" w:sz="0" w:space="0" w:color="auto"/>
        <w:right w:val="none" w:sz="0" w:space="0" w:color="auto"/>
      </w:divBdr>
    </w:div>
    <w:div w:id="1952785895">
      <w:bodyDiv w:val="1"/>
      <w:marLeft w:val="0"/>
      <w:marRight w:val="0"/>
      <w:marTop w:val="0"/>
      <w:marBottom w:val="0"/>
      <w:divBdr>
        <w:top w:val="none" w:sz="0" w:space="0" w:color="auto"/>
        <w:left w:val="none" w:sz="0" w:space="0" w:color="auto"/>
        <w:bottom w:val="none" w:sz="0" w:space="0" w:color="auto"/>
        <w:right w:val="none" w:sz="0" w:space="0" w:color="auto"/>
      </w:divBdr>
    </w:div>
    <w:div w:id="1952859964">
      <w:bodyDiv w:val="1"/>
      <w:marLeft w:val="0"/>
      <w:marRight w:val="0"/>
      <w:marTop w:val="0"/>
      <w:marBottom w:val="0"/>
      <w:divBdr>
        <w:top w:val="none" w:sz="0" w:space="0" w:color="auto"/>
        <w:left w:val="none" w:sz="0" w:space="0" w:color="auto"/>
        <w:bottom w:val="none" w:sz="0" w:space="0" w:color="auto"/>
        <w:right w:val="none" w:sz="0" w:space="0" w:color="auto"/>
      </w:divBdr>
    </w:div>
    <w:div w:id="1953128673">
      <w:bodyDiv w:val="1"/>
      <w:marLeft w:val="0"/>
      <w:marRight w:val="0"/>
      <w:marTop w:val="0"/>
      <w:marBottom w:val="0"/>
      <w:divBdr>
        <w:top w:val="none" w:sz="0" w:space="0" w:color="auto"/>
        <w:left w:val="none" w:sz="0" w:space="0" w:color="auto"/>
        <w:bottom w:val="none" w:sz="0" w:space="0" w:color="auto"/>
        <w:right w:val="none" w:sz="0" w:space="0" w:color="auto"/>
      </w:divBdr>
    </w:div>
    <w:div w:id="1953630762">
      <w:bodyDiv w:val="1"/>
      <w:marLeft w:val="0"/>
      <w:marRight w:val="0"/>
      <w:marTop w:val="0"/>
      <w:marBottom w:val="0"/>
      <w:divBdr>
        <w:top w:val="none" w:sz="0" w:space="0" w:color="auto"/>
        <w:left w:val="none" w:sz="0" w:space="0" w:color="auto"/>
        <w:bottom w:val="none" w:sz="0" w:space="0" w:color="auto"/>
        <w:right w:val="none" w:sz="0" w:space="0" w:color="auto"/>
      </w:divBdr>
    </w:div>
    <w:div w:id="1953634063">
      <w:bodyDiv w:val="1"/>
      <w:marLeft w:val="0"/>
      <w:marRight w:val="0"/>
      <w:marTop w:val="0"/>
      <w:marBottom w:val="0"/>
      <w:divBdr>
        <w:top w:val="none" w:sz="0" w:space="0" w:color="auto"/>
        <w:left w:val="none" w:sz="0" w:space="0" w:color="auto"/>
        <w:bottom w:val="none" w:sz="0" w:space="0" w:color="auto"/>
        <w:right w:val="none" w:sz="0" w:space="0" w:color="auto"/>
      </w:divBdr>
    </w:div>
    <w:div w:id="1953705737">
      <w:bodyDiv w:val="1"/>
      <w:marLeft w:val="0"/>
      <w:marRight w:val="0"/>
      <w:marTop w:val="0"/>
      <w:marBottom w:val="0"/>
      <w:divBdr>
        <w:top w:val="none" w:sz="0" w:space="0" w:color="auto"/>
        <w:left w:val="none" w:sz="0" w:space="0" w:color="auto"/>
        <w:bottom w:val="none" w:sz="0" w:space="0" w:color="auto"/>
        <w:right w:val="none" w:sz="0" w:space="0" w:color="auto"/>
      </w:divBdr>
    </w:div>
    <w:div w:id="1954164116">
      <w:bodyDiv w:val="1"/>
      <w:marLeft w:val="0"/>
      <w:marRight w:val="0"/>
      <w:marTop w:val="0"/>
      <w:marBottom w:val="0"/>
      <w:divBdr>
        <w:top w:val="none" w:sz="0" w:space="0" w:color="auto"/>
        <w:left w:val="none" w:sz="0" w:space="0" w:color="auto"/>
        <w:bottom w:val="none" w:sz="0" w:space="0" w:color="auto"/>
        <w:right w:val="none" w:sz="0" w:space="0" w:color="auto"/>
      </w:divBdr>
    </w:div>
    <w:div w:id="1954245740">
      <w:bodyDiv w:val="1"/>
      <w:marLeft w:val="0"/>
      <w:marRight w:val="0"/>
      <w:marTop w:val="0"/>
      <w:marBottom w:val="0"/>
      <w:divBdr>
        <w:top w:val="none" w:sz="0" w:space="0" w:color="auto"/>
        <w:left w:val="none" w:sz="0" w:space="0" w:color="auto"/>
        <w:bottom w:val="none" w:sz="0" w:space="0" w:color="auto"/>
        <w:right w:val="none" w:sz="0" w:space="0" w:color="auto"/>
      </w:divBdr>
    </w:div>
    <w:div w:id="1954556439">
      <w:bodyDiv w:val="1"/>
      <w:marLeft w:val="0"/>
      <w:marRight w:val="0"/>
      <w:marTop w:val="0"/>
      <w:marBottom w:val="0"/>
      <w:divBdr>
        <w:top w:val="none" w:sz="0" w:space="0" w:color="auto"/>
        <w:left w:val="none" w:sz="0" w:space="0" w:color="auto"/>
        <w:bottom w:val="none" w:sz="0" w:space="0" w:color="auto"/>
        <w:right w:val="none" w:sz="0" w:space="0" w:color="auto"/>
      </w:divBdr>
    </w:div>
    <w:div w:id="1954750703">
      <w:bodyDiv w:val="1"/>
      <w:marLeft w:val="0"/>
      <w:marRight w:val="0"/>
      <w:marTop w:val="0"/>
      <w:marBottom w:val="0"/>
      <w:divBdr>
        <w:top w:val="none" w:sz="0" w:space="0" w:color="auto"/>
        <w:left w:val="none" w:sz="0" w:space="0" w:color="auto"/>
        <w:bottom w:val="none" w:sz="0" w:space="0" w:color="auto"/>
        <w:right w:val="none" w:sz="0" w:space="0" w:color="auto"/>
      </w:divBdr>
    </w:div>
    <w:div w:id="1955139290">
      <w:bodyDiv w:val="1"/>
      <w:marLeft w:val="0"/>
      <w:marRight w:val="0"/>
      <w:marTop w:val="0"/>
      <w:marBottom w:val="0"/>
      <w:divBdr>
        <w:top w:val="none" w:sz="0" w:space="0" w:color="auto"/>
        <w:left w:val="none" w:sz="0" w:space="0" w:color="auto"/>
        <w:bottom w:val="none" w:sz="0" w:space="0" w:color="auto"/>
        <w:right w:val="none" w:sz="0" w:space="0" w:color="auto"/>
      </w:divBdr>
    </w:div>
    <w:div w:id="1955742616">
      <w:bodyDiv w:val="1"/>
      <w:marLeft w:val="0"/>
      <w:marRight w:val="0"/>
      <w:marTop w:val="0"/>
      <w:marBottom w:val="0"/>
      <w:divBdr>
        <w:top w:val="none" w:sz="0" w:space="0" w:color="auto"/>
        <w:left w:val="none" w:sz="0" w:space="0" w:color="auto"/>
        <w:bottom w:val="none" w:sz="0" w:space="0" w:color="auto"/>
        <w:right w:val="none" w:sz="0" w:space="0" w:color="auto"/>
      </w:divBdr>
    </w:div>
    <w:div w:id="1955822660">
      <w:bodyDiv w:val="1"/>
      <w:marLeft w:val="0"/>
      <w:marRight w:val="0"/>
      <w:marTop w:val="0"/>
      <w:marBottom w:val="0"/>
      <w:divBdr>
        <w:top w:val="none" w:sz="0" w:space="0" w:color="auto"/>
        <w:left w:val="none" w:sz="0" w:space="0" w:color="auto"/>
        <w:bottom w:val="none" w:sz="0" w:space="0" w:color="auto"/>
        <w:right w:val="none" w:sz="0" w:space="0" w:color="auto"/>
      </w:divBdr>
    </w:div>
    <w:div w:id="1956670675">
      <w:bodyDiv w:val="1"/>
      <w:marLeft w:val="0"/>
      <w:marRight w:val="0"/>
      <w:marTop w:val="0"/>
      <w:marBottom w:val="0"/>
      <w:divBdr>
        <w:top w:val="none" w:sz="0" w:space="0" w:color="auto"/>
        <w:left w:val="none" w:sz="0" w:space="0" w:color="auto"/>
        <w:bottom w:val="none" w:sz="0" w:space="0" w:color="auto"/>
        <w:right w:val="none" w:sz="0" w:space="0" w:color="auto"/>
      </w:divBdr>
    </w:div>
    <w:div w:id="1956862648">
      <w:bodyDiv w:val="1"/>
      <w:marLeft w:val="0"/>
      <w:marRight w:val="0"/>
      <w:marTop w:val="0"/>
      <w:marBottom w:val="0"/>
      <w:divBdr>
        <w:top w:val="none" w:sz="0" w:space="0" w:color="auto"/>
        <w:left w:val="none" w:sz="0" w:space="0" w:color="auto"/>
        <w:bottom w:val="none" w:sz="0" w:space="0" w:color="auto"/>
        <w:right w:val="none" w:sz="0" w:space="0" w:color="auto"/>
      </w:divBdr>
    </w:div>
    <w:div w:id="1956982972">
      <w:bodyDiv w:val="1"/>
      <w:marLeft w:val="0"/>
      <w:marRight w:val="0"/>
      <w:marTop w:val="0"/>
      <w:marBottom w:val="0"/>
      <w:divBdr>
        <w:top w:val="none" w:sz="0" w:space="0" w:color="auto"/>
        <w:left w:val="none" w:sz="0" w:space="0" w:color="auto"/>
        <w:bottom w:val="none" w:sz="0" w:space="0" w:color="auto"/>
        <w:right w:val="none" w:sz="0" w:space="0" w:color="auto"/>
      </w:divBdr>
    </w:div>
    <w:div w:id="1957904307">
      <w:bodyDiv w:val="1"/>
      <w:marLeft w:val="0"/>
      <w:marRight w:val="0"/>
      <w:marTop w:val="0"/>
      <w:marBottom w:val="0"/>
      <w:divBdr>
        <w:top w:val="none" w:sz="0" w:space="0" w:color="auto"/>
        <w:left w:val="none" w:sz="0" w:space="0" w:color="auto"/>
        <w:bottom w:val="none" w:sz="0" w:space="0" w:color="auto"/>
        <w:right w:val="none" w:sz="0" w:space="0" w:color="auto"/>
      </w:divBdr>
    </w:div>
    <w:div w:id="1958294797">
      <w:bodyDiv w:val="1"/>
      <w:marLeft w:val="0"/>
      <w:marRight w:val="0"/>
      <w:marTop w:val="0"/>
      <w:marBottom w:val="0"/>
      <w:divBdr>
        <w:top w:val="none" w:sz="0" w:space="0" w:color="auto"/>
        <w:left w:val="none" w:sz="0" w:space="0" w:color="auto"/>
        <w:bottom w:val="none" w:sz="0" w:space="0" w:color="auto"/>
        <w:right w:val="none" w:sz="0" w:space="0" w:color="auto"/>
      </w:divBdr>
    </w:div>
    <w:div w:id="1959987934">
      <w:bodyDiv w:val="1"/>
      <w:marLeft w:val="0"/>
      <w:marRight w:val="0"/>
      <w:marTop w:val="0"/>
      <w:marBottom w:val="0"/>
      <w:divBdr>
        <w:top w:val="none" w:sz="0" w:space="0" w:color="auto"/>
        <w:left w:val="none" w:sz="0" w:space="0" w:color="auto"/>
        <w:bottom w:val="none" w:sz="0" w:space="0" w:color="auto"/>
        <w:right w:val="none" w:sz="0" w:space="0" w:color="auto"/>
      </w:divBdr>
    </w:div>
    <w:div w:id="1960061640">
      <w:bodyDiv w:val="1"/>
      <w:marLeft w:val="0"/>
      <w:marRight w:val="0"/>
      <w:marTop w:val="0"/>
      <w:marBottom w:val="0"/>
      <w:divBdr>
        <w:top w:val="none" w:sz="0" w:space="0" w:color="auto"/>
        <w:left w:val="none" w:sz="0" w:space="0" w:color="auto"/>
        <w:bottom w:val="none" w:sz="0" w:space="0" w:color="auto"/>
        <w:right w:val="none" w:sz="0" w:space="0" w:color="auto"/>
      </w:divBdr>
    </w:div>
    <w:div w:id="1960183352">
      <w:bodyDiv w:val="1"/>
      <w:marLeft w:val="0"/>
      <w:marRight w:val="0"/>
      <w:marTop w:val="0"/>
      <w:marBottom w:val="0"/>
      <w:divBdr>
        <w:top w:val="none" w:sz="0" w:space="0" w:color="auto"/>
        <w:left w:val="none" w:sz="0" w:space="0" w:color="auto"/>
        <w:bottom w:val="none" w:sz="0" w:space="0" w:color="auto"/>
        <w:right w:val="none" w:sz="0" w:space="0" w:color="auto"/>
      </w:divBdr>
    </w:div>
    <w:div w:id="1960455162">
      <w:bodyDiv w:val="1"/>
      <w:marLeft w:val="0"/>
      <w:marRight w:val="0"/>
      <w:marTop w:val="0"/>
      <w:marBottom w:val="0"/>
      <w:divBdr>
        <w:top w:val="none" w:sz="0" w:space="0" w:color="auto"/>
        <w:left w:val="none" w:sz="0" w:space="0" w:color="auto"/>
        <w:bottom w:val="none" w:sz="0" w:space="0" w:color="auto"/>
        <w:right w:val="none" w:sz="0" w:space="0" w:color="auto"/>
      </w:divBdr>
    </w:div>
    <w:div w:id="1960646218">
      <w:bodyDiv w:val="1"/>
      <w:marLeft w:val="0"/>
      <w:marRight w:val="0"/>
      <w:marTop w:val="0"/>
      <w:marBottom w:val="0"/>
      <w:divBdr>
        <w:top w:val="none" w:sz="0" w:space="0" w:color="auto"/>
        <w:left w:val="none" w:sz="0" w:space="0" w:color="auto"/>
        <w:bottom w:val="none" w:sz="0" w:space="0" w:color="auto"/>
        <w:right w:val="none" w:sz="0" w:space="0" w:color="auto"/>
      </w:divBdr>
    </w:div>
    <w:div w:id="1960794130">
      <w:bodyDiv w:val="1"/>
      <w:marLeft w:val="0"/>
      <w:marRight w:val="0"/>
      <w:marTop w:val="0"/>
      <w:marBottom w:val="0"/>
      <w:divBdr>
        <w:top w:val="none" w:sz="0" w:space="0" w:color="auto"/>
        <w:left w:val="none" w:sz="0" w:space="0" w:color="auto"/>
        <w:bottom w:val="none" w:sz="0" w:space="0" w:color="auto"/>
        <w:right w:val="none" w:sz="0" w:space="0" w:color="auto"/>
      </w:divBdr>
    </w:div>
    <w:div w:id="1961254904">
      <w:bodyDiv w:val="1"/>
      <w:marLeft w:val="0"/>
      <w:marRight w:val="0"/>
      <w:marTop w:val="0"/>
      <w:marBottom w:val="0"/>
      <w:divBdr>
        <w:top w:val="none" w:sz="0" w:space="0" w:color="auto"/>
        <w:left w:val="none" w:sz="0" w:space="0" w:color="auto"/>
        <w:bottom w:val="none" w:sz="0" w:space="0" w:color="auto"/>
        <w:right w:val="none" w:sz="0" w:space="0" w:color="auto"/>
      </w:divBdr>
    </w:div>
    <w:div w:id="1961259402">
      <w:bodyDiv w:val="1"/>
      <w:marLeft w:val="0"/>
      <w:marRight w:val="0"/>
      <w:marTop w:val="0"/>
      <w:marBottom w:val="0"/>
      <w:divBdr>
        <w:top w:val="none" w:sz="0" w:space="0" w:color="auto"/>
        <w:left w:val="none" w:sz="0" w:space="0" w:color="auto"/>
        <w:bottom w:val="none" w:sz="0" w:space="0" w:color="auto"/>
        <w:right w:val="none" w:sz="0" w:space="0" w:color="auto"/>
      </w:divBdr>
    </w:div>
    <w:div w:id="1961641533">
      <w:bodyDiv w:val="1"/>
      <w:marLeft w:val="0"/>
      <w:marRight w:val="0"/>
      <w:marTop w:val="0"/>
      <w:marBottom w:val="0"/>
      <w:divBdr>
        <w:top w:val="none" w:sz="0" w:space="0" w:color="auto"/>
        <w:left w:val="none" w:sz="0" w:space="0" w:color="auto"/>
        <w:bottom w:val="none" w:sz="0" w:space="0" w:color="auto"/>
        <w:right w:val="none" w:sz="0" w:space="0" w:color="auto"/>
      </w:divBdr>
    </w:div>
    <w:div w:id="1961642813">
      <w:bodyDiv w:val="1"/>
      <w:marLeft w:val="0"/>
      <w:marRight w:val="0"/>
      <w:marTop w:val="0"/>
      <w:marBottom w:val="0"/>
      <w:divBdr>
        <w:top w:val="none" w:sz="0" w:space="0" w:color="auto"/>
        <w:left w:val="none" w:sz="0" w:space="0" w:color="auto"/>
        <w:bottom w:val="none" w:sz="0" w:space="0" w:color="auto"/>
        <w:right w:val="none" w:sz="0" w:space="0" w:color="auto"/>
      </w:divBdr>
    </w:div>
    <w:div w:id="1961839068">
      <w:bodyDiv w:val="1"/>
      <w:marLeft w:val="0"/>
      <w:marRight w:val="0"/>
      <w:marTop w:val="0"/>
      <w:marBottom w:val="0"/>
      <w:divBdr>
        <w:top w:val="none" w:sz="0" w:space="0" w:color="auto"/>
        <w:left w:val="none" w:sz="0" w:space="0" w:color="auto"/>
        <w:bottom w:val="none" w:sz="0" w:space="0" w:color="auto"/>
        <w:right w:val="none" w:sz="0" w:space="0" w:color="auto"/>
      </w:divBdr>
    </w:div>
    <w:div w:id="1962177990">
      <w:bodyDiv w:val="1"/>
      <w:marLeft w:val="0"/>
      <w:marRight w:val="0"/>
      <w:marTop w:val="0"/>
      <w:marBottom w:val="0"/>
      <w:divBdr>
        <w:top w:val="none" w:sz="0" w:space="0" w:color="auto"/>
        <w:left w:val="none" w:sz="0" w:space="0" w:color="auto"/>
        <w:bottom w:val="none" w:sz="0" w:space="0" w:color="auto"/>
        <w:right w:val="none" w:sz="0" w:space="0" w:color="auto"/>
      </w:divBdr>
    </w:div>
    <w:div w:id="1962374435">
      <w:bodyDiv w:val="1"/>
      <w:marLeft w:val="0"/>
      <w:marRight w:val="0"/>
      <w:marTop w:val="0"/>
      <w:marBottom w:val="0"/>
      <w:divBdr>
        <w:top w:val="none" w:sz="0" w:space="0" w:color="auto"/>
        <w:left w:val="none" w:sz="0" w:space="0" w:color="auto"/>
        <w:bottom w:val="none" w:sz="0" w:space="0" w:color="auto"/>
        <w:right w:val="none" w:sz="0" w:space="0" w:color="auto"/>
      </w:divBdr>
    </w:div>
    <w:div w:id="1963144240">
      <w:bodyDiv w:val="1"/>
      <w:marLeft w:val="0"/>
      <w:marRight w:val="0"/>
      <w:marTop w:val="0"/>
      <w:marBottom w:val="0"/>
      <w:divBdr>
        <w:top w:val="none" w:sz="0" w:space="0" w:color="auto"/>
        <w:left w:val="none" w:sz="0" w:space="0" w:color="auto"/>
        <w:bottom w:val="none" w:sz="0" w:space="0" w:color="auto"/>
        <w:right w:val="none" w:sz="0" w:space="0" w:color="auto"/>
      </w:divBdr>
    </w:div>
    <w:div w:id="1963225766">
      <w:bodyDiv w:val="1"/>
      <w:marLeft w:val="0"/>
      <w:marRight w:val="0"/>
      <w:marTop w:val="0"/>
      <w:marBottom w:val="0"/>
      <w:divBdr>
        <w:top w:val="none" w:sz="0" w:space="0" w:color="auto"/>
        <w:left w:val="none" w:sz="0" w:space="0" w:color="auto"/>
        <w:bottom w:val="none" w:sz="0" w:space="0" w:color="auto"/>
        <w:right w:val="none" w:sz="0" w:space="0" w:color="auto"/>
      </w:divBdr>
    </w:div>
    <w:div w:id="1963266619">
      <w:bodyDiv w:val="1"/>
      <w:marLeft w:val="0"/>
      <w:marRight w:val="0"/>
      <w:marTop w:val="0"/>
      <w:marBottom w:val="0"/>
      <w:divBdr>
        <w:top w:val="none" w:sz="0" w:space="0" w:color="auto"/>
        <w:left w:val="none" w:sz="0" w:space="0" w:color="auto"/>
        <w:bottom w:val="none" w:sz="0" w:space="0" w:color="auto"/>
        <w:right w:val="none" w:sz="0" w:space="0" w:color="auto"/>
      </w:divBdr>
    </w:div>
    <w:div w:id="1963342414">
      <w:bodyDiv w:val="1"/>
      <w:marLeft w:val="0"/>
      <w:marRight w:val="0"/>
      <w:marTop w:val="0"/>
      <w:marBottom w:val="0"/>
      <w:divBdr>
        <w:top w:val="none" w:sz="0" w:space="0" w:color="auto"/>
        <w:left w:val="none" w:sz="0" w:space="0" w:color="auto"/>
        <w:bottom w:val="none" w:sz="0" w:space="0" w:color="auto"/>
        <w:right w:val="none" w:sz="0" w:space="0" w:color="auto"/>
      </w:divBdr>
    </w:div>
    <w:div w:id="1963537830">
      <w:bodyDiv w:val="1"/>
      <w:marLeft w:val="0"/>
      <w:marRight w:val="0"/>
      <w:marTop w:val="0"/>
      <w:marBottom w:val="0"/>
      <w:divBdr>
        <w:top w:val="none" w:sz="0" w:space="0" w:color="auto"/>
        <w:left w:val="none" w:sz="0" w:space="0" w:color="auto"/>
        <w:bottom w:val="none" w:sz="0" w:space="0" w:color="auto"/>
        <w:right w:val="none" w:sz="0" w:space="0" w:color="auto"/>
      </w:divBdr>
    </w:div>
    <w:div w:id="1964917859">
      <w:bodyDiv w:val="1"/>
      <w:marLeft w:val="0"/>
      <w:marRight w:val="0"/>
      <w:marTop w:val="0"/>
      <w:marBottom w:val="0"/>
      <w:divBdr>
        <w:top w:val="none" w:sz="0" w:space="0" w:color="auto"/>
        <w:left w:val="none" w:sz="0" w:space="0" w:color="auto"/>
        <w:bottom w:val="none" w:sz="0" w:space="0" w:color="auto"/>
        <w:right w:val="none" w:sz="0" w:space="0" w:color="auto"/>
      </w:divBdr>
    </w:div>
    <w:div w:id="1965040397">
      <w:bodyDiv w:val="1"/>
      <w:marLeft w:val="0"/>
      <w:marRight w:val="0"/>
      <w:marTop w:val="0"/>
      <w:marBottom w:val="0"/>
      <w:divBdr>
        <w:top w:val="none" w:sz="0" w:space="0" w:color="auto"/>
        <w:left w:val="none" w:sz="0" w:space="0" w:color="auto"/>
        <w:bottom w:val="none" w:sz="0" w:space="0" w:color="auto"/>
        <w:right w:val="none" w:sz="0" w:space="0" w:color="auto"/>
      </w:divBdr>
    </w:div>
    <w:div w:id="1966498354">
      <w:bodyDiv w:val="1"/>
      <w:marLeft w:val="0"/>
      <w:marRight w:val="0"/>
      <w:marTop w:val="0"/>
      <w:marBottom w:val="0"/>
      <w:divBdr>
        <w:top w:val="none" w:sz="0" w:space="0" w:color="auto"/>
        <w:left w:val="none" w:sz="0" w:space="0" w:color="auto"/>
        <w:bottom w:val="none" w:sz="0" w:space="0" w:color="auto"/>
        <w:right w:val="none" w:sz="0" w:space="0" w:color="auto"/>
      </w:divBdr>
    </w:div>
    <w:div w:id="1966887877">
      <w:bodyDiv w:val="1"/>
      <w:marLeft w:val="0"/>
      <w:marRight w:val="0"/>
      <w:marTop w:val="0"/>
      <w:marBottom w:val="0"/>
      <w:divBdr>
        <w:top w:val="none" w:sz="0" w:space="0" w:color="auto"/>
        <w:left w:val="none" w:sz="0" w:space="0" w:color="auto"/>
        <w:bottom w:val="none" w:sz="0" w:space="0" w:color="auto"/>
        <w:right w:val="none" w:sz="0" w:space="0" w:color="auto"/>
      </w:divBdr>
    </w:div>
    <w:div w:id="1967202773">
      <w:bodyDiv w:val="1"/>
      <w:marLeft w:val="0"/>
      <w:marRight w:val="0"/>
      <w:marTop w:val="0"/>
      <w:marBottom w:val="0"/>
      <w:divBdr>
        <w:top w:val="none" w:sz="0" w:space="0" w:color="auto"/>
        <w:left w:val="none" w:sz="0" w:space="0" w:color="auto"/>
        <w:bottom w:val="none" w:sz="0" w:space="0" w:color="auto"/>
        <w:right w:val="none" w:sz="0" w:space="0" w:color="auto"/>
      </w:divBdr>
    </w:div>
    <w:div w:id="1967392175">
      <w:bodyDiv w:val="1"/>
      <w:marLeft w:val="0"/>
      <w:marRight w:val="0"/>
      <w:marTop w:val="0"/>
      <w:marBottom w:val="0"/>
      <w:divBdr>
        <w:top w:val="none" w:sz="0" w:space="0" w:color="auto"/>
        <w:left w:val="none" w:sz="0" w:space="0" w:color="auto"/>
        <w:bottom w:val="none" w:sz="0" w:space="0" w:color="auto"/>
        <w:right w:val="none" w:sz="0" w:space="0" w:color="auto"/>
      </w:divBdr>
    </w:div>
    <w:div w:id="1967469124">
      <w:bodyDiv w:val="1"/>
      <w:marLeft w:val="0"/>
      <w:marRight w:val="0"/>
      <w:marTop w:val="0"/>
      <w:marBottom w:val="0"/>
      <w:divBdr>
        <w:top w:val="none" w:sz="0" w:space="0" w:color="auto"/>
        <w:left w:val="none" w:sz="0" w:space="0" w:color="auto"/>
        <w:bottom w:val="none" w:sz="0" w:space="0" w:color="auto"/>
        <w:right w:val="none" w:sz="0" w:space="0" w:color="auto"/>
      </w:divBdr>
    </w:div>
    <w:div w:id="1967537505">
      <w:bodyDiv w:val="1"/>
      <w:marLeft w:val="0"/>
      <w:marRight w:val="0"/>
      <w:marTop w:val="0"/>
      <w:marBottom w:val="0"/>
      <w:divBdr>
        <w:top w:val="none" w:sz="0" w:space="0" w:color="auto"/>
        <w:left w:val="none" w:sz="0" w:space="0" w:color="auto"/>
        <w:bottom w:val="none" w:sz="0" w:space="0" w:color="auto"/>
        <w:right w:val="none" w:sz="0" w:space="0" w:color="auto"/>
      </w:divBdr>
    </w:div>
    <w:div w:id="1968117547">
      <w:bodyDiv w:val="1"/>
      <w:marLeft w:val="0"/>
      <w:marRight w:val="0"/>
      <w:marTop w:val="0"/>
      <w:marBottom w:val="0"/>
      <w:divBdr>
        <w:top w:val="none" w:sz="0" w:space="0" w:color="auto"/>
        <w:left w:val="none" w:sz="0" w:space="0" w:color="auto"/>
        <w:bottom w:val="none" w:sz="0" w:space="0" w:color="auto"/>
        <w:right w:val="none" w:sz="0" w:space="0" w:color="auto"/>
      </w:divBdr>
    </w:div>
    <w:div w:id="1968319104">
      <w:bodyDiv w:val="1"/>
      <w:marLeft w:val="0"/>
      <w:marRight w:val="0"/>
      <w:marTop w:val="0"/>
      <w:marBottom w:val="0"/>
      <w:divBdr>
        <w:top w:val="none" w:sz="0" w:space="0" w:color="auto"/>
        <w:left w:val="none" w:sz="0" w:space="0" w:color="auto"/>
        <w:bottom w:val="none" w:sz="0" w:space="0" w:color="auto"/>
        <w:right w:val="none" w:sz="0" w:space="0" w:color="auto"/>
      </w:divBdr>
    </w:div>
    <w:div w:id="1968588716">
      <w:bodyDiv w:val="1"/>
      <w:marLeft w:val="0"/>
      <w:marRight w:val="0"/>
      <w:marTop w:val="0"/>
      <w:marBottom w:val="0"/>
      <w:divBdr>
        <w:top w:val="none" w:sz="0" w:space="0" w:color="auto"/>
        <w:left w:val="none" w:sz="0" w:space="0" w:color="auto"/>
        <w:bottom w:val="none" w:sz="0" w:space="0" w:color="auto"/>
        <w:right w:val="none" w:sz="0" w:space="0" w:color="auto"/>
      </w:divBdr>
    </w:div>
    <w:div w:id="1968775462">
      <w:bodyDiv w:val="1"/>
      <w:marLeft w:val="0"/>
      <w:marRight w:val="0"/>
      <w:marTop w:val="0"/>
      <w:marBottom w:val="0"/>
      <w:divBdr>
        <w:top w:val="none" w:sz="0" w:space="0" w:color="auto"/>
        <w:left w:val="none" w:sz="0" w:space="0" w:color="auto"/>
        <w:bottom w:val="none" w:sz="0" w:space="0" w:color="auto"/>
        <w:right w:val="none" w:sz="0" w:space="0" w:color="auto"/>
      </w:divBdr>
    </w:div>
    <w:div w:id="1969316281">
      <w:bodyDiv w:val="1"/>
      <w:marLeft w:val="0"/>
      <w:marRight w:val="0"/>
      <w:marTop w:val="0"/>
      <w:marBottom w:val="0"/>
      <w:divBdr>
        <w:top w:val="none" w:sz="0" w:space="0" w:color="auto"/>
        <w:left w:val="none" w:sz="0" w:space="0" w:color="auto"/>
        <w:bottom w:val="none" w:sz="0" w:space="0" w:color="auto"/>
        <w:right w:val="none" w:sz="0" w:space="0" w:color="auto"/>
      </w:divBdr>
    </w:div>
    <w:div w:id="1969630693">
      <w:bodyDiv w:val="1"/>
      <w:marLeft w:val="0"/>
      <w:marRight w:val="0"/>
      <w:marTop w:val="0"/>
      <w:marBottom w:val="0"/>
      <w:divBdr>
        <w:top w:val="none" w:sz="0" w:space="0" w:color="auto"/>
        <w:left w:val="none" w:sz="0" w:space="0" w:color="auto"/>
        <w:bottom w:val="none" w:sz="0" w:space="0" w:color="auto"/>
        <w:right w:val="none" w:sz="0" w:space="0" w:color="auto"/>
      </w:divBdr>
    </w:div>
    <w:div w:id="1969897933">
      <w:bodyDiv w:val="1"/>
      <w:marLeft w:val="0"/>
      <w:marRight w:val="0"/>
      <w:marTop w:val="0"/>
      <w:marBottom w:val="0"/>
      <w:divBdr>
        <w:top w:val="none" w:sz="0" w:space="0" w:color="auto"/>
        <w:left w:val="none" w:sz="0" w:space="0" w:color="auto"/>
        <w:bottom w:val="none" w:sz="0" w:space="0" w:color="auto"/>
        <w:right w:val="none" w:sz="0" w:space="0" w:color="auto"/>
      </w:divBdr>
    </w:div>
    <w:div w:id="1970237118">
      <w:bodyDiv w:val="1"/>
      <w:marLeft w:val="0"/>
      <w:marRight w:val="0"/>
      <w:marTop w:val="0"/>
      <w:marBottom w:val="0"/>
      <w:divBdr>
        <w:top w:val="none" w:sz="0" w:space="0" w:color="auto"/>
        <w:left w:val="none" w:sz="0" w:space="0" w:color="auto"/>
        <w:bottom w:val="none" w:sz="0" w:space="0" w:color="auto"/>
        <w:right w:val="none" w:sz="0" w:space="0" w:color="auto"/>
      </w:divBdr>
    </w:div>
    <w:div w:id="1970478936">
      <w:bodyDiv w:val="1"/>
      <w:marLeft w:val="0"/>
      <w:marRight w:val="0"/>
      <w:marTop w:val="0"/>
      <w:marBottom w:val="0"/>
      <w:divBdr>
        <w:top w:val="none" w:sz="0" w:space="0" w:color="auto"/>
        <w:left w:val="none" w:sz="0" w:space="0" w:color="auto"/>
        <w:bottom w:val="none" w:sz="0" w:space="0" w:color="auto"/>
        <w:right w:val="none" w:sz="0" w:space="0" w:color="auto"/>
      </w:divBdr>
    </w:div>
    <w:div w:id="1971084761">
      <w:bodyDiv w:val="1"/>
      <w:marLeft w:val="0"/>
      <w:marRight w:val="0"/>
      <w:marTop w:val="0"/>
      <w:marBottom w:val="0"/>
      <w:divBdr>
        <w:top w:val="none" w:sz="0" w:space="0" w:color="auto"/>
        <w:left w:val="none" w:sz="0" w:space="0" w:color="auto"/>
        <w:bottom w:val="none" w:sz="0" w:space="0" w:color="auto"/>
        <w:right w:val="none" w:sz="0" w:space="0" w:color="auto"/>
      </w:divBdr>
    </w:div>
    <w:div w:id="1971088762">
      <w:bodyDiv w:val="1"/>
      <w:marLeft w:val="0"/>
      <w:marRight w:val="0"/>
      <w:marTop w:val="0"/>
      <w:marBottom w:val="0"/>
      <w:divBdr>
        <w:top w:val="none" w:sz="0" w:space="0" w:color="auto"/>
        <w:left w:val="none" w:sz="0" w:space="0" w:color="auto"/>
        <w:bottom w:val="none" w:sz="0" w:space="0" w:color="auto"/>
        <w:right w:val="none" w:sz="0" w:space="0" w:color="auto"/>
      </w:divBdr>
    </w:div>
    <w:div w:id="1971862838">
      <w:bodyDiv w:val="1"/>
      <w:marLeft w:val="0"/>
      <w:marRight w:val="0"/>
      <w:marTop w:val="0"/>
      <w:marBottom w:val="0"/>
      <w:divBdr>
        <w:top w:val="none" w:sz="0" w:space="0" w:color="auto"/>
        <w:left w:val="none" w:sz="0" w:space="0" w:color="auto"/>
        <w:bottom w:val="none" w:sz="0" w:space="0" w:color="auto"/>
        <w:right w:val="none" w:sz="0" w:space="0" w:color="auto"/>
      </w:divBdr>
    </w:div>
    <w:div w:id="1972781787">
      <w:bodyDiv w:val="1"/>
      <w:marLeft w:val="0"/>
      <w:marRight w:val="0"/>
      <w:marTop w:val="0"/>
      <w:marBottom w:val="0"/>
      <w:divBdr>
        <w:top w:val="none" w:sz="0" w:space="0" w:color="auto"/>
        <w:left w:val="none" w:sz="0" w:space="0" w:color="auto"/>
        <w:bottom w:val="none" w:sz="0" w:space="0" w:color="auto"/>
        <w:right w:val="none" w:sz="0" w:space="0" w:color="auto"/>
      </w:divBdr>
    </w:div>
    <w:div w:id="1973975635">
      <w:bodyDiv w:val="1"/>
      <w:marLeft w:val="0"/>
      <w:marRight w:val="0"/>
      <w:marTop w:val="0"/>
      <w:marBottom w:val="0"/>
      <w:divBdr>
        <w:top w:val="none" w:sz="0" w:space="0" w:color="auto"/>
        <w:left w:val="none" w:sz="0" w:space="0" w:color="auto"/>
        <w:bottom w:val="none" w:sz="0" w:space="0" w:color="auto"/>
        <w:right w:val="none" w:sz="0" w:space="0" w:color="auto"/>
      </w:divBdr>
    </w:div>
    <w:div w:id="1974090039">
      <w:bodyDiv w:val="1"/>
      <w:marLeft w:val="0"/>
      <w:marRight w:val="0"/>
      <w:marTop w:val="0"/>
      <w:marBottom w:val="0"/>
      <w:divBdr>
        <w:top w:val="none" w:sz="0" w:space="0" w:color="auto"/>
        <w:left w:val="none" w:sz="0" w:space="0" w:color="auto"/>
        <w:bottom w:val="none" w:sz="0" w:space="0" w:color="auto"/>
        <w:right w:val="none" w:sz="0" w:space="0" w:color="auto"/>
      </w:divBdr>
    </w:div>
    <w:div w:id="1974092234">
      <w:bodyDiv w:val="1"/>
      <w:marLeft w:val="0"/>
      <w:marRight w:val="0"/>
      <w:marTop w:val="0"/>
      <w:marBottom w:val="0"/>
      <w:divBdr>
        <w:top w:val="none" w:sz="0" w:space="0" w:color="auto"/>
        <w:left w:val="none" w:sz="0" w:space="0" w:color="auto"/>
        <w:bottom w:val="none" w:sz="0" w:space="0" w:color="auto"/>
        <w:right w:val="none" w:sz="0" w:space="0" w:color="auto"/>
      </w:divBdr>
    </w:div>
    <w:div w:id="1974092542">
      <w:bodyDiv w:val="1"/>
      <w:marLeft w:val="0"/>
      <w:marRight w:val="0"/>
      <w:marTop w:val="0"/>
      <w:marBottom w:val="0"/>
      <w:divBdr>
        <w:top w:val="none" w:sz="0" w:space="0" w:color="auto"/>
        <w:left w:val="none" w:sz="0" w:space="0" w:color="auto"/>
        <w:bottom w:val="none" w:sz="0" w:space="0" w:color="auto"/>
        <w:right w:val="none" w:sz="0" w:space="0" w:color="auto"/>
      </w:divBdr>
    </w:div>
    <w:div w:id="1974141445">
      <w:bodyDiv w:val="1"/>
      <w:marLeft w:val="0"/>
      <w:marRight w:val="0"/>
      <w:marTop w:val="0"/>
      <w:marBottom w:val="0"/>
      <w:divBdr>
        <w:top w:val="none" w:sz="0" w:space="0" w:color="auto"/>
        <w:left w:val="none" w:sz="0" w:space="0" w:color="auto"/>
        <w:bottom w:val="none" w:sz="0" w:space="0" w:color="auto"/>
        <w:right w:val="none" w:sz="0" w:space="0" w:color="auto"/>
      </w:divBdr>
    </w:div>
    <w:div w:id="1974672082">
      <w:bodyDiv w:val="1"/>
      <w:marLeft w:val="0"/>
      <w:marRight w:val="0"/>
      <w:marTop w:val="0"/>
      <w:marBottom w:val="0"/>
      <w:divBdr>
        <w:top w:val="none" w:sz="0" w:space="0" w:color="auto"/>
        <w:left w:val="none" w:sz="0" w:space="0" w:color="auto"/>
        <w:bottom w:val="none" w:sz="0" w:space="0" w:color="auto"/>
        <w:right w:val="none" w:sz="0" w:space="0" w:color="auto"/>
      </w:divBdr>
    </w:div>
    <w:div w:id="1974676842">
      <w:bodyDiv w:val="1"/>
      <w:marLeft w:val="0"/>
      <w:marRight w:val="0"/>
      <w:marTop w:val="0"/>
      <w:marBottom w:val="0"/>
      <w:divBdr>
        <w:top w:val="none" w:sz="0" w:space="0" w:color="auto"/>
        <w:left w:val="none" w:sz="0" w:space="0" w:color="auto"/>
        <w:bottom w:val="none" w:sz="0" w:space="0" w:color="auto"/>
        <w:right w:val="none" w:sz="0" w:space="0" w:color="auto"/>
      </w:divBdr>
    </w:div>
    <w:div w:id="1974677138">
      <w:bodyDiv w:val="1"/>
      <w:marLeft w:val="0"/>
      <w:marRight w:val="0"/>
      <w:marTop w:val="0"/>
      <w:marBottom w:val="0"/>
      <w:divBdr>
        <w:top w:val="none" w:sz="0" w:space="0" w:color="auto"/>
        <w:left w:val="none" w:sz="0" w:space="0" w:color="auto"/>
        <w:bottom w:val="none" w:sz="0" w:space="0" w:color="auto"/>
        <w:right w:val="none" w:sz="0" w:space="0" w:color="auto"/>
      </w:divBdr>
    </w:div>
    <w:div w:id="1975063155">
      <w:bodyDiv w:val="1"/>
      <w:marLeft w:val="0"/>
      <w:marRight w:val="0"/>
      <w:marTop w:val="0"/>
      <w:marBottom w:val="0"/>
      <w:divBdr>
        <w:top w:val="none" w:sz="0" w:space="0" w:color="auto"/>
        <w:left w:val="none" w:sz="0" w:space="0" w:color="auto"/>
        <w:bottom w:val="none" w:sz="0" w:space="0" w:color="auto"/>
        <w:right w:val="none" w:sz="0" w:space="0" w:color="auto"/>
      </w:divBdr>
    </w:div>
    <w:div w:id="1976372938">
      <w:bodyDiv w:val="1"/>
      <w:marLeft w:val="0"/>
      <w:marRight w:val="0"/>
      <w:marTop w:val="0"/>
      <w:marBottom w:val="0"/>
      <w:divBdr>
        <w:top w:val="none" w:sz="0" w:space="0" w:color="auto"/>
        <w:left w:val="none" w:sz="0" w:space="0" w:color="auto"/>
        <w:bottom w:val="none" w:sz="0" w:space="0" w:color="auto"/>
        <w:right w:val="none" w:sz="0" w:space="0" w:color="auto"/>
      </w:divBdr>
    </w:div>
    <w:div w:id="1977563355">
      <w:bodyDiv w:val="1"/>
      <w:marLeft w:val="0"/>
      <w:marRight w:val="0"/>
      <w:marTop w:val="0"/>
      <w:marBottom w:val="0"/>
      <w:divBdr>
        <w:top w:val="none" w:sz="0" w:space="0" w:color="auto"/>
        <w:left w:val="none" w:sz="0" w:space="0" w:color="auto"/>
        <w:bottom w:val="none" w:sz="0" w:space="0" w:color="auto"/>
        <w:right w:val="none" w:sz="0" w:space="0" w:color="auto"/>
      </w:divBdr>
    </w:div>
    <w:div w:id="1977636898">
      <w:bodyDiv w:val="1"/>
      <w:marLeft w:val="0"/>
      <w:marRight w:val="0"/>
      <w:marTop w:val="0"/>
      <w:marBottom w:val="0"/>
      <w:divBdr>
        <w:top w:val="none" w:sz="0" w:space="0" w:color="auto"/>
        <w:left w:val="none" w:sz="0" w:space="0" w:color="auto"/>
        <w:bottom w:val="none" w:sz="0" w:space="0" w:color="auto"/>
        <w:right w:val="none" w:sz="0" w:space="0" w:color="auto"/>
      </w:divBdr>
    </w:div>
    <w:div w:id="1978102954">
      <w:bodyDiv w:val="1"/>
      <w:marLeft w:val="0"/>
      <w:marRight w:val="0"/>
      <w:marTop w:val="0"/>
      <w:marBottom w:val="0"/>
      <w:divBdr>
        <w:top w:val="none" w:sz="0" w:space="0" w:color="auto"/>
        <w:left w:val="none" w:sz="0" w:space="0" w:color="auto"/>
        <w:bottom w:val="none" w:sz="0" w:space="0" w:color="auto"/>
        <w:right w:val="none" w:sz="0" w:space="0" w:color="auto"/>
      </w:divBdr>
    </w:div>
    <w:div w:id="1978300036">
      <w:bodyDiv w:val="1"/>
      <w:marLeft w:val="0"/>
      <w:marRight w:val="0"/>
      <w:marTop w:val="0"/>
      <w:marBottom w:val="0"/>
      <w:divBdr>
        <w:top w:val="none" w:sz="0" w:space="0" w:color="auto"/>
        <w:left w:val="none" w:sz="0" w:space="0" w:color="auto"/>
        <w:bottom w:val="none" w:sz="0" w:space="0" w:color="auto"/>
        <w:right w:val="none" w:sz="0" w:space="0" w:color="auto"/>
      </w:divBdr>
    </w:div>
    <w:div w:id="1978408571">
      <w:bodyDiv w:val="1"/>
      <w:marLeft w:val="0"/>
      <w:marRight w:val="0"/>
      <w:marTop w:val="0"/>
      <w:marBottom w:val="0"/>
      <w:divBdr>
        <w:top w:val="none" w:sz="0" w:space="0" w:color="auto"/>
        <w:left w:val="none" w:sz="0" w:space="0" w:color="auto"/>
        <w:bottom w:val="none" w:sz="0" w:space="0" w:color="auto"/>
        <w:right w:val="none" w:sz="0" w:space="0" w:color="auto"/>
      </w:divBdr>
    </w:div>
    <w:div w:id="1979070974">
      <w:bodyDiv w:val="1"/>
      <w:marLeft w:val="0"/>
      <w:marRight w:val="0"/>
      <w:marTop w:val="0"/>
      <w:marBottom w:val="0"/>
      <w:divBdr>
        <w:top w:val="none" w:sz="0" w:space="0" w:color="auto"/>
        <w:left w:val="none" w:sz="0" w:space="0" w:color="auto"/>
        <w:bottom w:val="none" w:sz="0" w:space="0" w:color="auto"/>
        <w:right w:val="none" w:sz="0" w:space="0" w:color="auto"/>
      </w:divBdr>
    </w:div>
    <w:div w:id="1979262080">
      <w:bodyDiv w:val="1"/>
      <w:marLeft w:val="0"/>
      <w:marRight w:val="0"/>
      <w:marTop w:val="0"/>
      <w:marBottom w:val="0"/>
      <w:divBdr>
        <w:top w:val="none" w:sz="0" w:space="0" w:color="auto"/>
        <w:left w:val="none" w:sz="0" w:space="0" w:color="auto"/>
        <w:bottom w:val="none" w:sz="0" w:space="0" w:color="auto"/>
        <w:right w:val="none" w:sz="0" w:space="0" w:color="auto"/>
      </w:divBdr>
    </w:div>
    <w:div w:id="1979604188">
      <w:bodyDiv w:val="1"/>
      <w:marLeft w:val="0"/>
      <w:marRight w:val="0"/>
      <w:marTop w:val="0"/>
      <w:marBottom w:val="0"/>
      <w:divBdr>
        <w:top w:val="none" w:sz="0" w:space="0" w:color="auto"/>
        <w:left w:val="none" w:sz="0" w:space="0" w:color="auto"/>
        <w:bottom w:val="none" w:sz="0" w:space="0" w:color="auto"/>
        <w:right w:val="none" w:sz="0" w:space="0" w:color="auto"/>
      </w:divBdr>
    </w:div>
    <w:div w:id="1980062849">
      <w:bodyDiv w:val="1"/>
      <w:marLeft w:val="0"/>
      <w:marRight w:val="0"/>
      <w:marTop w:val="0"/>
      <w:marBottom w:val="0"/>
      <w:divBdr>
        <w:top w:val="none" w:sz="0" w:space="0" w:color="auto"/>
        <w:left w:val="none" w:sz="0" w:space="0" w:color="auto"/>
        <w:bottom w:val="none" w:sz="0" w:space="0" w:color="auto"/>
        <w:right w:val="none" w:sz="0" w:space="0" w:color="auto"/>
      </w:divBdr>
    </w:div>
    <w:div w:id="1980302868">
      <w:bodyDiv w:val="1"/>
      <w:marLeft w:val="0"/>
      <w:marRight w:val="0"/>
      <w:marTop w:val="0"/>
      <w:marBottom w:val="0"/>
      <w:divBdr>
        <w:top w:val="none" w:sz="0" w:space="0" w:color="auto"/>
        <w:left w:val="none" w:sz="0" w:space="0" w:color="auto"/>
        <w:bottom w:val="none" w:sz="0" w:space="0" w:color="auto"/>
        <w:right w:val="none" w:sz="0" w:space="0" w:color="auto"/>
      </w:divBdr>
    </w:div>
    <w:div w:id="1980303664">
      <w:bodyDiv w:val="1"/>
      <w:marLeft w:val="0"/>
      <w:marRight w:val="0"/>
      <w:marTop w:val="0"/>
      <w:marBottom w:val="0"/>
      <w:divBdr>
        <w:top w:val="none" w:sz="0" w:space="0" w:color="auto"/>
        <w:left w:val="none" w:sz="0" w:space="0" w:color="auto"/>
        <w:bottom w:val="none" w:sz="0" w:space="0" w:color="auto"/>
        <w:right w:val="none" w:sz="0" w:space="0" w:color="auto"/>
      </w:divBdr>
    </w:div>
    <w:div w:id="1980305527">
      <w:bodyDiv w:val="1"/>
      <w:marLeft w:val="0"/>
      <w:marRight w:val="0"/>
      <w:marTop w:val="0"/>
      <w:marBottom w:val="0"/>
      <w:divBdr>
        <w:top w:val="none" w:sz="0" w:space="0" w:color="auto"/>
        <w:left w:val="none" w:sz="0" w:space="0" w:color="auto"/>
        <w:bottom w:val="none" w:sz="0" w:space="0" w:color="auto"/>
        <w:right w:val="none" w:sz="0" w:space="0" w:color="auto"/>
      </w:divBdr>
    </w:div>
    <w:div w:id="1980526253">
      <w:bodyDiv w:val="1"/>
      <w:marLeft w:val="0"/>
      <w:marRight w:val="0"/>
      <w:marTop w:val="0"/>
      <w:marBottom w:val="0"/>
      <w:divBdr>
        <w:top w:val="none" w:sz="0" w:space="0" w:color="auto"/>
        <w:left w:val="none" w:sz="0" w:space="0" w:color="auto"/>
        <w:bottom w:val="none" w:sz="0" w:space="0" w:color="auto"/>
        <w:right w:val="none" w:sz="0" w:space="0" w:color="auto"/>
      </w:divBdr>
    </w:div>
    <w:div w:id="1980843362">
      <w:bodyDiv w:val="1"/>
      <w:marLeft w:val="0"/>
      <w:marRight w:val="0"/>
      <w:marTop w:val="0"/>
      <w:marBottom w:val="0"/>
      <w:divBdr>
        <w:top w:val="none" w:sz="0" w:space="0" w:color="auto"/>
        <w:left w:val="none" w:sz="0" w:space="0" w:color="auto"/>
        <w:bottom w:val="none" w:sz="0" w:space="0" w:color="auto"/>
        <w:right w:val="none" w:sz="0" w:space="0" w:color="auto"/>
      </w:divBdr>
    </w:div>
    <w:div w:id="1981033444">
      <w:bodyDiv w:val="1"/>
      <w:marLeft w:val="0"/>
      <w:marRight w:val="0"/>
      <w:marTop w:val="0"/>
      <w:marBottom w:val="0"/>
      <w:divBdr>
        <w:top w:val="none" w:sz="0" w:space="0" w:color="auto"/>
        <w:left w:val="none" w:sz="0" w:space="0" w:color="auto"/>
        <w:bottom w:val="none" w:sz="0" w:space="0" w:color="auto"/>
        <w:right w:val="none" w:sz="0" w:space="0" w:color="auto"/>
      </w:divBdr>
    </w:div>
    <w:div w:id="1982223909">
      <w:bodyDiv w:val="1"/>
      <w:marLeft w:val="0"/>
      <w:marRight w:val="0"/>
      <w:marTop w:val="0"/>
      <w:marBottom w:val="0"/>
      <w:divBdr>
        <w:top w:val="none" w:sz="0" w:space="0" w:color="auto"/>
        <w:left w:val="none" w:sz="0" w:space="0" w:color="auto"/>
        <w:bottom w:val="none" w:sz="0" w:space="0" w:color="auto"/>
        <w:right w:val="none" w:sz="0" w:space="0" w:color="auto"/>
      </w:divBdr>
    </w:div>
    <w:div w:id="1982346910">
      <w:bodyDiv w:val="1"/>
      <w:marLeft w:val="0"/>
      <w:marRight w:val="0"/>
      <w:marTop w:val="0"/>
      <w:marBottom w:val="0"/>
      <w:divBdr>
        <w:top w:val="none" w:sz="0" w:space="0" w:color="auto"/>
        <w:left w:val="none" w:sz="0" w:space="0" w:color="auto"/>
        <w:bottom w:val="none" w:sz="0" w:space="0" w:color="auto"/>
        <w:right w:val="none" w:sz="0" w:space="0" w:color="auto"/>
      </w:divBdr>
    </w:div>
    <w:div w:id="1982491730">
      <w:bodyDiv w:val="1"/>
      <w:marLeft w:val="0"/>
      <w:marRight w:val="0"/>
      <w:marTop w:val="0"/>
      <w:marBottom w:val="0"/>
      <w:divBdr>
        <w:top w:val="none" w:sz="0" w:space="0" w:color="auto"/>
        <w:left w:val="none" w:sz="0" w:space="0" w:color="auto"/>
        <w:bottom w:val="none" w:sz="0" w:space="0" w:color="auto"/>
        <w:right w:val="none" w:sz="0" w:space="0" w:color="auto"/>
      </w:divBdr>
    </w:div>
    <w:div w:id="1982617625">
      <w:bodyDiv w:val="1"/>
      <w:marLeft w:val="0"/>
      <w:marRight w:val="0"/>
      <w:marTop w:val="0"/>
      <w:marBottom w:val="0"/>
      <w:divBdr>
        <w:top w:val="none" w:sz="0" w:space="0" w:color="auto"/>
        <w:left w:val="none" w:sz="0" w:space="0" w:color="auto"/>
        <w:bottom w:val="none" w:sz="0" w:space="0" w:color="auto"/>
        <w:right w:val="none" w:sz="0" w:space="0" w:color="auto"/>
      </w:divBdr>
    </w:div>
    <w:div w:id="1982802953">
      <w:bodyDiv w:val="1"/>
      <w:marLeft w:val="0"/>
      <w:marRight w:val="0"/>
      <w:marTop w:val="0"/>
      <w:marBottom w:val="0"/>
      <w:divBdr>
        <w:top w:val="none" w:sz="0" w:space="0" w:color="auto"/>
        <w:left w:val="none" w:sz="0" w:space="0" w:color="auto"/>
        <w:bottom w:val="none" w:sz="0" w:space="0" w:color="auto"/>
        <w:right w:val="none" w:sz="0" w:space="0" w:color="auto"/>
      </w:divBdr>
    </w:div>
    <w:div w:id="1982810285">
      <w:bodyDiv w:val="1"/>
      <w:marLeft w:val="0"/>
      <w:marRight w:val="0"/>
      <w:marTop w:val="0"/>
      <w:marBottom w:val="0"/>
      <w:divBdr>
        <w:top w:val="none" w:sz="0" w:space="0" w:color="auto"/>
        <w:left w:val="none" w:sz="0" w:space="0" w:color="auto"/>
        <w:bottom w:val="none" w:sz="0" w:space="0" w:color="auto"/>
        <w:right w:val="none" w:sz="0" w:space="0" w:color="auto"/>
      </w:divBdr>
    </w:div>
    <w:div w:id="1983075832">
      <w:bodyDiv w:val="1"/>
      <w:marLeft w:val="0"/>
      <w:marRight w:val="0"/>
      <w:marTop w:val="0"/>
      <w:marBottom w:val="0"/>
      <w:divBdr>
        <w:top w:val="none" w:sz="0" w:space="0" w:color="auto"/>
        <w:left w:val="none" w:sz="0" w:space="0" w:color="auto"/>
        <w:bottom w:val="none" w:sz="0" w:space="0" w:color="auto"/>
        <w:right w:val="none" w:sz="0" w:space="0" w:color="auto"/>
      </w:divBdr>
    </w:div>
    <w:div w:id="1983188603">
      <w:bodyDiv w:val="1"/>
      <w:marLeft w:val="0"/>
      <w:marRight w:val="0"/>
      <w:marTop w:val="0"/>
      <w:marBottom w:val="0"/>
      <w:divBdr>
        <w:top w:val="none" w:sz="0" w:space="0" w:color="auto"/>
        <w:left w:val="none" w:sz="0" w:space="0" w:color="auto"/>
        <w:bottom w:val="none" w:sz="0" w:space="0" w:color="auto"/>
        <w:right w:val="none" w:sz="0" w:space="0" w:color="auto"/>
      </w:divBdr>
    </w:div>
    <w:div w:id="1984040014">
      <w:bodyDiv w:val="1"/>
      <w:marLeft w:val="0"/>
      <w:marRight w:val="0"/>
      <w:marTop w:val="0"/>
      <w:marBottom w:val="0"/>
      <w:divBdr>
        <w:top w:val="none" w:sz="0" w:space="0" w:color="auto"/>
        <w:left w:val="none" w:sz="0" w:space="0" w:color="auto"/>
        <w:bottom w:val="none" w:sz="0" w:space="0" w:color="auto"/>
        <w:right w:val="none" w:sz="0" w:space="0" w:color="auto"/>
      </w:divBdr>
    </w:div>
    <w:div w:id="1984116772">
      <w:bodyDiv w:val="1"/>
      <w:marLeft w:val="0"/>
      <w:marRight w:val="0"/>
      <w:marTop w:val="0"/>
      <w:marBottom w:val="0"/>
      <w:divBdr>
        <w:top w:val="none" w:sz="0" w:space="0" w:color="auto"/>
        <w:left w:val="none" w:sz="0" w:space="0" w:color="auto"/>
        <w:bottom w:val="none" w:sz="0" w:space="0" w:color="auto"/>
        <w:right w:val="none" w:sz="0" w:space="0" w:color="auto"/>
      </w:divBdr>
    </w:div>
    <w:div w:id="1984196972">
      <w:bodyDiv w:val="1"/>
      <w:marLeft w:val="0"/>
      <w:marRight w:val="0"/>
      <w:marTop w:val="0"/>
      <w:marBottom w:val="0"/>
      <w:divBdr>
        <w:top w:val="none" w:sz="0" w:space="0" w:color="auto"/>
        <w:left w:val="none" w:sz="0" w:space="0" w:color="auto"/>
        <w:bottom w:val="none" w:sz="0" w:space="0" w:color="auto"/>
        <w:right w:val="none" w:sz="0" w:space="0" w:color="auto"/>
      </w:divBdr>
    </w:div>
    <w:div w:id="1984651890">
      <w:bodyDiv w:val="1"/>
      <w:marLeft w:val="0"/>
      <w:marRight w:val="0"/>
      <w:marTop w:val="0"/>
      <w:marBottom w:val="0"/>
      <w:divBdr>
        <w:top w:val="none" w:sz="0" w:space="0" w:color="auto"/>
        <w:left w:val="none" w:sz="0" w:space="0" w:color="auto"/>
        <w:bottom w:val="none" w:sz="0" w:space="0" w:color="auto"/>
        <w:right w:val="none" w:sz="0" w:space="0" w:color="auto"/>
      </w:divBdr>
    </w:div>
    <w:div w:id="1984657811">
      <w:bodyDiv w:val="1"/>
      <w:marLeft w:val="0"/>
      <w:marRight w:val="0"/>
      <w:marTop w:val="0"/>
      <w:marBottom w:val="0"/>
      <w:divBdr>
        <w:top w:val="none" w:sz="0" w:space="0" w:color="auto"/>
        <w:left w:val="none" w:sz="0" w:space="0" w:color="auto"/>
        <w:bottom w:val="none" w:sz="0" w:space="0" w:color="auto"/>
        <w:right w:val="none" w:sz="0" w:space="0" w:color="auto"/>
      </w:divBdr>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
    <w:div w:id="1984847746">
      <w:bodyDiv w:val="1"/>
      <w:marLeft w:val="0"/>
      <w:marRight w:val="0"/>
      <w:marTop w:val="0"/>
      <w:marBottom w:val="0"/>
      <w:divBdr>
        <w:top w:val="none" w:sz="0" w:space="0" w:color="auto"/>
        <w:left w:val="none" w:sz="0" w:space="0" w:color="auto"/>
        <w:bottom w:val="none" w:sz="0" w:space="0" w:color="auto"/>
        <w:right w:val="none" w:sz="0" w:space="0" w:color="auto"/>
      </w:divBdr>
    </w:div>
    <w:div w:id="1984969129">
      <w:bodyDiv w:val="1"/>
      <w:marLeft w:val="0"/>
      <w:marRight w:val="0"/>
      <w:marTop w:val="0"/>
      <w:marBottom w:val="0"/>
      <w:divBdr>
        <w:top w:val="none" w:sz="0" w:space="0" w:color="auto"/>
        <w:left w:val="none" w:sz="0" w:space="0" w:color="auto"/>
        <w:bottom w:val="none" w:sz="0" w:space="0" w:color="auto"/>
        <w:right w:val="none" w:sz="0" w:space="0" w:color="auto"/>
      </w:divBdr>
    </w:div>
    <w:div w:id="1985044383">
      <w:bodyDiv w:val="1"/>
      <w:marLeft w:val="0"/>
      <w:marRight w:val="0"/>
      <w:marTop w:val="0"/>
      <w:marBottom w:val="0"/>
      <w:divBdr>
        <w:top w:val="none" w:sz="0" w:space="0" w:color="auto"/>
        <w:left w:val="none" w:sz="0" w:space="0" w:color="auto"/>
        <w:bottom w:val="none" w:sz="0" w:space="0" w:color="auto"/>
        <w:right w:val="none" w:sz="0" w:space="0" w:color="auto"/>
      </w:divBdr>
    </w:div>
    <w:div w:id="1985156842">
      <w:bodyDiv w:val="1"/>
      <w:marLeft w:val="0"/>
      <w:marRight w:val="0"/>
      <w:marTop w:val="0"/>
      <w:marBottom w:val="0"/>
      <w:divBdr>
        <w:top w:val="none" w:sz="0" w:space="0" w:color="auto"/>
        <w:left w:val="none" w:sz="0" w:space="0" w:color="auto"/>
        <w:bottom w:val="none" w:sz="0" w:space="0" w:color="auto"/>
        <w:right w:val="none" w:sz="0" w:space="0" w:color="auto"/>
      </w:divBdr>
    </w:div>
    <w:div w:id="1985160284">
      <w:bodyDiv w:val="1"/>
      <w:marLeft w:val="0"/>
      <w:marRight w:val="0"/>
      <w:marTop w:val="0"/>
      <w:marBottom w:val="0"/>
      <w:divBdr>
        <w:top w:val="none" w:sz="0" w:space="0" w:color="auto"/>
        <w:left w:val="none" w:sz="0" w:space="0" w:color="auto"/>
        <w:bottom w:val="none" w:sz="0" w:space="0" w:color="auto"/>
        <w:right w:val="none" w:sz="0" w:space="0" w:color="auto"/>
      </w:divBdr>
    </w:div>
    <w:div w:id="1986079590">
      <w:bodyDiv w:val="1"/>
      <w:marLeft w:val="0"/>
      <w:marRight w:val="0"/>
      <w:marTop w:val="0"/>
      <w:marBottom w:val="0"/>
      <w:divBdr>
        <w:top w:val="none" w:sz="0" w:space="0" w:color="auto"/>
        <w:left w:val="none" w:sz="0" w:space="0" w:color="auto"/>
        <w:bottom w:val="none" w:sz="0" w:space="0" w:color="auto"/>
        <w:right w:val="none" w:sz="0" w:space="0" w:color="auto"/>
      </w:divBdr>
    </w:div>
    <w:div w:id="1986161681">
      <w:bodyDiv w:val="1"/>
      <w:marLeft w:val="0"/>
      <w:marRight w:val="0"/>
      <w:marTop w:val="0"/>
      <w:marBottom w:val="0"/>
      <w:divBdr>
        <w:top w:val="none" w:sz="0" w:space="0" w:color="auto"/>
        <w:left w:val="none" w:sz="0" w:space="0" w:color="auto"/>
        <w:bottom w:val="none" w:sz="0" w:space="0" w:color="auto"/>
        <w:right w:val="none" w:sz="0" w:space="0" w:color="auto"/>
      </w:divBdr>
    </w:div>
    <w:div w:id="1986926810">
      <w:bodyDiv w:val="1"/>
      <w:marLeft w:val="0"/>
      <w:marRight w:val="0"/>
      <w:marTop w:val="0"/>
      <w:marBottom w:val="0"/>
      <w:divBdr>
        <w:top w:val="none" w:sz="0" w:space="0" w:color="auto"/>
        <w:left w:val="none" w:sz="0" w:space="0" w:color="auto"/>
        <w:bottom w:val="none" w:sz="0" w:space="0" w:color="auto"/>
        <w:right w:val="none" w:sz="0" w:space="0" w:color="auto"/>
      </w:divBdr>
    </w:div>
    <w:div w:id="1986929159">
      <w:bodyDiv w:val="1"/>
      <w:marLeft w:val="0"/>
      <w:marRight w:val="0"/>
      <w:marTop w:val="0"/>
      <w:marBottom w:val="0"/>
      <w:divBdr>
        <w:top w:val="none" w:sz="0" w:space="0" w:color="auto"/>
        <w:left w:val="none" w:sz="0" w:space="0" w:color="auto"/>
        <w:bottom w:val="none" w:sz="0" w:space="0" w:color="auto"/>
        <w:right w:val="none" w:sz="0" w:space="0" w:color="auto"/>
      </w:divBdr>
    </w:div>
    <w:div w:id="1987971383">
      <w:bodyDiv w:val="1"/>
      <w:marLeft w:val="0"/>
      <w:marRight w:val="0"/>
      <w:marTop w:val="0"/>
      <w:marBottom w:val="0"/>
      <w:divBdr>
        <w:top w:val="none" w:sz="0" w:space="0" w:color="auto"/>
        <w:left w:val="none" w:sz="0" w:space="0" w:color="auto"/>
        <w:bottom w:val="none" w:sz="0" w:space="0" w:color="auto"/>
        <w:right w:val="none" w:sz="0" w:space="0" w:color="auto"/>
      </w:divBdr>
    </w:div>
    <w:div w:id="1988624432">
      <w:bodyDiv w:val="1"/>
      <w:marLeft w:val="0"/>
      <w:marRight w:val="0"/>
      <w:marTop w:val="0"/>
      <w:marBottom w:val="0"/>
      <w:divBdr>
        <w:top w:val="none" w:sz="0" w:space="0" w:color="auto"/>
        <w:left w:val="none" w:sz="0" w:space="0" w:color="auto"/>
        <w:bottom w:val="none" w:sz="0" w:space="0" w:color="auto"/>
        <w:right w:val="none" w:sz="0" w:space="0" w:color="auto"/>
      </w:divBdr>
    </w:div>
    <w:div w:id="1988775338">
      <w:bodyDiv w:val="1"/>
      <w:marLeft w:val="0"/>
      <w:marRight w:val="0"/>
      <w:marTop w:val="0"/>
      <w:marBottom w:val="0"/>
      <w:divBdr>
        <w:top w:val="none" w:sz="0" w:space="0" w:color="auto"/>
        <w:left w:val="none" w:sz="0" w:space="0" w:color="auto"/>
        <w:bottom w:val="none" w:sz="0" w:space="0" w:color="auto"/>
        <w:right w:val="none" w:sz="0" w:space="0" w:color="auto"/>
      </w:divBdr>
    </w:div>
    <w:div w:id="1988822812">
      <w:bodyDiv w:val="1"/>
      <w:marLeft w:val="0"/>
      <w:marRight w:val="0"/>
      <w:marTop w:val="0"/>
      <w:marBottom w:val="0"/>
      <w:divBdr>
        <w:top w:val="none" w:sz="0" w:space="0" w:color="auto"/>
        <w:left w:val="none" w:sz="0" w:space="0" w:color="auto"/>
        <w:bottom w:val="none" w:sz="0" w:space="0" w:color="auto"/>
        <w:right w:val="none" w:sz="0" w:space="0" w:color="auto"/>
      </w:divBdr>
    </w:div>
    <w:div w:id="1989094672">
      <w:bodyDiv w:val="1"/>
      <w:marLeft w:val="0"/>
      <w:marRight w:val="0"/>
      <w:marTop w:val="0"/>
      <w:marBottom w:val="0"/>
      <w:divBdr>
        <w:top w:val="none" w:sz="0" w:space="0" w:color="auto"/>
        <w:left w:val="none" w:sz="0" w:space="0" w:color="auto"/>
        <w:bottom w:val="none" w:sz="0" w:space="0" w:color="auto"/>
        <w:right w:val="none" w:sz="0" w:space="0" w:color="auto"/>
      </w:divBdr>
    </w:div>
    <w:div w:id="1989672985">
      <w:bodyDiv w:val="1"/>
      <w:marLeft w:val="0"/>
      <w:marRight w:val="0"/>
      <w:marTop w:val="0"/>
      <w:marBottom w:val="0"/>
      <w:divBdr>
        <w:top w:val="none" w:sz="0" w:space="0" w:color="auto"/>
        <w:left w:val="none" w:sz="0" w:space="0" w:color="auto"/>
        <w:bottom w:val="none" w:sz="0" w:space="0" w:color="auto"/>
        <w:right w:val="none" w:sz="0" w:space="0" w:color="auto"/>
      </w:divBdr>
    </w:div>
    <w:div w:id="1990399244">
      <w:bodyDiv w:val="1"/>
      <w:marLeft w:val="0"/>
      <w:marRight w:val="0"/>
      <w:marTop w:val="0"/>
      <w:marBottom w:val="0"/>
      <w:divBdr>
        <w:top w:val="none" w:sz="0" w:space="0" w:color="auto"/>
        <w:left w:val="none" w:sz="0" w:space="0" w:color="auto"/>
        <w:bottom w:val="none" w:sz="0" w:space="0" w:color="auto"/>
        <w:right w:val="none" w:sz="0" w:space="0" w:color="auto"/>
      </w:divBdr>
    </w:div>
    <w:div w:id="1991252114">
      <w:bodyDiv w:val="1"/>
      <w:marLeft w:val="0"/>
      <w:marRight w:val="0"/>
      <w:marTop w:val="0"/>
      <w:marBottom w:val="0"/>
      <w:divBdr>
        <w:top w:val="none" w:sz="0" w:space="0" w:color="auto"/>
        <w:left w:val="none" w:sz="0" w:space="0" w:color="auto"/>
        <w:bottom w:val="none" w:sz="0" w:space="0" w:color="auto"/>
        <w:right w:val="none" w:sz="0" w:space="0" w:color="auto"/>
      </w:divBdr>
    </w:div>
    <w:div w:id="1991714085">
      <w:bodyDiv w:val="1"/>
      <w:marLeft w:val="0"/>
      <w:marRight w:val="0"/>
      <w:marTop w:val="0"/>
      <w:marBottom w:val="0"/>
      <w:divBdr>
        <w:top w:val="none" w:sz="0" w:space="0" w:color="auto"/>
        <w:left w:val="none" w:sz="0" w:space="0" w:color="auto"/>
        <w:bottom w:val="none" w:sz="0" w:space="0" w:color="auto"/>
        <w:right w:val="none" w:sz="0" w:space="0" w:color="auto"/>
      </w:divBdr>
    </w:div>
    <w:div w:id="1991858866">
      <w:bodyDiv w:val="1"/>
      <w:marLeft w:val="0"/>
      <w:marRight w:val="0"/>
      <w:marTop w:val="0"/>
      <w:marBottom w:val="0"/>
      <w:divBdr>
        <w:top w:val="none" w:sz="0" w:space="0" w:color="auto"/>
        <w:left w:val="none" w:sz="0" w:space="0" w:color="auto"/>
        <w:bottom w:val="none" w:sz="0" w:space="0" w:color="auto"/>
        <w:right w:val="none" w:sz="0" w:space="0" w:color="auto"/>
      </w:divBdr>
    </w:div>
    <w:div w:id="1992174875">
      <w:bodyDiv w:val="1"/>
      <w:marLeft w:val="0"/>
      <w:marRight w:val="0"/>
      <w:marTop w:val="0"/>
      <w:marBottom w:val="0"/>
      <w:divBdr>
        <w:top w:val="none" w:sz="0" w:space="0" w:color="auto"/>
        <w:left w:val="none" w:sz="0" w:space="0" w:color="auto"/>
        <w:bottom w:val="none" w:sz="0" w:space="0" w:color="auto"/>
        <w:right w:val="none" w:sz="0" w:space="0" w:color="auto"/>
      </w:divBdr>
    </w:div>
    <w:div w:id="1992783783">
      <w:bodyDiv w:val="1"/>
      <w:marLeft w:val="0"/>
      <w:marRight w:val="0"/>
      <w:marTop w:val="0"/>
      <w:marBottom w:val="0"/>
      <w:divBdr>
        <w:top w:val="none" w:sz="0" w:space="0" w:color="auto"/>
        <w:left w:val="none" w:sz="0" w:space="0" w:color="auto"/>
        <w:bottom w:val="none" w:sz="0" w:space="0" w:color="auto"/>
        <w:right w:val="none" w:sz="0" w:space="0" w:color="auto"/>
      </w:divBdr>
    </w:div>
    <w:div w:id="1992785776">
      <w:bodyDiv w:val="1"/>
      <w:marLeft w:val="0"/>
      <w:marRight w:val="0"/>
      <w:marTop w:val="0"/>
      <w:marBottom w:val="0"/>
      <w:divBdr>
        <w:top w:val="none" w:sz="0" w:space="0" w:color="auto"/>
        <w:left w:val="none" w:sz="0" w:space="0" w:color="auto"/>
        <w:bottom w:val="none" w:sz="0" w:space="0" w:color="auto"/>
        <w:right w:val="none" w:sz="0" w:space="0" w:color="auto"/>
      </w:divBdr>
    </w:div>
    <w:div w:id="1993215368">
      <w:bodyDiv w:val="1"/>
      <w:marLeft w:val="0"/>
      <w:marRight w:val="0"/>
      <w:marTop w:val="0"/>
      <w:marBottom w:val="0"/>
      <w:divBdr>
        <w:top w:val="none" w:sz="0" w:space="0" w:color="auto"/>
        <w:left w:val="none" w:sz="0" w:space="0" w:color="auto"/>
        <w:bottom w:val="none" w:sz="0" w:space="0" w:color="auto"/>
        <w:right w:val="none" w:sz="0" w:space="0" w:color="auto"/>
      </w:divBdr>
    </w:div>
    <w:div w:id="1993755995">
      <w:bodyDiv w:val="1"/>
      <w:marLeft w:val="0"/>
      <w:marRight w:val="0"/>
      <w:marTop w:val="0"/>
      <w:marBottom w:val="0"/>
      <w:divBdr>
        <w:top w:val="none" w:sz="0" w:space="0" w:color="auto"/>
        <w:left w:val="none" w:sz="0" w:space="0" w:color="auto"/>
        <w:bottom w:val="none" w:sz="0" w:space="0" w:color="auto"/>
        <w:right w:val="none" w:sz="0" w:space="0" w:color="auto"/>
      </w:divBdr>
    </w:div>
    <w:div w:id="1994329124">
      <w:bodyDiv w:val="1"/>
      <w:marLeft w:val="0"/>
      <w:marRight w:val="0"/>
      <w:marTop w:val="0"/>
      <w:marBottom w:val="0"/>
      <w:divBdr>
        <w:top w:val="none" w:sz="0" w:space="0" w:color="auto"/>
        <w:left w:val="none" w:sz="0" w:space="0" w:color="auto"/>
        <w:bottom w:val="none" w:sz="0" w:space="0" w:color="auto"/>
        <w:right w:val="none" w:sz="0" w:space="0" w:color="auto"/>
      </w:divBdr>
    </w:div>
    <w:div w:id="1994798266">
      <w:bodyDiv w:val="1"/>
      <w:marLeft w:val="0"/>
      <w:marRight w:val="0"/>
      <w:marTop w:val="0"/>
      <w:marBottom w:val="0"/>
      <w:divBdr>
        <w:top w:val="none" w:sz="0" w:space="0" w:color="auto"/>
        <w:left w:val="none" w:sz="0" w:space="0" w:color="auto"/>
        <w:bottom w:val="none" w:sz="0" w:space="0" w:color="auto"/>
        <w:right w:val="none" w:sz="0" w:space="0" w:color="auto"/>
      </w:divBdr>
    </w:div>
    <w:div w:id="1995640012">
      <w:bodyDiv w:val="1"/>
      <w:marLeft w:val="0"/>
      <w:marRight w:val="0"/>
      <w:marTop w:val="0"/>
      <w:marBottom w:val="0"/>
      <w:divBdr>
        <w:top w:val="none" w:sz="0" w:space="0" w:color="auto"/>
        <w:left w:val="none" w:sz="0" w:space="0" w:color="auto"/>
        <w:bottom w:val="none" w:sz="0" w:space="0" w:color="auto"/>
        <w:right w:val="none" w:sz="0" w:space="0" w:color="auto"/>
      </w:divBdr>
    </w:div>
    <w:div w:id="1996957277">
      <w:bodyDiv w:val="1"/>
      <w:marLeft w:val="0"/>
      <w:marRight w:val="0"/>
      <w:marTop w:val="0"/>
      <w:marBottom w:val="0"/>
      <w:divBdr>
        <w:top w:val="none" w:sz="0" w:space="0" w:color="auto"/>
        <w:left w:val="none" w:sz="0" w:space="0" w:color="auto"/>
        <w:bottom w:val="none" w:sz="0" w:space="0" w:color="auto"/>
        <w:right w:val="none" w:sz="0" w:space="0" w:color="auto"/>
      </w:divBdr>
    </w:div>
    <w:div w:id="1997146048">
      <w:bodyDiv w:val="1"/>
      <w:marLeft w:val="0"/>
      <w:marRight w:val="0"/>
      <w:marTop w:val="0"/>
      <w:marBottom w:val="0"/>
      <w:divBdr>
        <w:top w:val="none" w:sz="0" w:space="0" w:color="auto"/>
        <w:left w:val="none" w:sz="0" w:space="0" w:color="auto"/>
        <w:bottom w:val="none" w:sz="0" w:space="0" w:color="auto"/>
        <w:right w:val="none" w:sz="0" w:space="0" w:color="auto"/>
      </w:divBdr>
    </w:div>
    <w:div w:id="1997417680">
      <w:bodyDiv w:val="1"/>
      <w:marLeft w:val="0"/>
      <w:marRight w:val="0"/>
      <w:marTop w:val="0"/>
      <w:marBottom w:val="0"/>
      <w:divBdr>
        <w:top w:val="none" w:sz="0" w:space="0" w:color="auto"/>
        <w:left w:val="none" w:sz="0" w:space="0" w:color="auto"/>
        <w:bottom w:val="none" w:sz="0" w:space="0" w:color="auto"/>
        <w:right w:val="none" w:sz="0" w:space="0" w:color="auto"/>
      </w:divBdr>
    </w:div>
    <w:div w:id="1997763389">
      <w:bodyDiv w:val="1"/>
      <w:marLeft w:val="0"/>
      <w:marRight w:val="0"/>
      <w:marTop w:val="0"/>
      <w:marBottom w:val="0"/>
      <w:divBdr>
        <w:top w:val="none" w:sz="0" w:space="0" w:color="auto"/>
        <w:left w:val="none" w:sz="0" w:space="0" w:color="auto"/>
        <w:bottom w:val="none" w:sz="0" w:space="0" w:color="auto"/>
        <w:right w:val="none" w:sz="0" w:space="0" w:color="auto"/>
      </w:divBdr>
    </w:div>
    <w:div w:id="1997800592">
      <w:bodyDiv w:val="1"/>
      <w:marLeft w:val="0"/>
      <w:marRight w:val="0"/>
      <w:marTop w:val="0"/>
      <w:marBottom w:val="0"/>
      <w:divBdr>
        <w:top w:val="none" w:sz="0" w:space="0" w:color="auto"/>
        <w:left w:val="none" w:sz="0" w:space="0" w:color="auto"/>
        <w:bottom w:val="none" w:sz="0" w:space="0" w:color="auto"/>
        <w:right w:val="none" w:sz="0" w:space="0" w:color="auto"/>
      </w:divBdr>
    </w:div>
    <w:div w:id="1997953091">
      <w:bodyDiv w:val="1"/>
      <w:marLeft w:val="0"/>
      <w:marRight w:val="0"/>
      <w:marTop w:val="0"/>
      <w:marBottom w:val="0"/>
      <w:divBdr>
        <w:top w:val="none" w:sz="0" w:space="0" w:color="auto"/>
        <w:left w:val="none" w:sz="0" w:space="0" w:color="auto"/>
        <w:bottom w:val="none" w:sz="0" w:space="0" w:color="auto"/>
        <w:right w:val="none" w:sz="0" w:space="0" w:color="auto"/>
      </w:divBdr>
    </w:div>
    <w:div w:id="1998413031">
      <w:bodyDiv w:val="1"/>
      <w:marLeft w:val="0"/>
      <w:marRight w:val="0"/>
      <w:marTop w:val="0"/>
      <w:marBottom w:val="0"/>
      <w:divBdr>
        <w:top w:val="none" w:sz="0" w:space="0" w:color="auto"/>
        <w:left w:val="none" w:sz="0" w:space="0" w:color="auto"/>
        <w:bottom w:val="none" w:sz="0" w:space="0" w:color="auto"/>
        <w:right w:val="none" w:sz="0" w:space="0" w:color="auto"/>
      </w:divBdr>
    </w:div>
    <w:div w:id="1999071372">
      <w:bodyDiv w:val="1"/>
      <w:marLeft w:val="0"/>
      <w:marRight w:val="0"/>
      <w:marTop w:val="0"/>
      <w:marBottom w:val="0"/>
      <w:divBdr>
        <w:top w:val="none" w:sz="0" w:space="0" w:color="auto"/>
        <w:left w:val="none" w:sz="0" w:space="0" w:color="auto"/>
        <w:bottom w:val="none" w:sz="0" w:space="0" w:color="auto"/>
        <w:right w:val="none" w:sz="0" w:space="0" w:color="auto"/>
      </w:divBdr>
    </w:div>
    <w:div w:id="1999725124">
      <w:bodyDiv w:val="1"/>
      <w:marLeft w:val="0"/>
      <w:marRight w:val="0"/>
      <w:marTop w:val="0"/>
      <w:marBottom w:val="0"/>
      <w:divBdr>
        <w:top w:val="none" w:sz="0" w:space="0" w:color="auto"/>
        <w:left w:val="none" w:sz="0" w:space="0" w:color="auto"/>
        <w:bottom w:val="none" w:sz="0" w:space="0" w:color="auto"/>
        <w:right w:val="none" w:sz="0" w:space="0" w:color="auto"/>
      </w:divBdr>
    </w:div>
    <w:div w:id="1999767444">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00839445">
      <w:bodyDiv w:val="1"/>
      <w:marLeft w:val="0"/>
      <w:marRight w:val="0"/>
      <w:marTop w:val="0"/>
      <w:marBottom w:val="0"/>
      <w:divBdr>
        <w:top w:val="none" w:sz="0" w:space="0" w:color="auto"/>
        <w:left w:val="none" w:sz="0" w:space="0" w:color="auto"/>
        <w:bottom w:val="none" w:sz="0" w:space="0" w:color="auto"/>
        <w:right w:val="none" w:sz="0" w:space="0" w:color="auto"/>
      </w:divBdr>
    </w:div>
    <w:div w:id="2001034343">
      <w:bodyDiv w:val="1"/>
      <w:marLeft w:val="0"/>
      <w:marRight w:val="0"/>
      <w:marTop w:val="0"/>
      <w:marBottom w:val="0"/>
      <w:divBdr>
        <w:top w:val="none" w:sz="0" w:space="0" w:color="auto"/>
        <w:left w:val="none" w:sz="0" w:space="0" w:color="auto"/>
        <w:bottom w:val="none" w:sz="0" w:space="0" w:color="auto"/>
        <w:right w:val="none" w:sz="0" w:space="0" w:color="auto"/>
      </w:divBdr>
    </w:div>
    <w:div w:id="2001229176">
      <w:bodyDiv w:val="1"/>
      <w:marLeft w:val="0"/>
      <w:marRight w:val="0"/>
      <w:marTop w:val="0"/>
      <w:marBottom w:val="0"/>
      <w:divBdr>
        <w:top w:val="none" w:sz="0" w:space="0" w:color="auto"/>
        <w:left w:val="none" w:sz="0" w:space="0" w:color="auto"/>
        <w:bottom w:val="none" w:sz="0" w:space="0" w:color="auto"/>
        <w:right w:val="none" w:sz="0" w:space="0" w:color="auto"/>
      </w:divBdr>
    </w:div>
    <w:div w:id="2001427001">
      <w:bodyDiv w:val="1"/>
      <w:marLeft w:val="0"/>
      <w:marRight w:val="0"/>
      <w:marTop w:val="0"/>
      <w:marBottom w:val="0"/>
      <w:divBdr>
        <w:top w:val="none" w:sz="0" w:space="0" w:color="auto"/>
        <w:left w:val="none" w:sz="0" w:space="0" w:color="auto"/>
        <w:bottom w:val="none" w:sz="0" w:space="0" w:color="auto"/>
        <w:right w:val="none" w:sz="0" w:space="0" w:color="auto"/>
      </w:divBdr>
    </w:div>
    <w:div w:id="2001690572">
      <w:bodyDiv w:val="1"/>
      <w:marLeft w:val="0"/>
      <w:marRight w:val="0"/>
      <w:marTop w:val="0"/>
      <w:marBottom w:val="0"/>
      <w:divBdr>
        <w:top w:val="none" w:sz="0" w:space="0" w:color="auto"/>
        <w:left w:val="none" w:sz="0" w:space="0" w:color="auto"/>
        <w:bottom w:val="none" w:sz="0" w:space="0" w:color="auto"/>
        <w:right w:val="none" w:sz="0" w:space="0" w:color="auto"/>
      </w:divBdr>
    </w:div>
    <w:div w:id="2002998392">
      <w:bodyDiv w:val="1"/>
      <w:marLeft w:val="0"/>
      <w:marRight w:val="0"/>
      <w:marTop w:val="0"/>
      <w:marBottom w:val="0"/>
      <w:divBdr>
        <w:top w:val="none" w:sz="0" w:space="0" w:color="auto"/>
        <w:left w:val="none" w:sz="0" w:space="0" w:color="auto"/>
        <w:bottom w:val="none" w:sz="0" w:space="0" w:color="auto"/>
        <w:right w:val="none" w:sz="0" w:space="0" w:color="auto"/>
      </w:divBdr>
    </w:div>
    <w:div w:id="2004044407">
      <w:bodyDiv w:val="1"/>
      <w:marLeft w:val="0"/>
      <w:marRight w:val="0"/>
      <w:marTop w:val="0"/>
      <w:marBottom w:val="0"/>
      <w:divBdr>
        <w:top w:val="none" w:sz="0" w:space="0" w:color="auto"/>
        <w:left w:val="none" w:sz="0" w:space="0" w:color="auto"/>
        <w:bottom w:val="none" w:sz="0" w:space="0" w:color="auto"/>
        <w:right w:val="none" w:sz="0" w:space="0" w:color="auto"/>
      </w:divBdr>
    </w:div>
    <w:div w:id="2004232612">
      <w:bodyDiv w:val="1"/>
      <w:marLeft w:val="0"/>
      <w:marRight w:val="0"/>
      <w:marTop w:val="0"/>
      <w:marBottom w:val="0"/>
      <w:divBdr>
        <w:top w:val="none" w:sz="0" w:space="0" w:color="auto"/>
        <w:left w:val="none" w:sz="0" w:space="0" w:color="auto"/>
        <w:bottom w:val="none" w:sz="0" w:space="0" w:color="auto"/>
        <w:right w:val="none" w:sz="0" w:space="0" w:color="auto"/>
      </w:divBdr>
    </w:div>
    <w:div w:id="2005354452">
      <w:bodyDiv w:val="1"/>
      <w:marLeft w:val="0"/>
      <w:marRight w:val="0"/>
      <w:marTop w:val="0"/>
      <w:marBottom w:val="0"/>
      <w:divBdr>
        <w:top w:val="none" w:sz="0" w:space="0" w:color="auto"/>
        <w:left w:val="none" w:sz="0" w:space="0" w:color="auto"/>
        <w:bottom w:val="none" w:sz="0" w:space="0" w:color="auto"/>
        <w:right w:val="none" w:sz="0" w:space="0" w:color="auto"/>
      </w:divBdr>
    </w:div>
    <w:div w:id="2005471666">
      <w:bodyDiv w:val="1"/>
      <w:marLeft w:val="0"/>
      <w:marRight w:val="0"/>
      <w:marTop w:val="0"/>
      <w:marBottom w:val="0"/>
      <w:divBdr>
        <w:top w:val="none" w:sz="0" w:space="0" w:color="auto"/>
        <w:left w:val="none" w:sz="0" w:space="0" w:color="auto"/>
        <w:bottom w:val="none" w:sz="0" w:space="0" w:color="auto"/>
        <w:right w:val="none" w:sz="0" w:space="0" w:color="auto"/>
      </w:divBdr>
    </w:div>
    <w:div w:id="2005547722">
      <w:bodyDiv w:val="1"/>
      <w:marLeft w:val="0"/>
      <w:marRight w:val="0"/>
      <w:marTop w:val="0"/>
      <w:marBottom w:val="0"/>
      <w:divBdr>
        <w:top w:val="none" w:sz="0" w:space="0" w:color="auto"/>
        <w:left w:val="none" w:sz="0" w:space="0" w:color="auto"/>
        <w:bottom w:val="none" w:sz="0" w:space="0" w:color="auto"/>
        <w:right w:val="none" w:sz="0" w:space="0" w:color="auto"/>
      </w:divBdr>
    </w:div>
    <w:div w:id="2005695689">
      <w:bodyDiv w:val="1"/>
      <w:marLeft w:val="0"/>
      <w:marRight w:val="0"/>
      <w:marTop w:val="0"/>
      <w:marBottom w:val="0"/>
      <w:divBdr>
        <w:top w:val="none" w:sz="0" w:space="0" w:color="auto"/>
        <w:left w:val="none" w:sz="0" w:space="0" w:color="auto"/>
        <w:bottom w:val="none" w:sz="0" w:space="0" w:color="auto"/>
        <w:right w:val="none" w:sz="0" w:space="0" w:color="auto"/>
      </w:divBdr>
    </w:div>
    <w:div w:id="2006005914">
      <w:bodyDiv w:val="1"/>
      <w:marLeft w:val="0"/>
      <w:marRight w:val="0"/>
      <w:marTop w:val="0"/>
      <w:marBottom w:val="0"/>
      <w:divBdr>
        <w:top w:val="none" w:sz="0" w:space="0" w:color="auto"/>
        <w:left w:val="none" w:sz="0" w:space="0" w:color="auto"/>
        <w:bottom w:val="none" w:sz="0" w:space="0" w:color="auto"/>
        <w:right w:val="none" w:sz="0" w:space="0" w:color="auto"/>
      </w:divBdr>
    </w:div>
    <w:div w:id="2006012339">
      <w:bodyDiv w:val="1"/>
      <w:marLeft w:val="0"/>
      <w:marRight w:val="0"/>
      <w:marTop w:val="0"/>
      <w:marBottom w:val="0"/>
      <w:divBdr>
        <w:top w:val="none" w:sz="0" w:space="0" w:color="auto"/>
        <w:left w:val="none" w:sz="0" w:space="0" w:color="auto"/>
        <w:bottom w:val="none" w:sz="0" w:space="0" w:color="auto"/>
        <w:right w:val="none" w:sz="0" w:space="0" w:color="auto"/>
      </w:divBdr>
    </w:div>
    <w:div w:id="2006205976">
      <w:bodyDiv w:val="1"/>
      <w:marLeft w:val="0"/>
      <w:marRight w:val="0"/>
      <w:marTop w:val="0"/>
      <w:marBottom w:val="0"/>
      <w:divBdr>
        <w:top w:val="none" w:sz="0" w:space="0" w:color="auto"/>
        <w:left w:val="none" w:sz="0" w:space="0" w:color="auto"/>
        <w:bottom w:val="none" w:sz="0" w:space="0" w:color="auto"/>
        <w:right w:val="none" w:sz="0" w:space="0" w:color="auto"/>
      </w:divBdr>
    </w:div>
    <w:div w:id="2006470773">
      <w:bodyDiv w:val="1"/>
      <w:marLeft w:val="0"/>
      <w:marRight w:val="0"/>
      <w:marTop w:val="0"/>
      <w:marBottom w:val="0"/>
      <w:divBdr>
        <w:top w:val="none" w:sz="0" w:space="0" w:color="auto"/>
        <w:left w:val="none" w:sz="0" w:space="0" w:color="auto"/>
        <w:bottom w:val="none" w:sz="0" w:space="0" w:color="auto"/>
        <w:right w:val="none" w:sz="0" w:space="0" w:color="auto"/>
      </w:divBdr>
    </w:div>
    <w:div w:id="2006591301">
      <w:bodyDiv w:val="1"/>
      <w:marLeft w:val="0"/>
      <w:marRight w:val="0"/>
      <w:marTop w:val="0"/>
      <w:marBottom w:val="0"/>
      <w:divBdr>
        <w:top w:val="none" w:sz="0" w:space="0" w:color="auto"/>
        <w:left w:val="none" w:sz="0" w:space="0" w:color="auto"/>
        <w:bottom w:val="none" w:sz="0" w:space="0" w:color="auto"/>
        <w:right w:val="none" w:sz="0" w:space="0" w:color="auto"/>
      </w:divBdr>
    </w:div>
    <w:div w:id="2006854342">
      <w:bodyDiv w:val="1"/>
      <w:marLeft w:val="0"/>
      <w:marRight w:val="0"/>
      <w:marTop w:val="0"/>
      <w:marBottom w:val="0"/>
      <w:divBdr>
        <w:top w:val="none" w:sz="0" w:space="0" w:color="auto"/>
        <w:left w:val="none" w:sz="0" w:space="0" w:color="auto"/>
        <w:bottom w:val="none" w:sz="0" w:space="0" w:color="auto"/>
        <w:right w:val="none" w:sz="0" w:space="0" w:color="auto"/>
      </w:divBdr>
    </w:div>
    <w:div w:id="2007703067">
      <w:bodyDiv w:val="1"/>
      <w:marLeft w:val="0"/>
      <w:marRight w:val="0"/>
      <w:marTop w:val="0"/>
      <w:marBottom w:val="0"/>
      <w:divBdr>
        <w:top w:val="none" w:sz="0" w:space="0" w:color="auto"/>
        <w:left w:val="none" w:sz="0" w:space="0" w:color="auto"/>
        <w:bottom w:val="none" w:sz="0" w:space="0" w:color="auto"/>
        <w:right w:val="none" w:sz="0" w:space="0" w:color="auto"/>
      </w:divBdr>
    </w:div>
    <w:div w:id="2007779173">
      <w:bodyDiv w:val="1"/>
      <w:marLeft w:val="0"/>
      <w:marRight w:val="0"/>
      <w:marTop w:val="0"/>
      <w:marBottom w:val="0"/>
      <w:divBdr>
        <w:top w:val="none" w:sz="0" w:space="0" w:color="auto"/>
        <w:left w:val="none" w:sz="0" w:space="0" w:color="auto"/>
        <w:bottom w:val="none" w:sz="0" w:space="0" w:color="auto"/>
        <w:right w:val="none" w:sz="0" w:space="0" w:color="auto"/>
      </w:divBdr>
    </w:div>
    <w:div w:id="2007853798">
      <w:bodyDiv w:val="1"/>
      <w:marLeft w:val="0"/>
      <w:marRight w:val="0"/>
      <w:marTop w:val="0"/>
      <w:marBottom w:val="0"/>
      <w:divBdr>
        <w:top w:val="none" w:sz="0" w:space="0" w:color="auto"/>
        <w:left w:val="none" w:sz="0" w:space="0" w:color="auto"/>
        <w:bottom w:val="none" w:sz="0" w:space="0" w:color="auto"/>
        <w:right w:val="none" w:sz="0" w:space="0" w:color="auto"/>
      </w:divBdr>
    </w:div>
    <w:div w:id="2007900498">
      <w:bodyDiv w:val="1"/>
      <w:marLeft w:val="0"/>
      <w:marRight w:val="0"/>
      <w:marTop w:val="0"/>
      <w:marBottom w:val="0"/>
      <w:divBdr>
        <w:top w:val="none" w:sz="0" w:space="0" w:color="auto"/>
        <w:left w:val="none" w:sz="0" w:space="0" w:color="auto"/>
        <w:bottom w:val="none" w:sz="0" w:space="0" w:color="auto"/>
        <w:right w:val="none" w:sz="0" w:space="0" w:color="auto"/>
      </w:divBdr>
    </w:div>
    <w:div w:id="2008090934">
      <w:bodyDiv w:val="1"/>
      <w:marLeft w:val="0"/>
      <w:marRight w:val="0"/>
      <w:marTop w:val="0"/>
      <w:marBottom w:val="0"/>
      <w:divBdr>
        <w:top w:val="none" w:sz="0" w:space="0" w:color="auto"/>
        <w:left w:val="none" w:sz="0" w:space="0" w:color="auto"/>
        <w:bottom w:val="none" w:sz="0" w:space="0" w:color="auto"/>
        <w:right w:val="none" w:sz="0" w:space="0" w:color="auto"/>
      </w:divBdr>
    </w:div>
    <w:div w:id="2008172629">
      <w:bodyDiv w:val="1"/>
      <w:marLeft w:val="0"/>
      <w:marRight w:val="0"/>
      <w:marTop w:val="0"/>
      <w:marBottom w:val="0"/>
      <w:divBdr>
        <w:top w:val="none" w:sz="0" w:space="0" w:color="auto"/>
        <w:left w:val="none" w:sz="0" w:space="0" w:color="auto"/>
        <w:bottom w:val="none" w:sz="0" w:space="0" w:color="auto"/>
        <w:right w:val="none" w:sz="0" w:space="0" w:color="auto"/>
      </w:divBdr>
    </w:div>
    <w:div w:id="2008365248">
      <w:bodyDiv w:val="1"/>
      <w:marLeft w:val="0"/>
      <w:marRight w:val="0"/>
      <w:marTop w:val="0"/>
      <w:marBottom w:val="0"/>
      <w:divBdr>
        <w:top w:val="none" w:sz="0" w:space="0" w:color="auto"/>
        <w:left w:val="none" w:sz="0" w:space="0" w:color="auto"/>
        <w:bottom w:val="none" w:sz="0" w:space="0" w:color="auto"/>
        <w:right w:val="none" w:sz="0" w:space="0" w:color="auto"/>
      </w:divBdr>
    </w:div>
    <w:div w:id="2009290216">
      <w:bodyDiv w:val="1"/>
      <w:marLeft w:val="0"/>
      <w:marRight w:val="0"/>
      <w:marTop w:val="0"/>
      <w:marBottom w:val="0"/>
      <w:divBdr>
        <w:top w:val="none" w:sz="0" w:space="0" w:color="auto"/>
        <w:left w:val="none" w:sz="0" w:space="0" w:color="auto"/>
        <w:bottom w:val="none" w:sz="0" w:space="0" w:color="auto"/>
        <w:right w:val="none" w:sz="0" w:space="0" w:color="auto"/>
      </w:divBdr>
    </w:div>
    <w:div w:id="2010324878">
      <w:bodyDiv w:val="1"/>
      <w:marLeft w:val="0"/>
      <w:marRight w:val="0"/>
      <w:marTop w:val="0"/>
      <w:marBottom w:val="0"/>
      <w:divBdr>
        <w:top w:val="none" w:sz="0" w:space="0" w:color="auto"/>
        <w:left w:val="none" w:sz="0" w:space="0" w:color="auto"/>
        <w:bottom w:val="none" w:sz="0" w:space="0" w:color="auto"/>
        <w:right w:val="none" w:sz="0" w:space="0" w:color="auto"/>
      </w:divBdr>
    </w:div>
    <w:div w:id="2010600442">
      <w:bodyDiv w:val="1"/>
      <w:marLeft w:val="0"/>
      <w:marRight w:val="0"/>
      <w:marTop w:val="0"/>
      <w:marBottom w:val="0"/>
      <w:divBdr>
        <w:top w:val="none" w:sz="0" w:space="0" w:color="auto"/>
        <w:left w:val="none" w:sz="0" w:space="0" w:color="auto"/>
        <w:bottom w:val="none" w:sz="0" w:space="0" w:color="auto"/>
        <w:right w:val="none" w:sz="0" w:space="0" w:color="auto"/>
      </w:divBdr>
    </w:div>
    <w:div w:id="2010791767">
      <w:bodyDiv w:val="1"/>
      <w:marLeft w:val="0"/>
      <w:marRight w:val="0"/>
      <w:marTop w:val="0"/>
      <w:marBottom w:val="0"/>
      <w:divBdr>
        <w:top w:val="none" w:sz="0" w:space="0" w:color="auto"/>
        <w:left w:val="none" w:sz="0" w:space="0" w:color="auto"/>
        <w:bottom w:val="none" w:sz="0" w:space="0" w:color="auto"/>
        <w:right w:val="none" w:sz="0" w:space="0" w:color="auto"/>
      </w:divBdr>
    </w:div>
    <w:div w:id="2011053758">
      <w:bodyDiv w:val="1"/>
      <w:marLeft w:val="0"/>
      <w:marRight w:val="0"/>
      <w:marTop w:val="0"/>
      <w:marBottom w:val="0"/>
      <w:divBdr>
        <w:top w:val="none" w:sz="0" w:space="0" w:color="auto"/>
        <w:left w:val="none" w:sz="0" w:space="0" w:color="auto"/>
        <w:bottom w:val="none" w:sz="0" w:space="0" w:color="auto"/>
        <w:right w:val="none" w:sz="0" w:space="0" w:color="auto"/>
      </w:divBdr>
    </w:div>
    <w:div w:id="2011251859">
      <w:bodyDiv w:val="1"/>
      <w:marLeft w:val="0"/>
      <w:marRight w:val="0"/>
      <w:marTop w:val="0"/>
      <w:marBottom w:val="0"/>
      <w:divBdr>
        <w:top w:val="none" w:sz="0" w:space="0" w:color="auto"/>
        <w:left w:val="none" w:sz="0" w:space="0" w:color="auto"/>
        <w:bottom w:val="none" w:sz="0" w:space="0" w:color="auto"/>
        <w:right w:val="none" w:sz="0" w:space="0" w:color="auto"/>
      </w:divBdr>
    </w:div>
    <w:div w:id="2011374536">
      <w:bodyDiv w:val="1"/>
      <w:marLeft w:val="0"/>
      <w:marRight w:val="0"/>
      <w:marTop w:val="0"/>
      <w:marBottom w:val="0"/>
      <w:divBdr>
        <w:top w:val="none" w:sz="0" w:space="0" w:color="auto"/>
        <w:left w:val="none" w:sz="0" w:space="0" w:color="auto"/>
        <w:bottom w:val="none" w:sz="0" w:space="0" w:color="auto"/>
        <w:right w:val="none" w:sz="0" w:space="0" w:color="auto"/>
      </w:divBdr>
    </w:div>
    <w:div w:id="2011592025">
      <w:bodyDiv w:val="1"/>
      <w:marLeft w:val="0"/>
      <w:marRight w:val="0"/>
      <w:marTop w:val="0"/>
      <w:marBottom w:val="0"/>
      <w:divBdr>
        <w:top w:val="none" w:sz="0" w:space="0" w:color="auto"/>
        <w:left w:val="none" w:sz="0" w:space="0" w:color="auto"/>
        <w:bottom w:val="none" w:sz="0" w:space="0" w:color="auto"/>
        <w:right w:val="none" w:sz="0" w:space="0" w:color="auto"/>
      </w:divBdr>
    </w:div>
    <w:div w:id="2011758970">
      <w:bodyDiv w:val="1"/>
      <w:marLeft w:val="0"/>
      <w:marRight w:val="0"/>
      <w:marTop w:val="0"/>
      <w:marBottom w:val="0"/>
      <w:divBdr>
        <w:top w:val="none" w:sz="0" w:space="0" w:color="auto"/>
        <w:left w:val="none" w:sz="0" w:space="0" w:color="auto"/>
        <w:bottom w:val="none" w:sz="0" w:space="0" w:color="auto"/>
        <w:right w:val="none" w:sz="0" w:space="0" w:color="auto"/>
      </w:divBdr>
    </w:div>
    <w:div w:id="2011835625">
      <w:bodyDiv w:val="1"/>
      <w:marLeft w:val="0"/>
      <w:marRight w:val="0"/>
      <w:marTop w:val="0"/>
      <w:marBottom w:val="0"/>
      <w:divBdr>
        <w:top w:val="none" w:sz="0" w:space="0" w:color="auto"/>
        <w:left w:val="none" w:sz="0" w:space="0" w:color="auto"/>
        <w:bottom w:val="none" w:sz="0" w:space="0" w:color="auto"/>
        <w:right w:val="none" w:sz="0" w:space="0" w:color="auto"/>
      </w:divBdr>
    </w:div>
    <w:div w:id="2012178970">
      <w:bodyDiv w:val="1"/>
      <w:marLeft w:val="0"/>
      <w:marRight w:val="0"/>
      <w:marTop w:val="0"/>
      <w:marBottom w:val="0"/>
      <w:divBdr>
        <w:top w:val="none" w:sz="0" w:space="0" w:color="auto"/>
        <w:left w:val="none" w:sz="0" w:space="0" w:color="auto"/>
        <w:bottom w:val="none" w:sz="0" w:space="0" w:color="auto"/>
        <w:right w:val="none" w:sz="0" w:space="0" w:color="auto"/>
      </w:divBdr>
    </w:div>
    <w:div w:id="2012220462">
      <w:bodyDiv w:val="1"/>
      <w:marLeft w:val="0"/>
      <w:marRight w:val="0"/>
      <w:marTop w:val="0"/>
      <w:marBottom w:val="0"/>
      <w:divBdr>
        <w:top w:val="none" w:sz="0" w:space="0" w:color="auto"/>
        <w:left w:val="none" w:sz="0" w:space="0" w:color="auto"/>
        <w:bottom w:val="none" w:sz="0" w:space="0" w:color="auto"/>
        <w:right w:val="none" w:sz="0" w:space="0" w:color="auto"/>
      </w:divBdr>
    </w:div>
    <w:div w:id="2012562787">
      <w:bodyDiv w:val="1"/>
      <w:marLeft w:val="0"/>
      <w:marRight w:val="0"/>
      <w:marTop w:val="0"/>
      <w:marBottom w:val="0"/>
      <w:divBdr>
        <w:top w:val="none" w:sz="0" w:space="0" w:color="auto"/>
        <w:left w:val="none" w:sz="0" w:space="0" w:color="auto"/>
        <w:bottom w:val="none" w:sz="0" w:space="0" w:color="auto"/>
        <w:right w:val="none" w:sz="0" w:space="0" w:color="auto"/>
      </w:divBdr>
    </w:div>
    <w:div w:id="2012832949">
      <w:bodyDiv w:val="1"/>
      <w:marLeft w:val="0"/>
      <w:marRight w:val="0"/>
      <w:marTop w:val="0"/>
      <w:marBottom w:val="0"/>
      <w:divBdr>
        <w:top w:val="none" w:sz="0" w:space="0" w:color="auto"/>
        <w:left w:val="none" w:sz="0" w:space="0" w:color="auto"/>
        <w:bottom w:val="none" w:sz="0" w:space="0" w:color="auto"/>
        <w:right w:val="none" w:sz="0" w:space="0" w:color="auto"/>
      </w:divBdr>
    </w:div>
    <w:div w:id="2012875408">
      <w:bodyDiv w:val="1"/>
      <w:marLeft w:val="0"/>
      <w:marRight w:val="0"/>
      <w:marTop w:val="0"/>
      <w:marBottom w:val="0"/>
      <w:divBdr>
        <w:top w:val="none" w:sz="0" w:space="0" w:color="auto"/>
        <w:left w:val="none" w:sz="0" w:space="0" w:color="auto"/>
        <w:bottom w:val="none" w:sz="0" w:space="0" w:color="auto"/>
        <w:right w:val="none" w:sz="0" w:space="0" w:color="auto"/>
      </w:divBdr>
    </w:div>
    <w:div w:id="2012904702">
      <w:bodyDiv w:val="1"/>
      <w:marLeft w:val="0"/>
      <w:marRight w:val="0"/>
      <w:marTop w:val="0"/>
      <w:marBottom w:val="0"/>
      <w:divBdr>
        <w:top w:val="none" w:sz="0" w:space="0" w:color="auto"/>
        <w:left w:val="none" w:sz="0" w:space="0" w:color="auto"/>
        <w:bottom w:val="none" w:sz="0" w:space="0" w:color="auto"/>
        <w:right w:val="none" w:sz="0" w:space="0" w:color="auto"/>
      </w:divBdr>
    </w:div>
    <w:div w:id="2013290744">
      <w:bodyDiv w:val="1"/>
      <w:marLeft w:val="0"/>
      <w:marRight w:val="0"/>
      <w:marTop w:val="0"/>
      <w:marBottom w:val="0"/>
      <w:divBdr>
        <w:top w:val="none" w:sz="0" w:space="0" w:color="auto"/>
        <w:left w:val="none" w:sz="0" w:space="0" w:color="auto"/>
        <w:bottom w:val="none" w:sz="0" w:space="0" w:color="auto"/>
        <w:right w:val="none" w:sz="0" w:space="0" w:color="auto"/>
      </w:divBdr>
    </w:div>
    <w:div w:id="2013530119">
      <w:bodyDiv w:val="1"/>
      <w:marLeft w:val="0"/>
      <w:marRight w:val="0"/>
      <w:marTop w:val="0"/>
      <w:marBottom w:val="0"/>
      <w:divBdr>
        <w:top w:val="none" w:sz="0" w:space="0" w:color="auto"/>
        <w:left w:val="none" w:sz="0" w:space="0" w:color="auto"/>
        <w:bottom w:val="none" w:sz="0" w:space="0" w:color="auto"/>
        <w:right w:val="none" w:sz="0" w:space="0" w:color="auto"/>
      </w:divBdr>
    </w:div>
    <w:div w:id="2013753098">
      <w:bodyDiv w:val="1"/>
      <w:marLeft w:val="0"/>
      <w:marRight w:val="0"/>
      <w:marTop w:val="0"/>
      <w:marBottom w:val="0"/>
      <w:divBdr>
        <w:top w:val="none" w:sz="0" w:space="0" w:color="auto"/>
        <w:left w:val="none" w:sz="0" w:space="0" w:color="auto"/>
        <w:bottom w:val="none" w:sz="0" w:space="0" w:color="auto"/>
        <w:right w:val="none" w:sz="0" w:space="0" w:color="auto"/>
      </w:divBdr>
    </w:div>
    <w:div w:id="2013793598">
      <w:bodyDiv w:val="1"/>
      <w:marLeft w:val="0"/>
      <w:marRight w:val="0"/>
      <w:marTop w:val="0"/>
      <w:marBottom w:val="0"/>
      <w:divBdr>
        <w:top w:val="none" w:sz="0" w:space="0" w:color="auto"/>
        <w:left w:val="none" w:sz="0" w:space="0" w:color="auto"/>
        <w:bottom w:val="none" w:sz="0" w:space="0" w:color="auto"/>
        <w:right w:val="none" w:sz="0" w:space="0" w:color="auto"/>
      </w:divBdr>
    </w:div>
    <w:div w:id="2013994972">
      <w:bodyDiv w:val="1"/>
      <w:marLeft w:val="0"/>
      <w:marRight w:val="0"/>
      <w:marTop w:val="0"/>
      <w:marBottom w:val="0"/>
      <w:divBdr>
        <w:top w:val="none" w:sz="0" w:space="0" w:color="auto"/>
        <w:left w:val="none" w:sz="0" w:space="0" w:color="auto"/>
        <w:bottom w:val="none" w:sz="0" w:space="0" w:color="auto"/>
        <w:right w:val="none" w:sz="0" w:space="0" w:color="auto"/>
      </w:divBdr>
    </w:div>
    <w:div w:id="2014138796">
      <w:bodyDiv w:val="1"/>
      <w:marLeft w:val="0"/>
      <w:marRight w:val="0"/>
      <w:marTop w:val="0"/>
      <w:marBottom w:val="0"/>
      <w:divBdr>
        <w:top w:val="none" w:sz="0" w:space="0" w:color="auto"/>
        <w:left w:val="none" w:sz="0" w:space="0" w:color="auto"/>
        <w:bottom w:val="none" w:sz="0" w:space="0" w:color="auto"/>
        <w:right w:val="none" w:sz="0" w:space="0" w:color="auto"/>
      </w:divBdr>
    </w:div>
    <w:div w:id="2014453147">
      <w:bodyDiv w:val="1"/>
      <w:marLeft w:val="0"/>
      <w:marRight w:val="0"/>
      <w:marTop w:val="0"/>
      <w:marBottom w:val="0"/>
      <w:divBdr>
        <w:top w:val="none" w:sz="0" w:space="0" w:color="auto"/>
        <w:left w:val="none" w:sz="0" w:space="0" w:color="auto"/>
        <w:bottom w:val="none" w:sz="0" w:space="0" w:color="auto"/>
        <w:right w:val="none" w:sz="0" w:space="0" w:color="auto"/>
      </w:divBdr>
    </w:div>
    <w:div w:id="2014523553">
      <w:bodyDiv w:val="1"/>
      <w:marLeft w:val="0"/>
      <w:marRight w:val="0"/>
      <w:marTop w:val="0"/>
      <w:marBottom w:val="0"/>
      <w:divBdr>
        <w:top w:val="none" w:sz="0" w:space="0" w:color="auto"/>
        <w:left w:val="none" w:sz="0" w:space="0" w:color="auto"/>
        <w:bottom w:val="none" w:sz="0" w:space="0" w:color="auto"/>
        <w:right w:val="none" w:sz="0" w:space="0" w:color="auto"/>
      </w:divBdr>
    </w:div>
    <w:div w:id="2014650820">
      <w:bodyDiv w:val="1"/>
      <w:marLeft w:val="0"/>
      <w:marRight w:val="0"/>
      <w:marTop w:val="0"/>
      <w:marBottom w:val="0"/>
      <w:divBdr>
        <w:top w:val="none" w:sz="0" w:space="0" w:color="auto"/>
        <w:left w:val="none" w:sz="0" w:space="0" w:color="auto"/>
        <w:bottom w:val="none" w:sz="0" w:space="0" w:color="auto"/>
        <w:right w:val="none" w:sz="0" w:space="0" w:color="auto"/>
      </w:divBdr>
    </w:div>
    <w:div w:id="2014799671">
      <w:bodyDiv w:val="1"/>
      <w:marLeft w:val="0"/>
      <w:marRight w:val="0"/>
      <w:marTop w:val="0"/>
      <w:marBottom w:val="0"/>
      <w:divBdr>
        <w:top w:val="none" w:sz="0" w:space="0" w:color="auto"/>
        <w:left w:val="none" w:sz="0" w:space="0" w:color="auto"/>
        <w:bottom w:val="none" w:sz="0" w:space="0" w:color="auto"/>
        <w:right w:val="none" w:sz="0" w:space="0" w:color="auto"/>
      </w:divBdr>
    </w:div>
    <w:div w:id="2016376647">
      <w:bodyDiv w:val="1"/>
      <w:marLeft w:val="0"/>
      <w:marRight w:val="0"/>
      <w:marTop w:val="0"/>
      <w:marBottom w:val="0"/>
      <w:divBdr>
        <w:top w:val="none" w:sz="0" w:space="0" w:color="auto"/>
        <w:left w:val="none" w:sz="0" w:space="0" w:color="auto"/>
        <w:bottom w:val="none" w:sz="0" w:space="0" w:color="auto"/>
        <w:right w:val="none" w:sz="0" w:space="0" w:color="auto"/>
      </w:divBdr>
    </w:div>
    <w:div w:id="2016690579">
      <w:bodyDiv w:val="1"/>
      <w:marLeft w:val="0"/>
      <w:marRight w:val="0"/>
      <w:marTop w:val="0"/>
      <w:marBottom w:val="0"/>
      <w:divBdr>
        <w:top w:val="none" w:sz="0" w:space="0" w:color="auto"/>
        <w:left w:val="none" w:sz="0" w:space="0" w:color="auto"/>
        <w:bottom w:val="none" w:sz="0" w:space="0" w:color="auto"/>
        <w:right w:val="none" w:sz="0" w:space="0" w:color="auto"/>
      </w:divBdr>
    </w:div>
    <w:div w:id="2016759708">
      <w:bodyDiv w:val="1"/>
      <w:marLeft w:val="0"/>
      <w:marRight w:val="0"/>
      <w:marTop w:val="0"/>
      <w:marBottom w:val="0"/>
      <w:divBdr>
        <w:top w:val="none" w:sz="0" w:space="0" w:color="auto"/>
        <w:left w:val="none" w:sz="0" w:space="0" w:color="auto"/>
        <w:bottom w:val="none" w:sz="0" w:space="0" w:color="auto"/>
        <w:right w:val="none" w:sz="0" w:space="0" w:color="auto"/>
      </w:divBdr>
    </w:div>
    <w:div w:id="2016879041">
      <w:bodyDiv w:val="1"/>
      <w:marLeft w:val="0"/>
      <w:marRight w:val="0"/>
      <w:marTop w:val="0"/>
      <w:marBottom w:val="0"/>
      <w:divBdr>
        <w:top w:val="none" w:sz="0" w:space="0" w:color="auto"/>
        <w:left w:val="none" w:sz="0" w:space="0" w:color="auto"/>
        <w:bottom w:val="none" w:sz="0" w:space="0" w:color="auto"/>
        <w:right w:val="none" w:sz="0" w:space="0" w:color="auto"/>
      </w:divBdr>
    </w:div>
    <w:div w:id="2017418894">
      <w:bodyDiv w:val="1"/>
      <w:marLeft w:val="0"/>
      <w:marRight w:val="0"/>
      <w:marTop w:val="0"/>
      <w:marBottom w:val="0"/>
      <w:divBdr>
        <w:top w:val="none" w:sz="0" w:space="0" w:color="auto"/>
        <w:left w:val="none" w:sz="0" w:space="0" w:color="auto"/>
        <w:bottom w:val="none" w:sz="0" w:space="0" w:color="auto"/>
        <w:right w:val="none" w:sz="0" w:space="0" w:color="auto"/>
      </w:divBdr>
    </w:div>
    <w:div w:id="2017421129">
      <w:bodyDiv w:val="1"/>
      <w:marLeft w:val="0"/>
      <w:marRight w:val="0"/>
      <w:marTop w:val="0"/>
      <w:marBottom w:val="0"/>
      <w:divBdr>
        <w:top w:val="none" w:sz="0" w:space="0" w:color="auto"/>
        <w:left w:val="none" w:sz="0" w:space="0" w:color="auto"/>
        <w:bottom w:val="none" w:sz="0" w:space="0" w:color="auto"/>
        <w:right w:val="none" w:sz="0" w:space="0" w:color="auto"/>
      </w:divBdr>
    </w:div>
    <w:div w:id="2017688128">
      <w:bodyDiv w:val="1"/>
      <w:marLeft w:val="0"/>
      <w:marRight w:val="0"/>
      <w:marTop w:val="0"/>
      <w:marBottom w:val="0"/>
      <w:divBdr>
        <w:top w:val="none" w:sz="0" w:space="0" w:color="auto"/>
        <w:left w:val="none" w:sz="0" w:space="0" w:color="auto"/>
        <w:bottom w:val="none" w:sz="0" w:space="0" w:color="auto"/>
        <w:right w:val="none" w:sz="0" w:space="0" w:color="auto"/>
      </w:divBdr>
    </w:div>
    <w:div w:id="2017919938">
      <w:bodyDiv w:val="1"/>
      <w:marLeft w:val="0"/>
      <w:marRight w:val="0"/>
      <w:marTop w:val="0"/>
      <w:marBottom w:val="0"/>
      <w:divBdr>
        <w:top w:val="none" w:sz="0" w:space="0" w:color="auto"/>
        <w:left w:val="none" w:sz="0" w:space="0" w:color="auto"/>
        <w:bottom w:val="none" w:sz="0" w:space="0" w:color="auto"/>
        <w:right w:val="none" w:sz="0" w:space="0" w:color="auto"/>
      </w:divBdr>
    </w:div>
    <w:div w:id="2018263002">
      <w:bodyDiv w:val="1"/>
      <w:marLeft w:val="0"/>
      <w:marRight w:val="0"/>
      <w:marTop w:val="0"/>
      <w:marBottom w:val="0"/>
      <w:divBdr>
        <w:top w:val="none" w:sz="0" w:space="0" w:color="auto"/>
        <w:left w:val="none" w:sz="0" w:space="0" w:color="auto"/>
        <w:bottom w:val="none" w:sz="0" w:space="0" w:color="auto"/>
        <w:right w:val="none" w:sz="0" w:space="0" w:color="auto"/>
      </w:divBdr>
    </w:div>
    <w:div w:id="2018576802">
      <w:bodyDiv w:val="1"/>
      <w:marLeft w:val="0"/>
      <w:marRight w:val="0"/>
      <w:marTop w:val="0"/>
      <w:marBottom w:val="0"/>
      <w:divBdr>
        <w:top w:val="none" w:sz="0" w:space="0" w:color="auto"/>
        <w:left w:val="none" w:sz="0" w:space="0" w:color="auto"/>
        <w:bottom w:val="none" w:sz="0" w:space="0" w:color="auto"/>
        <w:right w:val="none" w:sz="0" w:space="0" w:color="auto"/>
      </w:divBdr>
    </w:div>
    <w:div w:id="2018726441">
      <w:bodyDiv w:val="1"/>
      <w:marLeft w:val="0"/>
      <w:marRight w:val="0"/>
      <w:marTop w:val="0"/>
      <w:marBottom w:val="0"/>
      <w:divBdr>
        <w:top w:val="none" w:sz="0" w:space="0" w:color="auto"/>
        <w:left w:val="none" w:sz="0" w:space="0" w:color="auto"/>
        <w:bottom w:val="none" w:sz="0" w:space="0" w:color="auto"/>
        <w:right w:val="none" w:sz="0" w:space="0" w:color="auto"/>
      </w:divBdr>
    </w:div>
    <w:div w:id="2019305692">
      <w:bodyDiv w:val="1"/>
      <w:marLeft w:val="0"/>
      <w:marRight w:val="0"/>
      <w:marTop w:val="0"/>
      <w:marBottom w:val="0"/>
      <w:divBdr>
        <w:top w:val="none" w:sz="0" w:space="0" w:color="auto"/>
        <w:left w:val="none" w:sz="0" w:space="0" w:color="auto"/>
        <w:bottom w:val="none" w:sz="0" w:space="0" w:color="auto"/>
        <w:right w:val="none" w:sz="0" w:space="0" w:color="auto"/>
      </w:divBdr>
    </w:div>
    <w:div w:id="2021932267">
      <w:bodyDiv w:val="1"/>
      <w:marLeft w:val="0"/>
      <w:marRight w:val="0"/>
      <w:marTop w:val="0"/>
      <w:marBottom w:val="0"/>
      <w:divBdr>
        <w:top w:val="none" w:sz="0" w:space="0" w:color="auto"/>
        <w:left w:val="none" w:sz="0" w:space="0" w:color="auto"/>
        <w:bottom w:val="none" w:sz="0" w:space="0" w:color="auto"/>
        <w:right w:val="none" w:sz="0" w:space="0" w:color="auto"/>
      </w:divBdr>
    </w:div>
    <w:div w:id="2022006435">
      <w:bodyDiv w:val="1"/>
      <w:marLeft w:val="0"/>
      <w:marRight w:val="0"/>
      <w:marTop w:val="0"/>
      <w:marBottom w:val="0"/>
      <w:divBdr>
        <w:top w:val="none" w:sz="0" w:space="0" w:color="auto"/>
        <w:left w:val="none" w:sz="0" w:space="0" w:color="auto"/>
        <w:bottom w:val="none" w:sz="0" w:space="0" w:color="auto"/>
        <w:right w:val="none" w:sz="0" w:space="0" w:color="auto"/>
      </w:divBdr>
    </w:div>
    <w:div w:id="2022118651">
      <w:bodyDiv w:val="1"/>
      <w:marLeft w:val="0"/>
      <w:marRight w:val="0"/>
      <w:marTop w:val="0"/>
      <w:marBottom w:val="0"/>
      <w:divBdr>
        <w:top w:val="none" w:sz="0" w:space="0" w:color="auto"/>
        <w:left w:val="none" w:sz="0" w:space="0" w:color="auto"/>
        <w:bottom w:val="none" w:sz="0" w:space="0" w:color="auto"/>
        <w:right w:val="none" w:sz="0" w:space="0" w:color="auto"/>
      </w:divBdr>
    </w:div>
    <w:div w:id="2022123984">
      <w:bodyDiv w:val="1"/>
      <w:marLeft w:val="0"/>
      <w:marRight w:val="0"/>
      <w:marTop w:val="0"/>
      <w:marBottom w:val="0"/>
      <w:divBdr>
        <w:top w:val="none" w:sz="0" w:space="0" w:color="auto"/>
        <w:left w:val="none" w:sz="0" w:space="0" w:color="auto"/>
        <w:bottom w:val="none" w:sz="0" w:space="0" w:color="auto"/>
        <w:right w:val="none" w:sz="0" w:space="0" w:color="auto"/>
      </w:divBdr>
    </w:div>
    <w:div w:id="2023041929">
      <w:bodyDiv w:val="1"/>
      <w:marLeft w:val="0"/>
      <w:marRight w:val="0"/>
      <w:marTop w:val="0"/>
      <w:marBottom w:val="0"/>
      <w:divBdr>
        <w:top w:val="none" w:sz="0" w:space="0" w:color="auto"/>
        <w:left w:val="none" w:sz="0" w:space="0" w:color="auto"/>
        <w:bottom w:val="none" w:sz="0" w:space="0" w:color="auto"/>
        <w:right w:val="none" w:sz="0" w:space="0" w:color="auto"/>
      </w:divBdr>
    </w:div>
    <w:div w:id="2023849114">
      <w:bodyDiv w:val="1"/>
      <w:marLeft w:val="0"/>
      <w:marRight w:val="0"/>
      <w:marTop w:val="0"/>
      <w:marBottom w:val="0"/>
      <w:divBdr>
        <w:top w:val="none" w:sz="0" w:space="0" w:color="auto"/>
        <w:left w:val="none" w:sz="0" w:space="0" w:color="auto"/>
        <w:bottom w:val="none" w:sz="0" w:space="0" w:color="auto"/>
        <w:right w:val="none" w:sz="0" w:space="0" w:color="auto"/>
      </w:divBdr>
    </w:div>
    <w:div w:id="2023849575">
      <w:bodyDiv w:val="1"/>
      <w:marLeft w:val="0"/>
      <w:marRight w:val="0"/>
      <w:marTop w:val="0"/>
      <w:marBottom w:val="0"/>
      <w:divBdr>
        <w:top w:val="none" w:sz="0" w:space="0" w:color="auto"/>
        <w:left w:val="none" w:sz="0" w:space="0" w:color="auto"/>
        <w:bottom w:val="none" w:sz="0" w:space="0" w:color="auto"/>
        <w:right w:val="none" w:sz="0" w:space="0" w:color="auto"/>
      </w:divBdr>
    </w:div>
    <w:div w:id="2024933357">
      <w:bodyDiv w:val="1"/>
      <w:marLeft w:val="0"/>
      <w:marRight w:val="0"/>
      <w:marTop w:val="0"/>
      <w:marBottom w:val="0"/>
      <w:divBdr>
        <w:top w:val="none" w:sz="0" w:space="0" w:color="auto"/>
        <w:left w:val="none" w:sz="0" w:space="0" w:color="auto"/>
        <w:bottom w:val="none" w:sz="0" w:space="0" w:color="auto"/>
        <w:right w:val="none" w:sz="0" w:space="0" w:color="auto"/>
      </w:divBdr>
    </w:div>
    <w:div w:id="2024936947">
      <w:bodyDiv w:val="1"/>
      <w:marLeft w:val="0"/>
      <w:marRight w:val="0"/>
      <w:marTop w:val="0"/>
      <w:marBottom w:val="0"/>
      <w:divBdr>
        <w:top w:val="none" w:sz="0" w:space="0" w:color="auto"/>
        <w:left w:val="none" w:sz="0" w:space="0" w:color="auto"/>
        <w:bottom w:val="none" w:sz="0" w:space="0" w:color="auto"/>
        <w:right w:val="none" w:sz="0" w:space="0" w:color="auto"/>
      </w:divBdr>
    </w:div>
    <w:div w:id="2026055762">
      <w:bodyDiv w:val="1"/>
      <w:marLeft w:val="0"/>
      <w:marRight w:val="0"/>
      <w:marTop w:val="0"/>
      <w:marBottom w:val="0"/>
      <w:divBdr>
        <w:top w:val="none" w:sz="0" w:space="0" w:color="auto"/>
        <w:left w:val="none" w:sz="0" w:space="0" w:color="auto"/>
        <w:bottom w:val="none" w:sz="0" w:space="0" w:color="auto"/>
        <w:right w:val="none" w:sz="0" w:space="0" w:color="auto"/>
      </w:divBdr>
    </w:div>
    <w:div w:id="2026127429">
      <w:bodyDiv w:val="1"/>
      <w:marLeft w:val="0"/>
      <w:marRight w:val="0"/>
      <w:marTop w:val="0"/>
      <w:marBottom w:val="0"/>
      <w:divBdr>
        <w:top w:val="none" w:sz="0" w:space="0" w:color="auto"/>
        <w:left w:val="none" w:sz="0" w:space="0" w:color="auto"/>
        <w:bottom w:val="none" w:sz="0" w:space="0" w:color="auto"/>
        <w:right w:val="none" w:sz="0" w:space="0" w:color="auto"/>
      </w:divBdr>
    </w:div>
    <w:div w:id="2027049373">
      <w:bodyDiv w:val="1"/>
      <w:marLeft w:val="0"/>
      <w:marRight w:val="0"/>
      <w:marTop w:val="0"/>
      <w:marBottom w:val="0"/>
      <w:divBdr>
        <w:top w:val="none" w:sz="0" w:space="0" w:color="auto"/>
        <w:left w:val="none" w:sz="0" w:space="0" w:color="auto"/>
        <w:bottom w:val="none" w:sz="0" w:space="0" w:color="auto"/>
        <w:right w:val="none" w:sz="0" w:space="0" w:color="auto"/>
      </w:divBdr>
    </w:div>
    <w:div w:id="2027318653">
      <w:bodyDiv w:val="1"/>
      <w:marLeft w:val="0"/>
      <w:marRight w:val="0"/>
      <w:marTop w:val="0"/>
      <w:marBottom w:val="0"/>
      <w:divBdr>
        <w:top w:val="none" w:sz="0" w:space="0" w:color="auto"/>
        <w:left w:val="none" w:sz="0" w:space="0" w:color="auto"/>
        <w:bottom w:val="none" w:sz="0" w:space="0" w:color="auto"/>
        <w:right w:val="none" w:sz="0" w:space="0" w:color="auto"/>
      </w:divBdr>
    </w:div>
    <w:div w:id="2027751255">
      <w:bodyDiv w:val="1"/>
      <w:marLeft w:val="0"/>
      <w:marRight w:val="0"/>
      <w:marTop w:val="0"/>
      <w:marBottom w:val="0"/>
      <w:divBdr>
        <w:top w:val="none" w:sz="0" w:space="0" w:color="auto"/>
        <w:left w:val="none" w:sz="0" w:space="0" w:color="auto"/>
        <w:bottom w:val="none" w:sz="0" w:space="0" w:color="auto"/>
        <w:right w:val="none" w:sz="0" w:space="0" w:color="auto"/>
      </w:divBdr>
    </w:div>
    <w:div w:id="2028748889">
      <w:bodyDiv w:val="1"/>
      <w:marLeft w:val="0"/>
      <w:marRight w:val="0"/>
      <w:marTop w:val="0"/>
      <w:marBottom w:val="0"/>
      <w:divBdr>
        <w:top w:val="none" w:sz="0" w:space="0" w:color="auto"/>
        <w:left w:val="none" w:sz="0" w:space="0" w:color="auto"/>
        <w:bottom w:val="none" w:sz="0" w:space="0" w:color="auto"/>
        <w:right w:val="none" w:sz="0" w:space="0" w:color="auto"/>
      </w:divBdr>
    </w:div>
    <w:div w:id="2029140487">
      <w:bodyDiv w:val="1"/>
      <w:marLeft w:val="0"/>
      <w:marRight w:val="0"/>
      <w:marTop w:val="0"/>
      <w:marBottom w:val="0"/>
      <w:divBdr>
        <w:top w:val="none" w:sz="0" w:space="0" w:color="auto"/>
        <w:left w:val="none" w:sz="0" w:space="0" w:color="auto"/>
        <w:bottom w:val="none" w:sz="0" w:space="0" w:color="auto"/>
        <w:right w:val="none" w:sz="0" w:space="0" w:color="auto"/>
      </w:divBdr>
    </w:div>
    <w:div w:id="2029796862">
      <w:bodyDiv w:val="1"/>
      <w:marLeft w:val="0"/>
      <w:marRight w:val="0"/>
      <w:marTop w:val="0"/>
      <w:marBottom w:val="0"/>
      <w:divBdr>
        <w:top w:val="none" w:sz="0" w:space="0" w:color="auto"/>
        <w:left w:val="none" w:sz="0" w:space="0" w:color="auto"/>
        <w:bottom w:val="none" w:sz="0" w:space="0" w:color="auto"/>
        <w:right w:val="none" w:sz="0" w:space="0" w:color="auto"/>
      </w:divBdr>
    </w:div>
    <w:div w:id="2030140571">
      <w:bodyDiv w:val="1"/>
      <w:marLeft w:val="0"/>
      <w:marRight w:val="0"/>
      <w:marTop w:val="0"/>
      <w:marBottom w:val="0"/>
      <w:divBdr>
        <w:top w:val="none" w:sz="0" w:space="0" w:color="auto"/>
        <w:left w:val="none" w:sz="0" w:space="0" w:color="auto"/>
        <w:bottom w:val="none" w:sz="0" w:space="0" w:color="auto"/>
        <w:right w:val="none" w:sz="0" w:space="0" w:color="auto"/>
      </w:divBdr>
    </w:div>
    <w:div w:id="2030254026">
      <w:bodyDiv w:val="1"/>
      <w:marLeft w:val="0"/>
      <w:marRight w:val="0"/>
      <w:marTop w:val="0"/>
      <w:marBottom w:val="0"/>
      <w:divBdr>
        <w:top w:val="none" w:sz="0" w:space="0" w:color="auto"/>
        <w:left w:val="none" w:sz="0" w:space="0" w:color="auto"/>
        <w:bottom w:val="none" w:sz="0" w:space="0" w:color="auto"/>
        <w:right w:val="none" w:sz="0" w:space="0" w:color="auto"/>
      </w:divBdr>
    </w:div>
    <w:div w:id="2030983492">
      <w:bodyDiv w:val="1"/>
      <w:marLeft w:val="0"/>
      <w:marRight w:val="0"/>
      <w:marTop w:val="0"/>
      <w:marBottom w:val="0"/>
      <w:divBdr>
        <w:top w:val="none" w:sz="0" w:space="0" w:color="auto"/>
        <w:left w:val="none" w:sz="0" w:space="0" w:color="auto"/>
        <w:bottom w:val="none" w:sz="0" w:space="0" w:color="auto"/>
        <w:right w:val="none" w:sz="0" w:space="0" w:color="auto"/>
      </w:divBdr>
    </w:div>
    <w:div w:id="2030986976">
      <w:bodyDiv w:val="1"/>
      <w:marLeft w:val="0"/>
      <w:marRight w:val="0"/>
      <w:marTop w:val="0"/>
      <w:marBottom w:val="0"/>
      <w:divBdr>
        <w:top w:val="none" w:sz="0" w:space="0" w:color="auto"/>
        <w:left w:val="none" w:sz="0" w:space="0" w:color="auto"/>
        <w:bottom w:val="none" w:sz="0" w:space="0" w:color="auto"/>
        <w:right w:val="none" w:sz="0" w:space="0" w:color="auto"/>
      </w:divBdr>
    </w:div>
    <w:div w:id="2032100037">
      <w:bodyDiv w:val="1"/>
      <w:marLeft w:val="0"/>
      <w:marRight w:val="0"/>
      <w:marTop w:val="0"/>
      <w:marBottom w:val="0"/>
      <w:divBdr>
        <w:top w:val="none" w:sz="0" w:space="0" w:color="auto"/>
        <w:left w:val="none" w:sz="0" w:space="0" w:color="auto"/>
        <w:bottom w:val="none" w:sz="0" w:space="0" w:color="auto"/>
        <w:right w:val="none" w:sz="0" w:space="0" w:color="auto"/>
      </w:divBdr>
    </w:div>
    <w:div w:id="2032146802">
      <w:bodyDiv w:val="1"/>
      <w:marLeft w:val="0"/>
      <w:marRight w:val="0"/>
      <w:marTop w:val="0"/>
      <w:marBottom w:val="0"/>
      <w:divBdr>
        <w:top w:val="none" w:sz="0" w:space="0" w:color="auto"/>
        <w:left w:val="none" w:sz="0" w:space="0" w:color="auto"/>
        <w:bottom w:val="none" w:sz="0" w:space="0" w:color="auto"/>
        <w:right w:val="none" w:sz="0" w:space="0" w:color="auto"/>
      </w:divBdr>
    </w:div>
    <w:div w:id="2032416871">
      <w:bodyDiv w:val="1"/>
      <w:marLeft w:val="0"/>
      <w:marRight w:val="0"/>
      <w:marTop w:val="0"/>
      <w:marBottom w:val="0"/>
      <w:divBdr>
        <w:top w:val="none" w:sz="0" w:space="0" w:color="auto"/>
        <w:left w:val="none" w:sz="0" w:space="0" w:color="auto"/>
        <w:bottom w:val="none" w:sz="0" w:space="0" w:color="auto"/>
        <w:right w:val="none" w:sz="0" w:space="0" w:color="auto"/>
      </w:divBdr>
    </w:div>
    <w:div w:id="2032564453">
      <w:bodyDiv w:val="1"/>
      <w:marLeft w:val="0"/>
      <w:marRight w:val="0"/>
      <w:marTop w:val="0"/>
      <w:marBottom w:val="0"/>
      <w:divBdr>
        <w:top w:val="none" w:sz="0" w:space="0" w:color="auto"/>
        <w:left w:val="none" w:sz="0" w:space="0" w:color="auto"/>
        <w:bottom w:val="none" w:sz="0" w:space="0" w:color="auto"/>
        <w:right w:val="none" w:sz="0" w:space="0" w:color="auto"/>
      </w:divBdr>
    </w:div>
    <w:div w:id="2032758044">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3335168">
      <w:bodyDiv w:val="1"/>
      <w:marLeft w:val="0"/>
      <w:marRight w:val="0"/>
      <w:marTop w:val="0"/>
      <w:marBottom w:val="0"/>
      <w:divBdr>
        <w:top w:val="none" w:sz="0" w:space="0" w:color="auto"/>
        <w:left w:val="none" w:sz="0" w:space="0" w:color="auto"/>
        <w:bottom w:val="none" w:sz="0" w:space="0" w:color="auto"/>
        <w:right w:val="none" w:sz="0" w:space="0" w:color="auto"/>
      </w:divBdr>
    </w:div>
    <w:div w:id="2033340094">
      <w:bodyDiv w:val="1"/>
      <w:marLeft w:val="0"/>
      <w:marRight w:val="0"/>
      <w:marTop w:val="0"/>
      <w:marBottom w:val="0"/>
      <w:divBdr>
        <w:top w:val="none" w:sz="0" w:space="0" w:color="auto"/>
        <w:left w:val="none" w:sz="0" w:space="0" w:color="auto"/>
        <w:bottom w:val="none" w:sz="0" w:space="0" w:color="auto"/>
        <w:right w:val="none" w:sz="0" w:space="0" w:color="auto"/>
      </w:divBdr>
    </w:div>
    <w:div w:id="2033724444">
      <w:bodyDiv w:val="1"/>
      <w:marLeft w:val="0"/>
      <w:marRight w:val="0"/>
      <w:marTop w:val="0"/>
      <w:marBottom w:val="0"/>
      <w:divBdr>
        <w:top w:val="none" w:sz="0" w:space="0" w:color="auto"/>
        <w:left w:val="none" w:sz="0" w:space="0" w:color="auto"/>
        <w:bottom w:val="none" w:sz="0" w:space="0" w:color="auto"/>
        <w:right w:val="none" w:sz="0" w:space="0" w:color="auto"/>
      </w:divBdr>
    </w:div>
    <w:div w:id="2033917341">
      <w:bodyDiv w:val="1"/>
      <w:marLeft w:val="0"/>
      <w:marRight w:val="0"/>
      <w:marTop w:val="0"/>
      <w:marBottom w:val="0"/>
      <w:divBdr>
        <w:top w:val="none" w:sz="0" w:space="0" w:color="auto"/>
        <w:left w:val="none" w:sz="0" w:space="0" w:color="auto"/>
        <w:bottom w:val="none" w:sz="0" w:space="0" w:color="auto"/>
        <w:right w:val="none" w:sz="0" w:space="0" w:color="auto"/>
      </w:divBdr>
    </w:div>
    <w:div w:id="2034108084">
      <w:bodyDiv w:val="1"/>
      <w:marLeft w:val="0"/>
      <w:marRight w:val="0"/>
      <w:marTop w:val="0"/>
      <w:marBottom w:val="0"/>
      <w:divBdr>
        <w:top w:val="none" w:sz="0" w:space="0" w:color="auto"/>
        <w:left w:val="none" w:sz="0" w:space="0" w:color="auto"/>
        <w:bottom w:val="none" w:sz="0" w:space="0" w:color="auto"/>
        <w:right w:val="none" w:sz="0" w:space="0" w:color="auto"/>
      </w:divBdr>
    </w:div>
    <w:div w:id="2034185521">
      <w:bodyDiv w:val="1"/>
      <w:marLeft w:val="0"/>
      <w:marRight w:val="0"/>
      <w:marTop w:val="0"/>
      <w:marBottom w:val="0"/>
      <w:divBdr>
        <w:top w:val="none" w:sz="0" w:space="0" w:color="auto"/>
        <w:left w:val="none" w:sz="0" w:space="0" w:color="auto"/>
        <w:bottom w:val="none" w:sz="0" w:space="0" w:color="auto"/>
        <w:right w:val="none" w:sz="0" w:space="0" w:color="auto"/>
      </w:divBdr>
    </w:div>
    <w:div w:id="2034527781">
      <w:bodyDiv w:val="1"/>
      <w:marLeft w:val="0"/>
      <w:marRight w:val="0"/>
      <w:marTop w:val="0"/>
      <w:marBottom w:val="0"/>
      <w:divBdr>
        <w:top w:val="none" w:sz="0" w:space="0" w:color="auto"/>
        <w:left w:val="none" w:sz="0" w:space="0" w:color="auto"/>
        <w:bottom w:val="none" w:sz="0" w:space="0" w:color="auto"/>
        <w:right w:val="none" w:sz="0" w:space="0" w:color="auto"/>
      </w:divBdr>
    </w:div>
    <w:div w:id="2034917172">
      <w:bodyDiv w:val="1"/>
      <w:marLeft w:val="0"/>
      <w:marRight w:val="0"/>
      <w:marTop w:val="0"/>
      <w:marBottom w:val="0"/>
      <w:divBdr>
        <w:top w:val="none" w:sz="0" w:space="0" w:color="auto"/>
        <w:left w:val="none" w:sz="0" w:space="0" w:color="auto"/>
        <w:bottom w:val="none" w:sz="0" w:space="0" w:color="auto"/>
        <w:right w:val="none" w:sz="0" w:space="0" w:color="auto"/>
      </w:divBdr>
    </w:div>
    <w:div w:id="2035568433">
      <w:bodyDiv w:val="1"/>
      <w:marLeft w:val="0"/>
      <w:marRight w:val="0"/>
      <w:marTop w:val="0"/>
      <w:marBottom w:val="0"/>
      <w:divBdr>
        <w:top w:val="none" w:sz="0" w:space="0" w:color="auto"/>
        <w:left w:val="none" w:sz="0" w:space="0" w:color="auto"/>
        <w:bottom w:val="none" w:sz="0" w:space="0" w:color="auto"/>
        <w:right w:val="none" w:sz="0" w:space="0" w:color="auto"/>
      </w:divBdr>
    </w:div>
    <w:div w:id="2036152623">
      <w:bodyDiv w:val="1"/>
      <w:marLeft w:val="0"/>
      <w:marRight w:val="0"/>
      <w:marTop w:val="0"/>
      <w:marBottom w:val="0"/>
      <w:divBdr>
        <w:top w:val="none" w:sz="0" w:space="0" w:color="auto"/>
        <w:left w:val="none" w:sz="0" w:space="0" w:color="auto"/>
        <w:bottom w:val="none" w:sz="0" w:space="0" w:color="auto"/>
        <w:right w:val="none" w:sz="0" w:space="0" w:color="auto"/>
      </w:divBdr>
    </w:div>
    <w:div w:id="2036416800">
      <w:bodyDiv w:val="1"/>
      <w:marLeft w:val="0"/>
      <w:marRight w:val="0"/>
      <w:marTop w:val="0"/>
      <w:marBottom w:val="0"/>
      <w:divBdr>
        <w:top w:val="none" w:sz="0" w:space="0" w:color="auto"/>
        <w:left w:val="none" w:sz="0" w:space="0" w:color="auto"/>
        <w:bottom w:val="none" w:sz="0" w:space="0" w:color="auto"/>
        <w:right w:val="none" w:sz="0" w:space="0" w:color="auto"/>
      </w:divBdr>
    </w:div>
    <w:div w:id="2037189580">
      <w:bodyDiv w:val="1"/>
      <w:marLeft w:val="0"/>
      <w:marRight w:val="0"/>
      <w:marTop w:val="0"/>
      <w:marBottom w:val="0"/>
      <w:divBdr>
        <w:top w:val="none" w:sz="0" w:space="0" w:color="auto"/>
        <w:left w:val="none" w:sz="0" w:space="0" w:color="auto"/>
        <w:bottom w:val="none" w:sz="0" w:space="0" w:color="auto"/>
        <w:right w:val="none" w:sz="0" w:space="0" w:color="auto"/>
      </w:divBdr>
    </w:div>
    <w:div w:id="2038464343">
      <w:bodyDiv w:val="1"/>
      <w:marLeft w:val="0"/>
      <w:marRight w:val="0"/>
      <w:marTop w:val="0"/>
      <w:marBottom w:val="0"/>
      <w:divBdr>
        <w:top w:val="none" w:sz="0" w:space="0" w:color="auto"/>
        <w:left w:val="none" w:sz="0" w:space="0" w:color="auto"/>
        <w:bottom w:val="none" w:sz="0" w:space="0" w:color="auto"/>
        <w:right w:val="none" w:sz="0" w:space="0" w:color="auto"/>
      </w:divBdr>
    </w:div>
    <w:div w:id="2038970736">
      <w:bodyDiv w:val="1"/>
      <w:marLeft w:val="0"/>
      <w:marRight w:val="0"/>
      <w:marTop w:val="0"/>
      <w:marBottom w:val="0"/>
      <w:divBdr>
        <w:top w:val="none" w:sz="0" w:space="0" w:color="auto"/>
        <w:left w:val="none" w:sz="0" w:space="0" w:color="auto"/>
        <w:bottom w:val="none" w:sz="0" w:space="0" w:color="auto"/>
        <w:right w:val="none" w:sz="0" w:space="0" w:color="auto"/>
      </w:divBdr>
    </w:div>
    <w:div w:id="2039381502">
      <w:bodyDiv w:val="1"/>
      <w:marLeft w:val="0"/>
      <w:marRight w:val="0"/>
      <w:marTop w:val="0"/>
      <w:marBottom w:val="0"/>
      <w:divBdr>
        <w:top w:val="none" w:sz="0" w:space="0" w:color="auto"/>
        <w:left w:val="none" w:sz="0" w:space="0" w:color="auto"/>
        <w:bottom w:val="none" w:sz="0" w:space="0" w:color="auto"/>
        <w:right w:val="none" w:sz="0" w:space="0" w:color="auto"/>
      </w:divBdr>
    </w:div>
    <w:div w:id="2039623889">
      <w:bodyDiv w:val="1"/>
      <w:marLeft w:val="0"/>
      <w:marRight w:val="0"/>
      <w:marTop w:val="0"/>
      <w:marBottom w:val="0"/>
      <w:divBdr>
        <w:top w:val="none" w:sz="0" w:space="0" w:color="auto"/>
        <w:left w:val="none" w:sz="0" w:space="0" w:color="auto"/>
        <w:bottom w:val="none" w:sz="0" w:space="0" w:color="auto"/>
        <w:right w:val="none" w:sz="0" w:space="0" w:color="auto"/>
      </w:divBdr>
    </w:div>
    <w:div w:id="2040468674">
      <w:bodyDiv w:val="1"/>
      <w:marLeft w:val="0"/>
      <w:marRight w:val="0"/>
      <w:marTop w:val="0"/>
      <w:marBottom w:val="0"/>
      <w:divBdr>
        <w:top w:val="none" w:sz="0" w:space="0" w:color="auto"/>
        <w:left w:val="none" w:sz="0" w:space="0" w:color="auto"/>
        <w:bottom w:val="none" w:sz="0" w:space="0" w:color="auto"/>
        <w:right w:val="none" w:sz="0" w:space="0" w:color="auto"/>
      </w:divBdr>
    </w:div>
    <w:div w:id="2041124037">
      <w:bodyDiv w:val="1"/>
      <w:marLeft w:val="0"/>
      <w:marRight w:val="0"/>
      <w:marTop w:val="0"/>
      <w:marBottom w:val="0"/>
      <w:divBdr>
        <w:top w:val="none" w:sz="0" w:space="0" w:color="auto"/>
        <w:left w:val="none" w:sz="0" w:space="0" w:color="auto"/>
        <w:bottom w:val="none" w:sz="0" w:space="0" w:color="auto"/>
        <w:right w:val="none" w:sz="0" w:space="0" w:color="auto"/>
      </w:divBdr>
    </w:div>
    <w:div w:id="2041271469">
      <w:bodyDiv w:val="1"/>
      <w:marLeft w:val="0"/>
      <w:marRight w:val="0"/>
      <w:marTop w:val="0"/>
      <w:marBottom w:val="0"/>
      <w:divBdr>
        <w:top w:val="none" w:sz="0" w:space="0" w:color="auto"/>
        <w:left w:val="none" w:sz="0" w:space="0" w:color="auto"/>
        <w:bottom w:val="none" w:sz="0" w:space="0" w:color="auto"/>
        <w:right w:val="none" w:sz="0" w:space="0" w:color="auto"/>
      </w:divBdr>
    </w:div>
    <w:div w:id="2041737376">
      <w:bodyDiv w:val="1"/>
      <w:marLeft w:val="0"/>
      <w:marRight w:val="0"/>
      <w:marTop w:val="0"/>
      <w:marBottom w:val="0"/>
      <w:divBdr>
        <w:top w:val="none" w:sz="0" w:space="0" w:color="auto"/>
        <w:left w:val="none" w:sz="0" w:space="0" w:color="auto"/>
        <w:bottom w:val="none" w:sz="0" w:space="0" w:color="auto"/>
        <w:right w:val="none" w:sz="0" w:space="0" w:color="auto"/>
      </w:divBdr>
    </w:div>
    <w:div w:id="2042317183">
      <w:bodyDiv w:val="1"/>
      <w:marLeft w:val="0"/>
      <w:marRight w:val="0"/>
      <w:marTop w:val="0"/>
      <w:marBottom w:val="0"/>
      <w:divBdr>
        <w:top w:val="none" w:sz="0" w:space="0" w:color="auto"/>
        <w:left w:val="none" w:sz="0" w:space="0" w:color="auto"/>
        <w:bottom w:val="none" w:sz="0" w:space="0" w:color="auto"/>
        <w:right w:val="none" w:sz="0" w:space="0" w:color="auto"/>
      </w:divBdr>
    </w:div>
    <w:div w:id="2042395752">
      <w:bodyDiv w:val="1"/>
      <w:marLeft w:val="0"/>
      <w:marRight w:val="0"/>
      <w:marTop w:val="0"/>
      <w:marBottom w:val="0"/>
      <w:divBdr>
        <w:top w:val="none" w:sz="0" w:space="0" w:color="auto"/>
        <w:left w:val="none" w:sz="0" w:space="0" w:color="auto"/>
        <w:bottom w:val="none" w:sz="0" w:space="0" w:color="auto"/>
        <w:right w:val="none" w:sz="0" w:space="0" w:color="auto"/>
      </w:divBdr>
    </w:div>
    <w:div w:id="2042630664">
      <w:bodyDiv w:val="1"/>
      <w:marLeft w:val="0"/>
      <w:marRight w:val="0"/>
      <w:marTop w:val="0"/>
      <w:marBottom w:val="0"/>
      <w:divBdr>
        <w:top w:val="none" w:sz="0" w:space="0" w:color="auto"/>
        <w:left w:val="none" w:sz="0" w:space="0" w:color="auto"/>
        <w:bottom w:val="none" w:sz="0" w:space="0" w:color="auto"/>
        <w:right w:val="none" w:sz="0" w:space="0" w:color="auto"/>
      </w:divBdr>
    </w:div>
    <w:div w:id="2043020213">
      <w:bodyDiv w:val="1"/>
      <w:marLeft w:val="0"/>
      <w:marRight w:val="0"/>
      <w:marTop w:val="0"/>
      <w:marBottom w:val="0"/>
      <w:divBdr>
        <w:top w:val="none" w:sz="0" w:space="0" w:color="auto"/>
        <w:left w:val="none" w:sz="0" w:space="0" w:color="auto"/>
        <w:bottom w:val="none" w:sz="0" w:space="0" w:color="auto"/>
        <w:right w:val="none" w:sz="0" w:space="0" w:color="auto"/>
      </w:divBdr>
    </w:div>
    <w:div w:id="2043507461">
      <w:bodyDiv w:val="1"/>
      <w:marLeft w:val="0"/>
      <w:marRight w:val="0"/>
      <w:marTop w:val="0"/>
      <w:marBottom w:val="0"/>
      <w:divBdr>
        <w:top w:val="none" w:sz="0" w:space="0" w:color="auto"/>
        <w:left w:val="none" w:sz="0" w:space="0" w:color="auto"/>
        <w:bottom w:val="none" w:sz="0" w:space="0" w:color="auto"/>
        <w:right w:val="none" w:sz="0" w:space="0" w:color="auto"/>
      </w:divBdr>
    </w:div>
    <w:div w:id="2043746734">
      <w:bodyDiv w:val="1"/>
      <w:marLeft w:val="0"/>
      <w:marRight w:val="0"/>
      <w:marTop w:val="0"/>
      <w:marBottom w:val="0"/>
      <w:divBdr>
        <w:top w:val="none" w:sz="0" w:space="0" w:color="auto"/>
        <w:left w:val="none" w:sz="0" w:space="0" w:color="auto"/>
        <w:bottom w:val="none" w:sz="0" w:space="0" w:color="auto"/>
        <w:right w:val="none" w:sz="0" w:space="0" w:color="auto"/>
      </w:divBdr>
    </w:div>
    <w:div w:id="2044015046">
      <w:bodyDiv w:val="1"/>
      <w:marLeft w:val="0"/>
      <w:marRight w:val="0"/>
      <w:marTop w:val="0"/>
      <w:marBottom w:val="0"/>
      <w:divBdr>
        <w:top w:val="none" w:sz="0" w:space="0" w:color="auto"/>
        <w:left w:val="none" w:sz="0" w:space="0" w:color="auto"/>
        <w:bottom w:val="none" w:sz="0" w:space="0" w:color="auto"/>
        <w:right w:val="none" w:sz="0" w:space="0" w:color="auto"/>
      </w:divBdr>
    </w:div>
    <w:div w:id="2044861921">
      <w:bodyDiv w:val="1"/>
      <w:marLeft w:val="0"/>
      <w:marRight w:val="0"/>
      <w:marTop w:val="0"/>
      <w:marBottom w:val="0"/>
      <w:divBdr>
        <w:top w:val="none" w:sz="0" w:space="0" w:color="auto"/>
        <w:left w:val="none" w:sz="0" w:space="0" w:color="auto"/>
        <w:bottom w:val="none" w:sz="0" w:space="0" w:color="auto"/>
        <w:right w:val="none" w:sz="0" w:space="0" w:color="auto"/>
      </w:divBdr>
    </w:div>
    <w:div w:id="2045642046">
      <w:bodyDiv w:val="1"/>
      <w:marLeft w:val="0"/>
      <w:marRight w:val="0"/>
      <w:marTop w:val="0"/>
      <w:marBottom w:val="0"/>
      <w:divBdr>
        <w:top w:val="none" w:sz="0" w:space="0" w:color="auto"/>
        <w:left w:val="none" w:sz="0" w:space="0" w:color="auto"/>
        <w:bottom w:val="none" w:sz="0" w:space="0" w:color="auto"/>
        <w:right w:val="none" w:sz="0" w:space="0" w:color="auto"/>
      </w:divBdr>
    </w:div>
    <w:div w:id="2045667155">
      <w:bodyDiv w:val="1"/>
      <w:marLeft w:val="0"/>
      <w:marRight w:val="0"/>
      <w:marTop w:val="0"/>
      <w:marBottom w:val="0"/>
      <w:divBdr>
        <w:top w:val="none" w:sz="0" w:space="0" w:color="auto"/>
        <w:left w:val="none" w:sz="0" w:space="0" w:color="auto"/>
        <w:bottom w:val="none" w:sz="0" w:space="0" w:color="auto"/>
        <w:right w:val="none" w:sz="0" w:space="0" w:color="auto"/>
      </w:divBdr>
    </w:div>
    <w:div w:id="2046245161">
      <w:bodyDiv w:val="1"/>
      <w:marLeft w:val="0"/>
      <w:marRight w:val="0"/>
      <w:marTop w:val="0"/>
      <w:marBottom w:val="0"/>
      <w:divBdr>
        <w:top w:val="none" w:sz="0" w:space="0" w:color="auto"/>
        <w:left w:val="none" w:sz="0" w:space="0" w:color="auto"/>
        <w:bottom w:val="none" w:sz="0" w:space="0" w:color="auto"/>
        <w:right w:val="none" w:sz="0" w:space="0" w:color="auto"/>
      </w:divBdr>
    </w:div>
    <w:div w:id="2046247351">
      <w:bodyDiv w:val="1"/>
      <w:marLeft w:val="0"/>
      <w:marRight w:val="0"/>
      <w:marTop w:val="0"/>
      <w:marBottom w:val="0"/>
      <w:divBdr>
        <w:top w:val="none" w:sz="0" w:space="0" w:color="auto"/>
        <w:left w:val="none" w:sz="0" w:space="0" w:color="auto"/>
        <w:bottom w:val="none" w:sz="0" w:space="0" w:color="auto"/>
        <w:right w:val="none" w:sz="0" w:space="0" w:color="auto"/>
      </w:divBdr>
    </w:div>
    <w:div w:id="2046252169">
      <w:bodyDiv w:val="1"/>
      <w:marLeft w:val="0"/>
      <w:marRight w:val="0"/>
      <w:marTop w:val="0"/>
      <w:marBottom w:val="0"/>
      <w:divBdr>
        <w:top w:val="none" w:sz="0" w:space="0" w:color="auto"/>
        <w:left w:val="none" w:sz="0" w:space="0" w:color="auto"/>
        <w:bottom w:val="none" w:sz="0" w:space="0" w:color="auto"/>
        <w:right w:val="none" w:sz="0" w:space="0" w:color="auto"/>
      </w:divBdr>
    </w:div>
    <w:div w:id="2046296627">
      <w:bodyDiv w:val="1"/>
      <w:marLeft w:val="0"/>
      <w:marRight w:val="0"/>
      <w:marTop w:val="0"/>
      <w:marBottom w:val="0"/>
      <w:divBdr>
        <w:top w:val="none" w:sz="0" w:space="0" w:color="auto"/>
        <w:left w:val="none" w:sz="0" w:space="0" w:color="auto"/>
        <w:bottom w:val="none" w:sz="0" w:space="0" w:color="auto"/>
        <w:right w:val="none" w:sz="0" w:space="0" w:color="auto"/>
      </w:divBdr>
    </w:div>
    <w:div w:id="2046709871">
      <w:bodyDiv w:val="1"/>
      <w:marLeft w:val="0"/>
      <w:marRight w:val="0"/>
      <w:marTop w:val="0"/>
      <w:marBottom w:val="0"/>
      <w:divBdr>
        <w:top w:val="none" w:sz="0" w:space="0" w:color="auto"/>
        <w:left w:val="none" w:sz="0" w:space="0" w:color="auto"/>
        <w:bottom w:val="none" w:sz="0" w:space="0" w:color="auto"/>
        <w:right w:val="none" w:sz="0" w:space="0" w:color="auto"/>
      </w:divBdr>
    </w:div>
    <w:div w:id="2046759183">
      <w:bodyDiv w:val="1"/>
      <w:marLeft w:val="0"/>
      <w:marRight w:val="0"/>
      <w:marTop w:val="0"/>
      <w:marBottom w:val="0"/>
      <w:divBdr>
        <w:top w:val="none" w:sz="0" w:space="0" w:color="auto"/>
        <w:left w:val="none" w:sz="0" w:space="0" w:color="auto"/>
        <w:bottom w:val="none" w:sz="0" w:space="0" w:color="auto"/>
        <w:right w:val="none" w:sz="0" w:space="0" w:color="auto"/>
      </w:divBdr>
    </w:div>
    <w:div w:id="2046905093">
      <w:bodyDiv w:val="1"/>
      <w:marLeft w:val="0"/>
      <w:marRight w:val="0"/>
      <w:marTop w:val="0"/>
      <w:marBottom w:val="0"/>
      <w:divBdr>
        <w:top w:val="none" w:sz="0" w:space="0" w:color="auto"/>
        <w:left w:val="none" w:sz="0" w:space="0" w:color="auto"/>
        <w:bottom w:val="none" w:sz="0" w:space="0" w:color="auto"/>
        <w:right w:val="none" w:sz="0" w:space="0" w:color="auto"/>
      </w:divBdr>
    </w:div>
    <w:div w:id="2047103048">
      <w:bodyDiv w:val="1"/>
      <w:marLeft w:val="0"/>
      <w:marRight w:val="0"/>
      <w:marTop w:val="0"/>
      <w:marBottom w:val="0"/>
      <w:divBdr>
        <w:top w:val="none" w:sz="0" w:space="0" w:color="auto"/>
        <w:left w:val="none" w:sz="0" w:space="0" w:color="auto"/>
        <w:bottom w:val="none" w:sz="0" w:space="0" w:color="auto"/>
        <w:right w:val="none" w:sz="0" w:space="0" w:color="auto"/>
      </w:divBdr>
    </w:div>
    <w:div w:id="2047830189">
      <w:bodyDiv w:val="1"/>
      <w:marLeft w:val="0"/>
      <w:marRight w:val="0"/>
      <w:marTop w:val="0"/>
      <w:marBottom w:val="0"/>
      <w:divBdr>
        <w:top w:val="none" w:sz="0" w:space="0" w:color="auto"/>
        <w:left w:val="none" w:sz="0" w:space="0" w:color="auto"/>
        <w:bottom w:val="none" w:sz="0" w:space="0" w:color="auto"/>
        <w:right w:val="none" w:sz="0" w:space="0" w:color="auto"/>
      </w:divBdr>
    </w:div>
    <w:div w:id="2047873852">
      <w:bodyDiv w:val="1"/>
      <w:marLeft w:val="0"/>
      <w:marRight w:val="0"/>
      <w:marTop w:val="0"/>
      <w:marBottom w:val="0"/>
      <w:divBdr>
        <w:top w:val="none" w:sz="0" w:space="0" w:color="auto"/>
        <w:left w:val="none" w:sz="0" w:space="0" w:color="auto"/>
        <w:bottom w:val="none" w:sz="0" w:space="0" w:color="auto"/>
        <w:right w:val="none" w:sz="0" w:space="0" w:color="auto"/>
      </w:divBdr>
    </w:div>
    <w:div w:id="2047949938">
      <w:bodyDiv w:val="1"/>
      <w:marLeft w:val="0"/>
      <w:marRight w:val="0"/>
      <w:marTop w:val="0"/>
      <w:marBottom w:val="0"/>
      <w:divBdr>
        <w:top w:val="none" w:sz="0" w:space="0" w:color="auto"/>
        <w:left w:val="none" w:sz="0" w:space="0" w:color="auto"/>
        <w:bottom w:val="none" w:sz="0" w:space="0" w:color="auto"/>
        <w:right w:val="none" w:sz="0" w:space="0" w:color="auto"/>
      </w:divBdr>
    </w:div>
    <w:div w:id="2049062176">
      <w:bodyDiv w:val="1"/>
      <w:marLeft w:val="0"/>
      <w:marRight w:val="0"/>
      <w:marTop w:val="0"/>
      <w:marBottom w:val="0"/>
      <w:divBdr>
        <w:top w:val="none" w:sz="0" w:space="0" w:color="auto"/>
        <w:left w:val="none" w:sz="0" w:space="0" w:color="auto"/>
        <w:bottom w:val="none" w:sz="0" w:space="0" w:color="auto"/>
        <w:right w:val="none" w:sz="0" w:space="0" w:color="auto"/>
      </w:divBdr>
    </w:div>
    <w:div w:id="2049841435">
      <w:bodyDiv w:val="1"/>
      <w:marLeft w:val="0"/>
      <w:marRight w:val="0"/>
      <w:marTop w:val="0"/>
      <w:marBottom w:val="0"/>
      <w:divBdr>
        <w:top w:val="none" w:sz="0" w:space="0" w:color="auto"/>
        <w:left w:val="none" w:sz="0" w:space="0" w:color="auto"/>
        <w:bottom w:val="none" w:sz="0" w:space="0" w:color="auto"/>
        <w:right w:val="none" w:sz="0" w:space="0" w:color="auto"/>
      </w:divBdr>
    </w:div>
    <w:div w:id="2050447338">
      <w:bodyDiv w:val="1"/>
      <w:marLeft w:val="0"/>
      <w:marRight w:val="0"/>
      <w:marTop w:val="0"/>
      <w:marBottom w:val="0"/>
      <w:divBdr>
        <w:top w:val="none" w:sz="0" w:space="0" w:color="auto"/>
        <w:left w:val="none" w:sz="0" w:space="0" w:color="auto"/>
        <w:bottom w:val="none" w:sz="0" w:space="0" w:color="auto"/>
        <w:right w:val="none" w:sz="0" w:space="0" w:color="auto"/>
      </w:divBdr>
    </w:div>
    <w:div w:id="2050715732">
      <w:bodyDiv w:val="1"/>
      <w:marLeft w:val="0"/>
      <w:marRight w:val="0"/>
      <w:marTop w:val="0"/>
      <w:marBottom w:val="0"/>
      <w:divBdr>
        <w:top w:val="none" w:sz="0" w:space="0" w:color="auto"/>
        <w:left w:val="none" w:sz="0" w:space="0" w:color="auto"/>
        <w:bottom w:val="none" w:sz="0" w:space="0" w:color="auto"/>
        <w:right w:val="none" w:sz="0" w:space="0" w:color="auto"/>
      </w:divBdr>
    </w:div>
    <w:div w:id="2050762202">
      <w:bodyDiv w:val="1"/>
      <w:marLeft w:val="0"/>
      <w:marRight w:val="0"/>
      <w:marTop w:val="0"/>
      <w:marBottom w:val="0"/>
      <w:divBdr>
        <w:top w:val="none" w:sz="0" w:space="0" w:color="auto"/>
        <w:left w:val="none" w:sz="0" w:space="0" w:color="auto"/>
        <w:bottom w:val="none" w:sz="0" w:space="0" w:color="auto"/>
        <w:right w:val="none" w:sz="0" w:space="0" w:color="auto"/>
      </w:divBdr>
    </w:div>
    <w:div w:id="2050764742">
      <w:bodyDiv w:val="1"/>
      <w:marLeft w:val="0"/>
      <w:marRight w:val="0"/>
      <w:marTop w:val="0"/>
      <w:marBottom w:val="0"/>
      <w:divBdr>
        <w:top w:val="none" w:sz="0" w:space="0" w:color="auto"/>
        <w:left w:val="none" w:sz="0" w:space="0" w:color="auto"/>
        <w:bottom w:val="none" w:sz="0" w:space="0" w:color="auto"/>
        <w:right w:val="none" w:sz="0" w:space="0" w:color="auto"/>
      </w:divBdr>
    </w:div>
    <w:div w:id="2050953621">
      <w:bodyDiv w:val="1"/>
      <w:marLeft w:val="0"/>
      <w:marRight w:val="0"/>
      <w:marTop w:val="0"/>
      <w:marBottom w:val="0"/>
      <w:divBdr>
        <w:top w:val="none" w:sz="0" w:space="0" w:color="auto"/>
        <w:left w:val="none" w:sz="0" w:space="0" w:color="auto"/>
        <w:bottom w:val="none" w:sz="0" w:space="0" w:color="auto"/>
        <w:right w:val="none" w:sz="0" w:space="0" w:color="auto"/>
      </w:divBdr>
    </w:div>
    <w:div w:id="2051302397">
      <w:bodyDiv w:val="1"/>
      <w:marLeft w:val="0"/>
      <w:marRight w:val="0"/>
      <w:marTop w:val="0"/>
      <w:marBottom w:val="0"/>
      <w:divBdr>
        <w:top w:val="none" w:sz="0" w:space="0" w:color="auto"/>
        <w:left w:val="none" w:sz="0" w:space="0" w:color="auto"/>
        <w:bottom w:val="none" w:sz="0" w:space="0" w:color="auto"/>
        <w:right w:val="none" w:sz="0" w:space="0" w:color="auto"/>
      </w:divBdr>
    </w:div>
    <w:div w:id="2052026901">
      <w:bodyDiv w:val="1"/>
      <w:marLeft w:val="0"/>
      <w:marRight w:val="0"/>
      <w:marTop w:val="0"/>
      <w:marBottom w:val="0"/>
      <w:divBdr>
        <w:top w:val="none" w:sz="0" w:space="0" w:color="auto"/>
        <w:left w:val="none" w:sz="0" w:space="0" w:color="auto"/>
        <w:bottom w:val="none" w:sz="0" w:space="0" w:color="auto"/>
        <w:right w:val="none" w:sz="0" w:space="0" w:color="auto"/>
      </w:divBdr>
    </w:div>
    <w:div w:id="2052487500">
      <w:bodyDiv w:val="1"/>
      <w:marLeft w:val="0"/>
      <w:marRight w:val="0"/>
      <w:marTop w:val="0"/>
      <w:marBottom w:val="0"/>
      <w:divBdr>
        <w:top w:val="none" w:sz="0" w:space="0" w:color="auto"/>
        <w:left w:val="none" w:sz="0" w:space="0" w:color="auto"/>
        <w:bottom w:val="none" w:sz="0" w:space="0" w:color="auto"/>
        <w:right w:val="none" w:sz="0" w:space="0" w:color="auto"/>
      </w:divBdr>
    </w:div>
    <w:div w:id="2052803170">
      <w:bodyDiv w:val="1"/>
      <w:marLeft w:val="0"/>
      <w:marRight w:val="0"/>
      <w:marTop w:val="0"/>
      <w:marBottom w:val="0"/>
      <w:divBdr>
        <w:top w:val="none" w:sz="0" w:space="0" w:color="auto"/>
        <w:left w:val="none" w:sz="0" w:space="0" w:color="auto"/>
        <w:bottom w:val="none" w:sz="0" w:space="0" w:color="auto"/>
        <w:right w:val="none" w:sz="0" w:space="0" w:color="auto"/>
      </w:divBdr>
    </w:div>
    <w:div w:id="2053381704">
      <w:bodyDiv w:val="1"/>
      <w:marLeft w:val="0"/>
      <w:marRight w:val="0"/>
      <w:marTop w:val="0"/>
      <w:marBottom w:val="0"/>
      <w:divBdr>
        <w:top w:val="none" w:sz="0" w:space="0" w:color="auto"/>
        <w:left w:val="none" w:sz="0" w:space="0" w:color="auto"/>
        <w:bottom w:val="none" w:sz="0" w:space="0" w:color="auto"/>
        <w:right w:val="none" w:sz="0" w:space="0" w:color="auto"/>
      </w:divBdr>
    </w:div>
    <w:div w:id="2053385452">
      <w:bodyDiv w:val="1"/>
      <w:marLeft w:val="0"/>
      <w:marRight w:val="0"/>
      <w:marTop w:val="0"/>
      <w:marBottom w:val="0"/>
      <w:divBdr>
        <w:top w:val="none" w:sz="0" w:space="0" w:color="auto"/>
        <w:left w:val="none" w:sz="0" w:space="0" w:color="auto"/>
        <w:bottom w:val="none" w:sz="0" w:space="0" w:color="auto"/>
        <w:right w:val="none" w:sz="0" w:space="0" w:color="auto"/>
      </w:divBdr>
    </w:div>
    <w:div w:id="2053649379">
      <w:bodyDiv w:val="1"/>
      <w:marLeft w:val="0"/>
      <w:marRight w:val="0"/>
      <w:marTop w:val="0"/>
      <w:marBottom w:val="0"/>
      <w:divBdr>
        <w:top w:val="none" w:sz="0" w:space="0" w:color="auto"/>
        <w:left w:val="none" w:sz="0" w:space="0" w:color="auto"/>
        <w:bottom w:val="none" w:sz="0" w:space="0" w:color="auto"/>
        <w:right w:val="none" w:sz="0" w:space="0" w:color="auto"/>
      </w:divBdr>
    </w:div>
    <w:div w:id="2054190087">
      <w:bodyDiv w:val="1"/>
      <w:marLeft w:val="0"/>
      <w:marRight w:val="0"/>
      <w:marTop w:val="0"/>
      <w:marBottom w:val="0"/>
      <w:divBdr>
        <w:top w:val="none" w:sz="0" w:space="0" w:color="auto"/>
        <w:left w:val="none" w:sz="0" w:space="0" w:color="auto"/>
        <w:bottom w:val="none" w:sz="0" w:space="0" w:color="auto"/>
        <w:right w:val="none" w:sz="0" w:space="0" w:color="auto"/>
      </w:divBdr>
    </w:div>
    <w:div w:id="2054497968">
      <w:bodyDiv w:val="1"/>
      <w:marLeft w:val="0"/>
      <w:marRight w:val="0"/>
      <w:marTop w:val="0"/>
      <w:marBottom w:val="0"/>
      <w:divBdr>
        <w:top w:val="none" w:sz="0" w:space="0" w:color="auto"/>
        <w:left w:val="none" w:sz="0" w:space="0" w:color="auto"/>
        <w:bottom w:val="none" w:sz="0" w:space="0" w:color="auto"/>
        <w:right w:val="none" w:sz="0" w:space="0" w:color="auto"/>
      </w:divBdr>
    </w:div>
    <w:div w:id="2055303755">
      <w:bodyDiv w:val="1"/>
      <w:marLeft w:val="0"/>
      <w:marRight w:val="0"/>
      <w:marTop w:val="0"/>
      <w:marBottom w:val="0"/>
      <w:divBdr>
        <w:top w:val="none" w:sz="0" w:space="0" w:color="auto"/>
        <w:left w:val="none" w:sz="0" w:space="0" w:color="auto"/>
        <w:bottom w:val="none" w:sz="0" w:space="0" w:color="auto"/>
        <w:right w:val="none" w:sz="0" w:space="0" w:color="auto"/>
      </w:divBdr>
    </w:div>
    <w:div w:id="2056152469">
      <w:bodyDiv w:val="1"/>
      <w:marLeft w:val="0"/>
      <w:marRight w:val="0"/>
      <w:marTop w:val="0"/>
      <w:marBottom w:val="0"/>
      <w:divBdr>
        <w:top w:val="none" w:sz="0" w:space="0" w:color="auto"/>
        <w:left w:val="none" w:sz="0" w:space="0" w:color="auto"/>
        <w:bottom w:val="none" w:sz="0" w:space="0" w:color="auto"/>
        <w:right w:val="none" w:sz="0" w:space="0" w:color="auto"/>
      </w:divBdr>
    </w:div>
    <w:div w:id="2057120587">
      <w:bodyDiv w:val="1"/>
      <w:marLeft w:val="0"/>
      <w:marRight w:val="0"/>
      <w:marTop w:val="0"/>
      <w:marBottom w:val="0"/>
      <w:divBdr>
        <w:top w:val="none" w:sz="0" w:space="0" w:color="auto"/>
        <w:left w:val="none" w:sz="0" w:space="0" w:color="auto"/>
        <w:bottom w:val="none" w:sz="0" w:space="0" w:color="auto"/>
        <w:right w:val="none" w:sz="0" w:space="0" w:color="auto"/>
      </w:divBdr>
    </w:div>
    <w:div w:id="2058317583">
      <w:bodyDiv w:val="1"/>
      <w:marLeft w:val="0"/>
      <w:marRight w:val="0"/>
      <w:marTop w:val="0"/>
      <w:marBottom w:val="0"/>
      <w:divBdr>
        <w:top w:val="none" w:sz="0" w:space="0" w:color="auto"/>
        <w:left w:val="none" w:sz="0" w:space="0" w:color="auto"/>
        <w:bottom w:val="none" w:sz="0" w:space="0" w:color="auto"/>
        <w:right w:val="none" w:sz="0" w:space="0" w:color="auto"/>
      </w:divBdr>
    </w:div>
    <w:div w:id="2058964458">
      <w:bodyDiv w:val="1"/>
      <w:marLeft w:val="0"/>
      <w:marRight w:val="0"/>
      <w:marTop w:val="0"/>
      <w:marBottom w:val="0"/>
      <w:divBdr>
        <w:top w:val="none" w:sz="0" w:space="0" w:color="auto"/>
        <w:left w:val="none" w:sz="0" w:space="0" w:color="auto"/>
        <w:bottom w:val="none" w:sz="0" w:space="0" w:color="auto"/>
        <w:right w:val="none" w:sz="0" w:space="0" w:color="auto"/>
      </w:divBdr>
    </w:div>
    <w:div w:id="2059354609">
      <w:bodyDiv w:val="1"/>
      <w:marLeft w:val="0"/>
      <w:marRight w:val="0"/>
      <w:marTop w:val="0"/>
      <w:marBottom w:val="0"/>
      <w:divBdr>
        <w:top w:val="none" w:sz="0" w:space="0" w:color="auto"/>
        <w:left w:val="none" w:sz="0" w:space="0" w:color="auto"/>
        <w:bottom w:val="none" w:sz="0" w:space="0" w:color="auto"/>
        <w:right w:val="none" w:sz="0" w:space="0" w:color="auto"/>
      </w:divBdr>
    </w:div>
    <w:div w:id="2059426593">
      <w:bodyDiv w:val="1"/>
      <w:marLeft w:val="0"/>
      <w:marRight w:val="0"/>
      <w:marTop w:val="0"/>
      <w:marBottom w:val="0"/>
      <w:divBdr>
        <w:top w:val="none" w:sz="0" w:space="0" w:color="auto"/>
        <w:left w:val="none" w:sz="0" w:space="0" w:color="auto"/>
        <w:bottom w:val="none" w:sz="0" w:space="0" w:color="auto"/>
        <w:right w:val="none" w:sz="0" w:space="0" w:color="auto"/>
      </w:divBdr>
    </w:div>
    <w:div w:id="2059469294">
      <w:bodyDiv w:val="1"/>
      <w:marLeft w:val="0"/>
      <w:marRight w:val="0"/>
      <w:marTop w:val="0"/>
      <w:marBottom w:val="0"/>
      <w:divBdr>
        <w:top w:val="none" w:sz="0" w:space="0" w:color="auto"/>
        <w:left w:val="none" w:sz="0" w:space="0" w:color="auto"/>
        <w:bottom w:val="none" w:sz="0" w:space="0" w:color="auto"/>
        <w:right w:val="none" w:sz="0" w:space="0" w:color="auto"/>
      </w:divBdr>
    </w:div>
    <w:div w:id="2059620241">
      <w:bodyDiv w:val="1"/>
      <w:marLeft w:val="0"/>
      <w:marRight w:val="0"/>
      <w:marTop w:val="0"/>
      <w:marBottom w:val="0"/>
      <w:divBdr>
        <w:top w:val="none" w:sz="0" w:space="0" w:color="auto"/>
        <w:left w:val="none" w:sz="0" w:space="0" w:color="auto"/>
        <w:bottom w:val="none" w:sz="0" w:space="0" w:color="auto"/>
        <w:right w:val="none" w:sz="0" w:space="0" w:color="auto"/>
      </w:divBdr>
    </w:div>
    <w:div w:id="2059623750">
      <w:bodyDiv w:val="1"/>
      <w:marLeft w:val="0"/>
      <w:marRight w:val="0"/>
      <w:marTop w:val="0"/>
      <w:marBottom w:val="0"/>
      <w:divBdr>
        <w:top w:val="none" w:sz="0" w:space="0" w:color="auto"/>
        <w:left w:val="none" w:sz="0" w:space="0" w:color="auto"/>
        <w:bottom w:val="none" w:sz="0" w:space="0" w:color="auto"/>
        <w:right w:val="none" w:sz="0" w:space="0" w:color="auto"/>
      </w:divBdr>
    </w:div>
    <w:div w:id="2059819820">
      <w:bodyDiv w:val="1"/>
      <w:marLeft w:val="0"/>
      <w:marRight w:val="0"/>
      <w:marTop w:val="0"/>
      <w:marBottom w:val="0"/>
      <w:divBdr>
        <w:top w:val="none" w:sz="0" w:space="0" w:color="auto"/>
        <w:left w:val="none" w:sz="0" w:space="0" w:color="auto"/>
        <w:bottom w:val="none" w:sz="0" w:space="0" w:color="auto"/>
        <w:right w:val="none" w:sz="0" w:space="0" w:color="auto"/>
      </w:divBdr>
    </w:div>
    <w:div w:id="2060548609">
      <w:bodyDiv w:val="1"/>
      <w:marLeft w:val="0"/>
      <w:marRight w:val="0"/>
      <w:marTop w:val="0"/>
      <w:marBottom w:val="0"/>
      <w:divBdr>
        <w:top w:val="none" w:sz="0" w:space="0" w:color="auto"/>
        <w:left w:val="none" w:sz="0" w:space="0" w:color="auto"/>
        <w:bottom w:val="none" w:sz="0" w:space="0" w:color="auto"/>
        <w:right w:val="none" w:sz="0" w:space="0" w:color="auto"/>
      </w:divBdr>
    </w:div>
    <w:div w:id="2060738267">
      <w:bodyDiv w:val="1"/>
      <w:marLeft w:val="0"/>
      <w:marRight w:val="0"/>
      <w:marTop w:val="0"/>
      <w:marBottom w:val="0"/>
      <w:divBdr>
        <w:top w:val="none" w:sz="0" w:space="0" w:color="auto"/>
        <w:left w:val="none" w:sz="0" w:space="0" w:color="auto"/>
        <w:bottom w:val="none" w:sz="0" w:space="0" w:color="auto"/>
        <w:right w:val="none" w:sz="0" w:space="0" w:color="auto"/>
      </w:divBdr>
    </w:div>
    <w:div w:id="2060783254">
      <w:bodyDiv w:val="1"/>
      <w:marLeft w:val="0"/>
      <w:marRight w:val="0"/>
      <w:marTop w:val="0"/>
      <w:marBottom w:val="0"/>
      <w:divBdr>
        <w:top w:val="none" w:sz="0" w:space="0" w:color="auto"/>
        <w:left w:val="none" w:sz="0" w:space="0" w:color="auto"/>
        <w:bottom w:val="none" w:sz="0" w:space="0" w:color="auto"/>
        <w:right w:val="none" w:sz="0" w:space="0" w:color="auto"/>
      </w:divBdr>
    </w:div>
    <w:div w:id="2061399460">
      <w:bodyDiv w:val="1"/>
      <w:marLeft w:val="0"/>
      <w:marRight w:val="0"/>
      <w:marTop w:val="0"/>
      <w:marBottom w:val="0"/>
      <w:divBdr>
        <w:top w:val="none" w:sz="0" w:space="0" w:color="auto"/>
        <w:left w:val="none" w:sz="0" w:space="0" w:color="auto"/>
        <w:bottom w:val="none" w:sz="0" w:space="0" w:color="auto"/>
        <w:right w:val="none" w:sz="0" w:space="0" w:color="auto"/>
      </w:divBdr>
    </w:div>
    <w:div w:id="2062365846">
      <w:bodyDiv w:val="1"/>
      <w:marLeft w:val="0"/>
      <w:marRight w:val="0"/>
      <w:marTop w:val="0"/>
      <w:marBottom w:val="0"/>
      <w:divBdr>
        <w:top w:val="none" w:sz="0" w:space="0" w:color="auto"/>
        <w:left w:val="none" w:sz="0" w:space="0" w:color="auto"/>
        <w:bottom w:val="none" w:sz="0" w:space="0" w:color="auto"/>
        <w:right w:val="none" w:sz="0" w:space="0" w:color="auto"/>
      </w:divBdr>
    </w:div>
    <w:div w:id="2062438040">
      <w:bodyDiv w:val="1"/>
      <w:marLeft w:val="0"/>
      <w:marRight w:val="0"/>
      <w:marTop w:val="0"/>
      <w:marBottom w:val="0"/>
      <w:divBdr>
        <w:top w:val="none" w:sz="0" w:space="0" w:color="auto"/>
        <w:left w:val="none" w:sz="0" w:space="0" w:color="auto"/>
        <w:bottom w:val="none" w:sz="0" w:space="0" w:color="auto"/>
        <w:right w:val="none" w:sz="0" w:space="0" w:color="auto"/>
      </w:divBdr>
    </w:div>
    <w:div w:id="2063558137">
      <w:bodyDiv w:val="1"/>
      <w:marLeft w:val="0"/>
      <w:marRight w:val="0"/>
      <w:marTop w:val="0"/>
      <w:marBottom w:val="0"/>
      <w:divBdr>
        <w:top w:val="none" w:sz="0" w:space="0" w:color="auto"/>
        <w:left w:val="none" w:sz="0" w:space="0" w:color="auto"/>
        <w:bottom w:val="none" w:sz="0" w:space="0" w:color="auto"/>
        <w:right w:val="none" w:sz="0" w:space="0" w:color="auto"/>
      </w:divBdr>
    </w:div>
    <w:div w:id="2064522496">
      <w:bodyDiv w:val="1"/>
      <w:marLeft w:val="0"/>
      <w:marRight w:val="0"/>
      <w:marTop w:val="0"/>
      <w:marBottom w:val="0"/>
      <w:divBdr>
        <w:top w:val="none" w:sz="0" w:space="0" w:color="auto"/>
        <w:left w:val="none" w:sz="0" w:space="0" w:color="auto"/>
        <w:bottom w:val="none" w:sz="0" w:space="0" w:color="auto"/>
        <w:right w:val="none" w:sz="0" w:space="0" w:color="auto"/>
      </w:divBdr>
    </w:div>
    <w:div w:id="2065904381">
      <w:bodyDiv w:val="1"/>
      <w:marLeft w:val="0"/>
      <w:marRight w:val="0"/>
      <w:marTop w:val="0"/>
      <w:marBottom w:val="0"/>
      <w:divBdr>
        <w:top w:val="none" w:sz="0" w:space="0" w:color="auto"/>
        <w:left w:val="none" w:sz="0" w:space="0" w:color="auto"/>
        <w:bottom w:val="none" w:sz="0" w:space="0" w:color="auto"/>
        <w:right w:val="none" w:sz="0" w:space="0" w:color="auto"/>
      </w:divBdr>
    </w:div>
    <w:div w:id="2066639537">
      <w:bodyDiv w:val="1"/>
      <w:marLeft w:val="0"/>
      <w:marRight w:val="0"/>
      <w:marTop w:val="0"/>
      <w:marBottom w:val="0"/>
      <w:divBdr>
        <w:top w:val="none" w:sz="0" w:space="0" w:color="auto"/>
        <w:left w:val="none" w:sz="0" w:space="0" w:color="auto"/>
        <w:bottom w:val="none" w:sz="0" w:space="0" w:color="auto"/>
        <w:right w:val="none" w:sz="0" w:space="0" w:color="auto"/>
      </w:divBdr>
    </w:div>
    <w:div w:id="2066760531">
      <w:bodyDiv w:val="1"/>
      <w:marLeft w:val="0"/>
      <w:marRight w:val="0"/>
      <w:marTop w:val="0"/>
      <w:marBottom w:val="0"/>
      <w:divBdr>
        <w:top w:val="none" w:sz="0" w:space="0" w:color="auto"/>
        <w:left w:val="none" w:sz="0" w:space="0" w:color="auto"/>
        <w:bottom w:val="none" w:sz="0" w:space="0" w:color="auto"/>
        <w:right w:val="none" w:sz="0" w:space="0" w:color="auto"/>
      </w:divBdr>
    </w:div>
    <w:div w:id="2066836499">
      <w:bodyDiv w:val="1"/>
      <w:marLeft w:val="0"/>
      <w:marRight w:val="0"/>
      <w:marTop w:val="0"/>
      <w:marBottom w:val="0"/>
      <w:divBdr>
        <w:top w:val="none" w:sz="0" w:space="0" w:color="auto"/>
        <w:left w:val="none" w:sz="0" w:space="0" w:color="auto"/>
        <w:bottom w:val="none" w:sz="0" w:space="0" w:color="auto"/>
        <w:right w:val="none" w:sz="0" w:space="0" w:color="auto"/>
      </w:divBdr>
    </w:div>
    <w:div w:id="2067338344">
      <w:bodyDiv w:val="1"/>
      <w:marLeft w:val="0"/>
      <w:marRight w:val="0"/>
      <w:marTop w:val="0"/>
      <w:marBottom w:val="0"/>
      <w:divBdr>
        <w:top w:val="none" w:sz="0" w:space="0" w:color="auto"/>
        <w:left w:val="none" w:sz="0" w:space="0" w:color="auto"/>
        <w:bottom w:val="none" w:sz="0" w:space="0" w:color="auto"/>
        <w:right w:val="none" w:sz="0" w:space="0" w:color="auto"/>
      </w:divBdr>
    </w:div>
    <w:div w:id="2067606397">
      <w:bodyDiv w:val="1"/>
      <w:marLeft w:val="0"/>
      <w:marRight w:val="0"/>
      <w:marTop w:val="0"/>
      <w:marBottom w:val="0"/>
      <w:divBdr>
        <w:top w:val="none" w:sz="0" w:space="0" w:color="auto"/>
        <w:left w:val="none" w:sz="0" w:space="0" w:color="auto"/>
        <w:bottom w:val="none" w:sz="0" w:space="0" w:color="auto"/>
        <w:right w:val="none" w:sz="0" w:space="0" w:color="auto"/>
      </w:divBdr>
    </w:div>
    <w:div w:id="2067944539">
      <w:bodyDiv w:val="1"/>
      <w:marLeft w:val="0"/>
      <w:marRight w:val="0"/>
      <w:marTop w:val="0"/>
      <w:marBottom w:val="0"/>
      <w:divBdr>
        <w:top w:val="none" w:sz="0" w:space="0" w:color="auto"/>
        <w:left w:val="none" w:sz="0" w:space="0" w:color="auto"/>
        <w:bottom w:val="none" w:sz="0" w:space="0" w:color="auto"/>
        <w:right w:val="none" w:sz="0" w:space="0" w:color="auto"/>
      </w:divBdr>
    </w:div>
    <w:div w:id="2068145918">
      <w:bodyDiv w:val="1"/>
      <w:marLeft w:val="0"/>
      <w:marRight w:val="0"/>
      <w:marTop w:val="0"/>
      <w:marBottom w:val="0"/>
      <w:divBdr>
        <w:top w:val="none" w:sz="0" w:space="0" w:color="auto"/>
        <w:left w:val="none" w:sz="0" w:space="0" w:color="auto"/>
        <w:bottom w:val="none" w:sz="0" w:space="0" w:color="auto"/>
        <w:right w:val="none" w:sz="0" w:space="0" w:color="auto"/>
      </w:divBdr>
    </w:div>
    <w:div w:id="2068794394">
      <w:bodyDiv w:val="1"/>
      <w:marLeft w:val="0"/>
      <w:marRight w:val="0"/>
      <w:marTop w:val="0"/>
      <w:marBottom w:val="0"/>
      <w:divBdr>
        <w:top w:val="none" w:sz="0" w:space="0" w:color="auto"/>
        <w:left w:val="none" w:sz="0" w:space="0" w:color="auto"/>
        <w:bottom w:val="none" w:sz="0" w:space="0" w:color="auto"/>
        <w:right w:val="none" w:sz="0" w:space="0" w:color="auto"/>
      </w:divBdr>
    </w:div>
    <w:div w:id="2068872861">
      <w:bodyDiv w:val="1"/>
      <w:marLeft w:val="0"/>
      <w:marRight w:val="0"/>
      <w:marTop w:val="0"/>
      <w:marBottom w:val="0"/>
      <w:divBdr>
        <w:top w:val="none" w:sz="0" w:space="0" w:color="auto"/>
        <w:left w:val="none" w:sz="0" w:space="0" w:color="auto"/>
        <w:bottom w:val="none" w:sz="0" w:space="0" w:color="auto"/>
        <w:right w:val="none" w:sz="0" w:space="0" w:color="auto"/>
      </w:divBdr>
    </w:div>
    <w:div w:id="2070032482">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67701">
      <w:bodyDiv w:val="1"/>
      <w:marLeft w:val="0"/>
      <w:marRight w:val="0"/>
      <w:marTop w:val="0"/>
      <w:marBottom w:val="0"/>
      <w:divBdr>
        <w:top w:val="none" w:sz="0" w:space="0" w:color="auto"/>
        <w:left w:val="none" w:sz="0" w:space="0" w:color="auto"/>
        <w:bottom w:val="none" w:sz="0" w:space="0" w:color="auto"/>
        <w:right w:val="none" w:sz="0" w:space="0" w:color="auto"/>
      </w:divBdr>
    </w:div>
    <w:div w:id="2070691222">
      <w:bodyDiv w:val="1"/>
      <w:marLeft w:val="0"/>
      <w:marRight w:val="0"/>
      <w:marTop w:val="0"/>
      <w:marBottom w:val="0"/>
      <w:divBdr>
        <w:top w:val="none" w:sz="0" w:space="0" w:color="auto"/>
        <w:left w:val="none" w:sz="0" w:space="0" w:color="auto"/>
        <w:bottom w:val="none" w:sz="0" w:space="0" w:color="auto"/>
        <w:right w:val="none" w:sz="0" w:space="0" w:color="auto"/>
      </w:divBdr>
    </w:div>
    <w:div w:id="2071265744">
      <w:bodyDiv w:val="1"/>
      <w:marLeft w:val="0"/>
      <w:marRight w:val="0"/>
      <w:marTop w:val="0"/>
      <w:marBottom w:val="0"/>
      <w:divBdr>
        <w:top w:val="none" w:sz="0" w:space="0" w:color="auto"/>
        <w:left w:val="none" w:sz="0" w:space="0" w:color="auto"/>
        <w:bottom w:val="none" w:sz="0" w:space="0" w:color="auto"/>
        <w:right w:val="none" w:sz="0" w:space="0" w:color="auto"/>
      </w:divBdr>
    </w:div>
    <w:div w:id="2071340856">
      <w:bodyDiv w:val="1"/>
      <w:marLeft w:val="0"/>
      <w:marRight w:val="0"/>
      <w:marTop w:val="0"/>
      <w:marBottom w:val="0"/>
      <w:divBdr>
        <w:top w:val="none" w:sz="0" w:space="0" w:color="auto"/>
        <w:left w:val="none" w:sz="0" w:space="0" w:color="auto"/>
        <w:bottom w:val="none" w:sz="0" w:space="0" w:color="auto"/>
        <w:right w:val="none" w:sz="0" w:space="0" w:color="auto"/>
      </w:divBdr>
    </w:div>
    <w:div w:id="2071682687">
      <w:bodyDiv w:val="1"/>
      <w:marLeft w:val="0"/>
      <w:marRight w:val="0"/>
      <w:marTop w:val="0"/>
      <w:marBottom w:val="0"/>
      <w:divBdr>
        <w:top w:val="none" w:sz="0" w:space="0" w:color="auto"/>
        <w:left w:val="none" w:sz="0" w:space="0" w:color="auto"/>
        <w:bottom w:val="none" w:sz="0" w:space="0" w:color="auto"/>
        <w:right w:val="none" w:sz="0" w:space="0" w:color="auto"/>
      </w:divBdr>
    </w:div>
    <w:div w:id="2071806423">
      <w:bodyDiv w:val="1"/>
      <w:marLeft w:val="0"/>
      <w:marRight w:val="0"/>
      <w:marTop w:val="0"/>
      <w:marBottom w:val="0"/>
      <w:divBdr>
        <w:top w:val="none" w:sz="0" w:space="0" w:color="auto"/>
        <w:left w:val="none" w:sz="0" w:space="0" w:color="auto"/>
        <w:bottom w:val="none" w:sz="0" w:space="0" w:color="auto"/>
        <w:right w:val="none" w:sz="0" w:space="0" w:color="auto"/>
      </w:divBdr>
    </w:div>
    <w:div w:id="2072078089">
      <w:bodyDiv w:val="1"/>
      <w:marLeft w:val="0"/>
      <w:marRight w:val="0"/>
      <w:marTop w:val="0"/>
      <w:marBottom w:val="0"/>
      <w:divBdr>
        <w:top w:val="none" w:sz="0" w:space="0" w:color="auto"/>
        <w:left w:val="none" w:sz="0" w:space="0" w:color="auto"/>
        <w:bottom w:val="none" w:sz="0" w:space="0" w:color="auto"/>
        <w:right w:val="none" w:sz="0" w:space="0" w:color="auto"/>
      </w:divBdr>
    </w:div>
    <w:div w:id="2072195520">
      <w:bodyDiv w:val="1"/>
      <w:marLeft w:val="0"/>
      <w:marRight w:val="0"/>
      <w:marTop w:val="0"/>
      <w:marBottom w:val="0"/>
      <w:divBdr>
        <w:top w:val="none" w:sz="0" w:space="0" w:color="auto"/>
        <w:left w:val="none" w:sz="0" w:space="0" w:color="auto"/>
        <w:bottom w:val="none" w:sz="0" w:space="0" w:color="auto"/>
        <w:right w:val="none" w:sz="0" w:space="0" w:color="auto"/>
      </w:divBdr>
    </w:div>
    <w:div w:id="2072463833">
      <w:bodyDiv w:val="1"/>
      <w:marLeft w:val="0"/>
      <w:marRight w:val="0"/>
      <w:marTop w:val="0"/>
      <w:marBottom w:val="0"/>
      <w:divBdr>
        <w:top w:val="none" w:sz="0" w:space="0" w:color="auto"/>
        <w:left w:val="none" w:sz="0" w:space="0" w:color="auto"/>
        <w:bottom w:val="none" w:sz="0" w:space="0" w:color="auto"/>
        <w:right w:val="none" w:sz="0" w:space="0" w:color="auto"/>
      </w:divBdr>
    </w:div>
    <w:div w:id="2073233187">
      <w:bodyDiv w:val="1"/>
      <w:marLeft w:val="0"/>
      <w:marRight w:val="0"/>
      <w:marTop w:val="0"/>
      <w:marBottom w:val="0"/>
      <w:divBdr>
        <w:top w:val="none" w:sz="0" w:space="0" w:color="auto"/>
        <w:left w:val="none" w:sz="0" w:space="0" w:color="auto"/>
        <w:bottom w:val="none" w:sz="0" w:space="0" w:color="auto"/>
        <w:right w:val="none" w:sz="0" w:space="0" w:color="auto"/>
      </w:divBdr>
    </w:div>
    <w:div w:id="2073699201">
      <w:bodyDiv w:val="1"/>
      <w:marLeft w:val="0"/>
      <w:marRight w:val="0"/>
      <w:marTop w:val="0"/>
      <w:marBottom w:val="0"/>
      <w:divBdr>
        <w:top w:val="none" w:sz="0" w:space="0" w:color="auto"/>
        <w:left w:val="none" w:sz="0" w:space="0" w:color="auto"/>
        <w:bottom w:val="none" w:sz="0" w:space="0" w:color="auto"/>
        <w:right w:val="none" w:sz="0" w:space="0" w:color="auto"/>
      </w:divBdr>
    </w:div>
    <w:div w:id="2074699176">
      <w:bodyDiv w:val="1"/>
      <w:marLeft w:val="0"/>
      <w:marRight w:val="0"/>
      <w:marTop w:val="0"/>
      <w:marBottom w:val="0"/>
      <w:divBdr>
        <w:top w:val="none" w:sz="0" w:space="0" w:color="auto"/>
        <w:left w:val="none" w:sz="0" w:space="0" w:color="auto"/>
        <w:bottom w:val="none" w:sz="0" w:space="0" w:color="auto"/>
        <w:right w:val="none" w:sz="0" w:space="0" w:color="auto"/>
      </w:divBdr>
    </w:div>
    <w:div w:id="2074817175">
      <w:bodyDiv w:val="1"/>
      <w:marLeft w:val="0"/>
      <w:marRight w:val="0"/>
      <w:marTop w:val="0"/>
      <w:marBottom w:val="0"/>
      <w:divBdr>
        <w:top w:val="none" w:sz="0" w:space="0" w:color="auto"/>
        <w:left w:val="none" w:sz="0" w:space="0" w:color="auto"/>
        <w:bottom w:val="none" w:sz="0" w:space="0" w:color="auto"/>
        <w:right w:val="none" w:sz="0" w:space="0" w:color="auto"/>
      </w:divBdr>
    </w:div>
    <w:div w:id="2075076920">
      <w:bodyDiv w:val="1"/>
      <w:marLeft w:val="0"/>
      <w:marRight w:val="0"/>
      <w:marTop w:val="0"/>
      <w:marBottom w:val="0"/>
      <w:divBdr>
        <w:top w:val="none" w:sz="0" w:space="0" w:color="auto"/>
        <w:left w:val="none" w:sz="0" w:space="0" w:color="auto"/>
        <w:bottom w:val="none" w:sz="0" w:space="0" w:color="auto"/>
        <w:right w:val="none" w:sz="0" w:space="0" w:color="auto"/>
      </w:divBdr>
    </w:div>
    <w:div w:id="2075078049">
      <w:bodyDiv w:val="1"/>
      <w:marLeft w:val="0"/>
      <w:marRight w:val="0"/>
      <w:marTop w:val="0"/>
      <w:marBottom w:val="0"/>
      <w:divBdr>
        <w:top w:val="none" w:sz="0" w:space="0" w:color="auto"/>
        <w:left w:val="none" w:sz="0" w:space="0" w:color="auto"/>
        <w:bottom w:val="none" w:sz="0" w:space="0" w:color="auto"/>
        <w:right w:val="none" w:sz="0" w:space="0" w:color="auto"/>
      </w:divBdr>
    </w:div>
    <w:div w:id="2075202764">
      <w:bodyDiv w:val="1"/>
      <w:marLeft w:val="0"/>
      <w:marRight w:val="0"/>
      <w:marTop w:val="0"/>
      <w:marBottom w:val="0"/>
      <w:divBdr>
        <w:top w:val="none" w:sz="0" w:space="0" w:color="auto"/>
        <w:left w:val="none" w:sz="0" w:space="0" w:color="auto"/>
        <w:bottom w:val="none" w:sz="0" w:space="0" w:color="auto"/>
        <w:right w:val="none" w:sz="0" w:space="0" w:color="auto"/>
      </w:divBdr>
    </w:div>
    <w:div w:id="2077315292">
      <w:bodyDiv w:val="1"/>
      <w:marLeft w:val="0"/>
      <w:marRight w:val="0"/>
      <w:marTop w:val="0"/>
      <w:marBottom w:val="0"/>
      <w:divBdr>
        <w:top w:val="none" w:sz="0" w:space="0" w:color="auto"/>
        <w:left w:val="none" w:sz="0" w:space="0" w:color="auto"/>
        <w:bottom w:val="none" w:sz="0" w:space="0" w:color="auto"/>
        <w:right w:val="none" w:sz="0" w:space="0" w:color="auto"/>
      </w:divBdr>
    </w:div>
    <w:div w:id="2077321029">
      <w:bodyDiv w:val="1"/>
      <w:marLeft w:val="0"/>
      <w:marRight w:val="0"/>
      <w:marTop w:val="0"/>
      <w:marBottom w:val="0"/>
      <w:divBdr>
        <w:top w:val="none" w:sz="0" w:space="0" w:color="auto"/>
        <w:left w:val="none" w:sz="0" w:space="0" w:color="auto"/>
        <w:bottom w:val="none" w:sz="0" w:space="0" w:color="auto"/>
        <w:right w:val="none" w:sz="0" w:space="0" w:color="auto"/>
      </w:divBdr>
    </w:div>
    <w:div w:id="2077780083">
      <w:bodyDiv w:val="1"/>
      <w:marLeft w:val="0"/>
      <w:marRight w:val="0"/>
      <w:marTop w:val="0"/>
      <w:marBottom w:val="0"/>
      <w:divBdr>
        <w:top w:val="none" w:sz="0" w:space="0" w:color="auto"/>
        <w:left w:val="none" w:sz="0" w:space="0" w:color="auto"/>
        <w:bottom w:val="none" w:sz="0" w:space="0" w:color="auto"/>
        <w:right w:val="none" w:sz="0" w:space="0" w:color="auto"/>
      </w:divBdr>
    </w:div>
    <w:div w:id="2078286250">
      <w:bodyDiv w:val="1"/>
      <w:marLeft w:val="0"/>
      <w:marRight w:val="0"/>
      <w:marTop w:val="0"/>
      <w:marBottom w:val="0"/>
      <w:divBdr>
        <w:top w:val="none" w:sz="0" w:space="0" w:color="auto"/>
        <w:left w:val="none" w:sz="0" w:space="0" w:color="auto"/>
        <w:bottom w:val="none" w:sz="0" w:space="0" w:color="auto"/>
        <w:right w:val="none" w:sz="0" w:space="0" w:color="auto"/>
      </w:divBdr>
    </w:div>
    <w:div w:id="2079354280">
      <w:bodyDiv w:val="1"/>
      <w:marLeft w:val="0"/>
      <w:marRight w:val="0"/>
      <w:marTop w:val="0"/>
      <w:marBottom w:val="0"/>
      <w:divBdr>
        <w:top w:val="none" w:sz="0" w:space="0" w:color="auto"/>
        <w:left w:val="none" w:sz="0" w:space="0" w:color="auto"/>
        <w:bottom w:val="none" w:sz="0" w:space="0" w:color="auto"/>
        <w:right w:val="none" w:sz="0" w:space="0" w:color="auto"/>
      </w:divBdr>
    </w:div>
    <w:div w:id="2079741540">
      <w:bodyDiv w:val="1"/>
      <w:marLeft w:val="0"/>
      <w:marRight w:val="0"/>
      <w:marTop w:val="0"/>
      <w:marBottom w:val="0"/>
      <w:divBdr>
        <w:top w:val="none" w:sz="0" w:space="0" w:color="auto"/>
        <w:left w:val="none" w:sz="0" w:space="0" w:color="auto"/>
        <w:bottom w:val="none" w:sz="0" w:space="0" w:color="auto"/>
        <w:right w:val="none" w:sz="0" w:space="0" w:color="auto"/>
      </w:divBdr>
    </w:div>
    <w:div w:id="2080057880">
      <w:bodyDiv w:val="1"/>
      <w:marLeft w:val="0"/>
      <w:marRight w:val="0"/>
      <w:marTop w:val="0"/>
      <w:marBottom w:val="0"/>
      <w:divBdr>
        <w:top w:val="none" w:sz="0" w:space="0" w:color="auto"/>
        <w:left w:val="none" w:sz="0" w:space="0" w:color="auto"/>
        <w:bottom w:val="none" w:sz="0" w:space="0" w:color="auto"/>
        <w:right w:val="none" w:sz="0" w:space="0" w:color="auto"/>
      </w:divBdr>
    </w:div>
    <w:div w:id="2080588911">
      <w:bodyDiv w:val="1"/>
      <w:marLeft w:val="0"/>
      <w:marRight w:val="0"/>
      <w:marTop w:val="0"/>
      <w:marBottom w:val="0"/>
      <w:divBdr>
        <w:top w:val="none" w:sz="0" w:space="0" w:color="auto"/>
        <w:left w:val="none" w:sz="0" w:space="0" w:color="auto"/>
        <w:bottom w:val="none" w:sz="0" w:space="0" w:color="auto"/>
        <w:right w:val="none" w:sz="0" w:space="0" w:color="auto"/>
      </w:divBdr>
    </w:div>
    <w:div w:id="2080638736">
      <w:bodyDiv w:val="1"/>
      <w:marLeft w:val="0"/>
      <w:marRight w:val="0"/>
      <w:marTop w:val="0"/>
      <w:marBottom w:val="0"/>
      <w:divBdr>
        <w:top w:val="none" w:sz="0" w:space="0" w:color="auto"/>
        <w:left w:val="none" w:sz="0" w:space="0" w:color="auto"/>
        <w:bottom w:val="none" w:sz="0" w:space="0" w:color="auto"/>
        <w:right w:val="none" w:sz="0" w:space="0" w:color="auto"/>
      </w:divBdr>
    </w:div>
    <w:div w:id="2081706600">
      <w:bodyDiv w:val="1"/>
      <w:marLeft w:val="0"/>
      <w:marRight w:val="0"/>
      <w:marTop w:val="0"/>
      <w:marBottom w:val="0"/>
      <w:divBdr>
        <w:top w:val="none" w:sz="0" w:space="0" w:color="auto"/>
        <w:left w:val="none" w:sz="0" w:space="0" w:color="auto"/>
        <w:bottom w:val="none" w:sz="0" w:space="0" w:color="auto"/>
        <w:right w:val="none" w:sz="0" w:space="0" w:color="auto"/>
      </w:divBdr>
    </w:div>
    <w:div w:id="2081783709">
      <w:bodyDiv w:val="1"/>
      <w:marLeft w:val="0"/>
      <w:marRight w:val="0"/>
      <w:marTop w:val="0"/>
      <w:marBottom w:val="0"/>
      <w:divBdr>
        <w:top w:val="none" w:sz="0" w:space="0" w:color="auto"/>
        <w:left w:val="none" w:sz="0" w:space="0" w:color="auto"/>
        <w:bottom w:val="none" w:sz="0" w:space="0" w:color="auto"/>
        <w:right w:val="none" w:sz="0" w:space="0" w:color="auto"/>
      </w:divBdr>
    </w:div>
    <w:div w:id="2081824270">
      <w:bodyDiv w:val="1"/>
      <w:marLeft w:val="0"/>
      <w:marRight w:val="0"/>
      <w:marTop w:val="0"/>
      <w:marBottom w:val="0"/>
      <w:divBdr>
        <w:top w:val="none" w:sz="0" w:space="0" w:color="auto"/>
        <w:left w:val="none" w:sz="0" w:space="0" w:color="auto"/>
        <w:bottom w:val="none" w:sz="0" w:space="0" w:color="auto"/>
        <w:right w:val="none" w:sz="0" w:space="0" w:color="auto"/>
      </w:divBdr>
    </w:div>
    <w:div w:id="2082873835">
      <w:bodyDiv w:val="1"/>
      <w:marLeft w:val="0"/>
      <w:marRight w:val="0"/>
      <w:marTop w:val="0"/>
      <w:marBottom w:val="0"/>
      <w:divBdr>
        <w:top w:val="none" w:sz="0" w:space="0" w:color="auto"/>
        <w:left w:val="none" w:sz="0" w:space="0" w:color="auto"/>
        <w:bottom w:val="none" w:sz="0" w:space="0" w:color="auto"/>
        <w:right w:val="none" w:sz="0" w:space="0" w:color="auto"/>
      </w:divBdr>
    </w:div>
    <w:div w:id="2083410475">
      <w:bodyDiv w:val="1"/>
      <w:marLeft w:val="0"/>
      <w:marRight w:val="0"/>
      <w:marTop w:val="0"/>
      <w:marBottom w:val="0"/>
      <w:divBdr>
        <w:top w:val="none" w:sz="0" w:space="0" w:color="auto"/>
        <w:left w:val="none" w:sz="0" w:space="0" w:color="auto"/>
        <w:bottom w:val="none" w:sz="0" w:space="0" w:color="auto"/>
        <w:right w:val="none" w:sz="0" w:space="0" w:color="auto"/>
      </w:divBdr>
    </w:div>
    <w:div w:id="2083522123">
      <w:bodyDiv w:val="1"/>
      <w:marLeft w:val="0"/>
      <w:marRight w:val="0"/>
      <w:marTop w:val="0"/>
      <w:marBottom w:val="0"/>
      <w:divBdr>
        <w:top w:val="none" w:sz="0" w:space="0" w:color="auto"/>
        <w:left w:val="none" w:sz="0" w:space="0" w:color="auto"/>
        <w:bottom w:val="none" w:sz="0" w:space="0" w:color="auto"/>
        <w:right w:val="none" w:sz="0" w:space="0" w:color="auto"/>
      </w:divBdr>
    </w:div>
    <w:div w:id="2083528845">
      <w:bodyDiv w:val="1"/>
      <w:marLeft w:val="0"/>
      <w:marRight w:val="0"/>
      <w:marTop w:val="0"/>
      <w:marBottom w:val="0"/>
      <w:divBdr>
        <w:top w:val="none" w:sz="0" w:space="0" w:color="auto"/>
        <w:left w:val="none" w:sz="0" w:space="0" w:color="auto"/>
        <w:bottom w:val="none" w:sz="0" w:space="0" w:color="auto"/>
        <w:right w:val="none" w:sz="0" w:space="0" w:color="auto"/>
      </w:divBdr>
    </w:div>
    <w:div w:id="2083941636">
      <w:bodyDiv w:val="1"/>
      <w:marLeft w:val="0"/>
      <w:marRight w:val="0"/>
      <w:marTop w:val="0"/>
      <w:marBottom w:val="0"/>
      <w:divBdr>
        <w:top w:val="none" w:sz="0" w:space="0" w:color="auto"/>
        <w:left w:val="none" w:sz="0" w:space="0" w:color="auto"/>
        <w:bottom w:val="none" w:sz="0" w:space="0" w:color="auto"/>
        <w:right w:val="none" w:sz="0" w:space="0" w:color="auto"/>
      </w:divBdr>
    </w:div>
    <w:div w:id="2084601531">
      <w:bodyDiv w:val="1"/>
      <w:marLeft w:val="0"/>
      <w:marRight w:val="0"/>
      <w:marTop w:val="0"/>
      <w:marBottom w:val="0"/>
      <w:divBdr>
        <w:top w:val="none" w:sz="0" w:space="0" w:color="auto"/>
        <w:left w:val="none" w:sz="0" w:space="0" w:color="auto"/>
        <w:bottom w:val="none" w:sz="0" w:space="0" w:color="auto"/>
        <w:right w:val="none" w:sz="0" w:space="0" w:color="auto"/>
      </w:divBdr>
    </w:div>
    <w:div w:id="2085059693">
      <w:bodyDiv w:val="1"/>
      <w:marLeft w:val="0"/>
      <w:marRight w:val="0"/>
      <w:marTop w:val="0"/>
      <w:marBottom w:val="0"/>
      <w:divBdr>
        <w:top w:val="none" w:sz="0" w:space="0" w:color="auto"/>
        <w:left w:val="none" w:sz="0" w:space="0" w:color="auto"/>
        <w:bottom w:val="none" w:sz="0" w:space="0" w:color="auto"/>
        <w:right w:val="none" w:sz="0" w:space="0" w:color="auto"/>
      </w:divBdr>
    </w:div>
    <w:div w:id="2085834261">
      <w:bodyDiv w:val="1"/>
      <w:marLeft w:val="0"/>
      <w:marRight w:val="0"/>
      <w:marTop w:val="0"/>
      <w:marBottom w:val="0"/>
      <w:divBdr>
        <w:top w:val="none" w:sz="0" w:space="0" w:color="auto"/>
        <w:left w:val="none" w:sz="0" w:space="0" w:color="auto"/>
        <w:bottom w:val="none" w:sz="0" w:space="0" w:color="auto"/>
        <w:right w:val="none" w:sz="0" w:space="0" w:color="auto"/>
      </w:divBdr>
    </w:div>
    <w:div w:id="2086342815">
      <w:bodyDiv w:val="1"/>
      <w:marLeft w:val="0"/>
      <w:marRight w:val="0"/>
      <w:marTop w:val="0"/>
      <w:marBottom w:val="0"/>
      <w:divBdr>
        <w:top w:val="none" w:sz="0" w:space="0" w:color="auto"/>
        <w:left w:val="none" w:sz="0" w:space="0" w:color="auto"/>
        <w:bottom w:val="none" w:sz="0" w:space="0" w:color="auto"/>
        <w:right w:val="none" w:sz="0" w:space="0" w:color="auto"/>
      </w:divBdr>
    </w:div>
    <w:div w:id="2086486899">
      <w:bodyDiv w:val="1"/>
      <w:marLeft w:val="0"/>
      <w:marRight w:val="0"/>
      <w:marTop w:val="0"/>
      <w:marBottom w:val="0"/>
      <w:divBdr>
        <w:top w:val="none" w:sz="0" w:space="0" w:color="auto"/>
        <w:left w:val="none" w:sz="0" w:space="0" w:color="auto"/>
        <w:bottom w:val="none" w:sz="0" w:space="0" w:color="auto"/>
        <w:right w:val="none" w:sz="0" w:space="0" w:color="auto"/>
      </w:divBdr>
    </w:div>
    <w:div w:id="2086604539">
      <w:bodyDiv w:val="1"/>
      <w:marLeft w:val="0"/>
      <w:marRight w:val="0"/>
      <w:marTop w:val="0"/>
      <w:marBottom w:val="0"/>
      <w:divBdr>
        <w:top w:val="none" w:sz="0" w:space="0" w:color="auto"/>
        <w:left w:val="none" w:sz="0" w:space="0" w:color="auto"/>
        <w:bottom w:val="none" w:sz="0" w:space="0" w:color="auto"/>
        <w:right w:val="none" w:sz="0" w:space="0" w:color="auto"/>
      </w:divBdr>
    </w:div>
    <w:div w:id="2086612171">
      <w:bodyDiv w:val="1"/>
      <w:marLeft w:val="0"/>
      <w:marRight w:val="0"/>
      <w:marTop w:val="0"/>
      <w:marBottom w:val="0"/>
      <w:divBdr>
        <w:top w:val="none" w:sz="0" w:space="0" w:color="auto"/>
        <w:left w:val="none" w:sz="0" w:space="0" w:color="auto"/>
        <w:bottom w:val="none" w:sz="0" w:space="0" w:color="auto"/>
        <w:right w:val="none" w:sz="0" w:space="0" w:color="auto"/>
      </w:divBdr>
    </w:div>
    <w:div w:id="2086763147">
      <w:bodyDiv w:val="1"/>
      <w:marLeft w:val="0"/>
      <w:marRight w:val="0"/>
      <w:marTop w:val="0"/>
      <w:marBottom w:val="0"/>
      <w:divBdr>
        <w:top w:val="none" w:sz="0" w:space="0" w:color="auto"/>
        <w:left w:val="none" w:sz="0" w:space="0" w:color="auto"/>
        <w:bottom w:val="none" w:sz="0" w:space="0" w:color="auto"/>
        <w:right w:val="none" w:sz="0" w:space="0" w:color="auto"/>
      </w:divBdr>
    </w:div>
    <w:div w:id="2086800673">
      <w:bodyDiv w:val="1"/>
      <w:marLeft w:val="0"/>
      <w:marRight w:val="0"/>
      <w:marTop w:val="0"/>
      <w:marBottom w:val="0"/>
      <w:divBdr>
        <w:top w:val="none" w:sz="0" w:space="0" w:color="auto"/>
        <w:left w:val="none" w:sz="0" w:space="0" w:color="auto"/>
        <w:bottom w:val="none" w:sz="0" w:space="0" w:color="auto"/>
        <w:right w:val="none" w:sz="0" w:space="0" w:color="auto"/>
      </w:divBdr>
    </w:div>
    <w:div w:id="2086805503">
      <w:bodyDiv w:val="1"/>
      <w:marLeft w:val="0"/>
      <w:marRight w:val="0"/>
      <w:marTop w:val="0"/>
      <w:marBottom w:val="0"/>
      <w:divBdr>
        <w:top w:val="none" w:sz="0" w:space="0" w:color="auto"/>
        <w:left w:val="none" w:sz="0" w:space="0" w:color="auto"/>
        <w:bottom w:val="none" w:sz="0" w:space="0" w:color="auto"/>
        <w:right w:val="none" w:sz="0" w:space="0" w:color="auto"/>
      </w:divBdr>
    </w:div>
    <w:div w:id="2086955929">
      <w:bodyDiv w:val="1"/>
      <w:marLeft w:val="0"/>
      <w:marRight w:val="0"/>
      <w:marTop w:val="0"/>
      <w:marBottom w:val="0"/>
      <w:divBdr>
        <w:top w:val="none" w:sz="0" w:space="0" w:color="auto"/>
        <w:left w:val="none" w:sz="0" w:space="0" w:color="auto"/>
        <w:bottom w:val="none" w:sz="0" w:space="0" w:color="auto"/>
        <w:right w:val="none" w:sz="0" w:space="0" w:color="auto"/>
      </w:divBdr>
    </w:div>
    <w:div w:id="2089762461">
      <w:bodyDiv w:val="1"/>
      <w:marLeft w:val="0"/>
      <w:marRight w:val="0"/>
      <w:marTop w:val="0"/>
      <w:marBottom w:val="0"/>
      <w:divBdr>
        <w:top w:val="none" w:sz="0" w:space="0" w:color="auto"/>
        <w:left w:val="none" w:sz="0" w:space="0" w:color="auto"/>
        <w:bottom w:val="none" w:sz="0" w:space="0" w:color="auto"/>
        <w:right w:val="none" w:sz="0" w:space="0" w:color="auto"/>
      </w:divBdr>
    </w:div>
    <w:div w:id="2089812679">
      <w:bodyDiv w:val="1"/>
      <w:marLeft w:val="0"/>
      <w:marRight w:val="0"/>
      <w:marTop w:val="0"/>
      <w:marBottom w:val="0"/>
      <w:divBdr>
        <w:top w:val="none" w:sz="0" w:space="0" w:color="auto"/>
        <w:left w:val="none" w:sz="0" w:space="0" w:color="auto"/>
        <w:bottom w:val="none" w:sz="0" w:space="0" w:color="auto"/>
        <w:right w:val="none" w:sz="0" w:space="0" w:color="auto"/>
      </w:divBdr>
    </w:div>
    <w:div w:id="2089839083">
      <w:bodyDiv w:val="1"/>
      <w:marLeft w:val="0"/>
      <w:marRight w:val="0"/>
      <w:marTop w:val="0"/>
      <w:marBottom w:val="0"/>
      <w:divBdr>
        <w:top w:val="none" w:sz="0" w:space="0" w:color="auto"/>
        <w:left w:val="none" w:sz="0" w:space="0" w:color="auto"/>
        <w:bottom w:val="none" w:sz="0" w:space="0" w:color="auto"/>
        <w:right w:val="none" w:sz="0" w:space="0" w:color="auto"/>
      </w:divBdr>
    </w:div>
    <w:div w:id="2089844501">
      <w:bodyDiv w:val="1"/>
      <w:marLeft w:val="0"/>
      <w:marRight w:val="0"/>
      <w:marTop w:val="0"/>
      <w:marBottom w:val="0"/>
      <w:divBdr>
        <w:top w:val="none" w:sz="0" w:space="0" w:color="auto"/>
        <w:left w:val="none" w:sz="0" w:space="0" w:color="auto"/>
        <w:bottom w:val="none" w:sz="0" w:space="0" w:color="auto"/>
        <w:right w:val="none" w:sz="0" w:space="0" w:color="auto"/>
      </w:divBdr>
    </w:div>
    <w:div w:id="2090224284">
      <w:bodyDiv w:val="1"/>
      <w:marLeft w:val="0"/>
      <w:marRight w:val="0"/>
      <w:marTop w:val="0"/>
      <w:marBottom w:val="0"/>
      <w:divBdr>
        <w:top w:val="none" w:sz="0" w:space="0" w:color="auto"/>
        <w:left w:val="none" w:sz="0" w:space="0" w:color="auto"/>
        <w:bottom w:val="none" w:sz="0" w:space="0" w:color="auto"/>
        <w:right w:val="none" w:sz="0" w:space="0" w:color="auto"/>
      </w:divBdr>
    </w:div>
    <w:div w:id="2090421696">
      <w:bodyDiv w:val="1"/>
      <w:marLeft w:val="0"/>
      <w:marRight w:val="0"/>
      <w:marTop w:val="0"/>
      <w:marBottom w:val="0"/>
      <w:divBdr>
        <w:top w:val="none" w:sz="0" w:space="0" w:color="auto"/>
        <w:left w:val="none" w:sz="0" w:space="0" w:color="auto"/>
        <w:bottom w:val="none" w:sz="0" w:space="0" w:color="auto"/>
        <w:right w:val="none" w:sz="0" w:space="0" w:color="auto"/>
      </w:divBdr>
    </w:div>
    <w:div w:id="2090733605">
      <w:bodyDiv w:val="1"/>
      <w:marLeft w:val="0"/>
      <w:marRight w:val="0"/>
      <w:marTop w:val="0"/>
      <w:marBottom w:val="0"/>
      <w:divBdr>
        <w:top w:val="none" w:sz="0" w:space="0" w:color="auto"/>
        <w:left w:val="none" w:sz="0" w:space="0" w:color="auto"/>
        <w:bottom w:val="none" w:sz="0" w:space="0" w:color="auto"/>
        <w:right w:val="none" w:sz="0" w:space="0" w:color="auto"/>
      </w:divBdr>
    </w:div>
    <w:div w:id="2090930413">
      <w:bodyDiv w:val="1"/>
      <w:marLeft w:val="0"/>
      <w:marRight w:val="0"/>
      <w:marTop w:val="0"/>
      <w:marBottom w:val="0"/>
      <w:divBdr>
        <w:top w:val="none" w:sz="0" w:space="0" w:color="auto"/>
        <w:left w:val="none" w:sz="0" w:space="0" w:color="auto"/>
        <w:bottom w:val="none" w:sz="0" w:space="0" w:color="auto"/>
        <w:right w:val="none" w:sz="0" w:space="0" w:color="auto"/>
      </w:divBdr>
    </w:div>
    <w:div w:id="2091152615">
      <w:bodyDiv w:val="1"/>
      <w:marLeft w:val="0"/>
      <w:marRight w:val="0"/>
      <w:marTop w:val="0"/>
      <w:marBottom w:val="0"/>
      <w:divBdr>
        <w:top w:val="none" w:sz="0" w:space="0" w:color="auto"/>
        <w:left w:val="none" w:sz="0" w:space="0" w:color="auto"/>
        <w:bottom w:val="none" w:sz="0" w:space="0" w:color="auto"/>
        <w:right w:val="none" w:sz="0" w:space="0" w:color="auto"/>
      </w:divBdr>
    </w:div>
    <w:div w:id="2091853269">
      <w:bodyDiv w:val="1"/>
      <w:marLeft w:val="0"/>
      <w:marRight w:val="0"/>
      <w:marTop w:val="0"/>
      <w:marBottom w:val="0"/>
      <w:divBdr>
        <w:top w:val="none" w:sz="0" w:space="0" w:color="auto"/>
        <w:left w:val="none" w:sz="0" w:space="0" w:color="auto"/>
        <w:bottom w:val="none" w:sz="0" w:space="0" w:color="auto"/>
        <w:right w:val="none" w:sz="0" w:space="0" w:color="auto"/>
      </w:divBdr>
    </w:div>
    <w:div w:id="2092119383">
      <w:bodyDiv w:val="1"/>
      <w:marLeft w:val="0"/>
      <w:marRight w:val="0"/>
      <w:marTop w:val="0"/>
      <w:marBottom w:val="0"/>
      <w:divBdr>
        <w:top w:val="none" w:sz="0" w:space="0" w:color="auto"/>
        <w:left w:val="none" w:sz="0" w:space="0" w:color="auto"/>
        <w:bottom w:val="none" w:sz="0" w:space="0" w:color="auto"/>
        <w:right w:val="none" w:sz="0" w:space="0" w:color="auto"/>
      </w:divBdr>
    </w:div>
    <w:div w:id="2092311608">
      <w:bodyDiv w:val="1"/>
      <w:marLeft w:val="0"/>
      <w:marRight w:val="0"/>
      <w:marTop w:val="0"/>
      <w:marBottom w:val="0"/>
      <w:divBdr>
        <w:top w:val="none" w:sz="0" w:space="0" w:color="auto"/>
        <w:left w:val="none" w:sz="0" w:space="0" w:color="auto"/>
        <w:bottom w:val="none" w:sz="0" w:space="0" w:color="auto"/>
        <w:right w:val="none" w:sz="0" w:space="0" w:color="auto"/>
      </w:divBdr>
    </w:div>
    <w:div w:id="2092388303">
      <w:bodyDiv w:val="1"/>
      <w:marLeft w:val="0"/>
      <w:marRight w:val="0"/>
      <w:marTop w:val="0"/>
      <w:marBottom w:val="0"/>
      <w:divBdr>
        <w:top w:val="none" w:sz="0" w:space="0" w:color="auto"/>
        <w:left w:val="none" w:sz="0" w:space="0" w:color="auto"/>
        <w:bottom w:val="none" w:sz="0" w:space="0" w:color="auto"/>
        <w:right w:val="none" w:sz="0" w:space="0" w:color="auto"/>
      </w:divBdr>
    </w:div>
    <w:div w:id="2092697647">
      <w:bodyDiv w:val="1"/>
      <w:marLeft w:val="0"/>
      <w:marRight w:val="0"/>
      <w:marTop w:val="0"/>
      <w:marBottom w:val="0"/>
      <w:divBdr>
        <w:top w:val="none" w:sz="0" w:space="0" w:color="auto"/>
        <w:left w:val="none" w:sz="0" w:space="0" w:color="auto"/>
        <w:bottom w:val="none" w:sz="0" w:space="0" w:color="auto"/>
        <w:right w:val="none" w:sz="0" w:space="0" w:color="auto"/>
      </w:divBdr>
    </w:div>
    <w:div w:id="2094625316">
      <w:bodyDiv w:val="1"/>
      <w:marLeft w:val="0"/>
      <w:marRight w:val="0"/>
      <w:marTop w:val="0"/>
      <w:marBottom w:val="0"/>
      <w:divBdr>
        <w:top w:val="none" w:sz="0" w:space="0" w:color="auto"/>
        <w:left w:val="none" w:sz="0" w:space="0" w:color="auto"/>
        <w:bottom w:val="none" w:sz="0" w:space="0" w:color="auto"/>
        <w:right w:val="none" w:sz="0" w:space="0" w:color="auto"/>
      </w:divBdr>
    </w:div>
    <w:div w:id="2095199754">
      <w:bodyDiv w:val="1"/>
      <w:marLeft w:val="0"/>
      <w:marRight w:val="0"/>
      <w:marTop w:val="0"/>
      <w:marBottom w:val="0"/>
      <w:divBdr>
        <w:top w:val="none" w:sz="0" w:space="0" w:color="auto"/>
        <w:left w:val="none" w:sz="0" w:space="0" w:color="auto"/>
        <w:bottom w:val="none" w:sz="0" w:space="0" w:color="auto"/>
        <w:right w:val="none" w:sz="0" w:space="0" w:color="auto"/>
      </w:divBdr>
    </w:div>
    <w:div w:id="2095201292">
      <w:bodyDiv w:val="1"/>
      <w:marLeft w:val="0"/>
      <w:marRight w:val="0"/>
      <w:marTop w:val="0"/>
      <w:marBottom w:val="0"/>
      <w:divBdr>
        <w:top w:val="none" w:sz="0" w:space="0" w:color="auto"/>
        <w:left w:val="none" w:sz="0" w:space="0" w:color="auto"/>
        <w:bottom w:val="none" w:sz="0" w:space="0" w:color="auto"/>
        <w:right w:val="none" w:sz="0" w:space="0" w:color="auto"/>
      </w:divBdr>
    </w:div>
    <w:div w:id="2095317032">
      <w:bodyDiv w:val="1"/>
      <w:marLeft w:val="0"/>
      <w:marRight w:val="0"/>
      <w:marTop w:val="0"/>
      <w:marBottom w:val="0"/>
      <w:divBdr>
        <w:top w:val="none" w:sz="0" w:space="0" w:color="auto"/>
        <w:left w:val="none" w:sz="0" w:space="0" w:color="auto"/>
        <w:bottom w:val="none" w:sz="0" w:space="0" w:color="auto"/>
        <w:right w:val="none" w:sz="0" w:space="0" w:color="auto"/>
      </w:divBdr>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2262">
      <w:bodyDiv w:val="1"/>
      <w:marLeft w:val="0"/>
      <w:marRight w:val="0"/>
      <w:marTop w:val="0"/>
      <w:marBottom w:val="0"/>
      <w:divBdr>
        <w:top w:val="none" w:sz="0" w:space="0" w:color="auto"/>
        <w:left w:val="none" w:sz="0" w:space="0" w:color="auto"/>
        <w:bottom w:val="none" w:sz="0" w:space="0" w:color="auto"/>
        <w:right w:val="none" w:sz="0" w:space="0" w:color="auto"/>
      </w:divBdr>
    </w:div>
    <w:div w:id="2095469773">
      <w:bodyDiv w:val="1"/>
      <w:marLeft w:val="0"/>
      <w:marRight w:val="0"/>
      <w:marTop w:val="0"/>
      <w:marBottom w:val="0"/>
      <w:divBdr>
        <w:top w:val="none" w:sz="0" w:space="0" w:color="auto"/>
        <w:left w:val="none" w:sz="0" w:space="0" w:color="auto"/>
        <w:bottom w:val="none" w:sz="0" w:space="0" w:color="auto"/>
        <w:right w:val="none" w:sz="0" w:space="0" w:color="auto"/>
      </w:divBdr>
    </w:div>
    <w:div w:id="2095593125">
      <w:bodyDiv w:val="1"/>
      <w:marLeft w:val="0"/>
      <w:marRight w:val="0"/>
      <w:marTop w:val="0"/>
      <w:marBottom w:val="0"/>
      <w:divBdr>
        <w:top w:val="none" w:sz="0" w:space="0" w:color="auto"/>
        <w:left w:val="none" w:sz="0" w:space="0" w:color="auto"/>
        <w:bottom w:val="none" w:sz="0" w:space="0" w:color="auto"/>
        <w:right w:val="none" w:sz="0" w:space="0" w:color="auto"/>
      </w:divBdr>
    </w:div>
    <w:div w:id="2095858930">
      <w:bodyDiv w:val="1"/>
      <w:marLeft w:val="0"/>
      <w:marRight w:val="0"/>
      <w:marTop w:val="0"/>
      <w:marBottom w:val="0"/>
      <w:divBdr>
        <w:top w:val="none" w:sz="0" w:space="0" w:color="auto"/>
        <w:left w:val="none" w:sz="0" w:space="0" w:color="auto"/>
        <w:bottom w:val="none" w:sz="0" w:space="0" w:color="auto"/>
        <w:right w:val="none" w:sz="0" w:space="0" w:color="auto"/>
      </w:divBdr>
    </w:div>
    <w:div w:id="2096003254">
      <w:bodyDiv w:val="1"/>
      <w:marLeft w:val="0"/>
      <w:marRight w:val="0"/>
      <w:marTop w:val="0"/>
      <w:marBottom w:val="0"/>
      <w:divBdr>
        <w:top w:val="none" w:sz="0" w:space="0" w:color="auto"/>
        <w:left w:val="none" w:sz="0" w:space="0" w:color="auto"/>
        <w:bottom w:val="none" w:sz="0" w:space="0" w:color="auto"/>
        <w:right w:val="none" w:sz="0" w:space="0" w:color="auto"/>
      </w:divBdr>
    </w:div>
    <w:div w:id="2096391248">
      <w:bodyDiv w:val="1"/>
      <w:marLeft w:val="0"/>
      <w:marRight w:val="0"/>
      <w:marTop w:val="0"/>
      <w:marBottom w:val="0"/>
      <w:divBdr>
        <w:top w:val="none" w:sz="0" w:space="0" w:color="auto"/>
        <w:left w:val="none" w:sz="0" w:space="0" w:color="auto"/>
        <w:bottom w:val="none" w:sz="0" w:space="0" w:color="auto"/>
        <w:right w:val="none" w:sz="0" w:space="0" w:color="auto"/>
      </w:divBdr>
    </w:div>
    <w:div w:id="2097049383">
      <w:bodyDiv w:val="1"/>
      <w:marLeft w:val="0"/>
      <w:marRight w:val="0"/>
      <w:marTop w:val="0"/>
      <w:marBottom w:val="0"/>
      <w:divBdr>
        <w:top w:val="none" w:sz="0" w:space="0" w:color="auto"/>
        <w:left w:val="none" w:sz="0" w:space="0" w:color="auto"/>
        <w:bottom w:val="none" w:sz="0" w:space="0" w:color="auto"/>
        <w:right w:val="none" w:sz="0" w:space="0" w:color="auto"/>
      </w:divBdr>
    </w:div>
    <w:div w:id="2097898834">
      <w:bodyDiv w:val="1"/>
      <w:marLeft w:val="0"/>
      <w:marRight w:val="0"/>
      <w:marTop w:val="0"/>
      <w:marBottom w:val="0"/>
      <w:divBdr>
        <w:top w:val="none" w:sz="0" w:space="0" w:color="auto"/>
        <w:left w:val="none" w:sz="0" w:space="0" w:color="auto"/>
        <w:bottom w:val="none" w:sz="0" w:space="0" w:color="auto"/>
        <w:right w:val="none" w:sz="0" w:space="0" w:color="auto"/>
      </w:divBdr>
    </w:div>
    <w:div w:id="2098748342">
      <w:bodyDiv w:val="1"/>
      <w:marLeft w:val="0"/>
      <w:marRight w:val="0"/>
      <w:marTop w:val="0"/>
      <w:marBottom w:val="0"/>
      <w:divBdr>
        <w:top w:val="none" w:sz="0" w:space="0" w:color="auto"/>
        <w:left w:val="none" w:sz="0" w:space="0" w:color="auto"/>
        <w:bottom w:val="none" w:sz="0" w:space="0" w:color="auto"/>
        <w:right w:val="none" w:sz="0" w:space="0" w:color="auto"/>
      </w:divBdr>
    </w:div>
    <w:div w:id="2099015849">
      <w:bodyDiv w:val="1"/>
      <w:marLeft w:val="0"/>
      <w:marRight w:val="0"/>
      <w:marTop w:val="0"/>
      <w:marBottom w:val="0"/>
      <w:divBdr>
        <w:top w:val="none" w:sz="0" w:space="0" w:color="auto"/>
        <w:left w:val="none" w:sz="0" w:space="0" w:color="auto"/>
        <w:bottom w:val="none" w:sz="0" w:space="0" w:color="auto"/>
        <w:right w:val="none" w:sz="0" w:space="0" w:color="auto"/>
      </w:divBdr>
    </w:div>
    <w:div w:id="2099254526">
      <w:bodyDiv w:val="1"/>
      <w:marLeft w:val="0"/>
      <w:marRight w:val="0"/>
      <w:marTop w:val="0"/>
      <w:marBottom w:val="0"/>
      <w:divBdr>
        <w:top w:val="none" w:sz="0" w:space="0" w:color="auto"/>
        <w:left w:val="none" w:sz="0" w:space="0" w:color="auto"/>
        <w:bottom w:val="none" w:sz="0" w:space="0" w:color="auto"/>
        <w:right w:val="none" w:sz="0" w:space="0" w:color="auto"/>
      </w:divBdr>
    </w:div>
    <w:div w:id="2099473775">
      <w:bodyDiv w:val="1"/>
      <w:marLeft w:val="0"/>
      <w:marRight w:val="0"/>
      <w:marTop w:val="0"/>
      <w:marBottom w:val="0"/>
      <w:divBdr>
        <w:top w:val="none" w:sz="0" w:space="0" w:color="auto"/>
        <w:left w:val="none" w:sz="0" w:space="0" w:color="auto"/>
        <w:bottom w:val="none" w:sz="0" w:space="0" w:color="auto"/>
        <w:right w:val="none" w:sz="0" w:space="0" w:color="auto"/>
      </w:divBdr>
    </w:div>
    <w:div w:id="2099476917">
      <w:bodyDiv w:val="1"/>
      <w:marLeft w:val="0"/>
      <w:marRight w:val="0"/>
      <w:marTop w:val="0"/>
      <w:marBottom w:val="0"/>
      <w:divBdr>
        <w:top w:val="none" w:sz="0" w:space="0" w:color="auto"/>
        <w:left w:val="none" w:sz="0" w:space="0" w:color="auto"/>
        <w:bottom w:val="none" w:sz="0" w:space="0" w:color="auto"/>
        <w:right w:val="none" w:sz="0" w:space="0" w:color="auto"/>
      </w:divBdr>
    </w:div>
    <w:div w:id="2100178617">
      <w:bodyDiv w:val="1"/>
      <w:marLeft w:val="0"/>
      <w:marRight w:val="0"/>
      <w:marTop w:val="0"/>
      <w:marBottom w:val="0"/>
      <w:divBdr>
        <w:top w:val="none" w:sz="0" w:space="0" w:color="auto"/>
        <w:left w:val="none" w:sz="0" w:space="0" w:color="auto"/>
        <w:bottom w:val="none" w:sz="0" w:space="0" w:color="auto"/>
        <w:right w:val="none" w:sz="0" w:space="0" w:color="auto"/>
      </w:divBdr>
    </w:div>
    <w:div w:id="2100368257">
      <w:bodyDiv w:val="1"/>
      <w:marLeft w:val="0"/>
      <w:marRight w:val="0"/>
      <w:marTop w:val="0"/>
      <w:marBottom w:val="0"/>
      <w:divBdr>
        <w:top w:val="none" w:sz="0" w:space="0" w:color="auto"/>
        <w:left w:val="none" w:sz="0" w:space="0" w:color="auto"/>
        <w:bottom w:val="none" w:sz="0" w:space="0" w:color="auto"/>
        <w:right w:val="none" w:sz="0" w:space="0" w:color="auto"/>
      </w:divBdr>
    </w:div>
    <w:div w:id="2100371642">
      <w:bodyDiv w:val="1"/>
      <w:marLeft w:val="0"/>
      <w:marRight w:val="0"/>
      <w:marTop w:val="0"/>
      <w:marBottom w:val="0"/>
      <w:divBdr>
        <w:top w:val="none" w:sz="0" w:space="0" w:color="auto"/>
        <w:left w:val="none" w:sz="0" w:space="0" w:color="auto"/>
        <w:bottom w:val="none" w:sz="0" w:space="0" w:color="auto"/>
        <w:right w:val="none" w:sz="0" w:space="0" w:color="auto"/>
      </w:divBdr>
    </w:div>
    <w:div w:id="2100978797">
      <w:bodyDiv w:val="1"/>
      <w:marLeft w:val="0"/>
      <w:marRight w:val="0"/>
      <w:marTop w:val="0"/>
      <w:marBottom w:val="0"/>
      <w:divBdr>
        <w:top w:val="none" w:sz="0" w:space="0" w:color="auto"/>
        <w:left w:val="none" w:sz="0" w:space="0" w:color="auto"/>
        <w:bottom w:val="none" w:sz="0" w:space="0" w:color="auto"/>
        <w:right w:val="none" w:sz="0" w:space="0" w:color="auto"/>
      </w:divBdr>
    </w:div>
    <w:div w:id="2101679156">
      <w:bodyDiv w:val="1"/>
      <w:marLeft w:val="0"/>
      <w:marRight w:val="0"/>
      <w:marTop w:val="0"/>
      <w:marBottom w:val="0"/>
      <w:divBdr>
        <w:top w:val="none" w:sz="0" w:space="0" w:color="auto"/>
        <w:left w:val="none" w:sz="0" w:space="0" w:color="auto"/>
        <w:bottom w:val="none" w:sz="0" w:space="0" w:color="auto"/>
        <w:right w:val="none" w:sz="0" w:space="0" w:color="auto"/>
      </w:divBdr>
    </w:div>
    <w:div w:id="2101680094">
      <w:bodyDiv w:val="1"/>
      <w:marLeft w:val="0"/>
      <w:marRight w:val="0"/>
      <w:marTop w:val="0"/>
      <w:marBottom w:val="0"/>
      <w:divBdr>
        <w:top w:val="none" w:sz="0" w:space="0" w:color="auto"/>
        <w:left w:val="none" w:sz="0" w:space="0" w:color="auto"/>
        <w:bottom w:val="none" w:sz="0" w:space="0" w:color="auto"/>
        <w:right w:val="none" w:sz="0" w:space="0" w:color="auto"/>
      </w:divBdr>
    </w:div>
    <w:div w:id="2101948707">
      <w:bodyDiv w:val="1"/>
      <w:marLeft w:val="0"/>
      <w:marRight w:val="0"/>
      <w:marTop w:val="0"/>
      <w:marBottom w:val="0"/>
      <w:divBdr>
        <w:top w:val="none" w:sz="0" w:space="0" w:color="auto"/>
        <w:left w:val="none" w:sz="0" w:space="0" w:color="auto"/>
        <w:bottom w:val="none" w:sz="0" w:space="0" w:color="auto"/>
        <w:right w:val="none" w:sz="0" w:space="0" w:color="auto"/>
      </w:divBdr>
    </w:div>
    <w:div w:id="2102338650">
      <w:bodyDiv w:val="1"/>
      <w:marLeft w:val="0"/>
      <w:marRight w:val="0"/>
      <w:marTop w:val="0"/>
      <w:marBottom w:val="0"/>
      <w:divBdr>
        <w:top w:val="none" w:sz="0" w:space="0" w:color="auto"/>
        <w:left w:val="none" w:sz="0" w:space="0" w:color="auto"/>
        <w:bottom w:val="none" w:sz="0" w:space="0" w:color="auto"/>
        <w:right w:val="none" w:sz="0" w:space="0" w:color="auto"/>
      </w:divBdr>
    </w:div>
    <w:div w:id="2103183441">
      <w:bodyDiv w:val="1"/>
      <w:marLeft w:val="0"/>
      <w:marRight w:val="0"/>
      <w:marTop w:val="0"/>
      <w:marBottom w:val="0"/>
      <w:divBdr>
        <w:top w:val="none" w:sz="0" w:space="0" w:color="auto"/>
        <w:left w:val="none" w:sz="0" w:space="0" w:color="auto"/>
        <w:bottom w:val="none" w:sz="0" w:space="0" w:color="auto"/>
        <w:right w:val="none" w:sz="0" w:space="0" w:color="auto"/>
      </w:divBdr>
    </w:div>
    <w:div w:id="2103405247">
      <w:bodyDiv w:val="1"/>
      <w:marLeft w:val="0"/>
      <w:marRight w:val="0"/>
      <w:marTop w:val="0"/>
      <w:marBottom w:val="0"/>
      <w:divBdr>
        <w:top w:val="none" w:sz="0" w:space="0" w:color="auto"/>
        <w:left w:val="none" w:sz="0" w:space="0" w:color="auto"/>
        <w:bottom w:val="none" w:sz="0" w:space="0" w:color="auto"/>
        <w:right w:val="none" w:sz="0" w:space="0" w:color="auto"/>
      </w:divBdr>
    </w:div>
    <w:div w:id="2103836807">
      <w:bodyDiv w:val="1"/>
      <w:marLeft w:val="0"/>
      <w:marRight w:val="0"/>
      <w:marTop w:val="0"/>
      <w:marBottom w:val="0"/>
      <w:divBdr>
        <w:top w:val="none" w:sz="0" w:space="0" w:color="auto"/>
        <w:left w:val="none" w:sz="0" w:space="0" w:color="auto"/>
        <w:bottom w:val="none" w:sz="0" w:space="0" w:color="auto"/>
        <w:right w:val="none" w:sz="0" w:space="0" w:color="auto"/>
      </w:divBdr>
    </w:div>
    <w:div w:id="2104180366">
      <w:bodyDiv w:val="1"/>
      <w:marLeft w:val="0"/>
      <w:marRight w:val="0"/>
      <w:marTop w:val="0"/>
      <w:marBottom w:val="0"/>
      <w:divBdr>
        <w:top w:val="none" w:sz="0" w:space="0" w:color="auto"/>
        <w:left w:val="none" w:sz="0" w:space="0" w:color="auto"/>
        <w:bottom w:val="none" w:sz="0" w:space="0" w:color="auto"/>
        <w:right w:val="none" w:sz="0" w:space="0" w:color="auto"/>
      </w:divBdr>
    </w:div>
    <w:div w:id="2104372747">
      <w:bodyDiv w:val="1"/>
      <w:marLeft w:val="0"/>
      <w:marRight w:val="0"/>
      <w:marTop w:val="0"/>
      <w:marBottom w:val="0"/>
      <w:divBdr>
        <w:top w:val="none" w:sz="0" w:space="0" w:color="auto"/>
        <w:left w:val="none" w:sz="0" w:space="0" w:color="auto"/>
        <w:bottom w:val="none" w:sz="0" w:space="0" w:color="auto"/>
        <w:right w:val="none" w:sz="0" w:space="0" w:color="auto"/>
      </w:divBdr>
    </w:div>
    <w:div w:id="2104762962">
      <w:bodyDiv w:val="1"/>
      <w:marLeft w:val="0"/>
      <w:marRight w:val="0"/>
      <w:marTop w:val="0"/>
      <w:marBottom w:val="0"/>
      <w:divBdr>
        <w:top w:val="none" w:sz="0" w:space="0" w:color="auto"/>
        <w:left w:val="none" w:sz="0" w:space="0" w:color="auto"/>
        <w:bottom w:val="none" w:sz="0" w:space="0" w:color="auto"/>
        <w:right w:val="none" w:sz="0" w:space="0" w:color="auto"/>
      </w:divBdr>
    </w:div>
    <w:div w:id="2104915468">
      <w:bodyDiv w:val="1"/>
      <w:marLeft w:val="0"/>
      <w:marRight w:val="0"/>
      <w:marTop w:val="0"/>
      <w:marBottom w:val="0"/>
      <w:divBdr>
        <w:top w:val="none" w:sz="0" w:space="0" w:color="auto"/>
        <w:left w:val="none" w:sz="0" w:space="0" w:color="auto"/>
        <w:bottom w:val="none" w:sz="0" w:space="0" w:color="auto"/>
        <w:right w:val="none" w:sz="0" w:space="0" w:color="auto"/>
      </w:divBdr>
    </w:div>
    <w:div w:id="2105805115">
      <w:bodyDiv w:val="1"/>
      <w:marLeft w:val="0"/>
      <w:marRight w:val="0"/>
      <w:marTop w:val="0"/>
      <w:marBottom w:val="0"/>
      <w:divBdr>
        <w:top w:val="none" w:sz="0" w:space="0" w:color="auto"/>
        <w:left w:val="none" w:sz="0" w:space="0" w:color="auto"/>
        <w:bottom w:val="none" w:sz="0" w:space="0" w:color="auto"/>
        <w:right w:val="none" w:sz="0" w:space="0" w:color="auto"/>
      </w:divBdr>
    </w:div>
    <w:div w:id="2106879406">
      <w:bodyDiv w:val="1"/>
      <w:marLeft w:val="0"/>
      <w:marRight w:val="0"/>
      <w:marTop w:val="0"/>
      <w:marBottom w:val="0"/>
      <w:divBdr>
        <w:top w:val="none" w:sz="0" w:space="0" w:color="auto"/>
        <w:left w:val="none" w:sz="0" w:space="0" w:color="auto"/>
        <w:bottom w:val="none" w:sz="0" w:space="0" w:color="auto"/>
        <w:right w:val="none" w:sz="0" w:space="0" w:color="auto"/>
      </w:divBdr>
    </w:div>
    <w:div w:id="2106994709">
      <w:bodyDiv w:val="1"/>
      <w:marLeft w:val="0"/>
      <w:marRight w:val="0"/>
      <w:marTop w:val="0"/>
      <w:marBottom w:val="0"/>
      <w:divBdr>
        <w:top w:val="none" w:sz="0" w:space="0" w:color="auto"/>
        <w:left w:val="none" w:sz="0" w:space="0" w:color="auto"/>
        <w:bottom w:val="none" w:sz="0" w:space="0" w:color="auto"/>
        <w:right w:val="none" w:sz="0" w:space="0" w:color="auto"/>
      </w:divBdr>
    </w:div>
    <w:div w:id="2107921048">
      <w:bodyDiv w:val="1"/>
      <w:marLeft w:val="0"/>
      <w:marRight w:val="0"/>
      <w:marTop w:val="0"/>
      <w:marBottom w:val="0"/>
      <w:divBdr>
        <w:top w:val="none" w:sz="0" w:space="0" w:color="auto"/>
        <w:left w:val="none" w:sz="0" w:space="0" w:color="auto"/>
        <w:bottom w:val="none" w:sz="0" w:space="0" w:color="auto"/>
        <w:right w:val="none" w:sz="0" w:space="0" w:color="auto"/>
      </w:divBdr>
    </w:div>
    <w:div w:id="2108232356">
      <w:bodyDiv w:val="1"/>
      <w:marLeft w:val="0"/>
      <w:marRight w:val="0"/>
      <w:marTop w:val="0"/>
      <w:marBottom w:val="0"/>
      <w:divBdr>
        <w:top w:val="none" w:sz="0" w:space="0" w:color="auto"/>
        <w:left w:val="none" w:sz="0" w:space="0" w:color="auto"/>
        <w:bottom w:val="none" w:sz="0" w:space="0" w:color="auto"/>
        <w:right w:val="none" w:sz="0" w:space="0" w:color="auto"/>
      </w:divBdr>
    </w:div>
    <w:div w:id="2108383894">
      <w:bodyDiv w:val="1"/>
      <w:marLeft w:val="0"/>
      <w:marRight w:val="0"/>
      <w:marTop w:val="0"/>
      <w:marBottom w:val="0"/>
      <w:divBdr>
        <w:top w:val="none" w:sz="0" w:space="0" w:color="auto"/>
        <w:left w:val="none" w:sz="0" w:space="0" w:color="auto"/>
        <w:bottom w:val="none" w:sz="0" w:space="0" w:color="auto"/>
        <w:right w:val="none" w:sz="0" w:space="0" w:color="auto"/>
      </w:divBdr>
    </w:div>
    <w:div w:id="2108575456">
      <w:bodyDiv w:val="1"/>
      <w:marLeft w:val="0"/>
      <w:marRight w:val="0"/>
      <w:marTop w:val="0"/>
      <w:marBottom w:val="0"/>
      <w:divBdr>
        <w:top w:val="none" w:sz="0" w:space="0" w:color="auto"/>
        <w:left w:val="none" w:sz="0" w:space="0" w:color="auto"/>
        <w:bottom w:val="none" w:sz="0" w:space="0" w:color="auto"/>
        <w:right w:val="none" w:sz="0" w:space="0" w:color="auto"/>
      </w:divBdr>
    </w:div>
    <w:div w:id="2109278348">
      <w:bodyDiv w:val="1"/>
      <w:marLeft w:val="0"/>
      <w:marRight w:val="0"/>
      <w:marTop w:val="0"/>
      <w:marBottom w:val="0"/>
      <w:divBdr>
        <w:top w:val="none" w:sz="0" w:space="0" w:color="auto"/>
        <w:left w:val="none" w:sz="0" w:space="0" w:color="auto"/>
        <w:bottom w:val="none" w:sz="0" w:space="0" w:color="auto"/>
        <w:right w:val="none" w:sz="0" w:space="0" w:color="auto"/>
      </w:divBdr>
    </w:div>
    <w:div w:id="2110155649">
      <w:bodyDiv w:val="1"/>
      <w:marLeft w:val="0"/>
      <w:marRight w:val="0"/>
      <w:marTop w:val="0"/>
      <w:marBottom w:val="0"/>
      <w:divBdr>
        <w:top w:val="none" w:sz="0" w:space="0" w:color="auto"/>
        <w:left w:val="none" w:sz="0" w:space="0" w:color="auto"/>
        <w:bottom w:val="none" w:sz="0" w:space="0" w:color="auto"/>
        <w:right w:val="none" w:sz="0" w:space="0" w:color="auto"/>
      </w:divBdr>
    </w:div>
    <w:div w:id="2110270635">
      <w:bodyDiv w:val="1"/>
      <w:marLeft w:val="0"/>
      <w:marRight w:val="0"/>
      <w:marTop w:val="0"/>
      <w:marBottom w:val="0"/>
      <w:divBdr>
        <w:top w:val="none" w:sz="0" w:space="0" w:color="auto"/>
        <w:left w:val="none" w:sz="0" w:space="0" w:color="auto"/>
        <w:bottom w:val="none" w:sz="0" w:space="0" w:color="auto"/>
        <w:right w:val="none" w:sz="0" w:space="0" w:color="auto"/>
      </w:divBdr>
    </w:div>
    <w:div w:id="2110395447">
      <w:bodyDiv w:val="1"/>
      <w:marLeft w:val="0"/>
      <w:marRight w:val="0"/>
      <w:marTop w:val="0"/>
      <w:marBottom w:val="0"/>
      <w:divBdr>
        <w:top w:val="none" w:sz="0" w:space="0" w:color="auto"/>
        <w:left w:val="none" w:sz="0" w:space="0" w:color="auto"/>
        <w:bottom w:val="none" w:sz="0" w:space="0" w:color="auto"/>
        <w:right w:val="none" w:sz="0" w:space="0" w:color="auto"/>
      </w:divBdr>
    </w:div>
    <w:div w:id="2110466471">
      <w:bodyDiv w:val="1"/>
      <w:marLeft w:val="0"/>
      <w:marRight w:val="0"/>
      <w:marTop w:val="0"/>
      <w:marBottom w:val="0"/>
      <w:divBdr>
        <w:top w:val="none" w:sz="0" w:space="0" w:color="auto"/>
        <w:left w:val="none" w:sz="0" w:space="0" w:color="auto"/>
        <w:bottom w:val="none" w:sz="0" w:space="0" w:color="auto"/>
        <w:right w:val="none" w:sz="0" w:space="0" w:color="auto"/>
      </w:divBdr>
    </w:div>
    <w:div w:id="2110659898">
      <w:bodyDiv w:val="1"/>
      <w:marLeft w:val="0"/>
      <w:marRight w:val="0"/>
      <w:marTop w:val="0"/>
      <w:marBottom w:val="0"/>
      <w:divBdr>
        <w:top w:val="none" w:sz="0" w:space="0" w:color="auto"/>
        <w:left w:val="none" w:sz="0" w:space="0" w:color="auto"/>
        <w:bottom w:val="none" w:sz="0" w:space="0" w:color="auto"/>
        <w:right w:val="none" w:sz="0" w:space="0" w:color="auto"/>
      </w:divBdr>
    </w:div>
    <w:div w:id="2110738785">
      <w:bodyDiv w:val="1"/>
      <w:marLeft w:val="0"/>
      <w:marRight w:val="0"/>
      <w:marTop w:val="0"/>
      <w:marBottom w:val="0"/>
      <w:divBdr>
        <w:top w:val="none" w:sz="0" w:space="0" w:color="auto"/>
        <w:left w:val="none" w:sz="0" w:space="0" w:color="auto"/>
        <w:bottom w:val="none" w:sz="0" w:space="0" w:color="auto"/>
        <w:right w:val="none" w:sz="0" w:space="0" w:color="auto"/>
      </w:divBdr>
    </w:div>
    <w:div w:id="2110925946">
      <w:bodyDiv w:val="1"/>
      <w:marLeft w:val="0"/>
      <w:marRight w:val="0"/>
      <w:marTop w:val="0"/>
      <w:marBottom w:val="0"/>
      <w:divBdr>
        <w:top w:val="none" w:sz="0" w:space="0" w:color="auto"/>
        <w:left w:val="none" w:sz="0" w:space="0" w:color="auto"/>
        <w:bottom w:val="none" w:sz="0" w:space="0" w:color="auto"/>
        <w:right w:val="none" w:sz="0" w:space="0" w:color="auto"/>
      </w:divBdr>
    </w:div>
    <w:div w:id="2111470116">
      <w:bodyDiv w:val="1"/>
      <w:marLeft w:val="0"/>
      <w:marRight w:val="0"/>
      <w:marTop w:val="0"/>
      <w:marBottom w:val="0"/>
      <w:divBdr>
        <w:top w:val="none" w:sz="0" w:space="0" w:color="auto"/>
        <w:left w:val="none" w:sz="0" w:space="0" w:color="auto"/>
        <w:bottom w:val="none" w:sz="0" w:space="0" w:color="auto"/>
        <w:right w:val="none" w:sz="0" w:space="0" w:color="auto"/>
      </w:divBdr>
    </w:div>
    <w:div w:id="2112237940">
      <w:bodyDiv w:val="1"/>
      <w:marLeft w:val="0"/>
      <w:marRight w:val="0"/>
      <w:marTop w:val="0"/>
      <w:marBottom w:val="0"/>
      <w:divBdr>
        <w:top w:val="none" w:sz="0" w:space="0" w:color="auto"/>
        <w:left w:val="none" w:sz="0" w:space="0" w:color="auto"/>
        <w:bottom w:val="none" w:sz="0" w:space="0" w:color="auto"/>
        <w:right w:val="none" w:sz="0" w:space="0" w:color="auto"/>
      </w:divBdr>
    </w:div>
    <w:div w:id="2112317797">
      <w:bodyDiv w:val="1"/>
      <w:marLeft w:val="0"/>
      <w:marRight w:val="0"/>
      <w:marTop w:val="0"/>
      <w:marBottom w:val="0"/>
      <w:divBdr>
        <w:top w:val="none" w:sz="0" w:space="0" w:color="auto"/>
        <w:left w:val="none" w:sz="0" w:space="0" w:color="auto"/>
        <w:bottom w:val="none" w:sz="0" w:space="0" w:color="auto"/>
        <w:right w:val="none" w:sz="0" w:space="0" w:color="auto"/>
      </w:divBdr>
    </w:div>
    <w:div w:id="2112505461">
      <w:bodyDiv w:val="1"/>
      <w:marLeft w:val="0"/>
      <w:marRight w:val="0"/>
      <w:marTop w:val="0"/>
      <w:marBottom w:val="0"/>
      <w:divBdr>
        <w:top w:val="none" w:sz="0" w:space="0" w:color="auto"/>
        <w:left w:val="none" w:sz="0" w:space="0" w:color="auto"/>
        <w:bottom w:val="none" w:sz="0" w:space="0" w:color="auto"/>
        <w:right w:val="none" w:sz="0" w:space="0" w:color="auto"/>
      </w:divBdr>
    </w:div>
    <w:div w:id="2112627171">
      <w:bodyDiv w:val="1"/>
      <w:marLeft w:val="0"/>
      <w:marRight w:val="0"/>
      <w:marTop w:val="0"/>
      <w:marBottom w:val="0"/>
      <w:divBdr>
        <w:top w:val="none" w:sz="0" w:space="0" w:color="auto"/>
        <w:left w:val="none" w:sz="0" w:space="0" w:color="auto"/>
        <w:bottom w:val="none" w:sz="0" w:space="0" w:color="auto"/>
        <w:right w:val="none" w:sz="0" w:space="0" w:color="auto"/>
      </w:divBdr>
    </w:div>
    <w:div w:id="2113285049">
      <w:bodyDiv w:val="1"/>
      <w:marLeft w:val="0"/>
      <w:marRight w:val="0"/>
      <w:marTop w:val="0"/>
      <w:marBottom w:val="0"/>
      <w:divBdr>
        <w:top w:val="none" w:sz="0" w:space="0" w:color="auto"/>
        <w:left w:val="none" w:sz="0" w:space="0" w:color="auto"/>
        <w:bottom w:val="none" w:sz="0" w:space="0" w:color="auto"/>
        <w:right w:val="none" w:sz="0" w:space="0" w:color="auto"/>
      </w:divBdr>
    </w:div>
    <w:div w:id="2113548547">
      <w:bodyDiv w:val="1"/>
      <w:marLeft w:val="0"/>
      <w:marRight w:val="0"/>
      <w:marTop w:val="0"/>
      <w:marBottom w:val="0"/>
      <w:divBdr>
        <w:top w:val="none" w:sz="0" w:space="0" w:color="auto"/>
        <w:left w:val="none" w:sz="0" w:space="0" w:color="auto"/>
        <w:bottom w:val="none" w:sz="0" w:space="0" w:color="auto"/>
        <w:right w:val="none" w:sz="0" w:space="0" w:color="auto"/>
      </w:divBdr>
    </w:div>
    <w:div w:id="2113932759">
      <w:bodyDiv w:val="1"/>
      <w:marLeft w:val="0"/>
      <w:marRight w:val="0"/>
      <w:marTop w:val="0"/>
      <w:marBottom w:val="0"/>
      <w:divBdr>
        <w:top w:val="none" w:sz="0" w:space="0" w:color="auto"/>
        <w:left w:val="none" w:sz="0" w:space="0" w:color="auto"/>
        <w:bottom w:val="none" w:sz="0" w:space="0" w:color="auto"/>
        <w:right w:val="none" w:sz="0" w:space="0" w:color="auto"/>
      </w:divBdr>
    </w:div>
    <w:div w:id="2114131121">
      <w:bodyDiv w:val="1"/>
      <w:marLeft w:val="0"/>
      <w:marRight w:val="0"/>
      <w:marTop w:val="0"/>
      <w:marBottom w:val="0"/>
      <w:divBdr>
        <w:top w:val="none" w:sz="0" w:space="0" w:color="auto"/>
        <w:left w:val="none" w:sz="0" w:space="0" w:color="auto"/>
        <w:bottom w:val="none" w:sz="0" w:space="0" w:color="auto"/>
        <w:right w:val="none" w:sz="0" w:space="0" w:color="auto"/>
      </w:divBdr>
    </w:div>
    <w:div w:id="2114587774">
      <w:bodyDiv w:val="1"/>
      <w:marLeft w:val="0"/>
      <w:marRight w:val="0"/>
      <w:marTop w:val="0"/>
      <w:marBottom w:val="0"/>
      <w:divBdr>
        <w:top w:val="none" w:sz="0" w:space="0" w:color="auto"/>
        <w:left w:val="none" w:sz="0" w:space="0" w:color="auto"/>
        <w:bottom w:val="none" w:sz="0" w:space="0" w:color="auto"/>
        <w:right w:val="none" w:sz="0" w:space="0" w:color="auto"/>
      </w:divBdr>
    </w:div>
    <w:div w:id="2114588724">
      <w:bodyDiv w:val="1"/>
      <w:marLeft w:val="0"/>
      <w:marRight w:val="0"/>
      <w:marTop w:val="0"/>
      <w:marBottom w:val="0"/>
      <w:divBdr>
        <w:top w:val="none" w:sz="0" w:space="0" w:color="auto"/>
        <w:left w:val="none" w:sz="0" w:space="0" w:color="auto"/>
        <w:bottom w:val="none" w:sz="0" w:space="0" w:color="auto"/>
        <w:right w:val="none" w:sz="0" w:space="0" w:color="auto"/>
      </w:divBdr>
    </w:div>
    <w:div w:id="2117631054">
      <w:bodyDiv w:val="1"/>
      <w:marLeft w:val="0"/>
      <w:marRight w:val="0"/>
      <w:marTop w:val="0"/>
      <w:marBottom w:val="0"/>
      <w:divBdr>
        <w:top w:val="none" w:sz="0" w:space="0" w:color="auto"/>
        <w:left w:val="none" w:sz="0" w:space="0" w:color="auto"/>
        <w:bottom w:val="none" w:sz="0" w:space="0" w:color="auto"/>
        <w:right w:val="none" w:sz="0" w:space="0" w:color="auto"/>
      </w:divBdr>
    </w:div>
    <w:div w:id="2118402209">
      <w:bodyDiv w:val="1"/>
      <w:marLeft w:val="0"/>
      <w:marRight w:val="0"/>
      <w:marTop w:val="0"/>
      <w:marBottom w:val="0"/>
      <w:divBdr>
        <w:top w:val="none" w:sz="0" w:space="0" w:color="auto"/>
        <w:left w:val="none" w:sz="0" w:space="0" w:color="auto"/>
        <w:bottom w:val="none" w:sz="0" w:space="0" w:color="auto"/>
        <w:right w:val="none" w:sz="0" w:space="0" w:color="auto"/>
      </w:divBdr>
    </w:div>
    <w:div w:id="2118595668">
      <w:bodyDiv w:val="1"/>
      <w:marLeft w:val="0"/>
      <w:marRight w:val="0"/>
      <w:marTop w:val="0"/>
      <w:marBottom w:val="0"/>
      <w:divBdr>
        <w:top w:val="none" w:sz="0" w:space="0" w:color="auto"/>
        <w:left w:val="none" w:sz="0" w:space="0" w:color="auto"/>
        <w:bottom w:val="none" w:sz="0" w:space="0" w:color="auto"/>
        <w:right w:val="none" w:sz="0" w:space="0" w:color="auto"/>
      </w:divBdr>
    </w:div>
    <w:div w:id="2118720262">
      <w:bodyDiv w:val="1"/>
      <w:marLeft w:val="0"/>
      <w:marRight w:val="0"/>
      <w:marTop w:val="0"/>
      <w:marBottom w:val="0"/>
      <w:divBdr>
        <w:top w:val="none" w:sz="0" w:space="0" w:color="auto"/>
        <w:left w:val="none" w:sz="0" w:space="0" w:color="auto"/>
        <w:bottom w:val="none" w:sz="0" w:space="0" w:color="auto"/>
        <w:right w:val="none" w:sz="0" w:space="0" w:color="auto"/>
      </w:divBdr>
    </w:div>
    <w:div w:id="2118791284">
      <w:bodyDiv w:val="1"/>
      <w:marLeft w:val="0"/>
      <w:marRight w:val="0"/>
      <w:marTop w:val="0"/>
      <w:marBottom w:val="0"/>
      <w:divBdr>
        <w:top w:val="none" w:sz="0" w:space="0" w:color="auto"/>
        <w:left w:val="none" w:sz="0" w:space="0" w:color="auto"/>
        <w:bottom w:val="none" w:sz="0" w:space="0" w:color="auto"/>
        <w:right w:val="none" w:sz="0" w:space="0" w:color="auto"/>
      </w:divBdr>
    </w:div>
    <w:div w:id="2120685570">
      <w:bodyDiv w:val="1"/>
      <w:marLeft w:val="0"/>
      <w:marRight w:val="0"/>
      <w:marTop w:val="0"/>
      <w:marBottom w:val="0"/>
      <w:divBdr>
        <w:top w:val="none" w:sz="0" w:space="0" w:color="auto"/>
        <w:left w:val="none" w:sz="0" w:space="0" w:color="auto"/>
        <w:bottom w:val="none" w:sz="0" w:space="0" w:color="auto"/>
        <w:right w:val="none" w:sz="0" w:space="0" w:color="auto"/>
      </w:divBdr>
    </w:div>
    <w:div w:id="2121026051">
      <w:bodyDiv w:val="1"/>
      <w:marLeft w:val="0"/>
      <w:marRight w:val="0"/>
      <w:marTop w:val="0"/>
      <w:marBottom w:val="0"/>
      <w:divBdr>
        <w:top w:val="none" w:sz="0" w:space="0" w:color="auto"/>
        <w:left w:val="none" w:sz="0" w:space="0" w:color="auto"/>
        <w:bottom w:val="none" w:sz="0" w:space="0" w:color="auto"/>
        <w:right w:val="none" w:sz="0" w:space="0" w:color="auto"/>
      </w:divBdr>
    </w:div>
    <w:div w:id="2121097406">
      <w:bodyDiv w:val="1"/>
      <w:marLeft w:val="0"/>
      <w:marRight w:val="0"/>
      <w:marTop w:val="0"/>
      <w:marBottom w:val="0"/>
      <w:divBdr>
        <w:top w:val="none" w:sz="0" w:space="0" w:color="auto"/>
        <w:left w:val="none" w:sz="0" w:space="0" w:color="auto"/>
        <w:bottom w:val="none" w:sz="0" w:space="0" w:color="auto"/>
        <w:right w:val="none" w:sz="0" w:space="0" w:color="auto"/>
      </w:divBdr>
    </w:div>
    <w:div w:id="2121146723">
      <w:bodyDiv w:val="1"/>
      <w:marLeft w:val="0"/>
      <w:marRight w:val="0"/>
      <w:marTop w:val="0"/>
      <w:marBottom w:val="0"/>
      <w:divBdr>
        <w:top w:val="none" w:sz="0" w:space="0" w:color="auto"/>
        <w:left w:val="none" w:sz="0" w:space="0" w:color="auto"/>
        <w:bottom w:val="none" w:sz="0" w:space="0" w:color="auto"/>
        <w:right w:val="none" w:sz="0" w:space="0" w:color="auto"/>
      </w:divBdr>
    </w:div>
    <w:div w:id="2121486553">
      <w:bodyDiv w:val="1"/>
      <w:marLeft w:val="0"/>
      <w:marRight w:val="0"/>
      <w:marTop w:val="0"/>
      <w:marBottom w:val="0"/>
      <w:divBdr>
        <w:top w:val="none" w:sz="0" w:space="0" w:color="auto"/>
        <w:left w:val="none" w:sz="0" w:space="0" w:color="auto"/>
        <w:bottom w:val="none" w:sz="0" w:space="0" w:color="auto"/>
        <w:right w:val="none" w:sz="0" w:space="0" w:color="auto"/>
      </w:divBdr>
    </w:div>
    <w:div w:id="2121532658">
      <w:bodyDiv w:val="1"/>
      <w:marLeft w:val="0"/>
      <w:marRight w:val="0"/>
      <w:marTop w:val="0"/>
      <w:marBottom w:val="0"/>
      <w:divBdr>
        <w:top w:val="none" w:sz="0" w:space="0" w:color="auto"/>
        <w:left w:val="none" w:sz="0" w:space="0" w:color="auto"/>
        <w:bottom w:val="none" w:sz="0" w:space="0" w:color="auto"/>
        <w:right w:val="none" w:sz="0" w:space="0" w:color="auto"/>
      </w:divBdr>
    </w:div>
    <w:div w:id="2122605515">
      <w:bodyDiv w:val="1"/>
      <w:marLeft w:val="0"/>
      <w:marRight w:val="0"/>
      <w:marTop w:val="0"/>
      <w:marBottom w:val="0"/>
      <w:divBdr>
        <w:top w:val="none" w:sz="0" w:space="0" w:color="auto"/>
        <w:left w:val="none" w:sz="0" w:space="0" w:color="auto"/>
        <w:bottom w:val="none" w:sz="0" w:space="0" w:color="auto"/>
        <w:right w:val="none" w:sz="0" w:space="0" w:color="auto"/>
      </w:divBdr>
    </w:div>
    <w:div w:id="2123181847">
      <w:bodyDiv w:val="1"/>
      <w:marLeft w:val="0"/>
      <w:marRight w:val="0"/>
      <w:marTop w:val="0"/>
      <w:marBottom w:val="0"/>
      <w:divBdr>
        <w:top w:val="none" w:sz="0" w:space="0" w:color="auto"/>
        <w:left w:val="none" w:sz="0" w:space="0" w:color="auto"/>
        <w:bottom w:val="none" w:sz="0" w:space="0" w:color="auto"/>
        <w:right w:val="none" w:sz="0" w:space="0" w:color="auto"/>
      </w:divBdr>
    </w:div>
    <w:div w:id="2124036006">
      <w:bodyDiv w:val="1"/>
      <w:marLeft w:val="0"/>
      <w:marRight w:val="0"/>
      <w:marTop w:val="0"/>
      <w:marBottom w:val="0"/>
      <w:divBdr>
        <w:top w:val="none" w:sz="0" w:space="0" w:color="auto"/>
        <w:left w:val="none" w:sz="0" w:space="0" w:color="auto"/>
        <w:bottom w:val="none" w:sz="0" w:space="0" w:color="auto"/>
        <w:right w:val="none" w:sz="0" w:space="0" w:color="auto"/>
      </w:divBdr>
    </w:div>
    <w:div w:id="2124036204">
      <w:bodyDiv w:val="1"/>
      <w:marLeft w:val="0"/>
      <w:marRight w:val="0"/>
      <w:marTop w:val="0"/>
      <w:marBottom w:val="0"/>
      <w:divBdr>
        <w:top w:val="none" w:sz="0" w:space="0" w:color="auto"/>
        <w:left w:val="none" w:sz="0" w:space="0" w:color="auto"/>
        <w:bottom w:val="none" w:sz="0" w:space="0" w:color="auto"/>
        <w:right w:val="none" w:sz="0" w:space="0" w:color="auto"/>
      </w:divBdr>
    </w:div>
    <w:div w:id="2124185266">
      <w:bodyDiv w:val="1"/>
      <w:marLeft w:val="0"/>
      <w:marRight w:val="0"/>
      <w:marTop w:val="0"/>
      <w:marBottom w:val="0"/>
      <w:divBdr>
        <w:top w:val="none" w:sz="0" w:space="0" w:color="auto"/>
        <w:left w:val="none" w:sz="0" w:space="0" w:color="auto"/>
        <w:bottom w:val="none" w:sz="0" w:space="0" w:color="auto"/>
        <w:right w:val="none" w:sz="0" w:space="0" w:color="auto"/>
      </w:divBdr>
    </w:div>
    <w:div w:id="2124423549">
      <w:bodyDiv w:val="1"/>
      <w:marLeft w:val="0"/>
      <w:marRight w:val="0"/>
      <w:marTop w:val="0"/>
      <w:marBottom w:val="0"/>
      <w:divBdr>
        <w:top w:val="none" w:sz="0" w:space="0" w:color="auto"/>
        <w:left w:val="none" w:sz="0" w:space="0" w:color="auto"/>
        <w:bottom w:val="none" w:sz="0" w:space="0" w:color="auto"/>
        <w:right w:val="none" w:sz="0" w:space="0" w:color="auto"/>
      </w:divBdr>
    </w:div>
    <w:div w:id="2124569930">
      <w:bodyDiv w:val="1"/>
      <w:marLeft w:val="0"/>
      <w:marRight w:val="0"/>
      <w:marTop w:val="0"/>
      <w:marBottom w:val="0"/>
      <w:divBdr>
        <w:top w:val="none" w:sz="0" w:space="0" w:color="auto"/>
        <w:left w:val="none" w:sz="0" w:space="0" w:color="auto"/>
        <w:bottom w:val="none" w:sz="0" w:space="0" w:color="auto"/>
        <w:right w:val="none" w:sz="0" w:space="0" w:color="auto"/>
      </w:divBdr>
    </w:div>
    <w:div w:id="2124881752">
      <w:bodyDiv w:val="1"/>
      <w:marLeft w:val="0"/>
      <w:marRight w:val="0"/>
      <w:marTop w:val="0"/>
      <w:marBottom w:val="0"/>
      <w:divBdr>
        <w:top w:val="none" w:sz="0" w:space="0" w:color="auto"/>
        <w:left w:val="none" w:sz="0" w:space="0" w:color="auto"/>
        <w:bottom w:val="none" w:sz="0" w:space="0" w:color="auto"/>
        <w:right w:val="none" w:sz="0" w:space="0" w:color="auto"/>
      </w:divBdr>
    </w:div>
    <w:div w:id="2125222468">
      <w:bodyDiv w:val="1"/>
      <w:marLeft w:val="0"/>
      <w:marRight w:val="0"/>
      <w:marTop w:val="0"/>
      <w:marBottom w:val="0"/>
      <w:divBdr>
        <w:top w:val="none" w:sz="0" w:space="0" w:color="auto"/>
        <w:left w:val="none" w:sz="0" w:space="0" w:color="auto"/>
        <w:bottom w:val="none" w:sz="0" w:space="0" w:color="auto"/>
        <w:right w:val="none" w:sz="0" w:space="0" w:color="auto"/>
      </w:divBdr>
    </w:div>
    <w:div w:id="2125535535">
      <w:bodyDiv w:val="1"/>
      <w:marLeft w:val="0"/>
      <w:marRight w:val="0"/>
      <w:marTop w:val="0"/>
      <w:marBottom w:val="0"/>
      <w:divBdr>
        <w:top w:val="none" w:sz="0" w:space="0" w:color="auto"/>
        <w:left w:val="none" w:sz="0" w:space="0" w:color="auto"/>
        <w:bottom w:val="none" w:sz="0" w:space="0" w:color="auto"/>
        <w:right w:val="none" w:sz="0" w:space="0" w:color="auto"/>
      </w:divBdr>
    </w:div>
    <w:div w:id="2125885091">
      <w:bodyDiv w:val="1"/>
      <w:marLeft w:val="0"/>
      <w:marRight w:val="0"/>
      <w:marTop w:val="0"/>
      <w:marBottom w:val="0"/>
      <w:divBdr>
        <w:top w:val="none" w:sz="0" w:space="0" w:color="auto"/>
        <w:left w:val="none" w:sz="0" w:space="0" w:color="auto"/>
        <w:bottom w:val="none" w:sz="0" w:space="0" w:color="auto"/>
        <w:right w:val="none" w:sz="0" w:space="0" w:color="auto"/>
      </w:divBdr>
    </w:div>
    <w:div w:id="2126579602">
      <w:bodyDiv w:val="1"/>
      <w:marLeft w:val="0"/>
      <w:marRight w:val="0"/>
      <w:marTop w:val="0"/>
      <w:marBottom w:val="0"/>
      <w:divBdr>
        <w:top w:val="none" w:sz="0" w:space="0" w:color="auto"/>
        <w:left w:val="none" w:sz="0" w:space="0" w:color="auto"/>
        <w:bottom w:val="none" w:sz="0" w:space="0" w:color="auto"/>
        <w:right w:val="none" w:sz="0" w:space="0" w:color="auto"/>
      </w:divBdr>
    </w:div>
    <w:div w:id="2126651611">
      <w:bodyDiv w:val="1"/>
      <w:marLeft w:val="0"/>
      <w:marRight w:val="0"/>
      <w:marTop w:val="0"/>
      <w:marBottom w:val="0"/>
      <w:divBdr>
        <w:top w:val="none" w:sz="0" w:space="0" w:color="auto"/>
        <w:left w:val="none" w:sz="0" w:space="0" w:color="auto"/>
        <w:bottom w:val="none" w:sz="0" w:space="0" w:color="auto"/>
        <w:right w:val="none" w:sz="0" w:space="0" w:color="auto"/>
      </w:divBdr>
    </w:div>
    <w:div w:id="2126849637">
      <w:bodyDiv w:val="1"/>
      <w:marLeft w:val="0"/>
      <w:marRight w:val="0"/>
      <w:marTop w:val="0"/>
      <w:marBottom w:val="0"/>
      <w:divBdr>
        <w:top w:val="none" w:sz="0" w:space="0" w:color="auto"/>
        <w:left w:val="none" w:sz="0" w:space="0" w:color="auto"/>
        <w:bottom w:val="none" w:sz="0" w:space="0" w:color="auto"/>
        <w:right w:val="none" w:sz="0" w:space="0" w:color="auto"/>
      </w:divBdr>
    </w:div>
    <w:div w:id="2126926393">
      <w:bodyDiv w:val="1"/>
      <w:marLeft w:val="0"/>
      <w:marRight w:val="0"/>
      <w:marTop w:val="0"/>
      <w:marBottom w:val="0"/>
      <w:divBdr>
        <w:top w:val="none" w:sz="0" w:space="0" w:color="auto"/>
        <w:left w:val="none" w:sz="0" w:space="0" w:color="auto"/>
        <w:bottom w:val="none" w:sz="0" w:space="0" w:color="auto"/>
        <w:right w:val="none" w:sz="0" w:space="0" w:color="auto"/>
      </w:divBdr>
    </w:div>
    <w:div w:id="2127112137">
      <w:bodyDiv w:val="1"/>
      <w:marLeft w:val="0"/>
      <w:marRight w:val="0"/>
      <w:marTop w:val="0"/>
      <w:marBottom w:val="0"/>
      <w:divBdr>
        <w:top w:val="none" w:sz="0" w:space="0" w:color="auto"/>
        <w:left w:val="none" w:sz="0" w:space="0" w:color="auto"/>
        <w:bottom w:val="none" w:sz="0" w:space="0" w:color="auto"/>
        <w:right w:val="none" w:sz="0" w:space="0" w:color="auto"/>
      </w:divBdr>
    </w:div>
    <w:div w:id="2127498338">
      <w:bodyDiv w:val="1"/>
      <w:marLeft w:val="0"/>
      <w:marRight w:val="0"/>
      <w:marTop w:val="0"/>
      <w:marBottom w:val="0"/>
      <w:divBdr>
        <w:top w:val="none" w:sz="0" w:space="0" w:color="auto"/>
        <w:left w:val="none" w:sz="0" w:space="0" w:color="auto"/>
        <w:bottom w:val="none" w:sz="0" w:space="0" w:color="auto"/>
        <w:right w:val="none" w:sz="0" w:space="0" w:color="auto"/>
      </w:divBdr>
    </w:div>
    <w:div w:id="2128623300">
      <w:bodyDiv w:val="1"/>
      <w:marLeft w:val="0"/>
      <w:marRight w:val="0"/>
      <w:marTop w:val="0"/>
      <w:marBottom w:val="0"/>
      <w:divBdr>
        <w:top w:val="none" w:sz="0" w:space="0" w:color="auto"/>
        <w:left w:val="none" w:sz="0" w:space="0" w:color="auto"/>
        <w:bottom w:val="none" w:sz="0" w:space="0" w:color="auto"/>
        <w:right w:val="none" w:sz="0" w:space="0" w:color="auto"/>
      </w:divBdr>
    </w:div>
    <w:div w:id="2129469100">
      <w:bodyDiv w:val="1"/>
      <w:marLeft w:val="0"/>
      <w:marRight w:val="0"/>
      <w:marTop w:val="0"/>
      <w:marBottom w:val="0"/>
      <w:divBdr>
        <w:top w:val="none" w:sz="0" w:space="0" w:color="auto"/>
        <w:left w:val="none" w:sz="0" w:space="0" w:color="auto"/>
        <w:bottom w:val="none" w:sz="0" w:space="0" w:color="auto"/>
        <w:right w:val="none" w:sz="0" w:space="0" w:color="auto"/>
      </w:divBdr>
    </w:div>
    <w:div w:id="2129544830">
      <w:bodyDiv w:val="1"/>
      <w:marLeft w:val="0"/>
      <w:marRight w:val="0"/>
      <w:marTop w:val="0"/>
      <w:marBottom w:val="0"/>
      <w:divBdr>
        <w:top w:val="none" w:sz="0" w:space="0" w:color="auto"/>
        <w:left w:val="none" w:sz="0" w:space="0" w:color="auto"/>
        <w:bottom w:val="none" w:sz="0" w:space="0" w:color="auto"/>
        <w:right w:val="none" w:sz="0" w:space="0" w:color="auto"/>
      </w:divBdr>
    </w:div>
    <w:div w:id="2129735627">
      <w:bodyDiv w:val="1"/>
      <w:marLeft w:val="0"/>
      <w:marRight w:val="0"/>
      <w:marTop w:val="0"/>
      <w:marBottom w:val="0"/>
      <w:divBdr>
        <w:top w:val="none" w:sz="0" w:space="0" w:color="auto"/>
        <w:left w:val="none" w:sz="0" w:space="0" w:color="auto"/>
        <w:bottom w:val="none" w:sz="0" w:space="0" w:color="auto"/>
        <w:right w:val="none" w:sz="0" w:space="0" w:color="auto"/>
      </w:divBdr>
    </w:div>
    <w:div w:id="2129810673">
      <w:bodyDiv w:val="1"/>
      <w:marLeft w:val="0"/>
      <w:marRight w:val="0"/>
      <w:marTop w:val="0"/>
      <w:marBottom w:val="0"/>
      <w:divBdr>
        <w:top w:val="none" w:sz="0" w:space="0" w:color="auto"/>
        <w:left w:val="none" w:sz="0" w:space="0" w:color="auto"/>
        <w:bottom w:val="none" w:sz="0" w:space="0" w:color="auto"/>
        <w:right w:val="none" w:sz="0" w:space="0" w:color="auto"/>
      </w:divBdr>
    </w:div>
    <w:div w:id="2130077776">
      <w:bodyDiv w:val="1"/>
      <w:marLeft w:val="0"/>
      <w:marRight w:val="0"/>
      <w:marTop w:val="0"/>
      <w:marBottom w:val="0"/>
      <w:divBdr>
        <w:top w:val="none" w:sz="0" w:space="0" w:color="auto"/>
        <w:left w:val="none" w:sz="0" w:space="0" w:color="auto"/>
        <w:bottom w:val="none" w:sz="0" w:space="0" w:color="auto"/>
        <w:right w:val="none" w:sz="0" w:space="0" w:color="auto"/>
      </w:divBdr>
    </w:div>
    <w:div w:id="2130271761">
      <w:bodyDiv w:val="1"/>
      <w:marLeft w:val="0"/>
      <w:marRight w:val="0"/>
      <w:marTop w:val="0"/>
      <w:marBottom w:val="0"/>
      <w:divBdr>
        <w:top w:val="none" w:sz="0" w:space="0" w:color="auto"/>
        <w:left w:val="none" w:sz="0" w:space="0" w:color="auto"/>
        <w:bottom w:val="none" w:sz="0" w:space="0" w:color="auto"/>
        <w:right w:val="none" w:sz="0" w:space="0" w:color="auto"/>
      </w:divBdr>
    </w:div>
    <w:div w:id="2130320311">
      <w:bodyDiv w:val="1"/>
      <w:marLeft w:val="0"/>
      <w:marRight w:val="0"/>
      <w:marTop w:val="0"/>
      <w:marBottom w:val="0"/>
      <w:divBdr>
        <w:top w:val="none" w:sz="0" w:space="0" w:color="auto"/>
        <w:left w:val="none" w:sz="0" w:space="0" w:color="auto"/>
        <w:bottom w:val="none" w:sz="0" w:space="0" w:color="auto"/>
        <w:right w:val="none" w:sz="0" w:space="0" w:color="auto"/>
      </w:divBdr>
    </w:div>
    <w:div w:id="2130666359">
      <w:bodyDiv w:val="1"/>
      <w:marLeft w:val="0"/>
      <w:marRight w:val="0"/>
      <w:marTop w:val="0"/>
      <w:marBottom w:val="0"/>
      <w:divBdr>
        <w:top w:val="none" w:sz="0" w:space="0" w:color="auto"/>
        <w:left w:val="none" w:sz="0" w:space="0" w:color="auto"/>
        <w:bottom w:val="none" w:sz="0" w:space="0" w:color="auto"/>
        <w:right w:val="none" w:sz="0" w:space="0" w:color="auto"/>
      </w:divBdr>
    </w:div>
    <w:div w:id="2131822904">
      <w:bodyDiv w:val="1"/>
      <w:marLeft w:val="0"/>
      <w:marRight w:val="0"/>
      <w:marTop w:val="0"/>
      <w:marBottom w:val="0"/>
      <w:divBdr>
        <w:top w:val="none" w:sz="0" w:space="0" w:color="auto"/>
        <w:left w:val="none" w:sz="0" w:space="0" w:color="auto"/>
        <w:bottom w:val="none" w:sz="0" w:space="0" w:color="auto"/>
        <w:right w:val="none" w:sz="0" w:space="0" w:color="auto"/>
      </w:divBdr>
    </w:div>
    <w:div w:id="2132019021">
      <w:bodyDiv w:val="1"/>
      <w:marLeft w:val="0"/>
      <w:marRight w:val="0"/>
      <w:marTop w:val="0"/>
      <w:marBottom w:val="0"/>
      <w:divBdr>
        <w:top w:val="none" w:sz="0" w:space="0" w:color="auto"/>
        <w:left w:val="none" w:sz="0" w:space="0" w:color="auto"/>
        <w:bottom w:val="none" w:sz="0" w:space="0" w:color="auto"/>
        <w:right w:val="none" w:sz="0" w:space="0" w:color="auto"/>
      </w:divBdr>
    </w:div>
    <w:div w:id="2132236340">
      <w:bodyDiv w:val="1"/>
      <w:marLeft w:val="0"/>
      <w:marRight w:val="0"/>
      <w:marTop w:val="0"/>
      <w:marBottom w:val="0"/>
      <w:divBdr>
        <w:top w:val="none" w:sz="0" w:space="0" w:color="auto"/>
        <w:left w:val="none" w:sz="0" w:space="0" w:color="auto"/>
        <w:bottom w:val="none" w:sz="0" w:space="0" w:color="auto"/>
        <w:right w:val="none" w:sz="0" w:space="0" w:color="auto"/>
      </w:divBdr>
    </w:div>
    <w:div w:id="2132701272">
      <w:bodyDiv w:val="1"/>
      <w:marLeft w:val="0"/>
      <w:marRight w:val="0"/>
      <w:marTop w:val="0"/>
      <w:marBottom w:val="0"/>
      <w:divBdr>
        <w:top w:val="none" w:sz="0" w:space="0" w:color="auto"/>
        <w:left w:val="none" w:sz="0" w:space="0" w:color="auto"/>
        <w:bottom w:val="none" w:sz="0" w:space="0" w:color="auto"/>
        <w:right w:val="none" w:sz="0" w:space="0" w:color="auto"/>
      </w:divBdr>
    </w:div>
    <w:div w:id="2133940829">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 w:id="2134325331">
      <w:bodyDiv w:val="1"/>
      <w:marLeft w:val="0"/>
      <w:marRight w:val="0"/>
      <w:marTop w:val="0"/>
      <w:marBottom w:val="0"/>
      <w:divBdr>
        <w:top w:val="none" w:sz="0" w:space="0" w:color="auto"/>
        <w:left w:val="none" w:sz="0" w:space="0" w:color="auto"/>
        <w:bottom w:val="none" w:sz="0" w:space="0" w:color="auto"/>
        <w:right w:val="none" w:sz="0" w:space="0" w:color="auto"/>
      </w:divBdr>
    </w:div>
    <w:div w:id="2135512258">
      <w:bodyDiv w:val="1"/>
      <w:marLeft w:val="0"/>
      <w:marRight w:val="0"/>
      <w:marTop w:val="0"/>
      <w:marBottom w:val="0"/>
      <w:divBdr>
        <w:top w:val="none" w:sz="0" w:space="0" w:color="auto"/>
        <w:left w:val="none" w:sz="0" w:space="0" w:color="auto"/>
        <w:bottom w:val="none" w:sz="0" w:space="0" w:color="auto"/>
        <w:right w:val="none" w:sz="0" w:space="0" w:color="auto"/>
      </w:divBdr>
    </w:div>
    <w:div w:id="2136828466">
      <w:bodyDiv w:val="1"/>
      <w:marLeft w:val="0"/>
      <w:marRight w:val="0"/>
      <w:marTop w:val="0"/>
      <w:marBottom w:val="0"/>
      <w:divBdr>
        <w:top w:val="none" w:sz="0" w:space="0" w:color="auto"/>
        <w:left w:val="none" w:sz="0" w:space="0" w:color="auto"/>
        <w:bottom w:val="none" w:sz="0" w:space="0" w:color="auto"/>
        <w:right w:val="none" w:sz="0" w:space="0" w:color="auto"/>
      </w:divBdr>
    </w:div>
    <w:div w:id="2137793561">
      <w:bodyDiv w:val="1"/>
      <w:marLeft w:val="0"/>
      <w:marRight w:val="0"/>
      <w:marTop w:val="0"/>
      <w:marBottom w:val="0"/>
      <w:divBdr>
        <w:top w:val="none" w:sz="0" w:space="0" w:color="auto"/>
        <w:left w:val="none" w:sz="0" w:space="0" w:color="auto"/>
        <w:bottom w:val="none" w:sz="0" w:space="0" w:color="auto"/>
        <w:right w:val="none" w:sz="0" w:space="0" w:color="auto"/>
      </w:divBdr>
    </w:div>
    <w:div w:id="2137865491">
      <w:bodyDiv w:val="1"/>
      <w:marLeft w:val="0"/>
      <w:marRight w:val="0"/>
      <w:marTop w:val="0"/>
      <w:marBottom w:val="0"/>
      <w:divBdr>
        <w:top w:val="none" w:sz="0" w:space="0" w:color="auto"/>
        <w:left w:val="none" w:sz="0" w:space="0" w:color="auto"/>
        <w:bottom w:val="none" w:sz="0" w:space="0" w:color="auto"/>
        <w:right w:val="none" w:sz="0" w:space="0" w:color="auto"/>
      </w:divBdr>
    </w:div>
    <w:div w:id="2137988827">
      <w:bodyDiv w:val="1"/>
      <w:marLeft w:val="0"/>
      <w:marRight w:val="0"/>
      <w:marTop w:val="0"/>
      <w:marBottom w:val="0"/>
      <w:divBdr>
        <w:top w:val="none" w:sz="0" w:space="0" w:color="auto"/>
        <w:left w:val="none" w:sz="0" w:space="0" w:color="auto"/>
        <w:bottom w:val="none" w:sz="0" w:space="0" w:color="auto"/>
        <w:right w:val="none" w:sz="0" w:space="0" w:color="auto"/>
      </w:divBdr>
    </w:div>
    <w:div w:id="2137989000">
      <w:bodyDiv w:val="1"/>
      <w:marLeft w:val="0"/>
      <w:marRight w:val="0"/>
      <w:marTop w:val="0"/>
      <w:marBottom w:val="0"/>
      <w:divBdr>
        <w:top w:val="none" w:sz="0" w:space="0" w:color="auto"/>
        <w:left w:val="none" w:sz="0" w:space="0" w:color="auto"/>
        <w:bottom w:val="none" w:sz="0" w:space="0" w:color="auto"/>
        <w:right w:val="none" w:sz="0" w:space="0" w:color="auto"/>
      </w:divBdr>
    </w:div>
    <w:div w:id="2138183488">
      <w:bodyDiv w:val="1"/>
      <w:marLeft w:val="0"/>
      <w:marRight w:val="0"/>
      <w:marTop w:val="0"/>
      <w:marBottom w:val="0"/>
      <w:divBdr>
        <w:top w:val="none" w:sz="0" w:space="0" w:color="auto"/>
        <w:left w:val="none" w:sz="0" w:space="0" w:color="auto"/>
        <w:bottom w:val="none" w:sz="0" w:space="0" w:color="auto"/>
        <w:right w:val="none" w:sz="0" w:space="0" w:color="auto"/>
      </w:divBdr>
    </w:div>
    <w:div w:id="2138645926">
      <w:bodyDiv w:val="1"/>
      <w:marLeft w:val="0"/>
      <w:marRight w:val="0"/>
      <w:marTop w:val="0"/>
      <w:marBottom w:val="0"/>
      <w:divBdr>
        <w:top w:val="none" w:sz="0" w:space="0" w:color="auto"/>
        <w:left w:val="none" w:sz="0" w:space="0" w:color="auto"/>
        <w:bottom w:val="none" w:sz="0" w:space="0" w:color="auto"/>
        <w:right w:val="none" w:sz="0" w:space="0" w:color="auto"/>
      </w:divBdr>
    </w:div>
    <w:div w:id="2139180493">
      <w:bodyDiv w:val="1"/>
      <w:marLeft w:val="0"/>
      <w:marRight w:val="0"/>
      <w:marTop w:val="0"/>
      <w:marBottom w:val="0"/>
      <w:divBdr>
        <w:top w:val="none" w:sz="0" w:space="0" w:color="auto"/>
        <w:left w:val="none" w:sz="0" w:space="0" w:color="auto"/>
        <w:bottom w:val="none" w:sz="0" w:space="0" w:color="auto"/>
        <w:right w:val="none" w:sz="0" w:space="0" w:color="auto"/>
      </w:divBdr>
    </w:div>
    <w:div w:id="2139840181">
      <w:bodyDiv w:val="1"/>
      <w:marLeft w:val="0"/>
      <w:marRight w:val="0"/>
      <w:marTop w:val="0"/>
      <w:marBottom w:val="0"/>
      <w:divBdr>
        <w:top w:val="none" w:sz="0" w:space="0" w:color="auto"/>
        <w:left w:val="none" w:sz="0" w:space="0" w:color="auto"/>
        <w:bottom w:val="none" w:sz="0" w:space="0" w:color="auto"/>
        <w:right w:val="none" w:sz="0" w:space="0" w:color="auto"/>
      </w:divBdr>
    </w:div>
    <w:div w:id="2139881555">
      <w:bodyDiv w:val="1"/>
      <w:marLeft w:val="0"/>
      <w:marRight w:val="0"/>
      <w:marTop w:val="0"/>
      <w:marBottom w:val="0"/>
      <w:divBdr>
        <w:top w:val="none" w:sz="0" w:space="0" w:color="auto"/>
        <w:left w:val="none" w:sz="0" w:space="0" w:color="auto"/>
        <w:bottom w:val="none" w:sz="0" w:space="0" w:color="auto"/>
        <w:right w:val="none" w:sz="0" w:space="0" w:color="auto"/>
      </w:divBdr>
    </w:div>
    <w:div w:id="2140217833">
      <w:bodyDiv w:val="1"/>
      <w:marLeft w:val="0"/>
      <w:marRight w:val="0"/>
      <w:marTop w:val="0"/>
      <w:marBottom w:val="0"/>
      <w:divBdr>
        <w:top w:val="none" w:sz="0" w:space="0" w:color="auto"/>
        <w:left w:val="none" w:sz="0" w:space="0" w:color="auto"/>
        <w:bottom w:val="none" w:sz="0" w:space="0" w:color="auto"/>
        <w:right w:val="none" w:sz="0" w:space="0" w:color="auto"/>
      </w:divBdr>
    </w:div>
    <w:div w:id="2140371671">
      <w:bodyDiv w:val="1"/>
      <w:marLeft w:val="0"/>
      <w:marRight w:val="0"/>
      <w:marTop w:val="0"/>
      <w:marBottom w:val="0"/>
      <w:divBdr>
        <w:top w:val="none" w:sz="0" w:space="0" w:color="auto"/>
        <w:left w:val="none" w:sz="0" w:space="0" w:color="auto"/>
        <w:bottom w:val="none" w:sz="0" w:space="0" w:color="auto"/>
        <w:right w:val="none" w:sz="0" w:space="0" w:color="auto"/>
      </w:divBdr>
    </w:div>
    <w:div w:id="2140995779">
      <w:bodyDiv w:val="1"/>
      <w:marLeft w:val="0"/>
      <w:marRight w:val="0"/>
      <w:marTop w:val="0"/>
      <w:marBottom w:val="0"/>
      <w:divBdr>
        <w:top w:val="none" w:sz="0" w:space="0" w:color="auto"/>
        <w:left w:val="none" w:sz="0" w:space="0" w:color="auto"/>
        <w:bottom w:val="none" w:sz="0" w:space="0" w:color="auto"/>
        <w:right w:val="none" w:sz="0" w:space="0" w:color="auto"/>
      </w:divBdr>
    </w:div>
    <w:div w:id="2141455873">
      <w:bodyDiv w:val="1"/>
      <w:marLeft w:val="0"/>
      <w:marRight w:val="0"/>
      <w:marTop w:val="0"/>
      <w:marBottom w:val="0"/>
      <w:divBdr>
        <w:top w:val="none" w:sz="0" w:space="0" w:color="auto"/>
        <w:left w:val="none" w:sz="0" w:space="0" w:color="auto"/>
        <w:bottom w:val="none" w:sz="0" w:space="0" w:color="auto"/>
        <w:right w:val="none" w:sz="0" w:space="0" w:color="auto"/>
      </w:divBdr>
    </w:div>
    <w:div w:id="2141609815">
      <w:bodyDiv w:val="1"/>
      <w:marLeft w:val="0"/>
      <w:marRight w:val="0"/>
      <w:marTop w:val="0"/>
      <w:marBottom w:val="0"/>
      <w:divBdr>
        <w:top w:val="none" w:sz="0" w:space="0" w:color="auto"/>
        <w:left w:val="none" w:sz="0" w:space="0" w:color="auto"/>
        <w:bottom w:val="none" w:sz="0" w:space="0" w:color="auto"/>
        <w:right w:val="none" w:sz="0" w:space="0" w:color="auto"/>
      </w:divBdr>
    </w:div>
    <w:div w:id="2141802497">
      <w:bodyDiv w:val="1"/>
      <w:marLeft w:val="0"/>
      <w:marRight w:val="0"/>
      <w:marTop w:val="0"/>
      <w:marBottom w:val="0"/>
      <w:divBdr>
        <w:top w:val="none" w:sz="0" w:space="0" w:color="auto"/>
        <w:left w:val="none" w:sz="0" w:space="0" w:color="auto"/>
        <w:bottom w:val="none" w:sz="0" w:space="0" w:color="auto"/>
        <w:right w:val="none" w:sz="0" w:space="0" w:color="auto"/>
      </w:divBdr>
    </w:div>
    <w:div w:id="2142116439">
      <w:bodyDiv w:val="1"/>
      <w:marLeft w:val="0"/>
      <w:marRight w:val="0"/>
      <w:marTop w:val="0"/>
      <w:marBottom w:val="0"/>
      <w:divBdr>
        <w:top w:val="none" w:sz="0" w:space="0" w:color="auto"/>
        <w:left w:val="none" w:sz="0" w:space="0" w:color="auto"/>
        <w:bottom w:val="none" w:sz="0" w:space="0" w:color="auto"/>
        <w:right w:val="none" w:sz="0" w:space="0" w:color="auto"/>
      </w:divBdr>
    </w:div>
    <w:div w:id="2142379083">
      <w:bodyDiv w:val="1"/>
      <w:marLeft w:val="0"/>
      <w:marRight w:val="0"/>
      <w:marTop w:val="0"/>
      <w:marBottom w:val="0"/>
      <w:divBdr>
        <w:top w:val="none" w:sz="0" w:space="0" w:color="auto"/>
        <w:left w:val="none" w:sz="0" w:space="0" w:color="auto"/>
        <w:bottom w:val="none" w:sz="0" w:space="0" w:color="auto"/>
        <w:right w:val="none" w:sz="0" w:space="0" w:color="auto"/>
      </w:divBdr>
    </w:div>
    <w:div w:id="2142453322">
      <w:bodyDiv w:val="1"/>
      <w:marLeft w:val="0"/>
      <w:marRight w:val="0"/>
      <w:marTop w:val="0"/>
      <w:marBottom w:val="0"/>
      <w:divBdr>
        <w:top w:val="none" w:sz="0" w:space="0" w:color="auto"/>
        <w:left w:val="none" w:sz="0" w:space="0" w:color="auto"/>
        <w:bottom w:val="none" w:sz="0" w:space="0" w:color="auto"/>
        <w:right w:val="none" w:sz="0" w:space="0" w:color="auto"/>
      </w:divBdr>
    </w:div>
    <w:div w:id="2142796052">
      <w:bodyDiv w:val="1"/>
      <w:marLeft w:val="0"/>
      <w:marRight w:val="0"/>
      <w:marTop w:val="0"/>
      <w:marBottom w:val="0"/>
      <w:divBdr>
        <w:top w:val="none" w:sz="0" w:space="0" w:color="auto"/>
        <w:left w:val="none" w:sz="0" w:space="0" w:color="auto"/>
        <w:bottom w:val="none" w:sz="0" w:space="0" w:color="auto"/>
        <w:right w:val="none" w:sz="0" w:space="0" w:color="auto"/>
      </w:divBdr>
    </w:div>
    <w:div w:id="2143494041">
      <w:bodyDiv w:val="1"/>
      <w:marLeft w:val="0"/>
      <w:marRight w:val="0"/>
      <w:marTop w:val="0"/>
      <w:marBottom w:val="0"/>
      <w:divBdr>
        <w:top w:val="none" w:sz="0" w:space="0" w:color="auto"/>
        <w:left w:val="none" w:sz="0" w:space="0" w:color="auto"/>
        <w:bottom w:val="none" w:sz="0" w:space="0" w:color="auto"/>
        <w:right w:val="none" w:sz="0" w:space="0" w:color="auto"/>
      </w:divBdr>
    </w:div>
    <w:div w:id="2143499068">
      <w:bodyDiv w:val="1"/>
      <w:marLeft w:val="0"/>
      <w:marRight w:val="0"/>
      <w:marTop w:val="0"/>
      <w:marBottom w:val="0"/>
      <w:divBdr>
        <w:top w:val="none" w:sz="0" w:space="0" w:color="auto"/>
        <w:left w:val="none" w:sz="0" w:space="0" w:color="auto"/>
        <w:bottom w:val="none" w:sz="0" w:space="0" w:color="auto"/>
        <w:right w:val="none" w:sz="0" w:space="0" w:color="auto"/>
      </w:divBdr>
    </w:div>
    <w:div w:id="2143694160">
      <w:bodyDiv w:val="1"/>
      <w:marLeft w:val="0"/>
      <w:marRight w:val="0"/>
      <w:marTop w:val="0"/>
      <w:marBottom w:val="0"/>
      <w:divBdr>
        <w:top w:val="none" w:sz="0" w:space="0" w:color="auto"/>
        <w:left w:val="none" w:sz="0" w:space="0" w:color="auto"/>
        <w:bottom w:val="none" w:sz="0" w:space="0" w:color="auto"/>
        <w:right w:val="none" w:sz="0" w:space="0" w:color="auto"/>
      </w:divBdr>
    </w:div>
    <w:div w:id="2143765027">
      <w:bodyDiv w:val="1"/>
      <w:marLeft w:val="0"/>
      <w:marRight w:val="0"/>
      <w:marTop w:val="0"/>
      <w:marBottom w:val="0"/>
      <w:divBdr>
        <w:top w:val="none" w:sz="0" w:space="0" w:color="auto"/>
        <w:left w:val="none" w:sz="0" w:space="0" w:color="auto"/>
        <w:bottom w:val="none" w:sz="0" w:space="0" w:color="auto"/>
        <w:right w:val="none" w:sz="0" w:space="0" w:color="auto"/>
      </w:divBdr>
    </w:div>
    <w:div w:id="2144157960">
      <w:bodyDiv w:val="1"/>
      <w:marLeft w:val="0"/>
      <w:marRight w:val="0"/>
      <w:marTop w:val="0"/>
      <w:marBottom w:val="0"/>
      <w:divBdr>
        <w:top w:val="none" w:sz="0" w:space="0" w:color="auto"/>
        <w:left w:val="none" w:sz="0" w:space="0" w:color="auto"/>
        <w:bottom w:val="none" w:sz="0" w:space="0" w:color="auto"/>
        <w:right w:val="none" w:sz="0" w:space="0" w:color="auto"/>
      </w:divBdr>
    </w:div>
    <w:div w:id="2144276207">
      <w:bodyDiv w:val="1"/>
      <w:marLeft w:val="0"/>
      <w:marRight w:val="0"/>
      <w:marTop w:val="0"/>
      <w:marBottom w:val="0"/>
      <w:divBdr>
        <w:top w:val="none" w:sz="0" w:space="0" w:color="auto"/>
        <w:left w:val="none" w:sz="0" w:space="0" w:color="auto"/>
        <w:bottom w:val="none" w:sz="0" w:space="0" w:color="auto"/>
        <w:right w:val="none" w:sz="0" w:space="0" w:color="auto"/>
      </w:divBdr>
    </w:div>
    <w:div w:id="2145535928">
      <w:bodyDiv w:val="1"/>
      <w:marLeft w:val="0"/>
      <w:marRight w:val="0"/>
      <w:marTop w:val="0"/>
      <w:marBottom w:val="0"/>
      <w:divBdr>
        <w:top w:val="none" w:sz="0" w:space="0" w:color="auto"/>
        <w:left w:val="none" w:sz="0" w:space="0" w:color="auto"/>
        <w:bottom w:val="none" w:sz="0" w:space="0" w:color="auto"/>
        <w:right w:val="none" w:sz="0" w:space="0" w:color="auto"/>
      </w:divBdr>
    </w:div>
    <w:div w:id="2145731072">
      <w:bodyDiv w:val="1"/>
      <w:marLeft w:val="0"/>
      <w:marRight w:val="0"/>
      <w:marTop w:val="0"/>
      <w:marBottom w:val="0"/>
      <w:divBdr>
        <w:top w:val="none" w:sz="0" w:space="0" w:color="auto"/>
        <w:left w:val="none" w:sz="0" w:space="0" w:color="auto"/>
        <w:bottom w:val="none" w:sz="0" w:space="0" w:color="auto"/>
        <w:right w:val="none" w:sz="0" w:space="0" w:color="auto"/>
      </w:divBdr>
    </w:div>
    <w:div w:id="2146504898">
      <w:bodyDiv w:val="1"/>
      <w:marLeft w:val="0"/>
      <w:marRight w:val="0"/>
      <w:marTop w:val="0"/>
      <w:marBottom w:val="0"/>
      <w:divBdr>
        <w:top w:val="none" w:sz="0" w:space="0" w:color="auto"/>
        <w:left w:val="none" w:sz="0" w:space="0" w:color="auto"/>
        <w:bottom w:val="none" w:sz="0" w:space="0" w:color="auto"/>
        <w:right w:val="none" w:sz="0" w:space="0" w:color="auto"/>
      </w:divBdr>
    </w:div>
    <w:div w:id="2146896383">
      <w:bodyDiv w:val="1"/>
      <w:marLeft w:val="0"/>
      <w:marRight w:val="0"/>
      <w:marTop w:val="0"/>
      <w:marBottom w:val="0"/>
      <w:divBdr>
        <w:top w:val="none" w:sz="0" w:space="0" w:color="auto"/>
        <w:left w:val="none" w:sz="0" w:space="0" w:color="auto"/>
        <w:bottom w:val="none" w:sz="0" w:space="0" w:color="auto"/>
        <w:right w:val="none" w:sz="0" w:space="0" w:color="auto"/>
      </w:divBdr>
    </w:div>
    <w:div w:id="21473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wmf"/><Relationship Id="rId21" Type="http://schemas.openxmlformats.org/officeDocument/2006/relationships/header" Target="header5.xml"/><Relationship Id="rId63" Type="http://schemas.openxmlformats.org/officeDocument/2006/relationships/header" Target="header26.xml"/><Relationship Id="rId159" Type="http://schemas.openxmlformats.org/officeDocument/2006/relationships/oleObject" Target="embeddings/oleObject30.bin"/><Relationship Id="rId170" Type="http://schemas.openxmlformats.org/officeDocument/2006/relationships/oleObject" Target="embeddings/oleObject35.bin"/><Relationship Id="rId226" Type="http://schemas.openxmlformats.org/officeDocument/2006/relationships/hyperlink" Target="file:///C:\Users\redmann.petra\AppData\Local\Microsoft\Windows\INetCache\Content.Outlook\7DEPHNBU\www.is-argebau.de" TargetMode="External"/><Relationship Id="rId268" Type="http://schemas.openxmlformats.org/officeDocument/2006/relationships/hyperlink" Target="https://www.dibt.de" TargetMode="External"/><Relationship Id="rId32" Type="http://schemas.openxmlformats.org/officeDocument/2006/relationships/header" Target="header10.xml"/><Relationship Id="rId74" Type="http://schemas.openxmlformats.org/officeDocument/2006/relationships/header" Target="header32.xml"/><Relationship Id="rId128" Type="http://schemas.openxmlformats.org/officeDocument/2006/relationships/oleObject" Target="embeddings/oleObject15.bin"/><Relationship Id="rId5" Type="http://schemas.openxmlformats.org/officeDocument/2006/relationships/webSettings" Target="webSettings.xml"/><Relationship Id="rId181" Type="http://schemas.openxmlformats.org/officeDocument/2006/relationships/image" Target="media/image42.wmf"/><Relationship Id="rId237" Type="http://schemas.openxmlformats.org/officeDocument/2006/relationships/header" Target="header62.xml"/><Relationship Id="rId279" Type="http://schemas.openxmlformats.org/officeDocument/2006/relationships/hyperlink" Target="https://www.verkehrsblatt.de" TargetMode="External"/><Relationship Id="rId43" Type="http://schemas.openxmlformats.org/officeDocument/2006/relationships/footer" Target="footer15.xml"/><Relationship Id="rId139" Type="http://schemas.openxmlformats.org/officeDocument/2006/relationships/image" Target="media/image20.wmf"/><Relationship Id="rId85" Type="http://schemas.openxmlformats.org/officeDocument/2006/relationships/footer" Target="footer29.xml"/><Relationship Id="rId150" Type="http://schemas.openxmlformats.org/officeDocument/2006/relationships/oleObject" Target="embeddings/oleObject26.bin"/><Relationship Id="rId171" Type="http://schemas.openxmlformats.org/officeDocument/2006/relationships/image" Target="media/image37.wmf"/><Relationship Id="rId192" Type="http://schemas.openxmlformats.org/officeDocument/2006/relationships/oleObject" Target="embeddings/oleObject46.bin"/><Relationship Id="rId206" Type="http://schemas.openxmlformats.org/officeDocument/2006/relationships/header" Target="header50.xml"/><Relationship Id="rId227" Type="http://schemas.openxmlformats.org/officeDocument/2006/relationships/hyperlink" Target="https://www.dibt.de" TargetMode="External"/><Relationship Id="rId248" Type="http://schemas.openxmlformats.org/officeDocument/2006/relationships/hyperlink" Target="https://www.beuth.de/" TargetMode="External"/><Relationship Id="rId269" Type="http://schemas.openxmlformats.org/officeDocument/2006/relationships/hyperlink" Target="https://www.dibt.de" TargetMode="External"/><Relationship Id="rId12" Type="http://schemas.openxmlformats.org/officeDocument/2006/relationships/header" Target="header3.xml"/><Relationship Id="rId33" Type="http://schemas.openxmlformats.org/officeDocument/2006/relationships/footer" Target="footer10.xml"/><Relationship Id="rId108" Type="http://schemas.openxmlformats.org/officeDocument/2006/relationships/footer" Target="footer38.xml"/><Relationship Id="rId129" Type="http://schemas.openxmlformats.org/officeDocument/2006/relationships/image" Target="media/image15.wmf"/><Relationship Id="rId280" Type="http://schemas.openxmlformats.org/officeDocument/2006/relationships/hyperlink" Target="https://shop.wvgw.de" TargetMode="External"/><Relationship Id="rId54" Type="http://schemas.openxmlformats.org/officeDocument/2006/relationships/header" Target="header21.xml"/><Relationship Id="rId75" Type="http://schemas.openxmlformats.org/officeDocument/2006/relationships/footer" Target="footer26.xml"/><Relationship Id="rId96" Type="http://schemas.openxmlformats.org/officeDocument/2006/relationships/header" Target="header43.xml"/><Relationship Id="rId140" Type="http://schemas.openxmlformats.org/officeDocument/2006/relationships/oleObject" Target="embeddings/oleObject21.bin"/><Relationship Id="rId161" Type="http://schemas.openxmlformats.org/officeDocument/2006/relationships/image" Target="media/image32.wmf"/><Relationship Id="rId182" Type="http://schemas.openxmlformats.org/officeDocument/2006/relationships/oleObject" Target="embeddings/oleObject41.bin"/><Relationship Id="rId217" Type="http://schemas.openxmlformats.org/officeDocument/2006/relationships/footer" Target="footer42.xml"/><Relationship Id="rId6" Type="http://schemas.openxmlformats.org/officeDocument/2006/relationships/footnotes" Target="footnotes.xml"/><Relationship Id="rId238" Type="http://schemas.openxmlformats.org/officeDocument/2006/relationships/footer" Target="footer44.xml"/><Relationship Id="rId259" Type="http://schemas.openxmlformats.org/officeDocument/2006/relationships/hyperlink" Target="https://www.beuth.de/" TargetMode="External"/><Relationship Id="rId23" Type="http://schemas.openxmlformats.org/officeDocument/2006/relationships/header" Target="header6.xml"/><Relationship Id="rId119" Type="http://schemas.openxmlformats.org/officeDocument/2006/relationships/image" Target="media/image10.wmf"/><Relationship Id="rId270" Type="http://schemas.openxmlformats.org/officeDocument/2006/relationships/hyperlink" Target="https://www.dibt.de" TargetMode="External"/><Relationship Id="rId44" Type="http://schemas.openxmlformats.org/officeDocument/2006/relationships/header" Target="header16.xml"/><Relationship Id="rId65" Type="http://schemas.openxmlformats.org/officeDocument/2006/relationships/header" Target="header27.xml"/><Relationship Id="rId86" Type="http://schemas.openxmlformats.org/officeDocument/2006/relationships/header" Target="header40.xml"/><Relationship Id="rId130" Type="http://schemas.openxmlformats.org/officeDocument/2006/relationships/oleObject" Target="embeddings/oleObject16.bin"/><Relationship Id="rId151" Type="http://schemas.openxmlformats.org/officeDocument/2006/relationships/image" Target="media/image26.wmf"/><Relationship Id="rId172" Type="http://schemas.openxmlformats.org/officeDocument/2006/relationships/oleObject" Target="embeddings/oleObject36.bin"/><Relationship Id="rId193" Type="http://schemas.openxmlformats.org/officeDocument/2006/relationships/image" Target="media/image48.wmf"/><Relationship Id="rId207" Type="http://schemas.openxmlformats.org/officeDocument/2006/relationships/header" Target="header51.xml"/><Relationship Id="rId228" Type="http://schemas.openxmlformats.org/officeDocument/2006/relationships/hyperlink" Target="file:///C:\Users\redmann.petra\AppData\Local\Microsoft\Windows\INetCache\Content.Outlook\7DEPHNBU\www.dibt.de" TargetMode="External"/><Relationship Id="rId249" Type="http://schemas.openxmlformats.org/officeDocument/2006/relationships/hyperlink" Target="http://www.beuth.de" TargetMode="External"/><Relationship Id="rId13" Type="http://schemas.openxmlformats.org/officeDocument/2006/relationships/image" Target="media/image1.wmf"/><Relationship Id="rId109" Type="http://schemas.openxmlformats.org/officeDocument/2006/relationships/oleObject" Target="embeddings/oleObject5.bin"/><Relationship Id="rId260" Type="http://schemas.openxmlformats.org/officeDocument/2006/relationships/hyperlink" Target="https://www.zvshk.de" TargetMode="External"/><Relationship Id="rId281" Type="http://schemas.openxmlformats.org/officeDocument/2006/relationships/hyperlink" Target="https://www.umwelt-online.de" TargetMode="External"/><Relationship Id="rId34" Type="http://schemas.openxmlformats.org/officeDocument/2006/relationships/header" Target="header11.xml"/><Relationship Id="rId55" Type="http://schemas.openxmlformats.org/officeDocument/2006/relationships/footer" Target="footer21.xml"/><Relationship Id="rId76" Type="http://schemas.openxmlformats.org/officeDocument/2006/relationships/header" Target="header33.xml"/><Relationship Id="rId97" Type="http://schemas.openxmlformats.org/officeDocument/2006/relationships/footer" Target="footer34.xml"/><Relationship Id="rId120" Type="http://schemas.openxmlformats.org/officeDocument/2006/relationships/oleObject" Target="embeddings/oleObject11.bin"/><Relationship Id="rId141" Type="http://schemas.openxmlformats.org/officeDocument/2006/relationships/image" Target="media/image21.wmf"/><Relationship Id="rId7" Type="http://schemas.openxmlformats.org/officeDocument/2006/relationships/endnotes" Target="endnotes.xml"/><Relationship Id="rId162" Type="http://schemas.openxmlformats.org/officeDocument/2006/relationships/oleObject" Target="embeddings/oleObject31.bin"/><Relationship Id="rId183" Type="http://schemas.openxmlformats.org/officeDocument/2006/relationships/image" Target="media/image43.wmf"/><Relationship Id="rId218" Type="http://schemas.openxmlformats.org/officeDocument/2006/relationships/header" Target="header59.xml"/><Relationship Id="rId239" Type="http://schemas.openxmlformats.org/officeDocument/2006/relationships/footer" Target="footer45.xml"/><Relationship Id="rId250" Type="http://schemas.openxmlformats.org/officeDocument/2006/relationships/hyperlink" Target="https://www.beuth.de/" TargetMode="External"/><Relationship Id="rId271" Type="http://schemas.openxmlformats.org/officeDocument/2006/relationships/hyperlink" Target="https://www.ernst-und-sohn.de" TargetMode="External"/><Relationship Id="rId24" Type="http://schemas.openxmlformats.org/officeDocument/2006/relationships/footer" Target="footer5.xml"/><Relationship Id="rId45" Type="http://schemas.openxmlformats.org/officeDocument/2006/relationships/footer" Target="footer16.xml"/><Relationship Id="rId66" Type="http://schemas.openxmlformats.org/officeDocument/2006/relationships/header" Target="header28.xml"/><Relationship Id="rId87" Type="http://schemas.openxmlformats.org/officeDocument/2006/relationships/header" Target="header41.xml"/><Relationship Id="rId110" Type="http://schemas.openxmlformats.org/officeDocument/2006/relationships/image" Target="media/image6.wmf"/><Relationship Id="rId131" Type="http://schemas.openxmlformats.org/officeDocument/2006/relationships/image" Target="media/image16.wmf"/><Relationship Id="rId152" Type="http://schemas.openxmlformats.org/officeDocument/2006/relationships/oleObject" Target="embeddings/oleObject27.bin"/><Relationship Id="rId173" Type="http://schemas.openxmlformats.org/officeDocument/2006/relationships/image" Target="media/image38.wmf"/><Relationship Id="rId194" Type="http://schemas.openxmlformats.org/officeDocument/2006/relationships/oleObject" Target="embeddings/oleObject47.bin"/><Relationship Id="rId208" Type="http://schemas.openxmlformats.org/officeDocument/2006/relationships/header" Target="header52.xml"/><Relationship Id="rId229" Type="http://schemas.openxmlformats.org/officeDocument/2006/relationships/hyperlink" Target="file:///C:\Users\redmann.petra\AppData\Local\Microsoft\Windows\INetCache\Content.Outlook\7DEPHNBU\www.dibt.de" TargetMode="External"/><Relationship Id="rId240" Type="http://schemas.openxmlformats.org/officeDocument/2006/relationships/header" Target="header63.xml"/><Relationship Id="rId261" Type="http://schemas.openxmlformats.org/officeDocument/2006/relationships/hyperlink" Target="https://www.dibt.de" TargetMode="External"/><Relationship Id="rId14" Type="http://schemas.openxmlformats.org/officeDocument/2006/relationships/oleObject" Target="embeddings/oleObject1.bin"/><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header" Target="header34.xml"/><Relationship Id="rId100" Type="http://schemas.openxmlformats.org/officeDocument/2006/relationships/header" Target="header46.xml"/><Relationship Id="rId282" Type="http://schemas.openxmlformats.org/officeDocument/2006/relationships/hyperlink" Target="https://www.beuth.de/" TargetMode="External"/><Relationship Id="rId8" Type="http://schemas.openxmlformats.org/officeDocument/2006/relationships/footer" Target="footer1.xml"/><Relationship Id="rId98" Type="http://schemas.openxmlformats.org/officeDocument/2006/relationships/header" Target="header44.xml"/><Relationship Id="rId121" Type="http://schemas.openxmlformats.org/officeDocument/2006/relationships/image" Target="media/image11.wmf"/><Relationship Id="rId142" Type="http://schemas.openxmlformats.org/officeDocument/2006/relationships/oleObject" Target="embeddings/oleObject22.bin"/><Relationship Id="rId163" Type="http://schemas.openxmlformats.org/officeDocument/2006/relationships/image" Target="media/image33.wmf"/><Relationship Id="rId184" Type="http://schemas.openxmlformats.org/officeDocument/2006/relationships/oleObject" Target="embeddings/oleObject42.bin"/><Relationship Id="rId219" Type="http://schemas.openxmlformats.org/officeDocument/2006/relationships/footer" Target="footer43.xml"/><Relationship Id="rId230" Type="http://schemas.openxmlformats.org/officeDocument/2006/relationships/hyperlink" Target="https://www.dibt.de" TargetMode="External"/><Relationship Id="rId251" Type="http://schemas.openxmlformats.org/officeDocument/2006/relationships/hyperlink" Target="https://shop.deutscherstahlbau.de" TargetMode="External"/><Relationship Id="rId25" Type="http://schemas.openxmlformats.org/officeDocument/2006/relationships/footer" Target="footer6.xml"/><Relationship Id="rId46" Type="http://schemas.openxmlformats.org/officeDocument/2006/relationships/header" Target="header17.xml"/><Relationship Id="rId67" Type="http://schemas.openxmlformats.org/officeDocument/2006/relationships/header" Target="header29.xml"/><Relationship Id="rId272" Type="http://schemas.openxmlformats.org/officeDocument/2006/relationships/hyperlink" Target="https://www.ernst-und-sohn.de" TargetMode="External"/><Relationship Id="rId88" Type="http://schemas.openxmlformats.org/officeDocument/2006/relationships/footer" Target="footer30.xml"/><Relationship Id="rId111" Type="http://schemas.openxmlformats.org/officeDocument/2006/relationships/image" Target="media/image7.wmf"/><Relationship Id="rId132" Type="http://schemas.openxmlformats.org/officeDocument/2006/relationships/oleObject" Target="embeddings/oleObject17.bin"/><Relationship Id="rId153" Type="http://schemas.openxmlformats.org/officeDocument/2006/relationships/image" Target="media/image27.wmf"/><Relationship Id="rId174" Type="http://schemas.openxmlformats.org/officeDocument/2006/relationships/oleObject" Target="embeddings/oleObject37.bin"/><Relationship Id="rId195" Type="http://schemas.openxmlformats.org/officeDocument/2006/relationships/image" Target="media/image49.wmf"/><Relationship Id="rId209" Type="http://schemas.openxmlformats.org/officeDocument/2006/relationships/header" Target="header53.xml"/><Relationship Id="rId220" Type="http://schemas.openxmlformats.org/officeDocument/2006/relationships/header" Target="header60.xml"/><Relationship Id="rId241" Type="http://schemas.openxmlformats.org/officeDocument/2006/relationships/footer" Target="footer46.xml"/><Relationship Id="rId15" Type="http://schemas.openxmlformats.org/officeDocument/2006/relationships/image" Target="media/image2.wmf"/><Relationship Id="rId36" Type="http://schemas.openxmlformats.org/officeDocument/2006/relationships/header" Target="header12.xml"/><Relationship Id="rId57" Type="http://schemas.openxmlformats.org/officeDocument/2006/relationships/header" Target="header23.xml"/><Relationship Id="rId262" Type="http://schemas.openxmlformats.org/officeDocument/2006/relationships/hyperlink" Target="https://www.dibt.de" TargetMode="External"/><Relationship Id="rId283" Type="http://schemas.openxmlformats.org/officeDocument/2006/relationships/hyperlink" Target="https://www.zukunftsheizen.de" TargetMode="External"/><Relationship Id="rId78" Type="http://schemas.openxmlformats.org/officeDocument/2006/relationships/header" Target="header35.xml"/><Relationship Id="rId99" Type="http://schemas.openxmlformats.org/officeDocument/2006/relationships/header" Target="header45.xml"/><Relationship Id="rId101" Type="http://schemas.openxmlformats.org/officeDocument/2006/relationships/footer" Target="footer35.xml"/><Relationship Id="rId122" Type="http://schemas.openxmlformats.org/officeDocument/2006/relationships/oleObject" Target="embeddings/oleObject12.bin"/><Relationship Id="rId143" Type="http://schemas.openxmlformats.org/officeDocument/2006/relationships/image" Target="media/image22.wmf"/><Relationship Id="rId164" Type="http://schemas.openxmlformats.org/officeDocument/2006/relationships/oleObject" Target="embeddings/oleObject32.bin"/><Relationship Id="rId185" Type="http://schemas.openxmlformats.org/officeDocument/2006/relationships/image" Target="media/image44.wmf"/><Relationship Id="rId9" Type="http://schemas.openxmlformats.org/officeDocument/2006/relationships/header" Target="header1.xml"/><Relationship Id="rId210" Type="http://schemas.openxmlformats.org/officeDocument/2006/relationships/header" Target="header54.xml"/><Relationship Id="rId26" Type="http://schemas.openxmlformats.org/officeDocument/2006/relationships/header" Target="header7.xml"/><Relationship Id="rId231" Type="http://schemas.openxmlformats.org/officeDocument/2006/relationships/hyperlink" Target="https://www.dibt.de" TargetMode="External"/><Relationship Id="rId252" Type="http://schemas.openxmlformats.org/officeDocument/2006/relationships/hyperlink" Target="https://shop.deutscherstahlbau.de" TargetMode="External"/><Relationship Id="rId273" Type="http://schemas.openxmlformats.org/officeDocument/2006/relationships/hyperlink" Target="https://www.ernst-und-sohn.de" TargetMode="External"/><Relationship Id="rId47" Type="http://schemas.openxmlformats.org/officeDocument/2006/relationships/header" Target="header18.xml"/><Relationship Id="rId68" Type="http://schemas.openxmlformats.org/officeDocument/2006/relationships/hyperlink" Target="https://www.dibt.de" TargetMode="External"/><Relationship Id="rId89" Type="http://schemas.openxmlformats.org/officeDocument/2006/relationships/footer" Target="footer31.xml"/><Relationship Id="rId112" Type="http://schemas.openxmlformats.org/officeDocument/2006/relationships/oleObject" Target="embeddings/oleObject6.bin"/><Relationship Id="rId133" Type="http://schemas.openxmlformats.org/officeDocument/2006/relationships/image" Target="media/image17.wmf"/><Relationship Id="rId154" Type="http://schemas.openxmlformats.org/officeDocument/2006/relationships/oleObject" Target="embeddings/oleObject28.bin"/><Relationship Id="rId175" Type="http://schemas.openxmlformats.org/officeDocument/2006/relationships/image" Target="media/image39.wmf"/><Relationship Id="rId196" Type="http://schemas.openxmlformats.org/officeDocument/2006/relationships/oleObject" Target="embeddings/oleObject48.bin"/><Relationship Id="rId200" Type="http://schemas.openxmlformats.org/officeDocument/2006/relationships/oleObject" Target="embeddings/oleObject50.bin"/><Relationship Id="rId16" Type="http://schemas.openxmlformats.org/officeDocument/2006/relationships/oleObject" Target="embeddings/oleObject2.bin"/><Relationship Id="rId221" Type="http://schemas.openxmlformats.org/officeDocument/2006/relationships/hyperlink" Target="https://www.beuth.de/" TargetMode="External"/><Relationship Id="rId242" Type="http://schemas.openxmlformats.org/officeDocument/2006/relationships/hyperlink" Target="https://www.beuth.de/" TargetMode="External"/><Relationship Id="rId263" Type="http://schemas.openxmlformats.org/officeDocument/2006/relationships/hyperlink" Target="http://www.is-argebau.de" TargetMode="External"/><Relationship Id="rId284" Type="http://schemas.openxmlformats.org/officeDocument/2006/relationships/hyperlink" Target="file:///C:\Users\redmann.petra\AppData\Local\Microsoft\Windows\INetCache\Content.Outlook\7DEPHNBU\www.gesetze-im-internet.de" TargetMode="External"/><Relationship Id="rId37" Type="http://schemas.openxmlformats.org/officeDocument/2006/relationships/footer" Target="footer12.xml"/><Relationship Id="rId58" Type="http://schemas.openxmlformats.org/officeDocument/2006/relationships/footer" Target="footer22.xml"/><Relationship Id="rId79" Type="http://schemas.openxmlformats.org/officeDocument/2006/relationships/header" Target="header36.xml"/><Relationship Id="rId102" Type="http://schemas.openxmlformats.org/officeDocument/2006/relationships/header" Target="header47.xml"/><Relationship Id="rId123" Type="http://schemas.openxmlformats.org/officeDocument/2006/relationships/image" Target="media/image12.wmf"/><Relationship Id="rId144" Type="http://schemas.openxmlformats.org/officeDocument/2006/relationships/oleObject" Target="embeddings/oleObject23.bin"/><Relationship Id="rId90" Type="http://schemas.openxmlformats.org/officeDocument/2006/relationships/hyperlink" Target="http://www.dguv.de/ifa/fachinfos/kmr-liste/index.jsp" TargetMode="External"/><Relationship Id="rId165" Type="http://schemas.openxmlformats.org/officeDocument/2006/relationships/image" Target="media/image34.wmf"/><Relationship Id="rId186" Type="http://schemas.openxmlformats.org/officeDocument/2006/relationships/oleObject" Target="embeddings/oleObject43.bin"/><Relationship Id="rId211" Type="http://schemas.openxmlformats.org/officeDocument/2006/relationships/footer" Target="footer40.xml"/><Relationship Id="rId232" Type="http://schemas.openxmlformats.org/officeDocument/2006/relationships/hyperlink" Target="https://www.dibt.de" TargetMode="External"/><Relationship Id="rId253" Type="http://schemas.openxmlformats.org/officeDocument/2006/relationships/hyperlink" Target="file:///\\ddibt.local\users\abr\Documentum\Checkout\shop.deutscherstahlbau.de" TargetMode="External"/><Relationship Id="rId274" Type="http://schemas.openxmlformats.org/officeDocument/2006/relationships/hyperlink" Target="https://www.beuth.de/" TargetMode="External"/><Relationship Id="rId27" Type="http://schemas.openxmlformats.org/officeDocument/2006/relationships/footer" Target="footer7.xml"/><Relationship Id="rId48" Type="http://schemas.openxmlformats.org/officeDocument/2006/relationships/footer" Target="footer17.xml"/><Relationship Id="rId69" Type="http://schemas.openxmlformats.org/officeDocument/2006/relationships/hyperlink" Target="http://www.dibt.de" TargetMode="External"/><Relationship Id="rId113" Type="http://schemas.openxmlformats.org/officeDocument/2006/relationships/oleObject" Target="embeddings/oleObject7.bin"/><Relationship Id="rId134" Type="http://schemas.openxmlformats.org/officeDocument/2006/relationships/oleObject" Target="embeddings/oleObject18.bin"/><Relationship Id="rId80" Type="http://schemas.openxmlformats.org/officeDocument/2006/relationships/footer" Target="footer27.xml"/><Relationship Id="rId155" Type="http://schemas.openxmlformats.org/officeDocument/2006/relationships/image" Target="media/image28.wmf"/><Relationship Id="rId176" Type="http://schemas.openxmlformats.org/officeDocument/2006/relationships/oleObject" Target="embeddings/oleObject38.bin"/><Relationship Id="rId197" Type="http://schemas.openxmlformats.org/officeDocument/2006/relationships/image" Target="media/image50.wmf"/><Relationship Id="rId201" Type="http://schemas.openxmlformats.org/officeDocument/2006/relationships/oleObject" Target="embeddings/oleObject51.bin"/><Relationship Id="rId222" Type="http://schemas.openxmlformats.org/officeDocument/2006/relationships/hyperlink" Target="https://www.eota.eu" TargetMode="External"/><Relationship Id="rId243" Type="http://schemas.openxmlformats.org/officeDocument/2006/relationships/hyperlink" Target="https://www.beuth.de/" TargetMode="External"/><Relationship Id="rId264" Type="http://schemas.openxmlformats.org/officeDocument/2006/relationships/hyperlink" Target="file:///C:\Users\redmann.petra\AppData\Local\Microsoft\Windows\INetCache\Content.Outlook\7DEPHNBU\www.is-argebau.de" TargetMode="External"/><Relationship Id="rId285" Type="http://schemas.openxmlformats.org/officeDocument/2006/relationships/hyperlink" Target="https://www.dibt.de" TargetMode="External"/><Relationship Id="rId17" Type="http://schemas.openxmlformats.org/officeDocument/2006/relationships/image" Target="media/image3.wmf"/><Relationship Id="rId38" Type="http://schemas.openxmlformats.org/officeDocument/2006/relationships/header" Target="header13.xml"/><Relationship Id="rId59" Type="http://schemas.openxmlformats.org/officeDocument/2006/relationships/header" Target="header24.xml"/><Relationship Id="rId103" Type="http://schemas.openxmlformats.org/officeDocument/2006/relationships/footer" Target="footer36.xml"/><Relationship Id="rId124" Type="http://schemas.openxmlformats.org/officeDocument/2006/relationships/oleObject" Target="embeddings/oleObject13.bin"/><Relationship Id="rId70" Type="http://schemas.openxmlformats.org/officeDocument/2006/relationships/hyperlink" Target="https://www.dibt.de" TargetMode="External"/><Relationship Id="rId91" Type="http://schemas.openxmlformats.org/officeDocument/2006/relationships/hyperlink" Target="http://echa.europa.eu/web/guest/information-on-chemicals/cl-inventory-database" TargetMode="External"/><Relationship Id="rId145" Type="http://schemas.openxmlformats.org/officeDocument/2006/relationships/image" Target="media/image23.wmf"/><Relationship Id="rId166" Type="http://schemas.openxmlformats.org/officeDocument/2006/relationships/oleObject" Target="embeddings/oleObject33.bin"/><Relationship Id="rId187" Type="http://schemas.openxmlformats.org/officeDocument/2006/relationships/image" Target="media/image45.wmf"/><Relationship Id="rId1" Type="http://schemas.openxmlformats.org/officeDocument/2006/relationships/customXml" Target="../customXml/item1.xml"/><Relationship Id="rId212" Type="http://schemas.openxmlformats.org/officeDocument/2006/relationships/header" Target="header55.xml"/><Relationship Id="rId233" Type="http://schemas.openxmlformats.org/officeDocument/2006/relationships/hyperlink" Target="https://www.dibt.de" TargetMode="External"/><Relationship Id="rId254" Type="http://schemas.openxmlformats.org/officeDocument/2006/relationships/hyperlink" Target="file:///\\ddibt.local\users\abr\Documentum\Checkout\shop.deutscherstahlbau.de" TargetMode="External"/><Relationship Id="rId28" Type="http://schemas.openxmlformats.org/officeDocument/2006/relationships/header" Target="header8.xml"/><Relationship Id="rId49" Type="http://schemas.openxmlformats.org/officeDocument/2006/relationships/footer" Target="footer18.xml"/><Relationship Id="rId114" Type="http://schemas.openxmlformats.org/officeDocument/2006/relationships/image" Target="media/image8.wmf"/><Relationship Id="rId275" Type="http://schemas.openxmlformats.org/officeDocument/2006/relationships/hyperlink" Target="https://www.ernst-und-sohn.de" TargetMode="External"/><Relationship Id="rId60" Type="http://schemas.openxmlformats.org/officeDocument/2006/relationships/footer" Target="footer23.xml"/><Relationship Id="rId81" Type="http://schemas.openxmlformats.org/officeDocument/2006/relationships/header" Target="header37.xml"/><Relationship Id="rId135" Type="http://schemas.openxmlformats.org/officeDocument/2006/relationships/image" Target="media/image18.wmf"/><Relationship Id="rId156" Type="http://schemas.openxmlformats.org/officeDocument/2006/relationships/oleObject" Target="embeddings/oleObject29.bin"/><Relationship Id="rId177" Type="http://schemas.openxmlformats.org/officeDocument/2006/relationships/image" Target="media/image40.wmf"/><Relationship Id="rId198" Type="http://schemas.openxmlformats.org/officeDocument/2006/relationships/oleObject" Target="embeddings/oleObject49.bin"/><Relationship Id="rId202" Type="http://schemas.openxmlformats.org/officeDocument/2006/relationships/image" Target="media/image52.wmf"/><Relationship Id="rId223" Type="http://schemas.openxmlformats.org/officeDocument/2006/relationships/hyperlink" Target="https://www.eota.eu" TargetMode="External"/><Relationship Id="rId244" Type="http://schemas.openxmlformats.org/officeDocument/2006/relationships/hyperlink" Target="https://www.beuth.de/" TargetMode="External"/><Relationship Id="rId18" Type="http://schemas.openxmlformats.org/officeDocument/2006/relationships/oleObject" Target="embeddings/oleObject3.bin"/><Relationship Id="rId39" Type="http://schemas.openxmlformats.org/officeDocument/2006/relationships/footer" Target="footer13.xml"/><Relationship Id="rId265" Type="http://schemas.openxmlformats.org/officeDocument/2006/relationships/hyperlink" Target="http://www.dibt.de" TargetMode="External"/><Relationship Id="rId286" Type="http://schemas.openxmlformats.org/officeDocument/2006/relationships/fontTable" Target="fontTable.xml"/><Relationship Id="rId50" Type="http://schemas.openxmlformats.org/officeDocument/2006/relationships/header" Target="header19.xml"/><Relationship Id="rId104" Type="http://schemas.openxmlformats.org/officeDocument/2006/relationships/image" Target="media/image5.wmf"/><Relationship Id="rId125" Type="http://schemas.openxmlformats.org/officeDocument/2006/relationships/image" Target="media/image13.wmf"/><Relationship Id="rId146" Type="http://schemas.openxmlformats.org/officeDocument/2006/relationships/oleObject" Target="embeddings/oleObject24.bin"/><Relationship Id="rId167" Type="http://schemas.openxmlformats.org/officeDocument/2006/relationships/image" Target="media/image35.wmf"/><Relationship Id="rId188" Type="http://schemas.openxmlformats.org/officeDocument/2006/relationships/oleObject" Target="embeddings/oleObject44.bin"/><Relationship Id="rId71" Type="http://schemas.openxmlformats.org/officeDocument/2006/relationships/hyperlink" Target="https://www.dibt.de" TargetMode="External"/><Relationship Id="rId92" Type="http://schemas.openxmlformats.org/officeDocument/2006/relationships/hyperlink" Target="https://ec.europa.eu/growth/sectors/construction/eu-lci/documents-glossary_en" TargetMode="External"/><Relationship Id="rId213" Type="http://schemas.openxmlformats.org/officeDocument/2006/relationships/header" Target="header56.xml"/><Relationship Id="rId234" Type="http://schemas.openxmlformats.org/officeDocument/2006/relationships/hyperlink" Target="https://www.beuth.de/" TargetMode="External"/><Relationship Id="rId2" Type="http://schemas.openxmlformats.org/officeDocument/2006/relationships/numbering" Target="numbering.xml"/><Relationship Id="rId29" Type="http://schemas.openxmlformats.org/officeDocument/2006/relationships/footer" Target="footer8.xml"/><Relationship Id="rId255" Type="http://schemas.openxmlformats.org/officeDocument/2006/relationships/hyperlink" Target="https://www.dibt.de" TargetMode="External"/><Relationship Id="rId276" Type="http://schemas.openxmlformats.org/officeDocument/2006/relationships/hyperlink" Target="https://www.fgsv-verlag.de" TargetMode="External"/><Relationship Id="rId40" Type="http://schemas.openxmlformats.org/officeDocument/2006/relationships/header" Target="header14.xml"/><Relationship Id="rId115" Type="http://schemas.openxmlformats.org/officeDocument/2006/relationships/oleObject" Target="embeddings/oleObject8.bin"/><Relationship Id="rId136" Type="http://schemas.openxmlformats.org/officeDocument/2006/relationships/oleObject" Target="embeddings/oleObject19.bin"/><Relationship Id="rId157" Type="http://schemas.openxmlformats.org/officeDocument/2006/relationships/image" Target="media/image29.emf"/><Relationship Id="rId178" Type="http://schemas.openxmlformats.org/officeDocument/2006/relationships/oleObject" Target="embeddings/oleObject39.bin"/><Relationship Id="rId61" Type="http://schemas.openxmlformats.org/officeDocument/2006/relationships/header" Target="header25.xml"/><Relationship Id="rId82" Type="http://schemas.openxmlformats.org/officeDocument/2006/relationships/footer" Target="footer28.xml"/><Relationship Id="rId199" Type="http://schemas.openxmlformats.org/officeDocument/2006/relationships/image" Target="media/image51.wmf"/><Relationship Id="rId203" Type="http://schemas.openxmlformats.org/officeDocument/2006/relationships/oleObject" Target="embeddings/oleObject52.bin"/><Relationship Id="rId19" Type="http://schemas.openxmlformats.org/officeDocument/2006/relationships/header" Target="header4.xml"/><Relationship Id="rId224" Type="http://schemas.openxmlformats.org/officeDocument/2006/relationships/hyperlink" Target="https://www.dibt.de" TargetMode="External"/><Relationship Id="rId245" Type="http://schemas.openxmlformats.org/officeDocument/2006/relationships/hyperlink" Target="https://www.beuth.de/" TargetMode="External"/><Relationship Id="rId266" Type="http://schemas.openxmlformats.org/officeDocument/2006/relationships/hyperlink" Target="https://www.dibt.de" TargetMode="External"/><Relationship Id="rId287" Type="http://schemas.openxmlformats.org/officeDocument/2006/relationships/glossaryDocument" Target="glossary/document.xml"/><Relationship Id="rId30" Type="http://schemas.openxmlformats.org/officeDocument/2006/relationships/header" Target="header9.xml"/><Relationship Id="rId105" Type="http://schemas.openxmlformats.org/officeDocument/2006/relationships/oleObject" Target="embeddings/oleObject4.bin"/><Relationship Id="rId126" Type="http://schemas.openxmlformats.org/officeDocument/2006/relationships/oleObject" Target="embeddings/oleObject14.bin"/><Relationship Id="rId147" Type="http://schemas.openxmlformats.org/officeDocument/2006/relationships/image" Target="media/image24.wmf"/><Relationship Id="rId168" Type="http://schemas.openxmlformats.org/officeDocument/2006/relationships/oleObject" Target="embeddings/oleObject34.bin"/><Relationship Id="rId51" Type="http://schemas.openxmlformats.org/officeDocument/2006/relationships/footer" Target="footer19.xml"/><Relationship Id="rId72" Type="http://schemas.openxmlformats.org/officeDocument/2006/relationships/header" Target="header30.xml"/><Relationship Id="rId93" Type="http://schemas.openxmlformats.org/officeDocument/2006/relationships/footer" Target="footer32.xml"/><Relationship Id="rId189" Type="http://schemas.openxmlformats.org/officeDocument/2006/relationships/image" Target="media/image46.wmf"/><Relationship Id="rId3" Type="http://schemas.openxmlformats.org/officeDocument/2006/relationships/styles" Target="styles.xml"/><Relationship Id="rId214" Type="http://schemas.openxmlformats.org/officeDocument/2006/relationships/footer" Target="footer41.xml"/><Relationship Id="rId235" Type="http://schemas.openxmlformats.org/officeDocument/2006/relationships/hyperlink" Target="https://www.beuth.de/" TargetMode="External"/><Relationship Id="rId256" Type="http://schemas.openxmlformats.org/officeDocument/2006/relationships/hyperlink" Target="https://www.dibt.de" TargetMode="External"/><Relationship Id="rId277" Type="http://schemas.openxmlformats.org/officeDocument/2006/relationships/hyperlink" Target="https://www.dibt.de" TargetMode="External"/><Relationship Id="rId116" Type="http://schemas.openxmlformats.org/officeDocument/2006/relationships/oleObject" Target="embeddings/oleObject9.bin"/><Relationship Id="rId137" Type="http://schemas.openxmlformats.org/officeDocument/2006/relationships/image" Target="media/image19.wmf"/><Relationship Id="rId158" Type="http://schemas.openxmlformats.org/officeDocument/2006/relationships/image" Target="media/image30.wmf"/><Relationship Id="rId20" Type="http://schemas.openxmlformats.org/officeDocument/2006/relationships/footer" Target="footer3.xml"/><Relationship Id="rId41" Type="http://schemas.openxmlformats.org/officeDocument/2006/relationships/footer" Target="footer14.xml"/><Relationship Id="rId62" Type="http://schemas.openxmlformats.org/officeDocument/2006/relationships/footer" Target="footer24.xml"/><Relationship Id="rId83" Type="http://schemas.openxmlformats.org/officeDocument/2006/relationships/header" Target="header38.xml"/><Relationship Id="rId179" Type="http://schemas.openxmlformats.org/officeDocument/2006/relationships/image" Target="media/image41.wmf"/><Relationship Id="rId190" Type="http://schemas.openxmlformats.org/officeDocument/2006/relationships/oleObject" Target="embeddings/oleObject45.bin"/><Relationship Id="rId204" Type="http://schemas.openxmlformats.org/officeDocument/2006/relationships/header" Target="header49.xml"/><Relationship Id="rId225" Type="http://schemas.openxmlformats.org/officeDocument/2006/relationships/hyperlink" Target="https://www.dibt.de" TargetMode="External"/><Relationship Id="rId246" Type="http://schemas.openxmlformats.org/officeDocument/2006/relationships/hyperlink" Target="https://www.beuth.de/" TargetMode="External"/><Relationship Id="rId267" Type="http://schemas.openxmlformats.org/officeDocument/2006/relationships/hyperlink" Target="https://www.dibt.de" TargetMode="External"/><Relationship Id="rId288" Type="http://schemas.openxmlformats.org/officeDocument/2006/relationships/theme" Target="theme/theme1.xml"/><Relationship Id="rId106" Type="http://schemas.openxmlformats.org/officeDocument/2006/relationships/footer" Target="footer37.xml"/><Relationship Id="rId127" Type="http://schemas.openxmlformats.org/officeDocument/2006/relationships/image" Target="media/image14.wmf"/><Relationship Id="rId10" Type="http://schemas.openxmlformats.org/officeDocument/2006/relationships/footer" Target="footer2.xml"/><Relationship Id="rId31" Type="http://schemas.openxmlformats.org/officeDocument/2006/relationships/footer" Target="footer9.xml"/><Relationship Id="rId52" Type="http://schemas.openxmlformats.org/officeDocument/2006/relationships/header" Target="header20.xml"/><Relationship Id="rId73" Type="http://schemas.openxmlformats.org/officeDocument/2006/relationships/header" Target="header31.xml"/><Relationship Id="rId94" Type="http://schemas.openxmlformats.org/officeDocument/2006/relationships/header" Target="header42.xml"/><Relationship Id="rId148" Type="http://schemas.openxmlformats.org/officeDocument/2006/relationships/oleObject" Target="embeddings/oleObject25.bin"/><Relationship Id="rId169" Type="http://schemas.openxmlformats.org/officeDocument/2006/relationships/image" Target="media/image36.wmf"/><Relationship Id="rId4" Type="http://schemas.openxmlformats.org/officeDocument/2006/relationships/settings" Target="settings.xml"/><Relationship Id="rId180" Type="http://schemas.openxmlformats.org/officeDocument/2006/relationships/oleObject" Target="embeddings/oleObject40.bin"/><Relationship Id="rId215" Type="http://schemas.openxmlformats.org/officeDocument/2006/relationships/header" Target="header57.xml"/><Relationship Id="rId236" Type="http://schemas.openxmlformats.org/officeDocument/2006/relationships/header" Target="header61.xml"/><Relationship Id="rId257" Type="http://schemas.openxmlformats.org/officeDocument/2006/relationships/hyperlink" Target="https://www.beuth.de/" TargetMode="External"/><Relationship Id="rId278" Type="http://schemas.openxmlformats.org/officeDocument/2006/relationships/hyperlink" Target="https://www.verkehrsblatt.de" TargetMode="External"/><Relationship Id="rId42" Type="http://schemas.openxmlformats.org/officeDocument/2006/relationships/header" Target="header15.xml"/><Relationship Id="rId84" Type="http://schemas.openxmlformats.org/officeDocument/2006/relationships/header" Target="header39.xml"/><Relationship Id="rId138" Type="http://schemas.openxmlformats.org/officeDocument/2006/relationships/oleObject" Target="embeddings/oleObject20.bin"/><Relationship Id="rId191" Type="http://schemas.openxmlformats.org/officeDocument/2006/relationships/image" Target="media/image47.wmf"/><Relationship Id="rId205" Type="http://schemas.openxmlformats.org/officeDocument/2006/relationships/footer" Target="footer39.xml"/><Relationship Id="rId247" Type="http://schemas.openxmlformats.org/officeDocument/2006/relationships/hyperlink" Target="https://www.beuth.de/" TargetMode="External"/><Relationship Id="rId107" Type="http://schemas.openxmlformats.org/officeDocument/2006/relationships/header" Target="header48.xml"/><Relationship Id="rId11" Type="http://schemas.openxmlformats.org/officeDocument/2006/relationships/header" Target="header2.xml"/><Relationship Id="rId53" Type="http://schemas.openxmlformats.org/officeDocument/2006/relationships/footer" Target="footer20.xml"/><Relationship Id="rId149" Type="http://schemas.openxmlformats.org/officeDocument/2006/relationships/image" Target="media/image25.wmf"/><Relationship Id="rId95" Type="http://schemas.openxmlformats.org/officeDocument/2006/relationships/footer" Target="footer33.xml"/><Relationship Id="rId160" Type="http://schemas.openxmlformats.org/officeDocument/2006/relationships/image" Target="media/image31.emf"/><Relationship Id="rId216" Type="http://schemas.openxmlformats.org/officeDocument/2006/relationships/header" Target="header58.xml"/><Relationship Id="rId258" Type="http://schemas.openxmlformats.org/officeDocument/2006/relationships/hyperlink" Target="https://www.ernst-und-sohn.de" TargetMode="External"/><Relationship Id="rId22" Type="http://schemas.openxmlformats.org/officeDocument/2006/relationships/footer" Target="footer4.xml"/><Relationship Id="rId64" Type="http://schemas.openxmlformats.org/officeDocument/2006/relationships/footer" Target="footer25.xml"/><Relationship Id="rId118" Type="http://schemas.openxmlformats.org/officeDocument/2006/relationships/oleObject" Target="embeddings/oleObject10.bin"/></Relationships>
</file>

<file path=word/_rels/header42.xml.rels><?xml version="1.0" encoding="UTF-8" standalone="yes"?>
<Relationships xmlns="http://schemas.openxmlformats.org/package/2006/relationships"><Relationship Id="rId1" Type="http://schemas.openxmlformats.org/officeDocument/2006/relationships/image" Target="media/image4.emf"/></Relationships>
</file>

<file path=word/_rels/header5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B9448B36E4E1B916F6024465EA7AB"/>
        <w:category>
          <w:name w:val="Allgemein"/>
          <w:gallery w:val="placeholder"/>
        </w:category>
        <w:types>
          <w:type w:val="bbPlcHdr"/>
        </w:types>
        <w:behaviors>
          <w:behavior w:val="content"/>
        </w:behaviors>
        <w:guid w:val="{31645C12-901F-449D-B0D2-635FB121B5E4}"/>
      </w:docPartPr>
      <w:docPartBody>
        <w:p w:rsidR="005103D1" w:rsidRDefault="00072AAC" w:rsidP="00072AAC">
          <w:pPr>
            <w:pStyle w:val="D36B9448B36E4E1B916F6024465EA7AB"/>
          </w:pPr>
          <w:r w:rsidRPr="005F7BF3">
            <w:rPr>
              <w:rStyle w:val="PlaceholderText"/>
            </w:rPr>
            <w:t>Klicken oder tippen Sie hier, um Text einzugeben.</w:t>
          </w:r>
        </w:p>
      </w:docPartBody>
    </w:docPart>
    <w:docPart>
      <w:docPartPr>
        <w:name w:val="7548AA62921440E38DFA10707A25A923"/>
        <w:category>
          <w:name w:val="Allgemein"/>
          <w:gallery w:val="placeholder"/>
        </w:category>
        <w:types>
          <w:type w:val="bbPlcHdr"/>
        </w:types>
        <w:behaviors>
          <w:behavior w:val="content"/>
        </w:behaviors>
        <w:guid w:val="{A43C73F3-C98B-443D-B70E-021CF7C4D224}"/>
      </w:docPartPr>
      <w:docPartBody>
        <w:p w:rsidR="00796165" w:rsidRDefault="00796165" w:rsidP="00796165">
          <w:pPr>
            <w:pStyle w:val="7548AA62921440E38DFA10707A25A923"/>
          </w:pPr>
          <w:r w:rsidRPr="005F7BF3">
            <w:rPr>
              <w:rStyle w:val="PlaceholderText"/>
            </w:rPr>
            <w:t>Klicken oder tippen Sie hier, um Text einzugeben.</w:t>
          </w:r>
        </w:p>
      </w:docPartBody>
    </w:docPart>
    <w:docPart>
      <w:docPartPr>
        <w:name w:val="42F4ACBCF8AC4B26B3DC9BC366462EFA"/>
        <w:category>
          <w:name w:val="Allgemein"/>
          <w:gallery w:val="placeholder"/>
        </w:category>
        <w:types>
          <w:type w:val="bbPlcHdr"/>
        </w:types>
        <w:behaviors>
          <w:behavior w:val="content"/>
        </w:behaviors>
        <w:guid w:val="{4399B9BC-6AE0-4340-A19C-98CAC792F21E}"/>
      </w:docPartPr>
      <w:docPartBody>
        <w:p w:rsidR="004A2A8A" w:rsidRDefault="004A2A8A" w:rsidP="004A2A8A">
          <w:pPr>
            <w:pStyle w:val="42F4ACBCF8AC4B26B3DC9BC366462EFA"/>
          </w:pPr>
          <w:r w:rsidRPr="005F7BF3">
            <w:rPr>
              <w:rStyle w:val="PlaceholderText"/>
            </w:rPr>
            <w:t>Klicken oder tippen Sie hier, um Text einzugeben.</w:t>
          </w:r>
        </w:p>
      </w:docPartBody>
    </w:docPart>
    <w:docPart>
      <w:docPartPr>
        <w:name w:val="635C0C19CBE24DF0B82D5C1D68FE7826"/>
        <w:category>
          <w:name w:val="Allgemein"/>
          <w:gallery w:val="placeholder"/>
        </w:category>
        <w:types>
          <w:type w:val="bbPlcHdr"/>
        </w:types>
        <w:behaviors>
          <w:behavior w:val="content"/>
        </w:behaviors>
        <w:guid w:val="{F90EE858-13FA-4D56-9D94-0A4A9E6E6FE5}"/>
      </w:docPartPr>
      <w:docPartBody>
        <w:p w:rsidR="00B8618B" w:rsidRDefault="00B8618B" w:rsidP="00B8618B">
          <w:pPr>
            <w:pStyle w:val="635C0C19CBE24DF0B82D5C1D68FE7826"/>
          </w:pPr>
          <w:r w:rsidRPr="005F7BF3">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59"/>
    <w:rsid w:val="00072AAC"/>
    <w:rsid w:val="000D0D02"/>
    <w:rsid w:val="000F41A6"/>
    <w:rsid w:val="001252B0"/>
    <w:rsid w:val="00243F43"/>
    <w:rsid w:val="002C2CF5"/>
    <w:rsid w:val="002E7159"/>
    <w:rsid w:val="002F26BC"/>
    <w:rsid w:val="004A2A8A"/>
    <w:rsid w:val="005103D1"/>
    <w:rsid w:val="00605C36"/>
    <w:rsid w:val="00642311"/>
    <w:rsid w:val="0079052A"/>
    <w:rsid w:val="00796165"/>
    <w:rsid w:val="007D4708"/>
    <w:rsid w:val="00855AA6"/>
    <w:rsid w:val="00866B2F"/>
    <w:rsid w:val="008D2EBC"/>
    <w:rsid w:val="00935858"/>
    <w:rsid w:val="00A22D6F"/>
    <w:rsid w:val="00AF4252"/>
    <w:rsid w:val="00B8618B"/>
    <w:rsid w:val="00E2688D"/>
    <w:rsid w:val="00E415A3"/>
    <w:rsid w:val="00EC3D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618B"/>
    <w:rPr>
      <w:color w:val="808080"/>
    </w:rPr>
  </w:style>
  <w:style w:type="paragraph" w:customStyle="1" w:styleId="D36B9448B36E4E1B916F6024465EA7AB">
    <w:name w:val="D36B9448B36E4E1B916F6024465EA7AB"/>
    <w:rsid w:val="00072AAC"/>
  </w:style>
  <w:style w:type="paragraph" w:customStyle="1" w:styleId="7548AA62921440E38DFA10707A25A923">
    <w:name w:val="7548AA62921440E38DFA10707A25A923"/>
    <w:rsid w:val="00796165"/>
  </w:style>
  <w:style w:type="paragraph" w:customStyle="1" w:styleId="42F4ACBCF8AC4B26B3DC9BC366462EFA">
    <w:name w:val="42F4ACBCF8AC4B26B3DC9BC366462EFA"/>
    <w:rsid w:val="004A2A8A"/>
  </w:style>
  <w:style w:type="paragraph" w:customStyle="1" w:styleId="635C0C19CBE24DF0B82D5C1D68FE7826">
    <w:name w:val="635C0C19CBE24DF0B82D5C1D68FE7826"/>
    <w:rsid w:val="00B86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01</b:Tag>
    <b:SourceType>Misc</b:SourceType>
    <b:Guid>{B8942F02-AA32-4D40-B7BD-380F572D82F5}</b:Guid>
    <b:Title>ETAG 009:2002-06 Nicht lasttragende verlorene Schalungsbausätze/-systeme bestehend aus Schalungs-/Mantelsteinen oder -elementen aus Wärmedämmstoffen und – mitunter – aus Beton</b:Title>
    <b:PublicationTitle>Nicht lasttragende verlorene Schalungsbausätze/-systeme bestehend aus Schalungs-/Mantelsteinen oder -elementen aus Wärmedämmstoffen und – mitunter – aus Beton</b:PublicationTitle>
    <b:RefOrder>1</b:RefOrder>
  </b:Source>
  <b:Source>
    <b:Tag>02</b:Tag>
    <b:SourceType>Misc</b:SourceType>
    <b:Guid>{EC993D00-6AB2-4419-9429-092091832EBF}</b:Guid>
    <b:Title>DIN EN 15435:2008-10 Betonfertigteile - Schalungssteine aus Normal- und Leichtbeton - Produkteigenschaften und Leistungsmerkmale; Deutsche Fassung EN 15435:2008</b:Title>
    <b:RefOrder>2</b:RefOrder>
  </b:Source>
  <b:Source>
    <b:Tag>03</b:Tag>
    <b:SourceType>Misc</b:SourceType>
    <b:Guid>{7602557D-8980-495F-AA67-5FFB0B011E8F}</b:Guid>
    <b:Title>DIN EN 15498:2008-08 	Betonfertigteile - Holzspanbeton-Schalungssteine - Produkteigenschaften und Leistungsmerkmale; Deutsche Fassung EN 15498:2008</b:Title>
    <b:RefOrder>3</b:RefOrder>
  </b:Source>
  <b:Source>
    <b:Tag>04</b:Tag>
    <b:SourceType>Misc</b:SourceType>
    <b:Guid>{9747F6EC-A4B0-4FCF-8E63-054D3A9A742A}</b:Guid>
    <b:Title>DIN 18218:2010-01	Frischbetondruck auf lotrechte Schalungen</b:Title>
    <b:RefOrder>4</b:RefOrder>
  </b:Source>
  <b:Source>
    <b:Tag>05</b:Tag>
    <b:SourceType>Misc</b:SourceType>
    <b:Guid>{D58A94FE-D03E-401D-AB78-FCBE43DA4FEC}</b:Guid>
    <b:Title>DIN EN 1990:2010-12 	Eurocode: Grundlagen der Tragwerksplanung; Deutsche Fassung EN 1990:2002+A1:2005+A1:2005/AC:2010</b:Title>
    <b:RefOrder>5</b:RefOrder>
  </b:Source>
  <b:Source>
    <b:Tag>06</b:Tag>
    <b:SourceType>Misc</b:SourceType>
    <b:Guid>{852A6CB6-C88D-4B85-A62C-B9F14D25664E}</b:Guid>
    <b:Title>DIN EN 1990/NA:2010-12 	Nationaler Anhang - National festgelegte Parameter - Eurocode: Grundlagen der Tragwerksplanung</b:Title>
    <b:RefOrder>6</b:RefOrder>
  </b:Source>
  <b:Source>
    <b:Tag>07</b:Tag>
    <b:SourceType>Misc</b:SourceType>
    <b:Guid>{B3C161ED-14FB-4A28-B29E-93F057F7C658}</b:Guid>
    <b:Title>DIN EN 1992-1-1:2011-01	Eurocode 2: Bemessung und Konstruktion von Stahlbeton- und DIN EN 1992-1-1/A1:2015-03	Spannbetontragwerken - Teil 1-1: Allgemeine Bemessungsregeln und Regeln für den Hochbau; Deutsche Fassung EN 1992 1 1:2004 + AC:2010</b:Title>
    <b:RefOrder>7</b:RefOrder>
  </b:Source>
  <b:Source>
    <b:Tag>08</b:Tag>
    <b:SourceType>Misc</b:SourceType>
    <b:Guid>{8367D70D-8895-4AA7-84F3-F5A1BFE0E265}</b:Guid>
    <b:Title>DIN EN 1992-1-1/NA	Nationaler Anhang: 2013-04 - Nationaler Anhang – National DIN EN 1992-1-1/NA/A1:2015-12	festgelegte Parameter - Eurocode 2: Bemessung und Konstruktion von Stahlbeton- und Spannbetontragwerken - Teil 1-1: Allgemeine Bemessungsregeln und</b:Title>
    <b:RefOrder>8</b:RefOrder>
  </b:Source>
  <b:Source>
    <b:Tag>09</b:Tag>
    <b:SourceType>Misc</b:SourceType>
    <b:Guid>{2DB086DB-8C61-43DB-A3E9-44A1BE48C382}</b:Guid>
    <b:Title>DIN 4103-1:2015-06	Nichttragende innere Trennwände – Teil 1: Anforderungen und Nachweise</b:Title>
    <b:RefOrder>9</b:RefOrder>
  </b:Source>
  <b:Source>
    <b:Tag>10</b:Tag>
    <b:SourceType>Misc</b:SourceType>
    <b:Guid>{771687C5-A039-429B-8789-84A29AB9BECA}</b:Guid>
    <b:Title>DIN EN 206-1:2001-07	Beton - Teil 1: Festlegung, Eigenschaften, Herstellung und Konformität; Deutsche Fassung EN 206-1:2000 DIN EN 206-1/A1:2004-10	Änderung A1 DIN EN 206-1/A2:2005-09	Änderung A2</b:Title>
    <b:RefOrder>10</b:RefOrder>
  </b:Source>
  <b:Source>
    <b:Tag>11</b:Tag>
    <b:SourceType>Misc</b:SourceType>
    <b:Guid>{784B6FBB-6165-45E9-9876-B3EA5F5BF55A}</b:Guid>
    <b:Title>DIN 1045-2:2008-08	Tragwerke aus Beton, Stahlbeton und Spannbeton - Teil 2: Beton - Festlegung, Eigenschaften, Herstellung und Konformität - Anwendungsregeln zu DIN EN 206 1</b:Title>
    <b:RefOrder>11</b:RefOrder>
  </b:Source>
  <b:Source>
    <b:Tag>12</b:Tag>
    <b:SourceType>Misc</b:SourceType>
    <b:Guid>{07634A14-A03C-4080-9ECA-A5A265C9E983}</b:Guid>
    <b:Title>DBV-Merkblatt 	Betonierbarkeit von Bauteilen aus Beton und Stahlbeton – Planungs- und Ausführungsempfehlungen für den Betoneinbau - 01/2014</b:Title>
    <b:RefOrder>12</b:RefOrder>
  </b:Source>
  <b:Source>
    <b:Tag>13</b:Tag>
    <b:SourceType>Misc</b:SourceType>
    <b:Guid>{55BCB5CF-E50C-4B9A-B921-F7FDCB54B7EF}</b:Guid>
    <b:Title>DIN 18202:2013-04	Toleranzen im Hochbau - Bauwerke</b:Title>
    <b:RefOrder>13</b:RefOrder>
  </b:Source>
  <b:Source>
    <b:Tag>14</b:Tag>
    <b:SourceType>Misc</b:SourceType>
    <b:Guid>{0DE32C34-5C3C-4C46-895F-0174E7C48D5B}</b:Guid>
    <b:Title>DIN EN 1992-1-2:2010-12	Bemessung und Konstruktion von Stahlbeton- und Spannbetontragwerken – Teil 1-2: Allgemeine Regeln – Tragwerksbemessung für den Brandfall; Deutsche Fassung EN 1992 1-2:2004 + AC:2008</b:Title>
    <b:RefOrder>14</b:RefOrder>
  </b:Source>
  <b:Source>
    <b:Tag>15</b:Tag>
    <b:SourceType>Misc</b:SourceType>
    <b:Guid>{5E0917F9-1EC2-4A13-A2D5-F96B3A75EB70}</b:Guid>
    <b:Title>DIN EN 1992-1-2/NA:2010-12 Nationaler Anhang – National festgelegte Parameter – Eurocode 2: Bemessung und Konstruktion von Stahlbeton- und Spannbetontragwerken – Teil 1-2: Allgemeine Regeln - Tragwerksbemessung für den Brandfall</b:Title>
    <b:RefOrder>15</b:RefOrder>
  </b:Source>
  <b:Source>
    <b:Tag>16</b:Tag>
    <b:SourceType>Misc</b:SourceType>
    <b:Guid>{6B8E3721-56BC-431A-B74E-FDE296FDBEDF}</b:Guid>
    <b:Title>DIN EN 13163:2017-02 Wärmedämmstoffe für Gebäude - Werkmäßig hergestellte Produkte aus expandiertem Polystyrol (EPS) - Spezifikation; Deutsche Fassung EN 13163:2012+A2:2016</b:Title>
    <b:RefOrder>16</b:RefOrder>
  </b:Source>
  <b:Source>
    <b:Tag>17</b:Tag>
    <b:SourceType>Misc</b:SourceType>
    <b:Guid>{D1169A9F-3DE0-4EA8-AAC0-39B2FE53BF08}</b:Guid>
    <b:Title>DIN EN 13501-1:2010-01 Klassifizierung von Bauprodukten und Bauarten zu ihrem Brandverhalten – Teil 1: Klassifizierung mit den Ergebnissen aus den Prüfungen zum Brandverhalten von Bauprodukten; Deutsche Fassung EN 13501 1:2007+A1:2009</b:Title>
    <b:RefOrder>17</b:RefOrder>
  </b:Source>
  <b:Source>
    <b:Tag>18</b:Tag>
    <b:SourceType>Misc</b:SourceType>
    <b:Guid>{FBE9810E-9C42-440E-8640-F828486B2EE0}</b:Guid>
    <b:Title>DIN 4109-1:2018-01	Schallschutz im Hochbau – Teil 1: Mindestanforderungen</b:Title>
    <b:RefOrder>18</b:RefOrder>
  </b:Source>
  <b:Source>
    <b:Tag>19</b:Tag>
    <b:SourceType>Misc</b:SourceType>
    <b:Guid>{8DBE0FFE-7055-468A-A57C-504E4B32EB16}</b:Guid>
    <b:Title>DIN 4109-32:2016-07	Schallschutz im Hochbau – Teil 32: Daten für die rechnerischen Nachweise des Schallschutzes (Bauteilkatalog) – Massivbau</b:Title>
    <b:RefOrder>19</b:RefOrder>
  </b:Source>
  <b:Source>
    <b:Tag>20</b:Tag>
    <b:SourceType>Misc</b:SourceType>
    <b:Guid>{C179244F-A11B-409C-99F9-B90C05C7FF6B}</b:Guid>
    <b:Title>DIN 4108-4:2017-03	Wärmeschutz und Energie-Einsparung in Gebäuden - Teil 4: Wärme- und feuchteschutztechnische Bemessungswerte</b:Title>
    <b:RefOrder>20</b:RefOrder>
  </b:Source>
</b:Sources>
</file>

<file path=customXml/itemProps1.xml><?xml version="1.0" encoding="utf-8"?>
<ds:datastoreItem xmlns:ds="http://schemas.openxmlformats.org/officeDocument/2006/customXml" ds:itemID="{9B710AFB-4723-45F3-861D-48862CE8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194</Pages>
  <Words>70926</Words>
  <Characters>405762</Characters>
  <Application>Microsoft Office Word</Application>
  <DocSecurity>0</DocSecurity>
  <Lines>3381</Lines>
  <Paragraphs>951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220033127-563011</vt:lpstr>
      <vt:lpstr>220033127-563011</vt:lpstr>
    </vt:vector>
  </TitlesOfParts>
  <Company>Deutsches Institut für Bautechnik</Company>
  <LinksUpToDate>false</LinksUpToDate>
  <CharactersWithSpaces>475737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220033127-563011</dc:title>
  <dc:subject/>
  <dc:creator>kerstin leibrich</dc:creator>
  <cp:keywords/>
  <dc:description/>
  <cp:lastModifiedBy>Liana Brili</cp:lastModifiedBy>
  <cp:revision>28</cp:revision>
  <cp:lastPrinted>2022-06-10T06:45:00Z</cp:lastPrinted>
  <dcterms:created xsi:type="dcterms:W3CDTF">2022-12-09T09:49:00Z</dcterms:created>
  <dcterms:modified xsi:type="dcterms:W3CDTF">2023-01-13T10:51:00Z</dcterms:modified>
</cp:coreProperties>
</file>