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Uredba Vlade br. 559/2023 od 14. prosinca 2023. o</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djelatnostima sprečavanja proizvodnje biorazgradivog otpada, detaljnim pravilima za djelatnosti gospodarenja otpadom povezane s biorazgradivim otpadom i pravilima za klasifikaciju komposta proizvedenog od biootpada</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U skladu s odobrenjem dodijeljenim člankom 88. stavkom 1. točkama 28. i 29.</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r>
        <w:rPr>
          <w:rFonts w:ascii="Times New Roman" w:hAnsi="Times New Roman"/>
          <w:sz w:val="24"/>
        </w:rPr>
        <w:t>Zakona CLXXXV iz 2012. o otpadu te s obzirom na članak 20., na temelju odobrenja dodijeljenog na temelju članka 31. stavka 1. točke (a) podtočke (ac) Zakona CXXX iz 2010. o zakonodavstvu i djelujući u okviru svojih funkcija utvrđenih u članku 15. stavku 1.</w:t>
      </w: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Temeljnog zakona, Vlada utvrđuje sljedeće:</w:t>
      </w: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Područje primjene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1. Stavak</w:t>
      </w:r>
      <w:r>
        <w:rPr>
          <w:rFonts w:ascii="Times New Roman" w:hAnsi="Times New Roman"/>
          <w:sz w:val="24"/>
        </w:rPr>
        <w:t xml:space="preserve"> (1) Ova se Uredba odnosi na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sprečavanje proizvodnje biorazgradivog otpada;</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biorazgradivi otpad;</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stabilizirani otpad;</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miješani otpad;</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ostatak fermentacije;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kompostiranje u kućanstvima i zajednici;</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kompostiranje na licu mjesta;</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bioplastiku koja se može kompostirati;</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pomoćne tvari u preradi za kompostiranje na licu mjesta;</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stabilizaciju;</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proizvodnju bioplina;</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pomoćne tvari u preradi za proizvodnju bioplina i</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prestanak statusa otpada biorazgradivog otpada.</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Ova se Uredba ne primjenjuje na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biološko odlaganje kontaminiranih geoloških formacija ili iskopanih kontaminiranih tla u postupku sanacije;</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površinske i podzemne ostatke usjeva nastalih tijekom poljoprivredne i šumarske djelatnosti;</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bioplin koji se prirodno stvara na odlagalištu otpada i</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otpad od ulja za kuhanje i masti obuhvaćen programom proširene odgovornosti proizvođača.</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Definicije</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2. </w:t>
      </w:r>
      <w:r>
        <w:rPr>
          <w:rFonts w:ascii="Times New Roman" w:hAnsi="Times New Roman"/>
          <w:sz w:val="24"/>
        </w:rPr>
        <w:t xml:space="preserve"> U svrhu ove Uredbe:</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nusproizvod životinjskog podrijetla:</w:t>
      </w:r>
      <w:r>
        <w:rPr>
          <w:rFonts w:ascii="Times New Roman" w:hAnsi="Times New Roman"/>
          <w:sz w:val="24"/>
        </w:rPr>
        <w:t xml:space="preserve"> nusproizvodi životinjskog podrijetla u smislu članka 3. stavka 1. Uredbe (EZ) br. 1069/2009 Europskog parlamenta i Vijeća od 21. listopada 2009. o utvrđivanju zdravstvenih pravila za nusproizvode životinjskog podrijetla i od njih dobivene proizvode koji nisu namijenjeni prehrani ljudi te o stavljanju izvan snage Uredbe (EZ) br. 1774/2002 (dalje u tekstu: Uredba o nusproizvodima životinjskog podrijetla);</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dobiveni proizvodi:</w:t>
      </w:r>
      <w:r>
        <w:rPr>
          <w:rFonts w:ascii="Times New Roman" w:hAnsi="Times New Roman"/>
          <w:sz w:val="24"/>
        </w:rPr>
        <w:t xml:space="preserve"> proizvodi dobiveni od nusproizvoda životinjskog podrijetla u smislu članka 3. stavka 2. Uredbe (EZ) br. 1069/2009 Europskog parlamenta i Vijeća od 21. listopada 2009. o utvrđivanju zdravstvenih pravila za nusproizvode životinjskog podrijetla i od njih dobivene proizvode koji nisu namijenjeni prehrani ljudi te o stavljanju izvan snage Uredbe (EZ) br. 1774/2002 (dalje u tekstu: Uredba o nusproizvodima životinjskog podrijetla);</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bioplin:</w:t>
      </w:r>
      <w:r>
        <w:rPr>
          <w:rFonts w:ascii="Times New Roman" w:hAnsi="Times New Roman"/>
          <w:sz w:val="24"/>
        </w:rPr>
        <w:t xml:space="preserve"> mješavina metana, ugljikova dioksida i tragova plinova nastala tijekom anaerobne razgradnje biorazgradive tvari;</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proizvodnja bioplina:</w:t>
      </w:r>
      <w:r>
        <w:rPr>
          <w:rFonts w:ascii="Times New Roman" w:hAnsi="Times New Roman"/>
          <w:sz w:val="24"/>
        </w:rPr>
        <w:t xml:space="preserve"> postupak oporabe u kojem se biorazgradivi materijal ili otpad razgrađuje u kontroliranim uvjetima, u anaerobnom okruženju, uz uporabu mikroorganizama, što dovodi do stvaranja bioplina i ostataka fermentacije kao posljedice razgradnje;</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biološka obrada:</w:t>
      </w:r>
      <w:r>
        <w:rPr>
          <w:rFonts w:ascii="Times New Roman" w:hAnsi="Times New Roman"/>
          <w:sz w:val="24"/>
        </w:rPr>
        <w:t xml:space="preserve"> proizvodnja bioplina, prethodna obrada zelenog otpada, kompostiranje i stabilizacija;</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područje za predobradu:</w:t>
      </w:r>
      <w:r>
        <w:rPr>
          <w:rFonts w:ascii="Times New Roman" w:hAnsi="Times New Roman"/>
          <w:sz w:val="24"/>
        </w:rPr>
        <w:t xml:space="preserve"> mjesto ili područje s tehničkom zaštitom, koje je dio lokacije koja se upotrebljava za pripremu biološke obrade i na kojem se započinje obrada biorazgradivog otpada;</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ostatak od fermentacije:</w:t>
      </w:r>
      <w:r>
        <w:rPr>
          <w:rFonts w:ascii="Times New Roman" w:hAnsi="Times New Roman"/>
          <w:sz w:val="24"/>
        </w:rPr>
        <w:t xml:space="preserve"> kruti ili tekući otpad nastao tijekom proizvodnje bioplina;</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otpad od hrane:</w:t>
      </w:r>
      <w:r>
        <w:rPr>
          <w:rFonts w:ascii="Times New Roman" w:hAnsi="Times New Roman"/>
          <w:sz w:val="24"/>
        </w:rPr>
        <w:t xml:space="preserve"> otpad od hrane kako je definiran u Prilogu 1. Uredbi Komisije (EU) br. 142/2011 o provedbi Uredbe (EZ) br. 1069/2009 Europskog parlamenta i Vijeća o utvrđivanju zdravstvenih pravila za nusproizvode životinjskog podrijetla i od njih dobivene proizvode koji nisu namijenjeni prehrani ljudi i o provedbi Direktive Vijeća 97/78/EZ u pogledu određenih uzoraka i predmeta koji su oslobođeni veterinarskih pregleda na granici na temelju te Direktive, i hrana u smislu članka 2. Uredbe (EZ) br. 178/2002 Europskog parlamenta i </w:t>
      </w:r>
      <w:r>
        <w:rPr>
          <w:rFonts w:ascii="Times New Roman" w:hAnsi="Times New Roman"/>
          <w:sz w:val="24"/>
        </w:rPr>
        <w:lastRenderedPageBreak/>
        <w:t>Vijeća od 28. siječnja 2002. o utvrđivanju općih načela i zahtjeva zakona o hrani, osnivanju Europske agencije za sigurnost hrane i utvrđivanju postupaka u područjima sigurnosti hrane – koja je postala otpad;</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kompostiranje u kućanstvu:</w:t>
      </w:r>
      <w:r>
        <w:rPr>
          <w:rFonts w:ascii="Times New Roman" w:hAnsi="Times New Roman"/>
          <w:sz w:val="24"/>
        </w:rPr>
        <w:t xml:space="preserve"> prerada za vlastitu uporabu zelenog otpada i kuhinjskog zelenog otpada ili druge organske tvari biljnog podrijetla, u nekretnini gdje je proizvedena ili u kojoj je nastala, ili na području druge nekretnine za dobivanje komposta u kućanstvu, kako bi se biljkama osigurale hranjive tvari, pri čemu obrada rezultira stvaranjem domaćeg komposta;</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higijenizacija:</w:t>
      </w:r>
      <w:r>
        <w:rPr>
          <w:rFonts w:ascii="Times New Roman" w:hAnsi="Times New Roman"/>
          <w:sz w:val="24"/>
        </w:rPr>
        <w:t xml:space="preserve"> minimiziranje vegetativnog oblika zaraznih mikroba u biorazgradivom otpadu kako bi se isključila infekcija;</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otpad na temelju Priloga 1., kao i materijal sličan humusu s visokim sadržajem organskih tvari, kako je definirano u posebnom zakonodavstvu, koji se proizvodi od zelenog otpada iz kućanstava i kuhinjskog zelenog otpada, uz uporabu pomoćnih sredstava za preradu, tijekom kompostiranja u kućanstvu i u zajednici ili na licu mjesta, i koji je prestao biti otpad;</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jedinica za kompostiranje:</w:t>
      </w:r>
      <w:r>
        <w:rPr>
          <w:rFonts w:ascii="Times New Roman" w:hAnsi="Times New Roman"/>
          <w:sz w:val="24"/>
        </w:rPr>
        <w:t xml:space="preserve"> serija biorazgradivog otpada i pomoćna sredstva za preradu koji se obrađuje na ujednačen način u skladu s primijenjenom tehnologijom, nakon postupaka predobrade;</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serija komposta:</w:t>
      </w:r>
      <w:r>
        <w:rPr>
          <w:rFonts w:ascii="Times New Roman" w:hAnsi="Times New Roman"/>
          <w:sz w:val="24"/>
        </w:rPr>
        <w:t xml:space="preserve"> kompost iz iste jedinice za kompostiranje;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biorazgradivi otpad obuhvaćen koncesijom:</w:t>
      </w:r>
      <w:r>
        <w:rPr>
          <w:rFonts w:ascii="Times New Roman" w:hAnsi="Times New Roman"/>
          <w:sz w:val="24"/>
        </w:rPr>
        <w:t xml:space="preserve"> zeleni biljni otpad koji je biorazgradiv, potječe iz vrta ili parka i obuhvaćen je koncesijom na temelju Zakona o otpadu, kao i kuhinjski zeleni otpad i otpad od hrane koji se obrađuje kao otpad sličan otpadu iz kućanstva ili (neposlovnog subjekta) korisnika nekretnina ili kuhinjski zeleni otpad i otpad od hrane koji je proizveo (gospodarska organizacija) vlasnik nekretnina koji nije gospodarski subjekt u skladu s ministarskom uredbom o utvrđivanju pravila o zdravlju životinja za nusproizvode životinjskog podrijetla koji nisu namijenjeni prehrani ljudi;</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otpad od kuhinjske hrane:</w:t>
      </w:r>
      <w:r>
        <w:rPr>
          <w:rFonts w:ascii="Times New Roman" w:hAnsi="Times New Roman"/>
          <w:sz w:val="24"/>
        </w:rPr>
        <w:t xml:space="preserve"> kuhinjska hrana i hrana namijenjena prehrani ljudi u kućanstvima, koja je postala otpad i koja se ne smatra kuhinjskim zelenim otpadom;</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kuhinjski zeleni otpad:</w:t>
      </w:r>
      <w:r>
        <w:rPr>
          <w:rFonts w:ascii="Times New Roman" w:hAnsi="Times New Roman"/>
          <w:sz w:val="24"/>
        </w:rPr>
        <w:t xml:space="preserve"> kuhinjski biljni otpad iz kućanstava smatra se kuhinjskim zelenim otpadom, pri čemu kuhinjski biljni otpad sadržava sirovo povrće i ostatke voća, kave (ne uključujući filtre, kapsule i drugi ambalažni materijal), listove čaja (bez vrećice i drugog ambalažnog materijala), začine, začinsko bilje, ljuske jaja;</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općinsko prikupljanje:</w:t>
      </w:r>
      <w:r>
        <w:rPr>
          <w:rFonts w:ascii="Times New Roman" w:hAnsi="Times New Roman"/>
          <w:sz w:val="24"/>
        </w:rPr>
        <w:t xml:space="preserve"> odvojeno prikupljanje zelenog otpada i kuhinjskog zelenog otpada na lokaciji u blizini stambenih zgrada koje provodi zajednica korisnika nekretnina (fizičkih osoba) koji žive u nizu stambenih zgrada;</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općinsko kompostiranje:</w:t>
      </w:r>
      <w:r>
        <w:rPr>
          <w:rFonts w:ascii="Times New Roman" w:hAnsi="Times New Roman"/>
          <w:sz w:val="24"/>
        </w:rPr>
        <w:t xml:space="preserve"> kompostiranje kod kuće, pri čemu prethodnu obradu kompostiranja, kompostiranje i uporabu komposta zajednički provode stanovi, stambene zadruge ili male zajednice;</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intenzitet udisanja:</w:t>
      </w:r>
      <w:r>
        <w:rPr>
          <w:rFonts w:ascii="Times New Roman" w:hAnsi="Times New Roman"/>
          <w:sz w:val="24"/>
        </w:rPr>
        <w:t xml:space="preserve"> potrošnja kisika u sadržaju organske tvari u biorazgradivom otpadu [mg O</w:t>
      </w:r>
      <w:r>
        <w:rPr>
          <w:rFonts w:ascii="Times New Roman" w:hAnsi="Times New Roman"/>
          <w:sz w:val="24"/>
          <w:vertAlign w:val="subscript"/>
        </w:rPr>
        <w:t>2</w:t>
      </w:r>
      <w:r>
        <w:rPr>
          <w:rFonts w:ascii="Times New Roman" w:hAnsi="Times New Roman"/>
          <w:sz w:val="24"/>
        </w:rPr>
        <w:t>/g suhe tvari];</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certificirani kompost proizvoda:</w:t>
      </w:r>
      <w:r>
        <w:rPr>
          <w:rFonts w:ascii="Times New Roman" w:hAnsi="Times New Roman"/>
          <w:sz w:val="24"/>
        </w:rPr>
        <w:t xml:space="preserve"> otpad prema Prilogu 1., kao i proizvodi za gnojidbu i poboljšanje tla koji više nemaju status otpada i prikladni su za poljoprivrednu uporabu kako je </w:t>
      </w:r>
      <w:r>
        <w:rPr>
          <w:rFonts w:ascii="Times New Roman" w:hAnsi="Times New Roman"/>
          <w:sz w:val="24"/>
        </w:rPr>
        <w:lastRenderedPageBreak/>
        <w:t>predviđeno u odobrenju; takve tvari slične humusu i tvari za poboljšanje tla proizvode se kompostiranjem na licu mjesta uz pomoć pomoćnih tvari u preradi, bogate su biljnim hranjivim tvarima, imaju visok udio organskih tvari te su odobrene za stavljanje na tržište u skladu s ministarskom uredbom o odobrenju, skladištenju, stavljanju na tržište i uporabi proizvoda za povećanje prinosa;</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otvoreni sustav kompostiranja:</w:t>
      </w:r>
      <w:r>
        <w:rPr>
          <w:rFonts w:ascii="Times New Roman" w:hAnsi="Times New Roman"/>
          <w:sz w:val="24"/>
        </w:rPr>
        <w:t xml:space="preserve"> tehnologija kompostiranja koja se upotrebljava na mjestu kompostiranja, pri čemu je jedinica za kompostiranje u izravnom dodiru sa zrakom i nije pokrivena tehničkim ili arhitektonskim elementima;</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stabilizacija:</w:t>
      </w:r>
      <w:r>
        <w:rPr>
          <w:rFonts w:ascii="Times New Roman" w:hAnsi="Times New Roman"/>
          <w:sz w:val="24"/>
        </w:rPr>
        <w:t xml:space="preserve"> postupak predobrade u kojem se biorazgradivost miješanog otpada (koji sadržava biorazgradivi otpad) smanjuje potrebnim kombinacijama mehaničkih i bioloških procesa, što dovodi do smanjenja intenziteta disanja i stvaranja stabiliziranog otpada koji zadovoljava higijenske uvjete, čiji je intenzitet disanja (AT4) manji od 10 mg O</w:t>
      </w:r>
      <w:r>
        <w:rPr>
          <w:rFonts w:ascii="Times New Roman" w:hAnsi="Times New Roman"/>
          <w:sz w:val="24"/>
          <w:vertAlign w:val="subscript"/>
        </w:rPr>
        <w:t>2</w:t>
      </w:r>
      <w:r>
        <w:rPr>
          <w:rFonts w:ascii="Times New Roman" w:hAnsi="Times New Roman"/>
          <w:sz w:val="24"/>
        </w:rPr>
        <w:t>/g suhe tvari;</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stabilizirani otpad:</w:t>
      </w:r>
      <w:r>
        <w:rPr>
          <w:rFonts w:ascii="Times New Roman" w:hAnsi="Times New Roman"/>
          <w:sz w:val="24"/>
        </w:rPr>
        <w:t xml:space="preserve"> tvar dobivena mehaničko-biološkom obradom biootpada neprikladnog za kompostiranje ili anaerobnu biorazgradnju, pri čemu nakon stabilizacije intenzitet udisanja (AT4) nakon četiri dana pada ispod 10 mg O</w:t>
      </w:r>
      <w:r>
        <w:rPr>
          <w:rFonts w:ascii="Times New Roman" w:hAnsi="Times New Roman"/>
          <w:sz w:val="24"/>
          <w:vertAlign w:val="subscript"/>
        </w:rPr>
        <w:t>2</w:t>
      </w:r>
      <w:r>
        <w:rPr>
          <w:rFonts w:ascii="Times New Roman" w:hAnsi="Times New Roman"/>
          <w:sz w:val="24"/>
        </w:rPr>
        <w:t>/g, a dinamički intenzitet udisanja manji je od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kompostiranje na licu mjesta:</w:t>
      </w:r>
      <w:r>
        <w:rPr>
          <w:rFonts w:ascii="Times New Roman" w:hAnsi="Times New Roman"/>
          <w:sz w:val="24"/>
        </w:rPr>
        <w:t xml:space="preserve"> postupak oporabe na mjestu kompostiranja pri kojem se biorazgradivi otpad i dodana pomoćna sredstva u preradi razgrađuju autotermalnim i termofilnim biološkim procesima pomoću mikroorganizama i drugih živih organizama u prisutnosti kisika i, kao rezultat toga, nastaje kompost s biološki stabilnim organskim i anorganskim sastojcima i patogenima čija koncentracija u kompostu ne prelazi vrijednosti navedene u Prilogu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bioplastika pogodna za kompostiranje na licu mjesta:</w:t>
      </w:r>
      <w:r>
        <w:rPr>
          <w:rFonts w:ascii="Times New Roman" w:hAnsi="Times New Roman"/>
          <w:sz w:val="24"/>
        </w:rPr>
        <w:t xml:space="preserve"> plastični otpad, označen ili certificiran za biorazgradnju, koji je u skladu s normom MSZ EN 13432 ili jednakovrijednim tehničkim rješenjem koji se, osim kompostiranja na licu mjesta, može upotrebljavati i za proizvodnju bioplina ako se prikuplja zajedno s kuhinjskim otpadom od hrane;</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zatvoreni sustav kompostiranja:</w:t>
      </w:r>
      <w:r>
        <w:rPr>
          <w:rFonts w:ascii="Times New Roman" w:hAnsi="Times New Roman"/>
          <w:sz w:val="24"/>
        </w:rPr>
        <w:t xml:space="preserve"> tehnologija kompostiranja upotrijebljena na mjestu kompostiranja, u kojoj se postupak kompostiranja provodi u zatvorenoj jedinici uz korištenje tehničkih ili arhitektonskih elemenata.</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Pravila o sprečavanju nastanka biorazgradivog otpada</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3. Stavak</w:t>
      </w:r>
      <w:r>
        <w:rPr>
          <w:rFonts w:ascii="Times New Roman" w:hAnsi="Times New Roman"/>
          <w:sz w:val="24"/>
        </w:rPr>
        <w:t xml:space="preserve"> (1) Ako je to tehnički izvedivo, ekološki prihvatljivo i ekonomski primjereno, organska tvar biljnog podrijetla podložna je kompostiranju kod kuće ili u zajednici.</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u skladu s pravilima ove Uredbe može se uzeti u obzir kako bi se postigla ciljna vrijednost na temelju Provedbene odluke Komisije (EU) 2019/1004 od 7. lipnja 2019. o utvrđivanju pravila za izračun, provjeru i dostavu podataka o otpadu u skladu s Direktivom 2008/98/EZ Europskog parlamenta i Vijeća te o stavljanju izvan snage Provedbene odluke Komisije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Koncesionarsko društvo najmanje svakih pet godina prikuplja podatke o količini i uporabi komposta proizvedenog kompostiranjem kod kuće ili u zajednici.</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Podizanje razine osviještenosti i edukacija stanovništva o sprečavanju nastanka biorazgradivog otpada provodit će se uz pomoć Nacionalnog programa za sprečavanje otpada </w:t>
      </w:r>
      <w:r>
        <w:rPr>
          <w:rFonts w:ascii="Times New Roman" w:hAnsi="Times New Roman"/>
          <w:sz w:val="24"/>
        </w:rPr>
        <w:lastRenderedPageBreak/>
        <w:t>hrane. Ovaj program, kojim upravlja Nacionalni ured za sigurnost prehrambenog lanca (NÉBIH), doprinijet će tom cilju nizom predavanja diljem zemlje, pod nazivom „Maradék nélkül” („Bez otpada”), kako bi se Mađarskoj omogućilo da ostvari cilj br. 12.3. ciljeva održivog razvoja Ujedinjenih naroda do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Pravilnik o odvojenom prikupljanju biorazgradivog otpada</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4. Stavak</w:t>
      </w:r>
      <w:r>
        <w:rPr>
          <w:rFonts w:ascii="Times New Roman" w:hAnsi="Times New Roman"/>
          <w:sz w:val="24"/>
        </w:rPr>
        <w:t xml:space="preserve"> (1) Biorazgradivi otpad prikuplja posjednik otpada, na dobrovoljnoj osnovi, na mjestu nastanka otpada, u spremniku za skupljanje otpada namijenjenom isključivo za tu svrhu i na način koji ne ugrožava okoliš.</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Koncesionarsko društvo u okviru svojih djelatnosti iz stavka 9. osigurava posjedniku otpada namjenski spremnik za prikupljanje kuhinjskog zelenog otpada i kuhinjskog otpada od hrane.</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Za prijevoz i praćenje kuhinjskog otpada od hrane primjenjuju se odgovarajuće odredbe Ministarske uredbe o utvrđivanju pravila o zdravlju životinja za nusproizvode životinjskog podrijetla koji nisu namijenjeni prehrani ljudi ako se prerada obavlja u pogonu za bioplin ili kompostiranje. Što se tiče biorazgradivog otpada obuhvaćenog koncesijom, zahtjevi za izdavanje komercijalnog dokumenta, kako je propisano Ministarskom uredbom o utvrđivanju pravila o zdravlju životinja za nusproizvode životinjskog podrijetla koji nisu namijenjeni prehrani ljudi, ne primjenjuju se na primanje i prihvat iz kućanstava.</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Zabranjena je uporaba odvojeno prikupljenog otpada od hrane iz kućanstava za hranjenje, a stjecatelj dozvole nema pravo na izravnu ili neizravnu uporabu takvog otpada.</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Prikupljanje, prijevoz i praćenje otpada od hrane gospodarskih organizacija, kada se prerađuje u pogonu za bioplin i kompostiranje, provodi se u skladu s odgovarajućim odredbama Ministarske uredbe kojom se utvrđuju pravila o zdravlju životinja za nusproizvode životinjskog podrijetla koji nisu namijenjeni prehrani ljudi.</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Način i učestalost primitka, prikupljanja i prijevoza biorazgradivog otpada obuhvaćenog koncesijom određuje koncesionar.</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Prikupljanje i prijevoz biorazgradivog otpada obuhvaćenog koncesijom može se obaviti s dozvolom za gospodarenje otpadom.</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Posjednik otpada osigurava da biorazgradivi otpad koji se isporučuje koncesionaru ne sadržava nikakav drugi otpad, uključujući ambalažni materijal i strani materijal.</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Ako je to tehnički i stručno izvedivo, koncesionar je dužan osigurati uvjete za odvojeno prikupljanje sukladno ovoj Uredbi. Ako to ne podrazumijeva nerazmjerne gospodarske troškove, koncesionarsko društvo prvenstveno osigurava prikupljanje od vrata do vrata. Ako prikupljanje od vrata do vrata nije moguće, koncesionarsko društvo uspostavlja mjesta za prikupljanje otpada u veličini koja odgovara broju stanovnika.</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Neovisno o odredbama Uredbe Vlade o pravilima kojima se uređuje projektiranje i rad određenih postrojenja za gospodarenje otpadom, koncesionarsko društvo određuje dvorište za prikupljanje otpada kojim upravlja koncesionarsko društvo ili koncesionar kao mjesto za prikupljanje otpada.</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Članak 5. </w:t>
      </w:r>
      <w:r>
        <w:rPr>
          <w:rFonts w:ascii="Times New Roman" w:hAnsi="Times New Roman"/>
          <w:sz w:val="24"/>
        </w:rPr>
        <w:t xml:space="preserve"> Biorazgradivi otpad koji sadržava tvari navedene u prilozima I. i II. Uredbi (EU) 2019/1021 o postojanim organskim onečišćujućim tvarima ne smije se kompostirati i ne smije se pretvoriti u ostatke fermentacije.</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Pravila o odvojenom prikupljanju zelenog otpada i kuhinjskog zelenog otpada na razini zajednice</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6. </w:t>
      </w:r>
      <w:r>
        <w:rPr>
          <w:rFonts w:ascii="Times New Roman" w:hAnsi="Times New Roman"/>
          <w:sz w:val="24"/>
        </w:rPr>
        <w:t xml:space="preserve"> Ako se zeleni otpad i kuhinjski zeleni otpad ne mogu upotrebljavati ni na koji drugi način, kako je definirano u članku 8., odvojeno prikupljeni zeleni otpad i kuhinjski zeleni otpad prvenstveno se upotrebljavaju kompostiranjem na licu mjesta ili proizvodnjom bioplina te se, kao krajnja mjera, upotrebljavaju pomoću oporabe energije u elektrani na biomasu.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7. Stavak</w:t>
      </w:r>
      <w:r>
        <w:rPr>
          <w:rFonts w:ascii="Times New Roman" w:hAnsi="Times New Roman"/>
          <w:sz w:val="24"/>
        </w:rPr>
        <w:t xml:space="preserve"> (1) Prikupljanje u zajednici može se provoditi na području koje određuje koncesionarsko društvo i u dogovoru s lokalnom zajednicom ili na privatnom području koje održava stambena zajednica, ali samo na utvrđenoj lokaciji u okviru nekretnine.</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U svakom trenutku mora biti osiguran slobodan pristup mjestu za prikupljanje u zajednici, čak i za osobe s invaliditetom.</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Prikupljanje otpada u zajednici može se obavljati bez dozvole za gospodarenje otpadom.</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Zeleni otpad koji sadržava opasne sastojke na mjestu prikupljanja u zajednici, plastiku koja nije certificirana za biorazgradivost u uvjetima kućnog kompostiranja i otpad koji nije zeleni otpad i kuhinjski zeleni otpad ne smije se odlagati.</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Vlasnik nekretnine ili osoba koju je zajednica ili stambena zajednica ovlastila pisanim sporazumom osigurava sljedeće: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čišćenje i održavanje mjesta prikupljanja u zajednici te osiguravanje potrebnog osoblja i materijalnih uvjeta i</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postavljanje na licu mjesta informacijske ploče u kojoj se navode uvjeti uporabe.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Vlasnik nekretnine koja je uključena u prikupljanje ili osoba koju je vlasnik ovlastio dužan je obavijestiti koncesionara o djelatnosti prikupljanja u zajednici, u trenutku utvrđivanja lokacije ograđenog područja, prije početka i nakon završetka prikupljanja u zajednici.</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Pravila o kompostiranju u kućanstvu, kompostiranju u zajednici i kompostiranju na licu mjesta</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8. Stavak</w:t>
      </w:r>
      <w:r>
        <w:rPr>
          <w:rFonts w:ascii="Times New Roman" w:hAnsi="Times New Roman"/>
          <w:sz w:val="24"/>
        </w:rPr>
        <w:t xml:space="preserve"> (1) Fizikalni, kemijski i biološki zahtjevi za komposte za nepoljoprivrednu uporabu navedeni su u Prilogu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Vlasnik nekretnine koja se upotrebljava za kompostiranje odgovoran je za provedbu zadaća kompostiranja u zajednici i kompostiranja u kućanstvu.</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Provedbom zadaća kompostiranja na razini zajednice iz stavka 2. upravlja se unutar zajednice posredstvom osobe ili organizacije koju imenuje zajednica ili posredstvom osobe ili organizacije ovlaštene pisanim sporazumom zajednice.</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Osoba ili subjekt iz stavka 3. vodi brigu o:</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čišćenju i održavanju mjesta prikupljanja te o osiguravanju potrebnog osoblja i materijalnih uvjeta;</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postavljanju na licu mjesta informacijske ploče u kojoj se navode uvjeti uporabe;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uporabi dobivenog komposta;</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podacima o količini i korištenju proizvedenog komposta, koji se dostavljaju koncesionaru na način koji propisuje koncesionarsko društvo.</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Kompostiranje u kućanstvu ili u zajednici ne smije se upotrebljavati za obradu nusproizvoda životinjskog podrijetla i od njih dobivenih proizvoda ili plastike koji nisu certificirani za biorazgradivost u uvjetima kompostiranja u kućanstvu.</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Zeleni otpad koji sadržava opasne sastojke i otpad koji nije zeleni otpad ne smije se upotrebljavati u kompostiranju u kućanstvu i u zajednici.</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9. Stavak</w:t>
      </w:r>
      <w:r>
        <w:rPr>
          <w:rFonts w:ascii="Times New Roman" w:hAnsi="Times New Roman"/>
          <w:sz w:val="24"/>
        </w:rPr>
        <w:t xml:space="preserve"> (1) Kompostiranje na licu mjesta smije se provoditi samo uz dozvolu za gospodarenje otpadom za oporabu, a provodi se na mjestu kompostiranja postupkom oporabe R3c navedenim u Ministarskoj uredbi u kojoj se navode postupci zbrinjavanja i oporabe povezani s gospodarenjem otpadom.</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Za kompostiranje na licu mjesta iz biorazgradivog otpada smiju se upotrebljavati vrste otpada i pomoćne tvari u preradi navedene u Prilogu 1., kao i vrste otpada koji se može upotrijebiti kao pomoćna tvar u preradi.</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Kanalizacijski mulj može se upotrebljavati tijekom kompostiranja na licu mjesta pod uvjetom da se poštuju uvjeti propisani Uredbom Vlade o pravilima za poljoprivrednu uporabu i gospodarenje otpadnim vodama i kanalizacijskim muljem te ako postoji dozvola za gospodarenje otpadom izdana u skladu s Uredbom Vlade o registraciji i službenom odobrenju djelatnosti gospodarenja otpadom.</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Bioplastika koja se može kompostirati smije se obraditi samo tijekom kompostiranja na licu mjesta.</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10. Stavak</w:t>
      </w:r>
      <w:r>
        <w:rPr>
          <w:rFonts w:ascii="Times New Roman" w:hAnsi="Times New Roman"/>
          <w:sz w:val="24"/>
        </w:rPr>
        <w:t xml:space="preserve"> (1) Tehnička pravila za kompostiranje na licu mjesta, stabilizaciju i proizvodnju bioplina, kao i tehnički i operativni uvjeti potrebni za kompostiranje na licu mjesta navedeni su u Prilogu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Biorazgradivi otpad, uključujući bioplastiku koja se može obraditi kompostiranjem na licu mjesta, skladišti se odvojeno od bilo kojeg drugog otpada i materijala u području predobrade do početka kompostiranja.</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Priprema za kompostiranje biorazgradivog otpada, uključujući bioplastiku koja se može obraditi kompostiranjem na licu mjesta, treba započeti u području za predobradu. Otpad se zatim mora prenijeti na područje kompostiranja kako bi se provela daljnja obrada.</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Kompostiranje na licu mjesta u području kompostiranja provodi se</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 otvorenom sustavu kompostiranja;</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 zatvorenom sustavu kompostiranja ili</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u kombinaciji jedinica u skladu s točkama (a) i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Biorazgradivi otpad, uključujući bioplastiku koja se može obraditi kompostiranjem na licu mjesta, postavlja se u jedinicu za kompostiranje u području kompostiranja, ovisno o odabranom sustavu kompostiranja.</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Podaci koje je prikupilo tijelo za nadzor prehrambenog lanca (kako je propisano ministarskom uredbom o utvrđivanju pravila o zdravlju životinja za nusproizvode životinjskog podrijetla koji nisu namijenjeni prehrani ljudi) o količini otpada od hrane, koji se može klasificirati kao nusproizvod životinjskog podrijetla koji se prenosi ili prima za preradu, mogu se uzeti u obzir za ciljni broj recikliranja, u slučaju prerade, pri provjeri ispunjenja cilja.</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Pravila u pogledu stabilizacije</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11. Stavak</w:t>
      </w:r>
      <w:r>
        <w:rPr>
          <w:rFonts w:ascii="Times New Roman" w:hAnsi="Times New Roman"/>
          <w:sz w:val="24"/>
        </w:rPr>
        <w:t xml:space="preserve"> (1) Vrste otpada i pomoćne tvari u preradi koje se mogu upotrebljavati za biološku obradu i stabilizaciju, kao i vrste otpada koji se može upotrebljavati kao pomoćno sredstvo za preradu, navedeni su u Prilogu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Za stabilizaciju se smije upotrebljavati samo otpad naveden u Prilogu 1., čija se biološka obrada može provesti s dozvolom za gospodarenje otpadom, u skladu s pravilima utvrđenima u Vladinoj uredbi o registraciji i službenom odobrenju djelatnosti gospodarenja otpadom.</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Stabilizirani otpad nastao stabilizacijom upotrebljava se samo za postupke oporabe ili odlaganja koje odredi tijelo za gospodarenje otpadom.</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Stabilizacija se provodi na području s čvrstim kolnikom.</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Tijekom rada odlagališta stabilizirani otpad može se upotrebljavati kao pokrovni sloj ili se može upotrebljavati za njegovo obnavljanje kako bi djelovao kao poravnavajući ili pokrovni sloj kao dio gornjeg završnog sloja, u skladu s Ministarskom uredbom o određenim pravilima i uvjetima koji se odnose na odlaganje otpada i odlagališta, pri čemu se stabilizirani otpad može upotrebljavati u mjeri opisanoj u smjernicama tehničke zaštite i tehnologije, uzimajući u obzir najbolje dostupne pristupe za sprečavanje onečišćenja okoliša i njegovo smanjenje, kako je utvrđeno u dozvoli za zbrinjavanje otpada. Stabilizirani biootpad u većoj se mjeri ne smije upotrebljavati za oporabu tijekom rada odlagališta.</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Količina stabiliziranog otpada koji se može upotrijebiti za obnavljanje odlagališta ne smije prelaziti 500 tona po hektaru u suhoj tvari.</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Tehnički uvjeti potrebni za stabilizaciju navedeni su u Prilogu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Pravila za proizvodnju bioplina</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12. Stavak</w:t>
      </w:r>
      <w:r>
        <w:rPr>
          <w:rFonts w:ascii="Times New Roman" w:hAnsi="Times New Roman"/>
          <w:sz w:val="24"/>
        </w:rPr>
        <w:t xml:space="preserve"> (1) Ako se biorazgradivi otpad prevozi u postrojenje za proizvodnju bioplina, proizvodnja bioplina s dozvolom za gospodarenje otpadom može se provesti postupkom oporabe R3, kako je definiran u Ministarskoj uredbi u kojoj se navode postupci zbrinjavanja i oporabe povezani s gospodarenjem otpadom.</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Uspostava, odobrenje i rad pogona za bioplin u kojem se prerađuju i nusproizvodi životinjskog podrijetla podliježu Ministarskoj uredbi o utvrđivanju pravila zdravlja životinja za </w:t>
      </w:r>
      <w:r>
        <w:rPr>
          <w:rFonts w:ascii="Times New Roman" w:hAnsi="Times New Roman"/>
          <w:sz w:val="24"/>
        </w:rPr>
        <w:lastRenderedPageBreak/>
        <w:t>nusproizvode životinjskog podrijetla koji nisu namijenjeni prehrani ljudi, članku 24. Uredbe (EZ) br. 1069/2009 Europskog parlamenta i Vijeća od 21. listopada 2009. o utvrđivanju zdravstvenih pravila za nusproizvode životinjskog podrijetla i od njih dobivene proizvode koji nisu namijenjeni prehrani ljudi te o stavljanju izvan snage Uredbe (EZ) br. 1774/2002 (Uredba o nusproizvodima životinjskog podrijetla) i Prilogu V. Uredbi Komisije (EU) br. 142/2011 o provedbi Uredbe (EZ) br. 1069/2009 Europskog parlamenta i Vijeća o utvrđivanju zdravstvenih pravila za nusproizvode životinjskog podrijetla i od njih dobivene proizvode koji nisu namijenjeni prehrani ljudi i o provedbi Direktive Vijeća 97/78/EZ u pogledu određenih uzoraka i predmeta koji su oslobođeni veterinarskih pregleda na granici na temelju te Direktive (dalje u tekstu: Uredba Komisije (EU) br.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Za proizvodnju bioplina iz biorazgradivog otpada mogu se upotrebljavati vrste otpada navedene u Prilogu 1., uključujući bioplastiku prikladnu za kompostiranje na licu mjesta.</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Proizvodnja bioplina iz biorazgradivog otpada u postrojenju za bioplin može se obavljati putem</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mokrog ili</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suhog</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postupka fermentacije.</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Tehnički uvjeti potrebni za proizvodnju bioplina navedeni su u Prilogu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Podaci koje je prikupilo tijelo za nadzor prehrambenog lanca (kako je propisano ministarskom uredbom o utvrđivanju pravila o zdravlju životinja za nusproizvode životinjskog podrijetla koji nisu namijenjeni prehrani ljudi) o količini otpada od hrane, koji se može klasificirati kao nusproizvod životinjskog podrijetla koji se prenosi ili prima za preradu, mogu se uzeti u obzir za ciljni broj recikliranja, u slučaju prerade, pri provjeri ispunjenja cilja.</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Pravila o prestanku statusa otpada</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13. Stavak</w:t>
      </w:r>
      <w:r>
        <w:rPr>
          <w:rFonts w:ascii="Times New Roman" w:hAnsi="Times New Roman"/>
          <w:sz w:val="24"/>
        </w:rPr>
        <w:t xml:space="preserve"> (1) U slučaju poljoprivredne uporabe, status otpada biorazgradivog otpada prestaje ako kompost i fermentacijski ostaci koji se iz njega proizvedu ispunjavaju posebne zahtjeve utvrđene u</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Ministarskoj uredbi o odobrenju, skladištenju, stavljanju na tržište i uporabi tvari koje povećavaju prinos i u</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Uredbi (EZ) 2019/1009 o utvrđivanju pravila o stavljanju gnojidbenih proizvoda EU-a na raspolaganje na tržištu.</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U slučaju nepoljoprivredne uporabe, status otpada biorazgradivog otpada prestaje ako kompost i fermentacijski ostaci proizvedeni iz njega ispunjavaju zahtjeve navedene u Prilogu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14. Stavak</w:t>
      </w:r>
      <w:r>
        <w:rPr>
          <w:rFonts w:ascii="Times New Roman" w:hAnsi="Times New Roman"/>
          <w:sz w:val="24"/>
        </w:rPr>
        <w:t xml:space="preserve"> (1) Operater postrojenja za kompost može predati kompost, a operater postrojenja za proizvodnju bioplina može predati ostatke od fermentacije drugoj osobi za uporabu ako je operater izjavom o sukladnosti potvrdio usklađenost s odredbama članka 9. stavka 1. </w:t>
      </w:r>
      <w:r>
        <w:rPr>
          <w:rFonts w:ascii="Times New Roman" w:hAnsi="Times New Roman"/>
          <w:sz w:val="24"/>
        </w:rPr>
        <w:lastRenderedPageBreak/>
        <w:t xml:space="preserve">Zakona CLXXXV iz 2012. o otpadu u pogledu prestanka statusa otpada u skladu s Prilogom 4., osim ako se ostatak od kompostiranja ili fermentacije predaje na daljnju obradu u statusu otpada.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Izjava o sukladnosti sastavlja se po primatelju i po transakciji, na pojedinačnoj osnovi.</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Izjava o sukladnosti potvrđuje podatke sadržane u izjavi do sastavljanja sljedeće izjave o sukladnosti.</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Dva primjerka izjave o sukladnosti sastavlja subjekt iz stavka 1., koji prvi primjerak čuva kao potvrdu, a duplikat predaje korisniku u trenutku otpreme ili ga prosljeđuje na provjerljiv način.</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Operator i korisnik čuvaju izjavu o sukladnosti najmanje pet godina.</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15. Stavak</w:t>
      </w:r>
      <w:r>
        <w:rPr>
          <w:rFonts w:ascii="Times New Roman" w:hAnsi="Times New Roman"/>
          <w:sz w:val="24"/>
        </w:rPr>
        <w:t xml:space="preserve"> (1) U slučaju nepoljoprivredne uporabe, primjerenost fizikalnih, kemijskih, bioloških i higijensko-mikrobioloških svojstava komposta prema ovoj Uredbi provjerava operater mjesta kompostiranja reprezentativnim uzorkom komposta. Akreditirano uzorkovanje i priprema uzoraka provode se na temelju norme.</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proizveden na mjestu kompostiranja uzorkuje se po seriji kompostiranja u sljedećim slučajevima i učestalosti:</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ako kapacitet lokacije za kompostiranje ne premašuje 10 000 tona biorazgradivog otpada po referentnoj godini, najmanje jedanput godišnje od proizvedenog komposta,</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ako postrojenje za kompostiranje ima kapacitet biorazgradivog otpada veći od 10 000 tona po referentnoj godini, najmanje dvaput godišnje od proizvedenog komposta ili</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ako se tehnologija na mjestu kompostiranja promijeni.</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Laboratorijsko ispitivanje uzorka komposta provodi se u skladu sa standardnom ili jednakovrijednom metodom u laboratoriju ovlaštenom za ispitivanje. Laboratorijsko izvješće o ispitivanju koje sadržava rezultate ispitivanja mora se čuvati najmanje pet godina.</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Ispitivanja organskih onečišćujućih tvari provode se ako se jedna ili više upotrijebljenih tvari smatraju rizičnim tvarima u skladu s Prilogom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Ako kompost nije u skladu sa zahtjevima za prestanak statusa otpada iz Priloga 2., taj se kompost i dalje smatra otpadom i tako se razvrstava u skladu s ministarskom uredbom o popisu otpada te se zatim prenosi upravitelju otpada koji ima valjanu dozvolu za gospodarenje otpadom ili jedinstvenu okolišnu dozvolu.</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16. Stavak</w:t>
      </w:r>
      <w:r>
        <w:rPr>
          <w:rFonts w:ascii="Times New Roman" w:hAnsi="Times New Roman"/>
          <w:sz w:val="24"/>
        </w:rPr>
        <w:t xml:space="preserve"> (1) U slučaju nepoljoprivredne uporabe, primjerenost fizikalnih, kemijskih, bioloških i higijensko-mikrobioloških svojstava ostatka od fermentacije prema ovoj Uredbi provjerava operater mjesta kompostiranja reprezentativnim uzorkom komposta.</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Ostatak od fermentacije proizveden u postrojenju za proizvodnju bioplina uzorkuje se u sljedećim slučajevima i učestalosti:</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ako postrojenje za proizvodnju bioplina ima kapacitet od najviše 10 000 tona biorazgradivog otpada po referentnoj godini, najmanje jedanput godišnje od dobivenih ostataka fermentacije;</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ako postrojenje za proizvodnju bioplina ima kapacitet veći od 10 000 tona biorazgradivog otpada po referentnoj godini, najmanje dvaput godišnje od dobivenih ostataka fermentacije ili</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ako se tehnologija u postrojenju za proizvodnju bioplina promijeni.</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Laboratorijsko ispitivanje uzorka ostatka od fermentacije provodi se u skladu s normom u laboratoriju ovlaštenom za ispitivanje. Laboratorijsko izvješće o ispitivanju koje sadržava rezultate ispitivanja mora se čuvati najmanje pet godina.</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Ispitivanja organskih onečišćujućih tvari provode se ako se jedna ili više upotrijebljenih tvari smatraju rizičnim tvarima u skladu s Prilogom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Završne odredbe</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17. </w:t>
      </w:r>
      <w:r>
        <w:rPr>
          <w:rFonts w:ascii="Times New Roman" w:hAnsi="Times New Roman"/>
          <w:sz w:val="24"/>
        </w:rPr>
        <w:t xml:space="preserve"> Ova Uredba stupa na snagu 31. prosinca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18. Stavak</w:t>
      </w:r>
      <w:r>
        <w:rPr>
          <w:rFonts w:ascii="Times New Roman" w:hAnsi="Times New Roman"/>
          <w:sz w:val="24"/>
        </w:rPr>
        <w:t xml:space="preserve"> (1) Svrha ove Uredbe jest postizanje usklađenosti s</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Direktivom 2008/98/EZ Europskog parlamenta i Vijeća od 19. studenoga 2008. o otpadu i stavljanju izvan snage određenih direktiva i</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Direktivom Vijeća 1999/31/EZ od 26. travnja 1999. o odlagalištima otpada</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Nacrt Uredbe podliježe prethodnoj obavijesti u skladu s Direktivom (EU) 2015/1535 Europskog parlamenta i Vijeća od 9. rujna 2015. o utvrđivanju postupka pružanja informacija u području tehničkih propisa i pravila o uslugama informacijskog društva.</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19. </w:t>
      </w:r>
      <w:r>
        <w:rPr>
          <w:rFonts w:ascii="Times New Roman" w:hAnsi="Times New Roman"/>
          <w:sz w:val="24"/>
        </w:rPr>
        <w:t xml:space="preserve"> Osobe koje su gospodarile otpadom od hrane prije stupanja na snagu ove Uredbe, u skladu s odredbama Uredbe o utvrđivanju zdravstvenih pravila za nusproizvode životinjskog podrijetla koji nisu namijenjeni prehrani ljudi (dalje u tekstu: Uredba), mogu nastaviti s radom nakon stupanja na snagu ove Uredbe u skladu s pravilima te Uredbe.</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20. </w:t>
      </w:r>
      <w:r>
        <w:rPr>
          <w:rFonts w:ascii="Times New Roman" w:hAnsi="Times New Roman"/>
          <w:sz w:val="24"/>
        </w:rPr>
        <w:t xml:space="preserve"> Ovime se stavlja izvan snage Uredba KvVM-a br. 23/2003 od 29. prosinca 2003. Ministarstva zaštite okoliša i vodnoga gospodarstva o obradi biootpada i tehničkim zahtjevima za kompostiranje.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Premijer (potpisan)</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 1. Uredbi Vlade br. 559/2023 od 14. prosinca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Vrste otpada i pomoćne tvari u preradi koje se mogu upotrebljavati za biološku obradu i stabilizaciju te vrste otpada koji se može upotrebljavati kao pomoćna tvar u preradi</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Vrste otpada koji se može upotrebljavati za biološku obradu:</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931"/>
        <w:gridCol w:w="1294"/>
        <w:gridCol w:w="2924"/>
        <w:gridCol w:w="2625"/>
        <w:gridCol w:w="895"/>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Identifikacijska šifra</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Opis vrste otpada</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Napomena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Rizična tvar</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broj glavne skupine</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broj podskupine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POLJOPRIVREDE, VRTLARSTVA, AKVAKULTURE, ŠUMARSTVA, LOVA I RIBOLOVA, PRIPREMANJA I PRERADE HRANE</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poljoprivrede, vrtlarstva, proizvodnje vodenih kultura, šumarstva, lova i ribolova, pripremanja hrane i prerade</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pranja i čišćenja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otpadna životinjska tkiva</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Osim koštanog tkiva.</w:t>
            </w:r>
            <w:r>
              <w:rPr>
                <w:rFonts w:ascii="Times New Roman" w:hAnsi="Times New Roman"/>
                <w:sz w:val="24"/>
              </w:rPr>
              <w:b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otpadna biljna tkiva</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životinjske fekalije, urin i gnoj (uključujući onečišćenu slamu), otpadne vode koje se posebno skupljaju i obrađuju izvan kruga njihovog nastanka</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Onečišćena slama znači stelja koja se upotrebljava za namakanje životinjskog izmeta, urina i stajskog gnoja. Ne dovodeći u pitanje nacionalno zakonodavstvo i zakonodavstvo EU-a o </w:t>
            </w:r>
            <w:r>
              <w:rPr>
                <w:rFonts w:ascii="Times New Roman" w:hAnsi="Times New Roman"/>
                <w:sz w:val="24"/>
              </w:rPr>
              <w:lastRenderedPageBreak/>
              <w:t>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iz šumarstva</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neobrađeno drvo.</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pripremanja i prerade mesa, ribe i druge hrane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pranja i čišćenja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otpadna životinjska tkiva</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materijali neprikladni za potrošnju ili preradu</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r>
              <w:rPr>
                <w:rFonts w:ascii="Times New Roman" w:hAnsi="Times New Roman"/>
                <w:sz w:val="24"/>
              </w:rPr>
              <w:b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voća, povrća, žitarica, jestivih ulja, kakaa, kave, čaja i od pripreme i prerade duhana; proizvodnja konzervi; proizvodnja kvasca i ekstrakta kvasca, priprema i fermentacija melase</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pranja, čišćenja, guljenja, centrifugiranja i separacije</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materijali neprikladni za potrošnju ili preradu</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Nisu korištena sredstva za ekstrakciju.</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prerade šećera</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industrije mliječnih proizvoda</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materijali neprikladni za potrošnju ili preradu</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r>
              <w:rPr>
                <w:rFonts w:ascii="Times New Roman" w:hAnsi="Times New Roman"/>
                <w:sz w:val="24"/>
              </w:rPr>
              <w:b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pekarske i slastičarske industrije</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materijali neprikladni za potrošnju ili preradu</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proizvodnje alkoholnih i bezalkoholnih pića (ne uključujući kavu, čaj i kakao)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od pranja, čišćenja i mehaničke obrade sirovina</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od destilacije alkoholnih pića</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materijali neprikladni za potrošnju ili preradu</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PRERADE DRVA I PROIZVODNJE PLOČA I NAMJEŠTAJA, CELULOZE, PAPIRA I KARTONA</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prerade drva i proizvodnje ploča i namještaja</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otpadna kora i pluto</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neobrađeno drvo.</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Piljevina, strugotine, otpaci od rezanja drva, drvo, otpad od drvenih ploča i furnira osim onih koji su navedeni u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neobrađeno drvo.</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proizvodnje i prerade celuloze, papira i kartona</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kora i drvni otpad</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mehanički odvojeni otpaci od mljevenja otpadnog papira i kartona</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ostatak koji ne sadrži kemijska sredstva za obradu.</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od sortiranja papira i kartona namijenjen recikliranju</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ostatak koji ne sadrži kemijska sredstva za obradu.</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škart od vlakana, muljevi od vlakana, punila i premaza iz mehaničke separacije</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 osim onih koji su navedeni pod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KOŽARSKE, KRZNARSKE I TEKSTILNE INDUSTRIJE</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kožarske i krznarske industrije</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posebno iz obrade otpadnih voda na licu mjesta bez kroma</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koji ne sadržava kemijska sredstva za čišćenje, koagulaciju ili ekstrakciju.</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tekstilne industrije</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organske tvari iz prirodnih proizvoda (npr. mast, vosak)</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efluenata na mjestu njihova nastanka, osim onih koji su navedeni pod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od neprerađenih tekstilnih vlakana</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prirodno.</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od prerađenih tekstilnih vlakana</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oni koji nisu kemijski kontaminirani.</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OTPADNA AMBALAŽA; APSORBENSI, TKANINE ZA BRISANJE, </w:t>
            </w:r>
            <w:r>
              <w:rPr>
                <w:rFonts w:ascii="Times New Roman" w:hAnsi="Times New Roman"/>
                <w:b/>
                <w:sz w:val="24"/>
              </w:rPr>
              <w:lastRenderedPageBreak/>
              <w:t>FILTARSKI MATERIJALI I ZAŠTITNA ODJEĆA KOJA NIJE DRUGAČIJE NAVEDENA</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Ambalažni otpad (uključujući odvojeno sakupljen biorazgradivi ambalažni komunalni otpad)</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papirni i kartonski ambalažni otpad</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Ako recikliranje u industriji papira nije izvedivo ili je potrebno za omjer ugljika i dušika biorazgradivog otpada pripremljenog za obradu.</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drveni ambalažni otpad</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KOJI NIJE DRUKČIJE NAVEDEN NA POPISU OTPADA</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nesukladni i neiskorišteni proizvodi</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organski otpad koji nije naveden u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OBJEKATA ZA GOSPODARENJE OTPADOM, UREĐAJA ZA PROČIŠĆAVANJE OTPADNIH VODA IZVAN MJESTA NASTANKA I PRIPREMU PITKE VODE I VODE ZA INDUSTRIJSKU UPORABU</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koji nije u skladu sa specifikacijom</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Dio obrađenog materijala, koji je rezultat završnog probira mehaničko-biološke obrade otpada i koji se može ponovno uvesti u tu obradu za </w:t>
            </w:r>
            <w:r>
              <w:rPr>
                <w:rFonts w:ascii="Times New Roman" w:hAnsi="Times New Roman"/>
                <w:sz w:val="24"/>
              </w:rPr>
              <w:lastRenderedPageBreak/>
              <w:t>pokuse ponovne stabilizacije ili za uporabu kao biološki „inokulant”</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anaerobne obrade krutog otpada</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 od anaerobne obrade komunalnog otpada</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proizvod digestije od anaerobne obrade životinjskog i biljnog otpada</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iz postrojenja za pročišćavanje otpadnih voda koji nije drukčije naveden</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Da</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obrade komunalnih otpadnih voda</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iz biološke obrade industrijskih otpadnih voda koji nisu navedeni u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iz ostale biološke obrade industrijskih otpadnih voda koji nisu navedeni u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otpad od pripreme vode namijenjene za ljudsku potrošnju ili vode za industrijsku uporabu</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kruti otpad od primarne filtracije i probira</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pročišćavanja vode</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muljevi od dekarbonizacije</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KOMUNALNI OTPAD (OTPAD IZ KUĆANSTAVA I SLIČNI OTPAD IZ USTANOVA I TRGOVINSKIH I PROIZVODNIH DJELATNOSTI) UKLJUČUJUĆI </w:t>
            </w:r>
            <w:r>
              <w:rPr>
                <w:rFonts w:ascii="Times New Roman" w:hAnsi="Times New Roman"/>
                <w:b/>
                <w:sz w:val="24"/>
              </w:rPr>
              <w:lastRenderedPageBreak/>
              <w:t>ODVOJENO SAKUPLJENE SASTOJKE KOMUNALNOG OTPADA</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Samo ako dolazi iz odvojenog sustava prikupljanja.</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odvojeno sakupljene frakcije (osim odjeljka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papir i karton</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biorazgradivi otpad iz kuhinja i iz kantina</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jestivo ulje i masti</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 dovodeći u pitanje nacionalno zakonodavstvo i zakonodavstvo EU-a o nusproizvodima životinjskog podrijetla.</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drvo koje nije navedeno pod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ako se ne obrađuje kemikalijama (uključujući bojenje, površinsku obradu).</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vrtni otpad i otpad iz parkova (uključujući i otpad s groblja)</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biorazgradivi otpad</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U slučaju kore, samo neobrađeno drvo. U slučaju odvojeno prikupljenog otpada na groblju samo u slučaju izravnog primitka, pod uvjetom da je na groblju uspostavljen sustav odvojenog prikupljanja i da se na odgovarajući način može provjeriti da u otpadu nema stranih materijala (npr. folije, žica za cvijeće i vijence, plastičnih cvjetova i </w:t>
            </w:r>
            <w:r>
              <w:rPr>
                <w:rFonts w:ascii="Times New Roman" w:hAnsi="Times New Roman"/>
                <w:sz w:val="24"/>
              </w:rPr>
              <w:lastRenderedPageBreak/>
              <w:t>njihovih sastavnih dijelova).</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ostali komunalni otpad</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ostali komunalni otpad, uključujući miješani komunalni otpad</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Nakon predobrade.</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otpad s tržnica</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Ako tržište upravlja zasebnim sustavom skupljanja.</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septičkih spremnika</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Pomoćne tvari u preradi koje se mogu upotrebljavati za proizvodnju komposta i vrste otpada koje se mogu upotrebljavati kao pomoćna tvar u preradi: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561"/>
        <w:gridCol w:w="2566"/>
        <w:gridCol w:w="3542"/>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Naziv vrste pomoćne tvari u preradi</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Standardi kvalitete i</w:t>
            </w:r>
            <w:r>
              <w:rPr>
                <w:rFonts w:ascii="Times New Roman" w:hAnsi="Times New Roman"/>
                <w:b/>
                <w:sz w:val="24"/>
              </w:rPr>
              <w:br/>
              <w:t>bilješke</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Granule stijena</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granule bazalta;</w:t>
            </w:r>
            <w:r>
              <w:rPr>
                <w:rFonts w:ascii="Times New Roman" w:hAnsi="Times New Roman"/>
                <w:sz w:val="24"/>
              </w:rPr>
              <w:br/>
              <w:t>(b) granule alginita;</w:t>
            </w:r>
            <w:r>
              <w:rPr>
                <w:rFonts w:ascii="Times New Roman" w:hAnsi="Times New Roman"/>
                <w:sz w:val="24"/>
              </w:rPr>
              <w:br/>
              <w:t>(c) granule drugih stijena</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Muljevi, sedimenti</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prirodni muljevi i sedimenti bez dodanog tla i bez nečistoća, uključujući nekontaminirane mulje i muljeve nastale pročišćavanjem i odvodnjom otpadnih voda</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Glineni minerali</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čisti glineni minerali</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Vapno (kamen)</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granula vapnenca;</w:t>
            </w:r>
            <w:r>
              <w:rPr>
                <w:rFonts w:ascii="Times New Roman" w:hAnsi="Times New Roman"/>
                <w:sz w:val="24"/>
              </w:rPr>
              <w:br/>
              <w:t>(b) granula dolomitne stijene;</w:t>
            </w:r>
            <w:r>
              <w:rPr>
                <w:rFonts w:ascii="Times New Roman" w:hAnsi="Times New Roman"/>
                <w:sz w:val="24"/>
              </w:rPr>
              <w:br/>
              <w:t>(c) mulj od vapna iz tvornice šećera;</w:t>
            </w:r>
            <w:r>
              <w:rPr>
                <w:rFonts w:ascii="Times New Roman" w:hAnsi="Times New Roman"/>
                <w:sz w:val="24"/>
              </w:rPr>
              <w:br/>
              <w:t>(d) nestandardni kalcijev karbonat;</w:t>
            </w:r>
            <w:r>
              <w:rPr>
                <w:rFonts w:ascii="Times New Roman" w:hAnsi="Times New Roman"/>
                <w:sz w:val="24"/>
              </w:rPr>
              <w:br/>
              <w:t>(e) otpadni mulj od vapna</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Pepeo od izgaranja biomase</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biljni pepeo</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2 m/m%.</w:t>
            </w:r>
            <w:r>
              <w:rPr>
                <w:rFonts w:ascii="Times New Roman" w:hAnsi="Times New Roman"/>
                <w:sz w:val="24"/>
              </w:rPr>
              <w:br/>
              <w:t xml:space="preserve">Bez letećeg pepela s najvećim </w:t>
            </w:r>
            <w:r>
              <w:rPr>
                <w:rFonts w:ascii="Times New Roman" w:hAnsi="Times New Roman"/>
                <w:sz w:val="24"/>
              </w:rPr>
              <w:lastRenderedPageBreak/>
              <w:t>udjelom nečistoća (mg/kg u suhoj tvari)</w:t>
            </w:r>
            <w:r>
              <w:rPr>
                <w:rFonts w:ascii="Times New Roman" w:hAnsi="Times New Roman"/>
                <w:sz w:val="24"/>
              </w:rPr>
              <w:br/>
              <w:t>(a) cink (Zn): 1 500,</w:t>
            </w:r>
            <w:r>
              <w:rPr>
                <w:rFonts w:ascii="Times New Roman" w:hAnsi="Times New Roman"/>
                <w:sz w:val="24"/>
              </w:rPr>
              <w:br/>
              <w:t>(b) bakar (Cu): 250,</w:t>
            </w:r>
            <w:r>
              <w:rPr>
                <w:rFonts w:ascii="Times New Roman" w:hAnsi="Times New Roman"/>
                <w:sz w:val="24"/>
              </w:rPr>
              <w:br/>
              <w:t>(c) krom (Cr): 250,</w:t>
            </w:r>
            <w:r>
              <w:rPr>
                <w:rFonts w:ascii="Times New Roman" w:hAnsi="Times New Roman"/>
                <w:sz w:val="24"/>
              </w:rPr>
              <w:br/>
              <w:t>(d) olovo (Pb): 100,</w:t>
            </w:r>
            <w:r>
              <w:rPr>
                <w:rFonts w:ascii="Times New Roman" w:hAnsi="Times New Roman"/>
                <w:sz w:val="24"/>
              </w:rPr>
              <w:br/>
              <w:t>(e) vanadij (V): 100,</w:t>
            </w:r>
            <w:r>
              <w:rPr>
                <w:rFonts w:ascii="Times New Roman" w:hAnsi="Times New Roman"/>
                <w:sz w:val="24"/>
              </w:rPr>
              <w:br/>
              <w:t>(f) kobalt (Co): 100,</w:t>
            </w:r>
            <w:r>
              <w:rPr>
                <w:rFonts w:ascii="Times New Roman" w:hAnsi="Times New Roman"/>
                <w:sz w:val="24"/>
              </w:rPr>
              <w:br/>
              <w:t>(g) nikal (Ni): 100,</w:t>
            </w:r>
            <w:r>
              <w:rPr>
                <w:rFonts w:ascii="Times New Roman" w:hAnsi="Times New Roman"/>
                <w:sz w:val="24"/>
              </w:rPr>
              <w:br/>
              <w:t>(h) molibden (Mo): 20,</w:t>
            </w:r>
            <w:r>
              <w:rPr>
                <w:rFonts w:ascii="Times New Roman" w:hAnsi="Times New Roman"/>
                <w:sz w:val="24"/>
              </w:rPr>
              <w:br/>
              <w:t>(i) arsen (As): 20,</w:t>
            </w:r>
            <w:r>
              <w:rPr>
                <w:rFonts w:ascii="Times New Roman" w:hAnsi="Times New Roman"/>
                <w:sz w:val="24"/>
              </w:rPr>
              <w:br/>
              <w:t>(j) kadmij (Cd): 8,</w:t>
            </w:r>
            <w:r>
              <w:rPr>
                <w:rFonts w:ascii="Times New Roman" w:hAnsi="Times New Roman"/>
                <w:sz w:val="24"/>
              </w:rPr>
              <w:br/>
              <w:t>Ne smije sadržavati leteći pepeo</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Tlo (ekstrahirano ili odmuljeno)</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nekontaminirano prirodno tlo iz gradnje ili rušenja, mulj iz pranja korijenskih biljaka</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15 m/m%.</w:t>
            </w:r>
            <w:r>
              <w:rPr>
                <w:rFonts w:ascii="Times New Roman" w:hAnsi="Times New Roman"/>
                <w:sz w:val="24"/>
              </w:rPr>
              <w:br/>
              <w:t>Najveći udio onečišćujuće tvari (mg/kg suhe tvari):</w:t>
            </w:r>
            <w:r>
              <w:rPr>
                <w:rFonts w:ascii="Times New Roman" w:hAnsi="Times New Roman"/>
                <w:sz w:val="24"/>
              </w:rPr>
              <w:br/>
              <w:t>(a) arsen (As): 30,</w:t>
            </w:r>
            <w:r>
              <w:rPr>
                <w:rFonts w:ascii="Times New Roman" w:hAnsi="Times New Roman"/>
                <w:sz w:val="24"/>
              </w:rPr>
              <w:br/>
              <w:t>(b) olovo (Pb): 100,</w:t>
            </w:r>
            <w:r>
              <w:rPr>
                <w:rFonts w:ascii="Times New Roman" w:hAnsi="Times New Roman"/>
                <w:sz w:val="24"/>
              </w:rPr>
              <w:br/>
              <w:t>(c) kadmij (Cd): 1,1</w:t>
            </w:r>
            <w:r>
              <w:rPr>
                <w:rFonts w:ascii="Times New Roman" w:hAnsi="Times New Roman"/>
                <w:sz w:val="24"/>
              </w:rPr>
              <w:br/>
              <w:t>(d) krom (Cr): 90,</w:t>
            </w:r>
            <w:r>
              <w:rPr>
                <w:rFonts w:ascii="Times New Roman" w:hAnsi="Times New Roman"/>
                <w:sz w:val="24"/>
              </w:rPr>
              <w:br/>
              <w:t>(e) bakar (Cu): 90;</w:t>
            </w:r>
            <w:r>
              <w:rPr>
                <w:rFonts w:ascii="Times New Roman" w:hAnsi="Times New Roman"/>
                <w:sz w:val="24"/>
              </w:rPr>
              <w:br/>
              <w:t>(f) nikal (Ni): 55,</w:t>
            </w:r>
            <w:r>
              <w:rPr>
                <w:rFonts w:ascii="Times New Roman" w:hAnsi="Times New Roman"/>
                <w:sz w:val="24"/>
              </w:rPr>
              <w:br/>
              <w:t>(g) živa (Hg): 0,7,</w:t>
            </w:r>
            <w:r>
              <w:rPr>
                <w:rFonts w:ascii="Times New Roman" w:hAnsi="Times New Roman"/>
                <w:sz w:val="24"/>
              </w:rPr>
              <w:br/>
              <w:t>(h) cink (Zn): 450,</w:t>
            </w:r>
            <w:r>
              <w:rPr>
                <w:rFonts w:ascii="Times New Roman" w:hAnsi="Times New Roman"/>
                <w:sz w:val="24"/>
              </w:rPr>
              <w:br/>
              <w:t>(i) policiklički aromatski ugljikovodici (PAH16: naftalen, fluor, fenantren, antracen, fluoroanten, piren, benzo[a]antracen, krisen, benzo[b]fluoroanten, benzo[k]fluoroanten, benzo[a]piren, indeno[1,2,3-cd]piren, dibenzo[a]anthracen, benzo[g, h, i]perilen: 2,</w:t>
            </w:r>
            <w:r>
              <w:rPr>
                <w:rFonts w:ascii="Times New Roman" w:hAnsi="Times New Roman"/>
                <w:sz w:val="24"/>
              </w:rPr>
              <w:br/>
              <w:t xml:space="preserve">ukupni sadržaj ugljikovodika: 200, a ispituje se samo ako postoji sumnja na prethodnu kontaminaciju ugljikovodicima ili stvaranje mulja iz pranja i ako postoji sumnja da postoji neko otapalo, koagulacijsko ili ekstrakcijsko sredstvo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lignoceluloza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poljoprivredni nusproizvodi biljnog podrijetla;</w:t>
            </w:r>
            <w:r>
              <w:rPr>
                <w:rFonts w:ascii="Times New Roman" w:hAnsi="Times New Roman"/>
                <w:sz w:val="24"/>
              </w:rPr>
              <w:br/>
              <w:t>(b) prazne glave zrna/neispunjene jezgre;</w:t>
            </w:r>
            <w:r>
              <w:rPr>
                <w:rFonts w:ascii="Times New Roman" w:hAnsi="Times New Roman"/>
                <w:sz w:val="24"/>
              </w:rPr>
              <w:br/>
              <w:t>(c) slamnato gnojivo;</w:t>
            </w:r>
            <w:r>
              <w:rPr>
                <w:rFonts w:ascii="Times New Roman" w:hAnsi="Times New Roman"/>
                <w:sz w:val="24"/>
              </w:rPr>
              <w:br/>
            </w:r>
            <w:r>
              <w:rPr>
                <w:rFonts w:ascii="Times New Roman" w:hAnsi="Times New Roman"/>
                <w:sz w:val="24"/>
              </w:rPr>
              <w:lastRenderedPageBreak/>
              <w:t>(d) zelene vrpce;</w:t>
            </w:r>
            <w:r>
              <w:rPr>
                <w:rFonts w:ascii="Times New Roman" w:hAnsi="Times New Roman"/>
                <w:sz w:val="24"/>
              </w:rPr>
              <w:br/>
              <w:t>(e) zeleni otpad</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Proizvodi koji doprinose postupku kompostiranja</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mikrobiološki pripravci, biološki starteri</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Proizvod odobren za stavljanje u promet i uporabu.</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Otpad iz postrojenja za obradu otpada, iz postrojenja za pročišćavanje otpadnih voda u kojima se otpadne vode pročišćavaju izvan lokacije, kao i otpad iz pitke vode i opskrbe industrijskom vodom</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kruti otpad od finog filtriranja i probira;</w:t>
            </w:r>
            <w:r>
              <w:rPr>
                <w:rFonts w:ascii="Times New Roman" w:hAnsi="Times New Roman"/>
                <w:sz w:val="24"/>
              </w:rPr>
              <w:br/>
              <w:t>(b) mulj od bistrenja vode;</w:t>
            </w:r>
            <w:r>
              <w:rPr>
                <w:rFonts w:ascii="Times New Roman" w:hAnsi="Times New Roman"/>
                <w:sz w:val="24"/>
              </w:rPr>
              <w:br/>
              <w:t>muljevi od dekarbonizacije</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 2. Uredbi Vlade br. 559/2023 od 14. prosinca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Fizikalni, kemijski i biološki zahtjevi za komposte za komposte za nepoljoprivrednu uporabu</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Status otpada komposta proizvedenog od biorazgradivog otpada uklanja se ispunjavanjem graničnih vrijednosti za sljedeće kategorije uporabe: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074"/>
        <w:gridCol w:w="2767"/>
        <w:gridCol w:w="2948"/>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Ako se kompost proizveden iz biorazgradivog otpada upotrebljava na području na kojem može izravno ugroziti zdravlje ljudi (posebno u zelenim područjima koja pripadaju stambenim i rekreacijskim područjima, igralištima, parkovima, cvjetnim gredicama uz cestu, šumama, javnim šetnicama, područjima za šetanje pasa, javnim kutijama za cvijeće, područjima koja pripadaju sportskim objektima, plažama i područjima koja pripadaju javnim institucijama), taj kompost mora ispunjavati i zahtjeve utvrđene u Prilogu 3. točki 4. Uredbi ministra poljoprivrede i ruralnog razvoja br. 36/2006 od 18. svibnja 2006. o odobrenju, skladištenju, stavljanju na tržište i uporabi tvari koje povećavaju prinos.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Ako se kompost proizveden iz biorazgradivog otpada upotrebljava na području obuhvaćenom Zakonom o šumama i zaštiti i gospodarenju šumama, na način koji je njime uređen ili na drugim vanjskim šumskim područjima, tada kompost također mora ispunjavati zahtjeve navedene u točkama 1.1. </w:t>
            </w:r>
            <w:r>
              <w:rPr>
                <w:rFonts w:ascii="Times New Roman" w:hAnsi="Times New Roman"/>
                <w:i/>
                <w:sz w:val="24"/>
              </w:rPr>
              <w:t>i</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Ako se kompost proizveden iz biorazgradivog otpada upotrebljava za obnavljanje, nadopunu krajobraznih praznina ili se upotrebljava u zatvorenim odlagalištima prema Uredbi KvVM br. 20/2006 od 5. travnja 2006. Ministarstva zaštite okoliša i vodnog gospodarstva o određenim pravilima i uvjetima koji se odnose na odlaganje otpada i odlagališta otpada, tada taj kompost mora ispunjavati i zahtjeve navedene u točkama 1.1. i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Fizikalna i biološka svojstva: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945"/>
        <w:gridCol w:w="2415"/>
        <w:gridCol w:w="1881"/>
        <w:gridCol w:w="2548"/>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Svojstva</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Napomena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Udio suhe tvari</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Udio organskih tvari u kompostu iznosi najmanje 15 % udjela suhe tvari.</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Udio organskih tvari u kompostu iznosi najmanje 15 % udjela suhe tvari.</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Najmanji sadržaj organske tvari odnosi se na proizvod na kraju faze kompostiranja prije miješanja s drugim tvarima. Cilj je spriječiti razrjeđivanje sastojaka (npr. s pijeskom, tlom).</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Zrelost komposta</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Najviša temperatura postignuta tijekom </w:t>
            </w:r>
            <w:r>
              <w:rPr>
                <w:rFonts w:ascii="Times New Roman" w:hAnsi="Times New Roman"/>
                <w:sz w:val="24"/>
              </w:rPr>
              <w:lastRenderedPageBreak/>
              <w:t>samozagrijavanja ne smije prelaziti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Patogeni</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negativna;</w:t>
            </w:r>
            <w:r>
              <w:rPr>
                <w:rFonts w:ascii="Times New Roman" w:hAnsi="Times New Roman"/>
                <w:sz w:val="24"/>
              </w:rPr>
              <w:br/>
              <w:t>(b) Broj fekalnih koliformnih bakterija 500/g;</w:t>
            </w:r>
            <w:r>
              <w:rPr>
                <w:rFonts w:ascii="Times New Roman" w:hAnsi="Times New Roman"/>
                <w:sz w:val="24"/>
              </w:rPr>
              <w:br/>
              <w:t>(c) Broj fekalnih streptokoka 500/g;</w:t>
            </w:r>
            <w:r>
              <w:rPr>
                <w:rFonts w:ascii="Times New Roman" w:hAnsi="Times New Roman"/>
                <w:sz w:val="24"/>
              </w:rPr>
              <w:br/>
              <w:t>(d) Ljudska parazitska jaja helminta 25 g negativna</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Mjerenje ovog parametra popraćeno je redovitim mjerenjima temperature.</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Održivo sjeme trave i formule za razmnožavanje biljaka</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 kompostu ne smije biti više od dva održiva sjemena korova po litri.</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Mjerenje ovog parametra popraćeno je redovitim mjerenjima temperature.</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Makroskopske nečistoće</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Među česticama većim od 2 mm kompost može sadržavati staklo, metal i plastiku u najviše 0,5 % sadržaja suhe tvari.</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Među česticama većim od 2 mm kompost može sadržavati staklo, metal i plastiku u najviše 0,5 % sadržaja suhe tvari.</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Treba razlikovati kamenje i umjetne nečistoće.</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Kemijska svojstva:</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Sadržaj teških metala: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03"/>
        <w:gridCol w:w="2051"/>
        <w:gridCol w:w="2076"/>
        <w:gridCol w:w="2939"/>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Teški metali</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 (mg/kg u suhoj tvari) kategorije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 (mg/kg u suhoj tvari) kategorije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Napomena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Cink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Živa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Kadmij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Ukupni krom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Gotov proizvod, prije miješanja s drugim tvarima. U slučaju kroma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Nikal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Olovo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Bakar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Organske nečistoće: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797"/>
        <w:gridCol w:w="1219"/>
        <w:gridCol w:w="1228"/>
        <w:gridCol w:w="1545"/>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Organske nečistoće</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w:t>
            </w:r>
            <w:r>
              <w:rPr>
                <w:rFonts w:ascii="Times New Roman" w:hAnsi="Times New Roman"/>
                <w:b/>
                <w:sz w:val="24"/>
              </w:rPr>
              <w:br/>
              <w:t>Kategorija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w:t>
            </w:r>
            <w:r>
              <w:rPr>
                <w:rFonts w:ascii="Times New Roman" w:hAnsi="Times New Roman"/>
                <w:b/>
                <w:sz w:val="24"/>
              </w:rPr>
              <w:br/>
              <w:t>Kategorija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Napomena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Ukupni indikativni udio polikloriranih bifenila (PCB7: PCB-ovi 28, 52, 101, 118, 138, 153, 180) (mg/kg u suhoj tvari)</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Ukupni sadržaj policikličkih aromatskih ugljikovodika (PAH16: naftalen, fluor, fenantren, antracen, fluoroanten, piren, benzo[a]antracen, krisen, benzo[b]fluoroanten, benzo[k]fluoroanten, benzo[a]piren, indeno[1,2,3-cd]piren, dibenzo[a]anthracen, benzo[g, h, i]perilen (udio mg/kg u suhoj tvari)</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Gotov proizvod, prije miješanja s drugim tvarima.</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Ukupni alifatski ugljikovodici (TPH) (mg/kg u suhoj tvari)</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Ispuštanjem ostataka fermentacije u postrojenje za pročišćavanje otpadnih voda prestaje status otpada ostataka od fermentacije nastalih u postrojenju za proizvodnju bioplina ispunjavanjem graničnih vrijednosti utvrđenih u prilozima 4. i 5. Ministarskoj uredbi o graničnim vrijednostima za onečišćujuće tvari u vodi i određenim pravilima za njihovu primjenu.</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 3. Uredbi Vlade br. 559/2023 od 14. prosinca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Tehnička pravila za kompostiranje na licu mjesta, stabilizaciju i proizvodnju bioplina</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Kompostiranje na licu mjesta:</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U slučaju sustava kompostiranja u smislu članka 10. stavka 3., osim ako se nusproizvodi životinjskog podrijetla upotrebljavaju u kompostiranju na licu mjesta, na mjestu kompostiranja moraju se osigurati najmanje sljedeće temperature te učestalost miješanja i rotacije: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temperatura od 55 °C održava se najmanje 14 dana u otvorenoj jedinici za kompostiranje kako bi se osigurala higijena, gdje se provodi najmanje pet miješanja ili rotacija;</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temperatura od 65 °C održava se najmanje 7 dana u otvorenoj jedinici za kompostiranje kako bi se osigurala higijena, gdje se provode najmanje dva miješanja ili rotacije;</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kako bi se osigurala higijena u zatvorenoj jedinici za kompostiranje, temperatura od 60 °C održava se najmanje sedam dana.</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Kako bi se postigla visoka razina biološke aktivnosti tijekom kompostiranja, moraju se osigurati barem sljedeći uvjeti:</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najbolja dostupna struktura i prozračivanje;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odgovarajuća opskrba kisikom;</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odgovarajući sadržaj vlage i hranjivih tvari;</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omjer ugljika i dušika 25-35:1, i</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pH raspon od 4 do 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Nakon završetka intenzivnog dozrijevanja, operater mjesta kompostiranja mora dozrijevati kompost u području za naknadnu obradu sve dok njegova temperatura tijekom samozagrijavanja ne prijeđe 30 °C. Nakon dozrijevanja može prethoditi probiranje ili frakcioniranje.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U slučaju kompostiranja nusproizvoda životinjskog podrijetla ili od njih dobivenih proizvoda potrebno je slijediti parametre pretvorbe i mikrobiološke parametre utvrđene u člancima 1. i 3. poglavlja III. Priloga V. Uredbi Komisije (EU) br.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Stabilizacija:</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Stabilizacija se može provesti samo u postrojenju za gospodarenje otpadom s vodonepropusnim kućištem.</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Stabilizacijom se osiguravaju barem sljedeći uvjeti:</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faze prema temperaturnoj potražnji ifrigofilnih, mezofilnih i termofilnih mikroorganizama;</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(b) visoka razina biološke aktivnosti i odgovarajući sadržaj vlage za biorazgradivi otpad, razvoj odgovarajućih pH uvjeta;</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za higijenizaciju, najbolju dostupnu strukturu, prozračivanje i homogenizaciju.</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Miješani otpad treba stabilizirati dok intenzitet disanja (AT4) ne padne ispod 10 mg O</w:t>
      </w:r>
      <w:r>
        <w:rPr>
          <w:rFonts w:ascii="Times New Roman" w:hAnsi="Times New Roman"/>
          <w:sz w:val="24"/>
          <w:vertAlign w:val="subscript"/>
        </w:rPr>
        <w:t>2</w:t>
      </w:r>
      <w:r>
        <w:rPr>
          <w:rFonts w:ascii="Times New Roman" w:hAnsi="Times New Roman"/>
          <w:sz w:val="24"/>
        </w:rPr>
        <w:t>/g suhe tvari.</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Proizvodnja bioplina:</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U slučaju postupaka iz članka 12. stavka 3., osiguravaju se minimalne vrijednosti temperature i razdoblja prisutnosti, u skladu sa sljedećom tablicom: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534"/>
        <w:gridCol w:w="2304"/>
        <w:gridCol w:w="3951"/>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Operativni sustav bioplina</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Vrijednosti temperature</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Trajanje održavanja vrijednosti temperature</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Postupak vlažne fermentacije</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najmanje 25 – 35 dana</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Postupak suhe fermentacije</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najmanje 20 – 30 dana</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Optimalni omjer ugljika i dušika: 15 – 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Odgovarajući raspon pH vrijednosti: pH = 7 – 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U slučaju uporabe nusproizvoda životinjskog podrijetla ili od njih dobivenih proizvoda u postrojenju za bioplin primjenjuju se parametri pretvorbe i mikrobiološki parametri utvrđeni u člancima 1. i 3. poglavlja III. Priloga V. Uredbi Komisije (EU) br.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 4. Uredbi Vlade br. 559/2023 od 14. prosinca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Izjava o sukladnosti i njezin sadržaj</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Izjava o sukladnosti sastavlja se za seriju komposta u skladu sa sljedećom tablicom:</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IZJAVA O SUKLADNOSTI</w:t>
            </w:r>
          </w:p>
        </w:tc>
        <w:tc>
          <w:tcPr>
            <w:tcW w:w="4549" w:type="dxa"/>
          </w:tcPr>
          <w:p w14:paraId="386EEDDB" w14:textId="77777777" w:rsidR="00D75B38" w:rsidRDefault="00D75B38" w:rsidP="00D75B38">
            <w:pPr>
              <w:pStyle w:val="TableParagraph"/>
              <w:spacing w:line="195" w:lineRule="exact"/>
              <w:ind w:left="106"/>
              <w:rPr>
                <w:sz w:val="17"/>
              </w:rPr>
            </w:pPr>
            <w:r>
              <w:rPr>
                <w:sz w:val="17"/>
              </w:rPr>
              <w:t>1. Naziv operatera lokacije za kompostiranje: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Adresa sjedišta gospodarskog subjekta:</w:t>
            </w:r>
          </w:p>
        </w:tc>
        <w:tc>
          <w:tcPr>
            <w:tcW w:w="4549" w:type="dxa"/>
          </w:tcPr>
          <w:p w14:paraId="6FBDFC63" w14:textId="77777777" w:rsidR="00D75B38" w:rsidRDefault="00D75B38" w:rsidP="00D75B38">
            <w:pPr>
              <w:pStyle w:val="TableParagraph"/>
              <w:spacing w:line="195" w:lineRule="exact"/>
              <w:ind w:left="106"/>
              <w:rPr>
                <w:sz w:val="17"/>
              </w:rPr>
            </w:pPr>
            <w:r>
              <w:rPr>
                <w:sz w:val="17"/>
              </w:rPr>
              <w:t>3. Adresa mjesta proizvodnje: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E-pošta:</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(identifikacijska oznaka klijenta u području okoliša):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(okolišna teritorijalna identifikacijska oznaka):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Statistički broj prema HCSO-u (Mađarski središnji statistički ured):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Broj dozvole za gospodarenje otpadom:</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Odobrenje za stavljanje na tržište i uporabu komposta (ako postoji):</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Broj izvješća o uzorkovanju na kraju statusa otpada i laboratorijskih ispitivanja (identifikacijska oznaka uzorka otpada):</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Postupak obrade:</w:t>
            </w:r>
          </w:p>
        </w:tc>
        <w:tc>
          <w:tcPr>
            <w:tcW w:w="4549" w:type="dxa"/>
          </w:tcPr>
          <w:p w14:paraId="65F30F63" w14:textId="77777777" w:rsidR="00D75B38" w:rsidRDefault="00D75B38" w:rsidP="00D75B38">
            <w:pPr>
              <w:pStyle w:val="TableParagraph"/>
              <w:spacing w:line="195" w:lineRule="exact"/>
              <w:ind w:left="97"/>
              <w:rPr>
                <w:sz w:val="17"/>
              </w:rPr>
            </w:pPr>
            <w:r>
              <w:rPr>
                <w:sz w:val="17"/>
              </w:rPr>
              <w:t>13. Tehnologija obrade:</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Otpad koji se upotrebljava za proizvodnju komposta:</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Vrsta:</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Količina:</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Pomoćne tvari u preradi koje se upotrebljavaju za proizvodnju komposta (ako postoje):</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Vrsta:</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Količina:</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koja se primjenjuje na proizvodnju komposta (ako postoji):</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Kategorija uporabe komposta:</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Serija komposta uklonjena s mjesta kompostiranja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Interni pokazatelji sadržaja komposta:</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reakcija:</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proofErr w:type="spellStart"/>
            <w:r>
              <w:rPr>
                <w:sz w:val="17"/>
              </w:rPr>
              <w:t>volumetrijska</w:t>
            </w:r>
            <w:proofErr w:type="spellEnd"/>
            <w:r>
              <w:rPr>
                <w:sz w:val="17"/>
              </w:rPr>
              <w:t xml:space="preserve"> težina:</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udio suhe tvari,</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udio organske tvari</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ukupna količina soli topljiva u vodi:</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raspodjela veličine čestica</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Sadržaj djelatne tvari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Fizikalna i biološka svojstva komposta:</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udio organske tvari</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zrelost komposta:</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patogeni:</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održivo sjeme trave i formule za razmnožavanje biljaka</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makroskopske nečistoće:</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Kemijska svojstva komposta:</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Sadržaj teških metala:</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Organske nečistoće:</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Ime, adresa, sjedište korisnika kojem se kompost predaje:</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Adresa isporuke:</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Izjavljujem da je kompost u skladu s uvjetima za prestanak statusa otpada utvrđenima u Uredbi Vlade br. 559/2023 od 14. prosinca 2023. o djelatnostima sprečavanja proizvodnje biorazgradivog otpada, detaljnim pravilima za djelatnosti gospodarenja otpadom povezanima s biorazgradivim otpadom i pravilima za klasifikaciju komposta proizvedenog od biootpada i u članku 9. stavku 1. Zakona CLXXXV. iz 2012. o otpadu:</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Datum i potpis: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Za preostalu seriju ostatka od fermentacije sastavlja se izjava o sukladnosti u skladu sa sljedećom tablicom:</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OSTATAK OD FERMENTACIJE</w:t>
            </w:r>
            <w:r>
              <w:rPr>
                <w:b/>
                <w:sz w:val="17"/>
              </w:rPr>
              <w:br/>
              <w:t>IZJAVA O SUKLADNOSTI</w:t>
            </w:r>
          </w:p>
        </w:tc>
        <w:tc>
          <w:tcPr>
            <w:tcW w:w="4546" w:type="dxa"/>
          </w:tcPr>
          <w:p w14:paraId="16F7218D" w14:textId="77777777" w:rsidR="00D75B38" w:rsidRDefault="00D75B38" w:rsidP="00D75B38">
            <w:pPr>
              <w:pStyle w:val="TableParagraph"/>
              <w:spacing w:line="195" w:lineRule="exact"/>
              <w:rPr>
                <w:sz w:val="17"/>
              </w:rPr>
            </w:pPr>
            <w:r>
              <w:rPr>
                <w:sz w:val="17"/>
              </w:rPr>
              <w:t>1. Naziv operatora postrojenja za proizvodnju bioplina:</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Adresa sjedišta gospodarskog subjekta:</w:t>
            </w:r>
          </w:p>
        </w:tc>
        <w:tc>
          <w:tcPr>
            <w:tcW w:w="4546" w:type="dxa"/>
          </w:tcPr>
          <w:p w14:paraId="61677E8E" w14:textId="77777777" w:rsidR="00D75B38" w:rsidRDefault="00D75B38" w:rsidP="00D75B38">
            <w:pPr>
              <w:pStyle w:val="TableParagraph"/>
              <w:spacing w:line="195" w:lineRule="exact"/>
              <w:rPr>
                <w:sz w:val="17"/>
              </w:rPr>
            </w:pPr>
            <w:r>
              <w:rPr>
                <w:sz w:val="17"/>
              </w:rPr>
              <w:t>3. Adresa mjesta proizvodnje: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E-pošta:</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ostatak fermentacije;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ostatak fermentacije;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(identifikacijska oznaka klijenta u području okoliša):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(okolišna teritorijalna identifikacijska oznaka):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Statistički broj prema HCSO-u (Mađarski središnji statistički ured):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Broj dozvole za gospodarenje otpadom:</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Odobrenje za stavljanje na tržište i uporabu ostataka od fermentacije (ako postoje):</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Postupak obrade:</w:t>
            </w:r>
          </w:p>
        </w:tc>
        <w:tc>
          <w:tcPr>
            <w:tcW w:w="4549" w:type="dxa"/>
          </w:tcPr>
          <w:p w14:paraId="12765214" w14:textId="77777777" w:rsidR="00D75B38" w:rsidRDefault="00D75B38" w:rsidP="00D75B38">
            <w:pPr>
              <w:pStyle w:val="TableParagraph"/>
              <w:spacing w:line="195" w:lineRule="exact"/>
              <w:ind w:left="97"/>
              <w:rPr>
                <w:sz w:val="17"/>
              </w:rPr>
            </w:pPr>
            <w:r>
              <w:rPr>
                <w:sz w:val="17"/>
              </w:rPr>
              <w:t>12. Tehnologija obrade:</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Otpad koji se upotrebljava za proizvodnju ostataka od fermentacije:</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Vrsta:</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Količina:</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Pomoćne tvari u preradi (ako postoje) koje se upotrebljavaju za proizvodnju ostataka od fermentacije:</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Vrsta:</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Količina:</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koja se primjenjuje na proizvodnju bioplina (ako postoji):</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Količina nastalih ostataka od fermentacije (kg ili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Kemijska svojstva ostatka od fermentacije:</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Kemijska svojstva:</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reakcija:</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udio organske tvari</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ukupni dušik:</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ukupni fosfor:</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Rizični elementi:</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Za sadržaj suhe tvari manji od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Za sadržaj suhe tvari veći od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proofErr w:type="spellStart"/>
            <w:r>
              <w:rPr>
                <w:sz w:val="17"/>
              </w:rPr>
              <w:t>CrVI</w:t>
            </w:r>
            <w:proofErr w:type="spellEnd"/>
            <w:r>
              <w:rPr>
                <w:sz w:val="17"/>
              </w:rPr>
              <w:t>:</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proofErr w:type="spellStart"/>
            <w:r>
              <w:rPr>
                <w:sz w:val="17"/>
              </w:rPr>
              <w:t>CrVI</w:t>
            </w:r>
            <w:proofErr w:type="spellEnd"/>
            <w:r>
              <w:rPr>
                <w:sz w:val="17"/>
              </w:rPr>
              <w:t>:</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Organske onečišćujuće tvari:</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Za sadržaj suhe tvari manji od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životinjske i biljne masti:</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 xml:space="preserve">anionski </w:t>
            </w:r>
            <w:proofErr w:type="spellStart"/>
            <w:r>
              <w:rPr>
                <w:sz w:val="17"/>
              </w:rPr>
              <w:t>surfaktant</w:t>
            </w:r>
            <w:proofErr w:type="spellEnd"/>
            <w:r>
              <w:rPr>
                <w:sz w:val="17"/>
              </w:rPr>
              <w:t>:</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Za sadržaj suhe tvari veći od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Biološka svojstva ostatka od fermentacije:</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Mikrobiološke onečišćujuće tvari:</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 xml:space="preserve">Broj fekalnih </w:t>
            </w:r>
            <w:proofErr w:type="spellStart"/>
            <w:r>
              <w:rPr>
                <w:sz w:val="17"/>
              </w:rPr>
              <w:t>koliformnih</w:t>
            </w:r>
            <w:proofErr w:type="spellEnd"/>
            <w:r>
              <w:rPr>
                <w:sz w:val="17"/>
              </w:rPr>
              <w:t xml:space="preserve"> bakterija:</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 xml:space="preserve">Broj parazitskih jaja </w:t>
            </w:r>
            <w:proofErr w:type="spellStart"/>
            <w:r>
              <w:rPr>
                <w:sz w:val="17"/>
              </w:rPr>
              <w:t>helminta</w:t>
            </w:r>
            <w:proofErr w:type="spellEnd"/>
            <w:r>
              <w:rPr>
                <w:sz w:val="17"/>
              </w:rPr>
              <w:t xml:space="preserve"> kod ljudi:</w:t>
            </w:r>
          </w:p>
          <w:p w14:paraId="47BAFD2D" w14:textId="77777777" w:rsidR="00D75B38" w:rsidRDefault="00D75B38" w:rsidP="00D75B38">
            <w:pPr>
              <w:pStyle w:val="TableParagraph"/>
              <w:numPr>
                <w:ilvl w:val="0"/>
                <w:numId w:val="1"/>
              </w:numPr>
              <w:tabs>
                <w:tab w:val="left" w:pos="507"/>
              </w:tabs>
              <w:spacing w:before="33"/>
              <w:ind w:left="507" w:hanging="341"/>
              <w:rPr>
                <w:sz w:val="17"/>
              </w:rPr>
            </w:pPr>
            <w:proofErr w:type="spellStart"/>
            <w:r>
              <w:rPr>
                <w:sz w:val="17"/>
              </w:rPr>
              <w:t>Salmonella</w:t>
            </w:r>
            <w:proofErr w:type="spellEnd"/>
            <w:r>
              <w:rPr>
                <w:sz w:val="17"/>
              </w:rPr>
              <w:t xml:space="preserve"> </w:t>
            </w:r>
            <w:proofErr w:type="spellStart"/>
            <w:r>
              <w:rPr>
                <w:sz w:val="17"/>
              </w:rPr>
              <w:t>sp</w:t>
            </w:r>
            <w:proofErr w:type="spellEnd"/>
            <w:r>
              <w:rPr>
                <w:sz w:val="17"/>
              </w:rPr>
              <w:t>.:</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Broj fekalnih streptokoka:</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 xml:space="preserve">Broj bakterija </w:t>
            </w:r>
            <w:proofErr w:type="spellStart"/>
            <w:r>
              <w:rPr>
                <w:sz w:val="17"/>
              </w:rPr>
              <w:t>pseudomonas</w:t>
            </w:r>
            <w:proofErr w:type="spellEnd"/>
            <w:r>
              <w:rPr>
                <w:sz w:val="17"/>
              </w:rPr>
              <w:t xml:space="preserve"> </w:t>
            </w:r>
            <w:proofErr w:type="spellStart"/>
            <w:r>
              <w:rPr>
                <w:sz w:val="17"/>
              </w:rPr>
              <w:t>aeroginosa</w:t>
            </w:r>
            <w:proofErr w:type="spellEnd"/>
            <w:r>
              <w:rPr>
                <w:sz w:val="17"/>
              </w:rPr>
              <w:t>:</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Rezultati ispitivanja bakterije </w:t>
            </w:r>
            <w:proofErr w:type="spellStart"/>
            <w:r>
              <w:rPr>
                <w:i/>
                <w:sz w:val="17"/>
              </w:rPr>
              <w:t>Azotobacter</w:t>
            </w:r>
            <w:proofErr w:type="spellEnd"/>
            <w:r>
              <w:rPr>
                <w:i/>
                <w:sz w:val="17"/>
              </w:rPr>
              <w:t xml:space="preserve"> </w:t>
            </w:r>
            <w:proofErr w:type="spellStart"/>
            <w:r>
              <w:rPr>
                <w:i/>
                <w:sz w:val="17"/>
              </w:rPr>
              <w:t>agile</w:t>
            </w:r>
            <w:proofErr w:type="spellEnd"/>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Ime, adresa, mjesto poslovanja korisnika na kojeg se prenosi ostatak od fermentacije: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Adresa isporuke:</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Izjavljujem da je ostatak od fermentacije u skladu s uvjetima prestanka statusa otpada utvrđenima u Uredbi Vlade br. 559/2023 od 14. prosinca 2023. o djelatnostima sprečavanja proizvodnje biorazgradivog otpada, detaljnim pravilima za djelatnosti gospodarenja otpadom povezanima s biorazgradivim otpadom i pravilima za klasifikaciju komposta proizvedenog od biootpada te u članku 9. stavku 1.</w:t>
            </w:r>
          </w:p>
          <w:p w14:paraId="15E63BCD" w14:textId="77777777" w:rsidR="00D75B38" w:rsidRDefault="00D75B38" w:rsidP="00D75B38">
            <w:pPr>
              <w:pStyle w:val="TableParagraph"/>
              <w:spacing w:before="2"/>
              <w:rPr>
                <w:sz w:val="17"/>
              </w:rPr>
            </w:pPr>
            <w:r>
              <w:rPr>
                <w:sz w:val="17"/>
              </w:rPr>
              <w:t>Zakona CLXXXV. iz 2012. o otpadu:</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Datum i potpis: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32AF" w14:textId="77777777" w:rsidR="00822D4F" w:rsidRDefault="00822D4F" w:rsidP="00D75B38">
      <w:pPr>
        <w:spacing w:after="0" w:line="240" w:lineRule="auto"/>
      </w:pPr>
      <w:r>
        <w:separator/>
      </w:r>
    </w:p>
  </w:endnote>
  <w:endnote w:type="continuationSeparator" w:id="0">
    <w:p w14:paraId="15A94E63" w14:textId="77777777" w:rsidR="00822D4F" w:rsidRDefault="00822D4F"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FB32" w14:textId="77777777" w:rsidR="00822D4F" w:rsidRDefault="00822D4F" w:rsidP="00D75B38">
      <w:pPr>
        <w:spacing w:after="0" w:line="240" w:lineRule="auto"/>
      </w:pPr>
      <w:r>
        <w:separator/>
      </w:r>
    </w:p>
  </w:footnote>
  <w:footnote w:type="continuationSeparator" w:id="0">
    <w:p w14:paraId="05167016" w14:textId="77777777" w:rsidR="00822D4F" w:rsidRDefault="00822D4F"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822D4F"/>
    <w:rsid w:val="00843D8C"/>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7797</Words>
  <Characters>45617</Characters>
  <Application>Microsoft Office Word</Application>
  <DocSecurity>0</DocSecurity>
  <Lines>1900</Lines>
  <Paragraphs>953</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2024-07-24T13:55:00Z</dcterms:created>
  <dcterms:modified xsi:type="dcterms:W3CDTF">2024-07-24T13:55:00Z</dcterms:modified>
</cp:coreProperties>
</file>